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F187" w14:textId="77777777" w:rsidR="00E1736C" w:rsidRDefault="00E1736C" w:rsidP="00E1736C">
      <w:pPr>
        <w:spacing w:after="0" w:line="240" w:lineRule="auto"/>
        <w:jc w:val="both"/>
        <w:rPr>
          <w:rFonts w:cs="Arial"/>
          <w:b/>
          <w:sz w:val="24"/>
          <w:szCs w:val="24"/>
        </w:rPr>
      </w:pPr>
      <w:r>
        <w:rPr>
          <w:rFonts w:cs="Arial"/>
          <w:b/>
          <w:sz w:val="24"/>
          <w:szCs w:val="24"/>
        </w:rPr>
        <w:t xml:space="preserve">Intracellular </w:t>
      </w:r>
      <w:proofErr w:type="spellStart"/>
      <w:r>
        <w:rPr>
          <w:rFonts w:cs="Arial"/>
          <w:b/>
          <w:sz w:val="24"/>
          <w:szCs w:val="24"/>
        </w:rPr>
        <w:t>ara</w:t>
      </w:r>
      <w:proofErr w:type="spellEnd"/>
      <w:r>
        <w:rPr>
          <w:rFonts w:cs="Arial"/>
          <w:b/>
          <w:sz w:val="24"/>
          <w:szCs w:val="24"/>
        </w:rPr>
        <w:t>-CTP in circulating blasts post-treatment predicts remission status in patients with Acute Myeloid Leukaemia.</w:t>
      </w:r>
    </w:p>
    <w:p w14:paraId="6CE99DC2" w14:textId="77777777" w:rsidR="00E1736C" w:rsidRDefault="00E1736C" w:rsidP="00E1736C">
      <w:pPr>
        <w:spacing w:after="0" w:line="240" w:lineRule="auto"/>
        <w:jc w:val="both"/>
        <w:rPr>
          <w:rFonts w:cs="Arial"/>
          <w:sz w:val="24"/>
          <w:szCs w:val="24"/>
        </w:rPr>
      </w:pPr>
    </w:p>
    <w:p w14:paraId="595613E3" w14:textId="77777777" w:rsidR="00E1736C" w:rsidRPr="00022711" w:rsidRDefault="00E1736C" w:rsidP="00E1736C">
      <w:pPr>
        <w:spacing w:after="0" w:line="240" w:lineRule="auto"/>
        <w:jc w:val="both"/>
        <w:rPr>
          <w:rFonts w:cs="Arial"/>
          <w:sz w:val="24"/>
          <w:szCs w:val="24"/>
        </w:rPr>
      </w:pPr>
      <w:r w:rsidRPr="00CC1B6C">
        <w:rPr>
          <w:rFonts w:cs="Arial"/>
          <w:sz w:val="24"/>
          <w:szCs w:val="24"/>
        </w:rPr>
        <w:t xml:space="preserve">Elizabeth </w:t>
      </w:r>
      <w:proofErr w:type="spellStart"/>
      <w:r w:rsidRPr="00CC1B6C">
        <w:rPr>
          <w:rFonts w:cs="Arial"/>
          <w:sz w:val="24"/>
          <w:szCs w:val="24"/>
        </w:rPr>
        <w:t>Anderson</w:t>
      </w:r>
      <w:r>
        <w:rPr>
          <w:rFonts w:cs="Arial"/>
          <w:sz w:val="24"/>
          <w:szCs w:val="24"/>
          <w:vertAlign w:val="superscript"/>
        </w:rPr>
        <w:t>a</w:t>
      </w:r>
      <w:proofErr w:type="spellEnd"/>
      <w:r>
        <w:rPr>
          <w:rFonts w:cs="Arial"/>
          <w:sz w:val="24"/>
          <w:szCs w:val="24"/>
        </w:rPr>
        <w:t xml:space="preserve">, </w:t>
      </w:r>
      <w:r w:rsidRPr="00CC1B6C">
        <w:rPr>
          <w:rFonts w:cs="Arial"/>
          <w:sz w:val="24"/>
          <w:szCs w:val="24"/>
        </w:rPr>
        <w:t xml:space="preserve">Barbara </w:t>
      </w:r>
      <w:proofErr w:type="spellStart"/>
      <w:r w:rsidRPr="00CC1B6C">
        <w:rPr>
          <w:rFonts w:cs="Arial"/>
          <w:sz w:val="24"/>
          <w:szCs w:val="24"/>
        </w:rPr>
        <w:t>Rees</w:t>
      </w:r>
      <w:r>
        <w:rPr>
          <w:rFonts w:cs="Arial"/>
          <w:sz w:val="24"/>
          <w:szCs w:val="24"/>
          <w:vertAlign w:val="superscript"/>
        </w:rPr>
        <w:t>a</w:t>
      </w:r>
      <w:proofErr w:type="spellEnd"/>
      <w:r>
        <w:rPr>
          <w:rFonts w:cs="Arial"/>
          <w:sz w:val="24"/>
          <w:szCs w:val="24"/>
        </w:rPr>
        <w:t xml:space="preserve">, Jonathon </w:t>
      </w:r>
      <w:proofErr w:type="spellStart"/>
      <w:r>
        <w:rPr>
          <w:rFonts w:cs="Arial"/>
          <w:sz w:val="24"/>
          <w:szCs w:val="24"/>
        </w:rPr>
        <w:t>Hull</w:t>
      </w:r>
      <w:r>
        <w:rPr>
          <w:rFonts w:cs="Arial"/>
          <w:sz w:val="24"/>
          <w:szCs w:val="24"/>
          <w:vertAlign w:val="superscript"/>
        </w:rPr>
        <w:t>a</w:t>
      </w:r>
      <w:proofErr w:type="spellEnd"/>
      <w:r w:rsidRPr="00022711">
        <w:rPr>
          <w:rFonts w:cs="Arial"/>
          <w:sz w:val="24"/>
          <w:szCs w:val="24"/>
        </w:rPr>
        <w:t>,</w:t>
      </w:r>
      <w:r>
        <w:rPr>
          <w:rFonts w:cs="Arial"/>
          <w:sz w:val="24"/>
          <w:szCs w:val="24"/>
          <w:vertAlign w:val="superscript"/>
        </w:rPr>
        <w:t xml:space="preserve"> </w:t>
      </w:r>
      <w:r w:rsidRPr="00CC1B6C">
        <w:rPr>
          <w:rFonts w:cs="Arial"/>
          <w:sz w:val="24"/>
          <w:szCs w:val="24"/>
        </w:rPr>
        <w:t xml:space="preserve">Jonathan </w:t>
      </w:r>
      <w:proofErr w:type="spellStart"/>
      <w:r w:rsidRPr="00CC1B6C">
        <w:rPr>
          <w:rFonts w:cs="Arial"/>
          <w:sz w:val="24"/>
          <w:szCs w:val="24"/>
        </w:rPr>
        <w:t>Heywood</w:t>
      </w:r>
      <w:r>
        <w:rPr>
          <w:rFonts w:cs="Arial"/>
          <w:sz w:val="24"/>
          <w:szCs w:val="24"/>
          <w:vertAlign w:val="superscript"/>
        </w:rPr>
        <w:t>b</w:t>
      </w:r>
      <w:proofErr w:type="spellEnd"/>
      <w:r>
        <w:rPr>
          <w:rFonts w:cs="Arial"/>
          <w:sz w:val="24"/>
          <w:szCs w:val="24"/>
        </w:rPr>
        <w:t xml:space="preserve">, </w:t>
      </w:r>
      <w:r w:rsidRPr="00BB1984">
        <w:rPr>
          <w:rFonts w:cs="Arial"/>
          <w:sz w:val="24"/>
          <w:szCs w:val="24"/>
        </w:rPr>
        <w:t xml:space="preserve">Andrea </w:t>
      </w:r>
      <w:proofErr w:type="spellStart"/>
      <w:r w:rsidRPr="00BB1984">
        <w:rPr>
          <w:rFonts w:cs="Arial"/>
          <w:sz w:val="24"/>
          <w:szCs w:val="24"/>
        </w:rPr>
        <w:t>Preston</w:t>
      </w:r>
      <w:r>
        <w:rPr>
          <w:rFonts w:cs="Arial"/>
          <w:sz w:val="24"/>
          <w:szCs w:val="24"/>
          <w:vertAlign w:val="superscript"/>
        </w:rPr>
        <w:t>b</w:t>
      </w:r>
      <w:proofErr w:type="spellEnd"/>
      <w:r>
        <w:rPr>
          <w:rFonts w:cs="Arial"/>
          <w:sz w:val="24"/>
          <w:szCs w:val="24"/>
        </w:rPr>
        <w:t xml:space="preserve">, Rachel </w:t>
      </w:r>
      <w:proofErr w:type="spellStart"/>
      <w:r>
        <w:rPr>
          <w:rFonts w:cs="Arial"/>
          <w:sz w:val="24"/>
          <w:szCs w:val="24"/>
        </w:rPr>
        <w:t>Protheroe</w:t>
      </w:r>
      <w:r>
        <w:rPr>
          <w:rFonts w:cs="Arial"/>
          <w:sz w:val="24"/>
          <w:szCs w:val="24"/>
          <w:vertAlign w:val="superscript"/>
        </w:rPr>
        <w:t>b</w:t>
      </w:r>
      <w:proofErr w:type="spellEnd"/>
      <w:r>
        <w:rPr>
          <w:rFonts w:cs="Arial"/>
          <w:sz w:val="24"/>
          <w:szCs w:val="24"/>
        </w:rPr>
        <w:t xml:space="preserve">, Emily </w:t>
      </w:r>
      <w:proofErr w:type="spellStart"/>
      <w:r>
        <w:rPr>
          <w:rFonts w:cs="Arial"/>
          <w:sz w:val="24"/>
          <w:szCs w:val="24"/>
        </w:rPr>
        <w:t>Foulstone</w:t>
      </w:r>
      <w:r>
        <w:rPr>
          <w:rFonts w:cs="Arial"/>
          <w:sz w:val="24"/>
          <w:szCs w:val="24"/>
          <w:vertAlign w:val="superscript"/>
        </w:rPr>
        <w:t>b</w:t>
      </w:r>
      <w:proofErr w:type="spellEnd"/>
      <w:r>
        <w:rPr>
          <w:rFonts w:cs="Arial"/>
          <w:sz w:val="24"/>
          <w:szCs w:val="24"/>
        </w:rPr>
        <w:t xml:space="preserve">, </w:t>
      </w:r>
      <w:r w:rsidRPr="00BB1984">
        <w:rPr>
          <w:rFonts w:cs="Arial"/>
          <w:sz w:val="24"/>
          <w:szCs w:val="24"/>
        </w:rPr>
        <w:t xml:space="preserve">Rosemary </w:t>
      </w:r>
      <w:proofErr w:type="spellStart"/>
      <w:r w:rsidRPr="00BB1984">
        <w:rPr>
          <w:rFonts w:cs="Arial"/>
          <w:sz w:val="24"/>
          <w:szCs w:val="24"/>
        </w:rPr>
        <w:t>Greenwood</w:t>
      </w:r>
      <w:r>
        <w:rPr>
          <w:rFonts w:cs="Arial"/>
          <w:sz w:val="24"/>
          <w:szCs w:val="24"/>
          <w:vertAlign w:val="superscript"/>
        </w:rPr>
        <w:t>b</w:t>
      </w:r>
      <w:proofErr w:type="spellEnd"/>
      <w:r>
        <w:rPr>
          <w:rFonts w:cs="Arial"/>
          <w:sz w:val="24"/>
          <w:szCs w:val="24"/>
        </w:rPr>
        <w:t xml:space="preserve">, </w:t>
      </w:r>
      <w:r w:rsidRPr="00CC1B6C">
        <w:rPr>
          <w:rFonts w:cs="Arial"/>
          <w:sz w:val="24"/>
          <w:szCs w:val="24"/>
        </w:rPr>
        <w:t xml:space="preserve">Vyv </w:t>
      </w:r>
      <w:proofErr w:type="spellStart"/>
      <w:r w:rsidRPr="00CC1B6C">
        <w:rPr>
          <w:rFonts w:cs="Arial"/>
          <w:sz w:val="24"/>
          <w:szCs w:val="24"/>
        </w:rPr>
        <w:t>Salisbury</w:t>
      </w:r>
      <w:r>
        <w:rPr>
          <w:rFonts w:cs="Arial"/>
          <w:sz w:val="24"/>
          <w:szCs w:val="24"/>
          <w:vertAlign w:val="superscript"/>
        </w:rPr>
        <w:t>a</w:t>
      </w:r>
      <w:proofErr w:type="spellEnd"/>
      <w:r>
        <w:rPr>
          <w:rFonts w:cs="Arial"/>
          <w:sz w:val="24"/>
          <w:szCs w:val="24"/>
        </w:rPr>
        <w:t xml:space="preserve">, </w:t>
      </w:r>
      <w:r w:rsidRPr="00CC1B6C">
        <w:rPr>
          <w:rFonts w:cs="Arial"/>
          <w:sz w:val="24"/>
          <w:szCs w:val="24"/>
        </w:rPr>
        <w:t xml:space="preserve">Priyanka </w:t>
      </w:r>
      <w:proofErr w:type="spellStart"/>
      <w:r w:rsidRPr="00CC1B6C">
        <w:rPr>
          <w:rFonts w:cs="Arial"/>
          <w:sz w:val="24"/>
          <w:szCs w:val="24"/>
        </w:rPr>
        <w:t>Mehta</w:t>
      </w:r>
      <w:r>
        <w:rPr>
          <w:rFonts w:cs="Arial"/>
          <w:sz w:val="24"/>
          <w:szCs w:val="24"/>
          <w:vertAlign w:val="superscript"/>
        </w:rPr>
        <w:t>b</w:t>
      </w:r>
      <w:proofErr w:type="spellEnd"/>
      <w:r>
        <w:rPr>
          <w:rFonts w:cs="Arial"/>
          <w:sz w:val="24"/>
          <w:szCs w:val="24"/>
        </w:rPr>
        <w:t>.</w:t>
      </w:r>
    </w:p>
    <w:p w14:paraId="5645C168" w14:textId="77777777" w:rsidR="00E1736C" w:rsidRPr="00CC1B6C" w:rsidRDefault="00E1736C" w:rsidP="00E1736C">
      <w:pPr>
        <w:spacing w:after="0" w:line="240" w:lineRule="auto"/>
        <w:jc w:val="both"/>
        <w:rPr>
          <w:rFonts w:cs="Arial"/>
          <w:i/>
          <w:sz w:val="24"/>
          <w:szCs w:val="24"/>
        </w:rPr>
      </w:pPr>
      <w:proofErr w:type="spellStart"/>
      <w:r>
        <w:rPr>
          <w:rFonts w:cs="Arial"/>
          <w:i/>
          <w:sz w:val="24"/>
          <w:szCs w:val="24"/>
          <w:vertAlign w:val="superscript"/>
        </w:rPr>
        <w:t>a</w:t>
      </w:r>
      <w:r w:rsidRPr="00CC1B6C">
        <w:rPr>
          <w:rFonts w:cs="Arial"/>
          <w:i/>
          <w:sz w:val="24"/>
          <w:szCs w:val="24"/>
        </w:rPr>
        <w:t>University</w:t>
      </w:r>
      <w:proofErr w:type="spellEnd"/>
      <w:r w:rsidRPr="00CC1B6C">
        <w:rPr>
          <w:rFonts w:cs="Arial"/>
          <w:i/>
          <w:sz w:val="24"/>
          <w:szCs w:val="24"/>
        </w:rPr>
        <w:t xml:space="preserve"> of the West of England, Bristol, United Kingdom; </w:t>
      </w:r>
      <w:proofErr w:type="spellStart"/>
      <w:r>
        <w:rPr>
          <w:rFonts w:cs="Arial"/>
          <w:i/>
          <w:sz w:val="24"/>
          <w:szCs w:val="24"/>
          <w:vertAlign w:val="superscript"/>
        </w:rPr>
        <w:t>b</w:t>
      </w:r>
      <w:r w:rsidRPr="00CC1B6C">
        <w:rPr>
          <w:rFonts w:cs="Arial"/>
          <w:i/>
          <w:sz w:val="24"/>
          <w:szCs w:val="24"/>
        </w:rPr>
        <w:t>Bristol</w:t>
      </w:r>
      <w:proofErr w:type="spellEnd"/>
      <w:r w:rsidRPr="00CC1B6C">
        <w:rPr>
          <w:rFonts w:cs="Arial"/>
          <w:i/>
          <w:sz w:val="24"/>
          <w:szCs w:val="24"/>
        </w:rPr>
        <w:t xml:space="preserve"> Haematology and Oncology Centre, University Hospital Bristol NHS Foundation </w:t>
      </w:r>
      <w:r>
        <w:rPr>
          <w:rFonts w:cs="Arial"/>
          <w:i/>
          <w:sz w:val="24"/>
          <w:szCs w:val="24"/>
        </w:rPr>
        <w:t>Trust, Bristol, United Kingdom.</w:t>
      </w:r>
    </w:p>
    <w:p w14:paraId="4D1999BB" w14:textId="77777777" w:rsidR="00E1736C" w:rsidRPr="00CC1B6C" w:rsidRDefault="00E1736C" w:rsidP="00E1736C">
      <w:pPr>
        <w:spacing w:after="0" w:line="240" w:lineRule="auto"/>
        <w:jc w:val="both"/>
        <w:rPr>
          <w:rFonts w:cs="Arial"/>
          <w:sz w:val="24"/>
          <w:szCs w:val="24"/>
        </w:rPr>
      </w:pPr>
      <w:r>
        <w:rPr>
          <w:rFonts w:cs="Arial"/>
          <w:sz w:val="24"/>
          <w:szCs w:val="24"/>
        </w:rPr>
        <w:t xml:space="preserve">Corresponding author: </w:t>
      </w:r>
      <w:proofErr w:type="spellStart"/>
      <w:r>
        <w:rPr>
          <w:rFonts w:cs="Arial"/>
          <w:sz w:val="24"/>
          <w:szCs w:val="24"/>
        </w:rPr>
        <w:t>Dr.</w:t>
      </w:r>
      <w:proofErr w:type="spellEnd"/>
      <w:r>
        <w:rPr>
          <w:rFonts w:cs="Arial"/>
          <w:sz w:val="24"/>
          <w:szCs w:val="24"/>
        </w:rPr>
        <w:t xml:space="preserve"> Elizabeth Anderson PhD, University of the West of England, Coldharbour Lane, Bristol BS16 1QY, UK. Tel: (+44)117 3287627. E</w:t>
      </w:r>
      <w:r w:rsidRPr="00CC1B6C">
        <w:rPr>
          <w:rFonts w:cs="Arial"/>
          <w:sz w:val="24"/>
          <w:szCs w:val="24"/>
        </w:rPr>
        <w:t xml:space="preserve">-mail: </w:t>
      </w:r>
      <w:hyperlink r:id="rId6" w:history="1">
        <w:r w:rsidRPr="00CC1B6C">
          <w:rPr>
            <w:rStyle w:val="Hyperlink"/>
            <w:rFonts w:cs="Arial"/>
            <w:sz w:val="24"/>
            <w:szCs w:val="24"/>
          </w:rPr>
          <w:t>elizabeth3.anderson@uwe.ac.uk</w:t>
        </w:r>
      </w:hyperlink>
    </w:p>
    <w:p w14:paraId="6A2B8ACD" w14:textId="77777777" w:rsidR="00E1736C" w:rsidRDefault="00E1736C" w:rsidP="00E1736C">
      <w:pPr>
        <w:spacing w:after="0" w:line="240" w:lineRule="auto"/>
        <w:jc w:val="both"/>
        <w:rPr>
          <w:rFonts w:cs="Arial"/>
          <w:sz w:val="24"/>
          <w:szCs w:val="24"/>
        </w:rPr>
      </w:pPr>
    </w:p>
    <w:p w14:paraId="2378BB95" w14:textId="77777777" w:rsidR="00E1736C" w:rsidRDefault="00E1736C" w:rsidP="00E1736C">
      <w:pPr>
        <w:spacing w:after="0" w:line="240" w:lineRule="auto"/>
        <w:jc w:val="both"/>
        <w:rPr>
          <w:rFonts w:cs="Arial"/>
          <w:sz w:val="24"/>
          <w:szCs w:val="24"/>
        </w:rPr>
      </w:pPr>
      <w:r w:rsidRPr="00941F58">
        <w:rPr>
          <w:rFonts w:cs="Arial"/>
          <w:b/>
          <w:sz w:val="24"/>
          <w:szCs w:val="24"/>
        </w:rPr>
        <w:t>Category:</w:t>
      </w:r>
      <w:r>
        <w:rPr>
          <w:rFonts w:cs="Arial"/>
          <w:sz w:val="24"/>
          <w:szCs w:val="24"/>
        </w:rPr>
        <w:t xml:space="preserve"> Clinical Investigation</w:t>
      </w:r>
    </w:p>
    <w:p w14:paraId="69C10630" w14:textId="77777777" w:rsidR="00E1736C" w:rsidRDefault="00E1736C" w:rsidP="00E1736C">
      <w:pPr>
        <w:spacing w:after="0" w:line="240" w:lineRule="auto"/>
        <w:jc w:val="both"/>
        <w:rPr>
          <w:rFonts w:cs="Arial"/>
          <w:sz w:val="24"/>
          <w:szCs w:val="24"/>
        </w:rPr>
      </w:pPr>
    </w:p>
    <w:p w14:paraId="2D174F15" w14:textId="77777777" w:rsidR="00E1736C" w:rsidRPr="00941F58" w:rsidRDefault="00E1736C" w:rsidP="00E1736C">
      <w:pPr>
        <w:spacing w:after="0" w:line="240" w:lineRule="auto"/>
        <w:jc w:val="both"/>
        <w:rPr>
          <w:rFonts w:cs="Arial"/>
          <w:b/>
          <w:sz w:val="24"/>
          <w:szCs w:val="24"/>
        </w:rPr>
      </w:pPr>
      <w:r w:rsidRPr="00941F58">
        <w:rPr>
          <w:rFonts w:cs="Arial"/>
          <w:b/>
          <w:sz w:val="24"/>
          <w:szCs w:val="24"/>
        </w:rPr>
        <w:t>Word count</w:t>
      </w:r>
      <w:r w:rsidRPr="00475693">
        <w:rPr>
          <w:rFonts w:cs="Arial"/>
          <w:b/>
          <w:sz w:val="24"/>
          <w:szCs w:val="24"/>
        </w:rPr>
        <w:t>:</w:t>
      </w:r>
      <w:r>
        <w:rPr>
          <w:rFonts w:cs="Arial"/>
          <w:sz w:val="24"/>
          <w:szCs w:val="24"/>
        </w:rPr>
        <w:t xml:space="preserve"> 1500</w:t>
      </w:r>
    </w:p>
    <w:p w14:paraId="7241A4D4" w14:textId="77777777" w:rsidR="00E1736C" w:rsidRDefault="00E1736C" w:rsidP="00E1736C">
      <w:pPr>
        <w:autoSpaceDE w:val="0"/>
        <w:autoSpaceDN w:val="0"/>
        <w:adjustRightInd w:val="0"/>
        <w:spacing w:after="0" w:line="240" w:lineRule="auto"/>
        <w:rPr>
          <w:rFonts w:ascii="Calibri" w:hAnsi="Calibri" w:cs="Calibri"/>
          <w:b/>
          <w:sz w:val="24"/>
          <w:szCs w:val="21"/>
        </w:rPr>
      </w:pPr>
    </w:p>
    <w:p w14:paraId="5B5D4ECD" w14:textId="77777777" w:rsidR="00E1736C" w:rsidRPr="00C6462C" w:rsidRDefault="00E1736C" w:rsidP="00E1736C">
      <w:pPr>
        <w:autoSpaceDE w:val="0"/>
        <w:autoSpaceDN w:val="0"/>
        <w:adjustRightInd w:val="0"/>
        <w:spacing w:after="0" w:line="240" w:lineRule="auto"/>
        <w:rPr>
          <w:rFonts w:ascii="Calibri" w:hAnsi="Calibri" w:cs="Calibri"/>
          <w:b/>
          <w:sz w:val="32"/>
          <w:szCs w:val="24"/>
        </w:rPr>
      </w:pPr>
      <w:r w:rsidRPr="00C6462C">
        <w:rPr>
          <w:rFonts w:ascii="Calibri" w:hAnsi="Calibri" w:cs="Calibri"/>
          <w:b/>
          <w:sz w:val="24"/>
          <w:szCs w:val="21"/>
        </w:rPr>
        <w:t>Keywords:</w:t>
      </w:r>
      <w:r w:rsidRPr="00C6462C">
        <w:rPr>
          <w:rFonts w:ascii="Calibri" w:hAnsi="Calibri" w:cs="Calibri"/>
          <w:sz w:val="24"/>
          <w:szCs w:val="21"/>
        </w:rPr>
        <w:t xml:space="preserve"> Cytarabine, </w:t>
      </w:r>
      <w:r w:rsidRPr="00AB0C76">
        <w:rPr>
          <w:rFonts w:ascii="Calibri" w:hAnsi="Calibri" w:cs="Calibri"/>
          <w:i/>
          <w:sz w:val="24"/>
          <w:szCs w:val="21"/>
        </w:rPr>
        <w:t>in vivo</w:t>
      </w:r>
      <w:r w:rsidRPr="00C6462C">
        <w:rPr>
          <w:rFonts w:ascii="Calibri" w:hAnsi="Calibri" w:cs="Calibri"/>
          <w:sz w:val="24"/>
          <w:szCs w:val="21"/>
        </w:rPr>
        <w:t xml:space="preserve"> pharmacokinetics, acute myeloid leukaemia,</w:t>
      </w:r>
      <w:r>
        <w:rPr>
          <w:rFonts w:ascii="Calibri" w:hAnsi="Calibri" w:cs="Calibri"/>
          <w:sz w:val="24"/>
          <w:szCs w:val="21"/>
        </w:rPr>
        <w:t xml:space="preserve"> </w:t>
      </w:r>
      <w:r w:rsidRPr="00C6462C">
        <w:rPr>
          <w:rFonts w:ascii="Calibri" w:hAnsi="Calibri" w:cs="Calibri"/>
          <w:sz w:val="24"/>
          <w:szCs w:val="21"/>
        </w:rPr>
        <w:t>leukaemia-associated immunophenotype (LAIP), obesity</w:t>
      </w:r>
    </w:p>
    <w:p w14:paraId="25A4FCFE" w14:textId="77777777" w:rsidR="00E1736C" w:rsidRDefault="00E1736C" w:rsidP="00E1736C"/>
    <w:p w14:paraId="5C696DD8" w14:textId="77777777" w:rsidR="00E1736C" w:rsidRDefault="00E1736C" w:rsidP="004D2F57">
      <w:pPr>
        <w:spacing w:after="0" w:line="240" w:lineRule="auto"/>
        <w:jc w:val="both"/>
        <w:rPr>
          <w:rFonts w:cs="Arial"/>
          <w:b/>
          <w:sz w:val="24"/>
          <w:szCs w:val="24"/>
        </w:rPr>
        <w:sectPr w:rsidR="00E1736C">
          <w:pgSz w:w="11906" w:h="16838"/>
          <w:pgMar w:top="1440" w:right="1440" w:bottom="1440" w:left="1440" w:header="708" w:footer="708" w:gutter="0"/>
          <w:cols w:space="708"/>
          <w:docGrid w:linePitch="360"/>
        </w:sectPr>
      </w:pPr>
      <w:bookmarkStart w:id="0" w:name="_GoBack"/>
      <w:bookmarkEnd w:id="0"/>
    </w:p>
    <w:p w14:paraId="51AFA52E" w14:textId="6A8DC91E" w:rsidR="004D2F57" w:rsidRDefault="004D2F57" w:rsidP="004D2F57">
      <w:pPr>
        <w:spacing w:after="0" w:line="240" w:lineRule="auto"/>
        <w:jc w:val="both"/>
        <w:rPr>
          <w:rFonts w:cs="Arial"/>
          <w:b/>
          <w:sz w:val="24"/>
          <w:szCs w:val="24"/>
        </w:rPr>
      </w:pPr>
      <w:r>
        <w:rPr>
          <w:rFonts w:cs="Arial"/>
          <w:b/>
          <w:sz w:val="24"/>
          <w:szCs w:val="24"/>
        </w:rPr>
        <w:lastRenderedPageBreak/>
        <w:t>Introduction</w:t>
      </w:r>
    </w:p>
    <w:p w14:paraId="0E4E9846" w14:textId="77777777" w:rsidR="006B5FE4" w:rsidRDefault="006B5FE4" w:rsidP="00E1196F">
      <w:pPr>
        <w:spacing w:after="0" w:line="240" w:lineRule="auto"/>
        <w:jc w:val="both"/>
        <w:rPr>
          <w:rFonts w:cs="Arial"/>
          <w:sz w:val="24"/>
          <w:szCs w:val="24"/>
        </w:rPr>
      </w:pPr>
    </w:p>
    <w:p w14:paraId="18C8180B" w14:textId="26556850" w:rsidR="007B78E5" w:rsidRDefault="005C5580" w:rsidP="007B78E5">
      <w:pPr>
        <w:spacing w:after="0" w:line="240" w:lineRule="auto"/>
        <w:jc w:val="both"/>
        <w:rPr>
          <w:rFonts w:cs="Arial"/>
          <w:sz w:val="24"/>
          <w:szCs w:val="24"/>
        </w:rPr>
      </w:pPr>
      <w:r>
        <w:rPr>
          <w:rFonts w:cs="Arial"/>
          <w:sz w:val="24"/>
          <w:szCs w:val="24"/>
        </w:rPr>
        <w:t xml:space="preserve">Prediction of response to therapy </w:t>
      </w:r>
      <w:r w:rsidR="00C26741">
        <w:rPr>
          <w:rFonts w:cs="Arial"/>
          <w:sz w:val="24"/>
          <w:szCs w:val="24"/>
        </w:rPr>
        <w:t xml:space="preserve">and risk stratification </w:t>
      </w:r>
      <w:r>
        <w:rPr>
          <w:rFonts w:cs="Arial"/>
          <w:sz w:val="24"/>
          <w:szCs w:val="24"/>
        </w:rPr>
        <w:t xml:space="preserve">is a major goal in the </w:t>
      </w:r>
      <w:r w:rsidR="00C26741">
        <w:rPr>
          <w:rFonts w:cs="Arial"/>
          <w:sz w:val="24"/>
          <w:szCs w:val="24"/>
        </w:rPr>
        <w:t xml:space="preserve">early </w:t>
      </w:r>
      <w:r>
        <w:rPr>
          <w:rFonts w:cs="Arial"/>
          <w:sz w:val="24"/>
          <w:szCs w:val="24"/>
        </w:rPr>
        <w:t xml:space="preserve">treatment of acute myeloid leukaemia (AML). </w:t>
      </w:r>
      <w:r w:rsidR="00A0573C" w:rsidRPr="00CD79AB">
        <w:rPr>
          <w:rFonts w:cs="Arial"/>
          <w:sz w:val="24"/>
          <w:szCs w:val="24"/>
        </w:rPr>
        <w:t>Whilst</w:t>
      </w:r>
      <w:r w:rsidR="00A0573C">
        <w:rPr>
          <w:rFonts w:cs="Arial"/>
          <w:sz w:val="24"/>
          <w:szCs w:val="24"/>
        </w:rPr>
        <w:t xml:space="preserve"> complete</w:t>
      </w:r>
      <w:r w:rsidR="00A0573C" w:rsidRPr="00CD79AB">
        <w:rPr>
          <w:rFonts w:cs="Arial"/>
          <w:sz w:val="24"/>
          <w:szCs w:val="24"/>
        </w:rPr>
        <w:t xml:space="preserve"> remission</w:t>
      </w:r>
      <w:r w:rsidR="00A0573C">
        <w:rPr>
          <w:rFonts w:cs="Arial"/>
          <w:sz w:val="24"/>
          <w:szCs w:val="24"/>
        </w:rPr>
        <w:t xml:space="preserve"> (CR)</w:t>
      </w:r>
      <w:r w:rsidR="00A0573C" w:rsidRPr="00CD79AB">
        <w:rPr>
          <w:rFonts w:cs="Arial"/>
          <w:sz w:val="24"/>
          <w:szCs w:val="24"/>
        </w:rPr>
        <w:t xml:space="preserve"> rates have </w:t>
      </w:r>
      <w:r w:rsidR="00A0573C">
        <w:rPr>
          <w:rFonts w:cs="Arial"/>
          <w:sz w:val="24"/>
          <w:szCs w:val="24"/>
        </w:rPr>
        <w:t>greatly improved</w:t>
      </w:r>
      <w:r w:rsidR="00A0573C" w:rsidRPr="00CD79AB">
        <w:rPr>
          <w:rFonts w:cs="Arial"/>
          <w:sz w:val="24"/>
          <w:szCs w:val="24"/>
        </w:rPr>
        <w:t xml:space="preserve"> in younger </w:t>
      </w:r>
      <w:r w:rsidR="00A0573C">
        <w:rPr>
          <w:rFonts w:cs="Arial"/>
          <w:sz w:val="24"/>
          <w:szCs w:val="24"/>
        </w:rPr>
        <w:t>patients with AML</w:t>
      </w:r>
      <w:r w:rsidR="00A0573C" w:rsidRPr="00CD79AB">
        <w:rPr>
          <w:rFonts w:cs="Arial"/>
          <w:sz w:val="24"/>
          <w:szCs w:val="24"/>
        </w:rPr>
        <w:t xml:space="preserve">, </w:t>
      </w:r>
      <w:r w:rsidR="00A0573C">
        <w:rPr>
          <w:rFonts w:cs="Arial"/>
          <w:sz w:val="24"/>
          <w:szCs w:val="24"/>
        </w:rPr>
        <w:t xml:space="preserve">high relapse rates and poor disease-free survival </w:t>
      </w:r>
      <w:r w:rsidR="00932F80">
        <w:rPr>
          <w:rFonts w:cs="Arial"/>
          <w:sz w:val="24"/>
          <w:szCs w:val="24"/>
        </w:rPr>
        <w:t xml:space="preserve">still </w:t>
      </w:r>
      <w:r w:rsidR="00A0573C">
        <w:rPr>
          <w:rFonts w:cs="Arial"/>
          <w:sz w:val="24"/>
          <w:szCs w:val="24"/>
        </w:rPr>
        <w:t>pos</w:t>
      </w:r>
      <w:r w:rsidR="00932F80">
        <w:rPr>
          <w:rFonts w:cs="Arial"/>
          <w:sz w:val="24"/>
          <w:szCs w:val="24"/>
        </w:rPr>
        <w:t>e</w:t>
      </w:r>
      <w:r w:rsidR="00A0573C">
        <w:rPr>
          <w:rFonts w:cs="Arial"/>
          <w:sz w:val="24"/>
          <w:szCs w:val="24"/>
        </w:rPr>
        <w:t xml:space="preserve"> a significant challenge</w:t>
      </w:r>
      <w:r w:rsidR="00932F80">
        <w:rPr>
          <w:rFonts w:cs="Arial"/>
          <w:sz w:val="24"/>
          <w:szCs w:val="24"/>
        </w:rPr>
        <w:t xml:space="preserve"> </w:t>
      </w:r>
      <w:r w:rsidR="00A0573C" w:rsidRPr="0091635A">
        <w:rPr>
          <w:rFonts w:cs="Arial"/>
          <w:sz w:val="24"/>
          <w:szCs w:val="24"/>
        </w:rPr>
        <w:t xml:space="preserve">(Bose </w:t>
      </w:r>
      <w:r w:rsidR="00A0573C" w:rsidRPr="0091635A">
        <w:rPr>
          <w:rFonts w:cs="Arial"/>
          <w:i/>
          <w:sz w:val="24"/>
          <w:szCs w:val="24"/>
        </w:rPr>
        <w:t>et al</w:t>
      </w:r>
      <w:r w:rsidR="00A0573C" w:rsidRPr="0091635A">
        <w:rPr>
          <w:rFonts w:cs="Arial"/>
          <w:sz w:val="24"/>
          <w:szCs w:val="24"/>
        </w:rPr>
        <w:t>., 2017).</w:t>
      </w:r>
      <w:r w:rsidR="00A0573C">
        <w:rPr>
          <w:rFonts w:cs="Arial"/>
          <w:sz w:val="24"/>
          <w:szCs w:val="24"/>
        </w:rPr>
        <w:t xml:space="preserve"> </w:t>
      </w:r>
      <w:r w:rsidR="00A8525F">
        <w:rPr>
          <w:rFonts w:cs="Arial"/>
          <w:sz w:val="24"/>
          <w:szCs w:val="24"/>
        </w:rPr>
        <w:t xml:space="preserve">The backbone of AML therapy </w:t>
      </w:r>
      <w:r w:rsidR="005B3D9C">
        <w:rPr>
          <w:rFonts w:cs="Arial"/>
          <w:sz w:val="24"/>
          <w:szCs w:val="24"/>
        </w:rPr>
        <w:t>is</w:t>
      </w:r>
      <w:r w:rsidR="00A8525F">
        <w:rPr>
          <w:rFonts w:cs="Arial"/>
          <w:sz w:val="24"/>
          <w:szCs w:val="24"/>
        </w:rPr>
        <w:t xml:space="preserve"> cytarabine (</w:t>
      </w:r>
      <w:proofErr w:type="spellStart"/>
      <w:r w:rsidR="00A8525F">
        <w:rPr>
          <w:rFonts w:cs="Arial"/>
          <w:sz w:val="24"/>
          <w:szCs w:val="24"/>
        </w:rPr>
        <w:t>ara</w:t>
      </w:r>
      <w:proofErr w:type="spellEnd"/>
      <w:r w:rsidR="00A8525F">
        <w:rPr>
          <w:rFonts w:cs="Arial"/>
          <w:sz w:val="24"/>
          <w:szCs w:val="24"/>
        </w:rPr>
        <w:t>-C), given at one of three dosing levels</w:t>
      </w:r>
      <w:r w:rsidR="005B3D9C">
        <w:rPr>
          <w:rFonts w:cs="Arial"/>
          <w:sz w:val="24"/>
          <w:szCs w:val="24"/>
        </w:rPr>
        <w:t>,</w:t>
      </w:r>
      <w:r w:rsidR="00A8525F">
        <w:rPr>
          <w:rFonts w:cs="Arial"/>
          <w:sz w:val="24"/>
          <w:szCs w:val="24"/>
        </w:rPr>
        <w:t xml:space="preserve"> depending on stage of disease (induction or relapse) and patient fitness (intensive or non-intensive therapy). </w:t>
      </w:r>
      <w:r w:rsidR="00C9054E">
        <w:rPr>
          <w:rFonts w:cs="Arial"/>
          <w:sz w:val="24"/>
          <w:szCs w:val="24"/>
        </w:rPr>
        <w:t>Due to rapid commencement of therapy after diagnosis,</w:t>
      </w:r>
      <w:r w:rsidR="00C9054E" w:rsidRPr="00297079">
        <w:rPr>
          <w:rFonts w:cs="Arial"/>
          <w:sz w:val="24"/>
          <w:szCs w:val="24"/>
        </w:rPr>
        <w:t xml:space="preserve"> </w:t>
      </w:r>
      <w:r w:rsidR="00C9054E">
        <w:rPr>
          <w:rFonts w:cs="Arial"/>
          <w:sz w:val="24"/>
          <w:szCs w:val="24"/>
        </w:rPr>
        <w:t>often prior to prognostic information being available, e</w:t>
      </w:r>
      <w:r w:rsidR="00C9054E" w:rsidRPr="00CD79AB">
        <w:rPr>
          <w:rFonts w:cs="Arial"/>
          <w:sz w:val="24"/>
          <w:szCs w:val="24"/>
        </w:rPr>
        <w:t xml:space="preserve">arly assessment </w:t>
      </w:r>
      <w:r w:rsidR="00C9054E">
        <w:rPr>
          <w:rFonts w:cs="Arial"/>
          <w:sz w:val="24"/>
          <w:szCs w:val="24"/>
        </w:rPr>
        <w:t xml:space="preserve">predicting </w:t>
      </w:r>
      <w:r w:rsidR="00C9054E" w:rsidRPr="00CD79AB">
        <w:rPr>
          <w:rFonts w:cs="Arial"/>
          <w:sz w:val="24"/>
          <w:szCs w:val="24"/>
        </w:rPr>
        <w:t xml:space="preserve">response to </w:t>
      </w:r>
      <w:r w:rsidR="00C9054E">
        <w:rPr>
          <w:rFonts w:cs="Arial"/>
          <w:sz w:val="24"/>
          <w:szCs w:val="24"/>
        </w:rPr>
        <w:t>cytarabine</w:t>
      </w:r>
      <w:r w:rsidR="00C9054E" w:rsidRPr="00CD79AB">
        <w:rPr>
          <w:rFonts w:cs="Arial"/>
          <w:sz w:val="24"/>
          <w:szCs w:val="24"/>
        </w:rPr>
        <w:t xml:space="preserve"> </w:t>
      </w:r>
      <w:r w:rsidR="00C9054E">
        <w:rPr>
          <w:rFonts w:cs="Arial"/>
          <w:sz w:val="24"/>
          <w:szCs w:val="24"/>
        </w:rPr>
        <w:t>could be an important</w:t>
      </w:r>
      <w:r w:rsidR="00C9054E" w:rsidRPr="00CD79AB">
        <w:rPr>
          <w:rFonts w:cs="Arial"/>
          <w:sz w:val="24"/>
          <w:szCs w:val="24"/>
        </w:rPr>
        <w:t xml:space="preserve"> clinical decision-making</w:t>
      </w:r>
      <w:r w:rsidR="00C9054E" w:rsidRPr="00A364DF">
        <w:rPr>
          <w:rFonts w:cs="Arial"/>
          <w:sz w:val="24"/>
          <w:szCs w:val="24"/>
        </w:rPr>
        <w:t xml:space="preserve"> </w:t>
      </w:r>
      <w:r w:rsidR="00C9054E" w:rsidRPr="00CD79AB">
        <w:rPr>
          <w:rFonts w:cs="Arial"/>
          <w:sz w:val="24"/>
          <w:szCs w:val="24"/>
        </w:rPr>
        <w:t xml:space="preserve">tool. </w:t>
      </w:r>
      <w:r w:rsidR="00A8525F">
        <w:rPr>
          <w:rFonts w:cs="Arial"/>
          <w:sz w:val="24"/>
          <w:szCs w:val="24"/>
        </w:rPr>
        <w:t xml:space="preserve">The relationship between intracellular </w:t>
      </w:r>
      <w:proofErr w:type="spellStart"/>
      <w:r w:rsidR="00A8525F">
        <w:rPr>
          <w:rFonts w:cs="Arial"/>
          <w:sz w:val="24"/>
          <w:szCs w:val="24"/>
        </w:rPr>
        <w:t>ara</w:t>
      </w:r>
      <w:proofErr w:type="spellEnd"/>
      <w:r w:rsidR="00A8525F">
        <w:rPr>
          <w:rFonts w:cs="Arial"/>
          <w:sz w:val="24"/>
          <w:szCs w:val="24"/>
        </w:rPr>
        <w:t>-CTP accumulation and disease response has long been controversial, with some studies advocating a link (</w:t>
      </w:r>
      <w:proofErr w:type="spellStart"/>
      <w:r w:rsidR="00AB0164">
        <w:rPr>
          <w:rFonts w:cs="Arial"/>
          <w:sz w:val="24"/>
          <w:szCs w:val="24"/>
        </w:rPr>
        <w:t>Rustum</w:t>
      </w:r>
      <w:proofErr w:type="spellEnd"/>
      <w:r w:rsidR="00AB0164">
        <w:rPr>
          <w:rFonts w:cs="Arial"/>
          <w:sz w:val="24"/>
          <w:szCs w:val="24"/>
        </w:rPr>
        <w:t xml:space="preserve"> and </w:t>
      </w:r>
      <w:proofErr w:type="spellStart"/>
      <w:r w:rsidR="00AB0164">
        <w:rPr>
          <w:rFonts w:cs="Arial"/>
          <w:sz w:val="24"/>
          <w:szCs w:val="24"/>
        </w:rPr>
        <w:t>Preisler</w:t>
      </w:r>
      <w:proofErr w:type="spellEnd"/>
      <w:r w:rsidR="00AB0164">
        <w:rPr>
          <w:rFonts w:cs="Arial"/>
          <w:sz w:val="24"/>
          <w:szCs w:val="24"/>
        </w:rPr>
        <w:t>, 1979;</w:t>
      </w:r>
      <w:r w:rsidR="00AB0164" w:rsidRPr="0053750C">
        <w:rPr>
          <w:rFonts w:cs="Arial"/>
          <w:sz w:val="24"/>
          <w:szCs w:val="24"/>
        </w:rPr>
        <w:t xml:space="preserve"> </w:t>
      </w:r>
      <w:r w:rsidR="00A8525F">
        <w:rPr>
          <w:rFonts w:cs="Arial"/>
          <w:sz w:val="24"/>
          <w:szCs w:val="24"/>
        </w:rPr>
        <w:t xml:space="preserve">Karp </w:t>
      </w:r>
      <w:r w:rsidR="00A8525F" w:rsidRPr="00E86FA8">
        <w:rPr>
          <w:rFonts w:cs="Arial"/>
          <w:i/>
          <w:sz w:val="24"/>
          <w:szCs w:val="24"/>
        </w:rPr>
        <w:t>et al</w:t>
      </w:r>
      <w:r w:rsidR="00A8525F">
        <w:rPr>
          <w:rFonts w:cs="Arial"/>
          <w:sz w:val="24"/>
          <w:szCs w:val="24"/>
        </w:rPr>
        <w:t>., 1987) and others dismissing it (</w:t>
      </w:r>
      <w:proofErr w:type="spellStart"/>
      <w:r w:rsidR="00AB0164">
        <w:rPr>
          <w:rFonts w:cs="Arial"/>
          <w:sz w:val="24"/>
          <w:szCs w:val="24"/>
        </w:rPr>
        <w:t>Koehl</w:t>
      </w:r>
      <w:proofErr w:type="spellEnd"/>
      <w:r w:rsidR="00AB0164">
        <w:rPr>
          <w:rFonts w:cs="Arial"/>
          <w:sz w:val="24"/>
          <w:szCs w:val="24"/>
        </w:rPr>
        <w:t xml:space="preserve"> </w:t>
      </w:r>
      <w:r w:rsidR="00AB0164" w:rsidRPr="0053750C">
        <w:rPr>
          <w:rFonts w:cs="Arial"/>
          <w:i/>
          <w:sz w:val="24"/>
          <w:szCs w:val="24"/>
        </w:rPr>
        <w:t>et al</w:t>
      </w:r>
      <w:r w:rsidR="00AB0164">
        <w:rPr>
          <w:rFonts w:cs="Arial"/>
          <w:sz w:val="24"/>
          <w:szCs w:val="24"/>
        </w:rPr>
        <w:t xml:space="preserve">., 2007; </w:t>
      </w:r>
      <w:r w:rsidR="00A8525F">
        <w:rPr>
          <w:rFonts w:cs="Arial"/>
          <w:sz w:val="24"/>
          <w:szCs w:val="24"/>
        </w:rPr>
        <w:t xml:space="preserve">Gruber </w:t>
      </w:r>
      <w:r w:rsidR="00A8525F" w:rsidRPr="00432A40">
        <w:rPr>
          <w:rFonts w:cs="Arial"/>
          <w:i/>
          <w:sz w:val="24"/>
          <w:szCs w:val="24"/>
        </w:rPr>
        <w:t>et al</w:t>
      </w:r>
      <w:r w:rsidR="00A8525F">
        <w:rPr>
          <w:rFonts w:cs="Arial"/>
          <w:sz w:val="24"/>
          <w:szCs w:val="24"/>
        </w:rPr>
        <w:t xml:space="preserve">., 1995). </w:t>
      </w:r>
      <w:r>
        <w:rPr>
          <w:rFonts w:cs="Arial"/>
          <w:sz w:val="24"/>
          <w:szCs w:val="24"/>
        </w:rPr>
        <w:t xml:space="preserve">This </w:t>
      </w:r>
      <w:r w:rsidR="00B91564">
        <w:rPr>
          <w:sz w:val="24"/>
          <w:szCs w:val="24"/>
        </w:rPr>
        <w:t>single-centre</w:t>
      </w:r>
      <w:r w:rsidR="00D53BF8">
        <w:rPr>
          <w:sz w:val="24"/>
          <w:szCs w:val="24"/>
        </w:rPr>
        <w:t>,</w:t>
      </w:r>
      <w:r w:rsidR="00B91564">
        <w:rPr>
          <w:rFonts w:cs="Arial"/>
          <w:sz w:val="24"/>
          <w:szCs w:val="24"/>
        </w:rPr>
        <w:t xml:space="preserve"> </w:t>
      </w:r>
      <w:r w:rsidR="005819D7">
        <w:rPr>
          <w:rFonts w:cs="Arial"/>
          <w:sz w:val="24"/>
          <w:szCs w:val="24"/>
        </w:rPr>
        <w:t xml:space="preserve">observational </w:t>
      </w:r>
      <w:r>
        <w:rPr>
          <w:rFonts w:cs="Arial"/>
          <w:sz w:val="24"/>
          <w:szCs w:val="24"/>
        </w:rPr>
        <w:t xml:space="preserve">study </w:t>
      </w:r>
      <w:r w:rsidR="00F00124">
        <w:rPr>
          <w:rFonts w:cs="Arial"/>
          <w:sz w:val="24"/>
          <w:szCs w:val="24"/>
        </w:rPr>
        <w:t>used</w:t>
      </w:r>
      <w:r w:rsidR="00AB0164">
        <w:rPr>
          <w:rFonts w:cs="Arial"/>
          <w:sz w:val="24"/>
          <w:szCs w:val="24"/>
        </w:rPr>
        <w:t xml:space="preserve"> previously validated </w:t>
      </w:r>
      <w:r w:rsidR="005D03AB">
        <w:rPr>
          <w:rFonts w:cs="Arial"/>
          <w:sz w:val="24"/>
          <w:szCs w:val="24"/>
        </w:rPr>
        <w:t>biosensor</w:t>
      </w:r>
      <w:r w:rsidR="00AB0164">
        <w:rPr>
          <w:rFonts w:cs="Arial"/>
          <w:sz w:val="24"/>
          <w:szCs w:val="24"/>
        </w:rPr>
        <w:t xml:space="preserve"> technology </w:t>
      </w:r>
      <w:r w:rsidR="00AB0164" w:rsidRPr="00432A40">
        <w:rPr>
          <w:rFonts w:cs="Arial"/>
          <w:sz w:val="24"/>
          <w:szCs w:val="24"/>
        </w:rPr>
        <w:t xml:space="preserve">(Anderson </w:t>
      </w:r>
      <w:r w:rsidR="00AB0164" w:rsidRPr="00432A40">
        <w:rPr>
          <w:rFonts w:cs="Arial"/>
          <w:i/>
          <w:sz w:val="24"/>
          <w:szCs w:val="24"/>
        </w:rPr>
        <w:t>et al</w:t>
      </w:r>
      <w:r w:rsidR="00AB0164" w:rsidRPr="00432A40">
        <w:rPr>
          <w:rFonts w:cs="Arial"/>
          <w:sz w:val="24"/>
          <w:szCs w:val="24"/>
        </w:rPr>
        <w:t xml:space="preserve">., 2014) </w:t>
      </w:r>
      <w:r w:rsidR="004B1A59">
        <w:rPr>
          <w:rFonts w:cs="Arial"/>
          <w:sz w:val="24"/>
          <w:szCs w:val="24"/>
        </w:rPr>
        <w:t xml:space="preserve">to </w:t>
      </w:r>
      <w:r>
        <w:rPr>
          <w:rFonts w:cs="Arial"/>
          <w:sz w:val="24"/>
          <w:szCs w:val="24"/>
        </w:rPr>
        <w:t xml:space="preserve">assess </w:t>
      </w:r>
      <w:r w:rsidR="00E1196F">
        <w:rPr>
          <w:rFonts w:cs="Arial"/>
          <w:i/>
          <w:sz w:val="24"/>
          <w:szCs w:val="24"/>
        </w:rPr>
        <w:t>i</w:t>
      </w:r>
      <w:r w:rsidR="00E1196F" w:rsidRPr="00E1196F">
        <w:rPr>
          <w:rFonts w:cs="Arial"/>
          <w:i/>
          <w:sz w:val="24"/>
          <w:szCs w:val="24"/>
        </w:rPr>
        <w:t>n vivo</w:t>
      </w:r>
      <w:r w:rsidR="00E1196F" w:rsidRPr="00E1196F">
        <w:rPr>
          <w:rFonts w:cs="Arial"/>
          <w:sz w:val="24"/>
          <w:szCs w:val="24"/>
        </w:rPr>
        <w:t xml:space="preserve"> intracellular </w:t>
      </w:r>
      <w:proofErr w:type="spellStart"/>
      <w:r w:rsidR="00E1196F" w:rsidRPr="00E1196F">
        <w:rPr>
          <w:rFonts w:cs="Arial"/>
          <w:sz w:val="24"/>
          <w:szCs w:val="24"/>
        </w:rPr>
        <w:t>ara</w:t>
      </w:r>
      <w:proofErr w:type="spellEnd"/>
      <w:r w:rsidR="00E1196F" w:rsidRPr="00E1196F">
        <w:rPr>
          <w:rFonts w:cs="Arial"/>
          <w:sz w:val="24"/>
          <w:szCs w:val="24"/>
        </w:rPr>
        <w:t>-CTP</w:t>
      </w:r>
      <w:r w:rsidR="00E1196F">
        <w:rPr>
          <w:rFonts w:cs="Arial"/>
          <w:sz w:val="24"/>
          <w:szCs w:val="24"/>
        </w:rPr>
        <w:t xml:space="preserve"> concentration</w:t>
      </w:r>
      <w:r w:rsidR="00E1196F" w:rsidRPr="00E1196F">
        <w:rPr>
          <w:rFonts w:cs="Arial"/>
          <w:sz w:val="24"/>
          <w:szCs w:val="24"/>
        </w:rPr>
        <w:t xml:space="preserve"> in ci</w:t>
      </w:r>
      <w:r w:rsidR="00E1196F">
        <w:rPr>
          <w:rFonts w:cs="Arial"/>
          <w:sz w:val="24"/>
          <w:szCs w:val="24"/>
        </w:rPr>
        <w:t xml:space="preserve">rculating blasts </w:t>
      </w:r>
      <w:r w:rsidR="004719EF">
        <w:rPr>
          <w:rFonts w:cs="Arial"/>
          <w:sz w:val="24"/>
          <w:szCs w:val="24"/>
        </w:rPr>
        <w:t xml:space="preserve">over the initial 72 hours </w:t>
      </w:r>
      <w:r w:rsidR="00F00124">
        <w:rPr>
          <w:rFonts w:cs="Arial"/>
          <w:sz w:val="24"/>
          <w:szCs w:val="24"/>
        </w:rPr>
        <w:t>post-treatment. This was used</w:t>
      </w:r>
      <w:r w:rsidR="00E1196F">
        <w:rPr>
          <w:rFonts w:cs="Arial"/>
          <w:sz w:val="24"/>
          <w:szCs w:val="24"/>
        </w:rPr>
        <w:t xml:space="preserve"> to predict </w:t>
      </w:r>
      <w:r w:rsidR="00E1196F" w:rsidRPr="00E1196F">
        <w:rPr>
          <w:rFonts w:cs="Arial"/>
          <w:sz w:val="24"/>
          <w:szCs w:val="24"/>
        </w:rPr>
        <w:t>rem</w:t>
      </w:r>
      <w:r w:rsidR="00E1196F">
        <w:rPr>
          <w:rFonts w:cs="Arial"/>
          <w:sz w:val="24"/>
          <w:szCs w:val="24"/>
        </w:rPr>
        <w:t xml:space="preserve">ission status </w:t>
      </w:r>
      <w:r w:rsidR="004B1A59">
        <w:rPr>
          <w:rFonts w:cs="Arial"/>
          <w:sz w:val="24"/>
          <w:szCs w:val="24"/>
        </w:rPr>
        <w:t>in</w:t>
      </w:r>
      <w:r w:rsidR="00B22827">
        <w:rPr>
          <w:rFonts w:cs="Arial"/>
          <w:sz w:val="24"/>
          <w:szCs w:val="24"/>
        </w:rPr>
        <w:t xml:space="preserve"> </w:t>
      </w:r>
      <w:r>
        <w:rPr>
          <w:rFonts w:cs="Arial"/>
          <w:sz w:val="24"/>
          <w:szCs w:val="24"/>
        </w:rPr>
        <w:t xml:space="preserve">AML patients </w:t>
      </w:r>
      <w:r w:rsidR="004B1A59">
        <w:rPr>
          <w:rFonts w:cs="Arial"/>
          <w:sz w:val="24"/>
          <w:szCs w:val="24"/>
        </w:rPr>
        <w:t>(</w:t>
      </w:r>
      <w:r w:rsidR="004B1A59" w:rsidRPr="00143398">
        <w:rPr>
          <w:rFonts w:cs="Arial"/>
          <w:i/>
          <w:sz w:val="24"/>
          <w:szCs w:val="24"/>
        </w:rPr>
        <w:t>n</w:t>
      </w:r>
      <w:r w:rsidR="004B1A59">
        <w:rPr>
          <w:rFonts w:cs="Arial"/>
          <w:sz w:val="24"/>
          <w:szCs w:val="24"/>
        </w:rPr>
        <w:t xml:space="preserve">=26) </w:t>
      </w:r>
      <w:r>
        <w:rPr>
          <w:rFonts w:cs="Arial"/>
          <w:sz w:val="24"/>
          <w:szCs w:val="24"/>
        </w:rPr>
        <w:t xml:space="preserve">after </w:t>
      </w:r>
      <w:r w:rsidR="00B22827">
        <w:rPr>
          <w:rFonts w:cs="Arial"/>
          <w:sz w:val="24"/>
          <w:szCs w:val="24"/>
        </w:rPr>
        <w:t xml:space="preserve">treatment </w:t>
      </w:r>
      <w:r>
        <w:rPr>
          <w:rFonts w:cs="Arial"/>
          <w:sz w:val="24"/>
          <w:szCs w:val="24"/>
        </w:rPr>
        <w:t xml:space="preserve">with </w:t>
      </w:r>
      <w:r w:rsidR="00B22827">
        <w:rPr>
          <w:rFonts w:cs="Arial"/>
          <w:sz w:val="24"/>
          <w:szCs w:val="24"/>
        </w:rPr>
        <w:t>low</w:t>
      </w:r>
      <w:r w:rsidR="004D083A">
        <w:rPr>
          <w:rFonts w:cs="Arial"/>
          <w:sz w:val="24"/>
          <w:szCs w:val="24"/>
        </w:rPr>
        <w:t>-</w:t>
      </w:r>
      <w:r w:rsidR="004B1A59">
        <w:rPr>
          <w:rFonts w:cs="Arial"/>
          <w:sz w:val="24"/>
          <w:szCs w:val="24"/>
        </w:rPr>
        <w:t>, standard</w:t>
      </w:r>
      <w:r w:rsidR="004D083A">
        <w:rPr>
          <w:rFonts w:cs="Arial"/>
          <w:sz w:val="24"/>
          <w:szCs w:val="24"/>
        </w:rPr>
        <w:t>-</w:t>
      </w:r>
      <w:r w:rsidR="00B22827">
        <w:rPr>
          <w:rFonts w:cs="Arial"/>
          <w:sz w:val="24"/>
          <w:szCs w:val="24"/>
        </w:rPr>
        <w:t xml:space="preserve"> and high</w:t>
      </w:r>
      <w:r w:rsidR="004D083A">
        <w:rPr>
          <w:rFonts w:cs="Arial"/>
          <w:sz w:val="24"/>
          <w:szCs w:val="24"/>
        </w:rPr>
        <w:t>-</w:t>
      </w:r>
      <w:r w:rsidR="00B22827">
        <w:rPr>
          <w:rFonts w:cs="Arial"/>
          <w:sz w:val="24"/>
          <w:szCs w:val="24"/>
        </w:rPr>
        <w:t xml:space="preserve">dose </w:t>
      </w:r>
      <w:r w:rsidR="00AB0164">
        <w:rPr>
          <w:rFonts w:cs="Arial"/>
          <w:sz w:val="24"/>
          <w:szCs w:val="24"/>
        </w:rPr>
        <w:t xml:space="preserve">(LD, SD, HD) </w:t>
      </w:r>
      <w:r w:rsidR="00B22827">
        <w:rPr>
          <w:rFonts w:cs="Arial"/>
          <w:sz w:val="24"/>
          <w:szCs w:val="24"/>
        </w:rPr>
        <w:t>cytarabine</w:t>
      </w:r>
      <w:r>
        <w:rPr>
          <w:rFonts w:cs="Arial"/>
          <w:sz w:val="24"/>
          <w:szCs w:val="24"/>
        </w:rPr>
        <w:t xml:space="preserve">. </w:t>
      </w:r>
    </w:p>
    <w:p w14:paraId="72D5826C" w14:textId="77777777" w:rsidR="00941F58" w:rsidRDefault="00941F58" w:rsidP="007B78E5">
      <w:pPr>
        <w:spacing w:after="0" w:line="240" w:lineRule="auto"/>
        <w:jc w:val="both"/>
        <w:rPr>
          <w:rFonts w:cs="Arial"/>
          <w:b/>
          <w:sz w:val="24"/>
          <w:szCs w:val="24"/>
        </w:rPr>
      </w:pPr>
    </w:p>
    <w:p w14:paraId="10AE9B2B" w14:textId="010D35CC" w:rsidR="006B5FE4" w:rsidRPr="006B5FE4" w:rsidRDefault="006B5FE4" w:rsidP="007B78E5">
      <w:pPr>
        <w:spacing w:after="0" w:line="240" w:lineRule="auto"/>
        <w:jc w:val="both"/>
        <w:rPr>
          <w:rFonts w:cs="Arial"/>
          <w:b/>
          <w:sz w:val="24"/>
          <w:szCs w:val="24"/>
        </w:rPr>
      </w:pPr>
      <w:r w:rsidRPr="006B5FE4">
        <w:rPr>
          <w:rFonts w:cs="Arial"/>
          <w:b/>
          <w:sz w:val="24"/>
          <w:szCs w:val="24"/>
        </w:rPr>
        <w:t>Materials and Methods</w:t>
      </w:r>
    </w:p>
    <w:p w14:paraId="1191F0E2" w14:textId="65B8978B" w:rsidR="006B5FE4" w:rsidRDefault="006B5FE4" w:rsidP="007B78E5">
      <w:pPr>
        <w:spacing w:after="0" w:line="240" w:lineRule="auto"/>
        <w:jc w:val="both"/>
        <w:rPr>
          <w:rFonts w:cs="Arial"/>
          <w:sz w:val="24"/>
          <w:szCs w:val="24"/>
        </w:rPr>
      </w:pPr>
    </w:p>
    <w:p w14:paraId="1766FE0A" w14:textId="77777777" w:rsidR="00F47E77" w:rsidRDefault="00643A24" w:rsidP="00643A24">
      <w:pPr>
        <w:spacing w:after="0" w:line="240" w:lineRule="auto"/>
        <w:jc w:val="both"/>
        <w:rPr>
          <w:i/>
          <w:sz w:val="24"/>
          <w:szCs w:val="24"/>
        </w:rPr>
      </w:pPr>
      <w:r>
        <w:rPr>
          <w:i/>
          <w:sz w:val="24"/>
          <w:szCs w:val="24"/>
        </w:rPr>
        <w:t>Patient samples and dosing</w:t>
      </w:r>
    </w:p>
    <w:p w14:paraId="49031794" w14:textId="5798613A" w:rsidR="00643A24" w:rsidRDefault="00643A24" w:rsidP="00643A24">
      <w:pPr>
        <w:spacing w:after="0" w:line="240" w:lineRule="auto"/>
        <w:jc w:val="both"/>
        <w:rPr>
          <w:rFonts w:cs="Arial"/>
          <w:sz w:val="24"/>
          <w:szCs w:val="24"/>
        </w:rPr>
      </w:pPr>
      <w:r>
        <w:rPr>
          <w:rFonts w:cs="Arial"/>
          <w:sz w:val="24"/>
          <w:szCs w:val="24"/>
        </w:rPr>
        <w:t>S</w:t>
      </w:r>
      <w:r w:rsidRPr="009E2609">
        <w:rPr>
          <w:rFonts w:cs="Arial"/>
          <w:sz w:val="24"/>
          <w:szCs w:val="24"/>
        </w:rPr>
        <w:t>amples were gathered under informed consent (15/WM/0415)</w:t>
      </w:r>
      <w:r>
        <w:rPr>
          <w:rFonts w:cs="Arial"/>
          <w:sz w:val="24"/>
          <w:szCs w:val="24"/>
        </w:rPr>
        <w:t xml:space="preserve"> </w:t>
      </w:r>
      <w:r w:rsidRPr="009E2609">
        <w:rPr>
          <w:rFonts w:cs="Arial"/>
          <w:sz w:val="24"/>
          <w:szCs w:val="24"/>
        </w:rPr>
        <w:t xml:space="preserve">from </w:t>
      </w:r>
      <w:r w:rsidR="00D53BF8">
        <w:rPr>
          <w:rFonts w:cs="Arial"/>
          <w:sz w:val="24"/>
          <w:szCs w:val="24"/>
        </w:rPr>
        <w:t xml:space="preserve">non-M3 AML </w:t>
      </w:r>
      <w:r w:rsidRPr="009E2609">
        <w:rPr>
          <w:rFonts w:cs="Arial"/>
          <w:sz w:val="24"/>
          <w:szCs w:val="24"/>
        </w:rPr>
        <w:t>participants</w:t>
      </w:r>
      <w:r w:rsidR="00D53BF8">
        <w:rPr>
          <w:rFonts w:cs="Arial"/>
          <w:sz w:val="24"/>
          <w:szCs w:val="24"/>
        </w:rPr>
        <w:t xml:space="preserve"> (</w:t>
      </w:r>
      <w:r w:rsidR="00D53BF8">
        <w:rPr>
          <w:rFonts w:cstheme="minorHAnsi"/>
          <w:sz w:val="24"/>
          <w:szCs w:val="24"/>
        </w:rPr>
        <w:t>≥</w:t>
      </w:r>
      <w:r w:rsidR="00D53BF8">
        <w:rPr>
          <w:rFonts w:cs="Arial"/>
          <w:sz w:val="24"/>
          <w:szCs w:val="24"/>
        </w:rPr>
        <w:t>18 years)</w:t>
      </w:r>
      <w:r>
        <w:rPr>
          <w:rFonts w:cs="Arial"/>
          <w:sz w:val="24"/>
          <w:szCs w:val="24"/>
        </w:rPr>
        <w:t xml:space="preserve"> receiving cytarabine therapy (</w:t>
      </w:r>
      <w:r w:rsidRPr="00143398">
        <w:rPr>
          <w:rFonts w:cs="Arial"/>
          <w:i/>
          <w:sz w:val="24"/>
          <w:szCs w:val="24"/>
        </w:rPr>
        <w:t>n</w:t>
      </w:r>
      <w:r>
        <w:rPr>
          <w:rFonts w:cs="Arial"/>
          <w:sz w:val="24"/>
          <w:szCs w:val="24"/>
        </w:rPr>
        <w:t>=26) (Table 1</w:t>
      </w:r>
      <w:r w:rsidRPr="009E2609">
        <w:rPr>
          <w:rFonts w:cs="Arial"/>
          <w:sz w:val="24"/>
          <w:szCs w:val="24"/>
        </w:rPr>
        <w:t>)</w:t>
      </w:r>
      <w:r>
        <w:rPr>
          <w:rFonts w:cs="Arial"/>
          <w:sz w:val="24"/>
          <w:szCs w:val="24"/>
        </w:rPr>
        <w:t xml:space="preserve">. </w:t>
      </w:r>
      <w:r w:rsidRPr="00197EE7">
        <w:rPr>
          <w:rFonts w:cs="Arial"/>
          <w:sz w:val="24"/>
          <w:szCs w:val="24"/>
        </w:rPr>
        <w:t xml:space="preserve">Patients received one of three dosing levels as judged by the Consultant Haematologist according to current </w:t>
      </w:r>
      <w:r w:rsidR="005819D7">
        <w:rPr>
          <w:rFonts w:cs="Arial"/>
          <w:sz w:val="24"/>
          <w:szCs w:val="24"/>
        </w:rPr>
        <w:t>UK</w:t>
      </w:r>
      <w:r w:rsidRPr="00197EE7">
        <w:rPr>
          <w:rFonts w:cs="Arial"/>
          <w:sz w:val="24"/>
          <w:szCs w:val="24"/>
        </w:rPr>
        <w:t xml:space="preserve"> guidelines </w:t>
      </w:r>
      <w:r w:rsidRPr="00F463CA">
        <w:rPr>
          <w:rFonts w:cs="Arial"/>
          <w:sz w:val="24"/>
          <w:szCs w:val="24"/>
        </w:rPr>
        <w:t>(SD: 200 mg/m</w:t>
      </w:r>
      <w:r w:rsidRPr="002C27CC">
        <w:rPr>
          <w:rFonts w:cs="Arial"/>
          <w:sz w:val="24"/>
          <w:szCs w:val="24"/>
          <w:vertAlign w:val="superscript"/>
        </w:rPr>
        <w:t>2</w:t>
      </w:r>
      <w:r w:rsidRPr="00F463CA">
        <w:rPr>
          <w:rFonts w:cs="Arial"/>
          <w:sz w:val="24"/>
          <w:szCs w:val="24"/>
        </w:rPr>
        <w:t xml:space="preserve"> </w:t>
      </w:r>
      <w:r w:rsidR="00ED2EAD">
        <w:rPr>
          <w:rFonts w:cs="Arial"/>
          <w:sz w:val="24"/>
          <w:szCs w:val="24"/>
        </w:rPr>
        <w:t>infused</w:t>
      </w:r>
      <w:r w:rsidRPr="00F463CA">
        <w:rPr>
          <w:rFonts w:cs="Arial"/>
          <w:sz w:val="24"/>
          <w:szCs w:val="24"/>
        </w:rPr>
        <w:t xml:space="preserve"> in divided doses twice daily; HD: 1.5-3 g/m</w:t>
      </w:r>
      <w:r w:rsidRPr="002C27CC">
        <w:rPr>
          <w:rFonts w:cs="Arial"/>
          <w:sz w:val="24"/>
          <w:szCs w:val="24"/>
          <w:vertAlign w:val="superscript"/>
        </w:rPr>
        <w:t>2</w:t>
      </w:r>
      <w:r w:rsidRPr="00F463CA">
        <w:rPr>
          <w:rFonts w:cs="Arial"/>
          <w:sz w:val="24"/>
          <w:szCs w:val="24"/>
        </w:rPr>
        <w:t xml:space="preserve"> </w:t>
      </w:r>
      <w:r w:rsidR="00ED2EAD">
        <w:rPr>
          <w:rFonts w:cs="Arial"/>
          <w:sz w:val="24"/>
          <w:szCs w:val="24"/>
        </w:rPr>
        <w:t>infused</w:t>
      </w:r>
      <w:r w:rsidRPr="00F463CA">
        <w:rPr>
          <w:rFonts w:cs="Arial"/>
          <w:sz w:val="24"/>
          <w:szCs w:val="24"/>
        </w:rPr>
        <w:t xml:space="preserve"> in divided doses twice daily; LD: 20 mg twice daily by subcutaneous injection)</w:t>
      </w:r>
      <w:r>
        <w:rPr>
          <w:rFonts w:cs="Arial"/>
          <w:sz w:val="24"/>
          <w:szCs w:val="24"/>
        </w:rPr>
        <w:t xml:space="preserve"> (Milligan </w:t>
      </w:r>
      <w:r w:rsidRPr="002C27CC">
        <w:rPr>
          <w:rFonts w:cs="Arial"/>
          <w:i/>
          <w:sz w:val="24"/>
          <w:szCs w:val="24"/>
        </w:rPr>
        <w:t>et al.</w:t>
      </w:r>
      <w:r>
        <w:rPr>
          <w:rFonts w:cs="Arial"/>
          <w:sz w:val="24"/>
          <w:szCs w:val="24"/>
        </w:rPr>
        <w:t xml:space="preserve">, 2006). </w:t>
      </w:r>
      <w:r w:rsidRPr="00992F63">
        <w:rPr>
          <w:rFonts w:cs="Arial"/>
          <w:sz w:val="24"/>
          <w:szCs w:val="24"/>
        </w:rPr>
        <w:t xml:space="preserve">Fresh peripheral blood </w:t>
      </w:r>
      <w:r>
        <w:rPr>
          <w:rFonts w:cs="Arial"/>
          <w:sz w:val="24"/>
          <w:szCs w:val="24"/>
        </w:rPr>
        <w:t>samples (</w:t>
      </w:r>
      <w:r>
        <w:rPr>
          <w:rFonts w:cstheme="minorHAnsi"/>
          <w:sz w:val="24"/>
          <w:szCs w:val="24"/>
        </w:rPr>
        <w:t>≤</w:t>
      </w:r>
      <w:r>
        <w:rPr>
          <w:rFonts w:cs="Arial"/>
          <w:sz w:val="24"/>
          <w:szCs w:val="24"/>
        </w:rPr>
        <w:t xml:space="preserve">4 mL) </w:t>
      </w:r>
      <w:r w:rsidRPr="00992F63">
        <w:rPr>
          <w:rFonts w:cs="Arial"/>
          <w:sz w:val="24"/>
          <w:szCs w:val="24"/>
        </w:rPr>
        <w:t xml:space="preserve">were collected </w:t>
      </w:r>
      <w:r w:rsidR="00D53BF8" w:rsidRPr="00992F63">
        <w:rPr>
          <w:rFonts w:cs="Arial"/>
          <w:sz w:val="24"/>
          <w:szCs w:val="24"/>
        </w:rPr>
        <w:t xml:space="preserve">pre-treatment </w:t>
      </w:r>
      <w:r w:rsidR="00D53BF8">
        <w:rPr>
          <w:rFonts w:cs="Arial"/>
          <w:sz w:val="24"/>
          <w:szCs w:val="24"/>
        </w:rPr>
        <w:t>(</w:t>
      </w:r>
      <w:r w:rsidRPr="00992F63">
        <w:rPr>
          <w:rFonts w:cs="Arial"/>
          <w:sz w:val="24"/>
          <w:szCs w:val="24"/>
        </w:rPr>
        <w:t>t=0) and</w:t>
      </w:r>
      <w:r w:rsidR="00D53BF8">
        <w:rPr>
          <w:rFonts w:cs="Arial"/>
          <w:sz w:val="24"/>
          <w:szCs w:val="24"/>
        </w:rPr>
        <w:t xml:space="preserve"> post-treatment commencement (</w:t>
      </w:r>
      <w:r w:rsidRPr="00992F63">
        <w:rPr>
          <w:rFonts w:cs="Arial"/>
          <w:sz w:val="24"/>
          <w:szCs w:val="24"/>
        </w:rPr>
        <w:t>t=2, 4, 8, 12, 24, 48</w:t>
      </w:r>
      <w:r w:rsidR="00D53BF8">
        <w:rPr>
          <w:rFonts w:cs="Arial"/>
          <w:sz w:val="24"/>
          <w:szCs w:val="24"/>
        </w:rPr>
        <w:t>,</w:t>
      </w:r>
      <w:r w:rsidRPr="00992F63">
        <w:rPr>
          <w:rFonts w:cs="Arial"/>
          <w:sz w:val="24"/>
          <w:szCs w:val="24"/>
        </w:rPr>
        <w:t xml:space="preserve"> 72 hours</w:t>
      </w:r>
      <w:r w:rsidR="00C80E1A">
        <w:rPr>
          <w:rFonts w:cs="Arial"/>
          <w:sz w:val="24"/>
          <w:szCs w:val="24"/>
        </w:rPr>
        <w:t xml:space="preserve"> </w:t>
      </w:r>
      <w:r w:rsidR="00C80E1A">
        <w:rPr>
          <w:rFonts w:cstheme="minorHAnsi"/>
          <w:sz w:val="24"/>
          <w:szCs w:val="24"/>
        </w:rPr>
        <w:t xml:space="preserve">±30 </w:t>
      </w:r>
      <w:proofErr w:type="spellStart"/>
      <w:r w:rsidR="00C80E1A">
        <w:rPr>
          <w:rFonts w:cstheme="minorHAnsi"/>
          <w:sz w:val="24"/>
          <w:szCs w:val="24"/>
        </w:rPr>
        <w:t>mins</w:t>
      </w:r>
      <w:proofErr w:type="spellEnd"/>
      <w:r w:rsidR="00D53BF8">
        <w:rPr>
          <w:rFonts w:cs="Arial"/>
          <w:sz w:val="24"/>
          <w:szCs w:val="24"/>
        </w:rPr>
        <w:t>)</w:t>
      </w:r>
      <w:r w:rsidR="005819D7">
        <w:rPr>
          <w:rFonts w:cs="Arial"/>
          <w:sz w:val="24"/>
          <w:szCs w:val="24"/>
        </w:rPr>
        <w:t>, with standard-of-</w:t>
      </w:r>
      <w:r w:rsidRPr="00992F63">
        <w:rPr>
          <w:rFonts w:cs="Arial"/>
          <w:sz w:val="24"/>
          <w:szCs w:val="24"/>
        </w:rPr>
        <w:t xml:space="preserve">care assessment of remission/non-remission status (CR/NR) performed at day 28 as per current </w:t>
      </w:r>
      <w:r w:rsidR="005819D7">
        <w:rPr>
          <w:rFonts w:cs="Arial"/>
          <w:sz w:val="24"/>
          <w:szCs w:val="24"/>
        </w:rPr>
        <w:t xml:space="preserve">UK </w:t>
      </w:r>
      <w:r w:rsidRPr="00992F63">
        <w:rPr>
          <w:rFonts w:cs="Arial"/>
          <w:sz w:val="24"/>
          <w:szCs w:val="24"/>
        </w:rPr>
        <w:t>guidelines.</w:t>
      </w:r>
      <w:r>
        <w:rPr>
          <w:rFonts w:cs="Arial"/>
          <w:sz w:val="24"/>
          <w:szCs w:val="24"/>
        </w:rPr>
        <w:t xml:space="preserve"> </w:t>
      </w:r>
      <w:r>
        <w:rPr>
          <w:sz w:val="24"/>
          <w:szCs w:val="24"/>
        </w:rPr>
        <w:t>Where a sampling time-point coincided with an infusion time-point, the blood sample was removed pre-infusion.</w:t>
      </w:r>
    </w:p>
    <w:p w14:paraId="7CAB7EFE" w14:textId="77777777" w:rsidR="00643A24" w:rsidRDefault="00643A24" w:rsidP="00643A24">
      <w:pPr>
        <w:spacing w:after="0" w:line="240" w:lineRule="auto"/>
        <w:jc w:val="both"/>
        <w:rPr>
          <w:i/>
          <w:sz w:val="24"/>
          <w:szCs w:val="24"/>
        </w:rPr>
      </w:pPr>
    </w:p>
    <w:p w14:paraId="02946B6E" w14:textId="77777777" w:rsidR="00F47E77" w:rsidRDefault="00EB5461" w:rsidP="00EB5461">
      <w:pPr>
        <w:spacing w:after="0" w:line="240" w:lineRule="auto"/>
        <w:jc w:val="both"/>
        <w:rPr>
          <w:i/>
          <w:sz w:val="24"/>
          <w:szCs w:val="24"/>
        </w:rPr>
      </w:pPr>
      <w:r w:rsidRPr="00375C31">
        <w:rPr>
          <w:i/>
          <w:sz w:val="24"/>
          <w:szCs w:val="24"/>
        </w:rPr>
        <w:t>Isolation of primary AML blasts</w:t>
      </w:r>
      <w:r>
        <w:rPr>
          <w:i/>
          <w:sz w:val="24"/>
          <w:szCs w:val="24"/>
        </w:rPr>
        <w:t xml:space="preserve"> &amp; lysate preparation</w:t>
      </w:r>
    </w:p>
    <w:p w14:paraId="45672F1A" w14:textId="0359880D" w:rsidR="00EB5461" w:rsidRPr="00412F27" w:rsidRDefault="006C65A9" w:rsidP="00EB5461">
      <w:pPr>
        <w:spacing w:after="0" w:line="240" w:lineRule="auto"/>
        <w:jc w:val="both"/>
        <w:rPr>
          <w:rFonts w:cs="Arial"/>
          <w:sz w:val="24"/>
          <w:szCs w:val="24"/>
        </w:rPr>
      </w:pPr>
      <w:r>
        <w:rPr>
          <w:rFonts w:cs="Arial"/>
          <w:sz w:val="24"/>
          <w:szCs w:val="24"/>
        </w:rPr>
        <w:t>P</w:t>
      </w:r>
      <w:r w:rsidR="00F463CA">
        <w:rPr>
          <w:rFonts w:cs="Arial"/>
          <w:sz w:val="24"/>
          <w:szCs w:val="24"/>
        </w:rPr>
        <w:t xml:space="preserve">eripheral blood mononuclear cells (PBMC) fractions </w:t>
      </w:r>
      <w:r w:rsidR="00EB5461">
        <w:rPr>
          <w:rFonts w:cs="Arial"/>
          <w:sz w:val="24"/>
          <w:szCs w:val="24"/>
        </w:rPr>
        <w:t xml:space="preserve">were isolated </w:t>
      </w:r>
      <w:r w:rsidR="00D53BF8">
        <w:rPr>
          <w:rFonts w:cs="Arial"/>
          <w:sz w:val="24"/>
          <w:szCs w:val="24"/>
        </w:rPr>
        <w:t xml:space="preserve">from whole blood samples </w:t>
      </w:r>
      <w:r w:rsidR="00EB5461">
        <w:rPr>
          <w:rFonts w:cs="Arial"/>
          <w:sz w:val="24"/>
          <w:szCs w:val="24"/>
        </w:rPr>
        <w:t xml:space="preserve">by density gradient </w:t>
      </w:r>
      <w:r w:rsidR="00EB5461" w:rsidRPr="00412F27">
        <w:rPr>
          <w:rFonts w:cs="Arial"/>
          <w:sz w:val="24"/>
          <w:szCs w:val="24"/>
        </w:rPr>
        <w:t>centrifugation</w:t>
      </w:r>
      <w:r w:rsidR="00D53BF8" w:rsidRPr="00412F27">
        <w:rPr>
          <w:rFonts w:cs="Arial"/>
          <w:sz w:val="24"/>
          <w:szCs w:val="24"/>
        </w:rPr>
        <w:t xml:space="preserve"> (</w:t>
      </w:r>
      <w:proofErr w:type="spellStart"/>
      <w:r w:rsidR="00D53BF8" w:rsidRPr="00412F27">
        <w:rPr>
          <w:rFonts w:cs="Arial"/>
          <w:sz w:val="24"/>
          <w:szCs w:val="24"/>
        </w:rPr>
        <w:t>Histopaque</w:t>
      </w:r>
      <w:proofErr w:type="spellEnd"/>
      <w:r w:rsidR="00D53BF8" w:rsidRPr="00412F27">
        <w:rPr>
          <w:rFonts w:cstheme="minorHAnsi"/>
          <w:sz w:val="24"/>
          <w:szCs w:val="24"/>
        </w:rPr>
        <w:t>®-1077</w:t>
      </w:r>
      <w:r w:rsidR="00412F27" w:rsidRPr="00412F27">
        <w:rPr>
          <w:rFonts w:cstheme="minorHAnsi"/>
          <w:sz w:val="24"/>
          <w:szCs w:val="24"/>
        </w:rPr>
        <w:t>, Sigma-Aldrich, Gillingham, UK</w:t>
      </w:r>
      <w:r w:rsidR="00D53BF8" w:rsidRPr="00412F27">
        <w:rPr>
          <w:rFonts w:cs="Arial"/>
          <w:sz w:val="24"/>
          <w:szCs w:val="24"/>
        </w:rPr>
        <w:t>) within 1 hour of withdrawal. PBMCs were pelleted at 300</w:t>
      </w:r>
      <w:r w:rsidR="00D53BF8" w:rsidRPr="00412F27">
        <w:rPr>
          <w:rFonts w:cs="Arial"/>
          <w:i/>
          <w:sz w:val="24"/>
          <w:szCs w:val="24"/>
        </w:rPr>
        <w:t>x</w:t>
      </w:r>
      <w:r w:rsidR="00D53BF8" w:rsidRPr="00412F27">
        <w:rPr>
          <w:rFonts w:cs="Arial"/>
          <w:sz w:val="24"/>
          <w:szCs w:val="24"/>
        </w:rPr>
        <w:t xml:space="preserve">g (5 </w:t>
      </w:r>
      <w:proofErr w:type="spellStart"/>
      <w:r w:rsidR="00D53BF8" w:rsidRPr="00412F27">
        <w:rPr>
          <w:rFonts w:cs="Arial"/>
          <w:sz w:val="24"/>
          <w:szCs w:val="24"/>
        </w:rPr>
        <w:t>mins</w:t>
      </w:r>
      <w:proofErr w:type="spellEnd"/>
      <w:r w:rsidR="00D53BF8" w:rsidRPr="00412F27">
        <w:rPr>
          <w:rFonts w:cs="Arial"/>
          <w:sz w:val="24"/>
          <w:szCs w:val="24"/>
        </w:rPr>
        <w:t>)</w:t>
      </w:r>
      <w:r w:rsidR="00232488" w:rsidRPr="00412F27">
        <w:rPr>
          <w:rFonts w:cs="Arial"/>
          <w:sz w:val="24"/>
          <w:szCs w:val="24"/>
        </w:rPr>
        <w:t>,</w:t>
      </w:r>
      <w:r w:rsidR="00D53BF8" w:rsidRPr="00412F27">
        <w:rPr>
          <w:rFonts w:cs="Arial"/>
          <w:sz w:val="24"/>
          <w:szCs w:val="24"/>
        </w:rPr>
        <w:t xml:space="preserve"> washed in RPMI 1640 medium (10 mL)</w:t>
      </w:r>
      <w:r w:rsidR="00232488" w:rsidRPr="00412F27">
        <w:rPr>
          <w:rFonts w:cs="Arial"/>
          <w:sz w:val="24"/>
          <w:szCs w:val="24"/>
        </w:rPr>
        <w:t xml:space="preserve">, </w:t>
      </w:r>
      <w:r w:rsidR="00643A24" w:rsidRPr="00412F27">
        <w:rPr>
          <w:rFonts w:cs="Arial"/>
          <w:sz w:val="24"/>
          <w:szCs w:val="24"/>
        </w:rPr>
        <w:t xml:space="preserve">re-suspended in red cell lysis buffer (0.15 </w:t>
      </w:r>
      <w:proofErr w:type="spellStart"/>
      <w:r w:rsidR="00643A24" w:rsidRPr="00412F27">
        <w:rPr>
          <w:rFonts w:cs="Arial"/>
          <w:sz w:val="24"/>
          <w:szCs w:val="24"/>
        </w:rPr>
        <w:t>mM</w:t>
      </w:r>
      <w:proofErr w:type="spellEnd"/>
      <w:r w:rsidR="00643A24" w:rsidRPr="00412F27">
        <w:rPr>
          <w:rFonts w:cs="Arial"/>
          <w:sz w:val="24"/>
          <w:szCs w:val="24"/>
        </w:rPr>
        <w:t xml:space="preserve"> ammonium chloride, 0.01 </w:t>
      </w:r>
      <w:proofErr w:type="spellStart"/>
      <w:r w:rsidR="00643A24" w:rsidRPr="00412F27">
        <w:rPr>
          <w:rFonts w:cs="Arial"/>
          <w:sz w:val="24"/>
          <w:szCs w:val="24"/>
        </w:rPr>
        <w:t>mM</w:t>
      </w:r>
      <w:proofErr w:type="spellEnd"/>
      <w:r w:rsidR="00643A24" w:rsidRPr="00412F27">
        <w:rPr>
          <w:rFonts w:cs="Arial"/>
          <w:sz w:val="24"/>
          <w:szCs w:val="24"/>
        </w:rPr>
        <w:t xml:space="preserve"> potassium bicarbonate, 0.001 </w:t>
      </w:r>
      <w:proofErr w:type="spellStart"/>
      <w:r w:rsidR="00643A24" w:rsidRPr="00412F27">
        <w:rPr>
          <w:rFonts w:cs="Arial"/>
          <w:sz w:val="24"/>
          <w:szCs w:val="24"/>
        </w:rPr>
        <w:t>mM</w:t>
      </w:r>
      <w:proofErr w:type="spellEnd"/>
      <w:r w:rsidR="00643A24" w:rsidRPr="00412F27">
        <w:rPr>
          <w:rFonts w:cs="Arial"/>
          <w:sz w:val="24"/>
          <w:szCs w:val="24"/>
        </w:rPr>
        <w:t xml:space="preserve"> EDTA, pH7.2-</w:t>
      </w:r>
      <w:r w:rsidR="00C80E1A" w:rsidRPr="00412F27">
        <w:rPr>
          <w:rFonts w:cs="Arial"/>
          <w:sz w:val="24"/>
          <w:szCs w:val="24"/>
        </w:rPr>
        <w:t xml:space="preserve">7.4) for 5 </w:t>
      </w:r>
      <w:proofErr w:type="spellStart"/>
      <w:r w:rsidR="00C80E1A" w:rsidRPr="00412F27">
        <w:rPr>
          <w:rFonts w:cs="Arial"/>
          <w:sz w:val="24"/>
          <w:szCs w:val="24"/>
        </w:rPr>
        <w:t>min</w:t>
      </w:r>
      <w:r w:rsidR="00643A24" w:rsidRPr="00412F27">
        <w:rPr>
          <w:rFonts w:cs="Arial"/>
          <w:sz w:val="24"/>
          <w:szCs w:val="24"/>
        </w:rPr>
        <w:t>s</w:t>
      </w:r>
      <w:proofErr w:type="spellEnd"/>
      <w:r w:rsidR="00232488" w:rsidRPr="00412F27">
        <w:rPr>
          <w:rFonts w:cs="Arial"/>
          <w:sz w:val="24"/>
          <w:szCs w:val="24"/>
        </w:rPr>
        <w:t>,</w:t>
      </w:r>
      <w:r w:rsidRPr="00412F27">
        <w:rPr>
          <w:rFonts w:cs="Arial"/>
          <w:sz w:val="24"/>
          <w:szCs w:val="24"/>
        </w:rPr>
        <w:t xml:space="preserve"> and</w:t>
      </w:r>
      <w:r w:rsidR="00643A24" w:rsidRPr="00412F27">
        <w:rPr>
          <w:rFonts w:cs="Arial"/>
          <w:sz w:val="24"/>
          <w:szCs w:val="24"/>
        </w:rPr>
        <w:t xml:space="preserve"> washed in RPMI 1640 medium (without phenol red) (</w:t>
      </w:r>
      <w:r w:rsidR="00D53BF8" w:rsidRPr="00412F27">
        <w:rPr>
          <w:rFonts w:cs="Arial"/>
          <w:sz w:val="24"/>
          <w:szCs w:val="24"/>
        </w:rPr>
        <w:t>10 mL</w:t>
      </w:r>
      <w:r w:rsidR="00643A24" w:rsidRPr="00412F27">
        <w:rPr>
          <w:rFonts w:cs="Arial"/>
          <w:sz w:val="24"/>
          <w:szCs w:val="24"/>
        </w:rPr>
        <w:t>)</w:t>
      </w:r>
      <w:r w:rsidR="00D53BF8" w:rsidRPr="00412F27">
        <w:rPr>
          <w:rFonts w:cs="Arial"/>
          <w:sz w:val="24"/>
          <w:szCs w:val="24"/>
        </w:rPr>
        <w:t>.</w:t>
      </w:r>
      <w:r w:rsidRPr="00412F27">
        <w:rPr>
          <w:rFonts w:cs="Arial"/>
          <w:sz w:val="24"/>
          <w:szCs w:val="24"/>
        </w:rPr>
        <w:t xml:space="preserve"> </w:t>
      </w:r>
      <w:r w:rsidR="00D53BF8" w:rsidRPr="00412F27">
        <w:rPr>
          <w:rFonts w:cs="Arial"/>
          <w:sz w:val="24"/>
          <w:szCs w:val="24"/>
        </w:rPr>
        <w:t>L</w:t>
      </w:r>
      <w:r w:rsidR="00EB5461" w:rsidRPr="00412F27">
        <w:rPr>
          <w:rFonts w:cs="Arial"/>
          <w:sz w:val="24"/>
          <w:szCs w:val="24"/>
        </w:rPr>
        <w:t>ysate</w:t>
      </w:r>
      <w:r w:rsidR="00643A24" w:rsidRPr="00412F27">
        <w:rPr>
          <w:rFonts w:cs="Arial"/>
          <w:sz w:val="24"/>
          <w:szCs w:val="24"/>
        </w:rPr>
        <w:t>s</w:t>
      </w:r>
      <w:r w:rsidR="00EB5461" w:rsidRPr="00412F27">
        <w:rPr>
          <w:rFonts w:cs="Arial"/>
          <w:sz w:val="24"/>
          <w:szCs w:val="24"/>
        </w:rPr>
        <w:t xml:space="preserve"> </w:t>
      </w:r>
      <w:r w:rsidR="00D53BF8" w:rsidRPr="00412F27">
        <w:rPr>
          <w:rFonts w:cs="Arial"/>
          <w:sz w:val="24"/>
          <w:szCs w:val="24"/>
        </w:rPr>
        <w:t xml:space="preserve">were </w:t>
      </w:r>
      <w:r w:rsidR="00EB5461" w:rsidRPr="00412F27">
        <w:rPr>
          <w:rFonts w:cs="Arial"/>
          <w:sz w:val="24"/>
          <w:szCs w:val="24"/>
        </w:rPr>
        <w:t>prepar</w:t>
      </w:r>
      <w:r w:rsidR="00643A24" w:rsidRPr="00412F27">
        <w:rPr>
          <w:rFonts w:cs="Arial"/>
          <w:sz w:val="24"/>
          <w:szCs w:val="24"/>
        </w:rPr>
        <w:t xml:space="preserve">ed </w:t>
      </w:r>
      <w:r w:rsidRPr="00412F27">
        <w:rPr>
          <w:rFonts w:cs="Arial"/>
          <w:sz w:val="24"/>
          <w:szCs w:val="24"/>
        </w:rPr>
        <w:t>and</w:t>
      </w:r>
      <w:r w:rsidR="00F463CA" w:rsidRPr="00412F27">
        <w:rPr>
          <w:rFonts w:cs="Arial"/>
          <w:sz w:val="24"/>
          <w:szCs w:val="24"/>
        </w:rPr>
        <w:t xml:space="preserve"> </w:t>
      </w:r>
      <w:r w:rsidR="00EB5461" w:rsidRPr="00412F27">
        <w:rPr>
          <w:rFonts w:cs="Arial"/>
          <w:sz w:val="24"/>
          <w:szCs w:val="24"/>
        </w:rPr>
        <w:t>stored at -80</w:t>
      </w:r>
      <w:r w:rsidR="00EB5461" w:rsidRPr="00412F27">
        <w:rPr>
          <w:rFonts w:cs="Arial"/>
          <w:sz w:val="24"/>
          <w:szCs w:val="24"/>
        </w:rPr>
        <w:sym w:font="Symbol" w:char="F0B0"/>
      </w:r>
      <w:r w:rsidR="00EB5461" w:rsidRPr="00412F27">
        <w:rPr>
          <w:rFonts w:cs="Arial"/>
          <w:sz w:val="24"/>
          <w:szCs w:val="24"/>
        </w:rPr>
        <w:t>C until biosensor analysis</w:t>
      </w:r>
      <w:r w:rsidR="00643A24" w:rsidRPr="00412F27">
        <w:rPr>
          <w:rFonts w:cs="Arial"/>
          <w:sz w:val="24"/>
          <w:szCs w:val="24"/>
        </w:rPr>
        <w:t xml:space="preserve"> as per </w:t>
      </w:r>
      <w:proofErr w:type="spellStart"/>
      <w:r w:rsidR="00643A24" w:rsidRPr="00412F27">
        <w:rPr>
          <w:rFonts w:cs="Arial"/>
          <w:sz w:val="24"/>
          <w:szCs w:val="24"/>
        </w:rPr>
        <w:t>Alloush</w:t>
      </w:r>
      <w:proofErr w:type="spellEnd"/>
      <w:r w:rsidR="00643A24" w:rsidRPr="00412F27">
        <w:rPr>
          <w:rFonts w:cs="Arial"/>
          <w:sz w:val="24"/>
          <w:szCs w:val="24"/>
        </w:rPr>
        <w:t xml:space="preserve"> </w:t>
      </w:r>
      <w:r w:rsidR="00643A24" w:rsidRPr="00412F27">
        <w:rPr>
          <w:rFonts w:cs="Arial"/>
          <w:i/>
          <w:sz w:val="24"/>
          <w:szCs w:val="24"/>
        </w:rPr>
        <w:t>et al</w:t>
      </w:r>
      <w:r w:rsidR="00643A24" w:rsidRPr="00412F27">
        <w:rPr>
          <w:rFonts w:cs="Arial"/>
          <w:sz w:val="24"/>
          <w:szCs w:val="24"/>
        </w:rPr>
        <w:t>. (2010)</w:t>
      </w:r>
      <w:r w:rsidR="00232488" w:rsidRPr="00412F27">
        <w:rPr>
          <w:rFonts w:cs="Arial"/>
          <w:sz w:val="24"/>
          <w:szCs w:val="24"/>
        </w:rPr>
        <w:t>.</w:t>
      </w:r>
    </w:p>
    <w:p w14:paraId="2B0FB73E" w14:textId="0669A514" w:rsidR="00EB5461" w:rsidRPr="00412F27" w:rsidRDefault="00EB5461" w:rsidP="00EB5461">
      <w:pPr>
        <w:spacing w:after="0" w:line="240" w:lineRule="auto"/>
        <w:jc w:val="both"/>
        <w:rPr>
          <w:i/>
          <w:sz w:val="24"/>
          <w:szCs w:val="24"/>
        </w:rPr>
      </w:pPr>
    </w:p>
    <w:p w14:paraId="24336467" w14:textId="77777777" w:rsidR="00F47E77" w:rsidRPr="00412F27" w:rsidRDefault="00EB5461" w:rsidP="00EB5461">
      <w:pPr>
        <w:spacing w:after="0" w:line="240" w:lineRule="auto"/>
        <w:jc w:val="both"/>
        <w:rPr>
          <w:rFonts w:cs="Arial"/>
          <w:i/>
          <w:sz w:val="24"/>
          <w:szCs w:val="24"/>
        </w:rPr>
      </w:pPr>
      <w:r w:rsidRPr="00412F27">
        <w:rPr>
          <w:rFonts w:cs="Arial"/>
          <w:i/>
          <w:sz w:val="24"/>
          <w:szCs w:val="24"/>
        </w:rPr>
        <w:t>Flow cytometry</w:t>
      </w:r>
    </w:p>
    <w:p w14:paraId="1F4F61F0" w14:textId="1EFB27D2" w:rsidR="00EB5461" w:rsidRPr="00412F27" w:rsidRDefault="00EB5461" w:rsidP="00EB5461">
      <w:pPr>
        <w:spacing w:after="0" w:line="240" w:lineRule="auto"/>
        <w:jc w:val="both"/>
        <w:rPr>
          <w:rFonts w:cs="Arial"/>
          <w:sz w:val="24"/>
          <w:szCs w:val="24"/>
        </w:rPr>
      </w:pPr>
      <w:r w:rsidRPr="00412F27">
        <w:rPr>
          <w:sz w:val="24"/>
          <w:szCs w:val="24"/>
        </w:rPr>
        <w:t>Leukaemia-associated immunophenotype (</w:t>
      </w:r>
      <w:r w:rsidRPr="00412F27">
        <w:rPr>
          <w:rFonts w:cs="Arial"/>
          <w:sz w:val="24"/>
          <w:szCs w:val="24"/>
        </w:rPr>
        <w:t xml:space="preserve">LAIP)-positive absolute counts were determined on baseline peripheral blood, and every 24 hours thereafter for 72 hours. Clearance of peripheral blasts was calculated by conversion of daily blast count to logarithmic scale, and subtraction from baseline. </w:t>
      </w:r>
    </w:p>
    <w:p w14:paraId="1DA3D379" w14:textId="77777777" w:rsidR="00643A24" w:rsidRPr="00412F27" w:rsidRDefault="00643A24" w:rsidP="00643A24">
      <w:pPr>
        <w:spacing w:after="0" w:line="240" w:lineRule="auto"/>
        <w:jc w:val="both"/>
        <w:rPr>
          <w:i/>
          <w:sz w:val="24"/>
          <w:szCs w:val="24"/>
        </w:rPr>
      </w:pPr>
    </w:p>
    <w:p w14:paraId="2FEA5D80" w14:textId="77777777" w:rsidR="00F47E77" w:rsidRPr="00412F27" w:rsidRDefault="00643A24" w:rsidP="00643A24">
      <w:pPr>
        <w:spacing w:after="0" w:line="240" w:lineRule="auto"/>
        <w:jc w:val="both"/>
        <w:rPr>
          <w:i/>
          <w:sz w:val="24"/>
          <w:szCs w:val="24"/>
        </w:rPr>
      </w:pPr>
      <w:r w:rsidRPr="00412F27">
        <w:rPr>
          <w:i/>
          <w:sz w:val="24"/>
          <w:szCs w:val="24"/>
        </w:rPr>
        <w:t>Prepara</w:t>
      </w:r>
      <w:r w:rsidR="00F47E77" w:rsidRPr="00412F27">
        <w:rPr>
          <w:i/>
          <w:sz w:val="24"/>
          <w:szCs w:val="24"/>
        </w:rPr>
        <w:t xml:space="preserve">tion of </w:t>
      </w:r>
      <w:proofErr w:type="spellStart"/>
      <w:r w:rsidR="00F47E77" w:rsidRPr="00412F27">
        <w:rPr>
          <w:i/>
          <w:sz w:val="24"/>
          <w:szCs w:val="24"/>
        </w:rPr>
        <w:t>ara</w:t>
      </w:r>
      <w:proofErr w:type="spellEnd"/>
      <w:r w:rsidR="00F47E77" w:rsidRPr="00412F27">
        <w:rPr>
          <w:i/>
          <w:sz w:val="24"/>
          <w:szCs w:val="24"/>
        </w:rPr>
        <w:t>-CTP standard curves</w:t>
      </w:r>
    </w:p>
    <w:p w14:paraId="1BB26704" w14:textId="4C64360D" w:rsidR="00643A24" w:rsidRPr="00412F27" w:rsidRDefault="00F47E77" w:rsidP="00643A24">
      <w:pPr>
        <w:spacing w:after="0" w:line="240" w:lineRule="auto"/>
        <w:jc w:val="both"/>
        <w:rPr>
          <w:sz w:val="24"/>
          <w:szCs w:val="24"/>
        </w:rPr>
      </w:pPr>
      <w:proofErr w:type="spellStart"/>
      <w:r w:rsidRPr="00412F27">
        <w:rPr>
          <w:sz w:val="24"/>
          <w:szCs w:val="24"/>
        </w:rPr>
        <w:t>A</w:t>
      </w:r>
      <w:r w:rsidR="00643A24" w:rsidRPr="00412F27">
        <w:rPr>
          <w:sz w:val="24"/>
          <w:szCs w:val="24"/>
        </w:rPr>
        <w:t>ra</w:t>
      </w:r>
      <w:proofErr w:type="spellEnd"/>
      <w:r w:rsidR="00643A24" w:rsidRPr="00412F27">
        <w:rPr>
          <w:sz w:val="24"/>
          <w:szCs w:val="24"/>
        </w:rPr>
        <w:t xml:space="preserve">-CTP stock solution </w:t>
      </w:r>
      <w:r w:rsidR="0027113D" w:rsidRPr="00412F27">
        <w:rPr>
          <w:sz w:val="24"/>
          <w:szCs w:val="24"/>
        </w:rPr>
        <w:t xml:space="preserve">(10 </w:t>
      </w:r>
      <w:proofErr w:type="spellStart"/>
      <w:r w:rsidR="0027113D" w:rsidRPr="00412F27">
        <w:rPr>
          <w:sz w:val="24"/>
          <w:szCs w:val="24"/>
        </w:rPr>
        <w:t>mM</w:t>
      </w:r>
      <w:proofErr w:type="spellEnd"/>
      <w:r w:rsidR="0027113D" w:rsidRPr="00412F27">
        <w:rPr>
          <w:sz w:val="24"/>
          <w:szCs w:val="24"/>
        </w:rPr>
        <w:t>, Jena Biosciences</w:t>
      </w:r>
      <w:r w:rsidR="00412F27" w:rsidRPr="00412F27">
        <w:rPr>
          <w:sz w:val="24"/>
          <w:szCs w:val="24"/>
        </w:rPr>
        <w:t>, Jena, Germany</w:t>
      </w:r>
      <w:r w:rsidR="00643A24" w:rsidRPr="00412F27">
        <w:rPr>
          <w:sz w:val="24"/>
          <w:szCs w:val="24"/>
        </w:rPr>
        <w:t xml:space="preserve">) was diluted (0-0.5 µM) in cell lysate as per </w:t>
      </w:r>
      <w:proofErr w:type="spellStart"/>
      <w:r w:rsidR="00643A24" w:rsidRPr="00412F27">
        <w:rPr>
          <w:sz w:val="24"/>
          <w:szCs w:val="24"/>
        </w:rPr>
        <w:t>Alloush</w:t>
      </w:r>
      <w:proofErr w:type="spellEnd"/>
      <w:r w:rsidR="00643A24" w:rsidRPr="00412F27">
        <w:rPr>
          <w:sz w:val="24"/>
          <w:szCs w:val="24"/>
        </w:rPr>
        <w:t xml:space="preserve"> </w:t>
      </w:r>
      <w:r w:rsidR="00643A24" w:rsidRPr="00412F27">
        <w:rPr>
          <w:i/>
          <w:sz w:val="24"/>
          <w:szCs w:val="24"/>
        </w:rPr>
        <w:t>et al</w:t>
      </w:r>
      <w:r w:rsidR="00643A24" w:rsidRPr="00412F27">
        <w:rPr>
          <w:sz w:val="24"/>
          <w:szCs w:val="24"/>
        </w:rPr>
        <w:t>. (2010).</w:t>
      </w:r>
      <w:r w:rsidR="00EF134C" w:rsidRPr="00412F27">
        <w:rPr>
          <w:sz w:val="24"/>
          <w:szCs w:val="24"/>
        </w:rPr>
        <w:t xml:space="preserve"> </w:t>
      </w:r>
      <w:bookmarkStart w:id="1" w:name="OLE_LINK2"/>
      <w:r w:rsidR="00412F27">
        <w:rPr>
          <w:sz w:val="24"/>
          <w:szCs w:val="24"/>
        </w:rPr>
        <w:t>L</w:t>
      </w:r>
      <w:r w:rsidR="00EF134C" w:rsidRPr="00412F27">
        <w:rPr>
          <w:sz w:val="24"/>
          <w:szCs w:val="24"/>
        </w:rPr>
        <w:t>imit</w:t>
      </w:r>
      <w:r w:rsidR="00412F27">
        <w:rPr>
          <w:sz w:val="24"/>
          <w:szCs w:val="24"/>
        </w:rPr>
        <w:t>s</w:t>
      </w:r>
      <w:r w:rsidR="00EF134C" w:rsidRPr="00412F27">
        <w:rPr>
          <w:sz w:val="24"/>
          <w:szCs w:val="24"/>
        </w:rPr>
        <w:t xml:space="preserve"> of detection (LOD) and quantitation (LOQ) were calculated</w:t>
      </w:r>
      <w:r w:rsidR="00BC04CC" w:rsidRPr="00412F27">
        <w:rPr>
          <w:sz w:val="24"/>
          <w:szCs w:val="24"/>
        </w:rPr>
        <w:t xml:space="preserve"> </w:t>
      </w:r>
      <w:r w:rsidR="00EF134C" w:rsidRPr="00412F27">
        <w:rPr>
          <w:sz w:val="24"/>
          <w:szCs w:val="24"/>
        </w:rPr>
        <w:t xml:space="preserve">from the standard deviation </w:t>
      </w:r>
      <w:r w:rsidR="0061262F" w:rsidRPr="00412F27">
        <w:rPr>
          <w:sz w:val="24"/>
          <w:szCs w:val="24"/>
        </w:rPr>
        <w:t xml:space="preserve">of the blank </w:t>
      </w:r>
      <w:r w:rsidR="00BC04CC" w:rsidRPr="00412F27">
        <w:rPr>
          <w:sz w:val="24"/>
          <w:szCs w:val="24"/>
        </w:rPr>
        <w:t>(</w:t>
      </w:r>
      <w:r w:rsidR="00BC04CC" w:rsidRPr="00412F27">
        <w:rPr>
          <w:i/>
          <w:sz w:val="24"/>
          <w:szCs w:val="24"/>
        </w:rPr>
        <w:t>n</w:t>
      </w:r>
      <w:r w:rsidR="000028F9" w:rsidRPr="00412F27">
        <w:rPr>
          <w:sz w:val="24"/>
          <w:szCs w:val="24"/>
        </w:rPr>
        <w:t>=6</w:t>
      </w:r>
      <w:r w:rsidR="00BC04CC" w:rsidRPr="00412F27">
        <w:rPr>
          <w:sz w:val="24"/>
          <w:szCs w:val="24"/>
        </w:rPr>
        <w:t xml:space="preserve">) </w:t>
      </w:r>
      <w:r w:rsidR="00EF134C" w:rsidRPr="00412F27">
        <w:rPr>
          <w:sz w:val="24"/>
          <w:szCs w:val="24"/>
        </w:rPr>
        <w:t xml:space="preserve">as </w:t>
      </w:r>
      <w:r w:rsidR="00412F27">
        <w:rPr>
          <w:sz w:val="24"/>
          <w:szCs w:val="24"/>
        </w:rPr>
        <w:t>per</w:t>
      </w:r>
      <w:r w:rsidR="00EF134C" w:rsidRPr="00412F27">
        <w:rPr>
          <w:sz w:val="24"/>
          <w:szCs w:val="24"/>
        </w:rPr>
        <w:t xml:space="preserve"> </w:t>
      </w:r>
      <w:proofErr w:type="spellStart"/>
      <w:r w:rsidR="00EF134C" w:rsidRPr="00412F27">
        <w:rPr>
          <w:sz w:val="24"/>
          <w:szCs w:val="24"/>
        </w:rPr>
        <w:t>Shrivastava</w:t>
      </w:r>
      <w:proofErr w:type="spellEnd"/>
      <w:r w:rsidR="00EF134C" w:rsidRPr="00412F27">
        <w:rPr>
          <w:sz w:val="24"/>
          <w:szCs w:val="24"/>
        </w:rPr>
        <w:t xml:space="preserve"> </w:t>
      </w:r>
      <w:r w:rsidR="00BC04CC" w:rsidRPr="00412F27">
        <w:rPr>
          <w:i/>
          <w:sz w:val="24"/>
          <w:szCs w:val="24"/>
        </w:rPr>
        <w:t>et al</w:t>
      </w:r>
      <w:r w:rsidR="00BC04CC" w:rsidRPr="00412F27">
        <w:rPr>
          <w:sz w:val="24"/>
          <w:szCs w:val="24"/>
        </w:rPr>
        <w:t>.</w:t>
      </w:r>
      <w:r w:rsidR="00EF134C" w:rsidRPr="00412F27">
        <w:rPr>
          <w:sz w:val="24"/>
          <w:szCs w:val="24"/>
        </w:rPr>
        <w:t xml:space="preserve"> (2011).</w:t>
      </w:r>
      <w:r w:rsidR="00C12AF0" w:rsidRPr="00412F27">
        <w:rPr>
          <w:sz w:val="24"/>
          <w:szCs w:val="24"/>
        </w:rPr>
        <w:t xml:space="preserve"> </w:t>
      </w:r>
      <w:r w:rsidR="00D44734" w:rsidRPr="00412F27">
        <w:rPr>
          <w:sz w:val="24"/>
          <w:szCs w:val="24"/>
        </w:rPr>
        <w:t>R</w:t>
      </w:r>
      <w:r w:rsidR="00C12AF0" w:rsidRPr="00412F27">
        <w:rPr>
          <w:sz w:val="24"/>
          <w:szCs w:val="24"/>
        </w:rPr>
        <w:t>esult</w:t>
      </w:r>
      <w:r w:rsidR="00D44734" w:rsidRPr="00412F27">
        <w:rPr>
          <w:sz w:val="24"/>
          <w:szCs w:val="24"/>
        </w:rPr>
        <w:t>s</w:t>
      </w:r>
      <w:r w:rsidR="00C12AF0" w:rsidRPr="00412F27">
        <w:rPr>
          <w:sz w:val="24"/>
          <w:szCs w:val="24"/>
        </w:rPr>
        <w:t xml:space="preserve"> indistinguishable from background </w:t>
      </w:r>
      <w:r w:rsidR="00D44734" w:rsidRPr="00412F27">
        <w:rPr>
          <w:sz w:val="24"/>
          <w:szCs w:val="24"/>
        </w:rPr>
        <w:t>were</w:t>
      </w:r>
      <w:r w:rsidR="00C12AF0" w:rsidRPr="00412F27">
        <w:rPr>
          <w:sz w:val="24"/>
          <w:szCs w:val="24"/>
        </w:rPr>
        <w:t xml:space="preserve"> reported as </w:t>
      </w:r>
      <w:r w:rsidR="00D44734" w:rsidRPr="00412F27">
        <w:rPr>
          <w:sz w:val="24"/>
          <w:szCs w:val="24"/>
        </w:rPr>
        <w:t>&lt;</w:t>
      </w:r>
      <w:r w:rsidR="00C12AF0" w:rsidRPr="00412F27">
        <w:rPr>
          <w:sz w:val="24"/>
          <w:szCs w:val="24"/>
        </w:rPr>
        <w:t>LOD and removed from the analysis</w:t>
      </w:r>
      <w:bookmarkEnd w:id="1"/>
      <w:r w:rsidR="00C12AF0" w:rsidRPr="00412F27">
        <w:rPr>
          <w:sz w:val="24"/>
          <w:szCs w:val="24"/>
        </w:rPr>
        <w:t>.</w:t>
      </w:r>
    </w:p>
    <w:p w14:paraId="2626BDED" w14:textId="77777777" w:rsidR="00643A24" w:rsidRPr="00412F27" w:rsidRDefault="00643A24" w:rsidP="00643A24">
      <w:pPr>
        <w:spacing w:after="0" w:line="240" w:lineRule="auto"/>
        <w:jc w:val="both"/>
        <w:rPr>
          <w:sz w:val="24"/>
          <w:szCs w:val="24"/>
        </w:rPr>
      </w:pPr>
    </w:p>
    <w:p w14:paraId="7AECFBDA" w14:textId="77777777" w:rsidR="00F47E77" w:rsidRPr="00412F27" w:rsidRDefault="00EB5461" w:rsidP="001412EC">
      <w:pPr>
        <w:spacing w:after="0" w:line="240" w:lineRule="auto"/>
        <w:jc w:val="both"/>
        <w:rPr>
          <w:i/>
          <w:sz w:val="24"/>
          <w:szCs w:val="24"/>
        </w:rPr>
      </w:pPr>
      <w:r w:rsidRPr="00412F27">
        <w:rPr>
          <w:i/>
          <w:sz w:val="24"/>
          <w:szCs w:val="24"/>
        </w:rPr>
        <w:t>Statistical Analysis</w:t>
      </w:r>
    </w:p>
    <w:p w14:paraId="339BB015" w14:textId="01531EB7" w:rsidR="00992F63" w:rsidRDefault="00EB5461" w:rsidP="001412EC">
      <w:pPr>
        <w:spacing w:after="0" w:line="240" w:lineRule="auto"/>
        <w:jc w:val="both"/>
        <w:rPr>
          <w:sz w:val="24"/>
          <w:szCs w:val="24"/>
        </w:rPr>
      </w:pPr>
      <w:r w:rsidRPr="00412F27">
        <w:rPr>
          <w:sz w:val="24"/>
          <w:szCs w:val="24"/>
        </w:rPr>
        <w:t>A</w:t>
      </w:r>
      <w:r w:rsidR="00A94276" w:rsidRPr="00412F27">
        <w:rPr>
          <w:sz w:val="24"/>
          <w:szCs w:val="24"/>
        </w:rPr>
        <w:t>nalysi</w:t>
      </w:r>
      <w:r w:rsidR="00FD3998" w:rsidRPr="00412F27">
        <w:rPr>
          <w:sz w:val="24"/>
          <w:szCs w:val="24"/>
        </w:rPr>
        <w:t>s performed</w:t>
      </w:r>
      <w:r w:rsidRPr="00412F27">
        <w:rPr>
          <w:sz w:val="24"/>
          <w:szCs w:val="24"/>
        </w:rPr>
        <w:t xml:space="preserve"> used </w:t>
      </w:r>
      <w:proofErr w:type="spellStart"/>
      <w:r w:rsidRPr="00412F27">
        <w:rPr>
          <w:sz w:val="24"/>
          <w:szCs w:val="24"/>
        </w:rPr>
        <w:t>GraphPad</w:t>
      </w:r>
      <w:proofErr w:type="spellEnd"/>
      <w:r w:rsidRPr="00412F27">
        <w:rPr>
          <w:sz w:val="24"/>
          <w:szCs w:val="24"/>
        </w:rPr>
        <w:t xml:space="preserve"> Prism 7</w:t>
      </w:r>
      <w:r w:rsidR="004D083A" w:rsidRPr="00412F27">
        <w:rPr>
          <w:rFonts w:cstheme="minorHAnsi"/>
          <w:sz w:val="24"/>
          <w:szCs w:val="24"/>
        </w:rPr>
        <w:t>®</w:t>
      </w:r>
      <w:r w:rsidRPr="00412F27">
        <w:rPr>
          <w:sz w:val="24"/>
          <w:szCs w:val="24"/>
        </w:rPr>
        <w:t xml:space="preserve"> (USA</w:t>
      </w:r>
      <w:r w:rsidR="000D1ED5" w:rsidRPr="00412F27">
        <w:rPr>
          <w:sz w:val="24"/>
          <w:szCs w:val="24"/>
        </w:rPr>
        <w:t>) including</w:t>
      </w:r>
      <w:r w:rsidR="000D1ED5" w:rsidRPr="000D1ED5">
        <w:rPr>
          <w:rFonts w:cs="Arial"/>
          <w:sz w:val="24"/>
          <w:szCs w:val="24"/>
        </w:rPr>
        <w:t xml:space="preserve"> </w:t>
      </w:r>
      <w:r w:rsidR="000D1ED5">
        <w:rPr>
          <w:rFonts w:cs="Arial"/>
          <w:sz w:val="24"/>
          <w:szCs w:val="24"/>
        </w:rPr>
        <w:t xml:space="preserve">two-way ANOVA with Tukey’s (Figure 1A) and </w:t>
      </w:r>
      <w:proofErr w:type="spellStart"/>
      <w:r w:rsidR="000D1ED5">
        <w:rPr>
          <w:rFonts w:cs="Arial"/>
          <w:sz w:val="24"/>
          <w:szCs w:val="24"/>
        </w:rPr>
        <w:t>Sidak’s</w:t>
      </w:r>
      <w:proofErr w:type="spellEnd"/>
      <w:r w:rsidR="000D1ED5">
        <w:rPr>
          <w:rFonts w:cs="Arial"/>
          <w:sz w:val="24"/>
          <w:szCs w:val="24"/>
        </w:rPr>
        <w:t xml:space="preserve"> (Figure 2B) post-hoc tests</w:t>
      </w:r>
      <w:r w:rsidR="007A3CF7">
        <w:rPr>
          <w:rFonts w:cs="Arial"/>
          <w:sz w:val="24"/>
          <w:szCs w:val="24"/>
        </w:rPr>
        <w:t>, and a</w:t>
      </w:r>
      <w:r w:rsidR="007A3CF7">
        <w:rPr>
          <w:sz w:val="24"/>
          <w:szCs w:val="24"/>
        </w:rPr>
        <w:t>n</w:t>
      </w:r>
      <w:r w:rsidR="00CC7F61">
        <w:rPr>
          <w:sz w:val="24"/>
          <w:szCs w:val="24"/>
        </w:rPr>
        <w:t>alysis of co-variance (ANCOVA) of body mass index (BMI)</w:t>
      </w:r>
      <w:r w:rsidR="006C65A9">
        <w:rPr>
          <w:sz w:val="24"/>
          <w:szCs w:val="24"/>
        </w:rPr>
        <w:t xml:space="preserve"> versus </w:t>
      </w:r>
      <w:r w:rsidR="00CC7F61">
        <w:rPr>
          <w:sz w:val="24"/>
          <w:szCs w:val="24"/>
        </w:rPr>
        <w:t>sensitivity index (SI%)</w:t>
      </w:r>
      <w:r w:rsidR="000D1ED5">
        <w:rPr>
          <w:rFonts w:cs="Arial"/>
          <w:sz w:val="24"/>
          <w:szCs w:val="24"/>
        </w:rPr>
        <w:t>.</w:t>
      </w:r>
      <w:r>
        <w:rPr>
          <w:sz w:val="24"/>
          <w:szCs w:val="24"/>
        </w:rPr>
        <w:t xml:space="preserve"> </w:t>
      </w:r>
      <w:r w:rsidR="0027113D">
        <w:rPr>
          <w:sz w:val="24"/>
          <w:szCs w:val="24"/>
        </w:rPr>
        <w:t>Linear regression of log</w:t>
      </w:r>
      <w:r w:rsidR="0027113D" w:rsidRPr="007A3CF7">
        <w:rPr>
          <w:sz w:val="24"/>
          <w:szCs w:val="24"/>
          <w:vertAlign w:val="subscript"/>
        </w:rPr>
        <w:t>10</w:t>
      </w:r>
      <w:r w:rsidR="0027113D">
        <w:rPr>
          <w:sz w:val="24"/>
          <w:szCs w:val="24"/>
        </w:rPr>
        <w:t xml:space="preserve"> reduction in </w:t>
      </w:r>
      <w:r w:rsidR="00643A24" w:rsidRPr="001B7848">
        <w:rPr>
          <w:sz w:val="24"/>
          <w:szCs w:val="24"/>
        </w:rPr>
        <w:t>day 28</w:t>
      </w:r>
      <w:r w:rsidR="00643A24">
        <w:rPr>
          <w:sz w:val="24"/>
          <w:szCs w:val="24"/>
        </w:rPr>
        <w:t xml:space="preserve"> </w:t>
      </w:r>
      <w:r w:rsidR="0027113D" w:rsidRPr="001B7848">
        <w:rPr>
          <w:sz w:val="24"/>
          <w:szCs w:val="24"/>
        </w:rPr>
        <w:t>bone marrow</w:t>
      </w:r>
      <w:r w:rsidR="0027113D">
        <w:rPr>
          <w:sz w:val="24"/>
          <w:szCs w:val="24"/>
        </w:rPr>
        <w:t xml:space="preserve"> (BM) blast burden</w:t>
      </w:r>
      <w:r w:rsidR="00643A24">
        <w:rPr>
          <w:sz w:val="24"/>
          <w:szCs w:val="24"/>
        </w:rPr>
        <w:t xml:space="preserve"> </w:t>
      </w:r>
      <w:r w:rsidR="007A3CF7">
        <w:rPr>
          <w:sz w:val="24"/>
          <w:szCs w:val="24"/>
        </w:rPr>
        <w:t>versus</w:t>
      </w:r>
      <w:r w:rsidR="00643A24">
        <w:rPr>
          <w:sz w:val="24"/>
          <w:szCs w:val="24"/>
        </w:rPr>
        <w:t xml:space="preserve"> diagnostic </w:t>
      </w:r>
      <w:r w:rsidR="000D1ED5">
        <w:rPr>
          <w:sz w:val="24"/>
          <w:szCs w:val="24"/>
        </w:rPr>
        <w:t>BM</w:t>
      </w:r>
      <w:r w:rsidR="007A3CF7">
        <w:rPr>
          <w:sz w:val="24"/>
          <w:szCs w:val="24"/>
        </w:rPr>
        <w:t xml:space="preserve"> </w:t>
      </w:r>
      <w:r w:rsidR="0027113D">
        <w:rPr>
          <w:sz w:val="24"/>
          <w:szCs w:val="24"/>
        </w:rPr>
        <w:t>(flow cytometry)</w:t>
      </w:r>
      <w:r w:rsidR="007A3CF7">
        <w:rPr>
          <w:sz w:val="24"/>
          <w:szCs w:val="24"/>
        </w:rPr>
        <w:t xml:space="preserve"> </w:t>
      </w:r>
      <w:r w:rsidR="00643A24">
        <w:rPr>
          <w:sz w:val="24"/>
          <w:szCs w:val="24"/>
        </w:rPr>
        <w:t>compared to SI% value</w:t>
      </w:r>
      <w:r w:rsidR="007A3CF7">
        <w:rPr>
          <w:sz w:val="24"/>
          <w:szCs w:val="24"/>
        </w:rPr>
        <w:t>s</w:t>
      </w:r>
      <w:r w:rsidR="0027113D">
        <w:rPr>
          <w:sz w:val="24"/>
          <w:szCs w:val="24"/>
        </w:rPr>
        <w:t>, with</w:t>
      </w:r>
      <w:r w:rsidR="00643A24">
        <w:rPr>
          <w:sz w:val="24"/>
          <w:szCs w:val="24"/>
        </w:rPr>
        <w:t xml:space="preserve"> Pearson coefficient (</w:t>
      </w:r>
      <w:r w:rsidR="00643A24" w:rsidRPr="00C4618D">
        <w:rPr>
          <w:i/>
          <w:sz w:val="24"/>
          <w:szCs w:val="24"/>
        </w:rPr>
        <w:t>r</w:t>
      </w:r>
      <w:r w:rsidR="00643A24">
        <w:rPr>
          <w:sz w:val="24"/>
          <w:szCs w:val="24"/>
        </w:rPr>
        <w:t xml:space="preserve">) calculated at each time-point assessable </w:t>
      </w:r>
      <w:r w:rsidR="0027113D">
        <w:rPr>
          <w:sz w:val="24"/>
          <w:szCs w:val="24"/>
        </w:rPr>
        <w:t>(</w:t>
      </w:r>
      <w:r w:rsidR="00643A24">
        <w:rPr>
          <w:sz w:val="24"/>
          <w:szCs w:val="24"/>
        </w:rPr>
        <w:t>SD cohort</w:t>
      </w:r>
      <w:r w:rsidR="0027113D">
        <w:rPr>
          <w:sz w:val="24"/>
          <w:szCs w:val="24"/>
        </w:rPr>
        <w:t>)</w:t>
      </w:r>
      <w:r w:rsidR="00643A24">
        <w:rPr>
          <w:sz w:val="24"/>
          <w:szCs w:val="24"/>
        </w:rPr>
        <w:t>.</w:t>
      </w:r>
      <w:r w:rsidR="000D1ED5">
        <w:rPr>
          <w:sz w:val="24"/>
          <w:szCs w:val="24"/>
        </w:rPr>
        <w:t xml:space="preserve"> </w:t>
      </w:r>
      <w:r w:rsidR="00973D92" w:rsidRPr="00973D92">
        <w:rPr>
          <w:sz w:val="24"/>
          <w:szCs w:val="24"/>
        </w:rPr>
        <w:t>Feasibility calculated</w:t>
      </w:r>
      <w:r w:rsidR="006C65A9">
        <w:rPr>
          <w:sz w:val="24"/>
          <w:szCs w:val="24"/>
        </w:rPr>
        <w:t xml:space="preserve"> </w:t>
      </w:r>
      <w:r w:rsidR="00973D92" w:rsidRPr="00973D92">
        <w:rPr>
          <w:sz w:val="24"/>
          <w:szCs w:val="24"/>
        </w:rPr>
        <w:t>as</w:t>
      </w:r>
      <w:r w:rsidR="006C65A9">
        <w:rPr>
          <w:sz w:val="24"/>
          <w:szCs w:val="24"/>
        </w:rPr>
        <w:t xml:space="preserve"> </w:t>
      </w:r>
      <w:r w:rsidR="00E05D8D" w:rsidRPr="00973D92">
        <w:rPr>
          <w:sz w:val="24"/>
          <w:szCs w:val="24"/>
        </w:rPr>
        <w:t xml:space="preserve">the </w:t>
      </w:r>
      <w:r w:rsidR="00E05D8D">
        <w:rPr>
          <w:sz w:val="24"/>
          <w:szCs w:val="24"/>
        </w:rPr>
        <w:t>percentage</w:t>
      </w:r>
      <w:r w:rsidR="00E05D8D" w:rsidRPr="00973D92">
        <w:rPr>
          <w:sz w:val="24"/>
          <w:szCs w:val="24"/>
        </w:rPr>
        <w:t xml:space="preserve"> of </w:t>
      </w:r>
      <w:r w:rsidR="00973D92" w:rsidRPr="00973D92">
        <w:rPr>
          <w:sz w:val="24"/>
          <w:szCs w:val="24"/>
        </w:rPr>
        <w:t xml:space="preserve">samples successfully taken </w:t>
      </w:r>
      <w:r w:rsidR="00E05D8D">
        <w:rPr>
          <w:sz w:val="24"/>
          <w:szCs w:val="24"/>
        </w:rPr>
        <w:t>versus</w:t>
      </w:r>
      <w:r w:rsidR="00973D92" w:rsidRPr="00973D92">
        <w:rPr>
          <w:sz w:val="24"/>
          <w:szCs w:val="24"/>
        </w:rPr>
        <w:t xml:space="preserve"> patients </w:t>
      </w:r>
      <w:r w:rsidR="00E05D8D">
        <w:rPr>
          <w:sz w:val="24"/>
          <w:szCs w:val="24"/>
        </w:rPr>
        <w:t>(</w:t>
      </w:r>
      <w:r w:rsidR="00E05D8D" w:rsidRPr="00E05D8D">
        <w:rPr>
          <w:i/>
          <w:sz w:val="24"/>
          <w:szCs w:val="24"/>
        </w:rPr>
        <w:t>n</w:t>
      </w:r>
      <w:r w:rsidR="00E05D8D">
        <w:rPr>
          <w:sz w:val="24"/>
          <w:szCs w:val="24"/>
        </w:rPr>
        <w:t>) in the group.</w:t>
      </w:r>
      <w:r w:rsidR="000B6429">
        <w:rPr>
          <w:sz w:val="24"/>
          <w:szCs w:val="24"/>
        </w:rPr>
        <w:t xml:space="preserve"> </w:t>
      </w:r>
      <w:r w:rsidR="00A5734C">
        <w:rPr>
          <w:sz w:val="24"/>
          <w:szCs w:val="24"/>
        </w:rPr>
        <w:t>Any patient</w:t>
      </w:r>
      <w:r w:rsidR="006C65A9">
        <w:rPr>
          <w:sz w:val="24"/>
          <w:szCs w:val="24"/>
        </w:rPr>
        <w:t xml:space="preserve"> suffering </w:t>
      </w:r>
      <w:r w:rsidR="000B6429">
        <w:rPr>
          <w:sz w:val="24"/>
          <w:szCs w:val="24"/>
        </w:rPr>
        <w:t>treatment-related mortality</w:t>
      </w:r>
      <w:r w:rsidR="00A5734C">
        <w:rPr>
          <w:sz w:val="24"/>
          <w:szCs w:val="24"/>
        </w:rPr>
        <w:t xml:space="preserve"> was</w:t>
      </w:r>
      <w:r w:rsidR="006C65A9">
        <w:rPr>
          <w:sz w:val="24"/>
          <w:szCs w:val="24"/>
        </w:rPr>
        <w:t xml:space="preserve"> removed from </w:t>
      </w:r>
      <w:r w:rsidR="000B6429">
        <w:rPr>
          <w:sz w:val="24"/>
          <w:szCs w:val="24"/>
        </w:rPr>
        <w:t>subsequent feasibility assessments.</w:t>
      </w:r>
    </w:p>
    <w:p w14:paraId="540BC11E" w14:textId="77777777" w:rsidR="00412F27" w:rsidRDefault="00412F27" w:rsidP="001412EC">
      <w:pPr>
        <w:spacing w:after="0" w:line="240" w:lineRule="auto"/>
        <w:jc w:val="both"/>
        <w:rPr>
          <w:sz w:val="24"/>
          <w:szCs w:val="24"/>
        </w:rPr>
        <w:sectPr w:rsidR="00412F27">
          <w:pgSz w:w="11906" w:h="16838"/>
          <w:pgMar w:top="1440" w:right="1440" w:bottom="1440" w:left="1440" w:header="708" w:footer="708" w:gutter="0"/>
          <w:cols w:space="708"/>
          <w:docGrid w:linePitch="360"/>
        </w:sectPr>
      </w:pPr>
    </w:p>
    <w:p w14:paraId="27CB9754" w14:textId="22D4AD5E" w:rsidR="00973D92" w:rsidRDefault="00973D92" w:rsidP="001412EC">
      <w:pPr>
        <w:spacing w:after="0" w:line="240" w:lineRule="auto"/>
        <w:jc w:val="both"/>
        <w:rPr>
          <w:sz w:val="24"/>
          <w:szCs w:val="24"/>
        </w:rPr>
      </w:pPr>
    </w:p>
    <w:tbl>
      <w:tblPr>
        <w:tblStyle w:val="TableGrid"/>
        <w:tblW w:w="9781" w:type="dxa"/>
        <w:tblLayout w:type="fixed"/>
        <w:tblLook w:val="04A0" w:firstRow="1" w:lastRow="0" w:firstColumn="1" w:lastColumn="0" w:noHBand="0" w:noVBand="1"/>
      </w:tblPr>
      <w:tblGrid>
        <w:gridCol w:w="4111"/>
        <w:gridCol w:w="1890"/>
        <w:gridCol w:w="1890"/>
        <w:gridCol w:w="1890"/>
      </w:tblGrid>
      <w:tr w:rsidR="00BC1CD9" w:rsidRPr="00F4423A" w14:paraId="689A4A43" w14:textId="77777777" w:rsidTr="00144FB0">
        <w:trPr>
          <w:trHeight w:val="283"/>
        </w:trPr>
        <w:tc>
          <w:tcPr>
            <w:tcW w:w="4111" w:type="dxa"/>
            <w:tcBorders>
              <w:top w:val="nil"/>
              <w:left w:val="nil"/>
            </w:tcBorders>
            <w:noWrap/>
            <w:vAlign w:val="center"/>
            <w:hideMark/>
          </w:tcPr>
          <w:p w14:paraId="3B99E1EC" w14:textId="77777777" w:rsidR="00BC1CD9" w:rsidRPr="00F4423A" w:rsidRDefault="00BC1CD9" w:rsidP="00375B57">
            <w:pPr>
              <w:spacing w:after="0" w:line="240" w:lineRule="auto"/>
              <w:rPr>
                <w:rFonts w:ascii="Times New Roman" w:eastAsia="Times New Roman" w:hAnsi="Times New Roman" w:cs="Times New Roman"/>
                <w:lang w:eastAsia="en-GB"/>
              </w:rPr>
            </w:pPr>
          </w:p>
        </w:tc>
        <w:tc>
          <w:tcPr>
            <w:tcW w:w="5670" w:type="dxa"/>
            <w:gridSpan w:val="3"/>
            <w:noWrap/>
            <w:vAlign w:val="center"/>
            <w:hideMark/>
          </w:tcPr>
          <w:p w14:paraId="197CECEF" w14:textId="77777777" w:rsidR="00BC1CD9" w:rsidRPr="00F4423A" w:rsidRDefault="00BC1CD9" w:rsidP="00375B57">
            <w:pPr>
              <w:spacing w:after="0" w:line="240" w:lineRule="auto"/>
              <w:jc w:val="center"/>
              <w:rPr>
                <w:rFonts w:ascii="Calibri" w:eastAsia="Times New Roman" w:hAnsi="Calibri" w:cs="Times New Roman"/>
                <w:b/>
                <w:bCs/>
                <w:color w:val="000000"/>
                <w:lang w:eastAsia="en-GB"/>
              </w:rPr>
            </w:pPr>
            <w:r w:rsidRPr="00F4423A">
              <w:rPr>
                <w:rFonts w:ascii="Calibri" w:eastAsia="Times New Roman" w:hAnsi="Calibri" w:cs="Times New Roman"/>
                <w:b/>
                <w:bCs/>
                <w:color w:val="000000"/>
                <w:lang w:eastAsia="en-GB"/>
              </w:rPr>
              <w:t>Regimen</w:t>
            </w:r>
          </w:p>
        </w:tc>
      </w:tr>
      <w:tr w:rsidR="00BC1CD9" w:rsidRPr="00F4423A" w14:paraId="5D4B4324" w14:textId="77777777" w:rsidTr="00144FB0">
        <w:trPr>
          <w:trHeight w:val="283"/>
        </w:trPr>
        <w:tc>
          <w:tcPr>
            <w:tcW w:w="4111" w:type="dxa"/>
            <w:noWrap/>
            <w:vAlign w:val="center"/>
            <w:hideMark/>
          </w:tcPr>
          <w:p w14:paraId="021FEA73" w14:textId="77777777" w:rsidR="00BC1CD9" w:rsidRPr="00F4423A" w:rsidRDefault="00BC1CD9" w:rsidP="00375B57">
            <w:pPr>
              <w:spacing w:after="0" w:line="240" w:lineRule="auto"/>
              <w:rPr>
                <w:rFonts w:ascii="Calibri" w:eastAsia="Times New Roman" w:hAnsi="Calibri" w:cs="Times New Roman"/>
                <w:b/>
                <w:bCs/>
                <w:color w:val="000000"/>
                <w:lang w:eastAsia="en-GB"/>
              </w:rPr>
            </w:pPr>
            <w:r w:rsidRPr="00F4423A">
              <w:rPr>
                <w:rFonts w:ascii="Calibri" w:eastAsia="Times New Roman" w:hAnsi="Calibri" w:cs="Times New Roman"/>
                <w:b/>
                <w:bCs/>
                <w:color w:val="000000"/>
                <w:lang w:eastAsia="en-GB"/>
              </w:rPr>
              <w:t>Patient</w:t>
            </w:r>
          </w:p>
        </w:tc>
        <w:tc>
          <w:tcPr>
            <w:tcW w:w="1890" w:type="dxa"/>
            <w:noWrap/>
            <w:vAlign w:val="center"/>
            <w:hideMark/>
          </w:tcPr>
          <w:p w14:paraId="1D71E5CB" w14:textId="77777777" w:rsidR="00BC1CD9" w:rsidRPr="00F4423A" w:rsidRDefault="00BC1CD9" w:rsidP="00375B57">
            <w:pPr>
              <w:spacing w:after="0" w:line="240" w:lineRule="auto"/>
              <w:jc w:val="center"/>
              <w:rPr>
                <w:rFonts w:ascii="Calibri" w:eastAsia="Times New Roman" w:hAnsi="Calibri" w:cs="Times New Roman"/>
                <w:b/>
                <w:bCs/>
                <w:color w:val="000000"/>
                <w:lang w:eastAsia="en-GB"/>
              </w:rPr>
            </w:pPr>
            <w:r w:rsidRPr="00F4423A">
              <w:rPr>
                <w:rFonts w:ascii="Calibri" w:eastAsia="Times New Roman" w:hAnsi="Calibri" w:cs="Times New Roman"/>
                <w:b/>
                <w:bCs/>
                <w:color w:val="000000"/>
                <w:lang w:eastAsia="en-GB"/>
              </w:rPr>
              <w:t>LD</w:t>
            </w:r>
          </w:p>
        </w:tc>
        <w:tc>
          <w:tcPr>
            <w:tcW w:w="1890" w:type="dxa"/>
            <w:vAlign w:val="center"/>
          </w:tcPr>
          <w:p w14:paraId="35895013" w14:textId="77777777" w:rsidR="00BC1CD9" w:rsidRPr="00F4423A" w:rsidRDefault="00BC1CD9" w:rsidP="00375B57">
            <w:pPr>
              <w:spacing w:after="0" w:line="240" w:lineRule="auto"/>
              <w:jc w:val="center"/>
              <w:rPr>
                <w:rFonts w:ascii="Calibri" w:eastAsia="Times New Roman" w:hAnsi="Calibri" w:cs="Times New Roman"/>
                <w:b/>
                <w:bCs/>
                <w:color w:val="000000"/>
                <w:lang w:eastAsia="en-GB"/>
              </w:rPr>
            </w:pPr>
            <w:r w:rsidRPr="00F4423A">
              <w:rPr>
                <w:rFonts w:ascii="Calibri" w:eastAsia="Times New Roman" w:hAnsi="Calibri" w:cs="Times New Roman"/>
                <w:b/>
                <w:bCs/>
                <w:color w:val="000000"/>
                <w:lang w:eastAsia="en-GB"/>
              </w:rPr>
              <w:t>SD</w:t>
            </w:r>
          </w:p>
        </w:tc>
        <w:tc>
          <w:tcPr>
            <w:tcW w:w="1890" w:type="dxa"/>
            <w:vAlign w:val="center"/>
          </w:tcPr>
          <w:p w14:paraId="6FD1C3A3" w14:textId="77777777" w:rsidR="00BC1CD9" w:rsidRPr="00F4423A" w:rsidRDefault="00BC1CD9" w:rsidP="00375B57">
            <w:pPr>
              <w:spacing w:after="0" w:line="240" w:lineRule="auto"/>
              <w:jc w:val="center"/>
              <w:rPr>
                <w:rFonts w:ascii="Calibri" w:eastAsia="Times New Roman" w:hAnsi="Calibri" w:cs="Times New Roman"/>
                <w:b/>
                <w:bCs/>
                <w:color w:val="000000"/>
                <w:lang w:eastAsia="en-GB"/>
              </w:rPr>
            </w:pPr>
            <w:r w:rsidRPr="00F4423A">
              <w:rPr>
                <w:rFonts w:ascii="Calibri" w:eastAsia="Times New Roman" w:hAnsi="Calibri" w:cs="Times New Roman"/>
                <w:b/>
                <w:bCs/>
                <w:color w:val="000000"/>
                <w:lang w:eastAsia="en-GB"/>
              </w:rPr>
              <w:t>HD</w:t>
            </w:r>
          </w:p>
        </w:tc>
      </w:tr>
      <w:tr w:rsidR="00BC1CD9" w:rsidRPr="00F4423A" w14:paraId="6C7CFD43" w14:textId="77777777" w:rsidTr="00E05D8D">
        <w:trPr>
          <w:trHeight w:val="283"/>
        </w:trPr>
        <w:tc>
          <w:tcPr>
            <w:tcW w:w="4111" w:type="dxa"/>
            <w:noWrap/>
            <w:vAlign w:val="center"/>
            <w:hideMark/>
          </w:tcPr>
          <w:p w14:paraId="2B5BB0E5" w14:textId="77777777" w:rsidR="00BC1CD9" w:rsidRPr="00F4423A" w:rsidRDefault="00BC1CD9" w:rsidP="00375B57">
            <w:pPr>
              <w:spacing w:after="0" w:line="240" w:lineRule="auto"/>
              <w:rPr>
                <w:rFonts w:ascii="Calibri" w:eastAsia="Times New Roman" w:hAnsi="Calibri" w:cs="Times New Roman"/>
                <w:i/>
                <w:iCs/>
                <w:color w:val="000000"/>
                <w:lang w:eastAsia="en-GB"/>
              </w:rPr>
            </w:pPr>
            <w:r w:rsidRPr="00F4423A">
              <w:rPr>
                <w:rFonts w:ascii="Calibri" w:eastAsia="Times New Roman" w:hAnsi="Calibri" w:cs="Times New Roman"/>
                <w:i/>
                <w:iCs/>
                <w:color w:val="000000"/>
                <w:lang w:eastAsia="en-GB"/>
              </w:rPr>
              <w:t>n</w:t>
            </w:r>
          </w:p>
        </w:tc>
        <w:tc>
          <w:tcPr>
            <w:tcW w:w="1890" w:type="dxa"/>
            <w:noWrap/>
            <w:vAlign w:val="center"/>
            <w:hideMark/>
          </w:tcPr>
          <w:p w14:paraId="779DFB7C"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7</w:t>
            </w:r>
          </w:p>
        </w:tc>
        <w:tc>
          <w:tcPr>
            <w:tcW w:w="1890" w:type="dxa"/>
            <w:vAlign w:val="center"/>
          </w:tcPr>
          <w:p w14:paraId="02C5AA07"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13</w:t>
            </w:r>
          </w:p>
        </w:tc>
        <w:tc>
          <w:tcPr>
            <w:tcW w:w="1890" w:type="dxa"/>
            <w:vAlign w:val="center"/>
          </w:tcPr>
          <w:p w14:paraId="74188A42"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6</w:t>
            </w:r>
          </w:p>
        </w:tc>
      </w:tr>
      <w:tr w:rsidR="00BC1CD9" w:rsidRPr="00F4423A" w14:paraId="542EC994" w14:textId="77777777" w:rsidTr="00E05D8D">
        <w:trPr>
          <w:trHeight w:val="283"/>
        </w:trPr>
        <w:tc>
          <w:tcPr>
            <w:tcW w:w="4111" w:type="dxa"/>
            <w:noWrap/>
            <w:vAlign w:val="center"/>
            <w:hideMark/>
          </w:tcPr>
          <w:p w14:paraId="120CEADB" w14:textId="77777777" w:rsidR="00BC1CD9" w:rsidRPr="00F4423A" w:rsidRDefault="00BC1CD9" w:rsidP="00375B57">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Median age (years, range)</w:t>
            </w:r>
          </w:p>
        </w:tc>
        <w:tc>
          <w:tcPr>
            <w:tcW w:w="1890" w:type="dxa"/>
            <w:noWrap/>
            <w:vAlign w:val="center"/>
            <w:hideMark/>
          </w:tcPr>
          <w:p w14:paraId="149A7C3F"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77 (63-79)</w:t>
            </w:r>
          </w:p>
        </w:tc>
        <w:tc>
          <w:tcPr>
            <w:tcW w:w="1890" w:type="dxa"/>
            <w:vAlign w:val="center"/>
          </w:tcPr>
          <w:p w14:paraId="059D4891"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67 (47-76)</w:t>
            </w:r>
          </w:p>
        </w:tc>
        <w:tc>
          <w:tcPr>
            <w:tcW w:w="1890" w:type="dxa"/>
            <w:vAlign w:val="center"/>
          </w:tcPr>
          <w:p w14:paraId="7DF5A7AE"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41 (22-55)</w:t>
            </w:r>
          </w:p>
        </w:tc>
      </w:tr>
      <w:tr w:rsidR="00BC1CD9" w:rsidRPr="00F4423A" w14:paraId="1A090633" w14:textId="77777777" w:rsidTr="00E05D8D">
        <w:trPr>
          <w:trHeight w:val="283"/>
        </w:trPr>
        <w:tc>
          <w:tcPr>
            <w:tcW w:w="4111" w:type="dxa"/>
            <w:noWrap/>
            <w:vAlign w:val="center"/>
            <w:hideMark/>
          </w:tcPr>
          <w:p w14:paraId="21F806EA" w14:textId="77777777" w:rsidR="00BC1CD9" w:rsidRPr="00F4423A" w:rsidRDefault="00BC1CD9" w:rsidP="00375B57">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Gender</w:t>
            </w:r>
          </w:p>
        </w:tc>
        <w:tc>
          <w:tcPr>
            <w:tcW w:w="1890" w:type="dxa"/>
            <w:noWrap/>
            <w:vAlign w:val="center"/>
            <w:hideMark/>
          </w:tcPr>
          <w:p w14:paraId="432DF1CF" w14:textId="77777777" w:rsidR="00BC1CD9" w:rsidRPr="00F4423A" w:rsidRDefault="00BC1CD9" w:rsidP="00375B57">
            <w:pPr>
              <w:spacing w:after="0" w:line="240" w:lineRule="auto"/>
              <w:jc w:val="center"/>
              <w:rPr>
                <w:rFonts w:eastAsia="Times New Roman" w:cs="Times New Roman"/>
                <w:color w:val="000000"/>
                <w:lang w:eastAsia="en-GB"/>
              </w:rPr>
            </w:pPr>
          </w:p>
        </w:tc>
        <w:tc>
          <w:tcPr>
            <w:tcW w:w="1890" w:type="dxa"/>
            <w:vAlign w:val="center"/>
          </w:tcPr>
          <w:p w14:paraId="54A271E2" w14:textId="77777777" w:rsidR="00BC1CD9" w:rsidRPr="00F4423A" w:rsidRDefault="00BC1CD9" w:rsidP="00375B57">
            <w:pPr>
              <w:spacing w:after="0" w:line="240" w:lineRule="auto"/>
              <w:jc w:val="center"/>
              <w:rPr>
                <w:rFonts w:eastAsia="Times New Roman" w:cs="Times New Roman"/>
                <w:lang w:eastAsia="en-GB"/>
              </w:rPr>
            </w:pPr>
          </w:p>
        </w:tc>
        <w:tc>
          <w:tcPr>
            <w:tcW w:w="1890" w:type="dxa"/>
            <w:vAlign w:val="center"/>
          </w:tcPr>
          <w:p w14:paraId="76F7C337" w14:textId="77777777" w:rsidR="00BC1CD9" w:rsidRPr="00F4423A" w:rsidRDefault="00BC1CD9" w:rsidP="00375B57">
            <w:pPr>
              <w:spacing w:after="0" w:line="240" w:lineRule="auto"/>
              <w:jc w:val="center"/>
              <w:rPr>
                <w:rFonts w:eastAsia="Times New Roman" w:cs="Times New Roman"/>
                <w:lang w:eastAsia="en-GB"/>
              </w:rPr>
            </w:pPr>
          </w:p>
        </w:tc>
      </w:tr>
      <w:tr w:rsidR="00BC1CD9" w:rsidRPr="00F4423A" w14:paraId="6F01A798" w14:textId="77777777" w:rsidTr="00E05D8D">
        <w:trPr>
          <w:trHeight w:val="283"/>
        </w:trPr>
        <w:tc>
          <w:tcPr>
            <w:tcW w:w="4111" w:type="dxa"/>
            <w:noWrap/>
            <w:vAlign w:val="center"/>
            <w:hideMark/>
          </w:tcPr>
          <w:p w14:paraId="673F97AF" w14:textId="77777777" w:rsidR="00BC1CD9" w:rsidRPr="00F4423A" w:rsidRDefault="00BC1CD9" w:rsidP="00375B57">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Male</w:t>
            </w:r>
          </w:p>
        </w:tc>
        <w:tc>
          <w:tcPr>
            <w:tcW w:w="1890" w:type="dxa"/>
            <w:noWrap/>
            <w:vAlign w:val="center"/>
            <w:hideMark/>
          </w:tcPr>
          <w:p w14:paraId="0DAB0785"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6</w:t>
            </w:r>
          </w:p>
        </w:tc>
        <w:tc>
          <w:tcPr>
            <w:tcW w:w="1890" w:type="dxa"/>
            <w:vAlign w:val="center"/>
          </w:tcPr>
          <w:p w14:paraId="754C1EDA"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10</w:t>
            </w:r>
          </w:p>
        </w:tc>
        <w:tc>
          <w:tcPr>
            <w:tcW w:w="1890" w:type="dxa"/>
            <w:vAlign w:val="center"/>
          </w:tcPr>
          <w:p w14:paraId="0448917A"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1</w:t>
            </w:r>
          </w:p>
        </w:tc>
      </w:tr>
      <w:tr w:rsidR="00BC1CD9" w:rsidRPr="00F4423A" w14:paraId="60B77BC4" w14:textId="77777777" w:rsidTr="00E05D8D">
        <w:trPr>
          <w:trHeight w:val="283"/>
        </w:trPr>
        <w:tc>
          <w:tcPr>
            <w:tcW w:w="4111" w:type="dxa"/>
            <w:noWrap/>
            <w:vAlign w:val="center"/>
            <w:hideMark/>
          </w:tcPr>
          <w:p w14:paraId="2D876DDA" w14:textId="77777777" w:rsidR="00BC1CD9" w:rsidRPr="00F4423A" w:rsidRDefault="00BC1CD9" w:rsidP="00375B57">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Female</w:t>
            </w:r>
          </w:p>
        </w:tc>
        <w:tc>
          <w:tcPr>
            <w:tcW w:w="1890" w:type="dxa"/>
            <w:noWrap/>
            <w:vAlign w:val="center"/>
            <w:hideMark/>
          </w:tcPr>
          <w:p w14:paraId="3F8E12F2" w14:textId="77777777" w:rsidR="00BC1CD9" w:rsidRPr="00F4423A" w:rsidRDefault="00BC1CD9" w:rsidP="00375B57">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w:t>
            </w:r>
          </w:p>
        </w:tc>
        <w:tc>
          <w:tcPr>
            <w:tcW w:w="1890" w:type="dxa"/>
            <w:vAlign w:val="center"/>
          </w:tcPr>
          <w:p w14:paraId="4879A415"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3</w:t>
            </w:r>
          </w:p>
        </w:tc>
        <w:tc>
          <w:tcPr>
            <w:tcW w:w="1890" w:type="dxa"/>
            <w:vAlign w:val="center"/>
          </w:tcPr>
          <w:p w14:paraId="7D988F1E" w14:textId="77777777" w:rsidR="00BC1CD9" w:rsidRPr="00F4423A" w:rsidRDefault="00BC1CD9" w:rsidP="00375B57">
            <w:pPr>
              <w:spacing w:after="0" w:line="240" w:lineRule="auto"/>
              <w:jc w:val="center"/>
              <w:rPr>
                <w:rFonts w:eastAsia="Times New Roman" w:cs="Times New Roman"/>
                <w:lang w:eastAsia="en-GB"/>
              </w:rPr>
            </w:pPr>
            <w:r w:rsidRPr="00F4423A">
              <w:rPr>
                <w:rFonts w:eastAsia="Times New Roman" w:cs="Times New Roman"/>
                <w:lang w:eastAsia="en-GB"/>
              </w:rPr>
              <w:t>5</w:t>
            </w:r>
          </w:p>
        </w:tc>
      </w:tr>
      <w:tr w:rsidR="00E4455A" w:rsidRPr="00F4423A" w14:paraId="0A745B18" w14:textId="77777777" w:rsidTr="00E05D8D">
        <w:trPr>
          <w:trHeight w:val="283"/>
        </w:trPr>
        <w:tc>
          <w:tcPr>
            <w:tcW w:w="4111" w:type="dxa"/>
            <w:noWrap/>
            <w:vAlign w:val="center"/>
          </w:tcPr>
          <w:p w14:paraId="585A90E8" w14:textId="05429FF8" w:rsidR="00E4455A" w:rsidRPr="00F4423A" w:rsidRDefault="00E4455A" w:rsidP="00375B57">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Ethnicity</w:t>
            </w:r>
          </w:p>
        </w:tc>
        <w:tc>
          <w:tcPr>
            <w:tcW w:w="1890" w:type="dxa"/>
            <w:noWrap/>
            <w:vAlign w:val="center"/>
          </w:tcPr>
          <w:p w14:paraId="25760619" w14:textId="77777777" w:rsidR="00E4455A" w:rsidRPr="00F4423A" w:rsidRDefault="00E4455A" w:rsidP="00375B57">
            <w:pPr>
              <w:spacing w:after="0" w:line="240" w:lineRule="auto"/>
              <w:jc w:val="center"/>
              <w:rPr>
                <w:rFonts w:eastAsia="Times New Roman" w:cs="Times New Roman"/>
                <w:color w:val="000000"/>
                <w:lang w:eastAsia="en-GB"/>
              </w:rPr>
            </w:pPr>
          </w:p>
        </w:tc>
        <w:tc>
          <w:tcPr>
            <w:tcW w:w="1890" w:type="dxa"/>
            <w:vAlign w:val="center"/>
          </w:tcPr>
          <w:p w14:paraId="3BD4C38D" w14:textId="77777777" w:rsidR="00E4455A" w:rsidRPr="00F4423A" w:rsidRDefault="00E4455A" w:rsidP="00375B57">
            <w:pPr>
              <w:spacing w:after="0" w:line="240" w:lineRule="auto"/>
              <w:jc w:val="center"/>
              <w:rPr>
                <w:rFonts w:eastAsia="Times New Roman" w:cs="Times New Roman"/>
                <w:lang w:eastAsia="en-GB"/>
              </w:rPr>
            </w:pPr>
          </w:p>
        </w:tc>
        <w:tc>
          <w:tcPr>
            <w:tcW w:w="1890" w:type="dxa"/>
            <w:vAlign w:val="center"/>
          </w:tcPr>
          <w:p w14:paraId="6C5EC339" w14:textId="77777777" w:rsidR="00E4455A" w:rsidRPr="00F4423A" w:rsidRDefault="00E4455A" w:rsidP="00375B57">
            <w:pPr>
              <w:spacing w:after="0" w:line="240" w:lineRule="auto"/>
              <w:jc w:val="center"/>
              <w:rPr>
                <w:rFonts w:eastAsia="Times New Roman" w:cs="Times New Roman"/>
                <w:lang w:eastAsia="en-GB"/>
              </w:rPr>
            </w:pPr>
          </w:p>
        </w:tc>
      </w:tr>
      <w:tr w:rsidR="00E4455A" w:rsidRPr="00F4423A" w14:paraId="1EBC39F0" w14:textId="77777777" w:rsidTr="00E05D8D">
        <w:trPr>
          <w:trHeight w:val="283"/>
        </w:trPr>
        <w:tc>
          <w:tcPr>
            <w:tcW w:w="4111" w:type="dxa"/>
            <w:noWrap/>
            <w:vAlign w:val="center"/>
            <w:hideMark/>
          </w:tcPr>
          <w:p w14:paraId="7A13F06E" w14:textId="0B7CA5D9" w:rsidR="00E4455A" w:rsidRPr="00F4423A" w:rsidRDefault="00F55E86" w:rsidP="008E1FA3">
            <w:pPr>
              <w:spacing w:after="0" w:line="240" w:lineRule="auto"/>
              <w:ind w:left="720"/>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W</w:t>
            </w:r>
            <w:r w:rsidR="00E4455A" w:rsidRPr="00F4423A">
              <w:rPr>
                <w:rFonts w:ascii="Calibri" w:eastAsia="Times New Roman" w:hAnsi="Calibri" w:cs="Times New Roman"/>
                <w:color w:val="000000"/>
                <w:lang w:eastAsia="en-GB"/>
              </w:rPr>
              <w:t>hite</w:t>
            </w:r>
            <w:r w:rsidRPr="00F4423A">
              <w:rPr>
                <w:rFonts w:ascii="Calibri" w:eastAsia="Times New Roman" w:hAnsi="Calibri" w:cs="Times New Roman"/>
                <w:color w:val="000000"/>
                <w:lang w:eastAsia="en-GB"/>
              </w:rPr>
              <w:t>, British</w:t>
            </w:r>
            <w:r w:rsidRPr="00F4423A" w:rsidDel="00E4455A">
              <w:rPr>
                <w:rFonts w:ascii="Calibri" w:eastAsia="Times New Roman" w:hAnsi="Calibri" w:cs="Times New Roman"/>
                <w:color w:val="000000"/>
                <w:lang w:eastAsia="en-GB"/>
              </w:rPr>
              <w:t xml:space="preserve"> </w:t>
            </w:r>
          </w:p>
        </w:tc>
        <w:tc>
          <w:tcPr>
            <w:tcW w:w="1890" w:type="dxa"/>
            <w:noWrap/>
            <w:vAlign w:val="center"/>
            <w:hideMark/>
          </w:tcPr>
          <w:p w14:paraId="69FBB12E" w14:textId="3F477E93" w:rsidR="00E4455A" w:rsidRPr="00F4423A" w:rsidRDefault="00853F0C"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6</w:t>
            </w:r>
          </w:p>
        </w:tc>
        <w:tc>
          <w:tcPr>
            <w:tcW w:w="1890" w:type="dxa"/>
            <w:vAlign w:val="center"/>
          </w:tcPr>
          <w:p w14:paraId="77C93069" w14:textId="1E83595C" w:rsidR="00E4455A"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11</w:t>
            </w:r>
          </w:p>
        </w:tc>
        <w:tc>
          <w:tcPr>
            <w:tcW w:w="1890" w:type="dxa"/>
            <w:vAlign w:val="center"/>
          </w:tcPr>
          <w:p w14:paraId="7C533243" w14:textId="3007E4DB" w:rsidR="00E4455A"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4</w:t>
            </w:r>
          </w:p>
        </w:tc>
      </w:tr>
      <w:tr w:rsidR="00E4455A" w:rsidRPr="00F4423A" w14:paraId="444DF457" w14:textId="77777777" w:rsidTr="00E05D8D">
        <w:trPr>
          <w:trHeight w:val="283"/>
        </w:trPr>
        <w:tc>
          <w:tcPr>
            <w:tcW w:w="4111" w:type="dxa"/>
            <w:noWrap/>
            <w:vAlign w:val="center"/>
          </w:tcPr>
          <w:p w14:paraId="164568B3" w14:textId="0BD67F92" w:rsidR="00E4455A" w:rsidRPr="00F4423A" w:rsidRDefault="00F55E86" w:rsidP="008E1FA3">
            <w:pPr>
              <w:spacing w:after="0" w:line="240" w:lineRule="auto"/>
              <w:ind w:left="720"/>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White, non-British</w:t>
            </w:r>
          </w:p>
        </w:tc>
        <w:tc>
          <w:tcPr>
            <w:tcW w:w="1890" w:type="dxa"/>
            <w:noWrap/>
            <w:vAlign w:val="center"/>
          </w:tcPr>
          <w:p w14:paraId="7FCE45CF" w14:textId="39E37582" w:rsidR="00E4455A" w:rsidRPr="00F4423A" w:rsidRDefault="00853F0C"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27590B8A" w14:textId="661FCECC" w:rsidR="00E4455A"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c>
          <w:tcPr>
            <w:tcW w:w="1890" w:type="dxa"/>
            <w:vAlign w:val="center"/>
          </w:tcPr>
          <w:p w14:paraId="1E1C71FF" w14:textId="6D4D4864" w:rsidR="00E4455A"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2</w:t>
            </w:r>
          </w:p>
        </w:tc>
      </w:tr>
      <w:tr w:rsidR="00853F0C" w:rsidRPr="00F4423A" w14:paraId="6A3A1290" w14:textId="77777777" w:rsidTr="00E05D8D">
        <w:trPr>
          <w:trHeight w:val="283"/>
        </w:trPr>
        <w:tc>
          <w:tcPr>
            <w:tcW w:w="4111" w:type="dxa"/>
            <w:noWrap/>
            <w:vAlign w:val="center"/>
          </w:tcPr>
          <w:p w14:paraId="42021558" w14:textId="526CFE56" w:rsidR="00853F0C" w:rsidRPr="00F4423A" w:rsidRDefault="00853F0C" w:rsidP="00E4455A">
            <w:pPr>
              <w:spacing w:after="0" w:line="240" w:lineRule="auto"/>
              <w:ind w:left="720"/>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not known</w:t>
            </w:r>
          </w:p>
        </w:tc>
        <w:tc>
          <w:tcPr>
            <w:tcW w:w="1890" w:type="dxa"/>
            <w:noWrap/>
            <w:vAlign w:val="center"/>
          </w:tcPr>
          <w:p w14:paraId="64F9AE1A" w14:textId="48DF0DD4" w:rsidR="00853F0C" w:rsidRPr="00F4423A" w:rsidRDefault="00853F0C"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w:t>
            </w:r>
          </w:p>
        </w:tc>
        <w:tc>
          <w:tcPr>
            <w:tcW w:w="1890" w:type="dxa"/>
            <w:vAlign w:val="center"/>
          </w:tcPr>
          <w:p w14:paraId="5999132E" w14:textId="30224E44" w:rsidR="00853F0C"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2</w:t>
            </w:r>
          </w:p>
        </w:tc>
        <w:tc>
          <w:tcPr>
            <w:tcW w:w="1890" w:type="dxa"/>
            <w:vAlign w:val="center"/>
          </w:tcPr>
          <w:p w14:paraId="6081AF97" w14:textId="2F214EC9" w:rsidR="00853F0C" w:rsidRPr="00F4423A" w:rsidRDefault="00853F0C"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106FF874" w14:textId="77777777" w:rsidTr="00E05D8D">
        <w:trPr>
          <w:trHeight w:val="283"/>
        </w:trPr>
        <w:tc>
          <w:tcPr>
            <w:tcW w:w="4111" w:type="dxa"/>
            <w:noWrap/>
            <w:vAlign w:val="center"/>
          </w:tcPr>
          <w:p w14:paraId="36F15B51" w14:textId="7087B4D5" w:rsidR="00E4455A" w:rsidRPr="00F4423A" w:rsidRDefault="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FAB</w:t>
            </w:r>
          </w:p>
        </w:tc>
        <w:tc>
          <w:tcPr>
            <w:tcW w:w="1890" w:type="dxa"/>
            <w:noWrap/>
            <w:vAlign w:val="center"/>
          </w:tcPr>
          <w:p w14:paraId="6448F470" w14:textId="77777777" w:rsidR="00E4455A" w:rsidRPr="00F4423A" w:rsidRDefault="00E4455A" w:rsidP="00E4455A">
            <w:pPr>
              <w:spacing w:after="0" w:line="240" w:lineRule="auto"/>
              <w:jc w:val="center"/>
              <w:rPr>
                <w:rFonts w:eastAsia="Times New Roman" w:cs="Times New Roman"/>
                <w:color w:val="000000"/>
                <w:lang w:eastAsia="en-GB"/>
              </w:rPr>
            </w:pPr>
          </w:p>
        </w:tc>
        <w:tc>
          <w:tcPr>
            <w:tcW w:w="1890" w:type="dxa"/>
            <w:vAlign w:val="center"/>
          </w:tcPr>
          <w:p w14:paraId="5DD64780" w14:textId="77777777" w:rsidR="00E4455A" w:rsidRPr="00F4423A" w:rsidRDefault="00E4455A" w:rsidP="00E4455A">
            <w:pPr>
              <w:spacing w:after="0" w:line="240" w:lineRule="auto"/>
              <w:jc w:val="center"/>
              <w:rPr>
                <w:rFonts w:eastAsia="Times New Roman" w:cs="Times New Roman"/>
                <w:lang w:eastAsia="en-GB"/>
              </w:rPr>
            </w:pPr>
          </w:p>
        </w:tc>
        <w:tc>
          <w:tcPr>
            <w:tcW w:w="1890" w:type="dxa"/>
            <w:vAlign w:val="center"/>
          </w:tcPr>
          <w:p w14:paraId="0081D90A" w14:textId="77777777" w:rsidR="00E4455A" w:rsidRPr="00F4423A" w:rsidRDefault="00E4455A" w:rsidP="00E4455A">
            <w:pPr>
              <w:spacing w:after="0" w:line="240" w:lineRule="auto"/>
              <w:jc w:val="center"/>
              <w:rPr>
                <w:rFonts w:eastAsia="Times New Roman" w:cs="Times New Roman"/>
                <w:lang w:eastAsia="en-GB"/>
              </w:rPr>
            </w:pPr>
          </w:p>
        </w:tc>
      </w:tr>
      <w:tr w:rsidR="00E4455A" w:rsidRPr="00F4423A" w14:paraId="6D0C5652" w14:textId="77777777" w:rsidTr="00E05D8D">
        <w:trPr>
          <w:trHeight w:val="283"/>
        </w:trPr>
        <w:tc>
          <w:tcPr>
            <w:tcW w:w="4111" w:type="dxa"/>
            <w:noWrap/>
            <w:vAlign w:val="center"/>
            <w:hideMark/>
          </w:tcPr>
          <w:p w14:paraId="360780EF"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M0-M1</w:t>
            </w:r>
          </w:p>
        </w:tc>
        <w:tc>
          <w:tcPr>
            <w:tcW w:w="1890" w:type="dxa"/>
            <w:noWrap/>
            <w:vAlign w:val="center"/>
            <w:hideMark/>
          </w:tcPr>
          <w:p w14:paraId="58EA1502"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3</w:t>
            </w:r>
          </w:p>
        </w:tc>
        <w:tc>
          <w:tcPr>
            <w:tcW w:w="1890" w:type="dxa"/>
            <w:vAlign w:val="center"/>
          </w:tcPr>
          <w:p w14:paraId="2734D2CF"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2</w:t>
            </w:r>
          </w:p>
        </w:tc>
        <w:tc>
          <w:tcPr>
            <w:tcW w:w="1890" w:type="dxa"/>
            <w:vAlign w:val="center"/>
          </w:tcPr>
          <w:p w14:paraId="308803F3"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2</w:t>
            </w:r>
          </w:p>
        </w:tc>
      </w:tr>
      <w:tr w:rsidR="00E4455A" w:rsidRPr="00F4423A" w14:paraId="5E223E2B" w14:textId="77777777" w:rsidTr="00E05D8D">
        <w:trPr>
          <w:trHeight w:val="283"/>
        </w:trPr>
        <w:tc>
          <w:tcPr>
            <w:tcW w:w="4111" w:type="dxa"/>
            <w:noWrap/>
            <w:vAlign w:val="center"/>
            <w:hideMark/>
          </w:tcPr>
          <w:p w14:paraId="0D5867DA"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M2</w:t>
            </w:r>
          </w:p>
        </w:tc>
        <w:tc>
          <w:tcPr>
            <w:tcW w:w="1890" w:type="dxa"/>
            <w:noWrap/>
            <w:vAlign w:val="center"/>
            <w:hideMark/>
          </w:tcPr>
          <w:p w14:paraId="1394C494"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w:t>
            </w:r>
          </w:p>
        </w:tc>
        <w:tc>
          <w:tcPr>
            <w:tcW w:w="1890" w:type="dxa"/>
            <w:vAlign w:val="center"/>
          </w:tcPr>
          <w:p w14:paraId="4D4625F3"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4</w:t>
            </w:r>
          </w:p>
        </w:tc>
        <w:tc>
          <w:tcPr>
            <w:tcW w:w="1890" w:type="dxa"/>
            <w:vAlign w:val="center"/>
          </w:tcPr>
          <w:p w14:paraId="172AC05C"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3</w:t>
            </w:r>
          </w:p>
        </w:tc>
      </w:tr>
      <w:tr w:rsidR="00E4455A" w:rsidRPr="00F4423A" w14:paraId="40E5AF58" w14:textId="77777777" w:rsidTr="00E05D8D">
        <w:trPr>
          <w:trHeight w:val="283"/>
        </w:trPr>
        <w:tc>
          <w:tcPr>
            <w:tcW w:w="4111" w:type="dxa"/>
            <w:noWrap/>
            <w:vAlign w:val="center"/>
            <w:hideMark/>
          </w:tcPr>
          <w:p w14:paraId="62B7F307"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M4-5</w:t>
            </w:r>
          </w:p>
        </w:tc>
        <w:tc>
          <w:tcPr>
            <w:tcW w:w="1890" w:type="dxa"/>
            <w:noWrap/>
            <w:vAlign w:val="center"/>
            <w:hideMark/>
          </w:tcPr>
          <w:p w14:paraId="45F3339A"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1E0F6F8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3</w:t>
            </w:r>
          </w:p>
        </w:tc>
        <w:tc>
          <w:tcPr>
            <w:tcW w:w="1890" w:type="dxa"/>
            <w:vAlign w:val="center"/>
          </w:tcPr>
          <w:p w14:paraId="5136DDBE"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1</w:t>
            </w:r>
          </w:p>
        </w:tc>
      </w:tr>
      <w:tr w:rsidR="00E4455A" w:rsidRPr="00F4423A" w14:paraId="25758047" w14:textId="77777777" w:rsidTr="00E05D8D">
        <w:trPr>
          <w:trHeight w:val="283"/>
        </w:trPr>
        <w:tc>
          <w:tcPr>
            <w:tcW w:w="4111" w:type="dxa"/>
            <w:noWrap/>
            <w:vAlign w:val="center"/>
            <w:hideMark/>
          </w:tcPr>
          <w:p w14:paraId="46849D55"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M6-7</w:t>
            </w:r>
          </w:p>
        </w:tc>
        <w:tc>
          <w:tcPr>
            <w:tcW w:w="1890" w:type="dxa"/>
            <w:noWrap/>
            <w:vAlign w:val="center"/>
            <w:hideMark/>
          </w:tcPr>
          <w:p w14:paraId="6894A1F7"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291663A3"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c>
          <w:tcPr>
            <w:tcW w:w="1890" w:type="dxa"/>
            <w:vAlign w:val="center"/>
          </w:tcPr>
          <w:p w14:paraId="5AF93510"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44216514" w14:textId="77777777" w:rsidTr="00E05D8D">
        <w:trPr>
          <w:trHeight w:val="283"/>
        </w:trPr>
        <w:tc>
          <w:tcPr>
            <w:tcW w:w="4111" w:type="dxa"/>
            <w:noWrap/>
            <w:vAlign w:val="center"/>
          </w:tcPr>
          <w:p w14:paraId="27C6F8FD" w14:textId="3A6B65D8"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MDS/t</w:t>
            </w:r>
            <w:r w:rsidR="00D44B18" w:rsidRPr="00F4423A">
              <w:rPr>
                <w:rFonts w:ascii="Calibri" w:eastAsia="Times New Roman" w:hAnsi="Calibri" w:cs="Times New Roman"/>
                <w:color w:val="000000"/>
                <w:lang w:eastAsia="en-GB"/>
              </w:rPr>
              <w:t xml:space="preserve">herapy-related </w:t>
            </w:r>
            <w:r w:rsidRPr="00F4423A">
              <w:rPr>
                <w:rFonts w:ascii="Calibri" w:eastAsia="Times New Roman" w:hAnsi="Calibri" w:cs="Times New Roman"/>
                <w:color w:val="000000"/>
                <w:lang w:eastAsia="en-GB"/>
              </w:rPr>
              <w:t>MDS</w:t>
            </w:r>
          </w:p>
        </w:tc>
        <w:tc>
          <w:tcPr>
            <w:tcW w:w="1890" w:type="dxa"/>
            <w:noWrap/>
            <w:vAlign w:val="center"/>
          </w:tcPr>
          <w:p w14:paraId="174AC98B"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2</w:t>
            </w:r>
          </w:p>
        </w:tc>
        <w:tc>
          <w:tcPr>
            <w:tcW w:w="1890" w:type="dxa"/>
            <w:vAlign w:val="center"/>
          </w:tcPr>
          <w:p w14:paraId="2B22A5DA"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1</w:t>
            </w:r>
          </w:p>
        </w:tc>
        <w:tc>
          <w:tcPr>
            <w:tcW w:w="1890" w:type="dxa"/>
            <w:vAlign w:val="center"/>
          </w:tcPr>
          <w:p w14:paraId="6B415331"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49BBAEAC" w14:textId="77777777" w:rsidTr="00E05D8D">
        <w:trPr>
          <w:trHeight w:val="283"/>
        </w:trPr>
        <w:tc>
          <w:tcPr>
            <w:tcW w:w="4111" w:type="dxa"/>
            <w:noWrap/>
            <w:vAlign w:val="center"/>
          </w:tcPr>
          <w:p w14:paraId="502F87DB"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Not known</w:t>
            </w:r>
          </w:p>
        </w:tc>
        <w:tc>
          <w:tcPr>
            <w:tcW w:w="1890" w:type="dxa"/>
            <w:noWrap/>
            <w:vAlign w:val="center"/>
          </w:tcPr>
          <w:p w14:paraId="4A7BC35C"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w:t>
            </w:r>
          </w:p>
        </w:tc>
        <w:tc>
          <w:tcPr>
            <w:tcW w:w="1890" w:type="dxa"/>
            <w:vAlign w:val="center"/>
          </w:tcPr>
          <w:p w14:paraId="0902825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3</w:t>
            </w:r>
          </w:p>
        </w:tc>
        <w:tc>
          <w:tcPr>
            <w:tcW w:w="1890" w:type="dxa"/>
            <w:vAlign w:val="center"/>
          </w:tcPr>
          <w:p w14:paraId="404FA00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62019556" w14:textId="77777777" w:rsidTr="00E05D8D">
        <w:trPr>
          <w:trHeight w:val="283"/>
        </w:trPr>
        <w:tc>
          <w:tcPr>
            <w:tcW w:w="4111" w:type="dxa"/>
            <w:noWrap/>
            <w:vAlign w:val="center"/>
            <w:hideMark/>
          </w:tcPr>
          <w:p w14:paraId="4028CCCF" w14:textId="77777777" w:rsidR="00E4455A" w:rsidRPr="00F4423A" w:rsidRDefault="00E4455A" w:rsidP="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Cytogenetic risk group</w:t>
            </w:r>
          </w:p>
        </w:tc>
        <w:tc>
          <w:tcPr>
            <w:tcW w:w="1890" w:type="dxa"/>
            <w:noWrap/>
            <w:vAlign w:val="center"/>
            <w:hideMark/>
          </w:tcPr>
          <w:p w14:paraId="7845F03F" w14:textId="77777777" w:rsidR="00E4455A" w:rsidRPr="00F4423A" w:rsidRDefault="00E4455A" w:rsidP="00E4455A">
            <w:pPr>
              <w:spacing w:after="0" w:line="240" w:lineRule="auto"/>
              <w:jc w:val="center"/>
              <w:rPr>
                <w:rFonts w:eastAsia="Times New Roman" w:cs="Times New Roman"/>
                <w:color w:val="000000"/>
                <w:lang w:eastAsia="en-GB"/>
              </w:rPr>
            </w:pPr>
          </w:p>
        </w:tc>
        <w:tc>
          <w:tcPr>
            <w:tcW w:w="1890" w:type="dxa"/>
            <w:vAlign w:val="center"/>
          </w:tcPr>
          <w:p w14:paraId="2E1E92EE" w14:textId="77777777" w:rsidR="00E4455A" w:rsidRPr="00F4423A" w:rsidRDefault="00E4455A" w:rsidP="00E4455A">
            <w:pPr>
              <w:spacing w:after="0" w:line="240" w:lineRule="auto"/>
              <w:jc w:val="center"/>
              <w:rPr>
                <w:rFonts w:eastAsia="Times New Roman" w:cs="Times New Roman"/>
                <w:lang w:eastAsia="en-GB"/>
              </w:rPr>
            </w:pPr>
          </w:p>
        </w:tc>
        <w:tc>
          <w:tcPr>
            <w:tcW w:w="1890" w:type="dxa"/>
            <w:vAlign w:val="center"/>
          </w:tcPr>
          <w:p w14:paraId="65F7799E" w14:textId="77777777" w:rsidR="00E4455A" w:rsidRPr="00F4423A" w:rsidRDefault="00E4455A" w:rsidP="00E4455A">
            <w:pPr>
              <w:spacing w:after="0" w:line="240" w:lineRule="auto"/>
              <w:jc w:val="center"/>
              <w:rPr>
                <w:rFonts w:eastAsia="Times New Roman" w:cs="Times New Roman"/>
                <w:lang w:eastAsia="en-GB"/>
              </w:rPr>
            </w:pPr>
          </w:p>
        </w:tc>
      </w:tr>
      <w:tr w:rsidR="00E4455A" w:rsidRPr="00F4423A" w14:paraId="5C405349" w14:textId="77777777" w:rsidTr="00E05D8D">
        <w:trPr>
          <w:trHeight w:val="283"/>
        </w:trPr>
        <w:tc>
          <w:tcPr>
            <w:tcW w:w="4111" w:type="dxa"/>
            <w:noWrap/>
            <w:vAlign w:val="center"/>
            <w:hideMark/>
          </w:tcPr>
          <w:p w14:paraId="71CAF681"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Favourable</w:t>
            </w:r>
          </w:p>
        </w:tc>
        <w:tc>
          <w:tcPr>
            <w:tcW w:w="1890" w:type="dxa"/>
            <w:noWrap/>
            <w:vAlign w:val="center"/>
            <w:hideMark/>
          </w:tcPr>
          <w:p w14:paraId="125FB325"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w:t>
            </w:r>
          </w:p>
        </w:tc>
        <w:tc>
          <w:tcPr>
            <w:tcW w:w="1890" w:type="dxa"/>
            <w:vAlign w:val="center"/>
          </w:tcPr>
          <w:p w14:paraId="7C6844B7"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1</w:t>
            </w:r>
          </w:p>
        </w:tc>
        <w:tc>
          <w:tcPr>
            <w:tcW w:w="1890" w:type="dxa"/>
            <w:vAlign w:val="center"/>
          </w:tcPr>
          <w:p w14:paraId="47211C1D"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3</w:t>
            </w:r>
          </w:p>
        </w:tc>
      </w:tr>
      <w:tr w:rsidR="00E4455A" w:rsidRPr="00F4423A" w14:paraId="346325BA" w14:textId="77777777" w:rsidTr="00E05D8D">
        <w:trPr>
          <w:trHeight w:val="283"/>
        </w:trPr>
        <w:tc>
          <w:tcPr>
            <w:tcW w:w="4111" w:type="dxa"/>
            <w:noWrap/>
            <w:vAlign w:val="center"/>
            <w:hideMark/>
          </w:tcPr>
          <w:p w14:paraId="2AC7EDB0"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Intermediate</w:t>
            </w:r>
          </w:p>
        </w:tc>
        <w:tc>
          <w:tcPr>
            <w:tcW w:w="1890" w:type="dxa"/>
            <w:noWrap/>
            <w:vAlign w:val="center"/>
            <w:hideMark/>
          </w:tcPr>
          <w:p w14:paraId="52F64E6E"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6</w:t>
            </w:r>
          </w:p>
        </w:tc>
        <w:tc>
          <w:tcPr>
            <w:tcW w:w="1890" w:type="dxa"/>
            <w:vAlign w:val="center"/>
          </w:tcPr>
          <w:p w14:paraId="4E2BB577"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6</w:t>
            </w:r>
          </w:p>
        </w:tc>
        <w:tc>
          <w:tcPr>
            <w:tcW w:w="1890" w:type="dxa"/>
            <w:vAlign w:val="center"/>
          </w:tcPr>
          <w:p w14:paraId="7DDD7875"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1</w:t>
            </w:r>
          </w:p>
        </w:tc>
      </w:tr>
      <w:tr w:rsidR="00E4455A" w:rsidRPr="00F4423A" w14:paraId="593439FC" w14:textId="77777777" w:rsidTr="00E05D8D">
        <w:trPr>
          <w:trHeight w:val="283"/>
        </w:trPr>
        <w:tc>
          <w:tcPr>
            <w:tcW w:w="4111" w:type="dxa"/>
            <w:noWrap/>
            <w:vAlign w:val="center"/>
            <w:hideMark/>
          </w:tcPr>
          <w:p w14:paraId="5AAB28E9"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Adverse</w:t>
            </w:r>
          </w:p>
        </w:tc>
        <w:tc>
          <w:tcPr>
            <w:tcW w:w="1890" w:type="dxa"/>
            <w:noWrap/>
            <w:vAlign w:val="center"/>
            <w:hideMark/>
          </w:tcPr>
          <w:p w14:paraId="734D5266"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785F1880"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5</w:t>
            </w:r>
          </w:p>
        </w:tc>
        <w:tc>
          <w:tcPr>
            <w:tcW w:w="1890" w:type="dxa"/>
            <w:vAlign w:val="center"/>
          </w:tcPr>
          <w:p w14:paraId="733BD3A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2</w:t>
            </w:r>
          </w:p>
        </w:tc>
      </w:tr>
      <w:tr w:rsidR="00E4455A" w:rsidRPr="00F4423A" w14:paraId="141342DF" w14:textId="77777777" w:rsidTr="00E05D8D">
        <w:trPr>
          <w:trHeight w:val="283"/>
        </w:trPr>
        <w:tc>
          <w:tcPr>
            <w:tcW w:w="4111" w:type="dxa"/>
            <w:noWrap/>
            <w:vAlign w:val="center"/>
          </w:tcPr>
          <w:p w14:paraId="43A163EB" w14:textId="77777777" w:rsidR="00E4455A" w:rsidRPr="00F4423A" w:rsidRDefault="00E4455A" w:rsidP="00E4455A">
            <w:pPr>
              <w:spacing w:after="0" w:line="240" w:lineRule="auto"/>
              <w:ind w:left="284"/>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Not known</w:t>
            </w:r>
          </w:p>
        </w:tc>
        <w:tc>
          <w:tcPr>
            <w:tcW w:w="1890" w:type="dxa"/>
            <w:noWrap/>
            <w:vAlign w:val="center"/>
          </w:tcPr>
          <w:p w14:paraId="21831360"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3C8B1E05"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1</w:t>
            </w:r>
          </w:p>
        </w:tc>
        <w:tc>
          <w:tcPr>
            <w:tcW w:w="1890" w:type="dxa"/>
            <w:vAlign w:val="center"/>
          </w:tcPr>
          <w:p w14:paraId="400B7EF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23383E44" w14:textId="77777777" w:rsidTr="00E05D8D">
        <w:trPr>
          <w:trHeight w:val="283"/>
        </w:trPr>
        <w:tc>
          <w:tcPr>
            <w:tcW w:w="4111" w:type="dxa"/>
            <w:noWrap/>
            <w:vAlign w:val="center"/>
            <w:hideMark/>
          </w:tcPr>
          <w:p w14:paraId="41F916C4" w14:textId="77777777" w:rsidR="00E4455A" w:rsidRPr="00F4423A" w:rsidRDefault="00E4455A" w:rsidP="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Prior MDS (</w:t>
            </w:r>
            <w:r w:rsidRPr="00F4423A">
              <w:rPr>
                <w:rFonts w:ascii="Calibri" w:eastAsia="Times New Roman" w:hAnsi="Calibri" w:cs="Times New Roman"/>
                <w:i/>
                <w:iCs/>
                <w:color w:val="000000"/>
                <w:lang w:eastAsia="en-GB"/>
              </w:rPr>
              <w:t>n</w:t>
            </w:r>
            <w:r w:rsidRPr="00F4423A">
              <w:rPr>
                <w:rFonts w:ascii="Calibri" w:eastAsia="Times New Roman" w:hAnsi="Calibri" w:cs="Times New Roman"/>
                <w:color w:val="000000"/>
                <w:lang w:eastAsia="en-GB"/>
              </w:rPr>
              <w:t>)</w:t>
            </w:r>
          </w:p>
        </w:tc>
        <w:tc>
          <w:tcPr>
            <w:tcW w:w="1890" w:type="dxa"/>
            <w:noWrap/>
            <w:vAlign w:val="center"/>
            <w:hideMark/>
          </w:tcPr>
          <w:p w14:paraId="0BEB280F"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4</w:t>
            </w:r>
          </w:p>
        </w:tc>
        <w:tc>
          <w:tcPr>
            <w:tcW w:w="1890" w:type="dxa"/>
            <w:vAlign w:val="center"/>
          </w:tcPr>
          <w:p w14:paraId="576C8C88"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3</w:t>
            </w:r>
          </w:p>
        </w:tc>
        <w:tc>
          <w:tcPr>
            <w:tcW w:w="1890" w:type="dxa"/>
            <w:vAlign w:val="center"/>
          </w:tcPr>
          <w:p w14:paraId="7A582960"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0</w:t>
            </w:r>
          </w:p>
        </w:tc>
      </w:tr>
      <w:tr w:rsidR="00E4455A" w:rsidRPr="00F4423A" w14:paraId="52A922C7" w14:textId="77777777" w:rsidTr="00E05D8D">
        <w:trPr>
          <w:trHeight w:val="283"/>
        </w:trPr>
        <w:tc>
          <w:tcPr>
            <w:tcW w:w="4111" w:type="dxa"/>
            <w:noWrap/>
            <w:vAlign w:val="center"/>
            <w:hideMark/>
          </w:tcPr>
          <w:p w14:paraId="3FB969E1" w14:textId="77777777" w:rsidR="00E4455A" w:rsidRPr="00F4423A" w:rsidRDefault="00E4455A" w:rsidP="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Presenting WBC count (x10</w:t>
            </w:r>
            <w:r w:rsidRPr="00F4423A">
              <w:rPr>
                <w:rFonts w:ascii="Calibri" w:eastAsia="Times New Roman" w:hAnsi="Calibri" w:cs="Times New Roman"/>
                <w:color w:val="000000"/>
                <w:vertAlign w:val="superscript"/>
                <w:lang w:eastAsia="en-GB"/>
              </w:rPr>
              <w:t>9</w:t>
            </w:r>
            <w:r w:rsidRPr="00F4423A">
              <w:rPr>
                <w:rFonts w:ascii="Calibri" w:eastAsia="Times New Roman" w:hAnsi="Calibri" w:cs="Times New Roman"/>
                <w:color w:val="000000"/>
                <w:lang w:eastAsia="en-GB"/>
              </w:rPr>
              <w:t>/L)</w:t>
            </w:r>
          </w:p>
        </w:tc>
        <w:tc>
          <w:tcPr>
            <w:tcW w:w="1890" w:type="dxa"/>
            <w:noWrap/>
            <w:vAlign w:val="center"/>
            <w:hideMark/>
          </w:tcPr>
          <w:p w14:paraId="471FB8E6" w14:textId="77777777" w:rsidR="00E4455A" w:rsidRPr="00F4423A" w:rsidRDefault="00E4455A"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8.89 (2.26-88.4)</w:t>
            </w:r>
          </w:p>
        </w:tc>
        <w:tc>
          <w:tcPr>
            <w:tcW w:w="1890" w:type="dxa"/>
            <w:vAlign w:val="center"/>
          </w:tcPr>
          <w:p w14:paraId="2705396E"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8.76 (0.63-118.52)</w:t>
            </w:r>
          </w:p>
        </w:tc>
        <w:tc>
          <w:tcPr>
            <w:tcW w:w="1890" w:type="dxa"/>
            <w:vAlign w:val="center"/>
          </w:tcPr>
          <w:p w14:paraId="0E78FDB1"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9.175 (2.98-24.48)</w:t>
            </w:r>
          </w:p>
        </w:tc>
      </w:tr>
      <w:tr w:rsidR="00E4455A" w:rsidRPr="00F4423A" w14:paraId="43BD4B3C" w14:textId="77777777" w:rsidTr="00E05D8D">
        <w:trPr>
          <w:trHeight w:val="283"/>
        </w:trPr>
        <w:tc>
          <w:tcPr>
            <w:tcW w:w="4111" w:type="dxa"/>
            <w:noWrap/>
            <w:vAlign w:val="center"/>
          </w:tcPr>
          <w:p w14:paraId="3DA7FDF7" w14:textId="4EE2CB4A" w:rsidR="00E4455A" w:rsidRPr="00F4423A" w:rsidRDefault="00E4455A" w:rsidP="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Dose (mg</w:t>
            </w:r>
            <w:r w:rsidR="001A19F7" w:rsidRPr="00F4423A">
              <w:rPr>
                <w:rFonts w:ascii="Calibri" w:eastAsia="Times New Roman" w:hAnsi="Calibri" w:cs="Times New Roman"/>
                <w:color w:val="000000"/>
                <w:lang w:eastAsia="en-GB"/>
              </w:rPr>
              <w:t xml:space="preserve"> per day</w:t>
            </w:r>
            <w:r w:rsidRPr="00F4423A">
              <w:rPr>
                <w:rFonts w:ascii="Calibri" w:eastAsia="Times New Roman" w:hAnsi="Calibri" w:cs="Times New Roman"/>
                <w:color w:val="000000"/>
                <w:lang w:eastAsia="en-GB"/>
              </w:rPr>
              <w:t>) (range)</w:t>
            </w:r>
          </w:p>
        </w:tc>
        <w:tc>
          <w:tcPr>
            <w:tcW w:w="1890" w:type="dxa"/>
            <w:noWrap/>
            <w:vAlign w:val="center"/>
          </w:tcPr>
          <w:p w14:paraId="70C6C61E" w14:textId="36304EE7" w:rsidR="00E4455A" w:rsidRPr="00F4423A" w:rsidRDefault="001A19F7" w:rsidP="00E4455A">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4</w:t>
            </w:r>
            <w:r w:rsidR="00E4455A" w:rsidRPr="00F4423A">
              <w:rPr>
                <w:rFonts w:eastAsia="Times New Roman" w:cs="Times New Roman"/>
                <w:color w:val="000000"/>
                <w:lang w:eastAsia="en-GB"/>
              </w:rPr>
              <w:t>0 (</w:t>
            </w:r>
            <w:r w:rsidRPr="00F4423A">
              <w:rPr>
                <w:rFonts w:eastAsia="Times New Roman" w:cs="Times New Roman"/>
                <w:color w:val="000000"/>
                <w:lang w:eastAsia="en-GB"/>
              </w:rPr>
              <w:t>4</w:t>
            </w:r>
            <w:r w:rsidR="00E4455A" w:rsidRPr="00F4423A">
              <w:rPr>
                <w:rFonts w:eastAsia="Times New Roman" w:cs="Times New Roman"/>
                <w:color w:val="000000"/>
                <w:lang w:eastAsia="en-GB"/>
              </w:rPr>
              <w:t>0-</w:t>
            </w:r>
            <w:r w:rsidRPr="00F4423A">
              <w:rPr>
                <w:rFonts w:eastAsia="Times New Roman" w:cs="Times New Roman"/>
                <w:color w:val="000000"/>
                <w:lang w:eastAsia="en-GB"/>
              </w:rPr>
              <w:t>4</w:t>
            </w:r>
            <w:r w:rsidR="00E4455A" w:rsidRPr="00F4423A">
              <w:rPr>
                <w:rFonts w:eastAsia="Times New Roman" w:cs="Times New Roman"/>
                <w:color w:val="000000"/>
                <w:lang w:eastAsia="en-GB"/>
              </w:rPr>
              <w:t>0)</w:t>
            </w:r>
          </w:p>
        </w:tc>
        <w:tc>
          <w:tcPr>
            <w:tcW w:w="1890" w:type="dxa"/>
            <w:vAlign w:val="center"/>
          </w:tcPr>
          <w:p w14:paraId="14AB617D"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200 (160-220)</w:t>
            </w:r>
          </w:p>
        </w:tc>
        <w:tc>
          <w:tcPr>
            <w:tcW w:w="1890" w:type="dxa"/>
            <w:vAlign w:val="center"/>
          </w:tcPr>
          <w:p w14:paraId="0DC7C42B" w14:textId="77777777" w:rsidR="00E4455A" w:rsidRPr="00F4423A" w:rsidRDefault="00E4455A" w:rsidP="00E4455A">
            <w:pPr>
              <w:spacing w:after="0" w:line="240" w:lineRule="auto"/>
              <w:jc w:val="center"/>
              <w:rPr>
                <w:rFonts w:eastAsia="Times New Roman" w:cs="Times New Roman"/>
                <w:lang w:eastAsia="en-GB"/>
              </w:rPr>
            </w:pPr>
            <w:r w:rsidRPr="00F4423A">
              <w:rPr>
                <w:rFonts w:eastAsia="Times New Roman" w:cs="Times New Roman"/>
                <w:lang w:eastAsia="en-GB"/>
              </w:rPr>
              <w:t>4100 (3900-4600)</w:t>
            </w:r>
          </w:p>
        </w:tc>
      </w:tr>
      <w:tr w:rsidR="00AB1094" w:rsidRPr="00F4423A" w14:paraId="31EB958D" w14:textId="77777777" w:rsidTr="00E05D8D">
        <w:trPr>
          <w:trHeight w:val="283"/>
        </w:trPr>
        <w:tc>
          <w:tcPr>
            <w:tcW w:w="4111" w:type="dxa"/>
            <w:noWrap/>
            <w:vAlign w:val="center"/>
          </w:tcPr>
          <w:p w14:paraId="7F0AE9EB" w14:textId="3E4EE314" w:rsidR="00AB1094" w:rsidRPr="00F4423A" w:rsidRDefault="00AB1094" w:rsidP="00E4455A">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Relevant co-medication</w:t>
            </w:r>
          </w:p>
        </w:tc>
        <w:tc>
          <w:tcPr>
            <w:tcW w:w="1890" w:type="dxa"/>
            <w:tcBorders>
              <w:bottom w:val="single" w:sz="4" w:space="0" w:color="auto"/>
            </w:tcBorders>
            <w:noWrap/>
            <w:vAlign w:val="center"/>
          </w:tcPr>
          <w:p w14:paraId="60BCE989" w14:textId="77777777" w:rsidR="00AB1094" w:rsidRPr="00F4423A" w:rsidRDefault="00AB1094" w:rsidP="00AB1094">
            <w:pPr>
              <w:spacing w:after="0" w:line="240" w:lineRule="auto"/>
              <w:jc w:val="center"/>
              <w:rPr>
                <w:rFonts w:eastAsia="Times New Roman" w:cs="Times New Roman"/>
                <w:color w:val="000000"/>
                <w:lang w:eastAsia="en-GB"/>
              </w:rPr>
            </w:pPr>
          </w:p>
        </w:tc>
        <w:tc>
          <w:tcPr>
            <w:tcW w:w="1890" w:type="dxa"/>
            <w:vAlign w:val="center"/>
          </w:tcPr>
          <w:p w14:paraId="4A580EB3" w14:textId="19E26976" w:rsidR="00AB1094" w:rsidRPr="00F4423A" w:rsidRDefault="00AB1094" w:rsidP="00AB1094">
            <w:pPr>
              <w:spacing w:after="0" w:line="240" w:lineRule="auto"/>
              <w:jc w:val="center"/>
              <w:rPr>
                <w:rFonts w:eastAsia="Times New Roman" w:cs="Times New Roman"/>
                <w:lang w:eastAsia="en-GB"/>
              </w:rPr>
            </w:pPr>
          </w:p>
        </w:tc>
        <w:tc>
          <w:tcPr>
            <w:tcW w:w="1890" w:type="dxa"/>
            <w:tcBorders>
              <w:bottom w:val="single" w:sz="4" w:space="0" w:color="auto"/>
            </w:tcBorders>
            <w:vAlign w:val="center"/>
          </w:tcPr>
          <w:p w14:paraId="2F38D261" w14:textId="6B193881" w:rsidR="00AB1094" w:rsidRPr="00F4423A" w:rsidRDefault="00AB1094" w:rsidP="00AB1094">
            <w:pPr>
              <w:spacing w:after="0" w:line="240" w:lineRule="auto"/>
              <w:jc w:val="center"/>
              <w:rPr>
                <w:rFonts w:eastAsia="Times New Roman" w:cs="Times New Roman"/>
                <w:lang w:eastAsia="en-GB"/>
              </w:rPr>
            </w:pPr>
          </w:p>
        </w:tc>
      </w:tr>
      <w:tr w:rsidR="00AB1094" w:rsidRPr="00F4423A" w14:paraId="27E989BC" w14:textId="77777777" w:rsidTr="00E05D8D">
        <w:trPr>
          <w:trHeight w:val="283"/>
        </w:trPr>
        <w:tc>
          <w:tcPr>
            <w:tcW w:w="4111" w:type="dxa"/>
            <w:noWrap/>
            <w:vAlign w:val="center"/>
          </w:tcPr>
          <w:p w14:paraId="0578D6B0" w14:textId="7E8CD6A4" w:rsidR="00AB1094" w:rsidRPr="00F4423A" w:rsidRDefault="00AB1094" w:rsidP="00AB1094">
            <w:pPr>
              <w:spacing w:after="0" w:line="240" w:lineRule="auto"/>
              <w:ind w:left="321"/>
              <w:jc w:val="both"/>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Daunorubicin</w:t>
            </w:r>
          </w:p>
        </w:tc>
        <w:tc>
          <w:tcPr>
            <w:tcW w:w="1890" w:type="dxa"/>
            <w:tcBorders>
              <w:tr2bl w:val="single" w:sz="4" w:space="0" w:color="auto"/>
            </w:tcBorders>
            <w:noWrap/>
            <w:vAlign w:val="center"/>
          </w:tcPr>
          <w:p w14:paraId="07D0D9E2" w14:textId="5BFABA36" w:rsidR="00AB1094" w:rsidRPr="00F4423A" w:rsidRDefault="00AB1094" w:rsidP="00AB1094">
            <w:pPr>
              <w:spacing w:after="0" w:line="240" w:lineRule="auto"/>
              <w:jc w:val="center"/>
              <w:rPr>
                <w:rFonts w:eastAsia="Times New Roman" w:cs="Times New Roman"/>
                <w:color w:val="000000"/>
                <w:lang w:eastAsia="en-GB"/>
              </w:rPr>
            </w:pPr>
          </w:p>
        </w:tc>
        <w:tc>
          <w:tcPr>
            <w:tcW w:w="1890" w:type="dxa"/>
            <w:vAlign w:val="center"/>
          </w:tcPr>
          <w:p w14:paraId="72437290" w14:textId="331DF2CE" w:rsidR="00AB1094" w:rsidRPr="00F4423A" w:rsidRDefault="00F4423A" w:rsidP="00AB1094">
            <w:pPr>
              <w:spacing w:after="0" w:line="240" w:lineRule="auto"/>
              <w:jc w:val="center"/>
              <w:rPr>
                <w:rFonts w:eastAsia="Times New Roman" w:cs="Times New Roman"/>
                <w:lang w:eastAsia="en-GB"/>
              </w:rPr>
            </w:pPr>
            <w:r w:rsidRPr="00F4423A">
              <w:rPr>
                <w:rFonts w:eastAsia="Times New Roman" w:cs="Times New Roman"/>
                <w:lang w:eastAsia="en-GB"/>
              </w:rPr>
              <w:t>13/13</w:t>
            </w:r>
          </w:p>
        </w:tc>
        <w:tc>
          <w:tcPr>
            <w:tcW w:w="1890" w:type="dxa"/>
            <w:tcBorders>
              <w:tr2bl w:val="single" w:sz="4" w:space="0" w:color="auto"/>
            </w:tcBorders>
            <w:vAlign w:val="center"/>
          </w:tcPr>
          <w:p w14:paraId="208EF8BF" w14:textId="558D3526" w:rsidR="00AB1094" w:rsidRPr="00F4423A" w:rsidRDefault="00AB1094" w:rsidP="00AB1094">
            <w:pPr>
              <w:spacing w:after="0" w:line="240" w:lineRule="auto"/>
              <w:jc w:val="center"/>
              <w:rPr>
                <w:rFonts w:eastAsia="Times New Roman" w:cs="Times New Roman"/>
                <w:lang w:eastAsia="en-GB"/>
              </w:rPr>
            </w:pPr>
          </w:p>
        </w:tc>
      </w:tr>
      <w:tr w:rsidR="00AB1094" w:rsidRPr="00F4423A" w14:paraId="7C6C70D6" w14:textId="77777777" w:rsidTr="00E05D8D">
        <w:trPr>
          <w:trHeight w:val="283"/>
        </w:trPr>
        <w:tc>
          <w:tcPr>
            <w:tcW w:w="4111" w:type="dxa"/>
            <w:noWrap/>
            <w:vAlign w:val="center"/>
          </w:tcPr>
          <w:p w14:paraId="4D22BEBD" w14:textId="09D30553" w:rsidR="00AB1094" w:rsidRPr="00F4423A" w:rsidRDefault="00AB1094" w:rsidP="00AB1094">
            <w:pPr>
              <w:spacing w:after="0" w:line="240" w:lineRule="auto"/>
              <w:ind w:left="321"/>
              <w:jc w:val="both"/>
              <w:rPr>
                <w:rFonts w:ascii="Calibri" w:eastAsia="Times New Roman" w:hAnsi="Calibri" w:cs="Times New Roman"/>
                <w:color w:val="000000"/>
                <w:lang w:eastAsia="en-GB"/>
              </w:rPr>
            </w:pPr>
            <w:proofErr w:type="spellStart"/>
            <w:r w:rsidRPr="00F4423A">
              <w:rPr>
                <w:rFonts w:ascii="Calibri" w:eastAsia="Times New Roman" w:hAnsi="Calibri" w:cs="Times New Roman"/>
                <w:color w:val="000000"/>
                <w:lang w:eastAsia="en-GB"/>
              </w:rPr>
              <w:t>Mylotarg</w:t>
            </w:r>
            <w:proofErr w:type="spellEnd"/>
          </w:p>
        </w:tc>
        <w:tc>
          <w:tcPr>
            <w:tcW w:w="1890" w:type="dxa"/>
            <w:tcBorders>
              <w:tr2bl w:val="single" w:sz="4" w:space="0" w:color="auto"/>
            </w:tcBorders>
            <w:noWrap/>
            <w:vAlign w:val="center"/>
          </w:tcPr>
          <w:p w14:paraId="48FC3BA4" w14:textId="77777777" w:rsidR="00AB1094" w:rsidRPr="00F4423A" w:rsidRDefault="00AB1094" w:rsidP="00AB1094">
            <w:pPr>
              <w:spacing w:after="0" w:line="240" w:lineRule="auto"/>
              <w:jc w:val="center"/>
              <w:rPr>
                <w:rFonts w:eastAsia="Times New Roman" w:cs="Times New Roman"/>
                <w:color w:val="000000"/>
                <w:lang w:eastAsia="en-GB"/>
              </w:rPr>
            </w:pPr>
          </w:p>
        </w:tc>
        <w:tc>
          <w:tcPr>
            <w:tcW w:w="1890" w:type="dxa"/>
            <w:vAlign w:val="center"/>
          </w:tcPr>
          <w:p w14:paraId="0F88DA66" w14:textId="42519A13" w:rsidR="00AB1094" w:rsidRPr="00F4423A" w:rsidRDefault="00F4423A" w:rsidP="00F4423A">
            <w:pPr>
              <w:spacing w:after="0" w:line="240" w:lineRule="auto"/>
              <w:jc w:val="center"/>
              <w:rPr>
                <w:rFonts w:eastAsia="Times New Roman" w:cs="Times New Roman"/>
                <w:lang w:eastAsia="en-GB"/>
              </w:rPr>
            </w:pPr>
            <w:r w:rsidRPr="00F4423A">
              <w:rPr>
                <w:rFonts w:eastAsia="Times New Roman" w:cs="Times New Roman"/>
                <w:lang w:eastAsia="en-GB"/>
              </w:rPr>
              <w:t>1</w:t>
            </w:r>
            <w:r>
              <w:rPr>
                <w:rFonts w:eastAsia="Times New Roman" w:cs="Times New Roman"/>
                <w:lang w:eastAsia="en-GB"/>
              </w:rPr>
              <w:t>2</w:t>
            </w:r>
            <w:r w:rsidRPr="00F4423A">
              <w:rPr>
                <w:rFonts w:eastAsia="Times New Roman" w:cs="Times New Roman"/>
                <w:lang w:eastAsia="en-GB"/>
              </w:rPr>
              <w:t>/13</w:t>
            </w:r>
          </w:p>
        </w:tc>
        <w:tc>
          <w:tcPr>
            <w:tcW w:w="1890" w:type="dxa"/>
            <w:tcBorders>
              <w:tr2bl w:val="nil"/>
            </w:tcBorders>
            <w:vAlign w:val="center"/>
          </w:tcPr>
          <w:p w14:paraId="102F2A0A" w14:textId="3F8CBE58" w:rsidR="00AB1094" w:rsidRPr="00F4423A" w:rsidRDefault="00F4423A" w:rsidP="00AB1094">
            <w:pPr>
              <w:spacing w:after="0" w:line="240" w:lineRule="auto"/>
              <w:jc w:val="center"/>
              <w:rPr>
                <w:rFonts w:eastAsia="Times New Roman" w:cs="Times New Roman"/>
                <w:lang w:eastAsia="en-GB"/>
              </w:rPr>
            </w:pPr>
            <w:r>
              <w:rPr>
                <w:rFonts w:eastAsia="Times New Roman" w:cs="Times New Roman"/>
                <w:lang w:eastAsia="en-GB"/>
              </w:rPr>
              <w:t>5/6</w:t>
            </w:r>
          </w:p>
        </w:tc>
      </w:tr>
      <w:tr w:rsidR="00AB1094" w:rsidRPr="00F4423A" w14:paraId="596CFA56" w14:textId="77777777" w:rsidTr="00E05D8D">
        <w:trPr>
          <w:trHeight w:val="283"/>
        </w:trPr>
        <w:tc>
          <w:tcPr>
            <w:tcW w:w="4111" w:type="dxa"/>
            <w:noWrap/>
            <w:vAlign w:val="center"/>
          </w:tcPr>
          <w:p w14:paraId="5AA4E294" w14:textId="61A8253F" w:rsidR="00AB1094" w:rsidRPr="00F4423A" w:rsidRDefault="00AB1094" w:rsidP="00AB1094">
            <w:pPr>
              <w:spacing w:after="0" w:line="240" w:lineRule="auto"/>
              <w:ind w:left="321"/>
              <w:jc w:val="both"/>
              <w:rPr>
                <w:rFonts w:ascii="Calibri" w:eastAsia="Times New Roman" w:hAnsi="Calibri" w:cs="Calibri"/>
                <w:color w:val="000000"/>
                <w:lang w:eastAsia="en-GB"/>
              </w:rPr>
            </w:pPr>
            <w:r w:rsidRPr="00F4423A">
              <w:rPr>
                <w:rFonts w:ascii="Calibri" w:eastAsia="Times New Roman" w:hAnsi="Calibri" w:cs="Calibri"/>
                <w:lang w:eastAsia="en-GB"/>
              </w:rPr>
              <w:t>FLAG-IDA</w:t>
            </w:r>
          </w:p>
        </w:tc>
        <w:tc>
          <w:tcPr>
            <w:tcW w:w="1890" w:type="dxa"/>
            <w:tcBorders>
              <w:tr2bl w:val="single" w:sz="4" w:space="0" w:color="auto"/>
            </w:tcBorders>
            <w:noWrap/>
            <w:vAlign w:val="center"/>
          </w:tcPr>
          <w:p w14:paraId="02952475" w14:textId="77777777" w:rsidR="00AB1094" w:rsidRPr="00F4423A" w:rsidRDefault="00AB1094" w:rsidP="00AB1094">
            <w:pPr>
              <w:spacing w:after="0" w:line="240" w:lineRule="auto"/>
              <w:jc w:val="center"/>
              <w:rPr>
                <w:rFonts w:eastAsia="Times New Roman" w:cs="Times New Roman"/>
                <w:color w:val="000000"/>
                <w:lang w:eastAsia="en-GB"/>
              </w:rPr>
            </w:pPr>
          </w:p>
        </w:tc>
        <w:tc>
          <w:tcPr>
            <w:tcW w:w="1890" w:type="dxa"/>
            <w:tcBorders>
              <w:bottom w:val="single" w:sz="4" w:space="0" w:color="auto"/>
              <w:tr2bl w:val="single" w:sz="4" w:space="0" w:color="auto"/>
            </w:tcBorders>
            <w:vAlign w:val="center"/>
          </w:tcPr>
          <w:p w14:paraId="2EA44411" w14:textId="77777777" w:rsidR="00AB1094" w:rsidRPr="00F4423A" w:rsidRDefault="00AB1094" w:rsidP="00AB1094">
            <w:pPr>
              <w:spacing w:after="0" w:line="240" w:lineRule="auto"/>
              <w:jc w:val="center"/>
              <w:rPr>
                <w:rFonts w:eastAsia="Times New Roman" w:cs="Times New Roman"/>
                <w:lang w:eastAsia="en-GB"/>
              </w:rPr>
            </w:pPr>
          </w:p>
        </w:tc>
        <w:tc>
          <w:tcPr>
            <w:tcW w:w="1890" w:type="dxa"/>
            <w:tcBorders>
              <w:bottom w:val="single" w:sz="4" w:space="0" w:color="auto"/>
            </w:tcBorders>
            <w:vAlign w:val="center"/>
          </w:tcPr>
          <w:p w14:paraId="6ED4166B" w14:textId="405675A6" w:rsidR="00AB1094" w:rsidRPr="00F4423A" w:rsidRDefault="00F4423A" w:rsidP="00AB1094">
            <w:pPr>
              <w:spacing w:after="0" w:line="240" w:lineRule="auto"/>
              <w:jc w:val="center"/>
              <w:rPr>
                <w:rFonts w:eastAsia="Times New Roman" w:cs="Times New Roman"/>
                <w:lang w:eastAsia="en-GB"/>
              </w:rPr>
            </w:pPr>
            <w:r>
              <w:rPr>
                <w:rFonts w:eastAsia="Times New Roman" w:cs="Times New Roman"/>
                <w:lang w:eastAsia="en-GB"/>
              </w:rPr>
              <w:t>6/6</w:t>
            </w:r>
          </w:p>
        </w:tc>
      </w:tr>
      <w:tr w:rsidR="00F4423A" w:rsidRPr="00F4423A" w14:paraId="4F4F329F" w14:textId="77777777" w:rsidTr="00E05D8D">
        <w:trPr>
          <w:trHeight w:val="283"/>
        </w:trPr>
        <w:tc>
          <w:tcPr>
            <w:tcW w:w="4111" w:type="dxa"/>
            <w:noWrap/>
            <w:vAlign w:val="center"/>
          </w:tcPr>
          <w:p w14:paraId="690DEDD7" w14:textId="7C481263" w:rsidR="00F4423A" w:rsidRPr="00F4423A" w:rsidRDefault="00F4423A" w:rsidP="00F4423A">
            <w:pPr>
              <w:spacing w:after="0" w:line="240" w:lineRule="auto"/>
              <w:ind w:left="321"/>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Tosedostat</w:t>
            </w:r>
            <w:proofErr w:type="spellEnd"/>
          </w:p>
        </w:tc>
        <w:tc>
          <w:tcPr>
            <w:tcW w:w="1890" w:type="dxa"/>
            <w:noWrap/>
            <w:vAlign w:val="center"/>
          </w:tcPr>
          <w:p w14:paraId="566A489D" w14:textId="2C92C494" w:rsidR="00F4423A" w:rsidRPr="00F4423A" w:rsidRDefault="00F4423A" w:rsidP="00AB1094">
            <w:pPr>
              <w:spacing w:after="0" w:line="240" w:lineRule="auto"/>
              <w:jc w:val="center"/>
              <w:rPr>
                <w:rFonts w:eastAsia="Times New Roman" w:cs="Times New Roman"/>
                <w:color w:val="000000"/>
                <w:lang w:eastAsia="en-GB"/>
              </w:rPr>
            </w:pPr>
            <w:r>
              <w:rPr>
                <w:rFonts w:eastAsia="Times New Roman" w:cs="Times New Roman"/>
                <w:color w:val="000000"/>
                <w:lang w:eastAsia="en-GB"/>
              </w:rPr>
              <w:t>2/7</w:t>
            </w:r>
          </w:p>
        </w:tc>
        <w:tc>
          <w:tcPr>
            <w:tcW w:w="1890" w:type="dxa"/>
            <w:tcBorders>
              <w:tr2bl w:val="single" w:sz="4" w:space="0" w:color="auto"/>
            </w:tcBorders>
            <w:vAlign w:val="center"/>
          </w:tcPr>
          <w:p w14:paraId="4670A45F" w14:textId="77777777" w:rsidR="00F4423A" w:rsidRPr="00F4423A" w:rsidRDefault="00F4423A" w:rsidP="00AB1094">
            <w:pPr>
              <w:spacing w:after="0" w:line="240" w:lineRule="auto"/>
              <w:jc w:val="center"/>
              <w:rPr>
                <w:rFonts w:eastAsia="Times New Roman" w:cs="Times New Roman"/>
                <w:lang w:eastAsia="en-GB"/>
              </w:rPr>
            </w:pPr>
          </w:p>
        </w:tc>
        <w:tc>
          <w:tcPr>
            <w:tcW w:w="1890" w:type="dxa"/>
            <w:tcBorders>
              <w:tr2bl w:val="single" w:sz="4" w:space="0" w:color="auto"/>
            </w:tcBorders>
            <w:vAlign w:val="center"/>
          </w:tcPr>
          <w:p w14:paraId="6A5EBB95" w14:textId="77777777" w:rsidR="00F4423A" w:rsidRPr="00F4423A" w:rsidRDefault="00F4423A" w:rsidP="00AB1094">
            <w:pPr>
              <w:spacing w:after="0" w:line="240" w:lineRule="auto"/>
              <w:jc w:val="center"/>
              <w:rPr>
                <w:rFonts w:eastAsia="Times New Roman" w:cs="Times New Roman"/>
                <w:lang w:eastAsia="en-GB"/>
              </w:rPr>
            </w:pPr>
          </w:p>
        </w:tc>
      </w:tr>
      <w:tr w:rsidR="00F4423A" w:rsidRPr="00F4423A" w14:paraId="79D9A274" w14:textId="77777777" w:rsidTr="00E05D8D">
        <w:trPr>
          <w:trHeight w:val="283"/>
        </w:trPr>
        <w:tc>
          <w:tcPr>
            <w:tcW w:w="4111" w:type="dxa"/>
            <w:noWrap/>
            <w:vAlign w:val="center"/>
          </w:tcPr>
          <w:p w14:paraId="569E5685" w14:textId="784E34A7" w:rsidR="00F4423A" w:rsidRDefault="00F4423A" w:rsidP="00F4423A">
            <w:pPr>
              <w:spacing w:after="0" w:line="240" w:lineRule="auto"/>
              <w:ind w:left="321"/>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Lenalidomide</w:t>
            </w:r>
            <w:proofErr w:type="spellEnd"/>
          </w:p>
        </w:tc>
        <w:tc>
          <w:tcPr>
            <w:tcW w:w="1890" w:type="dxa"/>
            <w:noWrap/>
            <w:vAlign w:val="center"/>
          </w:tcPr>
          <w:p w14:paraId="1369FD51" w14:textId="39B48CA8" w:rsidR="00F4423A" w:rsidRDefault="00F4423A" w:rsidP="00AB1094">
            <w:pPr>
              <w:spacing w:after="0" w:line="240" w:lineRule="auto"/>
              <w:jc w:val="center"/>
              <w:rPr>
                <w:rFonts w:eastAsia="Times New Roman" w:cs="Times New Roman"/>
                <w:color w:val="000000"/>
                <w:lang w:eastAsia="en-GB"/>
              </w:rPr>
            </w:pPr>
            <w:r>
              <w:rPr>
                <w:rFonts w:eastAsia="Times New Roman" w:cs="Times New Roman"/>
                <w:color w:val="000000"/>
                <w:lang w:eastAsia="en-GB"/>
              </w:rPr>
              <w:t>2/7</w:t>
            </w:r>
          </w:p>
        </w:tc>
        <w:tc>
          <w:tcPr>
            <w:tcW w:w="1890" w:type="dxa"/>
            <w:tcBorders>
              <w:tr2bl w:val="single" w:sz="4" w:space="0" w:color="auto"/>
            </w:tcBorders>
            <w:vAlign w:val="center"/>
          </w:tcPr>
          <w:p w14:paraId="6427CD76" w14:textId="77777777" w:rsidR="00F4423A" w:rsidRPr="00F4423A" w:rsidRDefault="00F4423A" w:rsidP="00AB1094">
            <w:pPr>
              <w:spacing w:after="0" w:line="240" w:lineRule="auto"/>
              <w:jc w:val="center"/>
              <w:rPr>
                <w:rFonts w:eastAsia="Times New Roman" w:cs="Times New Roman"/>
                <w:lang w:eastAsia="en-GB"/>
              </w:rPr>
            </w:pPr>
          </w:p>
        </w:tc>
        <w:tc>
          <w:tcPr>
            <w:tcW w:w="1890" w:type="dxa"/>
            <w:tcBorders>
              <w:tr2bl w:val="single" w:sz="4" w:space="0" w:color="auto"/>
            </w:tcBorders>
            <w:vAlign w:val="center"/>
          </w:tcPr>
          <w:p w14:paraId="66021B2E" w14:textId="77777777" w:rsidR="00F4423A" w:rsidRPr="00F4423A" w:rsidRDefault="00F4423A" w:rsidP="00AB1094">
            <w:pPr>
              <w:spacing w:after="0" w:line="240" w:lineRule="auto"/>
              <w:jc w:val="center"/>
              <w:rPr>
                <w:rFonts w:eastAsia="Times New Roman" w:cs="Times New Roman"/>
                <w:lang w:eastAsia="en-GB"/>
              </w:rPr>
            </w:pPr>
          </w:p>
        </w:tc>
      </w:tr>
      <w:tr w:rsidR="00AB1094" w:rsidRPr="00F4423A" w14:paraId="372D7375" w14:textId="77777777" w:rsidTr="00E05D8D">
        <w:trPr>
          <w:trHeight w:val="283"/>
        </w:trPr>
        <w:tc>
          <w:tcPr>
            <w:tcW w:w="4111" w:type="dxa"/>
            <w:noWrap/>
            <w:vAlign w:val="center"/>
          </w:tcPr>
          <w:p w14:paraId="4FFC1DAE" w14:textId="77777777" w:rsidR="00AB1094" w:rsidRPr="00F4423A" w:rsidRDefault="00AB1094" w:rsidP="00AB1094">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BSA (m</w:t>
            </w:r>
            <w:r w:rsidRPr="00F4423A">
              <w:rPr>
                <w:rFonts w:ascii="Calibri" w:eastAsia="Times New Roman" w:hAnsi="Calibri" w:cs="Times New Roman"/>
                <w:color w:val="000000"/>
                <w:vertAlign w:val="superscript"/>
                <w:lang w:eastAsia="en-GB"/>
              </w:rPr>
              <w:t>2</w:t>
            </w:r>
            <w:r w:rsidRPr="00F4423A">
              <w:rPr>
                <w:rFonts w:ascii="Calibri" w:eastAsia="Times New Roman" w:hAnsi="Calibri" w:cs="Times New Roman"/>
                <w:color w:val="000000"/>
                <w:lang w:eastAsia="en-GB"/>
              </w:rPr>
              <w:t>) (median, range)</w:t>
            </w:r>
          </w:p>
        </w:tc>
        <w:tc>
          <w:tcPr>
            <w:tcW w:w="1890" w:type="dxa"/>
            <w:noWrap/>
            <w:vAlign w:val="center"/>
          </w:tcPr>
          <w:p w14:paraId="160B70BC" w14:textId="77777777" w:rsidR="00AB1094" w:rsidRPr="00F4423A" w:rsidRDefault="00AB1094" w:rsidP="00AB1094">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2.11 (1.74-2.26)</w:t>
            </w:r>
          </w:p>
        </w:tc>
        <w:tc>
          <w:tcPr>
            <w:tcW w:w="1890" w:type="dxa"/>
            <w:vAlign w:val="center"/>
          </w:tcPr>
          <w:p w14:paraId="4FF08B93"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2.02 (1.64-2.22)</w:t>
            </w:r>
          </w:p>
        </w:tc>
        <w:tc>
          <w:tcPr>
            <w:tcW w:w="1890" w:type="dxa"/>
            <w:vAlign w:val="center"/>
          </w:tcPr>
          <w:p w14:paraId="5A2777D8"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2.02 (1.74-2.31)</w:t>
            </w:r>
          </w:p>
        </w:tc>
      </w:tr>
      <w:tr w:rsidR="00AB1094" w:rsidRPr="00F4423A" w14:paraId="529C3EF4" w14:textId="77777777" w:rsidTr="00E05D8D">
        <w:trPr>
          <w:trHeight w:val="283"/>
        </w:trPr>
        <w:tc>
          <w:tcPr>
            <w:tcW w:w="4111" w:type="dxa"/>
            <w:noWrap/>
            <w:vAlign w:val="center"/>
            <w:hideMark/>
          </w:tcPr>
          <w:p w14:paraId="65B32F1C" w14:textId="5E8DF694" w:rsidR="00AB1094" w:rsidRPr="00F4423A" w:rsidRDefault="00AB1094" w:rsidP="00AB1094">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BM burden at day 0 (%median, range)</w:t>
            </w:r>
          </w:p>
        </w:tc>
        <w:tc>
          <w:tcPr>
            <w:tcW w:w="1890" w:type="dxa"/>
            <w:noWrap/>
            <w:vAlign w:val="center"/>
            <w:hideMark/>
          </w:tcPr>
          <w:p w14:paraId="26233CAF" w14:textId="77777777" w:rsidR="00AB1094" w:rsidRPr="00F4423A" w:rsidRDefault="00AB1094" w:rsidP="00AB1094">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24.7 (3.8-91.8)</w:t>
            </w:r>
          </w:p>
        </w:tc>
        <w:tc>
          <w:tcPr>
            <w:tcW w:w="1890" w:type="dxa"/>
            <w:vAlign w:val="center"/>
          </w:tcPr>
          <w:p w14:paraId="30DBD48D"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42 (21.3-90.0)</w:t>
            </w:r>
          </w:p>
        </w:tc>
        <w:tc>
          <w:tcPr>
            <w:tcW w:w="1890" w:type="dxa"/>
            <w:vAlign w:val="center"/>
          </w:tcPr>
          <w:p w14:paraId="7C75E9EE"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65.3 (11.0-85.0)</w:t>
            </w:r>
          </w:p>
        </w:tc>
      </w:tr>
      <w:tr w:rsidR="00AB1094" w:rsidRPr="00F4423A" w14:paraId="610A4540" w14:textId="77777777" w:rsidTr="00E05D8D">
        <w:trPr>
          <w:trHeight w:val="283"/>
        </w:trPr>
        <w:tc>
          <w:tcPr>
            <w:tcW w:w="4111" w:type="dxa"/>
            <w:noWrap/>
            <w:vAlign w:val="center"/>
            <w:hideMark/>
          </w:tcPr>
          <w:p w14:paraId="4F27FB45" w14:textId="60350A18" w:rsidR="00AB1094" w:rsidRPr="00F4423A" w:rsidRDefault="00AB1094" w:rsidP="00AB1094">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Peripheral blasts at day 0 (%median, range)</w:t>
            </w:r>
          </w:p>
        </w:tc>
        <w:tc>
          <w:tcPr>
            <w:tcW w:w="1890" w:type="dxa"/>
            <w:noWrap/>
            <w:vAlign w:val="center"/>
            <w:hideMark/>
          </w:tcPr>
          <w:p w14:paraId="4BDF5DBB" w14:textId="77777777" w:rsidR="00AB1094" w:rsidRPr="00F4423A" w:rsidRDefault="00AB1094" w:rsidP="00AB1094">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8.6 (0.2-97.1)</w:t>
            </w:r>
          </w:p>
        </w:tc>
        <w:tc>
          <w:tcPr>
            <w:tcW w:w="1890" w:type="dxa"/>
            <w:vAlign w:val="center"/>
          </w:tcPr>
          <w:p w14:paraId="531BBCB4"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25.3 (0.7-88.0)</w:t>
            </w:r>
          </w:p>
        </w:tc>
        <w:tc>
          <w:tcPr>
            <w:tcW w:w="1890" w:type="dxa"/>
            <w:vAlign w:val="center"/>
          </w:tcPr>
          <w:p w14:paraId="6A232333" w14:textId="777777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54.2 (30-78.4)</w:t>
            </w:r>
          </w:p>
        </w:tc>
      </w:tr>
      <w:tr w:rsidR="00AB1094" w:rsidRPr="00F4423A" w14:paraId="4B93CD31" w14:textId="77777777" w:rsidTr="00E05D8D">
        <w:trPr>
          <w:trHeight w:val="283"/>
        </w:trPr>
        <w:tc>
          <w:tcPr>
            <w:tcW w:w="4111" w:type="dxa"/>
            <w:noWrap/>
            <w:vAlign w:val="center"/>
          </w:tcPr>
          <w:p w14:paraId="620F8D67" w14:textId="76325052" w:rsidR="00AB1094" w:rsidRPr="00F4423A" w:rsidRDefault="00AB1094" w:rsidP="00AB1094">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Day 28 BM burden (%median, range) [</w:t>
            </w:r>
            <w:r w:rsidRPr="00F4423A">
              <w:rPr>
                <w:rFonts w:ascii="Calibri" w:eastAsia="Times New Roman" w:hAnsi="Calibri" w:cs="Times New Roman"/>
                <w:i/>
                <w:color w:val="000000"/>
                <w:lang w:eastAsia="en-GB"/>
              </w:rPr>
              <w:t>n</w:t>
            </w:r>
            <w:r w:rsidRPr="00F4423A">
              <w:rPr>
                <w:rFonts w:ascii="Calibri" w:eastAsia="Times New Roman" w:hAnsi="Calibri" w:cs="Times New Roman"/>
                <w:color w:val="000000"/>
                <w:lang w:eastAsia="en-GB"/>
              </w:rPr>
              <w:t xml:space="preserve"> assessed]</w:t>
            </w:r>
          </w:p>
        </w:tc>
        <w:tc>
          <w:tcPr>
            <w:tcW w:w="1890" w:type="dxa"/>
            <w:noWrap/>
            <w:vAlign w:val="center"/>
          </w:tcPr>
          <w:p w14:paraId="09B08A81" w14:textId="1E8C563F" w:rsidR="00AB1094" w:rsidRPr="00F4423A" w:rsidRDefault="00AB1094" w:rsidP="00AB1094">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10.75 (0.1-72) [</w:t>
            </w:r>
            <w:r w:rsidRPr="006D4401">
              <w:rPr>
                <w:rFonts w:eastAsia="Times New Roman" w:cs="Times New Roman"/>
                <w:color w:val="000000"/>
                <w:lang w:eastAsia="en-GB"/>
              </w:rPr>
              <w:t>6</w:t>
            </w:r>
            <w:r w:rsidRPr="00F4423A">
              <w:rPr>
                <w:rFonts w:eastAsia="Times New Roman" w:cs="Times New Roman"/>
                <w:color w:val="000000"/>
                <w:lang w:eastAsia="en-GB"/>
              </w:rPr>
              <w:t>]</w:t>
            </w:r>
          </w:p>
        </w:tc>
        <w:tc>
          <w:tcPr>
            <w:tcW w:w="1890" w:type="dxa"/>
            <w:vAlign w:val="center"/>
          </w:tcPr>
          <w:p w14:paraId="54BE216C" w14:textId="660654CD"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0.90 (0.12-60) [12]</w:t>
            </w:r>
          </w:p>
        </w:tc>
        <w:tc>
          <w:tcPr>
            <w:tcW w:w="1890" w:type="dxa"/>
            <w:vAlign w:val="center"/>
          </w:tcPr>
          <w:p w14:paraId="1D150CAB" w14:textId="26BFC19A"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1.75 (0.4-2.5) [5]</w:t>
            </w:r>
          </w:p>
        </w:tc>
      </w:tr>
      <w:tr w:rsidR="00AB1094" w:rsidRPr="00F4423A" w14:paraId="3CD00F74" w14:textId="77777777" w:rsidTr="00E05D8D">
        <w:trPr>
          <w:trHeight w:val="283"/>
        </w:trPr>
        <w:tc>
          <w:tcPr>
            <w:tcW w:w="4111" w:type="dxa"/>
            <w:noWrap/>
            <w:vAlign w:val="center"/>
          </w:tcPr>
          <w:p w14:paraId="6B4EC4D2" w14:textId="181B8E4B" w:rsidR="00AB1094" w:rsidRPr="00F4423A" w:rsidRDefault="00AB1094" w:rsidP="00AB1094">
            <w:pPr>
              <w:spacing w:after="0" w:line="240" w:lineRule="auto"/>
              <w:rPr>
                <w:rFonts w:ascii="Calibri" w:eastAsia="Times New Roman" w:hAnsi="Calibri" w:cs="Times New Roman"/>
                <w:color w:val="000000"/>
                <w:lang w:eastAsia="en-GB"/>
              </w:rPr>
            </w:pPr>
            <w:r w:rsidRPr="00F4423A">
              <w:rPr>
                <w:rFonts w:ascii="Calibri" w:eastAsia="Times New Roman" w:hAnsi="Calibri" w:cs="Times New Roman"/>
                <w:color w:val="000000"/>
                <w:lang w:eastAsia="en-GB"/>
              </w:rPr>
              <w:t>Treatment-related mortality (</w:t>
            </w:r>
            <w:r w:rsidRPr="00F4423A">
              <w:rPr>
                <w:rFonts w:ascii="Calibri" w:eastAsia="Times New Roman" w:hAnsi="Calibri" w:cs="Times New Roman"/>
                <w:i/>
                <w:color w:val="000000"/>
                <w:lang w:eastAsia="en-GB"/>
              </w:rPr>
              <w:t>n</w:t>
            </w:r>
            <w:r w:rsidRPr="00F4423A">
              <w:rPr>
                <w:rFonts w:ascii="Calibri" w:eastAsia="Times New Roman" w:hAnsi="Calibri" w:cs="Times New Roman"/>
                <w:color w:val="000000"/>
                <w:lang w:eastAsia="en-GB"/>
              </w:rPr>
              <w:t>)</w:t>
            </w:r>
          </w:p>
        </w:tc>
        <w:tc>
          <w:tcPr>
            <w:tcW w:w="1890" w:type="dxa"/>
            <w:noWrap/>
            <w:vAlign w:val="center"/>
          </w:tcPr>
          <w:p w14:paraId="47E19F01" w14:textId="3B20B448" w:rsidR="00AB1094" w:rsidRPr="00F4423A" w:rsidRDefault="00AB1094" w:rsidP="00AB1094">
            <w:pPr>
              <w:spacing w:after="0" w:line="240" w:lineRule="auto"/>
              <w:jc w:val="center"/>
              <w:rPr>
                <w:rFonts w:eastAsia="Times New Roman" w:cs="Times New Roman"/>
                <w:color w:val="000000"/>
                <w:lang w:eastAsia="en-GB"/>
              </w:rPr>
            </w:pPr>
            <w:r w:rsidRPr="00F4423A">
              <w:rPr>
                <w:rFonts w:eastAsia="Times New Roman" w:cs="Times New Roman"/>
                <w:color w:val="000000"/>
                <w:lang w:eastAsia="en-GB"/>
              </w:rPr>
              <w:t>0</w:t>
            </w:r>
          </w:p>
        </w:tc>
        <w:tc>
          <w:tcPr>
            <w:tcW w:w="1890" w:type="dxa"/>
            <w:vAlign w:val="center"/>
          </w:tcPr>
          <w:p w14:paraId="359DC6CD" w14:textId="5030EE77"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0</w:t>
            </w:r>
          </w:p>
        </w:tc>
        <w:tc>
          <w:tcPr>
            <w:tcW w:w="1890" w:type="dxa"/>
            <w:vAlign w:val="center"/>
          </w:tcPr>
          <w:p w14:paraId="00E06D5C" w14:textId="3261178E" w:rsidR="00AB1094" w:rsidRPr="00F4423A" w:rsidRDefault="00AB1094" w:rsidP="00AB1094">
            <w:pPr>
              <w:spacing w:after="0" w:line="240" w:lineRule="auto"/>
              <w:jc w:val="center"/>
              <w:rPr>
                <w:rFonts w:eastAsia="Times New Roman" w:cs="Times New Roman"/>
                <w:lang w:eastAsia="en-GB"/>
              </w:rPr>
            </w:pPr>
            <w:r w:rsidRPr="00F4423A">
              <w:rPr>
                <w:rFonts w:eastAsia="Times New Roman" w:cs="Times New Roman"/>
                <w:lang w:eastAsia="en-GB"/>
              </w:rPr>
              <w:t>1</w:t>
            </w:r>
          </w:p>
        </w:tc>
      </w:tr>
    </w:tbl>
    <w:p w14:paraId="0033BF2D" w14:textId="77777777" w:rsidR="00BC1CD9" w:rsidRDefault="00BC1CD9" w:rsidP="00BC1CD9">
      <w:pPr>
        <w:spacing w:after="0" w:line="240" w:lineRule="auto"/>
        <w:jc w:val="both"/>
        <w:rPr>
          <w:rFonts w:cs="Arial"/>
          <w:sz w:val="24"/>
          <w:szCs w:val="24"/>
        </w:rPr>
      </w:pPr>
    </w:p>
    <w:p w14:paraId="5C39C3D0" w14:textId="5B1363C7" w:rsidR="00BC1CD9" w:rsidRDefault="00BC1CD9" w:rsidP="00BC1CD9">
      <w:pPr>
        <w:spacing w:after="0" w:line="240" w:lineRule="auto"/>
        <w:jc w:val="both"/>
        <w:rPr>
          <w:rFonts w:cs="Arial"/>
          <w:sz w:val="24"/>
          <w:szCs w:val="24"/>
        </w:rPr>
      </w:pPr>
      <w:r w:rsidRPr="003E791A">
        <w:rPr>
          <w:rFonts w:cs="Arial"/>
          <w:b/>
          <w:sz w:val="24"/>
          <w:szCs w:val="24"/>
        </w:rPr>
        <w:t xml:space="preserve">Table </w:t>
      </w:r>
      <w:r>
        <w:rPr>
          <w:rFonts w:cs="Arial"/>
          <w:b/>
          <w:sz w:val="24"/>
          <w:szCs w:val="24"/>
        </w:rPr>
        <w:t>1</w:t>
      </w:r>
      <w:r w:rsidRPr="003E791A">
        <w:rPr>
          <w:rFonts w:cs="Arial"/>
          <w:b/>
          <w:sz w:val="24"/>
          <w:szCs w:val="24"/>
        </w:rPr>
        <w:t>: Patient characteristics.</w:t>
      </w:r>
      <w:r>
        <w:rPr>
          <w:rFonts w:cs="Arial"/>
          <w:sz w:val="24"/>
          <w:szCs w:val="24"/>
        </w:rPr>
        <w:t xml:space="preserve"> LD, low-dose cytarabine; SD, standard-dose cytarabine; HD, high-dose cytarabine; </w:t>
      </w:r>
      <w:r w:rsidR="00F4423A">
        <w:rPr>
          <w:rFonts w:cs="Arial"/>
          <w:sz w:val="24"/>
          <w:szCs w:val="24"/>
        </w:rPr>
        <w:t xml:space="preserve">FLAG-IDA, </w:t>
      </w:r>
      <w:proofErr w:type="spellStart"/>
      <w:r w:rsidR="00F4423A">
        <w:rPr>
          <w:rFonts w:cs="Arial"/>
          <w:sz w:val="24"/>
          <w:szCs w:val="24"/>
        </w:rPr>
        <w:t>fludarabine</w:t>
      </w:r>
      <w:proofErr w:type="spellEnd"/>
      <w:r w:rsidR="00F4423A">
        <w:rPr>
          <w:rFonts w:cs="Arial"/>
          <w:sz w:val="24"/>
          <w:szCs w:val="24"/>
        </w:rPr>
        <w:t xml:space="preserve">, cytarabine, GM-CSF, </w:t>
      </w:r>
      <w:proofErr w:type="spellStart"/>
      <w:r w:rsidR="00F4423A">
        <w:rPr>
          <w:rFonts w:cs="Arial"/>
          <w:sz w:val="24"/>
          <w:szCs w:val="24"/>
        </w:rPr>
        <w:t>idarubicin</w:t>
      </w:r>
      <w:proofErr w:type="spellEnd"/>
      <w:r w:rsidR="00F4423A">
        <w:rPr>
          <w:rFonts w:cs="Arial"/>
          <w:sz w:val="24"/>
          <w:szCs w:val="24"/>
        </w:rPr>
        <w:t xml:space="preserve">; </w:t>
      </w:r>
      <w:r>
        <w:rPr>
          <w:rFonts w:cs="Arial"/>
          <w:sz w:val="24"/>
          <w:szCs w:val="24"/>
        </w:rPr>
        <w:t>FAB, French-American-British classification; WBC, white cell count; BM, bone marrow; MDS, myelodysplastic syndrome; BSA, body surface area.</w:t>
      </w:r>
    </w:p>
    <w:p w14:paraId="3248DE1C" w14:textId="77777777" w:rsidR="00D44B18" w:rsidRDefault="00D44B18" w:rsidP="00BC1CD9">
      <w:pPr>
        <w:spacing w:after="0" w:line="240" w:lineRule="auto"/>
        <w:jc w:val="both"/>
        <w:rPr>
          <w:rFonts w:cs="Arial"/>
          <w:sz w:val="24"/>
          <w:szCs w:val="24"/>
        </w:rPr>
      </w:pPr>
    </w:p>
    <w:p w14:paraId="28A52809" w14:textId="77777777" w:rsidR="00144FB0" w:rsidRDefault="00144FB0" w:rsidP="00DC547F">
      <w:pPr>
        <w:spacing w:after="0" w:line="240" w:lineRule="auto"/>
        <w:jc w:val="both"/>
        <w:rPr>
          <w:rFonts w:cs="Arial"/>
          <w:b/>
          <w:sz w:val="24"/>
          <w:szCs w:val="24"/>
        </w:rPr>
        <w:sectPr w:rsidR="00144FB0">
          <w:pgSz w:w="11906" w:h="16838"/>
          <w:pgMar w:top="1440" w:right="1440" w:bottom="1440" w:left="1440" w:header="708" w:footer="708" w:gutter="0"/>
          <w:cols w:space="708"/>
          <w:docGrid w:linePitch="360"/>
        </w:sectPr>
      </w:pPr>
    </w:p>
    <w:p w14:paraId="7CD22E06" w14:textId="66140232" w:rsidR="006B5FE4" w:rsidRPr="006B5FE4" w:rsidRDefault="006B5FE4" w:rsidP="00DC547F">
      <w:pPr>
        <w:spacing w:after="0" w:line="240" w:lineRule="auto"/>
        <w:jc w:val="both"/>
        <w:rPr>
          <w:rFonts w:cs="Arial"/>
          <w:b/>
          <w:sz w:val="24"/>
          <w:szCs w:val="24"/>
        </w:rPr>
      </w:pPr>
      <w:r w:rsidRPr="006B5FE4">
        <w:rPr>
          <w:rFonts w:cs="Arial"/>
          <w:b/>
          <w:sz w:val="24"/>
          <w:szCs w:val="24"/>
        </w:rPr>
        <w:lastRenderedPageBreak/>
        <w:t>Results</w:t>
      </w:r>
      <w:r>
        <w:rPr>
          <w:rFonts w:cs="Arial"/>
          <w:b/>
          <w:sz w:val="24"/>
          <w:szCs w:val="24"/>
        </w:rPr>
        <w:t xml:space="preserve"> and Discussion</w:t>
      </w:r>
    </w:p>
    <w:p w14:paraId="0FBF6266" w14:textId="77777777" w:rsidR="006B5FE4" w:rsidRPr="005C5580" w:rsidRDefault="006B5FE4" w:rsidP="00DC547F">
      <w:pPr>
        <w:spacing w:after="0" w:line="240" w:lineRule="auto"/>
        <w:jc w:val="both"/>
        <w:rPr>
          <w:rFonts w:cs="Arial"/>
          <w:sz w:val="24"/>
          <w:szCs w:val="24"/>
        </w:rPr>
      </w:pPr>
    </w:p>
    <w:p w14:paraId="60FC82C3" w14:textId="3C25B9C4" w:rsidR="0034630E" w:rsidRDefault="00860302" w:rsidP="00860302">
      <w:pPr>
        <w:spacing w:after="0" w:line="240" w:lineRule="auto"/>
        <w:jc w:val="both"/>
        <w:rPr>
          <w:sz w:val="24"/>
          <w:szCs w:val="24"/>
        </w:rPr>
      </w:pPr>
      <w:r>
        <w:rPr>
          <w:rFonts w:cs="Arial"/>
          <w:sz w:val="24"/>
          <w:szCs w:val="24"/>
        </w:rPr>
        <w:t>M</w:t>
      </w:r>
      <w:r w:rsidR="00896425" w:rsidRPr="00C26F1E">
        <w:rPr>
          <w:rFonts w:cs="Arial"/>
          <w:sz w:val="24"/>
          <w:szCs w:val="24"/>
        </w:rPr>
        <w:t>easur</w:t>
      </w:r>
      <w:r w:rsidR="00896425">
        <w:rPr>
          <w:rFonts w:cs="Arial"/>
          <w:sz w:val="24"/>
          <w:szCs w:val="24"/>
        </w:rPr>
        <w:t>ement of</w:t>
      </w:r>
      <w:r w:rsidR="00896425" w:rsidRPr="00C26F1E">
        <w:rPr>
          <w:rFonts w:cs="Arial"/>
          <w:sz w:val="24"/>
          <w:szCs w:val="24"/>
        </w:rPr>
        <w:t xml:space="preserve"> circulating blast intracellular </w:t>
      </w:r>
      <w:proofErr w:type="spellStart"/>
      <w:r w:rsidR="00896425" w:rsidRPr="00C26F1E">
        <w:rPr>
          <w:rFonts w:cs="Arial"/>
          <w:sz w:val="24"/>
          <w:szCs w:val="24"/>
        </w:rPr>
        <w:t>ara</w:t>
      </w:r>
      <w:proofErr w:type="spellEnd"/>
      <w:r w:rsidR="00896425" w:rsidRPr="00C26F1E">
        <w:rPr>
          <w:rFonts w:cs="Arial"/>
          <w:sz w:val="24"/>
          <w:szCs w:val="24"/>
        </w:rPr>
        <w:t xml:space="preserve">-CTP concentration post-treatment </w:t>
      </w:r>
      <w:r w:rsidR="00B15A54">
        <w:rPr>
          <w:rFonts w:cs="Arial"/>
          <w:sz w:val="24"/>
          <w:szCs w:val="24"/>
        </w:rPr>
        <w:t xml:space="preserve">(expressed as </w:t>
      </w:r>
      <w:proofErr w:type="gramStart"/>
      <w:r w:rsidR="00B15A54">
        <w:rPr>
          <w:rFonts w:cs="Arial"/>
          <w:sz w:val="24"/>
          <w:szCs w:val="24"/>
        </w:rPr>
        <w:t>SI%</w:t>
      </w:r>
      <w:proofErr w:type="gramEnd"/>
      <w:r w:rsidR="00B15A54">
        <w:rPr>
          <w:rFonts w:cs="Arial"/>
          <w:sz w:val="24"/>
          <w:szCs w:val="24"/>
        </w:rPr>
        <w:t xml:space="preserve">) </w:t>
      </w:r>
      <w:r w:rsidR="00896425">
        <w:rPr>
          <w:rFonts w:cs="Arial"/>
          <w:sz w:val="24"/>
          <w:szCs w:val="24"/>
        </w:rPr>
        <w:t>was possible in all treatment groups ove</w:t>
      </w:r>
      <w:r w:rsidR="00687391">
        <w:rPr>
          <w:rFonts w:cs="Arial"/>
          <w:sz w:val="24"/>
          <w:szCs w:val="24"/>
        </w:rPr>
        <w:t>r the initial 24 hours (Figure</w:t>
      </w:r>
      <w:r w:rsidR="00533E06">
        <w:rPr>
          <w:rFonts w:cs="Arial"/>
          <w:sz w:val="24"/>
          <w:szCs w:val="24"/>
        </w:rPr>
        <w:t xml:space="preserve"> 1A</w:t>
      </w:r>
      <w:r w:rsidR="00896425">
        <w:rPr>
          <w:rFonts w:cs="Arial"/>
          <w:sz w:val="24"/>
          <w:szCs w:val="24"/>
        </w:rPr>
        <w:t xml:space="preserve">), with the greatest discrimination observed </w:t>
      </w:r>
      <w:r w:rsidR="00896425" w:rsidRPr="002453B0">
        <w:rPr>
          <w:rFonts w:cs="Arial"/>
          <w:sz w:val="24"/>
          <w:szCs w:val="24"/>
        </w:rPr>
        <w:t>between HD (</w:t>
      </w:r>
      <w:r w:rsidR="002453B0" w:rsidRPr="002453B0">
        <w:rPr>
          <w:rFonts w:cs="Arial"/>
          <w:sz w:val="24"/>
          <w:szCs w:val="24"/>
        </w:rPr>
        <w:t xml:space="preserve">max </w:t>
      </w:r>
      <w:r w:rsidR="00896425" w:rsidRPr="002453B0">
        <w:rPr>
          <w:rFonts w:cs="Arial"/>
          <w:i/>
          <w:sz w:val="24"/>
          <w:szCs w:val="24"/>
        </w:rPr>
        <w:t>n</w:t>
      </w:r>
      <w:r w:rsidR="00896425" w:rsidRPr="002453B0">
        <w:rPr>
          <w:rFonts w:cs="Arial"/>
          <w:sz w:val="24"/>
          <w:szCs w:val="24"/>
        </w:rPr>
        <w:t>=6) and SD (</w:t>
      </w:r>
      <w:r w:rsidR="002453B0" w:rsidRPr="002453B0">
        <w:rPr>
          <w:rFonts w:cs="Arial"/>
          <w:sz w:val="24"/>
          <w:szCs w:val="24"/>
        </w:rPr>
        <w:t xml:space="preserve">max </w:t>
      </w:r>
      <w:r w:rsidR="00896425" w:rsidRPr="002453B0">
        <w:rPr>
          <w:rFonts w:cs="Arial"/>
          <w:i/>
          <w:sz w:val="24"/>
          <w:szCs w:val="24"/>
        </w:rPr>
        <w:t>n</w:t>
      </w:r>
      <w:r w:rsidR="00896425" w:rsidRPr="002453B0">
        <w:rPr>
          <w:rFonts w:cs="Arial"/>
          <w:sz w:val="24"/>
          <w:szCs w:val="24"/>
        </w:rPr>
        <w:t>=11) patients</w:t>
      </w:r>
      <w:r w:rsidR="00234541">
        <w:rPr>
          <w:rFonts w:cs="Arial"/>
          <w:sz w:val="24"/>
          <w:szCs w:val="24"/>
        </w:rPr>
        <w:t xml:space="preserve"> (</w:t>
      </w:r>
      <w:r w:rsidR="00234541" w:rsidRPr="00143398">
        <w:rPr>
          <w:rFonts w:cs="Arial"/>
          <w:i/>
          <w:sz w:val="24"/>
          <w:szCs w:val="24"/>
        </w:rPr>
        <w:t>p</w:t>
      </w:r>
      <w:r w:rsidR="00234541">
        <w:rPr>
          <w:rFonts w:cs="Arial"/>
          <w:sz w:val="24"/>
          <w:szCs w:val="24"/>
        </w:rPr>
        <w:t>&lt;0.05</w:t>
      </w:r>
      <w:r w:rsidR="00D365EC">
        <w:rPr>
          <w:rFonts w:cs="Arial"/>
          <w:sz w:val="24"/>
          <w:szCs w:val="24"/>
        </w:rPr>
        <w:t xml:space="preserve"> at all time-points collected</w:t>
      </w:r>
      <w:r w:rsidR="00234541">
        <w:rPr>
          <w:rFonts w:cs="Arial"/>
          <w:sz w:val="24"/>
          <w:szCs w:val="24"/>
        </w:rPr>
        <w:t>)</w:t>
      </w:r>
      <w:r w:rsidRPr="00B91564">
        <w:rPr>
          <w:sz w:val="24"/>
          <w:szCs w:val="24"/>
        </w:rPr>
        <w:t>.</w:t>
      </w:r>
      <w:r w:rsidR="009E05EF">
        <w:rPr>
          <w:sz w:val="24"/>
          <w:szCs w:val="24"/>
        </w:rPr>
        <w:t xml:space="preserve"> </w:t>
      </w:r>
      <w:r w:rsidR="009E05EF">
        <w:rPr>
          <w:rFonts w:cs="Arial"/>
          <w:sz w:val="24"/>
          <w:szCs w:val="24"/>
        </w:rPr>
        <w:t>P</w:t>
      </w:r>
      <w:r w:rsidR="009E05EF" w:rsidRPr="009E05EF">
        <w:rPr>
          <w:sz w:val="24"/>
          <w:szCs w:val="24"/>
        </w:rPr>
        <w:t>eripheral LAIP counts were</w:t>
      </w:r>
      <w:r w:rsidR="009E05EF">
        <w:rPr>
          <w:sz w:val="24"/>
          <w:szCs w:val="24"/>
        </w:rPr>
        <w:t xml:space="preserve"> sufficient</w:t>
      </w:r>
      <w:r w:rsidR="009E05EF" w:rsidRPr="00B91564">
        <w:rPr>
          <w:sz w:val="24"/>
          <w:szCs w:val="24"/>
        </w:rPr>
        <w:t xml:space="preserve"> for </w:t>
      </w:r>
      <w:proofErr w:type="spellStart"/>
      <w:r w:rsidR="009E05EF" w:rsidRPr="00B91564">
        <w:rPr>
          <w:sz w:val="24"/>
          <w:szCs w:val="24"/>
        </w:rPr>
        <w:t>ara</w:t>
      </w:r>
      <w:proofErr w:type="spellEnd"/>
      <w:r w:rsidR="009E05EF" w:rsidRPr="00B91564">
        <w:rPr>
          <w:sz w:val="24"/>
          <w:szCs w:val="24"/>
        </w:rPr>
        <w:t>-CTP analysis</w:t>
      </w:r>
      <w:r w:rsidR="009E05EF">
        <w:rPr>
          <w:sz w:val="24"/>
          <w:szCs w:val="24"/>
        </w:rPr>
        <w:t xml:space="preserve"> from a single vacutainer (4 mL, </w:t>
      </w:r>
      <w:r w:rsidR="009E05EF">
        <w:rPr>
          <w:rFonts w:cstheme="minorHAnsi"/>
          <w:sz w:val="24"/>
          <w:szCs w:val="24"/>
        </w:rPr>
        <w:t>≥</w:t>
      </w:r>
      <w:r w:rsidR="009E05EF">
        <w:rPr>
          <w:sz w:val="24"/>
          <w:szCs w:val="24"/>
        </w:rPr>
        <w:t>2x10</w:t>
      </w:r>
      <w:r w:rsidR="009E05EF" w:rsidRPr="00002690">
        <w:rPr>
          <w:sz w:val="24"/>
          <w:szCs w:val="24"/>
          <w:vertAlign w:val="superscript"/>
        </w:rPr>
        <w:t>6</w:t>
      </w:r>
      <w:r w:rsidR="009E05EF">
        <w:rPr>
          <w:sz w:val="24"/>
          <w:szCs w:val="24"/>
        </w:rPr>
        <w:t xml:space="preserve"> blasts)</w:t>
      </w:r>
      <w:r w:rsidR="009E05EF" w:rsidRPr="00B91564">
        <w:rPr>
          <w:sz w:val="24"/>
          <w:szCs w:val="24"/>
        </w:rPr>
        <w:t xml:space="preserve"> </w:t>
      </w:r>
      <w:r w:rsidR="009E05EF">
        <w:rPr>
          <w:sz w:val="24"/>
          <w:szCs w:val="24"/>
        </w:rPr>
        <w:t>in all patient groups over</w:t>
      </w:r>
      <w:r w:rsidR="009E05EF" w:rsidRPr="00B91564">
        <w:rPr>
          <w:sz w:val="24"/>
          <w:szCs w:val="24"/>
        </w:rPr>
        <w:t xml:space="preserve"> the initial 24 hours</w:t>
      </w:r>
      <w:r w:rsidR="009E05EF">
        <w:rPr>
          <w:sz w:val="24"/>
          <w:szCs w:val="24"/>
        </w:rPr>
        <w:t xml:space="preserve"> </w:t>
      </w:r>
      <w:r w:rsidR="002453B0">
        <w:rPr>
          <w:sz w:val="24"/>
          <w:szCs w:val="24"/>
        </w:rPr>
        <w:t>(LD</w:t>
      </w:r>
      <w:proofErr w:type="gramStart"/>
      <w:r w:rsidR="002453B0">
        <w:rPr>
          <w:sz w:val="24"/>
          <w:szCs w:val="24"/>
        </w:rPr>
        <w:t>:100</w:t>
      </w:r>
      <w:proofErr w:type="gramEnd"/>
      <w:r w:rsidR="002453B0">
        <w:rPr>
          <w:sz w:val="24"/>
          <w:szCs w:val="24"/>
        </w:rPr>
        <w:t>%; SD:77%; HD:80</w:t>
      </w:r>
      <w:r w:rsidR="00D15A77">
        <w:rPr>
          <w:sz w:val="24"/>
          <w:szCs w:val="24"/>
        </w:rPr>
        <w:t xml:space="preserve">%) </w:t>
      </w:r>
      <w:r w:rsidR="00A15B8A">
        <w:rPr>
          <w:sz w:val="24"/>
          <w:szCs w:val="24"/>
        </w:rPr>
        <w:t>(Figure A.1</w:t>
      </w:r>
      <w:r w:rsidR="007832F8">
        <w:rPr>
          <w:sz w:val="24"/>
          <w:szCs w:val="24"/>
        </w:rPr>
        <w:t>A</w:t>
      </w:r>
      <w:r w:rsidR="009E05EF">
        <w:rPr>
          <w:sz w:val="24"/>
          <w:szCs w:val="24"/>
        </w:rPr>
        <w:t>)</w:t>
      </w:r>
      <w:r w:rsidR="009E05EF" w:rsidRPr="00B91564">
        <w:rPr>
          <w:sz w:val="24"/>
          <w:szCs w:val="24"/>
        </w:rPr>
        <w:t xml:space="preserve">, </w:t>
      </w:r>
      <w:r w:rsidR="009E05EF">
        <w:rPr>
          <w:sz w:val="24"/>
          <w:szCs w:val="24"/>
        </w:rPr>
        <w:t>with</w:t>
      </w:r>
      <w:r w:rsidR="009E05EF" w:rsidRPr="00002690">
        <w:rPr>
          <w:sz w:val="24"/>
          <w:szCs w:val="24"/>
        </w:rPr>
        <w:t xml:space="preserve"> a dose-dependent decrease </w:t>
      </w:r>
      <w:r w:rsidR="009E05EF">
        <w:rPr>
          <w:sz w:val="24"/>
          <w:szCs w:val="24"/>
        </w:rPr>
        <w:t xml:space="preserve">in LAIP </w:t>
      </w:r>
      <w:r w:rsidR="009E05EF" w:rsidRPr="00002690">
        <w:rPr>
          <w:sz w:val="24"/>
          <w:szCs w:val="24"/>
        </w:rPr>
        <w:t>over the initial 72 hours of therapy (</w:t>
      </w:r>
      <w:r w:rsidR="009E05EF" w:rsidRPr="00533E06">
        <w:rPr>
          <w:sz w:val="24"/>
          <w:szCs w:val="24"/>
        </w:rPr>
        <w:t>Figure 1B</w:t>
      </w:r>
      <w:r w:rsidR="009E05EF" w:rsidRPr="00002690">
        <w:rPr>
          <w:sz w:val="24"/>
          <w:szCs w:val="24"/>
        </w:rPr>
        <w:t>)</w:t>
      </w:r>
      <w:r w:rsidR="009E05EF">
        <w:rPr>
          <w:sz w:val="24"/>
          <w:szCs w:val="24"/>
        </w:rPr>
        <w:t>. Limitations to assessment were</w:t>
      </w:r>
      <w:r w:rsidR="009E05EF" w:rsidRPr="009E05EF">
        <w:rPr>
          <w:sz w:val="24"/>
          <w:szCs w:val="24"/>
        </w:rPr>
        <w:t xml:space="preserve">: </w:t>
      </w:r>
      <w:r w:rsidR="009E05EF" w:rsidRPr="009E05EF">
        <w:rPr>
          <w:rFonts w:cs="Arial"/>
          <w:sz w:val="24"/>
          <w:szCs w:val="24"/>
        </w:rPr>
        <w:t xml:space="preserve">high rates of night-time sampling across </w:t>
      </w:r>
      <w:r w:rsidR="00C37841">
        <w:rPr>
          <w:rFonts w:cs="Arial"/>
          <w:sz w:val="24"/>
          <w:szCs w:val="24"/>
        </w:rPr>
        <w:t>all treatment groups</w:t>
      </w:r>
      <w:r w:rsidR="009E05EF" w:rsidRPr="009E05EF">
        <w:rPr>
          <w:rFonts w:cs="Arial"/>
          <w:sz w:val="24"/>
          <w:szCs w:val="24"/>
        </w:rPr>
        <w:t xml:space="preserve">; </w:t>
      </w:r>
      <w:r w:rsidR="009E05EF" w:rsidRPr="009E05EF">
        <w:rPr>
          <w:sz w:val="24"/>
          <w:szCs w:val="24"/>
        </w:rPr>
        <w:t>d</w:t>
      </w:r>
      <w:r w:rsidR="00002690" w:rsidRPr="009E05EF">
        <w:rPr>
          <w:sz w:val="24"/>
          <w:szCs w:val="24"/>
        </w:rPr>
        <w:t xml:space="preserve">ecreasing peripheral burden </w:t>
      </w:r>
      <w:r w:rsidR="009E05EF" w:rsidRPr="009E05EF">
        <w:rPr>
          <w:sz w:val="24"/>
          <w:szCs w:val="24"/>
        </w:rPr>
        <w:t>in</w:t>
      </w:r>
      <w:r w:rsidR="005D03AB" w:rsidRPr="009E05EF">
        <w:rPr>
          <w:sz w:val="24"/>
          <w:szCs w:val="24"/>
        </w:rPr>
        <w:t xml:space="preserve"> </w:t>
      </w:r>
      <w:r w:rsidR="00002690" w:rsidRPr="009E05EF">
        <w:rPr>
          <w:sz w:val="24"/>
          <w:szCs w:val="24"/>
        </w:rPr>
        <w:t>HD</w:t>
      </w:r>
      <w:r w:rsidR="005D03AB" w:rsidRPr="009E05EF">
        <w:rPr>
          <w:sz w:val="24"/>
          <w:szCs w:val="24"/>
        </w:rPr>
        <w:t xml:space="preserve"> patients (Figure 1B)</w:t>
      </w:r>
      <w:r w:rsidR="009E05EF" w:rsidRPr="009E05EF">
        <w:rPr>
          <w:sz w:val="24"/>
          <w:szCs w:val="24"/>
        </w:rPr>
        <w:t>;</w:t>
      </w:r>
      <w:r w:rsidR="00002690" w:rsidRPr="009E05EF">
        <w:rPr>
          <w:sz w:val="24"/>
          <w:szCs w:val="24"/>
        </w:rPr>
        <w:t xml:space="preserve"> </w:t>
      </w:r>
      <w:r w:rsidR="009E05EF" w:rsidRPr="009E05EF">
        <w:rPr>
          <w:sz w:val="24"/>
          <w:szCs w:val="24"/>
        </w:rPr>
        <w:t>a high proportion of LD patients with results below the limit of detection</w:t>
      </w:r>
      <w:r w:rsidR="001A19F7">
        <w:rPr>
          <w:sz w:val="24"/>
          <w:szCs w:val="24"/>
        </w:rPr>
        <w:t xml:space="preserve"> </w:t>
      </w:r>
      <w:r w:rsidR="009E05EF" w:rsidRPr="009E05EF">
        <w:rPr>
          <w:sz w:val="24"/>
          <w:szCs w:val="24"/>
        </w:rPr>
        <w:t>of the assay</w:t>
      </w:r>
      <w:r w:rsidR="009E05EF">
        <w:rPr>
          <w:sz w:val="24"/>
          <w:szCs w:val="24"/>
        </w:rPr>
        <w:t xml:space="preserve"> </w:t>
      </w:r>
      <w:r w:rsidR="009E05EF" w:rsidRPr="009E05EF">
        <w:rPr>
          <w:sz w:val="24"/>
          <w:szCs w:val="24"/>
        </w:rPr>
        <w:t xml:space="preserve">(4/7); </w:t>
      </w:r>
      <w:r w:rsidR="00002690" w:rsidRPr="009E05EF">
        <w:rPr>
          <w:sz w:val="24"/>
          <w:szCs w:val="24"/>
        </w:rPr>
        <w:t>an</w:t>
      </w:r>
      <w:r w:rsidR="00002690" w:rsidRPr="002453B0">
        <w:rPr>
          <w:sz w:val="24"/>
          <w:szCs w:val="24"/>
        </w:rPr>
        <w:t xml:space="preserve">d </w:t>
      </w:r>
      <w:r w:rsidRPr="002453B0">
        <w:rPr>
          <w:sz w:val="24"/>
          <w:szCs w:val="24"/>
        </w:rPr>
        <w:t>discharge of LD patients at 48 hours (</w:t>
      </w:r>
      <w:r w:rsidR="00702746">
        <w:rPr>
          <w:sz w:val="24"/>
          <w:szCs w:val="24"/>
        </w:rPr>
        <w:t>1</w:t>
      </w:r>
      <w:r w:rsidR="002453B0" w:rsidRPr="002453B0">
        <w:rPr>
          <w:sz w:val="24"/>
          <w:szCs w:val="24"/>
        </w:rPr>
        <w:t>/7) and 72 hour</w:t>
      </w:r>
      <w:r w:rsidR="00702746">
        <w:rPr>
          <w:sz w:val="24"/>
          <w:szCs w:val="24"/>
        </w:rPr>
        <w:t>s (2</w:t>
      </w:r>
      <w:r w:rsidR="002453B0" w:rsidRPr="002453B0">
        <w:rPr>
          <w:sz w:val="24"/>
          <w:szCs w:val="24"/>
        </w:rPr>
        <w:t>/7</w:t>
      </w:r>
      <w:r w:rsidRPr="002453B0">
        <w:rPr>
          <w:sz w:val="24"/>
          <w:szCs w:val="24"/>
        </w:rPr>
        <w:t>)</w:t>
      </w:r>
      <w:r w:rsidR="00002690" w:rsidRPr="002453B0">
        <w:rPr>
          <w:sz w:val="24"/>
          <w:szCs w:val="24"/>
        </w:rPr>
        <w:t xml:space="preserve"> </w:t>
      </w:r>
      <w:r w:rsidR="001924DF" w:rsidRPr="002453B0">
        <w:rPr>
          <w:sz w:val="24"/>
          <w:szCs w:val="24"/>
        </w:rPr>
        <w:t>(Figure A.</w:t>
      </w:r>
      <w:r w:rsidR="00A15B8A" w:rsidRPr="002453B0">
        <w:rPr>
          <w:sz w:val="24"/>
          <w:szCs w:val="24"/>
        </w:rPr>
        <w:t>1</w:t>
      </w:r>
      <w:r w:rsidR="007832F8" w:rsidRPr="002453B0">
        <w:rPr>
          <w:sz w:val="24"/>
          <w:szCs w:val="24"/>
        </w:rPr>
        <w:t>A</w:t>
      </w:r>
      <w:r w:rsidR="0095096A" w:rsidRPr="002453B0">
        <w:rPr>
          <w:sz w:val="24"/>
          <w:szCs w:val="24"/>
        </w:rPr>
        <w:t>),</w:t>
      </w:r>
      <w:r w:rsidR="0095096A" w:rsidRPr="009E05EF">
        <w:rPr>
          <w:sz w:val="24"/>
          <w:szCs w:val="24"/>
        </w:rPr>
        <w:t xml:space="preserve"> </w:t>
      </w:r>
      <w:r w:rsidR="00002690" w:rsidRPr="009E05EF">
        <w:rPr>
          <w:sz w:val="24"/>
          <w:szCs w:val="24"/>
        </w:rPr>
        <w:t>as these patients</w:t>
      </w:r>
      <w:r w:rsidRPr="009E05EF">
        <w:rPr>
          <w:sz w:val="24"/>
          <w:szCs w:val="24"/>
        </w:rPr>
        <w:t xml:space="preserve"> can self-administer </w:t>
      </w:r>
      <w:r w:rsidR="00533E06" w:rsidRPr="009E05EF">
        <w:rPr>
          <w:sz w:val="24"/>
          <w:szCs w:val="24"/>
        </w:rPr>
        <w:t>cytarabine once stabilised</w:t>
      </w:r>
      <w:r w:rsidRPr="009E05EF">
        <w:rPr>
          <w:sz w:val="24"/>
          <w:szCs w:val="24"/>
        </w:rPr>
        <w:t>.</w:t>
      </w:r>
    </w:p>
    <w:p w14:paraId="4B00C23B" w14:textId="77777777" w:rsidR="0034630E" w:rsidRDefault="0034630E" w:rsidP="00860302">
      <w:pPr>
        <w:spacing w:after="0" w:line="240" w:lineRule="auto"/>
        <w:jc w:val="both"/>
        <w:rPr>
          <w:sz w:val="24"/>
          <w:szCs w:val="24"/>
        </w:rPr>
      </w:pPr>
    </w:p>
    <w:p w14:paraId="6B1FBCAD" w14:textId="72F6224E" w:rsidR="00E51AEC" w:rsidRDefault="00BE1854" w:rsidP="00860302">
      <w:pPr>
        <w:spacing w:after="0" w:line="240" w:lineRule="auto"/>
        <w:jc w:val="both"/>
        <w:rPr>
          <w:rFonts w:cs="Arial"/>
          <w:sz w:val="24"/>
          <w:szCs w:val="24"/>
        </w:rPr>
      </w:pPr>
      <w:r>
        <w:rPr>
          <w:rFonts w:cs="Arial"/>
          <w:sz w:val="24"/>
          <w:szCs w:val="24"/>
        </w:rPr>
        <w:t xml:space="preserve">For a proportion </w:t>
      </w:r>
      <w:r w:rsidRPr="002453B0">
        <w:rPr>
          <w:rFonts w:cs="Arial"/>
          <w:sz w:val="24"/>
          <w:szCs w:val="24"/>
        </w:rPr>
        <w:t xml:space="preserve">of patients (SD: </w:t>
      </w:r>
      <w:r w:rsidR="002453B0" w:rsidRPr="002453B0">
        <w:rPr>
          <w:rFonts w:cs="Arial"/>
          <w:sz w:val="24"/>
          <w:szCs w:val="24"/>
        </w:rPr>
        <w:t xml:space="preserve">max </w:t>
      </w:r>
      <w:r w:rsidRPr="002453B0">
        <w:rPr>
          <w:rFonts w:cs="Arial"/>
          <w:i/>
          <w:sz w:val="24"/>
          <w:szCs w:val="24"/>
        </w:rPr>
        <w:t>n</w:t>
      </w:r>
      <w:r w:rsidR="002453B0" w:rsidRPr="002453B0">
        <w:rPr>
          <w:rFonts w:cstheme="minorHAnsi"/>
          <w:sz w:val="24"/>
          <w:szCs w:val="24"/>
        </w:rPr>
        <w:t>=</w:t>
      </w:r>
      <w:r w:rsidRPr="002453B0">
        <w:rPr>
          <w:rFonts w:cs="Arial"/>
          <w:sz w:val="24"/>
          <w:szCs w:val="24"/>
        </w:rPr>
        <w:t>9</w:t>
      </w:r>
      <w:r w:rsidR="00121C81">
        <w:rPr>
          <w:rFonts w:cs="Arial"/>
          <w:sz w:val="24"/>
          <w:szCs w:val="24"/>
        </w:rPr>
        <w:t>;</w:t>
      </w:r>
      <w:r w:rsidR="00121C81" w:rsidRPr="00121C81">
        <w:rPr>
          <w:rFonts w:cs="Arial"/>
          <w:sz w:val="24"/>
          <w:szCs w:val="24"/>
        </w:rPr>
        <w:t xml:space="preserve"> </w:t>
      </w:r>
      <w:r w:rsidR="00121C81" w:rsidRPr="002453B0">
        <w:rPr>
          <w:rFonts w:cs="Arial"/>
          <w:sz w:val="24"/>
          <w:szCs w:val="24"/>
        </w:rPr>
        <w:t xml:space="preserve">HD: max </w:t>
      </w:r>
      <w:r w:rsidR="00121C81" w:rsidRPr="002453B0">
        <w:rPr>
          <w:rFonts w:cs="Arial"/>
          <w:i/>
          <w:sz w:val="24"/>
          <w:szCs w:val="24"/>
        </w:rPr>
        <w:t>n</w:t>
      </w:r>
      <w:r w:rsidR="00121C81" w:rsidRPr="002453B0">
        <w:rPr>
          <w:rFonts w:cs="Arial"/>
          <w:sz w:val="24"/>
          <w:szCs w:val="24"/>
        </w:rPr>
        <w:t>=6</w:t>
      </w:r>
      <w:r w:rsidRPr="002453B0">
        <w:rPr>
          <w:rFonts w:cs="Arial"/>
          <w:sz w:val="24"/>
          <w:szCs w:val="24"/>
        </w:rPr>
        <w:t>), it was</w:t>
      </w:r>
      <w:r>
        <w:rPr>
          <w:rFonts w:cs="Arial"/>
          <w:sz w:val="24"/>
          <w:szCs w:val="24"/>
        </w:rPr>
        <w:t xml:space="preserve"> possible to calculate </w:t>
      </w:r>
      <w:r w:rsidR="001C390C">
        <w:rPr>
          <w:rFonts w:cs="Arial"/>
          <w:sz w:val="24"/>
          <w:szCs w:val="24"/>
        </w:rPr>
        <w:t xml:space="preserve">the </w:t>
      </w:r>
      <w:r>
        <w:rPr>
          <w:rFonts w:cs="Arial"/>
          <w:sz w:val="24"/>
          <w:szCs w:val="24"/>
        </w:rPr>
        <w:t xml:space="preserve">intracellular </w:t>
      </w:r>
      <w:proofErr w:type="spellStart"/>
      <w:r>
        <w:rPr>
          <w:rFonts w:cs="Arial"/>
          <w:sz w:val="24"/>
          <w:szCs w:val="24"/>
        </w:rPr>
        <w:t>ara</w:t>
      </w:r>
      <w:proofErr w:type="spellEnd"/>
      <w:r>
        <w:rPr>
          <w:rFonts w:cs="Arial"/>
          <w:sz w:val="24"/>
          <w:szCs w:val="24"/>
        </w:rPr>
        <w:t xml:space="preserve">-CTP </w:t>
      </w:r>
      <w:r w:rsidR="001C390C">
        <w:rPr>
          <w:rFonts w:cs="Arial"/>
          <w:sz w:val="24"/>
          <w:szCs w:val="24"/>
        </w:rPr>
        <w:t xml:space="preserve">concentration </w:t>
      </w:r>
      <w:r>
        <w:rPr>
          <w:rFonts w:cs="Arial"/>
          <w:sz w:val="24"/>
          <w:szCs w:val="24"/>
        </w:rPr>
        <w:t>(ng/mL) (Fig</w:t>
      </w:r>
      <w:r w:rsidR="00533E06">
        <w:rPr>
          <w:rFonts w:cs="Arial"/>
          <w:sz w:val="24"/>
          <w:szCs w:val="24"/>
        </w:rPr>
        <w:t xml:space="preserve">ure </w:t>
      </w:r>
      <w:r w:rsidR="00932F80">
        <w:rPr>
          <w:rFonts w:cs="Arial"/>
          <w:sz w:val="24"/>
          <w:szCs w:val="24"/>
        </w:rPr>
        <w:t>1</w:t>
      </w:r>
      <w:r w:rsidR="00533E06">
        <w:rPr>
          <w:rFonts w:cs="Arial"/>
          <w:sz w:val="24"/>
          <w:szCs w:val="24"/>
        </w:rPr>
        <w:t>C</w:t>
      </w:r>
      <w:r>
        <w:rPr>
          <w:rFonts w:cs="Arial"/>
          <w:sz w:val="24"/>
          <w:szCs w:val="24"/>
        </w:rPr>
        <w:t xml:space="preserve">) </w:t>
      </w:r>
      <w:r w:rsidR="001C390C">
        <w:rPr>
          <w:rFonts w:cs="Arial"/>
          <w:sz w:val="24"/>
          <w:szCs w:val="24"/>
        </w:rPr>
        <w:t>using</w:t>
      </w:r>
      <w:r w:rsidR="007C2B76">
        <w:rPr>
          <w:rFonts w:cs="Arial"/>
          <w:sz w:val="24"/>
          <w:szCs w:val="24"/>
        </w:rPr>
        <w:t xml:space="preserve"> a standard curve </w:t>
      </w:r>
      <w:r w:rsidR="003D389B">
        <w:rPr>
          <w:rFonts w:cs="Arial"/>
          <w:sz w:val="24"/>
          <w:szCs w:val="24"/>
        </w:rPr>
        <w:t>across a therapeutically-</w:t>
      </w:r>
      <w:r w:rsidR="00932F80">
        <w:rPr>
          <w:rFonts w:cs="Arial"/>
          <w:sz w:val="24"/>
          <w:szCs w:val="24"/>
        </w:rPr>
        <w:t xml:space="preserve">achievable </w:t>
      </w:r>
      <w:proofErr w:type="spellStart"/>
      <w:r w:rsidR="003D389B">
        <w:rPr>
          <w:rFonts w:cs="Arial"/>
          <w:sz w:val="24"/>
          <w:szCs w:val="24"/>
        </w:rPr>
        <w:t>ara</w:t>
      </w:r>
      <w:proofErr w:type="spellEnd"/>
      <w:r w:rsidR="003D389B">
        <w:rPr>
          <w:rFonts w:cs="Arial"/>
          <w:sz w:val="24"/>
          <w:szCs w:val="24"/>
        </w:rPr>
        <w:t xml:space="preserve">-CTP </w:t>
      </w:r>
      <w:r w:rsidR="00932F80">
        <w:rPr>
          <w:rFonts w:cs="Arial"/>
          <w:sz w:val="24"/>
          <w:szCs w:val="24"/>
        </w:rPr>
        <w:t xml:space="preserve">range </w:t>
      </w:r>
      <w:r w:rsidR="001C390C">
        <w:rPr>
          <w:rFonts w:cs="Arial"/>
          <w:sz w:val="24"/>
          <w:szCs w:val="24"/>
        </w:rPr>
        <w:t xml:space="preserve">(0-500 </w:t>
      </w:r>
      <w:proofErr w:type="spellStart"/>
      <w:r w:rsidR="001C390C">
        <w:rPr>
          <w:rFonts w:cs="Arial"/>
          <w:sz w:val="24"/>
          <w:szCs w:val="24"/>
        </w:rPr>
        <w:t>nM</w:t>
      </w:r>
      <w:proofErr w:type="spellEnd"/>
      <w:r w:rsidR="001C390C">
        <w:rPr>
          <w:rFonts w:cs="Arial"/>
          <w:sz w:val="24"/>
          <w:szCs w:val="24"/>
        </w:rPr>
        <w:t xml:space="preserve">) </w:t>
      </w:r>
      <w:r w:rsidR="00811F09" w:rsidRPr="0061262F">
        <w:rPr>
          <w:rFonts w:cs="Arial"/>
          <w:sz w:val="24"/>
          <w:szCs w:val="24"/>
        </w:rPr>
        <w:t>(F</w:t>
      </w:r>
      <w:r w:rsidR="00547776" w:rsidRPr="0061262F">
        <w:rPr>
          <w:rFonts w:cs="Arial"/>
          <w:sz w:val="24"/>
          <w:szCs w:val="24"/>
        </w:rPr>
        <w:t>ig</w:t>
      </w:r>
      <w:r w:rsidR="00A15B8A" w:rsidRPr="0061262F">
        <w:rPr>
          <w:rFonts w:cs="Arial"/>
          <w:sz w:val="24"/>
          <w:szCs w:val="24"/>
        </w:rPr>
        <w:t>ure</w:t>
      </w:r>
      <w:r w:rsidR="00547776" w:rsidRPr="0061262F">
        <w:rPr>
          <w:rFonts w:cs="Arial"/>
          <w:sz w:val="24"/>
          <w:szCs w:val="24"/>
        </w:rPr>
        <w:t xml:space="preserve"> A</w:t>
      </w:r>
      <w:r w:rsidR="00A15B8A" w:rsidRPr="0061262F">
        <w:rPr>
          <w:rFonts w:cs="Arial"/>
          <w:sz w:val="24"/>
          <w:szCs w:val="24"/>
        </w:rPr>
        <w:t>.1</w:t>
      </w:r>
      <w:r w:rsidR="007832F8" w:rsidRPr="0061262F">
        <w:rPr>
          <w:rFonts w:cs="Arial"/>
          <w:sz w:val="24"/>
          <w:szCs w:val="24"/>
        </w:rPr>
        <w:t>B</w:t>
      </w:r>
      <w:r w:rsidR="00811F09" w:rsidRPr="0061262F">
        <w:rPr>
          <w:rFonts w:cs="Arial"/>
          <w:sz w:val="24"/>
          <w:szCs w:val="24"/>
        </w:rPr>
        <w:t xml:space="preserve">). </w:t>
      </w:r>
      <w:r w:rsidR="0067355B" w:rsidRPr="0061262F">
        <w:rPr>
          <w:rFonts w:cs="Arial"/>
          <w:sz w:val="24"/>
          <w:szCs w:val="24"/>
        </w:rPr>
        <w:t>The LOD for the assay was 1.58 ng/mL, and the LOQ was 4.81</w:t>
      </w:r>
      <w:r w:rsidR="00BC04CC" w:rsidRPr="0061262F">
        <w:rPr>
          <w:rFonts w:cs="Arial"/>
          <w:sz w:val="24"/>
          <w:szCs w:val="24"/>
        </w:rPr>
        <w:t xml:space="preserve"> ng/</w:t>
      </w:r>
      <w:proofErr w:type="spellStart"/>
      <w:r w:rsidR="00BC04CC" w:rsidRPr="0061262F">
        <w:rPr>
          <w:rFonts w:cs="Arial"/>
          <w:sz w:val="24"/>
          <w:szCs w:val="24"/>
        </w:rPr>
        <w:t>mL.</w:t>
      </w:r>
      <w:proofErr w:type="spellEnd"/>
      <w:r w:rsidR="00BC04CC" w:rsidRPr="0061262F">
        <w:rPr>
          <w:rFonts w:cs="Arial"/>
          <w:sz w:val="24"/>
          <w:szCs w:val="24"/>
        </w:rPr>
        <w:t xml:space="preserve"> </w:t>
      </w:r>
      <w:r w:rsidR="00F77950" w:rsidRPr="0061262F">
        <w:rPr>
          <w:rFonts w:cs="Arial"/>
          <w:sz w:val="24"/>
          <w:szCs w:val="24"/>
        </w:rPr>
        <w:t>HD</w:t>
      </w:r>
      <w:r w:rsidR="00F77950">
        <w:rPr>
          <w:rFonts w:cs="Arial"/>
          <w:sz w:val="24"/>
          <w:szCs w:val="24"/>
        </w:rPr>
        <w:t xml:space="preserve"> patients achieved </w:t>
      </w:r>
      <w:proofErr w:type="spellStart"/>
      <w:r>
        <w:rPr>
          <w:rFonts w:cs="Arial"/>
          <w:sz w:val="24"/>
          <w:szCs w:val="24"/>
        </w:rPr>
        <w:t>C</w:t>
      </w:r>
      <w:r w:rsidRPr="00BE1854">
        <w:rPr>
          <w:rFonts w:cs="Arial"/>
          <w:sz w:val="24"/>
          <w:szCs w:val="24"/>
          <w:vertAlign w:val="subscript"/>
        </w:rPr>
        <w:t>ss</w:t>
      </w:r>
      <w:proofErr w:type="spellEnd"/>
      <w:r>
        <w:rPr>
          <w:rFonts w:cs="Arial"/>
          <w:sz w:val="24"/>
          <w:szCs w:val="24"/>
        </w:rPr>
        <w:t xml:space="preserve"> </w:t>
      </w:r>
      <w:r w:rsidR="001C390C">
        <w:rPr>
          <w:rFonts w:cs="Arial"/>
          <w:sz w:val="24"/>
          <w:szCs w:val="24"/>
        </w:rPr>
        <w:t xml:space="preserve">of </w:t>
      </w:r>
      <w:proofErr w:type="spellStart"/>
      <w:r w:rsidR="001C390C">
        <w:rPr>
          <w:rFonts w:cs="Arial"/>
          <w:sz w:val="24"/>
          <w:szCs w:val="24"/>
        </w:rPr>
        <w:t>ara</w:t>
      </w:r>
      <w:proofErr w:type="spellEnd"/>
      <w:r w:rsidR="001C390C">
        <w:rPr>
          <w:rFonts w:cs="Arial"/>
          <w:sz w:val="24"/>
          <w:szCs w:val="24"/>
        </w:rPr>
        <w:t xml:space="preserve">-CTP </w:t>
      </w:r>
      <w:r w:rsidR="00B77B68">
        <w:rPr>
          <w:rFonts w:cs="Arial"/>
          <w:sz w:val="24"/>
          <w:szCs w:val="24"/>
        </w:rPr>
        <w:t>from</w:t>
      </w:r>
      <w:r>
        <w:rPr>
          <w:rFonts w:cs="Arial"/>
          <w:sz w:val="24"/>
          <w:szCs w:val="24"/>
        </w:rPr>
        <w:t xml:space="preserve"> t=4 hours</w:t>
      </w:r>
      <w:r w:rsidR="001C390C">
        <w:rPr>
          <w:rFonts w:cs="Arial"/>
          <w:sz w:val="24"/>
          <w:szCs w:val="24"/>
        </w:rPr>
        <w:t xml:space="preserve"> post-infusion</w:t>
      </w:r>
      <w:r>
        <w:rPr>
          <w:rFonts w:cs="Arial"/>
          <w:sz w:val="24"/>
          <w:szCs w:val="24"/>
        </w:rPr>
        <w:t xml:space="preserve">, with </w:t>
      </w:r>
      <w:proofErr w:type="spellStart"/>
      <w:r>
        <w:rPr>
          <w:rFonts w:cs="Arial"/>
          <w:sz w:val="24"/>
          <w:szCs w:val="24"/>
        </w:rPr>
        <w:t>t</w:t>
      </w:r>
      <w:r w:rsidRPr="00BE1854">
        <w:rPr>
          <w:rFonts w:cs="Arial"/>
          <w:sz w:val="24"/>
          <w:szCs w:val="24"/>
          <w:vertAlign w:val="subscript"/>
        </w:rPr>
        <w:t>max</w:t>
      </w:r>
      <w:proofErr w:type="spellEnd"/>
      <w:r w:rsidR="00956B5E">
        <w:rPr>
          <w:rFonts w:cs="Arial"/>
          <w:sz w:val="24"/>
          <w:szCs w:val="24"/>
        </w:rPr>
        <w:t xml:space="preserve"> at 4</w:t>
      </w:r>
      <w:r>
        <w:rPr>
          <w:rFonts w:cs="Arial"/>
          <w:sz w:val="24"/>
          <w:szCs w:val="24"/>
        </w:rPr>
        <w:t xml:space="preserve"> hours</w:t>
      </w:r>
      <w:r w:rsidR="00932F80">
        <w:rPr>
          <w:rFonts w:cs="Arial"/>
          <w:sz w:val="24"/>
          <w:szCs w:val="24"/>
        </w:rPr>
        <w:t xml:space="preserve">, </w:t>
      </w:r>
      <w:r w:rsidR="00956B5E">
        <w:rPr>
          <w:rFonts w:cs="Arial"/>
          <w:sz w:val="24"/>
          <w:szCs w:val="24"/>
        </w:rPr>
        <w:t>and 11</w:t>
      </w:r>
      <w:r>
        <w:rPr>
          <w:rFonts w:cs="Arial"/>
          <w:sz w:val="24"/>
          <w:szCs w:val="24"/>
        </w:rPr>
        <w:t>1-fold higher area-under-the-curve (AUC) compared to SD patients</w:t>
      </w:r>
      <w:r w:rsidR="001C390C">
        <w:rPr>
          <w:rFonts w:cs="Arial"/>
          <w:sz w:val="24"/>
          <w:szCs w:val="24"/>
        </w:rPr>
        <w:t xml:space="preserve"> (Fig</w:t>
      </w:r>
      <w:r w:rsidR="00533E06">
        <w:rPr>
          <w:rFonts w:cs="Arial"/>
          <w:sz w:val="24"/>
          <w:szCs w:val="24"/>
        </w:rPr>
        <w:t>ure 1D</w:t>
      </w:r>
      <w:r w:rsidR="001C390C">
        <w:rPr>
          <w:rFonts w:cs="Arial"/>
          <w:sz w:val="24"/>
          <w:szCs w:val="24"/>
        </w:rPr>
        <w:t>)</w:t>
      </w:r>
      <w:r w:rsidR="00D365EC">
        <w:rPr>
          <w:rFonts w:cs="Arial"/>
          <w:sz w:val="24"/>
          <w:szCs w:val="24"/>
        </w:rPr>
        <w:t>. In comparison, SD patients</w:t>
      </w:r>
      <w:r>
        <w:rPr>
          <w:rFonts w:cs="Arial"/>
          <w:sz w:val="24"/>
          <w:szCs w:val="24"/>
        </w:rPr>
        <w:t xml:space="preserve"> achieved </w:t>
      </w:r>
      <w:proofErr w:type="spellStart"/>
      <w:r>
        <w:rPr>
          <w:rFonts w:cs="Arial"/>
          <w:sz w:val="24"/>
          <w:szCs w:val="24"/>
        </w:rPr>
        <w:t>C</w:t>
      </w:r>
      <w:r w:rsidRPr="00BE1854">
        <w:rPr>
          <w:rFonts w:cs="Arial"/>
          <w:sz w:val="24"/>
          <w:szCs w:val="24"/>
          <w:vertAlign w:val="subscript"/>
        </w:rPr>
        <w:t>ss</w:t>
      </w:r>
      <w:proofErr w:type="spellEnd"/>
      <w:r w:rsidR="00932F80">
        <w:rPr>
          <w:rFonts w:cs="Arial"/>
          <w:sz w:val="24"/>
          <w:szCs w:val="24"/>
        </w:rPr>
        <w:t xml:space="preserve"> 2 </w:t>
      </w:r>
      <w:r>
        <w:rPr>
          <w:rFonts w:cs="Arial"/>
          <w:sz w:val="24"/>
          <w:szCs w:val="24"/>
        </w:rPr>
        <w:t>hours earlier but with</w:t>
      </w:r>
      <w:r w:rsidR="00D365EC">
        <w:rPr>
          <w:rFonts w:cs="Arial"/>
          <w:sz w:val="24"/>
          <w:szCs w:val="24"/>
        </w:rPr>
        <w:t xml:space="preserve"> a</w:t>
      </w:r>
      <w:r>
        <w:rPr>
          <w:rFonts w:cs="Arial"/>
          <w:sz w:val="24"/>
          <w:szCs w:val="24"/>
        </w:rPr>
        <w:t xml:space="preserve"> less prol</w:t>
      </w:r>
      <w:r w:rsidR="00BD1AAE">
        <w:rPr>
          <w:rFonts w:cs="Arial"/>
          <w:sz w:val="24"/>
          <w:szCs w:val="24"/>
        </w:rPr>
        <w:t>onged duration (HD, 4 hours; SD, 2</w:t>
      </w:r>
      <w:r>
        <w:rPr>
          <w:rFonts w:cs="Arial"/>
          <w:sz w:val="24"/>
          <w:szCs w:val="24"/>
        </w:rPr>
        <w:t xml:space="preserve"> hours)</w:t>
      </w:r>
      <w:r w:rsidR="00956B5E">
        <w:rPr>
          <w:rFonts w:cs="Arial"/>
          <w:sz w:val="24"/>
          <w:szCs w:val="24"/>
        </w:rPr>
        <w:t xml:space="preserve"> and 27</w:t>
      </w:r>
      <w:r w:rsidR="00932F80">
        <w:rPr>
          <w:rFonts w:cs="Arial"/>
          <w:sz w:val="24"/>
          <w:szCs w:val="24"/>
        </w:rPr>
        <w:t>-fold lower concentration than HD patients</w:t>
      </w:r>
      <w:r w:rsidR="001C390C">
        <w:rPr>
          <w:rFonts w:cs="Arial"/>
          <w:sz w:val="24"/>
          <w:szCs w:val="24"/>
        </w:rPr>
        <w:t xml:space="preserve"> (Fig</w:t>
      </w:r>
      <w:r w:rsidR="00533E06">
        <w:rPr>
          <w:rFonts w:cs="Arial"/>
          <w:sz w:val="24"/>
          <w:szCs w:val="24"/>
        </w:rPr>
        <w:t>ure</w:t>
      </w:r>
      <w:r w:rsidR="00932F80">
        <w:rPr>
          <w:rFonts w:cs="Arial"/>
          <w:sz w:val="24"/>
          <w:szCs w:val="24"/>
        </w:rPr>
        <w:t xml:space="preserve"> 1</w:t>
      </w:r>
      <w:r w:rsidR="00687391" w:rsidRPr="00533E06">
        <w:rPr>
          <w:rFonts w:cs="Arial"/>
          <w:sz w:val="24"/>
          <w:szCs w:val="24"/>
        </w:rPr>
        <w:t>C</w:t>
      </w:r>
      <w:r w:rsidR="001C390C">
        <w:rPr>
          <w:rFonts w:cs="Arial"/>
          <w:sz w:val="24"/>
          <w:szCs w:val="24"/>
        </w:rPr>
        <w:t>)</w:t>
      </w:r>
      <w:r w:rsidR="00D365EC">
        <w:rPr>
          <w:rFonts w:cs="Arial"/>
          <w:sz w:val="24"/>
          <w:szCs w:val="24"/>
        </w:rPr>
        <w:t xml:space="preserve">. </w:t>
      </w:r>
      <w:r w:rsidR="00E03125">
        <w:rPr>
          <w:sz w:val="24"/>
          <w:szCs w:val="24"/>
        </w:rPr>
        <w:t xml:space="preserve">These results show similar trends and timings to previous assessment </w:t>
      </w:r>
      <w:r w:rsidR="00DF6539">
        <w:rPr>
          <w:sz w:val="24"/>
          <w:szCs w:val="24"/>
        </w:rPr>
        <w:t xml:space="preserve">of </w:t>
      </w:r>
      <w:proofErr w:type="spellStart"/>
      <w:r w:rsidR="00DF6539">
        <w:rPr>
          <w:sz w:val="24"/>
          <w:szCs w:val="24"/>
        </w:rPr>
        <w:t>ara</w:t>
      </w:r>
      <w:proofErr w:type="spellEnd"/>
      <w:r w:rsidR="00DF6539">
        <w:rPr>
          <w:sz w:val="24"/>
          <w:szCs w:val="24"/>
        </w:rPr>
        <w:t xml:space="preserve">-CTP </w:t>
      </w:r>
      <w:r w:rsidR="00432A40">
        <w:rPr>
          <w:sz w:val="24"/>
          <w:szCs w:val="24"/>
        </w:rPr>
        <w:t xml:space="preserve">by HPLC-MS/MS (Liang </w:t>
      </w:r>
      <w:r w:rsidR="00432A40" w:rsidRPr="00E03125">
        <w:rPr>
          <w:i/>
          <w:sz w:val="24"/>
          <w:szCs w:val="24"/>
        </w:rPr>
        <w:t>et al</w:t>
      </w:r>
      <w:r w:rsidR="00432A40">
        <w:rPr>
          <w:sz w:val="24"/>
          <w:szCs w:val="24"/>
        </w:rPr>
        <w:t xml:space="preserve">., 2014), </w:t>
      </w:r>
      <w:r w:rsidR="001C390C">
        <w:rPr>
          <w:sz w:val="24"/>
          <w:szCs w:val="24"/>
        </w:rPr>
        <w:t xml:space="preserve">but </w:t>
      </w:r>
      <w:r w:rsidR="00432A40">
        <w:rPr>
          <w:sz w:val="24"/>
          <w:szCs w:val="24"/>
        </w:rPr>
        <w:t>requir</w:t>
      </w:r>
      <w:r w:rsidR="001C390C">
        <w:rPr>
          <w:sz w:val="24"/>
          <w:szCs w:val="24"/>
        </w:rPr>
        <w:t>ed</w:t>
      </w:r>
      <w:r w:rsidR="00432A40">
        <w:rPr>
          <w:sz w:val="24"/>
          <w:szCs w:val="24"/>
        </w:rPr>
        <w:t xml:space="preserve"> 1/10</w:t>
      </w:r>
      <w:r w:rsidR="00432A40" w:rsidRPr="00432A40">
        <w:rPr>
          <w:sz w:val="24"/>
          <w:szCs w:val="24"/>
          <w:vertAlign w:val="superscript"/>
        </w:rPr>
        <w:t>th</w:t>
      </w:r>
      <w:r w:rsidR="00432A40">
        <w:rPr>
          <w:sz w:val="24"/>
          <w:szCs w:val="24"/>
        </w:rPr>
        <w:t xml:space="preserve"> </w:t>
      </w:r>
      <w:r w:rsidR="00E03125">
        <w:rPr>
          <w:sz w:val="24"/>
          <w:szCs w:val="24"/>
        </w:rPr>
        <w:t>cell</w:t>
      </w:r>
      <w:r w:rsidR="00432A40">
        <w:rPr>
          <w:sz w:val="24"/>
          <w:szCs w:val="24"/>
        </w:rPr>
        <w:t xml:space="preserve"> density</w:t>
      </w:r>
      <w:r w:rsidR="001C390C">
        <w:rPr>
          <w:sz w:val="24"/>
          <w:szCs w:val="24"/>
        </w:rPr>
        <w:t xml:space="preserve"> necessary for HPLC analysis</w:t>
      </w:r>
      <w:r w:rsidR="00432A40">
        <w:rPr>
          <w:sz w:val="24"/>
          <w:szCs w:val="24"/>
        </w:rPr>
        <w:t>,</w:t>
      </w:r>
      <w:r w:rsidR="00E03125">
        <w:rPr>
          <w:sz w:val="24"/>
          <w:szCs w:val="24"/>
        </w:rPr>
        <w:t xml:space="preserve"> albeit lower concentrations of </w:t>
      </w:r>
      <w:proofErr w:type="spellStart"/>
      <w:r w:rsidR="00E03125">
        <w:rPr>
          <w:sz w:val="24"/>
          <w:szCs w:val="24"/>
        </w:rPr>
        <w:t>ara</w:t>
      </w:r>
      <w:proofErr w:type="spellEnd"/>
      <w:r w:rsidR="00E03125">
        <w:rPr>
          <w:sz w:val="24"/>
          <w:szCs w:val="24"/>
        </w:rPr>
        <w:t>-CTP (ng/mL)</w:t>
      </w:r>
      <w:r w:rsidR="00DF6539">
        <w:rPr>
          <w:sz w:val="24"/>
          <w:szCs w:val="24"/>
        </w:rPr>
        <w:t xml:space="preserve"> were observed herein</w:t>
      </w:r>
      <w:r w:rsidR="00E03125">
        <w:rPr>
          <w:sz w:val="24"/>
          <w:szCs w:val="24"/>
        </w:rPr>
        <w:t>.</w:t>
      </w:r>
      <w:r w:rsidR="00932F80">
        <w:rPr>
          <w:sz w:val="24"/>
          <w:szCs w:val="24"/>
        </w:rPr>
        <w:t xml:space="preserve"> This represents the first </w:t>
      </w:r>
      <w:r w:rsidR="00E51AEC">
        <w:rPr>
          <w:sz w:val="24"/>
          <w:szCs w:val="24"/>
        </w:rPr>
        <w:t xml:space="preserve">quantitative analysis of post-treatment intracellular </w:t>
      </w:r>
      <w:proofErr w:type="spellStart"/>
      <w:r w:rsidR="00E51AEC">
        <w:rPr>
          <w:sz w:val="24"/>
          <w:szCs w:val="24"/>
        </w:rPr>
        <w:t>ara</w:t>
      </w:r>
      <w:proofErr w:type="spellEnd"/>
      <w:r w:rsidR="00E51AEC">
        <w:rPr>
          <w:sz w:val="24"/>
          <w:szCs w:val="24"/>
        </w:rPr>
        <w:t>-CTP levels in AML patients using the</w:t>
      </w:r>
      <w:r w:rsidR="00932F80">
        <w:rPr>
          <w:sz w:val="24"/>
          <w:szCs w:val="24"/>
        </w:rPr>
        <w:t xml:space="preserve"> biosensor</w:t>
      </w:r>
      <w:r w:rsidR="00E51AEC">
        <w:rPr>
          <w:sz w:val="24"/>
          <w:szCs w:val="24"/>
        </w:rPr>
        <w:t>, conducted within a working clinical environment</w:t>
      </w:r>
      <w:r w:rsidR="00932F80">
        <w:rPr>
          <w:sz w:val="24"/>
          <w:szCs w:val="24"/>
        </w:rPr>
        <w:t>.</w:t>
      </w:r>
    </w:p>
    <w:p w14:paraId="1A5FAC18" w14:textId="3829C384" w:rsidR="00C9054E" w:rsidRDefault="00C9054E" w:rsidP="00C9054E">
      <w:pPr>
        <w:spacing w:after="0" w:line="240" w:lineRule="auto"/>
        <w:jc w:val="both"/>
        <w:rPr>
          <w:rFonts w:cs="Arial"/>
          <w:sz w:val="24"/>
          <w:szCs w:val="24"/>
        </w:rPr>
      </w:pPr>
    </w:p>
    <w:p w14:paraId="35A79835" w14:textId="16D1737C" w:rsidR="00BC1CD9" w:rsidRDefault="00A87E62" w:rsidP="00BC1CD9">
      <w:r>
        <w:object w:dxaOrig="16474" w:dyaOrig="11129" w14:anchorId="6F6B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04.5pt" o:ole="">
            <v:imagedata r:id="rId7" o:title=""/>
          </v:shape>
          <o:OLEObject Type="Embed" ProgID="Prism8.Document" ShapeID="_x0000_i1025" DrawAspect="Content" ObjectID="_1618041830" r:id="rId8"/>
        </w:object>
      </w:r>
    </w:p>
    <w:p w14:paraId="7986FEAB" w14:textId="066CAF19" w:rsidR="00BC1CD9" w:rsidRPr="00803B97" w:rsidRDefault="00BC1CD9" w:rsidP="00BC1CD9">
      <w:pPr>
        <w:spacing w:after="0" w:line="240" w:lineRule="auto"/>
        <w:jc w:val="both"/>
        <w:rPr>
          <w:b/>
          <w:sz w:val="24"/>
          <w:szCs w:val="24"/>
        </w:rPr>
      </w:pPr>
      <w:r>
        <w:rPr>
          <w:b/>
          <w:sz w:val="24"/>
          <w:szCs w:val="24"/>
        </w:rPr>
        <w:t>Fig.</w:t>
      </w:r>
      <w:r w:rsidRPr="00CC1B6C">
        <w:rPr>
          <w:b/>
          <w:sz w:val="24"/>
          <w:szCs w:val="24"/>
        </w:rPr>
        <w:t xml:space="preserve"> </w:t>
      </w:r>
      <w:r>
        <w:rPr>
          <w:b/>
          <w:sz w:val="24"/>
          <w:szCs w:val="24"/>
        </w:rPr>
        <w:t>1</w:t>
      </w:r>
      <w:r w:rsidRPr="00CC1B6C">
        <w:rPr>
          <w:b/>
          <w:sz w:val="24"/>
          <w:szCs w:val="24"/>
        </w:rPr>
        <w:t>:</w:t>
      </w:r>
      <w:r>
        <w:rPr>
          <w:b/>
          <w:sz w:val="24"/>
          <w:szCs w:val="24"/>
        </w:rPr>
        <w:t xml:space="preserve"> (A)</w:t>
      </w:r>
      <w:r w:rsidRPr="00803B97">
        <w:rPr>
          <w:b/>
          <w:sz w:val="24"/>
          <w:szCs w:val="24"/>
        </w:rPr>
        <w:t xml:space="preserve"> </w:t>
      </w:r>
      <w:r>
        <w:rPr>
          <w:b/>
          <w:sz w:val="24"/>
          <w:szCs w:val="24"/>
        </w:rPr>
        <w:t xml:space="preserve">Assessment of intracellular </w:t>
      </w:r>
      <w:proofErr w:type="spellStart"/>
      <w:r>
        <w:rPr>
          <w:b/>
          <w:sz w:val="24"/>
          <w:szCs w:val="24"/>
        </w:rPr>
        <w:t>ara</w:t>
      </w:r>
      <w:proofErr w:type="spellEnd"/>
      <w:r>
        <w:rPr>
          <w:b/>
          <w:sz w:val="24"/>
          <w:szCs w:val="24"/>
        </w:rPr>
        <w:t>-CTP (expressed as sensitivity index</w:t>
      </w:r>
      <w:r w:rsidR="00E96092">
        <w:rPr>
          <w:b/>
          <w:sz w:val="24"/>
          <w:szCs w:val="24"/>
        </w:rPr>
        <w:t xml:space="preserve"> </w:t>
      </w:r>
      <w:r>
        <w:rPr>
          <w:b/>
          <w:sz w:val="24"/>
          <w:szCs w:val="24"/>
        </w:rPr>
        <w:t>SI%</w:t>
      </w:r>
      <w:r w:rsidR="00586A89">
        <w:rPr>
          <w:b/>
          <w:sz w:val="24"/>
          <w:szCs w:val="24"/>
        </w:rPr>
        <w:t xml:space="preserve"> on log</w:t>
      </w:r>
      <w:r w:rsidR="00586A89" w:rsidRPr="00586A89">
        <w:rPr>
          <w:b/>
          <w:sz w:val="24"/>
          <w:szCs w:val="24"/>
          <w:vertAlign w:val="subscript"/>
        </w:rPr>
        <w:t>10</w:t>
      </w:r>
      <w:r w:rsidR="00586A89">
        <w:rPr>
          <w:b/>
          <w:sz w:val="24"/>
          <w:szCs w:val="24"/>
        </w:rPr>
        <w:t xml:space="preserve"> axis</w:t>
      </w:r>
      <w:r>
        <w:rPr>
          <w:b/>
          <w:sz w:val="24"/>
          <w:szCs w:val="24"/>
        </w:rPr>
        <w:t>) in patients undergoing three different regimens (SD</w:t>
      </w:r>
      <w:r w:rsidR="006679E1">
        <w:rPr>
          <w:b/>
          <w:sz w:val="24"/>
          <w:szCs w:val="24"/>
        </w:rPr>
        <w:t xml:space="preserve"> max</w:t>
      </w:r>
      <w:r>
        <w:rPr>
          <w:b/>
          <w:sz w:val="24"/>
          <w:szCs w:val="24"/>
        </w:rPr>
        <w:t xml:space="preserve"> </w:t>
      </w:r>
      <w:r w:rsidRPr="00C75E39">
        <w:rPr>
          <w:b/>
          <w:i/>
          <w:sz w:val="24"/>
          <w:szCs w:val="24"/>
        </w:rPr>
        <w:t>n</w:t>
      </w:r>
      <w:r>
        <w:rPr>
          <w:b/>
          <w:sz w:val="24"/>
          <w:szCs w:val="24"/>
        </w:rPr>
        <w:t>=11, HD</w:t>
      </w:r>
      <w:r w:rsidR="006679E1">
        <w:rPr>
          <w:b/>
          <w:sz w:val="24"/>
          <w:szCs w:val="24"/>
        </w:rPr>
        <w:t xml:space="preserve"> max</w:t>
      </w:r>
      <w:r>
        <w:rPr>
          <w:b/>
          <w:sz w:val="24"/>
          <w:szCs w:val="24"/>
        </w:rPr>
        <w:t xml:space="preserve"> </w:t>
      </w:r>
      <w:r w:rsidRPr="00C75E39">
        <w:rPr>
          <w:b/>
          <w:i/>
          <w:sz w:val="24"/>
          <w:szCs w:val="24"/>
        </w:rPr>
        <w:t>n</w:t>
      </w:r>
      <w:r>
        <w:rPr>
          <w:b/>
          <w:sz w:val="24"/>
          <w:szCs w:val="24"/>
        </w:rPr>
        <w:t>=6</w:t>
      </w:r>
      <w:r w:rsidR="006679E1">
        <w:rPr>
          <w:b/>
          <w:sz w:val="24"/>
          <w:szCs w:val="24"/>
        </w:rPr>
        <w:t>,</w:t>
      </w:r>
      <w:r w:rsidR="006679E1" w:rsidRPr="006679E1">
        <w:rPr>
          <w:b/>
          <w:sz w:val="24"/>
          <w:szCs w:val="24"/>
        </w:rPr>
        <w:t xml:space="preserve"> </w:t>
      </w:r>
      <w:r w:rsidR="006679E1">
        <w:rPr>
          <w:b/>
          <w:sz w:val="24"/>
          <w:szCs w:val="24"/>
        </w:rPr>
        <w:t xml:space="preserve">LD max </w:t>
      </w:r>
      <w:r w:rsidR="006679E1" w:rsidRPr="00C75E39">
        <w:rPr>
          <w:b/>
          <w:i/>
          <w:sz w:val="24"/>
          <w:szCs w:val="24"/>
        </w:rPr>
        <w:t>n</w:t>
      </w:r>
      <w:r w:rsidR="006679E1">
        <w:rPr>
          <w:b/>
          <w:sz w:val="24"/>
          <w:szCs w:val="24"/>
        </w:rPr>
        <w:t>=3</w:t>
      </w:r>
      <w:r>
        <w:rPr>
          <w:b/>
          <w:sz w:val="24"/>
          <w:szCs w:val="24"/>
        </w:rPr>
        <w:t>)</w:t>
      </w:r>
      <w:r w:rsidR="006679E1" w:rsidRPr="006679E1">
        <w:rPr>
          <w:b/>
          <w:sz w:val="24"/>
          <w:szCs w:val="24"/>
        </w:rPr>
        <w:t xml:space="preserve"> </w:t>
      </w:r>
      <w:r w:rsidR="006679E1">
        <w:rPr>
          <w:b/>
          <w:sz w:val="24"/>
          <w:szCs w:val="24"/>
        </w:rPr>
        <w:t xml:space="preserve">(for </w:t>
      </w:r>
      <w:r w:rsidR="006679E1" w:rsidRPr="005B3BFD">
        <w:rPr>
          <w:b/>
          <w:i/>
          <w:sz w:val="24"/>
          <w:szCs w:val="24"/>
        </w:rPr>
        <w:t>n</w:t>
      </w:r>
      <w:r w:rsidR="006679E1">
        <w:rPr>
          <w:b/>
          <w:sz w:val="24"/>
          <w:szCs w:val="24"/>
        </w:rPr>
        <w:t xml:space="preserve"> per time-point see Figure A.2-4)</w:t>
      </w:r>
      <w:r>
        <w:rPr>
          <w:b/>
          <w:sz w:val="24"/>
          <w:szCs w:val="24"/>
        </w:rPr>
        <w:t xml:space="preserve">, (B) </w:t>
      </w:r>
      <w:r w:rsidRPr="00803B97">
        <w:rPr>
          <w:b/>
          <w:sz w:val="24"/>
          <w:szCs w:val="24"/>
        </w:rPr>
        <w:t xml:space="preserve">leukaemia-associated immunophenotype cells (LAIP) over time by dose assessed at 24, 48 and 72 hours </w:t>
      </w:r>
      <w:r>
        <w:rPr>
          <w:b/>
          <w:sz w:val="24"/>
          <w:szCs w:val="24"/>
        </w:rPr>
        <w:t xml:space="preserve">post-commencement of treatment </w:t>
      </w:r>
      <w:r w:rsidRPr="00803B97">
        <w:rPr>
          <w:b/>
          <w:sz w:val="24"/>
          <w:szCs w:val="24"/>
        </w:rPr>
        <w:t>(SD</w:t>
      </w:r>
      <w:r w:rsidR="00A87E62">
        <w:rPr>
          <w:b/>
          <w:sz w:val="24"/>
          <w:szCs w:val="24"/>
        </w:rPr>
        <w:t xml:space="preserve"> max</w:t>
      </w:r>
      <w:r w:rsidRPr="00803B97">
        <w:rPr>
          <w:b/>
          <w:sz w:val="24"/>
          <w:szCs w:val="24"/>
        </w:rPr>
        <w:t xml:space="preserve"> </w:t>
      </w:r>
      <w:r w:rsidRPr="00803B97">
        <w:rPr>
          <w:b/>
          <w:i/>
          <w:sz w:val="24"/>
          <w:szCs w:val="24"/>
        </w:rPr>
        <w:t>n</w:t>
      </w:r>
      <w:r w:rsidRPr="00803B97">
        <w:rPr>
          <w:b/>
          <w:sz w:val="24"/>
          <w:szCs w:val="24"/>
        </w:rPr>
        <w:t>=</w:t>
      </w:r>
      <w:r w:rsidR="0012722B">
        <w:rPr>
          <w:b/>
          <w:sz w:val="24"/>
          <w:szCs w:val="24"/>
        </w:rPr>
        <w:t>7</w:t>
      </w:r>
      <w:r w:rsidRPr="00803B97">
        <w:rPr>
          <w:b/>
          <w:sz w:val="24"/>
          <w:szCs w:val="24"/>
        </w:rPr>
        <w:t>, HD</w:t>
      </w:r>
      <w:r w:rsidR="00A87E62">
        <w:rPr>
          <w:b/>
          <w:sz w:val="24"/>
          <w:szCs w:val="24"/>
        </w:rPr>
        <w:t xml:space="preserve"> max</w:t>
      </w:r>
      <w:r w:rsidR="00A6030D">
        <w:rPr>
          <w:b/>
          <w:sz w:val="24"/>
          <w:szCs w:val="24"/>
        </w:rPr>
        <w:t xml:space="preserve"> </w:t>
      </w:r>
      <w:r w:rsidRPr="00803B97">
        <w:rPr>
          <w:b/>
          <w:i/>
          <w:sz w:val="24"/>
          <w:szCs w:val="24"/>
        </w:rPr>
        <w:t>n</w:t>
      </w:r>
      <w:r w:rsidR="0012722B">
        <w:rPr>
          <w:b/>
          <w:sz w:val="24"/>
          <w:szCs w:val="24"/>
        </w:rPr>
        <w:t>=2</w:t>
      </w:r>
      <w:r w:rsidRPr="00803B97">
        <w:rPr>
          <w:b/>
          <w:sz w:val="24"/>
          <w:szCs w:val="24"/>
        </w:rPr>
        <w:t>, LD</w:t>
      </w:r>
      <w:r w:rsidR="00A87E62">
        <w:rPr>
          <w:b/>
          <w:sz w:val="24"/>
          <w:szCs w:val="24"/>
        </w:rPr>
        <w:t xml:space="preserve"> max</w:t>
      </w:r>
      <w:r w:rsidR="00A6030D">
        <w:rPr>
          <w:b/>
          <w:sz w:val="24"/>
          <w:szCs w:val="24"/>
        </w:rPr>
        <w:t xml:space="preserve"> </w:t>
      </w:r>
      <w:r w:rsidRPr="00803B97">
        <w:rPr>
          <w:b/>
          <w:i/>
          <w:sz w:val="24"/>
          <w:szCs w:val="24"/>
        </w:rPr>
        <w:t>n</w:t>
      </w:r>
      <w:r>
        <w:rPr>
          <w:b/>
          <w:sz w:val="24"/>
          <w:szCs w:val="24"/>
        </w:rPr>
        <w:t>=</w:t>
      </w:r>
      <w:r w:rsidR="00A87E62">
        <w:rPr>
          <w:b/>
          <w:sz w:val="24"/>
          <w:szCs w:val="24"/>
        </w:rPr>
        <w:t>5</w:t>
      </w:r>
      <w:r>
        <w:rPr>
          <w:b/>
          <w:sz w:val="24"/>
          <w:szCs w:val="24"/>
        </w:rPr>
        <w:t>),</w:t>
      </w:r>
      <w:r w:rsidRPr="00CC1B6C">
        <w:rPr>
          <w:b/>
          <w:sz w:val="24"/>
          <w:szCs w:val="24"/>
        </w:rPr>
        <w:t xml:space="preserve"> </w:t>
      </w:r>
      <w:r>
        <w:rPr>
          <w:b/>
          <w:sz w:val="24"/>
          <w:szCs w:val="24"/>
        </w:rPr>
        <w:t xml:space="preserve">(C) peripheral blast intracellular </w:t>
      </w:r>
      <w:proofErr w:type="spellStart"/>
      <w:r>
        <w:rPr>
          <w:b/>
          <w:sz w:val="24"/>
          <w:szCs w:val="24"/>
        </w:rPr>
        <w:t>ara</w:t>
      </w:r>
      <w:proofErr w:type="spellEnd"/>
      <w:r>
        <w:rPr>
          <w:b/>
          <w:sz w:val="24"/>
          <w:szCs w:val="24"/>
        </w:rPr>
        <w:t>-CTP concentration (ng/mL) by dosing regimen (SD</w:t>
      </w:r>
      <w:r w:rsidR="00111D6B">
        <w:rPr>
          <w:b/>
          <w:sz w:val="24"/>
          <w:szCs w:val="24"/>
        </w:rPr>
        <w:t xml:space="preserve"> max</w:t>
      </w:r>
      <w:r>
        <w:rPr>
          <w:b/>
          <w:sz w:val="24"/>
          <w:szCs w:val="24"/>
        </w:rPr>
        <w:t xml:space="preserve"> </w:t>
      </w:r>
      <w:r w:rsidRPr="00C75E39">
        <w:rPr>
          <w:b/>
          <w:i/>
          <w:sz w:val="24"/>
          <w:szCs w:val="24"/>
        </w:rPr>
        <w:t>n</w:t>
      </w:r>
      <w:r>
        <w:rPr>
          <w:b/>
          <w:sz w:val="24"/>
          <w:szCs w:val="24"/>
        </w:rPr>
        <w:t>=9, HD</w:t>
      </w:r>
      <w:r w:rsidR="00111D6B">
        <w:rPr>
          <w:b/>
          <w:sz w:val="24"/>
          <w:szCs w:val="24"/>
        </w:rPr>
        <w:t xml:space="preserve"> max</w:t>
      </w:r>
      <w:r>
        <w:rPr>
          <w:b/>
          <w:sz w:val="24"/>
          <w:szCs w:val="24"/>
        </w:rPr>
        <w:t xml:space="preserve"> </w:t>
      </w:r>
      <w:r w:rsidRPr="00C75E39">
        <w:rPr>
          <w:b/>
          <w:i/>
          <w:sz w:val="24"/>
          <w:szCs w:val="24"/>
        </w:rPr>
        <w:t>n</w:t>
      </w:r>
      <w:r>
        <w:rPr>
          <w:b/>
          <w:sz w:val="24"/>
          <w:szCs w:val="24"/>
        </w:rPr>
        <w:t>=</w:t>
      </w:r>
      <w:r w:rsidR="003D627C">
        <w:rPr>
          <w:b/>
          <w:sz w:val="24"/>
          <w:szCs w:val="24"/>
        </w:rPr>
        <w:t>6</w:t>
      </w:r>
      <w:r>
        <w:rPr>
          <w:b/>
          <w:sz w:val="24"/>
          <w:szCs w:val="24"/>
        </w:rPr>
        <w:t>), (D) p</w:t>
      </w:r>
      <w:r w:rsidRPr="0005709A">
        <w:rPr>
          <w:b/>
          <w:sz w:val="24"/>
          <w:szCs w:val="24"/>
        </w:rPr>
        <w:t>harmacokinetic parameters over initial</w:t>
      </w:r>
      <w:r>
        <w:rPr>
          <w:b/>
          <w:sz w:val="24"/>
          <w:szCs w:val="24"/>
        </w:rPr>
        <w:t xml:space="preserve"> </w:t>
      </w:r>
      <w:r w:rsidRPr="0005709A">
        <w:rPr>
          <w:b/>
          <w:sz w:val="24"/>
          <w:szCs w:val="24"/>
        </w:rPr>
        <w:t xml:space="preserve">12 hours post-commencement of infusion with </w:t>
      </w:r>
      <w:proofErr w:type="spellStart"/>
      <w:r>
        <w:rPr>
          <w:b/>
          <w:sz w:val="24"/>
          <w:szCs w:val="24"/>
        </w:rPr>
        <w:t>ara</w:t>
      </w:r>
      <w:proofErr w:type="spellEnd"/>
      <w:r>
        <w:rPr>
          <w:b/>
          <w:sz w:val="24"/>
          <w:szCs w:val="24"/>
        </w:rPr>
        <w:t xml:space="preserve">-C. </w:t>
      </w:r>
      <w:r>
        <w:rPr>
          <w:sz w:val="24"/>
          <w:szCs w:val="24"/>
        </w:rPr>
        <w:t xml:space="preserve">Arrowheads indicate timing of SD and HD dosing. </w:t>
      </w:r>
      <w:r w:rsidRPr="00F2448E">
        <w:rPr>
          <w:sz w:val="24"/>
          <w:szCs w:val="24"/>
        </w:rPr>
        <w:t>Mean SI% and 95%</w:t>
      </w:r>
      <w:r>
        <w:rPr>
          <w:sz w:val="24"/>
          <w:szCs w:val="24"/>
        </w:rPr>
        <w:t xml:space="preserve"> </w:t>
      </w:r>
      <w:r w:rsidRPr="00F2448E">
        <w:rPr>
          <w:sz w:val="24"/>
          <w:szCs w:val="24"/>
        </w:rPr>
        <w:t>CI are shown for each regimen</w:t>
      </w:r>
      <w:r>
        <w:rPr>
          <w:sz w:val="24"/>
          <w:szCs w:val="24"/>
        </w:rPr>
        <w:t xml:space="preserve"> throughout</w:t>
      </w:r>
      <w:r w:rsidR="001412EC">
        <w:rPr>
          <w:sz w:val="24"/>
          <w:szCs w:val="24"/>
        </w:rPr>
        <w:t>.</w:t>
      </w:r>
      <w:r>
        <w:rPr>
          <w:sz w:val="24"/>
          <w:szCs w:val="24"/>
        </w:rPr>
        <w:t xml:space="preserve"> SD versus HD: *</w:t>
      </w:r>
      <w:r w:rsidRPr="00143398">
        <w:rPr>
          <w:i/>
          <w:sz w:val="24"/>
          <w:szCs w:val="24"/>
        </w:rPr>
        <w:t>p</w:t>
      </w:r>
      <w:r>
        <w:rPr>
          <w:sz w:val="24"/>
          <w:szCs w:val="24"/>
        </w:rPr>
        <w:t>&lt;0.05,</w:t>
      </w:r>
      <w:r w:rsidRPr="00F2448E">
        <w:rPr>
          <w:sz w:val="24"/>
          <w:szCs w:val="24"/>
        </w:rPr>
        <w:t xml:space="preserve"> ***</w:t>
      </w:r>
      <w:r w:rsidRPr="00143398">
        <w:rPr>
          <w:i/>
          <w:sz w:val="24"/>
          <w:szCs w:val="24"/>
        </w:rPr>
        <w:t>p</w:t>
      </w:r>
      <w:r w:rsidRPr="00F2448E">
        <w:rPr>
          <w:sz w:val="24"/>
          <w:szCs w:val="24"/>
        </w:rPr>
        <w:t>&lt;0.001.</w:t>
      </w:r>
      <w:r>
        <w:rPr>
          <w:sz w:val="24"/>
          <w:szCs w:val="24"/>
        </w:rPr>
        <w:t xml:space="preserve"> </w:t>
      </w:r>
      <w:r w:rsidRPr="00803B97">
        <w:rPr>
          <w:sz w:val="24"/>
          <w:szCs w:val="24"/>
        </w:rPr>
        <w:t>LAIP, leukaemia-associated immunophenotype assessed by flow cytometry (% of total nucleated cells).</w:t>
      </w:r>
      <w:r>
        <w:rPr>
          <w:sz w:val="24"/>
          <w:szCs w:val="24"/>
        </w:rPr>
        <w:t xml:space="preserve"> </w:t>
      </w:r>
      <w:proofErr w:type="spellStart"/>
      <w:r>
        <w:rPr>
          <w:sz w:val="24"/>
          <w:szCs w:val="24"/>
        </w:rPr>
        <w:t>C</w:t>
      </w:r>
      <w:r w:rsidRPr="0076562E">
        <w:rPr>
          <w:sz w:val="24"/>
          <w:szCs w:val="24"/>
          <w:vertAlign w:val="subscript"/>
        </w:rPr>
        <w:t>ss</w:t>
      </w:r>
      <w:proofErr w:type="spellEnd"/>
      <w:r>
        <w:rPr>
          <w:sz w:val="24"/>
          <w:szCs w:val="24"/>
        </w:rPr>
        <w:t xml:space="preserve">, steady-state concentration; A, absorption; E, elimination; AUC, area under the curve; </w:t>
      </w:r>
      <w:proofErr w:type="spellStart"/>
      <w:r>
        <w:rPr>
          <w:sz w:val="24"/>
          <w:szCs w:val="24"/>
        </w:rPr>
        <w:t>C</w:t>
      </w:r>
      <w:r w:rsidRPr="000A65D1">
        <w:rPr>
          <w:sz w:val="24"/>
          <w:szCs w:val="24"/>
          <w:vertAlign w:val="subscript"/>
        </w:rPr>
        <w:t>max</w:t>
      </w:r>
      <w:proofErr w:type="spellEnd"/>
      <w:r>
        <w:rPr>
          <w:sz w:val="24"/>
          <w:szCs w:val="24"/>
        </w:rPr>
        <w:t xml:space="preserve">, maximum concentration; </w:t>
      </w:r>
      <w:proofErr w:type="spellStart"/>
      <w:r>
        <w:rPr>
          <w:sz w:val="24"/>
          <w:szCs w:val="24"/>
        </w:rPr>
        <w:t>T</w:t>
      </w:r>
      <w:r w:rsidRPr="000A65D1">
        <w:rPr>
          <w:sz w:val="24"/>
          <w:szCs w:val="24"/>
          <w:vertAlign w:val="subscript"/>
        </w:rPr>
        <w:t>max</w:t>
      </w:r>
      <w:proofErr w:type="spellEnd"/>
      <w:r>
        <w:rPr>
          <w:sz w:val="24"/>
          <w:szCs w:val="24"/>
        </w:rPr>
        <w:t>, time to maximum concentration.</w:t>
      </w:r>
      <w:r w:rsidR="00A87E62">
        <w:rPr>
          <w:sz w:val="24"/>
          <w:szCs w:val="24"/>
        </w:rPr>
        <w:t xml:space="preserve"> *HD AUC</w:t>
      </w:r>
      <w:r w:rsidR="00A87E62" w:rsidRPr="00A87E62">
        <w:rPr>
          <w:sz w:val="24"/>
          <w:szCs w:val="24"/>
          <w:vertAlign w:val="subscript"/>
        </w:rPr>
        <w:t>0-12hrs</w:t>
      </w:r>
      <w:r w:rsidR="00A87E62">
        <w:rPr>
          <w:sz w:val="24"/>
          <w:szCs w:val="24"/>
        </w:rPr>
        <w:t xml:space="preserve"> (</w:t>
      </w:r>
      <w:r w:rsidR="00A87E62" w:rsidRPr="00A87E62">
        <w:rPr>
          <w:i/>
          <w:sz w:val="24"/>
          <w:szCs w:val="24"/>
        </w:rPr>
        <w:t>n</w:t>
      </w:r>
      <w:r w:rsidR="00A87E62">
        <w:rPr>
          <w:sz w:val="24"/>
          <w:szCs w:val="24"/>
        </w:rPr>
        <w:t xml:space="preserve">=5) (Figure A.3). </w:t>
      </w:r>
    </w:p>
    <w:p w14:paraId="353E64A3" w14:textId="77777777" w:rsidR="00BC1CD9" w:rsidRDefault="00BC1CD9" w:rsidP="00C9054E">
      <w:pPr>
        <w:spacing w:after="0" w:line="240" w:lineRule="auto"/>
        <w:jc w:val="both"/>
        <w:rPr>
          <w:rFonts w:cs="Arial"/>
          <w:sz w:val="24"/>
          <w:szCs w:val="24"/>
        </w:rPr>
      </w:pPr>
    </w:p>
    <w:p w14:paraId="1EF77A02" w14:textId="113D08F2" w:rsidR="00C9054E" w:rsidRDefault="00C9054E" w:rsidP="005B3D9C">
      <w:pPr>
        <w:spacing w:after="0" w:line="240" w:lineRule="auto"/>
        <w:jc w:val="both"/>
        <w:rPr>
          <w:rFonts w:cs="Arial"/>
          <w:sz w:val="24"/>
          <w:szCs w:val="24"/>
        </w:rPr>
      </w:pPr>
      <w:r>
        <w:rPr>
          <w:rFonts w:cs="Arial"/>
          <w:sz w:val="24"/>
          <w:szCs w:val="24"/>
        </w:rPr>
        <w:t xml:space="preserve">Initial analysis of prediction of outcome at day 28 versus </w:t>
      </w:r>
      <w:proofErr w:type="spellStart"/>
      <w:r>
        <w:rPr>
          <w:rFonts w:cs="Arial"/>
          <w:sz w:val="24"/>
          <w:szCs w:val="24"/>
        </w:rPr>
        <w:t>ara</w:t>
      </w:r>
      <w:proofErr w:type="spellEnd"/>
      <w:r>
        <w:rPr>
          <w:rFonts w:cs="Arial"/>
          <w:sz w:val="24"/>
          <w:szCs w:val="24"/>
        </w:rPr>
        <w:t>-CTP accumulation was performed at each time-point for the SD cohort</w:t>
      </w:r>
      <w:r w:rsidR="00DD4FAA">
        <w:rPr>
          <w:rFonts w:cs="Arial"/>
          <w:sz w:val="24"/>
          <w:szCs w:val="24"/>
        </w:rPr>
        <w:t xml:space="preserve"> (Figure 2A-E)</w:t>
      </w:r>
      <w:r>
        <w:rPr>
          <w:rFonts w:cs="Arial"/>
          <w:sz w:val="24"/>
          <w:szCs w:val="24"/>
        </w:rPr>
        <w:t xml:space="preserve">. </w:t>
      </w:r>
      <w:r w:rsidR="005B3D9C">
        <w:rPr>
          <w:rFonts w:cs="Arial"/>
          <w:sz w:val="24"/>
          <w:szCs w:val="24"/>
        </w:rPr>
        <w:t>The most striking correlation was observed at t=4 hours post-treatment commencement, where a higher SI% correlated with day 28 log</w:t>
      </w:r>
      <w:r w:rsidR="005B3D9C" w:rsidRPr="00BE1854">
        <w:rPr>
          <w:rFonts w:cs="Arial"/>
          <w:sz w:val="24"/>
          <w:szCs w:val="24"/>
          <w:vertAlign w:val="subscript"/>
        </w:rPr>
        <w:t>10</w:t>
      </w:r>
      <w:r w:rsidR="005B3D9C">
        <w:rPr>
          <w:rFonts w:cs="Arial"/>
          <w:sz w:val="24"/>
          <w:szCs w:val="24"/>
        </w:rPr>
        <w:t xml:space="preserve"> bone marrow blast reduction (Fig</w:t>
      </w:r>
      <w:r w:rsidR="003F518D">
        <w:rPr>
          <w:rFonts w:cs="Arial"/>
          <w:sz w:val="24"/>
          <w:szCs w:val="24"/>
        </w:rPr>
        <w:t>ure 2</w:t>
      </w:r>
      <w:r w:rsidR="00DD4FAA">
        <w:rPr>
          <w:rFonts w:cs="Arial"/>
          <w:sz w:val="24"/>
          <w:szCs w:val="24"/>
        </w:rPr>
        <w:t>B</w:t>
      </w:r>
      <w:r w:rsidR="005B3D9C">
        <w:rPr>
          <w:rFonts w:cs="Arial"/>
          <w:sz w:val="24"/>
          <w:szCs w:val="24"/>
        </w:rPr>
        <w:t>) (</w:t>
      </w:r>
      <w:r w:rsidR="005B3D9C" w:rsidRPr="00811F09">
        <w:rPr>
          <w:rFonts w:cs="Arial"/>
          <w:i/>
          <w:sz w:val="24"/>
          <w:szCs w:val="24"/>
        </w:rPr>
        <w:t>n</w:t>
      </w:r>
      <w:r w:rsidR="005B3D9C">
        <w:rPr>
          <w:rFonts w:cs="Arial"/>
          <w:sz w:val="24"/>
          <w:szCs w:val="24"/>
        </w:rPr>
        <w:t xml:space="preserve">=6, </w:t>
      </w:r>
      <w:r w:rsidR="005B3D9C" w:rsidRPr="00143398">
        <w:rPr>
          <w:rFonts w:cs="Arial"/>
          <w:i/>
          <w:sz w:val="24"/>
          <w:szCs w:val="24"/>
        </w:rPr>
        <w:t>p</w:t>
      </w:r>
      <w:r w:rsidR="005B3D9C">
        <w:rPr>
          <w:rFonts w:cs="Arial"/>
          <w:sz w:val="24"/>
          <w:szCs w:val="24"/>
        </w:rPr>
        <w:t>=0.0113).</w:t>
      </w:r>
      <w:r w:rsidR="004E4D2E">
        <w:rPr>
          <w:rFonts w:cs="Arial"/>
          <w:sz w:val="24"/>
          <w:szCs w:val="24"/>
        </w:rPr>
        <w:t xml:space="preserve"> </w:t>
      </w:r>
      <w:r w:rsidR="0018269E" w:rsidRPr="00622543">
        <w:rPr>
          <w:rFonts w:cs="Arial"/>
          <w:sz w:val="24"/>
          <w:szCs w:val="24"/>
        </w:rPr>
        <w:t>Correlation was only possible in 6</w:t>
      </w:r>
      <w:r w:rsidR="00955E51" w:rsidRPr="00622543">
        <w:rPr>
          <w:rFonts w:cs="Arial"/>
          <w:sz w:val="24"/>
          <w:szCs w:val="24"/>
        </w:rPr>
        <w:t>/7</w:t>
      </w:r>
      <w:r w:rsidR="0018269E" w:rsidRPr="00622543">
        <w:rPr>
          <w:rFonts w:cs="Arial"/>
          <w:sz w:val="24"/>
          <w:szCs w:val="24"/>
        </w:rPr>
        <w:t xml:space="preserve"> patients at this time-point as one patient was not assessable </w:t>
      </w:r>
      <w:r w:rsidR="00955E51" w:rsidRPr="00622543">
        <w:rPr>
          <w:rFonts w:cs="Arial"/>
          <w:sz w:val="24"/>
          <w:szCs w:val="24"/>
        </w:rPr>
        <w:t xml:space="preserve">for burden </w:t>
      </w:r>
      <w:r w:rsidR="0018269E" w:rsidRPr="00622543">
        <w:rPr>
          <w:rFonts w:cs="Arial"/>
          <w:sz w:val="24"/>
          <w:szCs w:val="24"/>
        </w:rPr>
        <w:t>a</w:t>
      </w:r>
      <w:r w:rsidR="00956B5E">
        <w:rPr>
          <w:rFonts w:cs="Arial"/>
          <w:sz w:val="24"/>
          <w:szCs w:val="24"/>
        </w:rPr>
        <w:t>t day 28 (Fig</w:t>
      </w:r>
      <w:r w:rsidR="006C7230">
        <w:rPr>
          <w:rFonts w:cs="Arial"/>
          <w:sz w:val="24"/>
          <w:szCs w:val="24"/>
        </w:rPr>
        <w:t>ure</w:t>
      </w:r>
      <w:r w:rsidR="007832F8">
        <w:rPr>
          <w:rFonts w:cs="Arial"/>
          <w:sz w:val="24"/>
          <w:szCs w:val="24"/>
        </w:rPr>
        <w:t xml:space="preserve"> A.2</w:t>
      </w:r>
      <w:r w:rsidR="0018269E" w:rsidRPr="00622543">
        <w:rPr>
          <w:rFonts w:cs="Arial"/>
          <w:sz w:val="24"/>
          <w:szCs w:val="24"/>
        </w:rPr>
        <w:t>).</w:t>
      </w:r>
      <w:r w:rsidR="004E4D2E">
        <w:rPr>
          <w:rFonts w:cs="Arial"/>
          <w:sz w:val="24"/>
          <w:szCs w:val="24"/>
        </w:rPr>
        <w:t xml:space="preserve"> </w:t>
      </w:r>
      <w:r w:rsidR="00DD4FAA">
        <w:rPr>
          <w:rFonts w:cs="Arial"/>
          <w:sz w:val="24"/>
          <w:szCs w:val="24"/>
        </w:rPr>
        <w:t>A significant relationship was notable at t=8 hours (</w:t>
      </w:r>
      <w:r w:rsidR="001050B5" w:rsidRPr="001050B5">
        <w:rPr>
          <w:rFonts w:cs="Arial"/>
          <w:i/>
          <w:sz w:val="24"/>
          <w:szCs w:val="24"/>
        </w:rPr>
        <w:t>n</w:t>
      </w:r>
      <w:r w:rsidR="001050B5">
        <w:rPr>
          <w:rFonts w:cs="Arial"/>
          <w:sz w:val="24"/>
          <w:szCs w:val="24"/>
        </w:rPr>
        <w:t xml:space="preserve">=4, </w:t>
      </w:r>
      <w:r w:rsidR="00DD4FAA" w:rsidRPr="001050B5">
        <w:rPr>
          <w:rFonts w:cs="Arial"/>
          <w:i/>
          <w:sz w:val="24"/>
          <w:szCs w:val="24"/>
        </w:rPr>
        <w:t>p</w:t>
      </w:r>
      <w:r w:rsidR="00DD4FAA">
        <w:rPr>
          <w:rFonts w:cs="Arial"/>
          <w:sz w:val="24"/>
          <w:szCs w:val="24"/>
        </w:rPr>
        <w:t xml:space="preserve">=0.0280) (Figure 2C), however the </w:t>
      </w:r>
      <w:r w:rsidR="00DD4FAA" w:rsidRPr="00DD4FAA">
        <w:rPr>
          <w:rFonts w:cs="Arial"/>
          <w:i/>
          <w:sz w:val="24"/>
          <w:szCs w:val="24"/>
        </w:rPr>
        <w:t>n</w:t>
      </w:r>
      <w:r w:rsidR="00DD4FAA">
        <w:rPr>
          <w:rFonts w:cs="Arial"/>
          <w:sz w:val="24"/>
          <w:szCs w:val="24"/>
        </w:rPr>
        <w:t xml:space="preserve">-value limits interpretation. </w:t>
      </w:r>
      <w:r w:rsidR="007C0E31">
        <w:rPr>
          <w:rFonts w:cs="Arial"/>
          <w:sz w:val="24"/>
          <w:szCs w:val="24"/>
        </w:rPr>
        <w:t>No significant correlation was observed with t=2 (Figure 2</w:t>
      </w:r>
      <w:r w:rsidR="00DD4FAA">
        <w:rPr>
          <w:rFonts w:cs="Arial"/>
          <w:sz w:val="24"/>
          <w:szCs w:val="24"/>
        </w:rPr>
        <w:t>A</w:t>
      </w:r>
      <w:r w:rsidR="007C0E31">
        <w:rPr>
          <w:rFonts w:cs="Arial"/>
          <w:sz w:val="24"/>
          <w:szCs w:val="24"/>
        </w:rPr>
        <w:t>)</w:t>
      </w:r>
      <w:r w:rsidR="00DD4FAA">
        <w:rPr>
          <w:rFonts w:cs="Arial"/>
          <w:sz w:val="24"/>
          <w:szCs w:val="24"/>
        </w:rPr>
        <w:t xml:space="preserve"> or</w:t>
      </w:r>
      <w:r w:rsidR="007C0E31">
        <w:rPr>
          <w:rFonts w:cs="Arial"/>
          <w:sz w:val="24"/>
          <w:szCs w:val="24"/>
        </w:rPr>
        <w:t xml:space="preserve"> </w:t>
      </w:r>
      <w:r w:rsidR="00DD4FAA">
        <w:rPr>
          <w:rFonts w:cs="Arial"/>
          <w:sz w:val="24"/>
          <w:szCs w:val="24"/>
        </w:rPr>
        <w:t xml:space="preserve">t=12 hours post-treatment commencement </w:t>
      </w:r>
      <w:r w:rsidR="00A019C3">
        <w:rPr>
          <w:rFonts w:cs="Arial"/>
          <w:sz w:val="24"/>
          <w:szCs w:val="24"/>
        </w:rPr>
        <w:t xml:space="preserve">SI% </w:t>
      </w:r>
      <w:r w:rsidR="00DD4FAA">
        <w:rPr>
          <w:rFonts w:cs="Arial"/>
          <w:sz w:val="24"/>
          <w:szCs w:val="24"/>
        </w:rPr>
        <w:t xml:space="preserve">(Figure 2D) </w:t>
      </w:r>
      <w:r w:rsidR="007C0E31">
        <w:rPr>
          <w:rFonts w:cs="Arial"/>
          <w:sz w:val="24"/>
          <w:szCs w:val="24"/>
        </w:rPr>
        <w:t>or AUC</w:t>
      </w:r>
      <w:r w:rsidR="007C0E31" w:rsidRPr="007C0E31">
        <w:rPr>
          <w:rFonts w:cs="Arial"/>
          <w:sz w:val="24"/>
          <w:szCs w:val="24"/>
          <w:vertAlign w:val="subscript"/>
        </w:rPr>
        <w:t>0-12 hours</w:t>
      </w:r>
      <w:r w:rsidR="007C0E31">
        <w:rPr>
          <w:rFonts w:cs="Arial"/>
          <w:sz w:val="24"/>
          <w:szCs w:val="24"/>
        </w:rPr>
        <w:t xml:space="preserve"> (Figure 2</w:t>
      </w:r>
      <w:r w:rsidR="00DD4FAA">
        <w:rPr>
          <w:rFonts w:cs="Arial"/>
          <w:sz w:val="24"/>
          <w:szCs w:val="24"/>
        </w:rPr>
        <w:t>E</w:t>
      </w:r>
      <w:r w:rsidR="007C0E31">
        <w:rPr>
          <w:rFonts w:cs="Arial"/>
          <w:sz w:val="24"/>
          <w:szCs w:val="24"/>
        </w:rPr>
        <w:t xml:space="preserve">). </w:t>
      </w:r>
      <w:r w:rsidR="005B3D9C">
        <w:rPr>
          <w:sz w:val="24"/>
          <w:szCs w:val="24"/>
        </w:rPr>
        <w:t>For any future study, infusion time +</w:t>
      </w:r>
      <w:r w:rsidR="00DD4FAA">
        <w:rPr>
          <w:sz w:val="24"/>
          <w:szCs w:val="24"/>
        </w:rPr>
        <w:t>4</w:t>
      </w:r>
      <w:r w:rsidR="005B3D9C">
        <w:rPr>
          <w:sz w:val="24"/>
          <w:szCs w:val="24"/>
        </w:rPr>
        <w:t xml:space="preserve"> hours </w:t>
      </w:r>
      <w:r w:rsidR="00ED2EAD">
        <w:rPr>
          <w:sz w:val="24"/>
          <w:szCs w:val="24"/>
        </w:rPr>
        <w:t>may</w:t>
      </w:r>
      <w:r w:rsidR="00CC3A11">
        <w:rPr>
          <w:sz w:val="24"/>
          <w:szCs w:val="24"/>
        </w:rPr>
        <w:t xml:space="preserve"> </w:t>
      </w:r>
      <w:r w:rsidR="005B3D9C">
        <w:rPr>
          <w:sz w:val="24"/>
          <w:szCs w:val="24"/>
        </w:rPr>
        <w:t>derive</w:t>
      </w:r>
      <w:r w:rsidR="00DD4FAA">
        <w:rPr>
          <w:sz w:val="24"/>
          <w:szCs w:val="24"/>
        </w:rPr>
        <w:t xml:space="preserve"> the most predictive time-point</w:t>
      </w:r>
      <w:r w:rsidR="005B3D9C">
        <w:rPr>
          <w:sz w:val="24"/>
          <w:szCs w:val="24"/>
        </w:rPr>
        <w:t xml:space="preserve"> as the majority of SD patients showed declining </w:t>
      </w:r>
      <w:proofErr w:type="spellStart"/>
      <w:r w:rsidR="005B3D9C">
        <w:rPr>
          <w:sz w:val="24"/>
          <w:szCs w:val="24"/>
        </w:rPr>
        <w:t>ara</w:t>
      </w:r>
      <w:proofErr w:type="spellEnd"/>
      <w:r w:rsidR="005B3D9C">
        <w:rPr>
          <w:sz w:val="24"/>
          <w:szCs w:val="24"/>
        </w:rPr>
        <w:t>-CTP levels after the 4 hour time-point (Fig</w:t>
      </w:r>
      <w:r w:rsidR="00533E06">
        <w:rPr>
          <w:sz w:val="24"/>
          <w:szCs w:val="24"/>
        </w:rPr>
        <w:t>ure</w:t>
      </w:r>
      <w:r w:rsidR="005B3D9C">
        <w:rPr>
          <w:sz w:val="24"/>
          <w:szCs w:val="24"/>
        </w:rPr>
        <w:t xml:space="preserve"> </w:t>
      </w:r>
      <w:r w:rsidR="00533E06">
        <w:rPr>
          <w:sz w:val="24"/>
          <w:szCs w:val="24"/>
        </w:rPr>
        <w:t>1C</w:t>
      </w:r>
      <w:r w:rsidR="005B3D9C">
        <w:rPr>
          <w:sz w:val="24"/>
          <w:szCs w:val="24"/>
        </w:rPr>
        <w:t xml:space="preserve">). </w:t>
      </w:r>
      <w:r w:rsidR="005257EB" w:rsidRPr="005257EB">
        <w:rPr>
          <w:rFonts w:cs="Arial"/>
          <w:sz w:val="24"/>
          <w:szCs w:val="24"/>
        </w:rPr>
        <w:t xml:space="preserve">Concurrent LAIP assessment </w:t>
      </w:r>
      <w:r w:rsidR="00AF3F64">
        <w:rPr>
          <w:rFonts w:cs="Arial"/>
          <w:sz w:val="24"/>
          <w:szCs w:val="24"/>
        </w:rPr>
        <w:t xml:space="preserve">(0-72 hours) </w:t>
      </w:r>
      <w:r w:rsidR="005257EB" w:rsidRPr="005257EB">
        <w:rPr>
          <w:rFonts w:cs="Arial"/>
          <w:sz w:val="24"/>
          <w:szCs w:val="24"/>
        </w:rPr>
        <w:t>versus day 28 outcome performed in SD patients (</w:t>
      </w:r>
      <w:r w:rsidR="005257EB" w:rsidRPr="00932F80">
        <w:rPr>
          <w:rFonts w:cs="Arial"/>
          <w:i/>
          <w:sz w:val="24"/>
          <w:szCs w:val="24"/>
        </w:rPr>
        <w:t>n</w:t>
      </w:r>
      <w:r w:rsidR="005257EB" w:rsidRPr="005257EB">
        <w:rPr>
          <w:rFonts w:cs="Arial"/>
          <w:sz w:val="24"/>
          <w:szCs w:val="24"/>
        </w:rPr>
        <w:t xml:space="preserve">=7) </w:t>
      </w:r>
      <w:r w:rsidR="00932F80">
        <w:rPr>
          <w:rFonts w:cs="Arial"/>
          <w:sz w:val="24"/>
          <w:szCs w:val="24"/>
        </w:rPr>
        <w:t>(Figure 2</w:t>
      </w:r>
      <w:r w:rsidR="00DD4FAA">
        <w:rPr>
          <w:rFonts w:cs="Arial"/>
          <w:sz w:val="24"/>
          <w:szCs w:val="24"/>
        </w:rPr>
        <w:t>F</w:t>
      </w:r>
      <w:r w:rsidR="00932F80">
        <w:rPr>
          <w:rFonts w:cs="Arial"/>
          <w:sz w:val="24"/>
          <w:szCs w:val="24"/>
        </w:rPr>
        <w:t xml:space="preserve">) </w:t>
      </w:r>
      <w:r w:rsidR="005257EB" w:rsidRPr="005257EB">
        <w:rPr>
          <w:rFonts w:cs="Arial"/>
          <w:sz w:val="24"/>
          <w:szCs w:val="24"/>
        </w:rPr>
        <w:t xml:space="preserve">replicated previous findings from day 14 outcome correlation versus circulating blast burden decline over the initial days post-treatment </w:t>
      </w:r>
      <w:r w:rsidR="005257EB" w:rsidRPr="005257EB">
        <w:rPr>
          <w:rFonts w:cs="Arial"/>
          <w:sz w:val="24"/>
          <w:szCs w:val="24"/>
        </w:rPr>
        <w:lastRenderedPageBreak/>
        <w:t>(</w:t>
      </w:r>
      <w:proofErr w:type="spellStart"/>
      <w:r w:rsidR="005257EB" w:rsidRPr="005257EB">
        <w:rPr>
          <w:rFonts w:cs="Arial"/>
          <w:sz w:val="24"/>
          <w:szCs w:val="24"/>
        </w:rPr>
        <w:t>Gianfaldoni</w:t>
      </w:r>
      <w:proofErr w:type="spellEnd"/>
      <w:r w:rsidR="005257EB" w:rsidRPr="005257EB">
        <w:rPr>
          <w:rFonts w:cs="Arial"/>
          <w:sz w:val="24"/>
          <w:szCs w:val="24"/>
        </w:rPr>
        <w:t xml:space="preserve"> </w:t>
      </w:r>
      <w:r w:rsidR="005257EB" w:rsidRPr="005257EB">
        <w:rPr>
          <w:rFonts w:cs="Arial"/>
          <w:i/>
          <w:sz w:val="24"/>
          <w:szCs w:val="24"/>
        </w:rPr>
        <w:t>et al</w:t>
      </w:r>
      <w:r w:rsidR="005257EB" w:rsidRPr="005257EB">
        <w:rPr>
          <w:rFonts w:cs="Arial"/>
          <w:sz w:val="24"/>
          <w:szCs w:val="24"/>
        </w:rPr>
        <w:t>., 2006</w:t>
      </w:r>
      <w:r w:rsidR="006B5FE4" w:rsidRPr="005257EB">
        <w:rPr>
          <w:rFonts w:cs="Arial"/>
          <w:sz w:val="24"/>
          <w:szCs w:val="24"/>
        </w:rPr>
        <w:t xml:space="preserve">; Elliott </w:t>
      </w:r>
      <w:r w:rsidR="006B5FE4" w:rsidRPr="005257EB">
        <w:rPr>
          <w:rFonts w:cs="Arial"/>
          <w:i/>
          <w:sz w:val="24"/>
          <w:szCs w:val="24"/>
        </w:rPr>
        <w:t>et al</w:t>
      </w:r>
      <w:r w:rsidR="006B5FE4">
        <w:rPr>
          <w:rFonts w:cs="Arial"/>
          <w:sz w:val="24"/>
          <w:szCs w:val="24"/>
        </w:rPr>
        <w:t>., 2007</w:t>
      </w:r>
      <w:r w:rsidR="00533E06">
        <w:rPr>
          <w:rFonts w:cs="Arial"/>
          <w:sz w:val="24"/>
          <w:szCs w:val="24"/>
        </w:rPr>
        <w:t>)</w:t>
      </w:r>
      <w:r w:rsidR="005257EB" w:rsidRPr="005257EB">
        <w:rPr>
          <w:rFonts w:cs="Arial"/>
          <w:sz w:val="24"/>
          <w:szCs w:val="24"/>
        </w:rPr>
        <w:t>.</w:t>
      </w:r>
      <w:r w:rsidR="005257EB">
        <w:rPr>
          <w:rFonts w:cs="Arial"/>
          <w:sz w:val="24"/>
          <w:szCs w:val="24"/>
        </w:rPr>
        <w:t xml:space="preserve"> </w:t>
      </w:r>
      <w:r w:rsidR="00CE5CD9">
        <w:rPr>
          <w:rFonts w:cs="Arial"/>
          <w:sz w:val="24"/>
          <w:szCs w:val="24"/>
        </w:rPr>
        <w:t>Herein,</w:t>
      </w:r>
      <w:r w:rsidR="00F41464">
        <w:rPr>
          <w:rFonts w:cs="Arial"/>
          <w:sz w:val="24"/>
          <w:szCs w:val="24"/>
        </w:rPr>
        <w:t xml:space="preserve"> n</w:t>
      </w:r>
      <w:r w:rsidR="005B3D9C" w:rsidRPr="005257EB">
        <w:rPr>
          <w:rFonts w:cs="Arial"/>
          <w:sz w:val="24"/>
          <w:szCs w:val="24"/>
        </w:rPr>
        <w:t xml:space="preserve">on-standard flow sampling (t=24, 48 &amp; 72 hours) </w:t>
      </w:r>
      <w:r w:rsidR="005B3D9C">
        <w:rPr>
          <w:rFonts w:cs="Arial"/>
          <w:sz w:val="24"/>
          <w:szCs w:val="24"/>
        </w:rPr>
        <w:t>suffered</w:t>
      </w:r>
      <w:r w:rsidR="005B3D9C" w:rsidRPr="005257EB">
        <w:rPr>
          <w:rFonts w:cs="Arial"/>
          <w:sz w:val="24"/>
          <w:szCs w:val="24"/>
        </w:rPr>
        <w:t xml:space="preserve"> &lt;50% </w:t>
      </w:r>
      <w:r w:rsidR="00E7707D">
        <w:rPr>
          <w:rFonts w:cs="Arial"/>
          <w:sz w:val="24"/>
          <w:szCs w:val="24"/>
        </w:rPr>
        <w:t xml:space="preserve">mean </w:t>
      </w:r>
      <w:r w:rsidR="005B3D9C" w:rsidRPr="005257EB">
        <w:rPr>
          <w:rFonts w:cs="Arial"/>
          <w:sz w:val="24"/>
          <w:szCs w:val="24"/>
        </w:rPr>
        <w:t xml:space="preserve">completion rate </w:t>
      </w:r>
      <w:r w:rsidR="00533E06">
        <w:rPr>
          <w:rFonts w:cs="Arial"/>
          <w:sz w:val="24"/>
          <w:szCs w:val="24"/>
        </w:rPr>
        <w:t>(Figure</w:t>
      </w:r>
      <w:r w:rsidR="00547776">
        <w:rPr>
          <w:rFonts w:cs="Arial"/>
          <w:sz w:val="24"/>
          <w:szCs w:val="24"/>
        </w:rPr>
        <w:t xml:space="preserve"> A.</w:t>
      </w:r>
      <w:r w:rsidR="007832F8">
        <w:rPr>
          <w:rFonts w:cs="Arial"/>
          <w:sz w:val="24"/>
          <w:szCs w:val="24"/>
        </w:rPr>
        <w:t>1A</w:t>
      </w:r>
      <w:r w:rsidR="005B3D9C" w:rsidRPr="005257EB">
        <w:rPr>
          <w:rFonts w:cs="Arial"/>
          <w:sz w:val="24"/>
          <w:szCs w:val="24"/>
        </w:rPr>
        <w:t>)</w:t>
      </w:r>
      <w:r w:rsidR="005B3D9C">
        <w:rPr>
          <w:rFonts w:cs="Arial"/>
          <w:sz w:val="24"/>
          <w:szCs w:val="24"/>
        </w:rPr>
        <w:t>, limit</w:t>
      </w:r>
      <w:r w:rsidR="003D389B">
        <w:rPr>
          <w:rFonts w:cs="Arial"/>
          <w:sz w:val="24"/>
          <w:szCs w:val="24"/>
        </w:rPr>
        <w:t xml:space="preserve">ing </w:t>
      </w:r>
      <w:r w:rsidR="005B3D9C">
        <w:rPr>
          <w:rFonts w:cs="Arial"/>
          <w:sz w:val="24"/>
          <w:szCs w:val="24"/>
        </w:rPr>
        <w:t>correlation</w:t>
      </w:r>
      <w:r w:rsidR="00ED2EAD">
        <w:rPr>
          <w:rFonts w:cs="Arial"/>
          <w:sz w:val="24"/>
          <w:szCs w:val="24"/>
        </w:rPr>
        <w:t xml:space="preserve"> notably</w:t>
      </w:r>
      <w:r w:rsidR="005B3D9C" w:rsidRPr="005257EB">
        <w:rPr>
          <w:rFonts w:cs="Arial"/>
          <w:sz w:val="24"/>
          <w:szCs w:val="24"/>
        </w:rPr>
        <w:t xml:space="preserve"> for HD </w:t>
      </w:r>
      <w:r w:rsidR="007832F8">
        <w:rPr>
          <w:rFonts w:cs="Arial"/>
          <w:sz w:val="24"/>
          <w:szCs w:val="24"/>
        </w:rPr>
        <w:t xml:space="preserve">and LD </w:t>
      </w:r>
      <w:r w:rsidR="005B3D9C" w:rsidRPr="005257EB">
        <w:rPr>
          <w:rFonts w:cs="Arial"/>
          <w:sz w:val="24"/>
          <w:szCs w:val="24"/>
        </w:rPr>
        <w:t>cohort</w:t>
      </w:r>
      <w:r w:rsidR="007832F8">
        <w:rPr>
          <w:rFonts w:cs="Arial"/>
          <w:sz w:val="24"/>
          <w:szCs w:val="24"/>
        </w:rPr>
        <w:t>s</w:t>
      </w:r>
      <w:r w:rsidR="005B3D9C">
        <w:rPr>
          <w:rFonts w:cs="Arial"/>
          <w:sz w:val="24"/>
          <w:szCs w:val="24"/>
        </w:rPr>
        <w:t>.</w:t>
      </w:r>
      <w:r w:rsidR="005B3D9C" w:rsidRPr="005257EB">
        <w:rPr>
          <w:rFonts w:cs="Arial"/>
          <w:sz w:val="24"/>
          <w:szCs w:val="24"/>
        </w:rPr>
        <w:t xml:space="preserve"> Intervention with </w:t>
      </w:r>
      <w:r w:rsidR="00002690">
        <w:rPr>
          <w:rFonts w:cs="Arial"/>
          <w:sz w:val="24"/>
          <w:szCs w:val="24"/>
        </w:rPr>
        <w:t xml:space="preserve">additional </w:t>
      </w:r>
      <w:r w:rsidR="005B3D9C" w:rsidRPr="005257EB">
        <w:rPr>
          <w:rFonts w:cs="Arial"/>
          <w:sz w:val="24"/>
          <w:szCs w:val="24"/>
        </w:rPr>
        <w:t xml:space="preserve">training </w:t>
      </w:r>
      <w:r w:rsidR="00BE0A19">
        <w:rPr>
          <w:rFonts w:cs="Arial"/>
          <w:sz w:val="24"/>
          <w:szCs w:val="24"/>
        </w:rPr>
        <w:t>of night-</w:t>
      </w:r>
      <w:r w:rsidR="00002690" w:rsidRPr="005257EB">
        <w:rPr>
          <w:rFonts w:cs="Arial"/>
          <w:sz w:val="24"/>
          <w:szCs w:val="24"/>
        </w:rPr>
        <w:t xml:space="preserve">staff </w:t>
      </w:r>
      <w:r w:rsidR="005B3D9C" w:rsidRPr="005257EB">
        <w:rPr>
          <w:rFonts w:cs="Arial"/>
          <w:sz w:val="24"/>
          <w:szCs w:val="24"/>
        </w:rPr>
        <w:t>improved th</w:t>
      </w:r>
      <w:r w:rsidR="004719EF">
        <w:rPr>
          <w:rFonts w:cs="Arial"/>
          <w:sz w:val="24"/>
          <w:szCs w:val="24"/>
        </w:rPr>
        <w:t>e</w:t>
      </w:r>
      <w:r w:rsidR="005B3D9C" w:rsidRPr="005257EB">
        <w:rPr>
          <w:rFonts w:cs="Arial"/>
          <w:sz w:val="24"/>
          <w:szCs w:val="24"/>
        </w:rPr>
        <w:t xml:space="preserve"> completion rate substantially after interim identification of the issue</w:t>
      </w:r>
      <w:r w:rsidR="00F41464">
        <w:rPr>
          <w:rFonts w:cs="Arial"/>
          <w:sz w:val="24"/>
          <w:szCs w:val="24"/>
        </w:rPr>
        <w:t xml:space="preserve"> </w:t>
      </w:r>
      <w:r w:rsidR="00225E4A" w:rsidRPr="00E7707D">
        <w:rPr>
          <w:rFonts w:cs="Arial"/>
          <w:sz w:val="24"/>
          <w:szCs w:val="24"/>
        </w:rPr>
        <w:t>(0%</w:t>
      </w:r>
      <w:r w:rsidR="00F41464" w:rsidRPr="00E7707D">
        <w:rPr>
          <w:rFonts w:cs="Arial"/>
          <w:sz w:val="24"/>
          <w:szCs w:val="24"/>
        </w:rPr>
        <w:t xml:space="preserve"> v</w:t>
      </w:r>
      <w:r w:rsidR="00225E4A" w:rsidRPr="00E7707D">
        <w:rPr>
          <w:rFonts w:cs="Arial"/>
          <w:sz w:val="24"/>
          <w:szCs w:val="24"/>
        </w:rPr>
        <w:t>ersus 62.5</w:t>
      </w:r>
      <w:r w:rsidR="00F41464" w:rsidRPr="00E7707D">
        <w:rPr>
          <w:rFonts w:cs="Arial"/>
          <w:sz w:val="24"/>
          <w:szCs w:val="24"/>
        </w:rPr>
        <w:t>%)</w:t>
      </w:r>
      <w:r w:rsidR="005B3D9C" w:rsidRPr="005257EB">
        <w:rPr>
          <w:rFonts w:cs="Arial"/>
          <w:sz w:val="24"/>
          <w:szCs w:val="24"/>
        </w:rPr>
        <w:t>.</w:t>
      </w:r>
    </w:p>
    <w:p w14:paraId="3A936556" w14:textId="4D900B61" w:rsidR="005B3D9C" w:rsidRDefault="005B3D9C" w:rsidP="005B3D9C">
      <w:pPr>
        <w:spacing w:after="0" w:line="240" w:lineRule="auto"/>
        <w:jc w:val="both"/>
        <w:rPr>
          <w:sz w:val="24"/>
          <w:szCs w:val="24"/>
        </w:rPr>
      </w:pPr>
    </w:p>
    <w:p w14:paraId="05AC399B" w14:textId="3A546854" w:rsidR="00701D4E" w:rsidRDefault="006B56EB" w:rsidP="00872B9B">
      <w:pPr>
        <w:spacing w:after="0" w:line="240" w:lineRule="auto"/>
        <w:jc w:val="both"/>
        <w:rPr>
          <w:sz w:val="24"/>
          <w:szCs w:val="24"/>
        </w:rPr>
      </w:pPr>
      <w:r>
        <w:rPr>
          <w:sz w:val="24"/>
          <w:szCs w:val="24"/>
        </w:rPr>
        <w:t>Recruitment exceeded targets in all treatment groups (Figure A.</w:t>
      </w:r>
      <w:r w:rsidR="007832F8">
        <w:rPr>
          <w:sz w:val="24"/>
          <w:szCs w:val="24"/>
        </w:rPr>
        <w:t>5A</w:t>
      </w:r>
      <w:r>
        <w:rPr>
          <w:sz w:val="24"/>
          <w:szCs w:val="24"/>
        </w:rPr>
        <w:t xml:space="preserve">), with no </w:t>
      </w:r>
      <w:r w:rsidR="003B7648">
        <w:rPr>
          <w:sz w:val="24"/>
          <w:szCs w:val="24"/>
        </w:rPr>
        <w:t xml:space="preserve">patients </w:t>
      </w:r>
      <w:r w:rsidR="00D405CC">
        <w:rPr>
          <w:sz w:val="24"/>
          <w:szCs w:val="24"/>
        </w:rPr>
        <w:t>electing</w:t>
      </w:r>
      <w:r w:rsidR="003B7648">
        <w:rPr>
          <w:sz w:val="24"/>
          <w:szCs w:val="24"/>
        </w:rPr>
        <w:t xml:space="preserve"> to withdraw</w:t>
      </w:r>
      <w:r>
        <w:rPr>
          <w:sz w:val="24"/>
          <w:szCs w:val="24"/>
        </w:rPr>
        <w:t xml:space="preserve"> from the study, however</w:t>
      </w:r>
      <w:r w:rsidR="00872B9B">
        <w:rPr>
          <w:rFonts w:cs="Arial"/>
          <w:sz w:val="24"/>
          <w:szCs w:val="24"/>
        </w:rPr>
        <w:t xml:space="preserve"> </w:t>
      </w:r>
      <w:r w:rsidR="00C9054E">
        <w:rPr>
          <w:rFonts w:cs="Arial"/>
          <w:sz w:val="24"/>
          <w:szCs w:val="24"/>
        </w:rPr>
        <w:t>sampling was dependent on both time of treatment start (Fig</w:t>
      </w:r>
      <w:r w:rsidR="00533E06">
        <w:rPr>
          <w:rFonts w:cs="Arial"/>
          <w:sz w:val="24"/>
          <w:szCs w:val="24"/>
        </w:rPr>
        <w:t>ure</w:t>
      </w:r>
      <w:r w:rsidR="00C9054E">
        <w:rPr>
          <w:rFonts w:cs="Arial"/>
          <w:sz w:val="24"/>
          <w:szCs w:val="24"/>
        </w:rPr>
        <w:t xml:space="preserve"> </w:t>
      </w:r>
      <w:r w:rsidR="007832F8">
        <w:rPr>
          <w:rFonts w:cs="Arial"/>
          <w:sz w:val="24"/>
          <w:szCs w:val="24"/>
        </w:rPr>
        <w:t>A.5B</w:t>
      </w:r>
      <w:r w:rsidR="00C9054E">
        <w:rPr>
          <w:rFonts w:cs="Arial"/>
          <w:sz w:val="24"/>
          <w:szCs w:val="24"/>
        </w:rPr>
        <w:t>)</w:t>
      </w:r>
      <w:r w:rsidR="00BE0A19">
        <w:rPr>
          <w:rFonts w:cs="Arial"/>
          <w:sz w:val="24"/>
          <w:szCs w:val="24"/>
        </w:rPr>
        <w:t>,</w:t>
      </w:r>
      <w:r w:rsidR="00C9054E">
        <w:rPr>
          <w:rFonts w:cs="Arial"/>
          <w:sz w:val="24"/>
          <w:szCs w:val="24"/>
        </w:rPr>
        <w:t xml:space="preserve"> and </w:t>
      </w:r>
      <w:r w:rsidR="00CC20A8">
        <w:rPr>
          <w:rFonts w:cs="Arial"/>
          <w:sz w:val="24"/>
          <w:szCs w:val="24"/>
        </w:rPr>
        <w:t xml:space="preserve">consequently the </w:t>
      </w:r>
      <w:r w:rsidR="00C9054E">
        <w:rPr>
          <w:rFonts w:cs="Arial"/>
          <w:sz w:val="24"/>
          <w:szCs w:val="24"/>
        </w:rPr>
        <w:t>proportion of sampling</w:t>
      </w:r>
      <w:r w:rsidR="00BE0A19">
        <w:rPr>
          <w:rFonts w:cs="Arial"/>
          <w:sz w:val="24"/>
          <w:szCs w:val="24"/>
        </w:rPr>
        <w:t xml:space="preserve"> by day</w:t>
      </w:r>
      <w:r w:rsidR="00CC20A8">
        <w:rPr>
          <w:rFonts w:cs="Arial"/>
          <w:sz w:val="24"/>
          <w:szCs w:val="24"/>
        </w:rPr>
        <w:t>-</w:t>
      </w:r>
      <w:r w:rsidR="00BE0A19">
        <w:rPr>
          <w:rFonts w:cs="Arial"/>
          <w:sz w:val="24"/>
          <w:szCs w:val="24"/>
        </w:rPr>
        <w:t xml:space="preserve"> versus night-</w:t>
      </w:r>
      <w:r w:rsidR="00533E06">
        <w:rPr>
          <w:rFonts w:cs="Arial"/>
          <w:sz w:val="24"/>
          <w:szCs w:val="24"/>
        </w:rPr>
        <w:t>staff (Figure</w:t>
      </w:r>
      <w:r w:rsidR="00547776">
        <w:rPr>
          <w:rFonts w:cs="Arial"/>
          <w:sz w:val="24"/>
          <w:szCs w:val="24"/>
        </w:rPr>
        <w:t xml:space="preserve"> A.</w:t>
      </w:r>
      <w:r w:rsidR="007832F8">
        <w:rPr>
          <w:rFonts w:cs="Arial"/>
          <w:sz w:val="24"/>
          <w:szCs w:val="24"/>
        </w:rPr>
        <w:t>5C</w:t>
      </w:r>
      <w:r w:rsidR="00C9054E">
        <w:rPr>
          <w:rFonts w:cs="Arial"/>
          <w:sz w:val="24"/>
          <w:szCs w:val="24"/>
        </w:rPr>
        <w:t>).</w:t>
      </w:r>
      <w:r w:rsidR="00973D92">
        <w:rPr>
          <w:rFonts w:cs="Arial"/>
          <w:sz w:val="24"/>
          <w:szCs w:val="24"/>
        </w:rPr>
        <w:t xml:space="preserve"> </w:t>
      </w:r>
      <w:r w:rsidR="00C9054E">
        <w:rPr>
          <w:rFonts w:cs="Arial"/>
          <w:sz w:val="24"/>
          <w:szCs w:val="24"/>
        </w:rPr>
        <w:t xml:space="preserve">As expected, LD patients showed the highest proportion of start times between 7am-7pm, as </w:t>
      </w:r>
      <w:r w:rsidR="004719EF">
        <w:rPr>
          <w:rFonts w:cs="Arial"/>
          <w:sz w:val="24"/>
          <w:szCs w:val="24"/>
        </w:rPr>
        <w:t>advance</w:t>
      </w:r>
      <w:r w:rsidR="00C9054E">
        <w:rPr>
          <w:rFonts w:cs="Arial"/>
          <w:sz w:val="24"/>
          <w:szCs w:val="24"/>
        </w:rPr>
        <w:t xml:space="preserve"> notice of treatment commencement was possible (typically 1 </w:t>
      </w:r>
      <w:r w:rsidR="00C9054E" w:rsidRPr="00701D4E">
        <w:rPr>
          <w:rFonts w:cs="Arial"/>
          <w:sz w:val="24"/>
          <w:szCs w:val="24"/>
        </w:rPr>
        <w:t xml:space="preserve">week). </w:t>
      </w:r>
      <w:r w:rsidR="008C1B0A" w:rsidRPr="00701D4E">
        <w:rPr>
          <w:rFonts w:cs="Arial"/>
          <w:sz w:val="24"/>
          <w:szCs w:val="24"/>
        </w:rPr>
        <w:t>Unexpected</w:t>
      </w:r>
      <w:r w:rsidR="005B3D9C" w:rsidRPr="00701D4E">
        <w:rPr>
          <w:rFonts w:cs="Arial"/>
          <w:sz w:val="24"/>
          <w:szCs w:val="24"/>
        </w:rPr>
        <w:t xml:space="preserve">ly, </w:t>
      </w:r>
      <w:r w:rsidR="008C1B0A" w:rsidRPr="00701D4E">
        <w:rPr>
          <w:rFonts w:cs="Arial"/>
          <w:sz w:val="24"/>
          <w:szCs w:val="24"/>
        </w:rPr>
        <w:t xml:space="preserve">the </w:t>
      </w:r>
      <w:r w:rsidR="005B3D9C" w:rsidRPr="00701D4E">
        <w:rPr>
          <w:rFonts w:cs="Arial"/>
          <w:sz w:val="24"/>
          <w:szCs w:val="24"/>
        </w:rPr>
        <w:t>majority of</w:t>
      </w:r>
      <w:r w:rsidR="00C9054E" w:rsidRPr="00701D4E">
        <w:rPr>
          <w:rFonts w:cs="Arial"/>
          <w:sz w:val="24"/>
          <w:szCs w:val="24"/>
        </w:rPr>
        <w:t xml:space="preserve"> SD and HD patients </w:t>
      </w:r>
      <w:r w:rsidR="00F41464" w:rsidRPr="00701D4E">
        <w:rPr>
          <w:rFonts w:cs="Arial"/>
          <w:sz w:val="24"/>
          <w:szCs w:val="24"/>
        </w:rPr>
        <w:t>commenced treatment between 7pm</w:t>
      </w:r>
      <w:r w:rsidR="009862FB" w:rsidRPr="00701D4E">
        <w:rPr>
          <w:rFonts w:cs="Arial"/>
          <w:sz w:val="24"/>
          <w:szCs w:val="24"/>
        </w:rPr>
        <w:t>-</w:t>
      </w:r>
      <w:r w:rsidR="00C9054E" w:rsidRPr="00701D4E">
        <w:rPr>
          <w:rFonts w:cs="Arial"/>
          <w:sz w:val="24"/>
          <w:szCs w:val="24"/>
        </w:rPr>
        <w:t xml:space="preserve">1am (~50%), with a significant </w:t>
      </w:r>
      <w:r w:rsidR="00F41464" w:rsidRPr="00701D4E">
        <w:rPr>
          <w:rFonts w:cs="Arial"/>
          <w:sz w:val="24"/>
          <w:szCs w:val="24"/>
        </w:rPr>
        <w:t>proportion starting between 1am</w:t>
      </w:r>
      <w:r w:rsidR="009862FB" w:rsidRPr="00701D4E">
        <w:rPr>
          <w:rFonts w:cs="Arial"/>
          <w:sz w:val="24"/>
          <w:szCs w:val="24"/>
        </w:rPr>
        <w:t>-</w:t>
      </w:r>
      <w:r w:rsidR="00C9054E" w:rsidRPr="00701D4E">
        <w:rPr>
          <w:rFonts w:cs="Arial"/>
          <w:sz w:val="24"/>
          <w:szCs w:val="24"/>
        </w:rPr>
        <w:t>7am (SD</w:t>
      </w:r>
      <w:proofErr w:type="gramStart"/>
      <w:r w:rsidR="00C9054E" w:rsidRPr="00701D4E">
        <w:rPr>
          <w:rFonts w:cs="Arial"/>
          <w:sz w:val="24"/>
          <w:szCs w:val="24"/>
        </w:rPr>
        <w:t>:8</w:t>
      </w:r>
      <w:proofErr w:type="gramEnd"/>
      <w:r w:rsidR="00C9054E" w:rsidRPr="00701D4E">
        <w:rPr>
          <w:rFonts w:cs="Arial"/>
          <w:sz w:val="24"/>
          <w:szCs w:val="24"/>
        </w:rPr>
        <w:t>%; HD:16%)</w:t>
      </w:r>
      <w:r w:rsidR="00134D1F">
        <w:rPr>
          <w:rFonts w:cs="Arial"/>
          <w:sz w:val="24"/>
          <w:szCs w:val="24"/>
        </w:rPr>
        <w:t>. This led to</w:t>
      </w:r>
      <w:r w:rsidR="00F95DB5">
        <w:rPr>
          <w:rFonts w:cs="Arial"/>
          <w:sz w:val="24"/>
          <w:szCs w:val="24"/>
        </w:rPr>
        <w:t xml:space="preserve"> a</w:t>
      </w:r>
      <w:r w:rsidR="00C9054E" w:rsidRPr="00701D4E">
        <w:rPr>
          <w:rFonts w:cs="Arial"/>
          <w:sz w:val="24"/>
          <w:szCs w:val="24"/>
        </w:rPr>
        <w:t xml:space="preserve"> high rate of night sampling</w:t>
      </w:r>
      <w:r w:rsidR="00533E06" w:rsidRPr="00701D4E">
        <w:rPr>
          <w:rFonts w:cs="Arial"/>
          <w:sz w:val="24"/>
          <w:szCs w:val="24"/>
        </w:rPr>
        <w:t xml:space="preserve"> (Figure</w:t>
      </w:r>
      <w:r w:rsidR="00CC20A8" w:rsidRPr="00701D4E">
        <w:rPr>
          <w:rFonts w:cs="Arial"/>
          <w:sz w:val="24"/>
          <w:szCs w:val="24"/>
        </w:rPr>
        <w:t xml:space="preserve"> A.</w:t>
      </w:r>
      <w:r w:rsidR="007832F8">
        <w:rPr>
          <w:rFonts w:cs="Arial"/>
          <w:sz w:val="24"/>
          <w:szCs w:val="24"/>
        </w:rPr>
        <w:t>5C</w:t>
      </w:r>
      <w:r w:rsidR="00C9054E" w:rsidRPr="00701D4E">
        <w:rPr>
          <w:rFonts w:cs="Arial"/>
          <w:sz w:val="24"/>
          <w:szCs w:val="24"/>
        </w:rPr>
        <w:t>)</w:t>
      </w:r>
      <w:r w:rsidR="00134D1F">
        <w:rPr>
          <w:rFonts w:cs="Arial"/>
          <w:sz w:val="24"/>
          <w:szCs w:val="24"/>
        </w:rPr>
        <w:t>, and</w:t>
      </w:r>
      <w:r w:rsidR="00C9054E" w:rsidRPr="00701D4E">
        <w:rPr>
          <w:rFonts w:cs="Arial"/>
          <w:sz w:val="24"/>
          <w:szCs w:val="24"/>
        </w:rPr>
        <w:t xml:space="preserve"> challenges associated with training and continuity of night-staff. </w:t>
      </w:r>
      <w:r w:rsidR="00701D4E" w:rsidRPr="00701D4E">
        <w:rPr>
          <w:rFonts w:cs="Arial"/>
          <w:sz w:val="24"/>
          <w:szCs w:val="24"/>
        </w:rPr>
        <w:t xml:space="preserve">As well as affecting sampling rates for flow cytometry, the presence of analytical staff frequently prompted </w:t>
      </w:r>
      <w:r w:rsidR="00756F3C">
        <w:rPr>
          <w:rFonts w:cs="Arial"/>
          <w:sz w:val="24"/>
          <w:szCs w:val="24"/>
        </w:rPr>
        <w:t xml:space="preserve">sampling by </w:t>
      </w:r>
      <w:r w:rsidR="00701D4E" w:rsidRPr="00701D4E">
        <w:rPr>
          <w:rFonts w:cs="Arial"/>
          <w:sz w:val="24"/>
          <w:szCs w:val="24"/>
        </w:rPr>
        <w:t xml:space="preserve">clinical night-staff, potentially inflating the true feasibility of peripheral sampling at night. </w:t>
      </w:r>
      <w:r w:rsidR="00756F3C" w:rsidRPr="00756F3C">
        <w:rPr>
          <w:rFonts w:cs="Arial"/>
          <w:sz w:val="24"/>
          <w:szCs w:val="24"/>
        </w:rPr>
        <w:t>A further study investigating key time-points is planned, benefiting from the feasibility observations reported herein.</w:t>
      </w:r>
    </w:p>
    <w:p w14:paraId="6BCB20AD" w14:textId="77777777" w:rsidR="00701D4E" w:rsidRDefault="00701D4E" w:rsidP="00872B9B">
      <w:pPr>
        <w:spacing w:after="0" w:line="240" w:lineRule="auto"/>
        <w:jc w:val="both"/>
        <w:rPr>
          <w:sz w:val="24"/>
          <w:szCs w:val="24"/>
        </w:rPr>
      </w:pPr>
    </w:p>
    <w:p w14:paraId="248BED58" w14:textId="602632EE" w:rsidR="00896425" w:rsidRDefault="005C7508" w:rsidP="00B77B68">
      <w:pPr>
        <w:spacing w:after="0" w:line="240" w:lineRule="auto"/>
        <w:jc w:val="both"/>
        <w:rPr>
          <w:sz w:val="24"/>
          <w:szCs w:val="24"/>
        </w:rPr>
      </w:pPr>
      <w:r>
        <w:rPr>
          <w:sz w:val="24"/>
          <w:szCs w:val="24"/>
        </w:rPr>
        <w:t xml:space="preserve">Interestingly high median body surface area (BSA) </w:t>
      </w:r>
      <w:r w:rsidR="000A638F">
        <w:rPr>
          <w:sz w:val="24"/>
          <w:szCs w:val="24"/>
        </w:rPr>
        <w:t xml:space="preserve">of patients </w:t>
      </w:r>
      <w:r>
        <w:rPr>
          <w:sz w:val="24"/>
          <w:szCs w:val="24"/>
        </w:rPr>
        <w:t xml:space="preserve">was noted in this study </w:t>
      </w:r>
      <w:r w:rsidR="005F5170">
        <w:rPr>
          <w:sz w:val="24"/>
          <w:szCs w:val="24"/>
        </w:rPr>
        <w:t>(Table 1)</w:t>
      </w:r>
      <w:r>
        <w:rPr>
          <w:sz w:val="24"/>
          <w:szCs w:val="24"/>
        </w:rPr>
        <w:t xml:space="preserve">, with BMI indicating a large proportion of patients in the overweight or obese categories </w:t>
      </w:r>
      <w:r w:rsidR="007832F8">
        <w:rPr>
          <w:sz w:val="24"/>
          <w:szCs w:val="24"/>
        </w:rPr>
        <w:t>(Figure A.5D</w:t>
      </w:r>
      <w:r w:rsidR="00643FED" w:rsidRPr="00A33828">
        <w:rPr>
          <w:sz w:val="24"/>
          <w:szCs w:val="24"/>
        </w:rPr>
        <w:t>)</w:t>
      </w:r>
      <w:r w:rsidRPr="00A33828">
        <w:rPr>
          <w:sz w:val="24"/>
          <w:szCs w:val="24"/>
        </w:rPr>
        <w:t>.</w:t>
      </w:r>
      <w:r w:rsidR="00977806" w:rsidRPr="00A33828">
        <w:rPr>
          <w:sz w:val="24"/>
          <w:szCs w:val="24"/>
        </w:rPr>
        <w:t xml:space="preserve"> </w:t>
      </w:r>
      <w:r w:rsidR="008171E2">
        <w:rPr>
          <w:sz w:val="24"/>
          <w:szCs w:val="24"/>
        </w:rPr>
        <w:t>W</w:t>
      </w:r>
      <w:r w:rsidR="005F5170" w:rsidRPr="00A33828">
        <w:rPr>
          <w:sz w:val="24"/>
          <w:szCs w:val="24"/>
        </w:rPr>
        <w:t xml:space="preserve">hilst </w:t>
      </w:r>
      <w:r w:rsidR="00756F3C" w:rsidRPr="00A33828">
        <w:rPr>
          <w:sz w:val="24"/>
          <w:szCs w:val="24"/>
        </w:rPr>
        <w:t>no significant association was observed be</w:t>
      </w:r>
      <w:r w:rsidR="005F5170" w:rsidRPr="00A33828">
        <w:rPr>
          <w:sz w:val="24"/>
          <w:szCs w:val="24"/>
        </w:rPr>
        <w:t xml:space="preserve">tween BMI and </w:t>
      </w:r>
      <w:r w:rsidR="00134D1F">
        <w:rPr>
          <w:sz w:val="24"/>
          <w:szCs w:val="24"/>
        </w:rPr>
        <w:t>SI</w:t>
      </w:r>
      <w:r w:rsidR="005F5170" w:rsidRPr="00A33828">
        <w:rPr>
          <w:sz w:val="24"/>
          <w:szCs w:val="24"/>
        </w:rPr>
        <w:t>%</w:t>
      </w:r>
      <w:r w:rsidR="00756F3C" w:rsidRPr="00A33828">
        <w:rPr>
          <w:sz w:val="24"/>
          <w:szCs w:val="24"/>
        </w:rPr>
        <w:t xml:space="preserve"> </w:t>
      </w:r>
      <w:r w:rsidR="005F5170" w:rsidRPr="00A33828">
        <w:rPr>
          <w:sz w:val="24"/>
          <w:szCs w:val="24"/>
        </w:rPr>
        <w:t>herein, a higher BMI was asso</w:t>
      </w:r>
      <w:r w:rsidR="00756F3C" w:rsidRPr="00A33828">
        <w:rPr>
          <w:sz w:val="24"/>
          <w:szCs w:val="24"/>
        </w:rPr>
        <w:t>ciated with lower initial</w:t>
      </w:r>
      <w:r w:rsidR="005F5170" w:rsidRPr="00A33828">
        <w:rPr>
          <w:sz w:val="24"/>
          <w:szCs w:val="24"/>
        </w:rPr>
        <w:t xml:space="preserve"> intracellular </w:t>
      </w:r>
      <w:proofErr w:type="spellStart"/>
      <w:r w:rsidR="005F5170" w:rsidRPr="00A33828">
        <w:rPr>
          <w:sz w:val="24"/>
          <w:szCs w:val="24"/>
        </w:rPr>
        <w:t>ara</w:t>
      </w:r>
      <w:proofErr w:type="spellEnd"/>
      <w:r w:rsidR="005F5170" w:rsidRPr="00A33828">
        <w:rPr>
          <w:sz w:val="24"/>
          <w:szCs w:val="24"/>
        </w:rPr>
        <w:t>-CTP accumulation</w:t>
      </w:r>
      <w:r w:rsidR="00D405CC">
        <w:rPr>
          <w:sz w:val="24"/>
          <w:szCs w:val="24"/>
        </w:rPr>
        <w:t xml:space="preserve"> in SD patients</w:t>
      </w:r>
      <w:r w:rsidR="005F5170" w:rsidRPr="00A33828">
        <w:rPr>
          <w:sz w:val="24"/>
          <w:szCs w:val="24"/>
        </w:rPr>
        <w:t xml:space="preserve"> (</w:t>
      </w:r>
      <w:r w:rsidR="005F5170" w:rsidRPr="00A33828">
        <w:rPr>
          <w:i/>
          <w:sz w:val="24"/>
          <w:szCs w:val="24"/>
        </w:rPr>
        <w:t>p</w:t>
      </w:r>
      <w:r w:rsidR="005F5170" w:rsidRPr="00A33828">
        <w:rPr>
          <w:sz w:val="24"/>
          <w:szCs w:val="24"/>
        </w:rPr>
        <w:t xml:space="preserve">=0.0169, </w:t>
      </w:r>
      <w:r w:rsidR="005F5170" w:rsidRPr="00A33828">
        <w:rPr>
          <w:i/>
          <w:sz w:val="24"/>
          <w:szCs w:val="24"/>
        </w:rPr>
        <w:t>n</w:t>
      </w:r>
      <w:r w:rsidR="005F5170" w:rsidRPr="00A33828">
        <w:rPr>
          <w:sz w:val="24"/>
          <w:szCs w:val="24"/>
        </w:rPr>
        <w:t>=10). No association was observed in LD (</w:t>
      </w:r>
      <w:r w:rsidR="005F5170" w:rsidRPr="00A33828">
        <w:rPr>
          <w:i/>
          <w:sz w:val="24"/>
          <w:szCs w:val="24"/>
        </w:rPr>
        <w:t>n</w:t>
      </w:r>
      <w:r w:rsidR="005F5170" w:rsidRPr="00A33828">
        <w:rPr>
          <w:sz w:val="24"/>
          <w:szCs w:val="24"/>
        </w:rPr>
        <w:t>=3) or HD (</w:t>
      </w:r>
      <w:r w:rsidR="005F5170" w:rsidRPr="00A33828">
        <w:rPr>
          <w:i/>
          <w:sz w:val="24"/>
          <w:szCs w:val="24"/>
        </w:rPr>
        <w:t>n</w:t>
      </w:r>
      <w:r w:rsidR="005F5170" w:rsidRPr="00A33828">
        <w:rPr>
          <w:sz w:val="24"/>
          <w:szCs w:val="24"/>
        </w:rPr>
        <w:t>=6) cohorts. This is an interesting find</w:t>
      </w:r>
      <w:r w:rsidR="00756F3C" w:rsidRPr="00A33828">
        <w:rPr>
          <w:sz w:val="24"/>
          <w:szCs w:val="24"/>
        </w:rPr>
        <w:t>ing given the argument for dose-</w:t>
      </w:r>
      <w:r w:rsidR="005F5170" w:rsidRPr="00A33828">
        <w:rPr>
          <w:sz w:val="24"/>
          <w:szCs w:val="24"/>
        </w:rPr>
        <w:t>capping in obese patients</w:t>
      </w:r>
      <w:r w:rsidR="00756F3C" w:rsidRPr="00A33828">
        <w:rPr>
          <w:sz w:val="24"/>
          <w:szCs w:val="24"/>
        </w:rPr>
        <w:t xml:space="preserve"> (</w:t>
      </w:r>
      <w:proofErr w:type="spellStart"/>
      <w:r w:rsidR="00756F3C" w:rsidRPr="00A33828">
        <w:rPr>
          <w:sz w:val="24"/>
          <w:szCs w:val="24"/>
        </w:rPr>
        <w:t>Tavitian</w:t>
      </w:r>
      <w:proofErr w:type="spellEnd"/>
      <w:r w:rsidR="00756F3C" w:rsidRPr="00A33828">
        <w:rPr>
          <w:sz w:val="24"/>
          <w:szCs w:val="24"/>
        </w:rPr>
        <w:t xml:space="preserve"> </w:t>
      </w:r>
      <w:r w:rsidR="00756F3C" w:rsidRPr="00A33828">
        <w:rPr>
          <w:i/>
          <w:sz w:val="24"/>
          <w:szCs w:val="24"/>
        </w:rPr>
        <w:t>et al</w:t>
      </w:r>
      <w:r w:rsidR="00756F3C" w:rsidRPr="00A33828">
        <w:rPr>
          <w:sz w:val="24"/>
          <w:szCs w:val="24"/>
        </w:rPr>
        <w:t>., 2016).</w:t>
      </w:r>
    </w:p>
    <w:p w14:paraId="55DDD483" w14:textId="3A2E8E57" w:rsidR="00A0190C" w:rsidRDefault="00A0190C" w:rsidP="00B77B68">
      <w:pPr>
        <w:spacing w:after="0" w:line="240" w:lineRule="auto"/>
        <w:jc w:val="both"/>
        <w:rPr>
          <w:sz w:val="24"/>
          <w:szCs w:val="24"/>
        </w:rPr>
      </w:pPr>
    </w:p>
    <w:p w14:paraId="293D92C2" w14:textId="1EF166F5" w:rsidR="00A33828" w:rsidRPr="006B5FE4" w:rsidRDefault="00846118" w:rsidP="00A33828">
      <w:pPr>
        <w:spacing w:after="0" w:line="240" w:lineRule="auto"/>
        <w:jc w:val="both"/>
        <w:rPr>
          <w:b/>
          <w:sz w:val="24"/>
          <w:szCs w:val="24"/>
        </w:rPr>
      </w:pPr>
      <w:r w:rsidRPr="00846118">
        <w:rPr>
          <w:sz w:val="24"/>
          <w:szCs w:val="24"/>
        </w:rPr>
        <w:t xml:space="preserve">Inter-individual variation in </w:t>
      </w:r>
      <w:proofErr w:type="spellStart"/>
      <w:r w:rsidRPr="00846118">
        <w:rPr>
          <w:sz w:val="24"/>
          <w:szCs w:val="24"/>
        </w:rPr>
        <w:t>ara</w:t>
      </w:r>
      <w:proofErr w:type="spellEnd"/>
      <w:r w:rsidRPr="00846118">
        <w:rPr>
          <w:sz w:val="24"/>
          <w:szCs w:val="24"/>
        </w:rPr>
        <w:t>-CTP levels has previously been identified as attributing to clinical variability in response (</w:t>
      </w:r>
      <w:proofErr w:type="spellStart"/>
      <w:r w:rsidRPr="00846118">
        <w:rPr>
          <w:sz w:val="24"/>
          <w:szCs w:val="24"/>
        </w:rPr>
        <w:t>Lamba</w:t>
      </w:r>
      <w:proofErr w:type="spellEnd"/>
      <w:r w:rsidRPr="00846118">
        <w:rPr>
          <w:sz w:val="24"/>
          <w:szCs w:val="24"/>
        </w:rPr>
        <w:t xml:space="preserve">, 2009). </w:t>
      </w:r>
      <w:r w:rsidR="00A019C3">
        <w:rPr>
          <w:sz w:val="24"/>
          <w:szCs w:val="24"/>
        </w:rPr>
        <w:t>Previous</w:t>
      </w:r>
      <w:r w:rsidRPr="00846118">
        <w:rPr>
          <w:sz w:val="24"/>
          <w:szCs w:val="24"/>
        </w:rPr>
        <w:t xml:space="preserve"> groups have attempted to retrospectively predict response using expression analysis of key genes</w:t>
      </w:r>
      <w:r w:rsidR="00C26741">
        <w:rPr>
          <w:sz w:val="24"/>
          <w:szCs w:val="24"/>
        </w:rPr>
        <w:t xml:space="preserve"> (</w:t>
      </w:r>
      <w:r w:rsidR="00401F17">
        <w:rPr>
          <w:sz w:val="24"/>
          <w:szCs w:val="24"/>
        </w:rPr>
        <w:t>e.g.</w:t>
      </w:r>
      <w:r w:rsidR="00C26741">
        <w:rPr>
          <w:sz w:val="24"/>
          <w:szCs w:val="24"/>
        </w:rPr>
        <w:t xml:space="preserve"> hENT1, deoxycytidine kinase)</w:t>
      </w:r>
      <w:r w:rsidRPr="00846118">
        <w:rPr>
          <w:sz w:val="24"/>
          <w:szCs w:val="24"/>
        </w:rPr>
        <w:t xml:space="preserve"> involved in cytarabine uptake, metabolism and mitochondrial signalling (</w:t>
      </w:r>
      <w:proofErr w:type="spellStart"/>
      <w:r w:rsidRPr="00846118">
        <w:rPr>
          <w:sz w:val="24"/>
          <w:szCs w:val="24"/>
        </w:rPr>
        <w:t>Lamba</w:t>
      </w:r>
      <w:proofErr w:type="spellEnd"/>
      <w:r w:rsidRPr="00846118">
        <w:rPr>
          <w:sz w:val="24"/>
          <w:szCs w:val="24"/>
        </w:rPr>
        <w:t xml:space="preserve"> </w:t>
      </w:r>
      <w:r w:rsidRPr="007B0075">
        <w:rPr>
          <w:i/>
          <w:sz w:val="24"/>
          <w:szCs w:val="24"/>
        </w:rPr>
        <w:t>et al</w:t>
      </w:r>
      <w:r w:rsidRPr="00846118">
        <w:rPr>
          <w:sz w:val="24"/>
          <w:szCs w:val="24"/>
        </w:rPr>
        <w:t xml:space="preserve">., 2011, Abraham </w:t>
      </w:r>
      <w:r w:rsidRPr="007B0075">
        <w:rPr>
          <w:i/>
          <w:sz w:val="24"/>
          <w:szCs w:val="24"/>
        </w:rPr>
        <w:t>et al</w:t>
      </w:r>
      <w:r w:rsidRPr="00846118">
        <w:rPr>
          <w:sz w:val="24"/>
          <w:szCs w:val="24"/>
        </w:rPr>
        <w:t xml:space="preserve">., 2015, Yan </w:t>
      </w:r>
      <w:r w:rsidRPr="007B0075">
        <w:rPr>
          <w:i/>
          <w:sz w:val="24"/>
          <w:szCs w:val="24"/>
        </w:rPr>
        <w:t>et al</w:t>
      </w:r>
      <w:r w:rsidRPr="00846118">
        <w:rPr>
          <w:sz w:val="24"/>
          <w:szCs w:val="24"/>
        </w:rPr>
        <w:t>., 2017). Whilst valuable prediction tools, a</w:t>
      </w:r>
      <w:r w:rsidR="00C26741" w:rsidRPr="00846118">
        <w:rPr>
          <w:sz w:val="24"/>
          <w:szCs w:val="24"/>
        </w:rPr>
        <w:t xml:space="preserve"> </w:t>
      </w:r>
      <w:r w:rsidR="00C26741">
        <w:rPr>
          <w:sz w:val="24"/>
          <w:szCs w:val="24"/>
        </w:rPr>
        <w:t>phenotypic</w:t>
      </w:r>
      <w:r w:rsidRPr="00846118">
        <w:rPr>
          <w:sz w:val="24"/>
          <w:szCs w:val="24"/>
        </w:rPr>
        <w:t xml:space="preserve"> assessment of post-treatment </w:t>
      </w:r>
      <w:proofErr w:type="spellStart"/>
      <w:r w:rsidRPr="00846118">
        <w:rPr>
          <w:sz w:val="24"/>
          <w:szCs w:val="24"/>
        </w:rPr>
        <w:t>ara</w:t>
      </w:r>
      <w:proofErr w:type="spellEnd"/>
      <w:r w:rsidRPr="00846118">
        <w:rPr>
          <w:sz w:val="24"/>
          <w:szCs w:val="24"/>
        </w:rPr>
        <w:t>-CTP accumulation, incorporating systemic and intrace</w:t>
      </w:r>
      <w:r w:rsidR="00A33828">
        <w:rPr>
          <w:sz w:val="24"/>
          <w:szCs w:val="24"/>
        </w:rPr>
        <w:t>llular handling of cytarabine, c</w:t>
      </w:r>
      <w:r w:rsidRPr="00846118">
        <w:rPr>
          <w:sz w:val="24"/>
          <w:szCs w:val="24"/>
        </w:rPr>
        <w:t xml:space="preserve">ould allow more </w:t>
      </w:r>
      <w:r w:rsidR="00C26741">
        <w:rPr>
          <w:sz w:val="24"/>
          <w:szCs w:val="24"/>
        </w:rPr>
        <w:t xml:space="preserve">rapid and </w:t>
      </w:r>
      <w:r w:rsidRPr="00846118">
        <w:rPr>
          <w:sz w:val="24"/>
          <w:szCs w:val="24"/>
        </w:rPr>
        <w:t>specific treatment tailoring, identifying both those at risk of adverse reaction, and treatment failure.</w:t>
      </w:r>
    </w:p>
    <w:p w14:paraId="3A33F3FE" w14:textId="77777777" w:rsidR="00A33828" w:rsidRDefault="00A33828" w:rsidP="00A33828">
      <w:pPr>
        <w:spacing w:after="0" w:line="240" w:lineRule="auto"/>
        <w:jc w:val="both"/>
        <w:rPr>
          <w:sz w:val="24"/>
          <w:szCs w:val="24"/>
        </w:rPr>
      </w:pPr>
    </w:p>
    <w:p w14:paraId="271776E6" w14:textId="47AE79CA" w:rsidR="00A0190C" w:rsidRDefault="00A0190C" w:rsidP="00B77B68">
      <w:pPr>
        <w:spacing w:after="0" w:line="240" w:lineRule="auto"/>
        <w:jc w:val="both"/>
        <w:rPr>
          <w:sz w:val="24"/>
          <w:szCs w:val="24"/>
        </w:rPr>
      </w:pPr>
    </w:p>
    <w:p w14:paraId="5767DBAE" w14:textId="64345DB8" w:rsidR="00F43C40" w:rsidRDefault="00F43C40" w:rsidP="00F43C40"/>
    <w:p w14:paraId="7C3C03AD" w14:textId="4A61F250" w:rsidR="001F77A6" w:rsidRDefault="001F77A6" w:rsidP="00F43C40">
      <w:pPr>
        <w:spacing w:after="0" w:line="240" w:lineRule="auto"/>
        <w:jc w:val="both"/>
        <w:rPr>
          <w:b/>
          <w:sz w:val="24"/>
          <w:szCs w:val="24"/>
        </w:rPr>
      </w:pPr>
      <w:r>
        <w:object w:dxaOrig="12319" w:dyaOrig="14842" w14:anchorId="32EDA3F4">
          <v:shape id="_x0000_i1026" type="#_x0000_t75" style="width:450.75pt;height:543pt" o:ole="">
            <v:imagedata r:id="rId9" o:title=""/>
          </v:shape>
          <o:OLEObject Type="Embed" ProgID="Prism8.Document" ShapeID="_x0000_i1026" DrawAspect="Content" ObjectID="_1618041831" r:id="rId10"/>
        </w:object>
      </w:r>
    </w:p>
    <w:p w14:paraId="46639646" w14:textId="11A886CA" w:rsidR="00F43C40" w:rsidRPr="00CC1B6C" w:rsidRDefault="00F43C40" w:rsidP="00F43C40">
      <w:pPr>
        <w:spacing w:after="0" w:line="240" w:lineRule="auto"/>
        <w:jc w:val="both"/>
        <w:rPr>
          <w:color w:val="FF0000"/>
          <w:sz w:val="24"/>
          <w:szCs w:val="24"/>
        </w:rPr>
      </w:pPr>
      <w:r>
        <w:rPr>
          <w:b/>
          <w:sz w:val="24"/>
          <w:szCs w:val="24"/>
        </w:rPr>
        <w:t>Fig.</w:t>
      </w:r>
      <w:r w:rsidRPr="00CC1B6C">
        <w:rPr>
          <w:b/>
          <w:sz w:val="24"/>
          <w:szCs w:val="24"/>
        </w:rPr>
        <w:t xml:space="preserve"> </w:t>
      </w:r>
      <w:r>
        <w:rPr>
          <w:b/>
          <w:sz w:val="24"/>
          <w:szCs w:val="24"/>
        </w:rPr>
        <w:t>2</w:t>
      </w:r>
      <w:r w:rsidR="00CE51F5">
        <w:rPr>
          <w:b/>
          <w:sz w:val="24"/>
          <w:szCs w:val="24"/>
        </w:rPr>
        <w:t>:</w:t>
      </w:r>
      <w:r>
        <w:rPr>
          <w:b/>
          <w:sz w:val="24"/>
          <w:szCs w:val="24"/>
        </w:rPr>
        <w:t xml:space="preserve"> Correlation between day 28 bone marrow log</w:t>
      </w:r>
      <w:r w:rsidRPr="00A360EE">
        <w:rPr>
          <w:b/>
          <w:sz w:val="24"/>
          <w:szCs w:val="24"/>
          <w:vertAlign w:val="subscript"/>
        </w:rPr>
        <w:t>10</w:t>
      </w:r>
      <w:r>
        <w:rPr>
          <w:b/>
          <w:sz w:val="24"/>
          <w:szCs w:val="24"/>
        </w:rPr>
        <w:t xml:space="preserve"> reduction and</w:t>
      </w:r>
      <w:r w:rsidR="00CE51F5" w:rsidRPr="00CE51F5">
        <w:rPr>
          <w:b/>
          <w:sz w:val="24"/>
          <w:szCs w:val="24"/>
        </w:rPr>
        <w:t xml:space="preserve"> </w:t>
      </w:r>
      <w:r w:rsidR="00CE51F5">
        <w:rPr>
          <w:b/>
          <w:sz w:val="24"/>
          <w:szCs w:val="24"/>
        </w:rPr>
        <w:t xml:space="preserve">post-treatment commencement intracellular </w:t>
      </w:r>
      <w:proofErr w:type="spellStart"/>
      <w:r w:rsidR="00CE51F5">
        <w:rPr>
          <w:b/>
          <w:sz w:val="24"/>
          <w:szCs w:val="24"/>
        </w:rPr>
        <w:t>ara</w:t>
      </w:r>
      <w:proofErr w:type="spellEnd"/>
      <w:r w:rsidR="00CE51F5">
        <w:rPr>
          <w:b/>
          <w:sz w:val="24"/>
          <w:szCs w:val="24"/>
        </w:rPr>
        <w:t>-CTP (expressed as sensitivity index SI%)</w:t>
      </w:r>
      <w:r>
        <w:rPr>
          <w:b/>
          <w:sz w:val="24"/>
          <w:szCs w:val="24"/>
        </w:rPr>
        <w:t xml:space="preserve"> </w:t>
      </w:r>
      <w:r w:rsidR="00CE51F5">
        <w:rPr>
          <w:b/>
          <w:sz w:val="24"/>
          <w:szCs w:val="24"/>
        </w:rPr>
        <w:t xml:space="preserve">at </w:t>
      </w:r>
      <w:r w:rsidR="00E206C1">
        <w:rPr>
          <w:b/>
          <w:sz w:val="24"/>
          <w:szCs w:val="24"/>
        </w:rPr>
        <w:t>t=2 (</w:t>
      </w:r>
      <w:r w:rsidR="00E206C1" w:rsidRPr="00E206C1">
        <w:rPr>
          <w:b/>
          <w:i/>
          <w:sz w:val="24"/>
          <w:szCs w:val="24"/>
        </w:rPr>
        <w:t>n</w:t>
      </w:r>
      <w:r w:rsidR="00E206C1">
        <w:rPr>
          <w:b/>
          <w:sz w:val="24"/>
          <w:szCs w:val="24"/>
        </w:rPr>
        <w:t xml:space="preserve">=10) (A), </w:t>
      </w:r>
      <w:r>
        <w:rPr>
          <w:b/>
          <w:sz w:val="24"/>
          <w:szCs w:val="24"/>
        </w:rPr>
        <w:t>t=4</w:t>
      </w:r>
      <w:r w:rsidR="00CE51F5">
        <w:rPr>
          <w:b/>
          <w:sz w:val="24"/>
          <w:szCs w:val="24"/>
        </w:rPr>
        <w:t xml:space="preserve"> (</w:t>
      </w:r>
      <w:r w:rsidR="00CE51F5" w:rsidRPr="00C75E39">
        <w:rPr>
          <w:b/>
          <w:i/>
          <w:sz w:val="24"/>
          <w:szCs w:val="24"/>
        </w:rPr>
        <w:t>n</w:t>
      </w:r>
      <w:r w:rsidR="00CE51F5">
        <w:rPr>
          <w:b/>
          <w:sz w:val="24"/>
          <w:szCs w:val="24"/>
        </w:rPr>
        <w:t>=6) (</w:t>
      </w:r>
      <w:r w:rsidR="00E206C1">
        <w:rPr>
          <w:b/>
          <w:sz w:val="24"/>
          <w:szCs w:val="24"/>
        </w:rPr>
        <w:t>B</w:t>
      </w:r>
      <w:r w:rsidR="00CE51F5">
        <w:rPr>
          <w:b/>
          <w:sz w:val="24"/>
          <w:szCs w:val="24"/>
        </w:rPr>
        <w:t xml:space="preserve">), </w:t>
      </w:r>
      <w:r w:rsidR="00E206C1">
        <w:rPr>
          <w:b/>
          <w:sz w:val="24"/>
          <w:szCs w:val="24"/>
        </w:rPr>
        <w:t>t=8</w:t>
      </w:r>
      <w:r w:rsidR="007C0E31">
        <w:rPr>
          <w:b/>
          <w:sz w:val="24"/>
          <w:szCs w:val="24"/>
        </w:rPr>
        <w:t xml:space="preserve"> hour (</w:t>
      </w:r>
      <w:r w:rsidR="007C0E31" w:rsidRPr="007C0E31">
        <w:rPr>
          <w:b/>
          <w:i/>
          <w:sz w:val="24"/>
          <w:szCs w:val="24"/>
        </w:rPr>
        <w:t>n</w:t>
      </w:r>
      <w:r w:rsidR="007C0E31">
        <w:rPr>
          <w:b/>
          <w:sz w:val="24"/>
          <w:szCs w:val="24"/>
        </w:rPr>
        <w:t>=</w:t>
      </w:r>
      <w:r w:rsidR="00E206C1">
        <w:rPr>
          <w:b/>
          <w:sz w:val="24"/>
          <w:szCs w:val="24"/>
        </w:rPr>
        <w:t>4</w:t>
      </w:r>
      <w:r w:rsidR="007C0E31">
        <w:rPr>
          <w:b/>
          <w:sz w:val="24"/>
          <w:szCs w:val="24"/>
        </w:rPr>
        <w:t xml:space="preserve">) </w:t>
      </w:r>
      <w:r w:rsidR="00E206C1">
        <w:rPr>
          <w:b/>
          <w:sz w:val="24"/>
          <w:szCs w:val="24"/>
        </w:rPr>
        <w:t>(C</w:t>
      </w:r>
      <w:r w:rsidR="00CE51F5">
        <w:rPr>
          <w:b/>
          <w:sz w:val="24"/>
          <w:szCs w:val="24"/>
        </w:rPr>
        <w:t xml:space="preserve">), </w:t>
      </w:r>
      <w:r w:rsidR="00E206C1">
        <w:rPr>
          <w:b/>
          <w:sz w:val="24"/>
          <w:szCs w:val="24"/>
        </w:rPr>
        <w:t>t=12 hour (</w:t>
      </w:r>
      <w:r w:rsidR="00E206C1" w:rsidRPr="00E206C1">
        <w:rPr>
          <w:b/>
          <w:i/>
          <w:sz w:val="24"/>
          <w:szCs w:val="24"/>
        </w:rPr>
        <w:t>n</w:t>
      </w:r>
      <w:r w:rsidR="00E206C1">
        <w:rPr>
          <w:b/>
          <w:sz w:val="24"/>
          <w:szCs w:val="24"/>
        </w:rPr>
        <w:t xml:space="preserve">=8) (D) </w:t>
      </w:r>
      <w:r w:rsidR="00CE51F5">
        <w:rPr>
          <w:b/>
          <w:sz w:val="24"/>
          <w:szCs w:val="24"/>
        </w:rPr>
        <w:t xml:space="preserve">and </w:t>
      </w:r>
      <w:r w:rsidR="007C0E31">
        <w:rPr>
          <w:b/>
          <w:sz w:val="24"/>
          <w:szCs w:val="24"/>
        </w:rPr>
        <w:t>area under the curve 0-12 hours (AUC) (</w:t>
      </w:r>
      <w:r w:rsidR="007C0E31" w:rsidRPr="007C0E31">
        <w:rPr>
          <w:b/>
          <w:i/>
          <w:sz w:val="24"/>
          <w:szCs w:val="24"/>
        </w:rPr>
        <w:t>n</w:t>
      </w:r>
      <w:r w:rsidR="00E206C1">
        <w:rPr>
          <w:b/>
          <w:sz w:val="24"/>
          <w:szCs w:val="24"/>
        </w:rPr>
        <w:t>=5</w:t>
      </w:r>
      <w:r w:rsidR="007C0E31">
        <w:rPr>
          <w:b/>
          <w:sz w:val="24"/>
          <w:szCs w:val="24"/>
        </w:rPr>
        <w:t>)</w:t>
      </w:r>
      <w:r w:rsidR="00E206C1">
        <w:rPr>
          <w:b/>
          <w:sz w:val="24"/>
          <w:szCs w:val="24"/>
        </w:rPr>
        <w:t xml:space="preserve"> (E</w:t>
      </w:r>
      <w:r w:rsidR="00CE51F5">
        <w:rPr>
          <w:b/>
          <w:sz w:val="24"/>
          <w:szCs w:val="24"/>
        </w:rPr>
        <w:t xml:space="preserve">), and </w:t>
      </w:r>
      <w:r w:rsidR="00E206C1">
        <w:rPr>
          <w:b/>
          <w:sz w:val="24"/>
          <w:szCs w:val="24"/>
        </w:rPr>
        <w:t>(F</w:t>
      </w:r>
      <w:r w:rsidR="00CE51F5">
        <w:rPr>
          <w:b/>
          <w:sz w:val="24"/>
          <w:szCs w:val="24"/>
        </w:rPr>
        <w:t>)</w:t>
      </w:r>
      <w:r w:rsidR="00CE51F5" w:rsidRPr="00CE51F5">
        <w:rPr>
          <w:b/>
          <w:sz w:val="24"/>
          <w:szCs w:val="24"/>
        </w:rPr>
        <w:t xml:space="preserve"> </w:t>
      </w:r>
      <w:r w:rsidR="00CE51F5">
        <w:rPr>
          <w:b/>
          <w:sz w:val="24"/>
          <w:szCs w:val="24"/>
        </w:rPr>
        <w:t>peripheral blast log</w:t>
      </w:r>
      <w:r w:rsidR="00CE51F5" w:rsidRPr="007C0E31">
        <w:rPr>
          <w:b/>
          <w:sz w:val="24"/>
          <w:szCs w:val="24"/>
          <w:vertAlign w:val="subscript"/>
        </w:rPr>
        <w:t>10</w:t>
      </w:r>
      <w:r w:rsidR="00CE51F5">
        <w:rPr>
          <w:b/>
          <w:sz w:val="24"/>
          <w:szCs w:val="24"/>
        </w:rPr>
        <w:t xml:space="preserve"> reduction per treatment day in day 28 complete remission (CR) (</w:t>
      </w:r>
      <w:r w:rsidR="00CE51F5" w:rsidRPr="00C75E39">
        <w:rPr>
          <w:b/>
          <w:i/>
          <w:sz w:val="24"/>
          <w:szCs w:val="24"/>
        </w:rPr>
        <w:t>n</w:t>
      </w:r>
      <w:r w:rsidR="00CE51F5">
        <w:rPr>
          <w:b/>
          <w:sz w:val="24"/>
          <w:szCs w:val="24"/>
        </w:rPr>
        <w:t>=5) and residual disease (RD) patients (</w:t>
      </w:r>
      <w:r w:rsidR="00CE51F5" w:rsidRPr="00C75E39">
        <w:rPr>
          <w:b/>
          <w:i/>
          <w:sz w:val="24"/>
          <w:szCs w:val="24"/>
        </w:rPr>
        <w:t>n</w:t>
      </w:r>
      <w:r w:rsidR="00CE51F5">
        <w:rPr>
          <w:b/>
          <w:sz w:val="24"/>
          <w:szCs w:val="24"/>
        </w:rPr>
        <w:t>=2)</w:t>
      </w:r>
      <w:r w:rsidRPr="001739EC">
        <w:rPr>
          <w:b/>
          <w:sz w:val="24"/>
          <w:szCs w:val="24"/>
        </w:rPr>
        <w:t>.</w:t>
      </w:r>
      <w:r w:rsidR="00D87DCA">
        <w:rPr>
          <w:sz w:val="24"/>
          <w:szCs w:val="24"/>
        </w:rPr>
        <w:t xml:space="preserve"> </w:t>
      </w:r>
      <w:r>
        <w:rPr>
          <w:sz w:val="24"/>
          <w:szCs w:val="24"/>
        </w:rPr>
        <w:t xml:space="preserve">SI% calculated as per </w:t>
      </w:r>
      <w:proofErr w:type="spellStart"/>
      <w:r>
        <w:rPr>
          <w:sz w:val="24"/>
          <w:szCs w:val="24"/>
        </w:rPr>
        <w:t>Alloush</w:t>
      </w:r>
      <w:proofErr w:type="spellEnd"/>
      <w:r>
        <w:rPr>
          <w:sz w:val="24"/>
          <w:szCs w:val="24"/>
        </w:rPr>
        <w:t xml:space="preserve"> </w:t>
      </w:r>
      <w:r w:rsidRPr="005C25DE">
        <w:rPr>
          <w:i/>
          <w:sz w:val="24"/>
          <w:szCs w:val="24"/>
        </w:rPr>
        <w:t>et al</w:t>
      </w:r>
      <w:r>
        <w:rPr>
          <w:sz w:val="24"/>
          <w:szCs w:val="24"/>
        </w:rPr>
        <w:t>. (2010). Peripheral blast burden assessed by flow cytometry every 24 hours post commencement of treatment. Day 28 log</w:t>
      </w:r>
      <w:r w:rsidRPr="0011176B">
        <w:rPr>
          <w:sz w:val="24"/>
          <w:szCs w:val="24"/>
          <w:vertAlign w:val="subscript"/>
        </w:rPr>
        <w:t>10</w:t>
      </w:r>
      <w:r>
        <w:rPr>
          <w:sz w:val="24"/>
          <w:szCs w:val="24"/>
        </w:rPr>
        <w:t xml:space="preserve"> reduction calculated versus diagnostic flow sample. Mean and 95% CI are shown</w:t>
      </w:r>
      <w:r w:rsidR="001412EC">
        <w:rPr>
          <w:sz w:val="24"/>
          <w:szCs w:val="24"/>
        </w:rPr>
        <w:t>,</w:t>
      </w:r>
      <w:r w:rsidRPr="00CC1B6C">
        <w:rPr>
          <w:sz w:val="24"/>
          <w:szCs w:val="24"/>
        </w:rPr>
        <w:t xml:space="preserve"> ns, not significant; </w:t>
      </w:r>
      <w:r>
        <w:rPr>
          <w:sz w:val="24"/>
          <w:szCs w:val="24"/>
        </w:rPr>
        <w:t>*</w:t>
      </w:r>
      <w:r w:rsidRPr="00143398">
        <w:rPr>
          <w:i/>
          <w:sz w:val="24"/>
          <w:szCs w:val="24"/>
        </w:rPr>
        <w:t>p</w:t>
      </w:r>
      <w:r>
        <w:rPr>
          <w:sz w:val="24"/>
          <w:szCs w:val="24"/>
        </w:rPr>
        <w:t>&lt;0.05</w:t>
      </w:r>
      <w:r w:rsidRPr="00CC1B6C">
        <w:rPr>
          <w:sz w:val="24"/>
          <w:szCs w:val="24"/>
        </w:rPr>
        <w:t>.</w:t>
      </w:r>
    </w:p>
    <w:p w14:paraId="7588E321" w14:textId="77777777" w:rsidR="00F43C40" w:rsidRDefault="00F43C40" w:rsidP="00F43C40">
      <w:pPr>
        <w:spacing w:after="0" w:line="240" w:lineRule="auto"/>
        <w:jc w:val="both"/>
        <w:rPr>
          <w:sz w:val="24"/>
          <w:szCs w:val="24"/>
        </w:rPr>
      </w:pPr>
    </w:p>
    <w:p w14:paraId="1F7E51D1" w14:textId="77777777" w:rsidR="00F43C40" w:rsidRDefault="00F43C40" w:rsidP="00F43C40">
      <w:pPr>
        <w:spacing w:after="0" w:line="240" w:lineRule="auto"/>
        <w:jc w:val="both"/>
        <w:rPr>
          <w:rFonts w:cs="Arial"/>
          <w:sz w:val="24"/>
          <w:szCs w:val="24"/>
        </w:rPr>
        <w:sectPr w:rsidR="00F43C40">
          <w:pgSz w:w="11906" w:h="16838"/>
          <w:pgMar w:top="1440" w:right="1440" w:bottom="1440" w:left="1440" w:header="708" w:footer="708" w:gutter="0"/>
          <w:cols w:space="708"/>
          <w:docGrid w:linePitch="360"/>
        </w:sectPr>
      </w:pPr>
    </w:p>
    <w:p w14:paraId="13EA4BB1" w14:textId="1E7B3C30" w:rsidR="00941F58" w:rsidRDefault="00941F58" w:rsidP="00941F58">
      <w:pPr>
        <w:spacing w:after="0" w:line="240" w:lineRule="auto"/>
        <w:jc w:val="both"/>
        <w:rPr>
          <w:b/>
          <w:sz w:val="24"/>
          <w:szCs w:val="24"/>
        </w:rPr>
      </w:pPr>
      <w:r>
        <w:rPr>
          <w:b/>
          <w:sz w:val="24"/>
          <w:szCs w:val="24"/>
        </w:rPr>
        <w:lastRenderedPageBreak/>
        <w:t>Acknowledgements</w:t>
      </w:r>
    </w:p>
    <w:p w14:paraId="321DE3A9" w14:textId="77777777" w:rsidR="00941F58" w:rsidRDefault="00941F58" w:rsidP="00941F58">
      <w:pPr>
        <w:spacing w:after="0" w:line="240" w:lineRule="auto"/>
        <w:jc w:val="both"/>
        <w:rPr>
          <w:sz w:val="24"/>
          <w:szCs w:val="24"/>
        </w:rPr>
      </w:pPr>
    </w:p>
    <w:p w14:paraId="1E668777" w14:textId="24CAD03A" w:rsidR="00941F58" w:rsidRPr="00822E59" w:rsidRDefault="00941F58" w:rsidP="00941F58">
      <w:pPr>
        <w:spacing w:after="0" w:line="240" w:lineRule="auto"/>
        <w:jc w:val="both"/>
        <w:rPr>
          <w:sz w:val="24"/>
          <w:szCs w:val="24"/>
        </w:rPr>
      </w:pPr>
      <w:r w:rsidRPr="00822E59">
        <w:rPr>
          <w:sz w:val="24"/>
          <w:szCs w:val="24"/>
        </w:rPr>
        <w:t xml:space="preserve">The authors would like to thank </w:t>
      </w:r>
      <w:r>
        <w:rPr>
          <w:sz w:val="24"/>
          <w:szCs w:val="24"/>
        </w:rPr>
        <w:t>participants and staff at the Bristol Haematology &amp; Oncology Centre for the operational management of this work</w:t>
      </w:r>
      <w:r w:rsidRPr="00822E59">
        <w:rPr>
          <w:sz w:val="24"/>
          <w:szCs w:val="24"/>
        </w:rPr>
        <w:t>.</w:t>
      </w:r>
      <w:r>
        <w:rPr>
          <w:sz w:val="24"/>
          <w:szCs w:val="24"/>
        </w:rPr>
        <w:t xml:space="preserve"> </w:t>
      </w:r>
      <w:r w:rsidRPr="00822E59">
        <w:rPr>
          <w:sz w:val="24"/>
          <w:szCs w:val="24"/>
        </w:rPr>
        <w:t>Patient samples were gathered under informed consent from</w:t>
      </w:r>
      <w:r>
        <w:rPr>
          <w:sz w:val="24"/>
          <w:szCs w:val="24"/>
        </w:rPr>
        <w:t xml:space="preserve"> </w:t>
      </w:r>
      <w:r w:rsidRPr="00822E59">
        <w:rPr>
          <w:sz w:val="24"/>
          <w:szCs w:val="24"/>
        </w:rPr>
        <w:t>participants at University Hospitals Bristol NHS Foundation Trust (</w:t>
      </w:r>
      <w:r>
        <w:rPr>
          <w:sz w:val="24"/>
          <w:szCs w:val="24"/>
        </w:rPr>
        <w:t>15/WM/0415</w:t>
      </w:r>
      <w:r w:rsidR="005819D7">
        <w:rPr>
          <w:sz w:val="24"/>
          <w:szCs w:val="24"/>
        </w:rPr>
        <w:t>),</w:t>
      </w:r>
      <w:r w:rsidR="005819D7">
        <w:rPr>
          <w:rFonts w:cs="Arial"/>
          <w:sz w:val="24"/>
          <w:szCs w:val="24"/>
        </w:rPr>
        <w:t xml:space="preserve"> approved by the West Midlands, South Birmingham Research Ethics Committee (UK). </w:t>
      </w:r>
      <w:r w:rsidRPr="00822E59">
        <w:rPr>
          <w:i/>
          <w:sz w:val="24"/>
          <w:szCs w:val="24"/>
        </w:rPr>
        <w:t>Escherichia coli</w:t>
      </w:r>
      <w:r w:rsidRPr="00822E59">
        <w:rPr>
          <w:sz w:val="24"/>
          <w:szCs w:val="24"/>
        </w:rPr>
        <w:t xml:space="preserve"> HA1 whole-cell biosensor is protected under patent</w:t>
      </w:r>
      <w:r>
        <w:rPr>
          <w:sz w:val="24"/>
          <w:szCs w:val="24"/>
        </w:rPr>
        <w:t xml:space="preserve"> </w:t>
      </w:r>
      <w:r w:rsidRPr="00822E59">
        <w:rPr>
          <w:sz w:val="24"/>
          <w:szCs w:val="24"/>
        </w:rPr>
        <w:t xml:space="preserve">(PCT/GB2009/00196) held jointly by </w:t>
      </w:r>
      <w:proofErr w:type="spellStart"/>
      <w:r w:rsidRPr="00822E59">
        <w:rPr>
          <w:sz w:val="24"/>
          <w:szCs w:val="24"/>
        </w:rPr>
        <w:t>Randox</w:t>
      </w:r>
      <w:proofErr w:type="spellEnd"/>
      <w:r w:rsidRPr="00822E59">
        <w:rPr>
          <w:sz w:val="24"/>
          <w:szCs w:val="24"/>
        </w:rPr>
        <w:t xml:space="preserve"> Laboratories Ltd (Belfast) and UWE. </w:t>
      </w:r>
      <w:r>
        <w:rPr>
          <w:sz w:val="24"/>
          <w:szCs w:val="24"/>
        </w:rPr>
        <w:t xml:space="preserve">This work was funded by a </w:t>
      </w:r>
      <w:r w:rsidR="003F4428">
        <w:rPr>
          <w:sz w:val="24"/>
          <w:szCs w:val="24"/>
        </w:rPr>
        <w:t xml:space="preserve">charitable </w:t>
      </w:r>
      <w:r>
        <w:rPr>
          <w:sz w:val="24"/>
          <w:szCs w:val="24"/>
        </w:rPr>
        <w:t>grant from Above &amp; Beyond</w:t>
      </w:r>
      <w:r w:rsidR="003F4428">
        <w:rPr>
          <w:sz w:val="24"/>
          <w:szCs w:val="24"/>
        </w:rPr>
        <w:t xml:space="preserve"> (UK)</w:t>
      </w:r>
      <w:r>
        <w:rPr>
          <w:sz w:val="24"/>
          <w:szCs w:val="24"/>
        </w:rPr>
        <w:t>.</w:t>
      </w:r>
    </w:p>
    <w:p w14:paraId="5E67A29E" w14:textId="77777777" w:rsidR="00941F58" w:rsidRDefault="00941F58" w:rsidP="00941F58">
      <w:pPr>
        <w:spacing w:after="0" w:line="240" w:lineRule="auto"/>
        <w:jc w:val="both"/>
        <w:rPr>
          <w:b/>
          <w:sz w:val="24"/>
          <w:szCs w:val="24"/>
        </w:rPr>
      </w:pPr>
    </w:p>
    <w:p w14:paraId="1022684D" w14:textId="77777777" w:rsidR="00C74707" w:rsidRPr="00C74707" w:rsidRDefault="00C74707" w:rsidP="00B77B68">
      <w:pPr>
        <w:spacing w:after="0" w:line="240" w:lineRule="auto"/>
        <w:jc w:val="both"/>
        <w:rPr>
          <w:b/>
          <w:sz w:val="24"/>
          <w:szCs w:val="24"/>
        </w:rPr>
      </w:pPr>
      <w:r w:rsidRPr="00C74707">
        <w:rPr>
          <w:b/>
          <w:sz w:val="24"/>
          <w:szCs w:val="24"/>
        </w:rPr>
        <w:t>References</w:t>
      </w:r>
    </w:p>
    <w:p w14:paraId="13080F91" w14:textId="77777777" w:rsidR="00C74707" w:rsidRDefault="00C74707" w:rsidP="00B77B68">
      <w:pPr>
        <w:spacing w:after="0" w:line="240" w:lineRule="auto"/>
        <w:jc w:val="both"/>
        <w:rPr>
          <w:sz w:val="24"/>
          <w:szCs w:val="24"/>
        </w:rPr>
      </w:pPr>
    </w:p>
    <w:p w14:paraId="62A9C5A0" w14:textId="646C2808" w:rsidR="00B2500B" w:rsidRPr="00277748" w:rsidRDefault="00B2500B" w:rsidP="00E1196F">
      <w:pPr>
        <w:spacing w:after="120" w:line="240" w:lineRule="auto"/>
        <w:jc w:val="both"/>
        <w:rPr>
          <w:sz w:val="24"/>
          <w:szCs w:val="24"/>
        </w:rPr>
      </w:pPr>
      <w:r w:rsidRPr="00277748">
        <w:rPr>
          <w:sz w:val="24"/>
          <w:szCs w:val="24"/>
        </w:rPr>
        <w:t xml:space="preserve">Abraham A, </w:t>
      </w:r>
      <w:proofErr w:type="spellStart"/>
      <w:r w:rsidRPr="00277748">
        <w:rPr>
          <w:sz w:val="24"/>
          <w:szCs w:val="24"/>
        </w:rPr>
        <w:t>Varatharajan</w:t>
      </w:r>
      <w:proofErr w:type="spellEnd"/>
      <w:r w:rsidRPr="00277748">
        <w:rPr>
          <w:sz w:val="24"/>
          <w:szCs w:val="24"/>
        </w:rPr>
        <w:t xml:space="preserve"> S, </w:t>
      </w:r>
      <w:proofErr w:type="spellStart"/>
      <w:r w:rsidRPr="00277748">
        <w:rPr>
          <w:sz w:val="24"/>
          <w:szCs w:val="24"/>
        </w:rPr>
        <w:t>Karathedath</w:t>
      </w:r>
      <w:proofErr w:type="spellEnd"/>
      <w:r w:rsidRPr="00277748">
        <w:rPr>
          <w:sz w:val="24"/>
          <w:szCs w:val="24"/>
        </w:rPr>
        <w:t xml:space="preserve"> S, </w:t>
      </w:r>
      <w:r w:rsidRPr="00277748">
        <w:rPr>
          <w:i/>
          <w:sz w:val="24"/>
          <w:szCs w:val="24"/>
        </w:rPr>
        <w:t>et al</w:t>
      </w:r>
      <w:r w:rsidRPr="00277748">
        <w:rPr>
          <w:sz w:val="24"/>
          <w:szCs w:val="24"/>
        </w:rPr>
        <w:t xml:space="preserve">. (2015) RNA expression of genes involved in cytarabine metabolism and transport predicts cytarabine response in acute myeloid </w:t>
      </w:r>
      <w:proofErr w:type="spellStart"/>
      <w:r w:rsidRPr="00277748">
        <w:rPr>
          <w:sz w:val="24"/>
          <w:szCs w:val="24"/>
        </w:rPr>
        <w:t>leukemia</w:t>
      </w:r>
      <w:proofErr w:type="spellEnd"/>
      <w:r w:rsidRPr="00277748">
        <w:rPr>
          <w:sz w:val="24"/>
          <w:szCs w:val="24"/>
        </w:rPr>
        <w:t xml:space="preserve">. </w:t>
      </w:r>
      <w:r w:rsidRPr="00277748">
        <w:rPr>
          <w:i/>
          <w:sz w:val="24"/>
          <w:szCs w:val="24"/>
        </w:rPr>
        <w:t>Pharmacogenomics</w:t>
      </w:r>
      <w:r w:rsidRPr="00277748">
        <w:rPr>
          <w:sz w:val="24"/>
          <w:szCs w:val="24"/>
        </w:rPr>
        <w:t xml:space="preserve">. 16(8):877-90. </w:t>
      </w:r>
      <w:proofErr w:type="spellStart"/>
      <w:proofErr w:type="gramStart"/>
      <w:r w:rsidRPr="00277748">
        <w:rPr>
          <w:sz w:val="24"/>
          <w:szCs w:val="24"/>
        </w:rPr>
        <w:t>doi</w:t>
      </w:r>
      <w:proofErr w:type="spellEnd"/>
      <w:proofErr w:type="gramEnd"/>
      <w:r w:rsidRPr="00277748">
        <w:rPr>
          <w:sz w:val="24"/>
          <w:szCs w:val="24"/>
        </w:rPr>
        <w:t>: 10.2217/pgs.15.44</w:t>
      </w:r>
    </w:p>
    <w:p w14:paraId="4DE6B992" w14:textId="564CFD99" w:rsidR="005355C4" w:rsidRPr="00277748" w:rsidRDefault="005355C4" w:rsidP="00E1196F">
      <w:pPr>
        <w:spacing w:after="120" w:line="240" w:lineRule="auto"/>
        <w:jc w:val="both"/>
        <w:rPr>
          <w:sz w:val="24"/>
          <w:szCs w:val="24"/>
        </w:rPr>
      </w:pPr>
      <w:proofErr w:type="spellStart"/>
      <w:r w:rsidRPr="00277748">
        <w:rPr>
          <w:sz w:val="24"/>
          <w:szCs w:val="24"/>
        </w:rPr>
        <w:t>Alloush</w:t>
      </w:r>
      <w:proofErr w:type="spellEnd"/>
      <w:r w:rsidRPr="00277748">
        <w:rPr>
          <w:sz w:val="24"/>
          <w:szCs w:val="24"/>
        </w:rPr>
        <w:t xml:space="preserve"> HM, Anderson E, Martin AD,</w:t>
      </w:r>
      <w:r w:rsidR="005E55E0" w:rsidRPr="00277748">
        <w:rPr>
          <w:sz w:val="24"/>
          <w:szCs w:val="24"/>
        </w:rPr>
        <w:t xml:space="preserve"> </w:t>
      </w:r>
      <w:r w:rsidR="005E55E0" w:rsidRPr="00277748">
        <w:rPr>
          <w:i/>
          <w:sz w:val="24"/>
          <w:szCs w:val="24"/>
        </w:rPr>
        <w:t>et al</w:t>
      </w:r>
      <w:r w:rsidR="005E55E0" w:rsidRPr="00277748">
        <w:rPr>
          <w:sz w:val="24"/>
          <w:szCs w:val="24"/>
        </w:rPr>
        <w:t>.</w:t>
      </w:r>
      <w:r w:rsidRPr="00277748">
        <w:rPr>
          <w:sz w:val="24"/>
          <w:szCs w:val="24"/>
        </w:rPr>
        <w:t xml:space="preserve"> (2010) A bioluminescent microbial biosensor for in vitro </w:t>
      </w:r>
      <w:proofErr w:type="spellStart"/>
      <w:r w:rsidRPr="00277748">
        <w:rPr>
          <w:sz w:val="24"/>
          <w:szCs w:val="24"/>
        </w:rPr>
        <w:t>pretreatment</w:t>
      </w:r>
      <w:proofErr w:type="spellEnd"/>
      <w:r w:rsidRPr="00277748">
        <w:rPr>
          <w:sz w:val="24"/>
          <w:szCs w:val="24"/>
        </w:rPr>
        <w:t xml:space="preserve"> assessment of cytarabine efficacy in </w:t>
      </w:r>
      <w:proofErr w:type="spellStart"/>
      <w:r w:rsidRPr="00277748">
        <w:rPr>
          <w:sz w:val="24"/>
          <w:szCs w:val="24"/>
        </w:rPr>
        <w:t>leukemia</w:t>
      </w:r>
      <w:proofErr w:type="spellEnd"/>
      <w:r w:rsidRPr="00277748">
        <w:rPr>
          <w:sz w:val="24"/>
          <w:szCs w:val="24"/>
        </w:rPr>
        <w:t xml:space="preserve">. </w:t>
      </w:r>
      <w:r w:rsidRPr="00277748">
        <w:rPr>
          <w:i/>
          <w:sz w:val="24"/>
          <w:szCs w:val="24"/>
        </w:rPr>
        <w:t>Clin</w:t>
      </w:r>
      <w:r w:rsidR="00FE7454" w:rsidRPr="00277748">
        <w:rPr>
          <w:i/>
          <w:sz w:val="24"/>
          <w:szCs w:val="24"/>
        </w:rPr>
        <w:t>ical</w:t>
      </w:r>
      <w:r w:rsidRPr="00277748">
        <w:rPr>
          <w:i/>
          <w:sz w:val="24"/>
          <w:szCs w:val="24"/>
        </w:rPr>
        <w:t xml:space="preserve"> Chem</w:t>
      </w:r>
      <w:r w:rsidR="00FE7454" w:rsidRPr="00277748">
        <w:rPr>
          <w:i/>
          <w:sz w:val="24"/>
          <w:szCs w:val="24"/>
        </w:rPr>
        <w:t>istry</w:t>
      </w:r>
      <w:r w:rsidRPr="00277748">
        <w:rPr>
          <w:sz w:val="24"/>
          <w:szCs w:val="24"/>
        </w:rPr>
        <w:t>. 56(12):1862-70.</w:t>
      </w:r>
      <w:r w:rsidR="00CC3D84" w:rsidRPr="00277748">
        <w:rPr>
          <w:sz w:val="24"/>
          <w:szCs w:val="24"/>
        </w:rPr>
        <w:t xml:space="preserve"> </w:t>
      </w:r>
      <w:proofErr w:type="spellStart"/>
      <w:proofErr w:type="gramStart"/>
      <w:r w:rsidR="00CC3D84" w:rsidRPr="00277748">
        <w:rPr>
          <w:sz w:val="24"/>
          <w:szCs w:val="24"/>
        </w:rPr>
        <w:t>doi</w:t>
      </w:r>
      <w:proofErr w:type="spellEnd"/>
      <w:proofErr w:type="gramEnd"/>
      <w:r w:rsidR="00CC3D84" w:rsidRPr="00277748">
        <w:rPr>
          <w:sz w:val="24"/>
          <w:szCs w:val="24"/>
        </w:rPr>
        <w:t>: 10.1373/clinchem.2010.145581</w:t>
      </w:r>
    </w:p>
    <w:p w14:paraId="3749ECFE" w14:textId="4CB41EE3" w:rsidR="007E126E" w:rsidRPr="00277748" w:rsidRDefault="007E126E" w:rsidP="00E1196F">
      <w:pPr>
        <w:spacing w:after="120" w:line="240" w:lineRule="auto"/>
        <w:jc w:val="both"/>
        <w:rPr>
          <w:sz w:val="24"/>
          <w:szCs w:val="24"/>
        </w:rPr>
      </w:pPr>
      <w:r w:rsidRPr="00277748">
        <w:rPr>
          <w:sz w:val="24"/>
          <w:szCs w:val="24"/>
        </w:rPr>
        <w:t xml:space="preserve">Anderson E, Conway M, </w:t>
      </w:r>
      <w:proofErr w:type="spellStart"/>
      <w:r w:rsidRPr="00277748">
        <w:rPr>
          <w:sz w:val="24"/>
          <w:szCs w:val="24"/>
        </w:rPr>
        <w:t>Alloush</w:t>
      </w:r>
      <w:proofErr w:type="spellEnd"/>
      <w:r w:rsidRPr="00277748">
        <w:rPr>
          <w:sz w:val="24"/>
          <w:szCs w:val="24"/>
        </w:rPr>
        <w:t xml:space="preserve"> H</w:t>
      </w:r>
      <w:r w:rsidR="005E55E0" w:rsidRPr="00277748">
        <w:rPr>
          <w:sz w:val="24"/>
          <w:szCs w:val="24"/>
        </w:rPr>
        <w:t xml:space="preserve">, </w:t>
      </w:r>
      <w:r w:rsidR="005E55E0" w:rsidRPr="00277748">
        <w:rPr>
          <w:i/>
          <w:sz w:val="24"/>
          <w:szCs w:val="24"/>
        </w:rPr>
        <w:t>et al</w:t>
      </w:r>
      <w:r w:rsidR="005E55E0" w:rsidRPr="00277748">
        <w:rPr>
          <w:sz w:val="24"/>
          <w:szCs w:val="24"/>
        </w:rPr>
        <w:t>.</w:t>
      </w:r>
      <w:r w:rsidRPr="00277748">
        <w:rPr>
          <w:sz w:val="24"/>
          <w:szCs w:val="24"/>
        </w:rPr>
        <w:t xml:space="preserve"> (2014) Investigation and verification of a bioluminescent biosensor for the quantitation of </w:t>
      </w:r>
      <w:proofErr w:type="spellStart"/>
      <w:r w:rsidRPr="00277748">
        <w:rPr>
          <w:sz w:val="24"/>
          <w:szCs w:val="24"/>
        </w:rPr>
        <w:t>ara</w:t>
      </w:r>
      <w:proofErr w:type="spellEnd"/>
      <w:r w:rsidRPr="00277748">
        <w:rPr>
          <w:sz w:val="24"/>
          <w:szCs w:val="24"/>
        </w:rPr>
        <w:t xml:space="preserve">-CTP generation: a biomarker for cytosine </w:t>
      </w:r>
      <w:proofErr w:type="spellStart"/>
      <w:r w:rsidRPr="00277748">
        <w:rPr>
          <w:sz w:val="24"/>
          <w:szCs w:val="24"/>
        </w:rPr>
        <w:t>arabinoside</w:t>
      </w:r>
      <w:proofErr w:type="spellEnd"/>
      <w:r w:rsidRPr="00277748">
        <w:rPr>
          <w:sz w:val="24"/>
          <w:szCs w:val="24"/>
        </w:rPr>
        <w:t xml:space="preserve"> sensitivity in acute myeloid leukaemia. </w:t>
      </w:r>
      <w:r w:rsidRPr="00277748">
        <w:rPr>
          <w:i/>
          <w:sz w:val="24"/>
          <w:szCs w:val="24"/>
        </w:rPr>
        <w:t>Biosens</w:t>
      </w:r>
      <w:r w:rsidR="00FE7454" w:rsidRPr="00277748">
        <w:rPr>
          <w:i/>
          <w:sz w:val="24"/>
          <w:szCs w:val="24"/>
        </w:rPr>
        <w:t>ors &amp;</w:t>
      </w:r>
      <w:r w:rsidRPr="00277748">
        <w:rPr>
          <w:i/>
          <w:sz w:val="24"/>
          <w:szCs w:val="24"/>
        </w:rPr>
        <w:t xml:space="preserve"> Bioelectron</w:t>
      </w:r>
      <w:r w:rsidR="00FE7454" w:rsidRPr="00277748">
        <w:rPr>
          <w:i/>
          <w:sz w:val="24"/>
          <w:szCs w:val="24"/>
        </w:rPr>
        <w:t>ics</w:t>
      </w:r>
      <w:r w:rsidR="00906537" w:rsidRPr="00277748">
        <w:rPr>
          <w:sz w:val="24"/>
          <w:szCs w:val="24"/>
        </w:rPr>
        <w:t xml:space="preserve">. </w:t>
      </w:r>
      <w:r w:rsidRPr="00277748">
        <w:rPr>
          <w:sz w:val="24"/>
          <w:szCs w:val="24"/>
        </w:rPr>
        <w:t>52:345-53.</w:t>
      </w:r>
      <w:r w:rsidR="00CC3D84" w:rsidRPr="00277748">
        <w:rPr>
          <w:sz w:val="24"/>
          <w:szCs w:val="24"/>
        </w:rPr>
        <w:t xml:space="preserve"> </w:t>
      </w:r>
      <w:proofErr w:type="spellStart"/>
      <w:r w:rsidR="00CC3D84" w:rsidRPr="00277748">
        <w:rPr>
          <w:sz w:val="24"/>
          <w:szCs w:val="24"/>
        </w:rPr>
        <w:t>doi</w:t>
      </w:r>
      <w:proofErr w:type="spellEnd"/>
      <w:r w:rsidR="00CC3D84" w:rsidRPr="00277748">
        <w:rPr>
          <w:sz w:val="24"/>
          <w:szCs w:val="24"/>
        </w:rPr>
        <w:t>: 10.1016/j.bios.2013.09.014</w:t>
      </w:r>
    </w:p>
    <w:p w14:paraId="2A159268" w14:textId="71159371" w:rsidR="0091635A" w:rsidRPr="00277748" w:rsidRDefault="0091635A" w:rsidP="00E1196F">
      <w:pPr>
        <w:spacing w:after="120" w:line="240" w:lineRule="auto"/>
        <w:jc w:val="both"/>
        <w:rPr>
          <w:sz w:val="24"/>
          <w:szCs w:val="24"/>
        </w:rPr>
      </w:pPr>
      <w:r w:rsidRPr="00277748">
        <w:rPr>
          <w:sz w:val="24"/>
          <w:szCs w:val="24"/>
        </w:rPr>
        <w:t>B</w:t>
      </w:r>
      <w:r w:rsidR="00F73936" w:rsidRPr="00277748">
        <w:rPr>
          <w:sz w:val="24"/>
          <w:szCs w:val="24"/>
        </w:rPr>
        <w:t xml:space="preserve">ose P, </w:t>
      </w:r>
      <w:proofErr w:type="spellStart"/>
      <w:r w:rsidR="00F73936" w:rsidRPr="00277748">
        <w:rPr>
          <w:sz w:val="24"/>
          <w:szCs w:val="24"/>
        </w:rPr>
        <w:t>Vachhani</w:t>
      </w:r>
      <w:proofErr w:type="spellEnd"/>
      <w:r w:rsidR="00F73936" w:rsidRPr="00277748">
        <w:rPr>
          <w:sz w:val="24"/>
          <w:szCs w:val="24"/>
        </w:rPr>
        <w:t xml:space="preserve"> P, Cortes J</w:t>
      </w:r>
      <w:r w:rsidR="00B054DA" w:rsidRPr="00277748">
        <w:rPr>
          <w:sz w:val="24"/>
          <w:szCs w:val="24"/>
        </w:rPr>
        <w:t>E</w:t>
      </w:r>
      <w:r w:rsidR="005E55E0" w:rsidRPr="00277748">
        <w:rPr>
          <w:sz w:val="24"/>
          <w:szCs w:val="24"/>
        </w:rPr>
        <w:t>.</w:t>
      </w:r>
      <w:r w:rsidRPr="00277748">
        <w:rPr>
          <w:sz w:val="24"/>
          <w:szCs w:val="24"/>
        </w:rPr>
        <w:t xml:space="preserve"> (2017) Treatment of Relapsed/Refractory Acute Myeloid </w:t>
      </w:r>
      <w:proofErr w:type="spellStart"/>
      <w:r w:rsidRPr="00277748">
        <w:rPr>
          <w:sz w:val="24"/>
          <w:szCs w:val="24"/>
        </w:rPr>
        <w:t>Leukemia</w:t>
      </w:r>
      <w:proofErr w:type="spellEnd"/>
      <w:r w:rsidRPr="00277748">
        <w:rPr>
          <w:sz w:val="24"/>
          <w:szCs w:val="24"/>
        </w:rPr>
        <w:t xml:space="preserve">. </w:t>
      </w:r>
      <w:r w:rsidRPr="00277748">
        <w:rPr>
          <w:i/>
          <w:sz w:val="24"/>
          <w:szCs w:val="24"/>
        </w:rPr>
        <w:t>Curr</w:t>
      </w:r>
      <w:r w:rsidR="00FE7454" w:rsidRPr="00277748">
        <w:rPr>
          <w:i/>
          <w:sz w:val="24"/>
          <w:szCs w:val="24"/>
        </w:rPr>
        <w:t>ent</w:t>
      </w:r>
      <w:r w:rsidRPr="00277748">
        <w:rPr>
          <w:i/>
          <w:sz w:val="24"/>
          <w:szCs w:val="24"/>
        </w:rPr>
        <w:t xml:space="preserve"> Treat</w:t>
      </w:r>
      <w:r w:rsidR="00FE7454" w:rsidRPr="00277748">
        <w:rPr>
          <w:i/>
          <w:sz w:val="24"/>
          <w:szCs w:val="24"/>
        </w:rPr>
        <w:t>ment</w:t>
      </w:r>
      <w:r w:rsidRPr="00277748">
        <w:rPr>
          <w:i/>
          <w:sz w:val="24"/>
          <w:szCs w:val="24"/>
        </w:rPr>
        <w:t xml:space="preserve"> Options </w:t>
      </w:r>
      <w:r w:rsidR="00FE7454" w:rsidRPr="00277748">
        <w:rPr>
          <w:i/>
          <w:sz w:val="24"/>
          <w:szCs w:val="24"/>
        </w:rPr>
        <w:t xml:space="preserve">in </w:t>
      </w:r>
      <w:r w:rsidRPr="00277748">
        <w:rPr>
          <w:i/>
          <w:sz w:val="24"/>
          <w:szCs w:val="24"/>
        </w:rPr>
        <w:t>Oncol</w:t>
      </w:r>
      <w:r w:rsidR="00FE7454" w:rsidRPr="00277748">
        <w:rPr>
          <w:i/>
          <w:sz w:val="24"/>
          <w:szCs w:val="24"/>
        </w:rPr>
        <w:t>ogy</w:t>
      </w:r>
      <w:r w:rsidRPr="00277748">
        <w:rPr>
          <w:sz w:val="24"/>
          <w:szCs w:val="24"/>
        </w:rPr>
        <w:t>. 18(3):17.</w:t>
      </w:r>
      <w:r w:rsidR="00CC3D84" w:rsidRPr="00277748">
        <w:rPr>
          <w:sz w:val="24"/>
          <w:szCs w:val="24"/>
        </w:rPr>
        <w:t xml:space="preserve"> </w:t>
      </w:r>
      <w:proofErr w:type="spellStart"/>
      <w:proofErr w:type="gramStart"/>
      <w:r w:rsidR="00CC3D84" w:rsidRPr="00277748">
        <w:rPr>
          <w:sz w:val="24"/>
          <w:szCs w:val="24"/>
        </w:rPr>
        <w:t>doi</w:t>
      </w:r>
      <w:proofErr w:type="spellEnd"/>
      <w:proofErr w:type="gramEnd"/>
      <w:r w:rsidR="00CC3D84" w:rsidRPr="00277748">
        <w:rPr>
          <w:sz w:val="24"/>
          <w:szCs w:val="24"/>
        </w:rPr>
        <w:t>: 10.1007/s11864-017-0456-2</w:t>
      </w:r>
    </w:p>
    <w:p w14:paraId="095CC2DE" w14:textId="2E359738" w:rsidR="006B5FE4" w:rsidRPr="00277748" w:rsidRDefault="006B5FE4" w:rsidP="006B5FE4">
      <w:pPr>
        <w:spacing w:after="120" w:line="240" w:lineRule="auto"/>
        <w:jc w:val="both"/>
        <w:rPr>
          <w:sz w:val="24"/>
          <w:szCs w:val="24"/>
        </w:rPr>
      </w:pPr>
      <w:r w:rsidRPr="00277748">
        <w:rPr>
          <w:sz w:val="24"/>
          <w:szCs w:val="24"/>
        </w:rPr>
        <w:t xml:space="preserve">Elliott MA, </w:t>
      </w:r>
      <w:proofErr w:type="spellStart"/>
      <w:r w:rsidRPr="00277748">
        <w:rPr>
          <w:sz w:val="24"/>
          <w:szCs w:val="24"/>
        </w:rPr>
        <w:t>Litzow</w:t>
      </w:r>
      <w:proofErr w:type="spellEnd"/>
      <w:r w:rsidRPr="00277748">
        <w:rPr>
          <w:sz w:val="24"/>
          <w:szCs w:val="24"/>
        </w:rPr>
        <w:t xml:space="preserve"> MR, </w:t>
      </w:r>
      <w:proofErr w:type="spellStart"/>
      <w:r w:rsidRPr="00277748">
        <w:rPr>
          <w:sz w:val="24"/>
          <w:szCs w:val="24"/>
        </w:rPr>
        <w:t>Letendre</w:t>
      </w:r>
      <w:proofErr w:type="spellEnd"/>
      <w:r w:rsidRPr="00277748">
        <w:rPr>
          <w:sz w:val="24"/>
          <w:szCs w:val="24"/>
        </w:rPr>
        <w:t xml:space="preserve"> LL</w:t>
      </w:r>
      <w:r w:rsidR="005E55E0" w:rsidRPr="00277748">
        <w:rPr>
          <w:sz w:val="24"/>
          <w:szCs w:val="24"/>
        </w:rPr>
        <w:t xml:space="preserve">, </w:t>
      </w:r>
      <w:r w:rsidR="005E55E0" w:rsidRPr="00277748">
        <w:rPr>
          <w:i/>
          <w:sz w:val="24"/>
          <w:szCs w:val="24"/>
        </w:rPr>
        <w:t>et al</w:t>
      </w:r>
      <w:r w:rsidR="005E55E0" w:rsidRPr="00277748">
        <w:rPr>
          <w:sz w:val="24"/>
          <w:szCs w:val="24"/>
        </w:rPr>
        <w:t>.</w:t>
      </w:r>
      <w:r w:rsidRPr="00277748">
        <w:rPr>
          <w:sz w:val="24"/>
          <w:szCs w:val="24"/>
        </w:rPr>
        <w:t xml:space="preserve"> (2007) </w:t>
      </w:r>
      <w:proofErr w:type="gramStart"/>
      <w:r w:rsidRPr="00277748">
        <w:rPr>
          <w:sz w:val="24"/>
          <w:szCs w:val="24"/>
        </w:rPr>
        <w:t>Early</w:t>
      </w:r>
      <w:proofErr w:type="gramEnd"/>
      <w:r w:rsidRPr="00277748">
        <w:rPr>
          <w:sz w:val="24"/>
          <w:szCs w:val="24"/>
        </w:rPr>
        <w:t xml:space="preserve"> peripheral blood blast clearance during induction chemotherapy for acute myeloid </w:t>
      </w:r>
      <w:proofErr w:type="spellStart"/>
      <w:r w:rsidRPr="00277748">
        <w:rPr>
          <w:sz w:val="24"/>
          <w:szCs w:val="24"/>
        </w:rPr>
        <w:t>leukemia</w:t>
      </w:r>
      <w:proofErr w:type="spellEnd"/>
      <w:r w:rsidRPr="00277748">
        <w:rPr>
          <w:sz w:val="24"/>
          <w:szCs w:val="24"/>
        </w:rPr>
        <w:t xml:space="preserve"> predicts superior relapse-free survival. </w:t>
      </w:r>
      <w:r w:rsidRPr="00277748">
        <w:rPr>
          <w:i/>
          <w:sz w:val="24"/>
          <w:szCs w:val="24"/>
        </w:rPr>
        <w:t>Blood</w:t>
      </w:r>
      <w:r w:rsidRPr="00277748">
        <w:rPr>
          <w:sz w:val="24"/>
          <w:szCs w:val="24"/>
        </w:rPr>
        <w:t>. 15</w:t>
      </w:r>
      <w:proofErr w:type="gramStart"/>
      <w:r w:rsidRPr="00277748">
        <w:rPr>
          <w:sz w:val="24"/>
          <w:szCs w:val="24"/>
        </w:rPr>
        <w:t>;110</w:t>
      </w:r>
      <w:proofErr w:type="gramEnd"/>
      <w:r w:rsidRPr="00277748">
        <w:rPr>
          <w:sz w:val="24"/>
          <w:szCs w:val="24"/>
        </w:rPr>
        <w:t>(13):4172-4.</w:t>
      </w:r>
      <w:r w:rsidR="00CC3D84" w:rsidRPr="00277748">
        <w:rPr>
          <w:sz w:val="24"/>
          <w:szCs w:val="24"/>
        </w:rPr>
        <w:t xml:space="preserve"> </w:t>
      </w:r>
      <w:proofErr w:type="spellStart"/>
      <w:proofErr w:type="gramStart"/>
      <w:r w:rsidR="00CC3D84" w:rsidRPr="00277748">
        <w:rPr>
          <w:sz w:val="24"/>
          <w:szCs w:val="24"/>
        </w:rPr>
        <w:t>doi</w:t>
      </w:r>
      <w:proofErr w:type="spellEnd"/>
      <w:proofErr w:type="gramEnd"/>
      <w:r w:rsidR="00CC3D84" w:rsidRPr="00277748">
        <w:rPr>
          <w:sz w:val="24"/>
          <w:szCs w:val="24"/>
        </w:rPr>
        <w:t>: 10.1182/blood-2007-07-104091</w:t>
      </w:r>
    </w:p>
    <w:p w14:paraId="6CB95553" w14:textId="191D1E1D" w:rsidR="00D632F1" w:rsidRPr="00277748" w:rsidRDefault="00D632F1" w:rsidP="00E1196F">
      <w:pPr>
        <w:spacing w:after="120" w:line="240" w:lineRule="auto"/>
        <w:jc w:val="both"/>
        <w:rPr>
          <w:sz w:val="24"/>
          <w:szCs w:val="24"/>
        </w:rPr>
      </w:pPr>
      <w:proofErr w:type="spellStart"/>
      <w:r w:rsidRPr="00277748">
        <w:rPr>
          <w:sz w:val="24"/>
          <w:szCs w:val="24"/>
        </w:rPr>
        <w:t>Gianfaldoni</w:t>
      </w:r>
      <w:proofErr w:type="spellEnd"/>
      <w:r w:rsidRPr="00277748">
        <w:rPr>
          <w:sz w:val="24"/>
          <w:szCs w:val="24"/>
        </w:rPr>
        <w:t xml:space="preserve"> G, </w:t>
      </w:r>
      <w:proofErr w:type="spellStart"/>
      <w:r w:rsidRPr="00277748">
        <w:rPr>
          <w:sz w:val="24"/>
          <w:szCs w:val="24"/>
        </w:rPr>
        <w:t>Mannelli</w:t>
      </w:r>
      <w:proofErr w:type="spellEnd"/>
      <w:r w:rsidRPr="00277748">
        <w:rPr>
          <w:sz w:val="24"/>
          <w:szCs w:val="24"/>
        </w:rPr>
        <w:t xml:space="preserve"> F, </w:t>
      </w:r>
      <w:proofErr w:type="spellStart"/>
      <w:r w:rsidRPr="00277748">
        <w:rPr>
          <w:sz w:val="24"/>
          <w:szCs w:val="24"/>
        </w:rPr>
        <w:t>Baccini</w:t>
      </w:r>
      <w:proofErr w:type="spellEnd"/>
      <w:r w:rsidRPr="00277748">
        <w:rPr>
          <w:sz w:val="24"/>
          <w:szCs w:val="24"/>
        </w:rPr>
        <w:t xml:space="preserve"> M, </w:t>
      </w:r>
      <w:proofErr w:type="spellStart"/>
      <w:r w:rsidRPr="00277748">
        <w:rPr>
          <w:sz w:val="24"/>
          <w:szCs w:val="24"/>
        </w:rPr>
        <w:t>Antonioli</w:t>
      </w:r>
      <w:proofErr w:type="spellEnd"/>
      <w:r w:rsidRPr="00277748">
        <w:rPr>
          <w:sz w:val="24"/>
          <w:szCs w:val="24"/>
        </w:rPr>
        <w:t xml:space="preserve"> E, Leoni F, </w:t>
      </w:r>
      <w:proofErr w:type="spellStart"/>
      <w:r w:rsidRPr="00277748">
        <w:rPr>
          <w:sz w:val="24"/>
          <w:szCs w:val="24"/>
        </w:rPr>
        <w:t>Bosi</w:t>
      </w:r>
      <w:proofErr w:type="spellEnd"/>
      <w:r w:rsidRPr="00277748">
        <w:rPr>
          <w:sz w:val="24"/>
          <w:szCs w:val="24"/>
        </w:rPr>
        <w:t xml:space="preserve"> A. (2006)  Clearance of leukaemic blasts from peripheral blood during standard induction treatment predicts the bone marrow response in acute myeloid leukaemia: a pilot study. </w:t>
      </w:r>
      <w:r w:rsidRPr="00277748">
        <w:rPr>
          <w:i/>
          <w:sz w:val="24"/>
          <w:szCs w:val="24"/>
        </w:rPr>
        <w:t>Br</w:t>
      </w:r>
      <w:r w:rsidR="00FE7454" w:rsidRPr="00277748">
        <w:rPr>
          <w:i/>
          <w:sz w:val="24"/>
          <w:szCs w:val="24"/>
        </w:rPr>
        <w:t>itish</w:t>
      </w:r>
      <w:r w:rsidRPr="00277748">
        <w:rPr>
          <w:i/>
          <w:sz w:val="24"/>
          <w:szCs w:val="24"/>
        </w:rPr>
        <w:t xml:space="preserve"> J</w:t>
      </w:r>
      <w:r w:rsidR="00FE7454" w:rsidRPr="00277748">
        <w:rPr>
          <w:i/>
          <w:sz w:val="24"/>
          <w:szCs w:val="24"/>
        </w:rPr>
        <w:t>ournal</w:t>
      </w:r>
      <w:r w:rsidRPr="00277748">
        <w:rPr>
          <w:i/>
          <w:sz w:val="24"/>
          <w:szCs w:val="24"/>
        </w:rPr>
        <w:t xml:space="preserve"> </w:t>
      </w:r>
      <w:r w:rsidR="00FE7454" w:rsidRPr="00277748">
        <w:rPr>
          <w:i/>
          <w:sz w:val="24"/>
          <w:szCs w:val="24"/>
        </w:rPr>
        <w:t xml:space="preserve">of </w:t>
      </w:r>
      <w:r w:rsidRPr="00277748">
        <w:rPr>
          <w:i/>
          <w:sz w:val="24"/>
          <w:szCs w:val="24"/>
        </w:rPr>
        <w:t>Haematol</w:t>
      </w:r>
      <w:r w:rsidR="00FE7454" w:rsidRPr="00277748">
        <w:rPr>
          <w:i/>
          <w:sz w:val="24"/>
          <w:szCs w:val="24"/>
        </w:rPr>
        <w:t>ogy</w:t>
      </w:r>
      <w:r w:rsidRPr="00277748">
        <w:rPr>
          <w:sz w:val="24"/>
          <w:szCs w:val="24"/>
        </w:rPr>
        <w:t>. 134(1):54-7.</w:t>
      </w:r>
      <w:r w:rsidR="00CC3D84" w:rsidRPr="00277748">
        <w:rPr>
          <w:sz w:val="24"/>
          <w:szCs w:val="24"/>
        </w:rPr>
        <w:t xml:space="preserve"> </w:t>
      </w:r>
      <w:proofErr w:type="spellStart"/>
      <w:proofErr w:type="gramStart"/>
      <w:r w:rsidR="00CC3D84" w:rsidRPr="00277748">
        <w:rPr>
          <w:sz w:val="24"/>
          <w:szCs w:val="24"/>
        </w:rPr>
        <w:t>doi</w:t>
      </w:r>
      <w:proofErr w:type="spellEnd"/>
      <w:proofErr w:type="gramEnd"/>
      <w:r w:rsidR="00CC3D84" w:rsidRPr="00277748">
        <w:rPr>
          <w:sz w:val="24"/>
          <w:szCs w:val="24"/>
        </w:rPr>
        <w:t>: 10.1111/j.1365-2141.2006.06100.x</w:t>
      </w:r>
    </w:p>
    <w:p w14:paraId="1D0B4D76" w14:textId="0B60D574" w:rsidR="00E86FA8" w:rsidRPr="00277748" w:rsidRDefault="00F73936" w:rsidP="00E1196F">
      <w:pPr>
        <w:spacing w:after="120" w:line="240" w:lineRule="auto"/>
        <w:jc w:val="both"/>
        <w:rPr>
          <w:sz w:val="24"/>
          <w:szCs w:val="24"/>
        </w:rPr>
      </w:pPr>
      <w:r w:rsidRPr="00277748">
        <w:rPr>
          <w:sz w:val="24"/>
          <w:szCs w:val="24"/>
        </w:rPr>
        <w:t xml:space="preserve">Gruber A, </w:t>
      </w:r>
      <w:proofErr w:type="spellStart"/>
      <w:r w:rsidRPr="00277748">
        <w:rPr>
          <w:sz w:val="24"/>
          <w:szCs w:val="24"/>
        </w:rPr>
        <w:t>Liliemark</w:t>
      </w:r>
      <w:proofErr w:type="spellEnd"/>
      <w:r w:rsidRPr="00277748">
        <w:rPr>
          <w:sz w:val="24"/>
          <w:szCs w:val="24"/>
        </w:rPr>
        <w:t xml:space="preserve"> E</w:t>
      </w:r>
      <w:r w:rsidR="00E86FA8" w:rsidRPr="00277748">
        <w:rPr>
          <w:sz w:val="24"/>
          <w:szCs w:val="24"/>
        </w:rPr>
        <w:t xml:space="preserve">, </w:t>
      </w:r>
      <w:proofErr w:type="spellStart"/>
      <w:r w:rsidR="00E86FA8" w:rsidRPr="00277748">
        <w:rPr>
          <w:sz w:val="24"/>
          <w:szCs w:val="24"/>
        </w:rPr>
        <w:t>Tidefelt</w:t>
      </w:r>
      <w:proofErr w:type="spellEnd"/>
      <w:r w:rsidR="00E86FA8" w:rsidRPr="00277748">
        <w:rPr>
          <w:sz w:val="24"/>
          <w:szCs w:val="24"/>
        </w:rPr>
        <w:t xml:space="preserve"> U</w:t>
      </w:r>
      <w:r w:rsidR="005E55E0" w:rsidRPr="00277748">
        <w:rPr>
          <w:sz w:val="24"/>
          <w:szCs w:val="24"/>
        </w:rPr>
        <w:t xml:space="preserve">, </w:t>
      </w:r>
      <w:r w:rsidR="005E55E0" w:rsidRPr="00277748">
        <w:rPr>
          <w:i/>
          <w:sz w:val="24"/>
          <w:szCs w:val="24"/>
        </w:rPr>
        <w:t>et al</w:t>
      </w:r>
      <w:r w:rsidR="005E55E0" w:rsidRPr="00277748">
        <w:rPr>
          <w:sz w:val="24"/>
          <w:szCs w:val="24"/>
        </w:rPr>
        <w:t>.</w:t>
      </w:r>
      <w:r w:rsidR="00E86FA8" w:rsidRPr="00277748">
        <w:rPr>
          <w:sz w:val="24"/>
          <w:szCs w:val="24"/>
        </w:rPr>
        <w:t xml:space="preserve"> (1995) Pharmacokinetics of </w:t>
      </w:r>
      <w:proofErr w:type="spellStart"/>
      <w:r w:rsidR="00E86FA8" w:rsidRPr="00277748">
        <w:rPr>
          <w:sz w:val="24"/>
          <w:szCs w:val="24"/>
        </w:rPr>
        <w:t>mitoxantrone</w:t>
      </w:r>
      <w:proofErr w:type="spellEnd"/>
      <w:r w:rsidR="00E86FA8" w:rsidRPr="00277748">
        <w:rPr>
          <w:sz w:val="24"/>
          <w:szCs w:val="24"/>
        </w:rPr>
        <w:t xml:space="preserve">, etoposide and cytosine </w:t>
      </w:r>
      <w:proofErr w:type="spellStart"/>
      <w:r w:rsidR="00E86FA8" w:rsidRPr="00277748">
        <w:rPr>
          <w:sz w:val="24"/>
          <w:szCs w:val="24"/>
        </w:rPr>
        <w:t>arabinoside</w:t>
      </w:r>
      <w:proofErr w:type="spellEnd"/>
      <w:r w:rsidR="00E86FA8" w:rsidRPr="00277748">
        <w:rPr>
          <w:sz w:val="24"/>
          <w:szCs w:val="24"/>
        </w:rPr>
        <w:t xml:space="preserve"> in leukemic cells during treatmen</w:t>
      </w:r>
      <w:r w:rsidR="00B054DA" w:rsidRPr="00277748">
        <w:rPr>
          <w:sz w:val="24"/>
          <w:szCs w:val="24"/>
        </w:rPr>
        <w:t xml:space="preserve">t of acute </w:t>
      </w:r>
      <w:proofErr w:type="spellStart"/>
      <w:r w:rsidR="00B054DA" w:rsidRPr="00277748">
        <w:rPr>
          <w:sz w:val="24"/>
          <w:szCs w:val="24"/>
        </w:rPr>
        <w:t>myelogenous</w:t>
      </w:r>
      <w:proofErr w:type="spellEnd"/>
      <w:r w:rsidR="00B054DA" w:rsidRPr="00277748">
        <w:rPr>
          <w:sz w:val="24"/>
          <w:szCs w:val="24"/>
        </w:rPr>
        <w:t xml:space="preserve"> </w:t>
      </w:r>
      <w:proofErr w:type="spellStart"/>
      <w:r w:rsidR="00B054DA" w:rsidRPr="00277748">
        <w:rPr>
          <w:sz w:val="24"/>
          <w:szCs w:val="24"/>
        </w:rPr>
        <w:t>leukemia</w:t>
      </w:r>
      <w:proofErr w:type="spellEnd"/>
      <w:r w:rsidR="00E86FA8" w:rsidRPr="00277748">
        <w:rPr>
          <w:sz w:val="24"/>
          <w:szCs w:val="24"/>
        </w:rPr>
        <w:t xml:space="preserve">-relationship to treatment outcome and bone marrow toxicity. </w:t>
      </w:r>
      <w:proofErr w:type="spellStart"/>
      <w:r w:rsidR="00E86FA8" w:rsidRPr="00277748">
        <w:rPr>
          <w:i/>
          <w:sz w:val="24"/>
          <w:szCs w:val="24"/>
        </w:rPr>
        <w:t>Leuk</w:t>
      </w:r>
      <w:r w:rsidR="00FE7454" w:rsidRPr="00277748">
        <w:rPr>
          <w:i/>
          <w:sz w:val="24"/>
          <w:szCs w:val="24"/>
        </w:rPr>
        <w:t>emia</w:t>
      </w:r>
      <w:proofErr w:type="spellEnd"/>
      <w:r w:rsidR="00E86FA8" w:rsidRPr="00277748">
        <w:rPr>
          <w:i/>
          <w:sz w:val="24"/>
          <w:szCs w:val="24"/>
        </w:rPr>
        <w:t xml:space="preserve"> Res</w:t>
      </w:r>
      <w:r w:rsidR="00FE7454" w:rsidRPr="00277748">
        <w:rPr>
          <w:i/>
          <w:sz w:val="24"/>
          <w:szCs w:val="24"/>
        </w:rPr>
        <w:t>earch</w:t>
      </w:r>
      <w:r w:rsidR="00E86FA8" w:rsidRPr="00277748">
        <w:rPr>
          <w:sz w:val="24"/>
          <w:szCs w:val="24"/>
        </w:rPr>
        <w:t>. 19(10):757-61.</w:t>
      </w:r>
    </w:p>
    <w:p w14:paraId="55A76888" w14:textId="54146C84" w:rsidR="00E86FA8" w:rsidRPr="00277748" w:rsidRDefault="00F73936" w:rsidP="00E1196F">
      <w:pPr>
        <w:spacing w:after="120" w:line="240" w:lineRule="auto"/>
        <w:jc w:val="both"/>
        <w:rPr>
          <w:sz w:val="24"/>
          <w:szCs w:val="24"/>
        </w:rPr>
      </w:pPr>
      <w:r w:rsidRPr="00277748">
        <w:rPr>
          <w:sz w:val="24"/>
          <w:szCs w:val="24"/>
        </w:rPr>
        <w:t>Karp JE</w:t>
      </w:r>
      <w:r w:rsidR="00E86FA8" w:rsidRPr="00277748">
        <w:rPr>
          <w:sz w:val="24"/>
          <w:szCs w:val="24"/>
        </w:rPr>
        <w:t xml:space="preserve">, </w:t>
      </w:r>
      <w:proofErr w:type="spellStart"/>
      <w:r w:rsidR="00E86FA8" w:rsidRPr="00277748">
        <w:rPr>
          <w:sz w:val="24"/>
          <w:szCs w:val="24"/>
        </w:rPr>
        <w:t>Donehower</w:t>
      </w:r>
      <w:proofErr w:type="spellEnd"/>
      <w:r w:rsidR="00E86FA8" w:rsidRPr="00277748">
        <w:rPr>
          <w:sz w:val="24"/>
          <w:szCs w:val="24"/>
        </w:rPr>
        <w:t xml:space="preserve"> RC, D</w:t>
      </w:r>
      <w:r w:rsidRPr="00277748">
        <w:rPr>
          <w:sz w:val="24"/>
          <w:szCs w:val="24"/>
        </w:rPr>
        <w:t>ole GB, Burke P</w:t>
      </w:r>
      <w:r w:rsidR="00E86FA8" w:rsidRPr="00277748">
        <w:rPr>
          <w:sz w:val="24"/>
          <w:szCs w:val="24"/>
        </w:rPr>
        <w:t xml:space="preserve">J. (1987) Correlation of drug-perturbed marrow cell growth kinetics and intracellular 1-B-D-arabinofuranosylcytosine metabolism with clinical response in adult acute </w:t>
      </w:r>
      <w:proofErr w:type="spellStart"/>
      <w:r w:rsidR="00E86FA8" w:rsidRPr="00277748">
        <w:rPr>
          <w:sz w:val="24"/>
          <w:szCs w:val="24"/>
        </w:rPr>
        <w:t>myelogenous</w:t>
      </w:r>
      <w:proofErr w:type="spellEnd"/>
      <w:r w:rsidR="00E86FA8" w:rsidRPr="00277748">
        <w:rPr>
          <w:sz w:val="24"/>
          <w:szCs w:val="24"/>
        </w:rPr>
        <w:t xml:space="preserve"> </w:t>
      </w:r>
      <w:proofErr w:type="spellStart"/>
      <w:r w:rsidR="00E86FA8" w:rsidRPr="00277748">
        <w:rPr>
          <w:sz w:val="24"/>
          <w:szCs w:val="24"/>
        </w:rPr>
        <w:t>leukemia</w:t>
      </w:r>
      <w:proofErr w:type="spellEnd"/>
      <w:r w:rsidR="00E86FA8" w:rsidRPr="00277748">
        <w:rPr>
          <w:sz w:val="24"/>
          <w:szCs w:val="24"/>
        </w:rPr>
        <w:t xml:space="preserve">. </w:t>
      </w:r>
      <w:r w:rsidR="00E86FA8" w:rsidRPr="00277748">
        <w:rPr>
          <w:i/>
          <w:sz w:val="24"/>
          <w:szCs w:val="24"/>
        </w:rPr>
        <w:t>Blood</w:t>
      </w:r>
      <w:r w:rsidR="00E86FA8" w:rsidRPr="00277748">
        <w:rPr>
          <w:sz w:val="24"/>
          <w:szCs w:val="24"/>
        </w:rPr>
        <w:t>. 69(4):1134-40.</w:t>
      </w:r>
    </w:p>
    <w:p w14:paraId="54E750E9" w14:textId="2B80D88E" w:rsidR="00AB0164" w:rsidRPr="00277748" w:rsidRDefault="00AB0164" w:rsidP="00AB0164">
      <w:pPr>
        <w:spacing w:after="120" w:line="240" w:lineRule="auto"/>
        <w:jc w:val="both"/>
        <w:rPr>
          <w:sz w:val="24"/>
          <w:szCs w:val="24"/>
        </w:rPr>
      </w:pPr>
      <w:proofErr w:type="spellStart"/>
      <w:r w:rsidRPr="00277748">
        <w:rPr>
          <w:sz w:val="24"/>
          <w:szCs w:val="24"/>
        </w:rPr>
        <w:t>K</w:t>
      </w:r>
      <w:r w:rsidR="005E55E0" w:rsidRPr="00277748">
        <w:rPr>
          <w:sz w:val="24"/>
          <w:szCs w:val="24"/>
        </w:rPr>
        <w:t>oehl</w:t>
      </w:r>
      <w:proofErr w:type="spellEnd"/>
      <w:r w:rsidR="005E55E0" w:rsidRPr="00277748">
        <w:rPr>
          <w:sz w:val="24"/>
          <w:szCs w:val="24"/>
        </w:rPr>
        <w:t xml:space="preserve"> U, </w:t>
      </w:r>
      <w:proofErr w:type="spellStart"/>
      <w:r w:rsidR="005E55E0" w:rsidRPr="00277748">
        <w:rPr>
          <w:sz w:val="24"/>
          <w:szCs w:val="24"/>
        </w:rPr>
        <w:t>Hollatz</w:t>
      </w:r>
      <w:proofErr w:type="spellEnd"/>
      <w:r w:rsidR="005E55E0" w:rsidRPr="00277748">
        <w:rPr>
          <w:sz w:val="24"/>
          <w:szCs w:val="24"/>
        </w:rPr>
        <w:t xml:space="preserve"> G, </w:t>
      </w:r>
      <w:proofErr w:type="spellStart"/>
      <w:r w:rsidR="005E55E0" w:rsidRPr="00277748">
        <w:rPr>
          <w:sz w:val="24"/>
          <w:szCs w:val="24"/>
        </w:rPr>
        <w:t>Rohrbach</w:t>
      </w:r>
      <w:proofErr w:type="spellEnd"/>
      <w:r w:rsidR="005E55E0" w:rsidRPr="00277748">
        <w:rPr>
          <w:sz w:val="24"/>
          <w:szCs w:val="24"/>
        </w:rPr>
        <w:t xml:space="preserve"> E, </w:t>
      </w:r>
      <w:r w:rsidR="005E55E0" w:rsidRPr="00277748">
        <w:rPr>
          <w:i/>
          <w:sz w:val="24"/>
          <w:szCs w:val="24"/>
        </w:rPr>
        <w:t>et al</w:t>
      </w:r>
      <w:r w:rsidR="005E55E0" w:rsidRPr="00277748">
        <w:rPr>
          <w:sz w:val="24"/>
          <w:szCs w:val="24"/>
        </w:rPr>
        <w:t>.</w:t>
      </w:r>
      <w:r w:rsidRPr="00277748">
        <w:rPr>
          <w:sz w:val="24"/>
          <w:szCs w:val="24"/>
        </w:rPr>
        <w:t xml:space="preserve"> (2007) Pharmacology of intracellular cytosine-arabinoside-5'-triphosphate in malignant cells of </w:t>
      </w:r>
      <w:proofErr w:type="spellStart"/>
      <w:r w:rsidRPr="00277748">
        <w:rPr>
          <w:sz w:val="24"/>
          <w:szCs w:val="24"/>
        </w:rPr>
        <w:t>pediatric</w:t>
      </w:r>
      <w:proofErr w:type="spellEnd"/>
      <w:r w:rsidRPr="00277748">
        <w:rPr>
          <w:sz w:val="24"/>
          <w:szCs w:val="24"/>
        </w:rPr>
        <w:t xml:space="preserve"> patients with initial or relapsed </w:t>
      </w:r>
      <w:proofErr w:type="spellStart"/>
      <w:r w:rsidRPr="00277748">
        <w:rPr>
          <w:sz w:val="24"/>
          <w:szCs w:val="24"/>
        </w:rPr>
        <w:t>leukemia</w:t>
      </w:r>
      <w:proofErr w:type="spellEnd"/>
      <w:r w:rsidRPr="00277748">
        <w:rPr>
          <w:sz w:val="24"/>
          <w:szCs w:val="24"/>
        </w:rPr>
        <w:t xml:space="preserve"> and in normal lymphocytes. </w:t>
      </w:r>
      <w:r w:rsidRPr="00277748">
        <w:rPr>
          <w:i/>
          <w:sz w:val="24"/>
          <w:szCs w:val="24"/>
        </w:rPr>
        <w:t>Cancer Chemother</w:t>
      </w:r>
      <w:r w:rsidR="00906537" w:rsidRPr="00277748">
        <w:rPr>
          <w:i/>
          <w:sz w:val="24"/>
          <w:szCs w:val="24"/>
        </w:rPr>
        <w:t>apy</w:t>
      </w:r>
      <w:r w:rsidRPr="00277748">
        <w:rPr>
          <w:i/>
          <w:sz w:val="24"/>
          <w:szCs w:val="24"/>
        </w:rPr>
        <w:t xml:space="preserve"> Pharmacol</w:t>
      </w:r>
      <w:r w:rsidR="00906537" w:rsidRPr="00277748">
        <w:rPr>
          <w:i/>
          <w:sz w:val="24"/>
          <w:szCs w:val="24"/>
        </w:rPr>
        <w:t>ogy</w:t>
      </w:r>
      <w:r w:rsidRPr="00277748">
        <w:rPr>
          <w:sz w:val="24"/>
          <w:szCs w:val="24"/>
        </w:rPr>
        <w:t>. 60(4):467-77.</w:t>
      </w:r>
      <w:r w:rsidR="009E5BBE" w:rsidRPr="00277748">
        <w:rPr>
          <w:sz w:val="24"/>
          <w:szCs w:val="24"/>
        </w:rPr>
        <w:t xml:space="preserve"> </w:t>
      </w:r>
      <w:proofErr w:type="spellStart"/>
      <w:proofErr w:type="gramStart"/>
      <w:r w:rsidR="009E5BBE" w:rsidRPr="00277748">
        <w:rPr>
          <w:sz w:val="24"/>
          <w:szCs w:val="24"/>
        </w:rPr>
        <w:t>doi</w:t>
      </w:r>
      <w:proofErr w:type="spellEnd"/>
      <w:proofErr w:type="gramEnd"/>
      <w:r w:rsidR="009E5BBE" w:rsidRPr="00277748">
        <w:rPr>
          <w:sz w:val="24"/>
          <w:szCs w:val="24"/>
        </w:rPr>
        <w:t>: 10.1007/s00280-006-0386-3</w:t>
      </w:r>
    </w:p>
    <w:p w14:paraId="745DB648" w14:textId="77777777" w:rsidR="00B2500B" w:rsidRPr="00277748" w:rsidRDefault="00B2500B" w:rsidP="00B2500B">
      <w:pPr>
        <w:spacing w:after="120" w:line="240" w:lineRule="auto"/>
        <w:jc w:val="both"/>
        <w:rPr>
          <w:sz w:val="24"/>
          <w:szCs w:val="24"/>
        </w:rPr>
      </w:pPr>
      <w:proofErr w:type="spellStart"/>
      <w:r w:rsidRPr="00277748">
        <w:rPr>
          <w:sz w:val="24"/>
          <w:szCs w:val="24"/>
        </w:rPr>
        <w:lastRenderedPageBreak/>
        <w:t>Lamba</w:t>
      </w:r>
      <w:proofErr w:type="spellEnd"/>
      <w:r w:rsidRPr="00277748">
        <w:rPr>
          <w:sz w:val="24"/>
          <w:szCs w:val="24"/>
        </w:rPr>
        <w:t xml:space="preserve"> JK. (2009) Genetic factors influencing cytarabine therapy. </w:t>
      </w:r>
      <w:r w:rsidRPr="00277748">
        <w:rPr>
          <w:i/>
          <w:sz w:val="24"/>
          <w:szCs w:val="24"/>
        </w:rPr>
        <w:t>Pharmacogenomics</w:t>
      </w:r>
      <w:r w:rsidRPr="00277748">
        <w:rPr>
          <w:sz w:val="24"/>
          <w:szCs w:val="24"/>
        </w:rPr>
        <w:t xml:space="preserve">. 10(10):1657-74. </w:t>
      </w:r>
      <w:proofErr w:type="spellStart"/>
      <w:proofErr w:type="gramStart"/>
      <w:r w:rsidRPr="00277748">
        <w:rPr>
          <w:sz w:val="24"/>
          <w:szCs w:val="24"/>
        </w:rPr>
        <w:t>doi</w:t>
      </w:r>
      <w:proofErr w:type="spellEnd"/>
      <w:proofErr w:type="gramEnd"/>
      <w:r w:rsidRPr="00277748">
        <w:rPr>
          <w:sz w:val="24"/>
          <w:szCs w:val="24"/>
        </w:rPr>
        <w:t>: 10.2217/pgs.09.118</w:t>
      </w:r>
    </w:p>
    <w:p w14:paraId="2A4BE9A3" w14:textId="20839E54" w:rsidR="00B2500B" w:rsidRPr="00277748" w:rsidRDefault="00B2500B" w:rsidP="00B2500B">
      <w:pPr>
        <w:spacing w:after="120" w:line="240" w:lineRule="auto"/>
        <w:jc w:val="both"/>
        <w:rPr>
          <w:sz w:val="24"/>
          <w:szCs w:val="24"/>
        </w:rPr>
      </w:pPr>
      <w:proofErr w:type="spellStart"/>
      <w:r w:rsidRPr="00277748">
        <w:rPr>
          <w:sz w:val="24"/>
          <w:szCs w:val="24"/>
        </w:rPr>
        <w:t>Lamba</w:t>
      </w:r>
      <w:proofErr w:type="spellEnd"/>
      <w:r w:rsidRPr="00277748">
        <w:rPr>
          <w:sz w:val="24"/>
          <w:szCs w:val="24"/>
        </w:rPr>
        <w:t xml:space="preserve"> JK, Crews KR, Pounds SB, </w:t>
      </w:r>
      <w:r w:rsidRPr="00277748">
        <w:rPr>
          <w:i/>
          <w:sz w:val="24"/>
          <w:szCs w:val="24"/>
        </w:rPr>
        <w:t>et al</w:t>
      </w:r>
      <w:r w:rsidRPr="00277748">
        <w:rPr>
          <w:sz w:val="24"/>
          <w:szCs w:val="24"/>
        </w:rPr>
        <w:t xml:space="preserve">. (2011) Identification of predictive markers of cytarabine response in AML by integrative analysis of gene-expression profiles with multiple phenotypes. </w:t>
      </w:r>
      <w:r w:rsidRPr="00277748">
        <w:rPr>
          <w:i/>
          <w:sz w:val="24"/>
          <w:szCs w:val="24"/>
        </w:rPr>
        <w:t>Pharmacogenomics</w:t>
      </w:r>
      <w:r w:rsidRPr="00277748">
        <w:rPr>
          <w:sz w:val="24"/>
          <w:szCs w:val="24"/>
        </w:rPr>
        <w:t xml:space="preserve">. 12(3): 327–339. </w:t>
      </w:r>
      <w:proofErr w:type="spellStart"/>
      <w:proofErr w:type="gramStart"/>
      <w:r w:rsidRPr="00277748">
        <w:rPr>
          <w:sz w:val="24"/>
          <w:szCs w:val="24"/>
        </w:rPr>
        <w:t>doi</w:t>
      </w:r>
      <w:proofErr w:type="spellEnd"/>
      <w:proofErr w:type="gramEnd"/>
      <w:r w:rsidRPr="00277748">
        <w:rPr>
          <w:sz w:val="24"/>
          <w:szCs w:val="24"/>
        </w:rPr>
        <w:t>: 10.2217/pgs.10.191</w:t>
      </w:r>
    </w:p>
    <w:p w14:paraId="53BC09B9" w14:textId="40E59159" w:rsidR="00DF6539" w:rsidRPr="00277748" w:rsidRDefault="00F73936" w:rsidP="00E1196F">
      <w:pPr>
        <w:spacing w:after="120" w:line="240" w:lineRule="auto"/>
        <w:jc w:val="both"/>
        <w:rPr>
          <w:sz w:val="24"/>
          <w:szCs w:val="24"/>
        </w:rPr>
      </w:pPr>
      <w:r w:rsidRPr="00277748">
        <w:rPr>
          <w:sz w:val="24"/>
          <w:szCs w:val="24"/>
        </w:rPr>
        <w:t>Liang D, Wang W, Jiang X</w:t>
      </w:r>
      <w:r w:rsidR="00DF6539" w:rsidRPr="00277748">
        <w:rPr>
          <w:sz w:val="24"/>
          <w:szCs w:val="24"/>
        </w:rPr>
        <w:t>, Yin S. (2014) Simultaneous determination of 1-β-d-</w:t>
      </w:r>
      <w:proofErr w:type="spellStart"/>
      <w:r w:rsidR="00DF6539" w:rsidRPr="00277748">
        <w:rPr>
          <w:sz w:val="24"/>
          <w:szCs w:val="24"/>
        </w:rPr>
        <w:t>Arabinofuranosylcytosine</w:t>
      </w:r>
      <w:proofErr w:type="spellEnd"/>
      <w:r w:rsidR="00DF6539" w:rsidRPr="00277748">
        <w:rPr>
          <w:sz w:val="24"/>
          <w:szCs w:val="24"/>
        </w:rPr>
        <w:t xml:space="preserve"> and two metabolites, 1-β-d-</w:t>
      </w:r>
      <w:proofErr w:type="spellStart"/>
      <w:r w:rsidR="00DF6539" w:rsidRPr="00277748">
        <w:rPr>
          <w:sz w:val="24"/>
          <w:szCs w:val="24"/>
        </w:rPr>
        <w:t>Arabinofuranosyluracil</w:t>
      </w:r>
      <w:proofErr w:type="spellEnd"/>
      <w:r w:rsidR="00DF6539" w:rsidRPr="00277748">
        <w:rPr>
          <w:sz w:val="24"/>
          <w:szCs w:val="24"/>
        </w:rPr>
        <w:t xml:space="preserve"> and1-β-d-</w:t>
      </w:r>
      <w:proofErr w:type="spellStart"/>
      <w:r w:rsidR="00DF6539" w:rsidRPr="00277748">
        <w:rPr>
          <w:sz w:val="24"/>
          <w:szCs w:val="24"/>
        </w:rPr>
        <w:t>Arabinofuranosylcytosine</w:t>
      </w:r>
      <w:proofErr w:type="spellEnd"/>
      <w:r w:rsidR="00DF6539" w:rsidRPr="00277748">
        <w:rPr>
          <w:sz w:val="24"/>
          <w:szCs w:val="24"/>
        </w:rPr>
        <w:t xml:space="preserve"> triphosphate in leukemic cell by HPLC-MS/MS and the application to cell pharmacokinetics. </w:t>
      </w:r>
      <w:r w:rsidR="00DF6539" w:rsidRPr="00277748">
        <w:rPr>
          <w:i/>
          <w:sz w:val="24"/>
          <w:szCs w:val="24"/>
        </w:rPr>
        <w:t>J</w:t>
      </w:r>
      <w:r w:rsidR="00FE7454" w:rsidRPr="00277748">
        <w:rPr>
          <w:i/>
          <w:sz w:val="24"/>
          <w:szCs w:val="24"/>
        </w:rPr>
        <w:t>ournal of</w:t>
      </w:r>
      <w:r w:rsidR="00DF6539" w:rsidRPr="00277748">
        <w:rPr>
          <w:i/>
          <w:sz w:val="24"/>
          <w:szCs w:val="24"/>
        </w:rPr>
        <w:t xml:space="preserve"> Chromatogr</w:t>
      </w:r>
      <w:r w:rsidR="00FE7454" w:rsidRPr="00277748">
        <w:rPr>
          <w:i/>
          <w:sz w:val="24"/>
          <w:szCs w:val="24"/>
        </w:rPr>
        <w:t>aphy</w:t>
      </w:r>
      <w:r w:rsidR="00DF6539" w:rsidRPr="00277748">
        <w:rPr>
          <w:i/>
          <w:sz w:val="24"/>
          <w:szCs w:val="24"/>
        </w:rPr>
        <w:t xml:space="preserve"> B</w:t>
      </w:r>
      <w:r w:rsidR="00FE7454" w:rsidRPr="00277748">
        <w:rPr>
          <w:i/>
          <w:sz w:val="24"/>
          <w:szCs w:val="24"/>
        </w:rPr>
        <w:t>.</w:t>
      </w:r>
      <w:r w:rsidR="00DF6539" w:rsidRPr="00277748">
        <w:rPr>
          <w:sz w:val="24"/>
          <w:szCs w:val="24"/>
        </w:rPr>
        <w:t xml:space="preserve"> 962</w:t>
      </w:r>
      <w:r w:rsidR="00B054DA" w:rsidRPr="00277748">
        <w:rPr>
          <w:sz w:val="24"/>
          <w:szCs w:val="24"/>
        </w:rPr>
        <w:t>:</w:t>
      </w:r>
      <w:r w:rsidR="00DF6539" w:rsidRPr="00277748">
        <w:rPr>
          <w:sz w:val="24"/>
          <w:szCs w:val="24"/>
        </w:rPr>
        <w:t>14–19.</w:t>
      </w:r>
      <w:r w:rsidR="009E5BBE" w:rsidRPr="00277748">
        <w:rPr>
          <w:sz w:val="24"/>
          <w:szCs w:val="24"/>
        </w:rPr>
        <w:t xml:space="preserve"> </w:t>
      </w:r>
      <w:proofErr w:type="spellStart"/>
      <w:proofErr w:type="gramStart"/>
      <w:r w:rsidR="009E5BBE" w:rsidRPr="00277748">
        <w:rPr>
          <w:sz w:val="24"/>
          <w:szCs w:val="24"/>
        </w:rPr>
        <w:t>doi</w:t>
      </w:r>
      <w:proofErr w:type="spellEnd"/>
      <w:proofErr w:type="gramEnd"/>
      <w:r w:rsidR="009E5BBE" w:rsidRPr="00277748">
        <w:rPr>
          <w:sz w:val="24"/>
          <w:szCs w:val="24"/>
        </w:rPr>
        <w:t>: 10.1016/j.jchromb.2014.05.003</w:t>
      </w:r>
    </w:p>
    <w:p w14:paraId="4205CFD6" w14:textId="4B8CD4BC" w:rsidR="00197EE7" w:rsidRPr="00277748" w:rsidRDefault="00197EE7" w:rsidP="00E1196F">
      <w:pPr>
        <w:spacing w:after="120" w:line="240" w:lineRule="auto"/>
        <w:jc w:val="both"/>
        <w:rPr>
          <w:sz w:val="24"/>
          <w:szCs w:val="24"/>
        </w:rPr>
      </w:pPr>
      <w:r w:rsidRPr="00277748">
        <w:rPr>
          <w:sz w:val="24"/>
          <w:szCs w:val="24"/>
        </w:rPr>
        <w:t xml:space="preserve">Milligan DW, </w:t>
      </w:r>
      <w:proofErr w:type="spellStart"/>
      <w:r w:rsidRPr="00277748">
        <w:rPr>
          <w:sz w:val="24"/>
          <w:szCs w:val="24"/>
        </w:rPr>
        <w:t>Grimwade</w:t>
      </w:r>
      <w:proofErr w:type="spellEnd"/>
      <w:r w:rsidRPr="00277748">
        <w:rPr>
          <w:sz w:val="24"/>
          <w:szCs w:val="24"/>
        </w:rPr>
        <w:t xml:space="preserve"> D, </w:t>
      </w:r>
      <w:proofErr w:type="spellStart"/>
      <w:r w:rsidRPr="00277748">
        <w:rPr>
          <w:sz w:val="24"/>
          <w:szCs w:val="24"/>
        </w:rPr>
        <w:t>Cullis</w:t>
      </w:r>
      <w:proofErr w:type="spellEnd"/>
      <w:r w:rsidRPr="00277748">
        <w:rPr>
          <w:sz w:val="24"/>
          <w:szCs w:val="24"/>
        </w:rPr>
        <w:t xml:space="preserve"> JO </w:t>
      </w:r>
      <w:r w:rsidRPr="00277748">
        <w:rPr>
          <w:i/>
          <w:sz w:val="24"/>
          <w:szCs w:val="24"/>
        </w:rPr>
        <w:t>et al</w:t>
      </w:r>
      <w:r w:rsidRPr="00277748">
        <w:rPr>
          <w:sz w:val="24"/>
          <w:szCs w:val="24"/>
        </w:rPr>
        <w:t xml:space="preserve">. (2006) Guidelines on the management of acute myeloid leukaemia in adults. </w:t>
      </w:r>
      <w:r w:rsidRPr="00277748">
        <w:rPr>
          <w:i/>
          <w:sz w:val="24"/>
          <w:szCs w:val="24"/>
        </w:rPr>
        <w:t>British Journal of Haematology</w:t>
      </w:r>
      <w:r w:rsidRPr="00277748">
        <w:rPr>
          <w:sz w:val="24"/>
          <w:szCs w:val="24"/>
        </w:rPr>
        <w:t xml:space="preserve">. 135(4):450-74. </w:t>
      </w:r>
      <w:proofErr w:type="spellStart"/>
      <w:proofErr w:type="gramStart"/>
      <w:r w:rsidRPr="00277748">
        <w:rPr>
          <w:sz w:val="24"/>
          <w:szCs w:val="24"/>
        </w:rPr>
        <w:t>doi</w:t>
      </w:r>
      <w:proofErr w:type="spellEnd"/>
      <w:proofErr w:type="gramEnd"/>
      <w:r w:rsidRPr="00277748">
        <w:rPr>
          <w:sz w:val="24"/>
          <w:szCs w:val="24"/>
        </w:rPr>
        <w:t>: 10.1111/j.1365-2141.2006.06314.x</w:t>
      </w:r>
    </w:p>
    <w:p w14:paraId="00B9C41E" w14:textId="5ABD535B" w:rsidR="003F55E4" w:rsidRPr="00277748" w:rsidRDefault="003F55E4" w:rsidP="00E1196F">
      <w:pPr>
        <w:spacing w:after="120" w:line="240" w:lineRule="auto"/>
        <w:jc w:val="both"/>
        <w:rPr>
          <w:sz w:val="24"/>
          <w:szCs w:val="24"/>
        </w:rPr>
      </w:pPr>
      <w:r w:rsidRPr="00277748">
        <w:rPr>
          <w:sz w:val="24"/>
          <w:szCs w:val="24"/>
        </w:rPr>
        <w:t>Poynter JN, Richardson M, Blair CK</w:t>
      </w:r>
      <w:r w:rsidR="005E55E0" w:rsidRPr="00277748">
        <w:rPr>
          <w:sz w:val="24"/>
          <w:szCs w:val="24"/>
        </w:rPr>
        <w:t xml:space="preserve">, </w:t>
      </w:r>
      <w:r w:rsidR="005E55E0" w:rsidRPr="00277748">
        <w:rPr>
          <w:i/>
          <w:sz w:val="24"/>
          <w:szCs w:val="24"/>
        </w:rPr>
        <w:t>et al</w:t>
      </w:r>
      <w:r w:rsidR="005E55E0" w:rsidRPr="00277748">
        <w:rPr>
          <w:sz w:val="24"/>
          <w:szCs w:val="24"/>
        </w:rPr>
        <w:t>.</w:t>
      </w:r>
      <w:r w:rsidRPr="00277748">
        <w:rPr>
          <w:sz w:val="24"/>
          <w:szCs w:val="24"/>
        </w:rPr>
        <w:t xml:space="preserve"> (2016) Obesity over the life course and risk of acute myeloid </w:t>
      </w:r>
      <w:proofErr w:type="spellStart"/>
      <w:r w:rsidRPr="00277748">
        <w:rPr>
          <w:sz w:val="24"/>
          <w:szCs w:val="24"/>
        </w:rPr>
        <w:t>leukemia</w:t>
      </w:r>
      <w:proofErr w:type="spellEnd"/>
      <w:r w:rsidRPr="00277748">
        <w:rPr>
          <w:sz w:val="24"/>
          <w:szCs w:val="24"/>
        </w:rPr>
        <w:t xml:space="preserve"> and myelodysplastic syndromes. </w:t>
      </w:r>
      <w:r w:rsidRPr="00277748">
        <w:rPr>
          <w:i/>
          <w:sz w:val="24"/>
          <w:szCs w:val="24"/>
        </w:rPr>
        <w:t>Cancer Epidemiol</w:t>
      </w:r>
      <w:r w:rsidR="00FE7454" w:rsidRPr="00277748">
        <w:rPr>
          <w:i/>
          <w:sz w:val="24"/>
          <w:szCs w:val="24"/>
        </w:rPr>
        <w:t>ogy</w:t>
      </w:r>
      <w:r w:rsidRPr="00277748">
        <w:rPr>
          <w:sz w:val="24"/>
          <w:szCs w:val="24"/>
        </w:rPr>
        <w:t>. 40:134-40.</w:t>
      </w:r>
      <w:r w:rsidR="009E5BBE" w:rsidRPr="00277748">
        <w:rPr>
          <w:sz w:val="24"/>
          <w:szCs w:val="24"/>
        </w:rPr>
        <w:t xml:space="preserve"> </w:t>
      </w:r>
      <w:proofErr w:type="spellStart"/>
      <w:r w:rsidR="009E5BBE" w:rsidRPr="00277748">
        <w:rPr>
          <w:sz w:val="24"/>
          <w:szCs w:val="24"/>
        </w:rPr>
        <w:t>doi</w:t>
      </w:r>
      <w:proofErr w:type="spellEnd"/>
      <w:r w:rsidR="009E5BBE" w:rsidRPr="00277748">
        <w:rPr>
          <w:sz w:val="24"/>
          <w:szCs w:val="24"/>
        </w:rPr>
        <w:t>: 10.1016/j.canep.2015.12.005</w:t>
      </w:r>
    </w:p>
    <w:p w14:paraId="2858F77B" w14:textId="7163C468" w:rsidR="00AB0164" w:rsidRPr="00277748" w:rsidRDefault="00AB0164" w:rsidP="00E1196F">
      <w:pPr>
        <w:spacing w:after="120" w:line="240" w:lineRule="auto"/>
        <w:jc w:val="both"/>
        <w:rPr>
          <w:sz w:val="24"/>
          <w:szCs w:val="24"/>
        </w:rPr>
      </w:pPr>
      <w:proofErr w:type="spellStart"/>
      <w:r w:rsidRPr="00277748">
        <w:rPr>
          <w:sz w:val="24"/>
          <w:szCs w:val="24"/>
        </w:rPr>
        <w:t>Rustum</w:t>
      </w:r>
      <w:proofErr w:type="spellEnd"/>
      <w:r w:rsidRPr="00277748">
        <w:rPr>
          <w:sz w:val="24"/>
          <w:szCs w:val="24"/>
        </w:rPr>
        <w:t xml:space="preserve"> YM, </w:t>
      </w:r>
      <w:proofErr w:type="spellStart"/>
      <w:r w:rsidRPr="00277748">
        <w:rPr>
          <w:sz w:val="24"/>
          <w:szCs w:val="24"/>
        </w:rPr>
        <w:t>Preisler</w:t>
      </w:r>
      <w:proofErr w:type="spellEnd"/>
      <w:r w:rsidRPr="00277748">
        <w:rPr>
          <w:sz w:val="24"/>
          <w:szCs w:val="24"/>
        </w:rPr>
        <w:t xml:space="preserve"> HD. (1979) Correlation between leukemic cell retention of 1-beta-D-arabinofuranosylcytosine 5'-triphosphate and response to therapy. </w:t>
      </w:r>
      <w:r w:rsidRPr="00277748">
        <w:rPr>
          <w:i/>
          <w:sz w:val="24"/>
          <w:szCs w:val="24"/>
        </w:rPr>
        <w:t>Cancer Res</w:t>
      </w:r>
      <w:r w:rsidR="00906537" w:rsidRPr="00277748">
        <w:rPr>
          <w:i/>
          <w:sz w:val="24"/>
          <w:szCs w:val="24"/>
        </w:rPr>
        <w:t>earch</w:t>
      </w:r>
      <w:r w:rsidRPr="00277748">
        <w:rPr>
          <w:sz w:val="24"/>
          <w:szCs w:val="24"/>
        </w:rPr>
        <w:t>. 39(1):42-9.</w:t>
      </w:r>
    </w:p>
    <w:p w14:paraId="31007C4C" w14:textId="7AAD4733" w:rsidR="001F62B6" w:rsidRPr="00277748" w:rsidRDefault="001F62B6" w:rsidP="00E1196F">
      <w:pPr>
        <w:spacing w:after="120" w:line="240" w:lineRule="auto"/>
        <w:jc w:val="both"/>
        <w:rPr>
          <w:sz w:val="24"/>
          <w:szCs w:val="24"/>
        </w:rPr>
      </w:pPr>
      <w:proofErr w:type="spellStart"/>
      <w:r w:rsidRPr="00277748">
        <w:rPr>
          <w:sz w:val="24"/>
          <w:szCs w:val="24"/>
        </w:rPr>
        <w:t>Shrivastava</w:t>
      </w:r>
      <w:proofErr w:type="spellEnd"/>
      <w:r w:rsidRPr="00277748">
        <w:rPr>
          <w:sz w:val="24"/>
          <w:szCs w:val="24"/>
        </w:rPr>
        <w:t xml:space="preserve"> A, </w:t>
      </w:r>
      <w:proofErr w:type="spellStart"/>
      <w:r w:rsidRPr="00277748">
        <w:rPr>
          <w:sz w:val="24"/>
          <w:szCs w:val="24"/>
        </w:rPr>
        <w:t>Saxena</w:t>
      </w:r>
      <w:proofErr w:type="spellEnd"/>
      <w:r w:rsidRPr="00277748">
        <w:rPr>
          <w:sz w:val="24"/>
          <w:szCs w:val="24"/>
        </w:rPr>
        <w:t xml:space="preserve"> P, Gupta VB. (2011) Spectrophotometric estimation of </w:t>
      </w:r>
      <w:proofErr w:type="spellStart"/>
      <w:r w:rsidRPr="00277748">
        <w:rPr>
          <w:sz w:val="24"/>
          <w:szCs w:val="24"/>
        </w:rPr>
        <w:t>tamsulosin</w:t>
      </w:r>
      <w:proofErr w:type="spellEnd"/>
      <w:r w:rsidRPr="00277748">
        <w:rPr>
          <w:sz w:val="24"/>
          <w:szCs w:val="24"/>
        </w:rPr>
        <w:t xml:space="preserve"> hydrochloride by acid-dye method. </w:t>
      </w:r>
      <w:r w:rsidRPr="00277748">
        <w:rPr>
          <w:i/>
          <w:sz w:val="24"/>
          <w:szCs w:val="24"/>
        </w:rPr>
        <w:t>Pharm Methods</w:t>
      </w:r>
      <w:r w:rsidRPr="00277748">
        <w:rPr>
          <w:sz w:val="24"/>
          <w:szCs w:val="24"/>
        </w:rPr>
        <w:t>. 2(1): 53–60.</w:t>
      </w:r>
    </w:p>
    <w:p w14:paraId="1138D50F" w14:textId="672FD4B8" w:rsidR="003F55E4" w:rsidRPr="00277748" w:rsidRDefault="003F55E4" w:rsidP="00E1196F">
      <w:pPr>
        <w:spacing w:after="120" w:line="240" w:lineRule="auto"/>
        <w:jc w:val="both"/>
        <w:rPr>
          <w:sz w:val="24"/>
          <w:szCs w:val="24"/>
        </w:rPr>
      </w:pPr>
      <w:proofErr w:type="spellStart"/>
      <w:r w:rsidRPr="00277748">
        <w:rPr>
          <w:sz w:val="24"/>
          <w:szCs w:val="24"/>
        </w:rPr>
        <w:t>Tavitian</w:t>
      </w:r>
      <w:proofErr w:type="spellEnd"/>
      <w:r w:rsidRPr="00277748">
        <w:rPr>
          <w:sz w:val="24"/>
          <w:szCs w:val="24"/>
        </w:rPr>
        <w:t xml:space="preserve"> S, Denis A, </w:t>
      </w:r>
      <w:proofErr w:type="spellStart"/>
      <w:r w:rsidRPr="00277748">
        <w:rPr>
          <w:sz w:val="24"/>
          <w:szCs w:val="24"/>
        </w:rPr>
        <w:t>Vergez</w:t>
      </w:r>
      <w:proofErr w:type="spellEnd"/>
      <w:r w:rsidRPr="00277748">
        <w:rPr>
          <w:sz w:val="24"/>
          <w:szCs w:val="24"/>
        </w:rPr>
        <w:t xml:space="preserve"> F</w:t>
      </w:r>
      <w:r w:rsidR="005E55E0" w:rsidRPr="00277748">
        <w:rPr>
          <w:sz w:val="24"/>
          <w:szCs w:val="24"/>
        </w:rPr>
        <w:t xml:space="preserve">, </w:t>
      </w:r>
      <w:r w:rsidR="005E55E0" w:rsidRPr="00277748">
        <w:rPr>
          <w:i/>
          <w:sz w:val="24"/>
          <w:szCs w:val="24"/>
        </w:rPr>
        <w:t>et al</w:t>
      </w:r>
      <w:r w:rsidR="005E55E0" w:rsidRPr="00277748">
        <w:rPr>
          <w:sz w:val="24"/>
          <w:szCs w:val="24"/>
        </w:rPr>
        <w:t>.</w:t>
      </w:r>
      <w:r w:rsidRPr="00277748">
        <w:rPr>
          <w:sz w:val="24"/>
          <w:szCs w:val="24"/>
        </w:rPr>
        <w:t xml:space="preserve"> (2016) Impact of obesity in </w:t>
      </w:r>
      <w:proofErr w:type="spellStart"/>
      <w:r w:rsidRPr="00277748">
        <w:rPr>
          <w:sz w:val="24"/>
          <w:szCs w:val="24"/>
        </w:rPr>
        <w:t>favorable</w:t>
      </w:r>
      <w:proofErr w:type="spellEnd"/>
      <w:r w:rsidRPr="00277748">
        <w:rPr>
          <w:sz w:val="24"/>
          <w:szCs w:val="24"/>
        </w:rPr>
        <w:t xml:space="preserve">-risk AML patients receiving intensive chemotherapy. </w:t>
      </w:r>
      <w:r w:rsidRPr="00277748">
        <w:rPr>
          <w:i/>
          <w:sz w:val="24"/>
          <w:szCs w:val="24"/>
        </w:rPr>
        <w:t>Am</w:t>
      </w:r>
      <w:r w:rsidR="00FE7454" w:rsidRPr="00277748">
        <w:rPr>
          <w:i/>
          <w:sz w:val="24"/>
          <w:szCs w:val="24"/>
        </w:rPr>
        <w:t>erican</w:t>
      </w:r>
      <w:r w:rsidRPr="00277748">
        <w:rPr>
          <w:i/>
          <w:sz w:val="24"/>
          <w:szCs w:val="24"/>
        </w:rPr>
        <w:t xml:space="preserve"> J</w:t>
      </w:r>
      <w:r w:rsidR="00FE7454" w:rsidRPr="00277748">
        <w:rPr>
          <w:i/>
          <w:sz w:val="24"/>
          <w:szCs w:val="24"/>
        </w:rPr>
        <w:t>ournal of</w:t>
      </w:r>
      <w:r w:rsidRPr="00277748">
        <w:rPr>
          <w:i/>
          <w:sz w:val="24"/>
          <w:szCs w:val="24"/>
        </w:rPr>
        <w:t xml:space="preserve"> Hematol</w:t>
      </w:r>
      <w:r w:rsidR="00FE7454" w:rsidRPr="00277748">
        <w:rPr>
          <w:i/>
          <w:sz w:val="24"/>
          <w:szCs w:val="24"/>
        </w:rPr>
        <w:t>ogy</w:t>
      </w:r>
      <w:r w:rsidRPr="00277748">
        <w:rPr>
          <w:sz w:val="24"/>
          <w:szCs w:val="24"/>
        </w:rPr>
        <w:t>. 91(2):193-8.</w:t>
      </w:r>
      <w:r w:rsidR="009E5BBE" w:rsidRPr="00277748">
        <w:rPr>
          <w:sz w:val="24"/>
          <w:szCs w:val="24"/>
        </w:rPr>
        <w:t xml:space="preserve"> </w:t>
      </w:r>
      <w:proofErr w:type="spellStart"/>
      <w:proofErr w:type="gramStart"/>
      <w:r w:rsidR="009E5BBE" w:rsidRPr="00277748">
        <w:rPr>
          <w:sz w:val="24"/>
          <w:szCs w:val="24"/>
        </w:rPr>
        <w:t>doi</w:t>
      </w:r>
      <w:proofErr w:type="spellEnd"/>
      <w:proofErr w:type="gramEnd"/>
      <w:r w:rsidR="009E5BBE" w:rsidRPr="00277748">
        <w:rPr>
          <w:sz w:val="24"/>
          <w:szCs w:val="24"/>
        </w:rPr>
        <w:t>: 10.1002/ajh.24228</w:t>
      </w:r>
    </w:p>
    <w:p w14:paraId="75CF2E3E" w14:textId="0A93CBCA" w:rsidR="00B2500B" w:rsidRPr="00E1196F" w:rsidRDefault="00B2500B" w:rsidP="00E1196F">
      <w:pPr>
        <w:spacing w:after="120" w:line="240" w:lineRule="auto"/>
        <w:jc w:val="both"/>
        <w:rPr>
          <w:sz w:val="24"/>
          <w:szCs w:val="24"/>
        </w:rPr>
      </w:pPr>
      <w:r w:rsidRPr="00277748">
        <w:rPr>
          <w:sz w:val="24"/>
          <w:szCs w:val="24"/>
        </w:rPr>
        <w:t xml:space="preserve">Yan H, Wen L, Tan D, </w:t>
      </w:r>
      <w:r w:rsidRPr="00277748">
        <w:rPr>
          <w:i/>
          <w:sz w:val="24"/>
          <w:szCs w:val="24"/>
        </w:rPr>
        <w:t>et al</w:t>
      </w:r>
      <w:r w:rsidRPr="00277748">
        <w:rPr>
          <w:sz w:val="24"/>
          <w:szCs w:val="24"/>
        </w:rPr>
        <w:t xml:space="preserve">. (2017) Association of a cytarabine </w:t>
      </w:r>
      <w:proofErr w:type="spellStart"/>
      <w:r w:rsidRPr="00277748">
        <w:rPr>
          <w:sz w:val="24"/>
          <w:szCs w:val="24"/>
        </w:rPr>
        <w:t>chemosensitivity</w:t>
      </w:r>
      <w:proofErr w:type="spellEnd"/>
      <w:r w:rsidRPr="00277748">
        <w:rPr>
          <w:sz w:val="24"/>
          <w:szCs w:val="24"/>
        </w:rPr>
        <w:t xml:space="preserve"> related gene expression signature with survival in cytogenetically normal acute myeloid </w:t>
      </w:r>
      <w:proofErr w:type="spellStart"/>
      <w:r w:rsidRPr="00277748">
        <w:rPr>
          <w:sz w:val="24"/>
          <w:szCs w:val="24"/>
        </w:rPr>
        <w:t>leukemia</w:t>
      </w:r>
      <w:proofErr w:type="spellEnd"/>
      <w:r w:rsidRPr="00277748">
        <w:rPr>
          <w:sz w:val="24"/>
          <w:szCs w:val="24"/>
        </w:rPr>
        <w:t xml:space="preserve">. </w:t>
      </w:r>
      <w:proofErr w:type="spellStart"/>
      <w:r w:rsidRPr="00277748">
        <w:rPr>
          <w:i/>
          <w:sz w:val="24"/>
          <w:szCs w:val="24"/>
        </w:rPr>
        <w:t>Oncotarget</w:t>
      </w:r>
      <w:proofErr w:type="spellEnd"/>
      <w:r w:rsidRPr="00277748">
        <w:rPr>
          <w:sz w:val="24"/>
          <w:szCs w:val="24"/>
        </w:rPr>
        <w:t xml:space="preserve">.  8(1): 1529–1540. </w:t>
      </w:r>
      <w:proofErr w:type="spellStart"/>
      <w:proofErr w:type="gramStart"/>
      <w:r w:rsidRPr="00277748">
        <w:rPr>
          <w:sz w:val="24"/>
          <w:szCs w:val="24"/>
        </w:rPr>
        <w:t>doi</w:t>
      </w:r>
      <w:proofErr w:type="spellEnd"/>
      <w:proofErr w:type="gramEnd"/>
      <w:r w:rsidRPr="00277748">
        <w:rPr>
          <w:sz w:val="24"/>
          <w:szCs w:val="24"/>
        </w:rPr>
        <w:t>: 10.18632/oncotarget.13650</w:t>
      </w:r>
    </w:p>
    <w:p w14:paraId="447E2515" w14:textId="77777777" w:rsidR="00896425" w:rsidRDefault="00896425" w:rsidP="00C26F1E">
      <w:pPr>
        <w:spacing w:after="0" w:line="240" w:lineRule="auto"/>
        <w:jc w:val="both"/>
        <w:rPr>
          <w:rFonts w:cs="Arial"/>
          <w:sz w:val="24"/>
          <w:szCs w:val="24"/>
        </w:rPr>
      </w:pPr>
    </w:p>
    <w:p w14:paraId="36616EE5" w14:textId="77777777" w:rsidR="00896425" w:rsidRDefault="00896425" w:rsidP="00C26F1E">
      <w:pPr>
        <w:spacing w:after="0" w:line="240" w:lineRule="auto"/>
        <w:jc w:val="both"/>
        <w:rPr>
          <w:rFonts w:cs="Arial"/>
          <w:sz w:val="24"/>
          <w:szCs w:val="24"/>
        </w:rPr>
        <w:sectPr w:rsidR="00896425">
          <w:pgSz w:w="11906" w:h="16838"/>
          <w:pgMar w:top="1440" w:right="1440" w:bottom="1440" w:left="1440" w:header="708" w:footer="708" w:gutter="0"/>
          <w:cols w:space="708"/>
          <w:docGrid w:linePitch="360"/>
        </w:sectPr>
      </w:pPr>
    </w:p>
    <w:p w14:paraId="03FF0601" w14:textId="77777777" w:rsidR="00822E59" w:rsidRPr="00822E59" w:rsidRDefault="00822E59" w:rsidP="00822E59">
      <w:pPr>
        <w:spacing w:after="0" w:line="240" w:lineRule="auto"/>
        <w:jc w:val="both"/>
        <w:rPr>
          <w:b/>
          <w:sz w:val="24"/>
          <w:szCs w:val="24"/>
        </w:rPr>
      </w:pPr>
      <w:r w:rsidRPr="00822E59">
        <w:rPr>
          <w:b/>
          <w:sz w:val="24"/>
          <w:szCs w:val="24"/>
        </w:rPr>
        <w:lastRenderedPageBreak/>
        <w:t>Authorship contributions</w:t>
      </w:r>
    </w:p>
    <w:p w14:paraId="66F30306" w14:textId="77777777" w:rsidR="00941F58" w:rsidRDefault="00941F58" w:rsidP="00822E59">
      <w:pPr>
        <w:spacing w:after="0" w:line="240" w:lineRule="auto"/>
        <w:jc w:val="both"/>
        <w:rPr>
          <w:sz w:val="24"/>
          <w:szCs w:val="24"/>
        </w:rPr>
      </w:pPr>
    </w:p>
    <w:p w14:paraId="6995FDB9" w14:textId="7FE2F9AD" w:rsidR="00822E59" w:rsidRDefault="008841FB" w:rsidP="00822E59">
      <w:pPr>
        <w:spacing w:after="0" w:line="240" w:lineRule="auto"/>
        <w:jc w:val="both"/>
        <w:rPr>
          <w:b/>
          <w:sz w:val="24"/>
          <w:szCs w:val="24"/>
        </w:rPr>
      </w:pPr>
      <w:r>
        <w:rPr>
          <w:sz w:val="24"/>
          <w:szCs w:val="24"/>
        </w:rPr>
        <w:t>EA, AP, VS</w:t>
      </w:r>
      <w:r w:rsidR="000C7613">
        <w:rPr>
          <w:sz w:val="24"/>
          <w:szCs w:val="24"/>
        </w:rPr>
        <w:t>, RP</w:t>
      </w:r>
      <w:r>
        <w:rPr>
          <w:sz w:val="24"/>
          <w:szCs w:val="24"/>
        </w:rPr>
        <w:t xml:space="preserve"> &amp;</w:t>
      </w:r>
      <w:r w:rsidR="00822E59" w:rsidRPr="00822E59">
        <w:rPr>
          <w:sz w:val="24"/>
          <w:szCs w:val="24"/>
        </w:rPr>
        <w:t xml:space="preserve"> </w:t>
      </w:r>
      <w:r>
        <w:rPr>
          <w:sz w:val="24"/>
          <w:szCs w:val="24"/>
        </w:rPr>
        <w:t>P</w:t>
      </w:r>
      <w:r w:rsidR="006B6E5F">
        <w:rPr>
          <w:sz w:val="24"/>
          <w:szCs w:val="24"/>
        </w:rPr>
        <w:t>M</w:t>
      </w:r>
      <w:r>
        <w:rPr>
          <w:sz w:val="24"/>
          <w:szCs w:val="24"/>
        </w:rPr>
        <w:t xml:space="preserve"> designed the research. EA, BR,</w:t>
      </w:r>
      <w:r w:rsidR="00822E59" w:rsidRPr="00822E59">
        <w:rPr>
          <w:sz w:val="24"/>
          <w:szCs w:val="24"/>
        </w:rPr>
        <w:t xml:space="preserve"> </w:t>
      </w:r>
      <w:r w:rsidR="000C7613">
        <w:rPr>
          <w:sz w:val="24"/>
          <w:szCs w:val="24"/>
        </w:rPr>
        <w:t xml:space="preserve">EF, </w:t>
      </w:r>
      <w:r w:rsidR="00822E59" w:rsidRPr="00822E59">
        <w:rPr>
          <w:sz w:val="24"/>
          <w:szCs w:val="24"/>
        </w:rPr>
        <w:t>JH</w:t>
      </w:r>
      <w:r w:rsidRPr="008841FB">
        <w:rPr>
          <w:sz w:val="24"/>
          <w:szCs w:val="24"/>
          <w:vertAlign w:val="superscript"/>
        </w:rPr>
        <w:t>1</w:t>
      </w:r>
      <w:r>
        <w:rPr>
          <w:sz w:val="24"/>
          <w:szCs w:val="24"/>
        </w:rPr>
        <w:t xml:space="preserve"> &amp; JH</w:t>
      </w:r>
      <w:r w:rsidRPr="008841FB">
        <w:rPr>
          <w:sz w:val="24"/>
          <w:szCs w:val="24"/>
          <w:vertAlign w:val="superscript"/>
        </w:rPr>
        <w:t>2</w:t>
      </w:r>
      <w:r w:rsidR="00822E59" w:rsidRPr="00822E59">
        <w:rPr>
          <w:sz w:val="24"/>
          <w:szCs w:val="24"/>
        </w:rPr>
        <w:t xml:space="preserve"> performed the research. EA</w:t>
      </w:r>
      <w:r>
        <w:rPr>
          <w:sz w:val="24"/>
          <w:szCs w:val="24"/>
        </w:rPr>
        <w:t>, RG &amp;</w:t>
      </w:r>
      <w:r w:rsidR="00822E59" w:rsidRPr="00822E59">
        <w:rPr>
          <w:sz w:val="24"/>
          <w:szCs w:val="24"/>
        </w:rPr>
        <w:t xml:space="preserve"> PM analysed the data.</w:t>
      </w:r>
      <w:r w:rsidR="00822E59">
        <w:rPr>
          <w:sz w:val="24"/>
          <w:szCs w:val="24"/>
        </w:rPr>
        <w:t xml:space="preserve"> </w:t>
      </w:r>
      <w:r w:rsidR="00822E59" w:rsidRPr="00822E59">
        <w:rPr>
          <w:sz w:val="24"/>
          <w:szCs w:val="24"/>
        </w:rPr>
        <w:t>EA wrote the paper.</w:t>
      </w:r>
    </w:p>
    <w:p w14:paraId="3A33863D" w14:textId="77777777" w:rsidR="00822E59" w:rsidRDefault="00822E59" w:rsidP="00394FE2">
      <w:pPr>
        <w:spacing w:after="0" w:line="240" w:lineRule="auto"/>
        <w:jc w:val="both"/>
        <w:rPr>
          <w:b/>
          <w:sz w:val="24"/>
          <w:szCs w:val="24"/>
        </w:rPr>
      </w:pPr>
    </w:p>
    <w:p w14:paraId="65B19871" w14:textId="77777777" w:rsidR="007C35F8" w:rsidRDefault="007C35F8" w:rsidP="00394FE2">
      <w:pPr>
        <w:spacing w:after="0" w:line="240" w:lineRule="auto"/>
        <w:jc w:val="both"/>
        <w:rPr>
          <w:b/>
          <w:sz w:val="24"/>
          <w:szCs w:val="24"/>
        </w:rPr>
      </w:pPr>
      <w:r>
        <w:rPr>
          <w:b/>
          <w:sz w:val="24"/>
          <w:szCs w:val="24"/>
        </w:rPr>
        <w:t>Conflicts of interest</w:t>
      </w:r>
    </w:p>
    <w:p w14:paraId="75B5DF4B" w14:textId="77777777" w:rsidR="00941F58" w:rsidRDefault="00941F58" w:rsidP="00822E59">
      <w:pPr>
        <w:spacing w:after="0" w:line="240" w:lineRule="auto"/>
        <w:jc w:val="both"/>
        <w:rPr>
          <w:sz w:val="24"/>
          <w:szCs w:val="24"/>
        </w:rPr>
      </w:pPr>
    </w:p>
    <w:p w14:paraId="69320F6C" w14:textId="13C7DEAA" w:rsidR="00822E59" w:rsidRDefault="00822E59" w:rsidP="00822E59">
      <w:pPr>
        <w:spacing w:after="0" w:line="240" w:lineRule="auto"/>
        <w:jc w:val="both"/>
        <w:rPr>
          <w:sz w:val="24"/>
          <w:szCs w:val="24"/>
        </w:rPr>
      </w:pPr>
      <w:r w:rsidRPr="00822E59">
        <w:rPr>
          <w:sz w:val="24"/>
          <w:szCs w:val="24"/>
        </w:rPr>
        <w:t xml:space="preserve">This work was </w:t>
      </w:r>
      <w:r w:rsidR="00A5412B">
        <w:rPr>
          <w:sz w:val="24"/>
          <w:szCs w:val="24"/>
        </w:rPr>
        <w:t xml:space="preserve">funded </w:t>
      </w:r>
      <w:r w:rsidR="008841FB">
        <w:rPr>
          <w:sz w:val="24"/>
          <w:szCs w:val="24"/>
        </w:rPr>
        <w:t xml:space="preserve">by </w:t>
      </w:r>
      <w:r w:rsidR="00232581">
        <w:rPr>
          <w:sz w:val="24"/>
          <w:szCs w:val="24"/>
        </w:rPr>
        <w:t>a charitable grant from Above and</w:t>
      </w:r>
      <w:r w:rsidR="008841FB">
        <w:rPr>
          <w:sz w:val="24"/>
          <w:szCs w:val="24"/>
        </w:rPr>
        <w:t xml:space="preserve"> Beyond</w:t>
      </w:r>
      <w:r w:rsidR="00232581">
        <w:rPr>
          <w:sz w:val="24"/>
          <w:szCs w:val="24"/>
        </w:rPr>
        <w:t>, Bristol</w:t>
      </w:r>
      <w:r w:rsidR="008841FB">
        <w:rPr>
          <w:sz w:val="24"/>
          <w:szCs w:val="24"/>
        </w:rPr>
        <w:t>.</w:t>
      </w:r>
    </w:p>
    <w:p w14:paraId="63D3CC00" w14:textId="77777777" w:rsidR="005355C4" w:rsidRDefault="005355C4" w:rsidP="007C35F8">
      <w:pPr>
        <w:spacing w:after="0" w:line="240" w:lineRule="auto"/>
        <w:jc w:val="both"/>
        <w:rPr>
          <w:rFonts w:cs="Arial"/>
          <w:b/>
          <w:sz w:val="24"/>
          <w:szCs w:val="24"/>
        </w:rPr>
      </w:pPr>
    </w:p>
    <w:p w14:paraId="3D39AD67" w14:textId="3DECBC28" w:rsidR="007C35F8" w:rsidRDefault="007C35F8" w:rsidP="00394FE2">
      <w:pPr>
        <w:spacing w:after="0" w:line="240" w:lineRule="auto"/>
        <w:jc w:val="both"/>
        <w:rPr>
          <w:rFonts w:cs="Arial"/>
          <w:sz w:val="24"/>
          <w:szCs w:val="24"/>
        </w:rPr>
      </w:pPr>
      <w:r w:rsidRPr="00022711">
        <w:rPr>
          <w:rFonts w:cs="Arial"/>
          <w:b/>
          <w:sz w:val="24"/>
          <w:szCs w:val="24"/>
        </w:rPr>
        <w:t>Abbreviations:</w:t>
      </w:r>
      <w:r w:rsidRPr="00CC1B6C">
        <w:rPr>
          <w:rFonts w:cs="Arial"/>
          <w:sz w:val="24"/>
          <w:szCs w:val="24"/>
        </w:rPr>
        <w:t xml:space="preserve"> </w:t>
      </w:r>
      <w:proofErr w:type="spellStart"/>
      <w:r w:rsidRPr="00CC1B6C">
        <w:rPr>
          <w:rFonts w:cs="Arial"/>
          <w:sz w:val="24"/>
          <w:szCs w:val="24"/>
        </w:rPr>
        <w:t>ara</w:t>
      </w:r>
      <w:proofErr w:type="spellEnd"/>
      <w:r w:rsidRPr="00CC1B6C">
        <w:rPr>
          <w:rFonts w:cs="Arial"/>
          <w:sz w:val="24"/>
          <w:szCs w:val="24"/>
        </w:rPr>
        <w:t xml:space="preserve">-C, cytosine </w:t>
      </w:r>
      <w:proofErr w:type="spellStart"/>
      <w:r w:rsidRPr="00CC1B6C">
        <w:rPr>
          <w:rFonts w:cs="Arial"/>
          <w:sz w:val="24"/>
          <w:szCs w:val="24"/>
        </w:rPr>
        <w:t>arabinoside</w:t>
      </w:r>
      <w:proofErr w:type="spellEnd"/>
      <w:r w:rsidRPr="00CC1B6C">
        <w:rPr>
          <w:rFonts w:cs="Arial"/>
          <w:sz w:val="24"/>
          <w:szCs w:val="24"/>
        </w:rPr>
        <w:t xml:space="preserve">/cytarabine; </w:t>
      </w:r>
      <w:proofErr w:type="spellStart"/>
      <w:r w:rsidRPr="00CC1B6C">
        <w:rPr>
          <w:rFonts w:cs="Arial"/>
          <w:sz w:val="24"/>
          <w:szCs w:val="24"/>
        </w:rPr>
        <w:t>ar</w:t>
      </w:r>
      <w:r>
        <w:rPr>
          <w:rFonts w:cs="Arial"/>
          <w:sz w:val="24"/>
          <w:szCs w:val="24"/>
        </w:rPr>
        <w:t>a</w:t>
      </w:r>
      <w:proofErr w:type="spellEnd"/>
      <w:r>
        <w:rPr>
          <w:rFonts w:cs="Arial"/>
          <w:sz w:val="24"/>
          <w:szCs w:val="24"/>
        </w:rPr>
        <w:t xml:space="preserve">-CTP, cytosine </w:t>
      </w:r>
      <w:proofErr w:type="spellStart"/>
      <w:r>
        <w:rPr>
          <w:rFonts w:cs="Arial"/>
          <w:sz w:val="24"/>
          <w:szCs w:val="24"/>
        </w:rPr>
        <w:t>arabinoside</w:t>
      </w:r>
      <w:proofErr w:type="spellEnd"/>
      <w:r>
        <w:rPr>
          <w:rFonts w:cs="Arial"/>
          <w:sz w:val="24"/>
          <w:szCs w:val="24"/>
        </w:rPr>
        <w:t xml:space="preserve"> tri</w:t>
      </w:r>
      <w:r w:rsidRPr="00CC1B6C">
        <w:rPr>
          <w:rFonts w:cs="Arial"/>
          <w:sz w:val="24"/>
          <w:szCs w:val="24"/>
        </w:rPr>
        <w:t>phosphate;</w:t>
      </w:r>
      <w:r w:rsidR="002116E5">
        <w:rPr>
          <w:rFonts w:cs="Arial"/>
          <w:sz w:val="24"/>
          <w:szCs w:val="24"/>
        </w:rPr>
        <w:t xml:space="preserve"> SI%, sensitivity index; </w:t>
      </w:r>
      <w:proofErr w:type="spellStart"/>
      <w:r w:rsidR="002116E5">
        <w:rPr>
          <w:rFonts w:cs="Arial"/>
          <w:sz w:val="24"/>
          <w:szCs w:val="24"/>
        </w:rPr>
        <w:t>hENT</w:t>
      </w:r>
      <w:proofErr w:type="spellEnd"/>
      <w:r w:rsidR="002116E5">
        <w:rPr>
          <w:rFonts w:cs="Arial"/>
          <w:sz w:val="24"/>
          <w:szCs w:val="24"/>
        </w:rPr>
        <w:t xml:space="preserve">, human </w:t>
      </w:r>
      <w:proofErr w:type="spellStart"/>
      <w:r w:rsidR="002116E5">
        <w:rPr>
          <w:rFonts w:cs="Arial"/>
          <w:sz w:val="24"/>
          <w:szCs w:val="24"/>
        </w:rPr>
        <w:t>equil</w:t>
      </w:r>
      <w:r w:rsidR="00432A40">
        <w:rPr>
          <w:rFonts w:cs="Arial"/>
          <w:sz w:val="24"/>
          <w:szCs w:val="24"/>
        </w:rPr>
        <w:t>ibrative</w:t>
      </w:r>
      <w:proofErr w:type="spellEnd"/>
      <w:r w:rsidR="00432A40">
        <w:rPr>
          <w:rFonts w:cs="Arial"/>
          <w:sz w:val="24"/>
          <w:szCs w:val="24"/>
        </w:rPr>
        <w:t xml:space="preserve"> nucleoside transporter</w:t>
      </w:r>
      <w:r w:rsidR="00075501">
        <w:rPr>
          <w:rFonts w:cs="Arial"/>
          <w:sz w:val="24"/>
          <w:szCs w:val="24"/>
        </w:rPr>
        <w:t xml:space="preserve">; CR, complete remission (day 28); RD, residual disease; </w:t>
      </w:r>
      <w:proofErr w:type="spellStart"/>
      <w:r w:rsidR="00075501">
        <w:rPr>
          <w:rFonts w:cs="Arial"/>
          <w:sz w:val="24"/>
          <w:szCs w:val="24"/>
        </w:rPr>
        <w:t>C</w:t>
      </w:r>
      <w:r w:rsidR="00075501" w:rsidRPr="00075501">
        <w:rPr>
          <w:rFonts w:cs="Arial"/>
          <w:sz w:val="24"/>
          <w:szCs w:val="24"/>
          <w:vertAlign w:val="subscript"/>
        </w:rPr>
        <w:t>ss</w:t>
      </w:r>
      <w:proofErr w:type="spellEnd"/>
      <w:r w:rsidR="00075501">
        <w:rPr>
          <w:rFonts w:cs="Arial"/>
          <w:sz w:val="24"/>
          <w:szCs w:val="24"/>
        </w:rPr>
        <w:t xml:space="preserve">, steady-state concentration; </w:t>
      </w:r>
      <w:r w:rsidR="005603E5">
        <w:rPr>
          <w:rFonts w:cs="Arial"/>
          <w:sz w:val="24"/>
          <w:szCs w:val="24"/>
        </w:rPr>
        <w:t xml:space="preserve">AUC, area-under-the-curve; </w:t>
      </w:r>
      <w:r w:rsidR="0080391D">
        <w:rPr>
          <w:rFonts w:cs="Arial"/>
          <w:sz w:val="24"/>
          <w:szCs w:val="24"/>
        </w:rPr>
        <w:t>A, absorption; E, elimination;</w:t>
      </w:r>
      <w:r w:rsidR="00075501">
        <w:rPr>
          <w:rFonts w:cs="Arial"/>
          <w:sz w:val="24"/>
          <w:szCs w:val="24"/>
        </w:rPr>
        <w:t xml:space="preserve"> LD, low-dose</w:t>
      </w:r>
      <w:r w:rsidR="0080391D">
        <w:rPr>
          <w:rFonts w:cs="Arial"/>
          <w:sz w:val="24"/>
          <w:szCs w:val="24"/>
        </w:rPr>
        <w:t xml:space="preserve"> cytarabine</w:t>
      </w:r>
      <w:r w:rsidR="00075501">
        <w:rPr>
          <w:rFonts w:cs="Arial"/>
          <w:sz w:val="24"/>
          <w:szCs w:val="24"/>
        </w:rPr>
        <w:t>; SD, standard-dose</w:t>
      </w:r>
      <w:r w:rsidR="0080391D">
        <w:rPr>
          <w:rFonts w:cs="Arial"/>
          <w:sz w:val="24"/>
          <w:szCs w:val="24"/>
        </w:rPr>
        <w:t xml:space="preserve"> cytarabine</w:t>
      </w:r>
      <w:r w:rsidR="00075501">
        <w:rPr>
          <w:rFonts w:cs="Arial"/>
          <w:sz w:val="24"/>
          <w:szCs w:val="24"/>
        </w:rPr>
        <w:t>; HD, high-dose</w:t>
      </w:r>
      <w:r w:rsidR="0080391D">
        <w:rPr>
          <w:rFonts w:cs="Arial"/>
          <w:sz w:val="24"/>
          <w:szCs w:val="24"/>
        </w:rPr>
        <w:t xml:space="preserve"> cytarabine</w:t>
      </w:r>
      <w:r w:rsidR="005355C4">
        <w:rPr>
          <w:rFonts w:cs="Arial"/>
          <w:sz w:val="24"/>
          <w:szCs w:val="24"/>
        </w:rPr>
        <w:t>; LAIP, leukaemia-associated immunophenotype</w:t>
      </w:r>
      <w:r w:rsidR="00075501">
        <w:rPr>
          <w:rFonts w:cs="Arial"/>
          <w:sz w:val="24"/>
          <w:szCs w:val="24"/>
        </w:rPr>
        <w:t>.</w:t>
      </w:r>
    </w:p>
    <w:p w14:paraId="68BE11B2" w14:textId="77777777" w:rsidR="007C35F8" w:rsidRDefault="007C35F8" w:rsidP="00394FE2">
      <w:pPr>
        <w:spacing w:after="0" w:line="240" w:lineRule="auto"/>
        <w:jc w:val="both"/>
        <w:rPr>
          <w:b/>
          <w:sz w:val="24"/>
          <w:szCs w:val="24"/>
        </w:rPr>
      </w:pPr>
    </w:p>
    <w:p w14:paraId="72D0FFD3" w14:textId="77777777" w:rsidR="00375B57" w:rsidRDefault="00375B57" w:rsidP="00394FE2">
      <w:pPr>
        <w:spacing w:after="0" w:line="240" w:lineRule="auto"/>
        <w:jc w:val="both"/>
        <w:rPr>
          <w:b/>
          <w:sz w:val="24"/>
          <w:szCs w:val="24"/>
        </w:rPr>
        <w:sectPr w:rsidR="00375B57" w:rsidSect="0067403E">
          <w:pgSz w:w="11906" w:h="16838"/>
          <w:pgMar w:top="1440" w:right="1440" w:bottom="1440" w:left="1440" w:header="708" w:footer="708" w:gutter="0"/>
          <w:cols w:space="708"/>
          <w:docGrid w:linePitch="360"/>
        </w:sectPr>
      </w:pPr>
    </w:p>
    <w:p w14:paraId="5EB9CC3A" w14:textId="0E55209E" w:rsidR="007C35F8" w:rsidRDefault="00BC1CD9" w:rsidP="00394FE2">
      <w:pPr>
        <w:spacing w:after="0" w:line="240" w:lineRule="auto"/>
        <w:jc w:val="both"/>
        <w:rPr>
          <w:b/>
          <w:sz w:val="24"/>
          <w:szCs w:val="24"/>
        </w:rPr>
      </w:pPr>
      <w:r>
        <w:rPr>
          <w:b/>
          <w:sz w:val="24"/>
          <w:szCs w:val="24"/>
        </w:rPr>
        <w:lastRenderedPageBreak/>
        <w:t>Appendix</w:t>
      </w:r>
    </w:p>
    <w:p w14:paraId="1E974B75" w14:textId="77777777" w:rsidR="00941F58" w:rsidRDefault="00941F58" w:rsidP="00BC1CD9">
      <w:pPr>
        <w:spacing w:after="0" w:line="240" w:lineRule="auto"/>
        <w:jc w:val="both"/>
        <w:rPr>
          <w:sz w:val="24"/>
          <w:szCs w:val="24"/>
        </w:rPr>
      </w:pPr>
    </w:p>
    <w:p w14:paraId="03BCE809" w14:textId="5D4441A5" w:rsidR="00A5412B" w:rsidRDefault="007C35F8" w:rsidP="00BC1CD9">
      <w:pPr>
        <w:spacing w:after="0" w:line="240" w:lineRule="auto"/>
        <w:jc w:val="both"/>
        <w:rPr>
          <w:sz w:val="24"/>
          <w:szCs w:val="24"/>
        </w:rPr>
      </w:pPr>
      <w:r>
        <w:rPr>
          <w:sz w:val="24"/>
          <w:szCs w:val="24"/>
        </w:rPr>
        <w:t>Additional Supporting Information may be found in the</w:t>
      </w:r>
      <w:r w:rsidR="00BC1CD9">
        <w:rPr>
          <w:sz w:val="24"/>
          <w:szCs w:val="24"/>
        </w:rPr>
        <w:t xml:space="preserve"> online version of this article:</w:t>
      </w:r>
    </w:p>
    <w:p w14:paraId="4413E6EB" w14:textId="4B3F1CD0" w:rsidR="00BC1CD9" w:rsidRDefault="00BC1CD9" w:rsidP="00BC1CD9">
      <w:pPr>
        <w:spacing w:after="0" w:line="240" w:lineRule="auto"/>
        <w:jc w:val="both"/>
        <w:rPr>
          <w:sz w:val="24"/>
          <w:szCs w:val="24"/>
        </w:rPr>
      </w:pPr>
    </w:p>
    <w:p w14:paraId="4F412AA8" w14:textId="63C6EF26" w:rsidR="001D7DF9" w:rsidRDefault="000028F9" w:rsidP="00BC1CD9">
      <w:pPr>
        <w:spacing w:after="0" w:line="240" w:lineRule="auto"/>
        <w:jc w:val="both"/>
        <w:rPr>
          <w:sz w:val="24"/>
          <w:szCs w:val="24"/>
        </w:rPr>
      </w:pPr>
      <w:r>
        <w:object w:dxaOrig="16934" w:dyaOrig="6291" w14:anchorId="6A088E92">
          <v:shape id="_x0000_i1027" type="#_x0000_t75" style="width:451.5pt;height:168pt" o:ole="">
            <v:imagedata r:id="rId11" o:title=""/>
          </v:shape>
          <o:OLEObject Type="Embed" ProgID="Prism8.Document" ShapeID="_x0000_i1027" DrawAspect="Content" ObjectID="_1618041832" r:id="rId12"/>
        </w:object>
      </w:r>
    </w:p>
    <w:p w14:paraId="298EE56B" w14:textId="252D2281" w:rsidR="00A15B8A" w:rsidRDefault="001D7DF9" w:rsidP="001D7DF9">
      <w:pPr>
        <w:spacing w:after="0" w:line="240" w:lineRule="auto"/>
        <w:jc w:val="both"/>
        <w:rPr>
          <w:b/>
          <w:sz w:val="24"/>
          <w:szCs w:val="24"/>
        </w:rPr>
      </w:pPr>
      <w:r w:rsidRPr="001739EC">
        <w:rPr>
          <w:b/>
          <w:sz w:val="24"/>
          <w:szCs w:val="24"/>
        </w:rPr>
        <w:t>Fig</w:t>
      </w:r>
      <w:r>
        <w:rPr>
          <w:b/>
          <w:sz w:val="24"/>
          <w:szCs w:val="24"/>
        </w:rPr>
        <w:t>ure</w:t>
      </w:r>
      <w:r w:rsidRPr="001739EC">
        <w:rPr>
          <w:b/>
          <w:sz w:val="24"/>
          <w:szCs w:val="24"/>
        </w:rPr>
        <w:t xml:space="preserve"> </w:t>
      </w:r>
      <w:r>
        <w:rPr>
          <w:b/>
          <w:sz w:val="24"/>
          <w:szCs w:val="24"/>
        </w:rPr>
        <w:t>A.1</w:t>
      </w:r>
      <w:r w:rsidRPr="001739EC">
        <w:rPr>
          <w:b/>
          <w:sz w:val="24"/>
          <w:szCs w:val="24"/>
        </w:rPr>
        <w:t>:</w:t>
      </w:r>
      <w:r>
        <w:rPr>
          <w:b/>
          <w:sz w:val="24"/>
          <w:szCs w:val="24"/>
        </w:rPr>
        <w:t xml:space="preserve"> (A) Feasibility of</w:t>
      </w:r>
      <w:r w:rsidRPr="001739EC">
        <w:rPr>
          <w:b/>
          <w:sz w:val="24"/>
          <w:szCs w:val="24"/>
        </w:rPr>
        <w:t xml:space="preserve"> standard-of care and LAIP assessments per time-point</w:t>
      </w:r>
      <w:r>
        <w:rPr>
          <w:b/>
          <w:sz w:val="24"/>
          <w:szCs w:val="24"/>
        </w:rPr>
        <w:t xml:space="preserve"> (as % of total cohort)</w:t>
      </w:r>
      <w:r w:rsidRPr="001739EC">
        <w:rPr>
          <w:b/>
          <w:sz w:val="24"/>
          <w:szCs w:val="24"/>
        </w:rPr>
        <w:t xml:space="preserve">, </w:t>
      </w:r>
      <w:r>
        <w:rPr>
          <w:b/>
          <w:sz w:val="24"/>
          <w:szCs w:val="24"/>
        </w:rPr>
        <w:t>and (B</w:t>
      </w:r>
      <w:r w:rsidRPr="001739EC">
        <w:rPr>
          <w:b/>
          <w:sz w:val="24"/>
          <w:szCs w:val="24"/>
        </w:rPr>
        <w:t xml:space="preserve">) example </w:t>
      </w:r>
      <w:proofErr w:type="spellStart"/>
      <w:r w:rsidRPr="001739EC">
        <w:rPr>
          <w:b/>
          <w:sz w:val="24"/>
          <w:szCs w:val="24"/>
        </w:rPr>
        <w:t>ara</w:t>
      </w:r>
      <w:proofErr w:type="spellEnd"/>
      <w:r w:rsidRPr="001739EC">
        <w:rPr>
          <w:b/>
          <w:sz w:val="24"/>
          <w:szCs w:val="24"/>
        </w:rPr>
        <w:t>-CTP standard curve for biosensor HA1</w:t>
      </w:r>
      <w:r>
        <w:rPr>
          <w:b/>
          <w:sz w:val="24"/>
          <w:szCs w:val="24"/>
        </w:rPr>
        <w:t>.</w:t>
      </w:r>
      <w:r w:rsidR="000E20EE" w:rsidRPr="000E20EE">
        <w:rPr>
          <w:sz w:val="24"/>
          <w:szCs w:val="24"/>
        </w:rPr>
        <w:t xml:space="preserve"> </w:t>
      </w:r>
      <w:r w:rsidR="00DE34A4">
        <w:rPr>
          <w:sz w:val="24"/>
          <w:szCs w:val="24"/>
        </w:rPr>
        <w:t xml:space="preserve">(A) </w:t>
      </w:r>
      <w:r w:rsidR="000E20EE" w:rsidRPr="001739EC">
        <w:rPr>
          <w:sz w:val="24"/>
          <w:szCs w:val="24"/>
        </w:rPr>
        <w:t xml:space="preserve">Haematology, clinical chemistry and day </w:t>
      </w:r>
      <w:r w:rsidR="000E20EE">
        <w:rPr>
          <w:sz w:val="24"/>
          <w:szCs w:val="24"/>
        </w:rPr>
        <w:t>28 flow cytometry were standard-of-</w:t>
      </w:r>
      <w:r w:rsidR="000E20EE" w:rsidRPr="001739EC">
        <w:rPr>
          <w:sz w:val="24"/>
          <w:szCs w:val="24"/>
        </w:rPr>
        <w:t>care. LAIP, leukaemia-associated immunophenotype assessed by flow cytometr</w:t>
      </w:r>
      <w:r w:rsidR="000E20EE">
        <w:rPr>
          <w:sz w:val="24"/>
          <w:szCs w:val="24"/>
        </w:rPr>
        <w:t>y (% of total nucleated cells).</w:t>
      </w:r>
      <w:r w:rsidR="00DE34A4" w:rsidRPr="00DE34A4">
        <w:rPr>
          <w:sz w:val="24"/>
          <w:szCs w:val="24"/>
        </w:rPr>
        <w:t xml:space="preserve"> </w:t>
      </w:r>
      <w:r w:rsidR="00DE34A4">
        <w:rPr>
          <w:sz w:val="24"/>
          <w:szCs w:val="24"/>
        </w:rPr>
        <w:t xml:space="preserve">(B) </w:t>
      </w:r>
      <w:proofErr w:type="spellStart"/>
      <w:r w:rsidR="00DE34A4">
        <w:rPr>
          <w:sz w:val="24"/>
          <w:szCs w:val="24"/>
        </w:rPr>
        <w:t>Ara</w:t>
      </w:r>
      <w:proofErr w:type="spellEnd"/>
      <w:r w:rsidR="00DE34A4">
        <w:rPr>
          <w:sz w:val="24"/>
          <w:szCs w:val="24"/>
        </w:rPr>
        <w:t>-CTP s</w:t>
      </w:r>
      <w:r w:rsidR="00DE34A4" w:rsidRPr="001739EC">
        <w:rPr>
          <w:sz w:val="24"/>
          <w:szCs w:val="24"/>
        </w:rPr>
        <w:t>tandard curve produced as per</w:t>
      </w:r>
      <w:r w:rsidR="00DE34A4">
        <w:rPr>
          <w:sz w:val="24"/>
          <w:szCs w:val="24"/>
        </w:rPr>
        <w:t xml:space="preserve"> Methods section</w:t>
      </w:r>
      <w:r w:rsidR="00146D86">
        <w:rPr>
          <w:sz w:val="24"/>
          <w:szCs w:val="24"/>
        </w:rPr>
        <w:t xml:space="preserve"> (equivalent to </w:t>
      </w:r>
      <w:r w:rsidR="00146D86">
        <w:rPr>
          <w:rFonts w:cs="Arial"/>
          <w:sz w:val="24"/>
          <w:szCs w:val="24"/>
        </w:rPr>
        <w:t>0-242 ng/mL)</w:t>
      </w:r>
      <w:r w:rsidR="00DE34A4">
        <w:rPr>
          <w:sz w:val="24"/>
          <w:szCs w:val="24"/>
        </w:rPr>
        <w:t>.</w:t>
      </w:r>
    </w:p>
    <w:p w14:paraId="664936C6" w14:textId="77777777" w:rsidR="001D7DF9" w:rsidRDefault="001D7DF9" w:rsidP="001D7DF9">
      <w:pPr>
        <w:spacing w:after="0" w:line="240" w:lineRule="auto"/>
        <w:jc w:val="both"/>
        <w:rPr>
          <w:sz w:val="24"/>
        </w:rPr>
      </w:pPr>
    </w:p>
    <w:p w14:paraId="1C02AF45" w14:textId="77777777" w:rsidR="000E20EE" w:rsidRDefault="000E20EE" w:rsidP="000E20EE">
      <w:pPr>
        <w:spacing w:after="0" w:line="240" w:lineRule="auto"/>
        <w:jc w:val="both"/>
        <w:rPr>
          <w:b/>
          <w:sz w:val="24"/>
          <w:szCs w:val="24"/>
        </w:rPr>
        <w:sectPr w:rsidR="000E20EE" w:rsidSect="00A15B8A">
          <w:pgSz w:w="11906" w:h="16838"/>
          <w:pgMar w:top="1440" w:right="1440" w:bottom="1440" w:left="1440" w:header="708" w:footer="708" w:gutter="0"/>
          <w:cols w:space="708"/>
          <w:docGrid w:linePitch="360"/>
        </w:sectPr>
      </w:pPr>
    </w:p>
    <w:p w14:paraId="3027A097" w14:textId="3FAE0905" w:rsidR="00A15B8A" w:rsidRDefault="00A15B8A" w:rsidP="00BC1CD9">
      <w:pPr>
        <w:spacing w:after="0" w:line="240" w:lineRule="auto"/>
        <w:jc w:val="both"/>
        <w:rPr>
          <w:sz w:val="24"/>
          <w:szCs w:val="24"/>
        </w:rPr>
      </w:pPr>
    </w:p>
    <w:p w14:paraId="09E2D917" w14:textId="7A10726B" w:rsidR="00BC1CD9" w:rsidRDefault="00BC1CD9" w:rsidP="00BC1CD9">
      <w:pPr>
        <w:jc w:val="both"/>
        <w:rPr>
          <w:b/>
          <w:sz w:val="24"/>
          <w:szCs w:val="24"/>
        </w:rPr>
      </w:pPr>
    </w:p>
    <w:tbl>
      <w:tblPr>
        <w:tblW w:w="14422" w:type="dxa"/>
        <w:tblInd w:w="-142" w:type="dxa"/>
        <w:tblLook w:val="04A0" w:firstRow="1" w:lastRow="0" w:firstColumn="1" w:lastColumn="0" w:noHBand="0" w:noVBand="1"/>
      </w:tblPr>
      <w:tblGrid>
        <w:gridCol w:w="1928"/>
        <w:gridCol w:w="1360"/>
        <w:gridCol w:w="1360"/>
        <w:gridCol w:w="1360"/>
        <w:gridCol w:w="1360"/>
        <w:gridCol w:w="1360"/>
        <w:gridCol w:w="1360"/>
        <w:gridCol w:w="1360"/>
        <w:gridCol w:w="1394"/>
        <w:gridCol w:w="1580"/>
      </w:tblGrid>
      <w:tr w:rsidR="00375B57" w:rsidRPr="00375B57" w14:paraId="50A90C68" w14:textId="77777777" w:rsidTr="00911952">
        <w:trPr>
          <w:trHeight w:val="600"/>
        </w:trPr>
        <w:tc>
          <w:tcPr>
            <w:tcW w:w="1928" w:type="dxa"/>
            <w:tcBorders>
              <w:top w:val="nil"/>
              <w:left w:val="nil"/>
              <w:bottom w:val="nil"/>
              <w:right w:val="nil"/>
            </w:tcBorders>
            <w:shd w:val="clear" w:color="auto" w:fill="auto"/>
            <w:vAlign w:val="bottom"/>
            <w:hideMark/>
          </w:tcPr>
          <w:p w14:paraId="7F788546" w14:textId="77777777" w:rsidR="00375B57" w:rsidRPr="00375B57" w:rsidRDefault="00375B57" w:rsidP="00375B57">
            <w:pPr>
              <w:spacing w:after="0" w:line="240" w:lineRule="auto"/>
              <w:rPr>
                <w:rFonts w:ascii="Times New Roman" w:eastAsia="Times New Roman" w:hAnsi="Times New Roman" w:cs="Times New Roman"/>
                <w:sz w:val="24"/>
                <w:szCs w:val="24"/>
                <w:lang w:eastAsia="en-GB"/>
              </w:rPr>
            </w:pPr>
          </w:p>
        </w:tc>
        <w:tc>
          <w:tcPr>
            <w:tcW w:w="952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D9DC7E3" w14:textId="2BB82BFE" w:rsidR="00375B57" w:rsidRPr="00375B57" w:rsidRDefault="000272DD" w:rsidP="00375B5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Lysate produced (1) or no lysate produced (0)</w:t>
            </w:r>
          </w:p>
        </w:tc>
        <w:tc>
          <w:tcPr>
            <w:tcW w:w="1394" w:type="dxa"/>
            <w:tcBorders>
              <w:top w:val="single" w:sz="4" w:space="0" w:color="auto"/>
              <w:left w:val="nil"/>
              <w:bottom w:val="single" w:sz="4" w:space="0" w:color="auto"/>
              <w:right w:val="nil"/>
            </w:tcBorders>
            <w:shd w:val="clear" w:color="auto" w:fill="auto"/>
            <w:vAlign w:val="bottom"/>
            <w:hideMark/>
          </w:tcPr>
          <w:p w14:paraId="390A3A3D"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Quantitation</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909C7"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Flow cytometry (day 0 vs 28)</w:t>
            </w:r>
          </w:p>
        </w:tc>
      </w:tr>
      <w:tr w:rsidR="00375B57" w:rsidRPr="00375B57" w14:paraId="2A3E244B" w14:textId="77777777" w:rsidTr="00911952">
        <w:trPr>
          <w:trHeight w:val="315"/>
        </w:trPr>
        <w:tc>
          <w:tcPr>
            <w:tcW w:w="1928" w:type="dxa"/>
            <w:tcBorders>
              <w:top w:val="single" w:sz="4" w:space="0" w:color="auto"/>
              <w:left w:val="single" w:sz="4" w:space="0" w:color="auto"/>
              <w:bottom w:val="single" w:sz="4" w:space="0" w:color="auto"/>
              <w:right w:val="nil"/>
            </w:tcBorders>
            <w:shd w:val="clear" w:color="auto" w:fill="auto"/>
            <w:vAlign w:val="bottom"/>
            <w:hideMark/>
          </w:tcPr>
          <w:p w14:paraId="004DC7F4"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Patient ID</w:t>
            </w:r>
          </w:p>
        </w:tc>
        <w:tc>
          <w:tcPr>
            <w:tcW w:w="1360" w:type="dxa"/>
            <w:tcBorders>
              <w:top w:val="nil"/>
              <w:left w:val="single" w:sz="4" w:space="0" w:color="auto"/>
              <w:bottom w:val="single" w:sz="4" w:space="0" w:color="auto"/>
              <w:right w:val="nil"/>
            </w:tcBorders>
            <w:shd w:val="clear" w:color="auto" w:fill="auto"/>
            <w:vAlign w:val="bottom"/>
            <w:hideMark/>
          </w:tcPr>
          <w:p w14:paraId="42FC8AC5"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w:t>
            </w:r>
          </w:p>
        </w:tc>
        <w:tc>
          <w:tcPr>
            <w:tcW w:w="1360" w:type="dxa"/>
            <w:tcBorders>
              <w:top w:val="nil"/>
              <w:left w:val="nil"/>
              <w:bottom w:val="single" w:sz="4" w:space="0" w:color="auto"/>
              <w:right w:val="nil"/>
            </w:tcBorders>
            <w:shd w:val="clear" w:color="auto" w:fill="auto"/>
            <w:vAlign w:val="bottom"/>
            <w:hideMark/>
          </w:tcPr>
          <w:p w14:paraId="6D648B12"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w:t>
            </w:r>
          </w:p>
        </w:tc>
        <w:tc>
          <w:tcPr>
            <w:tcW w:w="1360" w:type="dxa"/>
            <w:tcBorders>
              <w:top w:val="nil"/>
              <w:left w:val="nil"/>
              <w:bottom w:val="single" w:sz="4" w:space="0" w:color="auto"/>
              <w:right w:val="nil"/>
            </w:tcBorders>
            <w:shd w:val="clear" w:color="auto" w:fill="auto"/>
            <w:vAlign w:val="bottom"/>
            <w:hideMark/>
          </w:tcPr>
          <w:p w14:paraId="45382228"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t=8</w:t>
            </w:r>
          </w:p>
        </w:tc>
        <w:tc>
          <w:tcPr>
            <w:tcW w:w="1360" w:type="dxa"/>
            <w:tcBorders>
              <w:top w:val="nil"/>
              <w:left w:val="nil"/>
              <w:bottom w:val="single" w:sz="4" w:space="0" w:color="auto"/>
              <w:right w:val="nil"/>
            </w:tcBorders>
            <w:shd w:val="clear" w:color="auto" w:fill="auto"/>
            <w:vAlign w:val="bottom"/>
            <w:hideMark/>
          </w:tcPr>
          <w:p w14:paraId="158332AC"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t=12</w:t>
            </w:r>
          </w:p>
        </w:tc>
        <w:tc>
          <w:tcPr>
            <w:tcW w:w="1360" w:type="dxa"/>
            <w:tcBorders>
              <w:top w:val="nil"/>
              <w:left w:val="nil"/>
              <w:bottom w:val="single" w:sz="4" w:space="0" w:color="auto"/>
              <w:right w:val="nil"/>
            </w:tcBorders>
            <w:shd w:val="clear" w:color="auto" w:fill="auto"/>
            <w:vAlign w:val="bottom"/>
            <w:hideMark/>
          </w:tcPr>
          <w:p w14:paraId="653BB7AA"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t=24</w:t>
            </w:r>
          </w:p>
        </w:tc>
        <w:tc>
          <w:tcPr>
            <w:tcW w:w="1360" w:type="dxa"/>
            <w:tcBorders>
              <w:top w:val="nil"/>
              <w:left w:val="nil"/>
              <w:bottom w:val="single" w:sz="4" w:space="0" w:color="auto"/>
              <w:right w:val="nil"/>
            </w:tcBorders>
            <w:shd w:val="clear" w:color="auto" w:fill="auto"/>
            <w:vAlign w:val="bottom"/>
            <w:hideMark/>
          </w:tcPr>
          <w:p w14:paraId="3F01E407"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t=48</w:t>
            </w:r>
          </w:p>
        </w:tc>
        <w:tc>
          <w:tcPr>
            <w:tcW w:w="1360" w:type="dxa"/>
            <w:tcBorders>
              <w:top w:val="nil"/>
              <w:left w:val="nil"/>
              <w:bottom w:val="single" w:sz="4" w:space="0" w:color="auto"/>
              <w:right w:val="single" w:sz="4" w:space="0" w:color="auto"/>
            </w:tcBorders>
            <w:shd w:val="clear" w:color="auto" w:fill="auto"/>
            <w:vAlign w:val="bottom"/>
            <w:hideMark/>
          </w:tcPr>
          <w:p w14:paraId="4695B044"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t=72</w:t>
            </w:r>
          </w:p>
        </w:tc>
        <w:tc>
          <w:tcPr>
            <w:tcW w:w="1394" w:type="dxa"/>
            <w:tcBorders>
              <w:top w:val="nil"/>
              <w:left w:val="nil"/>
              <w:bottom w:val="single" w:sz="4" w:space="0" w:color="auto"/>
              <w:right w:val="nil"/>
            </w:tcBorders>
            <w:shd w:val="clear" w:color="auto" w:fill="auto"/>
            <w:vAlign w:val="bottom"/>
            <w:hideMark/>
          </w:tcPr>
          <w:p w14:paraId="779804BB"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AUC</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14:paraId="1DFA6695" w14:textId="77777777" w:rsidR="00375B57" w:rsidRPr="005B3BFD" w:rsidRDefault="00375B57" w:rsidP="00375B57">
            <w:pPr>
              <w:spacing w:after="0" w:line="240" w:lineRule="auto"/>
              <w:rPr>
                <w:rFonts w:ascii="Calibri" w:eastAsia="Times New Roman" w:hAnsi="Calibri" w:cs="Calibri"/>
                <w:b/>
                <w:bCs/>
                <w:sz w:val="20"/>
                <w:szCs w:val="20"/>
                <w:lang w:eastAsia="en-GB"/>
              </w:rPr>
            </w:pPr>
            <w:r w:rsidRPr="005B3BFD">
              <w:rPr>
                <w:rFonts w:ascii="Calibri" w:eastAsia="Times New Roman" w:hAnsi="Calibri" w:cs="Calibri"/>
                <w:b/>
                <w:bCs/>
                <w:szCs w:val="20"/>
                <w:lang w:eastAsia="en-GB"/>
              </w:rPr>
              <w:t>log10 reduction</w:t>
            </w:r>
          </w:p>
        </w:tc>
      </w:tr>
      <w:tr w:rsidR="00375B57" w:rsidRPr="00375B57" w14:paraId="361E05F0"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2D0313A2"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w:t>
            </w:r>
          </w:p>
        </w:tc>
        <w:tc>
          <w:tcPr>
            <w:tcW w:w="1360" w:type="dxa"/>
            <w:tcBorders>
              <w:top w:val="nil"/>
              <w:left w:val="single" w:sz="4" w:space="0" w:color="auto"/>
              <w:bottom w:val="nil"/>
              <w:right w:val="nil"/>
            </w:tcBorders>
            <w:shd w:val="clear" w:color="auto" w:fill="auto"/>
            <w:noWrap/>
            <w:vAlign w:val="bottom"/>
            <w:hideMark/>
          </w:tcPr>
          <w:p w14:paraId="6A150524" w14:textId="294A44A3"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373275F" w14:textId="77F2846F"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3BA3391" w14:textId="7278273A" w:rsidR="00375B57" w:rsidRPr="00375B57" w:rsidRDefault="00375B57" w:rsidP="00F61C0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0959032B" w14:textId="571889EB"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6DB32A8" w14:textId="7BB755D7"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12332D0D" w14:textId="1C2F3F66"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50541347" w14:textId="3A598A84"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nil"/>
              <w:bottom w:val="nil"/>
              <w:right w:val="nil"/>
            </w:tcBorders>
            <w:shd w:val="clear" w:color="auto" w:fill="auto"/>
            <w:noWrap/>
            <w:vAlign w:val="bottom"/>
            <w:hideMark/>
          </w:tcPr>
          <w:p w14:paraId="4474768A" w14:textId="5BC0E2F6" w:rsidR="00375B57" w:rsidRPr="000F0D81" w:rsidRDefault="00896D70" w:rsidP="00375B57">
            <w:pPr>
              <w:spacing w:after="0" w:line="240" w:lineRule="auto"/>
              <w:rPr>
                <w:rFonts w:eastAsia="Times New Roman" w:cstheme="minorHAnsi"/>
                <w:lang w:eastAsia="en-GB"/>
              </w:rPr>
            </w:pPr>
            <w:r>
              <w:rPr>
                <w:rFonts w:eastAsia="Times New Roman" w:cstheme="minorHAnsi"/>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42F46D9D" w14:textId="44AB0490"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10D5F4F5"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38D6A33A"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3</w:t>
            </w:r>
          </w:p>
        </w:tc>
        <w:tc>
          <w:tcPr>
            <w:tcW w:w="1360" w:type="dxa"/>
            <w:tcBorders>
              <w:top w:val="nil"/>
              <w:left w:val="single" w:sz="4" w:space="0" w:color="auto"/>
              <w:bottom w:val="nil"/>
              <w:right w:val="nil"/>
            </w:tcBorders>
            <w:shd w:val="clear" w:color="auto" w:fill="auto"/>
            <w:noWrap/>
            <w:vAlign w:val="bottom"/>
            <w:hideMark/>
          </w:tcPr>
          <w:p w14:paraId="1D40B626" w14:textId="117E03ED"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56988D9F" w14:textId="79CAF7B5"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357DE0FB" w14:textId="0E8DA89A"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392CDD51" w14:textId="75E92B96" w:rsidR="00375B57" w:rsidRPr="00375B57" w:rsidRDefault="00375B57" w:rsidP="00896D70">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093347FE" w14:textId="41F390D8" w:rsidR="00375B57" w:rsidRPr="00375B57" w:rsidRDefault="00896D70" w:rsidP="00896D7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0F5D8D67" w14:textId="3A22D338" w:rsidR="00375B57" w:rsidRPr="00375B57" w:rsidRDefault="00375B57" w:rsidP="00896D70">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60" w:type="dxa"/>
            <w:tcBorders>
              <w:top w:val="nil"/>
              <w:left w:val="nil"/>
              <w:bottom w:val="nil"/>
              <w:right w:val="single" w:sz="4" w:space="0" w:color="auto"/>
            </w:tcBorders>
            <w:shd w:val="clear" w:color="auto" w:fill="auto"/>
            <w:noWrap/>
            <w:vAlign w:val="bottom"/>
            <w:hideMark/>
          </w:tcPr>
          <w:p w14:paraId="13066FC1" w14:textId="55B0DE13" w:rsidR="00375B57" w:rsidRPr="00375B57" w:rsidRDefault="00375B57" w:rsidP="00896D70">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r w:rsidR="000B31BC">
              <w:rPr>
                <w:rFonts w:ascii="Calibri" w:eastAsia="Times New Roman" w:hAnsi="Calibri" w:cs="Calibri"/>
                <w:color w:val="000000"/>
                <w:lang w:eastAsia="en-GB"/>
              </w:rPr>
              <w:t>*</w:t>
            </w:r>
          </w:p>
        </w:tc>
        <w:tc>
          <w:tcPr>
            <w:tcW w:w="1394" w:type="dxa"/>
            <w:tcBorders>
              <w:top w:val="nil"/>
              <w:left w:val="nil"/>
              <w:bottom w:val="nil"/>
              <w:right w:val="nil"/>
            </w:tcBorders>
            <w:shd w:val="clear" w:color="auto" w:fill="auto"/>
            <w:noWrap/>
            <w:vAlign w:val="bottom"/>
            <w:hideMark/>
          </w:tcPr>
          <w:p w14:paraId="78F9EF97" w14:textId="72144FA3" w:rsidR="00375B57" w:rsidRPr="000F0D81" w:rsidRDefault="00F40DB2" w:rsidP="00375B57">
            <w:pPr>
              <w:spacing w:after="0" w:line="240" w:lineRule="auto"/>
              <w:rPr>
                <w:rFonts w:eastAsia="Times New Roman" w:cstheme="minorHAnsi"/>
                <w:color w:val="000000"/>
                <w:lang w:eastAsia="en-GB"/>
              </w:rPr>
            </w:pPr>
            <w:r>
              <w:rPr>
                <w:rFonts w:eastAsia="Times New Roman" w:cstheme="minorHAnsi"/>
                <w:color w:val="000000"/>
                <w:lang w:eastAsia="en-GB"/>
              </w:rPr>
              <w:t>0</w:t>
            </w:r>
          </w:p>
        </w:tc>
        <w:tc>
          <w:tcPr>
            <w:tcW w:w="1580" w:type="dxa"/>
            <w:tcBorders>
              <w:top w:val="nil"/>
              <w:left w:val="single" w:sz="4" w:space="0" w:color="auto"/>
              <w:bottom w:val="nil"/>
              <w:right w:val="single" w:sz="4" w:space="0" w:color="auto"/>
            </w:tcBorders>
            <w:shd w:val="clear" w:color="auto" w:fill="auto"/>
            <w:noWrap/>
            <w:vAlign w:val="bottom"/>
            <w:hideMark/>
          </w:tcPr>
          <w:p w14:paraId="276961B4" w14:textId="3AE9466D"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48F42331"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7B23282D"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7</w:t>
            </w:r>
          </w:p>
        </w:tc>
        <w:tc>
          <w:tcPr>
            <w:tcW w:w="1360" w:type="dxa"/>
            <w:tcBorders>
              <w:top w:val="nil"/>
              <w:left w:val="single" w:sz="4" w:space="0" w:color="auto"/>
              <w:bottom w:val="nil"/>
              <w:right w:val="nil"/>
            </w:tcBorders>
            <w:shd w:val="clear" w:color="auto" w:fill="auto"/>
            <w:noWrap/>
            <w:vAlign w:val="bottom"/>
            <w:hideMark/>
          </w:tcPr>
          <w:p w14:paraId="0EC94A00" w14:textId="0ACBEB58"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5B289B05" w14:textId="62D191C4"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FCFF16C" w14:textId="1CF1E076"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276D9793" w14:textId="7BC7B309" w:rsidR="00375B57" w:rsidRPr="00375B57" w:rsidRDefault="00F61C07" w:rsidP="00F61C0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325CA5FD" w14:textId="39C07343"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2758AE9B" w14:textId="0EAE9E62"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single" w:sz="4" w:space="0" w:color="auto"/>
            </w:tcBorders>
            <w:shd w:val="clear" w:color="auto" w:fill="auto"/>
            <w:noWrap/>
            <w:vAlign w:val="bottom"/>
            <w:hideMark/>
          </w:tcPr>
          <w:p w14:paraId="102F4608" w14:textId="58B13338"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nil"/>
              <w:right w:val="nil"/>
            </w:tcBorders>
            <w:shd w:val="clear" w:color="auto" w:fill="auto"/>
            <w:noWrap/>
            <w:vAlign w:val="bottom"/>
            <w:hideMark/>
          </w:tcPr>
          <w:p w14:paraId="009E4C98" w14:textId="6D3D888D" w:rsidR="00375B57" w:rsidRPr="000F0D81" w:rsidRDefault="00896D70" w:rsidP="00375B57">
            <w:pPr>
              <w:spacing w:after="0" w:line="240" w:lineRule="auto"/>
              <w:rPr>
                <w:rFonts w:eastAsia="Times New Roman" w:cstheme="minorHAnsi"/>
                <w:lang w:eastAsia="en-GB"/>
              </w:rPr>
            </w:pPr>
            <w:r>
              <w:rPr>
                <w:rFonts w:eastAsia="Times New Roman" w:cstheme="minorHAnsi"/>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53ED12B9" w14:textId="7E569A0B"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0790B88E"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58F6E7E4" w14:textId="77777777" w:rsidR="00375B57" w:rsidRPr="00176575" w:rsidRDefault="00375B57"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10</w:t>
            </w:r>
          </w:p>
        </w:tc>
        <w:tc>
          <w:tcPr>
            <w:tcW w:w="1360" w:type="dxa"/>
            <w:tcBorders>
              <w:top w:val="nil"/>
              <w:left w:val="single" w:sz="4" w:space="0" w:color="auto"/>
              <w:bottom w:val="nil"/>
              <w:right w:val="nil"/>
            </w:tcBorders>
            <w:shd w:val="clear" w:color="auto" w:fill="auto"/>
            <w:noWrap/>
            <w:vAlign w:val="bottom"/>
            <w:hideMark/>
          </w:tcPr>
          <w:p w14:paraId="132AEE8C" w14:textId="5AADFF1D" w:rsidR="00375B57" w:rsidRPr="00176575" w:rsidRDefault="00F61C07" w:rsidP="00F61C0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710E26BB" w14:textId="2DBE0AE8"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6F0C4C7" w14:textId="37025387" w:rsidR="00375B57" w:rsidRPr="00176575"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C9138E"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1DB9CF0D" w14:textId="38CE296D"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7C48E782" w14:textId="6C2D076E"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13E65280" w14:textId="53E2498E"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05F7BE1D" w14:textId="1FFD5D40" w:rsidR="00375B57" w:rsidRPr="001B60AF" w:rsidRDefault="00F61C07" w:rsidP="00375B57">
            <w:pPr>
              <w:spacing w:after="0" w:line="240" w:lineRule="auto"/>
              <w:rPr>
                <w:rFonts w:ascii="Calibri" w:eastAsia="Times New Roman" w:hAnsi="Calibri" w:cs="Calibri"/>
                <w:color w:val="000000"/>
                <w:highlight w:val="yellow"/>
                <w:lang w:eastAsia="en-GB"/>
              </w:rPr>
            </w:pPr>
            <w:r>
              <w:rPr>
                <w:rFonts w:ascii="Calibri" w:eastAsia="Times New Roman" w:hAnsi="Calibri" w:cs="Calibri"/>
                <w:color w:val="000000"/>
                <w:lang w:eastAsia="en-GB"/>
              </w:rPr>
              <w:t>0</w:t>
            </w:r>
          </w:p>
        </w:tc>
        <w:tc>
          <w:tcPr>
            <w:tcW w:w="1394" w:type="dxa"/>
            <w:tcBorders>
              <w:top w:val="nil"/>
              <w:left w:val="nil"/>
              <w:bottom w:val="nil"/>
              <w:right w:val="nil"/>
            </w:tcBorders>
            <w:shd w:val="clear" w:color="auto" w:fill="auto"/>
            <w:noWrap/>
            <w:vAlign w:val="bottom"/>
            <w:hideMark/>
          </w:tcPr>
          <w:p w14:paraId="0C450833" w14:textId="5899EE4D" w:rsidR="00375B57" w:rsidRPr="00176575" w:rsidRDefault="000B31BC" w:rsidP="00375B57">
            <w:pPr>
              <w:spacing w:after="0" w:line="240" w:lineRule="auto"/>
              <w:rPr>
                <w:rFonts w:eastAsia="Times New Roman" w:cstheme="minorHAnsi"/>
                <w:color w:val="000000"/>
                <w:lang w:eastAsia="en-GB"/>
              </w:rPr>
            </w:pPr>
            <w:r w:rsidRPr="00176575">
              <w:rPr>
                <w:rFonts w:eastAsia="Times New Roman" w:cstheme="minorHAnsi"/>
                <w:color w:val="000000"/>
                <w:lang w:eastAsia="en-GB"/>
              </w:rPr>
              <w:t>curve</w:t>
            </w:r>
            <w:r w:rsidR="006C41FF" w:rsidRPr="00176575">
              <w:rPr>
                <w:rFonts w:eastAsia="Times New Roman" w:cstheme="minorHAnsi"/>
                <w:color w:val="000000"/>
                <w:lang w:eastAsia="en-GB"/>
              </w:rPr>
              <w:t xml:space="preserve"> failed</w:t>
            </w:r>
          </w:p>
        </w:tc>
        <w:tc>
          <w:tcPr>
            <w:tcW w:w="1580" w:type="dxa"/>
            <w:tcBorders>
              <w:top w:val="nil"/>
              <w:left w:val="single" w:sz="4" w:space="0" w:color="auto"/>
              <w:bottom w:val="nil"/>
              <w:right w:val="single" w:sz="4" w:space="0" w:color="auto"/>
            </w:tcBorders>
            <w:shd w:val="clear" w:color="auto" w:fill="auto"/>
            <w:noWrap/>
            <w:vAlign w:val="bottom"/>
            <w:hideMark/>
          </w:tcPr>
          <w:p w14:paraId="4F583FB4" w14:textId="25315D77" w:rsidR="00375B57" w:rsidRPr="00176575"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3F6273B7"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5604E318" w14:textId="77777777" w:rsidR="00375B57" w:rsidRPr="00176575" w:rsidRDefault="00375B57"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11</w:t>
            </w:r>
          </w:p>
        </w:tc>
        <w:tc>
          <w:tcPr>
            <w:tcW w:w="1360" w:type="dxa"/>
            <w:tcBorders>
              <w:top w:val="nil"/>
              <w:left w:val="single" w:sz="4" w:space="0" w:color="auto"/>
              <w:bottom w:val="nil"/>
              <w:right w:val="nil"/>
            </w:tcBorders>
            <w:shd w:val="clear" w:color="auto" w:fill="auto"/>
            <w:noWrap/>
            <w:vAlign w:val="bottom"/>
            <w:hideMark/>
          </w:tcPr>
          <w:p w14:paraId="148902D0" w14:textId="38BE1990" w:rsidR="00375B57" w:rsidRPr="00176575" w:rsidRDefault="00375B57" w:rsidP="00F61C0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673D9909" w14:textId="3702BE1F"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124E64E" w14:textId="3C99F500"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FA417BA" w14:textId="040CE103"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152F08CC" w14:textId="0C5C7AB9"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87145DD" w14:textId="167CFAED"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3C91FB43" w14:textId="706AED1E" w:rsidR="00375B57" w:rsidRPr="00176575"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94" w:type="dxa"/>
            <w:tcBorders>
              <w:top w:val="nil"/>
              <w:left w:val="nil"/>
              <w:bottom w:val="nil"/>
              <w:right w:val="nil"/>
            </w:tcBorders>
            <w:shd w:val="clear" w:color="auto" w:fill="auto"/>
            <w:noWrap/>
            <w:vAlign w:val="bottom"/>
            <w:hideMark/>
          </w:tcPr>
          <w:p w14:paraId="47611A39" w14:textId="315A9558" w:rsidR="00375B57" w:rsidRPr="00176575" w:rsidRDefault="00896D70" w:rsidP="00375B57">
            <w:pPr>
              <w:spacing w:after="0" w:line="240" w:lineRule="auto"/>
              <w:rPr>
                <w:rFonts w:eastAsia="Times New Roman" w:cstheme="minorHAnsi"/>
                <w:color w:val="000000"/>
                <w:lang w:eastAsia="en-GB"/>
              </w:rPr>
            </w:pPr>
            <w:r>
              <w:rPr>
                <w:rFonts w:eastAsia="Times New Roman" w:cstheme="minorHAnsi"/>
                <w:color w:val="000000"/>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7337D139" w14:textId="27DA3761" w:rsidR="00375B57" w:rsidRPr="00176575" w:rsidRDefault="00896D70" w:rsidP="0018269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375B57" w:rsidRPr="00375B57" w14:paraId="5CDB7244"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3EFDFEA2"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13</w:t>
            </w:r>
          </w:p>
        </w:tc>
        <w:tc>
          <w:tcPr>
            <w:tcW w:w="1360" w:type="dxa"/>
            <w:tcBorders>
              <w:top w:val="nil"/>
              <w:left w:val="single" w:sz="4" w:space="0" w:color="auto"/>
              <w:bottom w:val="nil"/>
              <w:right w:val="nil"/>
            </w:tcBorders>
            <w:shd w:val="clear" w:color="auto" w:fill="auto"/>
            <w:noWrap/>
            <w:vAlign w:val="bottom"/>
            <w:hideMark/>
          </w:tcPr>
          <w:p w14:paraId="311E6DCF" w14:textId="4FE3E484"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776779AF" w14:textId="000CA6A4"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57B42675" w14:textId="5D951620"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5344852" w14:textId="16E58B09"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1C74842" w14:textId="79B72F4E"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52BD6FB" w14:textId="0C5E9AE2"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3DE32E34" w14:textId="36BB2FE1"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94" w:type="dxa"/>
            <w:tcBorders>
              <w:top w:val="nil"/>
              <w:left w:val="nil"/>
              <w:bottom w:val="nil"/>
              <w:right w:val="nil"/>
            </w:tcBorders>
            <w:shd w:val="clear" w:color="auto" w:fill="auto"/>
            <w:noWrap/>
            <w:vAlign w:val="bottom"/>
            <w:hideMark/>
          </w:tcPr>
          <w:p w14:paraId="4F70649F" w14:textId="1ABE2865" w:rsidR="00375B57" w:rsidRPr="000F0D81" w:rsidRDefault="00896D70" w:rsidP="00375B57">
            <w:pPr>
              <w:spacing w:after="0" w:line="240" w:lineRule="auto"/>
              <w:rPr>
                <w:rFonts w:eastAsia="Times New Roman" w:cstheme="minorHAnsi"/>
                <w:lang w:eastAsia="en-GB"/>
              </w:rPr>
            </w:pPr>
            <w:r>
              <w:rPr>
                <w:rFonts w:eastAsia="Times New Roman" w:cstheme="minorHAnsi"/>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25D0F889" w14:textId="070830DA"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2DDF3A36" w14:textId="77777777" w:rsidTr="0036362B">
        <w:trPr>
          <w:trHeight w:val="300"/>
        </w:trPr>
        <w:tc>
          <w:tcPr>
            <w:tcW w:w="1928" w:type="dxa"/>
            <w:tcBorders>
              <w:top w:val="nil"/>
              <w:left w:val="single" w:sz="4" w:space="0" w:color="auto"/>
              <w:bottom w:val="nil"/>
              <w:right w:val="nil"/>
            </w:tcBorders>
            <w:shd w:val="clear" w:color="auto" w:fill="auto"/>
            <w:noWrap/>
            <w:vAlign w:val="bottom"/>
            <w:hideMark/>
          </w:tcPr>
          <w:p w14:paraId="69BB7404"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14</w:t>
            </w:r>
          </w:p>
        </w:tc>
        <w:tc>
          <w:tcPr>
            <w:tcW w:w="1360" w:type="dxa"/>
            <w:tcBorders>
              <w:top w:val="nil"/>
              <w:left w:val="single" w:sz="4" w:space="0" w:color="auto"/>
              <w:bottom w:val="nil"/>
              <w:right w:val="nil"/>
            </w:tcBorders>
            <w:shd w:val="clear" w:color="auto" w:fill="auto"/>
            <w:noWrap/>
            <w:vAlign w:val="bottom"/>
            <w:hideMark/>
          </w:tcPr>
          <w:p w14:paraId="575EAB12" w14:textId="47CBA9EC"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65D5C7C6" w14:textId="3D67F2F6"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555DE8E5" w14:textId="7E926D89"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0EBC7D99" w14:textId="578E7B9C"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702B1957" w14:textId="5977D964"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07818BD" w14:textId="3E082F2B"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5A59E77F" w14:textId="77E8647D"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nil"/>
              <w:right w:val="nil"/>
            </w:tcBorders>
            <w:shd w:val="clear" w:color="auto" w:fill="auto"/>
            <w:noWrap/>
            <w:vAlign w:val="bottom"/>
            <w:hideMark/>
          </w:tcPr>
          <w:p w14:paraId="4612CF00" w14:textId="42E9522C" w:rsidR="00375B57" w:rsidRPr="000F0D81" w:rsidRDefault="00525AC4" w:rsidP="00375B57">
            <w:pPr>
              <w:spacing w:after="0" w:line="240" w:lineRule="auto"/>
              <w:rPr>
                <w:rFonts w:eastAsia="Times New Roman" w:cstheme="minorHAnsi"/>
                <w:color w:val="000000"/>
                <w:lang w:eastAsia="en-GB"/>
              </w:rPr>
            </w:pPr>
            <w:r w:rsidRPr="000F0D81">
              <w:rPr>
                <w:rFonts w:eastAsia="Times New Roman" w:cstheme="minorHAnsi"/>
                <w:color w:val="000000"/>
                <w:lang w:eastAsia="en-GB"/>
              </w:rPr>
              <w:t>0</w:t>
            </w:r>
          </w:p>
        </w:tc>
        <w:tc>
          <w:tcPr>
            <w:tcW w:w="1580" w:type="dxa"/>
            <w:tcBorders>
              <w:top w:val="nil"/>
              <w:left w:val="single" w:sz="4" w:space="0" w:color="auto"/>
              <w:bottom w:val="nil"/>
              <w:right w:val="single" w:sz="4" w:space="0" w:color="auto"/>
            </w:tcBorders>
            <w:shd w:val="clear" w:color="auto" w:fill="auto"/>
            <w:noWrap/>
            <w:vAlign w:val="bottom"/>
            <w:hideMark/>
          </w:tcPr>
          <w:p w14:paraId="5A9C0100" w14:textId="15CA014D"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2BD773C2" w14:textId="77777777" w:rsidTr="0036362B">
        <w:trPr>
          <w:trHeight w:val="300"/>
        </w:trPr>
        <w:tc>
          <w:tcPr>
            <w:tcW w:w="1928" w:type="dxa"/>
            <w:tcBorders>
              <w:top w:val="nil"/>
              <w:left w:val="single" w:sz="4" w:space="0" w:color="auto"/>
              <w:bottom w:val="nil"/>
              <w:right w:val="nil"/>
            </w:tcBorders>
            <w:shd w:val="clear" w:color="auto" w:fill="auto"/>
            <w:noWrap/>
            <w:vAlign w:val="bottom"/>
            <w:hideMark/>
          </w:tcPr>
          <w:p w14:paraId="67C901F5"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16</w:t>
            </w:r>
          </w:p>
        </w:tc>
        <w:tc>
          <w:tcPr>
            <w:tcW w:w="1360" w:type="dxa"/>
            <w:tcBorders>
              <w:top w:val="nil"/>
              <w:left w:val="single" w:sz="4" w:space="0" w:color="auto"/>
              <w:bottom w:val="nil"/>
              <w:right w:val="nil"/>
            </w:tcBorders>
            <w:shd w:val="clear" w:color="auto" w:fill="auto"/>
            <w:noWrap/>
            <w:vAlign w:val="bottom"/>
            <w:hideMark/>
          </w:tcPr>
          <w:p w14:paraId="255CF3C4" w14:textId="39B28AE0"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7A005EEC" w14:textId="60C8D216"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7B4670D4" w14:textId="47164F55"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586360D6" w14:textId="7878160F"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7786DA44" w14:textId="582A0886"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0B704B75" w14:textId="1569FA6D"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single" w:sz="4" w:space="0" w:color="auto"/>
            </w:tcBorders>
            <w:shd w:val="clear" w:color="auto" w:fill="auto"/>
            <w:noWrap/>
            <w:vAlign w:val="bottom"/>
            <w:hideMark/>
          </w:tcPr>
          <w:p w14:paraId="6E0B7894" w14:textId="5A4B7BF5"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nil"/>
              <w:bottom w:val="nil"/>
              <w:right w:val="nil"/>
            </w:tcBorders>
            <w:shd w:val="clear" w:color="auto" w:fill="auto"/>
            <w:noWrap/>
            <w:vAlign w:val="bottom"/>
            <w:hideMark/>
          </w:tcPr>
          <w:p w14:paraId="491DC4FE" w14:textId="4FF0155D" w:rsidR="00375B57" w:rsidRPr="000F0D81" w:rsidRDefault="0036362B" w:rsidP="00375B57">
            <w:pPr>
              <w:spacing w:after="0" w:line="240" w:lineRule="auto"/>
              <w:rPr>
                <w:rFonts w:eastAsia="Times New Roman" w:cstheme="minorHAnsi"/>
                <w:color w:val="000000"/>
                <w:lang w:eastAsia="en-GB"/>
              </w:rPr>
            </w:pPr>
            <w:r>
              <w:rPr>
                <w:rFonts w:eastAsia="Times New Roman" w:cstheme="minorHAnsi"/>
                <w:color w:val="000000"/>
                <w:lang w:eastAsia="en-GB"/>
              </w:rPr>
              <w:t>0</w:t>
            </w:r>
          </w:p>
        </w:tc>
        <w:tc>
          <w:tcPr>
            <w:tcW w:w="1580" w:type="dxa"/>
            <w:tcBorders>
              <w:top w:val="nil"/>
              <w:left w:val="single" w:sz="4" w:space="0" w:color="auto"/>
              <w:bottom w:val="nil"/>
              <w:right w:val="single" w:sz="4" w:space="0" w:color="auto"/>
            </w:tcBorders>
            <w:shd w:val="clear" w:color="auto" w:fill="auto"/>
            <w:noWrap/>
            <w:vAlign w:val="bottom"/>
            <w:hideMark/>
          </w:tcPr>
          <w:p w14:paraId="161B2E99" w14:textId="08AB46F4"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1899AAF5"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03809A98"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17</w:t>
            </w:r>
          </w:p>
        </w:tc>
        <w:tc>
          <w:tcPr>
            <w:tcW w:w="1360" w:type="dxa"/>
            <w:tcBorders>
              <w:top w:val="nil"/>
              <w:left w:val="single" w:sz="4" w:space="0" w:color="auto"/>
              <w:bottom w:val="nil"/>
              <w:right w:val="nil"/>
            </w:tcBorders>
            <w:shd w:val="clear" w:color="auto" w:fill="auto"/>
            <w:noWrap/>
            <w:vAlign w:val="bottom"/>
            <w:hideMark/>
          </w:tcPr>
          <w:p w14:paraId="77B766C6" w14:textId="2569DA2B"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51EEA48D" w14:textId="5D8A6A8E"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B2BA158" w14:textId="609CCCF9"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63D98AED" w14:textId="7A237DD2"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2BB39DC2" w14:textId="0F3AB25C"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24B7F864" w14:textId="1FC4932C"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single" w:sz="4" w:space="0" w:color="auto"/>
            </w:tcBorders>
            <w:shd w:val="clear" w:color="auto" w:fill="auto"/>
            <w:noWrap/>
            <w:vAlign w:val="bottom"/>
            <w:hideMark/>
          </w:tcPr>
          <w:p w14:paraId="40C0D0CC" w14:textId="3DDD1968"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nil"/>
              <w:bottom w:val="nil"/>
              <w:right w:val="nil"/>
            </w:tcBorders>
            <w:shd w:val="clear" w:color="auto" w:fill="auto"/>
            <w:noWrap/>
            <w:vAlign w:val="bottom"/>
            <w:hideMark/>
          </w:tcPr>
          <w:p w14:paraId="4016EBFD" w14:textId="501CF10D" w:rsidR="00375B57" w:rsidRPr="000F0D81" w:rsidRDefault="00896D70" w:rsidP="00375B57">
            <w:pPr>
              <w:spacing w:after="0" w:line="240" w:lineRule="auto"/>
              <w:rPr>
                <w:rFonts w:eastAsia="Times New Roman" w:cstheme="minorHAnsi"/>
                <w:lang w:eastAsia="en-GB"/>
              </w:rPr>
            </w:pPr>
            <w:r>
              <w:rPr>
                <w:rFonts w:eastAsia="Times New Roman" w:cstheme="minorHAnsi"/>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4A68267F" w14:textId="4878F796"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4FA7D526" w14:textId="77777777" w:rsidTr="0036362B">
        <w:trPr>
          <w:trHeight w:val="300"/>
        </w:trPr>
        <w:tc>
          <w:tcPr>
            <w:tcW w:w="1928" w:type="dxa"/>
            <w:tcBorders>
              <w:top w:val="nil"/>
              <w:left w:val="single" w:sz="4" w:space="0" w:color="auto"/>
              <w:bottom w:val="nil"/>
              <w:right w:val="nil"/>
            </w:tcBorders>
            <w:shd w:val="clear" w:color="auto" w:fill="auto"/>
            <w:noWrap/>
            <w:vAlign w:val="bottom"/>
            <w:hideMark/>
          </w:tcPr>
          <w:p w14:paraId="5A404428"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19</w:t>
            </w:r>
          </w:p>
        </w:tc>
        <w:tc>
          <w:tcPr>
            <w:tcW w:w="1360" w:type="dxa"/>
            <w:tcBorders>
              <w:top w:val="nil"/>
              <w:left w:val="single" w:sz="4" w:space="0" w:color="auto"/>
              <w:bottom w:val="nil"/>
              <w:right w:val="nil"/>
            </w:tcBorders>
            <w:shd w:val="clear" w:color="auto" w:fill="auto"/>
            <w:noWrap/>
            <w:vAlign w:val="bottom"/>
            <w:hideMark/>
          </w:tcPr>
          <w:p w14:paraId="6E83937C" w14:textId="221A68AD"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8BDFDE6" w14:textId="325FC6E7"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3BC23227" w14:textId="4D10DF98"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240AD497" w14:textId="36DCDB9D"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E8A7733" w14:textId="1CAD19FB" w:rsidR="00375B57" w:rsidRPr="00375B57" w:rsidRDefault="00F61C07" w:rsidP="00525AC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10BD145" w14:textId="4156FCC2"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single" w:sz="4" w:space="0" w:color="auto"/>
            </w:tcBorders>
            <w:shd w:val="clear" w:color="auto" w:fill="auto"/>
            <w:noWrap/>
            <w:vAlign w:val="bottom"/>
            <w:hideMark/>
          </w:tcPr>
          <w:p w14:paraId="2D681391" w14:textId="17E689C4"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94" w:type="dxa"/>
            <w:tcBorders>
              <w:top w:val="nil"/>
              <w:left w:val="nil"/>
              <w:bottom w:val="nil"/>
              <w:right w:val="nil"/>
            </w:tcBorders>
            <w:shd w:val="clear" w:color="auto" w:fill="auto"/>
            <w:noWrap/>
            <w:vAlign w:val="bottom"/>
            <w:hideMark/>
          </w:tcPr>
          <w:p w14:paraId="0CC370CE" w14:textId="48706095" w:rsidR="00375B57" w:rsidRPr="000F0D81" w:rsidRDefault="0036362B" w:rsidP="00375B57">
            <w:pPr>
              <w:spacing w:after="0" w:line="240" w:lineRule="auto"/>
              <w:rPr>
                <w:rFonts w:eastAsia="Times New Roman" w:cstheme="minorHAnsi"/>
                <w:color w:val="000000"/>
                <w:lang w:eastAsia="en-GB"/>
              </w:rPr>
            </w:pPr>
            <w:r>
              <w:rPr>
                <w:rFonts w:eastAsia="Times New Roman" w:cstheme="minorHAnsi"/>
                <w:color w:val="000000"/>
                <w:lang w:eastAsia="en-GB"/>
              </w:rPr>
              <w:t>0</w:t>
            </w:r>
          </w:p>
        </w:tc>
        <w:tc>
          <w:tcPr>
            <w:tcW w:w="1580" w:type="dxa"/>
            <w:tcBorders>
              <w:top w:val="nil"/>
              <w:left w:val="single" w:sz="4" w:space="0" w:color="auto"/>
              <w:bottom w:val="nil"/>
              <w:right w:val="single" w:sz="4" w:space="0" w:color="auto"/>
            </w:tcBorders>
            <w:shd w:val="clear" w:color="auto" w:fill="auto"/>
            <w:noWrap/>
            <w:vAlign w:val="bottom"/>
            <w:hideMark/>
          </w:tcPr>
          <w:p w14:paraId="40CB3B1E" w14:textId="35AEBB27"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186B6455" w14:textId="77777777" w:rsidTr="0036362B">
        <w:trPr>
          <w:trHeight w:val="300"/>
        </w:trPr>
        <w:tc>
          <w:tcPr>
            <w:tcW w:w="1928" w:type="dxa"/>
            <w:tcBorders>
              <w:top w:val="nil"/>
              <w:left w:val="single" w:sz="4" w:space="0" w:color="auto"/>
              <w:bottom w:val="nil"/>
              <w:right w:val="nil"/>
            </w:tcBorders>
            <w:shd w:val="clear" w:color="auto" w:fill="auto"/>
            <w:noWrap/>
            <w:vAlign w:val="bottom"/>
            <w:hideMark/>
          </w:tcPr>
          <w:p w14:paraId="74A8F82E"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21</w:t>
            </w:r>
          </w:p>
        </w:tc>
        <w:tc>
          <w:tcPr>
            <w:tcW w:w="1360" w:type="dxa"/>
            <w:tcBorders>
              <w:top w:val="nil"/>
              <w:left w:val="single" w:sz="4" w:space="0" w:color="auto"/>
              <w:bottom w:val="nil"/>
              <w:right w:val="nil"/>
            </w:tcBorders>
            <w:shd w:val="clear" w:color="auto" w:fill="auto"/>
            <w:noWrap/>
            <w:vAlign w:val="bottom"/>
            <w:hideMark/>
          </w:tcPr>
          <w:p w14:paraId="1145F3B3" w14:textId="4CE58B27"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43A2DE96" w14:textId="03EB4FB9"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5A42020C" w14:textId="61E5EC91"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3155733B" w14:textId="1938C014"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3632755A" w14:textId="0D3B0C3F"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48CCCC25" w14:textId="3BB4FCFF"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single" w:sz="4" w:space="0" w:color="auto"/>
            </w:tcBorders>
            <w:shd w:val="clear" w:color="auto" w:fill="auto"/>
            <w:noWrap/>
            <w:vAlign w:val="bottom"/>
            <w:hideMark/>
          </w:tcPr>
          <w:p w14:paraId="73C08819" w14:textId="661F816F"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94" w:type="dxa"/>
            <w:tcBorders>
              <w:top w:val="nil"/>
              <w:left w:val="nil"/>
              <w:bottom w:val="nil"/>
              <w:right w:val="nil"/>
            </w:tcBorders>
            <w:shd w:val="clear" w:color="auto" w:fill="auto"/>
            <w:noWrap/>
            <w:vAlign w:val="bottom"/>
            <w:hideMark/>
          </w:tcPr>
          <w:p w14:paraId="3C320D0F" w14:textId="1A361F21" w:rsidR="00375B57" w:rsidRPr="000F0D81" w:rsidRDefault="0036362B" w:rsidP="00375B57">
            <w:pPr>
              <w:spacing w:after="0" w:line="240" w:lineRule="auto"/>
              <w:rPr>
                <w:rFonts w:eastAsia="Times New Roman" w:cstheme="minorHAnsi"/>
                <w:color w:val="000000"/>
                <w:lang w:eastAsia="en-GB"/>
              </w:rPr>
            </w:pPr>
            <w:r>
              <w:rPr>
                <w:rFonts w:eastAsia="Times New Roman" w:cstheme="minorHAnsi"/>
                <w:color w:val="000000"/>
                <w:lang w:eastAsia="en-GB"/>
              </w:rPr>
              <w:t>0</w:t>
            </w:r>
          </w:p>
        </w:tc>
        <w:tc>
          <w:tcPr>
            <w:tcW w:w="1580" w:type="dxa"/>
            <w:tcBorders>
              <w:top w:val="nil"/>
              <w:left w:val="single" w:sz="4" w:space="0" w:color="auto"/>
              <w:bottom w:val="nil"/>
              <w:right w:val="single" w:sz="4" w:space="0" w:color="auto"/>
            </w:tcBorders>
            <w:shd w:val="clear" w:color="auto" w:fill="auto"/>
            <w:noWrap/>
            <w:vAlign w:val="bottom"/>
            <w:hideMark/>
          </w:tcPr>
          <w:p w14:paraId="672BDA87" w14:textId="5F4D8062"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5ED2994C" w14:textId="77777777" w:rsidTr="00911952">
        <w:trPr>
          <w:trHeight w:val="300"/>
        </w:trPr>
        <w:tc>
          <w:tcPr>
            <w:tcW w:w="1928" w:type="dxa"/>
            <w:tcBorders>
              <w:top w:val="nil"/>
              <w:left w:val="single" w:sz="4" w:space="0" w:color="auto"/>
              <w:bottom w:val="nil"/>
              <w:right w:val="nil"/>
            </w:tcBorders>
            <w:shd w:val="clear" w:color="auto" w:fill="auto"/>
            <w:noWrap/>
            <w:vAlign w:val="bottom"/>
            <w:hideMark/>
          </w:tcPr>
          <w:p w14:paraId="6AF4CAF2"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22</w:t>
            </w:r>
          </w:p>
        </w:tc>
        <w:tc>
          <w:tcPr>
            <w:tcW w:w="1360" w:type="dxa"/>
            <w:tcBorders>
              <w:top w:val="nil"/>
              <w:left w:val="single" w:sz="4" w:space="0" w:color="auto"/>
              <w:bottom w:val="nil"/>
              <w:right w:val="nil"/>
            </w:tcBorders>
            <w:shd w:val="clear" w:color="auto" w:fill="auto"/>
            <w:noWrap/>
            <w:vAlign w:val="bottom"/>
            <w:hideMark/>
          </w:tcPr>
          <w:p w14:paraId="4C1A9D59" w14:textId="5B7A305C"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34134DDA" w14:textId="52F7D7DF"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60" w:type="dxa"/>
            <w:tcBorders>
              <w:top w:val="nil"/>
              <w:left w:val="nil"/>
              <w:bottom w:val="nil"/>
              <w:right w:val="nil"/>
            </w:tcBorders>
            <w:shd w:val="clear" w:color="auto" w:fill="auto"/>
            <w:noWrap/>
            <w:vAlign w:val="bottom"/>
            <w:hideMark/>
          </w:tcPr>
          <w:p w14:paraId="639E7AF6" w14:textId="02ADFF91"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nil"/>
              <w:right w:val="nil"/>
            </w:tcBorders>
            <w:shd w:val="clear" w:color="auto" w:fill="auto"/>
            <w:noWrap/>
            <w:vAlign w:val="bottom"/>
            <w:hideMark/>
          </w:tcPr>
          <w:p w14:paraId="51E0163E" w14:textId="40C2FE19"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1CC2316D" w14:textId="0128BA22"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nil"/>
            </w:tcBorders>
            <w:shd w:val="clear" w:color="auto" w:fill="auto"/>
            <w:noWrap/>
            <w:vAlign w:val="bottom"/>
            <w:hideMark/>
          </w:tcPr>
          <w:p w14:paraId="60EEE176" w14:textId="3C6AC243"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60" w:type="dxa"/>
            <w:tcBorders>
              <w:top w:val="nil"/>
              <w:left w:val="nil"/>
              <w:bottom w:val="nil"/>
              <w:right w:val="single" w:sz="4" w:space="0" w:color="auto"/>
            </w:tcBorders>
            <w:shd w:val="clear" w:color="auto" w:fill="auto"/>
            <w:noWrap/>
            <w:vAlign w:val="bottom"/>
            <w:hideMark/>
          </w:tcPr>
          <w:p w14:paraId="474C54EB" w14:textId="64FFC890" w:rsidR="00375B57" w:rsidRPr="00375B57" w:rsidRDefault="00F61C07"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94" w:type="dxa"/>
            <w:tcBorders>
              <w:top w:val="nil"/>
              <w:left w:val="nil"/>
              <w:bottom w:val="nil"/>
              <w:right w:val="nil"/>
            </w:tcBorders>
            <w:shd w:val="clear" w:color="auto" w:fill="auto"/>
            <w:noWrap/>
            <w:vAlign w:val="bottom"/>
            <w:hideMark/>
          </w:tcPr>
          <w:p w14:paraId="5662882C" w14:textId="37EEDE46" w:rsidR="00375B57" w:rsidRPr="000F0D81" w:rsidRDefault="00896D70" w:rsidP="00375B57">
            <w:pPr>
              <w:spacing w:after="0" w:line="240" w:lineRule="auto"/>
              <w:rPr>
                <w:rFonts w:eastAsia="Times New Roman" w:cstheme="minorHAnsi"/>
                <w:lang w:eastAsia="en-GB"/>
              </w:rPr>
            </w:pPr>
            <w:r>
              <w:rPr>
                <w:rFonts w:eastAsia="Times New Roman" w:cstheme="minorHAnsi"/>
                <w:lang w:eastAsia="en-GB"/>
              </w:rPr>
              <w:t>1</w:t>
            </w:r>
          </w:p>
        </w:tc>
        <w:tc>
          <w:tcPr>
            <w:tcW w:w="1580" w:type="dxa"/>
            <w:tcBorders>
              <w:top w:val="nil"/>
              <w:left w:val="single" w:sz="4" w:space="0" w:color="auto"/>
              <w:bottom w:val="nil"/>
              <w:right w:val="single" w:sz="4" w:space="0" w:color="auto"/>
            </w:tcBorders>
            <w:shd w:val="clear" w:color="auto" w:fill="auto"/>
            <w:noWrap/>
            <w:vAlign w:val="bottom"/>
            <w:hideMark/>
          </w:tcPr>
          <w:p w14:paraId="1D0EE0CB" w14:textId="19E456A7"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143E2BBE" w14:textId="77777777" w:rsidTr="0036362B">
        <w:trPr>
          <w:trHeight w:val="300"/>
        </w:trPr>
        <w:tc>
          <w:tcPr>
            <w:tcW w:w="1928" w:type="dxa"/>
            <w:tcBorders>
              <w:top w:val="nil"/>
              <w:left w:val="single" w:sz="4" w:space="0" w:color="auto"/>
              <w:bottom w:val="single" w:sz="4" w:space="0" w:color="auto"/>
              <w:right w:val="nil"/>
            </w:tcBorders>
            <w:shd w:val="clear" w:color="auto" w:fill="auto"/>
            <w:noWrap/>
            <w:vAlign w:val="bottom"/>
            <w:hideMark/>
          </w:tcPr>
          <w:p w14:paraId="504FD25F"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23</w:t>
            </w:r>
          </w:p>
        </w:tc>
        <w:tc>
          <w:tcPr>
            <w:tcW w:w="1360" w:type="dxa"/>
            <w:tcBorders>
              <w:top w:val="nil"/>
              <w:left w:val="single" w:sz="4" w:space="0" w:color="auto"/>
              <w:bottom w:val="single" w:sz="4" w:space="0" w:color="auto"/>
              <w:right w:val="nil"/>
            </w:tcBorders>
            <w:shd w:val="clear" w:color="auto" w:fill="auto"/>
            <w:noWrap/>
            <w:vAlign w:val="bottom"/>
            <w:hideMark/>
          </w:tcPr>
          <w:p w14:paraId="21467795" w14:textId="5840637F" w:rsidR="00375B57" w:rsidRPr="00375B57" w:rsidRDefault="000272DD" w:rsidP="000272D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nil"/>
            </w:tcBorders>
            <w:shd w:val="clear" w:color="auto" w:fill="auto"/>
            <w:noWrap/>
            <w:vAlign w:val="bottom"/>
            <w:hideMark/>
          </w:tcPr>
          <w:p w14:paraId="27664647" w14:textId="33EFF0E8"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nil"/>
            </w:tcBorders>
            <w:shd w:val="clear" w:color="auto" w:fill="auto"/>
            <w:noWrap/>
            <w:vAlign w:val="bottom"/>
            <w:hideMark/>
          </w:tcPr>
          <w:p w14:paraId="19A2DFA5" w14:textId="6153462E"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nil"/>
            </w:tcBorders>
            <w:shd w:val="clear" w:color="auto" w:fill="auto"/>
            <w:noWrap/>
            <w:vAlign w:val="bottom"/>
            <w:hideMark/>
          </w:tcPr>
          <w:p w14:paraId="186A8C38" w14:textId="3C2F5FCD"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nil"/>
            </w:tcBorders>
            <w:shd w:val="clear" w:color="auto" w:fill="auto"/>
            <w:noWrap/>
            <w:vAlign w:val="bottom"/>
            <w:hideMark/>
          </w:tcPr>
          <w:p w14:paraId="4A91FA90" w14:textId="2B37A724"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nil"/>
            </w:tcBorders>
            <w:shd w:val="clear" w:color="auto" w:fill="auto"/>
            <w:noWrap/>
            <w:vAlign w:val="bottom"/>
            <w:hideMark/>
          </w:tcPr>
          <w:p w14:paraId="5D464552" w14:textId="134BD057" w:rsidR="00375B57" w:rsidRPr="00375B57" w:rsidRDefault="000272DD"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60" w:type="dxa"/>
            <w:tcBorders>
              <w:top w:val="nil"/>
              <w:left w:val="nil"/>
              <w:bottom w:val="single" w:sz="4" w:space="0" w:color="auto"/>
              <w:right w:val="single" w:sz="4" w:space="0" w:color="auto"/>
            </w:tcBorders>
            <w:shd w:val="clear" w:color="auto" w:fill="auto"/>
            <w:noWrap/>
            <w:vAlign w:val="bottom"/>
            <w:hideMark/>
          </w:tcPr>
          <w:p w14:paraId="6BDE40EA" w14:textId="74C442A5" w:rsidR="00375B57" w:rsidRPr="00375B57" w:rsidRDefault="000272DD" w:rsidP="000272D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Pr="00176575">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394" w:type="dxa"/>
            <w:tcBorders>
              <w:top w:val="nil"/>
              <w:left w:val="nil"/>
              <w:bottom w:val="single" w:sz="4" w:space="0" w:color="auto"/>
              <w:right w:val="nil"/>
            </w:tcBorders>
            <w:shd w:val="clear" w:color="auto" w:fill="auto"/>
            <w:noWrap/>
            <w:vAlign w:val="bottom"/>
            <w:hideMark/>
          </w:tcPr>
          <w:p w14:paraId="486D40F3" w14:textId="2954F727" w:rsidR="00375B57" w:rsidRPr="000F0D81" w:rsidRDefault="0036362B" w:rsidP="00375B57">
            <w:pPr>
              <w:spacing w:after="0" w:line="240" w:lineRule="auto"/>
              <w:rPr>
                <w:rFonts w:eastAsia="Times New Roman" w:cstheme="minorHAnsi"/>
                <w:color w:val="000000"/>
                <w:lang w:eastAsia="en-GB"/>
              </w:rPr>
            </w:pPr>
            <w:r>
              <w:rPr>
                <w:rFonts w:eastAsia="Times New Roman" w:cstheme="minorHAnsi"/>
                <w:color w:val="000000"/>
                <w:lang w:eastAsia="en-GB"/>
              </w:rPr>
              <w:t>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619281" w14:textId="2281BC9E"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18269E" w:rsidRPr="0018269E" w14:paraId="355615D3" w14:textId="77777777" w:rsidTr="00896D70">
        <w:trPr>
          <w:trHeight w:val="300"/>
        </w:trPr>
        <w:tc>
          <w:tcPr>
            <w:tcW w:w="1928" w:type="dxa"/>
            <w:tcBorders>
              <w:top w:val="single" w:sz="4" w:space="0" w:color="auto"/>
              <w:left w:val="single" w:sz="4" w:space="0" w:color="auto"/>
              <w:bottom w:val="single" w:sz="4" w:space="0" w:color="auto"/>
              <w:right w:val="nil"/>
            </w:tcBorders>
            <w:shd w:val="clear" w:color="auto" w:fill="auto"/>
            <w:noWrap/>
            <w:vAlign w:val="bottom"/>
          </w:tcPr>
          <w:p w14:paraId="31807509" w14:textId="10110945" w:rsidR="0018269E" w:rsidRPr="00F17660" w:rsidRDefault="0018269E" w:rsidP="0018269E">
            <w:pPr>
              <w:spacing w:after="0" w:line="240" w:lineRule="auto"/>
              <w:rPr>
                <w:rFonts w:ascii="Calibri" w:eastAsia="Times New Roman" w:hAnsi="Calibri" w:cs="Calibri"/>
                <w:iCs/>
                <w:lang w:eastAsia="en-GB"/>
              </w:rPr>
            </w:pPr>
            <w:r w:rsidRPr="00F17660">
              <w:rPr>
                <w:rFonts w:ascii="Calibri" w:eastAsia="Times New Roman" w:hAnsi="Calibri" w:cs="Calibri"/>
                <w:i/>
                <w:iCs/>
                <w:lang w:eastAsia="en-GB"/>
              </w:rPr>
              <w:t>n</w:t>
            </w:r>
            <w:r w:rsidRPr="00F17660">
              <w:rPr>
                <w:rFonts w:ascii="Calibri" w:eastAsia="Times New Roman" w:hAnsi="Calibri" w:cs="Calibri"/>
                <w:iCs/>
                <w:lang w:eastAsia="en-GB"/>
              </w:rPr>
              <w:t xml:space="preserve"> (lysate)</w:t>
            </w:r>
          </w:p>
        </w:tc>
        <w:tc>
          <w:tcPr>
            <w:tcW w:w="1360" w:type="dxa"/>
            <w:tcBorders>
              <w:top w:val="single" w:sz="4" w:space="0" w:color="auto"/>
              <w:left w:val="single" w:sz="4" w:space="0" w:color="auto"/>
              <w:bottom w:val="single" w:sz="4" w:space="0" w:color="auto"/>
              <w:right w:val="nil"/>
            </w:tcBorders>
            <w:shd w:val="clear" w:color="auto" w:fill="auto"/>
            <w:noWrap/>
            <w:vAlign w:val="bottom"/>
          </w:tcPr>
          <w:p w14:paraId="28169D55" w14:textId="0946F4D9" w:rsidR="0018269E" w:rsidRPr="00F17660" w:rsidRDefault="0018269E" w:rsidP="0018269E">
            <w:pPr>
              <w:spacing w:after="0" w:line="240" w:lineRule="auto"/>
              <w:rPr>
                <w:rFonts w:ascii="Calibri" w:eastAsia="Times New Roman" w:hAnsi="Calibri" w:cs="Calibri"/>
                <w:lang w:eastAsia="en-GB"/>
              </w:rPr>
            </w:pPr>
            <w:r w:rsidRPr="00F17660">
              <w:rPr>
                <w:rFonts w:ascii="Calibri" w:eastAsia="Times New Roman" w:hAnsi="Calibri" w:cs="Calibri"/>
                <w:lang w:eastAsia="en-GB"/>
              </w:rPr>
              <w:t>12</w:t>
            </w:r>
          </w:p>
        </w:tc>
        <w:tc>
          <w:tcPr>
            <w:tcW w:w="1360" w:type="dxa"/>
            <w:tcBorders>
              <w:top w:val="single" w:sz="4" w:space="0" w:color="auto"/>
              <w:left w:val="nil"/>
              <w:bottom w:val="single" w:sz="4" w:space="0" w:color="auto"/>
              <w:right w:val="nil"/>
            </w:tcBorders>
            <w:shd w:val="clear" w:color="auto" w:fill="auto"/>
            <w:noWrap/>
            <w:vAlign w:val="bottom"/>
          </w:tcPr>
          <w:p w14:paraId="069E8F2A" w14:textId="417D9161" w:rsidR="0018269E" w:rsidRPr="0018269E" w:rsidRDefault="0018269E" w:rsidP="0018269E">
            <w:pPr>
              <w:spacing w:after="0" w:line="240" w:lineRule="auto"/>
              <w:rPr>
                <w:rFonts w:ascii="Calibri" w:eastAsia="Times New Roman" w:hAnsi="Calibri" w:cs="Calibri"/>
                <w:color w:val="FF0000"/>
                <w:highlight w:val="yellow"/>
                <w:lang w:eastAsia="en-GB"/>
              </w:rPr>
            </w:pPr>
            <w:r w:rsidRPr="00F17660">
              <w:rPr>
                <w:rFonts w:ascii="Calibri" w:eastAsia="Times New Roman" w:hAnsi="Calibri" w:cs="Calibri"/>
                <w:lang w:eastAsia="en-GB"/>
              </w:rPr>
              <w:t>10</w:t>
            </w:r>
          </w:p>
        </w:tc>
        <w:tc>
          <w:tcPr>
            <w:tcW w:w="1360" w:type="dxa"/>
            <w:tcBorders>
              <w:top w:val="single" w:sz="4" w:space="0" w:color="auto"/>
              <w:left w:val="nil"/>
              <w:bottom w:val="single" w:sz="4" w:space="0" w:color="auto"/>
              <w:right w:val="nil"/>
            </w:tcBorders>
            <w:shd w:val="clear" w:color="auto" w:fill="auto"/>
            <w:noWrap/>
            <w:vAlign w:val="bottom"/>
          </w:tcPr>
          <w:p w14:paraId="0BE6E41A" w14:textId="556C95A8" w:rsidR="0018269E" w:rsidRPr="008050E5" w:rsidRDefault="00F17660" w:rsidP="00375B57">
            <w:pPr>
              <w:spacing w:after="0" w:line="240" w:lineRule="auto"/>
              <w:rPr>
                <w:rFonts w:ascii="Calibri" w:eastAsia="Times New Roman" w:hAnsi="Calibri" w:cs="Calibri"/>
                <w:highlight w:val="yellow"/>
                <w:lang w:eastAsia="en-GB"/>
              </w:rPr>
            </w:pPr>
            <w:r w:rsidRPr="00F17660">
              <w:rPr>
                <w:rFonts w:ascii="Calibri" w:eastAsia="Times New Roman" w:hAnsi="Calibri" w:cs="Calibri"/>
                <w:lang w:eastAsia="en-GB"/>
              </w:rPr>
              <w:t>10</w:t>
            </w:r>
          </w:p>
        </w:tc>
        <w:tc>
          <w:tcPr>
            <w:tcW w:w="1360" w:type="dxa"/>
            <w:tcBorders>
              <w:top w:val="single" w:sz="4" w:space="0" w:color="auto"/>
              <w:left w:val="nil"/>
              <w:bottom w:val="single" w:sz="4" w:space="0" w:color="auto"/>
              <w:right w:val="nil"/>
            </w:tcBorders>
            <w:shd w:val="clear" w:color="auto" w:fill="auto"/>
            <w:noWrap/>
            <w:vAlign w:val="bottom"/>
          </w:tcPr>
          <w:p w14:paraId="33C96282" w14:textId="6FD498A1" w:rsidR="0018269E" w:rsidRPr="008050E5" w:rsidRDefault="00F17660" w:rsidP="00375B57">
            <w:pPr>
              <w:spacing w:after="0" w:line="240" w:lineRule="auto"/>
              <w:rPr>
                <w:rFonts w:ascii="Calibri" w:eastAsia="Times New Roman" w:hAnsi="Calibri" w:cs="Calibri"/>
                <w:lang w:eastAsia="en-GB"/>
              </w:rPr>
            </w:pPr>
            <w:r w:rsidRPr="008050E5">
              <w:rPr>
                <w:rFonts w:ascii="Calibri" w:eastAsia="Times New Roman" w:hAnsi="Calibri" w:cs="Calibri"/>
                <w:lang w:eastAsia="en-GB"/>
              </w:rPr>
              <w:t>11</w:t>
            </w:r>
          </w:p>
        </w:tc>
        <w:tc>
          <w:tcPr>
            <w:tcW w:w="1360" w:type="dxa"/>
            <w:tcBorders>
              <w:top w:val="single" w:sz="4" w:space="0" w:color="auto"/>
              <w:left w:val="nil"/>
              <w:bottom w:val="single" w:sz="4" w:space="0" w:color="auto"/>
              <w:right w:val="nil"/>
            </w:tcBorders>
            <w:shd w:val="clear" w:color="auto" w:fill="auto"/>
            <w:noWrap/>
            <w:vAlign w:val="bottom"/>
          </w:tcPr>
          <w:p w14:paraId="4FD4DD62" w14:textId="5E197E68" w:rsidR="0018269E" w:rsidRPr="008050E5" w:rsidRDefault="0018269E" w:rsidP="00375B57">
            <w:pPr>
              <w:spacing w:after="0" w:line="240" w:lineRule="auto"/>
              <w:rPr>
                <w:rFonts w:ascii="Calibri" w:eastAsia="Times New Roman" w:hAnsi="Calibri" w:cs="Calibri"/>
                <w:lang w:eastAsia="en-GB"/>
              </w:rPr>
            </w:pPr>
            <w:r w:rsidRPr="008050E5">
              <w:rPr>
                <w:rFonts w:ascii="Calibri" w:eastAsia="Times New Roman" w:hAnsi="Calibri" w:cs="Calibri"/>
                <w:lang w:eastAsia="en-GB"/>
              </w:rPr>
              <w:t>10</w:t>
            </w:r>
          </w:p>
        </w:tc>
        <w:tc>
          <w:tcPr>
            <w:tcW w:w="1360" w:type="dxa"/>
            <w:tcBorders>
              <w:top w:val="single" w:sz="4" w:space="0" w:color="auto"/>
              <w:left w:val="nil"/>
              <w:bottom w:val="single" w:sz="4" w:space="0" w:color="auto"/>
              <w:right w:val="nil"/>
            </w:tcBorders>
            <w:shd w:val="clear" w:color="auto" w:fill="auto"/>
            <w:noWrap/>
            <w:vAlign w:val="bottom"/>
          </w:tcPr>
          <w:p w14:paraId="343DCF5F" w14:textId="66D3FA34" w:rsidR="0018269E" w:rsidRPr="008050E5" w:rsidRDefault="0018269E" w:rsidP="00375B57">
            <w:pPr>
              <w:spacing w:after="0" w:line="240" w:lineRule="auto"/>
              <w:rPr>
                <w:rFonts w:ascii="Calibri" w:eastAsia="Times New Roman" w:hAnsi="Calibri" w:cs="Calibri"/>
                <w:lang w:eastAsia="en-GB"/>
              </w:rPr>
            </w:pPr>
            <w:r w:rsidRPr="008050E5">
              <w:rPr>
                <w:rFonts w:ascii="Calibri" w:eastAsia="Times New Roman" w:hAnsi="Calibri" w:cs="Calibri"/>
                <w:lang w:eastAsia="en-GB"/>
              </w:rPr>
              <w:t>10</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42493006" w14:textId="3EB33078" w:rsidR="0018269E" w:rsidRPr="008050E5" w:rsidRDefault="002C3F86" w:rsidP="00375B57">
            <w:pPr>
              <w:spacing w:after="0" w:line="240" w:lineRule="auto"/>
              <w:rPr>
                <w:rFonts w:ascii="Calibri" w:eastAsia="Times New Roman" w:hAnsi="Calibri" w:cs="Calibri"/>
                <w:lang w:eastAsia="en-GB"/>
              </w:rPr>
            </w:pPr>
            <w:r>
              <w:rPr>
                <w:rFonts w:ascii="Calibri" w:eastAsia="Times New Roman" w:hAnsi="Calibri" w:cs="Calibri"/>
                <w:lang w:eastAsia="en-GB"/>
              </w:rPr>
              <w:t>7</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0CC43F15" w14:textId="77777777" w:rsidR="0018269E" w:rsidRPr="0018269E" w:rsidRDefault="0018269E" w:rsidP="00375B57">
            <w:pPr>
              <w:spacing w:after="0" w:line="240" w:lineRule="auto"/>
              <w:rPr>
                <w:rFonts w:ascii="Calibri" w:eastAsia="Times New Roman" w:hAnsi="Calibri" w:cs="Calibri"/>
                <w:color w:val="FF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5FB4C77E" w14:textId="77777777" w:rsidR="0018269E" w:rsidRPr="0018269E" w:rsidRDefault="0018269E" w:rsidP="00375B57">
            <w:pPr>
              <w:spacing w:after="0" w:line="240" w:lineRule="auto"/>
              <w:rPr>
                <w:rFonts w:ascii="Calibri" w:eastAsia="Times New Roman" w:hAnsi="Calibri" w:cs="Calibri"/>
                <w:color w:val="FF0000"/>
                <w:lang w:eastAsia="en-GB"/>
              </w:rPr>
            </w:pPr>
          </w:p>
        </w:tc>
      </w:tr>
      <w:tr w:rsidR="003B4919" w:rsidRPr="00375B57" w14:paraId="5B0BC5C9" w14:textId="77777777" w:rsidTr="00896D70">
        <w:trPr>
          <w:trHeight w:val="300"/>
        </w:trPr>
        <w:tc>
          <w:tcPr>
            <w:tcW w:w="1928" w:type="dxa"/>
            <w:tcBorders>
              <w:top w:val="single" w:sz="4" w:space="0" w:color="auto"/>
              <w:left w:val="single" w:sz="4" w:space="0" w:color="auto"/>
              <w:bottom w:val="single" w:sz="4" w:space="0" w:color="auto"/>
              <w:right w:val="nil"/>
            </w:tcBorders>
            <w:shd w:val="clear" w:color="auto" w:fill="auto"/>
            <w:noWrap/>
            <w:vAlign w:val="bottom"/>
          </w:tcPr>
          <w:p w14:paraId="6955BD67" w14:textId="407815FE" w:rsidR="003B4919" w:rsidRPr="003B4919" w:rsidRDefault="003B4919" w:rsidP="00375B57">
            <w:pPr>
              <w:spacing w:after="0" w:line="240" w:lineRule="auto"/>
              <w:rPr>
                <w:rFonts w:ascii="Calibri" w:eastAsia="Times New Roman" w:hAnsi="Calibri" w:cs="Calibri"/>
                <w:iCs/>
                <w:color w:val="000000"/>
                <w:lang w:eastAsia="en-GB"/>
              </w:rPr>
            </w:pPr>
            <w:r>
              <w:rPr>
                <w:rFonts w:ascii="Calibri" w:eastAsia="Times New Roman" w:hAnsi="Calibri" w:cs="Calibri"/>
                <w:iCs/>
                <w:color w:val="000000"/>
                <w:lang w:eastAsia="en-GB"/>
              </w:rPr>
              <w:t>Feasibility (%)</w:t>
            </w:r>
          </w:p>
        </w:tc>
        <w:tc>
          <w:tcPr>
            <w:tcW w:w="1360" w:type="dxa"/>
            <w:tcBorders>
              <w:top w:val="single" w:sz="4" w:space="0" w:color="auto"/>
              <w:left w:val="single" w:sz="4" w:space="0" w:color="auto"/>
              <w:bottom w:val="single" w:sz="4" w:space="0" w:color="auto"/>
              <w:right w:val="nil"/>
            </w:tcBorders>
            <w:shd w:val="clear" w:color="auto" w:fill="auto"/>
            <w:noWrap/>
            <w:vAlign w:val="bottom"/>
          </w:tcPr>
          <w:p w14:paraId="194FFD80" w14:textId="7DE75441"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92</w:t>
            </w:r>
          </w:p>
        </w:tc>
        <w:tc>
          <w:tcPr>
            <w:tcW w:w="1360" w:type="dxa"/>
            <w:tcBorders>
              <w:top w:val="single" w:sz="4" w:space="0" w:color="auto"/>
              <w:left w:val="nil"/>
              <w:bottom w:val="single" w:sz="4" w:space="0" w:color="auto"/>
              <w:right w:val="nil"/>
            </w:tcBorders>
            <w:shd w:val="clear" w:color="auto" w:fill="auto"/>
            <w:noWrap/>
            <w:vAlign w:val="bottom"/>
          </w:tcPr>
          <w:p w14:paraId="2CBCCC40" w14:textId="1FC05C18"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w:t>
            </w:r>
          </w:p>
        </w:tc>
        <w:tc>
          <w:tcPr>
            <w:tcW w:w="1360" w:type="dxa"/>
            <w:tcBorders>
              <w:top w:val="single" w:sz="4" w:space="0" w:color="auto"/>
              <w:left w:val="nil"/>
              <w:bottom w:val="single" w:sz="4" w:space="0" w:color="auto"/>
              <w:right w:val="nil"/>
            </w:tcBorders>
            <w:shd w:val="clear" w:color="auto" w:fill="auto"/>
            <w:noWrap/>
            <w:vAlign w:val="bottom"/>
          </w:tcPr>
          <w:p w14:paraId="61F4884B" w14:textId="70E8CB95"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w:t>
            </w:r>
          </w:p>
        </w:tc>
        <w:tc>
          <w:tcPr>
            <w:tcW w:w="1360" w:type="dxa"/>
            <w:tcBorders>
              <w:top w:val="single" w:sz="4" w:space="0" w:color="auto"/>
              <w:left w:val="nil"/>
              <w:bottom w:val="single" w:sz="4" w:space="0" w:color="auto"/>
              <w:right w:val="nil"/>
            </w:tcBorders>
            <w:shd w:val="clear" w:color="auto" w:fill="auto"/>
            <w:noWrap/>
            <w:vAlign w:val="bottom"/>
          </w:tcPr>
          <w:p w14:paraId="7D1D854D" w14:textId="2FA5CEB3"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85</w:t>
            </w:r>
          </w:p>
        </w:tc>
        <w:tc>
          <w:tcPr>
            <w:tcW w:w="1360" w:type="dxa"/>
            <w:tcBorders>
              <w:top w:val="single" w:sz="4" w:space="0" w:color="auto"/>
              <w:left w:val="nil"/>
              <w:bottom w:val="single" w:sz="4" w:space="0" w:color="auto"/>
              <w:right w:val="nil"/>
            </w:tcBorders>
            <w:shd w:val="clear" w:color="auto" w:fill="auto"/>
            <w:noWrap/>
            <w:vAlign w:val="bottom"/>
          </w:tcPr>
          <w:p w14:paraId="708FD5ED" w14:textId="5C569F01"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w:t>
            </w:r>
          </w:p>
        </w:tc>
        <w:tc>
          <w:tcPr>
            <w:tcW w:w="1360" w:type="dxa"/>
            <w:tcBorders>
              <w:top w:val="single" w:sz="4" w:space="0" w:color="auto"/>
              <w:left w:val="nil"/>
              <w:bottom w:val="single" w:sz="4" w:space="0" w:color="auto"/>
              <w:right w:val="nil"/>
            </w:tcBorders>
            <w:shd w:val="clear" w:color="auto" w:fill="auto"/>
            <w:noWrap/>
            <w:vAlign w:val="bottom"/>
          </w:tcPr>
          <w:p w14:paraId="590EE825" w14:textId="759D20BC"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77</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BECC7CE" w14:textId="4D4AE261" w:rsidR="003B4919" w:rsidRDefault="003B4919"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54</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35BA070C" w14:textId="77777777" w:rsidR="003B4919" w:rsidRDefault="003B4919" w:rsidP="00375B57">
            <w:pPr>
              <w:spacing w:after="0" w:line="240" w:lineRule="auto"/>
              <w:rPr>
                <w:rFonts w:ascii="Calibri" w:eastAsia="Times New Roman" w:hAnsi="Calibri" w:cs="Calibri"/>
                <w:color w:val="00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3CAD2FB3" w14:textId="77777777" w:rsidR="003B4919" w:rsidRPr="00375B57" w:rsidRDefault="003B4919" w:rsidP="00375B57">
            <w:pPr>
              <w:spacing w:after="0" w:line="240" w:lineRule="auto"/>
              <w:rPr>
                <w:rFonts w:ascii="Calibri" w:eastAsia="Times New Roman" w:hAnsi="Calibri" w:cs="Calibri"/>
                <w:color w:val="000000"/>
                <w:lang w:eastAsia="en-GB"/>
              </w:rPr>
            </w:pPr>
          </w:p>
        </w:tc>
      </w:tr>
      <w:tr w:rsidR="00911952" w:rsidRPr="00375B57" w14:paraId="30198864" w14:textId="77777777" w:rsidTr="00896D70">
        <w:trPr>
          <w:trHeight w:val="300"/>
        </w:trPr>
        <w:tc>
          <w:tcPr>
            <w:tcW w:w="1928" w:type="dxa"/>
            <w:tcBorders>
              <w:top w:val="single" w:sz="4" w:space="0" w:color="auto"/>
              <w:left w:val="single" w:sz="4" w:space="0" w:color="auto"/>
              <w:bottom w:val="single" w:sz="4" w:space="0" w:color="auto"/>
              <w:right w:val="nil"/>
            </w:tcBorders>
            <w:shd w:val="clear" w:color="auto" w:fill="auto"/>
            <w:noWrap/>
            <w:vAlign w:val="bottom"/>
          </w:tcPr>
          <w:p w14:paraId="2E11EF7F" w14:textId="0ED3F7FC" w:rsidR="00911952" w:rsidRPr="00911952" w:rsidRDefault="00911952" w:rsidP="00375B57">
            <w:pPr>
              <w:spacing w:after="0" w:line="240" w:lineRule="auto"/>
              <w:rPr>
                <w:rFonts w:ascii="Calibri" w:eastAsia="Times New Roman" w:hAnsi="Calibri" w:cs="Calibri"/>
                <w:iCs/>
                <w:color w:val="000000"/>
                <w:lang w:eastAsia="en-GB"/>
              </w:rPr>
            </w:pPr>
            <w:r>
              <w:rPr>
                <w:rFonts w:ascii="Calibri" w:eastAsia="Times New Roman" w:hAnsi="Calibri" w:cs="Calibri"/>
                <w:i/>
                <w:iCs/>
                <w:color w:val="000000"/>
                <w:lang w:eastAsia="en-GB"/>
              </w:rPr>
              <w:t>n</w:t>
            </w:r>
            <w:r>
              <w:rPr>
                <w:rFonts w:ascii="Calibri" w:eastAsia="Times New Roman" w:hAnsi="Calibri" w:cs="Calibri"/>
                <w:iCs/>
                <w:color w:val="000000"/>
                <w:lang w:eastAsia="en-GB"/>
              </w:rPr>
              <w:t xml:space="preserve"> (lysate SI%&gt;LOD)</w:t>
            </w:r>
          </w:p>
        </w:tc>
        <w:tc>
          <w:tcPr>
            <w:tcW w:w="1360" w:type="dxa"/>
            <w:tcBorders>
              <w:top w:val="single" w:sz="4" w:space="0" w:color="auto"/>
              <w:left w:val="single" w:sz="4" w:space="0" w:color="auto"/>
              <w:bottom w:val="single" w:sz="4" w:space="0" w:color="auto"/>
              <w:right w:val="nil"/>
            </w:tcBorders>
            <w:shd w:val="clear" w:color="auto" w:fill="auto"/>
            <w:noWrap/>
            <w:vAlign w:val="bottom"/>
          </w:tcPr>
          <w:p w14:paraId="011D95CF" w14:textId="12DC438B" w:rsidR="00911952"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1360" w:type="dxa"/>
            <w:tcBorders>
              <w:top w:val="single" w:sz="4" w:space="0" w:color="auto"/>
              <w:left w:val="nil"/>
              <w:bottom w:val="single" w:sz="4" w:space="0" w:color="auto"/>
              <w:right w:val="nil"/>
            </w:tcBorders>
            <w:shd w:val="clear" w:color="auto" w:fill="auto"/>
            <w:noWrap/>
            <w:vAlign w:val="bottom"/>
          </w:tcPr>
          <w:p w14:paraId="6708E24A" w14:textId="74DD29DA" w:rsidR="00911952" w:rsidRPr="00375B57"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60" w:type="dxa"/>
            <w:tcBorders>
              <w:top w:val="single" w:sz="4" w:space="0" w:color="auto"/>
              <w:left w:val="nil"/>
              <w:bottom w:val="single" w:sz="4" w:space="0" w:color="auto"/>
              <w:right w:val="nil"/>
            </w:tcBorders>
            <w:shd w:val="clear" w:color="auto" w:fill="auto"/>
            <w:noWrap/>
            <w:vAlign w:val="bottom"/>
          </w:tcPr>
          <w:p w14:paraId="5ADE24A6" w14:textId="639B8FF2" w:rsidR="00911952"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60" w:type="dxa"/>
            <w:tcBorders>
              <w:top w:val="single" w:sz="4" w:space="0" w:color="auto"/>
              <w:left w:val="nil"/>
              <w:bottom w:val="single" w:sz="4" w:space="0" w:color="auto"/>
              <w:right w:val="nil"/>
            </w:tcBorders>
            <w:shd w:val="clear" w:color="auto" w:fill="auto"/>
            <w:noWrap/>
            <w:vAlign w:val="bottom"/>
          </w:tcPr>
          <w:p w14:paraId="1730CB99" w14:textId="61EE2B93" w:rsidR="00911952"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1360" w:type="dxa"/>
            <w:tcBorders>
              <w:top w:val="single" w:sz="4" w:space="0" w:color="auto"/>
              <w:left w:val="nil"/>
              <w:bottom w:val="single" w:sz="4" w:space="0" w:color="auto"/>
              <w:right w:val="nil"/>
            </w:tcBorders>
            <w:shd w:val="clear" w:color="auto" w:fill="auto"/>
            <w:noWrap/>
            <w:vAlign w:val="bottom"/>
          </w:tcPr>
          <w:p w14:paraId="45FF7783" w14:textId="090A9F7D" w:rsidR="00911952"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360" w:type="dxa"/>
            <w:tcBorders>
              <w:top w:val="single" w:sz="4" w:space="0" w:color="auto"/>
              <w:left w:val="nil"/>
              <w:bottom w:val="single" w:sz="4" w:space="0" w:color="auto"/>
              <w:right w:val="nil"/>
            </w:tcBorders>
            <w:shd w:val="clear" w:color="auto" w:fill="auto"/>
            <w:noWrap/>
            <w:vAlign w:val="bottom"/>
          </w:tcPr>
          <w:p w14:paraId="7498A8A4" w14:textId="77954643" w:rsidR="00911952" w:rsidRPr="00375B57"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1F8A836E" w14:textId="34B57FF6" w:rsidR="00911952" w:rsidRPr="00375B57" w:rsidRDefault="00911952"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1FE0E383" w14:textId="77777777" w:rsidR="00911952" w:rsidRDefault="00911952" w:rsidP="00375B57">
            <w:pPr>
              <w:spacing w:after="0" w:line="240" w:lineRule="auto"/>
              <w:rPr>
                <w:rFonts w:ascii="Calibri" w:eastAsia="Times New Roman" w:hAnsi="Calibri" w:cs="Calibri"/>
                <w:color w:val="00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1184D62F" w14:textId="77777777" w:rsidR="00911952" w:rsidRPr="00375B57" w:rsidRDefault="00911952" w:rsidP="00375B57">
            <w:pPr>
              <w:spacing w:after="0" w:line="240" w:lineRule="auto"/>
              <w:rPr>
                <w:rFonts w:ascii="Calibri" w:eastAsia="Times New Roman" w:hAnsi="Calibri" w:cs="Calibri"/>
                <w:color w:val="000000"/>
                <w:lang w:eastAsia="en-GB"/>
              </w:rPr>
            </w:pPr>
          </w:p>
        </w:tc>
      </w:tr>
      <w:tr w:rsidR="00375B57" w:rsidRPr="00375B57" w14:paraId="559F9A67" w14:textId="77777777" w:rsidTr="00896D70">
        <w:trPr>
          <w:trHeight w:val="300"/>
        </w:trPr>
        <w:tc>
          <w:tcPr>
            <w:tcW w:w="1928" w:type="dxa"/>
            <w:tcBorders>
              <w:top w:val="single" w:sz="4" w:space="0" w:color="auto"/>
              <w:left w:val="single" w:sz="4" w:space="0" w:color="auto"/>
              <w:bottom w:val="single" w:sz="4" w:space="0" w:color="auto"/>
              <w:right w:val="nil"/>
            </w:tcBorders>
            <w:shd w:val="clear" w:color="auto" w:fill="auto"/>
            <w:noWrap/>
            <w:vAlign w:val="bottom"/>
            <w:hideMark/>
          </w:tcPr>
          <w:p w14:paraId="3020D970"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i/>
                <w:iCs/>
                <w:color w:val="000000"/>
                <w:lang w:eastAsia="en-GB"/>
              </w:rPr>
              <w:t xml:space="preserve">n </w:t>
            </w:r>
            <w:r w:rsidRPr="00375B57">
              <w:rPr>
                <w:rFonts w:ascii="Calibri" w:eastAsia="Times New Roman" w:hAnsi="Calibri" w:cs="Calibri"/>
                <w:color w:val="000000"/>
                <w:lang w:eastAsia="en-GB"/>
              </w:rPr>
              <w:t>(correlation)</w:t>
            </w:r>
          </w:p>
        </w:tc>
        <w:tc>
          <w:tcPr>
            <w:tcW w:w="1360" w:type="dxa"/>
            <w:tcBorders>
              <w:top w:val="single" w:sz="4" w:space="0" w:color="auto"/>
              <w:left w:val="single" w:sz="4" w:space="0" w:color="auto"/>
              <w:bottom w:val="single" w:sz="4" w:space="0" w:color="auto"/>
              <w:right w:val="nil"/>
            </w:tcBorders>
            <w:shd w:val="clear" w:color="auto" w:fill="auto"/>
            <w:noWrap/>
            <w:vAlign w:val="bottom"/>
            <w:hideMark/>
          </w:tcPr>
          <w:p w14:paraId="7742671D" w14:textId="6FBE4B1B" w:rsidR="00375B57" w:rsidRPr="00375B57" w:rsidRDefault="00D87DC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360" w:type="dxa"/>
            <w:tcBorders>
              <w:top w:val="single" w:sz="4" w:space="0" w:color="auto"/>
              <w:left w:val="nil"/>
              <w:bottom w:val="single" w:sz="4" w:space="0" w:color="auto"/>
              <w:right w:val="nil"/>
            </w:tcBorders>
            <w:shd w:val="clear" w:color="auto" w:fill="auto"/>
            <w:noWrap/>
            <w:vAlign w:val="bottom"/>
            <w:hideMark/>
          </w:tcPr>
          <w:p w14:paraId="497AC409"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6</w:t>
            </w:r>
          </w:p>
        </w:tc>
        <w:tc>
          <w:tcPr>
            <w:tcW w:w="1360" w:type="dxa"/>
            <w:tcBorders>
              <w:top w:val="single" w:sz="4" w:space="0" w:color="auto"/>
              <w:left w:val="nil"/>
              <w:bottom w:val="single" w:sz="4" w:space="0" w:color="auto"/>
              <w:right w:val="nil"/>
            </w:tcBorders>
            <w:shd w:val="clear" w:color="auto" w:fill="auto"/>
            <w:noWrap/>
            <w:vAlign w:val="bottom"/>
            <w:hideMark/>
          </w:tcPr>
          <w:p w14:paraId="05BF7AE5" w14:textId="57A2D8A2" w:rsidR="00375B57" w:rsidRPr="00375B57" w:rsidRDefault="00F1766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360" w:type="dxa"/>
            <w:tcBorders>
              <w:top w:val="single" w:sz="4" w:space="0" w:color="auto"/>
              <w:left w:val="nil"/>
              <w:bottom w:val="single" w:sz="4" w:space="0" w:color="auto"/>
              <w:right w:val="nil"/>
            </w:tcBorders>
            <w:shd w:val="clear" w:color="auto" w:fill="auto"/>
            <w:noWrap/>
            <w:vAlign w:val="bottom"/>
            <w:hideMark/>
          </w:tcPr>
          <w:p w14:paraId="1DDA4CB4" w14:textId="2D0B68E5" w:rsidR="00375B57" w:rsidRPr="00375B57" w:rsidRDefault="001F77A6"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360" w:type="dxa"/>
            <w:tcBorders>
              <w:top w:val="single" w:sz="4" w:space="0" w:color="auto"/>
              <w:left w:val="nil"/>
              <w:bottom w:val="single" w:sz="4" w:space="0" w:color="auto"/>
              <w:right w:val="nil"/>
            </w:tcBorders>
            <w:shd w:val="clear" w:color="auto" w:fill="auto"/>
            <w:noWrap/>
            <w:vAlign w:val="bottom"/>
            <w:hideMark/>
          </w:tcPr>
          <w:p w14:paraId="5ABD60FE" w14:textId="1349DC52" w:rsidR="00375B57" w:rsidRPr="00375B57" w:rsidRDefault="001F77A6"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60" w:type="dxa"/>
            <w:tcBorders>
              <w:top w:val="single" w:sz="4" w:space="0" w:color="auto"/>
              <w:left w:val="nil"/>
              <w:bottom w:val="single" w:sz="4" w:space="0" w:color="auto"/>
              <w:right w:val="nil"/>
            </w:tcBorders>
            <w:shd w:val="clear" w:color="auto" w:fill="auto"/>
            <w:noWrap/>
            <w:vAlign w:val="bottom"/>
            <w:hideMark/>
          </w:tcPr>
          <w:p w14:paraId="2E3ED4AE"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B71D9F9"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5</w:t>
            </w:r>
          </w:p>
        </w:tc>
        <w:tc>
          <w:tcPr>
            <w:tcW w:w="1394" w:type="dxa"/>
            <w:tcBorders>
              <w:top w:val="single" w:sz="4" w:space="0" w:color="auto"/>
              <w:left w:val="nil"/>
              <w:bottom w:val="single" w:sz="4" w:space="0" w:color="auto"/>
              <w:right w:val="nil"/>
            </w:tcBorders>
            <w:shd w:val="clear" w:color="auto" w:fill="auto"/>
            <w:noWrap/>
            <w:vAlign w:val="bottom"/>
            <w:hideMark/>
          </w:tcPr>
          <w:p w14:paraId="19C3F93B" w14:textId="4CCAA401" w:rsidR="00375B57" w:rsidRPr="00375B57" w:rsidRDefault="0083608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D02C3" w14:textId="36BE1E50" w:rsidR="00375B57" w:rsidRPr="00375B57" w:rsidRDefault="00896D70"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w:t>
            </w:r>
          </w:p>
        </w:tc>
      </w:tr>
      <w:tr w:rsidR="000B31BC" w:rsidRPr="00375B57" w14:paraId="5E4EE508" w14:textId="77777777" w:rsidTr="00896D70">
        <w:trPr>
          <w:trHeight w:val="300"/>
        </w:trPr>
        <w:tc>
          <w:tcPr>
            <w:tcW w:w="1928" w:type="dxa"/>
            <w:tcBorders>
              <w:top w:val="single" w:sz="4" w:space="0" w:color="auto"/>
              <w:left w:val="single" w:sz="4" w:space="0" w:color="auto"/>
              <w:bottom w:val="single" w:sz="4" w:space="0" w:color="auto"/>
              <w:right w:val="nil"/>
            </w:tcBorders>
            <w:shd w:val="clear" w:color="auto" w:fill="auto"/>
            <w:noWrap/>
            <w:vAlign w:val="bottom"/>
          </w:tcPr>
          <w:p w14:paraId="3FD78AC8" w14:textId="1361C36B" w:rsidR="000B31BC" w:rsidRPr="00176575" w:rsidRDefault="000B31BC" w:rsidP="00375B57">
            <w:pPr>
              <w:spacing w:after="0" w:line="240" w:lineRule="auto"/>
              <w:rPr>
                <w:rFonts w:ascii="Calibri" w:eastAsia="Times New Roman" w:hAnsi="Calibri" w:cs="Calibri"/>
                <w:iCs/>
                <w:color w:val="000000"/>
                <w:lang w:eastAsia="en-GB"/>
              </w:rPr>
            </w:pPr>
            <w:r w:rsidRPr="00176575">
              <w:rPr>
                <w:rFonts w:ascii="Calibri" w:eastAsia="Times New Roman" w:hAnsi="Calibri" w:cs="Calibri"/>
                <w:i/>
                <w:iCs/>
                <w:color w:val="000000"/>
                <w:lang w:eastAsia="en-GB"/>
              </w:rPr>
              <w:t>n</w:t>
            </w:r>
            <w:r w:rsidRPr="00176575">
              <w:rPr>
                <w:rFonts w:ascii="Calibri" w:eastAsia="Times New Roman" w:hAnsi="Calibri" w:cs="Calibri"/>
                <w:iCs/>
                <w:color w:val="000000"/>
                <w:lang w:eastAsia="en-GB"/>
              </w:rPr>
              <w:t xml:space="preserve"> (quantitation)</w:t>
            </w:r>
          </w:p>
        </w:tc>
        <w:tc>
          <w:tcPr>
            <w:tcW w:w="1360" w:type="dxa"/>
            <w:tcBorders>
              <w:top w:val="single" w:sz="4" w:space="0" w:color="auto"/>
              <w:left w:val="single" w:sz="4" w:space="0" w:color="auto"/>
              <w:bottom w:val="single" w:sz="4" w:space="0" w:color="auto"/>
              <w:right w:val="nil"/>
            </w:tcBorders>
            <w:shd w:val="clear" w:color="auto" w:fill="auto"/>
            <w:noWrap/>
            <w:vAlign w:val="bottom"/>
          </w:tcPr>
          <w:p w14:paraId="4AF3F04D" w14:textId="55DA3D57" w:rsidR="000B31BC" w:rsidRPr="00176575" w:rsidRDefault="000B31BC"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9</w:t>
            </w:r>
          </w:p>
        </w:tc>
        <w:tc>
          <w:tcPr>
            <w:tcW w:w="1360" w:type="dxa"/>
            <w:tcBorders>
              <w:top w:val="single" w:sz="4" w:space="0" w:color="auto"/>
              <w:left w:val="nil"/>
              <w:bottom w:val="single" w:sz="4" w:space="0" w:color="auto"/>
              <w:right w:val="nil"/>
            </w:tcBorders>
            <w:shd w:val="clear" w:color="auto" w:fill="auto"/>
            <w:noWrap/>
            <w:vAlign w:val="bottom"/>
          </w:tcPr>
          <w:p w14:paraId="0B56850E" w14:textId="201E7FE5" w:rsidR="000B31BC" w:rsidRPr="00176575" w:rsidRDefault="000B31BC"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5</w:t>
            </w:r>
          </w:p>
        </w:tc>
        <w:tc>
          <w:tcPr>
            <w:tcW w:w="1360" w:type="dxa"/>
            <w:tcBorders>
              <w:top w:val="single" w:sz="4" w:space="0" w:color="auto"/>
              <w:left w:val="nil"/>
              <w:bottom w:val="single" w:sz="4" w:space="0" w:color="auto"/>
              <w:right w:val="nil"/>
            </w:tcBorders>
            <w:shd w:val="clear" w:color="auto" w:fill="auto"/>
            <w:noWrap/>
            <w:vAlign w:val="bottom"/>
          </w:tcPr>
          <w:p w14:paraId="113B1DB7" w14:textId="704729B7" w:rsidR="000B31BC" w:rsidRPr="00176575" w:rsidRDefault="000B31BC"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4</w:t>
            </w:r>
          </w:p>
        </w:tc>
        <w:tc>
          <w:tcPr>
            <w:tcW w:w="1360" w:type="dxa"/>
            <w:tcBorders>
              <w:top w:val="single" w:sz="4" w:space="0" w:color="auto"/>
              <w:left w:val="nil"/>
              <w:bottom w:val="single" w:sz="4" w:space="0" w:color="auto"/>
              <w:right w:val="nil"/>
            </w:tcBorders>
            <w:shd w:val="clear" w:color="auto" w:fill="auto"/>
            <w:noWrap/>
            <w:vAlign w:val="bottom"/>
          </w:tcPr>
          <w:p w14:paraId="23EFAEBA" w14:textId="4AF675AF" w:rsidR="000B31BC" w:rsidRPr="00375B57" w:rsidRDefault="000B31BC" w:rsidP="00375B57">
            <w:pPr>
              <w:spacing w:after="0" w:line="240" w:lineRule="auto"/>
              <w:rPr>
                <w:rFonts w:ascii="Calibri" w:eastAsia="Times New Roman" w:hAnsi="Calibri" w:cs="Calibri"/>
                <w:color w:val="000000"/>
                <w:lang w:eastAsia="en-GB"/>
              </w:rPr>
            </w:pPr>
            <w:r w:rsidRPr="00176575">
              <w:rPr>
                <w:rFonts w:ascii="Calibri" w:eastAsia="Times New Roman" w:hAnsi="Calibri" w:cs="Calibri"/>
                <w:color w:val="000000"/>
                <w:lang w:eastAsia="en-GB"/>
              </w:rPr>
              <w:t>7</w:t>
            </w:r>
          </w:p>
        </w:tc>
        <w:tc>
          <w:tcPr>
            <w:tcW w:w="1360" w:type="dxa"/>
            <w:tcBorders>
              <w:top w:val="single" w:sz="4" w:space="0" w:color="auto"/>
              <w:left w:val="nil"/>
              <w:bottom w:val="single" w:sz="4" w:space="0" w:color="auto"/>
              <w:right w:val="nil"/>
              <w:tr2bl w:val="single" w:sz="4" w:space="0" w:color="auto"/>
            </w:tcBorders>
            <w:shd w:val="clear" w:color="auto" w:fill="auto"/>
            <w:noWrap/>
            <w:vAlign w:val="bottom"/>
          </w:tcPr>
          <w:p w14:paraId="3D0EE6B8" w14:textId="05653435" w:rsidR="000B31BC" w:rsidRPr="00375B57" w:rsidRDefault="000B31BC" w:rsidP="00375B57">
            <w:pPr>
              <w:spacing w:after="0" w:line="240" w:lineRule="auto"/>
              <w:rPr>
                <w:rFonts w:ascii="Calibri" w:eastAsia="Times New Roman" w:hAnsi="Calibri" w:cs="Calibri"/>
                <w:color w:val="000000"/>
                <w:lang w:eastAsia="en-GB"/>
              </w:rPr>
            </w:pPr>
          </w:p>
        </w:tc>
        <w:tc>
          <w:tcPr>
            <w:tcW w:w="1360" w:type="dxa"/>
            <w:tcBorders>
              <w:top w:val="single" w:sz="4" w:space="0" w:color="auto"/>
              <w:left w:val="nil"/>
              <w:bottom w:val="single" w:sz="4" w:space="0" w:color="auto"/>
              <w:right w:val="nil"/>
              <w:tr2bl w:val="single" w:sz="4" w:space="0" w:color="auto"/>
            </w:tcBorders>
            <w:shd w:val="clear" w:color="auto" w:fill="auto"/>
            <w:noWrap/>
            <w:vAlign w:val="bottom"/>
          </w:tcPr>
          <w:p w14:paraId="7FB5EFD1" w14:textId="77777777" w:rsidR="000B31BC" w:rsidRPr="00375B57" w:rsidRDefault="000B31BC" w:rsidP="00375B57">
            <w:pPr>
              <w:spacing w:after="0" w:line="240" w:lineRule="auto"/>
              <w:rPr>
                <w:rFonts w:ascii="Calibri" w:eastAsia="Times New Roman" w:hAnsi="Calibri" w:cs="Calibri"/>
                <w:color w:val="000000"/>
                <w:lang w:eastAsia="en-GB"/>
              </w:rPr>
            </w:pPr>
          </w:p>
        </w:tc>
        <w:tc>
          <w:tcPr>
            <w:tcW w:w="1360" w:type="dxa"/>
            <w:tcBorders>
              <w:top w:val="single" w:sz="4" w:space="0" w:color="auto"/>
              <w:left w:val="nil"/>
              <w:bottom w:val="single" w:sz="4" w:space="0" w:color="auto"/>
              <w:right w:val="single" w:sz="4" w:space="0" w:color="auto"/>
              <w:tr2bl w:val="single" w:sz="4" w:space="0" w:color="auto"/>
            </w:tcBorders>
            <w:shd w:val="clear" w:color="auto" w:fill="auto"/>
            <w:noWrap/>
            <w:vAlign w:val="bottom"/>
          </w:tcPr>
          <w:p w14:paraId="01BE1001" w14:textId="77777777" w:rsidR="000B31BC" w:rsidRPr="00375B57" w:rsidRDefault="000B31BC" w:rsidP="00375B57">
            <w:pPr>
              <w:spacing w:after="0" w:line="240" w:lineRule="auto"/>
              <w:rPr>
                <w:rFonts w:ascii="Calibri" w:eastAsia="Times New Roman" w:hAnsi="Calibri" w:cs="Calibri"/>
                <w:color w:val="000000"/>
                <w:lang w:eastAsia="en-GB"/>
              </w:rPr>
            </w:pPr>
          </w:p>
        </w:tc>
        <w:tc>
          <w:tcPr>
            <w:tcW w:w="1394" w:type="dxa"/>
            <w:tcBorders>
              <w:top w:val="single" w:sz="4" w:space="0" w:color="auto"/>
              <w:left w:val="single" w:sz="4" w:space="0" w:color="auto"/>
            </w:tcBorders>
            <w:shd w:val="clear" w:color="auto" w:fill="auto"/>
            <w:noWrap/>
            <w:vAlign w:val="bottom"/>
          </w:tcPr>
          <w:p w14:paraId="73789934" w14:textId="77777777" w:rsidR="000B31BC" w:rsidRPr="00375B57" w:rsidRDefault="000B31BC" w:rsidP="00375B57">
            <w:pPr>
              <w:spacing w:after="0" w:line="240" w:lineRule="auto"/>
              <w:rPr>
                <w:rFonts w:ascii="Calibri" w:eastAsia="Times New Roman" w:hAnsi="Calibri" w:cs="Calibri"/>
                <w:color w:val="000000"/>
                <w:lang w:eastAsia="en-GB"/>
              </w:rPr>
            </w:pPr>
          </w:p>
        </w:tc>
        <w:tc>
          <w:tcPr>
            <w:tcW w:w="1580" w:type="dxa"/>
            <w:tcBorders>
              <w:top w:val="single" w:sz="4" w:space="0" w:color="auto"/>
              <w:left w:val="nil"/>
            </w:tcBorders>
            <w:shd w:val="clear" w:color="auto" w:fill="auto"/>
            <w:noWrap/>
            <w:vAlign w:val="bottom"/>
          </w:tcPr>
          <w:p w14:paraId="749A4B7D" w14:textId="77777777" w:rsidR="000B31BC" w:rsidRPr="00375B57" w:rsidRDefault="000B31BC" w:rsidP="00375B57">
            <w:pPr>
              <w:spacing w:after="0" w:line="240" w:lineRule="auto"/>
              <w:rPr>
                <w:rFonts w:ascii="Calibri" w:eastAsia="Times New Roman" w:hAnsi="Calibri" w:cs="Calibri"/>
                <w:color w:val="000000"/>
                <w:lang w:eastAsia="en-GB"/>
              </w:rPr>
            </w:pPr>
          </w:p>
        </w:tc>
      </w:tr>
    </w:tbl>
    <w:p w14:paraId="7CD52A1E" w14:textId="77777777" w:rsidR="00176575" w:rsidRDefault="00176575" w:rsidP="00C9138E">
      <w:pPr>
        <w:jc w:val="both"/>
        <w:rPr>
          <w:b/>
          <w:sz w:val="24"/>
          <w:szCs w:val="24"/>
        </w:rPr>
      </w:pPr>
    </w:p>
    <w:p w14:paraId="2FFDD624" w14:textId="314B4928" w:rsidR="00C9138E" w:rsidRDefault="00C9138E" w:rsidP="00C9138E">
      <w:pPr>
        <w:jc w:val="both"/>
        <w:rPr>
          <w:b/>
          <w:sz w:val="24"/>
          <w:szCs w:val="24"/>
        </w:rPr>
      </w:pPr>
      <w:r>
        <w:rPr>
          <w:b/>
          <w:sz w:val="24"/>
          <w:szCs w:val="24"/>
        </w:rPr>
        <w:t>Figure A.</w:t>
      </w:r>
      <w:r w:rsidR="00DE34A4">
        <w:rPr>
          <w:b/>
          <w:sz w:val="24"/>
          <w:szCs w:val="24"/>
        </w:rPr>
        <w:t>2</w:t>
      </w:r>
      <w:r w:rsidRPr="0081245D">
        <w:rPr>
          <w:b/>
          <w:sz w:val="24"/>
          <w:szCs w:val="24"/>
        </w:rPr>
        <w:t xml:space="preserve"> </w:t>
      </w:r>
      <w:r>
        <w:rPr>
          <w:b/>
          <w:sz w:val="24"/>
          <w:szCs w:val="24"/>
        </w:rPr>
        <w:t xml:space="preserve">Feasibility data (standard dose patients). </w:t>
      </w:r>
      <w:bookmarkStart w:id="2" w:name="OLE_LINK1"/>
      <w:r w:rsidR="000272DD" w:rsidRPr="00BC5D7C">
        <w:rPr>
          <w:sz w:val="24"/>
          <w:szCs w:val="24"/>
        </w:rPr>
        <w:t xml:space="preserve">1, lysate produced; </w:t>
      </w:r>
      <w:r w:rsidR="000272DD">
        <w:rPr>
          <w:sz w:val="24"/>
          <w:szCs w:val="24"/>
        </w:rPr>
        <w:t>0</w:t>
      </w:r>
      <w:r w:rsidR="000272DD" w:rsidRPr="006C7230">
        <w:rPr>
          <w:sz w:val="24"/>
          <w:szCs w:val="24"/>
        </w:rPr>
        <w:t>, no</w:t>
      </w:r>
      <w:r w:rsidR="000272DD">
        <w:rPr>
          <w:sz w:val="24"/>
          <w:szCs w:val="24"/>
        </w:rPr>
        <w:t xml:space="preserve"> lysate produced</w:t>
      </w:r>
      <w:r w:rsidR="00896D70">
        <w:rPr>
          <w:sz w:val="24"/>
          <w:szCs w:val="24"/>
        </w:rPr>
        <w:t>;</w:t>
      </w:r>
      <w:r w:rsidR="00955E51" w:rsidRPr="006C7230">
        <w:rPr>
          <w:sz w:val="24"/>
          <w:szCs w:val="24"/>
        </w:rPr>
        <w:t xml:space="preserve"> </w:t>
      </w:r>
      <w:r w:rsidRPr="006C7230">
        <w:rPr>
          <w:sz w:val="24"/>
          <w:szCs w:val="24"/>
        </w:rPr>
        <w:t>&lt;LOD, below limit of detection</w:t>
      </w:r>
      <w:bookmarkEnd w:id="2"/>
      <w:r w:rsidR="00896D70">
        <w:rPr>
          <w:sz w:val="24"/>
          <w:szCs w:val="24"/>
        </w:rPr>
        <w:t>; *</w:t>
      </w:r>
      <w:r w:rsidR="000B31BC" w:rsidRPr="006C7230">
        <w:rPr>
          <w:sz w:val="24"/>
          <w:szCs w:val="24"/>
        </w:rPr>
        <w:t>below limit of quantitation.</w:t>
      </w:r>
    </w:p>
    <w:p w14:paraId="794EF319" w14:textId="77777777" w:rsidR="00375B57" w:rsidRDefault="00375B57" w:rsidP="00BC1CD9">
      <w:pPr>
        <w:jc w:val="both"/>
        <w:rPr>
          <w:b/>
          <w:sz w:val="24"/>
          <w:szCs w:val="24"/>
        </w:rPr>
      </w:pPr>
    </w:p>
    <w:p w14:paraId="68526E6C" w14:textId="4B2B2710" w:rsidR="00375B57" w:rsidRDefault="00375B57" w:rsidP="00BC1CD9">
      <w:pPr>
        <w:jc w:val="both"/>
        <w:rPr>
          <w:b/>
          <w:sz w:val="24"/>
          <w:szCs w:val="24"/>
        </w:rPr>
      </w:pPr>
    </w:p>
    <w:tbl>
      <w:tblPr>
        <w:tblW w:w="14256" w:type="dxa"/>
        <w:tblInd w:w="-142" w:type="dxa"/>
        <w:tblLayout w:type="fixed"/>
        <w:tblLook w:val="04A0" w:firstRow="1" w:lastRow="0" w:firstColumn="1" w:lastColumn="0" w:noHBand="0" w:noVBand="1"/>
      </w:tblPr>
      <w:tblGrid>
        <w:gridCol w:w="1959"/>
        <w:gridCol w:w="1331"/>
        <w:gridCol w:w="1332"/>
        <w:gridCol w:w="1332"/>
        <w:gridCol w:w="1332"/>
        <w:gridCol w:w="1332"/>
        <w:gridCol w:w="1332"/>
        <w:gridCol w:w="1332"/>
        <w:gridCol w:w="1394"/>
        <w:gridCol w:w="1580"/>
      </w:tblGrid>
      <w:tr w:rsidR="00375B57" w:rsidRPr="00375B57" w14:paraId="3C615363" w14:textId="77777777" w:rsidTr="00140259">
        <w:trPr>
          <w:trHeight w:val="600"/>
        </w:trPr>
        <w:tc>
          <w:tcPr>
            <w:tcW w:w="1959" w:type="dxa"/>
            <w:tcBorders>
              <w:top w:val="nil"/>
              <w:left w:val="nil"/>
              <w:bottom w:val="nil"/>
              <w:right w:val="nil"/>
            </w:tcBorders>
            <w:shd w:val="clear" w:color="auto" w:fill="auto"/>
            <w:vAlign w:val="bottom"/>
            <w:hideMark/>
          </w:tcPr>
          <w:p w14:paraId="34E0314E" w14:textId="77777777" w:rsidR="00375B57" w:rsidRPr="00375B57" w:rsidRDefault="00375B57" w:rsidP="00375B57">
            <w:pPr>
              <w:spacing w:after="0" w:line="240" w:lineRule="auto"/>
              <w:rPr>
                <w:rFonts w:ascii="Times New Roman" w:eastAsia="Times New Roman" w:hAnsi="Times New Roman" w:cs="Times New Roman"/>
                <w:sz w:val="24"/>
                <w:szCs w:val="24"/>
                <w:lang w:eastAsia="en-GB"/>
              </w:rPr>
            </w:pPr>
          </w:p>
        </w:tc>
        <w:tc>
          <w:tcPr>
            <w:tcW w:w="9323"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17D049D7" w14:textId="3860875D" w:rsidR="00375B57" w:rsidRPr="00375B57" w:rsidRDefault="000272DD" w:rsidP="00375B5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Lysate produced (1) or no lysate produced (0)</w:t>
            </w:r>
          </w:p>
        </w:tc>
        <w:tc>
          <w:tcPr>
            <w:tcW w:w="1394" w:type="dxa"/>
            <w:tcBorders>
              <w:top w:val="single" w:sz="4" w:space="0" w:color="auto"/>
              <w:left w:val="nil"/>
              <w:bottom w:val="single" w:sz="4" w:space="0" w:color="auto"/>
              <w:right w:val="nil"/>
            </w:tcBorders>
            <w:shd w:val="clear" w:color="auto" w:fill="auto"/>
            <w:vAlign w:val="bottom"/>
            <w:hideMark/>
          </w:tcPr>
          <w:p w14:paraId="2CAD820A"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Quantitation</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297AC"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Flow cytometry (day 0 vs 28)</w:t>
            </w:r>
          </w:p>
        </w:tc>
      </w:tr>
      <w:tr w:rsidR="00375B57" w:rsidRPr="00375B57" w14:paraId="4AEE3F7E"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vAlign w:val="bottom"/>
            <w:hideMark/>
          </w:tcPr>
          <w:p w14:paraId="7CC8D5C0"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Patient ID</w:t>
            </w:r>
          </w:p>
        </w:tc>
        <w:tc>
          <w:tcPr>
            <w:tcW w:w="1331" w:type="dxa"/>
            <w:tcBorders>
              <w:top w:val="nil"/>
              <w:left w:val="single" w:sz="4" w:space="0" w:color="auto"/>
              <w:bottom w:val="nil"/>
              <w:right w:val="nil"/>
            </w:tcBorders>
            <w:shd w:val="clear" w:color="auto" w:fill="auto"/>
            <w:vAlign w:val="bottom"/>
            <w:hideMark/>
          </w:tcPr>
          <w:p w14:paraId="3FBD3052"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w:t>
            </w:r>
          </w:p>
        </w:tc>
        <w:tc>
          <w:tcPr>
            <w:tcW w:w="1332" w:type="dxa"/>
            <w:tcBorders>
              <w:top w:val="nil"/>
              <w:left w:val="nil"/>
              <w:bottom w:val="nil"/>
              <w:right w:val="nil"/>
            </w:tcBorders>
            <w:shd w:val="clear" w:color="auto" w:fill="auto"/>
            <w:vAlign w:val="bottom"/>
            <w:hideMark/>
          </w:tcPr>
          <w:p w14:paraId="57F38025"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w:t>
            </w:r>
          </w:p>
        </w:tc>
        <w:tc>
          <w:tcPr>
            <w:tcW w:w="1332" w:type="dxa"/>
            <w:tcBorders>
              <w:top w:val="nil"/>
              <w:left w:val="nil"/>
              <w:bottom w:val="nil"/>
              <w:right w:val="nil"/>
            </w:tcBorders>
            <w:shd w:val="clear" w:color="auto" w:fill="auto"/>
            <w:vAlign w:val="bottom"/>
            <w:hideMark/>
          </w:tcPr>
          <w:p w14:paraId="3387FAC9"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t=8</w:t>
            </w:r>
          </w:p>
        </w:tc>
        <w:tc>
          <w:tcPr>
            <w:tcW w:w="1332" w:type="dxa"/>
            <w:tcBorders>
              <w:top w:val="nil"/>
              <w:left w:val="nil"/>
              <w:bottom w:val="nil"/>
              <w:right w:val="nil"/>
            </w:tcBorders>
            <w:shd w:val="clear" w:color="auto" w:fill="auto"/>
            <w:vAlign w:val="bottom"/>
            <w:hideMark/>
          </w:tcPr>
          <w:p w14:paraId="02ACC7B7"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t=12</w:t>
            </w:r>
          </w:p>
        </w:tc>
        <w:tc>
          <w:tcPr>
            <w:tcW w:w="1332" w:type="dxa"/>
            <w:tcBorders>
              <w:top w:val="nil"/>
              <w:left w:val="nil"/>
              <w:bottom w:val="nil"/>
              <w:right w:val="nil"/>
            </w:tcBorders>
            <w:shd w:val="clear" w:color="auto" w:fill="auto"/>
            <w:vAlign w:val="bottom"/>
            <w:hideMark/>
          </w:tcPr>
          <w:p w14:paraId="39767107"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t=24</w:t>
            </w:r>
          </w:p>
        </w:tc>
        <w:tc>
          <w:tcPr>
            <w:tcW w:w="1332" w:type="dxa"/>
            <w:tcBorders>
              <w:top w:val="nil"/>
              <w:left w:val="nil"/>
              <w:bottom w:val="nil"/>
              <w:right w:val="nil"/>
            </w:tcBorders>
            <w:shd w:val="clear" w:color="auto" w:fill="auto"/>
            <w:vAlign w:val="bottom"/>
            <w:hideMark/>
          </w:tcPr>
          <w:p w14:paraId="0FDAE035"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t=48</w:t>
            </w:r>
          </w:p>
        </w:tc>
        <w:tc>
          <w:tcPr>
            <w:tcW w:w="1332" w:type="dxa"/>
            <w:tcBorders>
              <w:top w:val="nil"/>
              <w:left w:val="nil"/>
              <w:bottom w:val="nil"/>
              <w:right w:val="single" w:sz="4" w:space="0" w:color="auto"/>
            </w:tcBorders>
            <w:shd w:val="clear" w:color="auto" w:fill="auto"/>
            <w:vAlign w:val="bottom"/>
            <w:hideMark/>
          </w:tcPr>
          <w:p w14:paraId="5AD80062"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t=72</w:t>
            </w:r>
          </w:p>
        </w:tc>
        <w:tc>
          <w:tcPr>
            <w:tcW w:w="1394" w:type="dxa"/>
            <w:tcBorders>
              <w:top w:val="nil"/>
              <w:left w:val="nil"/>
              <w:bottom w:val="nil"/>
              <w:right w:val="nil"/>
            </w:tcBorders>
            <w:shd w:val="clear" w:color="auto" w:fill="auto"/>
            <w:vAlign w:val="bottom"/>
            <w:hideMark/>
          </w:tcPr>
          <w:p w14:paraId="2B93931C"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AUC</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14:paraId="577F550A" w14:textId="77777777" w:rsidR="00375B57" w:rsidRPr="00375B57" w:rsidRDefault="00375B57" w:rsidP="00375B57">
            <w:pPr>
              <w:spacing w:after="0" w:line="240" w:lineRule="auto"/>
              <w:rPr>
                <w:rFonts w:ascii="Calibri" w:eastAsia="Times New Roman" w:hAnsi="Calibri" w:cs="Calibri"/>
                <w:b/>
                <w:bCs/>
                <w:lang w:eastAsia="en-GB"/>
              </w:rPr>
            </w:pPr>
            <w:r w:rsidRPr="00375B57">
              <w:rPr>
                <w:rFonts w:ascii="Calibri" w:eastAsia="Times New Roman" w:hAnsi="Calibri" w:cs="Calibri"/>
                <w:b/>
                <w:bCs/>
                <w:lang w:eastAsia="en-GB"/>
              </w:rPr>
              <w:t>log10 reduction</w:t>
            </w:r>
          </w:p>
        </w:tc>
      </w:tr>
      <w:tr w:rsidR="00BC5D7C" w:rsidRPr="00375B57" w14:paraId="4AB7BA18" w14:textId="77777777" w:rsidTr="00140259">
        <w:trPr>
          <w:trHeight w:val="300"/>
        </w:trPr>
        <w:tc>
          <w:tcPr>
            <w:tcW w:w="1959" w:type="dxa"/>
            <w:tcBorders>
              <w:top w:val="nil"/>
              <w:left w:val="single" w:sz="4" w:space="0" w:color="auto"/>
              <w:bottom w:val="nil"/>
              <w:right w:val="nil"/>
            </w:tcBorders>
            <w:shd w:val="clear" w:color="auto" w:fill="auto"/>
            <w:noWrap/>
            <w:vAlign w:val="bottom"/>
            <w:hideMark/>
          </w:tcPr>
          <w:p w14:paraId="31069CF7"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5</w:t>
            </w:r>
          </w:p>
        </w:tc>
        <w:tc>
          <w:tcPr>
            <w:tcW w:w="1331" w:type="dxa"/>
            <w:tcBorders>
              <w:top w:val="single" w:sz="4" w:space="0" w:color="auto"/>
              <w:left w:val="single" w:sz="4" w:space="0" w:color="auto"/>
              <w:bottom w:val="nil"/>
              <w:right w:val="nil"/>
            </w:tcBorders>
            <w:shd w:val="clear" w:color="auto" w:fill="auto"/>
            <w:noWrap/>
            <w:vAlign w:val="bottom"/>
            <w:hideMark/>
          </w:tcPr>
          <w:p w14:paraId="65C0818D" w14:textId="666FD0AF"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nil"/>
              <w:right w:val="nil"/>
            </w:tcBorders>
            <w:shd w:val="clear" w:color="auto" w:fill="auto"/>
            <w:noWrap/>
            <w:vAlign w:val="bottom"/>
            <w:hideMark/>
          </w:tcPr>
          <w:p w14:paraId="2536E58D" w14:textId="135F92E7"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nil"/>
              <w:right w:val="nil"/>
            </w:tcBorders>
            <w:shd w:val="clear" w:color="auto" w:fill="auto"/>
            <w:noWrap/>
            <w:vAlign w:val="bottom"/>
            <w:hideMark/>
          </w:tcPr>
          <w:p w14:paraId="46111835" w14:textId="33845C37"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nil"/>
              <w:right w:val="nil"/>
            </w:tcBorders>
            <w:shd w:val="clear" w:color="auto" w:fill="auto"/>
            <w:noWrap/>
            <w:vAlign w:val="bottom"/>
            <w:hideMark/>
          </w:tcPr>
          <w:p w14:paraId="18DA75C2" w14:textId="3299940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nil"/>
              <w:right w:val="nil"/>
            </w:tcBorders>
            <w:shd w:val="clear" w:color="auto" w:fill="auto"/>
            <w:noWrap/>
            <w:vAlign w:val="bottom"/>
            <w:hideMark/>
          </w:tcPr>
          <w:p w14:paraId="0FE4586A" w14:textId="23150E63"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32" w:type="dxa"/>
            <w:tcBorders>
              <w:top w:val="single" w:sz="4" w:space="0" w:color="auto"/>
              <w:left w:val="nil"/>
              <w:bottom w:val="nil"/>
              <w:right w:val="nil"/>
            </w:tcBorders>
            <w:shd w:val="clear" w:color="auto" w:fill="auto"/>
            <w:noWrap/>
            <w:vAlign w:val="bottom"/>
            <w:hideMark/>
          </w:tcPr>
          <w:p w14:paraId="4620922E" w14:textId="573EA7C6"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single" w:sz="4" w:space="0" w:color="auto"/>
              <w:left w:val="nil"/>
              <w:bottom w:val="nil"/>
              <w:right w:val="nil"/>
            </w:tcBorders>
            <w:shd w:val="clear" w:color="auto" w:fill="auto"/>
            <w:noWrap/>
            <w:vAlign w:val="bottom"/>
            <w:hideMark/>
          </w:tcPr>
          <w:p w14:paraId="6A94C6F9" w14:textId="1CAB92D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single" w:sz="4" w:space="0" w:color="auto"/>
              <w:left w:val="single" w:sz="4" w:space="0" w:color="auto"/>
              <w:bottom w:val="nil"/>
              <w:right w:val="single" w:sz="4" w:space="0" w:color="auto"/>
            </w:tcBorders>
            <w:shd w:val="clear" w:color="auto" w:fill="auto"/>
            <w:noWrap/>
            <w:vAlign w:val="bottom"/>
            <w:hideMark/>
          </w:tcPr>
          <w:p w14:paraId="68A23D9C" w14:textId="7191B091" w:rsidR="00BC5D7C" w:rsidRPr="00375B57" w:rsidRDefault="00BC5D7C" w:rsidP="00BC5D7C">
            <w:pPr>
              <w:spacing w:after="0" w:line="240" w:lineRule="auto"/>
              <w:rPr>
                <w:rFonts w:ascii="Calibri" w:eastAsia="Times New Roman" w:hAnsi="Calibri" w:cs="Calibri"/>
                <w:lang w:eastAsia="en-GB"/>
              </w:rPr>
            </w:pPr>
            <w:r>
              <w:rPr>
                <w:rFonts w:ascii="Calibri" w:eastAsia="Times New Roman" w:hAnsi="Calibri" w:cs="Calibri"/>
                <w:lang w:eastAsia="en-GB"/>
              </w:rPr>
              <w:t>1</w:t>
            </w:r>
          </w:p>
        </w:tc>
        <w:tc>
          <w:tcPr>
            <w:tcW w:w="1580" w:type="dxa"/>
            <w:tcBorders>
              <w:top w:val="nil"/>
              <w:left w:val="nil"/>
              <w:bottom w:val="nil"/>
              <w:right w:val="single" w:sz="4" w:space="0" w:color="auto"/>
            </w:tcBorders>
            <w:shd w:val="clear" w:color="auto" w:fill="auto"/>
            <w:noWrap/>
            <w:vAlign w:val="bottom"/>
            <w:hideMark/>
          </w:tcPr>
          <w:p w14:paraId="33226CE1" w14:textId="1247148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C5D7C" w:rsidRPr="00375B57" w14:paraId="06696F69" w14:textId="77777777" w:rsidTr="00140259">
        <w:trPr>
          <w:trHeight w:val="300"/>
        </w:trPr>
        <w:tc>
          <w:tcPr>
            <w:tcW w:w="1959" w:type="dxa"/>
            <w:tcBorders>
              <w:top w:val="nil"/>
              <w:left w:val="single" w:sz="4" w:space="0" w:color="auto"/>
              <w:bottom w:val="nil"/>
              <w:right w:val="nil"/>
            </w:tcBorders>
            <w:shd w:val="clear" w:color="auto" w:fill="auto"/>
            <w:noWrap/>
            <w:vAlign w:val="bottom"/>
            <w:hideMark/>
          </w:tcPr>
          <w:p w14:paraId="056B1A11"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8</w:t>
            </w:r>
          </w:p>
        </w:tc>
        <w:tc>
          <w:tcPr>
            <w:tcW w:w="1331" w:type="dxa"/>
            <w:tcBorders>
              <w:top w:val="nil"/>
              <w:left w:val="single" w:sz="4" w:space="0" w:color="auto"/>
              <w:bottom w:val="nil"/>
              <w:right w:val="nil"/>
            </w:tcBorders>
            <w:shd w:val="clear" w:color="auto" w:fill="auto"/>
            <w:noWrap/>
            <w:vAlign w:val="bottom"/>
            <w:hideMark/>
          </w:tcPr>
          <w:p w14:paraId="78D3AE80" w14:textId="704FA19B"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6BDA6AC5" w14:textId="36174CFE"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353EF497" w14:textId="5EE785B0"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4B3A036C" w14:textId="233B9A90"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0BA2136A" w14:textId="77777777" w:rsidR="00BC5D7C" w:rsidRPr="00375B57" w:rsidRDefault="00BC5D7C" w:rsidP="00BC5D7C">
            <w:pPr>
              <w:spacing w:after="0" w:line="240" w:lineRule="auto"/>
              <w:rPr>
                <w:rFonts w:ascii="Calibri" w:eastAsia="Times New Roman" w:hAnsi="Calibri" w:cs="Calibri"/>
                <w:color w:val="000000"/>
                <w:lang w:eastAsia="en-GB"/>
              </w:rPr>
            </w:pPr>
            <w:proofErr w:type="spellStart"/>
            <w:r w:rsidRPr="00375B57">
              <w:rPr>
                <w:rFonts w:ascii="Calibri" w:eastAsia="Times New Roman" w:hAnsi="Calibri" w:cs="Calibri"/>
                <w:color w:val="000000"/>
                <w:lang w:eastAsia="en-GB"/>
              </w:rPr>
              <w:t>w.d</w:t>
            </w:r>
            <w:proofErr w:type="spellEnd"/>
            <w:r w:rsidRPr="00375B57">
              <w:rPr>
                <w:rFonts w:ascii="Calibri" w:eastAsia="Times New Roman" w:hAnsi="Calibri" w:cs="Calibri"/>
                <w:color w:val="000000"/>
                <w:lang w:eastAsia="en-GB"/>
              </w:rPr>
              <w:t>.</w:t>
            </w:r>
          </w:p>
        </w:tc>
        <w:tc>
          <w:tcPr>
            <w:tcW w:w="1332" w:type="dxa"/>
            <w:tcBorders>
              <w:top w:val="nil"/>
              <w:left w:val="nil"/>
              <w:bottom w:val="nil"/>
              <w:right w:val="nil"/>
            </w:tcBorders>
            <w:shd w:val="clear" w:color="auto" w:fill="auto"/>
            <w:noWrap/>
            <w:vAlign w:val="bottom"/>
            <w:hideMark/>
          </w:tcPr>
          <w:p w14:paraId="63CF806E" w14:textId="77777777" w:rsidR="00BC5D7C" w:rsidRPr="00375B57" w:rsidRDefault="00BC5D7C" w:rsidP="00BC5D7C">
            <w:pPr>
              <w:spacing w:after="0" w:line="240" w:lineRule="auto"/>
              <w:rPr>
                <w:rFonts w:ascii="Calibri" w:eastAsia="Times New Roman" w:hAnsi="Calibri" w:cs="Calibri"/>
                <w:color w:val="000000"/>
                <w:lang w:eastAsia="en-GB"/>
              </w:rPr>
            </w:pPr>
            <w:proofErr w:type="spellStart"/>
            <w:r w:rsidRPr="00375B57">
              <w:rPr>
                <w:rFonts w:ascii="Calibri" w:eastAsia="Times New Roman" w:hAnsi="Calibri" w:cs="Calibri"/>
                <w:color w:val="000000"/>
                <w:lang w:eastAsia="en-GB"/>
              </w:rPr>
              <w:t>w.d</w:t>
            </w:r>
            <w:proofErr w:type="spellEnd"/>
            <w:r w:rsidRPr="00375B57">
              <w:rPr>
                <w:rFonts w:ascii="Calibri" w:eastAsia="Times New Roman" w:hAnsi="Calibri" w:cs="Calibri"/>
                <w:color w:val="000000"/>
                <w:lang w:eastAsia="en-GB"/>
              </w:rPr>
              <w:t>.</w:t>
            </w:r>
          </w:p>
        </w:tc>
        <w:tc>
          <w:tcPr>
            <w:tcW w:w="1332" w:type="dxa"/>
            <w:tcBorders>
              <w:top w:val="nil"/>
              <w:left w:val="nil"/>
              <w:bottom w:val="nil"/>
              <w:right w:val="nil"/>
            </w:tcBorders>
            <w:shd w:val="clear" w:color="auto" w:fill="auto"/>
            <w:noWrap/>
            <w:vAlign w:val="bottom"/>
            <w:hideMark/>
          </w:tcPr>
          <w:p w14:paraId="2A7EDB45" w14:textId="77777777" w:rsidR="00BC5D7C" w:rsidRPr="00375B57" w:rsidRDefault="00BC5D7C" w:rsidP="00BC5D7C">
            <w:pPr>
              <w:spacing w:after="0" w:line="240" w:lineRule="auto"/>
              <w:rPr>
                <w:rFonts w:ascii="Calibri" w:eastAsia="Times New Roman" w:hAnsi="Calibri" w:cs="Calibri"/>
                <w:color w:val="000000"/>
                <w:lang w:eastAsia="en-GB"/>
              </w:rPr>
            </w:pPr>
            <w:proofErr w:type="spellStart"/>
            <w:r w:rsidRPr="00375B57">
              <w:rPr>
                <w:rFonts w:ascii="Calibri" w:eastAsia="Times New Roman" w:hAnsi="Calibri" w:cs="Calibri"/>
                <w:color w:val="000000"/>
                <w:lang w:eastAsia="en-GB"/>
              </w:rPr>
              <w:t>w.d</w:t>
            </w:r>
            <w:proofErr w:type="spellEnd"/>
            <w:r w:rsidRPr="00375B57">
              <w:rPr>
                <w:rFonts w:ascii="Calibri" w:eastAsia="Times New Roman" w:hAnsi="Calibri" w:cs="Calibri"/>
                <w:color w:val="000000"/>
                <w:lang w:eastAsia="en-GB"/>
              </w:rPr>
              <w:t>.</w:t>
            </w:r>
          </w:p>
        </w:tc>
        <w:tc>
          <w:tcPr>
            <w:tcW w:w="1394" w:type="dxa"/>
            <w:tcBorders>
              <w:top w:val="nil"/>
              <w:left w:val="single" w:sz="4" w:space="0" w:color="auto"/>
              <w:bottom w:val="nil"/>
              <w:right w:val="single" w:sz="4" w:space="0" w:color="auto"/>
            </w:tcBorders>
            <w:shd w:val="clear" w:color="auto" w:fill="auto"/>
            <w:noWrap/>
            <w:vAlign w:val="bottom"/>
            <w:hideMark/>
          </w:tcPr>
          <w:p w14:paraId="5FAEC1B4" w14:textId="778DD225" w:rsidR="00BC5D7C" w:rsidRPr="00375B57" w:rsidRDefault="00BC5D7C" w:rsidP="00BC5D7C">
            <w:pPr>
              <w:spacing w:after="0" w:line="240" w:lineRule="auto"/>
              <w:rPr>
                <w:rFonts w:ascii="Calibri" w:eastAsia="Times New Roman" w:hAnsi="Calibri" w:cs="Calibri"/>
                <w:lang w:eastAsia="en-GB"/>
              </w:rPr>
            </w:pPr>
            <w:r>
              <w:rPr>
                <w:rFonts w:ascii="Calibri" w:eastAsia="Times New Roman" w:hAnsi="Calibri" w:cs="Calibri"/>
                <w:lang w:eastAsia="en-GB"/>
              </w:rPr>
              <w:t>1</w:t>
            </w:r>
          </w:p>
        </w:tc>
        <w:tc>
          <w:tcPr>
            <w:tcW w:w="1580" w:type="dxa"/>
            <w:tcBorders>
              <w:top w:val="nil"/>
              <w:left w:val="nil"/>
              <w:bottom w:val="nil"/>
              <w:right w:val="single" w:sz="4" w:space="0" w:color="auto"/>
            </w:tcBorders>
            <w:shd w:val="clear" w:color="auto" w:fill="auto"/>
            <w:noWrap/>
            <w:vAlign w:val="bottom"/>
            <w:hideMark/>
          </w:tcPr>
          <w:p w14:paraId="4E49F5D9" w14:textId="63DE3907"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BC5D7C" w:rsidRPr="00375B57" w14:paraId="642DDFE9" w14:textId="77777777" w:rsidTr="00140259">
        <w:trPr>
          <w:trHeight w:val="300"/>
        </w:trPr>
        <w:tc>
          <w:tcPr>
            <w:tcW w:w="1959" w:type="dxa"/>
            <w:tcBorders>
              <w:top w:val="nil"/>
              <w:left w:val="single" w:sz="4" w:space="0" w:color="auto"/>
              <w:bottom w:val="nil"/>
              <w:right w:val="nil"/>
            </w:tcBorders>
            <w:shd w:val="clear" w:color="auto" w:fill="auto"/>
            <w:noWrap/>
            <w:vAlign w:val="bottom"/>
            <w:hideMark/>
          </w:tcPr>
          <w:p w14:paraId="15E3C000"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9</w:t>
            </w:r>
          </w:p>
        </w:tc>
        <w:tc>
          <w:tcPr>
            <w:tcW w:w="1331" w:type="dxa"/>
            <w:tcBorders>
              <w:top w:val="nil"/>
              <w:left w:val="single" w:sz="4" w:space="0" w:color="auto"/>
              <w:bottom w:val="nil"/>
              <w:right w:val="nil"/>
            </w:tcBorders>
            <w:shd w:val="clear" w:color="auto" w:fill="auto"/>
            <w:noWrap/>
            <w:vAlign w:val="bottom"/>
            <w:hideMark/>
          </w:tcPr>
          <w:p w14:paraId="5D4983F5" w14:textId="6F816BBF"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6858448A" w14:textId="67461FA6"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1D4A499C" w14:textId="79B8A4DB"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45F6B997" w14:textId="754993DB"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nil"/>
              <w:left w:val="nil"/>
              <w:bottom w:val="nil"/>
              <w:right w:val="nil"/>
            </w:tcBorders>
            <w:shd w:val="clear" w:color="auto" w:fill="auto"/>
            <w:noWrap/>
            <w:vAlign w:val="bottom"/>
            <w:hideMark/>
          </w:tcPr>
          <w:p w14:paraId="253AC07B" w14:textId="62E0AA50"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nil"/>
              <w:left w:val="nil"/>
              <w:bottom w:val="nil"/>
              <w:right w:val="nil"/>
            </w:tcBorders>
            <w:shd w:val="clear" w:color="auto" w:fill="auto"/>
            <w:noWrap/>
            <w:vAlign w:val="bottom"/>
            <w:hideMark/>
          </w:tcPr>
          <w:p w14:paraId="59F6F45E" w14:textId="7F921F51"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nil"/>
              <w:left w:val="nil"/>
              <w:bottom w:val="nil"/>
              <w:right w:val="nil"/>
            </w:tcBorders>
            <w:shd w:val="clear" w:color="auto" w:fill="auto"/>
            <w:noWrap/>
            <w:vAlign w:val="bottom"/>
            <w:hideMark/>
          </w:tcPr>
          <w:p w14:paraId="72099123" w14:textId="3BA3C24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single" w:sz="4" w:space="0" w:color="auto"/>
              <w:bottom w:val="nil"/>
              <w:right w:val="single" w:sz="4" w:space="0" w:color="auto"/>
            </w:tcBorders>
            <w:shd w:val="clear" w:color="auto" w:fill="auto"/>
            <w:noWrap/>
            <w:vAlign w:val="bottom"/>
            <w:hideMark/>
          </w:tcPr>
          <w:p w14:paraId="7411E77E" w14:textId="77777777" w:rsidR="00BC5D7C" w:rsidRPr="00375B57" w:rsidRDefault="00BC5D7C" w:rsidP="00BC5D7C">
            <w:pPr>
              <w:spacing w:after="0" w:line="240" w:lineRule="auto"/>
              <w:rPr>
                <w:rFonts w:ascii="Calibri" w:eastAsia="Times New Roman" w:hAnsi="Calibri" w:cs="Calibri"/>
                <w:color w:val="000000"/>
                <w:lang w:eastAsia="en-GB"/>
              </w:rPr>
            </w:pPr>
            <w:proofErr w:type="spellStart"/>
            <w:r w:rsidRPr="00375B57">
              <w:rPr>
                <w:rFonts w:ascii="Calibri" w:eastAsia="Times New Roman" w:hAnsi="Calibri" w:cs="Calibri"/>
                <w:color w:val="000000"/>
                <w:lang w:eastAsia="en-GB"/>
              </w:rPr>
              <w:t>n.c.</w:t>
            </w:r>
            <w:proofErr w:type="spellEnd"/>
          </w:p>
        </w:tc>
        <w:tc>
          <w:tcPr>
            <w:tcW w:w="1580" w:type="dxa"/>
            <w:tcBorders>
              <w:top w:val="nil"/>
              <w:left w:val="nil"/>
              <w:bottom w:val="nil"/>
              <w:right w:val="single" w:sz="4" w:space="0" w:color="auto"/>
            </w:tcBorders>
            <w:shd w:val="clear" w:color="auto" w:fill="auto"/>
            <w:noWrap/>
            <w:vAlign w:val="bottom"/>
            <w:hideMark/>
          </w:tcPr>
          <w:p w14:paraId="6DEACFAC" w14:textId="2CB8F45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C5D7C" w:rsidRPr="00375B57" w14:paraId="5D7BC8B2" w14:textId="77777777" w:rsidTr="00140259">
        <w:trPr>
          <w:trHeight w:val="300"/>
        </w:trPr>
        <w:tc>
          <w:tcPr>
            <w:tcW w:w="1959" w:type="dxa"/>
            <w:tcBorders>
              <w:top w:val="nil"/>
              <w:left w:val="single" w:sz="4" w:space="0" w:color="auto"/>
              <w:bottom w:val="nil"/>
              <w:right w:val="nil"/>
            </w:tcBorders>
            <w:shd w:val="clear" w:color="auto" w:fill="auto"/>
            <w:noWrap/>
            <w:vAlign w:val="bottom"/>
            <w:hideMark/>
          </w:tcPr>
          <w:p w14:paraId="4EF3D32C"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15</w:t>
            </w:r>
          </w:p>
        </w:tc>
        <w:tc>
          <w:tcPr>
            <w:tcW w:w="1331" w:type="dxa"/>
            <w:tcBorders>
              <w:top w:val="nil"/>
              <w:left w:val="single" w:sz="4" w:space="0" w:color="auto"/>
              <w:bottom w:val="nil"/>
              <w:right w:val="nil"/>
            </w:tcBorders>
            <w:shd w:val="clear" w:color="auto" w:fill="auto"/>
            <w:noWrap/>
            <w:vAlign w:val="bottom"/>
            <w:hideMark/>
          </w:tcPr>
          <w:p w14:paraId="7AF91D8A" w14:textId="1497D74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41EF402D" w14:textId="11A6F453"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127DE0BB" w14:textId="03F65D37"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02232C5F" w14:textId="4493A3AE"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1A69E219" w14:textId="22BA156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6B13ABA7" w14:textId="4F30A8FD"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6CAD1CF4" w14:textId="02A93C3D"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94" w:type="dxa"/>
            <w:tcBorders>
              <w:top w:val="nil"/>
              <w:left w:val="single" w:sz="4" w:space="0" w:color="auto"/>
              <w:bottom w:val="nil"/>
              <w:right w:val="single" w:sz="4" w:space="0" w:color="auto"/>
            </w:tcBorders>
            <w:shd w:val="clear" w:color="auto" w:fill="auto"/>
            <w:noWrap/>
            <w:vAlign w:val="bottom"/>
            <w:hideMark/>
          </w:tcPr>
          <w:p w14:paraId="483C9D13" w14:textId="253D53A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580" w:type="dxa"/>
            <w:tcBorders>
              <w:top w:val="nil"/>
              <w:left w:val="nil"/>
              <w:bottom w:val="nil"/>
              <w:right w:val="single" w:sz="4" w:space="0" w:color="auto"/>
            </w:tcBorders>
            <w:shd w:val="clear" w:color="auto" w:fill="auto"/>
            <w:noWrap/>
            <w:vAlign w:val="bottom"/>
            <w:hideMark/>
          </w:tcPr>
          <w:p w14:paraId="5862B30C" w14:textId="64B9334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C5D7C" w:rsidRPr="00375B57" w14:paraId="567BC829" w14:textId="77777777" w:rsidTr="00140259">
        <w:trPr>
          <w:trHeight w:val="300"/>
        </w:trPr>
        <w:tc>
          <w:tcPr>
            <w:tcW w:w="1959" w:type="dxa"/>
            <w:tcBorders>
              <w:top w:val="nil"/>
              <w:left w:val="single" w:sz="4" w:space="0" w:color="auto"/>
              <w:bottom w:val="nil"/>
              <w:right w:val="nil"/>
            </w:tcBorders>
            <w:shd w:val="clear" w:color="auto" w:fill="auto"/>
            <w:noWrap/>
            <w:vAlign w:val="bottom"/>
            <w:hideMark/>
          </w:tcPr>
          <w:p w14:paraId="70CF3FBC"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18</w:t>
            </w:r>
          </w:p>
        </w:tc>
        <w:tc>
          <w:tcPr>
            <w:tcW w:w="1331" w:type="dxa"/>
            <w:tcBorders>
              <w:top w:val="nil"/>
              <w:left w:val="single" w:sz="4" w:space="0" w:color="auto"/>
              <w:bottom w:val="nil"/>
              <w:right w:val="nil"/>
            </w:tcBorders>
            <w:shd w:val="clear" w:color="auto" w:fill="auto"/>
            <w:noWrap/>
            <w:vAlign w:val="bottom"/>
            <w:hideMark/>
          </w:tcPr>
          <w:p w14:paraId="59CCFECA" w14:textId="7BA9F28F"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28577003" w14:textId="5C52B363"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3D70FAC2" w14:textId="702A8594"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3250ABE2" w14:textId="324AF457"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5BDEDAE9" w14:textId="7B652AFE"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nil"/>
              <w:right w:val="nil"/>
            </w:tcBorders>
            <w:shd w:val="clear" w:color="auto" w:fill="auto"/>
            <w:noWrap/>
            <w:vAlign w:val="bottom"/>
            <w:hideMark/>
          </w:tcPr>
          <w:p w14:paraId="0F81065F" w14:textId="4CE0CBBB"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nil"/>
              <w:left w:val="nil"/>
              <w:bottom w:val="nil"/>
              <w:right w:val="nil"/>
            </w:tcBorders>
            <w:shd w:val="clear" w:color="auto" w:fill="auto"/>
            <w:noWrap/>
            <w:vAlign w:val="bottom"/>
            <w:hideMark/>
          </w:tcPr>
          <w:p w14:paraId="63DE294D" w14:textId="0C38AEC6"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single" w:sz="4" w:space="0" w:color="auto"/>
              <w:bottom w:val="nil"/>
              <w:right w:val="single" w:sz="4" w:space="0" w:color="auto"/>
            </w:tcBorders>
            <w:shd w:val="clear" w:color="auto" w:fill="auto"/>
            <w:noWrap/>
            <w:vAlign w:val="bottom"/>
            <w:hideMark/>
          </w:tcPr>
          <w:p w14:paraId="5CE3510D" w14:textId="675BCACE"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580" w:type="dxa"/>
            <w:tcBorders>
              <w:top w:val="nil"/>
              <w:left w:val="nil"/>
              <w:bottom w:val="nil"/>
              <w:right w:val="single" w:sz="4" w:space="0" w:color="auto"/>
            </w:tcBorders>
            <w:shd w:val="clear" w:color="auto" w:fill="auto"/>
            <w:noWrap/>
            <w:vAlign w:val="bottom"/>
            <w:hideMark/>
          </w:tcPr>
          <w:p w14:paraId="17A95703" w14:textId="36D3A159"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C5D7C" w:rsidRPr="00375B57" w14:paraId="29E7BE11" w14:textId="77777777" w:rsidTr="00140259">
        <w:trPr>
          <w:trHeight w:val="300"/>
        </w:trPr>
        <w:tc>
          <w:tcPr>
            <w:tcW w:w="1959" w:type="dxa"/>
            <w:tcBorders>
              <w:top w:val="nil"/>
              <w:left w:val="single" w:sz="4" w:space="0" w:color="auto"/>
              <w:bottom w:val="single" w:sz="4" w:space="0" w:color="auto"/>
              <w:right w:val="nil"/>
            </w:tcBorders>
            <w:shd w:val="clear" w:color="auto" w:fill="auto"/>
            <w:noWrap/>
            <w:vAlign w:val="bottom"/>
            <w:hideMark/>
          </w:tcPr>
          <w:p w14:paraId="65BA9DF7"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20</w:t>
            </w:r>
          </w:p>
        </w:tc>
        <w:tc>
          <w:tcPr>
            <w:tcW w:w="1331" w:type="dxa"/>
            <w:tcBorders>
              <w:top w:val="nil"/>
              <w:left w:val="single" w:sz="4" w:space="0" w:color="auto"/>
              <w:bottom w:val="single" w:sz="4" w:space="0" w:color="auto"/>
              <w:right w:val="nil"/>
            </w:tcBorders>
            <w:shd w:val="clear" w:color="auto" w:fill="auto"/>
            <w:noWrap/>
            <w:vAlign w:val="bottom"/>
            <w:hideMark/>
          </w:tcPr>
          <w:p w14:paraId="434AFB1A" w14:textId="2EF3998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single" w:sz="4" w:space="0" w:color="auto"/>
              <w:right w:val="nil"/>
            </w:tcBorders>
            <w:shd w:val="clear" w:color="auto" w:fill="auto"/>
            <w:noWrap/>
            <w:vAlign w:val="bottom"/>
            <w:hideMark/>
          </w:tcPr>
          <w:p w14:paraId="2E8FDD47" w14:textId="29F61B3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single" w:sz="4" w:space="0" w:color="auto"/>
              <w:right w:val="nil"/>
            </w:tcBorders>
            <w:shd w:val="clear" w:color="auto" w:fill="auto"/>
            <w:noWrap/>
            <w:vAlign w:val="bottom"/>
            <w:hideMark/>
          </w:tcPr>
          <w:p w14:paraId="6028B58C" w14:textId="5D69423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single" w:sz="4" w:space="0" w:color="auto"/>
              <w:right w:val="nil"/>
            </w:tcBorders>
            <w:shd w:val="clear" w:color="auto" w:fill="auto"/>
            <w:noWrap/>
            <w:vAlign w:val="bottom"/>
            <w:hideMark/>
          </w:tcPr>
          <w:p w14:paraId="14C9A403" w14:textId="5F2ED265"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single" w:sz="4" w:space="0" w:color="auto"/>
              <w:right w:val="nil"/>
            </w:tcBorders>
            <w:shd w:val="clear" w:color="auto" w:fill="auto"/>
            <w:noWrap/>
            <w:vAlign w:val="bottom"/>
            <w:hideMark/>
          </w:tcPr>
          <w:p w14:paraId="16A5CD00" w14:textId="43809C86"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nil"/>
              <w:left w:val="nil"/>
              <w:bottom w:val="single" w:sz="4" w:space="0" w:color="auto"/>
              <w:right w:val="nil"/>
            </w:tcBorders>
            <w:shd w:val="clear" w:color="auto" w:fill="auto"/>
            <w:noWrap/>
            <w:vAlign w:val="bottom"/>
            <w:hideMark/>
          </w:tcPr>
          <w:p w14:paraId="71B63E88" w14:textId="7594BD5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32" w:type="dxa"/>
            <w:tcBorders>
              <w:top w:val="nil"/>
              <w:left w:val="nil"/>
              <w:bottom w:val="single" w:sz="4" w:space="0" w:color="auto"/>
              <w:right w:val="nil"/>
            </w:tcBorders>
            <w:shd w:val="clear" w:color="auto" w:fill="auto"/>
            <w:noWrap/>
            <w:vAlign w:val="bottom"/>
            <w:hideMark/>
          </w:tcPr>
          <w:p w14:paraId="7789D6D2" w14:textId="5EB1C3A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7E033A62" w14:textId="18F96B9C" w:rsidR="00BC5D7C" w:rsidRPr="00375B57" w:rsidRDefault="00BC5D7C" w:rsidP="00BC5D7C">
            <w:pPr>
              <w:spacing w:after="0" w:line="240" w:lineRule="auto"/>
              <w:rPr>
                <w:rFonts w:ascii="Calibri" w:eastAsia="Times New Roman" w:hAnsi="Calibri" w:cs="Calibri"/>
                <w:lang w:eastAsia="en-GB"/>
              </w:rPr>
            </w:pPr>
            <w:r>
              <w:rPr>
                <w:rFonts w:ascii="Calibri" w:eastAsia="Times New Roman" w:hAnsi="Calibri" w:cs="Calibri"/>
                <w:lang w:eastAsia="en-GB"/>
              </w:rPr>
              <w:t>1</w:t>
            </w:r>
          </w:p>
        </w:tc>
        <w:tc>
          <w:tcPr>
            <w:tcW w:w="1580" w:type="dxa"/>
            <w:tcBorders>
              <w:top w:val="nil"/>
              <w:left w:val="nil"/>
              <w:bottom w:val="single" w:sz="4" w:space="0" w:color="auto"/>
              <w:right w:val="single" w:sz="4" w:space="0" w:color="auto"/>
            </w:tcBorders>
            <w:shd w:val="clear" w:color="auto" w:fill="auto"/>
            <w:noWrap/>
            <w:vAlign w:val="bottom"/>
            <w:hideMark/>
          </w:tcPr>
          <w:p w14:paraId="5CE3CACB" w14:textId="182658D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BC5D7C" w:rsidRPr="00375B57" w14:paraId="783BD8AB"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noWrap/>
            <w:vAlign w:val="bottom"/>
          </w:tcPr>
          <w:p w14:paraId="7FA3A419" w14:textId="6566F3D2" w:rsidR="00BC5D7C" w:rsidRPr="00375B57" w:rsidRDefault="00BC5D7C" w:rsidP="00BC5D7C">
            <w:pPr>
              <w:spacing w:after="0" w:line="240" w:lineRule="auto"/>
              <w:rPr>
                <w:rFonts w:ascii="Calibri" w:eastAsia="Times New Roman" w:hAnsi="Calibri" w:cs="Calibri"/>
                <w:i/>
                <w:iCs/>
                <w:color w:val="000000"/>
                <w:lang w:eastAsia="en-GB"/>
              </w:rPr>
            </w:pPr>
            <w:r w:rsidRPr="00F17660">
              <w:rPr>
                <w:rFonts w:ascii="Calibri" w:eastAsia="Times New Roman" w:hAnsi="Calibri" w:cs="Calibri"/>
                <w:i/>
                <w:iCs/>
                <w:lang w:eastAsia="en-GB"/>
              </w:rPr>
              <w:t>n</w:t>
            </w:r>
            <w:r w:rsidRPr="00F17660">
              <w:rPr>
                <w:rFonts w:ascii="Calibri" w:eastAsia="Times New Roman" w:hAnsi="Calibri" w:cs="Calibri"/>
                <w:iCs/>
                <w:lang w:eastAsia="en-GB"/>
              </w:rPr>
              <w:t xml:space="preserve"> (lysate)</w:t>
            </w:r>
          </w:p>
        </w:tc>
        <w:tc>
          <w:tcPr>
            <w:tcW w:w="1331" w:type="dxa"/>
            <w:tcBorders>
              <w:top w:val="single" w:sz="4" w:space="0" w:color="auto"/>
              <w:left w:val="single" w:sz="4" w:space="0" w:color="auto"/>
              <w:bottom w:val="single" w:sz="4" w:space="0" w:color="auto"/>
              <w:right w:val="nil"/>
            </w:tcBorders>
            <w:shd w:val="clear" w:color="auto" w:fill="auto"/>
            <w:noWrap/>
            <w:vAlign w:val="bottom"/>
          </w:tcPr>
          <w:p w14:paraId="43DB589B" w14:textId="066028BF"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50E30029" w14:textId="3207D279"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2F89F42C" w14:textId="71223070"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5A68F634" w14:textId="47A939A4"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right w:val="nil"/>
            </w:tcBorders>
            <w:shd w:val="clear" w:color="auto" w:fill="auto"/>
            <w:noWrap/>
            <w:vAlign w:val="bottom"/>
          </w:tcPr>
          <w:p w14:paraId="07BA07E7" w14:textId="42151348"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332" w:type="dxa"/>
            <w:tcBorders>
              <w:top w:val="single" w:sz="4" w:space="0" w:color="auto"/>
              <w:left w:val="nil"/>
              <w:bottom w:val="single" w:sz="4" w:space="0" w:color="auto"/>
              <w:right w:val="nil"/>
            </w:tcBorders>
            <w:shd w:val="clear" w:color="auto" w:fill="auto"/>
            <w:noWrap/>
            <w:vAlign w:val="bottom"/>
          </w:tcPr>
          <w:p w14:paraId="06CDE8B0" w14:textId="3D918EAB"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24644B28" w14:textId="141B03F9"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36A3FF3F" w14:textId="10B6EA27" w:rsidR="00BC5D7C" w:rsidRPr="00375B57" w:rsidRDefault="00BC5D7C" w:rsidP="00BC5D7C">
            <w:pPr>
              <w:spacing w:after="0" w:line="240" w:lineRule="auto"/>
              <w:rPr>
                <w:rFonts w:ascii="Calibri" w:eastAsia="Times New Roman" w:hAnsi="Calibri" w:cs="Calibri"/>
                <w:color w:val="00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4C83D2D3" w14:textId="77777777" w:rsidR="00BC5D7C" w:rsidRPr="00375B57" w:rsidRDefault="00BC5D7C" w:rsidP="00BC5D7C">
            <w:pPr>
              <w:spacing w:after="0" w:line="240" w:lineRule="auto"/>
              <w:rPr>
                <w:rFonts w:ascii="Calibri" w:eastAsia="Times New Roman" w:hAnsi="Calibri" w:cs="Calibri"/>
                <w:color w:val="000000"/>
                <w:lang w:eastAsia="en-GB"/>
              </w:rPr>
            </w:pPr>
          </w:p>
        </w:tc>
      </w:tr>
      <w:tr w:rsidR="00BC5D7C" w:rsidRPr="00375B57" w14:paraId="3E391550"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noWrap/>
            <w:vAlign w:val="bottom"/>
          </w:tcPr>
          <w:p w14:paraId="02EBE9E5" w14:textId="61A922BC" w:rsidR="00BC5D7C" w:rsidRPr="001D2746" w:rsidRDefault="00BC5D7C" w:rsidP="00BC5D7C">
            <w:pPr>
              <w:spacing w:after="0" w:line="240" w:lineRule="auto"/>
              <w:rPr>
                <w:rFonts w:ascii="Calibri" w:eastAsia="Times New Roman" w:hAnsi="Calibri" w:cs="Calibri"/>
                <w:iCs/>
                <w:color w:val="000000"/>
                <w:lang w:eastAsia="en-GB"/>
              </w:rPr>
            </w:pPr>
            <w:r>
              <w:rPr>
                <w:rFonts w:ascii="Calibri" w:eastAsia="Times New Roman" w:hAnsi="Calibri" w:cs="Calibri"/>
                <w:iCs/>
                <w:color w:val="000000"/>
                <w:lang w:eastAsia="en-GB"/>
              </w:rPr>
              <w:t>Feasibility (%)</w:t>
            </w:r>
          </w:p>
        </w:tc>
        <w:tc>
          <w:tcPr>
            <w:tcW w:w="1331" w:type="dxa"/>
            <w:tcBorders>
              <w:top w:val="single" w:sz="4" w:space="0" w:color="auto"/>
              <w:left w:val="single" w:sz="4" w:space="0" w:color="auto"/>
              <w:bottom w:val="single" w:sz="4" w:space="0" w:color="auto"/>
              <w:right w:val="nil"/>
            </w:tcBorders>
            <w:shd w:val="clear" w:color="auto" w:fill="auto"/>
            <w:noWrap/>
            <w:vAlign w:val="bottom"/>
          </w:tcPr>
          <w:p w14:paraId="2F78991C" w14:textId="09865290"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332" w:type="dxa"/>
            <w:tcBorders>
              <w:top w:val="single" w:sz="4" w:space="0" w:color="auto"/>
              <w:left w:val="nil"/>
              <w:bottom w:val="single" w:sz="4" w:space="0" w:color="auto"/>
              <w:right w:val="nil"/>
            </w:tcBorders>
            <w:shd w:val="clear" w:color="auto" w:fill="auto"/>
            <w:noWrap/>
            <w:vAlign w:val="bottom"/>
          </w:tcPr>
          <w:p w14:paraId="40969360" w14:textId="10EE9D39"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332" w:type="dxa"/>
            <w:tcBorders>
              <w:top w:val="single" w:sz="4" w:space="0" w:color="auto"/>
              <w:left w:val="nil"/>
              <w:bottom w:val="single" w:sz="4" w:space="0" w:color="auto"/>
              <w:right w:val="nil"/>
            </w:tcBorders>
            <w:shd w:val="clear" w:color="auto" w:fill="auto"/>
            <w:noWrap/>
            <w:vAlign w:val="bottom"/>
          </w:tcPr>
          <w:p w14:paraId="6BA0B04D" w14:textId="7DD9B1BE"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332" w:type="dxa"/>
            <w:tcBorders>
              <w:top w:val="single" w:sz="4" w:space="0" w:color="auto"/>
              <w:left w:val="nil"/>
              <w:bottom w:val="single" w:sz="4" w:space="0" w:color="auto"/>
              <w:right w:val="nil"/>
            </w:tcBorders>
            <w:shd w:val="clear" w:color="auto" w:fill="auto"/>
            <w:noWrap/>
            <w:vAlign w:val="bottom"/>
          </w:tcPr>
          <w:p w14:paraId="0E985F6E" w14:textId="34F53094"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83</w:t>
            </w:r>
          </w:p>
        </w:tc>
        <w:tc>
          <w:tcPr>
            <w:tcW w:w="1332" w:type="dxa"/>
            <w:tcBorders>
              <w:top w:val="single" w:sz="4" w:space="0" w:color="auto"/>
              <w:left w:val="nil"/>
              <w:bottom w:val="single" w:sz="4" w:space="0" w:color="auto"/>
              <w:right w:val="nil"/>
            </w:tcBorders>
            <w:shd w:val="clear" w:color="auto" w:fill="auto"/>
            <w:noWrap/>
            <w:vAlign w:val="bottom"/>
          </w:tcPr>
          <w:p w14:paraId="0691B058" w14:textId="10F47CD7"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80</w:t>
            </w:r>
          </w:p>
        </w:tc>
        <w:tc>
          <w:tcPr>
            <w:tcW w:w="1332" w:type="dxa"/>
            <w:tcBorders>
              <w:top w:val="single" w:sz="4" w:space="0" w:color="auto"/>
              <w:left w:val="nil"/>
              <w:bottom w:val="single" w:sz="4" w:space="0" w:color="auto"/>
              <w:right w:val="nil"/>
            </w:tcBorders>
            <w:shd w:val="clear" w:color="auto" w:fill="auto"/>
            <w:noWrap/>
            <w:vAlign w:val="bottom"/>
          </w:tcPr>
          <w:p w14:paraId="1E26C7FC" w14:textId="79A9B75B"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50D2C1DF" w14:textId="44295876"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4064721C" w14:textId="77777777" w:rsidR="00BC5D7C" w:rsidRPr="00375B57" w:rsidRDefault="00BC5D7C" w:rsidP="00BC5D7C">
            <w:pPr>
              <w:spacing w:after="0" w:line="240" w:lineRule="auto"/>
              <w:rPr>
                <w:rFonts w:ascii="Calibri" w:eastAsia="Times New Roman" w:hAnsi="Calibri" w:cs="Calibri"/>
                <w:color w:val="00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87A7DCD" w14:textId="77777777" w:rsidR="00BC5D7C" w:rsidRPr="00375B57" w:rsidRDefault="00BC5D7C" w:rsidP="00BC5D7C">
            <w:pPr>
              <w:spacing w:after="0" w:line="240" w:lineRule="auto"/>
              <w:rPr>
                <w:rFonts w:ascii="Calibri" w:eastAsia="Times New Roman" w:hAnsi="Calibri" w:cs="Calibri"/>
                <w:color w:val="000000"/>
                <w:lang w:eastAsia="en-GB"/>
              </w:rPr>
            </w:pPr>
          </w:p>
        </w:tc>
      </w:tr>
      <w:tr w:rsidR="00BC5D7C" w:rsidRPr="00375B57" w14:paraId="55AF8AD2"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noWrap/>
            <w:vAlign w:val="bottom"/>
          </w:tcPr>
          <w:p w14:paraId="29C57B1D" w14:textId="4A6D8849" w:rsidR="00BC5D7C" w:rsidRPr="00375B57" w:rsidRDefault="00BC5D7C" w:rsidP="00BC5D7C">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n</w:t>
            </w:r>
            <w:r>
              <w:rPr>
                <w:rFonts w:ascii="Calibri" w:eastAsia="Times New Roman" w:hAnsi="Calibri" w:cs="Calibri"/>
                <w:iCs/>
                <w:color w:val="000000"/>
                <w:lang w:eastAsia="en-GB"/>
              </w:rPr>
              <w:t xml:space="preserve"> (lysate SI%&gt;LOD)</w:t>
            </w:r>
          </w:p>
        </w:tc>
        <w:tc>
          <w:tcPr>
            <w:tcW w:w="1331" w:type="dxa"/>
            <w:tcBorders>
              <w:top w:val="single" w:sz="4" w:space="0" w:color="auto"/>
              <w:left w:val="single" w:sz="4" w:space="0" w:color="auto"/>
              <w:bottom w:val="single" w:sz="4" w:space="0" w:color="auto"/>
              <w:right w:val="nil"/>
            </w:tcBorders>
            <w:shd w:val="clear" w:color="auto" w:fill="auto"/>
            <w:noWrap/>
            <w:vAlign w:val="bottom"/>
          </w:tcPr>
          <w:p w14:paraId="1810D7A3" w14:textId="65885FF0"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592D425C" w14:textId="3BD55DB1"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38579B77" w14:textId="03783189"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13F3E81E" w14:textId="35110D44" w:rsidR="00BC5D7C"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right w:val="nil"/>
            </w:tcBorders>
            <w:shd w:val="clear" w:color="auto" w:fill="auto"/>
            <w:noWrap/>
            <w:vAlign w:val="bottom"/>
          </w:tcPr>
          <w:p w14:paraId="0F1C901B" w14:textId="6A36C1E4"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332" w:type="dxa"/>
            <w:tcBorders>
              <w:top w:val="single" w:sz="4" w:space="0" w:color="auto"/>
              <w:left w:val="nil"/>
              <w:bottom w:val="single" w:sz="4" w:space="0" w:color="auto"/>
              <w:right w:val="nil"/>
            </w:tcBorders>
            <w:shd w:val="clear" w:color="auto" w:fill="auto"/>
            <w:noWrap/>
            <w:vAlign w:val="bottom"/>
          </w:tcPr>
          <w:p w14:paraId="55D1210B" w14:textId="51B94003"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52ED768A" w14:textId="4AD99A6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94" w:type="dxa"/>
            <w:tcBorders>
              <w:top w:val="single" w:sz="4" w:space="0" w:color="auto"/>
              <w:left w:val="nil"/>
              <w:bottom w:val="single" w:sz="4" w:space="0" w:color="auto"/>
              <w:right w:val="nil"/>
              <w:tr2bl w:val="single" w:sz="4" w:space="0" w:color="auto"/>
            </w:tcBorders>
            <w:shd w:val="clear" w:color="auto" w:fill="auto"/>
            <w:noWrap/>
            <w:vAlign w:val="bottom"/>
          </w:tcPr>
          <w:p w14:paraId="7AE97A46" w14:textId="77777777" w:rsidR="00BC5D7C" w:rsidRPr="00375B57" w:rsidRDefault="00BC5D7C" w:rsidP="00BC5D7C">
            <w:pPr>
              <w:spacing w:after="0" w:line="240" w:lineRule="auto"/>
              <w:rPr>
                <w:rFonts w:ascii="Calibri" w:eastAsia="Times New Roman" w:hAnsi="Calibri" w:cs="Calibri"/>
                <w:color w:val="000000"/>
                <w:lang w:eastAsia="en-GB"/>
              </w:rPr>
            </w:pPr>
          </w:p>
        </w:tc>
        <w:tc>
          <w:tcPr>
            <w:tcW w:w="158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6A04D014" w14:textId="77777777" w:rsidR="00BC5D7C" w:rsidRPr="00375B57" w:rsidRDefault="00BC5D7C" w:rsidP="00BC5D7C">
            <w:pPr>
              <w:spacing w:after="0" w:line="240" w:lineRule="auto"/>
              <w:rPr>
                <w:rFonts w:ascii="Calibri" w:eastAsia="Times New Roman" w:hAnsi="Calibri" w:cs="Calibri"/>
                <w:color w:val="000000"/>
                <w:lang w:eastAsia="en-GB"/>
              </w:rPr>
            </w:pPr>
          </w:p>
        </w:tc>
      </w:tr>
      <w:tr w:rsidR="00BC5D7C" w:rsidRPr="00375B57" w14:paraId="62DF1949"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noWrap/>
            <w:vAlign w:val="bottom"/>
            <w:hideMark/>
          </w:tcPr>
          <w:p w14:paraId="3A73505E"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i/>
                <w:iCs/>
                <w:color w:val="000000"/>
                <w:lang w:eastAsia="en-GB"/>
              </w:rPr>
              <w:t>n</w:t>
            </w:r>
            <w:r w:rsidRPr="00375B57">
              <w:rPr>
                <w:rFonts w:ascii="Calibri" w:eastAsia="Times New Roman" w:hAnsi="Calibri" w:cs="Calibri"/>
                <w:color w:val="000000"/>
                <w:lang w:eastAsia="en-GB"/>
              </w:rPr>
              <w:t xml:space="preserve"> (correlation)</w:t>
            </w:r>
          </w:p>
        </w:tc>
        <w:tc>
          <w:tcPr>
            <w:tcW w:w="1331" w:type="dxa"/>
            <w:tcBorders>
              <w:top w:val="single" w:sz="4" w:space="0" w:color="auto"/>
              <w:left w:val="single" w:sz="4" w:space="0" w:color="auto"/>
              <w:bottom w:val="single" w:sz="4" w:space="0" w:color="auto"/>
              <w:right w:val="nil"/>
            </w:tcBorders>
            <w:shd w:val="clear" w:color="auto" w:fill="auto"/>
            <w:noWrap/>
            <w:vAlign w:val="bottom"/>
            <w:hideMark/>
          </w:tcPr>
          <w:p w14:paraId="74DEF6D8" w14:textId="6C7EE79E"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right w:val="nil"/>
            </w:tcBorders>
            <w:shd w:val="clear" w:color="auto" w:fill="auto"/>
            <w:noWrap/>
            <w:vAlign w:val="bottom"/>
            <w:hideMark/>
          </w:tcPr>
          <w:p w14:paraId="28B0AE5D" w14:textId="20E8EDFD"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right w:val="nil"/>
            </w:tcBorders>
            <w:shd w:val="clear" w:color="auto" w:fill="auto"/>
            <w:noWrap/>
            <w:vAlign w:val="bottom"/>
            <w:hideMark/>
          </w:tcPr>
          <w:p w14:paraId="1D1DDCDC" w14:textId="24B576F4"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right w:val="nil"/>
            </w:tcBorders>
            <w:shd w:val="clear" w:color="auto" w:fill="auto"/>
            <w:noWrap/>
            <w:vAlign w:val="bottom"/>
            <w:hideMark/>
          </w:tcPr>
          <w:p w14:paraId="1DAEAACE" w14:textId="21DA3CBC"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332" w:type="dxa"/>
            <w:tcBorders>
              <w:top w:val="single" w:sz="4" w:space="0" w:color="auto"/>
              <w:left w:val="nil"/>
              <w:bottom w:val="single" w:sz="4" w:space="0" w:color="auto"/>
              <w:right w:val="nil"/>
            </w:tcBorders>
            <w:shd w:val="clear" w:color="auto" w:fill="auto"/>
            <w:noWrap/>
            <w:vAlign w:val="bottom"/>
            <w:hideMark/>
          </w:tcPr>
          <w:p w14:paraId="50DB743B"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4</w:t>
            </w:r>
          </w:p>
        </w:tc>
        <w:tc>
          <w:tcPr>
            <w:tcW w:w="1332" w:type="dxa"/>
            <w:tcBorders>
              <w:top w:val="single" w:sz="4" w:space="0" w:color="auto"/>
              <w:left w:val="nil"/>
              <w:bottom w:val="single" w:sz="4" w:space="0" w:color="auto"/>
              <w:right w:val="nil"/>
            </w:tcBorders>
            <w:shd w:val="clear" w:color="auto" w:fill="auto"/>
            <w:noWrap/>
            <w:vAlign w:val="bottom"/>
            <w:hideMark/>
          </w:tcPr>
          <w:p w14:paraId="0E06DBA5"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3825051C"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394" w:type="dxa"/>
            <w:tcBorders>
              <w:top w:val="single" w:sz="4" w:space="0" w:color="auto"/>
              <w:left w:val="nil"/>
              <w:bottom w:val="single" w:sz="4" w:space="0" w:color="auto"/>
              <w:right w:val="nil"/>
            </w:tcBorders>
            <w:shd w:val="clear" w:color="auto" w:fill="auto"/>
            <w:noWrap/>
            <w:vAlign w:val="bottom"/>
            <w:hideMark/>
          </w:tcPr>
          <w:p w14:paraId="7F41D78A"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B734" w14:textId="77777777" w:rsidR="00BC5D7C" w:rsidRPr="00375B57" w:rsidRDefault="00BC5D7C" w:rsidP="00BC5D7C">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5</w:t>
            </w:r>
          </w:p>
        </w:tc>
      </w:tr>
      <w:tr w:rsidR="00BC5D7C" w:rsidRPr="00375B57" w14:paraId="345E68E3" w14:textId="77777777" w:rsidTr="00140259">
        <w:trPr>
          <w:trHeight w:val="300"/>
        </w:trPr>
        <w:tc>
          <w:tcPr>
            <w:tcW w:w="1959" w:type="dxa"/>
            <w:tcBorders>
              <w:top w:val="single" w:sz="4" w:space="0" w:color="auto"/>
              <w:left w:val="single" w:sz="4" w:space="0" w:color="auto"/>
              <w:bottom w:val="single" w:sz="4" w:space="0" w:color="auto"/>
              <w:right w:val="nil"/>
            </w:tcBorders>
            <w:shd w:val="clear" w:color="auto" w:fill="auto"/>
            <w:noWrap/>
            <w:vAlign w:val="bottom"/>
          </w:tcPr>
          <w:p w14:paraId="7ACE027B" w14:textId="01B02B15" w:rsidR="00BC5D7C" w:rsidRPr="00357800" w:rsidRDefault="00BC5D7C" w:rsidP="00BC5D7C">
            <w:pPr>
              <w:spacing w:after="0" w:line="240" w:lineRule="auto"/>
              <w:rPr>
                <w:rFonts w:ascii="Calibri" w:eastAsia="Times New Roman" w:hAnsi="Calibri" w:cs="Calibri"/>
                <w:iCs/>
                <w:color w:val="000000"/>
                <w:lang w:eastAsia="en-GB"/>
              </w:rPr>
            </w:pPr>
            <w:r>
              <w:rPr>
                <w:rFonts w:ascii="Calibri" w:eastAsia="Times New Roman" w:hAnsi="Calibri" w:cs="Calibri"/>
                <w:i/>
                <w:iCs/>
                <w:color w:val="000000"/>
                <w:lang w:eastAsia="en-GB"/>
              </w:rPr>
              <w:t>n</w:t>
            </w:r>
            <w:r>
              <w:rPr>
                <w:rFonts w:ascii="Calibri" w:eastAsia="Times New Roman" w:hAnsi="Calibri" w:cs="Calibri"/>
                <w:iCs/>
                <w:color w:val="000000"/>
                <w:lang w:eastAsia="en-GB"/>
              </w:rPr>
              <w:t xml:space="preserve"> (quantitation)</w:t>
            </w:r>
          </w:p>
        </w:tc>
        <w:tc>
          <w:tcPr>
            <w:tcW w:w="1331" w:type="dxa"/>
            <w:tcBorders>
              <w:top w:val="single" w:sz="4" w:space="0" w:color="auto"/>
              <w:left w:val="single" w:sz="4" w:space="0" w:color="auto"/>
              <w:bottom w:val="single" w:sz="4" w:space="0" w:color="auto"/>
              <w:right w:val="nil"/>
            </w:tcBorders>
            <w:shd w:val="clear" w:color="auto" w:fill="auto"/>
            <w:noWrap/>
            <w:vAlign w:val="bottom"/>
          </w:tcPr>
          <w:p w14:paraId="4C421AF3" w14:textId="5246848A"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1F10B645" w14:textId="76579512"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5F2D2E4F" w14:textId="18FEC5CF"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32" w:type="dxa"/>
            <w:tcBorders>
              <w:top w:val="single" w:sz="4" w:space="0" w:color="auto"/>
              <w:left w:val="nil"/>
              <w:bottom w:val="single" w:sz="4" w:space="0" w:color="auto"/>
              <w:right w:val="nil"/>
            </w:tcBorders>
            <w:shd w:val="clear" w:color="auto" w:fill="auto"/>
            <w:noWrap/>
            <w:vAlign w:val="bottom"/>
          </w:tcPr>
          <w:p w14:paraId="63568435" w14:textId="00F749D4" w:rsidR="00BC5D7C" w:rsidRPr="00375B57" w:rsidRDefault="00BC5D7C" w:rsidP="00BC5D7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32" w:type="dxa"/>
            <w:tcBorders>
              <w:top w:val="single" w:sz="4" w:space="0" w:color="auto"/>
              <w:left w:val="nil"/>
              <w:bottom w:val="single" w:sz="4" w:space="0" w:color="auto"/>
              <w:tr2bl w:val="single" w:sz="4" w:space="0" w:color="auto"/>
            </w:tcBorders>
            <w:shd w:val="clear" w:color="auto" w:fill="auto"/>
            <w:noWrap/>
            <w:vAlign w:val="bottom"/>
          </w:tcPr>
          <w:p w14:paraId="091ADA98" w14:textId="3A3E90BA" w:rsidR="00BC5D7C" w:rsidRPr="00375B57" w:rsidRDefault="00BC5D7C" w:rsidP="00BC5D7C">
            <w:pPr>
              <w:spacing w:after="0" w:line="240" w:lineRule="auto"/>
              <w:rPr>
                <w:rFonts w:ascii="Calibri" w:eastAsia="Times New Roman" w:hAnsi="Calibri" w:cs="Calibri"/>
                <w:color w:val="000000"/>
                <w:lang w:eastAsia="en-GB"/>
              </w:rPr>
            </w:pPr>
          </w:p>
        </w:tc>
        <w:tc>
          <w:tcPr>
            <w:tcW w:w="1332" w:type="dxa"/>
            <w:tcBorders>
              <w:top w:val="single" w:sz="4" w:space="0" w:color="auto"/>
              <w:left w:val="nil"/>
              <w:bottom w:val="single" w:sz="4" w:space="0" w:color="auto"/>
              <w:right w:val="nil"/>
              <w:tr2bl w:val="single" w:sz="4" w:space="0" w:color="auto"/>
            </w:tcBorders>
            <w:shd w:val="clear" w:color="auto" w:fill="auto"/>
            <w:noWrap/>
            <w:vAlign w:val="bottom"/>
          </w:tcPr>
          <w:p w14:paraId="6640BDED" w14:textId="77777777" w:rsidR="00BC5D7C" w:rsidRPr="00375B57" w:rsidRDefault="00BC5D7C" w:rsidP="00BC5D7C">
            <w:pPr>
              <w:spacing w:after="0" w:line="240" w:lineRule="auto"/>
              <w:rPr>
                <w:rFonts w:ascii="Calibri" w:eastAsia="Times New Roman" w:hAnsi="Calibri" w:cs="Calibri"/>
                <w:color w:val="000000"/>
                <w:lang w:eastAsia="en-GB"/>
              </w:rPr>
            </w:pPr>
          </w:p>
        </w:tc>
        <w:tc>
          <w:tcPr>
            <w:tcW w:w="1332" w:type="dxa"/>
            <w:tcBorders>
              <w:top w:val="single" w:sz="4" w:space="0" w:color="auto"/>
              <w:left w:val="nil"/>
              <w:bottom w:val="single" w:sz="4" w:space="0" w:color="auto"/>
              <w:right w:val="single" w:sz="4" w:space="0" w:color="auto"/>
              <w:tr2bl w:val="single" w:sz="4" w:space="0" w:color="auto"/>
            </w:tcBorders>
            <w:shd w:val="clear" w:color="auto" w:fill="auto"/>
            <w:noWrap/>
            <w:vAlign w:val="bottom"/>
          </w:tcPr>
          <w:p w14:paraId="5CC31C97" w14:textId="77777777" w:rsidR="00BC5D7C" w:rsidRPr="00375B57" w:rsidRDefault="00BC5D7C" w:rsidP="00BC5D7C">
            <w:pPr>
              <w:spacing w:after="0" w:line="240" w:lineRule="auto"/>
              <w:rPr>
                <w:rFonts w:ascii="Calibri" w:eastAsia="Times New Roman" w:hAnsi="Calibri" w:cs="Calibri"/>
                <w:color w:val="000000"/>
                <w:lang w:eastAsia="en-GB"/>
              </w:rPr>
            </w:pPr>
          </w:p>
        </w:tc>
        <w:tc>
          <w:tcPr>
            <w:tcW w:w="1394" w:type="dxa"/>
            <w:tcBorders>
              <w:top w:val="single" w:sz="4" w:space="0" w:color="auto"/>
              <w:left w:val="nil"/>
            </w:tcBorders>
            <w:shd w:val="clear" w:color="auto" w:fill="auto"/>
            <w:noWrap/>
            <w:vAlign w:val="bottom"/>
          </w:tcPr>
          <w:p w14:paraId="442CB17C" w14:textId="77777777" w:rsidR="00BC5D7C" w:rsidRPr="00375B57" w:rsidRDefault="00BC5D7C" w:rsidP="00BC5D7C">
            <w:pPr>
              <w:spacing w:after="0" w:line="240" w:lineRule="auto"/>
              <w:rPr>
                <w:rFonts w:ascii="Calibri" w:eastAsia="Times New Roman" w:hAnsi="Calibri" w:cs="Calibri"/>
                <w:color w:val="000000"/>
                <w:lang w:eastAsia="en-GB"/>
              </w:rPr>
            </w:pPr>
          </w:p>
        </w:tc>
        <w:tc>
          <w:tcPr>
            <w:tcW w:w="1580" w:type="dxa"/>
            <w:tcBorders>
              <w:top w:val="single" w:sz="4" w:space="0" w:color="auto"/>
            </w:tcBorders>
            <w:shd w:val="clear" w:color="auto" w:fill="auto"/>
            <w:noWrap/>
            <w:vAlign w:val="bottom"/>
          </w:tcPr>
          <w:p w14:paraId="01A1B9B8" w14:textId="77777777" w:rsidR="00BC5D7C" w:rsidRPr="00375B57" w:rsidRDefault="00BC5D7C" w:rsidP="00BC5D7C">
            <w:pPr>
              <w:spacing w:after="0" w:line="240" w:lineRule="auto"/>
              <w:rPr>
                <w:rFonts w:ascii="Calibri" w:eastAsia="Times New Roman" w:hAnsi="Calibri" w:cs="Calibri"/>
                <w:color w:val="000000"/>
                <w:lang w:eastAsia="en-GB"/>
              </w:rPr>
            </w:pPr>
          </w:p>
        </w:tc>
      </w:tr>
    </w:tbl>
    <w:p w14:paraId="7CD28FB6" w14:textId="18BDBEDB" w:rsidR="00375B57" w:rsidRDefault="00375B57" w:rsidP="00BC1CD9">
      <w:pPr>
        <w:jc w:val="both"/>
        <w:rPr>
          <w:b/>
          <w:sz w:val="24"/>
          <w:szCs w:val="24"/>
        </w:rPr>
      </w:pPr>
    </w:p>
    <w:p w14:paraId="2D26754C" w14:textId="345CF756" w:rsidR="00C9138E" w:rsidRPr="006C7230" w:rsidRDefault="00C9138E" w:rsidP="00BC1CD9">
      <w:pPr>
        <w:jc w:val="both"/>
        <w:rPr>
          <w:sz w:val="24"/>
          <w:szCs w:val="24"/>
        </w:rPr>
      </w:pPr>
      <w:r>
        <w:rPr>
          <w:b/>
          <w:sz w:val="24"/>
          <w:szCs w:val="24"/>
        </w:rPr>
        <w:t>Figure A.</w:t>
      </w:r>
      <w:r w:rsidR="00DE34A4">
        <w:rPr>
          <w:b/>
          <w:sz w:val="24"/>
          <w:szCs w:val="24"/>
        </w:rPr>
        <w:t>3</w:t>
      </w:r>
      <w:r>
        <w:rPr>
          <w:b/>
          <w:sz w:val="24"/>
          <w:szCs w:val="24"/>
        </w:rPr>
        <w:t xml:space="preserve"> Feasibility data (high dose patients).</w:t>
      </w:r>
      <w:r w:rsidRPr="00BC5D7C">
        <w:rPr>
          <w:sz w:val="24"/>
          <w:szCs w:val="24"/>
        </w:rPr>
        <w:t xml:space="preserve"> </w:t>
      </w:r>
      <w:r w:rsidR="00BC5D7C" w:rsidRPr="00BC5D7C">
        <w:rPr>
          <w:sz w:val="24"/>
          <w:szCs w:val="24"/>
        </w:rPr>
        <w:t xml:space="preserve">1, lysate produced; </w:t>
      </w:r>
      <w:r w:rsidR="00BC5D7C">
        <w:rPr>
          <w:sz w:val="24"/>
          <w:szCs w:val="24"/>
        </w:rPr>
        <w:t>0</w:t>
      </w:r>
      <w:r w:rsidRPr="006C7230">
        <w:rPr>
          <w:sz w:val="24"/>
          <w:szCs w:val="24"/>
        </w:rPr>
        <w:t>, no</w:t>
      </w:r>
      <w:r w:rsidR="000272DD">
        <w:rPr>
          <w:sz w:val="24"/>
          <w:szCs w:val="24"/>
        </w:rPr>
        <w:t xml:space="preserve"> lysate produced</w:t>
      </w:r>
      <w:r w:rsidR="00BC5D7C">
        <w:rPr>
          <w:sz w:val="24"/>
          <w:szCs w:val="24"/>
        </w:rPr>
        <w:t>;</w:t>
      </w:r>
      <w:r w:rsidRPr="006C7230">
        <w:rPr>
          <w:sz w:val="24"/>
          <w:szCs w:val="24"/>
        </w:rPr>
        <w:t xml:space="preserve"> &lt;LOD, below limit of detection</w:t>
      </w:r>
      <w:r w:rsidR="00BC5D7C">
        <w:rPr>
          <w:sz w:val="24"/>
          <w:szCs w:val="24"/>
        </w:rPr>
        <w:t>;</w:t>
      </w:r>
      <w:r w:rsidRPr="006C7230">
        <w:rPr>
          <w:sz w:val="24"/>
          <w:szCs w:val="24"/>
        </w:rPr>
        <w:t xml:space="preserve"> </w:t>
      </w:r>
      <w:proofErr w:type="spellStart"/>
      <w:proofErr w:type="gramStart"/>
      <w:r w:rsidR="0083608B">
        <w:rPr>
          <w:sz w:val="24"/>
          <w:szCs w:val="24"/>
        </w:rPr>
        <w:t>n.c</w:t>
      </w:r>
      <w:proofErr w:type="gramEnd"/>
      <w:r w:rsidR="0083608B">
        <w:rPr>
          <w:sz w:val="24"/>
          <w:szCs w:val="24"/>
        </w:rPr>
        <w:t>.</w:t>
      </w:r>
      <w:proofErr w:type="spellEnd"/>
      <w:r w:rsidR="0083608B">
        <w:rPr>
          <w:sz w:val="24"/>
          <w:szCs w:val="24"/>
        </w:rPr>
        <w:t>, not calculable</w:t>
      </w:r>
      <w:r w:rsidR="00BC5D7C">
        <w:rPr>
          <w:sz w:val="24"/>
          <w:szCs w:val="24"/>
        </w:rPr>
        <w:t xml:space="preserve"> (no 12 hour result);</w:t>
      </w:r>
      <w:r w:rsidR="00357800" w:rsidRPr="006C7230">
        <w:rPr>
          <w:sz w:val="24"/>
          <w:szCs w:val="24"/>
        </w:rPr>
        <w:t xml:space="preserve"> </w:t>
      </w:r>
      <w:proofErr w:type="spellStart"/>
      <w:r w:rsidRPr="006C7230">
        <w:rPr>
          <w:sz w:val="24"/>
          <w:szCs w:val="24"/>
        </w:rPr>
        <w:t>w.d</w:t>
      </w:r>
      <w:proofErr w:type="spellEnd"/>
      <w:r w:rsidRPr="006C7230">
        <w:rPr>
          <w:sz w:val="24"/>
          <w:szCs w:val="24"/>
        </w:rPr>
        <w:t>., withdrawn/no longer able to verbally consent</w:t>
      </w:r>
      <w:r w:rsidR="000F4C25">
        <w:rPr>
          <w:sz w:val="24"/>
          <w:szCs w:val="24"/>
        </w:rPr>
        <w:t xml:space="preserve"> (removed from feasibility assessment)</w:t>
      </w:r>
      <w:r w:rsidRPr="006C7230">
        <w:rPr>
          <w:sz w:val="24"/>
          <w:szCs w:val="24"/>
        </w:rPr>
        <w:t>.</w:t>
      </w:r>
    </w:p>
    <w:p w14:paraId="573116D0" w14:textId="77777777" w:rsidR="00DE34A4" w:rsidRDefault="00DE34A4" w:rsidP="00BC1CD9">
      <w:pPr>
        <w:jc w:val="both"/>
        <w:rPr>
          <w:b/>
          <w:sz w:val="24"/>
          <w:szCs w:val="24"/>
        </w:rPr>
        <w:sectPr w:rsidR="00DE34A4" w:rsidSect="00A15B8A">
          <w:pgSz w:w="16838" w:h="11906" w:orient="landscape"/>
          <w:pgMar w:top="1440" w:right="1440" w:bottom="1440" w:left="1440" w:header="708" w:footer="708" w:gutter="0"/>
          <w:cols w:space="708"/>
          <w:docGrid w:linePitch="360"/>
        </w:sectPr>
      </w:pPr>
    </w:p>
    <w:p w14:paraId="498E156C" w14:textId="3008A866" w:rsidR="00375B57" w:rsidRDefault="00375B57" w:rsidP="00BC1CD9">
      <w:pPr>
        <w:jc w:val="both"/>
        <w:rPr>
          <w:b/>
          <w:sz w:val="24"/>
          <w:szCs w:val="24"/>
        </w:rPr>
      </w:pPr>
    </w:p>
    <w:tbl>
      <w:tblPr>
        <w:tblW w:w="14034" w:type="dxa"/>
        <w:tblLayout w:type="fixed"/>
        <w:tblLook w:val="04A0" w:firstRow="1" w:lastRow="0" w:firstColumn="1" w:lastColumn="0" w:noHBand="0" w:noVBand="1"/>
      </w:tblPr>
      <w:tblGrid>
        <w:gridCol w:w="1985"/>
        <w:gridCol w:w="1134"/>
        <w:gridCol w:w="1154"/>
        <w:gridCol w:w="1154"/>
        <w:gridCol w:w="1154"/>
        <w:gridCol w:w="1155"/>
        <w:gridCol w:w="1154"/>
        <w:gridCol w:w="1154"/>
        <w:gridCol w:w="1155"/>
        <w:gridCol w:w="1417"/>
        <w:gridCol w:w="1418"/>
      </w:tblGrid>
      <w:tr w:rsidR="00375B57" w:rsidRPr="00375B57" w14:paraId="0CEFA98B" w14:textId="77777777" w:rsidTr="00702746">
        <w:trPr>
          <w:trHeight w:val="600"/>
        </w:trPr>
        <w:tc>
          <w:tcPr>
            <w:tcW w:w="1985" w:type="dxa"/>
            <w:tcBorders>
              <w:top w:val="nil"/>
              <w:left w:val="nil"/>
              <w:bottom w:val="nil"/>
              <w:right w:val="nil"/>
            </w:tcBorders>
            <w:shd w:val="clear" w:color="auto" w:fill="auto"/>
            <w:vAlign w:val="bottom"/>
            <w:hideMark/>
          </w:tcPr>
          <w:p w14:paraId="27B41693" w14:textId="77777777" w:rsidR="00375B57" w:rsidRPr="00375B57" w:rsidRDefault="00375B57" w:rsidP="00375B57">
            <w:pPr>
              <w:spacing w:after="0" w:line="240" w:lineRule="auto"/>
              <w:rPr>
                <w:rFonts w:ascii="Times New Roman" w:eastAsia="Times New Roman" w:hAnsi="Times New Roman" w:cs="Times New Roman"/>
                <w:sz w:val="24"/>
                <w:szCs w:val="24"/>
                <w:lang w:eastAsia="en-GB"/>
              </w:rPr>
            </w:pPr>
          </w:p>
        </w:tc>
        <w:tc>
          <w:tcPr>
            <w:tcW w:w="1134" w:type="dxa"/>
            <w:tcBorders>
              <w:top w:val="nil"/>
              <w:left w:val="nil"/>
              <w:bottom w:val="nil"/>
              <w:right w:val="nil"/>
            </w:tcBorders>
            <w:shd w:val="clear" w:color="auto" w:fill="auto"/>
            <w:vAlign w:val="bottom"/>
            <w:hideMark/>
          </w:tcPr>
          <w:p w14:paraId="42D2C2D8" w14:textId="77777777" w:rsidR="00375B57" w:rsidRPr="00375B57" w:rsidRDefault="00375B57" w:rsidP="00375B57">
            <w:pPr>
              <w:spacing w:after="0" w:line="240" w:lineRule="auto"/>
              <w:rPr>
                <w:rFonts w:ascii="Times New Roman" w:eastAsia="Times New Roman" w:hAnsi="Times New Roman" w:cs="Times New Roman"/>
                <w:sz w:val="20"/>
                <w:szCs w:val="20"/>
                <w:lang w:eastAsia="en-GB"/>
              </w:rPr>
            </w:pPr>
          </w:p>
        </w:tc>
        <w:tc>
          <w:tcPr>
            <w:tcW w:w="80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A89B036" w14:textId="4FB1EBCE" w:rsidR="00375B57" w:rsidRPr="00375B57" w:rsidRDefault="00BC5D7C" w:rsidP="000272D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Lysate produced</w:t>
            </w:r>
            <w:r w:rsidR="002A57FB">
              <w:rPr>
                <w:rFonts w:ascii="Calibri" w:eastAsia="Times New Roman" w:hAnsi="Calibri" w:cs="Calibri"/>
                <w:b/>
                <w:bCs/>
                <w:color w:val="000000"/>
                <w:lang w:eastAsia="en-GB"/>
              </w:rPr>
              <w:t xml:space="preserve"> (1) or no</w:t>
            </w:r>
            <w:r w:rsidR="000272DD">
              <w:rPr>
                <w:rFonts w:ascii="Calibri" w:eastAsia="Times New Roman" w:hAnsi="Calibri" w:cs="Calibri"/>
                <w:b/>
                <w:bCs/>
                <w:color w:val="000000"/>
                <w:lang w:eastAsia="en-GB"/>
              </w:rPr>
              <w:t xml:space="preserve"> lysate produced</w:t>
            </w:r>
            <w:r w:rsidR="002A57FB">
              <w:rPr>
                <w:rFonts w:ascii="Calibri" w:eastAsia="Times New Roman" w:hAnsi="Calibri" w:cs="Calibri"/>
                <w:b/>
                <w:bCs/>
                <w:color w:val="000000"/>
                <w:lang w:eastAsia="en-GB"/>
              </w:rPr>
              <w:t xml:space="preserve"> (0)</w:t>
            </w:r>
          </w:p>
        </w:tc>
        <w:tc>
          <w:tcPr>
            <w:tcW w:w="1417" w:type="dxa"/>
            <w:tcBorders>
              <w:top w:val="single" w:sz="4" w:space="0" w:color="auto"/>
              <w:left w:val="nil"/>
              <w:bottom w:val="single" w:sz="4" w:space="0" w:color="auto"/>
              <w:right w:val="nil"/>
            </w:tcBorders>
            <w:shd w:val="clear" w:color="auto" w:fill="auto"/>
            <w:vAlign w:val="bottom"/>
            <w:hideMark/>
          </w:tcPr>
          <w:p w14:paraId="7F39D5FD"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Quantitation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34AF6"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Flow cytometry (day 0 vs 28)</w:t>
            </w:r>
          </w:p>
        </w:tc>
      </w:tr>
      <w:tr w:rsidR="00375B57" w:rsidRPr="00375B57" w14:paraId="5849D1D7" w14:textId="77777777" w:rsidTr="00702746">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7FBBB"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Patient ID</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19124A7"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Diagnosis</w:t>
            </w:r>
          </w:p>
        </w:tc>
        <w:tc>
          <w:tcPr>
            <w:tcW w:w="1154" w:type="dxa"/>
            <w:tcBorders>
              <w:top w:val="nil"/>
              <w:left w:val="nil"/>
              <w:bottom w:val="nil"/>
              <w:right w:val="nil"/>
            </w:tcBorders>
            <w:shd w:val="clear" w:color="auto" w:fill="auto"/>
            <w:vAlign w:val="bottom"/>
            <w:hideMark/>
          </w:tcPr>
          <w:p w14:paraId="5837EDD6"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w:t>
            </w:r>
          </w:p>
        </w:tc>
        <w:tc>
          <w:tcPr>
            <w:tcW w:w="1154" w:type="dxa"/>
            <w:tcBorders>
              <w:top w:val="nil"/>
              <w:left w:val="nil"/>
              <w:bottom w:val="nil"/>
              <w:right w:val="nil"/>
            </w:tcBorders>
            <w:shd w:val="clear" w:color="auto" w:fill="auto"/>
            <w:vAlign w:val="bottom"/>
            <w:hideMark/>
          </w:tcPr>
          <w:p w14:paraId="74AC1C68"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w:t>
            </w:r>
          </w:p>
        </w:tc>
        <w:tc>
          <w:tcPr>
            <w:tcW w:w="1154" w:type="dxa"/>
            <w:tcBorders>
              <w:top w:val="nil"/>
              <w:left w:val="nil"/>
              <w:bottom w:val="nil"/>
              <w:right w:val="nil"/>
            </w:tcBorders>
            <w:shd w:val="clear" w:color="auto" w:fill="auto"/>
            <w:vAlign w:val="bottom"/>
            <w:hideMark/>
          </w:tcPr>
          <w:p w14:paraId="09CAB0AE"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t=8</w:t>
            </w:r>
          </w:p>
        </w:tc>
        <w:tc>
          <w:tcPr>
            <w:tcW w:w="1155" w:type="dxa"/>
            <w:tcBorders>
              <w:top w:val="nil"/>
              <w:left w:val="nil"/>
              <w:bottom w:val="nil"/>
              <w:right w:val="nil"/>
            </w:tcBorders>
            <w:shd w:val="clear" w:color="auto" w:fill="auto"/>
            <w:vAlign w:val="bottom"/>
            <w:hideMark/>
          </w:tcPr>
          <w:p w14:paraId="3FE8B018"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t=12</w:t>
            </w:r>
          </w:p>
        </w:tc>
        <w:tc>
          <w:tcPr>
            <w:tcW w:w="1154" w:type="dxa"/>
            <w:tcBorders>
              <w:top w:val="nil"/>
              <w:left w:val="nil"/>
              <w:bottom w:val="nil"/>
              <w:right w:val="nil"/>
            </w:tcBorders>
            <w:shd w:val="clear" w:color="auto" w:fill="auto"/>
            <w:vAlign w:val="bottom"/>
            <w:hideMark/>
          </w:tcPr>
          <w:p w14:paraId="5CB85AFD"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t=24</w:t>
            </w:r>
          </w:p>
        </w:tc>
        <w:tc>
          <w:tcPr>
            <w:tcW w:w="1154" w:type="dxa"/>
            <w:tcBorders>
              <w:top w:val="nil"/>
              <w:left w:val="nil"/>
              <w:bottom w:val="nil"/>
              <w:right w:val="nil"/>
            </w:tcBorders>
            <w:shd w:val="clear" w:color="auto" w:fill="auto"/>
            <w:vAlign w:val="bottom"/>
            <w:hideMark/>
          </w:tcPr>
          <w:p w14:paraId="278786AF"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t=48</w:t>
            </w:r>
          </w:p>
        </w:tc>
        <w:tc>
          <w:tcPr>
            <w:tcW w:w="1155" w:type="dxa"/>
            <w:tcBorders>
              <w:top w:val="nil"/>
              <w:left w:val="nil"/>
              <w:bottom w:val="nil"/>
              <w:right w:val="nil"/>
            </w:tcBorders>
            <w:shd w:val="clear" w:color="auto" w:fill="auto"/>
            <w:vAlign w:val="bottom"/>
            <w:hideMark/>
          </w:tcPr>
          <w:p w14:paraId="1546BB32"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t=72</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5883BEA" w14:textId="77777777" w:rsidR="00375B57" w:rsidRPr="00375B57" w:rsidRDefault="00375B57" w:rsidP="00375B57">
            <w:pPr>
              <w:spacing w:after="0" w:line="240" w:lineRule="auto"/>
              <w:rPr>
                <w:rFonts w:ascii="Calibri" w:eastAsia="Times New Roman" w:hAnsi="Calibri" w:cs="Calibri"/>
                <w:b/>
                <w:bCs/>
                <w:color w:val="000000"/>
                <w:lang w:eastAsia="en-GB"/>
              </w:rPr>
            </w:pPr>
            <w:r w:rsidRPr="00375B57">
              <w:rPr>
                <w:rFonts w:ascii="Calibri" w:eastAsia="Times New Roman" w:hAnsi="Calibri" w:cs="Calibri"/>
                <w:b/>
                <w:bCs/>
                <w:color w:val="000000"/>
                <w:lang w:eastAsia="en-GB"/>
              </w:rPr>
              <w:t>AUC</w:t>
            </w:r>
          </w:p>
        </w:tc>
        <w:tc>
          <w:tcPr>
            <w:tcW w:w="1418" w:type="dxa"/>
            <w:tcBorders>
              <w:top w:val="nil"/>
              <w:left w:val="nil"/>
              <w:bottom w:val="single" w:sz="4" w:space="0" w:color="auto"/>
              <w:right w:val="single" w:sz="4" w:space="0" w:color="auto"/>
            </w:tcBorders>
            <w:shd w:val="clear" w:color="auto" w:fill="auto"/>
            <w:vAlign w:val="bottom"/>
            <w:hideMark/>
          </w:tcPr>
          <w:p w14:paraId="666F562C" w14:textId="77777777" w:rsidR="00375B57" w:rsidRPr="00375B57" w:rsidRDefault="00375B57" w:rsidP="00375B57">
            <w:pPr>
              <w:spacing w:after="0" w:line="240" w:lineRule="auto"/>
              <w:rPr>
                <w:rFonts w:ascii="Calibri" w:eastAsia="Times New Roman" w:hAnsi="Calibri" w:cs="Calibri"/>
                <w:b/>
                <w:bCs/>
                <w:lang w:eastAsia="en-GB"/>
              </w:rPr>
            </w:pPr>
            <w:r w:rsidRPr="00375B57">
              <w:rPr>
                <w:rFonts w:ascii="Calibri" w:eastAsia="Times New Roman" w:hAnsi="Calibri" w:cs="Calibri"/>
                <w:b/>
                <w:bCs/>
                <w:lang w:eastAsia="en-GB"/>
              </w:rPr>
              <w:t>log10 reduction</w:t>
            </w:r>
          </w:p>
        </w:tc>
      </w:tr>
      <w:tr w:rsidR="00375B57" w:rsidRPr="00375B57" w14:paraId="47AF87DA"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2304089D"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134" w:type="dxa"/>
            <w:tcBorders>
              <w:top w:val="nil"/>
              <w:left w:val="nil"/>
              <w:bottom w:val="nil"/>
              <w:right w:val="single" w:sz="4" w:space="0" w:color="auto"/>
            </w:tcBorders>
            <w:shd w:val="clear" w:color="auto" w:fill="auto"/>
            <w:noWrap/>
            <w:vAlign w:val="bottom"/>
            <w:hideMark/>
          </w:tcPr>
          <w:p w14:paraId="6CCB2AE7"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AML</w:t>
            </w:r>
          </w:p>
        </w:tc>
        <w:tc>
          <w:tcPr>
            <w:tcW w:w="1154" w:type="dxa"/>
            <w:tcBorders>
              <w:top w:val="single" w:sz="4" w:space="0" w:color="auto"/>
              <w:left w:val="nil"/>
              <w:bottom w:val="nil"/>
              <w:right w:val="nil"/>
            </w:tcBorders>
            <w:shd w:val="clear" w:color="auto" w:fill="auto"/>
            <w:noWrap/>
            <w:vAlign w:val="bottom"/>
            <w:hideMark/>
          </w:tcPr>
          <w:p w14:paraId="4939BEC7" w14:textId="34EFA869"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single" w:sz="4" w:space="0" w:color="auto"/>
              <w:left w:val="nil"/>
              <w:bottom w:val="nil"/>
              <w:right w:val="nil"/>
            </w:tcBorders>
            <w:shd w:val="clear" w:color="auto" w:fill="auto"/>
            <w:noWrap/>
            <w:vAlign w:val="bottom"/>
            <w:hideMark/>
          </w:tcPr>
          <w:p w14:paraId="4758B0A2" w14:textId="3E6B734E"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single" w:sz="4" w:space="0" w:color="auto"/>
              <w:left w:val="nil"/>
              <w:bottom w:val="nil"/>
              <w:right w:val="nil"/>
            </w:tcBorders>
            <w:shd w:val="clear" w:color="auto" w:fill="auto"/>
            <w:noWrap/>
            <w:vAlign w:val="bottom"/>
            <w:hideMark/>
          </w:tcPr>
          <w:p w14:paraId="307D169C" w14:textId="6925AE87"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5" w:type="dxa"/>
            <w:tcBorders>
              <w:top w:val="single" w:sz="4" w:space="0" w:color="auto"/>
              <w:left w:val="nil"/>
              <w:bottom w:val="nil"/>
              <w:right w:val="nil"/>
            </w:tcBorders>
            <w:shd w:val="clear" w:color="auto" w:fill="auto"/>
            <w:noWrap/>
            <w:vAlign w:val="bottom"/>
            <w:hideMark/>
          </w:tcPr>
          <w:p w14:paraId="49D93DC1" w14:textId="3E2D278A"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54" w:type="dxa"/>
            <w:tcBorders>
              <w:top w:val="single" w:sz="4" w:space="0" w:color="auto"/>
              <w:left w:val="nil"/>
              <w:bottom w:val="nil"/>
              <w:right w:val="nil"/>
            </w:tcBorders>
            <w:shd w:val="clear" w:color="auto" w:fill="auto"/>
            <w:noWrap/>
            <w:vAlign w:val="bottom"/>
            <w:hideMark/>
          </w:tcPr>
          <w:p w14:paraId="2E230236" w14:textId="15F18774"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single" w:sz="4" w:space="0" w:color="auto"/>
              <w:left w:val="nil"/>
              <w:bottom w:val="nil"/>
              <w:right w:val="nil"/>
            </w:tcBorders>
            <w:shd w:val="clear" w:color="auto" w:fill="auto"/>
            <w:noWrap/>
            <w:vAlign w:val="bottom"/>
            <w:hideMark/>
          </w:tcPr>
          <w:p w14:paraId="10189714" w14:textId="6E84EF2F"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single" w:sz="4" w:space="0" w:color="auto"/>
              <w:left w:val="nil"/>
              <w:bottom w:val="nil"/>
              <w:right w:val="single" w:sz="4" w:space="0" w:color="auto"/>
            </w:tcBorders>
            <w:shd w:val="clear" w:color="auto" w:fill="auto"/>
            <w:noWrap/>
            <w:vAlign w:val="bottom"/>
            <w:hideMark/>
          </w:tcPr>
          <w:p w14:paraId="1A689C5B" w14:textId="7E3EB47A"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7" w:type="dxa"/>
            <w:tcBorders>
              <w:top w:val="nil"/>
              <w:left w:val="nil"/>
              <w:bottom w:val="nil"/>
              <w:right w:val="single" w:sz="4" w:space="0" w:color="auto"/>
            </w:tcBorders>
            <w:shd w:val="clear" w:color="auto" w:fill="auto"/>
            <w:noWrap/>
            <w:vAlign w:val="bottom"/>
            <w:hideMark/>
          </w:tcPr>
          <w:p w14:paraId="3A430A7A" w14:textId="324F2F64"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38F5C5BC" w14:textId="63891C00"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4A45A81C"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33FB85C5"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6</w:t>
            </w:r>
          </w:p>
        </w:tc>
        <w:tc>
          <w:tcPr>
            <w:tcW w:w="1134" w:type="dxa"/>
            <w:tcBorders>
              <w:top w:val="nil"/>
              <w:left w:val="nil"/>
              <w:bottom w:val="nil"/>
              <w:right w:val="single" w:sz="4" w:space="0" w:color="auto"/>
            </w:tcBorders>
            <w:shd w:val="clear" w:color="auto" w:fill="auto"/>
            <w:noWrap/>
            <w:vAlign w:val="bottom"/>
            <w:hideMark/>
          </w:tcPr>
          <w:p w14:paraId="5347ACA8"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MDS</w:t>
            </w:r>
          </w:p>
        </w:tc>
        <w:tc>
          <w:tcPr>
            <w:tcW w:w="1154" w:type="dxa"/>
            <w:tcBorders>
              <w:top w:val="nil"/>
              <w:left w:val="nil"/>
              <w:bottom w:val="nil"/>
              <w:right w:val="nil"/>
            </w:tcBorders>
            <w:shd w:val="clear" w:color="auto" w:fill="auto"/>
            <w:noWrap/>
            <w:vAlign w:val="bottom"/>
            <w:hideMark/>
          </w:tcPr>
          <w:p w14:paraId="7FB79DEA" w14:textId="315B1A86"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423227FF" w14:textId="681F3A06"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19354392" w14:textId="7EF5948A"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5" w:type="dxa"/>
            <w:tcBorders>
              <w:top w:val="nil"/>
              <w:left w:val="nil"/>
              <w:bottom w:val="nil"/>
              <w:right w:val="nil"/>
            </w:tcBorders>
            <w:shd w:val="clear" w:color="auto" w:fill="auto"/>
            <w:noWrap/>
            <w:vAlign w:val="bottom"/>
            <w:hideMark/>
          </w:tcPr>
          <w:p w14:paraId="2B6DFB07" w14:textId="694BF0B0"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3543FDDB" w14:textId="435DC13B"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0C6E8AE3" w14:textId="6782D206"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5" w:type="dxa"/>
            <w:tcBorders>
              <w:top w:val="nil"/>
              <w:left w:val="nil"/>
              <w:bottom w:val="nil"/>
              <w:right w:val="single" w:sz="4" w:space="0" w:color="auto"/>
            </w:tcBorders>
            <w:shd w:val="clear" w:color="auto" w:fill="auto"/>
            <w:noWrap/>
            <w:vAlign w:val="bottom"/>
            <w:hideMark/>
          </w:tcPr>
          <w:p w14:paraId="07D2CF28" w14:textId="58D14DD1"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417" w:type="dxa"/>
            <w:tcBorders>
              <w:top w:val="nil"/>
              <w:left w:val="nil"/>
              <w:bottom w:val="nil"/>
              <w:right w:val="single" w:sz="4" w:space="0" w:color="auto"/>
            </w:tcBorders>
            <w:shd w:val="clear" w:color="auto" w:fill="auto"/>
            <w:noWrap/>
            <w:vAlign w:val="bottom"/>
            <w:hideMark/>
          </w:tcPr>
          <w:p w14:paraId="3D61D6D9" w14:textId="5066BC60"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6D7C07D7" w14:textId="485D50A3"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r>
      <w:tr w:rsidR="00375B57" w:rsidRPr="00375B57" w14:paraId="79747F75"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6D4F0E50"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24</w:t>
            </w:r>
          </w:p>
        </w:tc>
        <w:tc>
          <w:tcPr>
            <w:tcW w:w="1134" w:type="dxa"/>
            <w:tcBorders>
              <w:top w:val="nil"/>
              <w:left w:val="nil"/>
              <w:bottom w:val="nil"/>
              <w:right w:val="single" w:sz="4" w:space="0" w:color="auto"/>
            </w:tcBorders>
            <w:shd w:val="clear" w:color="auto" w:fill="auto"/>
            <w:noWrap/>
            <w:vAlign w:val="bottom"/>
            <w:hideMark/>
          </w:tcPr>
          <w:p w14:paraId="0CE51298"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AML</w:t>
            </w:r>
          </w:p>
        </w:tc>
        <w:tc>
          <w:tcPr>
            <w:tcW w:w="1154" w:type="dxa"/>
            <w:tcBorders>
              <w:top w:val="nil"/>
              <w:left w:val="nil"/>
              <w:bottom w:val="nil"/>
              <w:right w:val="nil"/>
            </w:tcBorders>
            <w:shd w:val="clear" w:color="auto" w:fill="auto"/>
            <w:noWrap/>
            <w:vAlign w:val="bottom"/>
            <w:hideMark/>
          </w:tcPr>
          <w:p w14:paraId="4B070AB0" w14:textId="6154C11B"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6831E7FD" w14:textId="7890FBC3"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5D9DBDE2" w14:textId="71EFBA66"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nil"/>
              <w:right w:val="nil"/>
            </w:tcBorders>
            <w:shd w:val="clear" w:color="auto" w:fill="auto"/>
            <w:noWrap/>
            <w:vAlign w:val="bottom"/>
            <w:hideMark/>
          </w:tcPr>
          <w:p w14:paraId="078A734D" w14:textId="5D695D0E"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65760F89" w14:textId="4A186869"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7D3EEE4E" w14:textId="1D8947AA"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55" w:type="dxa"/>
            <w:tcBorders>
              <w:top w:val="nil"/>
              <w:left w:val="nil"/>
              <w:bottom w:val="nil"/>
              <w:right w:val="single" w:sz="4" w:space="0" w:color="auto"/>
            </w:tcBorders>
            <w:shd w:val="clear" w:color="auto" w:fill="auto"/>
            <w:noWrap/>
            <w:vAlign w:val="bottom"/>
            <w:hideMark/>
          </w:tcPr>
          <w:p w14:paraId="724929FB" w14:textId="04FC1E8B" w:rsidR="00375B57" w:rsidRPr="001B60AF" w:rsidRDefault="00225DAA" w:rsidP="0051769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7" w:type="dxa"/>
            <w:tcBorders>
              <w:top w:val="nil"/>
              <w:left w:val="nil"/>
              <w:bottom w:val="nil"/>
              <w:right w:val="single" w:sz="4" w:space="0" w:color="auto"/>
            </w:tcBorders>
            <w:shd w:val="clear" w:color="auto" w:fill="auto"/>
            <w:noWrap/>
            <w:vAlign w:val="bottom"/>
            <w:hideMark/>
          </w:tcPr>
          <w:p w14:paraId="7BDC87ED" w14:textId="439B0D4D"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56579824" w14:textId="1E0CFC00"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30F8BE57"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054A984E"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25</w:t>
            </w:r>
          </w:p>
        </w:tc>
        <w:tc>
          <w:tcPr>
            <w:tcW w:w="1134" w:type="dxa"/>
            <w:tcBorders>
              <w:top w:val="nil"/>
              <w:left w:val="nil"/>
              <w:bottom w:val="nil"/>
              <w:right w:val="single" w:sz="4" w:space="0" w:color="auto"/>
            </w:tcBorders>
            <w:shd w:val="clear" w:color="auto" w:fill="auto"/>
            <w:noWrap/>
            <w:vAlign w:val="bottom"/>
            <w:hideMark/>
          </w:tcPr>
          <w:p w14:paraId="19C191EC"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AML</w:t>
            </w:r>
          </w:p>
        </w:tc>
        <w:tc>
          <w:tcPr>
            <w:tcW w:w="1154" w:type="dxa"/>
            <w:tcBorders>
              <w:top w:val="nil"/>
              <w:left w:val="nil"/>
              <w:bottom w:val="nil"/>
              <w:right w:val="nil"/>
            </w:tcBorders>
            <w:shd w:val="clear" w:color="auto" w:fill="auto"/>
            <w:noWrap/>
            <w:vAlign w:val="bottom"/>
            <w:hideMark/>
          </w:tcPr>
          <w:p w14:paraId="3207DD4E" w14:textId="36857868"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72C1D99E" w14:textId="10858BF9"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11C66BE7" w14:textId="1E677085"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5" w:type="dxa"/>
            <w:tcBorders>
              <w:top w:val="nil"/>
              <w:left w:val="nil"/>
              <w:bottom w:val="nil"/>
              <w:right w:val="nil"/>
            </w:tcBorders>
            <w:shd w:val="clear" w:color="auto" w:fill="auto"/>
            <w:noWrap/>
            <w:vAlign w:val="bottom"/>
            <w:hideMark/>
          </w:tcPr>
          <w:p w14:paraId="042626CF" w14:textId="1D595594"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46AB74EB" w14:textId="6AC620DD"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nil"/>
              <w:right w:val="nil"/>
            </w:tcBorders>
            <w:shd w:val="clear" w:color="auto" w:fill="auto"/>
            <w:noWrap/>
            <w:vAlign w:val="bottom"/>
            <w:hideMark/>
          </w:tcPr>
          <w:p w14:paraId="3AB12B2C" w14:textId="451B3705"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55" w:type="dxa"/>
            <w:tcBorders>
              <w:top w:val="nil"/>
              <w:left w:val="nil"/>
              <w:bottom w:val="nil"/>
              <w:right w:val="single" w:sz="4" w:space="0" w:color="auto"/>
            </w:tcBorders>
            <w:shd w:val="clear" w:color="auto" w:fill="auto"/>
            <w:noWrap/>
            <w:vAlign w:val="bottom"/>
            <w:hideMark/>
          </w:tcPr>
          <w:p w14:paraId="39D1FB9F" w14:textId="0EB4271D" w:rsidR="00375B57" w:rsidRPr="001B60AF"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417" w:type="dxa"/>
            <w:tcBorders>
              <w:top w:val="nil"/>
              <w:left w:val="nil"/>
              <w:bottom w:val="nil"/>
              <w:right w:val="single" w:sz="4" w:space="0" w:color="auto"/>
            </w:tcBorders>
            <w:shd w:val="clear" w:color="auto" w:fill="auto"/>
            <w:noWrap/>
            <w:vAlign w:val="bottom"/>
            <w:hideMark/>
          </w:tcPr>
          <w:p w14:paraId="47AEC4EC" w14:textId="7A19C1B2"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16C57A7D" w14:textId="05F8E110"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45F2B271"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51AADA88"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26</w:t>
            </w:r>
          </w:p>
        </w:tc>
        <w:tc>
          <w:tcPr>
            <w:tcW w:w="1134" w:type="dxa"/>
            <w:tcBorders>
              <w:top w:val="nil"/>
              <w:left w:val="nil"/>
              <w:bottom w:val="nil"/>
              <w:right w:val="single" w:sz="4" w:space="0" w:color="auto"/>
            </w:tcBorders>
            <w:shd w:val="clear" w:color="auto" w:fill="auto"/>
            <w:noWrap/>
            <w:vAlign w:val="bottom"/>
            <w:hideMark/>
          </w:tcPr>
          <w:p w14:paraId="228E85D3"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MDS</w:t>
            </w:r>
          </w:p>
        </w:tc>
        <w:tc>
          <w:tcPr>
            <w:tcW w:w="1154" w:type="dxa"/>
            <w:tcBorders>
              <w:top w:val="nil"/>
              <w:left w:val="nil"/>
              <w:bottom w:val="nil"/>
              <w:right w:val="nil"/>
            </w:tcBorders>
            <w:shd w:val="clear" w:color="auto" w:fill="auto"/>
            <w:noWrap/>
            <w:vAlign w:val="bottom"/>
            <w:hideMark/>
          </w:tcPr>
          <w:p w14:paraId="50B0B124" w14:textId="4D6EB5D1"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2588827A" w14:textId="5CBE5FA2"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01025858" w14:textId="4F1010F9"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nil"/>
              <w:right w:val="nil"/>
            </w:tcBorders>
            <w:shd w:val="clear" w:color="auto" w:fill="auto"/>
            <w:noWrap/>
            <w:vAlign w:val="bottom"/>
            <w:hideMark/>
          </w:tcPr>
          <w:p w14:paraId="5203C929" w14:textId="44A1373D"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764915A4" w14:textId="01588E51"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6CD02185" w14:textId="7AE23AF8"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r w:rsidR="00702746">
              <w:rPr>
                <w:rFonts w:ascii="Calibri" w:eastAsia="Times New Roman" w:hAnsi="Calibri" w:cs="Calibri"/>
                <w:color w:val="000000"/>
                <w:lang w:eastAsia="en-GB"/>
              </w:rPr>
              <w:t>*</w:t>
            </w:r>
          </w:p>
        </w:tc>
        <w:tc>
          <w:tcPr>
            <w:tcW w:w="1155" w:type="dxa"/>
            <w:tcBorders>
              <w:top w:val="nil"/>
              <w:left w:val="nil"/>
              <w:bottom w:val="nil"/>
              <w:right w:val="single" w:sz="4" w:space="0" w:color="auto"/>
            </w:tcBorders>
            <w:shd w:val="clear" w:color="auto" w:fill="auto"/>
            <w:noWrap/>
            <w:vAlign w:val="bottom"/>
            <w:hideMark/>
          </w:tcPr>
          <w:p w14:paraId="07A2EFB8" w14:textId="1172A1FE" w:rsidR="00375B57" w:rsidRPr="0051769E" w:rsidRDefault="00225DAA" w:rsidP="00375B57">
            <w:pPr>
              <w:spacing w:after="0" w:line="240" w:lineRule="auto"/>
              <w:rPr>
                <w:rFonts w:ascii="Calibri" w:eastAsia="Times New Roman" w:hAnsi="Calibri" w:cs="Calibri"/>
                <w:color w:val="000000"/>
                <w:highlight w:val="yellow"/>
                <w:lang w:eastAsia="en-GB"/>
              </w:rPr>
            </w:pPr>
            <w:r>
              <w:rPr>
                <w:rFonts w:ascii="Calibri" w:eastAsia="Times New Roman" w:hAnsi="Calibri" w:cs="Calibri"/>
                <w:color w:val="000000"/>
                <w:lang w:eastAsia="en-GB"/>
              </w:rPr>
              <w:t>0</w:t>
            </w:r>
            <w:r w:rsidR="00702746">
              <w:rPr>
                <w:rFonts w:ascii="Calibri" w:eastAsia="Times New Roman" w:hAnsi="Calibri" w:cs="Calibri"/>
                <w:color w:val="000000"/>
                <w:lang w:eastAsia="en-GB"/>
              </w:rPr>
              <w:t>*</w:t>
            </w:r>
          </w:p>
        </w:tc>
        <w:tc>
          <w:tcPr>
            <w:tcW w:w="1417" w:type="dxa"/>
            <w:tcBorders>
              <w:top w:val="nil"/>
              <w:left w:val="nil"/>
              <w:bottom w:val="nil"/>
              <w:right w:val="single" w:sz="4" w:space="0" w:color="auto"/>
            </w:tcBorders>
            <w:shd w:val="clear" w:color="auto" w:fill="auto"/>
            <w:noWrap/>
            <w:vAlign w:val="bottom"/>
            <w:hideMark/>
          </w:tcPr>
          <w:p w14:paraId="10D317D3" w14:textId="034C9209"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0D45B30D" w14:textId="79993485"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2B238B74" w14:textId="77777777" w:rsidTr="00702746">
        <w:trPr>
          <w:trHeight w:val="300"/>
        </w:trPr>
        <w:tc>
          <w:tcPr>
            <w:tcW w:w="1985" w:type="dxa"/>
            <w:tcBorders>
              <w:top w:val="nil"/>
              <w:left w:val="single" w:sz="4" w:space="0" w:color="auto"/>
              <w:bottom w:val="nil"/>
              <w:right w:val="single" w:sz="4" w:space="0" w:color="auto"/>
            </w:tcBorders>
            <w:shd w:val="clear" w:color="auto" w:fill="auto"/>
            <w:noWrap/>
            <w:vAlign w:val="bottom"/>
            <w:hideMark/>
          </w:tcPr>
          <w:p w14:paraId="0AB48626"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27</w:t>
            </w:r>
          </w:p>
        </w:tc>
        <w:tc>
          <w:tcPr>
            <w:tcW w:w="1134" w:type="dxa"/>
            <w:tcBorders>
              <w:top w:val="nil"/>
              <w:left w:val="nil"/>
              <w:bottom w:val="nil"/>
              <w:right w:val="single" w:sz="4" w:space="0" w:color="auto"/>
            </w:tcBorders>
            <w:shd w:val="clear" w:color="auto" w:fill="auto"/>
            <w:noWrap/>
            <w:vAlign w:val="bottom"/>
            <w:hideMark/>
          </w:tcPr>
          <w:p w14:paraId="4A8B2543"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AML</w:t>
            </w:r>
          </w:p>
        </w:tc>
        <w:tc>
          <w:tcPr>
            <w:tcW w:w="1154" w:type="dxa"/>
            <w:tcBorders>
              <w:top w:val="nil"/>
              <w:left w:val="nil"/>
              <w:bottom w:val="nil"/>
              <w:right w:val="nil"/>
            </w:tcBorders>
            <w:shd w:val="clear" w:color="auto" w:fill="auto"/>
            <w:noWrap/>
            <w:vAlign w:val="bottom"/>
            <w:hideMark/>
          </w:tcPr>
          <w:p w14:paraId="572163CA" w14:textId="3E269E42"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36FE1E2A" w14:textId="0B027201"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4DD80CAB" w14:textId="59B3767E"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nil"/>
              <w:right w:val="nil"/>
            </w:tcBorders>
            <w:shd w:val="clear" w:color="auto" w:fill="auto"/>
            <w:noWrap/>
            <w:vAlign w:val="bottom"/>
            <w:hideMark/>
          </w:tcPr>
          <w:p w14:paraId="746AED09" w14:textId="22238672"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45146835" w14:textId="01C73DF7"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nil"/>
              <w:right w:val="nil"/>
            </w:tcBorders>
            <w:shd w:val="clear" w:color="auto" w:fill="auto"/>
            <w:noWrap/>
            <w:vAlign w:val="bottom"/>
            <w:hideMark/>
          </w:tcPr>
          <w:p w14:paraId="3AEE8F7F" w14:textId="1F1551B3"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nil"/>
              <w:right w:val="single" w:sz="4" w:space="0" w:color="auto"/>
            </w:tcBorders>
            <w:shd w:val="clear" w:color="auto" w:fill="auto"/>
            <w:noWrap/>
            <w:vAlign w:val="bottom"/>
            <w:hideMark/>
          </w:tcPr>
          <w:p w14:paraId="6D03D799" w14:textId="739910EB" w:rsidR="00375B57" w:rsidRPr="0051769E" w:rsidRDefault="00225DAA" w:rsidP="00375B57">
            <w:pPr>
              <w:spacing w:after="0" w:line="240" w:lineRule="auto"/>
              <w:rPr>
                <w:rFonts w:ascii="Calibri" w:eastAsia="Times New Roman" w:hAnsi="Calibri" w:cs="Calibri"/>
                <w:color w:val="000000"/>
                <w:highlight w:val="yellow"/>
                <w:lang w:eastAsia="en-GB"/>
              </w:rPr>
            </w:pPr>
            <w:r>
              <w:rPr>
                <w:rFonts w:ascii="Calibri" w:eastAsia="Times New Roman" w:hAnsi="Calibri" w:cs="Calibri"/>
                <w:color w:val="000000"/>
                <w:lang w:eastAsia="en-GB"/>
              </w:rPr>
              <w:t>1 (</w:t>
            </w:r>
            <w:r w:rsidR="00375B57" w:rsidRPr="0051769E">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417" w:type="dxa"/>
            <w:tcBorders>
              <w:top w:val="nil"/>
              <w:left w:val="nil"/>
              <w:bottom w:val="nil"/>
              <w:right w:val="single" w:sz="4" w:space="0" w:color="auto"/>
            </w:tcBorders>
            <w:shd w:val="clear" w:color="auto" w:fill="auto"/>
            <w:noWrap/>
            <w:vAlign w:val="bottom"/>
            <w:hideMark/>
          </w:tcPr>
          <w:p w14:paraId="4772E7F7" w14:textId="2AFB9CA7"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nil"/>
              <w:right w:val="single" w:sz="4" w:space="0" w:color="auto"/>
            </w:tcBorders>
            <w:shd w:val="clear" w:color="auto" w:fill="auto"/>
            <w:noWrap/>
            <w:vAlign w:val="bottom"/>
            <w:hideMark/>
          </w:tcPr>
          <w:p w14:paraId="1E39D16A" w14:textId="37BD6539"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375B57" w:rsidRPr="00375B57" w14:paraId="50B2D251" w14:textId="77777777" w:rsidTr="00702746">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DA9A09C"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28</w:t>
            </w:r>
          </w:p>
        </w:tc>
        <w:tc>
          <w:tcPr>
            <w:tcW w:w="1134" w:type="dxa"/>
            <w:tcBorders>
              <w:top w:val="nil"/>
              <w:left w:val="nil"/>
              <w:bottom w:val="single" w:sz="4" w:space="0" w:color="auto"/>
              <w:right w:val="single" w:sz="4" w:space="0" w:color="auto"/>
            </w:tcBorders>
            <w:shd w:val="clear" w:color="auto" w:fill="auto"/>
            <w:noWrap/>
            <w:vAlign w:val="bottom"/>
            <w:hideMark/>
          </w:tcPr>
          <w:p w14:paraId="3F832E61" w14:textId="77777777" w:rsidR="00375B57" w:rsidRPr="00375B57" w:rsidRDefault="00375B57" w:rsidP="00375B57">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AML</w:t>
            </w:r>
          </w:p>
        </w:tc>
        <w:tc>
          <w:tcPr>
            <w:tcW w:w="1154" w:type="dxa"/>
            <w:tcBorders>
              <w:top w:val="nil"/>
              <w:left w:val="nil"/>
              <w:bottom w:val="single" w:sz="4" w:space="0" w:color="auto"/>
              <w:right w:val="nil"/>
            </w:tcBorders>
            <w:shd w:val="clear" w:color="auto" w:fill="auto"/>
            <w:noWrap/>
            <w:vAlign w:val="bottom"/>
            <w:hideMark/>
          </w:tcPr>
          <w:p w14:paraId="26971170" w14:textId="0621DABA"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single" w:sz="4" w:space="0" w:color="auto"/>
              <w:right w:val="nil"/>
            </w:tcBorders>
            <w:shd w:val="clear" w:color="auto" w:fill="auto"/>
            <w:noWrap/>
            <w:vAlign w:val="bottom"/>
            <w:hideMark/>
          </w:tcPr>
          <w:p w14:paraId="0C84B322" w14:textId="58407734"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single" w:sz="4" w:space="0" w:color="auto"/>
              <w:right w:val="nil"/>
            </w:tcBorders>
            <w:shd w:val="clear" w:color="auto" w:fill="auto"/>
            <w:noWrap/>
            <w:vAlign w:val="bottom"/>
            <w:hideMark/>
          </w:tcPr>
          <w:p w14:paraId="59D8D0BA" w14:textId="3A51987D"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single" w:sz="4" w:space="0" w:color="auto"/>
              <w:right w:val="nil"/>
            </w:tcBorders>
            <w:shd w:val="clear" w:color="auto" w:fill="auto"/>
            <w:noWrap/>
            <w:vAlign w:val="bottom"/>
            <w:hideMark/>
          </w:tcPr>
          <w:p w14:paraId="6DCC644E" w14:textId="02ED5F97"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single" w:sz="4" w:space="0" w:color="auto"/>
              <w:right w:val="nil"/>
            </w:tcBorders>
            <w:shd w:val="clear" w:color="auto" w:fill="auto"/>
            <w:noWrap/>
            <w:vAlign w:val="bottom"/>
            <w:hideMark/>
          </w:tcPr>
          <w:p w14:paraId="55310463" w14:textId="17842713"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4" w:type="dxa"/>
            <w:tcBorders>
              <w:top w:val="nil"/>
              <w:left w:val="nil"/>
              <w:bottom w:val="single" w:sz="4" w:space="0" w:color="auto"/>
              <w:right w:val="nil"/>
            </w:tcBorders>
            <w:shd w:val="clear" w:color="auto" w:fill="auto"/>
            <w:noWrap/>
            <w:vAlign w:val="bottom"/>
            <w:hideMark/>
          </w:tcPr>
          <w:p w14:paraId="54823423" w14:textId="49CA75D2"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 (</w:t>
            </w:r>
            <w:r w:rsidR="00375B57" w:rsidRPr="00375B57">
              <w:rPr>
                <w:rFonts w:ascii="Calibri" w:eastAsia="Times New Roman" w:hAnsi="Calibri" w:cs="Calibri"/>
                <w:color w:val="000000"/>
                <w:lang w:eastAsia="en-GB"/>
              </w:rPr>
              <w:t>&lt;LOD</w:t>
            </w:r>
            <w:r>
              <w:rPr>
                <w:rFonts w:ascii="Calibri" w:eastAsia="Times New Roman" w:hAnsi="Calibri" w:cs="Calibri"/>
                <w:color w:val="000000"/>
                <w:lang w:eastAsia="en-GB"/>
              </w:rPr>
              <w:t>)</w:t>
            </w:r>
          </w:p>
        </w:tc>
        <w:tc>
          <w:tcPr>
            <w:tcW w:w="1155" w:type="dxa"/>
            <w:tcBorders>
              <w:top w:val="nil"/>
              <w:left w:val="nil"/>
              <w:bottom w:val="single" w:sz="4" w:space="0" w:color="auto"/>
              <w:right w:val="single" w:sz="4" w:space="0" w:color="auto"/>
            </w:tcBorders>
            <w:shd w:val="clear" w:color="auto" w:fill="auto"/>
            <w:noWrap/>
            <w:vAlign w:val="bottom"/>
            <w:hideMark/>
          </w:tcPr>
          <w:p w14:paraId="22170B51" w14:textId="75BD513B" w:rsidR="00375B57" w:rsidRPr="00375B57" w:rsidRDefault="00225DAA"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r w:rsidR="00702746">
              <w:rPr>
                <w:rFonts w:ascii="Calibri" w:eastAsia="Times New Roman" w:hAnsi="Calibri" w:cs="Calibri"/>
                <w:color w:val="000000"/>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14:paraId="6919EBC7" w14:textId="202339B2" w:rsidR="00375B57" w:rsidRPr="00375B57" w:rsidRDefault="00225DAA" w:rsidP="00225D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772AD4" w14:textId="0F74DF83" w:rsidR="00375B57" w:rsidRPr="00375B57" w:rsidRDefault="002A57FB"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r>
      <w:tr w:rsidR="00F17660" w:rsidRPr="00375B57" w14:paraId="5A44B4E6" w14:textId="77777777" w:rsidTr="00702746">
        <w:trPr>
          <w:trHeight w:val="300"/>
        </w:trPr>
        <w:tc>
          <w:tcPr>
            <w:tcW w:w="1985" w:type="dxa"/>
            <w:tcBorders>
              <w:top w:val="nil"/>
              <w:left w:val="single" w:sz="4" w:space="0" w:color="auto"/>
              <w:bottom w:val="single" w:sz="4" w:space="0" w:color="auto"/>
              <w:right w:val="nil"/>
            </w:tcBorders>
            <w:shd w:val="clear" w:color="auto" w:fill="auto"/>
            <w:noWrap/>
            <w:vAlign w:val="bottom"/>
          </w:tcPr>
          <w:p w14:paraId="24A7FEE2" w14:textId="7BDC8418" w:rsidR="00F17660" w:rsidRPr="00375B57" w:rsidRDefault="00F17660" w:rsidP="00375B57">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n</w:t>
            </w:r>
            <w:r w:rsidRPr="00F17660">
              <w:rPr>
                <w:rFonts w:ascii="Calibri" w:eastAsia="Times New Roman" w:hAnsi="Calibri" w:cs="Calibri"/>
                <w:iCs/>
                <w:color w:val="000000"/>
                <w:lang w:eastAsia="en-GB"/>
              </w:rPr>
              <w:t xml:space="preserve"> (lysate)</w:t>
            </w:r>
          </w:p>
        </w:tc>
        <w:tc>
          <w:tcPr>
            <w:tcW w:w="1134" w:type="dxa"/>
            <w:tcBorders>
              <w:top w:val="single" w:sz="4" w:space="0" w:color="auto"/>
              <w:left w:val="single" w:sz="4" w:space="0" w:color="auto"/>
              <w:bottom w:val="single" w:sz="4" w:space="0" w:color="auto"/>
              <w:right w:val="nil"/>
              <w:tr2bl w:val="single" w:sz="4" w:space="0" w:color="auto"/>
            </w:tcBorders>
            <w:shd w:val="clear" w:color="auto" w:fill="auto"/>
            <w:noWrap/>
            <w:vAlign w:val="bottom"/>
          </w:tcPr>
          <w:p w14:paraId="5BE9E97C" w14:textId="77777777" w:rsidR="00F17660" w:rsidRPr="00375B57" w:rsidRDefault="00F17660" w:rsidP="00375B57">
            <w:pPr>
              <w:spacing w:after="0" w:line="240" w:lineRule="auto"/>
              <w:rPr>
                <w:rFonts w:ascii="Calibri" w:eastAsia="Times New Roman" w:hAnsi="Calibri" w:cs="Calibri"/>
                <w:color w:val="000000"/>
                <w:lang w:eastAsia="en-GB"/>
              </w:rPr>
            </w:pPr>
          </w:p>
        </w:tc>
        <w:tc>
          <w:tcPr>
            <w:tcW w:w="1154" w:type="dxa"/>
            <w:tcBorders>
              <w:top w:val="nil"/>
              <w:left w:val="single" w:sz="4" w:space="0" w:color="auto"/>
              <w:bottom w:val="single" w:sz="4" w:space="0" w:color="auto"/>
              <w:right w:val="nil"/>
            </w:tcBorders>
            <w:shd w:val="clear" w:color="auto" w:fill="auto"/>
            <w:noWrap/>
            <w:vAlign w:val="bottom"/>
          </w:tcPr>
          <w:p w14:paraId="37AF1B88" w14:textId="6246A56A" w:rsidR="00F17660" w:rsidRDefault="001B60AF"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54" w:type="dxa"/>
            <w:tcBorders>
              <w:top w:val="nil"/>
              <w:left w:val="nil"/>
              <w:bottom w:val="single" w:sz="4" w:space="0" w:color="auto"/>
              <w:right w:val="nil"/>
            </w:tcBorders>
            <w:shd w:val="clear" w:color="auto" w:fill="auto"/>
            <w:noWrap/>
            <w:vAlign w:val="bottom"/>
          </w:tcPr>
          <w:p w14:paraId="53BFEFF2" w14:textId="5E2B180E" w:rsidR="00F17660" w:rsidRDefault="001B60AF"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54" w:type="dxa"/>
            <w:tcBorders>
              <w:top w:val="nil"/>
              <w:left w:val="nil"/>
              <w:bottom w:val="single" w:sz="4" w:space="0" w:color="auto"/>
              <w:right w:val="nil"/>
            </w:tcBorders>
            <w:shd w:val="clear" w:color="auto" w:fill="auto"/>
            <w:noWrap/>
            <w:vAlign w:val="bottom"/>
          </w:tcPr>
          <w:p w14:paraId="0564F1F5" w14:textId="430A7D67" w:rsidR="00F17660" w:rsidRDefault="001B60AF"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55" w:type="dxa"/>
            <w:tcBorders>
              <w:top w:val="nil"/>
              <w:left w:val="nil"/>
              <w:bottom w:val="single" w:sz="4" w:space="0" w:color="auto"/>
              <w:right w:val="nil"/>
            </w:tcBorders>
            <w:shd w:val="clear" w:color="auto" w:fill="auto"/>
            <w:noWrap/>
            <w:vAlign w:val="bottom"/>
          </w:tcPr>
          <w:p w14:paraId="0CA2EBB8" w14:textId="077D60D4" w:rsidR="00F17660" w:rsidRDefault="001B60AF"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54" w:type="dxa"/>
            <w:tcBorders>
              <w:top w:val="nil"/>
              <w:left w:val="nil"/>
              <w:bottom w:val="single" w:sz="4" w:space="0" w:color="auto"/>
              <w:right w:val="nil"/>
            </w:tcBorders>
            <w:shd w:val="clear" w:color="auto" w:fill="auto"/>
            <w:noWrap/>
            <w:vAlign w:val="bottom"/>
          </w:tcPr>
          <w:p w14:paraId="6139AFA8" w14:textId="3451FD78" w:rsidR="00F17660" w:rsidRDefault="001B60AF" w:rsidP="00375B5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154" w:type="dxa"/>
            <w:tcBorders>
              <w:top w:val="nil"/>
              <w:left w:val="nil"/>
              <w:bottom w:val="single" w:sz="4" w:space="0" w:color="auto"/>
              <w:right w:val="nil"/>
            </w:tcBorders>
            <w:shd w:val="clear" w:color="auto" w:fill="auto"/>
            <w:noWrap/>
            <w:vAlign w:val="bottom"/>
          </w:tcPr>
          <w:p w14:paraId="7D14BA9C" w14:textId="2F66EA38" w:rsidR="00F17660" w:rsidRPr="0051769E" w:rsidRDefault="0051769E" w:rsidP="00375B57">
            <w:pPr>
              <w:spacing w:after="0" w:line="240" w:lineRule="auto"/>
              <w:rPr>
                <w:rFonts w:ascii="Calibri" w:eastAsia="Times New Roman" w:hAnsi="Calibri" w:cs="Calibri"/>
                <w:color w:val="000000"/>
                <w:highlight w:val="yellow"/>
                <w:lang w:eastAsia="en-GB"/>
              </w:rPr>
            </w:pPr>
            <w:r w:rsidRPr="00140259">
              <w:rPr>
                <w:rFonts w:ascii="Calibri" w:eastAsia="Times New Roman" w:hAnsi="Calibri" w:cs="Calibri"/>
                <w:color w:val="000000"/>
                <w:lang w:eastAsia="en-GB"/>
              </w:rPr>
              <w:t>4</w:t>
            </w:r>
          </w:p>
        </w:tc>
        <w:tc>
          <w:tcPr>
            <w:tcW w:w="1155" w:type="dxa"/>
            <w:tcBorders>
              <w:top w:val="nil"/>
              <w:left w:val="nil"/>
              <w:bottom w:val="single" w:sz="4" w:space="0" w:color="auto"/>
              <w:right w:val="single" w:sz="4" w:space="0" w:color="auto"/>
            </w:tcBorders>
            <w:shd w:val="clear" w:color="auto" w:fill="auto"/>
            <w:noWrap/>
            <w:vAlign w:val="bottom"/>
          </w:tcPr>
          <w:p w14:paraId="1F47F92C" w14:textId="0CEFC8A5" w:rsidR="00F17660" w:rsidRPr="0051769E" w:rsidRDefault="00140259" w:rsidP="00375B57">
            <w:pPr>
              <w:spacing w:after="0" w:line="240" w:lineRule="auto"/>
              <w:rPr>
                <w:rFonts w:ascii="Calibri" w:eastAsia="Times New Roman" w:hAnsi="Calibri" w:cs="Calibri"/>
                <w:color w:val="000000"/>
                <w:highlight w:val="yellow"/>
                <w:lang w:eastAsia="en-GB"/>
              </w:rPr>
            </w:pPr>
            <w:r w:rsidRPr="00140259">
              <w:rPr>
                <w:rFonts w:ascii="Calibri" w:eastAsia="Times New Roman" w:hAnsi="Calibri" w:cs="Calibri"/>
                <w:color w:val="000000"/>
                <w:lang w:eastAsia="en-GB"/>
              </w:rPr>
              <w:t>3</w:t>
            </w:r>
          </w:p>
        </w:tc>
        <w:tc>
          <w:tcPr>
            <w:tcW w:w="1417" w:type="dxa"/>
            <w:tcBorders>
              <w:top w:val="single" w:sz="4" w:space="0" w:color="auto"/>
              <w:left w:val="nil"/>
              <w:bottom w:val="single" w:sz="4" w:space="0" w:color="auto"/>
              <w:right w:val="nil"/>
              <w:tr2bl w:val="single" w:sz="4" w:space="0" w:color="auto"/>
            </w:tcBorders>
            <w:shd w:val="clear" w:color="auto" w:fill="auto"/>
            <w:noWrap/>
            <w:vAlign w:val="bottom"/>
          </w:tcPr>
          <w:p w14:paraId="272EC243" w14:textId="77777777" w:rsidR="00F17660" w:rsidRPr="00375B57" w:rsidRDefault="00F17660" w:rsidP="00375B57">
            <w:pPr>
              <w:spacing w:after="0" w:line="240" w:lineRule="auto"/>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47DF3D6F" w14:textId="77777777" w:rsidR="00F17660" w:rsidRPr="00375B57" w:rsidRDefault="00F17660" w:rsidP="00375B57">
            <w:pPr>
              <w:spacing w:after="0" w:line="240" w:lineRule="auto"/>
              <w:rPr>
                <w:rFonts w:ascii="Calibri" w:eastAsia="Times New Roman" w:hAnsi="Calibri" w:cs="Calibri"/>
                <w:color w:val="000000"/>
                <w:lang w:eastAsia="en-GB"/>
              </w:rPr>
            </w:pPr>
          </w:p>
        </w:tc>
      </w:tr>
      <w:tr w:rsidR="001D2746" w:rsidRPr="00375B57" w14:paraId="7E60902B" w14:textId="77777777" w:rsidTr="00702746">
        <w:trPr>
          <w:trHeight w:val="300"/>
        </w:trPr>
        <w:tc>
          <w:tcPr>
            <w:tcW w:w="1985" w:type="dxa"/>
            <w:tcBorders>
              <w:top w:val="nil"/>
              <w:left w:val="single" w:sz="4" w:space="0" w:color="auto"/>
              <w:bottom w:val="single" w:sz="4" w:space="0" w:color="auto"/>
              <w:right w:val="nil"/>
            </w:tcBorders>
            <w:shd w:val="clear" w:color="auto" w:fill="auto"/>
            <w:noWrap/>
            <w:vAlign w:val="bottom"/>
          </w:tcPr>
          <w:p w14:paraId="188F9C06" w14:textId="6E6D9E0A" w:rsidR="001D2746" w:rsidRPr="001D2746" w:rsidRDefault="001D2746" w:rsidP="001B60AF">
            <w:pPr>
              <w:spacing w:after="0" w:line="240" w:lineRule="auto"/>
              <w:rPr>
                <w:rFonts w:ascii="Calibri" w:eastAsia="Times New Roman" w:hAnsi="Calibri" w:cs="Calibri"/>
                <w:iCs/>
                <w:color w:val="000000"/>
                <w:lang w:eastAsia="en-GB"/>
              </w:rPr>
            </w:pPr>
            <w:r>
              <w:rPr>
                <w:rFonts w:ascii="Calibri" w:eastAsia="Times New Roman" w:hAnsi="Calibri" w:cs="Calibri"/>
                <w:iCs/>
                <w:color w:val="000000"/>
                <w:lang w:eastAsia="en-GB"/>
              </w:rPr>
              <w:t>Feasibility (%)</w:t>
            </w:r>
          </w:p>
        </w:tc>
        <w:tc>
          <w:tcPr>
            <w:tcW w:w="1134" w:type="dxa"/>
            <w:tcBorders>
              <w:top w:val="single" w:sz="4" w:space="0" w:color="auto"/>
              <w:left w:val="single" w:sz="4" w:space="0" w:color="auto"/>
              <w:bottom w:val="single" w:sz="4" w:space="0" w:color="auto"/>
              <w:right w:val="nil"/>
              <w:tr2bl w:val="single" w:sz="4" w:space="0" w:color="auto"/>
            </w:tcBorders>
            <w:shd w:val="clear" w:color="auto" w:fill="auto"/>
            <w:noWrap/>
            <w:vAlign w:val="bottom"/>
          </w:tcPr>
          <w:p w14:paraId="58615EE8" w14:textId="77777777" w:rsidR="001D2746" w:rsidRPr="00375B57" w:rsidRDefault="001D2746" w:rsidP="001B60AF">
            <w:pPr>
              <w:spacing w:after="0" w:line="240" w:lineRule="auto"/>
              <w:rPr>
                <w:rFonts w:ascii="Calibri" w:eastAsia="Times New Roman" w:hAnsi="Calibri" w:cs="Calibri"/>
                <w:color w:val="000000"/>
                <w:lang w:eastAsia="en-GB"/>
              </w:rPr>
            </w:pPr>
          </w:p>
        </w:tc>
        <w:tc>
          <w:tcPr>
            <w:tcW w:w="1154" w:type="dxa"/>
            <w:tcBorders>
              <w:top w:val="nil"/>
              <w:left w:val="single" w:sz="4" w:space="0" w:color="auto"/>
              <w:bottom w:val="single" w:sz="4" w:space="0" w:color="auto"/>
              <w:right w:val="nil"/>
            </w:tcBorders>
            <w:shd w:val="clear" w:color="auto" w:fill="auto"/>
            <w:noWrap/>
            <w:vAlign w:val="bottom"/>
          </w:tcPr>
          <w:p w14:paraId="2A82C41F" w14:textId="60C8A4F2"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154" w:type="dxa"/>
            <w:tcBorders>
              <w:top w:val="nil"/>
              <w:left w:val="nil"/>
              <w:bottom w:val="single" w:sz="4" w:space="0" w:color="auto"/>
              <w:right w:val="nil"/>
            </w:tcBorders>
            <w:shd w:val="clear" w:color="auto" w:fill="auto"/>
            <w:noWrap/>
            <w:vAlign w:val="bottom"/>
          </w:tcPr>
          <w:p w14:paraId="75AAAAEE" w14:textId="438BB768"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154" w:type="dxa"/>
            <w:tcBorders>
              <w:top w:val="nil"/>
              <w:left w:val="nil"/>
              <w:bottom w:val="single" w:sz="4" w:space="0" w:color="auto"/>
              <w:right w:val="nil"/>
            </w:tcBorders>
            <w:shd w:val="clear" w:color="auto" w:fill="auto"/>
            <w:noWrap/>
            <w:vAlign w:val="bottom"/>
          </w:tcPr>
          <w:p w14:paraId="2F6C6C37" w14:textId="10804299"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155" w:type="dxa"/>
            <w:tcBorders>
              <w:top w:val="nil"/>
              <w:left w:val="nil"/>
              <w:bottom w:val="single" w:sz="4" w:space="0" w:color="auto"/>
              <w:right w:val="nil"/>
            </w:tcBorders>
            <w:shd w:val="clear" w:color="auto" w:fill="auto"/>
            <w:noWrap/>
            <w:vAlign w:val="bottom"/>
          </w:tcPr>
          <w:p w14:paraId="6D804847" w14:textId="272B9F67"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86</w:t>
            </w:r>
          </w:p>
        </w:tc>
        <w:tc>
          <w:tcPr>
            <w:tcW w:w="1154" w:type="dxa"/>
            <w:tcBorders>
              <w:top w:val="nil"/>
              <w:left w:val="nil"/>
              <w:bottom w:val="single" w:sz="4" w:space="0" w:color="auto"/>
              <w:right w:val="nil"/>
            </w:tcBorders>
            <w:shd w:val="clear" w:color="auto" w:fill="auto"/>
            <w:noWrap/>
            <w:vAlign w:val="bottom"/>
          </w:tcPr>
          <w:p w14:paraId="6D61C4E0" w14:textId="0FC1C74E"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w:t>
            </w:r>
          </w:p>
        </w:tc>
        <w:tc>
          <w:tcPr>
            <w:tcW w:w="1154" w:type="dxa"/>
            <w:tcBorders>
              <w:top w:val="nil"/>
              <w:left w:val="nil"/>
              <w:bottom w:val="single" w:sz="4" w:space="0" w:color="auto"/>
              <w:right w:val="nil"/>
            </w:tcBorders>
            <w:shd w:val="clear" w:color="auto" w:fill="auto"/>
            <w:noWrap/>
            <w:vAlign w:val="bottom"/>
          </w:tcPr>
          <w:p w14:paraId="5ACAB398" w14:textId="785A43C9"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57</w:t>
            </w:r>
          </w:p>
        </w:tc>
        <w:tc>
          <w:tcPr>
            <w:tcW w:w="1155" w:type="dxa"/>
            <w:tcBorders>
              <w:top w:val="nil"/>
              <w:left w:val="nil"/>
              <w:bottom w:val="single" w:sz="4" w:space="0" w:color="auto"/>
              <w:right w:val="single" w:sz="4" w:space="0" w:color="auto"/>
            </w:tcBorders>
            <w:shd w:val="clear" w:color="auto" w:fill="auto"/>
            <w:noWrap/>
            <w:vAlign w:val="bottom"/>
          </w:tcPr>
          <w:p w14:paraId="2D58AF8D" w14:textId="7E2E0BC8" w:rsidR="001D2746" w:rsidRDefault="001D2746"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43</w:t>
            </w:r>
          </w:p>
        </w:tc>
        <w:tc>
          <w:tcPr>
            <w:tcW w:w="1417" w:type="dxa"/>
            <w:tcBorders>
              <w:top w:val="single" w:sz="4" w:space="0" w:color="auto"/>
              <w:left w:val="nil"/>
              <w:bottom w:val="single" w:sz="4" w:space="0" w:color="auto"/>
              <w:right w:val="nil"/>
              <w:tr2bl w:val="single" w:sz="4" w:space="0" w:color="auto"/>
            </w:tcBorders>
            <w:shd w:val="clear" w:color="auto" w:fill="auto"/>
            <w:noWrap/>
            <w:vAlign w:val="bottom"/>
          </w:tcPr>
          <w:p w14:paraId="3E538C30" w14:textId="77777777" w:rsidR="001D2746" w:rsidRPr="00375B57" w:rsidRDefault="001D2746" w:rsidP="001B60AF">
            <w:pPr>
              <w:spacing w:after="0" w:line="240" w:lineRule="auto"/>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2635F0B8" w14:textId="77777777" w:rsidR="001D2746" w:rsidRPr="00375B57" w:rsidRDefault="001D2746" w:rsidP="001B60AF">
            <w:pPr>
              <w:spacing w:after="0" w:line="240" w:lineRule="auto"/>
              <w:rPr>
                <w:rFonts w:ascii="Calibri" w:eastAsia="Times New Roman" w:hAnsi="Calibri" w:cs="Calibri"/>
                <w:color w:val="000000"/>
                <w:lang w:eastAsia="en-GB"/>
              </w:rPr>
            </w:pPr>
          </w:p>
        </w:tc>
      </w:tr>
      <w:tr w:rsidR="001B60AF" w:rsidRPr="00375B57" w14:paraId="1F05E045" w14:textId="77777777" w:rsidTr="00702746">
        <w:trPr>
          <w:trHeight w:val="300"/>
        </w:trPr>
        <w:tc>
          <w:tcPr>
            <w:tcW w:w="1985" w:type="dxa"/>
            <w:tcBorders>
              <w:top w:val="nil"/>
              <w:left w:val="single" w:sz="4" w:space="0" w:color="auto"/>
              <w:bottom w:val="single" w:sz="4" w:space="0" w:color="auto"/>
              <w:right w:val="nil"/>
            </w:tcBorders>
            <w:shd w:val="clear" w:color="auto" w:fill="auto"/>
            <w:noWrap/>
            <w:vAlign w:val="bottom"/>
          </w:tcPr>
          <w:p w14:paraId="7BE10189" w14:textId="3F798C09" w:rsidR="001B60AF" w:rsidRDefault="001B60AF" w:rsidP="001B60AF">
            <w:pPr>
              <w:spacing w:after="0" w:line="240" w:lineRule="auto"/>
              <w:rPr>
                <w:rFonts w:ascii="Calibri" w:eastAsia="Times New Roman" w:hAnsi="Calibri" w:cs="Calibri"/>
                <w:i/>
                <w:iCs/>
                <w:color w:val="000000"/>
                <w:lang w:eastAsia="en-GB"/>
              </w:rPr>
            </w:pPr>
            <w:r>
              <w:rPr>
                <w:rFonts w:ascii="Calibri" w:eastAsia="Times New Roman" w:hAnsi="Calibri" w:cs="Calibri"/>
                <w:i/>
                <w:iCs/>
                <w:color w:val="000000"/>
                <w:lang w:eastAsia="en-GB"/>
              </w:rPr>
              <w:t>n</w:t>
            </w:r>
            <w:r>
              <w:rPr>
                <w:rFonts w:ascii="Calibri" w:eastAsia="Times New Roman" w:hAnsi="Calibri" w:cs="Calibri"/>
                <w:iCs/>
                <w:color w:val="000000"/>
                <w:lang w:eastAsia="en-GB"/>
              </w:rPr>
              <w:t xml:space="preserve"> (lysate SI%&gt;LOD)</w:t>
            </w:r>
          </w:p>
        </w:tc>
        <w:tc>
          <w:tcPr>
            <w:tcW w:w="1134" w:type="dxa"/>
            <w:tcBorders>
              <w:top w:val="single" w:sz="4" w:space="0" w:color="auto"/>
              <w:left w:val="single" w:sz="4" w:space="0" w:color="auto"/>
              <w:bottom w:val="single" w:sz="4" w:space="0" w:color="auto"/>
              <w:right w:val="nil"/>
              <w:tr2bl w:val="single" w:sz="4" w:space="0" w:color="auto"/>
            </w:tcBorders>
            <w:shd w:val="clear" w:color="auto" w:fill="auto"/>
            <w:noWrap/>
            <w:vAlign w:val="bottom"/>
          </w:tcPr>
          <w:p w14:paraId="0204E6C6" w14:textId="77777777" w:rsidR="001B60AF" w:rsidRPr="00375B57" w:rsidRDefault="001B60AF" w:rsidP="001B60AF">
            <w:pPr>
              <w:spacing w:after="0" w:line="240" w:lineRule="auto"/>
              <w:rPr>
                <w:rFonts w:ascii="Calibri" w:eastAsia="Times New Roman" w:hAnsi="Calibri" w:cs="Calibri"/>
                <w:color w:val="000000"/>
                <w:lang w:eastAsia="en-GB"/>
              </w:rPr>
            </w:pPr>
          </w:p>
        </w:tc>
        <w:tc>
          <w:tcPr>
            <w:tcW w:w="1154" w:type="dxa"/>
            <w:tcBorders>
              <w:top w:val="nil"/>
              <w:left w:val="single" w:sz="4" w:space="0" w:color="auto"/>
              <w:bottom w:val="single" w:sz="4" w:space="0" w:color="auto"/>
              <w:right w:val="nil"/>
            </w:tcBorders>
            <w:shd w:val="clear" w:color="auto" w:fill="auto"/>
            <w:noWrap/>
            <w:vAlign w:val="bottom"/>
          </w:tcPr>
          <w:p w14:paraId="1115F31A" w14:textId="23CDD058"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154" w:type="dxa"/>
            <w:tcBorders>
              <w:top w:val="nil"/>
              <w:left w:val="nil"/>
              <w:bottom w:val="single" w:sz="4" w:space="0" w:color="auto"/>
              <w:right w:val="nil"/>
            </w:tcBorders>
            <w:shd w:val="clear" w:color="auto" w:fill="auto"/>
            <w:noWrap/>
            <w:vAlign w:val="bottom"/>
          </w:tcPr>
          <w:p w14:paraId="121BF6A1" w14:textId="29BE770B"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154" w:type="dxa"/>
            <w:tcBorders>
              <w:top w:val="nil"/>
              <w:left w:val="nil"/>
              <w:bottom w:val="single" w:sz="4" w:space="0" w:color="auto"/>
              <w:right w:val="nil"/>
            </w:tcBorders>
            <w:shd w:val="clear" w:color="auto" w:fill="auto"/>
            <w:noWrap/>
            <w:vAlign w:val="bottom"/>
          </w:tcPr>
          <w:p w14:paraId="55D14239" w14:textId="0AE9A7E2"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155" w:type="dxa"/>
            <w:tcBorders>
              <w:top w:val="nil"/>
              <w:left w:val="nil"/>
              <w:bottom w:val="single" w:sz="4" w:space="0" w:color="auto"/>
              <w:right w:val="nil"/>
            </w:tcBorders>
            <w:shd w:val="clear" w:color="auto" w:fill="auto"/>
            <w:noWrap/>
            <w:vAlign w:val="bottom"/>
          </w:tcPr>
          <w:p w14:paraId="57E66656" w14:textId="40DA3622"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54" w:type="dxa"/>
            <w:tcBorders>
              <w:top w:val="nil"/>
              <w:left w:val="nil"/>
              <w:bottom w:val="single" w:sz="4" w:space="0" w:color="auto"/>
              <w:right w:val="nil"/>
            </w:tcBorders>
            <w:shd w:val="clear" w:color="auto" w:fill="auto"/>
            <w:noWrap/>
            <w:vAlign w:val="bottom"/>
          </w:tcPr>
          <w:p w14:paraId="3CF0E515" w14:textId="0E5B9690"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154" w:type="dxa"/>
            <w:tcBorders>
              <w:top w:val="nil"/>
              <w:left w:val="nil"/>
              <w:bottom w:val="single" w:sz="4" w:space="0" w:color="auto"/>
              <w:right w:val="nil"/>
            </w:tcBorders>
            <w:shd w:val="clear" w:color="auto" w:fill="auto"/>
            <w:noWrap/>
            <w:vAlign w:val="bottom"/>
          </w:tcPr>
          <w:p w14:paraId="0091296E" w14:textId="6AABCE7A"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5" w:type="dxa"/>
            <w:tcBorders>
              <w:top w:val="nil"/>
              <w:left w:val="nil"/>
              <w:bottom w:val="single" w:sz="4" w:space="0" w:color="auto"/>
              <w:right w:val="single" w:sz="4" w:space="0" w:color="auto"/>
            </w:tcBorders>
            <w:shd w:val="clear" w:color="auto" w:fill="auto"/>
            <w:noWrap/>
            <w:vAlign w:val="bottom"/>
          </w:tcPr>
          <w:p w14:paraId="5BEF096C" w14:textId="5C1D190D" w:rsidR="001B60AF"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417" w:type="dxa"/>
            <w:tcBorders>
              <w:top w:val="single" w:sz="4" w:space="0" w:color="auto"/>
              <w:left w:val="nil"/>
              <w:bottom w:val="single" w:sz="4" w:space="0" w:color="auto"/>
              <w:right w:val="nil"/>
              <w:tr2bl w:val="single" w:sz="4" w:space="0" w:color="auto"/>
            </w:tcBorders>
            <w:shd w:val="clear" w:color="auto" w:fill="auto"/>
            <w:noWrap/>
            <w:vAlign w:val="bottom"/>
          </w:tcPr>
          <w:p w14:paraId="7C49515E" w14:textId="77777777" w:rsidR="001B60AF" w:rsidRPr="00375B57" w:rsidRDefault="001B60AF" w:rsidP="001B60AF">
            <w:pPr>
              <w:spacing w:after="0" w:line="240" w:lineRule="auto"/>
              <w:rPr>
                <w:rFonts w:ascii="Calibri" w:eastAsia="Times New Roman" w:hAnsi="Calibri" w:cs="Calibri"/>
                <w:color w:val="000000"/>
                <w:lang w:eastAsia="en-GB"/>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14:paraId="23C3865A" w14:textId="77777777" w:rsidR="001B60AF" w:rsidRPr="00375B57" w:rsidRDefault="001B60AF" w:rsidP="001B60AF">
            <w:pPr>
              <w:spacing w:after="0" w:line="240" w:lineRule="auto"/>
              <w:rPr>
                <w:rFonts w:ascii="Calibri" w:eastAsia="Times New Roman" w:hAnsi="Calibri" w:cs="Calibri"/>
                <w:color w:val="000000"/>
                <w:lang w:eastAsia="en-GB"/>
              </w:rPr>
            </w:pPr>
          </w:p>
        </w:tc>
      </w:tr>
      <w:tr w:rsidR="001B60AF" w:rsidRPr="00375B57" w14:paraId="2BDB122D" w14:textId="77777777" w:rsidTr="00702746">
        <w:trPr>
          <w:trHeight w:val="300"/>
        </w:trPr>
        <w:tc>
          <w:tcPr>
            <w:tcW w:w="1985" w:type="dxa"/>
            <w:tcBorders>
              <w:top w:val="nil"/>
              <w:left w:val="single" w:sz="4" w:space="0" w:color="auto"/>
              <w:bottom w:val="single" w:sz="4" w:space="0" w:color="auto"/>
              <w:right w:val="nil"/>
            </w:tcBorders>
            <w:shd w:val="clear" w:color="auto" w:fill="auto"/>
            <w:noWrap/>
            <w:vAlign w:val="bottom"/>
            <w:hideMark/>
          </w:tcPr>
          <w:p w14:paraId="773B5C51" w14:textId="77777777" w:rsidR="001B60AF" w:rsidRPr="00375B57" w:rsidRDefault="001B60AF" w:rsidP="001B60AF">
            <w:pPr>
              <w:spacing w:after="0" w:line="240" w:lineRule="auto"/>
              <w:rPr>
                <w:rFonts w:ascii="Calibri" w:eastAsia="Times New Roman" w:hAnsi="Calibri" w:cs="Calibri"/>
                <w:color w:val="000000"/>
                <w:lang w:eastAsia="en-GB"/>
              </w:rPr>
            </w:pPr>
            <w:r w:rsidRPr="00375B57">
              <w:rPr>
                <w:rFonts w:ascii="Calibri" w:eastAsia="Times New Roman" w:hAnsi="Calibri" w:cs="Calibri"/>
                <w:i/>
                <w:iCs/>
                <w:color w:val="000000"/>
                <w:lang w:eastAsia="en-GB"/>
              </w:rPr>
              <w:t xml:space="preserve">n </w:t>
            </w:r>
            <w:r w:rsidRPr="00375B57">
              <w:rPr>
                <w:rFonts w:ascii="Calibri" w:eastAsia="Times New Roman" w:hAnsi="Calibri" w:cs="Calibri"/>
                <w:color w:val="000000"/>
                <w:lang w:eastAsia="en-GB"/>
              </w:rPr>
              <w:t>(correlation)</w:t>
            </w:r>
          </w:p>
        </w:tc>
        <w:tc>
          <w:tcPr>
            <w:tcW w:w="1134" w:type="dxa"/>
            <w:tcBorders>
              <w:top w:val="single" w:sz="4" w:space="0" w:color="auto"/>
              <w:left w:val="single" w:sz="4" w:space="0" w:color="auto"/>
              <w:bottom w:val="single" w:sz="4" w:space="0" w:color="auto"/>
              <w:right w:val="nil"/>
              <w:tr2bl w:val="single" w:sz="4" w:space="0" w:color="auto"/>
            </w:tcBorders>
            <w:shd w:val="clear" w:color="auto" w:fill="auto"/>
            <w:noWrap/>
            <w:vAlign w:val="bottom"/>
            <w:hideMark/>
          </w:tcPr>
          <w:p w14:paraId="3B518909" w14:textId="77777777" w:rsidR="001B60AF" w:rsidRPr="00375B57" w:rsidRDefault="001B60AF" w:rsidP="001B60AF">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 </w:t>
            </w:r>
          </w:p>
        </w:tc>
        <w:tc>
          <w:tcPr>
            <w:tcW w:w="1154" w:type="dxa"/>
            <w:tcBorders>
              <w:top w:val="nil"/>
              <w:left w:val="single" w:sz="4" w:space="0" w:color="auto"/>
              <w:bottom w:val="single" w:sz="4" w:space="0" w:color="auto"/>
              <w:right w:val="nil"/>
            </w:tcBorders>
            <w:shd w:val="clear" w:color="auto" w:fill="auto"/>
            <w:noWrap/>
            <w:vAlign w:val="bottom"/>
            <w:hideMark/>
          </w:tcPr>
          <w:p w14:paraId="4202F09E" w14:textId="37616590"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54" w:type="dxa"/>
            <w:tcBorders>
              <w:top w:val="nil"/>
              <w:left w:val="nil"/>
              <w:bottom w:val="single" w:sz="4" w:space="0" w:color="auto"/>
              <w:right w:val="nil"/>
            </w:tcBorders>
            <w:shd w:val="clear" w:color="auto" w:fill="auto"/>
            <w:noWrap/>
            <w:vAlign w:val="bottom"/>
            <w:hideMark/>
          </w:tcPr>
          <w:p w14:paraId="05D5A8C8" w14:textId="2E82205A"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54" w:type="dxa"/>
            <w:tcBorders>
              <w:top w:val="nil"/>
              <w:left w:val="nil"/>
              <w:bottom w:val="single" w:sz="4" w:space="0" w:color="auto"/>
              <w:right w:val="nil"/>
            </w:tcBorders>
            <w:shd w:val="clear" w:color="auto" w:fill="auto"/>
            <w:noWrap/>
            <w:vAlign w:val="bottom"/>
            <w:hideMark/>
          </w:tcPr>
          <w:p w14:paraId="70B8A9CA" w14:textId="511FEAC5"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55" w:type="dxa"/>
            <w:tcBorders>
              <w:top w:val="nil"/>
              <w:left w:val="nil"/>
              <w:bottom w:val="single" w:sz="4" w:space="0" w:color="auto"/>
              <w:right w:val="nil"/>
            </w:tcBorders>
            <w:shd w:val="clear" w:color="auto" w:fill="auto"/>
            <w:noWrap/>
            <w:vAlign w:val="bottom"/>
            <w:hideMark/>
          </w:tcPr>
          <w:p w14:paraId="77569FDE" w14:textId="507E6BBF"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154" w:type="dxa"/>
            <w:tcBorders>
              <w:top w:val="nil"/>
              <w:left w:val="nil"/>
              <w:bottom w:val="single" w:sz="4" w:space="0" w:color="auto"/>
              <w:right w:val="nil"/>
            </w:tcBorders>
            <w:shd w:val="clear" w:color="auto" w:fill="auto"/>
            <w:noWrap/>
            <w:vAlign w:val="bottom"/>
            <w:hideMark/>
          </w:tcPr>
          <w:p w14:paraId="514000A8" w14:textId="1CF8529C"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154" w:type="dxa"/>
            <w:tcBorders>
              <w:top w:val="nil"/>
              <w:left w:val="nil"/>
              <w:bottom w:val="single" w:sz="4" w:space="0" w:color="auto"/>
              <w:right w:val="nil"/>
            </w:tcBorders>
            <w:shd w:val="clear" w:color="auto" w:fill="auto"/>
            <w:noWrap/>
            <w:vAlign w:val="bottom"/>
            <w:hideMark/>
          </w:tcPr>
          <w:p w14:paraId="1F66145C" w14:textId="7D85E470"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155" w:type="dxa"/>
            <w:tcBorders>
              <w:top w:val="nil"/>
              <w:left w:val="nil"/>
              <w:bottom w:val="single" w:sz="4" w:space="0" w:color="auto"/>
              <w:right w:val="single" w:sz="4" w:space="0" w:color="auto"/>
            </w:tcBorders>
            <w:shd w:val="clear" w:color="auto" w:fill="auto"/>
            <w:noWrap/>
            <w:vAlign w:val="bottom"/>
            <w:hideMark/>
          </w:tcPr>
          <w:p w14:paraId="2A27D368" w14:textId="77777777" w:rsidR="001B60AF" w:rsidRPr="00375B57" w:rsidRDefault="001B60AF" w:rsidP="001B60AF">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1</w:t>
            </w:r>
          </w:p>
        </w:tc>
        <w:tc>
          <w:tcPr>
            <w:tcW w:w="1417" w:type="dxa"/>
            <w:tcBorders>
              <w:top w:val="nil"/>
              <w:left w:val="nil"/>
              <w:bottom w:val="single" w:sz="4" w:space="0" w:color="auto"/>
              <w:right w:val="nil"/>
            </w:tcBorders>
            <w:shd w:val="clear" w:color="auto" w:fill="auto"/>
            <w:noWrap/>
            <w:vAlign w:val="bottom"/>
            <w:hideMark/>
          </w:tcPr>
          <w:p w14:paraId="54E60948" w14:textId="77777777" w:rsidR="001B60AF" w:rsidRPr="00375B57" w:rsidRDefault="001B60AF" w:rsidP="001B60AF">
            <w:pPr>
              <w:spacing w:after="0" w:line="240" w:lineRule="auto"/>
              <w:rPr>
                <w:rFonts w:ascii="Calibri" w:eastAsia="Times New Roman" w:hAnsi="Calibri" w:cs="Calibri"/>
                <w:color w:val="000000"/>
                <w:lang w:eastAsia="en-GB"/>
              </w:rPr>
            </w:pPr>
            <w:r w:rsidRPr="00375B57">
              <w:rPr>
                <w:rFonts w:ascii="Calibri" w:eastAsia="Times New Roman" w:hAnsi="Calibri" w:cs="Calibri"/>
                <w:color w:val="000000"/>
                <w:lang w:eastAsia="en-GB"/>
              </w:rPr>
              <w:t>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FEFA75" w14:textId="600B8AD5" w:rsidR="001B60AF" w:rsidRPr="00375B57" w:rsidRDefault="001B60AF" w:rsidP="001B60A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p>
        </w:tc>
      </w:tr>
    </w:tbl>
    <w:p w14:paraId="0A34C4CB" w14:textId="77777777" w:rsidR="002A57FB" w:rsidRDefault="002A57FB" w:rsidP="00962DCE">
      <w:pPr>
        <w:spacing w:after="0" w:line="240" w:lineRule="auto"/>
        <w:jc w:val="both"/>
        <w:rPr>
          <w:b/>
          <w:sz w:val="24"/>
          <w:szCs w:val="24"/>
        </w:rPr>
      </w:pPr>
    </w:p>
    <w:p w14:paraId="5C920240" w14:textId="7CB92464" w:rsidR="00962DCE" w:rsidRDefault="00C9138E" w:rsidP="00962DCE">
      <w:pPr>
        <w:spacing w:after="0" w:line="240" w:lineRule="auto"/>
        <w:jc w:val="both"/>
        <w:rPr>
          <w:sz w:val="24"/>
          <w:szCs w:val="24"/>
        </w:rPr>
      </w:pPr>
      <w:r>
        <w:rPr>
          <w:b/>
          <w:sz w:val="24"/>
          <w:szCs w:val="24"/>
        </w:rPr>
        <w:t>Figure A.</w:t>
      </w:r>
      <w:r w:rsidR="00DE34A4">
        <w:rPr>
          <w:b/>
          <w:sz w:val="24"/>
          <w:szCs w:val="24"/>
        </w:rPr>
        <w:t>4</w:t>
      </w:r>
      <w:r>
        <w:rPr>
          <w:b/>
          <w:sz w:val="24"/>
          <w:szCs w:val="24"/>
        </w:rPr>
        <w:t xml:space="preserve"> Feasibility data (low dose patients).</w:t>
      </w:r>
      <w:r w:rsidRPr="002A57FB">
        <w:rPr>
          <w:sz w:val="24"/>
          <w:szCs w:val="24"/>
        </w:rPr>
        <w:t xml:space="preserve"> </w:t>
      </w:r>
      <w:r w:rsidR="000272DD" w:rsidRPr="00BC5D7C">
        <w:rPr>
          <w:sz w:val="24"/>
          <w:szCs w:val="24"/>
        </w:rPr>
        <w:t xml:space="preserve">1, lysate produced; </w:t>
      </w:r>
      <w:r w:rsidR="000272DD">
        <w:rPr>
          <w:sz w:val="24"/>
          <w:szCs w:val="24"/>
        </w:rPr>
        <w:t>0</w:t>
      </w:r>
      <w:r w:rsidR="000272DD" w:rsidRPr="006C7230">
        <w:rPr>
          <w:sz w:val="24"/>
          <w:szCs w:val="24"/>
        </w:rPr>
        <w:t>, no</w:t>
      </w:r>
      <w:r w:rsidR="000272DD">
        <w:rPr>
          <w:sz w:val="24"/>
          <w:szCs w:val="24"/>
        </w:rPr>
        <w:t xml:space="preserve"> lysate produced</w:t>
      </w:r>
      <w:r w:rsidR="002A57FB">
        <w:rPr>
          <w:sz w:val="24"/>
          <w:szCs w:val="24"/>
        </w:rPr>
        <w:t>;</w:t>
      </w:r>
      <w:r w:rsidRPr="006C7230">
        <w:rPr>
          <w:sz w:val="24"/>
          <w:szCs w:val="24"/>
        </w:rPr>
        <w:t xml:space="preserve"> &lt;LOD, </w:t>
      </w:r>
      <w:r w:rsidR="002A57FB">
        <w:rPr>
          <w:sz w:val="24"/>
          <w:szCs w:val="24"/>
        </w:rPr>
        <w:t xml:space="preserve">result </w:t>
      </w:r>
      <w:r w:rsidRPr="006C7230">
        <w:rPr>
          <w:sz w:val="24"/>
          <w:szCs w:val="24"/>
        </w:rPr>
        <w:t>below limit of detection</w:t>
      </w:r>
      <w:r w:rsidR="002A57FB">
        <w:rPr>
          <w:sz w:val="24"/>
          <w:szCs w:val="24"/>
        </w:rPr>
        <w:t xml:space="preserve">; </w:t>
      </w:r>
      <w:r w:rsidR="00702746">
        <w:rPr>
          <w:sz w:val="24"/>
          <w:szCs w:val="24"/>
        </w:rPr>
        <w:t xml:space="preserve">*patient discharged from hospital; </w:t>
      </w:r>
      <w:r w:rsidR="002A57FB">
        <w:rPr>
          <w:sz w:val="24"/>
          <w:szCs w:val="24"/>
        </w:rPr>
        <w:t>MDS, myelodysplastic syndrome;</w:t>
      </w:r>
      <w:r w:rsidR="003D627C" w:rsidRPr="006C7230">
        <w:rPr>
          <w:sz w:val="24"/>
          <w:szCs w:val="24"/>
        </w:rPr>
        <w:t xml:space="preserve"> AML, acute myeloid leukaemia.</w:t>
      </w:r>
    </w:p>
    <w:p w14:paraId="5FCA4CC3" w14:textId="6EEFAC0E" w:rsidR="00DE34A4" w:rsidRDefault="00DE34A4" w:rsidP="00962DCE">
      <w:pPr>
        <w:spacing w:after="0" w:line="240" w:lineRule="auto"/>
        <w:jc w:val="both"/>
        <w:rPr>
          <w:sz w:val="24"/>
          <w:szCs w:val="24"/>
        </w:rPr>
      </w:pPr>
    </w:p>
    <w:p w14:paraId="6F517DD8" w14:textId="77777777" w:rsidR="00DE34A4" w:rsidRDefault="00DE34A4" w:rsidP="00962DCE">
      <w:pPr>
        <w:spacing w:after="0" w:line="240" w:lineRule="auto"/>
        <w:jc w:val="both"/>
        <w:rPr>
          <w:sz w:val="24"/>
          <w:szCs w:val="24"/>
        </w:rPr>
        <w:sectPr w:rsidR="00DE34A4" w:rsidSect="00A15B8A">
          <w:pgSz w:w="16838" w:h="11906" w:orient="landscape"/>
          <w:pgMar w:top="1440" w:right="1440" w:bottom="1440" w:left="1440" w:header="708" w:footer="708" w:gutter="0"/>
          <w:cols w:space="708"/>
          <w:docGrid w:linePitch="360"/>
        </w:sectPr>
      </w:pPr>
    </w:p>
    <w:p w14:paraId="0964089D" w14:textId="77777777" w:rsidR="00DE34A4" w:rsidRDefault="00DE34A4" w:rsidP="00DE34A4">
      <w:pPr>
        <w:spacing w:after="0" w:line="240" w:lineRule="auto"/>
        <w:jc w:val="both"/>
        <w:rPr>
          <w:sz w:val="24"/>
        </w:rPr>
      </w:pPr>
      <w:r>
        <w:object w:dxaOrig="15276" w:dyaOrig="11179" w14:anchorId="2455C49A">
          <v:shape id="_x0000_i1028" type="#_x0000_t75" style="width:450.75pt;height:330pt" o:ole="">
            <v:imagedata r:id="rId13" o:title=""/>
          </v:shape>
          <o:OLEObject Type="Embed" ProgID="Prism8.Document" ShapeID="_x0000_i1028" DrawAspect="Content" ObjectID="_1618041833" r:id="rId14"/>
        </w:object>
      </w:r>
    </w:p>
    <w:p w14:paraId="5DAB1925" w14:textId="77777777" w:rsidR="00DE34A4" w:rsidRPr="00CC1B6C" w:rsidRDefault="00DE34A4" w:rsidP="00DE34A4">
      <w:pPr>
        <w:spacing w:after="0" w:line="240" w:lineRule="auto"/>
        <w:jc w:val="both"/>
        <w:rPr>
          <w:color w:val="FF0000"/>
          <w:sz w:val="24"/>
          <w:szCs w:val="24"/>
        </w:rPr>
      </w:pPr>
      <w:r>
        <w:rPr>
          <w:b/>
          <w:sz w:val="24"/>
          <w:szCs w:val="24"/>
        </w:rPr>
        <w:t>Figure A.5: (A) P</w:t>
      </w:r>
      <w:r w:rsidRPr="001739EC">
        <w:rPr>
          <w:b/>
          <w:sz w:val="24"/>
          <w:szCs w:val="24"/>
        </w:rPr>
        <w:t>atient recruitment to multiple peripheral sampling study</w:t>
      </w:r>
      <w:r>
        <w:rPr>
          <w:b/>
          <w:sz w:val="24"/>
          <w:szCs w:val="24"/>
        </w:rPr>
        <w:t xml:space="preserve"> (</w:t>
      </w:r>
      <w:r w:rsidRPr="000A65D1">
        <w:rPr>
          <w:b/>
          <w:i/>
          <w:sz w:val="24"/>
          <w:szCs w:val="24"/>
        </w:rPr>
        <w:t>n</w:t>
      </w:r>
      <w:r>
        <w:rPr>
          <w:b/>
          <w:sz w:val="24"/>
          <w:szCs w:val="24"/>
        </w:rPr>
        <w:t>=26), (B) treatment commencement time, (C) p</w:t>
      </w:r>
      <w:r w:rsidRPr="001739EC">
        <w:rPr>
          <w:b/>
          <w:sz w:val="24"/>
          <w:szCs w:val="24"/>
        </w:rPr>
        <w:t xml:space="preserve">ercentage of recruited patients sampled by time-point </w:t>
      </w:r>
      <w:r>
        <w:rPr>
          <w:b/>
          <w:sz w:val="24"/>
          <w:szCs w:val="24"/>
        </w:rPr>
        <w:t xml:space="preserve">(LD </w:t>
      </w:r>
      <w:r w:rsidRPr="001D7DF9">
        <w:rPr>
          <w:b/>
          <w:i/>
          <w:sz w:val="24"/>
          <w:szCs w:val="24"/>
        </w:rPr>
        <w:t>n</w:t>
      </w:r>
      <w:r>
        <w:rPr>
          <w:b/>
          <w:sz w:val="24"/>
          <w:szCs w:val="24"/>
        </w:rPr>
        <w:t xml:space="preserve">=7, SD </w:t>
      </w:r>
      <w:r w:rsidRPr="001D7DF9">
        <w:rPr>
          <w:b/>
          <w:i/>
          <w:sz w:val="24"/>
          <w:szCs w:val="24"/>
        </w:rPr>
        <w:t>n</w:t>
      </w:r>
      <w:r>
        <w:rPr>
          <w:b/>
          <w:sz w:val="24"/>
          <w:szCs w:val="24"/>
        </w:rPr>
        <w:t xml:space="preserve">=13, HD </w:t>
      </w:r>
      <w:r w:rsidRPr="001D7DF9">
        <w:rPr>
          <w:b/>
          <w:i/>
          <w:sz w:val="24"/>
          <w:szCs w:val="24"/>
        </w:rPr>
        <w:t>n</w:t>
      </w:r>
      <w:r>
        <w:rPr>
          <w:b/>
          <w:sz w:val="24"/>
          <w:szCs w:val="24"/>
        </w:rPr>
        <w:t>=6), and (D</w:t>
      </w:r>
      <w:r w:rsidRPr="001739EC">
        <w:rPr>
          <w:b/>
          <w:sz w:val="24"/>
          <w:szCs w:val="24"/>
        </w:rPr>
        <w:t xml:space="preserve">) </w:t>
      </w:r>
      <w:r>
        <w:rPr>
          <w:b/>
          <w:sz w:val="24"/>
          <w:szCs w:val="24"/>
        </w:rPr>
        <w:t>b</w:t>
      </w:r>
      <w:r w:rsidRPr="001739EC">
        <w:rPr>
          <w:b/>
          <w:sz w:val="24"/>
          <w:szCs w:val="24"/>
        </w:rPr>
        <w:t>ody mass index (BMI) of patient cohorts against WHO criteria for obesity.</w:t>
      </w:r>
      <w:r>
        <w:rPr>
          <w:b/>
          <w:sz w:val="24"/>
          <w:szCs w:val="24"/>
        </w:rPr>
        <w:t xml:space="preserve"> </w:t>
      </w:r>
      <w:r>
        <w:rPr>
          <w:sz w:val="24"/>
          <w:szCs w:val="24"/>
        </w:rPr>
        <w:t xml:space="preserve">(B) Time of therapy commencement as percentage of total cohort per dose category. (C) </w:t>
      </w:r>
      <w:r w:rsidRPr="001739EC">
        <w:rPr>
          <w:sz w:val="24"/>
          <w:szCs w:val="24"/>
        </w:rPr>
        <w:t>Patients treated with 20 mg/m</w:t>
      </w:r>
      <w:r w:rsidRPr="001739EC">
        <w:rPr>
          <w:sz w:val="24"/>
          <w:szCs w:val="24"/>
          <w:vertAlign w:val="superscript"/>
        </w:rPr>
        <w:t>2</w:t>
      </w:r>
      <w:r w:rsidRPr="001739EC">
        <w:rPr>
          <w:sz w:val="24"/>
          <w:szCs w:val="24"/>
        </w:rPr>
        <w:t xml:space="preserve"> (LD), 200 mg/m</w:t>
      </w:r>
      <w:r w:rsidRPr="001739EC">
        <w:rPr>
          <w:sz w:val="24"/>
          <w:szCs w:val="24"/>
          <w:vertAlign w:val="superscript"/>
        </w:rPr>
        <w:t>2</w:t>
      </w:r>
      <w:r w:rsidRPr="001739EC">
        <w:rPr>
          <w:sz w:val="24"/>
          <w:szCs w:val="24"/>
        </w:rPr>
        <w:t xml:space="preserve"> (SD) or 1.5 g/m</w:t>
      </w:r>
      <w:r w:rsidRPr="001739EC">
        <w:rPr>
          <w:sz w:val="24"/>
          <w:szCs w:val="24"/>
          <w:vertAlign w:val="superscript"/>
        </w:rPr>
        <w:t>2</w:t>
      </w:r>
      <w:r w:rsidRPr="001739EC">
        <w:rPr>
          <w:sz w:val="24"/>
          <w:szCs w:val="24"/>
        </w:rPr>
        <w:t xml:space="preserve"> (HD) cytarabine-containing regimens were sampled at t=0, 2, 4, 8, 12, 24, 48 and 72 hours post–treatment commencement. Error bars represent range. </w:t>
      </w:r>
      <w:r>
        <w:rPr>
          <w:sz w:val="24"/>
          <w:szCs w:val="24"/>
        </w:rPr>
        <w:t xml:space="preserve">(D) BMI classification as described by Poynter </w:t>
      </w:r>
      <w:r w:rsidRPr="00977806">
        <w:rPr>
          <w:i/>
          <w:sz w:val="24"/>
          <w:szCs w:val="24"/>
        </w:rPr>
        <w:t>et al</w:t>
      </w:r>
      <w:r>
        <w:rPr>
          <w:sz w:val="24"/>
          <w:szCs w:val="24"/>
        </w:rPr>
        <w:t>. (2016).</w:t>
      </w:r>
    </w:p>
    <w:p w14:paraId="7BA87F68" w14:textId="0A2CAF65" w:rsidR="00DE34A4" w:rsidRPr="006C7230" w:rsidRDefault="00DE34A4" w:rsidP="00962DCE">
      <w:pPr>
        <w:spacing w:after="0" w:line="240" w:lineRule="auto"/>
        <w:jc w:val="both"/>
        <w:rPr>
          <w:sz w:val="24"/>
          <w:szCs w:val="24"/>
        </w:rPr>
      </w:pPr>
    </w:p>
    <w:sectPr w:rsidR="00DE34A4" w:rsidRPr="006C7230" w:rsidSect="00DE3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796"/>
    <w:multiLevelType w:val="hybridMultilevel"/>
    <w:tmpl w:val="ABC8C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9346F"/>
    <w:multiLevelType w:val="hybridMultilevel"/>
    <w:tmpl w:val="757E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1DB7"/>
    <w:multiLevelType w:val="hybridMultilevel"/>
    <w:tmpl w:val="7098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87CE8"/>
    <w:multiLevelType w:val="hybridMultilevel"/>
    <w:tmpl w:val="6A84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4423C9"/>
    <w:multiLevelType w:val="hybridMultilevel"/>
    <w:tmpl w:val="42FC0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542CB"/>
    <w:multiLevelType w:val="hybridMultilevel"/>
    <w:tmpl w:val="2836F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742845"/>
    <w:multiLevelType w:val="hybridMultilevel"/>
    <w:tmpl w:val="49C0B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6B2793"/>
    <w:multiLevelType w:val="hybridMultilevel"/>
    <w:tmpl w:val="E47C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7F"/>
    <w:rsid w:val="00002690"/>
    <w:rsid w:val="000028F9"/>
    <w:rsid w:val="00022711"/>
    <w:rsid w:val="0002359E"/>
    <w:rsid w:val="0002403D"/>
    <w:rsid w:val="000272DD"/>
    <w:rsid w:val="00033346"/>
    <w:rsid w:val="0003455D"/>
    <w:rsid w:val="00034BF7"/>
    <w:rsid w:val="00035F24"/>
    <w:rsid w:val="00043434"/>
    <w:rsid w:val="00043A85"/>
    <w:rsid w:val="00045D04"/>
    <w:rsid w:val="000549D5"/>
    <w:rsid w:val="0005709A"/>
    <w:rsid w:val="00075501"/>
    <w:rsid w:val="0008129C"/>
    <w:rsid w:val="00093267"/>
    <w:rsid w:val="00096A37"/>
    <w:rsid w:val="000A311A"/>
    <w:rsid w:val="000A638F"/>
    <w:rsid w:val="000A65D1"/>
    <w:rsid w:val="000B31BC"/>
    <w:rsid w:val="000B6429"/>
    <w:rsid w:val="000C4288"/>
    <w:rsid w:val="000C7613"/>
    <w:rsid w:val="000D01ED"/>
    <w:rsid w:val="000D1ED5"/>
    <w:rsid w:val="000D7FD5"/>
    <w:rsid w:val="000E20EE"/>
    <w:rsid w:val="000E5120"/>
    <w:rsid w:val="000E5CBB"/>
    <w:rsid w:val="000F0D81"/>
    <w:rsid w:val="000F4C25"/>
    <w:rsid w:val="000F76B1"/>
    <w:rsid w:val="00101EA8"/>
    <w:rsid w:val="00102C81"/>
    <w:rsid w:val="001050B5"/>
    <w:rsid w:val="00106AE5"/>
    <w:rsid w:val="0011176B"/>
    <w:rsid w:val="00111D6B"/>
    <w:rsid w:val="001148E5"/>
    <w:rsid w:val="00121C81"/>
    <w:rsid w:val="00125263"/>
    <w:rsid w:val="0012722B"/>
    <w:rsid w:val="001301F0"/>
    <w:rsid w:val="00131C72"/>
    <w:rsid w:val="00134D1F"/>
    <w:rsid w:val="00140259"/>
    <w:rsid w:val="001412EC"/>
    <w:rsid w:val="00143398"/>
    <w:rsid w:val="00144FB0"/>
    <w:rsid w:val="00146D86"/>
    <w:rsid w:val="00155BD9"/>
    <w:rsid w:val="00157666"/>
    <w:rsid w:val="00162BA9"/>
    <w:rsid w:val="001727A1"/>
    <w:rsid w:val="001730B8"/>
    <w:rsid w:val="001739EC"/>
    <w:rsid w:val="00176575"/>
    <w:rsid w:val="0018269E"/>
    <w:rsid w:val="001924DF"/>
    <w:rsid w:val="00197EE7"/>
    <w:rsid w:val="001A19F7"/>
    <w:rsid w:val="001A4DBA"/>
    <w:rsid w:val="001B4CD1"/>
    <w:rsid w:val="001B60AF"/>
    <w:rsid w:val="001B747E"/>
    <w:rsid w:val="001B780A"/>
    <w:rsid w:val="001B7848"/>
    <w:rsid w:val="001C3123"/>
    <w:rsid w:val="001C390C"/>
    <w:rsid w:val="001C77E0"/>
    <w:rsid w:val="001D2746"/>
    <w:rsid w:val="001D2D45"/>
    <w:rsid w:val="001D7DF9"/>
    <w:rsid w:val="001F289F"/>
    <w:rsid w:val="001F62B6"/>
    <w:rsid w:val="001F77A6"/>
    <w:rsid w:val="00204A4F"/>
    <w:rsid w:val="002116E5"/>
    <w:rsid w:val="00216765"/>
    <w:rsid w:val="00225DAA"/>
    <w:rsid w:val="00225E4A"/>
    <w:rsid w:val="00227198"/>
    <w:rsid w:val="0022769B"/>
    <w:rsid w:val="00232488"/>
    <w:rsid w:val="00232581"/>
    <w:rsid w:val="00234541"/>
    <w:rsid w:val="002453B0"/>
    <w:rsid w:val="0027113D"/>
    <w:rsid w:val="00272348"/>
    <w:rsid w:val="00277748"/>
    <w:rsid w:val="00284008"/>
    <w:rsid w:val="00291161"/>
    <w:rsid w:val="0029399F"/>
    <w:rsid w:val="00296719"/>
    <w:rsid w:val="00297079"/>
    <w:rsid w:val="002A1862"/>
    <w:rsid w:val="002A2DF2"/>
    <w:rsid w:val="002A4464"/>
    <w:rsid w:val="002A57FB"/>
    <w:rsid w:val="002C3F86"/>
    <w:rsid w:val="002C4467"/>
    <w:rsid w:val="002E5BA1"/>
    <w:rsid w:val="002F26A3"/>
    <w:rsid w:val="0030290F"/>
    <w:rsid w:val="0030671A"/>
    <w:rsid w:val="0031099C"/>
    <w:rsid w:val="00313B24"/>
    <w:rsid w:val="00314636"/>
    <w:rsid w:val="00314C98"/>
    <w:rsid w:val="00323E1B"/>
    <w:rsid w:val="00325069"/>
    <w:rsid w:val="00326F63"/>
    <w:rsid w:val="00341034"/>
    <w:rsid w:val="00345CAB"/>
    <w:rsid w:val="0034630E"/>
    <w:rsid w:val="00347290"/>
    <w:rsid w:val="00350D3D"/>
    <w:rsid w:val="00357800"/>
    <w:rsid w:val="0036362B"/>
    <w:rsid w:val="0036396D"/>
    <w:rsid w:val="00366CD3"/>
    <w:rsid w:val="00371E25"/>
    <w:rsid w:val="00375B57"/>
    <w:rsid w:val="00375C31"/>
    <w:rsid w:val="00381029"/>
    <w:rsid w:val="00394FE2"/>
    <w:rsid w:val="003A0A8A"/>
    <w:rsid w:val="003A517A"/>
    <w:rsid w:val="003B1AFA"/>
    <w:rsid w:val="003B1ED6"/>
    <w:rsid w:val="003B4919"/>
    <w:rsid w:val="003B7420"/>
    <w:rsid w:val="003B7648"/>
    <w:rsid w:val="003C6510"/>
    <w:rsid w:val="003D389B"/>
    <w:rsid w:val="003D627C"/>
    <w:rsid w:val="003E130B"/>
    <w:rsid w:val="003E791A"/>
    <w:rsid w:val="003F4428"/>
    <w:rsid w:val="003F518D"/>
    <w:rsid w:val="003F55E4"/>
    <w:rsid w:val="003F61D2"/>
    <w:rsid w:val="00401F17"/>
    <w:rsid w:val="00412F27"/>
    <w:rsid w:val="004309ED"/>
    <w:rsid w:val="00432A40"/>
    <w:rsid w:val="004332EC"/>
    <w:rsid w:val="00436E42"/>
    <w:rsid w:val="004667D4"/>
    <w:rsid w:val="004719EF"/>
    <w:rsid w:val="0047248B"/>
    <w:rsid w:val="00475693"/>
    <w:rsid w:val="004861A8"/>
    <w:rsid w:val="004B1A59"/>
    <w:rsid w:val="004D083A"/>
    <w:rsid w:val="004D2F57"/>
    <w:rsid w:val="004D5031"/>
    <w:rsid w:val="004E4D2E"/>
    <w:rsid w:val="004E7AF0"/>
    <w:rsid w:val="004F6BBD"/>
    <w:rsid w:val="004F78D1"/>
    <w:rsid w:val="005017D2"/>
    <w:rsid w:val="005042B5"/>
    <w:rsid w:val="0050567A"/>
    <w:rsid w:val="0051769E"/>
    <w:rsid w:val="005204D0"/>
    <w:rsid w:val="005257EB"/>
    <w:rsid w:val="00525AC4"/>
    <w:rsid w:val="00533E06"/>
    <w:rsid w:val="005355C4"/>
    <w:rsid w:val="0053750C"/>
    <w:rsid w:val="005414B4"/>
    <w:rsid w:val="00542B37"/>
    <w:rsid w:val="005476C1"/>
    <w:rsid w:val="00547776"/>
    <w:rsid w:val="00556421"/>
    <w:rsid w:val="005603E5"/>
    <w:rsid w:val="0056464F"/>
    <w:rsid w:val="00566506"/>
    <w:rsid w:val="005776CC"/>
    <w:rsid w:val="005819D7"/>
    <w:rsid w:val="00582BF1"/>
    <w:rsid w:val="00586A89"/>
    <w:rsid w:val="00591E81"/>
    <w:rsid w:val="0059782E"/>
    <w:rsid w:val="005A1A66"/>
    <w:rsid w:val="005B23AD"/>
    <w:rsid w:val="005B2634"/>
    <w:rsid w:val="005B3BFD"/>
    <w:rsid w:val="005B3CCF"/>
    <w:rsid w:val="005B3D9C"/>
    <w:rsid w:val="005C0E24"/>
    <w:rsid w:val="005C25DE"/>
    <w:rsid w:val="005C3A2A"/>
    <w:rsid w:val="005C5580"/>
    <w:rsid w:val="005C7508"/>
    <w:rsid w:val="005D03AB"/>
    <w:rsid w:val="005D0893"/>
    <w:rsid w:val="005D189C"/>
    <w:rsid w:val="005E55E0"/>
    <w:rsid w:val="005E60FA"/>
    <w:rsid w:val="005F32ED"/>
    <w:rsid w:val="005F5170"/>
    <w:rsid w:val="006065C7"/>
    <w:rsid w:val="0061262F"/>
    <w:rsid w:val="00613669"/>
    <w:rsid w:val="006145AA"/>
    <w:rsid w:val="00620040"/>
    <w:rsid w:val="00622543"/>
    <w:rsid w:val="00623055"/>
    <w:rsid w:val="00631A37"/>
    <w:rsid w:val="00643A24"/>
    <w:rsid w:val="00643FED"/>
    <w:rsid w:val="006540FB"/>
    <w:rsid w:val="00656AC8"/>
    <w:rsid w:val="006616AE"/>
    <w:rsid w:val="0066217F"/>
    <w:rsid w:val="00665BDA"/>
    <w:rsid w:val="00665E15"/>
    <w:rsid w:val="006679E1"/>
    <w:rsid w:val="0067355B"/>
    <w:rsid w:val="0067403E"/>
    <w:rsid w:val="00687391"/>
    <w:rsid w:val="006B56EB"/>
    <w:rsid w:val="006B5FE4"/>
    <w:rsid w:val="006B6E5F"/>
    <w:rsid w:val="006C41FF"/>
    <w:rsid w:val="006C65A9"/>
    <w:rsid w:val="006C7230"/>
    <w:rsid w:val="006D4401"/>
    <w:rsid w:val="006E3913"/>
    <w:rsid w:val="006E6C1A"/>
    <w:rsid w:val="006E7C78"/>
    <w:rsid w:val="006F22B5"/>
    <w:rsid w:val="006F6D3B"/>
    <w:rsid w:val="00700E63"/>
    <w:rsid w:val="00701D4E"/>
    <w:rsid w:val="00702746"/>
    <w:rsid w:val="007129A8"/>
    <w:rsid w:val="0072093D"/>
    <w:rsid w:val="00730AEF"/>
    <w:rsid w:val="00742E67"/>
    <w:rsid w:val="007550E8"/>
    <w:rsid w:val="00756F3C"/>
    <w:rsid w:val="0076005A"/>
    <w:rsid w:val="00760F99"/>
    <w:rsid w:val="0076206D"/>
    <w:rsid w:val="0076562E"/>
    <w:rsid w:val="00773F68"/>
    <w:rsid w:val="007806A6"/>
    <w:rsid w:val="007832F8"/>
    <w:rsid w:val="0078726C"/>
    <w:rsid w:val="00790312"/>
    <w:rsid w:val="0079138E"/>
    <w:rsid w:val="007A3CF7"/>
    <w:rsid w:val="007A68B2"/>
    <w:rsid w:val="007B0075"/>
    <w:rsid w:val="007B78E5"/>
    <w:rsid w:val="007C0E31"/>
    <w:rsid w:val="007C2B76"/>
    <w:rsid w:val="007C35F8"/>
    <w:rsid w:val="007D2397"/>
    <w:rsid w:val="007E126E"/>
    <w:rsid w:val="007E1E1D"/>
    <w:rsid w:val="007F41DA"/>
    <w:rsid w:val="00800B63"/>
    <w:rsid w:val="0080391D"/>
    <w:rsid w:val="00803B97"/>
    <w:rsid w:val="0080495B"/>
    <w:rsid w:val="008050E5"/>
    <w:rsid w:val="00811F09"/>
    <w:rsid w:val="0081245D"/>
    <w:rsid w:val="008171E2"/>
    <w:rsid w:val="0082110F"/>
    <w:rsid w:val="00822E59"/>
    <w:rsid w:val="00825A8F"/>
    <w:rsid w:val="00825CD0"/>
    <w:rsid w:val="00827F08"/>
    <w:rsid w:val="0083608B"/>
    <w:rsid w:val="00836A85"/>
    <w:rsid w:val="00846118"/>
    <w:rsid w:val="00853F0C"/>
    <w:rsid w:val="00856594"/>
    <w:rsid w:val="00857935"/>
    <w:rsid w:val="00860302"/>
    <w:rsid w:val="008666E0"/>
    <w:rsid w:val="00866CC1"/>
    <w:rsid w:val="00871145"/>
    <w:rsid w:val="00872B9B"/>
    <w:rsid w:val="00880DBF"/>
    <w:rsid w:val="00882647"/>
    <w:rsid w:val="00883924"/>
    <w:rsid w:val="0088402E"/>
    <w:rsid w:val="008841FB"/>
    <w:rsid w:val="008956D9"/>
    <w:rsid w:val="00896425"/>
    <w:rsid w:val="00896D70"/>
    <w:rsid w:val="008A03F8"/>
    <w:rsid w:val="008B7C22"/>
    <w:rsid w:val="008C1B0A"/>
    <w:rsid w:val="008C6A13"/>
    <w:rsid w:val="008E1FA3"/>
    <w:rsid w:val="008E4F9B"/>
    <w:rsid w:val="008F104A"/>
    <w:rsid w:val="008F4134"/>
    <w:rsid w:val="008F6925"/>
    <w:rsid w:val="00906537"/>
    <w:rsid w:val="009077BB"/>
    <w:rsid w:val="0091058C"/>
    <w:rsid w:val="00911952"/>
    <w:rsid w:val="0091635A"/>
    <w:rsid w:val="00932F80"/>
    <w:rsid w:val="00941F58"/>
    <w:rsid w:val="0094365F"/>
    <w:rsid w:val="009505AF"/>
    <w:rsid w:val="0095096A"/>
    <w:rsid w:val="00955E51"/>
    <w:rsid w:val="009562A3"/>
    <w:rsid w:val="00956B5E"/>
    <w:rsid w:val="00962DCE"/>
    <w:rsid w:val="00973D92"/>
    <w:rsid w:val="00974520"/>
    <w:rsid w:val="00974D98"/>
    <w:rsid w:val="0097684D"/>
    <w:rsid w:val="00977806"/>
    <w:rsid w:val="009837E9"/>
    <w:rsid w:val="009862FB"/>
    <w:rsid w:val="00992D35"/>
    <w:rsid w:val="00992F63"/>
    <w:rsid w:val="009A03B6"/>
    <w:rsid w:val="009B2D27"/>
    <w:rsid w:val="009B4B0E"/>
    <w:rsid w:val="009C3D2E"/>
    <w:rsid w:val="009C7C60"/>
    <w:rsid w:val="009E05EF"/>
    <w:rsid w:val="009E2609"/>
    <w:rsid w:val="009E5BBE"/>
    <w:rsid w:val="009F7B04"/>
    <w:rsid w:val="00A0190C"/>
    <w:rsid w:val="00A019C3"/>
    <w:rsid w:val="00A038EB"/>
    <w:rsid w:val="00A04EFA"/>
    <w:rsid w:val="00A0573C"/>
    <w:rsid w:val="00A12690"/>
    <w:rsid w:val="00A15B8A"/>
    <w:rsid w:val="00A275C7"/>
    <w:rsid w:val="00A33828"/>
    <w:rsid w:val="00A360EE"/>
    <w:rsid w:val="00A364DF"/>
    <w:rsid w:val="00A36DE7"/>
    <w:rsid w:val="00A449BC"/>
    <w:rsid w:val="00A46F87"/>
    <w:rsid w:val="00A5412B"/>
    <w:rsid w:val="00A5734C"/>
    <w:rsid w:val="00A6030D"/>
    <w:rsid w:val="00A63BAD"/>
    <w:rsid w:val="00A654E9"/>
    <w:rsid w:val="00A6639A"/>
    <w:rsid w:val="00A74F03"/>
    <w:rsid w:val="00A8024F"/>
    <w:rsid w:val="00A82AF0"/>
    <w:rsid w:val="00A8525F"/>
    <w:rsid w:val="00A87E62"/>
    <w:rsid w:val="00A93E15"/>
    <w:rsid w:val="00A94276"/>
    <w:rsid w:val="00A95DF3"/>
    <w:rsid w:val="00AA1BD1"/>
    <w:rsid w:val="00AA5FC0"/>
    <w:rsid w:val="00AA6B0E"/>
    <w:rsid w:val="00AA76EE"/>
    <w:rsid w:val="00AB0164"/>
    <w:rsid w:val="00AB0C76"/>
    <w:rsid w:val="00AB1094"/>
    <w:rsid w:val="00AB20AB"/>
    <w:rsid w:val="00AD0BCB"/>
    <w:rsid w:val="00AD17DC"/>
    <w:rsid w:val="00AE1EB5"/>
    <w:rsid w:val="00AE261D"/>
    <w:rsid w:val="00AE597D"/>
    <w:rsid w:val="00AE71D6"/>
    <w:rsid w:val="00AF18F1"/>
    <w:rsid w:val="00AF34B4"/>
    <w:rsid w:val="00AF3F64"/>
    <w:rsid w:val="00AF7083"/>
    <w:rsid w:val="00B054DA"/>
    <w:rsid w:val="00B07606"/>
    <w:rsid w:val="00B1009A"/>
    <w:rsid w:val="00B12F6B"/>
    <w:rsid w:val="00B15A54"/>
    <w:rsid w:val="00B22827"/>
    <w:rsid w:val="00B2500B"/>
    <w:rsid w:val="00B26F62"/>
    <w:rsid w:val="00B51BA2"/>
    <w:rsid w:val="00B56D21"/>
    <w:rsid w:val="00B65D69"/>
    <w:rsid w:val="00B71862"/>
    <w:rsid w:val="00B77B68"/>
    <w:rsid w:val="00B823D5"/>
    <w:rsid w:val="00B8626A"/>
    <w:rsid w:val="00B91564"/>
    <w:rsid w:val="00BB1984"/>
    <w:rsid w:val="00BB3987"/>
    <w:rsid w:val="00BC04CC"/>
    <w:rsid w:val="00BC1CD9"/>
    <w:rsid w:val="00BC338B"/>
    <w:rsid w:val="00BC5D7C"/>
    <w:rsid w:val="00BD1AAE"/>
    <w:rsid w:val="00BD4A12"/>
    <w:rsid w:val="00BD51FA"/>
    <w:rsid w:val="00BE095B"/>
    <w:rsid w:val="00BE098F"/>
    <w:rsid w:val="00BE0A19"/>
    <w:rsid w:val="00BE1854"/>
    <w:rsid w:val="00BF02F1"/>
    <w:rsid w:val="00BF6EBF"/>
    <w:rsid w:val="00BF6EE0"/>
    <w:rsid w:val="00C00480"/>
    <w:rsid w:val="00C12AF0"/>
    <w:rsid w:val="00C26741"/>
    <w:rsid w:val="00C26F1E"/>
    <w:rsid w:val="00C37841"/>
    <w:rsid w:val="00C41A76"/>
    <w:rsid w:val="00C429D3"/>
    <w:rsid w:val="00C432DF"/>
    <w:rsid w:val="00C4334E"/>
    <w:rsid w:val="00C44DED"/>
    <w:rsid w:val="00C4618D"/>
    <w:rsid w:val="00C4778B"/>
    <w:rsid w:val="00C50395"/>
    <w:rsid w:val="00C50E7E"/>
    <w:rsid w:val="00C575F4"/>
    <w:rsid w:val="00C60257"/>
    <w:rsid w:val="00C613EA"/>
    <w:rsid w:val="00C6443C"/>
    <w:rsid w:val="00C6462C"/>
    <w:rsid w:val="00C736E1"/>
    <w:rsid w:val="00C74707"/>
    <w:rsid w:val="00C74AA9"/>
    <w:rsid w:val="00C75E39"/>
    <w:rsid w:val="00C80E1A"/>
    <w:rsid w:val="00C86A4D"/>
    <w:rsid w:val="00C9054E"/>
    <w:rsid w:val="00C9138E"/>
    <w:rsid w:val="00C91D63"/>
    <w:rsid w:val="00C9339D"/>
    <w:rsid w:val="00C94592"/>
    <w:rsid w:val="00C96996"/>
    <w:rsid w:val="00CA6828"/>
    <w:rsid w:val="00CB3480"/>
    <w:rsid w:val="00CC20A8"/>
    <w:rsid w:val="00CC3A11"/>
    <w:rsid w:val="00CC3D84"/>
    <w:rsid w:val="00CC7F61"/>
    <w:rsid w:val="00CD6A82"/>
    <w:rsid w:val="00CD79AB"/>
    <w:rsid w:val="00CE167B"/>
    <w:rsid w:val="00CE51F5"/>
    <w:rsid w:val="00CE5CD9"/>
    <w:rsid w:val="00CF2CDD"/>
    <w:rsid w:val="00CF48BA"/>
    <w:rsid w:val="00CF4B11"/>
    <w:rsid w:val="00CF5555"/>
    <w:rsid w:val="00D07B71"/>
    <w:rsid w:val="00D10B57"/>
    <w:rsid w:val="00D15A77"/>
    <w:rsid w:val="00D365EC"/>
    <w:rsid w:val="00D4001A"/>
    <w:rsid w:val="00D405CC"/>
    <w:rsid w:val="00D40D08"/>
    <w:rsid w:val="00D416E7"/>
    <w:rsid w:val="00D44734"/>
    <w:rsid w:val="00D44B18"/>
    <w:rsid w:val="00D46396"/>
    <w:rsid w:val="00D46641"/>
    <w:rsid w:val="00D53BF8"/>
    <w:rsid w:val="00D632F1"/>
    <w:rsid w:val="00D63F8F"/>
    <w:rsid w:val="00D64451"/>
    <w:rsid w:val="00D671E7"/>
    <w:rsid w:val="00D87DCA"/>
    <w:rsid w:val="00D91059"/>
    <w:rsid w:val="00D91E49"/>
    <w:rsid w:val="00D9421E"/>
    <w:rsid w:val="00D96370"/>
    <w:rsid w:val="00DA383B"/>
    <w:rsid w:val="00DC0A29"/>
    <w:rsid w:val="00DC547F"/>
    <w:rsid w:val="00DD4FAA"/>
    <w:rsid w:val="00DE34A4"/>
    <w:rsid w:val="00DF1109"/>
    <w:rsid w:val="00DF6539"/>
    <w:rsid w:val="00DF7B9B"/>
    <w:rsid w:val="00E03125"/>
    <w:rsid w:val="00E043E6"/>
    <w:rsid w:val="00E04B8B"/>
    <w:rsid w:val="00E0551D"/>
    <w:rsid w:val="00E05D8D"/>
    <w:rsid w:val="00E1196F"/>
    <w:rsid w:val="00E1736C"/>
    <w:rsid w:val="00E206C1"/>
    <w:rsid w:val="00E304BD"/>
    <w:rsid w:val="00E33C0E"/>
    <w:rsid w:val="00E35236"/>
    <w:rsid w:val="00E367CB"/>
    <w:rsid w:val="00E40D62"/>
    <w:rsid w:val="00E4455A"/>
    <w:rsid w:val="00E51AEC"/>
    <w:rsid w:val="00E74918"/>
    <w:rsid w:val="00E7707D"/>
    <w:rsid w:val="00E8024B"/>
    <w:rsid w:val="00E86FA8"/>
    <w:rsid w:val="00E96092"/>
    <w:rsid w:val="00EA0586"/>
    <w:rsid w:val="00EB5461"/>
    <w:rsid w:val="00EB55C6"/>
    <w:rsid w:val="00ED2EAD"/>
    <w:rsid w:val="00ED73E3"/>
    <w:rsid w:val="00EF134C"/>
    <w:rsid w:val="00EF4FF3"/>
    <w:rsid w:val="00F00014"/>
    <w:rsid w:val="00F00124"/>
    <w:rsid w:val="00F117D0"/>
    <w:rsid w:val="00F15E0B"/>
    <w:rsid w:val="00F17660"/>
    <w:rsid w:val="00F227F5"/>
    <w:rsid w:val="00F243B9"/>
    <w:rsid w:val="00F2448E"/>
    <w:rsid w:val="00F26B22"/>
    <w:rsid w:val="00F35047"/>
    <w:rsid w:val="00F40DB2"/>
    <w:rsid w:val="00F41464"/>
    <w:rsid w:val="00F4181B"/>
    <w:rsid w:val="00F423B5"/>
    <w:rsid w:val="00F43C40"/>
    <w:rsid w:val="00F4423A"/>
    <w:rsid w:val="00F44287"/>
    <w:rsid w:val="00F463CA"/>
    <w:rsid w:val="00F47E77"/>
    <w:rsid w:val="00F55216"/>
    <w:rsid w:val="00F559F2"/>
    <w:rsid w:val="00F55E86"/>
    <w:rsid w:val="00F61C07"/>
    <w:rsid w:val="00F62243"/>
    <w:rsid w:val="00F64DE5"/>
    <w:rsid w:val="00F72193"/>
    <w:rsid w:val="00F73936"/>
    <w:rsid w:val="00F74628"/>
    <w:rsid w:val="00F77950"/>
    <w:rsid w:val="00F91ED9"/>
    <w:rsid w:val="00F95DB5"/>
    <w:rsid w:val="00FA5E47"/>
    <w:rsid w:val="00FB461E"/>
    <w:rsid w:val="00FB6C5F"/>
    <w:rsid w:val="00FC6EED"/>
    <w:rsid w:val="00FC70DF"/>
    <w:rsid w:val="00FD3998"/>
    <w:rsid w:val="00FD4B88"/>
    <w:rsid w:val="00FD63F3"/>
    <w:rsid w:val="00FE7454"/>
    <w:rsid w:val="00FF1394"/>
    <w:rsid w:val="00FF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14176B"/>
  <w15:docId w15:val="{0EFAD886-33A1-4BE5-B2B6-33E6A6C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47F"/>
    <w:rPr>
      <w:color w:val="0563C1" w:themeColor="hyperlink"/>
      <w:u w:val="single"/>
    </w:rPr>
  </w:style>
  <w:style w:type="character" w:styleId="CommentReference">
    <w:name w:val="annotation reference"/>
    <w:basedOn w:val="DefaultParagraphFont"/>
    <w:uiPriority w:val="99"/>
    <w:semiHidden/>
    <w:unhideWhenUsed/>
    <w:rsid w:val="005204D0"/>
    <w:rPr>
      <w:sz w:val="16"/>
      <w:szCs w:val="16"/>
    </w:rPr>
  </w:style>
  <w:style w:type="paragraph" w:styleId="CommentText">
    <w:name w:val="annotation text"/>
    <w:basedOn w:val="Normal"/>
    <w:link w:val="CommentTextChar"/>
    <w:uiPriority w:val="99"/>
    <w:unhideWhenUsed/>
    <w:rsid w:val="005204D0"/>
    <w:pPr>
      <w:spacing w:line="240" w:lineRule="auto"/>
    </w:pPr>
    <w:rPr>
      <w:sz w:val="20"/>
      <w:szCs w:val="20"/>
    </w:rPr>
  </w:style>
  <w:style w:type="character" w:customStyle="1" w:styleId="CommentTextChar">
    <w:name w:val="Comment Text Char"/>
    <w:basedOn w:val="DefaultParagraphFont"/>
    <w:link w:val="CommentText"/>
    <w:uiPriority w:val="99"/>
    <w:rsid w:val="005204D0"/>
    <w:rPr>
      <w:sz w:val="20"/>
      <w:szCs w:val="20"/>
    </w:rPr>
  </w:style>
  <w:style w:type="paragraph" w:styleId="BalloonText">
    <w:name w:val="Balloon Text"/>
    <w:basedOn w:val="Normal"/>
    <w:link w:val="BalloonTextChar"/>
    <w:uiPriority w:val="99"/>
    <w:semiHidden/>
    <w:unhideWhenUsed/>
    <w:rsid w:val="00520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D0"/>
    <w:rPr>
      <w:rFonts w:ascii="Segoe UI" w:hAnsi="Segoe UI" w:cs="Segoe UI"/>
      <w:sz w:val="18"/>
      <w:szCs w:val="18"/>
    </w:rPr>
  </w:style>
  <w:style w:type="paragraph" w:styleId="ListParagraph">
    <w:name w:val="List Paragraph"/>
    <w:basedOn w:val="Normal"/>
    <w:uiPriority w:val="34"/>
    <w:qFormat/>
    <w:rsid w:val="00C9339D"/>
    <w:pPr>
      <w:ind w:left="720"/>
      <w:contextualSpacing/>
    </w:pPr>
  </w:style>
  <w:style w:type="table" w:styleId="TableGrid">
    <w:name w:val="Table Grid"/>
    <w:basedOn w:val="TableNormal"/>
    <w:uiPriority w:val="39"/>
    <w:rsid w:val="0085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841FB"/>
    <w:rPr>
      <w:b/>
      <w:bCs/>
    </w:rPr>
  </w:style>
  <w:style w:type="character" w:customStyle="1" w:styleId="CommentSubjectChar">
    <w:name w:val="Comment Subject Char"/>
    <w:basedOn w:val="CommentTextChar"/>
    <w:link w:val="CommentSubject"/>
    <w:uiPriority w:val="99"/>
    <w:semiHidden/>
    <w:rsid w:val="008841FB"/>
    <w:rPr>
      <w:b/>
      <w:bCs/>
      <w:sz w:val="20"/>
      <w:szCs w:val="20"/>
    </w:rPr>
  </w:style>
  <w:style w:type="paragraph" w:styleId="Revision">
    <w:name w:val="Revision"/>
    <w:hidden/>
    <w:uiPriority w:val="99"/>
    <w:semiHidden/>
    <w:rsid w:val="00556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1288">
      <w:bodyDiv w:val="1"/>
      <w:marLeft w:val="0"/>
      <w:marRight w:val="0"/>
      <w:marTop w:val="0"/>
      <w:marBottom w:val="0"/>
      <w:divBdr>
        <w:top w:val="none" w:sz="0" w:space="0" w:color="auto"/>
        <w:left w:val="none" w:sz="0" w:space="0" w:color="auto"/>
        <w:bottom w:val="none" w:sz="0" w:space="0" w:color="auto"/>
        <w:right w:val="none" w:sz="0" w:space="0" w:color="auto"/>
      </w:divBdr>
    </w:div>
    <w:div w:id="172034363">
      <w:bodyDiv w:val="1"/>
      <w:marLeft w:val="0"/>
      <w:marRight w:val="0"/>
      <w:marTop w:val="0"/>
      <w:marBottom w:val="0"/>
      <w:divBdr>
        <w:top w:val="none" w:sz="0" w:space="0" w:color="auto"/>
        <w:left w:val="none" w:sz="0" w:space="0" w:color="auto"/>
        <w:bottom w:val="none" w:sz="0" w:space="0" w:color="auto"/>
        <w:right w:val="none" w:sz="0" w:space="0" w:color="auto"/>
      </w:divBdr>
    </w:div>
    <w:div w:id="743990724">
      <w:bodyDiv w:val="1"/>
      <w:marLeft w:val="0"/>
      <w:marRight w:val="0"/>
      <w:marTop w:val="0"/>
      <w:marBottom w:val="0"/>
      <w:divBdr>
        <w:top w:val="none" w:sz="0" w:space="0" w:color="auto"/>
        <w:left w:val="none" w:sz="0" w:space="0" w:color="auto"/>
        <w:bottom w:val="none" w:sz="0" w:space="0" w:color="auto"/>
        <w:right w:val="none" w:sz="0" w:space="0" w:color="auto"/>
      </w:divBdr>
    </w:div>
    <w:div w:id="1063866668">
      <w:bodyDiv w:val="1"/>
      <w:marLeft w:val="0"/>
      <w:marRight w:val="0"/>
      <w:marTop w:val="0"/>
      <w:marBottom w:val="0"/>
      <w:divBdr>
        <w:top w:val="none" w:sz="0" w:space="0" w:color="auto"/>
        <w:left w:val="none" w:sz="0" w:space="0" w:color="auto"/>
        <w:bottom w:val="none" w:sz="0" w:space="0" w:color="auto"/>
        <w:right w:val="none" w:sz="0" w:space="0" w:color="auto"/>
      </w:divBdr>
    </w:div>
    <w:div w:id="1236670497">
      <w:bodyDiv w:val="1"/>
      <w:marLeft w:val="0"/>
      <w:marRight w:val="0"/>
      <w:marTop w:val="0"/>
      <w:marBottom w:val="0"/>
      <w:divBdr>
        <w:top w:val="none" w:sz="0" w:space="0" w:color="auto"/>
        <w:left w:val="none" w:sz="0" w:space="0" w:color="auto"/>
        <w:bottom w:val="none" w:sz="0" w:space="0" w:color="auto"/>
        <w:right w:val="none" w:sz="0" w:space="0" w:color="auto"/>
      </w:divBdr>
    </w:div>
    <w:div w:id="1519658066">
      <w:bodyDiv w:val="1"/>
      <w:marLeft w:val="0"/>
      <w:marRight w:val="0"/>
      <w:marTop w:val="0"/>
      <w:marBottom w:val="0"/>
      <w:divBdr>
        <w:top w:val="none" w:sz="0" w:space="0" w:color="auto"/>
        <w:left w:val="none" w:sz="0" w:space="0" w:color="auto"/>
        <w:bottom w:val="none" w:sz="0" w:space="0" w:color="auto"/>
        <w:right w:val="none" w:sz="0" w:space="0" w:color="auto"/>
      </w:divBdr>
    </w:div>
    <w:div w:id="2135714667">
      <w:bodyDiv w:val="1"/>
      <w:marLeft w:val="0"/>
      <w:marRight w:val="0"/>
      <w:marTop w:val="0"/>
      <w:marBottom w:val="0"/>
      <w:divBdr>
        <w:top w:val="none" w:sz="0" w:space="0" w:color="auto"/>
        <w:left w:val="none" w:sz="0" w:space="0" w:color="auto"/>
        <w:bottom w:val="none" w:sz="0" w:space="0" w:color="auto"/>
        <w:right w:val="none" w:sz="0" w:space="0" w:color="auto"/>
      </w:divBdr>
    </w:div>
    <w:div w:id="21408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elizabeth3.anderson@uwe.ac.uk"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7F47-F472-4BF8-99F1-97ADC5C4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Anderson</dc:creator>
  <cp:lastModifiedBy>Elizabeth Anderson</cp:lastModifiedBy>
  <cp:revision>2</cp:revision>
  <cp:lastPrinted>2018-10-23T13:18:00Z</cp:lastPrinted>
  <dcterms:created xsi:type="dcterms:W3CDTF">2019-04-29T10:17:00Z</dcterms:created>
  <dcterms:modified xsi:type="dcterms:W3CDTF">2019-04-29T10:17:00Z</dcterms:modified>
</cp:coreProperties>
</file>