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8D" w:rsidRPr="00C85D87" w:rsidRDefault="00AA788D" w:rsidP="00AA788D">
      <w:pPr>
        <w:jc w:val="center"/>
        <w:rPr>
          <w:rFonts w:cs="Calibri"/>
        </w:rPr>
      </w:pPr>
      <w:r w:rsidRPr="00C85D87">
        <w:rPr>
          <w:rFonts w:cs="Calibri"/>
        </w:rPr>
        <w:t>CONNECTEDNESS AND SME FINANCING IN POST-COMMUNIST ECONOMIES:</w:t>
      </w:r>
    </w:p>
    <w:p w:rsidR="00AA788D" w:rsidRPr="00C85D87" w:rsidRDefault="00AA788D" w:rsidP="00AA788D">
      <w:pPr>
        <w:jc w:val="center"/>
        <w:rPr>
          <w:rFonts w:cs="Calibri"/>
        </w:rPr>
      </w:pPr>
      <w:r w:rsidRPr="00C85D87">
        <w:rPr>
          <w:rFonts w:cs="Calibri"/>
        </w:rPr>
        <w:t>EVIDENCE FROM UZBEKISTAN</w:t>
      </w:r>
      <w:r>
        <w:rPr>
          <w:rStyle w:val="FootnoteReference"/>
        </w:rPr>
        <w:footnoteReference w:id="1"/>
      </w:r>
    </w:p>
    <w:p w:rsidR="00AA788D" w:rsidRPr="00C85D87" w:rsidRDefault="00AA788D" w:rsidP="00AA788D">
      <w:pPr>
        <w:jc w:val="center"/>
        <w:rPr>
          <w:rFonts w:cs="Calibri"/>
          <w:lang w:val="de-DE"/>
        </w:rPr>
      </w:pPr>
      <w:r w:rsidRPr="00C85D87">
        <w:rPr>
          <w:rFonts w:cs="Calibri"/>
          <w:lang w:val="de-DE"/>
        </w:rPr>
        <w:t>Kobil Ruziev</w:t>
      </w:r>
    </w:p>
    <w:p w:rsidR="00AA788D" w:rsidRDefault="00AA788D" w:rsidP="00AA788D">
      <w:pPr>
        <w:jc w:val="center"/>
        <w:rPr>
          <w:rFonts w:cs="Calibri"/>
        </w:rPr>
      </w:pPr>
      <w:r>
        <w:rPr>
          <w:rFonts w:cs="Calibri"/>
        </w:rPr>
        <w:t>(corresponding author)</w:t>
      </w:r>
    </w:p>
    <w:p w:rsidR="00AA788D" w:rsidRPr="00391169" w:rsidRDefault="00AA788D" w:rsidP="00AA788D">
      <w:pPr>
        <w:spacing w:after="120"/>
        <w:jc w:val="center"/>
      </w:pPr>
      <w:hyperlink r:id="rId7" w:history="1">
        <w:r w:rsidRPr="000378F4">
          <w:rPr>
            <w:rStyle w:val="Hyperlink"/>
            <w:rFonts w:cs="Calibri"/>
            <w:lang w:val="de-DE"/>
          </w:rPr>
          <w:t>kobil.ruziev@uwe.ac.uk</w:t>
        </w:r>
      </w:hyperlink>
    </w:p>
    <w:p w:rsidR="00AA788D" w:rsidRPr="009464F9" w:rsidRDefault="00AA788D" w:rsidP="00AA788D">
      <w:pPr>
        <w:jc w:val="center"/>
        <w:rPr>
          <w:rFonts w:cs="Calibri"/>
          <w:lang w:val="de-DE"/>
        </w:rPr>
      </w:pPr>
      <w:r w:rsidRPr="00391169">
        <w:rPr>
          <w:rFonts w:cs="Calibri"/>
        </w:rPr>
        <w:t xml:space="preserve">Centre for Global Finance, Bristol Business School, University of the West of England, </w:t>
      </w:r>
      <w:proofErr w:type="spellStart"/>
      <w:r w:rsidRPr="00391169">
        <w:rPr>
          <w:rFonts w:cs="Calibri"/>
        </w:rPr>
        <w:t>Frenchay</w:t>
      </w:r>
      <w:proofErr w:type="spellEnd"/>
      <w:r w:rsidRPr="00391169">
        <w:rPr>
          <w:rFonts w:cs="Calibri"/>
        </w:rPr>
        <w:t xml:space="preserve"> Campus,</w:t>
      </w:r>
      <w:r>
        <w:rPr>
          <w:rFonts w:cs="Calibri"/>
        </w:rPr>
        <w:t xml:space="preserve"> </w:t>
      </w:r>
      <w:proofErr w:type="spellStart"/>
      <w:r w:rsidRPr="00391169">
        <w:rPr>
          <w:rFonts w:cs="Calibri"/>
        </w:rPr>
        <w:t>Coldharbour</w:t>
      </w:r>
      <w:proofErr w:type="spellEnd"/>
      <w:r>
        <w:rPr>
          <w:rFonts w:cs="Calibri"/>
          <w:lang w:val="de-DE"/>
        </w:rPr>
        <w:t xml:space="preserve"> Lane, </w:t>
      </w:r>
      <w:r w:rsidRPr="009464F9">
        <w:rPr>
          <w:rFonts w:cs="Calibri"/>
          <w:lang w:val="de-DE"/>
        </w:rPr>
        <w:t>Bristol, UK BS16 1QY</w:t>
      </w:r>
    </w:p>
    <w:p w:rsidR="00AA788D" w:rsidRDefault="00AA788D" w:rsidP="00AA788D">
      <w:pPr>
        <w:jc w:val="center"/>
        <w:rPr>
          <w:rFonts w:cs="Calibri"/>
          <w:lang w:val="de-DE"/>
        </w:rPr>
      </w:pPr>
      <w:r>
        <w:rPr>
          <w:rFonts w:cs="Calibri"/>
          <w:lang w:val="de-DE"/>
        </w:rPr>
        <w:t>+44 (</w:t>
      </w:r>
      <w:r w:rsidRPr="009464F9">
        <w:rPr>
          <w:rFonts w:cs="Calibri"/>
          <w:lang w:val="de-DE"/>
        </w:rPr>
        <w:t>0</w:t>
      </w:r>
      <w:r>
        <w:rPr>
          <w:rFonts w:cs="Calibri"/>
          <w:lang w:val="de-DE"/>
        </w:rPr>
        <w:t>)</w:t>
      </w:r>
      <w:r w:rsidRPr="009464F9">
        <w:rPr>
          <w:rFonts w:cs="Calibri"/>
          <w:lang w:val="de-DE"/>
        </w:rPr>
        <w:t>117</w:t>
      </w:r>
      <w:r>
        <w:rPr>
          <w:rFonts w:cs="Calibri"/>
          <w:lang w:val="de-DE"/>
        </w:rPr>
        <w:t xml:space="preserve"> </w:t>
      </w:r>
      <w:r w:rsidRPr="009464F9">
        <w:rPr>
          <w:rFonts w:cs="Calibri"/>
          <w:lang w:val="de-DE"/>
        </w:rPr>
        <w:t>328</w:t>
      </w:r>
      <w:r>
        <w:rPr>
          <w:rFonts w:cs="Calibri"/>
          <w:lang w:val="de-DE"/>
        </w:rPr>
        <w:t xml:space="preserve"> </w:t>
      </w:r>
      <w:r w:rsidRPr="009464F9">
        <w:rPr>
          <w:rFonts w:cs="Calibri"/>
          <w:lang w:val="de-DE"/>
        </w:rPr>
        <w:t>3906</w:t>
      </w:r>
    </w:p>
    <w:p w:rsidR="00AA788D" w:rsidRDefault="00AA788D" w:rsidP="00AA788D">
      <w:pPr>
        <w:jc w:val="center"/>
        <w:rPr>
          <w:rFonts w:cs="Calibri"/>
        </w:rPr>
      </w:pPr>
      <w:r>
        <w:rPr>
          <w:rFonts w:cs="Calibri"/>
        </w:rPr>
        <w:t xml:space="preserve">Peter </w:t>
      </w:r>
      <w:proofErr w:type="spellStart"/>
      <w:r>
        <w:rPr>
          <w:rFonts w:cs="Calibri"/>
        </w:rPr>
        <w:t>Midmore</w:t>
      </w:r>
      <w:proofErr w:type="spellEnd"/>
    </w:p>
    <w:p w:rsidR="00AA788D" w:rsidRDefault="00AA788D" w:rsidP="00AA788D">
      <w:pPr>
        <w:jc w:val="center"/>
        <w:rPr>
          <w:rFonts w:cs="Calibri"/>
        </w:rPr>
      </w:pPr>
      <w:r w:rsidRPr="00C85D87">
        <w:rPr>
          <w:rFonts w:cs="Calibri"/>
        </w:rPr>
        <w:t>+44 (0)1970 622</w:t>
      </w:r>
      <w:r>
        <w:rPr>
          <w:rFonts w:cs="Calibri"/>
        </w:rPr>
        <w:t>2</w:t>
      </w:r>
      <w:r w:rsidRPr="00C85D87">
        <w:rPr>
          <w:rFonts w:cs="Calibri"/>
        </w:rPr>
        <w:t>5</w:t>
      </w:r>
      <w:r>
        <w:rPr>
          <w:rFonts w:cs="Calibri"/>
        </w:rPr>
        <w:t>1</w:t>
      </w:r>
    </w:p>
    <w:p w:rsidR="00AA788D" w:rsidRDefault="00AA788D" w:rsidP="00AA788D">
      <w:pPr>
        <w:jc w:val="center"/>
        <w:rPr>
          <w:rFonts w:cs="Calibri"/>
        </w:rPr>
      </w:pPr>
      <w:hyperlink r:id="rId8" w:history="1">
        <w:r w:rsidRPr="009B0406">
          <w:rPr>
            <w:rStyle w:val="Hyperlink"/>
            <w:rFonts w:cs="Calibri"/>
          </w:rPr>
          <w:t>pxm@aber.ac.uk</w:t>
        </w:r>
      </w:hyperlink>
    </w:p>
    <w:p w:rsidR="00AA788D" w:rsidRPr="00C85D87" w:rsidRDefault="00AA788D" w:rsidP="00AA788D">
      <w:pPr>
        <w:jc w:val="center"/>
        <w:rPr>
          <w:rFonts w:cs="Calibri"/>
        </w:rPr>
      </w:pPr>
      <w:r>
        <w:rPr>
          <w:rFonts w:cs="Calibri"/>
        </w:rPr>
        <w:t xml:space="preserve">Centre for Local and Regional Enterprise, </w:t>
      </w:r>
      <w:r w:rsidRPr="00C85D87">
        <w:rPr>
          <w:rFonts w:cs="Calibri"/>
        </w:rPr>
        <w:t>School of Management and Business</w:t>
      </w:r>
      <w:r>
        <w:rPr>
          <w:rFonts w:cs="Calibri"/>
        </w:rPr>
        <w:t xml:space="preserve">, </w:t>
      </w:r>
      <w:r>
        <w:rPr>
          <w:rFonts w:cs="Calibri"/>
        </w:rPr>
        <w:br/>
        <w:t xml:space="preserve">Aberystwyth University, </w:t>
      </w:r>
      <w:r w:rsidRPr="00C85D87">
        <w:rPr>
          <w:rFonts w:cs="Calibri"/>
        </w:rPr>
        <w:t>Aberystwyth</w:t>
      </w:r>
      <w:r>
        <w:rPr>
          <w:rFonts w:cs="Calibri"/>
        </w:rPr>
        <w:t>, SY23 3AL</w:t>
      </w:r>
      <w:r w:rsidRPr="00C85D87">
        <w:rPr>
          <w:rFonts w:cs="Calibri"/>
        </w:rPr>
        <w:t>, United Kingdom</w:t>
      </w:r>
    </w:p>
    <w:p w:rsidR="00AA788D" w:rsidRPr="0000217F" w:rsidRDefault="00AA788D" w:rsidP="00AA788D">
      <w:pPr>
        <w:jc w:val="center"/>
        <w:rPr>
          <w:rFonts w:cs="Calibri"/>
        </w:rPr>
      </w:pPr>
    </w:p>
    <w:p w:rsidR="00AA788D" w:rsidRDefault="00AA788D" w:rsidP="00AA788D">
      <w:pPr>
        <w:jc w:val="center"/>
        <w:rPr>
          <w:rFonts w:cs="Calibri"/>
          <w:b/>
        </w:rPr>
      </w:pPr>
      <w:r w:rsidRPr="0000217F">
        <w:rPr>
          <w:rFonts w:cs="Calibri"/>
          <w:b/>
        </w:rPr>
        <w:t>Abstract</w:t>
      </w:r>
    </w:p>
    <w:p w:rsidR="00AA788D" w:rsidRPr="0000217F" w:rsidRDefault="00AA788D" w:rsidP="00AA788D">
      <w:pPr>
        <w:jc w:val="center"/>
        <w:rPr>
          <w:rFonts w:cs="Calibri"/>
          <w:b/>
        </w:rPr>
      </w:pPr>
    </w:p>
    <w:p w:rsidR="00AA788D" w:rsidRDefault="00AA788D" w:rsidP="00AA788D">
      <w:pPr>
        <w:pStyle w:val="BodyText"/>
        <w:rPr>
          <w:rFonts w:asciiTheme="minorHAnsi" w:hAnsiTheme="minorHAnsi" w:cstheme="minorHAnsi"/>
          <w:sz w:val="22"/>
          <w:szCs w:val="22"/>
        </w:rPr>
      </w:pPr>
      <w:r w:rsidRPr="009464F9">
        <w:rPr>
          <w:rFonts w:asciiTheme="minorHAnsi" w:hAnsiTheme="minorHAnsi" w:cstheme="minorHAnsi"/>
          <w:sz w:val="22"/>
          <w:szCs w:val="22"/>
        </w:rPr>
        <w:t>This paper investigates effects of interpersonal links with bureaucrats on SME access to formal finance. A survey of 502 SMEs in post-communist Uzbekistan shows fewer SMEs with government connections express a need for external finance, but success rates of applications are higher than for SMEs without connections. Econometric models show government-connected SMEs receive more formal credit than their counterparts. The small share of SME credit available is thus distributed in favour of those capitalising on bureaucratic links, with consequent resource misallocation. Findings imply that greater SME credit flows need supplementing with capacity building that improves bank transparency and efficiency.</w:t>
      </w:r>
    </w:p>
    <w:p w:rsidR="00AA788D" w:rsidRDefault="00AA788D" w:rsidP="00AA788D">
      <w:pPr>
        <w:pStyle w:val="BodyText"/>
        <w:rPr>
          <w:rFonts w:asciiTheme="minorHAnsi" w:hAnsiTheme="minorHAnsi" w:cstheme="minorHAnsi"/>
          <w:sz w:val="22"/>
          <w:szCs w:val="22"/>
        </w:rPr>
      </w:pPr>
    </w:p>
    <w:p w:rsidR="00AA788D" w:rsidRDefault="00AA788D" w:rsidP="00AA788D">
      <w:pPr>
        <w:spacing w:line="360" w:lineRule="auto"/>
        <w:contextualSpacing/>
        <w:rPr>
          <w:b/>
          <w:bCs/>
        </w:rPr>
      </w:pPr>
      <w:r w:rsidRPr="0000217F">
        <w:rPr>
          <w:b/>
          <w:bCs/>
        </w:rPr>
        <w:t>Acknowledgement</w:t>
      </w:r>
      <w:r>
        <w:rPr>
          <w:b/>
          <w:bCs/>
        </w:rPr>
        <w:t xml:space="preserve">: </w:t>
      </w:r>
    </w:p>
    <w:p w:rsidR="00AA788D" w:rsidRDefault="00AA788D" w:rsidP="00AA788D">
      <w:pPr>
        <w:spacing w:line="360" w:lineRule="auto"/>
        <w:contextualSpacing/>
        <w:rPr>
          <w:rFonts w:cstheme="minorHAnsi"/>
        </w:rPr>
      </w:pPr>
      <w:r w:rsidRPr="0000217F">
        <w:rPr>
          <w:rFonts w:cstheme="minorHAnsi"/>
        </w:rPr>
        <w:t>Research funding from the British Academy for this project is gratefully acknowledged.</w:t>
      </w:r>
      <w:r>
        <w:rPr>
          <w:rFonts w:cstheme="minorHAnsi"/>
        </w:rPr>
        <w:t xml:space="preserve"> </w:t>
      </w:r>
    </w:p>
    <w:p w:rsidR="00AA788D" w:rsidRDefault="00AA788D" w:rsidP="006878DC">
      <w:pPr>
        <w:ind w:left="284" w:firstLine="131"/>
        <w:jc w:val="center"/>
        <w:rPr>
          <w:rFonts w:cs="Calibri"/>
        </w:rPr>
      </w:pPr>
    </w:p>
    <w:p w:rsidR="00AA788D" w:rsidRPr="0000217F" w:rsidRDefault="00AA788D" w:rsidP="006878DC">
      <w:pPr>
        <w:ind w:left="284" w:firstLine="131"/>
        <w:jc w:val="center"/>
        <w:rPr>
          <w:rFonts w:cs="Calibri"/>
        </w:rPr>
      </w:pPr>
    </w:p>
    <w:p w:rsidR="00AA788D" w:rsidRPr="00FE2A03" w:rsidRDefault="00AA788D" w:rsidP="00FE2A03">
      <w:pPr>
        <w:spacing w:line="480" w:lineRule="auto"/>
        <w:rPr>
          <w:rFonts w:cs="Calibri"/>
        </w:rPr>
      </w:pPr>
      <w:r w:rsidRPr="0000217F">
        <w:rPr>
          <w:rFonts w:cs="Calibri"/>
        </w:rPr>
        <w:br w:type="page"/>
      </w:r>
      <w:r w:rsidRPr="0000217F">
        <w:rPr>
          <w:rFonts w:cs="Calibri"/>
          <w:b/>
        </w:rPr>
        <w:lastRenderedPageBreak/>
        <w:t>Introduction</w:t>
      </w:r>
    </w:p>
    <w:p w:rsidR="00AA788D" w:rsidRDefault="00AA788D" w:rsidP="00BE31C3">
      <w:pPr>
        <w:spacing w:line="480" w:lineRule="auto"/>
        <w:ind w:firstLine="357"/>
        <w:rPr>
          <w:rFonts w:cs="Calibri"/>
        </w:rPr>
      </w:pPr>
      <w:r w:rsidRPr="0000217F">
        <w:rPr>
          <w:rFonts w:cs="Calibri"/>
        </w:rPr>
        <w:t>F</w:t>
      </w:r>
      <w:r>
        <w:rPr>
          <w:rFonts w:cs="Calibri"/>
        </w:rPr>
        <w:t xml:space="preserve">rom a position of broad similarity in the </w:t>
      </w:r>
      <w:r w:rsidRPr="0000217F">
        <w:rPr>
          <w:rFonts w:cs="Calibri"/>
        </w:rPr>
        <w:t xml:space="preserve">late 1980s, </w:t>
      </w:r>
      <w:r>
        <w:rPr>
          <w:rFonts w:cs="Calibri"/>
        </w:rPr>
        <w:t>f</w:t>
      </w:r>
      <w:r w:rsidRPr="0000217F">
        <w:rPr>
          <w:rFonts w:cs="Calibri"/>
        </w:rPr>
        <w:t xml:space="preserve">inancial sector development of </w:t>
      </w:r>
      <w:r>
        <w:rPr>
          <w:rFonts w:cs="Calibri"/>
        </w:rPr>
        <w:t>transition</w:t>
      </w:r>
      <w:r w:rsidRPr="0000217F">
        <w:rPr>
          <w:rFonts w:cs="Calibri"/>
        </w:rPr>
        <w:t xml:space="preserve"> economies in Eastern Europe and the former Soviet Union (FSU)</w:t>
      </w:r>
      <w:r>
        <w:rPr>
          <w:rFonts w:cs="Calibri"/>
        </w:rPr>
        <w:t xml:space="preserve"> has become remarkably divergent. Whereas </w:t>
      </w:r>
      <w:r w:rsidRPr="00744695">
        <w:rPr>
          <w:rFonts w:cs="Calibri"/>
        </w:rPr>
        <w:t>financial development</w:t>
      </w:r>
      <w:r>
        <w:rPr>
          <w:rFonts w:cs="Calibri"/>
        </w:rPr>
        <w:t xml:space="preserve"> in </w:t>
      </w:r>
      <w:r w:rsidRPr="0000217F">
        <w:rPr>
          <w:rFonts w:cs="Calibri"/>
        </w:rPr>
        <w:t>Eastern Europ</w:t>
      </w:r>
      <w:r>
        <w:rPr>
          <w:rFonts w:cs="Calibri"/>
        </w:rPr>
        <w:t xml:space="preserve">e has </w:t>
      </w:r>
      <w:r w:rsidRPr="0000217F">
        <w:rPr>
          <w:rFonts w:cs="Calibri"/>
        </w:rPr>
        <w:t>improved significantly</w:t>
      </w:r>
      <w:r>
        <w:rPr>
          <w:rFonts w:cs="Calibri"/>
        </w:rPr>
        <w:t>, slow-reformer</w:t>
      </w:r>
      <w:r w:rsidRPr="0000217F">
        <w:rPr>
          <w:rFonts w:cs="Calibri"/>
        </w:rPr>
        <w:t xml:space="preserve"> economies of the FSU such as Armenia, Azerbaijan, Belarus, Georgia, the Kyrgyz Republic, Moldova, Tajikistan, Turkmenistan and Uzbekistan remain financially underdeveloped</w:t>
      </w:r>
      <w:r>
        <w:rPr>
          <w:rFonts w:cs="Calibri"/>
        </w:rPr>
        <w:t>,</w:t>
      </w:r>
      <w:r w:rsidRPr="0000217F">
        <w:rPr>
          <w:rFonts w:cs="Calibri"/>
        </w:rPr>
        <w:t xml:space="preserve"> even by the standards of </w:t>
      </w:r>
      <w:r>
        <w:rPr>
          <w:rFonts w:cs="Calibri"/>
        </w:rPr>
        <w:t xml:space="preserve">most other </w:t>
      </w:r>
      <w:r w:rsidRPr="0000217F">
        <w:rPr>
          <w:rFonts w:cs="Calibri"/>
        </w:rPr>
        <w:t>transition economies (</w:t>
      </w:r>
      <w:proofErr w:type="spellStart"/>
      <w:r w:rsidRPr="0000217F">
        <w:rPr>
          <w:rFonts w:cs="Calibri"/>
        </w:rPr>
        <w:t>Honohan</w:t>
      </w:r>
      <w:proofErr w:type="spellEnd"/>
      <w:r w:rsidRPr="0000217F">
        <w:rPr>
          <w:rFonts w:cs="Calibri"/>
        </w:rPr>
        <w:t>, 2006).</w:t>
      </w:r>
      <w:r>
        <w:rPr>
          <w:rFonts w:cs="Calibri"/>
        </w:rPr>
        <w:t xml:space="preserve"> </w:t>
      </w:r>
      <w:r w:rsidRPr="0000217F">
        <w:rPr>
          <w:rFonts w:cs="Calibri"/>
        </w:rPr>
        <w:t>Similarly, and unlike in most Eastern European countries (</w:t>
      </w:r>
      <w:proofErr w:type="spellStart"/>
      <w:r>
        <w:rPr>
          <w:rFonts w:cs="Calibri"/>
        </w:rPr>
        <w:t>Kornai</w:t>
      </w:r>
      <w:proofErr w:type="spellEnd"/>
      <w:r>
        <w:rPr>
          <w:rFonts w:cs="Calibri"/>
        </w:rPr>
        <w:t xml:space="preserve">, 2000), political reform </w:t>
      </w:r>
      <w:r w:rsidRPr="0000217F">
        <w:rPr>
          <w:rFonts w:cs="Calibri"/>
        </w:rPr>
        <w:t>in the Commonwealth of Independent States (CIS)</w:t>
      </w:r>
      <w:r>
        <w:rPr>
          <w:rFonts w:cs="Calibri"/>
        </w:rPr>
        <w:t xml:space="preserve"> has</w:t>
      </w:r>
      <w:r w:rsidRPr="0000217F">
        <w:rPr>
          <w:rFonts w:cs="Calibri"/>
        </w:rPr>
        <w:t xml:space="preserve"> either been incomplete (e.g. Russia and Kazakhstan) or superficial (e.g. Belarus, Turkmenistan, and Uzbekistan), and most</w:t>
      </w:r>
      <w:r>
        <w:rPr>
          <w:rFonts w:cs="Calibri"/>
        </w:rPr>
        <w:t>ly</w:t>
      </w:r>
      <w:r w:rsidRPr="0000217F">
        <w:rPr>
          <w:rFonts w:cs="Calibri"/>
        </w:rPr>
        <w:t xml:space="preserve"> benefit</w:t>
      </w:r>
      <w:r>
        <w:rPr>
          <w:rFonts w:cs="Calibri"/>
        </w:rPr>
        <w:t>s</w:t>
      </w:r>
      <w:r w:rsidRPr="0000217F">
        <w:rPr>
          <w:rFonts w:cs="Calibri"/>
        </w:rPr>
        <w:t xml:space="preserve"> the ruling elite.</w:t>
      </w:r>
    </w:p>
    <w:p w:rsidR="00AA788D" w:rsidRDefault="00AA788D" w:rsidP="00BE31C3">
      <w:pPr>
        <w:spacing w:line="480" w:lineRule="auto"/>
        <w:ind w:firstLine="357"/>
        <w:rPr>
          <w:rFonts w:cs="Calibri"/>
        </w:rPr>
      </w:pPr>
      <w:proofErr w:type="spellStart"/>
      <w:r w:rsidRPr="00F1189B">
        <w:rPr>
          <w:rFonts w:cs="Calibri"/>
        </w:rPr>
        <w:t>Dasgupta</w:t>
      </w:r>
      <w:proofErr w:type="spellEnd"/>
      <w:r w:rsidRPr="00F1189B">
        <w:rPr>
          <w:rFonts w:cs="Calibri"/>
        </w:rPr>
        <w:t xml:space="preserve"> (200</w:t>
      </w:r>
      <w:r>
        <w:rPr>
          <w:rFonts w:cs="Calibri"/>
        </w:rPr>
        <w:t>5; 2009</w:t>
      </w:r>
      <w:r w:rsidRPr="00F1189B">
        <w:rPr>
          <w:rFonts w:cs="Calibri"/>
        </w:rPr>
        <w:t>) and Rose (2001) argue that when anonymous market relations are not mature and bureaucratic institutions are dysfunctional and lack credibility, rent-seeking behaviour becomes prevalent in society, extending well beyond the level of</w:t>
      </w:r>
      <w:r>
        <w:rPr>
          <w:rFonts w:cs="Calibri"/>
        </w:rPr>
        <w:t xml:space="preserve"> the</w:t>
      </w:r>
      <w:r w:rsidRPr="00F1189B">
        <w:rPr>
          <w:rFonts w:cs="Calibri"/>
        </w:rPr>
        <w:t xml:space="preserve"> political elite as ordinary agents also try to profit from </w:t>
      </w:r>
      <w:r>
        <w:rPr>
          <w:rFonts w:cs="Calibri"/>
        </w:rPr>
        <w:t>a</w:t>
      </w:r>
      <w:r w:rsidRPr="00F1189B">
        <w:rPr>
          <w:rFonts w:cs="Calibri"/>
        </w:rPr>
        <w:t xml:space="preserve"> web of interpersonal relations. In particular, low-ranking government and bank officials will use their impersonal positions for personal gain. Since interpersonal networks are not inclusive, </w:t>
      </w:r>
      <w:r>
        <w:rPr>
          <w:rFonts w:cs="Calibri"/>
        </w:rPr>
        <w:t>decisions about access to resources can lead</w:t>
      </w:r>
      <w:r w:rsidRPr="00F1189B">
        <w:rPr>
          <w:rFonts w:cs="Calibri"/>
        </w:rPr>
        <w:t xml:space="preserve"> to misallocation. Building on this broad argument, </w:t>
      </w:r>
      <w:r>
        <w:rPr>
          <w:rFonts w:cs="Calibri"/>
        </w:rPr>
        <w:t xml:space="preserve">our </w:t>
      </w:r>
      <w:r w:rsidRPr="00F1189B">
        <w:rPr>
          <w:rFonts w:cs="Calibri"/>
        </w:rPr>
        <w:t xml:space="preserve">empirical study </w:t>
      </w:r>
      <w:r>
        <w:rPr>
          <w:rFonts w:cs="Calibri"/>
        </w:rPr>
        <w:t xml:space="preserve">of </w:t>
      </w:r>
      <w:r w:rsidRPr="00F1189B">
        <w:rPr>
          <w:rFonts w:cs="Calibri"/>
        </w:rPr>
        <w:t>Uzbekistan</w:t>
      </w:r>
      <w:r>
        <w:rPr>
          <w:rFonts w:cs="Calibri"/>
        </w:rPr>
        <w:t xml:space="preserve"> </w:t>
      </w:r>
      <w:r w:rsidRPr="00F1189B">
        <w:rPr>
          <w:rFonts w:cs="Calibri"/>
        </w:rPr>
        <w:t>investigates whether interpersonal connections with government officials, among other potential factors, improve SME access to formal finance.</w:t>
      </w:r>
    </w:p>
    <w:p w:rsidR="00AA788D" w:rsidRDefault="00AA788D" w:rsidP="00BE31C3">
      <w:pPr>
        <w:pStyle w:val="BodyText"/>
        <w:tabs>
          <w:tab w:val="left" w:pos="2839"/>
        </w:tabs>
        <w:spacing w:line="480" w:lineRule="auto"/>
        <w:ind w:firstLine="357"/>
        <w:rPr>
          <w:rFonts w:ascii="Calibri" w:hAnsi="Calibri"/>
          <w:sz w:val="22"/>
          <w:szCs w:val="22"/>
        </w:rPr>
      </w:pPr>
      <w:r w:rsidRPr="0000217F">
        <w:rPr>
          <w:rFonts w:ascii="Calibri" w:hAnsi="Calibri"/>
          <w:sz w:val="22"/>
          <w:szCs w:val="22"/>
        </w:rPr>
        <w:t>Uzbekistan</w:t>
      </w:r>
      <w:r>
        <w:rPr>
          <w:rFonts w:ascii="Calibri" w:hAnsi="Calibri"/>
          <w:sz w:val="22"/>
          <w:szCs w:val="22"/>
        </w:rPr>
        <w:t>, in common with other FSU countries,</w:t>
      </w:r>
      <w:r w:rsidRPr="0000217F">
        <w:rPr>
          <w:rFonts w:ascii="Calibri" w:hAnsi="Calibri"/>
          <w:sz w:val="22"/>
          <w:szCs w:val="22"/>
        </w:rPr>
        <w:t xml:space="preserve"> undertook a wide range </w:t>
      </w:r>
      <w:r>
        <w:rPr>
          <w:rFonts w:ascii="Calibri" w:hAnsi="Calibri"/>
          <w:sz w:val="22"/>
          <w:szCs w:val="22"/>
        </w:rPr>
        <w:t xml:space="preserve">of </w:t>
      </w:r>
      <w:r w:rsidRPr="0000217F">
        <w:rPr>
          <w:rFonts w:ascii="Calibri" w:hAnsi="Calibri"/>
          <w:sz w:val="22"/>
          <w:szCs w:val="22"/>
        </w:rPr>
        <w:t>trade</w:t>
      </w:r>
      <w:r>
        <w:rPr>
          <w:rFonts w:ascii="Calibri" w:hAnsi="Calibri"/>
          <w:sz w:val="22"/>
          <w:szCs w:val="22"/>
        </w:rPr>
        <w:t>,</w:t>
      </w:r>
      <w:r w:rsidRPr="0000217F">
        <w:rPr>
          <w:rFonts w:ascii="Calibri" w:hAnsi="Calibri"/>
          <w:sz w:val="22"/>
          <w:szCs w:val="22"/>
        </w:rPr>
        <w:t xml:space="preserve"> price liberalisation</w:t>
      </w:r>
      <w:r>
        <w:rPr>
          <w:rFonts w:ascii="Calibri" w:hAnsi="Calibri"/>
          <w:sz w:val="22"/>
          <w:szCs w:val="22"/>
        </w:rPr>
        <w:t xml:space="preserve"> and</w:t>
      </w:r>
      <w:r w:rsidRPr="0000217F">
        <w:rPr>
          <w:rFonts w:ascii="Calibri" w:hAnsi="Calibri"/>
          <w:sz w:val="22"/>
          <w:szCs w:val="22"/>
        </w:rPr>
        <w:t xml:space="preserve"> small-scale privatisation reforms </w:t>
      </w:r>
      <w:r>
        <w:rPr>
          <w:rFonts w:ascii="Calibri" w:hAnsi="Calibri"/>
          <w:sz w:val="22"/>
          <w:szCs w:val="22"/>
        </w:rPr>
        <w:t>after independence in 1991. However, the process s</w:t>
      </w:r>
      <w:r w:rsidRPr="0000217F">
        <w:rPr>
          <w:rFonts w:ascii="Calibri" w:hAnsi="Calibri"/>
          <w:sz w:val="22"/>
          <w:szCs w:val="22"/>
        </w:rPr>
        <w:t xml:space="preserve">talled in the late 1990s, </w:t>
      </w:r>
      <w:r>
        <w:rPr>
          <w:rFonts w:ascii="Calibri" w:hAnsi="Calibri"/>
          <w:sz w:val="22"/>
          <w:szCs w:val="22"/>
        </w:rPr>
        <w:t xml:space="preserve">and has </w:t>
      </w:r>
      <w:r w:rsidRPr="0000217F">
        <w:rPr>
          <w:rFonts w:ascii="Calibri" w:hAnsi="Calibri"/>
          <w:sz w:val="22"/>
          <w:szCs w:val="22"/>
        </w:rPr>
        <w:t>not so far extended to large-scale enterprise</w:t>
      </w:r>
      <w:r>
        <w:rPr>
          <w:rFonts w:ascii="Calibri" w:hAnsi="Calibri"/>
          <w:sz w:val="22"/>
          <w:szCs w:val="22"/>
        </w:rPr>
        <w:t>s</w:t>
      </w:r>
      <w:r w:rsidRPr="0000217F">
        <w:rPr>
          <w:rFonts w:ascii="Calibri" w:hAnsi="Calibri"/>
          <w:sz w:val="22"/>
          <w:szCs w:val="22"/>
        </w:rPr>
        <w:t xml:space="preserve"> </w:t>
      </w:r>
      <w:r>
        <w:rPr>
          <w:rFonts w:ascii="Calibri" w:hAnsi="Calibri"/>
          <w:sz w:val="22"/>
          <w:szCs w:val="22"/>
        </w:rPr>
        <w:t xml:space="preserve">or to </w:t>
      </w:r>
      <w:r w:rsidRPr="0000217F">
        <w:rPr>
          <w:rFonts w:ascii="Calibri" w:hAnsi="Calibri"/>
          <w:sz w:val="22"/>
          <w:szCs w:val="22"/>
        </w:rPr>
        <w:t>the banking sector</w:t>
      </w:r>
      <w:r>
        <w:rPr>
          <w:rFonts w:ascii="Calibri" w:hAnsi="Calibri"/>
          <w:sz w:val="22"/>
          <w:szCs w:val="22"/>
        </w:rPr>
        <w:t>;</w:t>
      </w:r>
      <w:r w:rsidRPr="0000217F">
        <w:rPr>
          <w:rFonts w:ascii="Calibri" w:hAnsi="Calibri"/>
          <w:sz w:val="22"/>
          <w:szCs w:val="22"/>
        </w:rPr>
        <w:t xml:space="preserve"> the </w:t>
      </w:r>
      <w:r>
        <w:rPr>
          <w:rFonts w:ascii="Calibri" w:hAnsi="Calibri"/>
          <w:sz w:val="22"/>
          <w:szCs w:val="22"/>
        </w:rPr>
        <w:t xml:space="preserve">latter </w:t>
      </w:r>
      <w:r w:rsidRPr="0000217F">
        <w:rPr>
          <w:rFonts w:ascii="Calibri" w:hAnsi="Calibri"/>
          <w:sz w:val="22"/>
          <w:szCs w:val="22"/>
        </w:rPr>
        <w:t xml:space="preserve">is still </w:t>
      </w:r>
      <w:r>
        <w:rPr>
          <w:rFonts w:ascii="Calibri" w:hAnsi="Calibri"/>
          <w:sz w:val="22"/>
          <w:szCs w:val="22"/>
        </w:rPr>
        <w:t xml:space="preserve">currently </w:t>
      </w:r>
      <w:r w:rsidRPr="0000217F">
        <w:rPr>
          <w:rFonts w:ascii="Calibri" w:hAnsi="Calibri"/>
          <w:sz w:val="22"/>
          <w:szCs w:val="22"/>
        </w:rPr>
        <w:t>dominated by state-owned banks.</w:t>
      </w:r>
      <w:r>
        <w:rPr>
          <w:rFonts w:ascii="Calibri" w:hAnsi="Calibri"/>
          <w:sz w:val="22"/>
          <w:szCs w:val="22"/>
        </w:rPr>
        <w:t xml:space="preserve"> P</w:t>
      </w:r>
      <w:r w:rsidRPr="0000217F">
        <w:rPr>
          <w:rFonts w:ascii="Calibri" w:hAnsi="Calibri"/>
          <w:sz w:val="22"/>
          <w:szCs w:val="22"/>
        </w:rPr>
        <w:t>olitical refor</w:t>
      </w:r>
      <w:r>
        <w:rPr>
          <w:rFonts w:ascii="Calibri" w:hAnsi="Calibri"/>
          <w:sz w:val="22"/>
          <w:szCs w:val="22"/>
        </w:rPr>
        <w:t xml:space="preserve">ms have made even less progress. </w:t>
      </w:r>
      <w:r w:rsidRPr="0000217F">
        <w:rPr>
          <w:rFonts w:ascii="Calibri" w:hAnsi="Calibri"/>
          <w:sz w:val="22"/>
          <w:szCs w:val="22"/>
        </w:rPr>
        <w:t>The ruling elite</w:t>
      </w:r>
      <w:r>
        <w:rPr>
          <w:rFonts w:ascii="Calibri" w:hAnsi="Calibri"/>
          <w:sz w:val="22"/>
          <w:szCs w:val="22"/>
        </w:rPr>
        <w:t xml:space="preserve"> of </w:t>
      </w:r>
      <w:r w:rsidRPr="0000217F">
        <w:rPr>
          <w:rFonts w:ascii="Calibri" w:hAnsi="Calibri"/>
          <w:sz w:val="22"/>
          <w:szCs w:val="22"/>
        </w:rPr>
        <w:t>the late 1980s</w:t>
      </w:r>
      <w:r>
        <w:rPr>
          <w:rFonts w:ascii="Calibri" w:hAnsi="Calibri"/>
          <w:sz w:val="22"/>
          <w:szCs w:val="22"/>
        </w:rPr>
        <w:t xml:space="preserve"> </w:t>
      </w:r>
      <w:r w:rsidRPr="0000217F">
        <w:rPr>
          <w:rFonts w:ascii="Calibri" w:hAnsi="Calibri"/>
          <w:sz w:val="22"/>
          <w:szCs w:val="22"/>
        </w:rPr>
        <w:t xml:space="preserve">has remained unchanged and unchallenged. </w:t>
      </w:r>
    </w:p>
    <w:p w:rsidR="00AA788D" w:rsidRPr="0000217F" w:rsidRDefault="00AA788D" w:rsidP="00BE31C3">
      <w:pPr>
        <w:pStyle w:val="BodyText"/>
        <w:tabs>
          <w:tab w:val="left" w:pos="2839"/>
        </w:tabs>
        <w:spacing w:line="480" w:lineRule="auto"/>
        <w:ind w:firstLine="357"/>
        <w:rPr>
          <w:rFonts w:ascii="Calibri" w:hAnsi="Calibri"/>
          <w:sz w:val="22"/>
          <w:szCs w:val="22"/>
        </w:rPr>
      </w:pPr>
      <w:r w:rsidRPr="0000217F">
        <w:rPr>
          <w:rFonts w:ascii="Calibri" w:hAnsi="Calibri"/>
          <w:sz w:val="22"/>
          <w:szCs w:val="22"/>
        </w:rPr>
        <w:lastRenderedPageBreak/>
        <w:t xml:space="preserve">As previous empirical studies suggest (La </w:t>
      </w:r>
      <w:proofErr w:type="spellStart"/>
      <w:r w:rsidRPr="0000217F">
        <w:rPr>
          <w:rFonts w:ascii="Calibri" w:hAnsi="Calibri"/>
          <w:sz w:val="22"/>
          <w:szCs w:val="22"/>
        </w:rPr>
        <w:t>Porta</w:t>
      </w:r>
      <w:proofErr w:type="spellEnd"/>
      <w:r>
        <w:rPr>
          <w:rFonts w:ascii="Calibri" w:hAnsi="Calibri"/>
          <w:sz w:val="22"/>
          <w:szCs w:val="22"/>
        </w:rPr>
        <w:t xml:space="preserve"> </w:t>
      </w:r>
      <w:r w:rsidRPr="0000217F">
        <w:rPr>
          <w:rFonts w:ascii="Calibri" w:hAnsi="Calibri"/>
          <w:i/>
          <w:sz w:val="22"/>
          <w:szCs w:val="22"/>
        </w:rPr>
        <w:t>et al</w:t>
      </w:r>
      <w:r w:rsidRPr="0000217F">
        <w:rPr>
          <w:rFonts w:ascii="Calibri" w:hAnsi="Calibri"/>
          <w:sz w:val="22"/>
          <w:szCs w:val="22"/>
        </w:rPr>
        <w:t xml:space="preserve">., 2002; </w:t>
      </w:r>
      <w:proofErr w:type="spellStart"/>
      <w:r w:rsidRPr="0000217F">
        <w:rPr>
          <w:rFonts w:ascii="Calibri" w:hAnsi="Calibri"/>
          <w:sz w:val="22"/>
          <w:szCs w:val="22"/>
        </w:rPr>
        <w:t>Faccio</w:t>
      </w:r>
      <w:proofErr w:type="spellEnd"/>
      <w:r w:rsidRPr="0000217F">
        <w:rPr>
          <w:rFonts w:ascii="Calibri" w:hAnsi="Calibri"/>
          <w:sz w:val="22"/>
          <w:szCs w:val="22"/>
        </w:rPr>
        <w:t xml:space="preserve">, 2006; </w:t>
      </w:r>
      <w:proofErr w:type="spellStart"/>
      <w:r w:rsidRPr="0000217F">
        <w:rPr>
          <w:rFonts w:ascii="Calibri" w:hAnsi="Calibri"/>
          <w:sz w:val="22"/>
          <w:szCs w:val="22"/>
        </w:rPr>
        <w:t>Faccio</w:t>
      </w:r>
      <w:proofErr w:type="spellEnd"/>
      <w:r>
        <w:rPr>
          <w:rFonts w:ascii="Calibri" w:hAnsi="Calibri"/>
          <w:sz w:val="22"/>
          <w:szCs w:val="22"/>
        </w:rPr>
        <w:t xml:space="preserve"> </w:t>
      </w:r>
      <w:r w:rsidRPr="0000217F">
        <w:rPr>
          <w:rFonts w:ascii="Calibri" w:hAnsi="Calibri"/>
          <w:i/>
          <w:sz w:val="22"/>
          <w:szCs w:val="22"/>
        </w:rPr>
        <w:t>et al.,</w:t>
      </w:r>
      <w:r>
        <w:rPr>
          <w:rFonts w:ascii="Calibri" w:hAnsi="Calibri"/>
          <w:sz w:val="22"/>
          <w:szCs w:val="22"/>
        </w:rPr>
        <w:t xml:space="preserve"> 2006</w:t>
      </w:r>
      <w:r w:rsidRPr="0000217F">
        <w:rPr>
          <w:rFonts w:ascii="Calibri" w:hAnsi="Calibri"/>
          <w:sz w:val="22"/>
          <w:szCs w:val="22"/>
        </w:rPr>
        <w:t>)</w:t>
      </w:r>
      <w:r>
        <w:rPr>
          <w:rFonts w:ascii="Calibri" w:hAnsi="Calibri"/>
          <w:sz w:val="22"/>
          <w:szCs w:val="22"/>
        </w:rPr>
        <w:t xml:space="preserve">, </w:t>
      </w:r>
      <w:r w:rsidRPr="0000217F">
        <w:rPr>
          <w:rFonts w:ascii="Calibri" w:hAnsi="Calibri"/>
          <w:sz w:val="22"/>
          <w:szCs w:val="22"/>
        </w:rPr>
        <w:t>under these circumstances</w:t>
      </w:r>
      <w:r>
        <w:rPr>
          <w:rFonts w:ascii="Calibri" w:hAnsi="Calibri"/>
          <w:sz w:val="22"/>
          <w:szCs w:val="22"/>
        </w:rPr>
        <w:t xml:space="preserve"> f</w:t>
      </w:r>
      <w:r w:rsidRPr="0000217F">
        <w:rPr>
          <w:rFonts w:ascii="Calibri" w:hAnsi="Calibri"/>
          <w:sz w:val="22"/>
          <w:szCs w:val="22"/>
        </w:rPr>
        <w:t>ormal sector lending decisions are likely to be influenced by political, rather than economic, factors</w:t>
      </w:r>
      <w:r>
        <w:rPr>
          <w:rFonts w:ascii="Calibri" w:hAnsi="Calibri"/>
          <w:sz w:val="22"/>
          <w:szCs w:val="22"/>
        </w:rPr>
        <w:t>,</w:t>
      </w:r>
      <w:r w:rsidRPr="0000217F">
        <w:rPr>
          <w:rFonts w:ascii="Calibri" w:hAnsi="Calibri"/>
          <w:sz w:val="22"/>
          <w:szCs w:val="22"/>
        </w:rPr>
        <w:t xml:space="preserve"> and </w:t>
      </w:r>
      <w:r>
        <w:rPr>
          <w:rFonts w:ascii="Calibri" w:hAnsi="Calibri"/>
          <w:sz w:val="22"/>
          <w:szCs w:val="22"/>
        </w:rPr>
        <w:t xml:space="preserve">mainly </w:t>
      </w:r>
      <w:r w:rsidRPr="0000217F">
        <w:rPr>
          <w:rFonts w:ascii="Calibri" w:hAnsi="Calibri"/>
          <w:sz w:val="22"/>
          <w:szCs w:val="22"/>
        </w:rPr>
        <w:t xml:space="preserve">benefit larger enterprises. </w:t>
      </w:r>
      <w:r>
        <w:rPr>
          <w:rFonts w:ascii="Calibri" w:hAnsi="Calibri"/>
          <w:sz w:val="22"/>
          <w:szCs w:val="22"/>
        </w:rPr>
        <w:t>For SMEs, however, the situation is less</w:t>
      </w:r>
      <w:r w:rsidRPr="00511189">
        <w:rPr>
          <w:rFonts w:ascii="Calibri" w:hAnsi="Calibri"/>
          <w:sz w:val="22"/>
          <w:szCs w:val="22"/>
        </w:rPr>
        <w:t xml:space="preserve"> clear</w:t>
      </w:r>
      <w:r>
        <w:rPr>
          <w:rFonts w:ascii="Calibri" w:hAnsi="Calibri"/>
          <w:sz w:val="22"/>
          <w:szCs w:val="22"/>
        </w:rPr>
        <w:t xml:space="preserve">: for them, particularly, </w:t>
      </w:r>
      <w:r w:rsidRPr="0000217F">
        <w:rPr>
          <w:rFonts w:ascii="Calibri" w:hAnsi="Calibri"/>
          <w:sz w:val="22"/>
          <w:szCs w:val="22"/>
        </w:rPr>
        <w:t>bank credit</w:t>
      </w:r>
      <w:r>
        <w:rPr>
          <w:rFonts w:ascii="Calibri" w:hAnsi="Calibri"/>
          <w:sz w:val="22"/>
          <w:szCs w:val="22"/>
        </w:rPr>
        <w:t xml:space="preserve"> is </w:t>
      </w:r>
      <w:r w:rsidRPr="0000217F">
        <w:rPr>
          <w:rFonts w:ascii="Calibri" w:hAnsi="Calibri"/>
          <w:sz w:val="22"/>
          <w:szCs w:val="22"/>
        </w:rPr>
        <w:t>one of the most important sources of external finance</w:t>
      </w:r>
      <w:r>
        <w:rPr>
          <w:rFonts w:ascii="Calibri" w:hAnsi="Calibri"/>
          <w:sz w:val="22"/>
          <w:szCs w:val="22"/>
        </w:rPr>
        <w:t xml:space="preserve">. Consequently, a </w:t>
      </w:r>
      <w:r w:rsidRPr="0000217F">
        <w:rPr>
          <w:rFonts w:ascii="Calibri" w:hAnsi="Calibri"/>
          <w:sz w:val="22"/>
          <w:szCs w:val="22"/>
        </w:rPr>
        <w:t>survey of SMEs from three regions in Uzbekistan</w:t>
      </w:r>
      <w:r>
        <w:rPr>
          <w:rFonts w:ascii="Calibri" w:hAnsi="Calibri"/>
          <w:sz w:val="22"/>
          <w:szCs w:val="22"/>
        </w:rPr>
        <w:t xml:space="preserve"> </w:t>
      </w:r>
      <w:r w:rsidRPr="00F02A61">
        <w:rPr>
          <w:rFonts w:ascii="Calibri" w:hAnsi="Calibri"/>
          <w:sz w:val="22"/>
          <w:szCs w:val="22"/>
        </w:rPr>
        <w:t>ha</w:t>
      </w:r>
      <w:r>
        <w:rPr>
          <w:rFonts w:ascii="Calibri" w:hAnsi="Calibri"/>
          <w:sz w:val="22"/>
          <w:szCs w:val="22"/>
        </w:rPr>
        <w:t>s been</w:t>
      </w:r>
      <w:r w:rsidRPr="00F02A61">
        <w:rPr>
          <w:rFonts w:ascii="Calibri" w:hAnsi="Calibri"/>
          <w:sz w:val="22"/>
          <w:szCs w:val="22"/>
        </w:rPr>
        <w:t xml:space="preserve"> conducted </w:t>
      </w:r>
      <w:r>
        <w:rPr>
          <w:rFonts w:ascii="Calibri" w:hAnsi="Calibri"/>
          <w:sz w:val="22"/>
          <w:szCs w:val="22"/>
        </w:rPr>
        <w:t xml:space="preserve">to assess </w:t>
      </w:r>
      <w:r w:rsidRPr="0000217F">
        <w:rPr>
          <w:rFonts w:ascii="Calibri" w:hAnsi="Calibri"/>
          <w:sz w:val="22"/>
          <w:szCs w:val="22"/>
        </w:rPr>
        <w:t xml:space="preserve">the </w:t>
      </w:r>
      <w:r>
        <w:rPr>
          <w:rFonts w:ascii="Calibri" w:hAnsi="Calibri"/>
          <w:sz w:val="22"/>
          <w:szCs w:val="22"/>
        </w:rPr>
        <w:t xml:space="preserve">influence </w:t>
      </w:r>
      <w:r w:rsidRPr="0000217F">
        <w:rPr>
          <w:rFonts w:ascii="Calibri" w:hAnsi="Calibri"/>
          <w:sz w:val="22"/>
          <w:szCs w:val="22"/>
        </w:rPr>
        <w:t xml:space="preserve">of various factors </w:t>
      </w:r>
      <w:r>
        <w:rPr>
          <w:rFonts w:ascii="Calibri" w:hAnsi="Calibri"/>
          <w:sz w:val="22"/>
          <w:szCs w:val="22"/>
        </w:rPr>
        <w:t xml:space="preserve">on their </w:t>
      </w:r>
      <w:r w:rsidRPr="0000217F">
        <w:rPr>
          <w:rFonts w:ascii="Calibri" w:hAnsi="Calibri"/>
          <w:sz w:val="22"/>
          <w:szCs w:val="22"/>
        </w:rPr>
        <w:t>access to formal credit.</w:t>
      </w:r>
    </w:p>
    <w:p w:rsidR="00AA788D" w:rsidRDefault="00AA788D" w:rsidP="008C369F">
      <w:pPr>
        <w:pStyle w:val="BodyText"/>
        <w:tabs>
          <w:tab w:val="left" w:pos="2839"/>
        </w:tabs>
        <w:spacing w:line="480" w:lineRule="auto"/>
        <w:ind w:firstLine="357"/>
        <w:rPr>
          <w:rFonts w:ascii="Calibri" w:hAnsi="Calibri"/>
          <w:sz w:val="22"/>
          <w:szCs w:val="22"/>
        </w:rPr>
      </w:pPr>
      <w:r w:rsidRPr="0000217F">
        <w:rPr>
          <w:rFonts w:ascii="Calibri" w:hAnsi="Calibri"/>
          <w:sz w:val="22"/>
          <w:szCs w:val="22"/>
        </w:rPr>
        <w:t xml:space="preserve">The study is organised as follows. </w:t>
      </w:r>
      <w:r>
        <w:rPr>
          <w:rFonts w:ascii="Calibri" w:hAnsi="Calibri"/>
          <w:sz w:val="22"/>
          <w:szCs w:val="22"/>
        </w:rPr>
        <w:t>T</w:t>
      </w:r>
      <w:r w:rsidRPr="0000217F">
        <w:rPr>
          <w:rFonts w:ascii="Calibri" w:hAnsi="Calibri"/>
          <w:sz w:val="22"/>
          <w:szCs w:val="22"/>
        </w:rPr>
        <w:t>he next section brief</w:t>
      </w:r>
      <w:r>
        <w:rPr>
          <w:rFonts w:ascii="Calibri" w:hAnsi="Calibri"/>
          <w:sz w:val="22"/>
          <w:szCs w:val="22"/>
        </w:rPr>
        <w:t>ly</w:t>
      </w:r>
      <w:r w:rsidRPr="0000217F">
        <w:rPr>
          <w:rFonts w:ascii="Calibri" w:hAnsi="Calibri"/>
          <w:sz w:val="22"/>
          <w:szCs w:val="22"/>
        </w:rPr>
        <w:t xml:space="preserve"> review</w:t>
      </w:r>
      <w:r>
        <w:rPr>
          <w:rFonts w:ascii="Calibri" w:hAnsi="Calibri"/>
          <w:sz w:val="22"/>
          <w:szCs w:val="22"/>
        </w:rPr>
        <w:t xml:space="preserve">s and discusses </w:t>
      </w:r>
      <w:r w:rsidRPr="0000217F">
        <w:rPr>
          <w:rFonts w:ascii="Calibri" w:hAnsi="Calibri"/>
          <w:sz w:val="22"/>
          <w:szCs w:val="22"/>
        </w:rPr>
        <w:t xml:space="preserve">relevant literature. </w:t>
      </w:r>
      <w:r>
        <w:rPr>
          <w:rFonts w:ascii="Calibri" w:hAnsi="Calibri"/>
          <w:sz w:val="22"/>
          <w:szCs w:val="22"/>
        </w:rPr>
        <w:t>T</w:t>
      </w:r>
      <w:r w:rsidRPr="0000217F">
        <w:rPr>
          <w:rFonts w:ascii="Calibri" w:hAnsi="Calibri"/>
          <w:sz w:val="22"/>
          <w:szCs w:val="22"/>
        </w:rPr>
        <w:t>he following section provide</w:t>
      </w:r>
      <w:r>
        <w:rPr>
          <w:rFonts w:ascii="Calibri" w:hAnsi="Calibri"/>
          <w:sz w:val="22"/>
          <w:szCs w:val="22"/>
        </w:rPr>
        <w:t xml:space="preserve">s </w:t>
      </w:r>
      <w:r w:rsidRPr="0000217F">
        <w:rPr>
          <w:rFonts w:ascii="Calibri" w:hAnsi="Calibri"/>
          <w:sz w:val="22"/>
          <w:szCs w:val="22"/>
        </w:rPr>
        <w:t xml:space="preserve">some contextual information about reforms in Uzbekistan’s banking and enterprise sectors, </w:t>
      </w:r>
      <w:r>
        <w:rPr>
          <w:rFonts w:ascii="Calibri" w:hAnsi="Calibri"/>
          <w:sz w:val="22"/>
          <w:szCs w:val="22"/>
        </w:rPr>
        <w:t xml:space="preserve">and </w:t>
      </w:r>
      <w:r w:rsidRPr="0000217F">
        <w:rPr>
          <w:rFonts w:ascii="Calibri" w:hAnsi="Calibri"/>
          <w:sz w:val="22"/>
          <w:szCs w:val="22"/>
        </w:rPr>
        <w:t>also highlight</w:t>
      </w:r>
      <w:r>
        <w:rPr>
          <w:rFonts w:ascii="Calibri" w:hAnsi="Calibri"/>
          <w:sz w:val="22"/>
          <w:szCs w:val="22"/>
        </w:rPr>
        <w:t>s</w:t>
      </w:r>
      <w:r w:rsidRPr="0000217F">
        <w:rPr>
          <w:rFonts w:ascii="Calibri" w:hAnsi="Calibri"/>
          <w:sz w:val="22"/>
          <w:szCs w:val="22"/>
        </w:rPr>
        <w:t xml:space="preserve"> country-specific problems in the financial sector</w:t>
      </w:r>
      <w:r>
        <w:rPr>
          <w:rFonts w:ascii="Calibri" w:hAnsi="Calibri"/>
          <w:sz w:val="22"/>
          <w:szCs w:val="22"/>
        </w:rPr>
        <w:t>, particularly those affecting</w:t>
      </w:r>
      <w:r w:rsidRPr="0000217F">
        <w:rPr>
          <w:rFonts w:ascii="Calibri" w:hAnsi="Calibri"/>
          <w:sz w:val="22"/>
          <w:szCs w:val="22"/>
        </w:rPr>
        <w:t xml:space="preserve"> payment system</w:t>
      </w:r>
      <w:r>
        <w:rPr>
          <w:rFonts w:ascii="Calibri" w:hAnsi="Calibri"/>
          <w:sz w:val="22"/>
          <w:szCs w:val="22"/>
        </w:rPr>
        <w:t>s</w:t>
      </w:r>
      <w:r w:rsidRPr="0000217F">
        <w:rPr>
          <w:rFonts w:ascii="Calibri" w:hAnsi="Calibri"/>
          <w:sz w:val="22"/>
          <w:szCs w:val="22"/>
        </w:rPr>
        <w:t xml:space="preserve">. Section </w:t>
      </w:r>
      <w:r>
        <w:rPr>
          <w:rFonts w:ascii="Calibri" w:hAnsi="Calibri"/>
          <w:sz w:val="22"/>
          <w:szCs w:val="22"/>
        </w:rPr>
        <w:t xml:space="preserve">4 </w:t>
      </w:r>
      <w:r w:rsidRPr="0000217F">
        <w:rPr>
          <w:rFonts w:ascii="Calibri" w:hAnsi="Calibri"/>
          <w:sz w:val="22"/>
          <w:szCs w:val="22"/>
        </w:rPr>
        <w:t>describe</w:t>
      </w:r>
      <w:r>
        <w:rPr>
          <w:rFonts w:ascii="Calibri" w:hAnsi="Calibri"/>
          <w:sz w:val="22"/>
          <w:szCs w:val="22"/>
        </w:rPr>
        <w:t>s</w:t>
      </w:r>
      <w:r w:rsidRPr="0000217F">
        <w:rPr>
          <w:rFonts w:ascii="Calibri" w:hAnsi="Calibri"/>
          <w:sz w:val="22"/>
          <w:szCs w:val="22"/>
        </w:rPr>
        <w:t xml:space="preserve"> the data used in this study and present</w:t>
      </w:r>
      <w:r>
        <w:rPr>
          <w:rFonts w:ascii="Calibri" w:hAnsi="Calibri"/>
          <w:sz w:val="22"/>
          <w:szCs w:val="22"/>
        </w:rPr>
        <w:t>s</w:t>
      </w:r>
      <w:r w:rsidRPr="0000217F">
        <w:rPr>
          <w:rFonts w:ascii="Calibri" w:hAnsi="Calibri"/>
          <w:sz w:val="22"/>
          <w:szCs w:val="22"/>
        </w:rPr>
        <w:t xml:space="preserve"> summary statistics and other stylised facts that emerge from the survey. Section 5 present</w:t>
      </w:r>
      <w:r>
        <w:rPr>
          <w:rFonts w:ascii="Calibri" w:hAnsi="Calibri"/>
          <w:sz w:val="22"/>
          <w:szCs w:val="22"/>
        </w:rPr>
        <w:t xml:space="preserve">s the </w:t>
      </w:r>
      <w:r w:rsidRPr="0000217F">
        <w:rPr>
          <w:rFonts w:ascii="Calibri" w:hAnsi="Calibri"/>
          <w:sz w:val="22"/>
          <w:szCs w:val="22"/>
        </w:rPr>
        <w:t>estimation results and main findings</w:t>
      </w:r>
      <w:r>
        <w:rPr>
          <w:rFonts w:ascii="Calibri" w:hAnsi="Calibri"/>
          <w:sz w:val="22"/>
          <w:szCs w:val="22"/>
        </w:rPr>
        <w:t xml:space="preserve">, and a discussion </w:t>
      </w:r>
      <w:r w:rsidRPr="0000217F">
        <w:rPr>
          <w:rFonts w:ascii="Calibri" w:hAnsi="Calibri"/>
          <w:sz w:val="22"/>
          <w:szCs w:val="22"/>
        </w:rPr>
        <w:t xml:space="preserve">and conclusions </w:t>
      </w:r>
      <w:r>
        <w:rPr>
          <w:rFonts w:ascii="Calibri" w:hAnsi="Calibri"/>
          <w:sz w:val="22"/>
          <w:szCs w:val="22"/>
        </w:rPr>
        <w:t xml:space="preserve">are </w:t>
      </w:r>
      <w:r w:rsidRPr="0000217F">
        <w:rPr>
          <w:rFonts w:ascii="Calibri" w:hAnsi="Calibri"/>
          <w:sz w:val="22"/>
          <w:szCs w:val="22"/>
        </w:rPr>
        <w:t>provided in Section 6.</w:t>
      </w:r>
    </w:p>
    <w:p w:rsidR="00AA788D" w:rsidRDefault="00AA788D" w:rsidP="008C369F">
      <w:pPr>
        <w:spacing w:line="480" w:lineRule="auto"/>
        <w:jc w:val="center"/>
        <w:rPr>
          <w:rFonts w:cs="Calibri"/>
          <w:b/>
        </w:rPr>
      </w:pPr>
      <w:r w:rsidRPr="0000217F">
        <w:rPr>
          <w:rFonts w:cs="Calibri"/>
          <w:b/>
        </w:rPr>
        <w:t xml:space="preserve">Institutions, Interpersonal Connections, Organisational Failure, and </w:t>
      </w:r>
    </w:p>
    <w:p w:rsidR="00AA788D" w:rsidRPr="008C369F" w:rsidRDefault="00AA788D" w:rsidP="008C369F">
      <w:pPr>
        <w:spacing w:line="480" w:lineRule="auto"/>
        <w:jc w:val="center"/>
        <w:rPr>
          <w:rFonts w:cs="Calibri"/>
          <w:b/>
        </w:rPr>
      </w:pPr>
      <w:r w:rsidRPr="0000217F">
        <w:rPr>
          <w:rFonts w:cs="Calibri"/>
          <w:b/>
        </w:rPr>
        <w:t>Access to Formal Finance</w:t>
      </w:r>
    </w:p>
    <w:p w:rsidR="00AA788D" w:rsidRDefault="00AA788D" w:rsidP="00BE31C3">
      <w:pPr>
        <w:spacing w:line="480" w:lineRule="auto"/>
        <w:ind w:firstLine="357"/>
        <w:rPr>
          <w:rFonts w:cs="Calibri"/>
        </w:rPr>
      </w:pPr>
      <w:r w:rsidRPr="0000217F">
        <w:rPr>
          <w:rFonts w:cs="Calibri"/>
        </w:rPr>
        <w:t>The role and importance of institutions</w:t>
      </w:r>
      <w:r>
        <w:rPr>
          <w:rFonts w:cs="Calibri"/>
        </w:rPr>
        <w:t xml:space="preserve"> </w:t>
      </w:r>
      <w:r w:rsidRPr="0000217F">
        <w:rPr>
          <w:rFonts w:cs="Calibri"/>
        </w:rPr>
        <w:t>in promoting economic growth is widely recognised</w:t>
      </w:r>
      <w:r>
        <w:rPr>
          <w:rFonts w:cs="Calibri"/>
        </w:rPr>
        <w:t xml:space="preserve"> (North, 1990, p.</w:t>
      </w:r>
      <w:r w:rsidRPr="0000217F">
        <w:rPr>
          <w:rFonts w:cs="Calibri"/>
        </w:rPr>
        <w:t>3): by creating incentive mechanisms in human exchange, they shape economic outcomes. Recent empirical studies show that long-run per-capita income differences across developed and developing countries can be explained in terms of the type</w:t>
      </w:r>
      <w:r>
        <w:rPr>
          <w:rFonts w:cs="Calibri"/>
        </w:rPr>
        <w:t>,</w:t>
      </w:r>
      <w:r w:rsidRPr="0000217F">
        <w:rPr>
          <w:rFonts w:cs="Calibri"/>
        </w:rPr>
        <w:t xml:space="preserve"> and quality</w:t>
      </w:r>
      <w:r>
        <w:rPr>
          <w:rFonts w:cs="Calibri"/>
        </w:rPr>
        <w:t>,</w:t>
      </w:r>
      <w:r w:rsidRPr="0000217F">
        <w:rPr>
          <w:rFonts w:cs="Calibri"/>
        </w:rPr>
        <w:t xml:space="preserve"> of economic institutions: better protection of private property rights </w:t>
      </w:r>
      <w:r>
        <w:rPr>
          <w:rFonts w:cs="Calibri"/>
        </w:rPr>
        <w:t xml:space="preserve">encourages </w:t>
      </w:r>
      <w:r w:rsidRPr="0000217F">
        <w:rPr>
          <w:rFonts w:cs="Calibri"/>
        </w:rPr>
        <w:t>investment in human and physical capital (Hall and Jones, 1999</w:t>
      </w:r>
      <w:r>
        <w:rPr>
          <w:rFonts w:cs="Calibri"/>
        </w:rPr>
        <w:t xml:space="preserve">; </w:t>
      </w:r>
      <w:proofErr w:type="spellStart"/>
      <w:r w:rsidRPr="0000217F">
        <w:rPr>
          <w:rFonts w:cs="Calibri"/>
        </w:rPr>
        <w:t>Acemoglu</w:t>
      </w:r>
      <w:proofErr w:type="spellEnd"/>
      <w:r w:rsidRPr="0000217F">
        <w:rPr>
          <w:rFonts w:cs="Calibri"/>
        </w:rPr>
        <w:t xml:space="preserve"> </w:t>
      </w:r>
      <w:r w:rsidRPr="0000217F">
        <w:rPr>
          <w:rFonts w:cs="Calibri"/>
          <w:i/>
        </w:rPr>
        <w:t>et al.</w:t>
      </w:r>
      <w:r w:rsidRPr="0000217F">
        <w:rPr>
          <w:rFonts w:cs="Calibri"/>
        </w:rPr>
        <w:t>, 2005).</w:t>
      </w:r>
      <w:r>
        <w:rPr>
          <w:rFonts w:cs="Calibri"/>
        </w:rPr>
        <w:t xml:space="preserve"> While </w:t>
      </w:r>
      <w:r w:rsidRPr="0000217F">
        <w:rPr>
          <w:rFonts w:cs="Calibri"/>
        </w:rPr>
        <w:t xml:space="preserve">it is difficult to </w:t>
      </w:r>
      <w:r w:rsidRPr="00F06698">
        <w:rPr>
          <w:rFonts w:cs="Calibri"/>
        </w:rPr>
        <w:t xml:space="preserve">precisely </w:t>
      </w:r>
      <w:r w:rsidRPr="0000217F">
        <w:rPr>
          <w:rFonts w:cs="Calibri"/>
        </w:rPr>
        <w:t xml:space="preserve">define and </w:t>
      </w:r>
      <w:r w:rsidRPr="00F06698">
        <w:rPr>
          <w:rFonts w:cs="Calibri"/>
        </w:rPr>
        <w:t xml:space="preserve">successfully </w:t>
      </w:r>
      <w:r>
        <w:rPr>
          <w:rFonts w:cs="Calibri"/>
        </w:rPr>
        <w:t>design appropriate and effective</w:t>
      </w:r>
      <w:r w:rsidRPr="0000217F">
        <w:rPr>
          <w:rFonts w:cs="Calibri"/>
        </w:rPr>
        <w:t xml:space="preserve"> pro-growth institutions</w:t>
      </w:r>
      <w:r>
        <w:rPr>
          <w:rFonts w:cs="Calibri"/>
        </w:rPr>
        <w:t xml:space="preserve"> (</w:t>
      </w:r>
      <w:r w:rsidRPr="0000217F">
        <w:rPr>
          <w:rFonts w:cs="Calibri"/>
        </w:rPr>
        <w:t>as recent, and still ongoing, economic transformation in post-communist economies shows</w:t>
      </w:r>
      <w:r>
        <w:rPr>
          <w:rFonts w:cs="Calibri"/>
        </w:rPr>
        <w:t>)</w:t>
      </w:r>
      <w:r w:rsidRPr="0000217F">
        <w:rPr>
          <w:rFonts w:cs="Calibri"/>
        </w:rPr>
        <w:t>, it is also widely accepted that, in market economies, financial development is closely correlated with economic growth (</w:t>
      </w:r>
      <w:proofErr w:type="spellStart"/>
      <w:r w:rsidRPr="0000217F">
        <w:rPr>
          <w:rFonts w:cs="Calibri"/>
        </w:rPr>
        <w:t>Demirguc-Kunt</w:t>
      </w:r>
      <w:proofErr w:type="spellEnd"/>
      <w:r w:rsidRPr="0000217F">
        <w:rPr>
          <w:rFonts w:cs="Calibri"/>
        </w:rPr>
        <w:t xml:space="preserve"> and </w:t>
      </w:r>
      <w:proofErr w:type="spellStart"/>
      <w:r w:rsidRPr="0000217F">
        <w:rPr>
          <w:rFonts w:cs="Calibri"/>
        </w:rPr>
        <w:t>Maksimovic</w:t>
      </w:r>
      <w:proofErr w:type="spellEnd"/>
      <w:r w:rsidRPr="0000217F">
        <w:rPr>
          <w:rFonts w:cs="Calibri"/>
        </w:rPr>
        <w:t>, 1998; Levine, 2005)</w:t>
      </w:r>
      <w:r>
        <w:rPr>
          <w:rFonts w:cs="Calibri"/>
        </w:rPr>
        <w:t>.</w:t>
      </w:r>
      <w:r w:rsidRPr="0000217F">
        <w:rPr>
          <w:rFonts w:cs="Calibri"/>
        </w:rPr>
        <w:t xml:space="preserve"> The strength of this correlation depends on </w:t>
      </w:r>
      <w:r w:rsidRPr="0000217F">
        <w:rPr>
          <w:rFonts w:cs="Calibri"/>
        </w:rPr>
        <w:lastRenderedPageBreak/>
        <w:t>underlying institutional differences</w:t>
      </w:r>
      <w:r>
        <w:rPr>
          <w:rFonts w:cs="Calibri"/>
        </w:rPr>
        <w:t>,</w:t>
      </w:r>
      <w:r w:rsidRPr="0000217F">
        <w:rPr>
          <w:rFonts w:cs="Calibri"/>
        </w:rPr>
        <w:t xml:space="preserve"> such as the effectiveness of contract enforcements and creditor protection laws (La </w:t>
      </w:r>
      <w:proofErr w:type="spellStart"/>
      <w:r w:rsidRPr="0000217F">
        <w:rPr>
          <w:rFonts w:cs="Calibri"/>
        </w:rPr>
        <w:t>Porta</w:t>
      </w:r>
      <w:proofErr w:type="spellEnd"/>
      <w:r>
        <w:rPr>
          <w:rFonts w:cs="Calibri"/>
        </w:rPr>
        <w:t xml:space="preserve"> </w:t>
      </w:r>
      <w:r w:rsidRPr="0000217F">
        <w:rPr>
          <w:rFonts w:cs="Calibri"/>
          <w:i/>
        </w:rPr>
        <w:t xml:space="preserve">et al., </w:t>
      </w:r>
      <w:r w:rsidRPr="0000217F">
        <w:rPr>
          <w:rFonts w:cs="Calibri"/>
        </w:rPr>
        <w:t xml:space="preserve">1998). </w:t>
      </w:r>
    </w:p>
    <w:p w:rsidR="00AA788D" w:rsidRPr="0000217F" w:rsidRDefault="00AA788D" w:rsidP="00BE31C3">
      <w:pPr>
        <w:spacing w:line="480" w:lineRule="auto"/>
        <w:ind w:firstLine="357"/>
        <w:rPr>
          <w:rFonts w:cs="Calibri"/>
        </w:rPr>
      </w:pPr>
      <w:r>
        <w:rPr>
          <w:rFonts w:cs="Calibri"/>
        </w:rPr>
        <w:t>E</w:t>
      </w:r>
      <w:r w:rsidRPr="0000217F">
        <w:rPr>
          <w:rFonts w:cs="Calibri"/>
        </w:rPr>
        <w:t xml:space="preserve">arlier studies in this area </w:t>
      </w:r>
      <w:r>
        <w:rPr>
          <w:rFonts w:cs="Calibri"/>
        </w:rPr>
        <w:t xml:space="preserve">have </w:t>
      </w:r>
      <w:r w:rsidRPr="0000217F">
        <w:rPr>
          <w:rFonts w:cs="Calibri"/>
        </w:rPr>
        <w:t xml:space="preserve">focused </w:t>
      </w:r>
      <w:r>
        <w:rPr>
          <w:rFonts w:cs="Calibri"/>
        </w:rPr>
        <w:t xml:space="preserve">mostly </w:t>
      </w:r>
      <w:r w:rsidRPr="0000217F">
        <w:rPr>
          <w:rFonts w:cs="Calibri"/>
        </w:rPr>
        <w:t>on aggregate size or ‘depth’ of the financial system rather than on its breadth (</w:t>
      </w:r>
      <w:r w:rsidRPr="0000217F">
        <w:t xml:space="preserve">Beck and </w:t>
      </w:r>
      <w:proofErr w:type="spellStart"/>
      <w:r w:rsidRPr="0000217F">
        <w:t>Demirguc-Kunt</w:t>
      </w:r>
      <w:proofErr w:type="spellEnd"/>
      <w:r w:rsidRPr="0000217F">
        <w:t>, 2008</w:t>
      </w:r>
      <w:r w:rsidRPr="0000217F">
        <w:rPr>
          <w:rFonts w:cs="Calibri"/>
        </w:rPr>
        <w:t>)</w:t>
      </w:r>
      <w:r>
        <w:rPr>
          <w:rFonts w:cs="Calibri"/>
        </w:rPr>
        <w:t>, with the</w:t>
      </w:r>
      <w:r w:rsidRPr="0000217F">
        <w:rPr>
          <w:rFonts w:cs="Calibri"/>
        </w:rPr>
        <w:t xml:space="preserve"> result</w:t>
      </w:r>
      <w:r>
        <w:rPr>
          <w:rFonts w:cs="Calibri"/>
        </w:rPr>
        <w:t xml:space="preserve">ing </w:t>
      </w:r>
      <w:r w:rsidRPr="0000217F">
        <w:rPr>
          <w:rFonts w:cs="Calibri"/>
        </w:rPr>
        <w:t xml:space="preserve">tendency to treat the aggregate measures of financial depth as </w:t>
      </w:r>
      <w:r>
        <w:rPr>
          <w:rFonts w:cs="Calibri"/>
        </w:rPr>
        <w:t xml:space="preserve">equivalent to the </w:t>
      </w:r>
      <w:r w:rsidRPr="0000217F">
        <w:rPr>
          <w:rFonts w:cs="Calibri"/>
        </w:rPr>
        <w:t xml:space="preserve">quality of financial development. </w:t>
      </w:r>
      <w:r>
        <w:rPr>
          <w:rFonts w:cs="Calibri"/>
        </w:rPr>
        <w:t xml:space="preserve">In fact, </w:t>
      </w:r>
      <w:r w:rsidRPr="0000217F">
        <w:rPr>
          <w:rFonts w:cs="Calibri"/>
        </w:rPr>
        <w:t>breadth and outreach</w:t>
      </w:r>
      <w:r>
        <w:rPr>
          <w:rFonts w:cs="Calibri"/>
        </w:rPr>
        <w:t xml:space="preserve">, as well as </w:t>
      </w:r>
      <w:r w:rsidRPr="0000217F">
        <w:rPr>
          <w:rFonts w:cs="Calibri"/>
        </w:rPr>
        <w:t>depth</w:t>
      </w:r>
      <w:r>
        <w:rPr>
          <w:rFonts w:cs="Calibri"/>
        </w:rPr>
        <w:t>,</w:t>
      </w:r>
      <w:r w:rsidRPr="0000217F">
        <w:rPr>
          <w:rFonts w:cs="Calibri"/>
        </w:rPr>
        <w:t xml:space="preserve"> determine the quality of the financial system. While more developed financial systems generally offer better access to financial services, this is not always the case</w:t>
      </w:r>
      <w:r w:rsidRPr="00AC0AF9">
        <w:t xml:space="preserve"> (</w:t>
      </w:r>
      <w:proofErr w:type="spellStart"/>
      <w:r w:rsidRPr="00AC0AF9">
        <w:t>Claessens</w:t>
      </w:r>
      <w:proofErr w:type="spellEnd"/>
      <w:r>
        <w:t xml:space="preserve">, 2006); </w:t>
      </w:r>
      <w:r w:rsidRPr="0000217F">
        <w:rPr>
          <w:rFonts w:cs="Calibri"/>
        </w:rPr>
        <w:t xml:space="preserve">commonly used quantitative aggregate measures of financial deepening </w:t>
      </w:r>
      <w:r>
        <w:rPr>
          <w:rFonts w:cs="Calibri"/>
        </w:rPr>
        <w:t>(</w:t>
      </w:r>
      <w:r w:rsidRPr="0000217F">
        <w:rPr>
          <w:rFonts w:cs="Calibri"/>
        </w:rPr>
        <w:t xml:space="preserve">such as broad money, private sector credits, </w:t>
      </w:r>
      <w:r>
        <w:rPr>
          <w:rFonts w:cs="Calibri"/>
        </w:rPr>
        <w:t xml:space="preserve">or </w:t>
      </w:r>
      <w:r w:rsidRPr="0000217F">
        <w:rPr>
          <w:rFonts w:cs="Calibri"/>
        </w:rPr>
        <w:t>banking sector assets</w:t>
      </w:r>
      <w:r>
        <w:rPr>
          <w:rFonts w:cs="Calibri"/>
        </w:rPr>
        <w:t>)</w:t>
      </w:r>
      <w:r w:rsidRPr="0000217F">
        <w:rPr>
          <w:rFonts w:cs="Calibri"/>
        </w:rPr>
        <w:t xml:space="preserve"> provide </w:t>
      </w:r>
      <w:r>
        <w:rPr>
          <w:rFonts w:cs="Calibri"/>
        </w:rPr>
        <w:t xml:space="preserve">insufficient </w:t>
      </w:r>
      <w:r w:rsidRPr="0000217F">
        <w:rPr>
          <w:rFonts w:cs="Calibri"/>
        </w:rPr>
        <w:t>information about breadth and quality</w:t>
      </w:r>
      <w:r>
        <w:rPr>
          <w:rFonts w:cs="Calibri"/>
        </w:rPr>
        <w:t xml:space="preserve">, and, for example, neglect the </w:t>
      </w:r>
      <w:r w:rsidRPr="0000217F">
        <w:rPr>
          <w:rFonts w:cs="Calibri"/>
        </w:rPr>
        <w:t>proportion of economically active entities responsible for utilisation of available financial services.</w:t>
      </w:r>
      <w:r>
        <w:rPr>
          <w:rFonts w:cs="Calibri"/>
        </w:rPr>
        <w:t xml:space="preserve"> Only more recently has </w:t>
      </w:r>
      <w:r w:rsidRPr="00E00695">
        <w:rPr>
          <w:rFonts w:cs="Calibri"/>
        </w:rPr>
        <w:t xml:space="preserve">research </w:t>
      </w:r>
      <w:r>
        <w:rPr>
          <w:rFonts w:cs="Calibri"/>
        </w:rPr>
        <w:t>attention shifted</w:t>
      </w:r>
      <w:r w:rsidRPr="0000217F">
        <w:rPr>
          <w:rFonts w:cs="Calibri"/>
        </w:rPr>
        <w:t xml:space="preserve"> towards questions of financial access and financial inclusion</w:t>
      </w:r>
      <w:r>
        <w:rPr>
          <w:rFonts w:cs="Calibri"/>
        </w:rPr>
        <w:t xml:space="preserve">, in terms of how easily </w:t>
      </w:r>
      <w:r w:rsidRPr="0000217F">
        <w:rPr>
          <w:rFonts w:cs="Calibri"/>
        </w:rPr>
        <w:t xml:space="preserve">firms and households can take advantage of </w:t>
      </w:r>
      <w:r w:rsidRPr="00E00695">
        <w:rPr>
          <w:rFonts w:cs="Calibri"/>
        </w:rPr>
        <w:t xml:space="preserve">available </w:t>
      </w:r>
      <w:r w:rsidRPr="0000217F">
        <w:rPr>
          <w:rFonts w:cs="Calibri"/>
        </w:rPr>
        <w:t xml:space="preserve">formal financial services (Beck and </w:t>
      </w:r>
      <w:proofErr w:type="spellStart"/>
      <w:r w:rsidRPr="0000217F">
        <w:rPr>
          <w:rFonts w:cs="Calibri"/>
        </w:rPr>
        <w:t>Demirguc-Kunt</w:t>
      </w:r>
      <w:proofErr w:type="spellEnd"/>
      <w:r w:rsidRPr="0000217F">
        <w:rPr>
          <w:rFonts w:cs="Calibri"/>
        </w:rPr>
        <w:t xml:space="preserve">, 2008, p. 383). </w:t>
      </w:r>
      <w:r>
        <w:rPr>
          <w:rFonts w:cs="Calibri"/>
        </w:rPr>
        <w:t xml:space="preserve">While </w:t>
      </w:r>
      <w:r w:rsidRPr="0000217F">
        <w:rPr>
          <w:rFonts w:cs="Calibri"/>
        </w:rPr>
        <w:t>studies</w:t>
      </w:r>
      <w:r>
        <w:rPr>
          <w:rFonts w:cs="Calibri"/>
        </w:rPr>
        <w:t xml:space="preserve"> of this additional dimension </w:t>
      </w:r>
      <w:r w:rsidRPr="0000217F">
        <w:rPr>
          <w:rFonts w:cs="Calibri"/>
        </w:rPr>
        <w:t xml:space="preserve">have </w:t>
      </w:r>
      <w:r>
        <w:rPr>
          <w:rFonts w:cs="Calibri"/>
        </w:rPr>
        <w:t xml:space="preserve">proliferated </w:t>
      </w:r>
      <w:r w:rsidRPr="0000217F">
        <w:rPr>
          <w:rFonts w:cs="Calibri"/>
        </w:rPr>
        <w:t>in a short period of time</w:t>
      </w:r>
      <w:r>
        <w:rPr>
          <w:rFonts w:cs="Calibri"/>
        </w:rPr>
        <w:t xml:space="preserve"> </w:t>
      </w:r>
      <w:r w:rsidRPr="0000217F">
        <w:t>(</w:t>
      </w:r>
      <w:proofErr w:type="spellStart"/>
      <w:r w:rsidRPr="0000217F">
        <w:t>Ayyagari</w:t>
      </w:r>
      <w:proofErr w:type="spellEnd"/>
      <w:r>
        <w:t xml:space="preserve"> </w:t>
      </w:r>
      <w:r w:rsidRPr="0000217F">
        <w:rPr>
          <w:i/>
        </w:rPr>
        <w:t xml:space="preserve">et al., </w:t>
      </w:r>
      <w:r w:rsidRPr="0000217F">
        <w:t xml:space="preserve">2008; Beck </w:t>
      </w:r>
      <w:r w:rsidRPr="0000217F">
        <w:rPr>
          <w:i/>
        </w:rPr>
        <w:t xml:space="preserve">et al., </w:t>
      </w:r>
      <w:r w:rsidRPr="0000217F">
        <w:t>2008</w:t>
      </w:r>
      <w:r w:rsidRPr="0000217F">
        <w:rPr>
          <w:rFonts w:cs="Calibri"/>
          <w:bCs/>
        </w:rPr>
        <w:t xml:space="preserve"> among others</w:t>
      </w:r>
      <w:r w:rsidRPr="0000217F">
        <w:rPr>
          <w:rFonts w:cs="Calibri"/>
        </w:rPr>
        <w:t xml:space="preserve">), </w:t>
      </w:r>
      <w:r>
        <w:rPr>
          <w:rFonts w:cs="Calibri"/>
        </w:rPr>
        <w:t xml:space="preserve">there are few </w:t>
      </w:r>
      <w:r w:rsidRPr="0000217F">
        <w:rPr>
          <w:rFonts w:cs="Calibri"/>
        </w:rPr>
        <w:t>country-level case</w:t>
      </w:r>
      <w:r>
        <w:rPr>
          <w:rFonts w:cs="Calibri"/>
        </w:rPr>
        <w:t>-</w:t>
      </w:r>
      <w:r w:rsidRPr="0000217F">
        <w:rPr>
          <w:rFonts w:cs="Calibri"/>
        </w:rPr>
        <w:t xml:space="preserve">studies </w:t>
      </w:r>
      <w:r>
        <w:rPr>
          <w:rFonts w:cs="Calibri"/>
        </w:rPr>
        <w:t xml:space="preserve">or </w:t>
      </w:r>
      <w:r w:rsidRPr="0000217F">
        <w:rPr>
          <w:rFonts w:cs="Calibri"/>
        </w:rPr>
        <w:t xml:space="preserve">cross-country </w:t>
      </w:r>
      <w:r>
        <w:rPr>
          <w:rFonts w:cs="Calibri"/>
        </w:rPr>
        <w:t>comparisons</w:t>
      </w:r>
      <w:r w:rsidRPr="0000217F">
        <w:rPr>
          <w:rFonts w:cs="Calibri"/>
        </w:rPr>
        <w:t>.</w:t>
      </w:r>
    </w:p>
    <w:p w:rsidR="00AA788D" w:rsidRPr="0000217F" w:rsidRDefault="00AA788D" w:rsidP="00BE31C3">
      <w:pPr>
        <w:spacing w:line="480" w:lineRule="auto"/>
        <w:ind w:firstLine="357"/>
      </w:pPr>
      <w:r w:rsidRPr="0000217F">
        <w:t>Financial services access is lower in developing countries. In developed countries</w:t>
      </w:r>
      <w:r>
        <w:t>,</w:t>
      </w:r>
      <w:r w:rsidRPr="0000217F">
        <w:t xml:space="preserve"> more than 90% of households have access at least to some financial services, </w:t>
      </w:r>
      <w:r>
        <w:t>but this falls to less than</w:t>
      </w:r>
      <w:r w:rsidRPr="0000217F">
        <w:t xml:space="preserve"> 20% in most of the Commonwealth of Independent States (CIS), exceptions being resource-rich Russia and Kazakhstan (</w:t>
      </w:r>
      <w:proofErr w:type="spellStart"/>
      <w:r w:rsidRPr="0000217F">
        <w:t>Honohan</w:t>
      </w:r>
      <w:proofErr w:type="spellEnd"/>
      <w:r w:rsidRPr="0000217F">
        <w:t xml:space="preserve">, 2006). Similarly, enterprise complaints about </w:t>
      </w:r>
      <w:r>
        <w:t xml:space="preserve">poor </w:t>
      </w:r>
      <w:r w:rsidRPr="0000217F">
        <w:t>financial access are higher in developing countries</w:t>
      </w:r>
      <w:r>
        <w:t>; a</w:t>
      </w:r>
      <w:r w:rsidRPr="0000217F">
        <w:t>lmost one-</w:t>
      </w:r>
      <w:r>
        <w:t>third cite</w:t>
      </w:r>
      <w:r w:rsidRPr="0000217F">
        <w:t xml:space="preserve"> lack of external finance </w:t>
      </w:r>
      <w:r>
        <w:t>a</w:t>
      </w:r>
      <w:r w:rsidRPr="0000217F">
        <w:t xml:space="preserve">s </w:t>
      </w:r>
      <w:r>
        <w:t xml:space="preserve">either </w:t>
      </w:r>
      <w:r w:rsidRPr="0000217F">
        <w:t xml:space="preserve">the main or </w:t>
      </w:r>
      <w:r>
        <w:t xml:space="preserve">a </w:t>
      </w:r>
      <w:r w:rsidRPr="0000217F">
        <w:t>severe obstacle to their operation (</w:t>
      </w:r>
      <w:proofErr w:type="spellStart"/>
      <w:r w:rsidRPr="0000217F">
        <w:t>Claessens</w:t>
      </w:r>
      <w:proofErr w:type="spellEnd"/>
      <w:r w:rsidRPr="0000217F">
        <w:t>, 2006).</w:t>
      </w:r>
    </w:p>
    <w:p w:rsidR="00AA788D" w:rsidRPr="0000217F" w:rsidRDefault="00AA788D" w:rsidP="00BE31C3">
      <w:pPr>
        <w:spacing w:line="480" w:lineRule="auto"/>
        <w:ind w:firstLine="357"/>
      </w:pPr>
      <w:r w:rsidRPr="0000217F">
        <w:t xml:space="preserve">Unequal access to finance </w:t>
      </w:r>
      <w:r>
        <w:t>affects</w:t>
      </w:r>
      <w:r w:rsidRPr="0000217F">
        <w:t xml:space="preserve"> growth</w:t>
      </w:r>
      <w:r>
        <w:t>, because some</w:t>
      </w:r>
      <w:r w:rsidRPr="0000217F">
        <w:t xml:space="preserve"> profitable entrepreneurial initiatives may never come to fruition</w:t>
      </w:r>
      <w:r>
        <w:t xml:space="preserve">, while others </w:t>
      </w:r>
      <w:r w:rsidRPr="0000217F">
        <w:t>wh</w:t>
      </w:r>
      <w:r>
        <w:t>ich</w:t>
      </w:r>
      <w:r w:rsidRPr="0000217F">
        <w:t xml:space="preserve"> fail to raise external finance will operate at sub-optimal levels</w:t>
      </w:r>
      <w:r>
        <w:t>,</w:t>
      </w:r>
      <w:r w:rsidRPr="0000217F">
        <w:t xml:space="preserve"> despite having high capital productivity (</w:t>
      </w:r>
      <w:proofErr w:type="spellStart"/>
      <w:r w:rsidRPr="0000217F">
        <w:t>Claessens</w:t>
      </w:r>
      <w:proofErr w:type="spellEnd"/>
      <w:r w:rsidRPr="0000217F">
        <w:t xml:space="preserve"> and </w:t>
      </w:r>
      <w:proofErr w:type="spellStart"/>
      <w:r w:rsidRPr="0000217F">
        <w:t>Perotti</w:t>
      </w:r>
      <w:proofErr w:type="spellEnd"/>
      <w:r w:rsidRPr="0000217F">
        <w:t>, 2007</w:t>
      </w:r>
      <w:r>
        <w:t>, p.573). L</w:t>
      </w:r>
      <w:r w:rsidRPr="0000217F">
        <w:t xml:space="preserve">ack of </w:t>
      </w:r>
      <w:r w:rsidRPr="0000217F">
        <w:lastRenderedPageBreak/>
        <w:t>access to external finance</w:t>
      </w:r>
      <w:r>
        <w:t xml:space="preserve"> </w:t>
      </w:r>
      <w:r w:rsidRPr="0000217F">
        <w:t xml:space="preserve">may </w:t>
      </w:r>
      <w:r>
        <w:t xml:space="preserve">also </w:t>
      </w:r>
      <w:r w:rsidRPr="0000217F">
        <w:t xml:space="preserve">potentially inhibit human and physical capital accumulation (Beck and </w:t>
      </w:r>
      <w:proofErr w:type="spellStart"/>
      <w:r w:rsidRPr="0000217F">
        <w:t>Demirguc-Kunt</w:t>
      </w:r>
      <w:proofErr w:type="spellEnd"/>
      <w:r w:rsidRPr="0000217F">
        <w:t>, 2008, p.384).</w:t>
      </w:r>
      <w:r>
        <w:t xml:space="preserve"> </w:t>
      </w:r>
      <w:r w:rsidRPr="0000217F">
        <w:t xml:space="preserve">Although informal credit institutions </w:t>
      </w:r>
      <w:r>
        <w:t>expand and contract ‘</w:t>
      </w:r>
      <w:proofErr w:type="spellStart"/>
      <w:r>
        <w:t>contracyclically</w:t>
      </w:r>
      <w:proofErr w:type="spellEnd"/>
      <w:r>
        <w:t xml:space="preserve"> to repression and liberalization of formal finance’</w:t>
      </w:r>
      <w:r w:rsidRPr="0000217F">
        <w:t xml:space="preserve"> (</w:t>
      </w:r>
      <w:proofErr w:type="spellStart"/>
      <w:r w:rsidRPr="0000217F">
        <w:t>Chandavarkar</w:t>
      </w:r>
      <w:proofErr w:type="spellEnd"/>
      <w:r w:rsidRPr="0000217F">
        <w:t>, 1992</w:t>
      </w:r>
      <w:r>
        <w:t>, p.135</w:t>
      </w:r>
      <w:r w:rsidRPr="0000217F">
        <w:t xml:space="preserve">), </w:t>
      </w:r>
      <w:r>
        <w:t xml:space="preserve">they </w:t>
      </w:r>
      <w:r w:rsidRPr="0000217F">
        <w:t>tend to offer only short-term, high-cost loans</w:t>
      </w:r>
      <w:r>
        <w:t xml:space="preserve"> and thus </w:t>
      </w:r>
      <w:r w:rsidRPr="0000217F">
        <w:t xml:space="preserve">are </w:t>
      </w:r>
      <w:r>
        <w:t>far from</w:t>
      </w:r>
      <w:r w:rsidRPr="0000217F">
        <w:t xml:space="preserve"> perfect substitutes for formal institutions</w:t>
      </w:r>
      <w:r>
        <w:t xml:space="preserve"> and, </w:t>
      </w:r>
      <w:r w:rsidRPr="0000217F">
        <w:t>in the context of transition economies</w:t>
      </w:r>
      <w:r>
        <w:t>,</w:t>
      </w:r>
      <w:r w:rsidRPr="0000217F">
        <w:t xml:space="preserve"> usually concentrate on particular sectors of the economy with </w:t>
      </w:r>
      <w:r>
        <w:t xml:space="preserve">rapid </w:t>
      </w:r>
      <w:r w:rsidRPr="0000217F">
        <w:t>turnover</w:t>
      </w:r>
      <w:r>
        <w:t>,</w:t>
      </w:r>
      <w:r w:rsidRPr="0000217F">
        <w:t xml:space="preserve"> such as trade and services industries in urban areas (</w:t>
      </w:r>
      <w:proofErr w:type="spellStart"/>
      <w:r w:rsidRPr="0000217F">
        <w:t>Ruziev</w:t>
      </w:r>
      <w:proofErr w:type="spellEnd"/>
      <w:r w:rsidRPr="0000217F">
        <w:t xml:space="preserve"> and </w:t>
      </w:r>
      <w:proofErr w:type="spellStart"/>
      <w:r w:rsidRPr="0000217F">
        <w:t>Midmore</w:t>
      </w:r>
      <w:proofErr w:type="spellEnd"/>
      <w:r w:rsidRPr="0000217F">
        <w:t xml:space="preserve">, </w:t>
      </w:r>
      <w:r>
        <w:t>2014</w:t>
      </w:r>
      <w:r w:rsidRPr="0000217F">
        <w:t>). Moreover, evidence shows that financing from formal</w:t>
      </w:r>
      <w:r>
        <w:t>,</w:t>
      </w:r>
      <w:r w:rsidRPr="0000217F">
        <w:t xml:space="preserve"> rather than informal</w:t>
      </w:r>
      <w:r>
        <w:t>,</w:t>
      </w:r>
      <w:r w:rsidRPr="0000217F">
        <w:t xml:space="preserve"> financial institutions is associated with faster firm growth (</w:t>
      </w:r>
      <w:proofErr w:type="spellStart"/>
      <w:r w:rsidRPr="0000217F">
        <w:t>Ayyagari</w:t>
      </w:r>
      <w:proofErr w:type="spellEnd"/>
      <w:r>
        <w:t xml:space="preserve"> </w:t>
      </w:r>
      <w:r w:rsidRPr="0000217F">
        <w:rPr>
          <w:i/>
        </w:rPr>
        <w:t>et al.</w:t>
      </w:r>
      <w:r w:rsidRPr="0000217F">
        <w:t>, 2008). Studies also show that financial development helps enterprises to overcome liquidity constraints and improve their growth potential (</w:t>
      </w:r>
      <w:r w:rsidRPr="0000217F">
        <w:rPr>
          <w:rFonts w:cs="Calibri"/>
        </w:rPr>
        <w:t xml:space="preserve">Levine, 2005; </w:t>
      </w:r>
      <w:r w:rsidRPr="0000217F">
        <w:t xml:space="preserve">Love, 2003; </w:t>
      </w:r>
      <w:proofErr w:type="spellStart"/>
      <w:r w:rsidRPr="0000217F">
        <w:t>Demirguc-Kunt</w:t>
      </w:r>
      <w:proofErr w:type="spellEnd"/>
      <w:r w:rsidRPr="0000217F">
        <w:t xml:space="preserve"> and </w:t>
      </w:r>
      <w:proofErr w:type="spellStart"/>
      <w:r w:rsidRPr="0000217F">
        <w:t>Maksimovic</w:t>
      </w:r>
      <w:proofErr w:type="spellEnd"/>
      <w:r w:rsidRPr="0000217F">
        <w:t xml:space="preserve">, 1998). There is </w:t>
      </w:r>
      <w:r>
        <w:t>further</w:t>
      </w:r>
      <w:r w:rsidRPr="0000217F">
        <w:t xml:space="preserve"> evidence that smaller enterprises benefit more from the improved availability of formal finance (Beck </w:t>
      </w:r>
      <w:r w:rsidRPr="0000217F">
        <w:rPr>
          <w:i/>
        </w:rPr>
        <w:t>et al</w:t>
      </w:r>
      <w:r w:rsidRPr="0000217F">
        <w:t xml:space="preserve">., 2008). </w:t>
      </w:r>
    </w:p>
    <w:p w:rsidR="00AA788D" w:rsidRDefault="00AA788D" w:rsidP="00BE31C3">
      <w:pPr>
        <w:spacing w:line="480" w:lineRule="auto"/>
        <w:ind w:firstLine="357"/>
      </w:pPr>
      <w:r>
        <w:t xml:space="preserve">Poor </w:t>
      </w:r>
      <w:r w:rsidRPr="0000217F">
        <w:t xml:space="preserve">access to financial services in developing countries </w:t>
      </w:r>
      <w:r w:rsidRPr="005D58FE">
        <w:t xml:space="preserve">may be </w:t>
      </w:r>
      <w:r w:rsidRPr="0000217F">
        <w:t xml:space="preserve">due to high fixed costs associated with the provision of financial services and tight entry regulations </w:t>
      </w:r>
      <w:r>
        <w:t>(</w:t>
      </w:r>
      <w:proofErr w:type="spellStart"/>
      <w:r>
        <w:t>Claessens</w:t>
      </w:r>
      <w:proofErr w:type="spellEnd"/>
      <w:r>
        <w:t xml:space="preserve"> and </w:t>
      </w:r>
      <w:proofErr w:type="spellStart"/>
      <w:r>
        <w:t>Perotti</w:t>
      </w:r>
      <w:proofErr w:type="spellEnd"/>
      <w:r>
        <w:t xml:space="preserve">, 2007). Also, </w:t>
      </w:r>
      <w:r w:rsidRPr="0000217F">
        <w:t>countries with low income</w:t>
      </w:r>
      <w:r>
        <w:t xml:space="preserve">s will lack a </w:t>
      </w:r>
      <w:r w:rsidRPr="0000217F">
        <w:t xml:space="preserve">sufficiently large pool of domestic savings </w:t>
      </w:r>
      <w:r>
        <w:t xml:space="preserve">to </w:t>
      </w:r>
      <w:r w:rsidRPr="0000217F">
        <w:t xml:space="preserve">be efficiently mobilised </w:t>
      </w:r>
      <w:r>
        <w:t>to meet the enterprises’ demands for external finance. However, the persistence of the problem o</w:t>
      </w:r>
      <w:r w:rsidRPr="0000217F">
        <w:t>ver a longer run</w:t>
      </w:r>
      <w:r>
        <w:t xml:space="preserve"> can also be explained by political factors: reforms changing</w:t>
      </w:r>
      <w:r w:rsidRPr="0000217F">
        <w:t xml:space="preserve"> the status quo could also </w:t>
      </w:r>
      <w:r>
        <w:t xml:space="preserve">challenge </w:t>
      </w:r>
      <w:r w:rsidRPr="0000217F">
        <w:t>the ability of the incumbent elite to extract rents</w:t>
      </w:r>
      <w:r>
        <w:t>,</w:t>
      </w:r>
      <w:r w:rsidRPr="0000217F">
        <w:t xml:space="preserve"> and as a result no fundamental reforms will be undertaken (</w:t>
      </w:r>
      <w:proofErr w:type="spellStart"/>
      <w:r w:rsidRPr="0000217F">
        <w:t>Acemoglu</w:t>
      </w:r>
      <w:proofErr w:type="spellEnd"/>
      <w:r w:rsidRPr="0000217F">
        <w:t xml:space="preserve"> </w:t>
      </w:r>
      <w:r w:rsidRPr="0000217F">
        <w:rPr>
          <w:i/>
        </w:rPr>
        <w:t xml:space="preserve">et al., </w:t>
      </w:r>
      <w:r w:rsidRPr="0000217F">
        <w:t>2005).</w:t>
      </w:r>
    </w:p>
    <w:p w:rsidR="00AA788D" w:rsidRPr="0000217F" w:rsidRDefault="00AA788D" w:rsidP="00BE31C3">
      <w:pPr>
        <w:spacing w:line="480" w:lineRule="auto"/>
        <w:ind w:firstLine="357"/>
        <w:rPr>
          <w:rFonts w:cs="Calibri"/>
        </w:rPr>
      </w:pPr>
      <w:r>
        <w:rPr>
          <w:rFonts w:cs="Calibri"/>
        </w:rPr>
        <w:t xml:space="preserve">Because </w:t>
      </w:r>
      <w:r w:rsidRPr="0000217F">
        <w:rPr>
          <w:rFonts w:cs="Calibri"/>
        </w:rPr>
        <w:t>economic institutions</w:t>
      </w:r>
      <w:r>
        <w:rPr>
          <w:rFonts w:cs="Calibri"/>
        </w:rPr>
        <w:t>, alongside</w:t>
      </w:r>
      <w:r w:rsidRPr="0000217F">
        <w:rPr>
          <w:rFonts w:cs="Calibri"/>
        </w:rPr>
        <w:t xml:space="preserve"> political factors</w:t>
      </w:r>
      <w:r>
        <w:rPr>
          <w:rFonts w:cs="Calibri"/>
        </w:rPr>
        <w:t>,</w:t>
      </w:r>
      <w:r w:rsidRPr="0000217F">
        <w:rPr>
          <w:rFonts w:cs="Calibri"/>
        </w:rPr>
        <w:t xml:space="preserve"> matter in the economic process</w:t>
      </w:r>
      <w:r>
        <w:rPr>
          <w:rFonts w:cs="Calibri"/>
        </w:rPr>
        <w:t xml:space="preserve">, </w:t>
      </w:r>
      <w:r w:rsidRPr="0000217F">
        <w:rPr>
          <w:rFonts w:cs="Calibri"/>
        </w:rPr>
        <w:t xml:space="preserve">business environments </w:t>
      </w:r>
      <w:r>
        <w:rPr>
          <w:rFonts w:cs="Calibri"/>
        </w:rPr>
        <w:t xml:space="preserve">will </w:t>
      </w:r>
      <w:r w:rsidRPr="0000217F">
        <w:rPr>
          <w:rFonts w:cs="Calibri"/>
        </w:rPr>
        <w:t xml:space="preserve">differ across countries. </w:t>
      </w:r>
      <w:r>
        <w:rPr>
          <w:rFonts w:cs="Calibri"/>
        </w:rPr>
        <w:t xml:space="preserve">This </w:t>
      </w:r>
      <w:r w:rsidRPr="0000217F">
        <w:rPr>
          <w:rFonts w:cs="Calibri"/>
        </w:rPr>
        <w:t xml:space="preserve">difference is not simply due to levels </w:t>
      </w:r>
      <w:r>
        <w:rPr>
          <w:rFonts w:cs="Calibri"/>
        </w:rPr>
        <w:t xml:space="preserve">of development, however, but also to the </w:t>
      </w:r>
      <w:r w:rsidRPr="0000217F">
        <w:rPr>
          <w:rFonts w:cs="Calibri"/>
        </w:rPr>
        <w:t>variety of institutions and associated country-specific constraints and incentive mechanisms which result f</w:t>
      </w:r>
      <w:r>
        <w:rPr>
          <w:rFonts w:cs="Calibri"/>
        </w:rPr>
        <w:t>rom</w:t>
      </w:r>
      <w:r w:rsidRPr="0000217F">
        <w:rPr>
          <w:rFonts w:cs="Calibri"/>
        </w:rPr>
        <w:t xml:space="preserve"> differences in the form, pace, and depth of reform</w:t>
      </w:r>
      <w:r>
        <w:rPr>
          <w:rFonts w:cs="Calibri"/>
        </w:rPr>
        <w:t>s</w:t>
      </w:r>
      <w:r w:rsidRPr="0000217F">
        <w:rPr>
          <w:rFonts w:cs="Calibri"/>
        </w:rPr>
        <w:t xml:space="preserve"> implement</w:t>
      </w:r>
      <w:r>
        <w:rPr>
          <w:rFonts w:cs="Calibri"/>
        </w:rPr>
        <w:t>ed,</w:t>
      </w:r>
      <w:r w:rsidRPr="0000217F">
        <w:rPr>
          <w:rFonts w:cs="Calibri"/>
        </w:rPr>
        <w:t xml:space="preserve"> themselves possible outcome</w:t>
      </w:r>
      <w:r>
        <w:rPr>
          <w:rFonts w:cs="Calibri"/>
        </w:rPr>
        <w:t>s</w:t>
      </w:r>
      <w:r w:rsidRPr="0000217F">
        <w:rPr>
          <w:rFonts w:cs="Calibri"/>
        </w:rPr>
        <w:t xml:space="preserve"> of decisions by ruling elite</w:t>
      </w:r>
      <w:r>
        <w:rPr>
          <w:rFonts w:cs="Calibri"/>
        </w:rPr>
        <w:t>s</w:t>
      </w:r>
      <w:r w:rsidRPr="0000217F">
        <w:rPr>
          <w:rFonts w:cs="Calibri"/>
        </w:rPr>
        <w:t>.</w:t>
      </w:r>
      <w:r>
        <w:rPr>
          <w:rFonts w:cs="Calibri"/>
        </w:rPr>
        <w:t xml:space="preserve"> C</w:t>
      </w:r>
      <w:r w:rsidRPr="0000217F">
        <w:t>onsiderable evidence suggest</w:t>
      </w:r>
      <w:r>
        <w:t>s</w:t>
      </w:r>
      <w:r w:rsidRPr="0000217F">
        <w:t xml:space="preserve"> that political connections play an important role in gaining access to formal </w:t>
      </w:r>
      <w:r w:rsidRPr="0000217F">
        <w:lastRenderedPageBreak/>
        <w:t>finance</w:t>
      </w:r>
      <w:r>
        <w:t>,</w:t>
      </w:r>
      <w:r w:rsidRPr="0000217F">
        <w:t xml:space="preserve"> and that larger enterprises </w:t>
      </w:r>
      <w:r>
        <w:t xml:space="preserve">gain </w:t>
      </w:r>
      <w:r w:rsidRPr="005D58FE">
        <w:t xml:space="preserve">more </w:t>
      </w:r>
      <w:r w:rsidRPr="0000217F">
        <w:t xml:space="preserve">benefit from such connections (La </w:t>
      </w:r>
      <w:proofErr w:type="spellStart"/>
      <w:r w:rsidRPr="0000217F">
        <w:t>Porta</w:t>
      </w:r>
      <w:proofErr w:type="spellEnd"/>
      <w:r>
        <w:t xml:space="preserve"> </w:t>
      </w:r>
      <w:r w:rsidRPr="0000217F">
        <w:rPr>
          <w:i/>
        </w:rPr>
        <w:t>et al</w:t>
      </w:r>
      <w:r w:rsidRPr="0000217F">
        <w:t xml:space="preserve">., 2002; </w:t>
      </w:r>
      <w:proofErr w:type="spellStart"/>
      <w:r w:rsidRPr="0000217F">
        <w:t>Faccio</w:t>
      </w:r>
      <w:proofErr w:type="spellEnd"/>
      <w:r w:rsidRPr="0000217F">
        <w:t>, 2006;</w:t>
      </w:r>
      <w:r>
        <w:t xml:space="preserve"> and</w:t>
      </w:r>
      <w:r w:rsidRPr="0000217F">
        <w:t xml:space="preserve"> </w:t>
      </w:r>
      <w:proofErr w:type="spellStart"/>
      <w:r w:rsidRPr="0000217F">
        <w:t>Faccio</w:t>
      </w:r>
      <w:proofErr w:type="spellEnd"/>
      <w:r>
        <w:t xml:space="preserve"> </w:t>
      </w:r>
      <w:r w:rsidRPr="0000217F">
        <w:rPr>
          <w:i/>
        </w:rPr>
        <w:t>et al.,</w:t>
      </w:r>
      <w:r w:rsidRPr="0000217F">
        <w:t xml:space="preserve"> 2006).</w:t>
      </w:r>
      <w:r>
        <w:t xml:space="preserve"> Nevertheless, </w:t>
      </w:r>
      <w:r w:rsidRPr="0000217F">
        <w:rPr>
          <w:rFonts w:cs="Calibri"/>
        </w:rPr>
        <w:t>captur</w:t>
      </w:r>
      <w:r>
        <w:rPr>
          <w:rFonts w:cs="Calibri"/>
        </w:rPr>
        <w:t>ing</w:t>
      </w:r>
      <w:r w:rsidRPr="0000217F">
        <w:rPr>
          <w:rFonts w:cs="Calibri"/>
        </w:rPr>
        <w:t xml:space="preserve"> most country-specific issues in large cross-country studies</w:t>
      </w:r>
      <w:r>
        <w:rPr>
          <w:rFonts w:cs="Calibri"/>
        </w:rPr>
        <w:t xml:space="preserve"> </w:t>
      </w:r>
      <w:r w:rsidRPr="0000217F">
        <w:rPr>
          <w:rFonts w:cs="Calibri"/>
        </w:rPr>
        <w:t>remain</w:t>
      </w:r>
      <w:r>
        <w:rPr>
          <w:rFonts w:cs="Calibri"/>
        </w:rPr>
        <w:t>s</w:t>
      </w:r>
      <w:r w:rsidRPr="0000217F">
        <w:rPr>
          <w:rFonts w:cs="Calibri"/>
        </w:rPr>
        <w:t xml:space="preserve"> ‘challenging in terms of attribution of causes and effects’</w:t>
      </w:r>
      <w:r>
        <w:t>, and consequently ‘evidence from case studies highlighting the impact of entrenched elites over institutional environment’ (</w:t>
      </w:r>
      <w:proofErr w:type="spellStart"/>
      <w:r>
        <w:t>Claessens</w:t>
      </w:r>
      <w:proofErr w:type="spellEnd"/>
      <w:r>
        <w:t xml:space="preserve"> and </w:t>
      </w:r>
      <w:proofErr w:type="spellStart"/>
      <w:r>
        <w:t>Perotti</w:t>
      </w:r>
      <w:proofErr w:type="spellEnd"/>
      <w:r>
        <w:t>, 2007, p.</w:t>
      </w:r>
      <w:r w:rsidRPr="00BC7271">
        <w:t xml:space="preserve">761) </w:t>
      </w:r>
      <w:r>
        <w:rPr>
          <w:rFonts w:cs="Calibri"/>
        </w:rPr>
        <w:t>is desirable</w:t>
      </w:r>
      <w:r w:rsidRPr="0000217F">
        <w:rPr>
          <w:rFonts w:cs="Calibri"/>
        </w:rPr>
        <w:t>.</w:t>
      </w:r>
    </w:p>
    <w:p w:rsidR="00AA788D" w:rsidRPr="0000217F" w:rsidRDefault="00AA788D" w:rsidP="00BE31C3">
      <w:pPr>
        <w:pStyle w:val="BodyText"/>
        <w:tabs>
          <w:tab w:val="left" w:pos="2839"/>
        </w:tabs>
        <w:spacing w:line="480" w:lineRule="auto"/>
        <w:ind w:firstLine="357"/>
        <w:rPr>
          <w:rFonts w:ascii="Calibri" w:hAnsi="Calibri"/>
          <w:sz w:val="22"/>
          <w:szCs w:val="22"/>
        </w:rPr>
      </w:pPr>
      <w:r w:rsidRPr="0000217F">
        <w:rPr>
          <w:rFonts w:ascii="Calibri" w:hAnsi="Calibri"/>
          <w:sz w:val="22"/>
          <w:szCs w:val="22"/>
        </w:rPr>
        <w:t xml:space="preserve">Political factors can affect economic outcomes </w:t>
      </w:r>
      <w:r w:rsidRPr="00A06311">
        <w:rPr>
          <w:rFonts w:ascii="Calibri" w:hAnsi="Calibri"/>
          <w:sz w:val="22"/>
          <w:szCs w:val="22"/>
        </w:rPr>
        <w:t>formal</w:t>
      </w:r>
      <w:r>
        <w:rPr>
          <w:rFonts w:ascii="Calibri" w:hAnsi="Calibri"/>
          <w:sz w:val="22"/>
          <w:szCs w:val="22"/>
        </w:rPr>
        <w:t xml:space="preserve">ly, </w:t>
      </w:r>
      <w:r w:rsidRPr="0000217F">
        <w:rPr>
          <w:rFonts w:ascii="Calibri" w:hAnsi="Calibri"/>
          <w:sz w:val="22"/>
          <w:szCs w:val="22"/>
        </w:rPr>
        <w:t>through rules and regulations</w:t>
      </w:r>
      <w:r>
        <w:rPr>
          <w:rFonts w:ascii="Calibri" w:hAnsi="Calibri"/>
          <w:sz w:val="22"/>
          <w:szCs w:val="22"/>
        </w:rPr>
        <w:t>,</w:t>
      </w:r>
      <w:r w:rsidRPr="0000217F">
        <w:rPr>
          <w:rFonts w:ascii="Calibri" w:hAnsi="Calibri"/>
          <w:sz w:val="22"/>
          <w:szCs w:val="22"/>
        </w:rPr>
        <w:t xml:space="preserve"> and informally</w:t>
      </w:r>
      <w:r>
        <w:rPr>
          <w:rFonts w:ascii="Calibri" w:hAnsi="Calibri"/>
          <w:sz w:val="22"/>
          <w:szCs w:val="22"/>
        </w:rPr>
        <w:t>,</w:t>
      </w:r>
      <w:r w:rsidRPr="0000217F">
        <w:rPr>
          <w:rFonts w:ascii="Calibri" w:hAnsi="Calibri"/>
          <w:sz w:val="22"/>
          <w:szCs w:val="22"/>
        </w:rPr>
        <w:t xml:space="preserve"> through individual political connections and interpersonal relations. For example, entrenched elite</w:t>
      </w:r>
      <w:r>
        <w:rPr>
          <w:rFonts w:ascii="Calibri" w:hAnsi="Calibri"/>
          <w:sz w:val="22"/>
          <w:szCs w:val="22"/>
        </w:rPr>
        <w:t>s</w:t>
      </w:r>
      <w:r w:rsidRPr="0000217F">
        <w:rPr>
          <w:rFonts w:ascii="Calibri" w:hAnsi="Calibri"/>
          <w:sz w:val="22"/>
          <w:szCs w:val="22"/>
        </w:rPr>
        <w:t xml:space="preserve"> may influence institutional environment</w:t>
      </w:r>
      <w:r>
        <w:rPr>
          <w:rFonts w:ascii="Calibri" w:hAnsi="Calibri"/>
          <w:sz w:val="22"/>
          <w:szCs w:val="22"/>
        </w:rPr>
        <w:t>s</w:t>
      </w:r>
      <w:r w:rsidRPr="0000217F">
        <w:rPr>
          <w:rFonts w:ascii="Calibri" w:hAnsi="Calibri"/>
          <w:sz w:val="22"/>
          <w:szCs w:val="22"/>
        </w:rPr>
        <w:t xml:space="preserve"> by adopting formal rules and regulations to protect their </w:t>
      </w:r>
      <w:r w:rsidRPr="00A06311">
        <w:rPr>
          <w:rFonts w:ascii="Calibri" w:hAnsi="Calibri"/>
          <w:sz w:val="22"/>
          <w:szCs w:val="22"/>
        </w:rPr>
        <w:t>rent</w:t>
      </w:r>
      <w:r>
        <w:rPr>
          <w:rFonts w:ascii="Calibri" w:hAnsi="Calibri"/>
          <w:sz w:val="22"/>
          <w:szCs w:val="22"/>
        </w:rPr>
        <w:t xml:space="preserve">-seeking </w:t>
      </w:r>
      <w:r w:rsidRPr="0000217F">
        <w:rPr>
          <w:rFonts w:ascii="Calibri" w:hAnsi="Calibri"/>
          <w:sz w:val="22"/>
          <w:szCs w:val="22"/>
        </w:rPr>
        <w:t>interests</w:t>
      </w:r>
      <w:r>
        <w:rPr>
          <w:rFonts w:ascii="Calibri" w:hAnsi="Calibri"/>
          <w:sz w:val="22"/>
          <w:szCs w:val="22"/>
        </w:rPr>
        <w:t>;</w:t>
      </w:r>
      <w:r w:rsidRPr="0000217F">
        <w:rPr>
          <w:rFonts w:ascii="Calibri" w:hAnsi="Calibri"/>
          <w:sz w:val="22"/>
          <w:szCs w:val="22"/>
        </w:rPr>
        <w:t xml:space="preserve"> at the same time</w:t>
      </w:r>
      <w:r>
        <w:rPr>
          <w:rFonts w:ascii="Calibri" w:hAnsi="Calibri"/>
          <w:sz w:val="22"/>
          <w:szCs w:val="22"/>
        </w:rPr>
        <w:t xml:space="preserve">, this may </w:t>
      </w:r>
      <w:r w:rsidRPr="0000217F">
        <w:rPr>
          <w:rFonts w:ascii="Calibri" w:hAnsi="Calibri"/>
          <w:sz w:val="22"/>
          <w:szCs w:val="22"/>
        </w:rPr>
        <w:t>create unfavourable constraints and obstacles for the operation of smaller businesses. As a corollary,</w:t>
      </w:r>
      <w:r>
        <w:rPr>
          <w:rFonts w:ascii="Calibri" w:hAnsi="Calibri"/>
          <w:sz w:val="22"/>
          <w:szCs w:val="22"/>
        </w:rPr>
        <w:t xml:space="preserve"> increasing bureaucracy will reinforce a</w:t>
      </w:r>
      <w:r w:rsidRPr="0000217F">
        <w:rPr>
          <w:rFonts w:ascii="Calibri" w:hAnsi="Calibri"/>
          <w:sz w:val="22"/>
          <w:szCs w:val="22"/>
        </w:rPr>
        <w:t xml:space="preserve"> culture of favouritism and bribery, suppressing efficient market-based impersonal exchange and resource allocation, and hindering aggregate economic performance (</w:t>
      </w:r>
      <w:proofErr w:type="spellStart"/>
      <w:r w:rsidRPr="0000217F">
        <w:rPr>
          <w:rFonts w:ascii="Calibri" w:hAnsi="Calibri"/>
          <w:sz w:val="22"/>
          <w:szCs w:val="22"/>
        </w:rPr>
        <w:t>Fedderke</w:t>
      </w:r>
      <w:proofErr w:type="spellEnd"/>
      <w:r>
        <w:rPr>
          <w:rFonts w:ascii="Calibri" w:hAnsi="Calibri"/>
          <w:sz w:val="22"/>
          <w:szCs w:val="22"/>
        </w:rPr>
        <w:t xml:space="preserve"> </w:t>
      </w:r>
      <w:r w:rsidRPr="0000217F">
        <w:rPr>
          <w:rFonts w:ascii="Calibri" w:hAnsi="Calibri"/>
          <w:i/>
          <w:sz w:val="22"/>
          <w:szCs w:val="22"/>
        </w:rPr>
        <w:t>et al.</w:t>
      </w:r>
      <w:r>
        <w:rPr>
          <w:rFonts w:ascii="Calibri" w:hAnsi="Calibri"/>
          <w:sz w:val="22"/>
          <w:szCs w:val="22"/>
        </w:rPr>
        <w:t>, 1999, p.</w:t>
      </w:r>
      <w:r w:rsidRPr="0000217F">
        <w:rPr>
          <w:rFonts w:ascii="Calibri" w:hAnsi="Calibri"/>
          <w:sz w:val="22"/>
          <w:szCs w:val="22"/>
        </w:rPr>
        <w:t xml:space="preserve">734). </w:t>
      </w:r>
    </w:p>
    <w:p w:rsidR="00AA788D" w:rsidRDefault="00AA788D" w:rsidP="00BE31C3">
      <w:pPr>
        <w:pStyle w:val="BodyText"/>
        <w:tabs>
          <w:tab w:val="left" w:pos="2839"/>
        </w:tabs>
        <w:spacing w:line="480" w:lineRule="auto"/>
        <w:ind w:firstLine="357"/>
        <w:rPr>
          <w:rFonts w:asciiTheme="minorHAnsi" w:hAnsiTheme="minorHAnsi" w:cstheme="minorHAnsi"/>
          <w:sz w:val="22"/>
          <w:szCs w:val="22"/>
        </w:rPr>
      </w:pPr>
      <w:r>
        <w:rPr>
          <w:rFonts w:ascii="Calibri" w:hAnsi="Calibri"/>
          <w:sz w:val="22"/>
          <w:szCs w:val="22"/>
        </w:rPr>
        <w:t>In</w:t>
      </w:r>
      <w:r w:rsidRPr="0000217F">
        <w:rPr>
          <w:rFonts w:ascii="Calibri" w:hAnsi="Calibri"/>
          <w:sz w:val="22"/>
          <w:szCs w:val="22"/>
        </w:rPr>
        <w:t xml:space="preserve"> such </w:t>
      </w:r>
      <w:r>
        <w:rPr>
          <w:rFonts w:ascii="Calibri" w:hAnsi="Calibri"/>
          <w:sz w:val="22"/>
          <w:szCs w:val="22"/>
        </w:rPr>
        <w:t>less than effective</w:t>
      </w:r>
      <w:r w:rsidRPr="0000217F">
        <w:rPr>
          <w:rFonts w:ascii="Calibri" w:hAnsi="Calibri"/>
          <w:sz w:val="22"/>
          <w:szCs w:val="22"/>
        </w:rPr>
        <w:t xml:space="preserve"> market conditions, a thick network of exclusive interpersonal relations will emerge to resolve allocative and redistributive questions, including access to formal finance. </w:t>
      </w:r>
      <w:r>
        <w:rPr>
          <w:rFonts w:ascii="Calibri" w:hAnsi="Calibri"/>
          <w:sz w:val="22"/>
          <w:szCs w:val="22"/>
        </w:rPr>
        <w:t>S</w:t>
      </w:r>
      <w:r w:rsidRPr="0000217F">
        <w:rPr>
          <w:rFonts w:ascii="Calibri" w:hAnsi="Calibri"/>
          <w:sz w:val="22"/>
          <w:szCs w:val="22"/>
        </w:rPr>
        <w:t>ocial capital</w:t>
      </w:r>
      <w:r>
        <w:rPr>
          <w:rFonts w:ascii="Calibri" w:hAnsi="Calibri"/>
          <w:sz w:val="22"/>
          <w:szCs w:val="22"/>
        </w:rPr>
        <w:t xml:space="preserve">, in the form of a </w:t>
      </w:r>
      <w:r w:rsidRPr="0000217F">
        <w:rPr>
          <w:rFonts w:ascii="Calibri" w:hAnsi="Calibri"/>
          <w:sz w:val="22"/>
          <w:szCs w:val="22"/>
        </w:rPr>
        <w:t xml:space="preserve">collection of networks and </w:t>
      </w:r>
      <w:r>
        <w:rPr>
          <w:rFonts w:ascii="Calibri" w:hAnsi="Calibri"/>
          <w:sz w:val="22"/>
          <w:szCs w:val="22"/>
        </w:rPr>
        <w:t xml:space="preserve">an </w:t>
      </w:r>
      <w:r w:rsidRPr="0000217F">
        <w:rPr>
          <w:rFonts w:ascii="Calibri" w:hAnsi="Calibri"/>
          <w:sz w:val="22"/>
          <w:szCs w:val="22"/>
        </w:rPr>
        <w:t>aggregation of reputations, will grow in importance in production and exchange relations (</w:t>
      </w:r>
      <w:proofErr w:type="spellStart"/>
      <w:r w:rsidRPr="0000217F">
        <w:rPr>
          <w:rFonts w:ascii="Calibri" w:hAnsi="Calibri"/>
          <w:sz w:val="22"/>
          <w:szCs w:val="22"/>
        </w:rPr>
        <w:t>Stiglitz</w:t>
      </w:r>
      <w:proofErr w:type="spellEnd"/>
      <w:r w:rsidRPr="0000217F">
        <w:rPr>
          <w:rFonts w:ascii="Calibri" w:hAnsi="Calibri"/>
          <w:sz w:val="22"/>
          <w:szCs w:val="22"/>
        </w:rPr>
        <w:t>, 2001, p.64).</w:t>
      </w:r>
      <w:r w:rsidRPr="006E64B5">
        <w:rPr>
          <w:rFonts w:ascii="Calibri" w:hAnsi="Calibri"/>
          <w:sz w:val="22"/>
          <w:szCs w:val="22"/>
          <w:vertAlign w:val="superscript"/>
        </w:rPr>
        <w:t>1</w:t>
      </w:r>
      <w:r>
        <w:rPr>
          <w:rFonts w:ascii="Calibri" w:hAnsi="Calibri"/>
          <w:sz w:val="22"/>
          <w:szCs w:val="22"/>
        </w:rPr>
        <w:t xml:space="preserve"> The complex and </w:t>
      </w:r>
      <w:r w:rsidRPr="0000217F">
        <w:rPr>
          <w:rFonts w:asciiTheme="minorHAnsi" w:hAnsiTheme="minorHAnsi" w:cstheme="minorHAnsi"/>
          <w:sz w:val="22"/>
          <w:szCs w:val="22"/>
        </w:rPr>
        <w:t>dynamic notion</w:t>
      </w:r>
      <w:r>
        <w:rPr>
          <w:rFonts w:asciiTheme="minorHAnsi" w:hAnsiTheme="minorHAnsi" w:cstheme="minorHAnsi"/>
          <w:sz w:val="22"/>
          <w:szCs w:val="22"/>
        </w:rPr>
        <w:t xml:space="preserve"> of </w:t>
      </w:r>
      <w:r w:rsidRPr="0000217F">
        <w:rPr>
          <w:rFonts w:asciiTheme="minorHAnsi" w:hAnsiTheme="minorHAnsi" w:cstheme="minorHAnsi"/>
          <w:sz w:val="22"/>
          <w:szCs w:val="22"/>
        </w:rPr>
        <w:t>social capital</w:t>
      </w:r>
      <w:r>
        <w:rPr>
          <w:rFonts w:asciiTheme="minorHAnsi" w:hAnsiTheme="minorHAnsi" w:cstheme="minorHAnsi"/>
          <w:sz w:val="22"/>
          <w:szCs w:val="22"/>
        </w:rPr>
        <w:t xml:space="preserve"> </w:t>
      </w:r>
      <w:r w:rsidRPr="0000217F">
        <w:rPr>
          <w:rFonts w:asciiTheme="minorHAnsi" w:hAnsiTheme="minorHAnsi" w:cstheme="minorHAnsi"/>
          <w:sz w:val="22"/>
          <w:szCs w:val="22"/>
        </w:rPr>
        <w:t>changes with the level of economic development (</w:t>
      </w:r>
      <w:proofErr w:type="spellStart"/>
      <w:r w:rsidRPr="0000217F">
        <w:rPr>
          <w:rFonts w:asciiTheme="minorHAnsi" w:hAnsiTheme="minorHAnsi" w:cstheme="minorHAnsi"/>
          <w:sz w:val="22"/>
          <w:szCs w:val="22"/>
        </w:rPr>
        <w:t>Stiglitz</w:t>
      </w:r>
      <w:proofErr w:type="spellEnd"/>
      <w:r w:rsidRPr="0000217F">
        <w:rPr>
          <w:rFonts w:asciiTheme="minorHAnsi" w:hAnsiTheme="minorHAnsi" w:cstheme="minorHAnsi"/>
          <w:sz w:val="22"/>
          <w:szCs w:val="22"/>
        </w:rPr>
        <w:t>, 2001</w:t>
      </w:r>
      <w:r>
        <w:rPr>
          <w:rFonts w:asciiTheme="minorHAnsi" w:hAnsiTheme="minorHAnsi" w:cstheme="minorHAnsi"/>
          <w:sz w:val="22"/>
          <w:szCs w:val="22"/>
        </w:rPr>
        <w:t xml:space="preserve">): in </w:t>
      </w:r>
      <w:r w:rsidRPr="0000217F">
        <w:rPr>
          <w:rFonts w:asciiTheme="minorHAnsi" w:hAnsiTheme="minorHAnsi" w:cstheme="minorHAnsi"/>
          <w:sz w:val="22"/>
          <w:szCs w:val="22"/>
        </w:rPr>
        <w:t xml:space="preserve">thin and underdeveloped </w:t>
      </w:r>
      <w:r>
        <w:rPr>
          <w:rFonts w:asciiTheme="minorHAnsi" w:hAnsiTheme="minorHAnsi" w:cstheme="minorHAnsi"/>
          <w:sz w:val="22"/>
          <w:szCs w:val="22"/>
        </w:rPr>
        <w:t xml:space="preserve">markets </w:t>
      </w:r>
      <w:r w:rsidRPr="0000217F">
        <w:rPr>
          <w:rFonts w:asciiTheme="minorHAnsi" w:hAnsiTheme="minorHAnsi" w:cstheme="minorHAnsi"/>
          <w:sz w:val="22"/>
          <w:szCs w:val="22"/>
        </w:rPr>
        <w:t xml:space="preserve">and </w:t>
      </w:r>
      <w:r>
        <w:rPr>
          <w:rFonts w:asciiTheme="minorHAnsi" w:hAnsiTheme="minorHAnsi" w:cstheme="minorHAnsi"/>
          <w:sz w:val="22"/>
          <w:szCs w:val="22"/>
        </w:rPr>
        <w:t>where the state lacks in</w:t>
      </w:r>
      <w:r w:rsidRPr="0000217F">
        <w:rPr>
          <w:rFonts w:asciiTheme="minorHAnsi" w:hAnsiTheme="minorHAnsi" w:cstheme="minorHAnsi"/>
          <w:sz w:val="22"/>
          <w:szCs w:val="22"/>
        </w:rPr>
        <w:t xml:space="preserve"> credibility, </w:t>
      </w:r>
      <w:r>
        <w:rPr>
          <w:rFonts w:asciiTheme="minorHAnsi" w:hAnsiTheme="minorHAnsi" w:cstheme="minorHAnsi"/>
          <w:sz w:val="22"/>
          <w:szCs w:val="22"/>
        </w:rPr>
        <w:t xml:space="preserve">it is </w:t>
      </w:r>
      <w:r w:rsidRPr="0000217F">
        <w:rPr>
          <w:rFonts w:asciiTheme="minorHAnsi" w:hAnsiTheme="minorHAnsi" w:cstheme="minorHAnsi"/>
          <w:sz w:val="22"/>
          <w:szCs w:val="22"/>
        </w:rPr>
        <w:t xml:space="preserve">mostly </w:t>
      </w:r>
      <w:r>
        <w:rPr>
          <w:rFonts w:asciiTheme="minorHAnsi" w:hAnsiTheme="minorHAnsi" w:cstheme="minorHAnsi"/>
          <w:sz w:val="22"/>
          <w:szCs w:val="22"/>
        </w:rPr>
        <w:t xml:space="preserve">represented </w:t>
      </w:r>
      <w:r w:rsidRPr="0000217F">
        <w:rPr>
          <w:rFonts w:asciiTheme="minorHAnsi" w:hAnsiTheme="minorHAnsi" w:cstheme="minorHAnsi"/>
          <w:sz w:val="22"/>
          <w:szCs w:val="22"/>
        </w:rPr>
        <w:t>through community-based and community-ruled horizontal web</w:t>
      </w:r>
      <w:r>
        <w:rPr>
          <w:rFonts w:asciiTheme="minorHAnsi" w:hAnsiTheme="minorHAnsi" w:cstheme="minorHAnsi"/>
          <w:sz w:val="22"/>
          <w:szCs w:val="22"/>
        </w:rPr>
        <w:t>s</w:t>
      </w:r>
      <w:r w:rsidRPr="0000217F">
        <w:rPr>
          <w:rFonts w:asciiTheme="minorHAnsi" w:hAnsiTheme="minorHAnsi" w:cstheme="minorHAnsi"/>
          <w:sz w:val="22"/>
          <w:szCs w:val="22"/>
        </w:rPr>
        <w:t xml:space="preserve"> of interpersonal networks</w:t>
      </w:r>
      <w:r>
        <w:rPr>
          <w:rFonts w:asciiTheme="minorHAnsi" w:hAnsiTheme="minorHAnsi" w:cstheme="minorHAnsi"/>
          <w:sz w:val="22"/>
          <w:szCs w:val="22"/>
        </w:rPr>
        <w:t xml:space="preserve">. </w:t>
      </w:r>
      <w:r w:rsidRPr="0000217F">
        <w:rPr>
          <w:rFonts w:asciiTheme="minorHAnsi" w:hAnsiTheme="minorHAnsi" w:cstheme="minorHAnsi"/>
          <w:sz w:val="22"/>
          <w:szCs w:val="22"/>
        </w:rPr>
        <w:t xml:space="preserve">As the market-based exchange system develops and deepens, informal communitarian institutions decline </w:t>
      </w:r>
      <w:r>
        <w:rPr>
          <w:rFonts w:asciiTheme="minorHAnsi" w:hAnsiTheme="minorHAnsi" w:cstheme="minorHAnsi"/>
          <w:sz w:val="22"/>
          <w:szCs w:val="22"/>
        </w:rPr>
        <w:t xml:space="preserve">in importance </w:t>
      </w:r>
      <w:r w:rsidRPr="0000217F">
        <w:rPr>
          <w:rFonts w:asciiTheme="minorHAnsi" w:hAnsiTheme="minorHAnsi" w:cstheme="minorHAnsi"/>
          <w:sz w:val="22"/>
          <w:szCs w:val="22"/>
        </w:rPr>
        <w:t xml:space="preserve">and </w:t>
      </w:r>
      <w:r>
        <w:rPr>
          <w:rFonts w:asciiTheme="minorHAnsi" w:hAnsiTheme="minorHAnsi" w:cstheme="minorHAnsi"/>
          <w:sz w:val="22"/>
          <w:szCs w:val="22"/>
        </w:rPr>
        <w:t xml:space="preserve">are </w:t>
      </w:r>
      <w:r w:rsidRPr="0000217F">
        <w:rPr>
          <w:rFonts w:asciiTheme="minorHAnsi" w:hAnsiTheme="minorHAnsi" w:cstheme="minorHAnsi"/>
          <w:sz w:val="22"/>
          <w:szCs w:val="22"/>
        </w:rPr>
        <w:t>replaced by formal contracts embedded in impersonal legal system</w:t>
      </w:r>
      <w:r>
        <w:rPr>
          <w:rFonts w:asciiTheme="minorHAnsi" w:hAnsiTheme="minorHAnsi" w:cstheme="minorHAnsi"/>
          <w:sz w:val="22"/>
          <w:szCs w:val="22"/>
        </w:rPr>
        <w:t>s. H</w:t>
      </w:r>
      <w:r w:rsidRPr="0000217F">
        <w:rPr>
          <w:rFonts w:asciiTheme="minorHAnsi" w:hAnsiTheme="minorHAnsi" w:cstheme="minorHAnsi"/>
          <w:sz w:val="22"/>
          <w:szCs w:val="22"/>
        </w:rPr>
        <w:t xml:space="preserve">owever, </w:t>
      </w:r>
      <w:r>
        <w:rPr>
          <w:rFonts w:asciiTheme="minorHAnsi" w:hAnsiTheme="minorHAnsi" w:cstheme="minorHAnsi"/>
          <w:sz w:val="22"/>
          <w:szCs w:val="22"/>
        </w:rPr>
        <w:t xml:space="preserve">rather than the stock of social capital shrinking, this transformation indicates a </w:t>
      </w:r>
      <w:r w:rsidRPr="0000217F">
        <w:rPr>
          <w:rFonts w:asciiTheme="minorHAnsi" w:hAnsiTheme="minorHAnsi" w:cstheme="minorHAnsi"/>
          <w:sz w:val="22"/>
          <w:szCs w:val="22"/>
        </w:rPr>
        <w:t xml:space="preserve">restructuring and </w:t>
      </w:r>
      <w:r>
        <w:rPr>
          <w:rFonts w:asciiTheme="minorHAnsi" w:hAnsiTheme="minorHAnsi" w:cstheme="minorHAnsi"/>
          <w:sz w:val="22"/>
          <w:szCs w:val="22"/>
        </w:rPr>
        <w:t xml:space="preserve">a </w:t>
      </w:r>
      <w:r w:rsidRPr="0000217F">
        <w:rPr>
          <w:rFonts w:asciiTheme="minorHAnsi" w:hAnsiTheme="minorHAnsi" w:cstheme="minorHAnsi"/>
          <w:sz w:val="22"/>
          <w:szCs w:val="22"/>
        </w:rPr>
        <w:t>deepening</w:t>
      </w:r>
      <w:r>
        <w:rPr>
          <w:rFonts w:asciiTheme="minorHAnsi" w:hAnsiTheme="minorHAnsi" w:cstheme="minorHAnsi"/>
          <w:sz w:val="22"/>
          <w:szCs w:val="22"/>
        </w:rPr>
        <w:t>,</w:t>
      </w:r>
      <w:r w:rsidRPr="0000217F">
        <w:rPr>
          <w:rFonts w:asciiTheme="minorHAnsi" w:hAnsiTheme="minorHAnsi" w:cstheme="minorHAnsi"/>
          <w:sz w:val="22"/>
          <w:szCs w:val="22"/>
        </w:rPr>
        <w:t xml:space="preserve"> albeit in broader sense (</w:t>
      </w:r>
      <w:proofErr w:type="spellStart"/>
      <w:r w:rsidRPr="0000217F">
        <w:rPr>
          <w:rFonts w:asciiTheme="minorHAnsi" w:hAnsiTheme="minorHAnsi" w:cstheme="minorHAnsi"/>
          <w:sz w:val="22"/>
          <w:szCs w:val="22"/>
        </w:rPr>
        <w:t>Stiglitz</w:t>
      </w:r>
      <w:proofErr w:type="spellEnd"/>
      <w:r w:rsidRPr="0000217F">
        <w:rPr>
          <w:rFonts w:asciiTheme="minorHAnsi" w:hAnsiTheme="minorHAnsi" w:cstheme="minorHAnsi"/>
          <w:sz w:val="22"/>
          <w:szCs w:val="22"/>
        </w:rPr>
        <w:t>, 2001, p.65).</w:t>
      </w:r>
    </w:p>
    <w:p w:rsidR="00AA788D" w:rsidRDefault="00AA788D" w:rsidP="00BE31C3">
      <w:pPr>
        <w:pStyle w:val="BodyText"/>
        <w:tabs>
          <w:tab w:val="left" w:pos="2839"/>
        </w:tabs>
        <w:spacing w:line="480" w:lineRule="auto"/>
        <w:ind w:firstLine="357"/>
        <w:rPr>
          <w:rFonts w:asciiTheme="minorHAnsi" w:hAnsiTheme="minorHAnsi" w:cstheme="minorHAnsi"/>
          <w:sz w:val="22"/>
          <w:szCs w:val="22"/>
        </w:rPr>
      </w:pPr>
      <w:r w:rsidRPr="00925219">
        <w:rPr>
          <w:rFonts w:asciiTheme="minorHAnsi" w:hAnsiTheme="minorHAnsi" w:cstheme="minorHAnsi"/>
          <w:sz w:val="22"/>
          <w:szCs w:val="22"/>
        </w:rPr>
        <w:t>Interpersonal networks can be considered as an asset, and as such, can be put to creative or destructive use</w:t>
      </w:r>
      <w:r>
        <w:rPr>
          <w:rFonts w:asciiTheme="minorHAnsi" w:hAnsiTheme="minorHAnsi" w:cstheme="minorHAnsi"/>
          <w:sz w:val="22"/>
          <w:szCs w:val="22"/>
        </w:rPr>
        <w:t>,</w:t>
      </w:r>
      <w:r w:rsidRPr="00925219">
        <w:rPr>
          <w:rFonts w:asciiTheme="minorHAnsi" w:hAnsiTheme="minorHAnsi" w:cstheme="minorHAnsi"/>
          <w:sz w:val="22"/>
          <w:szCs w:val="22"/>
        </w:rPr>
        <w:t xml:space="preserve"> or even be left unused. Some interpersonal networks always exist but may remain </w:t>
      </w:r>
      <w:r w:rsidRPr="00925219">
        <w:rPr>
          <w:rFonts w:asciiTheme="minorHAnsi" w:hAnsiTheme="minorHAnsi" w:cstheme="minorHAnsi"/>
          <w:sz w:val="22"/>
          <w:szCs w:val="22"/>
        </w:rPr>
        <w:lastRenderedPageBreak/>
        <w:t xml:space="preserve">inactive. </w:t>
      </w:r>
      <w:r>
        <w:rPr>
          <w:rFonts w:asciiTheme="minorHAnsi" w:hAnsiTheme="minorHAnsi" w:cstheme="minorHAnsi"/>
          <w:sz w:val="22"/>
          <w:szCs w:val="22"/>
        </w:rPr>
        <w:t>However,</w:t>
      </w:r>
      <w:r w:rsidRPr="00925219">
        <w:rPr>
          <w:rFonts w:asciiTheme="minorHAnsi" w:hAnsiTheme="minorHAnsi" w:cstheme="minorHAnsi"/>
          <w:sz w:val="22"/>
          <w:szCs w:val="22"/>
        </w:rPr>
        <w:t xml:space="preserve"> agents will resort to their use more frequently, </w:t>
      </w:r>
      <w:r>
        <w:rPr>
          <w:rFonts w:asciiTheme="minorHAnsi" w:hAnsiTheme="minorHAnsi" w:cstheme="minorHAnsi"/>
          <w:sz w:val="22"/>
          <w:szCs w:val="22"/>
        </w:rPr>
        <w:t xml:space="preserve">and </w:t>
      </w:r>
      <w:r w:rsidRPr="00925219">
        <w:rPr>
          <w:rFonts w:asciiTheme="minorHAnsi" w:hAnsiTheme="minorHAnsi" w:cstheme="minorHAnsi"/>
          <w:sz w:val="22"/>
          <w:szCs w:val="22"/>
        </w:rPr>
        <w:t>also form new interpersonal networks</w:t>
      </w:r>
      <w:r>
        <w:rPr>
          <w:rFonts w:asciiTheme="minorHAnsi" w:hAnsiTheme="minorHAnsi" w:cstheme="minorHAnsi"/>
          <w:sz w:val="22"/>
          <w:szCs w:val="22"/>
        </w:rPr>
        <w:t>,</w:t>
      </w:r>
      <w:r w:rsidRPr="00925219">
        <w:rPr>
          <w:rFonts w:asciiTheme="minorHAnsi" w:hAnsiTheme="minorHAnsi" w:cstheme="minorHAnsi"/>
          <w:sz w:val="22"/>
          <w:szCs w:val="22"/>
        </w:rPr>
        <w:t xml:space="preserve"> when impersonal markets are suppressed or weak, rent seeking behaviour is prevalent, and rules and laws are dysfunctional (</w:t>
      </w:r>
      <w:proofErr w:type="spellStart"/>
      <w:r w:rsidRPr="00925219">
        <w:rPr>
          <w:rFonts w:asciiTheme="minorHAnsi" w:hAnsiTheme="minorHAnsi" w:cstheme="minorHAnsi"/>
          <w:sz w:val="22"/>
          <w:szCs w:val="22"/>
        </w:rPr>
        <w:t>Dasgupta</w:t>
      </w:r>
      <w:proofErr w:type="spellEnd"/>
      <w:r w:rsidRPr="00925219">
        <w:rPr>
          <w:rFonts w:asciiTheme="minorHAnsi" w:hAnsiTheme="minorHAnsi" w:cstheme="minorHAnsi"/>
          <w:sz w:val="22"/>
          <w:szCs w:val="22"/>
        </w:rPr>
        <w:t xml:space="preserve">, 2005).  </w:t>
      </w:r>
    </w:p>
    <w:p w:rsidR="00AA788D" w:rsidRDefault="00AA788D" w:rsidP="00BE31C3">
      <w:pPr>
        <w:pStyle w:val="BodyText"/>
        <w:tabs>
          <w:tab w:val="left" w:pos="2839"/>
        </w:tabs>
        <w:spacing w:line="480" w:lineRule="auto"/>
        <w:ind w:firstLine="357"/>
        <w:rPr>
          <w:rFonts w:asciiTheme="minorHAnsi" w:hAnsiTheme="minorHAnsi" w:cstheme="minorHAnsi"/>
          <w:sz w:val="22"/>
          <w:szCs w:val="22"/>
        </w:rPr>
      </w:pPr>
      <w:r w:rsidRPr="0000217F">
        <w:rPr>
          <w:rFonts w:asciiTheme="minorHAnsi" w:hAnsiTheme="minorHAnsi" w:cstheme="minorHAnsi"/>
          <w:sz w:val="22"/>
          <w:szCs w:val="22"/>
        </w:rPr>
        <w:t>All modern societies use a mix of impersonal markets, bureaucratic organisations, and communitarian institutions which depend upon interpersonal networks (</w:t>
      </w:r>
      <w:proofErr w:type="spellStart"/>
      <w:r w:rsidRPr="0000217F">
        <w:rPr>
          <w:rFonts w:asciiTheme="minorHAnsi" w:hAnsiTheme="minorHAnsi" w:cstheme="minorHAnsi"/>
          <w:sz w:val="22"/>
          <w:szCs w:val="22"/>
        </w:rPr>
        <w:t>Dasgupta</w:t>
      </w:r>
      <w:proofErr w:type="spellEnd"/>
      <w:r w:rsidRPr="0000217F">
        <w:rPr>
          <w:rFonts w:asciiTheme="minorHAnsi" w:hAnsiTheme="minorHAnsi" w:cstheme="minorHAnsi"/>
          <w:sz w:val="22"/>
          <w:szCs w:val="22"/>
        </w:rPr>
        <w:t xml:space="preserve">, 2005). Indeed, market-based economic systems are characterised by anonymous markets and impersonal public and private bureaucratic organisations which operate under the rule of law (Weber, 1968). But, after more than twenty years of transition, most post-communist economies of the FSU, including Uzbekistan, </w:t>
      </w:r>
      <w:r>
        <w:rPr>
          <w:rFonts w:asciiTheme="minorHAnsi" w:hAnsiTheme="minorHAnsi" w:cstheme="minorHAnsi"/>
          <w:sz w:val="22"/>
          <w:szCs w:val="22"/>
        </w:rPr>
        <w:t>have</w:t>
      </w:r>
      <w:r w:rsidRPr="0000217F">
        <w:rPr>
          <w:rFonts w:asciiTheme="minorHAnsi" w:hAnsiTheme="minorHAnsi" w:cstheme="minorHAnsi"/>
          <w:sz w:val="22"/>
          <w:szCs w:val="22"/>
        </w:rPr>
        <w:t xml:space="preserve"> yet to achieve this stage of development. Rose</w:t>
      </w:r>
      <w:r>
        <w:rPr>
          <w:rFonts w:asciiTheme="minorHAnsi" w:hAnsiTheme="minorHAnsi" w:cstheme="minorHAnsi"/>
          <w:sz w:val="22"/>
          <w:szCs w:val="22"/>
        </w:rPr>
        <w:t xml:space="preserve"> (</w:t>
      </w:r>
      <w:r w:rsidRPr="0000217F">
        <w:rPr>
          <w:rFonts w:asciiTheme="minorHAnsi" w:hAnsiTheme="minorHAnsi" w:cstheme="minorHAnsi"/>
          <w:sz w:val="22"/>
          <w:szCs w:val="22"/>
        </w:rPr>
        <w:t>2001)</w:t>
      </w:r>
      <w:r>
        <w:rPr>
          <w:rFonts w:asciiTheme="minorHAnsi" w:hAnsiTheme="minorHAnsi" w:cstheme="minorHAnsi"/>
          <w:sz w:val="22"/>
          <w:szCs w:val="22"/>
        </w:rPr>
        <w:t xml:space="preserve"> characterises</w:t>
      </w:r>
      <w:r w:rsidRPr="0000217F">
        <w:rPr>
          <w:rFonts w:asciiTheme="minorHAnsi" w:hAnsiTheme="minorHAnsi" w:cstheme="minorHAnsi"/>
          <w:sz w:val="22"/>
          <w:szCs w:val="22"/>
        </w:rPr>
        <w:t xml:space="preserve"> these economies as suffering from an organisational failure: </w:t>
      </w:r>
      <w:r>
        <w:rPr>
          <w:rFonts w:asciiTheme="minorHAnsi" w:hAnsiTheme="minorHAnsi" w:cstheme="minorHAnsi"/>
          <w:sz w:val="22"/>
          <w:szCs w:val="22"/>
        </w:rPr>
        <w:t>whilst</w:t>
      </w:r>
      <w:r w:rsidRPr="0000217F">
        <w:rPr>
          <w:rFonts w:asciiTheme="minorHAnsi" w:hAnsiTheme="minorHAnsi" w:cstheme="minorHAnsi"/>
          <w:sz w:val="22"/>
          <w:szCs w:val="22"/>
        </w:rPr>
        <w:t xml:space="preserve"> over the years, market-based exchanges have intensified and formal bureaucratic organisations have gained importance</w:t>
      </w:r>
      <w:r>
        <w:rPr>
          <w:rFonts w:asciiTheme="minorHAnsi" w:hAnsiTheme="minorHAnsi" w:cstheme="minorHAnsi"/>
          <w:sz w:val="22"/>
          <w:szCs w:val="22"/>
        </w:rPr>
        <w:t xml:space="preserve">, </w:t>
      </w:r>
      <w:r w:rsidRPr="0000217F">
        <w:rPr>
          <w:rFonts w:asciiTheme="minorHAnsi" w:hAnsiTheme="minorHAnsi" w:cstheme="minorHAnsi"/>
          <w:sz w:val="22"/>
          <w:szCs w:val="22"/>
        </w:rPr>
        <w:t>the latter still fail to operate impartially</w:t>
      </w:r>
      <w:r>
        <w:rPr>
          <w:rFonts w:asciiTheme="minorHAnsi" w:hAnsiTheme="minorHAnsi" w:cstheme="minorHAnsi"/>
          <w:sz w:val="22"/>
          <w:szCs w:val="22"/>
        </w:rPr>
        <w:t xml:space="preserve"> or</w:t>
      </w:r>
      <w:r w:rsidRPr="0000217F">
        <w:rPr>
          <w:rFonts w:asciiTheme="minorHAnsi" w:hAnsiTheme="minorHAnsi" w:cstheme="minorHAnsi"/>
          <w:sz w:val="22"/>
          <w:szCs w:val="22"/>
        </w:rPr>
        <w:t xml:space="preserve"> predictably, </w:t>
      </w:r>
      <w:r>
        <w:rPr>
          <w:rFonts w:asciiTheme="minorHAnsi" w:hAnsiTheme="minorHAnsi" w:cstheme="minorHAnsi"/>
          <w:sz w:val="22"/>
          <w:szCs w:val="22"/>
        </w:rPr>
        <w:t>or</w:t>
      </w:r>
      <w:r w:rsidRPr="0000217F">
        <w:rPr>
          <w:rFonts w:asciiTheme="minorHAnsi" w:hAnsiTheme="minorHAnsi" w:cstheme="minorHAnsi"/>
          <w:sz w:val="22"/>
          <w:szCs w:val="22"/>
        </w:rPr>
        <w:t xml:space="preserve"> according </w:t>
      </w:r>
      <w:r>
        <w:rPr>
          <w:rFonts w:asciiTheme="minorHAnsi" w:hAnsiTheme="minorHAnsi" w:cstheme="minorHAnsi"/>
          <w:sz w:val="22"/>
          <w:szCs w:val="22"/>
        </w:rPr>
        <w:t>to legal prescription</w:t>
      </w:r>
      <w:r w:rsidRPr="0000217F">
        <w:rPr>
          <w:rFonts w:asciiTheme="minorHAnsi" w:hAnsiTheme="minorHAnsi" w:cstheme="minorHAnsi"/>
          <w:sz w:val="22"/>
          <w:szCs w:val="22"/>
        </w:rPr>
        <w:t>. Public officials and civil servants in otherwise impersonal bureaucratic organisations personalise their positions by using the rigidity of rules and regulations as an excuse for rent-seeking. As a result, individuals lose incentives to use prices, rules and regulations as signals</w:t>
      </w:r>
      <w:r>
        <w:rPr>
          <w:rFonts w:asciiTheme="minorHAnsi" w:hAnsiTheme="minorHAnsi" w:cstheme="minorHAnsi"/>
          <w:sz w:val="22"/>
          <w:szCs w:val="22"/>
        </w:rPr>
        <w:t xml:space="preserve">; </w:t>
      </w:r>
      <w:r w:rsidRPr="003D34DE">
        <w:rPr>
          <w:rFonts w:asciiTheme="minorHAnsi" w:hAnsiTheme="minorHAnsi" w:cstheme="minorHAnsi"/>
          <w:sz w:val="22"/>
          <w:szCs w:val="22"/>
        </w:rPr>
        <w:t xml:space="preserve">to realize their projects, </w:t>
      </w:r>
      <w:r>
        <w:rPr>
          <w:rFonts w:asciiTheme="minorHAnsi" w:hAnsiTheme="minorHAnsi" w:cstheme="minorHAnsi"/>
          <w:sz w:val="22"/>
          <w:szCs w:val="22"/>
        </w:rPr>
        <w:t>they</w:t>
      </w:r>
      <w:r w:rsidRPr="0000217F">
        <w:rPr>
          <w:rFonts w:asciiTheme="minorHAnsi" w:hAnsiTheme="minorHAnsi" w:cstheme="minorHAnsi"/>
          <w:sz w:val="22"/>
          <w:szCs w:val="22"/>
        </w:rPr>
        <w:t xml:space="preserve"> resort to variety of interpersonal networks to personalise relationships with impersonal bureaucrats</w:t>
      </w:r>
      <w:r>
        <w:rPr>
          <w:rFonts w:asciiTheme="minorHAnsi" w:hAnsiTheme="minorHAnsi" w:cstheme="minorHAnsi"/>
          <w:sz w:val="22"/>
          <w:szCs w:val="22"/>
        </w:rPr>
        <w:t>,</w:t>
      </w:r>
      <w:r w:rsidRPr="0000217F">
        <w:rPr>
          <w:rFonts w:asciiTheme="minorHAnsi" w:hAnsiTheme="minorHAnsi" w:cstheme="minorHAnsi"/>
          <w:sz w:val="22"/>
          <w:szCs w:val="22"/>
        </w:rPr>
        <w:t xml:space="preserve"> leading to misallocation of resources (Rose, 2001).</w:t>
      </w:r>
    </w:p>
    <w:p w:rsidR="00AA788D" w:rsidRPr="00EF6DF9" w:rsidRDefault="00AA788D" w:rsidP="00CB7756">
      <w:pPr>
        <w:pStyle w:val="BodyText"/>
        <w:tabs>
          <w:tab w:val="left" w:pos="2839"/>
        </w:tabs>
        <w:spacing w:line="480" w:lineRule="auto"/>
        <w:ind w:firstLine="357"/>
        <w:rPr>
          <w:rFonts w:asciiTheme="minorHAnsi" w:hAnsiTheme="minorHAnsi" w:cstheme="minorHAnsi"/>
          <w:sz w:val="22"/>
          <w:szCs w:val="22"/>
        </w:rPr>
      </w:pPr>
      <w:r w:rsidRPr="0000217F">
        <w:rPr>
          <w:rFonts w:ascii="Calibri" w:hAnsi="Calibri"/>
          <w:sz w:val="22"/>
          <w:szCs w:val="22"/>
        </w:rPr>
        <w:t>Some individuals are fortunate</w:t>
      </w:r>
      <w:r>
        <w:rPr>
          <w:rFonts w:ascii="Calibri" w:hAnsi="Calibri"/>
          <w:sz w:val="22"/>
          <w:szCs w:val="22"/>
        </w:rPr>
        <w:t xml:space="preserve">, and </w:t>
      </w:r>
      <w:r w:rsidRPr="0000217F">
        <w:rPr>
          <w:rFonts w:ascii="Calibri" w:hAnsi="Calibri"/>
          <w:sz w:val="22"/>
          <w:szCs w:val="22"/>
        </w:rPr>
        <w:t>inherit or establish economically beneficial network</w:t>
      </w:r>
      <w:r>
        <w:rPr>
          <w:rFonts w:ascii="Calibri" w:hAnsi="Calibri"/>
          <w:sz w:val="22"/>
          <w:szCs w:val="22"/>
        </w:rPr>
        <w:t>s</w:t>
      </w:r>
      <w:r w:rsidRPr="0000217F">
        <w:rPr>
          <w:rFonts w:ascii="Calibri" w:hAnsi="Calibri"/>
          <w:sz w:val="22"/>
          <w:szCs w:val="22"/>
        </w:rPr>
        <w:t xml:space="preserve"> of personal connections, while others </w:t>
      </w:r>
      <w:r>
        <w:rPr>
          <w:rFonts w:ascii="Calibri" w:hAnsi="Calibri"/>
          <w:sz w:val="22"/>
          <w:szCs w:val="22"/>
        </w:rPr>
        <w:t xml:space="preserve">have </w:t>
      </w:r>
      <w:r w:rsidRPr="0000217F">
        <w:rPr>
          <w:rFonts w:ascii="Calibri" w:hAnsi="Calibri"/>
          <w:sz w:val="22"/>
          <w:szCs w:val="22"/>
        </w:rPr>
        <w:t>connections which</w:t>
      </w:r>
      <w:r>
        <w:rPr>
          <w:rFonts w:ascii="Calibri" w:hAnsi="Calibri"/>
          <w:sz w:val="22"/>
          <w:szCs w:val="22"/>
        </w:rPr>
        <w:t xml:space="preserve">, </w:t>
      </w:r>
      <w:r w:rsidRPr="0000217F">
        <w:rPr>
          <w:rFonts w:ascii="Calibri" w:hAnsi="Calibri"/>
          <w:sz w:val="22"/>
          <w:szCs w:val="22"/>
        </w:rPr>
        <w:t xml:space="preserve">albeit </w:t>
      </w:r>
      <w:r>
        <w:rPr>
          <w:rFonts w:ascii="Calibri" w:hAnsi="Calibri"/>
          <w:sz w:val="22"/>
          <w:szCs w:val="22"/>
        </w:rPr>
        <w:t xml:space="preserve">of emotional </w:t>
      </w:r>
      <w:r w:rsidRPr="003D34DE">
        <w:rPr>
          <w:rFonts w:ascii="Calibri" w:hAnsi="Calibri"/>
          <w:sz w:val="22"/>
          <w:szCs w:val="22"/>
        </w:rPr>
        <w:t>val</w:t>
      </w:r>
      <w:r>
        <w:rPr>
          <w:rFonts w:ascii="Calibri" w:hAnsi="Calibri"/>
          <w:sz w:val="22"/>
          <w:szCs w:val="22"/>
        </w:rPr>
        <w:t>u</w:t>
      </w:r>
      <w:r w:rsidRPr="003D34DE">
        <w:rPr>
          <w:rFonts w:ascii="Calibri" w:hAnsi="Calibri"/>
          <w:sz w:val="22"/>
          <w:szCs w:val="22"/>
        </w:rPr>
        <w:t>e</w:t>
      </w:r>
      <w:r>
        <w:rPr>
          <w:rFonts w:ascii="Calibri" w:hAnsi="Calibri"/>
          <w:sz w:val="22"/>
          <w:szCs w:val="22"/>
        </w:rPr>
        <w:t>,</w:t>
      </w:r>
      <w:r w:rsidRPr="0000217F">
        <w:rPr>
          <w:rFonts w:ascii="Calibri" w:hAnsi="Calibri"/>
          <w:sz w:val="22"/>
          <w:szCs w:val="22"/>
        </w:rPr>
        <w:t xml:space="preserve"> are economically </w:t>
      </w:r>
      <w:r>
        <w:rPr>
          <w:rFonts w:ascii="Calibri" w:hAnsi="Calibri"/>
          <w:sz w:val="22"/>
          <w:szCs w:val="22"/>
        </w:rPr>
        <w:t>insignificant</w:t>
      </w:r>
      <w:r w:rsidRPr="0000217F">
        <w:rPr>
          <w:rFonts w:ascii="Calibri" w:hAnsi="Calibri"/>
          <w:sz w:val="22"/>
          <w:szCs w:val="22"/>
        </w:rPr>
        <w:t xml:space="preserve">. </w:t>
      </w:r>
      <w:r>
        <w:rPr>
          <w:rFonts w:ascii="Calibri" w:hAnsi="Calibri"/>
          <w:sz w:val="22"/>
          <w:szCs w:val="22"/>
        </w:rPr>
        <w:t xml:space="preserve">Because </w:t>
      </w:r>
      <w:r w:rsidRPr="0000217F">
        <w:rPr>
          <w:rFonts w:ascii="Calibri" w:hAnsi="Calibri"/>
          <w:sz w:val="22"/>
          <w:szCs w:val="22"/>
        </w:rPr>
        <w:t xml:space="preserve">interpersonal networks are exclusive, a small number of strategically well-connected individuals can often </w:t>
      </w:r>
      <w:r>
        <w:rPr>
          <w:rFonts w:ascii="Calibri" w:hAnsi="Calibri"/>
          <w:sz w:val="22"/>
          <w:szCs w:val="22"/>
        </w:rPr>
        <w:t>seize a disproportionately large</w:t>
      </w:r>
      <w:r w:rsidRPr="0000217F">
        <w:rPr>
          <w:rFonts w:ascii="Calibri" w:hAnsi="Calibri"/>
          <w:sz w:val="22"/>
          <w:szCs w:val="22"/>
        </w:rPr>
        <w:t xml:space="preserve"> share of common resources and opportunities (McKean, 1992). Large anonymous market-based exchange systems are more efficient than the interpersonal networks because “the best” buyer or seller may not be a part of exclusive networks (</w:t>
      </w:r>
      <w:proofErr w:type="spellStart"/>
      <w:r w:rsidRPr="0000217F">
        <w:rPr>
          <w:rFonts w:ascii="Calibri" w:hAnsi="Calibri"/>
          <w:sz w:val="22"/>
          <w:szCs w:val="22"/>
        </w:rPr>
        <w:t>Serageldin</w:t>
      </w:r>
      <w:proofErr w:type="spellEnd"/>
      <w:r w:rsidRPr="0000217F">
        <w:rPr>
          <w:rFonts w:ascii="Calibri" w:hAnsi="Calibri"/>
          <w:sz w:val="22"/>
          <w:szCs w:val="22"/>
        </w:rPr>
        <w:t xml:space="preserve"> and </w:t>
      </w:r>
      <w:proofErr w:type="spellStart"/>
      <w:r w:rsidRPr="0000217F">
        <w:rPr>
          <w:rFonts w:ascii="Calibri" w:hAnsi="Calibri"/>
          <w:sz w:val="22"/>
          <w:szCs w:val="22"/>
        </w:rPr>
        <w:t>Grootaert</w:t>
      </w:r>
      <w:proofErr w:type="spellEnd"/>
      <w:r w:rsidRPr="0000217F">
        <w:rPr>
          <w:rFonts w:ascii="Calibri" w:hAnsi="Calibri"/>
          <w:sz w:val="22"/>
          <w:szCs w:val="22"/>
        </w:rPr>
        <w:t xml:space="preserve">, 2001, p.53). In </w:t>
      </w:r>
      <w:r>
        <w:rPr>
          <w:rFonts w:ascii="Calibri" w:hAnsi="Calibri"/>
          <w:sz w:val="22"/>
          <w:szCs w:val="22"/>
        </w:rPr>
        <w:t>this</w:t>
      </w:r>
      <w:r w:rsidRPr="0000217F">
        <w:rPr>
          <w:rFonts w:ascii="Calibri" w:hAnsi="Calibri"/>
          <w:sz w:val="22"/>
          <w:szCs w:val="22"/>
        </w:rPr>
        <w:t xml:space="preserve"> particular example of access to formal credit, th</w:t>
      </w:r>
      <w:r>
        <w:rPr>
          <w:rFonts w:ascii="Calibri" w:hAnsi="Calibri"/>
          <w:sz w:val="22"/>
          <w:szCs w:val="22"/>
        </w:rPr>
        <w:t xml:space="preserve">e implication </w:t>
      </w:r>
      <w:r w:rsidRPr="0000217F">
        <w:rPr>
          <w:rFonts w:ascii="Calibri" w:hAnsi="Calibri"/>
          <w:sz w:val="22"/>
          <w:szCs w:val="22"/>
        </w:rPr>
        <w:t xml:space="preserve">is that society will </w:t>
      </w:r>
      <w:r>
        <w:rPr>
          <w:rFonts w:ascii="Calibri" w:hAnsi="Calibri"/>
          <w:sz w:val="22"/>
          <w:szCs w:val="22"/>
        </w:rPr>
        <w:t xml:space="preserve">fail </w:t>
      </w:r>
      <w:r w:rsidRPr="0000217F">
        <w:rPr>
          <w:rFonts w:ascii="Calibri" w:hAnsi="Calibri"/>
          <w:sz w:val="22"/>
          <w:szCs w:val="22"/>
        </w:rPr>
        <w:t xml:space="preserve">to allocate one of its scarce resources to its most productive use, </w:t>
      </w:r>
      <w:r>
        <w:rPr>
          <w:rFonts w:ascii="Calibri" w:hAnsi="Calibri"/>
          <w:sz w:val="22"/>
          <w:szCs w:val="22"/>
        </w:rPr>
        <w:t xml:space="preserve">as a result </w:t>
      </w:r>
      <w:r w:rsidRPr="0000217F">
        <w:rPr>
          <w:rFonts w:ascii="Calibri" w:hAnsi="Calibri"/>
          <w:sz w:val="22"/>
          <w:szCs w:val="22"/>
        </w:rPr>
        <w:t xml:space="preserve">experiencing </w:t>
      </w:r>
      <w:r w:rsidRPr="00EF6DF9">
        <w:rPr>
          <w:rFonts w:asciiTheme="minorHAnsi" w:hAnsiTheme="minorHAnsi" w:cstheme="minorHAnsi"/>
          <w:sz w:val="22"/>
          <w:szCs w:val="22"/>
        </w:rPr>
        <w:t>allocative inefficiency.</w:t>
      </w:r>
    </w:p>
    <w:p w:rsidR="00AA788D" w:rsidRDefault="00AA788D" w:rsidP="00CB7756">
      <w:pPr>
        <w:pStyle w:val="BodyText"/>
        <w:tabs>
          <w:tab w:val="left" w:pos="2839"/>
        </w:tabs>
        <w:spacing w:line="480" w:lineRule="auto"/>
        <w:ind w:firstLine="357"/>
        <w:rPr>
          <w:rFonts w:ascii="Calibri" w:hAnsi="Calibri"/>
          <w:sz w:val="22"/>
          <w:szCs w:val="22"/>
        </w:rPr>
      </w:pPr>
      <w:r w:rsidRPr="00EF6DF9">
        <w:rPr>
          <w:rFonts w:asciiTheme="minorHAnsi" w:hAnsiTheme="minorHAnsi" w:cstheme="minorHAnsi"/>
          <w:sz w:val="22"/>
          <w:szCs w:val="22"/>
        </w:rPr>
        <w:lastRenderedPageBreak/>
        <w:t>Our main</w:t>
      </w:r>
      <w:r w:rsidRPr="00EF6DF9">
        <w:rPr>
          <w:rFonts w:ascii="Calibri" w:hAnsi="Calibri"/>
          <w:sz w:val="22"/>
          <w:szCs w:val="22"/>
        </w:rPr>
        <w:t xml:space="preserve">, but simple, proxy variable for measuring the importance </w:t>
      </w:r>
      <w:r>
        <w:rPr>
          <w:rFonts w:ascii="Calibri" w:hAnsi="Calibri"/>
          <w:sz w:val="22"/>
          <w:szCs w:val="22"/>
        </w:rPr>
        <w:t xml:space="preserve">of </w:t>
      </w:r>
      <w:r w:rsidRPr="00EF6DF9">
        <w:rPr>
          <w:rFonts w:ascii="Calibri" w:hAnsi="Calibri"/>
          <w:sz w:val="22"/>
          <w:szCs w:val="22"/>
        </w:rPr>
        <w:t>such interpersonal network of connections in SMEs’ access to formal finance is government connections</w:t>
      </w:r>
      <w:r>
        <w:rPr>
          <w:rFonts w:ascii="Calibri" w:hAnsi="Calibri"/>
          <w:sz w:val="22"/>
          <w:szCs w:val="22"/>
        </w:rPr>
        <w:t>, which is defined</w:t>
      </w:r>
      <w:r w:rsidRPr="00EF6DF9">
        <w:rPr>
          <w:rFonts w:ascii="Calibri" w:hAnsi="Calibri"/>
          <w:sz w:val="22"/>
          <w:szCs w:val="22"/>
        </w:rPr>
        <w:t xml:space="preserve"> as </w:t>
      </w:r>
      <w:r>
        <w:rPr>
          <w:rFonts w:ascii="Calibri" w:hAnsi="Calibri"/>
          <w:sz w:val="22"/>
          <w:szCs w:val="22"/>
        </w:rPr>
        <w:t xml:space="preserve">SMEs </w:t>
      </w:r>
      <w:r w:rsidRPr="00EF6DF9">
        <w:rPr>
          <w:rFonts w:ascii="Calibri" w:hAnsi="Calibri"/>
          <w:sz w:val="22"/>
          <w:szCs w:val="22"/>
        </w:rPr>
        <w:t xml:space="preserve">having government connections if their senior managers, and/or their friends and/or relatives have held, or still hold, a senior position with a government institution at any of the local, regional, and central government offices. Further </w:t>
      </w:r>
      <w:r>
        <w:rPr>
          <w:rFonts w:ascii="Calibri" w:hAnsi="Calibri"/>
          <w:sz w:val="22"/>
          <w:szCs w:val="22"/>
        </w:rPr>
        <w:t xml:space="preserve">details </w:t>
      </w:r>
      <w:r w:rsidRPr="00EF6DF9">
        <w:rPr>
          <w:rFonts w:ascii="Calibri" w:hAnsi="Calibri"/>
          <w:sz w:val="22"/>
          <w:szCs w:val="22"/>
        </w:rPr>
        <w:t>of this and other relevant variables will be discusse</w:t>
      </w:r>
      <w:r>
        <w:rPr>
          <w:rFonts w:ascii="Calibri" w:hAnsi="Calibri"/>
          <w:sz w:val="22"/>
          <w:szCs w:val="22"/>
        </w:rPr>
        <w:t xml:space="preserve">d </w:t>
      </w:r>
      <w:r w:rsidRPr="00EF6DF9">
        <w:rPr>
          <w:rFonts w:ascii="Calibri" w:hAnsi="Calibri"/>
          <w:sz w:val="22"/>
          <w:szCs w:val="22"/>
        </w:rPr>
        <w:t>in detail in Sections 4 and 5.</w:t>
      </w:r>
    </w:p>
    <w:p w:rsidR="00AA788D" w:rsidRDefault="00AA788D" w:rsidP="008C369F">
      <w:pPr>
        <w:pStyle w:val="ListParagraph"/>
        <w:spacing w:before="120" w:beforeAutospacing="0" w:line="480" w:lineRule="auto"/>
        <w:ind w:left="1071" w:firstLine="0"/>
        <w:rPr>
          <w:rFonts w:cs="Calibri"/>
          <w:b/>
        </w:rPr>
      </w:pPr>
    </w:p>
    <w:p w:rsidR="00AA788D" w:rsidRDefault="00AA788D" w:rsidP="008C369F">
      <w:pPr>
        <w:pStyle w:val="ListParagraph"/>
        <w:spacing w:before="120" w:beforeAutospacing="0" w:line="480" w:lineRule="auto"/>
        <w:ind w:left="1071" w:firstLine="0"/>
        <w:rPr>
          <w:rFonts w:cs="Calibri"/>
          <w:b/>
        </w:rPr>
      </w:pPr>
      <w:r w:rsidRPr="0000217F">
        <w:rPr>
          <w:rFonts w:cs="Calibri"/>
          <w:b/>
        </w:rPr>
        <w:t>Recent Developments in Uzbekistan’s Banking Sector: A Background</w:t>
      </w:r>
    </w:p>
    <w:p w:rsidR="00AA788D" w:rsidRDefault="00AA788D" w:rsidP="00BE31C3">
      <w:pPr>
        <w:spacing w:line="480" w:lineRule="auto"/>
        <w:ind w:firstLine="357"/>
        <w:rPr>
          <w:rFonts w:cs="Calibri"/>
        </w:rPr>
      </w:pPr>
      <w:r w:rsidRPr="0000217F">
        <w:rPr>
          <w:rFonts w:cs="Calibri"/>
        </w:rPr>
        <w:t>Uzbekistan</w:t>
      </w:r>
      <w:r>
        <w:rPr>
          <w:rFonts w:cs="Calibri"/>
        </w:rPr>
        <w:t xml:space="preserve">’s initial </w:t>
      </w:r>
      <w:r w:rsidRPr="0000217F">
        <w:rPr>
          <w:rFonts w:cs="Calibri"/>
        </w:rPr>
        <w:t xml:space="preserve">market-oriented reforms </w:t>
      </w:r>
      <w:r>
        <w:rPr>
          <w:rFonts w:cs="Calibri"/>
        </w:rPr>
        <w:t xml:space="preserve">from </w:t>
      </w:r>
      <w:r w:rsidRPr="0000217F">
        <w:rPr>
          <w:rFonts w:cs="Calibri"/>
        </w:rPr>
        <w:t xml:space="preserve">independence </w:t>
      </w:r>
      <w:r>
        <w:rPr>
          <w:rFonts w:cs="Calibri"/>
        </w:rPr>
        <w:t>to the mid-</w:t>
      </w:r>
      <w:r w:rsidRPr="0000217F">
        <w:rPr>
          <w:rFonts w:cs="Calibri"/>
        </w:rPr>
        <w:t>199</w:t>
      </w:r>
      <w:r>
        <w:rPr>
          <w:rFonts w:cs="Calibri"/>
        </w:rPr>
        <w:t>0s</w:t>
      </w:r>
      <w:r w:rsidRPr="0000217F">
        <w:rPr>
          <w:rFonts w:cs="Calibri"/>
        </w:rPr>
        <w:t xml:space="preserve"> were relatively speedy and comprehensive</w:t>
      </w:r>
      <w:r>
        <w:rPr>
          <w:rFonts w:cs="Calibri"/>
        </w:rPr>
        <w:t xml:space="preserve"> </w:t>
      </w:r>
      <w:r w:rsidRPr="0000217F">
        <w:rPr>
          <w:rFonts w:cs="Calibri"/>
        </w:rPr>
        <w:t>(</w:t>
      </w:r>
      <w:proofErr w:type="spellStart"/>
      <w:r>
        <w:rPr>
          <w:rFonts w:cs="Calibri"/>
        </w:rPr>
        <w:t>Pomfret</w:t>
      </w:r>
      <w:proofErr w:type="spellEnd"/>
      <w:r>
        <w:rPr>
          <w:rFonts w:cs="Calibri"/>
        </w:rPr>
        <w:t>, 2010). Privatisation of small-</w:t>
      </w:r>
      <w:r w:rsidRPr="0000217F">
        <w:rPr>
          <w:rFonts w:cs="Calibri"/>
        </w:rPr>
        <w:t xml:space="preserve">scale enterprises was fast and successful, </w:t>
      </w:r>
      <w:r>
        <w:rPr>
          <w:rFonts w:cs="Calibri"/>
        </w:rPr>
        <w:t xml:space="preserve">and the privatisation </w:t>
      </w:r>
      <w:r w:rsidRPr="0000217F">
        <w:rPr>
          <w:rFonts w:cs="Calibri"/>
        </w:rPr>
        <w:t xml:space="preserve">process </w:t>
      </w:r>
      <w:r>
        <w:rPr>
          <w:rFonts w:cs="Calibri"/>
        </w:rPr>
        <w:t>began to be</w:t>
      </w:r>
      <w:r w:rsidRPr="0000217F">
        <w:rPr>
          <w:rFonts w:cs="Calibri"/>
        </w:rPr>
        <w:t xml:space="preserve"> extended to large enterprises</w:t>
      </w:r>
      <w:r>
        <w:rPr>
          <w:rFonts w:cs="Calibri"/>
        </w:rPr>
        <w:t xml:space="preserve">: </w:t>
      </w:r>
      <w:r w:rsidRPr="0000217F">
        <w:rPr>
          <w:rFonts w:cs="Calibri"/>
        </w:rPr>
        <w:t xml:space="preserve">private sector share in GDP rose from </w:t>
      </w:r>
      <w:r>
        <w:rPr>
          <w:rFonts w:cs="Calibri"/>
        </w:rPr>
        <w:t xml:space="preserve">almost </w:t>
      </w:r>
      <w:r w:rsidRPr="0000217F">
        <w:rPr>
          <w:rFonts w:cs="Calibri"/>
        </w:rPr>
        <w:t>zero before transition to 45% by 1997.</w:t>
      </w:r>
      <w:r>
        <w:rPr>
          <w:rFonts w:cs="Calibri"/>
        </w:rPr>
        <w:t xml:space="preserve"> Nevertheless, progress </w:t>
      </w:r>
      <w:r w:rsidRPr="0000217F">
        <w:rPr>
          <w:rFonts w:cs="Calibri"/>
        </w:rPr>
        <w:t xml:space="preserve">stalled </w:t>
      </w:r>
      <w:r>
        <w:rPr>
          <w:rFonts w:cs="Calibri"/>
        </w:rPr>
        <w:t>after</w:t>
      </w:r>
      <w:r w:rsidRPr="0000217F">
        <w:rPr>
          <w:rFonts w:cs="Calibri"/>
        </w:rPr>
        <w:t xml:space="preserve"> the late 1990s</w:t>
      </w:r>
      <w:r>
        <w:rPr>
          <w:rFonts w:cs="Calibri"/>
        </w:rPr>
        <w:t xml:space="preserve"> and, even </w:t>
      </w:r>
      <w:r w:rsidRPr="0000217F">
        <w:rPr>
          <w:rFonts w:cs="Calibri"/>
        </w:rPr>
        <w:t>after more than 20 years of transition</w:t>
      </w:r>
      <w:r>
        <w:rPr>
          <w:rFonts w:cs="Calibri"/>
        </w:rPr>
        <w:t xml:space="preserve">, state control remains over </w:t>
      </w:r>
      <w:r w:rsidRPr="0000217F">
        <w:rPr>
          <w:rFonts w:cs="Calibri"/>
        </w:rPr>
        <w:t>key sectors of the economy</w:t>
      </w:r>
      <w:r>
        <w:rPr>
          <w:rFonts w:cs="Calibri"/>
        </w:rPr>
        <w:t>.</w:t>
      </w:r>
    </w:p>
    <w:p w:rsidR="00AA788D" w:rsidRPr="00894F96" w:rsidRDefault="00AA788D" w:rsidP="00894F96">
      <w:pPr>
        <w:spacing w:line="480" w:lineRule="auto"/>
        <w:ind w:firstLine="357"/>
      </w:pPr>
      <w:r>
        <w:rPr>
          <w:rFonts w:cs="Calibri"/>
        </w:rPr>
        <w:t xml:space="preserve">According the </w:t>
      </w:r>
      <w:r w:rsidRPr="0000217F">
        <w:rPr>
          <w:rFonts w:cs="Calibri"/>
        </w:rPr>
        <w:t>European Bank for Reconstruction and Development (EBRD</w:t>
      </w:r>
      <w:r>
        <w:rPr>
          <w:rFonts w:cs="Calibri"/>
        </w:rPr>
        <w:t>, 2011</w:t>
      </w:r>
      <w:r w:rsidRPr="0000217F">
        <w:rPr>
          <w:rFonts w:cs="Calibri"/>
        </w:rPr>
        <w:t>)</w:t>
      </w:r>
      <w:r>
        <w:rPr>
          <w:rFonts w:cs="Calibri"/>
        </w:rPr>
        <w:t>,</w:t>
      </w:r>
      <w:r w:rsidRPr="0000217F">
        <w:rPr>
          <w:rFonts w:cs="Calibri"/>
        </w:rPr>
        <w:t xml:space="preserve"> no change </w:t>
      </w:r>
      <w:r>
        <w:rPr>
          <w:rFonts w:cs="Calibri"/>
        </w:rPr>
        <w:t xml:space="preserve">has occurred in Uzbekistan's reform </w:t>
      </w:r>
      <w:r w:rsidRPr="0000217F">
        <w:rPr>
          <w:rFonts w:cs="Calibri"/>
        </w:rPr>
        <w:t>indices</w:t>
      </w:r>
      <w:r w:rsidRPr="006E64B5">
        <w:rPr>
          <w:rFonts w:cs="Calibri"/>
          <w:vertAlign w:val="superscript"/>
        </w:rPr>
        <w:t>2</w:t>
      </w:r>
      <w:r>
        <w:rPr>
          <w:rFonts w:cs="Calibri"/>
        </w:rPr>
        <w:t xml:space="preserve"> for</w:t>
      </w:r>
      <w:r w:rsidRPr="0000217F">
        <w:rPr>
          <w:rFonts w:cs="Calibri"/>
        </w:rPr>
        <w:t xml:space="preserve"> banking, enterprise, and large scale privatisation respectively </w:t>
      </w:r>
      <w:r>
        <w:rPr>
          <w:rFonts w:cs="Calibri"/>
        </w:rPr>
        <w:t>since</w:t>
      </w:r>
      <w:r w:rsidRPr="0000217F">
        <w:rPr>
          <w:rFonts w:cs="Calibri"/>
        </w:rPr>
        <w:t xml:space="preserve"> the 2000s</w:t>
      </w:r>
      <w:r>
        <w:rPr>
          <w:rFonts w:cs="Calibri"/>
        </w:rPr>
        <w:t>. I</w:t>
      </w:r>
      <w:r w:rsidRPr="0000217F">
        <w:rPr>
          <w:rFonts w:cs="Calibri"/>
        </w:rPr>
        <w:t>n the banking sector</w:t>
      </w:r>
      <w:r>
        <w:rPr>
          <w:rFonts w:cs="Calibri"/>
        </w:rPr>
        <w:t xml:space="preserve">, </w:t>
      </w:r>
      <w:r w:rsidRPr="0000217F">
        <w:t xml:space="preserve">liberalisation policies </w:t>
      </w:r>
      <w:r>
        <w:t xml:space="preserve">for </w:t>
      </w:r>
      <w:r w:rsidRPr="0000217F">
        <w:t>credit allocation, soft credits, and interest ceilings</w:t>
      </w:r>
      <w:r>
        <w:rPr>
          <w:rFonts w:cs="Calibri"/>
        </w:rPr>
        <w:t xml:space="preserve"> are stalled; </w:t>
      </w:r>
      <w:r w:rsidRPr="0000217F">
        <w:rPr>
          <w:rFonts w:cs="Calibri"/>
        </w:rPr>
        <w:t>enforcement of bankruptcy legislation remain</w:t>
      </w:r>
      <w:r>
        <w:rPr>
          <w:rFonts w:cs="Calibri"/>
        </w:rPr>
        <w:t>s</w:t>
      </w:r>
      <w:r w:rsidRPr="0000217F">
        <w:rPr>
          <w:rFonts w:cs="Calibri"/>
        </w:rPr>
        <w:t xml:space="preserve"> weak and administrative methods of</w:t>
      </w:r>
      <w:r>
        <w:rPr>
          <w:rFonts w:cs="Calibri"/>
        </w:rPr>
        <w:t xml:space="preserve"> </w:t>
      </w:r>
      <w:r w:rsidRPr="0000217F">
        <w:rPr>
          <w:rFonts w:cs="Calibri"/>
        </w:rPr>
        <w:t>corporate governance ha</w:t>
      </w:r>
      <w:r>
        <w:rPr>
          <w:rFonts w:cs="Calibri"/>
        </w:rPr>
        <w:t>ve</w:t>
      </w:r>
      <w:r w:rsidRPr="0000217F">
        <w:rPr>
          <w:rFonts w:cs="Calibri"/>
        </w:rPr>
        <w:t xml:space="preserve"> not </w:t>
      </w:r>
      <w:r w:rsidRPr="00C157CF">
        <w:rPr>
          <w:rFonts w:cs="Calibri"/>
        </w:rPr>
        <w:t xml:space="preserve">fully </w:t>
      </w:r>
      <w:r w:rsidRPr="0000217F">
        <w:rPr>
          <w:rFonts w:cs="Calibri"/>
        </w:rPr>
        <w:t>been abolished in the enterprise sector (EBRD, 2011).</w:t>
      </w:r>
      <w:r>
        <w:rPr>
          <w:rFonts w:cs="Calibri"/>
        </w:rPr>
        <w:t xml:space="preserve"> More generally, </w:t>
      </w:r>
      <w:r w:rsidRPr="0000217F">
        <w:rPr>
          <w:rFonts w:cs="Calibri"/>
        </w:rPr>
        <w:t>Uzbekistan</w:t>
      </w:r>
      <w:r>
        <w:rPr>
          <w:rFonts w:cs="Calibri"/>
        </w:rPr>
        <w:t>’s</w:t>
      </w:r>
      <w:r w:rsidRPr="0000217F">
        <w:rPr>
          <w:rFonts w:cs="Calibri"/>
        </w:rPr>
        <w:t xml:space="preserve"> transition economy counterparts ha</w:t>
      </w:r>
      <w:r>
        <w:rPr>
          <w:rFonts w:cs="Calibri"/>
        </w:rPr>
        <w:t>ve</w:t>
      </w:r>
      <w:r w:rsidRPr="0000217F">
        <w:rPr>
          <w:rFonts w:cs="Calibri"/>
        </w:rPr>
        <w:t xml:space="preserve"> left </w:t>
      </w:r>
      <w:r>
        <w:rPr>
          <w:rFonts w:cs="Calibri"/>
        </w:rPr>
        <w:t xml:space="preserve">it </w:t>
      </w:r>
      <w:r w:rsidRPr="0000217F">
        <w:rPr>
          <w:rFonts w:cs="Calibri"/>
        </w:rPr>
        <w:t>behind in transforming banking</w:t>
      </w:r>
      <w:r>
        <w:rPr>
          <w:rFonts w:cs="Calibri"/>
        </w:rPr>
        <w:t>,</w:t>
      </w:r>
      <w:r w:rsidRPr="0000217F">
        <w:rPr>
          <w:rFonts w:cs="Calibri"/>
        </w:rPr>
        <w:t xml:space="preserve"> as well as enterprise sectors</w:t>
      </w:r>
      <w:r>
        <w:rPr>
          <w:rFonts w:cs="Calibri"/>
        </w:rPr>
        <w:t xml:space="preserve">, as shown in </w:t>
      </w:r>
      <w:r w:rsidRPr="0000217F">
        <w:rPr>
          <w:rFonts w:cs="Calibri"/>
        </w:rPr>
        <w:t xml:space="preserve">Figures </w:t>
      </w:r>
      <w:r>
        <w:rPr>
          <w:rFonts w:cs="Calibri"/>
        </w:rPr>
        <w:t>1</w:t>
      </w:r>
      <w:r w:rsidRPr="0000217F">
        <w:rPr>
          <w:rFonts w:cs="Calibri"/>
        </w:rPr>
        <w:t xml:space="preserve"> and </w:t>
      </w:r>
      <w:r>
        <w:rPr>
          <w:rFonts w:cs="Calibri"/>
        </w:rPr>
        <w:t>2</w:t>
      </w:r>
      <w:r w:rsidRPr="0000217F">
        <w:rPr>
          <w:rFonts w:cs="Calibri"/>
        </w:rPr>
        <w:t>.</w:t>
      </w:r>
    </w:p>
    <w:p w:rsidR="00AA788D" w:rsidRPr="0000217F" w:rsidRDefault="00AA788D" w:rsidP="00BE31C3">
      <w:pPr>
        <w:spacing w:line="480" w:lineRule="auto"/>
        <w:ind w:firstLine="357"/>
        <w:rPr>
          <w:rFonts w:cs="Calibri"/>
          <w:b/>
          <w:i/>
        </w:rPr>
      </w:pPr>
      <w:r w:rsidRPr="0000217F">
        <w:rPr>
          <w:rFonts w:cs="Calibri"/>
          <w:b/>
          <w:i/>
        </w:rPr>
        <w:t xml:space="preserve">&lt;Figures </w:t>
      </w:r>
      <w:r>
        <w:rPr>
          <w:rFonts w:cs="Calibri"/>
          <w:b/>
          <w:i/>
        </w:rPr>
        <w:t>1</w:t>
      </w:r>
      <w:r w:rsidRPr="0000217F">
        <w:rPr>
          <w:rFonts w:cs="Calibri"/>
          <w:b/>
          <w:i/>
        </w:rPr>
        <w:t xml:space="preserve"> and </w:t>
      </w:r>
      <w:r>
        <w:rPr>
          <w:rFonts w:cs="Calibri"/>
          <w:b/>
          <w:i/>
        </w:rPr>
        <w:t>2</w:t>
      </w:r>
      <w:r w:rsidRPr="0000217F">
        <w:rPr>
          <w:rFonts w:cs="Calibri"/>
          <w:b/>
          <w:i/>
        </w:rPr>
        <w:t>&gt;</w:t>
      </w:r>
    </w:p>
    <w:p w:rsidR="00AA788D" w:rsidRDefault="00AA788D" w:rsidP="00BE31C3">
      <w:pPr>
        <w:spacing w:line="480" w:lineRule="auto"/>
        <w:ind w:firstLine="357"/>
      </w:pPr>
      <w:r>
        <w:t>T</w:t>
      </w:r>
      <w:r w:rsidRPr="0000217F">
        <w:t xml:space="preserve">he ratio of bank assets to GDP </w:t>
      </w:r>
      <w:r>
        <w:t>has remained</w:t>
      </w:r>
      <w:r w:rsidRPr="0000217F">
        <w:t xml:space="preserve"> large in relation to the ratio of broad money to GDP</w:t>
      </w:r>
      <w:r>
        <w:t xml:space="preserve"> (see Figure 3)</w:t>
      </w:r>
      <w:r w:rsidRPr="0000217F">
        <w:t>.</w:t>
      </w:r>
      <w:r>
        <w:t xml:space="preserve"> One possible explanation </w:t>
      </w:r>
      <w:r w:rsidRPr="0000217F">
        <w:t xml:space="preserve">is that Uzbekistan resorted to external finance </w:t>
      </w:r>
      <w:r>
        <w:t xml:space="preserve">for </w:t>
      </w:r>
      <w:r w:rsidRPr="0000217F">
        <w:t xml:space="preserve">investment projects in the 1990s, especially in the energy sector, and borrowed well over US$5 </w:t>
      </w:r>
      <w:r w:rsidRPr="0000217F">
        <w:lastRenderedPageBreak/>
        <w:t>billion, equivalent to more th</w:t>
      </w:r>
      <w:r>
        <w:t>an 55% of GDP (World Bank, 2003</w:t>
      </w:r>
      <w:r w:rsidRPr="0000217F">
        <w:t xml:space="preserve">). Most of these loans were attracted by large state-owned banks under sovereign guarantee. </w:t>
      </w:r>
      <w:r>
        <w:t>However</w:t>
      </w:r>
      <w:r w:rsidRPr="0000217F">
        <w:t xml:space="preserve">, international reserves </w:t>
      </w:r>
      <w:r>
        <w:t xml:space="preserve">grew </w:t>
      </w:r>
      <w:r w:rsidRPr="0000217F">
        <w:t xml:space="preserve">from </w:t>
      </w:r>
      <w:r>
        <w:t xml:space="preserve">around </w:t>
      </w:r>
      <w:r w:rsidRPr="0000217F">
        <w:t>US$1 billion in 2000 to over US$11 billion in 2009</w:t>
      </w:r>
      <w:r>
        <w:t xml:space="preserve">, arising from </w:t>
      </w:r>
      <w:r w:rsidRPr="0000217F">
        <w:t xml:space="preserve">consistent trade surpluses and large </w:t>
      </w:r>
      <w:r>
        <w:t xml:space="preserve">remittance </w:t>
      </w:r>
      <w:r w:rsidRPr="0000217F">
        <w:t>inflow</w:t>
      </w:r>
      <w:r>
        <w:t>s</w:t>
      </w:r>
      <w:r w:rsidRPr="0000217F">
        <w:t>.</w:t>
      </w:r>
      <w:r>
        <w:t xml:space="preserve"> Consequently</w:t>
      </w:r>
      <w:r w:rsidRPr="0000217F">
        <w:t xml:space="preserve">, as the ratio of external debt to GDP declined, </w:t>
      </w:r>
      <w:r>
        <w:t>so</w:t>
      </w:r>
      <w:r w:rsidRPr="0000217F">
        <w:t xml:space="preserve"> did the ratio of bank assets to GDP.</w:t>
      </w:r>
    </w:p>
    <w:p w:rsidR="00AA788D" w:rsidRPr="00EF6DF9" w:rsidRDefault="00AA788D" w:rsidP="00BE31C3">
      <w:pPr>
        <w:spacing w:line="480" w:lineRule="auto"/>
        <w:ind w:firstLine="357"/>
        <w:rPr>
          <w:b/>
        </w:rPr>
      </w:pPr>
      <w:r w:rsidRPr="00EF6DF9">
        <w:rPr>
          <w:b/>
        </w:rPr>
        <w:t>&lt;</w:t>
      </w:r>
      <w:r>
        <w:rPr>
          <w:b/>
          <w:i/>
        </w:rPr>
        <w:t>Figure 3</w:t>
      </w:r>
      <w:r w:rsidRPr="00EF6DF9">
        <w:rPr>
          <w:b/>
        </w:rPr>
        <w:t>&gt;</w:t>
      </w:r>
    </w:p>
    <w:p w:rsidR="00AA788D" w:rsidRPr="0000217F" w:rsidRDefault="00AA788D" w:rsidP="00BE31C3">
      <w:pPr>
        <w:spacing w:line="480" w:lineRule="auto"/>
        <w:ind w:firstLine="357"/>
      </w:pPr>
      <w:r w:rsidRPr="0000217F">
        <w:rPr>
          <w:rFonts w:cstheme="minorHAnsi"/>
          <w:lang w:val="en-US"/>
        </w:rPr>
        <w:t>An</w:t>
      </w:r>
      <w:r>
        <w:rPr>
          <w:rFonts w:cstheme="minorHAnsi"/>
          <w:lang w:val="en-US"/>
        </w:rPr>
        <w:t xml:space="preserve"> alternative account identifies </w:t>
      </w:r>
      <w:r w:rsidRPr="0000217F">
        <w:rPr>
          <w:rFonts w:cstheme="minorHAnsi"/>
          <w:lang w:val="en-US"/>
        </w:rPr>
        <w:t>the continuation of the old-style directed credit</w:t>
      </w:r>
      <w:r>
        <w:rPr>
          <w:rFonts w:cstheme="minorHAnsi"/>
          <w:lang w:val="en-US"/>
        </w:rPr>
        <w:t>,</w:t>
      </w:r>
      <w:r w:rsidRPr="0000217F">
        <w:rPr>
          <w:rFonts w:cstheme="minorHAnsi"/>
          <w:lang w:val="en-US"/>
        </w:rPr>
        <w:t xml:space="preserve"> and </w:t>
      </w:r>
      <w:r>
        <w:rPr>
          <w:rFonts w:cstheme="minorHAnsi"/>
          <w:lang w:val="en-US"/>
        </w:rPr>
        <w:t xml:space="preserve">highlights </w:t>
      </w:r>
      <w:r w:rsidRPr="0000217F">
        <w:rPr>
          <w:rFonts w:cstheme="minorHAnsi"/>
          <w:lang w:val="en-US"/>
        </w:rPr>
        <w:t>attempt</w:t>
      </w:r>
      <w:r>
        <w:rPr>
          <w:rFonts w:cstheme="minorHAnsi"/>
          <w:lang w:val="en-US"/>
        </w:rPr>
        <w:t>s</w:t>
      </w:r>
      <w:r w:rsidRPr="0000217F">
        <w:rPr>
          <w:rFonts w:cstheme="minorHAnsi"/>
          <w:lang w:val="en-US"/>
        </w:rPr>
        <w:t xml:space="preserve"> to deal with </w:t>
      </w:r>
      <w:r>
        <w:rPr>
          <w:rFonts w:cstheme="minorHAnsi"/>
          <w:lang w:val="en-US"/>
        </w:rPr>
        <w:t>its</w:t>
      </w:r>
      <w:r w:rsidRPr="0000217F">
        <w:rPr>
          <w:rFonts w:cstheme="minorHAnsi"/>
          <w:lang w:val="en-US"/>
        </w:rPr>
        <w:t xml:space="preserve"> impact on excessive credit growth and hence inflation (</w:t>
      </w:r>
      <w:proofErr w:type="spellStart"/>
      <w:r w:rsidRPr="0000217F">
        <w:rPr>
          <w:rFonts w:cstheme="minorHAnsi"/>
          <w:lang w:val="en-US"/>
        </w:rPr>
        <w:t>Akimov</w:t>
      </w:r>
      <w:proofErr w:type="spellEnd"/>
      <w:r w:rsidRPr="0000217F">
        <w:rPr>
          <w:rFonts w:cstheme="minorHAnsi"/>
          <w:lang w:val="en-US"/>
        </w:rPr>
        <w:t xml:space="preserve"> and </w:t>
      </w:r>
      <w:proofErr w:type="spellStart"/>
      <w:r w:rsidRPr="0000217F">
        <w:rPr>
          <w:rFonts w:cstheme="minorHAnsi"/>
          <w:lang w:val="en-US"/>
        </w:rPr>
        <w:t>Dollery</w:t>
      </w:r>
      <w:proofErr w:type="spellEnd"/>
      <w:r w:rsidRPr="0000217F">
        <w:rPr>
          <w:rFonts w:cstheme="minorHAnsi"/>
          <w:lang w:val="en-US"/>
        </w:rPr>
        <w:t>, 2009).</w:t>
      </w:r>
      <w:r>
        <w:rPr>
          <w:rFonts w:cstheme="minorHAnsi"/>
          <w:lang w:val="en-US"/>
        </w:rPr>
        <w:t xml:space="preserve"> While </w:t>
      </w:r>
      <w:r>
        <w:rPr>
          <w:rFonts w:cstheme="minorHAnsi"/>
        </w:rPr>
        <w:t>a</w:t>
      </w:r>
      <w:r w:rsidRPr="0000217F">
        <w:rPr>
          <w:rFonts w:cstheme="minorHAnsi"/>
        </w:rPr>
        <w:t xml:space="preserve"> generous credit policy </w:t>
      </w:r>
      <w:r>
        <w:rPr>
          <w:rFonts w:cstheme="minorHAnsi"/>
        </w:rPr>
        <w:t>helped prevent</w:t>
      </w:r>
      <w:r w:rsidRPr="0000217F">
        <w:rPr>
          <w:rFonts w:cstheme="minorHAnsi"/>
        </w:rPr>
        <w:t xml:space="preserve"> unemployment and output loss</w:t>
      </w:r>
      <w:r>
        <w:rPr>
          <w:rFonts w:cstheme="minorHAnsi"/>
        </w:rPr>
        <w:t xml:space="preserve">es, its consequence was </w:t>
      </w:r>
      <w:r w:rsidRPr="0000217F">
        <w:rPr>
          <w:rFonts w:cstheme="minorHAnsi"/>
        </w:rPr>
        <w:t>an excess supply of bank credit (non-cash money) in the economy</w:t>
      </w:r>
      <w:r>
        <w:rPr>
          <w:rFonts w:cstheme="minorHAnsi"/>
        </w:rPr>
        <w:t xml:space="preserve">, a key systematic problem for </w:t>
      </w:r>
      <w:r w:rsidRPr="005D547B">
        <w:rPr>
          <w:rFonts w:cstheme="minorHAnsi"/>
        </w:rPr>
        <w:t>the banking sector (EBRD, 2003, p.212)</w:t>
      </w:r>
      <w:r w:rsidRPr="0000217F">
        <w:rPr>
          <w:rFonts w:cstheme="minorHAnsi"/>
        </w:rPr>
        <w:t xml:space="preserve">. </w:t>
      </w:r>
      <w:r>
        <w:rPr>
          <w:rFonts w:cstheme="minorHAnsi"/>
          <w:lang w:val="en-US"/>
        </w:rPr>
        <w:t>M</w:t>
      </w:r>
      <w:r w:rsidRPr="0000217F">
        <w:rPr>
          <w:rFonts w:cstheme="minorHAnsi"/>
          <w:lang w:val="en-US"/>
        </w:rPr>
        <w:t xml:space="preserve">onetary authorities </w:t>
      </w:r>
      <w:r w:rsidRPr="005D547B">
        <w:rPr>
          <w:rFonts w:cstheme="minorHAnsi"/>
          <w:lang w:val="en-US"/>
        </w:rPr>
        <w:t>deal</w:t>
      </w:r>
      <w:r>
        <w:rPr>
          <w:rFonts w:cstheme="minorHAnsi"/>
          <w:lang w:val="en-US"/>
        </w:rPr>
        <w:t>t</w:t>
      </w:r>
      <w:r w:rsidRPr="005D547B">
        <w:rPr>
          <w:rFonts w:cstheme="minorHAnsi"/>
          <w:lang w:val="en-US"/>
        </w:rPr>
        <w:t xml:space="preserve"> with this problem </w:t>
      </w:r>
      <w:r>
        <w:rPr>
          <w:rFonts w:cstheme="minorHAnsi"/>
          <w:lang w:val="en-US"/>
        </w:rPr>
        <w:t xml:space="preserve">through </w:t>
      </w:r>
      <w:r w:rsidRPr="0000217F">
        <w:rPr>
          <w:rFonts w:cstheme="minorHAnsi"/>
          <w:lang w:val="en-US"/>
        </w:rPr>
        <w:t>command-economy style restrictions on free convertibility between cash money and non-cash money.</w:t>
      </w:r>
      <w:r w:rsidRPr="006E64B5">
        <w:rPr>
          <w:rFonts w:cstheme="minorHAnsi"/>
          <w:vertAlign w:val="superscript"/>
          <w:lang w:val="en-US"/>
        </w:rPr>
        <w:t>3</w:t>
      </w:r>
      <w:r>
        <w:rPr>
          <w:rFonts w:cstheme="minorHAnsi"/>
          <w:lang w:val="en-US"/>
        </w:rPr>
        <w:t xml:space="preserve"> </w:t>
      </w:r>
      <w:r>
        <w:t>Such p</w:t>
      </w:r>
      <w:r w:rsidRPr="0000217F">
        <w:t>ayment</w:t>
      </w:r>
      <w:r>
        <w:t>s</w:t>
      </w:r>
      <w:r w:rsidRPr="0000217F">
        <w:t xml:space="preserve"> system problems remain an issue for the smooth operation and growth of enterprises</w:t>
      </w:r>
      <w:r>
        <w:t>, as the next section shows</w:t>
      </w:r>
      <w:r w:rsidRPr="0000217F">
        <w:t>.</w:t>
      </w:r>
    </w:p>
    <w:p w:rsidR="00AA788D" w:rsidRDefault="00AA788D" w:rsidP="00BE31C3">
      <w:pPr>
        <w:spacing w:line="480" w:lineRule="auto"/>
        <w:ind w:firstLine="357"/>
      </w:pPr>
      <w:r>
        <w:t>T</w:t>
      </w:r>
      <w:r w:rsidRPr="0000217F">
        <w:t>o mitigate the impact of the global financial crisis and economic recession on the domestic economy</w:t>
      </w:r>
      <w:r>
        <w:t>,</w:t>
      </w:r>
      <w:r w:rsidRPr="0000217F">
        <w:t xml:space="preserve"> significant liquidity </w:t>
      </w:r>
      <w:r>
        <w:t xml:space="preserve">was </w:t>
      </w:r>
      <w:r w:rsidRPr="008241F8">
        <w:t xml:space="preserve">injected </w:t>
      </w:r>
      <w:r>
        <w:t>in</w:t>
      </w:r>
      <w:r w:rsidRPr="0000217F">
        <w:t>to the capital base of the largest state-owned banks</w:t>
      </w:r>
      <w:r>
        <w:t>. This</w:t>
      </w:r>
      <w:r w:rsidRPr="0000217F">
        <w:t xml:space="preserve"> helped increase banking sector capital by around 40% </w:t>
      </w:r>
      <w:r>
        <w:t>each year</w:t>
      </w:r>
      <w:r w:rsidRPr="0000217F">
        <w:t xml:space="preserve"> in 2008-10, </w:t>
      </w:r>
      <w:r>
        <w:t xml:space="preserve">and </w:t>
      </w:r>
      <w:r w:rsidRPr="0000217F">
        <w:t xml:space="preserve">also </w:t>
      </w:r>
      <w:r>
        <w:t xml:space="preserve">supported annual </w:t>
      </w:r>
      <w:r w:rsidRPr="0000217F">
        <w:t xml:space="preserve">bank credit </w:t>
      </w:r>
      <w:r>
        <w:t xml:space="preserve">supply </w:t>
      </w:r>
      <w:r w:rsidRPr="008241F8">
        <w:t xml:space="preserve">growth </w:t>
      </w:r>
      <w:r w:rsidRPr="0000217F">
        <w:t>to economy at more than 30% during this period (</w:t>
      </w:r>
      <w:r>
        <w:t>CBU</w:t>
      </w:r>
      <w:r w:rsidRPr="0000217F">
        <w:t xml:space="preserve">, </w:t>
      </w:r>
      <w:r>
        <w:t>2012</w:t>
      </w:r>
      <w:r w:rsidRPr="0000217F">
        <w:t>).</w:t>
      </w:r>
    </w:p>
    <w:p w:rsidR="00AA788D" w:rsidRDefault="00AA788D" w:rsidP="00BE31C3">
      <w:pPr>
        <w:spacing w:line="480" w:lineRule="auto"/>
        <w:ind w:firstLine="357"/>
      </w:pPr>
      <w:r>
        <w:t xml:space="preserve">Nevertheless, with </w:t>
      </w:r>
      <w:r w:rsidRPr="0000217F">
        <w:t xml:space="preserve">relatively small sizes of monetisation and bank intermediation </w:t>
      </w:r>
      <w:r>
        <w:t xml:space="preserve">(compared </w:t>
      </w:r>
      <w:r w:rsidRPr="0000217F">
        <w:t>to the size of the economy</w:t>
      </w:r>
      <w:r>
        <w:t>)</w:t>
      </w:r>
      <w:r w:rsidRPr="0000217F">
        <w:t xml:space="preserve">, state control of the banking sector </w:t>
      </w:r>
      <w:r>
        <w:t xml:space="preserve">and </w:t>
      </w:r>
      <w:r w:rsidRPr="0000217F">
        <w:t>most large</w:t>
      </w:r>
      <w:r>
        <w:t>-scale enterprises,</w:t>
      </w:r>
      <w:r w:rsidRPr="0000217F">
        <w:t xml:space="preserve"> and persistent payment</w:t>
      </w:r>
      <w:r>
        <w:t>s</w:t>
      </w:r>
      <w:r w:rsidRPr="0000217F">
        <w:t xml:space="preserve"> system problems associated with operating business accounts with banks, </w:t>
      </w:r>
      <w:r>
        <w:t xml:space="preserve">prospects for </w:t>
      </w:r>
      <w:r w:rsidRPr="0000217F">
        <w:t>access to formal credit</w:t>
      </w:r>
      <w:r>
        <w:t xml:space="preserve"> by SMEs do not appear encouraging. O</w:t>
      </w:r>
      <w:r w:rsidRPr="00185E31">
        <w:t xml:space="preserve">n their own, </w:t>
      </w:r>
      <w:r>
        <w:t xml:space="preserve">however, these general indicators do not </w:t>
      </w:r>
      <w:r w:rsidRPr="00185E31">
        <w:t xml:space="preserve">provide </w:t>
      </w:r>
      <w:r>
        <w:t xml:space="preserve">any insight into </w:t>
      </w:r>
      <w:r w:rsidRPr="00185E31">
        <w:t xml:space="preserve">important questions such as whether or not </w:t>
      </w:r>
      <w:r w:rsidRPr="00185E31">
        <w:lastRenderedPageBreak/>
        <w:t xml:space="preserve">all SMEs have equal access to bank credit, and the </w:t>
      </w:r>
      <w:r>
        <w:t xml:space="preserve">major influences </w:t>
      </w:r>
      <w:r w:rsidRPr="00185E31">
        <w:t>affect</w:t>
      </w:r>
      <w:r>
        <w:t>ing</w:t>
      </w:r>
      <w:r w:rsidRPr="00185E31">
        <w:t xml:space="preserve"> their use of formal finance. These issues will be discussed in </w:t>
      </w:r>
      <w:r>
        <w:t xml:space="preserve">more </w:t>
      </w:r>
      <w:r w:rsidRPr="00185E31">
        <w:t>depth in the next two sections.</w:t>
      </w:r>
    </w:p>
    <w:p w:rsidR="00AA788D" w:rsidRPr="0000217F" w:rsidRDefault="00AA788D" w:rsidP="008C369F">
      <w:pPr>
        <w:pStyle w:val="ListParagraph"/>
        <w:spacing w:line="480" w:lineRule="auto"/>
        <w:ind w:left="1074" w:firstLine="0"/>
        <w:rPr>
          <w:rFonts w:cs="Calibri"/>
          <w:b/>
        </w:rPr>
      </w:pPr>
      <w:r w:rsidRPr="0000217F">
        <w:rPr>
          <w:rFonts w:cs="Calibri"/>
          <w:b/>
        </w:rPr>
        <w:t>Data Used in the Study and Their Preliminary Analysis</w:t>
      </w:r>
    </w:p>
    <w:p w:rsidR="00AA788D" w:rsidRDefault="00AA788D" w:rsidP="00BE31C3">
      <w:pPr>
        <w:tabs>
          <w:tab w:val="left" w:pos="2839"/>
        </w:tabs>
        <w:spacing w:line="480" w:lineRule="auto"/>
        <w:ind w:firstLine="357"/>
      </w:pPr>
      <w:r>
        <w:t xml:space="preserve">The primary data used in this study is a sample of 502 SMEs which comes from three different regions in Uzbekistan. The detailed discussion of the data source and the method of construction can be found in Appendix 1. </w:t>
      </w:r>
    </w:p>
    <w:p w:rsidR="00AA788D" w:rsidRPr="0009042A" w:rsidRDefault="00AA788D" w:rsidP="00BE31C3">
      <w:pPr>
        <w:tabs>
          <w:tab w:val="left" w:pos="2839"/>
        </w:tabs>
        <w:spacing w:line="480" w:lineRule="auto"/>
        <w:ind w:firstLine="357"/>
      </w:pPr>
      <w:r w:rsidRPr="0009042A">
        <w:t xml:space="preserve">Summary statistics of the main variables used in the study are presented in Table </w:t>
      </w:r>
      <w:r>
        <w:t>1</w:t>
      </w:r>
      <w:r w:rsidRPr="0009042A">
        <w:t xml:space="preserve">; Table </w:t>
      </w:r>
      <w:r>
        <w:t>2</w:t>
      </w:r>
      <w:r w:rsidRPr="0009042A">
        <w:t xml:space="preserve"> shows the same set of variables </w:t>
      </w:r>
      <w:r>
        <w:t xml:space="preserve">distinguished </w:t>
      </w:r>
      <w:r w:rsidRPr="0009042A">
        <w:t xml:space="preserve">by </w:t>
      </w:r>
      <w:r>
        <w:t xml:space="preserve">the existence or otherwise of </w:t>
      </w:r>
      <w:r w:rsidRPr="0009042A">
        <w:t>government connections</w:t>
      </w:r>
      <w:r>
        <w:t xml:space="preserve"> (</w:t>
      </w:r>
      <w:r w:rsidRPr="0009042A">
        <w:rPr>
          <w:rFonts w:cs="Calibri"/>
        </w:rPr>
        <w:t>regarded as an indicator of senior SME managers’ interpersonal connections with government officials</w:t>
      </w:r>
      <w:r>
        <w:t>)</w:t>
      </w:r>
      <w:r w:rsidRPr="0009042A">
        <w:t xml:space="preserve">, </w:t>
      </w:r>
      <w:r>
        <w:t xml:space="preserve">and </w:t>
      </w:r>
      <w:r w:rsidRPr="0009042A">
        <w:t xml:space="preserve">also </w:t>
      </w:r>
      <w:r>
        <w:t>test</w:t>
      </w:r>
      <w:r w:rsidRPr="0009042A">
        <w:t xml:space="preserve"> whether or not the simple sub-sample means are statistically different under a two-tailed t-test.</w:t>
      </w:r>
    </w:p>
    <w:p w:rsidR="00AA788D" w:rsidRPr="0009042A" w:rsidRDefault="00AA788D" w:rsidP="00BE31C3">
      <w:pPr>
        <w:tabs>
          <w:tab w:val="left" w:pos="2839"/>
        </w:tabs>
        <w:spacing w:line="480" w:lineRule="auto"/>
        <w:ind w:firstLine="357"/>
      </w:pPr>
      <w:r w:rsidRPr="0009042A">
        <w:t xml:space="preserve">As can be seen </w:t>
      </w:r>
      <w:r>
        <w:t xml:space="preserve">in </w:t>
      </w:r>
      <w:r w:rsidRPr="0009042A">
        <w:t xml:space="preserve">Table </w:t>
      </w:r>
      <w:r>
        <w:t>1</w:t>
      </w:r>
      <w:r w:rsidRPr="0009042A">
        <w:t>, the average age of SME heads in the sample is approximately 43 years with the standard deviation</w:t>
      </w:r>
      <w:r>
        <w:t xml:space="preserve"> (</w:t>
      </w:r>
      <w:proofErr w:type="spellStart"/>
      <w:r>
        <w:t>s.d</w:t>
      </w:r>
      <w:proofErr w:type="spellEnd"/>
      <w:r>
        <w:t>.)</w:t>
      </w:r>
      <w:r w:rsidRPr="0009042A">
        <w:t xml:space="preserve"> of 11 years, implying SMEs are mostly governed by middle aged individuals. The average value of SME heads’ education</w:t>
      </w:r>
      <w:r>
        <w:t>, reflecting their human capital,</w:t>
      </w:r>
      <w:r w:rsidRPr="0009042A">
        <w:t xml:space="preserve"> is over 17 years with </w:t>
      </w:r>
      <w:r>
        <w:t xml:space="preserve">an </w:t>
      </w:r>
      <w:proofErr w:type="spellStart"/>
      <w:r>
        <w:t>s.d</w:t>
      </w:r>
      <w:proofErr w:type="spellEnd"/>
      <w:r>
        <w:t xml:space="preserve">. of 3 years, which </w:t>
      </w:r>
      <w:r w:rsidRPr="0009042A">
        <w:t>impl</w:t>
      </w:r>
      <w:r>
        <w:t>ies that most</w:t>
      </w:r>
      <w:r w:rsidRPr="0009042A">
        <w:t xml:space="preserve"> SME heads in the sample have </w:t>
      </w:r>
      <w:r>
        <w:t xml:space="preserve">a </w:t>
      </w:r>
      <w:r w:rsidRPr="0009042A">
        <w:t>higher education degree. SME management is dominated by males</w:t>
      </w:r>
      <w:r>
        <w:t>,</w:t>
      </w:r>
      <w:r w:rsidRPr="0009042A">
        <w:t xml:space="preserve"> as female SME heads constituted only 17% of the sample.</w:t>
      </w:r>
      <w:r w:rsidRPr="00633F32">
        <w:rPr>
          <w:vertAlign w:val="superscript"/>
        </w:rPr>
        <w:t>4</w:t>
      </w:r>
      <w:r w:rsidRPr="0009042A">
        <w:t xml:space="preserve"> </w:t>
      </w:r>
      <w:r>
        <w:t>As for the</w:t>
      </w:r>
      <w:r w:rsidRPr="0009042A">
        <w:t xml:space="preserve"> age of SMEs, which can be interpreted as business experience, the sample is dominated by relatively young SMEs: the average age of SMEs </w:t>
      </w:r>
      <w:r>
        <w:t>is around 8 years.</w:t>
      </w:r>
    </w:p>
    <w:p w:rsidR="00AA788D" w:rsidRPr="0009042A" w:rsidRDefault="00AA788D" w:rsidP="00BE31C3">
      <w:pPr>
        <w:tabs>
          <w:tab w:val="left" w:pos="2839"/>
        </w:tabs>
        <w:spacing w:line="480" w:lineRule="auto"/>
        <w:ind w:firstLine="357"/>
      </w:pPr>
      <w:r w:rsidRPr="0009042A">
        <w:rPr>
          <w:b/>
          <w:i/>
        </w:rPr>
        <w:t>&lt;</w:t>
      </w:r>
      <w:r>
        <w:rPr>
          <w:b/>
          <w:i/>
        </w:rPr>
        <w:t>Tables 1</w:t>
      </w:r>
      <w:r w:rsidRPr="0009042A">
        <w:rPr>
          <w:b/>
          <w:i/>
        </w:rPr>
        <w:t xml:space="preserve"> and </w:t>
      </w:r>
      <w:r>
        <w:rPr>
          <w:b/>
          <w:i/>
        </w:rPr>
        <w:t>2</w:t>
      </w:r>
      <w:r w:rsidRPr="0009042A">
        <w:rPr>
          <w:b/>
          <w:i/>
        </w:rPr>
        <w:t>&gt;</w:t>
      </w:r>
    </w:p>
    <w:p w:rsidR="00AA788D" w:rsidRPr="0009042A" w:rsidRDefault="00AA788D" w:rsidP="00BE31C3">
      <w:pPr>
        <w:tabs>
          <w:tab w:val="left" w:pos="2839"/>
        </w:tabs>
        <w:spacing w:line="480" w:lineRule="auto"/>
        <w:ind w:firstLine="357"/>
      </w:pPr>
      <w:r w:rsidRPr="0009042A">
        <w:t xml:space="preserve">Further relevant information about some of the other important variables is presented in Figures </w:t>
      </w:r>
      <w:r>
        <w:t>4</w:t>
      </w:r>
      <w:r w:rsidRPr="0009042A">
        <w:t>-</w:t>
      </w:r>
      <w:r>
        <w:t>6</w:t>
      </w:r>
      <w:r w:rsidRPr="0009042A">
        <w:t>. Enterprises usually face a variety of obstacles outside their control that hinder their smooth operation and growth</w:t>
      </w:r>
      <w:r>
        <w:t>;</w:t>
      </w:r>
      <w:r w:rsidRPr="0009042A">
        <w:t xml:space="preserve"> accessibility of appropriately-priced external finance is only one of them. Figure </w:t>
      </w:r>
      <w:r>
        <w:t xml:space="preserve">4 </w:t>
      </w:r>
      <w:r w:rsidRPr="0009042A">
        <w:t xml:space="preserve">ranks respondents’ subjective assessment of the severity of obstacles which hamper their operation and growth, focusing only on “very important” and “important” answers as a percentage </w:t>
      </w:r>
      <w:r w:rsidRPr="0009042A">
        <w:lastRenderedPageBreak/>
        <w:t xml:space="preserve">of total responses (other possible responses were “slightly important”, “of little importance”, “not important”, and “not a problem”). Key obstacles relevant to financial sector development are highlighted in a darker colour, and thus around 33% and 59% of sampled enterprises indicated that the external finance constraint and the payments system problems respectively were “important” or “very important” obstacles, the latter reinforcing previous discussion </w:t>
      </w:r>
      <w:r>
        <w:t xml:space="preserve">of </w:t>
      </w:r>
      <w:r w:rsidRPr="0009042A">
        <w:t>payment system problems a</w:t>
      </w:r>
      <w:r>
        <w:t>s</w:t>
      </w:r>
      <w:r w:rsidRPr="0009042A">
        <w:t xml:space="preserve"> a major country-specific commercial difficulty in Uzbekistan. Respondents’ subjective evaluation of their access to bank credit, in the scale of 1 (very easy) to 5 (very difficult), is reported in Figure </w:t>
      </w:r>
      <w:r>
        <w:t>5</w:t>
      </w:r>
      <w:r w:rsidRPr="0009042A">
        <w:t>: those describing access to formal finance “difficult” or “very difficult” constituted more than half of the respondents.</w:t>
      </w:r>
    </w:p>
    <w:p w:rsidR="00AA788D" w:rsidRPr="0009042A" w:rsidRDefault="00AA788D" w:rsidP="00BE31C3">
      <w:pPr>
        <w:tabs>
          <w:tab w:val="left" w:pos="2839"/>
        </w:tabs>
        <w:spacing w:line="480" w:lineRule="auto"/>
        <w:ind w:firstLine="357"/>
        <w:rPr>
          <w:b/>
          <w:i/>
        </w:rPr>
      </w:pPr>
      <w:r w:rsidRPr="0009042A">
        <w:rPr>
          <w:b/>
          <w:i/>
        </w:rPr>
        <w:t>&lt;Figure</w:t>
      </w:r>
      <w:r>
        <w:rPr>
          <w:b/>
          <w:i/>
        </w:rPr>
        <w:t xml:space="preserve">s 4 </w:t>
      </w:r>
      <w:r w:rsidRPr="0009042A">
        <w:rPr>
          <w:b/>
          <w:i/>
        </w:rPr>
        <w:t>and</w:t>
      </w:r>
      <w:r>
        <w:rPr>
          <w:b/>
          <w:i/>
        </w:rPr>
        <w:t xml:space="preserve"> 5</w:t>
      </w:r>
      <w:r w:rsidRPr="0009042A">
        <w:rPr>
          <w:b/>
          <w:i/>
        </w:rPr>
        <w:t>&gt;</w:t>
      </w:r>
    </w:p>
    <w:p w:rsidR="00AA788D" w:rsidRPr="0009042A" w:rsidRDefault="00AA788D" w:rsidP="00BE31C3">
      <w:pPr>
        <w:tabs>
          <w:tab w:val="left" w:pos="2839"/>
        </w:tabs>
        <w:spacing w:line="480" w:lineRule="auto"/>
        <w:ind w:firstLine="357"/>
      </w:pPr>
      <w:r w:rsidRPr="0009042A">
        <w:t xml:space="preserve">Entrepreneurs require external finance, both formal and informal, for variety of purposes including business start-ups, working capital needs, fixed capital formation, and possibly even for debt financing. However, formal credit institutions such as banks mostly provide loans to </w:t>
      </w:r>
      <w:r>
        <w:t>well-</w:t>
      </w:r>
      <w:r w:rsidRPr="0009042A">
        <w:t xml:space="preserve">established SMEs for specific working capital and investment purposes. </w:t>
      </w:r>
      <w:r>
        <w:t>Table 3</w:t>
      </w:r>
      <w:r w:rsidRPr="0009042A">
        <w:t xml:space="preserve"> provides general information on the proportion of SMEs within the sample which, respectively, invested in business expansion, expressed a need for external finance, applied for formal credit, and obtained formal credit. As can be seen from the second and third columns, 70% of the SMEs in the sample invested in the expansion of their business since their inception (</w:t>
      </w:r>
      <w:r w:rsidRPr="0009042A">
        <w:rPr>
          <w:rFonts w:cs="Calibri"/>
        </w:rPr>
        <w:t>or privatisation if they were former SOEs)</w:t>
      </w:r>
      <w:r w:rsidRPr="0009042A">
        <w:t xml:space="preserve">; 53% of respondents indicated a need for external finance; around 37% applied for formal finance; and less than 21% had actually obtained formal bank credit during the last five years, a comparatively small proportion relative to the average ratio of 34% over 30 countries in the World Bank and EBRD Business Environment and Enterprise Performance Survey </w:t>
      </w:r>
      <w:r>
        <w:t>in</w:t>
      </w:r>
      <w:r w:rsidRPr="0009042A">
        <w:t xml:space="preserve"> 2005 (</w:t>
      </w:r>
      <w:proofErr w:type="spellStart"/>
      <w:r w:rsidRPr="0009042A">
        <w:t>Muravyev</w:t>
      </w:r>
      <w:proofErr w:type="spellEnd"/>
      <w:r>
        <w:t xml:space="preserve"> </w:t>
      </w:r>
      <w:r w:rsidRPr="0009042A">
        <w:rPr>
          <w:i/>
        </w:rPr>
        <w:t xml:space="preserve">et al., </w:t>
      </w:r>
      <w:r w:rsidRPr="0009042A">
        <w:t>2009, p. 275).</w:t>
      </w:r>
    </w:p>
    <w:p w:rsidR="00AA788D" w:rsidRPr="0009042A" w:rsidRDefault="00AA788D" w:rsidP="00BE31C3">
      <w:pPr>
        <w:tabs>
          <w:tab w:val="left" w:pos="2839"/>
        </w:tabs>
        <w:spacing w:line="480" w:lineRule="auto"/>
        <w:ind w:firstLine="357"/>
        <w:rPr>
          <w:rFonts w:eastAsia="Times New Roman" w:cs="Calibri"/>
          <w:b/>
          <w:bCs/>
          <w:i/>
          <w:color w:val="000000"/>
          <w:lang w:eastAsia="en-GB"/>
        </w:rPr>
      </w:pPr>
      <w:r w:rsidRPr="0009042A">
        <w:rPr>
          <w:rFonts w:eastAsia="Times New Roman" w:cs="Calibri"/>
          <w:b/>
          <w:bCs/>
          <w:i/>
          <w:color w:val="000000"/>
          <w:lang w:eastAsia="en-GB"/>
        </w:rPr>
        <w:t>&lt;</w:t>
      </w:r>
      <w:r>
        <w:rPr>
          <w:rFonts w:eastAsia="Times New Roman" w:cs="Calibri"/>
          <w:b/>
          <w:bCs/>
          <w:i/>
          <w:color w:val="000000"/>
          <w:lang w:eastAsia="en-GB"/>
        </w:rPr>
        <w:t>Table 3</w:t>
      </w:r>
      <w:r w:rsidRPr="0009042A">
        <w:rPr>
          <w:rFonts w:eastAsia="Times New Roman" w:cs="Calibri"/>
          <w:b/>
          <w:bCs/>
          <w:i/>
          <w:color w:val="000000"/>
          <w:lang w:eastAsia="en-GB"/>
        </w:rPr>
        <w:t>&gt;</w:t>
      </w:r>
    </w:p>
    <w:p w:rsidR="00AA788D" w:rsidRDefault="00AA788D" w:rsidP="00BE31C3">
      <w:pPr>
        <w:tabs>
          <w:tab w:val="left" w:pos="2839"/>
        </w:tabs>
        <w:spacing w:line="480" w:lineRule="auto"/>
        <w:ind w:firstLine="357"/>
      </w:pPr>
      <w:r w:rsidRPr="0009042A">
        <w:lastRenderedPageBreak/>
        <w:t>SMEs which did not apply for formal finance were asked to identify reasons for their self-exclusion</w:t>
      </w:r>
      <w:r>
        <w:t xml:space="preserve"> </w:t>
      </w:r>
      <w:r w:rsidRPr="0009042A">
        <w:t>from the formal credit market</w:t>
      </w:r>
      <w:r>
        <w:t>; the main responses were s</w:t>
      </w:r>
      <w:r w:rsidRPr="0009042A">
        <w:t xml:space="preserve">ufficient internal finance (33%), loan costs (23%), loan agreement terms and collateral requirements (21% combined), and complexity of the application process (15%). Additionally, SMEs which applied unsuccessfully for formal finance were asked for their opinion </w:t>
      </w:r>
      <w:r>
        <w:t xml:space="preserve">of </w:t>
      </w:r>
      <w:r w:rsidRPr="0009042A">
        <w:t xml:space="preserve">why their applications failed. Figure </w:t>
      </w:r>
      <w:r>
        <w:t>6 indicates</w:t>
      </w:r>
      <w:r w:rsidRPr="0009042A">
        <w:t xml:space="preserve"> that </w:t>
      </w:r>
      <w:r>
        <w:t xml:space="preserve">the </w:t>
      </w:r>
      <w:r w:rsidRPr="0009042A">
        <w:t>most important reason for rejection (over 35% of responses) was unsuitability of their collateral for formal credit institutions</w:t>
      </w:r>
      <w:r>
        <w:t>, which is</w:t>
      </w:r>
      <w:r w:rsidRPr="0009042A">
        <w:t xml:space="preserve"> a classical problem</w:t>
      </w:r>
      <w:r>
        <w:t xml:space="preserve"> (</w:t>
      </w:r>
      <w:proofErr w:type="spellStart"/>
      <w:r w:rsidRPr="0000217F">
        <w:t>Chandavarkar</w:t>
      </w:r>
      <w:proofErr w:type="spellEnd"/>
      <w:r>
        <w:t>, 1992)</w:t>
      </w:r>
      <w:r w:rsidRPr="0009042A">
        <w:t>.</w:t>
      </w:r>
    </w:p>
    <w:p w:rsidR="00AA788D" w:rsidRPr="00915678" w:rsidRDefault="00AA788D" w:rsidP="00BE31C3">
      <w:pPr>
        <w:tabs>
          <w:tab w:val="left" w:pos="2839"/>
        </w:tabs>
        <w:spacing w:line="480" w:lineRule="auto"/>
        <w:ind w:firstLine="357"/>
        <w:rPr>
          <w:b/>
          <w:i/>
        </w:rPr>
      </w:pPr>
      <w:r w:rsidRPr="0009042A">
        <w:rPr>
          <w:b/>
          <w:i/>
        </w:rPr>
        <w:t>&lt;Figure 6&gt;</w:t>
      </w:r>
    </w:p>
    <w:p w:rsidR="00AA788D" w:rsidRPr="0009042A" w:rsidRDefault="00AA788D" w:rsidP="00BE31C3">
      <w:pPr>
        <w:tabs>
          <w:tab w:val="left" w:pos="2839"/>
        </w:tabs>
        <w:spacing w:line="480" w:lineRule="auto"/>
        <w:ind w:firstLine="357"/>
      </w:pPr>
      <w:r w:rsidRPr="0009042A">
        <w:t xml:space="preserve">Nevertheless, </w:t>
      </w:r>
      <w:r w:rsidRPr="00AE1432">
        <w:rPr>
          <w:i/>
        </w:rPr>
        <w:t>use</w:t>
      </w:r>
      <w:r w:rsidRPr="0009042A">
        <w:t xml:space="preserve"> of formal credit is not the same as </w:t>
      </w:r>
      <w:r w:rsidRPr="00AE1432">
        <w:rPr>
          <w:i/>
        </w:rPr>
        <w:t>access</w:t>
      </w:r>
      <w:r w:rsidRPr="0009042A">
        <w:t xml:space="preserve"> to formal credit. Access is a broader term referring to the availability of a reasonable quantity of formal finance at reasonable costs</w:t>
      </w:r>
      <w:r>
        <w:t xml:space="preserve"> </w:t>
      </w:r>
      <w:r w:rsidRPr="0009042A">
        <w:t>(</w:t>
      </w:r>
      <w:proofErr w:type="spellStart"/>
      <w:r w:rsidRPr="0009042A">
        <w:t>Claessens</w:t>
      </w:r>
      <w:proofErr w:type="spellEnd"/>
      <w:r w:rsidRPr="0009042A">
        <w:t>, 2006, pp.210-11)</w:t>
      </w:r>
      <w:r>
        <w:t xml:space="preserve">; </w:t>
      </w:r>
      <w:r w:rsidRPr="0009042A">
        <w:t xml:space="preserve">it covers both existing users of formal credit as well as those who voluntarily exclude themselves for variety of reasons including assumed rejection, self-sufficiency of internal funds, and possibly even lack of awareness. In this sense, additional information provided in the fourth column of </w:t>
      </w:r>
      <w:r>
        <w:t>Table 3</w:t>
      </w:r>
      <w:r w:rsidRPr="0009042A">
        <w:t xml:space="preserve"> can be useful in depicting a clearer picture of SMEs’ access to formal finance. Approximately three-quarters of SMEs which had invested in business expansion since their start-up expressed a need for external finance. Of these around 70% applied for formal finance, which in this study just comprises bank credits – the predominant source of external finance for small enterprises (Berger and </w:t>
      </w:r>
      <w:proofErr w:type="spellStart"/>
      <w:r w:rsidRPr="0009042A">
        <w:t>Udell</w:t>
      </w:r>
      <w:proofErr w:type="spellEnd"/>
      <w:r w:rsidRPr="0009042A">
        <w:t>, 1998). Most importantly, conditional upon applying for bank credit, more than half of the SMEs successfully received formal credit, indicating that access to formal credit is actually greater than suggested by the low ratio</w:t>
      </w:r>
      <w:r>
        <w:t xml:space="preserve"> </w:t>
      </w:r>
      <w:r w:rsidRPr="0009042A">
        <w:t>of SMEs with credit use</w:t>
      </w:r>
      <w:r w:rsidRPr="00D33D4E">
        <w:t xml:space="preserve"> </w:t>
      </w:r>
      <w:r w:rsidRPr="0009042A">
        <w:t>in the overall sample.</w:t>
      </w:r>
    </w:p>
    <w:p w:rsidR="00AA788D" w:rsidRPr="0009042A" w:rsidRDefault="00AA788D" w:rsidP="00BE31C3">
      <w:pPr>
        <w:tabs>
          <w:tab w:val="left" w:pos="2839"/>
        </w:tabs>
        <w:spacing w:line="480" w:lineRule="auto"/>
        <w:ind w:firstLine="357"/>
      </w:pPr>
      <w:r w:rsidRPr="0009042A">
        <w:t>While this preliminary analysis provides some insight into SME financial constraints, other issues remain unresolved. For example, some SMEs which do not require bank credit may still apply for and even obtain it</w:t>
      </w:r>
      <w:r>
        <w:t xml:space="preserve"> (</w:t>
      </w:r>
      <w:r w:rsidRPr="0009042A">
        <w:t>due, for example, to the existence of interpersonal relations, asymmetric information and adverse selection problems</w:t>
      </w:r>
      <w:r>
        <w:t>)</w:t>
      </w:r>
      <w:r w:rsidRPr="0009042A">
        <w:t>.</w:t>
      </w:r>
    </w:p>
    <w:p w:rsidR="00AA788D" w:rsidRPr="008E34AF" w:rsidRDefault="00AA788D">
      <w:pPr>
        <w:tabs>
          <w:tab w:val="left" w:pos="2839"/>
        </w:tabs>
        <w:spacing w:line="480" w:lineRule="auto"/>
        <w:ind w:firstLine="357"/>
        <w:rPr>
          <w:rFonts w:cs="Calibri"/>
        </w:rPr>
      </w:pPr>
      <w:r>
        <w:rPr>
          <w:rFonts w:cs="Calibri"/>
        </w:rPr>
        <w:lastRenderedPageBreak/>
        <w:t>Table 3</w:t>
      </w:r>
      <w:r w:rsidRPr="0009042A">
        <w:rPr>
          <w:rFonts w:cs="Calibri"/>
        </w:rPr>
        <w:t xml:space="preserve"> also divides information on these variables for SMEs with and without government connections. Simple comparison between results for these two sub-samples shows that, conditional upon undertaking business expansion, the proportion of SMEs requiring external finance is higher for enterprises without government conn</w:t>
      </w:r>
      <w:r>
        <w:rPr>
          <w:rFonts w:cs="Calibri"/>
        </w:rPr>
        <w:t>ections than their counterparts</w:t>
      </w:r>
      <w:r w:rsidRPr="0009042A">
        <w:rPr>
          <w:rFonts w:cs="Calibri"/>
        </w:rPr>
        <w:t>. However, and more importantly, of the enterprises requiring external finance, more SMEs with government connections applied for formal credit than those without government connections; furthermore, conditional upon applying for formal credit, the success rate is also rather higher for SMEs with government connections than that for those without. On average, a larger proportion of SMEs with government connections obtained bank credit (29%) than those without government connections (19%), whereas a smaller proportion of the former group (67%) carried out business expansion since their inception</w:t>
      </w:r>
      <w:r>
        <w:rPr>
          <w:rFonts w:cs="Calibri"/>
        </w:rPr>
        <w:t>,</w:t>
      </w:r>
      <w:r w:rsidRPr="0009042A">
        <w:rPr>
          <w:rFonts w:cs="Calibri"/>
        </w:rPr>
        <w:t xml:space="preserve"> compared to that of the latter group (80%). In both cases, the differences in the means are statistically significant at less than 5% level in a two-sided t-test (see </w:t>
      </w:r>
      <w:r>
        <w:rPr>
          <w:rFonts w:cs="Calibri"/>
        </w:rPr>
        <w:t>Table 2</w:t>
      </w:r>
      <w:r w:rsidRPr="0009042A">
        <w:rPr>
          <w:rFonts w:cs="Calibri"/>
        </w:rPr>
        <w:t>).</w:t>
      </w:r>
      <w:r>
        <w:rPr>
          <w:rFonts w:cs="Calibri"/>
        </w:rPr>
        <w:t xml:space="preserve"> </w:t>
      </w:r>
      <w:r>
        <w:t xml:space="preserve">An important caveat, however, is that not all government connections are equal and that having connections at the highest level would result in more access to resource opportunities. Nevertheless, our assumption (also consistent with evidence found elsewhere: </w:t>
      </w:r>
      <w:proofErr w:type="spellStart"/>
      <w:r>
        <w:t>Faccio</w:t>
      </w:r>
      <w:proofErr w:type="spellEnd"/>
      <w:r>
        <w:t xml:space="preserve">, 2006; </w:t>
      </w:r>
      <w:proofErr w:type="spellStart"/>
      <w:r>
        <w:t>Faccio</w:t>
      </w:r>
      <w:proofErr w:type="spellEnd"/>
      <w:r>
        <w:rPr>
          <w:i/>
        </w:rPr>
        <w:t xml:space="preserve"> et al., </w:t>
      </w:r>
      <w:r>
        <w:t>2006) is that the established political elite in Uzbekistan is more likely to be linked with large</w:t>
      </w:r>
      <w:r w:rsidRPr="00C62D49">
        <w:t xml:space="preserve"> enterprises, having turnovers in excess of millions of dollars and employing thousands of people</w:t>
      </w:r>
      <w:r>
        <w:t>. This, combined with the fact that majority of the SMEs in our sample employ less than 25 people, implies that we are dealing with a 'second tier' of connectedness which can be treated as relatively equal.</w:t>
      </w:r>
    </w:p>
    <w:p w:rsidR="00AA788D" w:rsidRDefault="00AA788D" w:rsidP="008C369F">
      <w:pPr>
        <w:pStyle w:val="BodyText"/>
        <w:tabs>
          <w:tab w:val="left" w:pos="2839"/>
        </w:tabs>
        <w:spacing w:before="120" w:line="480" w:lineRule="auto"/>
        <w:ind w:left="1071"/>
        <w:rPr>
          <w:rFonts w:asciiTheme="minorHAnsi" w:hAnsiTheme="minorHAnsi" w:cstheme="minorHAnsi"/>
          <w:b/>
          <w:sz w:val="22"/>
          <w:szCs w:val="22"/>
        </w:rPr>
      </w:pPr>
      <w:r w:rsidRPr="0000217F">
        <w:rPr>
          <w:rFonts w:asciiTheme="minorHAnsi" w:hAnsiTheme="minorHAnsi" w:cstheme="minorHAnsi"/>
          <w:b/>
          <w:sz w:val="22"/>
          <w:szCs w:val="22"/>
        </w:rPr>
        <w:t xml:space="preserve">Do Interpersonal Relations Matter in Gaining Access to Formal Finance? </w:t>
      </w:r>
    </w:p>
    <w:p w:rsidR="00AA788D" w:rsidRPr="0000217F" w:rsidRDefault="00AA788D" w:rsidP="00580DCC">
      <w:pPr>
        <w:pStyle w:val="BodyText"/>
        <w:tabs>
          <w:tab w:val="left" w:pos="2839"/>
        </w:tabs>
        <w:spacing w:line="480" w:lineRule="auto"/>
        <w:ind w:firstLine="360"/>
        <w:jc w:val="center"/>
        <w:rPr>
          <w:rFonts w:asciiTheme="minorHAnsi" w:hAnsiTheme="minorHAnsi" w:cstheme="minorHAnsi"/>
          <w:b/>
          <w:sz w:val="22"/>
          <w:szCs w:val="22"/>
        </w:rPr>
      </w:pPr>
      <w:r w:rsidRPr="0000217F">
        <w:rPr>
          <w:rFonts w:asciiTheme="minorHAnsi" w:hAnsiTheme="minorHAnsi" w:cstheme="minorHAnsi"/>
          <w:b/>
          <w:sz w:val="22"/>
          <w:szCs w:val="22"/>
        </w:rPr>
        <w:t>Estimation Results and Main Findings</w:t>
      </w:r>
    </w:p>
    <w:p w:rsidR="00AA788D" w:rsidRPr="0000217F" w:rsidRDefault="00AA788D" w:rsidP="00BE31C3">
      <w:pPr>
        <w:pStyle w:val="BodyText"/>
        <w:spacing w:line="480" w:lineRule="auto"/>
        <w:ind w:firstLine="357"/>
        <w:rPr>
          <w:rFonts w:ascii="Calibri" w:hAnsi="Calibri" w:cs="Calibri"/>
          <w:sz w:val="22"/>
          <w:szCs w:val="22"/>
        </w:rPr>
      </w:pPr>
      <w:r>
        <w:rPr>
          <w:rFonts w:ascii="Calibri" w:hAnsi="Calibri" w:cs="Calibri"/>
          <w:sz w:val="22"/>
          <w:szCs w:val="22"/>
        </w:rPr>
        <w:t xml:space="preserve">While </w:t>
      </w:r>
      <w:r w:rsidRPr="0000217F">
        <w:rPr>
          <w:rFonts w:ascii="Calibri" w:hAnsi="Calibri" w:cs="Calibri"/>
          <w:sz w:val="22"/>
          <w:szCs w:val="22"/>
        </w:rPr>
        <w:t>only</w:t>
      </w:r>
      <w:r>
        <w:rPr>
          <w:rFonts w:ascii="Calibri" w:hAnsi="Calibri" w:cs="Calibri"/>
          <w:sz w:val="22"/>
          <w:szCs w:val="22"/>
        </w:rPr>
        <w:t xml:space="preserve"> a fifth</w:t>
      </w:r>
      <w:r w:rsidRPr="0000217F">
        <w:rPr>
          <w:rFonts w:ascii="Calibri" w:hAnsi="Calibri" w:cs="Calibri"/>
          <w:sz w:val="22"/>
          <w:szCs w:val="22"/>
        </w:rPr>
        <w:t xml:space="preserve"> of </w:t>
      </w:r>
      <w:r>
        <w:rPr>
          <w:rFonts w:ascii="Calibri" w:hAnsi="Calibri" w:cs="Calibri"/>
          <w:sz w:val="22"/>
          <w:szCs w:val="22"/>
        </w:rPr>
        <w:t xml:space="preserve">sampled </w:t>
      </w:r>
      <w:r w:rsidRPr="0000217F">
        <w:rPr>
          <w:rFonts w:ascii="Calibri" w:hAnsi="Calibri" w:cs="Calibri"/>
          <w:sz w:val="22"/>
          <w:szCs w:val="22"/>
        </w:rPr>
        <w:t xml:space="preserve">enterprises obtained formal credit, </w:t>
      </w:r>
      <w:r>
        <w:rPr>
          <w:rFonts w:ascii="Calibri" w:hAnsi="Calibri" w:cs="Calibri"/>
          <w:sz w:val="22"/>
          <w:szCs w:val="22"/>
        </w:rPr>
        <w:t xml:space="preserve">a </w:t>
      </w:r>
      <w:r w:rsidRPr="0000217F">
        <w:rPr>
          <w:rFonts w:ascii="Calibri" w:hAnsi="Calibri" w:cs="Calibri"/>
          <w:sz w:val="22"/>
          <w:szCs w:val="22"/>
        </w:rPr>
        <w:t xml:space="preserve">relatively high </w:t>
      </w:r>
      <w:r>
        <w:rPr>
          <w:rFonts w:ascii="Calibri" w:hAnsi="Calibri" w:cs="Calibri"/>
          <w:sz w:val="22"/>
          <w:szCs w:val="22"/>
        </w:rPr>
        <w:t xml:space="preserve">proportion of credit </w:t>
      </w:r>
      <w:r w:rsidRPr="0000217F">
        <w:rPr>
          <w:rFonts w:ascii="Calibri" w:hAnsi="Calibri" w:cs="Calibri"/>
          <w:sz w:val="22"/>
          <w:szCs w:val="22"/>
        </w:rPr>
        <w:t>applicants were successful</w:t>
      </w:r>
      <w:r>
        <w:rPr>
          <w:rFonts w:ascii="Calibri" w:hAnsi="Calibri" w:cs="Calibri"/>
          <w:sz w:val="22"/>
          <w:szCs w:val="22"/>
        </w:rPr>
        <w:t>. I</w:t>
      </w:r>
      <w:r w:rsidRPr="0000217F">
        <w:rPr>
          <w:rFonts w:ascii="Calibri" w:hAnsi="Calibri" w:cs="Calibri"/>
          <w:sz w:val="22"/>
          <w:szCs w:val="22"/>
        </w:rPr>
        <w:t>n the context of weak financial sector development and poor enterprise sector reforms in Uzbekistan</w:t>
      </w:r>
      <w:r>
        <w:rPr>
          <w:rFonts w:ascii="Calibri" w:hAnsi="Calibri" w:cs="Calibri"/>
          <w:sz w:val="22"/>
          <w:szCs w:val="22"/>
        </w:rPr>
        <w:t xml:space="preserve">, the determinants of </w:t>
      </w:r>
      <w:r w:rsidRPr="0000217F">
        <w:rPr>
          <w:rFonts w:ascii="Calibri" w:hAnsi="Calibri" w:cs="Calibri"/>
          <w:sz w:val="22"/>
          <w:szCs w:val="22"/>
        </w:rPr>
        <w:t>access to formal finance</w:t>
      </w:r>
      <w:r>
        <w:rPr>
          <w:rFonts w:ascii="Calibri" w:hAnsi="Calibri" w:cs="Calibri"/>
          <w:sz w:val="22"/>
          <w:szCs w:val="22"/>
        </w:rPr>
        <w:t xml:space="preserve"> thus become a focus of interest. In particular, we wish to understand </w:t>
      </w:r>
      <w:r w:rsidRPr="0000217F">
        <w:rPr>
          <w:rFonts w:ascii="Calibri" w:hAnsi="Calibri" w:cs="Calibri"/>
          <w:sz w:val="22"/>
          <w:szCs w:val="22"/>
        </w:rPr>
        <w:t>whether or not interpersonal relations play statistically significant role in improving SME access</w:t>
      </w:r>
      <w:r>
        <w:rPr>
          <w:rFonts w:ascii="Calibri" w:hAnsi="Calibri" w:cs="Calibri"/>
          <w:sz w:val="22"/>
          <w:szCs w:val="22"/>
        </w:rPr>
        <w:t xml:space="preserve"> to formal finance.</w:t>
      </w:r>
    </w:p>
    <w:p w:rsidR="00AA788D" w:rsidRPr="0000217F" w:rsidRDefault="00AA788D" w:rsidP="00BE31C3">
      <w:pPr>
        <w:pStyle w:val="BodyText"/>
        <w:spacing w:line="480" w:lineRule="auto"/>
        <w:ind w:firstLine="357"/>
        <w:rPr>
          <w:rFonts w:ascii="Calibri" w:hAnsi="Calibri" w:cs="Calibri"/>
          <w:sz w:val="22"/>
          <w:szCs w:val="22"/>
        </w:rPr>
      </w:pPr>
      <w:r w:rsidRPr="0000217F">
        <w:rPr>
          <w:rFonts w:ascii="Calibri" w:hAnsi="Calibri"/>
          <w:sz w:val="22"/>
          <w:szCs w:val="22"/>
        </w:rPr>
        <w:lastRenderedPageBreak/>
        <w:t xml:space="preserve">The basic econometric equation used to estimate various dichotomous models related to formal credit use in this study can be expressed </w:t>
      </w:r>
      <w:r>
        <w:rPr>
          <w:rFonts w:ascii="Calibri" w:hAnsi="Calibri"/>
          <w:sz w:val="22"/>
          <w:szCs w:val="22"/>
        </w:rPr>
        <w:t>as follows</w:t>
      </w:r>
      <w:r w:rsidRPr="0000217F">
        <w:rPr>
          <w:rFonts w:ascii="Calibri" w:hAnsi="Calibri"/>
          <w:sz w:val="22"/>
          <w:szCs w:val="22"/>
        </w:rPr>
        <w:t>:</w:t>
      </w:r>
    </w:p>
    <w:p w:rsidR="00AA788D" w:rsidRPr="0000217F" w:rsidRDefault="00AA788D" w:rsidP="00BE31C3">
      <w:pPr>
        <w:pStyle w:val="BodyText"/>
        <w:tabs>
          <w:tab w:val="left" w:pos="2839"/>
        </w:tabs>
        <w:spacing w:line="480" w:lineRule="auto"/>
        <w:ind w:firstLine="357"/>
        <w:jc w:val="center"/>
        <w:rPr>
          <w:rFonts w:ascii="Calibri" w:hAnsi="Calibri"/>
          <w:i/>
          <w:sz w:val="22"/>
          <w:szCs w:val="22"/>
        </w:rPr>
      </w:pPr>
      <w:r w:rsidRPr="0000217F">
        <w:rPr>
          <w:rFonts w:ascii="Calibri" w:hAnsi="Calibri"/>
          <w:i/>
          <w:sz w:val="22"/>
          <w:szCs w:val="22"/>
        </w:rPr>
        <w:t>Y</w:t>
      </w:r>
      <w:r w:rsidRPr="0000217F">
        <w:rPr>
          <w:rFonts w:ascii="Calibri" w:hAnsi="Calibri"/>
          <w:i/>
          <w:sz w:val="22"/>
          <w:szCs w:val="22"/>
          <w:vertAlign w:val="subscript"/>
        </w:rPr>
        <w:t>i</w:t>
      </w:r>
      <w:r w:rsidRPr="0000217F">
        <w:rPr>
          <w:rFonts w:ascii="Calibri" w:hAnsi="Calibri"/>
          <w:i/>
          <w:sz w:val="22"/>
          <w:szCs w:val="22"/>
        </w:rPr>
        <w:t xml:space="preserve"> = α + </w:t>
      </w:r>
      <w:proofErr w:type="spellStart"/>
      <w:r w:rsidRPr="0000217F">
        <w:rPr>
          <w:rFonts w:ascii="Calibri" w:hAnsi="Calibri"/>
          <w:i/>
          <w:sz w:val="22"/>
          <w:szCs w:val="22"/>
        </w:rPr>
        <w:t>X</w:t>
      </w:r>
      <w:r w:rsidRPr="0000217F">
        <w:rPr>
          <w:rFonts w:ascii="Calibri" w:hAnsi="Calibri"/>
          <w:i/>
          <w:sz w:val="22"/>
          <w:szCs w:val="22"/>
          <w:vertAlign w:val="subscript"/>
        </w:rPr>
        <w:t>i</w:t>
      </w:r>
      <w:r w:rsidRPr="0000217F">
        <w:rPr>
          <w:rFonts w:ascii="Calibri" w:hAnsi="Calibri"/>
          <w:i/>
          <w:sz w:val="22"/>
          <w:szCs w:val="22"/>
        </w:rPr>
        <w:t>β</w:t>
      </w:r>
      <w:proofErr w:type="spellEnd"/>
      <w:r w:rsidRPr="0000217F">
        <w:rPr>
          <w:rFonts w:ascii="Calibri" w:hAnsi="Calibri"/>
          <w:i/>
          <w:sz w:val="22"/>
          <w:szCs w:val="22"/>
        </w:rPr>
        <w:t xml:space="preserve"> + </w:t>
      </w:r>
      <w:proofErr w:type="spellStart"/>
      <w:r w:rsidRPr="0000217F">
        <w:rPr>
          <w:rFonts w:ascii="Calibri" w:hAnsi="Calibri"/>
          <w:i/>
          <w:sz w:val="22"/>
          <w:szCs w:val="22"/>
        </w:rPr>
        <w:t>Z</w:t>
      </w:r>
      <w:r w:rsidRPr="0000217F">
        <w:rPr>
          <w:rFonts w:ascii="Calibri" w:hAnsi="Calibri"/>
          <w:i/>
          <w:sz w:val="22"/>
          <w:szCs w:val="22"/>
          <w:vertAlign w:val="subscript"/>
        </w:rPr>
        <w:t>i</w:t>
      </w:r>
      <w:r w:rsidRPr="0000217F">
        <w:rPr>
          <w:rFonts w:ascii="Calibri" w:hAnsi="Calibri" w:cs="Calibri"/>
          <w:i/>
          <w:sz w:val="22"/>
          <w:szCs w:val="22"/>
        </w:rPr>
        <w:t>γ</w:t>
      </w:r>
      <w:proofErr w:type="spellEnd"/>
      <w:r w:rsidRPr="0000217F">
        <w:rPr>
          <w:rFonts w:ascii="Calibri" w:hAnsi="Calibri"/>
          <w:i/>
          <w:sz w:val="22"/>
          <w:szCs w:val="22"/>
        </w:rPr>
        <w:t xml:space="preserve"> + </w:t>
      </w:r>
      <w:proofErr w:type="spellStart"/>
      <w:r w:rsidRPr="0000217F">
        <w:rPr>
          <w:rFonts w:ascii="Calibri" w:hAnsi="Calibri"/>
          <w:i/>
          <w:sz w:val="22"/>
          <w:szCs w:val="22"/>
        </w:rPr>
        <w:t>ε</w:t>
      </w:r>
      <w:r w:rsidRPr="0000217F">
        <w:rPr>
          <w:rFonts w:ascii="Calibri" w:hAnsi="Calibri"/>
          <w:i/>
          <w:sz w:val="22"/>
          <w:szCs w:val="22"/>
          <w:vertAlign w:val="subscript"/>
        </w:rPr>
        <w:t>i</w:t>
      </w:r>
      <w:proofErr w:type="spellEnd"/>
      <w:r w:rsidRPr="0000217F">
        <w:rPr>
          <w:rFonts w:ascii="Calibri" w:hAnsi="Calibri"/>
          <w:i/>
          <w:sz w:val="22"/>
          <w:szCs w:val="22"/>
        </w:rPr>
        <w:tab/>
      </w:r>
      <w:r w:rsidRPr="0000217F">
        <w:rPr>
          <w:rFonts w:ascii="Calibri" w:hAnsi="Calibri"/>
          <w:i/>
          <w:sz w:val="22"/>
          <w:szCs w:val="22"/>
        </w:rPr>
        <w:tab/>
      </w:r>
      <w:r w:rsidRPr="00F15800">
        <w:rPr>
          <w:rFonts w:ascii="Calibri" w:hAnsi="Calibri"/>
          <w:sz w:val="22"/>
          <w:szCs w:val="22"/>
        </w:rPr>
        <w:t>(1)</w:t>
      </w:r>
    </w:p>
    <w:p w:rsidR="00AA788D" w:rsidRPr="0000217F" w:rsidRDefault="00AA788D" w:rsidP="00191736">
      <w:pPr>
        <w:pStyle w:val="BodyText"/>
        <w:tabs>
          <w:tab w:val="left" w:pos="2839"/>
        </w:tabs>
        <w:spacing w:line="480" w:lineRule="auto"/>
        <w:rPr>
          <w:rFonts w:ascii="Calibri" w:hAnsi="Calibri"/>
          <w:sz w:val="22"/>
          <w:szCs w:val="22"/>
        </w:rPr>
      </w:pPr>
      <w:r w:rsidRPr="0000217F">
        <w:rPr>
          <w:rFonts w:ascii="Calibri" w:hAnsi="Calibri"/>
          <w:sz w:val="22"/>
          <w:szCs w:val="22"/>
        </w:rPr>
        <w:t xml:space="preserve">where Y is a binary dependent variable that takes the value of 1 </w:t>
      </w:r>
      <w:r>
        <w:rPr>
          <w:rFonts w:ascii="Calibri" w:hAnsi="Calibri"/>
          <w:sz w:val="22"/>
          <w:szCs w:val="22"/>
        </w:rPr>
        <w:t>for success</w:t>
      </w:r>
      <w:r w:rsidRPr="0000217F">
        <w:rPr>
          <w:rFonts w:ascii="Calibri" w:hAnsi="Calibri"/>
          <w:sz w:val="22"/>
          <w:szCs w:val="22"/>
        </w:rPr>
        <w:t xml:space="preserve"> and 0 otherwise</w:t>
      </w:r>
      <w:r>
        <w:rPr>
          <w:rFonts w:ascii="Calibri" w:hAnsi="Calibri"/>
          <w:sz w:val="22"/>
          <w:szCs w:val="22"/>
        </w:rPr>
        <w:t>.</w:t>
      </w:r>
      <w:r w:rsidRPr="0000217F">
        <w:rPr>
          <w:rFonts w:ascii="Calibri" w:hAnsi="Calibri"/>
          <w:sz w:val="22"/>
          <w:szCs w:val="22"/>
        </w:rPr>
        <w:t xml:space="preserve"> X and Z are vectors of predictors that affect the probability of </w:t>
      </w:r>
      <w:r>
        <w:rPr>
          <w:rFonts w:ascii="Calibri" w:hAnsi="Calibri"/>
          <w:sz w:val="22"/>
          <w:szCs w:val="22"/>
        </w:rPr>
        <w:t>success</w:t>
      </w:r>
      <w:r w:rsidRPr="0000217F">
        <w:rPr>
          <w:rFonts w:ascii="Calibri" w:hAnsi="Calibri"/>
          <w:sz w:val="22"/>
          <w:szCs w:val="22"/>
        </w:rPr>
        <w:t xml:space="preserve">, </w:t>
      </w:r>
      <w:r>
        <w:rPr>
          <w:rFonts w:ascii="Calibri" w:hAnsi="Calibri"/>
          <w:sz w:val="22"/>
          <w:szCs w:val="22"/>
        </w:rPr>
        <w:t xml:space="preserve">the former </w:t>
      </w:r>
      <w:r w:rsidRPr="0000217F">
        <w:rPr>
          <w:rFonts w:ascii="Calibri" w:hAnsi="Calibri"/>
          <w:sz w:val="22"/>
          <w:szCs w:val="22"/>
        </w:rPr>
        <w:t>includ</w:t>
      </w:r>
      <w:r>
        <w:rPr>
          <w:rFonts w:ascii="Calibri" w:hAnsi="Calibri"/>
          <w:sz w:val="22"/>
          <w:szCs w:val="22"/>
        </w:rPr>
        <w:t>ing both</w:t>
      </w:r>
      <w:r w:rsidRPr="0000217F">
        <w:rPr>
          <w:rFonts w:ascii="Calibri" w:hAnsi="Calibri"/>
          <w:sz w:val="22"/>
          <w:szCs w:val="22"/>
        </w:rPr>
        <w:t xml:space="preserve"> continuous and categorical </w:t>
      </w:r>
      <w:r>
        <w:rPr>
          <w:rFonts w:ascii="Calibri" w:hAnsi="Calibri"/>
          <w:sz w:val="22"/>
          <w:szCs w:val="22"/>
        </w:rPr>
        <w:t xml:space="preserve">control </w:t>
      </w:r>
      <w:r w:rsidRPr="0000217F">
        <w:rPr>
          <w:rFonts w:ascii="Calibri" w:hAnsi="Calibri"/>
          <w:sz w:val="22"/>
          <w:szCs w:val="22"/>
        </w:rPr>
        <w:t xml:space="preserve">variables such as entrepreneurs’ age, business experience, education, gender, regions, sectors, </w:t>
      </w:r>
      <w:r>
        <w:rPr>
          <w:rFonts w:ascii="Calibri" w:hAnsi="Calibri"/>
          <w:sz w:val="22"/>
          <w:szCs w:val="22"/>
        </w:rPr>
        <w:t xml:space="preserve">and </w:t>
      </w:r>
      <w:r w:rsidRPr="0000217F">
        <w:rPr>
          <w:rFonts w:ascii="Calibri" w:hAnsi="Calibri"/>
          <w:sz w:val="22"/>
          <w:szCs w:val="22"/>
        </w:rPr>
        <w:t xml:space="preserve">payment system problems, while </w:t>
      </w:r>
      <w:r>
        <w:rPr>
          <w:rFonts w:ascii="Calibri" w:hAnsi="Calibri"/>
          <w:sz w:val="22"/>
          <w:szCs w:val="22"/>
        </w:rPr>
        <w:t xml:space="preserve">latter </w:t>
      </w:r>
      <w:r w:rsidRPr="0000217F">
        <w:rPr>
          <w:rFonts w:ascii="Calibri" w:hAnsi="Calibri"/>
          <w:sz w:val="22"/>
          <w:szCs w:val="22"/>
        </w:rPr>
        <w:t>comprises three proxy variables for interpersonal networks</w:t>
      </w:r>
      <w:r w:rsidRPr="0000217F">
        <w:rPr>
          <w:rFonts w:ascii="Calibri" w:hAnsi="Calibri"/>
          <w:b/>
          <w:sz w:val="22"/>
          <w:szCs w:val="22"/>
        </w:rPr>
        <w:t>,</w:t>
      </w:r>
      <w:r w:rsidRPr="0000217F">
        <w:rPr>
          <w:rFonts w:ascii="Calibri" w:hAnsi="Calibri"/>
          <w:sz w:val="22"/>
          <w:szCs w:val="22"/>
        </w:rPr>
        <w:t xml:space="preserve"> namely </w:t>
      </w:r>
      <w:proofErr w:type="spellStart"/>
      <w:r w:rsidRPr="0000217F">
        <w:rPr>
          <w:rFonts w:ascii="Calibri" w:hAnsi="Calibri"/>
          <w:i/>
          <w:sz w:val="22"/>
          <w:szCs w:val="22"/>
        </w:rPr>
        <w:t>gov_connect</w:t>
      </w:r>
      <w:proofErr w:type="spellEnd"/>
      <w:r w:rsidRPr="0000217F">
        <w:rPr>
          <w:rFonts w:ascii="Calibri" w:hAnsi="Calibri"/>
          <w:i/>
          <w:sz w:val="22"/>
          <w:szCs w:val="22"/>
        </w:rPr>
        <w:t xml:space="preserve">, bribe, and </w:t>
      </w:r>
      <w:proofErr w:type="spellStart"/>
      <w:r w:rsidRPr="0000217F">
        <w:rPr>
          <w:rFonts w:ascii="Calibri" w:hAnsi="Calibri"/>
          <w:i/>
          <w:sz w:val="22"/>
          <w:szCs w:val="22"/>
        </w:rPr>
        <w:t>bzinbrpl</w:t>
      </w:r>
      <w:proofErr w:type="spellEnd"/>
      <w:r w:rsidRPr="0000217F">
        <w:rPr>
          <w:rFonts w:ascii="Calibri" w:hAnsi="Calibri"/>
          <w:sz w:val="22"/>
          <w:szCs w:val="22"/>
        </w:rPr>
        <w:t xml:space="preserve">; </w:t>
      </w:r>
      <w:r w:rsidRPr="0000217F">
        <w:rPr>
          <w:rFonts w:ascii="Calibri" w:hAnsi="Calibri" w:cs="Calibri"/>
          <w:sz w:val="22"/>
          <w:szCs w:val="22"/>
        </w:rPr>
        <w:t xml:space="preserve">α, β, and γ are parameters to be estimated, </w:t>
      </w:r>
      <w:r w:rsidRPr="0000217F">
        <w:rPr>
          <w:rFonts w:ascii="Calibri" w:hAnsi="Calibri"/>
          <w:sz w:val="22"/>
          <w:szCs w:val="22"/>
        </w:rPr>
        <w:t xml:space="preserve">and </w:t>
      </w:r>
      <w:r w:rsidRPr="0000217F">
        <w:rPr>
          <w:i/>
          <w:sz w:val="22"/>
          <w:szCs w:val="22"/>
        </w:rPr>
        <w:t>ε</w:t>
      </w:r>
      <w:r w:rsidRPr="0000217F">
        <w:rPr>
          <w:rFonts w:ascii="Calibri" w:hAnsi="Calibri"/>
          <w:sz w:val="22"/>
          <w:szCs w:val="22"/>
        </w:rPr>
        <w:t xml:space="preserve"> is the random error term. The </w:t>
      </w:r>
      <w:proofErr w:type="spellStart"/>
      <w:r w:rsidRPr="0000217F">
        <w:rPr>
          <w:rFonts w:ascii="Calibri" w:hAnsi="Calibri"/>
          <w:sz w:val="22"/>
          <w:szCs w:val="22"/>
        </w:rPr>
        <w:t>logit</w:t>
      </w:r>
      <w:proofErr w:type="spellEnd"/>
      <w:r w:rsidRPr="0000217F">
        <w:rPr>
          <w:rFonts w:ascii="Calibri" w:hAnsi="Calibri"/>
          <w:sz w:val="22"/>
          <w:szCs w:val="22"/>
        </w:rPr>
        <w:t xml:space="preserve"> maximum likelihood </w:t>
      </w:r>
      <w:r>
        <w:rPr>
          <w:rFonts w:ascii="Calibri" w:hAnsi="Calibri"/>
          <w:sz w:val="22"/>
          <w:szCs w:val="22"/>
        </w:rPr>
        <w:t>approach is used</w:t>
      </w:r>
      <w:r w:rsidRPr="0000217F">
        <w:rPr>
          <w:rFonts w:ascii="Calibri" w:hAnsi="Calibri"/>
          <w:sz w:val="22"/>
          <w:szCs w:val="22"/>
        </w:rPr>
        <w:t>.</w:t>
      </w:r>
    </w:p>
    <w:p w:rsidR="00AA788D" w:rsidRPr="00AE1432" w:rsidRDefault="00AA788D" w:rsidP="00AE1432">
      <w:pPr>
        <w:pStyle w:val="BodyText"/>
        <w:spacing w:line="480" w:lineRule="auto"/>
        <w:ind w:firstLine="357"/>
        <w:rPr>
          <w:rFonts w:ascii="Calibri" w:hAnsi="Calibri" w:cs="Calibri"/>
          <w:sz w:val="22"/>
          <w:szCs w:val="22"/>
        </w:rPr>
      </w:pPr>
      <w:r w:rsidRPr="0000217F">
        <w:rPr>
          <w:rFonts w:ascii="Calibri" w:hAnsi="Calibri" w:cs="Calibri"/>
          <w:sz w:val="22"/>
          <w:szCs w:val="22"/>
        </w:rPr>
        <w:t>Estimat</w:t>
      </w:r>
      <w:r>
        <w:rPr>
          <w:rFonts w:ascii="Calibri" w:hAnsi="Calibri" w:cs="Calibri"/>
          <w:sz w:val="22"/>
          <w:szCs w:val="22"/>
        </w:rPr>
        <w:t xml:space="preserve">ion </w:t>
      </w:r>
      <w:r w:rsidRPr="0000217F">
        <w:rPr>
          <w:rFonts w:ascii="Calibri" w:hAnsi="Calibri" w:cs="Calibri"/>
          <w:sz w:val="22"/>
          <w:szCs w:val="22"/>
        </w:rPr>
        <w:t>results of equation (1) for the model of credit use</w:t>
      </w:r>
      <w:r>
        <w:rPr>
          <w:rFonts w:ascii="Calibri" w:hAnsi="Calibri" w:cs="Calibri"/>
          <w:sz w:val="22"/>
          <w:szCs w:val="22"/>
        </w:rPr>
        <w:t xml:space="preserve"> </w:t>
      </w:r>
      <w:r w:rsidRPr="0000217F">
        <w:rPr>
          <w:rFonts w:ascii="Calibri" w:hAnsi="Calibri" w:cs="Calibri"/>
          <w:sz w:val="22"/>
          <w:szCs w:val="22"/>
        </w:rPr>
        <w:t xml:space="preserve">are reported in </w:t>
      </w:r>
      <w:r>
        <w:rPr>
          <w:rFonts w:ascii="Calibri" w:hAnsi="Calibri" w:cs="Calibri"/>
          <w:sz w:val="22"/>
          <w:szCs w:val="22"/>
        </w:rPr>
        <w:t>Table 4</w:t>
      </w:r>
      <w:r w:rsidRPr="0000217F">
        <w:rPr>
          <w:rFonts w:ascii="Calibri" w:hAnsi="Calibri" w:cs="Calibri"/>
          <w:sz w:val="22"/>
          <w:szCs w:val="22"/>
        </w:rPr>
        <w:t>. The complete list of predictors and their expected signs are presented in the first two columns of the table respectively; brief description</w:t>
      </w:r>
      <w:r>
        <w:rPr>
          <w:rFonts w:ascii="Calibri" w:hAnsi="Calibri" w:cs="Calibri"/>
          <w:sz w:val="22"/>
          <w:szCs w:val="22"/>
        </w:rPr>
        <w:t>s</w:t>
      </w:r>
      <w:r w:rsidRPr="0000217F">
        <w:rPr>
          <w:rFonts w:ascii="Calibri" w:hAnsi="Calibri" w:cs="Calibri"/>
          <w:sz w:val="22"/>
          <w:szCs w:val="22"/>
        </w:rPr>
        <w:t xml:space="preserve"> of the variables can be found in </w:t>
      </w:r>
      <w:r>
        <w:rPr>
          <w:rFonts w:ascii="Calibri" w:hAnsi="Calibri" w:cs="Calibri"/>
          <w:sz w:val="22"/>
          <w:szCs w:val="22"/>
        </w:rPr>
        <w:t>Table 1</w:t>
      </w:r>
      <w:r w:rsidRPr="0000217F">
        <w:rPr>
          <w:rFonts w:ascii="Calibri" w:hAnsi="Calibri" w:cs="Calibri"/>
          <w:sz w:val="22"/>
          <w:szCs w:val="22"/>
        </w:rPr>
        <w:t xml:space="preserve">. </w:t>
      </w:r>
      <w:r w:rsidRPr="00510A8A">
        <w:rPr>
          <w:rFonts w:ascii="Calibri" w:hAnsi="Calibri" w:cs="Calibri"/>
          <w:sz w:val="22"/>
          <w:szCs w:val="22"/>
        </w:rPr>
        <w:t xml:space="preserve">The variables </w:t>
      </w:r>
      <w:r w:rsidRPr="00EF6DF9">
        <w:rPr>
          <w:rFonts w:ascii="Calibri" w:hAnsi="Calibri" w:cs="Calibri"/>
          <w:i/>
          <w:sz w:val="22"/>
          <w:szCs w:val="22"/>
        </w:rPr>
        <w:t>age</w:t>
      </w:r>
      <w:r w:rsidRPr="00510A8A">
        <w:rPr>
          <w:rFonts w:ascii="Calibri" w:hAnsi="Calibri" w:cs="Calibri"/>
          <w:sz w:val="22"/>
          <w:szCs w:val="22"/>
        </w:rPr>
        <w:t xml:space="preserve"> and </w:t>
      </w:r>
      <w:proofErr w:type="spellStart"/>
      <w:r w:rsidRPr="00EF6DF9">
        <w:rPr>
          <w:rFonts w:ascii="Calibri" w:hAnsi="Calibri" w:cs="Calibri"/>
          <w:i/>
          <w:sz w:val="22"/>
          <w:szCs w:val="22"/>
        </w:rPr>
        <w:t>bsness_exper</w:t>
      </w:r>
      <w:proofErr w:type="spellEnd"/>
      <w:r w:rsidRPr="00510A8A">
        <w:rPr>
          <w:rFonts w:ascii="Calibri" w:hAnsi="Calibri" w:cs="Calibri"/>
          <w:sz w:val="22"/>
          <w:szCs w:val="22"/>
        </w:rPr>
        <w:t xml:space="preserve"> can be used as proxies for human capital and entrepreneurial ability respectively.</w:t>
      </w:r>
      <w:r>
        <w:rPr>
          <w:rFonts w:ascii="Calibri" w:hAnsi="Calibri" w:cs="Calibri"/>
          <w:sz w:val="22"/>
          <w:szCs w:val="22"/>
        </w:rPr>
        <w:t xml:space="preserve"> While they are </w:t>
      </w:r>
      <w:r w:rsidRPr="0000217F">
        <w:rPr>
          <w:rFonts w:ascii="Calibri" w:hAnsi="Calibri" w:cs="Calibri"/>
          <w:sz w:val="22"/>
          <w:szCs w:val="22"/>
        </w:rPr>
        <w:t>expect</w:t>
      </w:r>
      <w:r>
        <w:rPr>
          <w:rFonts w:ascii="Calibri" w:hAnsi="Calibri" w:cs="Calibri"/>
          <w:sz w:val="22"/>
          <w:szCs w:val="22"/>
        </w:rPr>
        <w:t>ed</w:t>
      </w:r>
      <w:r w:rsidRPr="0000217F">
        <w:rPr>
          <w:rFonts w:ascii="Calibri" w:hAnsi="Calibri" w:cs="Calibri"/>
          <w:sz w:val="22"/>
          <w:szCs w:val="22"/>
        </w:rPr>
        <w:t xml:space="preserve"> to have </w:t>
      </w:r>
      <w:r>
        <w:rPr>
          <w:rFonts w:ascii="Calibri" w:hAnsi="Calibri" w:cs="Calibri"/>
          <w:sz w:val="22"/>
          <w:szCs w:val="22"/>
        </w:rPr>
        <w:t xml:space="preserve">a </w:t>
      </w:r>
      <w:r w:rsidRPr="0000217F">
        <w:rPr>
          <w:rFonts w:ascii="Calibri" w:hAnsi="Calibri" w:cs="Calibri"/>
          <w:sz w:val="22"/>
          <w:szCs w:val="22"/>
        </w:rPr>
        <w:t>positive impact on the probability of obtaining formal credit, their impact is expected to diminish as the values of the variables increase. Hence</w:t>
      </w:r>
      <w:r>
        <w:rPr>
          <w:rFonts w:ascii="Calibri" w:hAnsi="Calibri" w:cs="Calibri"/>
          <w:sz w:val="22"/>
          <w:szCs w:val="22"/>
        </w:rPr>
        <w:t xml:space="preserve"> a </w:t>
      </w:r>
      <w:r w:rsidRPr="0000217F">
        <w:rPr>
          <w:rFonts w:ascii="Calibri" w:hAnsi="Calibri" w:cs="Calibri"/>
          <w:sz w:val="22"/>
          <w:szCs w:val="22"/>
        </w:rPr>
        <w:t>squared term, with an expected negative sign</w:t>
      </w:r>
      <w:r>
        <w:rPr>
          <w:rFonts w:ascii="Calibri" w:hAnsi="Calibri" w:cs="Calibri"/>
          <w:sz w:val="22"/>
          <w:szCs w:val="22"/>
        </w:rPr>
        <w:t>, is also included</w:t>
      </w:r>
      <w:r w:rsidRPr="0000217F">
        <w:rPr>
          <w:rFonts w:ascii="Calibri" w:hAnsi="Calibri" w:cs="Calibri"/>
          <w:sz w:val="22"/>
          <w:szCs w:val="22"/>
        </w:rPr>
        <w:t xml:space="preserve"> for both variables. The underlying </w:t>
      </w:r>
      <w:r>
        <w:rPr>
          <w:rFonts w:ascii="Calibri" w:hAnsi="Calibri" w:cs="Calibri"/>
          <w:sz w:val="22"/>
          <w:szCs w:val="22"/>
        </w:rPr>
        <w:t xml:space="preserve">rationale </w:t>
      </w:r>
      <w:r w:rsidRPr="0000217F">
        <w:rPr>
          <w:rFonts w:ascii="Calibri" w:hAnsi="Calibri" w:cs="Calibri"/>
          <w:sz w:val="22"/>
          <w:szCs w:val="22"/>
        </w:rPr>
        <w:t xml:space="preserve">is that life and business experience will make entrepreneurs appreciate the importance of using their input resources, including external finance, more efficiently. Moreover, from </w:t>
      </w:r>
      <w:r>
        <w:rPr>
          <w:rFonts w:ascii="Calibri" w:hAnsi="Calibri" w:cs="Calibri"/>
          <w:sz w:val="22"/>
          <w:szCs w:val="22"/>
        </w:rPr>
        <w:t xml:space="preserve">the lenders’ </w:t>
      </w:r>
      <w:r w:rsidRPr="0000217F">
        <w:rPr>
          <w:rFonts w:ascii="Calibri" w:hAnsi="Calibri" w:cs="Calibri"/>
          <w:sz w:val="22"/>
          <w:szCs w:val="22"/>
        </w:rPr>
        <w:t xml:space="preserve">perspective, </w:t>
      </w:r>
      <w:r>
        <w:rPr>
          <w:rFonts w:ascii="Calibri" w:hAnsi="Calibri" w:cs="Calibri"/>
          <w:sz w:val="22"/>
          <w:szCs w:val="22"/>
        </w:rPr>
        <w:t xml:space="preserve">longer </w:t>
      </w:r>
      <w:r w:rsidRPr="0000217F">
        <w:rPr>
          <w:rFonts w:ascii="Calibri" w:hAnsi="Calibri" w:cs="Calibri"/>
          <w:sz w:val="22"/>
          <w:szCs w:val="22"/>
        </w:rPr>
        <w:t xml:space="preserve">established enterprises may have better reputations, credit histories, and possibly </w:t>
      </w:r>
      <w:r>
        <w:rPr>
          <w:rFonts w:ascii="Calibri" w:hAnsi="Calibri" w:cs="Calibri"/>
          <w:sz w:val="22"/>
          <w:szCs w:val="22"/>
        </w:rPr>
        <w:t>longer-</w:t>
      </w:r>
      <w:r w:rsidRPr="0000217F">
        <w:rPr>
          <w:rFonts w:ascii="Calibri" w:hAnsi="Calibri" w:cs="Calibri"/>
          <w:sz w:val="22"/>
          <w:szCs w:val="22"/>
        </w:rPr>
        <w:t>term relationships with formal credit institutions (</w:t>
      </w:r>
      <w:proofErr w:type="spellStart"/>
      <w:r w:rsidRPr="0000217F">
        <w:rPr>
          <w:rFonts w:ascii="Calibri" w:hAnsi="Calibri" w:cs="Calibri"/>
          <w:sz w:val="22"/>
          <w:szCs w:val="22"/>
        </w:rPr>
        <w:t>Cavaluzzo</w:t>
      </w:r>
      <w:proofErr w:type="spellEnd"/>
      <w:r w:rsidRPr="0000217F">
        <w:rPr>
          <w:rFonts w:ascii="Calibri" w:hAnsi="Calibri" w:cs="Calibri"/>
          <w:sz w:val="22"/>
          <w:szCs w:val="22"/>
        </w:rPr>
        <w:t xml:space="preserve"> and </w:t>
      </w:r>
      <w:proofErr w:type="spellStart"/>
      <w:r w:rsidRPr="0000217F">
        <w:rPr>
          <w:rFonts w:ascii="Calibri" w:hAnsi="Calibri" w:cs="Calibri"/>
          <w:sz w:val="22"/>
          <w:szCs w:val="22"/>
        </w:rPr>
        <w:t>Cavaluzzo</w:t>
      </w:r>
      <w:proofErr w:type="spellEnd"/>
      <w:r w:rsidRPr="0000217F">
        <w:rPr>
          <w:rFonts w:ascii="Calibri" w:hAnsi="Calibri" w:cs="Calibri"/>
          <w:sz w:val="22"/>
          <w:szCs w:val="22"/>
        </w:rPr>
        <w:t xml:space="preserve">, 1998, p. 779). The coefficient of the variable, </w:t>
      </w:r>
      <w:proofErr w:type="spellStart"/>
      <w:r w:rsidRPr="0000217F">
        <w:rPr>
          <w:rFonts w:ascii="Calibri" w:hAnsi="Calibri" w:cs="Calibri"/>
          <w:i/>
          <w:sz w:val="22"/>
          <w:szCs w:val="22"/>
        </w:rPr>
        <w:t>educ</w:t>
      </w:r>
      <w:proofErr w:type="spellEnd"/>
      <w:r w:rsidRPr="0000217F">
        <w:rPr>
          <w:rFonts w:ascii="Calibri" w:hAnsi="Calibri" w:cs="Calibri"/>
          <w:i/>
          <w:sz w:val="22"/>
          <w:szCs w:val="22"/>
        </w:rPr>
        <w:t xml:space="preserve">, </w:t>
      </w:r>
      <w:r w:rsidRPr="0000217F">
        <w:rPr>
          <w:rFonts w:ascii="Calibri" w:hAnsi="Calibri" w:cs="Calibri"/>
          <w:sz w:val="22"/>
          <w:szCs w:val="22"/>
        </w:rPr>
        <w:t xml:space="preserve">a proxy for business owners’ human capital as well as personal wealth, is also expected to have a positive sign. </w:t>
      </w:r>
      <w:r>
        <w:rPr>
          <w:rFonts w:ascii="Calibri" w:hAnsi="Calibri" w:cs="Calibri"/>
          <w:sz w:val="22"/>
          <w:szCs w:val="22"/>
        </w:rPr>
        <w:t>T</w:t>
      </w:r>
      <w:r w:rsidRPr="0000217F">
        <w:rPr>
          <w:rFonts w:ascii="Calibri" w:hAnsi="Calibri" w:cs="Calibri"/>
          <w:sz w:val="22"/>
          <w:szCs w:val="22"/>
        </w:rPr>
        <w:t xml:space="preserve">he variable </w:t>
      </w:r>
      <w:proofErr w:type="spellStart"/>
      <w:r w:rsidRPr="0000217F">
        <w:rPr>
          <w:rFonts w:ascii="Calibri" w:hAnsi="Calibri" w:cs="Calibri"/>
          <w:i/>
          <w:sz w:val="22"/>
          <w:szCs w:val="22"/>
        </w:rPr>
        <w:t>lnsales</w:t>
      </w:r>
      <w:proofErr w:type="spellEnd"/>
      <w:r>
        <w:rPr>
          <w:rFonts w:ascii="Calibri" w:hAnsi="Calibri" w:cs="Calibri"/>
          <w:i/>
          <w:sz w:val="22"/>
          <w:szCs w:val="22"/>
        </w:rPr>
        <w:t xml:space="preserve"> </w:t>
      </w:r>
      <w:r>
        <w:rPr>
          <w:rFonts w:ascii="Calibri" w:hAnsi="Calibri" w:cs="Calibri"/>
          <w:sz w:val="22"/>
          <w:szCs w:val="22"/>
        </w:rPr>
        <w:t>i</w:t>
      </w:r>
      <w:r w:rsidRPr="0000217F">
        <w:rPr>
          <w:rFonts w:ascii="Calibri" w:hAnsi="Calibri" w:cs="Calibri"/>
          <w:sz w:val="22"/>
          <w:szCs w:val="22"/>
        </w:rPr>
        <w:t>s a proxy for enterprise size (</w:t>
      </w:r>
      <w:proofErr w:type="spellStart"/>
      <w:r w:rsidRPr="0000217F">
        <w:rPr>
          <w:rFonts w:ascii="Calibri" w:hAnsi="Calibri" w:cs="Calibri"/>
          <w:sz w:val="22"/>
          <w:szCs w:val="22"/>
        </w:rPr>
        <w:t>Ca</w:t>
      </w:r>
      <w:r>
        <w:rPr>
          <w:rFonts w:ascii="Calibri" w:hAnsi="Calibri" w:cs="Calibri"/>
          <w:sz w:val="22"/>
          <w:szCs w:val="22"/>
        </w:rPr>
        <w:t>valuzzo</w:t>
      </w:r>
      <w:proofErr w:type="spellEnd"/>
      <w:r>
        <w:rPr>
          <w:rFonts w:ascii="Calibri" w:hAnsi="Calibri" w:cs="Calibri"/>
          <w:sz w:val="22"/>
          <w:szCs w:val="22"/>
        </w:rPr>
        <w:t xml:space="preserve"> and </w:t>
      </w:r>
      <w:proofErr w:type="spellStart"/>
      <w:r>
        <w:rPr>
          <w:rFonts w:ascii="Calibri" w:hAnsi="Calibri" w:cs="Calibri"/>
          <w:sz w:val="22"/>
          <w:szCs w:val="22"/>
        </w:rPr>
        <w:t>Cavaluzzo</w:t>
      </w:r>
      <w:proofErr w:type="spellEnd"/>
      <w:r>
        <w:rPr>
          <w:rFonts w:ascii="Calibri" w:hAnsi="Calibri" w:cs="Calibri"/>
          <w:sz w:val="22"/>
          <w:szCs w:val="22"/>
        </w:rPr>
        <w:t>, 1998, p.</w:t>
      </w:r>
      <w:r w:rsidRPr="0000217F">
        <w:rPr>
          <w:rFonts w:ascii="Calibri" w:hAnsi="Calibri" w:cs="Calibri"/>
          <w:sz w:val="22"/>
          <w:szCs w:val="22"/>
        </w:rPr>
        <w:t xml:space="preserve">779): larger enterprises are expected to have higher sales revenues. Intuitively, we </w:t>
      </w:r>
      <w:r>
        <w:rPr>
          <w:rFonts w:ascii="Calibri" w:hAnsi="Calibri" w:cs="Calibri"/>
          <w:sz w:val="22"/>
          <w:szCs w:val="22"/>
        </w:rPr>
        <w:t xml:space="preserve">would </w:t>
      </w:r>
      <w:r w:rsidRPr="0000217F">
        <w:rPr>
          <w:rFonts w:ascii="Calibri" w:hAnsi="Calibri" w:cs="Calibri"/>
          <w:sz w:val="22"/>
          <w:szCs w:val="22"/>
        </w:rPr>
        <w:t>expect the estimated parameter of this variable to have a positive sign</w:t>
      </w:r>
      <w:r>
        <w:rPr>
          <w:rFonts w:ascii="Calibri" w:hAnsi="Calibri" w:cs="Calibri"/>
          <w:sz w:val="22"/>
          <w:szCs w:val="22"/>
        </w:rPr>
        <w:t xml:space="preserve"> on the basis that formal credit organisations prefer </w:t>
      </w:r>
      <w:r w:rsidRPr="0000217F">
        <w:rPr>
          <w:rFonts w:ascii="Calibri" w:hAnsi="Calibri" w:cs="Calibri"/>
          <w:sz w:val="22"/>
          <w:szCs w:val="22"/>
        </w:rPr>
        <w:t>lend</w:t>
      </w:r>
      <w:r>
        <w:rPr>
          <w:rFonts w:ascii="Calibri" w:hAnsi="Calibri" w:cs="Calibri"/>
          <w:sz w:val="22"/>
          <w:szCs w:val="22"/>
        </w:rPr>
        <w:t>ing</w:t>
      </w:r>
      <w:r w:rsidRPr="0000217F">
        <w:rPr>
          <w:rFonts w:ascii="Calibri" w:hAnsi="Calibri" w:cs="Calibri"/>
          <w:sz w:val="22"/>
          <w:szCs w:val="22"/>
        </w:rPr>
        <w:t xml:space="preserve"> to larger SMEs due to</w:t>
      </w:r>
      <w:r>
        <w:rPr>
          <w:rFonts w:ascii="Calibri" w:hAnsi="Calibri" w:cs="Calibri"/>
          <w:sz w:val="22"/>
          <w:szCs w:val="22"/>
        </w:rPr>
        <w:t xml:space="preserve"> the</w:t>
      </w:r>
      <w:r w:rsidRPr="0000217F">
        <w:rPr>
          <w:rFonts w:ascii="Calibri" w:hAnsi="Calibri" w:cs="Calibri"/>
          <w:sz w:val="22"/>
          <w:szCs w:val="22"/>
        </w:rPr>
        <w:t xml:space="preserve"> higher transaction costs associated with monitorin</w:t>
      </w:r>
      <w:r>
        <w:rPr>
          <w:rFonts w:ascii="Calibri" w:hAnsi="Calibri" w:cs="Calibri"/>
          <w:sz w:val="22"/>
          <w:szCs w:val="22"/>
        </w:rPr>
        <w:t>g a large number of small loans</w:t>
      </w:r>
      <w:r w:rsidRPr="0000217F">
        <w:rPr>
          <w:rFonts w:ascii="Calibri" w:hAnsi="Calibri" w:cs="Calibri"/>
          <w:sz w:val="22"/>
          <w:szCs w:val="22"/>
        </w:rPr>
        <w:t xml:space="preserve">. The dummy variable </w:t>
      </w:r>
      <w:proofErr w:type="spellStart"/>
      <w:r w:rsidRPr="0000217F">
        <w:rPr>
          <w:rFonts w:ascii="Calibri" w:hAnsi="Calibri" w:cs="Calibri"/>
          <w:i/>
          <w:sz w:val="22"/>
          <w:szCs w:val="22"/>
        </w:rPr>
        <w:lastRenderedPageBreak/>
        <w:t>expnd_d</w:t>
      </w:r>
      <w:proofErr w:type="spellEnd"/>
      <w:r>
        <w:rPr>
          <w:rFonts w:ascii="Calibri" w:hAnsi="Calibri" w:cs="Calibri"/>
          <w:i/>
          <w:sz w:val="22"/>
          <w:szCs w:val="22"/>
        </w:rPr>
        <w:t xml:space="preserve"> </w:t>
      </w:r>
      <w:r w:rsidRPr="0000217F">
        <w:rPr>
          <w:rFonts w:ascii="Calibri" w:hAnsi="Calibri" w:cs="Calibri"/>
          <w:sz w:val="22"/>
          <w:szCs w:val="22"/>
        </w:rPr>
        <w:t xml:space="preserve">refers to an increase in sales revenues compared to the previous year and its coefficient is also expected to be positive. The next variable is </w:t>
      </w:r>
      <w:r w:rsidRPr="0000217F">
        <w:rPr>
          <w:rFonts w:ascii="Calibri" w:hAnsi="Calibri" w:cs="Calibri"/>
          <w:i/>
          <w:sz w:val="22"/>
          <w:szCs w:val="22"/>
        </w:rPr>
        <w:t xml:space="preserve">cash1 </w:t>
      </w:r>
      <w:r>
        <w:rPr>
          <w:rFonts w:ascii="Calibri" w:hAnsi="Calibri" w:cs="Calibri"/>
          <w:sz w:val="22"/>
          <w:szCs w:val="22"/>
        </w:rPr>
        <w:t>represents reported payment sys</w:t>
      </w:r>
      <w:r w:rsidRPr="0000217F">
        <w:rPr>
          <w:rFonts w:ascii="Calibri" w:hAnsi="Calibri" w:cs="Calibri"/>
          <w:sz w:val="22"/>
          <w:szCs w:val="22"/>
        </w:rPr>
        <w:t xml:space="preserve">tem problems, which was </w:t>
      </w:r>
      <w:r>
        <w:rPr>
          <w:rFonts w:ascii="Calibri" w:hAnsi="Calibri" w:cs="Calibri"/>
          <w:sz w:val="22"/>
          <w:szCs w:val="22"/>
        </w:rPr>
        <w:t xml:space="preserve">noted </w:t>
      </w:r>
      <w:r w:rsidRPr="0000217F">
        <w:rPr>
          <w:rFonts w:ascii="Calibri" w:hAnsi="Calibri" w:cs="Calibri"/>
          <w:sz w:val="22"/>
          <w:szCs w:val="22"/>
        </w:rPr>
        <w:t>in Section 3</w:t>
      </w:r>
      <w:r>
        <w:rPr>
          <w:rFonts w:ascii="Calibri" w:hAnsi="Calibri" w:cs="Calibri"/>
          <w:sz w:val="22"/>
          <w:szCs w:val="22"/>
        </w:rPr>
        <w:t xml:space="preserve"> as </w:t>
      </w:r>
      <w:r w:rsidRPr="0000217F">
        <w:rPr>
          <w:rFonts w:ascii="Calibri" w:hAnsi="Calibri" w:cs="Calibri"/>
          <w:sz w:val="22"/>
          <w:szCs w:val="22"/>
        </w:rPr>
        <w:t xml:space="preserve">one of the key country-specific business environment constraints in Uzbekistan. </w:t>
      </w:r>
      <w:r>
        <w:rPr>
          <w:rFonts w:ascii="Calibri" w:hAnsi="Calibri" w:cs="Calibri"/>
          <w:sz w:val="22"/>
          <w:szCs w:val="22"/>
        </w:rPr>
        <w:t>If SMEs identify</w:t>
      </w:r>
      <w:r w:rsidRPr="0000217F">
        <w:rPr>
          <w:rFonts w:ascii="Calibri" w:hAnsi="Calibri" w:cs="Calibri"/>
          <w:sz w:val="22"/>
          <w:szCs w:val="22"/>
        </w:rPr>
        <w:t xml:space="preserve"> payment system problems as </w:t>
      </w:r>
      <w:r>
        <w:rPr>
          <w:rFonts w:ascii="Calibri" w:hAnsi="Calibri" w:cs="Calibri"/>
          <w:sz w:val="22"/>
          <w:szCs w:val="22"/>
        </w:rPr>
        <w:t>a major constraint</w:t>
      </w:r>
      <w:r w:rsidRPr="0000217F">
        <w:rPr>
          <w:rFonts w:ascii="Calibri" w:hAnsi="Calibri" w:cs="Calibri"/>
          <w:sz w:val="22"/>
          <w:szCs w:val="22"/>
        </w:rPr>
        <w:t xml:space="preserve"> for smooth operation and growth of their businesses</w:t>
      </w:r>
      <w:r>
        <w:rPr>
          <w:rFonts w:ascii="Calibri" w:hAnsi="Calibri" w:cs="Calibri"/>
          <w:sz w:val="22"/>
          <w:szCs w:val="22"/>
        </w:rPr>
        <w:t>, they</w:t>
      </w:r>
      <w:r w:rsidRPr="0000217F">
        <w:rPr>
          <w:rFonts w:ascii="Calibri" w:hAnsi="Calibri" w:cs="Calibri"/>
          <w:sz w:val="22"/>
          <w:szCs w:val="22"/>
        </w:rPr>
        <w:t xml:space="preserve"> would </w:t>
      </w:r>
      <w:r>
        <w:rPr>
          <w:rFonts w:ascii="Calibri" w:hAnsi="Calibri" w:cs="Calibri"/>
          <w:sz w:val="22"/>
          <w:szCs w:val="22"/>
        </w:rPr>
        <w:t xml:space="preserve">be expected </w:t>
      </w:r>
      <w:r w:rsidRPr="0000217F">
        <w:rPr>
          <w:rFonts w:ascii="Calibri" w:hAnsi="Calibri" w:cs="Calibri"/>
          <w:sz w:val="22"/>
          <w:szCs w:val="22"/>
        </w:rPr>
        <w:t xml:space="preserve">also </w:t>
      </w:r>
      <w:r>
        <w:rPr>
          <w:rFonts w:ascii="Calibri" w:hAnsi="Calibri" w:cs="Calibri"/>
          <w:sz w:val="22"/>
          <w:szCs w:val="22"/>
        </w:rPr>
        <w:t xml:space="preserve">to </w:t>
      </w:r>
      <w:r w:rsidRPr="0000217F">
        <w:rPr>
          <w:rFonts w:ascii="Calibri" w:hAnsi="Calibri" w:cs="Calibri"/>
          <w:sz w:val="22"/>
          <w:szCs w:val="22"/>
        </w:rPr>
        <w:t>have a lower chance of obtaining formal credit.</w:t>
      </w:r>
    </w:p>
    <w:p w:rsidR="00AA788D" w:rsidRPr="0000217F" w:rsidRDefault="00AA788D" w:rsidP="00BE31C3">
      <w:pPr>
        <w:pStyle w:val="BodyText"/>
        <w:spacing w:line="480" w:lineRule="auto"/>
        <w:ind w:firstLine="357"/>
        <w:rPr>
          <w:rFonts w:ascii="Calibri" w:hAnsi="Calibri" w:cs="Calibri"/>
          <w:sz w:val="22"/>
          <w:szCs w:val="22"/>
        </w:rPr>
      </w:pPr>
      <w:r w:rsidRPr="0000217F">
        <w:rPr>
          <w:rFonts w:ascii="Calibri" w:hAnsi="Calibri" w:cs="Calibri"/>
          <w:sz w:val="22"/>
          <w:szCs w:val="22"/>
        </w:rPr>
        <w:t xml:space="preserve">The </w:t>
      </w:r>
      <w:r>
        <w:rPr>
          <w:rFonts w:ascii="Calibri" w:hAnsi="Calibri" w:cs="Calibri"/>
          <w:sz w:val="22"/>
          <w:szCs w:val="22"/>
        </w:rPr>
        <w:t xml:space="preserve">next </w:t>
      </w:r>
      <w:r w:rsidRPr="0000217F">
        <w:rPr>
          <w:rFonts w:ascii="Calibri" w:hAnsi="Calibri" w:cs="Calibri"/>
          <w:sz w:val="22"/>
          <w:szCs w:val="22"/>
        </w:rPr>
        <w:t xml:space="preserve">variable </w:t>
      </w:r>
      <w:r>
        <w:rPr>
          <w:rFonts w:ascii="Calibri" w:hAnsi="Calibri" w:cs="Calibri"/>
          <w:sz w:val="22"/>
          <w:szCs w:val="22"/>
        </w:rPr>
        <w:t xml:space="preserve">is </w:t>
      </w:r>
      <w:r w:rsidRPr="0000217F">
        <w:rPr>
          <w:rFonts w:ascii="Calibri" w:hAnsi="Calibri" w:cs="Calibri"/>
          <w:i/>
          <w:sz w:val="22"/>
          <w:szCs w:val="22"/>
        </w:rPr>
        <w:t>gender</w:t>
      </w:r>
      <w:r>
        <w:rPr>
          <w:rFonts w:ascii="Calibri" w:hAnsi="Calibri" w:cs="Calibri"/>
          <w:i/>
          <w:sz w:val="22"/>
          <w:szCs w:val="22"/>
        </w:rPr>
        <w:t xml:space="preserve">. </w:t>
      </w:r>
      <w:r>
        <w:rPr>
          <w:rFonts w:ascii="Calibri" w:hAnsi="Calibri" w:cs="Calibri"/>
          <w:sz w:val="22"/>
          <w:szCs w:val="22"/>
        </w:rPr>
        <w:t>A</w:t>
      </w:r>
      <w:r w:rsidRPr="0000217F">
        <w:rPr>
          <w:rFonts w:ascii="Calibri" w:hAnsi="Calibri" w:cs="Calibri"/>
          <w:sz w:val="22"/>
          <w:szCs w:val="22"/>
        </w:rPr>
        <w:t xml:space="preserve"> cross-country empirical study by </w:t>
      </w:r>
      <w:proofErr w:type="spellStart"/>
      <w:r w:rsidRPr="0000217F">
        <w:rPr>
          <w:rFonts w:ascii="Calibri" w:hAnsi="Calibri" w:cs="Calibri"/>
          <w:sz w:val="22"/>
          <w:szCs w:val="22"/>
        </w:rPr>
        <w:t>Muravyev</w:t>
      </w:r>
      <w:proofErr w:type="spellEnd"/>
      <w:r>
        <w:rPr>
          <w:rFonts w:ascii="Calibri" w:hAnsi="Calibri" w:cs="Calibri"/>
          <w:sz w:val="22"/>
          <w:szCs w:val="22"/>
        </w:rPr>
        <w:t xml:space="preserve"> </w:t>
      </w:r>
      <w:r w:rsidRPr="0000217F">
        <w:rPr>
          <w:rFonts w:ascii="Calibri" w:hAnsi="Calibri" w:cs="Calibri"/>
          <w:i/>
          <w:sz w:val="22"/>
          <w:szCs w:val="22"/>
        </w:rPr>
        <w:t>et al.</w:t>
      </w:r>
      <w:r w:rsidRPr="0000217F">
        <w:rPr>
          <w:rFonts w:ascii="Calibri" w:hAnsi="Calibri" w:cs="Calibri"/>
          <w:sz w:val="22"/>
          <w:szCs w:val="22"/>
        </w:rPr>
        <w:t xml:space="preserve"> (2009)</w:t>
      </w:r>
      <w:r>
        <w:rPr>
          <w:rFonts w:ascii="Calibri" w:hAnsi="Calibri" w:cs="Calibri"/>
          <w:sz w:val="22"/>
          <w:szCs w:val="22"/>
        </w:rPr>
        <w:t xml:space="preserve"> </w:t>
      </w:r>
      <w:r w:rsidRPr="0000217F">
        <w:rPr>
          <w:rFonts w:ascii="Calibri" w:hAnsi="Calibri" w:cs="Calibri"/>
          <w:sz w:val="22"/>
          <w:szCs w:val="22"/>
        </w:rPr>
        <w:t>found that, compared to male-managed companies, female-managed companies were less likely to get formal credit</w:t>
      </w:r>
      <w:r>
        <w:rPr>
          <w:rFonts w:ascii="Calibri" w:hAnsi="Calibri" w:cs="Calibri"/>
          <w:sz w:val="22"/>
          <w:szCs w:val="22"/>
        </w:rPr>
        <w:t xml:space="preserve">; hence, </w:t>
      </w:r>
      <w:r w:rsidRPr="0000217F">
        <w:rPr>
          <w:rFonts w:ascii="Calibri" w:hAnsi="Calibri" w:cs="Calibri"/>
          <w:sz w:val="22"/>
          <w:szCs w:val="22"/>
        </w:rPr>
        <w:t xml:space="preserve">the coefficient of this variable is expected to have a negative sign. </w:t>
      </w:r>
      <w:r>
        <w:rPr>
          <w:rFonts w:ascii="Calibri" w:hAnsi="Calibri" w:cs="Calibri"/>
          <w:sz w:val="22"/>
          <w:szCs w:val="22"/>
        </w:rPr>
        <w:t>R</w:t>
      </w:r>
      <w:r w:rsidRPr="0000217F">
        <w:rPr>
          <w:rFonts w:ascii="Calibri" w:hAnsi="Calibri" w:cs="Calibri"/>
          <w:sz w:val="22"/>
          <w:szCs w:val="22"/>
        </w:rPr>
        <w:t>egional dummy variables</w:t>
      </w:r>
      <w:r>
        <w:rPr>
          <w:rFonts w:ascii="Calibri" w:hAnsi="Calibri" w:cs="Calibri"/>
          <w:sz w:val="22"/>
          <w:szCs w:val="22"/>
        </w:rPr>
        <w:t xml:space="preserve"> are used to reflect the </w:t>
      </w:r>
      <w:r w:rsidRPr="0000217F">
        <w:rPr>
          <w:rFonts w:ascii="Calibri" w:hAnsi="Calibri" w:cs="Calibri"/>
          <w:sz w:val="22"/>
          <w:szCs w:val="22"/>
        </w:rPr>
        <w:t>higher per capita income level in Tashkent, the capital city</w:t>
      </w:r>
      <w:r>
        <w:rPr>
          <w:rFonts w:ascii="Calibri" w:hAnsi="Calibri" w:cs="Calibri"/>
          <w:sz w:val="22"/>
          <w:szCs w:val="22"/>
        </w:rPr>
        <w:t xml:space="preserve"> and </w:t>
      </w:r>
      <w:r w:rsidRPr="0000217F">
        <w:rPr>
          <w:rFonts w:ascii="Calibri" w:hAnsi="Calibri" w:cs="Calibri"/>
          <w:sz w:val="22"/>
          <w:szCs w:val="22"/>
        </w:rPr>
        <w:t>financial centre of the country</w:t>
      </w:r>
      <w:r>
        <w:rPr>
          <w:rFonts w:ascii="Calibri" w:hAnsi="Calibri" w:cs="Calibri"/>
          <w:sz w:val="22"/>
          <w:szCs w:val="22"/>
        </w:rPr>
        <w:t xml:space="preserve">. </w:t>
      </w:r>
      <w:r w:rsidRPr="0000217F">
        <w:rPr>
          <w:rFonts w:ascii="Calibri" w:hAnsi="Calibri" w:cs="Calibri"/>
          <w:sz w:val="22"/>
          <w:szCs w:val="22"/>
        </w:rPr>
        <w:t xml:space="preserve">It is expected that SMEs operating in the other two regions, </w:t>
      </w:r>
      <w:proofErr w:type="spellStart"/>
      <w:r w:rsidRPr="0000217F">
        <w:rPr>
          <w:rFonts w:ascii="Calibri" w:hAnsi="Calibri" w:cs="Calibri"/>
          <w:i/>
          <w:sz w:val="22"/>
          <w:szCs w:val="22"/>
        </w:rPr>
        <w:t>tash_obl</w:t>
      </w:r>
      <w:proofErr w:type="spellEnd"/>
      <w:r>
        <w:rPr>
          <w:rFonts w:ascii="Calibri" w:hAnsi="Calibri" w:cs="Calibri"/>
          <w:i/>
          <w:sz w:val="22"/>
          <w:szCs w:val="22"/>
        </w:rPr>
        <w:t xml:space="preserve"> </w:t>
      </w:r>
      <w:r w:rsidRPr="0000217F">
        <w:rPr>
          <w:rFonts w:ascii="Calibri" w:hAnsi="Calibri" w:cs="Calibri"/>
          <w:sz w:val="22"/>
          <w:szCs w:val="22"/>
        </w:rPr>
        <w:t xml:space="preserve">being the Tashkent region and </w:t>
      </w:r>
      <w:proofErr w:type="spellStart"/>
      <w:r w:rsidRPr="0000217F">
        <w:rPr>
          <w:rFonts w:ascii="Calibri" w:hAnsi="Calibri" w:cs="Calibri"/>
          <w:i/>
          <w:sz w:val="22"/>
          <w:szCs w:val="22"/>
        </w:rPr>
        <w:t>fergh</w:t>
      </w:r>
      <w:proofErr w:type="spellEnd"/>
      <w:r w:rsidRPr="0000217F">
        <w:rPr>
          <w:rFonts w:ascii="Calibri" w:hAnsi="Calibri" w:cs="Calibri"/>
          <w:sz w:val="22"/>
          <w:szCs w:val="22"/>
        </w:rPr>
        <w:t xml:space="preserve"> being the </w:t>
      </w:r>
      <w:proofErr w:type="spellStart"/>
      <w:r w:rsidRPr="0000217F">
        <w:rPr>
          <w:rFonts w:ascii="Calibri" w:hAnsi="Calibri" w:cs="Calibri"/>
          <w:sz w:val="22"/>
          <w:szCs w:val="22"/>
        </w:rPr>
        <w:t>Ferghana</w:t>
      </w:r>
      <w:proofErr w:type="spellEnd"/>
      <w:r w:rsidRPr="0000217F">
        <w:rPr>
          <w:rFonts w:ascii="Calibri" w:hAnsi="Calibri" w:cs="Calibri"/>
          <w:sz w:val="22"/>
          <w:szCs w:val="22"/>
        </w:rPr>
        <w:t xml:space="preserve"> region, </w:t>
      </w:r>
      <w:r>
        <w:rPr>
          <w:rFonts w:ascii="Calibri" w:hAnsi="Calibri" w:cs="Calibri"/>
          <w:sz w:val="22"/>
          <w:szCs w:val="22"/>
        </w:rPr>
        <w:t>might</w:t>
      </w:r>
      <w:r w:rsidRPr="0000217F">
        <w:rPr>
          <w:rFonts w:ascii="Calibri" w:hAnsi="Calibri" w:cs="Calibri"/>
          <w:sz w:val="22"/>
          <w:szCs w:val="22"/>
        </w:rPr>
        <w:t xml:space="preserve"> have a slight disadvantage in obtaining formal credit. </w:t>
      </w:r>
      <w:proofErr w:type="spellStart"/>
      <w:r>
        <w:rPr>
          <w:rFonts w:ascii="Calibri" w:hAnsi="Calibri" w:cs="Calibri"/>
          <w:sz w:val="22"/>
          <w:szCs w:val="22"/>
        </w:rPr>
        <w:t>Sectoral</w:t>
      </w:r>
      <w:proofErr w:type="spellEnd"/>
      <w:r>
        <w:rPr>
          <w:rFonts w:ascii="Calibri" w:hAnsi="Calibri" w:cs="Calibri"/>
          <w:sz w:val="22"/>
          <w:szCs w:val="22"/>
        </w:rPr>
        <w:t xml:space="preserve"> dummies reflect the composition of the</w:t>
      </w:r>
      <w:r w:rsidRPr="0000217F">
        <w:rPr>
          <w:rFonts w:ascii="Calibri" w:hAnsi="Calibri" w:cs="Calibri"/>
          <w:sz w:val="22"/>
          <w:szCs w:val="22"/>
        </w:rPr>
        <w:t xml:space="preserve"> sample</w:t>
      </w:r>
      <w:r>
        <w:rPr>
          <w:rFonts w:ascii="Calibri" w:hAnsi="Calibri" w:cs="Calibri"/>
          <w:sz w:val="22"/>
          <w:szCs w:val="22"/>
        </w:rPr>
        <w:t>, but there</w:t>
      </w:r>
      <w:r w:rsidRPr="0000217F">
        <w:rPr>
          <w:rFonts w:ascii="Calibri" w:hAnsi="Calibri" w:cs="Calibri"/>
          <w:sz w:val="22"/>
          <w:szCs w:val="22"/>
        </w:rPr>
        <w:t xml:space="preserve"> is no </w:t>
      </w:r>
      <w:r w:rsidRPr="00191736">
        <w:rPr>
          <w:rFonts w:ascii="Calibri" w:hAnsi="Calibri" w:cs="Calibri"/>
          <w:i/>
          <w:sz w:val="22"/>
          <w:szCs w:val="22"/>
        </w:rPr>
        <w:t>a priori</w:t>
      </w:r>
      <w:r>
        <w:rPr>
          <w:rFonts w:ascii="Calibri" w:hAnsi="Calibri" w:cs="Calibri"/>
          <w:sz w:val="22"/>
          <w:szCs w:val="22"/>
        </w:rPr>
        <w:t xml:space="preserve"> expectation of</w:t>
      </w:r>
      <w:r w:rsidRPr="0000217F">
        <w:rPr>
          <w:rFonts w:ascii="Calibri" w:hAnsi="Calibri" w:cs="Calibri"/>
          <w:sz w:val="22"/>
          <w:szCs w:val="22"/>
        </w:rPr>
        <w:t xml:space="preserve"> the sign of the coefficients of the variables </w:t>
      </w:r>
      <w:r>
        <w:rPr>
          <w:rFonts w:ascii="Calibri" w:hAnsi="Calibri" w:cs="Calibri"/>
          <w:sz w:val="22"/>
          <w:szCs w:val="22"/>
        </w:rPr>
        <w:t xml:space="preserve">for </w:t>
      </w:r>
      <w:r w:rsidRPr="0000217F">
        <w:rPr>
          <w:rFonts w:ascii="Calibri" w:hAnsi="Calibri" w:cs="Calibri"/>
          <w:sz w:val="22"/>
          <w:szCs w:val="22"/>
        </w:rPr>
        <w:t xml:space="preserve">industry and construction, trade, services, and agriculture. </w:t>
      </w:r>
    </w:p>
    <w:p w:rsidR="00AA788D" w:rsidRPr="0000217F" w:rsidRDefault="00AA788D" w:rsidP="00BE31C3">
      <w:pPr>
        <w:pStyle w:val="BodyText"/>
        <w:spacing w:line="480" w:lineRule="auto"/>
        <w:ind w:firstLine="357"/>
        <w:rPr>
          <w:rFonts w:ascii="Calibri" w:hAnsi="Calibri"/>
          <w:sz w:val="22"/>
          <w:szCs w:val="22"/>
        </w:rPr>
      </w:pPr>
      <w:r w:rsidRPr="0000217F">
        <w:rPr>
          <w:rFonts w:ascii="Calibri" w:hAnsi="Calibri"/>
          <w:sz w:val="22"/>
          <w:szCs w:val="22"/>
        </w:rPr>
        <w:t xml:space="preserve">The three categorical variables, </w:t>
      </w:r>
      <w:proofErr w:type="spellStart"/>
      <w:r w:rsidRPr="0000217F">
        <w:rPr>
          <w:rFonts w:ascii="Calibri" w:hAnsi="Calibri"/>
          <w:i/>
          <w:sz w:val="22"/>
          <w:szCs w:val="22"/>
        </w:rPr>
        <w:t>gov_connect</w:t>
      </w:r>
      <w:proofErr w:type="spellEnd"/>
      <w:r w:rsidRPr="0000217F">
        <w:rPr>
          <w:rFonts w:ascii="Calibri" w:hAnsi="Calibri"/>
          <w:i/>
          <w:sz w:val="22"/>
          <w:szCs w:val="22"/>
        </w:rPr>
        <w:t xml:space="preserve">, bribe, </w:t>
      </w:r>
      <w:r w:rsidRPr="0000217F">
        <w:rPr>
          <w:rFonts w:ascii="Calibri" w:hAnsi="Calibri"/>
          <w:sz w:val="22"/>
          <w:szCs w:val="22"/>
        </w:rPr>
        <w:t xml:space="preserve">and </w:t>
      </w:r>
      <w:proofErr w:type="spellStart"/>
      <w:r w:rsidRPr="0000217F">
        <w:rPr>
          <w:rFonts w:ascii="Calibri" w:hAnsi="Calibri"/>
          <w:i/>
          <w:sz w:val="22"/>
          <w:szCs w:val="22"/>
        </w:rPr>
        <w:t>bzinbrpl</w:t>
      </w:r>
      <w:proofErr w:type="spellEnd"/>
      <w:r w:rsidRPr="0000217F">
        <w:rPr>
          <w:rFonts w:ascii="Calibri" w:hAnsi="Calibri"/>
          <w:i/>
          <w:sz w:val="22"/>
          <w:szCs w:val="22"/>
        </w:rPr>
        <w:t>,</w:t>
      </w:r>
      <w:r w:rsidRPr="0000217F">
        <w:rPr>
          <w:rFonts w:ascii="Calibri" w:hAnsi="Calibri"/>
          <w:sz w:val="22"/>
          <w:szCs w:val="22"/>
        </w:rPr>
        <w:t xml:space="preserve"> attempt to capture the effect of interpersonal networks on the probability of obtaining formal credit. </w:t>
      </w:r>
      <w:r>
        <w:rPr>
          <w:rFonts w:ascii="Calibri" w:hAnsi="Calibri"/>
          <w:sz w:val="22"/>
          <w:szCs w:val="22"/>
        </w:rPr>
        <w:t xml:space="preserve">The </w:t>
      </w:r>
      <w:r w:rsidRPr="0000217F">
        <w:rPr>
          <w:rFonts w:ascii="Calibri" w:hAnsi="Calibri"/>
          <w:sz w:val="22"/>
          <w:szCs w:val="22"/>
        </w:rPr>
        <w:t xml:space="preserve">main target variable is </w:t>
      </w:r>
      <w:proofErr w:type="spellStart"/>
      <w:r w:rsidRPr="0000217F">
        <w:rPr>
          <w:rFonts w:ascii="Calibri" w:hAnsi="Calibri"/>
          <w:i/>
          <w:sz w:val="22"/>
          <w:szCs w:val="22"/>
        </w:rPr>
        <w:t>gov_connect</w:t>
      </w:r>
      <w:proofErr w:type="spellEnd"/>
      <w:r>
        <w:rPr>
          <w:rFonts w:ascii="Calibri" w:hAnsi="Calibri"/>
          <w:sz w:val="22"/>
          <w:szCs w:val="22"/>
        </w:rPr>
        <w:t xml:space="preserve">, but </w:t>
      </w:r>
      <w:r w:rsidRPr="0000217F">
        <w:rPr>
          <w:rFonts w:ascii="Calibri" w:hAnsi="Calibri"/>
          <w:sz w:val="22"/>
          <w:szCs w:val="22"/>
        </w:rPr>
        <w:t xml:space="preserve">the variables </w:t>
      </w:r>
      <w:r w:rsidRPr="0000217F">
        <w:rPr>
          <w:rFonts w:ascii="Calibri" w:hAnsi="Calibri"/>
          <w:i/>
          <w:sz w:val="22"/>
          <w:szCs w:val="22"/>
        </w:rPr>
        <w:t>bribe</w:t>
      </w:r>
      <w:r w:rsidRPr="0000217F">
        <w:rPr>
          <w:rFonts w:ascii="Calibri" w:hAnsi="Calibri"/>
          <w:sz w:val="22"/>
          <w:szCs w:val="22"/>
        </w:rPr>
        <w:t xml:space="preserve"> and </w:t>
      </w:r>
      <w:proofErr w:type="spellStart"/>
      <w:r w:rsidRPr="0000217F">
        <w:rPr>
          <w:rFonts w:ascii="Calibri" w:hAnsi="Calibri"/>
          <w:i/>
          <w:sz w:val="22"/>
          <w:szCs w:val="22"/>
        </w:rPr>
        <w:t>bzinbrpl</w:t>
      </w:r>
      <w:proofErr w:type="spellEnd"/>
      <w:r>
        <w:rPr>
          <w:rFonts w:ascii="Calibri" w:hAnsi="Calibri"/>
          <w:i/>
          <w:sz w:val="22"/>
          <w:szCs w:val="22"/>
        </w:rPr>
        <w:t xml:space="preserve"> </w:t>
      </w:r>
      <w:r>
        <w:rPr>
          <w:rFonts w:ascii="Calibri" w:hAnsi="Calibri"/>
          <w:sz w:val="22"/>
          <w:szCs w:val="22"/>
        </w:rPr>
        <w:t xml:space="preserve">might </w:t>
      </w:r>
      <w:r w:rsidRPr="0000217F">
        <w:rPr>
          <w:rFonts w:ascii="Calibri" w:hAnsi="Calibri"/>
          <w:sz w:val="22"/>
          <w:szCs w:val="22"/>
        </w:rPr>
        <w:t xml:space="preserve">also </w:t>
      </w:r>
      <w:r>
        <w:rPr>
          <w:rFonts w:ascii="Calibri" w:hAnsi="Calibri"/>
          <w:sz w:val="22"/>
          <w:szCs w:val="22"/>
        </w:rPr>
        <w:t xml:space="preserve">be </w:t>
      </w:r>
      <w:r w:rsidRPr="0000217F">
        <w:rPr>
          <w:rFonts w:ascii="Calibri" w:hAnsi="Calibri"/>
          <w:sz w:val="22"/>
          <w:szCs w:val="22"/>
        </w:rPr>
        <w:t xml:space="preserve">important in capturing interpersonal relations. </w:t>
      </w:r>
      <w:r>
        <w:rPr>
          <w:rFonts w:ascii="Calibri" w:hAnsi="Calibri"/>
          <w:sz w:val="22"/>
          <w:szCs w:val="22"/>
        </w:rPr>
        <w:t xml:space="preserve">But, it is important to note that bribing is </w:t>
      </w:r>
      <w:r w:rsidRPr="005456A3">
        <w:rPr>
          <w:rFonts w:ascii="Calibri" w:hAnsi="Calibri"/>
          <w:sz w:val="22"/>
          <w:szCs w:val="22"/>
        </w:rPr>
        <w:t>more likely to occur when one does not have connections</w:t>
      </w:r>
      <w:r>
        <w:rPr>
          <w:rFonts w:ascii="Calibri" w:hAnsi="Calibri"/>
          <w:sz w:val="22"/>
          <w:szCs w:val="22"/>
        </w:rPr>
        <w:t xml:space="preserve"> </w:t>
      </w:r>
      <w:r>
        <w:rPr>
          <w:rFonts w:ascii="Calibri" w:hAnsi="Calibri"/>
          <w:sz w:val="22"/>
          <w:szCs w:val="22"/>
          <w:lang w:val="en-US"/>
        </w:rPr>
        <w:t>as</w:t>
      </w:r>
      <w:r>
        <w:rPr>
          <w:rFonts w:ascii="Calibri" w:hAnsi="Calibri"/>
          <w:sz w:val="22"/>
          <w:szCs w:val="22"/>
        </w:rPr>
        <w:t xml:space="preserve"> </w:t>
      </w:r>
      <w:r w:rsidRPr="005456A3">
        <w:rPr>
          <w:rFonts w:ascii="Calibri" w:hAnsi="Calibri"/>
          <w:sz w:val="22"/>
          <w:szCs w:val="22"/>
        </w:rPr>
        <w:t xml:space="preserve">mutual unpaid obligations </w:t>
      </w:r>
      <w:r>
        <w:rPr>
          <w:rFonts w:ascii="Calibri" w:hAnsi="Calibri"/>
          <w:sz w:val="22"/>
          <w:szCs w:val="22"/>
        </w:rPr>
        <w:t>will</w:t>
      </w:r>
      <w:r w:rsidRPr="005456A3">
        <w:rPr>
          <w:rFonts w:ascii="Calibri" w:hAnsi="Calibri"/>
          <w:sz w:val="22"/>
          <w:szCs w:val="22"/>
        </w:rPr>
        <w:t xml:space="preserve"> dominate when one has contacts. </w:t>
      </w:r>
      <w:r>
        <w:rPr>
          <w:rFonts w:ascii="Calibri" w:hAnsi="Calibri"/>
          <w:sz w:val="22"/>
          <w:szCs w:val="22"/>
        </w:rPr>
        <w:t>Still</w:t>
      </w:r>
      <w:r w:rsidRPr="005456A3">
        <w:rPr>
          <w:rFonts w:ascii="Calibri" w:hAnsi="Calibri"/>
          <w:sz w:val="22"/>
          <w:szCs w:val="22"/>
        </w:rPr>
        <w:t xml:space="preserve">, people who have contacts may be introduced to others with whom they have </w:t>
      </w:r>
      <w:r>
        <w:rPr>
          <w:rFonts w:ascii="Calibri" w:hAnsi="Calibri"/>
          <w:sz w:val="22"/>
          <w:szCs w:val="22"/>
        </w:rPr>
        <w:t xml:space="preserve">no </w:t>
      </w:r>
      <w:r w:rsidRPr="005456A3">
        <w:rPr>
          <w:rFonts w:ascii="Calibri" w:hAnsi="Calibri"/>
          <w:sz w:val="22"/>
          <w:szCs w:val="22"/>
        </w:rPr>
        <w:t>contact, in which case bribe become</w:t>
      </w:r>
      <w:r>
        <w:rPr>
          <w:rFonts w:ascii="Calibri" w:hAnsi="Calibri"/>
          <w:sz w:val="22"/>
          <w:szCs w:val="22"/>
        </w:rPr>
        <w:t>s</w:t>
      </w:r>
      <w:r w:rsidRPr="005456A3">
        <w:rPr>
          <w:rFonts w:ascii="Calibri" w:hAnsi="Calibri"/>
          <w:sz w:val="22"/>
          <w:szCs w:val="22"/>
        </w:rPr>
        <w:t xml:space="preserve"> appropriate and </w:t>
      </w:r>
      <w:r>
        <w:rPr>
          <w:rFonts w:ascii="Calibri" w:hAnsi="Calibri"/>
          <w:sz w:val="22"/>
          <w:szCs w:val="22"/>
        </w:rPr>
        <w:t xml:space="preserve">hence may </w:t>
      </w:r>
      <w:r w:rsidRPr="005456A3">
        <w:rPr>
          <w:rFonts w:ascii="Calibri" w:hAnsi="Calibri"/>
          <w:sz w:val="22"/>
          <w:szCs w:val="22"/>
        </w:rPr>
        <w:t>serve as an (imperfect) substitute for contacts.</w:t>
      </w:r>
      <w:r>
        <w:rPr>
          <w:rFonts w:ascii="Calibri" w:hAnsi="Calibri"/>
          <w:sz w:val="22"/>
          <w:szCs w:val="22"/>
        </w:rPr>
        <w:t xml:space="preserve"> </w:t>
      </w:r>
      <w:r w:rsidRPr="0000217F">
        <w:rPr>
          <w:rFonts w:ascii="Calibri" w:hAnsi="Calibri"/>
          <w:sz w:val="22"/>
          <w:szCs w:val="22"/>
        </w:rPr>
        <w:t>Approximately 34% of sample</w:t>
      </w:r>
      <w:r>
        <w:rPr>
          <w:rFonts w:ascii="Calibri" w:hAnsi="Calibri"/>
          <w:sz w:val="22"/>
          <w:szCs w:val="22"/>
        </w:rPr>
        <w:t>d</w:t>
      </w:r>
      <w:r w:rsidRPr="0000217F">
        <w:rPr>
          <w:rFonts w:ascii="Calibri" w:hAnsi="Calibri"/>
          <w:sz w:val="22"/>
          <w:szCs w:val="22"/>
        </w:rPr>
        <w:t xml:space="preserve"> SMEs </w:t>
      </w:r>
      <w:r>
        <w:rPr>
          <w:rFonts w:ascii="Calibri" w:hAnsi="Calibri"/>
          <w:sz w:val="22"/>
          <w:szCs w:val="22"/>
        </w:rPr>
        <w:t>reported bribes to</w:t>
      </w:r>
      <w:r w:rsidRPr="0000217F">
        <w:rPr>
          <w:rFonts w:ascii="Calibri" w:hAnsi="Calibri"/>
          <w:sz w:val="22"/>
          <w:szCs w:val="22"/>
        </w:rPr>
        <w:t xml:space="preserve"> public officials in the past. Operating </w:t>
      </w:r>
      <w:r>
        <w:rPr>
          <w:rFonts w:ascii="Calibri" w:hAnsi="Calibri"/>
          <w:sz w:val="22"/>
          <w:szCs w:val="22"/>
        </w:rPr>
        <w:t xml:space="preserve">a </w:t>
      </w:r>
      <w:r w:rsidRPr="0000217F">
        <w:rPr>
          <w:rFonts w:ascii="Calibri" w:hAnsi="Calibri"/>
          <w:sz w:val="22"/>
          <w:szCs w:val="22"/>
        </w:rPr>
        <w:t xml:space="preserve">business in </w:t>
      </w:r>
      <w:r w:rsidRPr="008C1350">
        <w:rPr>
          <w:rFonts w:ascii="Calibri" w:hAnsi="Calibri"/>
          <w:sz w:val="22"/>
          <w:szCs w:val="22"/>
        </w:rPr>
        <w:t xml:space="preserve">one’s </w:t>
      </w:r>
      <w:r w:rsidRPr="0000217F">
        <w:rPr>
          <w:rFonts w:ascii="Calibri" w:hAnsi="Calibri"/>
          <w:sz w:val="22"/>
          <w:szCs w:val="22"/>
        </w:rPr>
        <w:t xml:space="preserve">birth </w:t>
      </w:r>
      <w:r w:rsidRPr="008C1350">
        <w:rPr>
          <w:rFonts w:ascii="Calibri" w:hAnsi="Calibri"/>
          <w:sz w:val="22"/>
          <w:szCs w:val="22"/>
        </w:rPr>
        <w:t xml:space="preserve">place </w:t>
      </w:r>
      <w:r>
        <w:rPr>
          <w:rFonts w:ascii="Calibri" w:hAnsi="Calibri"/>
          <w:sz w:val="22"/>
          <w:szCs w:val="22"/>
        </w:rPr>
        <w:t>could also improve the chances</w:t>
      </w:r>
      <w:r w:rsidRPr="0000217F">
        <w:rPr>
          <w:rFonts w:ascii="Calibri" w:hAnsi="Calibri"/>
          <w:sz w:val="22"/>
          <w:szCs w:val="22"/>
        </w:rPr>
        <w:t xml:space="preserve"> of developing interpersonal relations with bank officers as well as government officials, </w:t>
      </w:r>
      <w:r>
        <w:rPr>
          <w:rFonts w:ascii="Calibri" w:hAnsi="Calibri"/>
          <w:sz w:val="22"/>
          <w:szCs w:val="22"/>
        </w:rPr>
        <w:t xml:space="preserve">whereas </w:t>
      </w:r>
      <w:r w:rsidRPr="0000217F">
        <w:rPr>
          <w:rFonts w:ascii="Calibri" w:hAnsi="Calibri"/>
          <w:sz w:val="22"/>
          <w:szCs w:val="22"/>
        </w:rPr>
        <w:t>this variable c</w:t>
      </w:r>
      <w:r>
        <w:rPr>
          <w:rFonts w:ascii="Calibri" w:hAnsi="Calibri"/>
          <w:sz w:val="22"/>
          <w:szCs w:val="22"/>
        </w:rPr>
        <w:t xml:space="preserve">ould </w:t>
      </w:r>
      <w:r w:rsidRPr="0000217F">
        <w:rPr>
          <w:rFonts w:ascii="Calibri" w:hAnsi="Calibri"/>
          <w:sz w:val="22"/>
          <w:szCs w:val="22"/>
        </w:rPr>
        <w:t xml:space="preserve">also measure discrimination against migrant business owners. Around 23% of the SMEs in the sample do not operate </w:t>
      </w:r>
      <w:r>
        <w:rPr>
          <w:rFonts w:ascii="Calibri" w:hAnsi="Calibri"/>
          <w:sz w:val="22"/>
          <w:szCs w:val="22"/>
        </w:rPr>
        <w:t xml:space="preserve">in </w:t>
      </w:r>
      <w:r w:rsidRPr="0000217F">
        <w:rPr>
          <w:rFonts w:ascii="Calibri" w:hAnsi="Calibri"/>
          <w:sz w:val="22"/>
          <w:szCs w:val="22"/>
        </w:rPr>
        <w:t xml:space="preserve">their owners’ </w:t>
      </w:r>
      <w:r w:rsidRPr="0000217F">
        <w:rPr>
          <w:rFonts w:ascii="Calibri" w:hAnsi="Calibri"/>
          <w:sz w:val="22"/>
          <w:szCs w:val="22"/>
        </w:rPr>
        <w:lastRenderedPageBreak/>
        <w:t xml:space="preserve">birthplace, and the figure is slightly higher in the Tashkent city, around 30%. </w:t>
      </w:r>
      <w:r>
        <w:rPr>
          <w:rFonts w:ascii="Calibri" w:hAnsi="Calibri"/>
          <w:sz w:val="22"/>
          <w:szCs w:val="22"/>
        </w:rPr>
        <w:t xml:space="preserve">Consequently, </w:t>
      </w:r>
      <w:r w:rsidRPr="0000217F">
        <w:rPr>
          <w:rFonts w:ascii="Calibri" w:hAnsi="Calibri"/>
          <w:sz w:val="22"/>
          <w:szCs w:val="22"/>
        </w:rPr>
        <w:t xml:space="preserve">positive signs </w:t>
      </w:r>
      <w:r>
        <w:rPr>
          <w:rFonts w:ascii="Calibri" w:hAnsi="Calibri"/>
          <w:sz w:val="22"/>
          <w:szCs w:val="22"/>
        </w:rPr>
        <w:t xml:space="preserve">are expected </w:t>
      </w:r>
      <w:r w:rsidRPr="0000217F">
        <w:rPr>
          <w:rFonts w:ascii="Calibri" w:hAnsi="Calibri"/>
          <w:sz w:val="22"/>
          <w:szCs w:val="22"/>
        </w:rPr>
        <w:t xml:space="preserve">on the coefficients of all </w:t>
      </w:r>
      <w:r>
        <w:rPr>
          <w:rFonts w:ascii="Calibri" w:hAnsi="Calibri"/>
          <w:sz w:val="22"/>
          <w:szCs w:val="22"/>
        </w:rPr>
        <w:t xml:space="preserve">these </w:t>
      </w:r>
      <w:r w:rsidRPr="0000217F">
        <w:rPr>
          <w:rFonts w:ascii="Calibri" w:hAnsi="Calibri"/>
          <w:sz w:val="22"/>
          <w:szCs w:val="22"/>
        </w:rPr>
        <w:t>three variables.</w:t>
      </w:r>
    </w:p>
    <w:p w:rsidR="00AA788D" w:rsidRPr="0000217F" w:rsidRDefault="00AA788D" w:rsidP="00BE31C3">
      <w:pPr>
        <w:pStyle w:val="BodyText"/>
        <w:spacing w:line="480" w:lineRule="auto"/>
        <w:ind w:firstLine="357"/>
        <w:rPr>
          <w:rFonts w:ascii="Calibri" w:hAnsi="Calibri" w:cs="Calibri"/>
          <w:b/>
          <w:sz w:val="22"/>
          <w:szCs w:val="22"/>
        </w:rPr>
      </w:pPr>
      <w:r w:rsidRPr="0000217F">
        <w:rPr>
          <w:rFonts w:ascii="Calibri" w:hAnsi="Calibri" w:cs="Calibri"/>
          <w:b/>
          <w:i/>
          <w:sz w:val="22"/>
          <w:szCs w:val="22"/>
        </w:rPr>
        <w:t>&lt;</w:t>
      </w:r>
      <w:r>
        <w:rPr>
          <w:rFonts w:ascii="Calibri" w:hAnsi="Calibri" w:cs="Calibri"/>
          <w:b/>
          <w:i/>
          <w:sz w:val="22"/>
          <w:szCs w:val="22"/>
        </w:rPr>
        <w:t>Table 4</w:t>
      </w:r>
      <w:r w:rsidRPr="0000217F">
        <w:rPr>
          <w:rFonts w:ascii="Calibri" w:hAnsi="Calibri" w:cs="Calibri"/>
          <w:b/>
          <w:i/>
          <w:sz w:val="22"/>
          <w:szCs w:val="22"/>
        </w:rPr>
        <w:t>&gt;</w:t>
      </w:r>
    </w:p>
    <w:p w:rsidR="00AA788D" w:rsidRPr="00FC7D2F" w:rsidRDefault="00AA788D" w:rsidP="001735BF">
      <w:pPr>
        <w:pStyle w:val="BodyText"/>
        <w:spacing w:line="480" w:lineRule="auto"/>
        <w:ind w:firstLine="357"/>
        <w:rPr>
          <w:rFonts w:ascii="Calibri" w:hAnsi="Calibri"/>
          <w:sz w:val="22"/>
          <w:szCs w:val="22"/>
        </w:rPr>
      </w:pPr>
      <w:r>
        <w:rPr>
          <w:rFonts w:ascii="Calibri" w:hAnsi="Calibri"/>
          <w:sz w:val="22"/>
          <w:szCs w:val="22"/>
        </w:rPr>
        <w:t>F</w:t>
      </w:r>
      <w:r w:rsidRPr="0000217F">
        <w:rPr>
          <w:rFonts w:ascii="Calibri" w:hAnsi="Calibri"/>
          <w:sz w:val="22"/>
          <w:szCs w:val="22"/>
        </w:rPr>
        <w:t>irst</w:t>
      </w:r>
      <w:r>
        <w:rPr>
          <w:rFonts w:ascii="Calibri" w:hAnsi="Calibri"/>
          <w:sz w:val="22"/>
          <w:szCs w:val="22"/>
        </w:rPr>
        <w:t>ly,</w:t>
      </w:r>
      <w:r w:rsidRPr="0000217F">
        <w:rPr>
          <w:rFonts w:ascii="Calibri" w:hAnsi="Calibri"/>
          <w:sz w:val="22"/>
          <w:szCs w:val="22"/>
        </w:rPr>
        <w:t xml:space="preserve"> Model 1 </w:t>
      </w:r>
      <w:r>
        <w:rPr>
          <w:rFonts w:ascii="Calibri" w:hAnsi="Calibri"/>
          <w:sz w:val="22"/>
          <w:szCs w:val="22"/>
        </w:rPr>
        <w:t xml:space="preserve">is estimated using </w:t>
      </w:r>
      <w:r w:rsidRPr="0000217F">
        <w:rPr>
          <w:rFonts w:ascii="Calibri" w:hAnsi="Calibri"/>
          <w:sz w:val="22"/>
          <w:szCs w:val="22"/>
        </w:rPr>
        <w:t xml:space="preserve">all available observations in </w:t>
      </w:r>
      <w:r>
        <w:rPr>
          <w:rFonts w:ascii="Calibri" w:hAnsi="Calibri"/>
          <w:sz w:val="22"/>
          <w:szCs w:val="22"/>
        </w:rPr>
        <w:t>the</w:t>
      </w:r>
      <w:r w:rsidRPr="0000217F">
        <w:rPr>
          <w:rFonts w:ascii="Calibri" w:hAnsi="Calibri"/>
          <w:sz w:val="22"/>
          <w:szCs w:val="22"/>
        </w:rPr>
        <w:t xml:space="preserve"> sample; missing values in some variables </w:t>
      </w:r>
      <w:r>
        <w:rPr>
          <w:rFonts w:ascii="Calibri" w:hAnsi="Calibri"/>
          <w:sz w:val="22"/>
          <w:szCs w:val="22"/>
        </w:rPr>
        <w:t xml:space="preserve">reduce the number of usable </w:t>
      </w:r>
      <w:r w:rsidRPr="00326E9D">
        <w:rPr>
          <w:rFonts w:ascii="Calibri" w:hAnsi="Calibri"/>
          <w:sz w:val="22"/>
          <w:szCs w:val="22"/>
        </w:rPr>
        <w:t xml:space="preserve">observations </w:t>
      </w:r>
      <w:r>
        <w:rPr>
          <w:rFonts w:ascii="Calibri" w:hAnsi="Calibri"/>
          <w:sz w:val="22"/>
          <w:szCs w:val="22"/>
        </w:rPr>
        <w:t>to 331</w:t>
      </w:r>
      <w:r w:rsidRPr="0000217F">
        <w:rPr>
          <w:rFonts w:ascii="Calibri" w:hAnsi="Calibri"/>
          <w:sz w:val="22"/>
          <w:szCs w:val="22"/>
        </w:rPr>
        <w:t xml:space="preserve">. </w:t>
      </w:r>
      <w:r>
        <w:rPr>
          <w:rFonts w:ascii="Calibri" w:hAnsi="Calibri"/>
          <w:sz w:val="22"/>
          <w:szCs w:val="22"/>
        </w:rPr>
        <w:t>E</w:t>
      </w:r>
      <w:r w:rsidRPr="0000217F">
        <w:rPr>
          <w:rFonts w:ascii="Calibri" w:hAnsi="Calibri"/>
          <w:sz w:val="22"/>
          <w:szCs w:val="22"/>
        </w:rPr>
        <w:t>stimated parameter values</w:t>
      </w:r>
      <w:r>
        <w:rPr>
          <w:rFonts w:ascii="Calibri" w:hAnsi="Calibri"/>
          <w:sz w:val="22"/>
          <w:szCs w:val="22"/>
        </w:rPr>
        <w:t>,</w:t>
      </w:r>
      <w:r w:rsidRPr="0000217F">
        <w:rPr>
          <w:rFonts w:ascii="Calibri" w:hAnsi="Calibri"/>
          <w:sz w:val="22"/>
          <w:szCs w:val="22"/>
        </w:rPr>
        <w:t xml:space="preserve"> </w:t>
      </w:r>
      <w:r>
        <w:rPr>
          <w:rFonts w:ascii="Calibri" w:hAnsi="Calibri"/>
          <w:sz w:val="22"/>
          <w:szCs w:val="22"/>
        </w:rPr>
        <w:t xml:space="preserve">and corresponding odds ratios, </w:t>
      </w:r>
      <w:r w:rsidRPr="0000217F">
        <w:rPr>
          <w:rFonts w:ascii="Calibri" w:hAnsi="Calibri"/>
          <w:sz w:val="22"/>
          <w:szCs w:val="22"/>
        </w:rPr>
        <w:t xml:space="preserve">of this model are reported in the third </w:t>
      </w:r>
      <w:r>
        <w:rPr>
          <w:rFonts w:ascii="Calibri" w:hAnsi="Calibri"/>
          <w:sz w:val="22"/>
          <w:szCs w:val="22"/>
        </w:rPr>
        <w:t xml:space="preserve">and fourth </w:t>
      </w:r>
      <w:r w:rsidRPr="0000217F">
        <w:rPr>
          <w:rFonts w:ascii="Calibri" w:hAnsi="Calibri"/>
          <w:sz w:val="22"/>
          <w:szCs w:val="22"/>
        </w:rPr>
        <w:t>column</w:t>
      </w:r>
      <w:r>
        <w:rPr>
          <w:rFonts w:ascii="Calibri" w:hAnsi="Calibri"/>
          <w:sz w:val="22"/>
          <w:szCs w:val="22"/>
        </w:rPr>
        <w:t>s</w:t>
      </w:r>
      <w:r w:rsidRPr="0000217F">
        <w:rPr>
          <w:rFonts w:ascii="Calibri" w:hAnsi="Calibri"/>
          <w:sz w:val="22"/>
          <w:szCs w:val="22"/>
        </w:rPr>
        <w:t xml:space="preserve"> of Table </w:t>
      </w:r>
      <w:r>
        <w:rPr>
          <w:rFonts w:ascii="Calibri" w:hAnsi="Calibri"/>
          <w:sz w:val="22"/>
          <w:szCs w:val="22"/>
        </w:rPr>
        <w:t xml:space="preserve">4, and indicate </w:t>
      </w:r>
      <w:r w:rsidRPr="0000217F">
        <w:rPr>
          <w:rFonts w:ascii="Calibri" w:hAnsi="Calibri"/>
          <w:sz w:val="22"/>
          <w:szCs w:val="22"/>
        </w:rPr>
        <w:t>that</w:t>
      </w:r>
      <w:r>
        <w:rPr>
          <w:rFonts w:ascii="Calibri" w:hAnsi="Calibri"/>
          <w:sz w:val="22"/>
          <w:szCs w:val="22"/>
        </w:rPr>
        <w:t>,</w:t>
      </w:r>
      <w:r w:rsidRPr="0000217F">
        <w:rPr>
          <w:rFonts w:ascii="Calibri" w:hAnsi="Calibri"/>
          <w:sz w:val="22"/>
          <w:szCs w:val="22"/>
        </w:rPr>
        <w:t xml:space="preserve"> with few exceptions</w:t>
      </w:r>
      <w:r>
        <w:rPr>
          <w:rFonts w:ascii="Calibri" w:hAnsi="Calibri"/>
          <w:sz w:val="22"/>
          <w:szCs w:val="22"/>
        </w:rPr>
        <w:t>,</w:t>
      </w:r>
      <w:r w:rsidRPr="0000217F">
        <w:rPr>
          <w:rFonts w:ascii="Calibri" w:hAnsi="Calibri"/>
          <w:sz w:val="22"/>
          <w:szCs w:val="22"/>
        </w:rPr>
        <w:t xml:space="preserve"> most have </w:t>
      </w:r>
      <w:r>
        <w:rPr>
          <w:rFonts w:ascii="Calibri" w:hAnsi="Calibri"/>
          <w:sz w:val="22"/>
          <w:szCs w:val="22"/>
        </w:rPr>
        <w:t xml:space="preserve">the expected </w:t>
      </w:r>
      <w:r w:rsidRPr="0000217F">
        <w:rPr>
          <w:rFonts w:ascii="Calibri" w:hAnsi="Calibri"/>
          <w:sz w:val="22"/>
          <w:szCs w:val="22"/>
        </w:rPr>
        <w:t>signs and are statistically significant.</w:t>
      </w:r>
      <w:r w:rsidRPr="001005D8">
        <w:rPr>
          <w:rFonts w:ascii="Calibri" w:hAnsi="Calibri"/>
          <w:sz w:val="22"/>
          <w:szCs w:val="22"/>
          <w:vertAlign w:val="superscript"/>
        </w:rPr>
        <w:t>5</w:t>
      </w:r>
      <w:r w:rsidRPr="0000217F">
        <w:rPr>
          <w:rFonts w:ascii="Calibri" w:hAnsi="Calibri"/>
          <w:sz w:val="22"/>
          <w:szCs w:val="22"/>
        </w:rPr>
        <w:t xml:space="preserve"> Variables </w:t>
      </w:r>
      <w:r w:rsidRPr="0000217F">
        <w:rPr>
          <w:rFonts w:ascii="Calibri" w:hAnsi="Calibri"/>
          <w:i/>
          <w:sz w:val="22"/>
          <w:szCs w:val="22"/>
        </w:rPr>
        <w:t>age</w:t>
      </w:r>
      <w:r w:rsidRPr="0000217F">
        <w:rPr>
          <w:rFonts w:ascii="Calibri" w:hAnsi="Calibri"/>
          <w:sz w:val="22"/>
          <w:szCs w:val="22"/>
        </w:rPr>
        <w:t xml:space="preserve"> and </w:t>
      </w:r>
      <w:proofErr w:type="spellStart"/>
      <w:r w:rsidRPr="0000217F">
        <w:rPr>
          <w:rFonts w:ascii="Calibri" w:hAnsi="Calibri"/>
          <w:i/>
          <w:sz w:val="22"/>
          <w:szCs w:val="22"/>
        </w:rPr>
        <w:t>bsness_exper</w:t>
      </w:r>
      <w:proofErr w:type="spellEnd"/>
      <w:r w:rsidRPr="0000217F">
        <w:rPr>
          <w:rFonts w:ascii="Calibri" w:hAnsi="Calibri"/>
          <w:sz w:val="22"/>
          <w:szCs w:val="22"/>
        </w:rPr>
        <w:t xml:space="preserve"> and their respective squared terms</w:t>
      </w:r>
      <w:r>
        <w:rPr>
          <w:rFonts w:ascii="Calibri" w:hAnsi="Calibri"/>
          <w:sz w:val="22"/>
          <w:szCs w:val="22"/>
        </w:rPr>
        <w:t xml:space="preserve">, and </w:t>
      </w:r>
      <w:r w:rsidRPr="0000217F">
        <w:rPr>
          <w:rFonts w:ascii="Calibri" w:hAnsi="Calibri"/>
          <w:i/>
          <w:sz w:val="22"/>
          <w:szCs w:val="22"/>
        </w:rPr>
        <w:t>cash1</w:t>
      </w:r>
      <w:r>
        <w:rPr>
          <w:rFonts w:ascii="Calibri" w:hAnsi="Calibri"/>
          <w:sz w:val="22"/>
          <w:szCs w:val="22"/>
        </w:rPr>
        <w:t xml:space="preserve"> and </w:t>
      </w:r>
      <w:proofErr w:type="spellStart"/>
      <w:r w:rsidRPr="0000217F">
        <w:rPr>
          <w:rFonts w:ascii="Calibri" w:hAnsi="Calibri"/>
          <w:i/>
          <w:sz w:val="22"/>
          <w:szCs w:val="22"/>
        </w:rPr>
        <w:t>lnsales</w:t>
      </w:r>
      <w:proofErr w:type="spellEnd"/>
      <w:r>
        <w:rPr>
          <w:rFonts w:ascii="Calibri" w:hAnsi="Calibri"/>
          <w:i/>
          <w:sz w:val="22"/>
          <w:szCs w:val="22"/>
        </w:rPr>
        <w:t xml:space="preserve"> </w:t>
      </w:r>
      <w:r w:rsidRPr="0000217F">
        <w:rPr>
          <w:rFonts w:ascii="Calibri" w:hAnsi="Calibri"/>
          <w:sz w:val="22"/>
          <w:szCs w:val="22"/>
        </w:rPr>
        <w:t>have expected signs and are statistically significant at 5% level</w:t>
      </w:r>
      <w:r>
        <w:rPr>
          <w:rFonts w:ascii="Calibri" w:hAnsi="Calibri"/>
          <w:sz w:val="22"/>
          <w:szCs w:val="22"/>
        </w:rPr>
        <w:t xml:space="preserve">; </w:t>
      </w:r>
      <w:proofErr w:type="spellStart"/>
      <w:r w:rsidRPr="0000217F">
        <w:rPr>
          <w:rFonts w:ascii="Calibri" w:hAnsi="Calibri"/>
          <w:i/>
          <w:sz w:val="22"/>
          <w:szCs w:val="22"/>
        </w:rPr>
        <w:t>expnd_d</w:t>
      </w:r>
      <w:proofErr w:type="spellEnd"/>
      <w:r>
        <w:rPr>
          <w:rFonts w:ascii="Calibri" w:hAnsi="Calibri"/>
          <w:i/>
          <w:sz w:val="22"/>
          <w:szCs w:val="22"/>
        </w:rPr>
        <w:t xml:space="preserve"> </w:t>
      </w:r>
      <w:r>
        <w:rPr>
          <w:rFonts w:ascii="Calibri" w:hAnsi="Calibri"/>
          <w:sz w:val="22"/>
          <w:szCs w:val="22"/>
        </w:rPr>
        <w:t xml:space="preserve">also </w:t>
      </w:r>
      <w:r w:rsidRPr="0000217F">
        <w:rPr>
          <w:rFonts w:ascii="Calibri" w:hAnsi="Calibri"/>
          <w:sz w:val="22"/>
          <w:szCs w:val="22"/>
        </w:rPr>
        <w:t>ha</w:t>
      </w:r>
      <w:r>
        <w:rPr>
          <w:rFonts w:ascii="Calibri" w:hAnsi="Calibri"/>
          <w:sz w:val="22"/>
          <w:szCs w:val="22"/>
        </w:rPr>
        <w:t>s the anticipated sign</w:t>
      </w:r>
      <w:r w:rsidRPr="0000217F">
        <w:rPr>
          <w:rFonts w:ascii="Calibri" w:hAnsi="Calibri"/>
          <w:sz w:val="22"/>
          <w:szCs w:val="22"/>
        </w:rPr>
        <w:t xml:space="preserve"> and </w:t>
      </w:r>
      <w:r>
        <w:rPr>
          <w:rFonts w:ascii="Calibri" w:hAnsi="Calibri"/>
          <w:sz w:val="22"/>
          <w:szCs w:val="22"/>
        </w:rPr>
        <w:t xml:space="preserve">is </w:t>
      </w:r>
      <w:r w:rsidRPr="0000217F">
        <w:rPr>
          <w:rFonts w:ascii="Calibri" w:hAnsi="Calibri"/>
          <w:sz w:val="22"/>
          <w:szCs w:val="22"/>
        </w:rPr>
        <w:t xml:space="preserve">statistically significant at </w:t>
      </w:r>
      <w:r>
        <w:rPr>
          <w:rFonts w:ascii="Calibri" w:hAnsi="Calibri"/>
          <w:sz w:val="22"/>
          <w:szCs w:val="22"/>
        </w:rPr>
        <w:t xml:space="preserve">the </w:t>
      </w:r>
      <w:r w:rsidRPr="0000217F">
        <w:rPr>
          <w:rFonts w:ascii="Calibri" w:hAnsi="Calibri"/>
          <w:sz w:val="22"/>
          <w:szCs w:val="22"/>
        </w:rPr>
        <w:t xml:space="preserve">1% level. The coefficient estimate of the Tashkent region dummy has the opposite sign but </w:t>
      </w:r>
      <w:r>
        <w:rPr>
          <w:rFonts w:ascii="Calibri" w:hAnsi="Calibri"/>
          <w:sz w:val="22"/>
          <w:szCs w:val="22"/>
        </w:rPr>
        <w:t xml:space="preserve">is </w:t>
      </w:r>
      <w:r w:rsidRPr="0000217F">
        <w:rPr>
          <w:rFonts w:ascii="Calibri" w:hAnsi="Calibri"/>
          <w:sz w:val="22"/>
          <w:szCs w:val="22"/>
        </w:rPr>
        <w:t>only marginally significant</w:t>
      </w:r>
      <w:r>
        <w:rPr>
          <w:rFonts w:ascii="Calibri" w:hAnsi="Calibri"/>
          <w:sz w:val="22"/>
          <w:szCs w:val="22"/>
        </w:rPr>
        <w:t>;</w:t>
      </w:r>
      <w:r w:rsidRPr="0000217F">
        <w:rPr>
          <w:rFonts w:ascii="Calibri" w:hAnsi="Calibri"/>
          <w:sz w:val="22"/>
          <w:szCs w:val="22"/>
        </w:rPr>
        <w:t xml:space="preserve"> </w:t>
      </w:r>
      <w:r>
        <w:rPr>
          <w:rFonts w:ascii="Calibri" w:hAnsi="Calibri"/>
          <w:sz w:val="22"/>
          <w:szCs w:val="22"/>
        </w:rPr>
        <w:t xml:space="preserve">whereas although the sign of </w:t>
      </w:r>
      <w:r w:rsidRPr="0000217F">
        <w:rPr>
          <w:rFonts w:ascii="Calibri" w:hAnsi="Calibri"/>
          <w:sz w:val="22"/>
          <w:szCs w:val="22"/>
        </w:rPr>
        <w:t xml:space="preserve">the </w:t>
      </w:r>
      <w:proofErr w:type="spellStart"/>
      <w:r w:rsidRPr="0000217F">
        <w:rPr>
          <w:rFonts w:ascii="Calibri" w:hAnsi="Calibri"/>
          <w:sz w:val="22"/>
          <w:szCs w:val="22"/>
        </w:rPr>
        <w:t>Ferghana</w:t>
      </w:r>
      <w:proofErr w:type="spellEnd"/>
      <w:r w:rsidRPr="0000217F">
        <w:rPr>
          <w:rFonts w:ascii="Calibri" w:hAnsi="Calibri"/>
          <w:sz w:val="22"/>
          <w:szCs w:val="22"/>
        </w:rPr>
        <w:t xml:space="preserve"> region</w:t>
      </w:r>
      <w:r>
        <w:rPr>
          <w:rFonts w:ascii="Calibri" w:hAnsi="Calibri"/>
          <w:sz w:val="22"/>
          <w:szCs w:val="22"/>
        </w:rPr>
        <w:t xml:space="preserve"> dummy</w:t>
      </w:r>
      <w:r w:rsidRPr="0000217F">
        <w:rPr>
          <w:rFonts w:ascii="Calibri" w:hAnsi="Calibri"/>
          <w:sz w:val="22"/>
          <w:szCs w:val="22"/>
        </w:rPr>
        <w:t xml:space="preserve"> </w:t>
      </w:r>
      <w:r>
        <w:rPr>
          <w:rFonts w:ascii="Calibri" w:hAnsi="Calibri"/>
          <w:sz w:val="22"/>
          <w:szCs w:val="22"/>
        </w:rPr>
        <w:t>is consistent with the data,</w:t>
      </w:r>
      <w:r w:rsidRPr="0000217F">
        <w:rPr>
          <w:rFonts w:ascii="Calibri" w:hAnsi="Calibri"/>
          <w:sz w:val="22"/>
          <w:szCs w:val="22"/>
        </w:rPr>
        <w:t xml:space="preserve"> </w:t>
      </w:r>
      <w:r>
        <w:rPr>
          <w:rFonts w:ascii="Calibri" w:hAnsi="Calibri"/>
          <w:sz w:val="22"/>
          <w:szCs w:val="22"/>
        </w:rPr>
        <w:t>it</w:t>
      </w:r>
      <w:r w:rsidRPr="0000217F">
        <w:rPr>
          <w:rFonts w:ascii="Calibri" w:hAnsi="Calibri"/>
          <w:sz w:val="22"/>
          <w:szCs w:val="22"/>
        </w:rPr>
        <w:t xml:space="preserve"> is statistically insignificant. </w:t>
      </w:r>
      <w:r>
        <w:rPr>
          <w:rFonts w:ascii="Calibri" w:hAnsi="Calibri"/>
          <w:sz w:val="22"/>
          <w:szCs w:val="22"/>
        </w:rPr>
        <w:t xml:space="preserve">Of </w:t>
      </w:r>
      <w:r w:rsidRPr="0000217F">
        <w:rPr>
          <w:rFonts w:ascii="Calibri" w:hAnsi="Calibri"/>
          <w:sz w:val="22"/>
          <w:szCs w:val="22"/>
        </w:rPr>
        <w:t>the sector dummy variables, only th</w:t>
      </w:r>
      <w:r>
        <w:rPr>
          <w:rFonts w:ascii="Calibri" w:hAnsi="Calibri"/>
          <w:sz w:val="22"/>
          <w:szCs w:val="22"/>
        </w:rPr>
        <w:t xml:space="preserve">at </w:t>
      </w:r>
      <w:r w:rsidRPr="0000217F">
        <w:rPr>
          <w:rFonts w:ascii="Calibri" w:hAnsi="Calibri"/>
          <w:sz w:val="22"/>
          <w:szCs w:val="22"/>
        </w:rPr>
        <w:t xml:space="preserve">for the services sector is significant at 5% level; </w:t>
      </w:r>
      <w:r>
        <w:rPr>
          <w:rFonts w:ascii="Calibri" w:hAnsi="Calibri"/>
          <w:sz w:val="22"/>
          <w:szCs w:val="22"/>
        </w:rPr>
        <w:t xml:space="preserve">its </w:t>
      </w:r>
      <w:r w:rsidRPr="0000217F">
        <w:rPr>
          <w:rFonts w:ascii="Calibri" w:hAnsi="Calibri"/>
          <w:sz w:val="22"/>
          <w:szCs w:val="22"/>
        </w:rPr>
        <w:t>negative sign can perhaps be explained by the fact that the services sector is one of the least capital-intensive sectors.</w:t>
      </w:r>
      <w:r>
        <w:rPr>
          <w:rFonts w:ascii="Calibri" w:hAnsi="Calibri"/>
          <w:sz w:val="22"/>
          <w:szCs w:val="22"/>
        </w:rPr>
        <w:t xml:space="preserve"> T</w:t>
      </w:r>
      <w:r w:rsidRPr="0000217F">
        <w:rPr>
          <w:rFonts w:ascii="Calibri" w:hAnsi="Calibri"/>
          <w:sz w:val="22"/>
          <w:szCs w:val="22"/>
        </w:rPr>
        <w:t xml:space="preserve">he </w:t>
      </w:r>
      <w:r>
        <w:rPr>
          <w:rFonts w:ascii="Calibri" w:hAnsi="Calibri"/>
          <w:sz w:val="22"/>
          <w:szCs w:val="22"/>
        </w:rPr>
        <w:t>interpersonal network variables</w:t>
      </w:r>
      <w:r w:rsidRPr="0000217F">
        <w:rPr>
          <w:rFonts w:ascii="Calibri" w:hAnsi="Calibri"/>
          <w:sz w:val="22"/>
          <w:szCs w:val="22"/>
        </w:rPr>
        <w:t xml:space="preserve"> all have </w:t>
      </w:r>
      <w:r>
        <w:rPr>
          <w:rFonts w:ascii="Calibri" w:hAnsi="Calibri"/>
          <w:sz w:val="22"/>
          <w:szCs w:val="22"/>
        </w:rPr>
        <w:t xml:space="preserve">the </w:t>
      </w:r>
      <w:r w:rsidRPr="00F8194A">
        <w:rPr>
          <w:rFonts w:ascii="Calibri" w:hAnsi="Calibri"/>
          <w:sz w:val="22"/>
          <w:szCs w:val="22"/>
        </w:rPr>
        <w:t xml:space="preserve">expected </w:t>
      </w:r>
      <w:r w:rsidRPr="0000217F">
        <w:rPr>
          <w:rFonts w:ascii="Calibri" w:hAnsi="Calibri"/>
          <w:sz w:val="22"/>
          <w:szCs w:val="22"/>
        </w:rPr>
        <w:t xml:space="preserve">signs. </w:t>
      </w:r>
      <w:r>
        <w:rPr>
          <w:rFonts w:ascii="Calibri" w:hAnsi="Calibri"/>
          <w:sz w:val="22"/>
          <w:szCs w:val="22"/>
        </w:rPr>
        <w:t>E</w:t>
      </w:r>
      <w:r w:rsidRPr="0000217F">
        <w:rPr>
          <w:rFonts w:ascii="Calibri" w:hAnsi="Calibri"/>
          <w:sz w:val="22"/>
          <w:szCs w:val="22"/>
        </w:rPr>
        <w:t xml:space="preserve">stimated parameters of </w:t>
      </w:r>
      <w:proofErr w:type="spellStart"/>
      <w:r w:rsidRPr="0000217F">
        <w:rPr>
          <w:rFonts w:ascii="Calibri" w:hAnsi="Calibri"/>
          <w:i/>
          <w:sz w:val="22"/>
          <w:szCs w:val="22"/>
        </w:rPr>
        <w:t>gov_connect</w:t>
      </w:r>
      <w:proofErr w:type="spellEnd"/>
      <w:r>
        <w:rPr>
          <w:rFonts w:ascii="Calibri" w:hAnsi="Calibri"/>
          <w:i/>
          <w:sz w:val="22"/>
          <w:szCs w:val="22"/>
        </w:rPr>
        <w:t xml:space="preserve"> </w:t>
      </w:r>
      <w:r w:rsidRPr="0000217F">
        <w:rPr>
          <w:rFonts w:ascii="Calibri" w:hAnsi="Calibri"/>
          <w:sz w:val="22"/>
          <w:szCs w:val="22"/>
        </w:rPr>
        <w:t xml:space="preserve">and </w:t>
      </w:r>
      <w:proofErr w:type="spellStart"/>
      <w:r w:rsidRPr="0000217F">
        <w:rPr>
          <w:rFonts w:ascii="Calibri" w:hAnsi="Calibri"/>
          <w:i/>
          <w:sz w:val="22"/>
          <w:szCs w:val="22"/>
        </w:rPr>
        <w:t>bzinbrpl</w:t>
      </w:r>
      <w:proofErr w:type="spellEnd"/>
      <w:r>
        <w:rPr>
          <w:rFonts w:ascii="Calibri" w:hAnsi="Calibri"/>
          <w:i/>
          <w:sz w:val="22"/>
          <w:szCs w:val="22"/>
        </w:rPr>
        <w:t xml:space="preserve"> </w:t>
      </w:r>
      <w:r w:rsidRPr="0000217F">
        <w:rPr>
          <w:rFonts w:ascii="Calibri" w:hAnsi="Calibri"/>
          <w:sz w:val="22"/>
          <w:szCs w:val="22"/>
        </w:rPr>
        <w:t>are statistically significant at 5% level, implying</w:t>
      </w:r>
      <w:r>
        <w:rPr>
          <w:rFonts w:ascii="Calibri" w:hAnsi="Calibri"/>
          <w:sz w:val="22"/>
          <w:szCs w:val="22"/>
        </w:rPr>
        <w:t xml:space="preserve"> that</w:t>
      </w:r>
      <w:r w:rsidRPr="0000217F">
        <w:rPr>
          <w:rFonts w:ascii="Calibri" w:hAnsi="Calibri"/>
          <w:sz w:val="22"/>
          <w:szCs w:val="22"/>
        </w:rPr>
        <w:t xml:space="preserve"> having interpersonal connections matter</w:t>
      </w:r>
      <w:r>
        <w:rPr>
          <w:rFonts w:ascii="Calibri" w:hAnsi="Calibri"/>
          <w:sz w:val="22"/>
          <w:szCs w:val="22"/>
        </w:rPr>
        <w:t>s</w:t>
      </w:r>
      <w:r w:rsidRPr="0000217F">
        <w:rPr>
          <w:rFonts w:ascii="Calibri" w:hAnsi="Calibri"/>
          <w:sz w:val="22"/>
          <w:szCs w:val="22"/>
        </w:rPr>
        <w:t xml:space="preserve"> for SMEs in obtaining bank credit</w:t>
      </w:r>
      <w:r>
        <w:rPr>
          <w:rFonts w:ascii="Calibri" w:hAnsi="Calibri"/>
          <w:sz w:val="22"/>
          <w:szCs w:val="22"/>
        </w:rPr>
        <w:t xml:space="preserve">. In terms of odds ratios, the odds of success for </w:t>
      </w:r>
      <w:proofErr w:type="spellStart"/>
      <w:r w:rsidRPr="00D33D4E">
        <w:rPr>
          <w:rFonts w:ascii="Calibri" w:hAnsi="Calibri"/>
          <w:i/>
          <w:sz w:val="22"/>
          <w:szCs w:val="22"/>
        </w:rPr>
        <w:t>gov_connect</w:t>
      </w:r>
      <w:proofErr w:type="spellEnd"/>
      <w:r>
        <w:rPr>
          <w:rFonts w:ascii="Calibri" w:hAnsi="Calibri"/>
          <w:sz w:val="22"/>
          <w:szCs w:val="22"/>
        </w:rPr>
        <w:t xml:space="preserve"> and </w:t>
      </w:r>
      <w:proofErr w:type="spellStart"/>
      <w:r w:rsidRPr="00D33D4E">
        <w:rPr>
          <w:rFonts w:ascii="Calibri" w:hAnsi="Calibri"/>
          <w:i/>
          <w:sz w:val="22"/>
          <w:szCs w:val="22"/>
        </w:rPr>
        <w:t>bzinbrpl</w:t>
      </w:r>
      <w:proofErr w:type="spellEnd"/>
      <w:r>
        <w:rPr>
          <w:rFonts w:ascii="Calibri" w:hAnsi="Calibri"/>
          <w:sz w:val="22"/>
          <w:szCs w:val="22"/>
        </w:rPr>
        <w:t xml:space="preserve"> variables is 2.33 and 2.55 respectively. However, although the sign of the coefficient of </w:t>
      </w:r>
      <w:r>
        <w:rPr>
          <w:rFonts w:ascii="Calibri" w:hAnsi="Calibri"/>
          <w:i/>
          <w:sz w:val="22"/>
          <w:szCs w:val="22"/>
        </w:rPr>
        <w:t xml:space="preserve">bribe </w:t>
      </w:r>
      <w:r>
        <w:rPr>
          <w:rFonts w:ascii="Calibri" w:hAnsi="Calibri"/>
          <w:sz w:val="22"/>
          <w:szCs w:val="22"/>
        </w:rPr>
        <w:t xml:space="preserve">is consistent with the data, it is not statistically significant. </w:t>
      </w:r>
      <w:r w:rsidRPr="00D33D4E">
        <w:rPr>
          <w:rFonts w:asciiTheme="minorHAnsi" w:hAnsiTheme="minorHAnsi" w:cstheme="minorHAnsi"/>
          <w:sz w:val="22"/>
          <w:szCs w:val="22"/>
          <w:lang w:val="en-US"/>
        </w:rPr>
        <w:t>To</w:t>
      </w:r>
      <w:r w:rsidRPr="00D33D4E">
        <w:rPr>
          <w:rFonts w:ascii="Calibri" w:hAnsi="Calibri"/>
          <w:sz w:val="22"/>
          <w:szCs w:val="22"/>
        </w:rPr>
        <w:t xml:space="preserve"> investigate this </w:t>
      </w:r>
      <w:r>
        <w:rPr>
          <w:rFonts w:ascii="Calibri" w:hAnsi="Calibri"/>
          <w:sz w:val="22"/>
          <w:szCs w:val="22"/>
        </w:rPr>
        <w:t>question</w:t>
      </w:r>
      <w:r w:rsidRPr="00D33D4E" w:rsidDel="00D33D4E">
        <w:rPr>
          <w:rFonts w:ascii="Calibri" w:hAnsi="Calibri"/>
          <w:sz w:val="22"/>
          <w:szCs w:val="22"/>
        </w:rPr>
        <w:t xml:space="preserve"> </w:t>
      </w:r>
      <w:r w:rsidRPr="00D33D4E">
        <w:rPr>
          <w:rFonts w:ascii="Calibri" w:hAnsi="Calibri"/>
          <w:sz w:val="22"/>
          <w:szCs w:val="22"/>
        </w:rPr>
        <w:t xml:space="preserve">in more depth, we also estimated various factors affecting the probability of offering bribe, which are reported in Appendix 2. These results indicate that smaller </w:t>
      </w:r>
      <w:r>
        <w:rPr>
          <w:rFonts w:ascii="Calibri" w:hAnsi="Calibri"/>
          <w:sz w:val="22"/>
          <w:szCs w:val="22"/>
        </w:rPr>
        <w:t xml:space="preserve">SMEs with inferior firm characteristics offer bribe more systematically, which could partly explain statistical insignificance of </w:t>
      </w:r>
      <w:r>
        <w:rPr>
          <w:rFonts w:ascii="Calibri" w:hAnsi="Calibri"/>
          <w:i/>
          <w:sz w:val="22"/>
          <w:szCs w:val="22"/>
        </w:rPr>
        <w:t xml:space="preserve">bribe </w:t>
      </w:r>
      <w:r>
        <w:rPr>
          <w:rFonts w:ascii="Calibri" w:hAnsi="Calibri"/>
          <w:sz w:val="22"/>
          <w:szCs w:val="22"/>
        </w:rPr>
        <w:t xml:space="preserve">in our estimations. </w:t>
      </w:r>
      <w:r w:rsidRPr="000101AE">
        <w:rPr>
          <w:rFonts w:ascii="Calibri" w:hAnsi="Calibri"/>
          <w:sz w:val="22"/>
          <w:szCs w:val="22"/>
        </w:rPr>
        <w:t xml:space="preserve">This contrasts with the importance of </w:t>
      </w:r>
      <w:proofErr w:type="spellStart"/>
      <w:r w:rsidRPr="000101AE">
        <w:rPr>
          <w:rFonts w:ascii="Calibri" w:hAnsi="Calibri"/>
          <w:i/>
          <w:sz w:val="22"/>
          <w:szCs w:val="22"/>
        </w:rPr>
        <w:t>gov_connect</w:t>
      </w:r>
      <w:proofErr w:type="spellEnd"/>
      <w:r w:rsidRPr="000101AE">
        <w:rPr>
          <w:rFonts w:ascii="Calibri" w:hAnsi="Calibri"/>
          <w:sz w:val="22"/>
          <w:szCs w:val="22"/>
        </w:rPr>
        <w:t xml:space="preserve"> which seems to </w:t>
      </w:r>
      <w:r>
        <w:rPr>
          <w:rFonts w:ascii="Calibri" w:hAnsi="Calibri"/>
          <w:sz w:val="22"/>
          <w:szCs w:val="22"/>
        </w:rPr>
        <w:t>be more important</w:t>
      </w:r>
      <w:r w:rsidRPr="000101AE">
        <w:rPr>
          <w:rFonts w:ascii="Calibri" w:hAnsi="Calibri"/>
          <w:sz w:val="22"/>
          <w:szCs w:val="22"/>
        </w:rPr>
        <w:t xml:space="preserve"> for larger SMEs</w:t>
      </w:r>
      <w:r>
        <w:rPr>
          <w:rFonts w:ascii="Calibri" w:hAnsi="Calibri"/>
          <w:sz w:val="22"/>
          <w:szCs w:val="22"/>
        </w:rPr>
        <w:t xml:space="preserve"> as further discussion below will show. In addition, it is also possible that </w:t>
      </w:r>
      <w:r>
        <w:rPr>
          <w:rFonts w:ascii="Calibri" w:hAnsi="Calibri"/>
          <w:i/>
          <w:sz w:val="22"/>
          <w:szCs w:val="22"/>
        </w:rPr>
        <w:t>bribe</w:t>
      </w:r>
      <w:r>
        <w:rPr>
          <w:rFonts w:ascii="Calibri" w:hAnsi="Calibri"/>
          <w:sz w:val="22"/>
          <w:szCs w:val="22"/>
        </w:rPr>
        <w:t xml:space="preserve"> measures the evidence of bribing minor</w:t>
      </w:r>
      <w:r w:rsidRPr="0000217F">
        <w:rPr>
          <w:rFonts w:ascii="Calibri" w:hAnsi="Calibri"/>
          <w:sz w:val="22"/>
          <w:szCs w:val="22"/>
        </w:rPr>
        <w:t xml:space="preserve"> government officials, not bank officers, </w:t>
      </w:r>
      <w:r w:rsidRPr="00191736">
        <w:rPr>
          <w:rFonts w:ascii="Calibri" w:hAnsi="Calibri"/>
          <w:sz w:val="22"/>
          <w:szCs w:val="22"/>
        </w:rPr>
        <w:t>in the past,</w:t>
      </w:r>
      <w:r w:rsidRPr="0000217F">
        <w:rPr>
          <w:rFonts w:ascii="Calibri" w:hAnsi="Calibri"/>
          <w:sz w:val="22"/>
          <w:szCs w:val="22"/>
        </w:rPr>
        <w:t xml:space="preserve"> whereas </w:t>
      </w:r>
      <w:proofErr w:type="spellStart"/>
      <w:r w:rsidRPr="0000217F">
        <w:rPr>
          <w:rFonts w:ascii="Calibri" w:hAnsi="Calibri"/>
          <w:i/>
          <w:sz w:val="22"/>
          <w:szCs w:val="22"/>
        </w:rPr>
        <w:t>gov_connect</w:t>
      </w:r>
      <w:proofErr w:type="spellEnd"/>
      <w:r>
        <w:rPr>
          <w:rFonts w:ascii="Calibri" w:hAnsi="Calibri"/>
          <w:i/>
          <w:sz w:val="22"/>
          <w:szCs w:val="22"/>
        </w:rPr>
        <w:t xml:space="preserve"> </w:t>
      </w:r>
      <w:r>
        <w:rPr>
          <w:rFonts w:ascii="Calibri" w:hAnsi="Calibri"/>
          <w:sz w:val="22"/>
          <w:szCs w:val="22"/>
        </w:rPr>
        <w:t xml:space="preserve">and </w:t>
      </w:r>
      <w:proofErr w:type="spellStart"/>
      <w:r w:rsidRPr="0000217F">
        <w:rPr>
          <w:rFonts w:ascii="Calibri" w:hAnsi="Calibri"/>
          <w:i/>
          <w:sz w:val="22"/>
          <w:szCs w:val="22"/>
        </w:rPr>
        <w:t>bzinbrpl</w:t>
      </w:r>
      <w:proofErr w:type="spellEnd"/>
      <w:r>
        <w:rPr>
          <w:rFonts w:ascii="Calibri" w:hAnsi="Calibri"/>
          <w:i/>
          <w:sz w:val="22"/>
          <w:szCs w:val="22"/>
        </w:rPr>
        <w:t xml:space="preserve"> </w:t>
      </w:r>
      <w:r w:rsidRPr="0000217F">
        <w:rPr>
          <w:rFonts w:ascii="Calibri" w:hAnsi="Calibri"/>
          <w:sz w:val="22"/>
          <w:szCs w:val="22"/>
        </w:rPr>
        <w:t xml:space="preserve">capture possible </w:t>
      </w:r>
      <w:r>
        <w:rPr>
          <w:rFonts w:ascii="Calibri" w:hAnsi="Calibri"/>
          <w:sz w:val="22"/>
          <w:szCs w:val="22"/>
        </w:rPr>
        <w:t>prior</w:t>
      </w:r>
      <w:r w:rsidRPr="0000217F">
        <w:rPr>
          <w:rFonts w:ascii="Calibri" w:hAnsi="Calibri"/>
          <w:sz w:val="22"/>
          <w:szCs w:val="22"/>
        </w:rPr>
        <w:t xml:space="preserve"> and </w:t>
      </w:r>
      <w:r>
        <w:rPr>
          <w:rFonts w:ascii="Calibri" w:hAnsi="Calibri"/>
          <w:sz w:val="22"/>
          <w:szCs w:val="22"/>
        </w:rPr>
        <w:t>current connections</w:t>
      </w:r>
      <w:r w:rsidRPr="0000217F">
        <w:rPr>
          <w:rFonts w:ascii="Calibri" w:hAnsi="Calibri"/>
          <w:sz w:val="22"/>
          <w:szCs w:val="22"/>
        </w:rPr>
        <w:t xml:space="preserve"> and relations</w:t>
      </w:r>
      <w:r>
        <w:rPr>
          <w:rFonts w:ascii="Calibri" w:hAnsi="Calibri"/>
          <w:sz w:val="22"/>
          <w:szCs w:val="22"/>
        </w:rPr>
        <w:t>hips</w:t>
      </w:r>
      <w:r w:rsidRPr="0000217F">
        <w:rPr>
          <w:rFonts w:ascii="Calibri" w:hAnsi="Calibri"/>
          <w:sz w:val="22"/>
          <w:szCs w:val="22"/>
        </w:rPr>
        <w:t xml:space="preserve">. In this </w:t>
      </w:r>
      <w:r w:rsidRPr="0000217F">
        <w:rPr>
          <w:rFonts w:ascii="Calibri" w:hAnsi="Calibri"/>
          <w:sz w:val="22"/>
          <w:szCs w:val="22"/>
        </w:rPr>
        <w:lastRenderedPageBreak/>
        <w:t xml:space="preserve">sense, the variable </w:t>
      </w:r>
      <w:r w:rsidRPr="0000217F">
        <w:rPr>
          <w:rFonts w:ascii="Calibri" w:hAnsi="Calibri"/>
          <w:i/>
          <w:sz w:val="22"/>
          <w:szCs w:val="22"/>
        </w:rPr>
        <w:t>bribe</w:t>
      </w:r>
      <w:r w:rsidRPr="0000217F">
        <w:rPr>
          <w:rFonts w:ascii="Calibri" w:hAnsi="Calibri"/>
          <w:sz w:val="22"/>
          <w:szCs w:val="22"/>
        </w:rPr>
        <w:t xml:space="preserve"> might not be a strong proxy for interpersonal connections that </w:t>
      </w:r>
      <w:r>
        <w:rPr>
          <w:rFonts w:ascii="Calibri" w:hAnsi="Calibri"/>
          <w:sz w:val="22"/>
          <w:szCs w:val="22"/>
        </w:rPr>
        <w:t>currently</w:t>
      </w:r>
      <w:r w:rsidRPr="0000217F">
        <w:rPr>
          <w:rFonts w:ascii="Calibri" w:hAnsi="Calibri"/>
          <w:sz w:val="22"/>
          <w:szCs w:val="22"/>
        </w:rPr>
        <w:t xml:space="preserve"> matter.</w:t>
      </w:r>
      <w:r>
        <w:rPr>
          <w:rFonts w:ascii="Calibri" w:hAnsi="Calibri"/>
          <w:sz w:val="22"/>
          <w:szCs w:val="22"/>
        </w:rPr>
        <w:t xml:space="preserve"> Also, d</w:t>
      </w:r>
      <w:r w:rsidRPr="009931D8">
        <w:rPr>
          <w:rFonts w:ascii="Calibri" w:hAnsi="Calibri"/>
          <w:sz w:val="22"/>
          <w:szCs w:val="22"/>
        </w:rPr>
        <w:t xml:space="preserve">iscrete </w:t>
      </w:r>
      <w:r>
        <w:rPr>
          <w:rFonts w:ascii="Calibri" w:hAnsi="Calibri"/>
          <w:sz w:val="22"/>
          <w:szCs w:val="22"/>
        </w:rPr>
        <w:t>nature of such exchanges indicate that they are likely to be carried out between unrelated parties, requiring only limited future commitment from either parties beyond specific transactions they are currently involved in. Further, there is a degree of possible overlap between the bribe and the government connections variables. Although they both may require some form of pecuniary reward in exchange for favours, interpersonal links such as government connections are the more valuable of the two,</w:t>
      </w:r>
      <w:bookmarkStart w:id="0" w:name="_GoBack"/>
      <w:bookmarkEnd w:id="0"/>
      <w:r>
        <w:rPr>
          <w:rFonts w:ascii="Calibri" w:hAnsi="Calibri"/>
          <w:sz w:val="22"/>
          <w:szCs w:val="22"/>
        </w:rPr>
        <w:t xml:space="preserve"> as they can be used repeatedly in future and may produce potentially continuous benefits to the parties involved in the network, including gaining access to bank credit which is not explicitly controlled by government officials.</w:t>
      </w:r>
    </w:p>
    <w:p w:rsidR="00AA788D" w:rsidRDefault="00AA788D" w:rsidP="00BE31C3">
      <w:pPr>
        <w:pStyle w:val="BodyText"/>
        <w:spacing w:line="480" w:lineRule="auto"/>
        <w:ind w:firstLine="357"/>
        <w:rPr>
          <w:rFonts w:ascii="Calibri" w:hAnsi="Calibri" w:cs="Calibri"/>
          <w:sz w:val="22"/>
          <w:szCs w:val="22"/>
        </w:rPr>
      </w:pPr>
      <w:r>
        <w:rPr>
          <w:rFonts w:ascii="Calibri" w:hAnsi="Calibri"/>
          <w:sz w:val="22"/>
          <w:szCs w:val="22"/>
        </w:rPr>
        <w:t xml:space="preserve">These </w:t>
      </w:r>
      <w:r w:rsidRPr="0000217F">
        <w:rPr>
          <w:rFonts w:ascii="Calibri" w:hAnsi="Calibri"/>
          <w:sz w:val="22"/>
          <w:szCs w:val="22"/>
        </w:rPr>
        <w:t>preliminary estimation results pass basic diagnostic checks</w:t>
      </w:r>
      <w:r>
        <w:rPr>
          <w:rFonts w:ascii="Calibri" w:hAnsi="Calibri"/>
          <w:sz w:val="22"/>
          <w:szCs w:val="22"/>
        </w:rPr>
        <w:t>;</w:t>
      </w:r>
      <w:r w:rsidRPr="0000217F">
        <w:rPr>
          <w:rFonts w:ascii="Calibri" w:hAnsi="Calibri"/>
          <w:sz w:val="22"/>
          <w:szCs w:val="22"/>
        </w:rPr>
        <w:t xml:space="preserve"> for example, the likelihood ratio and the </w:t>
      </w:r>
      <w:proofErr w:type="spellStart"/>
      <w:r w:rsidRPr="0000217F">
        <w:rPr>
          <w:rFonts w:ascii="Calibri" w:hAnsi="Calibri"/>
          <w:sz w:val="22"/>
          <w:szCs w:val="22"/>
        </w:rPr>
        <w:t>Hosmer</w:t>
      </w:r>
      <w:proofErr w:type="spellEnd"/>
      <w:r w:rsidRPr="0000217F">
        <w:rPr>
          <w:rFonts w:ascii="Calibri" w:hAnsi="Calibri"/>
          <w:sz w:val="22"/>
          <w:szCs w:val="22"/>
        </w:rPr>
        <w:t xml:space="preserve"> and </w:t>
      </w:r>
      <w:proofErr w:type="spellStart"/>
      <w:r w:rsidRPr="0000217F">
        <w:rPr>
          <w:rFonts w:ascii="Calibri" w:hAnsi="Calibri"/>
          <w:sz w:val="22"/>
          <w:szCs w:val="22"/>
        </w:rPr>
        <w:t>Lemeshow</w:t>
      </w:r>
      <w:proofErr w:type="spellEnd"/>
      <w:r w:rsidRPr="0000217F">
        <w:rPr>
          <w:rFonts w:ascii="Calibri" w:hAnsi="Calibri"/>
          <w:sz w:val="22"/>
          <w:szCs w:val="22"/>
        </w:rPr>
        <w:t xml:space="preserve"> Goodness-of-fit tests</w:t>
      </w:r>
      <w:r>
        <w:rPr>
          <w:rFonts w:ascii="Calibri" w:hAnsi="Calibri"/>
          <w:sz w:val="22"/>
          <w:szCs w:val="22"/>
        </w:rPr>
        <w:t xml:space="preserve">. Yet it is likely that </w:t>
      </w:r>
      <w:r w:rsidRPr="0000217F">
        <w:rPr>
          <w:rFonts w:ascii="Calibri" w:hAnsi="Calibri"/>
          <w:sz w:val="22"/>
          <w:szCs w:val="22"/>
        </w:rPr>
        <w:t>t</w:t>
      </w:r>
      <w:r w:rsidRPr="0000217F">
        <w:rPr>
          <w:rFonts w:ascii="Calibri" w:hAnsi="Calibri" w:cs="Calibri"/>
          <w:sz w:val="22"/>
          <w:szCs w:val="22"/>
        </w:rPr>
        <w:t xml:space="preserve">he observed higher application and success rates for SMEs with government connections </w:t>
      </w:r>
      <w:r>
        <w:rPr>
          <w:rFonts w:ascii="Calibri" w:hAnsi="Calibri" w:cs="Calibri"/>
          <w:sz w:val="22"/>
          <w:szCs w:val="22"/>
        </w:rPr>
        <w:t xml:space="preserve">could </w:t>
      </w:r>
      <w:r w:rsidRPr="0000217F">
        <w:rPr>
          <w:rFonts w:ascii="Calibri" w:hAnsi="Calibri" w:cs="Calibri"/>
          <w:sz w:val="22"/>
          <w:szCs w:val="22"/>
        </w:rPr>
        <w:t xml:space="preserve">be due to self-selecting behaviour of the borrowers. </w:t>
      </w:r>
      <w:r>
        <w:rPr>
          <w:rFonts w:ascii="Calibri" w:hAnsi="Calibri" w:cs="Calibri"/>
          <w:sz w:val="22"/>
          <w:szCs w:val="22"/>
        </w:rPr>
        <w:t xml:space="preserve">Consequently, </w:t>
      </w:r>
      <w:r w:rsidRPr="0000217F">
        <w:rPr>
          <w:rFonts w:ascii="Calibri" w:hAnsi="Calibri" w:cs="Calibri"/>
          <w:sz w:val="22"/>
          <w:szCs w:val="22"/>
        </w:rPr>
        <w:t xml:space="preserve">two alternative models with different sub-samples </w:t>
      </w:r>
      <w:r>
        <w:rPr>
          <w:rFonts w:ascii="Calibri" w:hAnsi="Calibri" w:cs="Calibri"/>
          <w:sz w:val="22"/>
          <w:szCs w:val="22"/>
        </w:rPr>
        <w:t xml:space="preserve">are estimated </w:t>
      </w:r>
      <w:r w:rsidRPr="0000217F">
        <w:rPr>
          <w:rFonts w:ascii="Calibri" w:hAnsi="Calibri" w:cs="Calibri"/>
          <w:sz w:val="22"/>
          <w:szCs w:val="22"/>
        </w:rPr>
        <w:t>to deal with th</w:t>
      </w:r>
      <w:r>
        <w:rPr>
          <w:rFonts w:ascii="Calibri" w:hAnsi="Calibri" w:cs="Calibri"/>
          <w:sz w:val="22"/>
          <w:szCs w:val="22"/>
        </w:rPr>
        <w:t>e</w:t>
      </w:r>
      <w:r w:rsidRPr="0000217F">
        <w:rPr>
          <w:rFonts w:ascii="Calibri" w:hAnsi="Calibri" w:cs="Calibri"/>
          <w:sz w:val="22"/>
          <w:szCs w:val="22"/>
        </w:rPr>
        <w:t xml:space="preserve"> issue</w:t>
      </w:r>
      <w:r>
        <w:rPr>
          <w:rFonts w:ascii="Calibri" w:hAnsi="Calibri" w:cs="Calibri"/>
          <w:sz w:val="22"/>
          <w:szCs w:val="22"/>
        </w:rPr>
        <w:t xml:space="preserve">. </w:t>
      </w:r>
      <w:r w:rsidRPr="0000217F">
        <w:rPr>
          <w:rFonts w:ascii="Calibri" w:hAnsi="Calibri" w:cs="Calibri"/>
          <w:sz w:val="22"/>
          <w:szCs w:val="22"/>
        </w:rPr>
        <w:t xml:space="preserve">The first sub-sample </w:t>
      </w:r>
      <w:r>
        <w:rPr>
          <w:rFonts w:ascii="Calibri" w:hAnsi="Calibri" w:cs="Calibri"/>
          <w:sz w:val="22"/>
          <w:szCs w:val="22"/>
        </w:rPr>
        <w:t xml:space="preserve">is </w:t>
      </w:r>
      <w:r w:rsidRPr="0000217F">
        <w:rPr>
          <w:rFonts w:ascii="Calibri" w:hAnsi="Calibri" w:cs="Calibri"/>
          <w:sz w:val="22"/>
          <w:szCs w:val="22"/>
        </w:rPr>
        <w:t>conditioned upon applying for formal finance</w:t>
      </w:r>
      <w:r>
        <w:rPr>
          <w:rFonts w:ascii="Calibri" w:hAnsi="Calibri" w:cs="Calibri"/>
          <w:sz w:val="22"/>
          <w:szCs w:val="22"/>
        </w:rPr>
        <w:t>,</w:t>
      </w:r>
      <w:r w:rsidRPr="0000217F">
        <w:rPr>
          <w:rFonts w:ascii="Calibri" w:hAnsi="Calibri" w:cs="Calibri"/>
          <w:sz w:val="22"/>
          <w:szCs w:val="22"/>
        </w:rPr>
        <w:t xml:space="preserve"> and the second conditioned upon expressing a need for external finance (</w:t>
      </w:r>
      <w:proofErr w:type="spellStart"/>
      <w:r w:rsidRPr="0000217F">
        <w:rPr>
          <w:rFonts w:ascii="Calibri" w:hAnsi="Calibri" w:cs="Calibri"/>
          <w:sz w:val="22"/>
          <w:szCs w:val="22"/>
        </w:rPr>
        <w:t>Cavaluzzo</w:t>
      </w:r>
      <w:proofErr w:type="spellEnd"/>
      <w:r>
        <w:rPr>
          <w:rFonts w:ascii="Calibri" w:hAnsi="Calibri" w:cs="Calibri"/>
          <w:sz w:val="22"/>
          <w:szCs w:val="22"/>
        </w:rPr>
        <w:t xml:space="preserve"> </w:t>
      </w:r>
      <w:r w:rsidRPr="0000217F">
        <w:rPr>
          <w:rFonts w:ascii="Calibri" w:hAnsi="Calibri" w:cs="Calibri"/>
          <w:i/>
          <w:sz w:val="22"/>
          <w:szCs w:val="22"/>
        </w:rPr>
        <w:t xml:space="preserve">et al., </w:t>
      </w:r>
      <w:r w:rsidRPr="0000217F">
        <w:rPr>
          <w:rFonts w:ascii="Calibri" w:hAnsi="Calibri" w:cs="Calibri"/>
          <w:sz w:val="22"/>
          <w:szCs w:val="22"/>
        </w:rPr>
        <w:t xml:space="preserve">2002; Blanchard </w:t>
      </w:r>
      <w:r w:rsidRPr="0000217F">
        <w:rPr>
          <w:rFonts w:ascii="Calibri" w:hAnsi="Calibri" w:cs="Calibri"/>
          <w:i/>
          <w:sz w:val="22"/>
          <w:szCs w:val="22"/>
        </w:rPr>
        <w:t>et al.,</w:t>
      </w:r>
      <w:r w:rsidRPr="0000217F">
        <w:rPr>
          <w:rFonts w:ascii="Calibri" w:hAnsi="Calibri" w:cs="Calibri"/>
          <w:sz w:val="22"/>
          <w:szCs w:val="22"/>
        </w:rPr>
        <w:t xml:space="preserve"> 2008; </w:t>
      </w:r>
      <w:proofErr w:type="spellStart"/>
      <w:r w:rsidRPr="0000217F">
        <w:rPr>
          <w:rFonts w:ascii="Calibri" w:hAnsi="Calibri" w:cs="Calibri"/>
          <w:sz w:val="22"/>
          <w:szCs w:val="22"/>
        </w:rPr>
        <w:t>Muravyev</w:t>
      </w:r>
      <w:proofErr w:type="spellEnd"/>
      <w:r>
        <w:rPr>
          <w:rFonts w:ascii="Calibri" w:hAnsi="Calibri" w:cs="Calibri"/>
          <w:sz w:val="22"/>
          <w:szCs w:val="22"/>
        </w:rPr>
        <w:t xml:space="preserve"> </w:t>
      </w:r>
      <w:r w:rsidRPr="0000217F">
        <w:rPr>
          <w:rFonts w:ascii="Calibri" w:hAnsi="Calibri" w:cs="Calibri"/>
          <w:i/>
          <w:sz w:val="22"/>
          <w:szCs w:val="22"/>
        </w:rPr>
        <w:t>et al.,</w:t>
      </w:r>
      <w:r w:rsidRPr="0000217F">
        <w:rPr>
          <w:rFonts w:ascii="Calibri" w:hAnsi="Calibri" w:cs="Calibri"/>
          <w:sz w:val="22"/>
          <w:szCs w:val="22"/>
        </w:rPr>
        <w:t xml:space="preserve"> 2009). </w:t>
      </w:r>
    </w:p>
    <w:p w:rsidR="00AA788D" w:rsidRDefault="00AA788D" w:rsidP="00BE31C3">
      <w:pPr>
        <w:pStyle w:val="BodyText"/>
        <w:spacing w:line="480" w:lineRule="auto"/>
        <w:ind w:firstLine="357"/>
        <w:rPr>
          <w:rFonts w:ascii="Calibri" w:hAnsi="Calibri" w:cs="Calibri"/>
          <w:sz w:val="22"/>
          <w:szCs w:val="22"/>
        </w:rPr>
      </w:pPr>
      <w:r>
        <w:rPr>
          <w:rFonts w:ascii="Calibri" w:hAnsi="Calibri" w:cs="Calibri"/>
          <w:sz w:val="22"/>
          <w:szCs w:val="22"/>
        </w:rPr>
        <w:t xml:space="preserve">One consideration is that because </w:t>
      </w:r>
      <w:r w:rsidRPr="0000217F">
        <w:rPr>
          <w:rFonts w:ascii="Calibri" w:hAnsi="Calibri" w:cs="Calibri"/>
          <w:sz w:val="22"/>
          <w:szCs w:val="22"/>
        </w:rPr>
        <w:t xml:space="preserve">SMEs </w:t>
      </w:r>
      <w:r>
        <w:rPr>
          <w:rFonts w:ascii="Calibri" w:hAnsi="Calibri" w:cs="Calibri"/>
          <w:sz w:val="22"/>
          <w:szCs w:val="22"/>
        </w:rPr>
        <w:t xml:space="preserve">without </w:t>
      </w:r>
      <w:r w:rsidRPr="0000217F">
        <w:rPr>
          <w:rFonts w:ascii="Calibri" w:hAnsi="Calibri" w:cs="Calibri"/>
          <w:sz w:val="22"/>
          <w:szCs w:val="22"/>
        </w:rPr>
        <w:t>government connections may be less optimistic about their chances of obtaining formal credit</w:t>
      </w:r>
      <w:r>
        <w:rPr>
          <w:rFonts w:ascii="Calibri" w:hAnsi="Calibri" w:cs="Calibri"/>
          <w:sz w:val="22"/>
          <w:szCs w:val="22"/>
        </w:rPr>
        <w:t>, they would be</w:t>
      </w:r>
      <w:r w:rsidRPr="0000217F">
        <w:rPr>
          <w:rFonts w:ascii="Calibri" w:hAnsi="Calibri" w:cs="Calibri"/>
          <w:sz w:val="22"/>
          <w:szCs w:val="22"/>
        </w:rPr>
        <w:t xml:space="preserve"> less likely to apply for a bank loan. As a result, </w:t>
      </w:r>
      <w:r>
        <w:rPr>
          <w:rFonts w:ascii="Calibri" w:hAnsi="Calibri" w:cs="Calibri"/>
          <w:sz w:val="22"/>
          <w:szCs w:val="22"/>
        </w:rPr>
        <w:t xml:space="preserve">although </w:t>
      </w:r>
      <w:r w:rsidRPr="0000217F">
        <w:rPr>
          <w:rFonts w:ascii="Calibri" w:hAnsi="Calibri" w:cs="Calibri"/>
          <w:sz w:val="22"/>
          <w:szCs w:val="22"/>
        </w:rPr>
        <w:t>the</w:t>
      </w:r>
      <w:r>
        <w:rPr>
          <w:rFonts w:ascii="Calibri" w:hAnsi="Calibri" w:cs="Calibri"/>
          <w:sz w:val="22"/>
          <w:szCs w:val="22"/>
        </w:rPr>
        <w:t>ir</w:t>
      </w:r>
      <w:r w:rsidRPr="0000217F">
        <w:rPr>
          <w:rFonts w:ascii="Calibri" w:hAnsi="Calibri" w:cs="Calibri"/>
          <w:sz w:val="22"/>
          <w:szCs w:val="22"/>
        </w:rPr>
        <w:t xml:space="preserve"> share in the general pool of credit applicants would be lower</w:t>
      </w:r>
      <w:r>
        <w:rPr>
          <w:rFonts w:ascii="Calibri" w:hAnsi="Calibri" w:cs="Calibri"/>
          <w:sz w:val="22"/>
          <w:szCs w:val="22"/>
        </w:rPr>
        <w:t xml:space="preserve">, </w:t>
      </w:r>
      <w:r w:rsidRPr="0058617C">
        <w:rPr>
          <w:rFonts w:ascii="Calibri" w:hAnsi="Calibri" w:cs="Calibri"/>
          <w:sz w:val="22"/>
          <w:szCs w:val="22"/>
        </w:rPr>
        <w:t>the proportion of SMEs with stronger creditworthiness characteristics amongst th</w:t>
      </w:r>
      <w:r>
        <w:rPr>
          <w:rFonts w:ascii="Calibri" w:hAnsi="Calibri" w:cs="Calibri"/>
          <w:sz w:val="22"/>
          <w:szCs w:val="22"/>
        </w:rPr>
        <w:t xml:space="preserve">e applicants in this group would be higher, </w:t>
      </w:r>
      <w:r w:rsidRPr="0058617C">
        <w:rPr>
          <w:rFonts w:ascii="Calibri" w:hAnsi="Calibri" w:cs="Calibri"/>
          <w:sz w:val="22"/>
          <w:szCs w:val="22"/>
        </w:rPr>
        <w:t>as they would be less likely to</w:t>
      </w:r>
      <w:r>
        <w:rPr>
          <w:rFonts w:ascii="Calibri" w:hAnsi="Calibri" w:cs="Calibri"/>
          <w:sz w:val="22"/>
          <w:szCs w:val="22"/>
        </w:rPr>
        <w:t xml:space="preserve"> anticipate refusal</w:t>
      </w:r>
      <w:r w:rsidRPr="0058617C">
        <w:rPr>
          <w:rFonts w:ascii="Calibri" w:hAnsi="Calibri" w:cs="Calibri"/>
          <w:sz w:val="22"/>
          <w:szCs w:val="22"/>
        </w:rPr>
        <w:t xml:space="preserve">, </w:t>
      </w:r>
      <w:r>
        <w:rPr>
          <w:rFonts w:ascii="Calibri" w:hAnsi="Calibri" w:cs="Calibri"/>
          <w:sz w:val="22"/>
          <w:szCs w:val="22"/>
        </w:rPr>
        <w:t xml:space="preserve">leading to the </w:t>
      </w:r>
      <w:r>
        <w:rPr>
          <w:rFonts w:ascii="Calibri" w:hAnsi="Calibri" w:cs="Calibri"/>
          <w:i/>
          <w:sz w:val="22"/>
          <w:szCs w:val="22"/>
        </w:rPr>
        <w:t xml:space="preserve">underestimation </w:t>
      </w:r>
      <w:r>
        <w:rPr>
          <w:rFonts w:ascii="Calibri" w:hAnsi="Calibri" w:cs="Calibri"/>
          <w:sz w:val="22"/>
          <w:szCs w:val="22"/>
        </w:rPr>
        <w:t>of the</w:t>
      </w:r>
      <w:r w:rsidRPr="0058617C">
        <w:rPr>
          <w:rFonts w:ascii="Calibri" w:hAnsi="Calibri" w:cs="Calibri"/>
          <w:sz w:val="22"/>
          <w:szCs w:val="22"/>
        </w:rPr>
        <w:t xml:space="preserve"> importance of having government connections (</w:t>
      </w:r>
      <w:proofErr w:type="spellStart"/>
      <w:r w:rsidRPr="0058617C">
        <w:rPr>
          <w:rFonts w:ascii="Calibri" w:hAnsi="Calibri" w:cs="Calibri"/>
          <w:sz w:val="22"/>
          <w:szCs w:val="22"/>
        </w:rPr>
        <w:t>Cavalluzzo</w:t>
      </w:r>
      <w:proofErr w:type="spellEnd"/>
      <w:r>
        <w:rPr>
          <w:rFonts w:ascii="Calibri" w:hAnsi="Calibri" w:cs="Calibri"/>
          <w:sz w:val="22"/>
          <w:szCs w:val="22"/>
        </w:rPr>
        <w:t xml:space="preserve"> </w:t>
      </w:r>
      <w:r w:rsidRPr="008468B8">
        <w:rPr>
          <w:rFonts w:ascii="Calibri" w:hAnsi="Calibri" w:cs="Calibri"/>
          <w:i/>
          <w:sz w:val="22"/>
          <w:szCs w:val="22"/>
        </w:rPr>
        <w:t>et al.</w:t>
      </w:r>
      <w:r w:rsidRPr="0058617C">
        <w:rPr>
          <w:rFonts w:ascii="Calibri" w:hAnsi="Calibri" w:cs="Calibri"/>
          <w:sz w:val="22"/>
          <w:szCs w:val="22"/>
        </w:rPr>
        <w:t xml:space="preserve">, 2002, p. 670; </w:t>
      </w:r>
      <w:proofErr w:type="spellStart"/>
      <w:r w:rsidRPr="0058617C">
        <w:rPr>
          <w:rFonts w:ascii="Calibri" w:hAnsi="Calibri" w:cs="Calibri"/>
          <w:sz w:val="22"/>
          <w:szCs w:val="22"/>
        </w:rPr>
        <w:t>Blanchflower</w:t>
      </w:r>
      <w:proofErr w:type="spellEnd"/>
      <w:r>
        <w:rPr>
          <w:rFonts w:ascii="Calibri" w:hAnsi="Calibri" w:cs="Calibri"/>
          <w:sz w:val="22"/>
          <w:szCs w:val="22"/>
        </w:rPr>
        <w:t xml:space="preserve"> </w:t>
      </w:r>
      <w:r w:rsidRPr="008468B8">
        <w:rPr>
          <w:rFonts w:ascii="Calibri" w:hAnsi="Calibri" w:cs="Calibri"/>
          <w:i/>
          <w:sz w:val="22"/>
          <w:szCs w:val="22"/>
        </w:rPr>
        <w:t>et al.</w:t>
      </w:r>
      <w:r w:rsidRPr="008468B8">
        <w:rPr>
          <w:rFonts w:ascii="Calibri" w:hAnsi="Calibri" w:cs="Calibri"/>
          <w:sz w:val="22"/>
          <w:szCs w:val="22"/>
        </w:rPr>
        <w:t>, 2003, p.930).</w:t>
      </w:r>
    </w:p>
    <w:p w:rsidR="00AA788D" w:rsidRPr="0000217F" w:rsidRDefault="00AA788D" w:rsidP="00BE31C3">
      <w:pPr>
        <w:pStyle w:val="BodyText"/>
        <w:spacing w:line="480" w:lineRule="auto"/>
        <w:ind w:firstLine="357"/>
        <w:rPr>
          <w:rFonts w:ascii="Calibri" w:hAnsi="Calibri" w:cs="Calibri"/>
          <w:sz w:val="22"/>
          <w:szCs w:val="22"/>
        </w:rPr>
      </w:pPr>
      <w:r>
        <w:rPr>
          <w:rFonts w:ascii="Calibri" w:hAnsi="Calibri" w:cs="Calibri"/>
          <w:sz w:val="22"/>
          <w:szCs w:val="22"/>
        </w:rPr>
        <w:t xml:space="preserve">As an alternative, </w:t>
      </w:r>
      <w:r w:rsidRPr="0000217F">
        <w:rPr>
          <w:rFonts w:ascii="Calibri" w:hAnsi="Calibri" w:cs="Calibri"/>
          <w:sz w:val="22"/>
          <w:szCs w:val="22"/>
        </w:rPr>
        <w:t>successful applications for formal credit relative to SMEs with unmet credit needs</w:t>
      </w:r>
      <w:r>
        <w:rPr>
          <w:rFonts w:ascii="Calibri" w:hAnsi="Calibri" w:cs="Calibri"/>
          <w:sz w:val="22"/>
          <w:szCs w:val="22"/>
        </w:rPr>
        <w:t xml:space="preserve"> could be examined, because that involves</w:t>
      </w:r>
      <w:r w:rsidRPr="0000217F">
        <w:rPr>
          <w:rFonts w:ascii="Calibri" w:hAnsi="Calibri" w:cs="Calibri"/>
          <w:sz w:val="22"/>
          <w:szCs w:val="22"/>
        </w:rPr>
        <w:t xml:space="preserve"> both self-excluded borrowers </w:t>
      </w:r>
      <w:r>
        <w:rPr>
          <w:rFonts w:ascii="Calibri" w:hAnsi="Calibri" w:cs="Calibri"/>
          <w:sz w:val="22"/>
          <w:szCs w:val="22"/>
        </w:rPr>
        <w:t>along with</w:t>
      </w:r>
      <w:r w:rsidRPr="0000217F">
        <w:rPr>
          <w:rFonts w:ascii="Calibri" w:hAnsi="Calibri" w:cs="Calibri"/>
          <w:sz w:val="22"/>
          <w:szCs w:val="22"/>
        </w:rPr>
        <w:t xml:space="preserve"> rejected applicants. </w:t>
      </w:r>
      <w:r>
        <w:rPr>
          <w:rFonts w:ascii="Calibri" w:hAnsi="Calibri" w:cs="Calibri"/>
          <w:sz w:val="22"/>
          <w:szCs w:val="22"/>
        </w:rPr>
        <w:t>G</w:t>
      </w:r>
      <w:r w:rsidRPr="0000217F">
        <w:rPr>
          <w:rFonts w:ascii="Calibri" w:hAnsi="Calibri" w:cs="Calibri"/>
          <w:sz w:val="22"/>
          <w:szCs w:val="22"/>
        </w:rPr>
        <w:t xml:space="preserve">iven that SMEs with government connections are more optimistic and are more likely to </w:t>
      </w:r>
      <w:r w:rsidRPr="0000217F">
        <w:rPr>
          <w:rFonts w:ascii="Calibri" w:hAnsi="Calibri" w:cs="Calibri"/>
          <w:sz w:val="22"/>
          <w:szCs w:val="22"/>
        </w:rPr>
        <w:lastRenderedPageBreak/>
        <w:t xml:space="preserve">apply for a bank credit, this would lead to the </w:t>
      </w:r>
      <w:r w:rsidRPr="00EF6DF9">
        <w:rPr>
          <w:rFonts w:ascii="Calibri" w:hAnsi="Calibri" w:cs="Calibri"/>
          <w:i/>
          <w:sz w:val="22"/>
          <w:szCs w:val="22"/>
        </w:rPr>
        <w:t>overestimation</w:t>
      </w:r>
      <w:r w:rsidRPr="0000217F">
        <w:rPr>
          <w:rFonts w:ascii="Calibri" w:hAnsi="Calibri" w:cs="Calibri"/>
          <w:sz w:val="22"/>
          <w:szCs w:val="22"/>
        </w:rPr>
        <w:t xml:space="preserve"> of the importance of having government connections. Following </w:t>
      </w:r>
      <w:proofErr w:type="spellStart"/>
      <w:r w:rsidRPr="0000217F">
        <w:rPr>
          <w:rFonts w:ascii="Calibri" w:hAnsi="Calibri" w:cs="Calibri"/>
          <w:sz w:val="22"/>
          <w:szCs w:val="22"/>
        </w:rPr>
        <w:t>Cavalluzzo</w:t>
      </w:r>
      <w:proofErr w:type="spellEnd"/>
      <w:r>
        <w:rPr>
          <w:rFonts w:ascii="Calibri" w:hAnsi="Calibri" w:cs="Calibri"/>
          <w:sz w:val="22"/>
          <w:szCs w:val="22"/>
        </w:rPr>
        <w:t xml:space="preserve"> </w:t>
      </w:r>
      <w:r w:rsidRPr="0000217F">
        <w:rPr>
          <w:rFonts w:ascii="Calibri" w:hAnsi="Calibri" w:cs="Calibri"/>
          <w:i/>
          <w:sz w:val="22"/>
          <w:szCs w:val="22"/>
        </w:rPr>
        <w:t xml:space="preserve">et al. </w:t>
      </w:r>
      <w:r w:rsidRPr="0000217F">
        <w:rPr>
          <w:rFonts w:ascii="Calibri" w:hAnsi="Calibri" w:cs="Calibri"/>
          <w:sz w:val="22"/>
          <w:szCs w:val="22"/>
        </w:rPr>
        <w:t xml:space="preserve">(2002) and </w:t>
      </w:r>
      <w:proofErr w:type="spellStart"/>
      <w:r w:rsidRPr="0000217F">
        <w:rPr>
          <w:rFonts w:ascii="Calibri" w:hAnsi="Calibri" w:cs="Calibri"/>
          <w:sz w:val="22"/>
          <w:szCs w:val="22"/>
        </w:rPr>
        <w:t>Muravyev</w:t>
      </w:r>
      <w:proofErr w:type="spellEnd"/>
      <w:r>
        <w:rPr>
          <w:rFonts w:ascii="Calibri" w:hAnsi="Calibri" w:cs="Calibri"/>
          <w:sz w:val="22"/>
          <w:szCs w:val="22"/>
        </w:rPr>
        <w:t xml:space="preserve"> </w:t>
      </w:r>
      <w:r w:rsidRPr="0000217F">
        <w:rPr>
          <w:rFonts w:ascii="Calibri" w:hAnsi="Calibri" w:cs="Calibri"/>
          <w:i/>
          <w:sz w:val="22"/>
          <w:szCs w:val="22"/>
        </w:rPr>
        <w:t>et al.</w:t>
      </w:r>
      <w:r w:rsidRPr="0000217F">
        <w:rPr>
          <w:rFonts w:ascii="Calibri" w:hAnsi="Calibri" w:cs="Calibri"/>
          <w:sz w:val="22"/>
          <w:szCs w:val="22"/>
        </w:rPr>
        <w:t xml:space="preserve"> (2009) we use both approaches to deal with </w:t>
      </w:r>
      <w:r>
        <w:rPr>
          <w:rFonts w:ascii="Calibri" w:hAnsi="Calibri" w:cs="Calibri"/>
          <w:sz w:val="22"/>
          <w:szCs w:val="22"/>
        </w:rPr>
        <w:t xml:space="preserve">this </w:t>
      </w:r>
      <w:r w:rsidRPr="0000217F">
        <w:rPr>
          <w:rFonts w:ascii="Calibri" w:hAnsi="Calibri" w:cs="Calibri"/>
          <w:sz w:val="22"/>
          <w:szCs w:val="22"/>
        </w:rPr>
        <w:t xml:space="preserve">possible sample selection bias, </w:t>
      </w:r>
      <w:r>
        <w:rPr>
          <w:rFonts w:ascii="Calibri" w:hAnsi="Calibri" w:cs="Calibri"/>
          <w:sz w:val="22"/>
          <w:szCs w:val="22"/>
        </w:rPr>
        <w:t>respectively providing</w:t>
      </w:r>
      <w:r w:rsidRPr="0000217F">
        <w:rPr>
          <w:rFonts w:ascii="Calibri" w:hAnsi="Calibri" w:cs="Calibri"/>
          <w:sz w:val="22"/>
          <w:szCs w:val="22"/>
        </w:rPr>
        <w:t xml:space="preserve"> lower and upper bounds of prejudice against SMEs without government connections in gaining access to formal credit.</w:t>
      </w:r>
    </w:p>
    <w:p w:rsidR="00AA788D" w:rsidRPr="0000217F" w:rsidRDefault="00AA788D" w:rsidP="00BE31C3">
      <w:pPr>
        <w:pStyle w:val="BodyText"/>
        <w:spacing w:line="480" w:lineRule="auto"/>
        <w:ind w:firstLine="357"/>
        <w:rPr>
          <w:rFonts w:ascii="Calibri" w:hAnsi="Calibri" w:cs="Calibri"/>
          <w:sz w:val="22"/>
          <w:szCs w:val="22"/>
        </w:rPr>
      </w:pPr>
      <w:r>
        <w:rPr>
          <w:rFonts w:ascii="Calibri" w:hAnsi="Calibri" w:cs="Calibri"/>
          <w:sz w:val="22"/>
          <w:szCs w:val="22"/>
        </w:rPr>
        <w:t xml:space="preserve">Table 4 also reports </w:t>
      </w:r>
      <w:r w:rsidRPr="0000217F">
        <w:rPr>
          <w:rFonts w:ascii="Calibri" w:hAnsi="Calibri" w:cs="Calibri"/>
          <w:sz w:val="22"/>
          <w:szCs w:val="22"/>
        </w:rPr>
        <w:t xml:space="preserve">estimation results </w:t>
      </w:r>
      <w:r>
        <w:rPr>
          <w:rFonts w:ascii="Calibri" w:hAnsi="Calibri" w:cs="Calibri"/>
          <w:sz w:val="22"/>
          <w:szCs w:val="22"/>
        </w:rPr>
        <w:t xml:space="preserve">for </w:t>
      </w:r>
      <w:r w:rsidRPr="0000217F">
        <w:rPr>
          <w:rFonts w:ascii="Calibri" w:hAnsi="Calibri" w:cs="Calibri"/>
          <w:sz w:val="22"/>
          <w:szCs w:val="22"/>
        </w:rPr>
        <w:t>Model 2, which uses only a sub-sample of formal credit use</w:t>
      </w:r>
      <w:r>
        <w:rPr>
          <w:rFonts w:ascii="Calibri" w:hAnsi="Calibri" w:cs="Calibri"/>
          <w:sz w:val="22"/>
          <w:szCs w:val="22"/>
        </w:rPr>
        <w:t>,</w:t>
      </w:r>
      <w:r w:rsidRPr="0000217F">
        <w:rPr>
          <w:rFonts w:ascii="Calibri" w:hAnsi="Calibri" w:cs="Calibri"/>
          <w:sz w:val="22"/>
          <w:szCs w:val="22"/>
        </w:rPr>
        <w:t xml:space="preserve"> conditional</w:t>
      </w:r>
      <w:r>
        <w:rPr>
          <w:rFonts w:ascii="Calibri" w:hAnsi="Calibri" w:cs="Calibri"/>
          <w:sz w:val="22"/>
          <w:szCs w:val="22"/>
        </w:rPr>
        <w:t xml:space="preserve"> upon applying for bank credit (</w:t>
      </w:r>
      <w:r w:rsidRPr="0000217F">
        <w:rPr>
          <w:rFonts w:ascii="Calibri" w:hAnsi="Calibri" w:cs="Calibri"/>
          <w:sz w:val="22"/>
          <w:szCs w:val="22"/>
        </w:rPr>
        <w:t>a lower bound of prejudice</w:t>
      </w:r>
      <w:r>
        <w:rPr>
          <w:rFonts w:ascii="Calibri" w:hAnsi="Calibri" w:cs="Calibri"/>
          <w:sz w:val="22"/>
          <w:szCs w:val="22"/>
        </w:rPr>
        <w:t>)</w:t>
      </w:r>
      <w:r w:rsidRPr="0000217F">
        <w:rPr>
          <w:rFonts w:ascii="Calibri" w:hAnsi="Calibri" w:cs="Calibri"/>
          <w:sz w:val="22"/>
          <w:szCs w:val="22"/>
        </w:rPr>
        <w:t>, and Model 3, which uses a slightly larger sub-sample of formal credit use</w:t>
      </w:r>
      <w:r>
        <w:rPr>
          <w:rFonts w:ascii="Calibri" w:hAnsi="Calibri" w:cs="Calibri"/>
          <w:sz w:val="22"/>
          <w:szCs w:val="22"/>
        </w:rPr>
        <w:t>,</w:t>
      </w:r>
      <w:r w:rsidRPr="0000217F">
        <w:rPr>
          <w:rFonts w:ascii="Calibri" w:hAnsi="Calibri" w:cs="Calibri"/>
          <w:sz w:val="22"/>
          <w:szCs w:val="22"/>
        </w:rPr>
        <w:t xml:space="preserve"> conditional upon expressin</w:t>
      </w:r>
      <w:r>
        <w:rPr>
          <w:rFonts w:ascii="Calibri" w:hAnsi="Calibri" w:cs="Calibri"/>
          <w:sz w:val="22"/>
          <w:szCs w:val="22"/>
        </w:rPr>
        <w:t>g a need for external finance (</w:t>
      </w:r>
      <w:r w:rsidRPr="0000217F">
        <w:rPr>
          <w:rFonts w:ascii="Calibri" w:hAnsi="Calibri" w:cs="Calibri"/>
          <w:sz w:val="22"/>
          <w:szCs w:val="22"/>
        </w:rPr>
        <w:t>an upper bound of prejudice</w:t>
      </w:r>
      <w:r>
        <w:rPr>
          <w:rFonts w:ascii="Calibri" w:hAnsi="Calibri" w:cs="Calibri"/>
          <w:sz w:val="22"/>
          <w:szCs w:val="22"/>
        </w:rPr>
        <w:t>)</w:t>
      </w:r>
      <w:r w:rsidRPr="0000217F">
        <w:rPr>
          <w:rFonts w:ascii="Calibri" w:hAnsi="Calibri" w:cs="Calibri"/>
          <w:sz w:val="22"/>
          <w:szCs w:val="22"/>
        </w:rPr>
        <w:t xml:space="preserve">. As expected, the coefficient estimate of </w:t>
      </w:r>
      <w:r>
        <w:rPr>
          <w:rFonts w:ascii="Calibri" w:hAnsi="Calibri" w:cs="Calibri"/>
          <w:sz w:val="22"/>
          <w:szCs w:val="22"/>
        </w:rPr>
        <w:t>the</w:t>
      </w:r>
      <w:r w:rsidRPr="0000217F">
        <w:rPr>
          <w:rFonts w:ascii="Calibri" w:hAnsi="Calibri" w:cs="Calibri"/>
          <w:sz w:val="22"/>
          <w:szCs w:val="22"/>
        </w:rPr>
        <w:t xml:space="preserve"> main target variable </w:t>
      </w:r>
      <w:proofErr w:type="spellStart"/>
      <w:r w:rsidRPr="0000217F">
        <w:rPr>
          <w:rFonts w:ascii="Calibri" w:hAnsi="Calibri" w:cs="Calibri"/>
          <w:i/>
          <w:sz w:val="22"/>
          <w:szCs w:val="22"/>
        </w:rPr>
        <w:t>gov_connect</w:t>
      </w:r>
      <w:proofErr w:type="spellEnd"/>
      <w:r w:rsidRPr="0000217F">
        <w:rPr>
          <w:rFonts w:ascii="Calibri" w:hAnsi="Calibri" w:cs="Calibri"/>
          <w:sz w:val="22"/>
          <w:szCs w:val="22"/>
        </w:rPr>
        <w:t xml:space="preserve"> is smaller in Model 2 (0.78) than in Model 3 (0.85) and is significant at </w:t>
      </w:r>
      <w:r>
        <w:rPr>
          <w:rFonts w:ascii="Calibri" w:hAnsi="Calibri" w:cs="Calibri"/>
          <w:sz w:val="22"/>
          <w:szCs w:val="22"/>
        </w:rPr>
        <w:t xml:space="preserve">the </w:t>
      </w:r>
      <w:r w:rsidRPr="0000217F">
        <w:rPr>
          <w:rFonts w:ascii="Calibri" w:hAnsi="Calibri" w:cs="Calibri"/>
          <w:sz w:val="22"/>
          <w:szCs w:val="22"/>
        </w:rPr>
        <w:t xml:space="preserve">13% level in </w:t>
      </w:r>
      <w:r>
        <w:rPr>
          <w:rFonts w:ascii="Calibri" w:hAnsi="Calibri" w:cs="Calibri"/>
          <w:sz w:val="22"/>
          <w:szCs w:val="22"/>
        </w:rPr>
        <w:t>the former</w:t>
      </w:r>
      <w:r w:rsidRPr="0000217F">
        <w:rPr>
          <w:rFonts w:ascii="Calibri" w:hAnsi="Calibri" w:cs="Calibri"/>
          <w:sz w:val="22"/>
          <w:szCs w:val="22"/>
        </w:rPr>
        <w:t xml:space="preserve"> and </w:t>
      </w:r>
      <w:r>
        <w:rPr>
          <w:rFonts w:ascii="Calibri" w:hAnsi="Calibri" w:cs="Calibri"/>
          <w:sz w:val="22"/>
          <w:szCs w:val="22"/>
        </w:rPr>
        <w:t xml:space="preserve">the </w:t>
      </w:r>
      <w:r w:rsidRPr="0000217F">
        <w:rPr>
          <w:rFonts w:ascii="Calibri" w:hAnsi="Calibri" w:cs="Calibri"/>
          <w:sz w:val="22"/>
          <w:szCs w:val="22"/>
        </w:rPr>
        <w:t xml:space="preserve">5% level in </w:t>
      </w:r>
      <w:r>
        <w:rPr>
          <w:rFonts w:ascii="Calibri" w:hAnsi="Calibri" w:cs="Calibri"/>
          <w:sz w:val="22"/>
          <w:szCs w:val="22"/>
        </w:rPr>
        <w:t>the latter</w:t>
      </w:r>
      <w:r w:rsidRPr="0000217F">
        <w:rPr>
          <w:rFonts w:ascii="Calibri" w:hAnsi="Calibri" w:cs="Calibri"/>
          <w:sz w:val="22"/>
          <w:szCs w:val="22"/>
        </w:rPr>
        <w:t xml:space="preserve">. </w:t>
      </w:r>
      <w:r>
        <w:rPr>
          <w:rFonts w:ascii="Calibri" w:hAnsi="Calibri" w:cs="Calibri"/>
          <w:sz w:val="22"/>
          <w:szCs w:val="22"/>
        </w:rPr>
        <w:t>In terms of the odds ratio, e</w:t>
      </w:r>
      <w:r w:rsidRPr="0000217F">
        <w:rPr>
          <w:rFonts w:ascii="Calibri" w:hAnsi="Calibri" w:cs="Calibri"/>
          <w:sz w:val="22"/>
          <w:szCs w:val="22"/>
        </w:rPr>
        <w:t>verything else equal, this implies that</w:t>
      </w:r>
      <w:r>
        <w:rPr>
          <w:rFonts w:ascii="Calibri" w:hAnsi="Calibri" w:cs="Calibri"/>
          <w:sz w:val="22"/>
          <w:szCs w:val="22"/>
        </w:rPr>
        <w:t xml:space="preserve"> the odds of </w:t>
      </w:r>
      <w:r w:rsidRPr="0000217F">
        <w:rPr>
          <w:rFonts w:ascii="Calibri" w:hAnsi="Calibri" w:cs="Calibri"/>
          <w:sz w:val="22"/>
          <w:szCs w:val="22"/>
        </w:rPr>
        <w:t>receipt of formal credit</w:t>
      </w:r>
      <w:r>
        <w:rPr>
          <w:rFonts w:ascii="Calibri" w:hAnsi="Calibri" w:cs="Calibri"/>
          <w:sz w:val="22"/>
          <w:szCs w:val="22"/>
        </w:rPr>
        <w:t xml:space="preserve"> for </w:t>
      </w:r>
      <w:r w:rsidRPr="0000217F">
        <w:rPr>
          <w:rFonts w:ascii="Calibri" w:hAnsi="Calibri" w:cs="Calibri"/>
          <w:sz w:val="22"/>
          <w:szCs w:val="22"/>
        </w:rPr>
        <w:t>SMEs with government connections</w:t>
      </w:r>
      <w:r>
        <w:rPr>
          <w:rFonts w:ascii="Calibri" w:hAnsi="Calibri" w:cs="Calibri"/>
          <w:sz w:val="22"/>
          <w:szCs w:val="22"/>
        </w:rPr>
        <w:t>,</w:t>
      </w:r>
      <w:r w:rsidRPr="0000217F">
        <w:rPr>
          <w:rFonts w:ascii="Calibri" w:hAnsi="Calibri" w:cs="Calibri"/>
          <w:sz w:val="22"/>
          <w:szCs w:val="22"/>
        </w:rPr>
        <w:t xml:space="preserve"> </w:t>
      </w:r>
      <w:r>
        <w:rPr>
          <w:rFonts w:ascii="Calibri" w:hAnsi="Calibri" w:cs="Calibri"/>
          <w:sz w:val="22"/>
          <w:szCs w:val="22"/>
        </w:rPr>
        <w:t xml:space="preserve">compared to those </w:t>
      </w:r>
      <w:r w:rsidRPr="0000217F">
        <w:rPr>
          <w:rFonts w:ascii="Calibri" w:hAnsi="Calibri" w:cs="Calibri"/>
          <w:sz w:val="22"/>
          <w:szCs w:val="22"/>
        </w:rPr>
        <w:t>without</w:t>
      </w:r>
      <w:r>
        <w:rPr>
          <w:rFonts w:ascii="Calibri" w:hAnsi="Calibri" w:cs="Calibri"/>
          <w:sz w:val="22"/>
          <w:szCs w:val="22"/>
        </w:rPr>
        <w:t xml:space="preserve">, increase from 2.18 in Model 2 to 2.34 in Model 3. </w:t>
      </w:r>
      <w:r w:rsidRPr="0000217F">
        <w:rPr>
          <w:rFonts w:ascii="Calibri" w:hAnsi="Calibri" w:cs="Calibri"/>
          <w:sz w:val="22"/>
          <w:szCs w:val="22"/>
        </w:rPr>
        <w:t xml:space="preserve"> </w:t>
      </w:r>
      <w:r>
        <w:rPr>
          <w:rFonts w:ascii="Calibri" w:hAnsi="Calibri" w:cs="Calibri"/>
          <w:sz w:val="22"/>
          <w:szCs w:val="22"/>
        </w:rPr>
        <w:t xml:space="preserve">Similarly, the odds of success for </w:t>
      </w:r>
      <w:proofErr w:type="spellStart"/>
      <w:r w:rsidRPr="00D33D4E">
        <w:rPr>
          <w:rFonts w:ascii="Calibri" w:hAnsi="Calibri" w:cs="Calibri"/>
          <w:i/>
          <w:sz w:val="22"/>
          <w:szCs w:val="22"/>
        </w:rPr>
        <w:t>bzinbrpl</w:t>
      </w:r>
      <w:proofErr w:type="spellEnd"/>
      <w:r>
        <w:rPr>
          <w:rFonts w:ascii="Calibri" w:hAnsi="Calibri" w:cs="Calibri"/>
          <w:sz w:val="22"/>
          <w:szCs w:val="22"/>
        </w:rPr>
        <w:t xml:space="preserve">, which is statistically significant in all three models, increases from 2.45 in Model 2 to 4.06 in Model 3. </w:t>
      </w:r>
    </w:p>
    <w:p w:rsidR="00AA788D" w:rsidRDefault="00AA788D" w:rsidP="004C1BC0">
      <w:pPr>
        <w:pStyle w:val="BodyText"/>
        <w:spacing w:line="480" w:lineRule="auto"/>
        <w:ind w:firstLine="357"/>
        <w:rPr>
          <w:rFonts w:ascii="Calibri" w:hAnsi="Calibri" w:cs="Calibri"/>
          <w:sz w:val="22"/>
          <w:szCs w:val="22"/>
        </w:rPr>
      </w:pPr>
      <w:r w:rsidRPr="0000217F">
        <w:rPr>
          <w:rFonts w:ascii="Calibri" w:hAnsi="Calibri" w:cs="Calibri"/>
          <w:sz w:val="22"/>
          <w:szCs w:val="22"/>
        </w:rPr>
        <w:t xml:space="preserve">Although </w:t>
      </w:r>
      <w:r>
        <w:rPr>
          <w:rFonts w:ascii="Calibri" w:hAnsi="Calibri" w:cs="Calibri"/>
          <w:sz w:val="22"/>
          <w:szCs w:val="22"/>
        </w:rPr>
        <w:t xml:space="preserve">the </w:t>
      </w:r>
      <w:r w:rsidRPr="0000217F">
        <w:rPr>
          <w:rFonts w:ascii="Calibri" w:hAnsi="Calibri" w:cs="Calibri"/>
          <w:sz w:val="22"/>
          <w:szCs w:val="22"/>
        </w:rPr>
        <w:t xml:space="preserve">statistical and economic significance of </w:t>
      </w:r>
      <w:proofErr w:type="spellStart"/>
      <w:r w:rsidRPr="0000217F">
        <w:rPr>
          <w:rFonts w:ascii="Calibri" w:hAnsi="Calibri" w:cs="Calibri"/>
          <w:i/>
          <w:sz w:val="22"/>
          <w:szCs w:val="22"/>
        </w:rPr>
        <w:t>gov_connect</w:t>
      </w:r>
      <w:proofErr w:type="spellEnd"/>
      <w:r w:rsidRPr="0000217F">
        <w:rPr>
          <w:rFonts w:ascii="Calibri" w:hAnsi="Calibri" w:cs="Calibri"/>
          <w:i/>
          <w:sz w:val="22"/>
          <w:szCs w:val="22"/>
        </w:rPr>
        <w:t xml:space="preserve">, </w:t>
      </w:r>
      <w:r w:rsidRPr="0000217F">
        <w:rPr>
          <w:rFonts w:ascii="Calibri" w:hAnsi="Calibri" w:cs="Calibri"/>
          <w:sz w:val="22"/>
          <w:szCs w:val="22"/>
        </w:rPr>
        <w:t xml:space="preserve">a proxy variable for interpersonal relations, </w:t>
      </w:r>
      <w:r>
        <w:rPr>
          <w:rFonts w:ascii="Calibri" w:hAnsi="Calibri" w:cs="Calibri"/>
          <w:sz w:val="22"/>
          <w:szCs w:val="22"/>
        </w:rPr>
        <w:t xml:space="preserve">is suggestive of </w:t>
      </w:r>
      <w:r w:rsidRPr="0000217F">
        <w:rPr>
          <w:rFonts w:ascii="Calibri" w:hAnsi="Calibri" w:cs="Calibri"/>
          <w:sz w:val="22"/>
          <w:szCs w:val="22"/>
        </w:rPr>
        <w:t xml:space="preserve">misallocation of scarce resources in the context of the social capital literature, equation (1) </w:t>
      </w:r>
      <w:r>
        <w:rPr>
          <w:rFonts w:ascii="Calibri" w:hAnsi="Calibri" w:cs="Calibri"/>
          <w:sz w:val="22"/>
          <w:szCs w:val="22"/>
        </w:rPr>
        <w:t xml:space="preserve">has been re-estimated </w:t>
      </w:r>
      <w:r w:rsidRPr="0000217F">
        <w:rPr>
          <w:rFonts w:ascii="Calibri" w:hAnsi="Calibri" w:cs="Calibri"/>
          <w:sz w:val="22"/>
          <w:szCs w:val="22"/>
        </w:rPr>
        <w:t>for slightly different dependent variables</w:t>
      </w:r>
      <w:r>
        <w:rPr>
          <w:rFonts w:ascii="Calibri" w:hAnsi="Calibri" w:cs="Calibri"/>
          <w:sz w:val="22"/>
          <w:szCs w:val="22"/>
        </w:rPr>
        <w:t xml:space="preserve"> </w:t>
      </w:r>
      <w:r w:rsidRPr="0000217F">
        <w:rPr>
          <w:rFonts w:ascii="Calibri" w:hAnsi="Calibri" w:cs="Calibri"/>
          <w:sz w:val="22"/>
          <w:szCs w:val="22"/>
        </w:rPr>
        <w:t xml:space="preserve">to seek further empirical support </w:t>
      </w:r>
      <w:r>
        <w:rPr>
          <w:rFonts w:ascii="Calibri" w:hAnsi="Calibri" w:cs="Calibri"/>
          <w:sz w:val="22"/>
          <w:szCs w:val="22"/>
        </w:rPr>
        <w:t xml:space="preserve">for our </w:t>
      </w:r>
      <w:r w:rsidRPr="0000217F">
        <w:rPr>
          <w:rFonts w:ascii="Calibri" w:hAnsi="Calibri" w:cs="Calibri"/>
          <w:sz w:val="22"/>
          <w:szCs w:val="22"/>
        </w:rPr>
        <w:t xml:space="preserve">argument. </w:t>
      </w:r>
      <w:r>
        <w:rPr>
          <w:rFonts w:ascii="Calibri" w:hAnsi="Calibri" w:cs="Calibri"/>
          <w:sz w:val="22"/>
          <w:szCs w:val="22"/>
        </w:rPr>
        <w:t>R</w:t>
      </w:r>
      <w:r w:rsidRPr="0000217F">
        <w:rPr>
          <w:rFonts w:ascii="Calibri" w:hAnsi="Calibri" w:cs="Calibri"/>
          <w:sz w:val="22"/>
          <w:szCs w:val="22"/>
        </w:rPr>
        <w:t>esults of these estimations</w:t>
      </w:r>
      <w:r>
        <w:rPr>
          <w:rFonts w:ascii="Calibri" w:hAnsi="Calibri" w:cs="Calibri"/>
          <w:sz w:val="22"/>
          <w:szCs w:val="22"/>
        </w:rPr>
        <w:t xml:space="preserve">, which are presented and discussed in Appendix 3, </w:t>
      </w:r>
      <w:r w:rsidRPr="0000217F">
        <w:rPr>
          <w:rFonts w:ascii="Calibri" w:hAnsi="Calibri" w:cs="Calibri"/>
          <w:sz w:val="22"/>
          <w:szCs w:val="22"/>
        </w:rPr>
        <w:t>indicate that although having government connections improves SMEs’ access to formal credit, they are not necessarily associated with entrepreneurs’ ability to expand their businesses.</w:t>
      </w:r>
      <w:r>
        <w:rPr>
          <w:rFonts w:ascii="Calibri" w:hAnsi="Calibri" w:cs="Calibri"/>
          <w:sz w:val="22"/>
          <w:szCs w:val="22"/>
        </w:rPr>
        <w:t xml:space="preserve"> </w:t>
      </w:r>
    </w:p>
    <w:p w:rsidR="00AA788D" w:rsidRPr="001B1447" w:rsidRDefault="00AA788D" w:rsidP="004C1BC0">
      <w:pPr>
        <w:pStyle w:val="BodyText"/>
        <w:spacing w:line="480" w:lineRule="auto"/>
        <w:ind w:firstLine="357"/>
        <w:rPr>
          <w:rFonts w:ascii="Calibri" w:hAnsi="Calibri" w:cs="Calibri"/>
          <w:sz w:val="22"/>
          <w:szCs w:val="22"/>
        </w:rPr>
      </w:pPr>
      <w:r>
        <w:rPr>
          <w:rFonts w:ascii="Calibri" w:hAnsi="Calibri" w:cs="Calibri"/>
          <w:sz w:val="22"/>
          <w:szCs w:val="22"/>
        </w:rPr>
        <w:t xml:space="preserve">We also carried out further checks for model specification and robustness of our results, including inspecting consistency of our main findings across various sub-samples. These, which are reported and discussed in detail in Appendix 4, also confirm that government connections matter, especially benefiting larger, longer-established, and wealthier enterprises. Moreover, the sensitivity </w:t>
      </w:r>
      <w:r>
        <w:rPr>
          <w:rFonts w:ascii="Calibri" w:hAnsi="Calibri" w:cs="Calibri"/>
          <w:sz w:val="22"/>
          <w:szCs w:val="22"/>
        </w:rPr>
        <w:lastRenderedPageBreak/>
        <w:t xml:space="preserve">analysis of the marginal effects of our target variables at various representative values of other important variables such as </w:t>
      </w:r>
      <w:proofErr w:type="spellStart"/>
      <w:r>
        <w:rPr>
          <w:rFonts w:ascii="Calibri" w:hAnsi="Calibri" w:cs="Calibri"/>
          <w:i/>
          <w:sz w:val="22"/>
          <w:szCs w:val="22"/>
        </w:rPr>
        <w:t>lnsales</w:t>
      </w:r>
      <w:proofErr w:type="spellEnd"/>
      <w:r>
        <w:rPr>
          <w:rFonts w:ascii="Calibri" w:hAnsi="Calibri" w:cs="Calibri"/>
          <w:sz w:val="22"/>
          <w:szCs w:val="22"/>
        </w:rPr>
        <w:t xml:space="preserve"> and </w:t>
      </w:r>
      <w:r>
        <w:rPr>
          <w:rFonts w:ascii="Calibri" w:hAnsi="Calibri" w:cs="Calibri"/>
          <w:i/>
          <w:sz w:val="22"/>
          <w:szCs w:val="22"/>
        </w:rPr>
        <w:t>cash1</w:t>
      </w:r>
      <w:r>
        <w:rPr>
          <w:rFonts w:ascii="Calibri" w:hAnsi="Calibri" w:cs="Calibri"/>
          <w:sz w:val="22"/>
          <w:szCs w:val="22"/>
        </w:rPr>
        <w:t xml:space="preserve">, which are discussed in more depth in Appendix 5, suggests that the impact of interpersonal connections is stronger for larger enterprises. </w:t>
      </w:r>
      <w:r w:rsidRPr="000101AE">
        <w:rPr>
          <w:rFonts w:ascii="Calibri" w:hAnsi="Calibri" w:cs="Calibri"/>
          <w:sz w:val="22"/>
          <w:szCs w:val="22"/>
        </w:rPr>
        <w:t xml:space="preserve">For example, for an SME with government connections, the probability of obtaining formal finance increases from 13% to 17% when the value of </w:t>
      </w:r>
      <w:proofErr w:type="spellStart"/>
      <w:r w:rsidRPr="000101AE">
        <w:rPr>
          <w:rFonts w:ascii="Calibri" w:hAnsi="Calibri" w:cs="Calibri"/>
          <w:i/>
          <w:sz w:val="22"/>
          <w:szCs w:val="22"/>
        </w:rPr>
        <w:t>lnsales</w:t>
      </w:r>
      <w:proofErr w:type="spellEnd"/>
      <w:r w:rsidRPr="00D33D4E">
        <w:rPr>
          <w:rFonts w:ascii="Calibri" w:hAnsi="Calibri" w:cs="Calibri"/>
          <w:sz w:val="22"/>
          <w:szCs w:val="22"/>
        </w:rPr>
        <w:t xml:space="preserve"> moves from minus </w:t>
      </w:r>
      <w:r>
        <w:rPr>
          <w:rFonts w:ascii="Calibri" w:hAnsi="Calibri" w:cs="Calibri"/>
          <w:sz w:val="22"/>
          <w:szCs w:val="22"/>
        </w:rPr>
        <w:t>1</w:t>
      </w:r>
      <w:r w:rsidRPr="000101AE">
        <w:rPr>
          <w:rFonts w:ascii="Calibri" w:hAnsi="Calibri" w:cs="Calibri"/>
          <w:sz w:val="22"/>
          <w:szCs w:val="22"/>
        </w:rPr>
        <w:t xml:space="preserve"> </w:t>
      </w:r>
      <w:proofErr w:type="spellStart"/>
      <w:r w:rsidRPr="000101AE">
        <w:rPr>
          <w:rFonts w:ascii="Calibri" w:hAnsi="Calibri" w:cs="Calibri"/>
          <w:sz w:val="22"/>
          <w:szCs w:val="22"/>
        </w:rPr>
        <w:t>s.d</w:t>
      </w:r>
      <w:proofErr w:type="spellEnd"/>
      <w:r w:rsidRPr="000101AE">
        <w:rPr>
          <w:rFonts w:ascii="Calibri" w:hAnsi="Calibri" w:cs="Calibri"/>
          <w:sz w:val="22"/>
          <w:szCs w:val="22"/>
        </w:rPr>
        <w:t xml:space="preserve">. to plus </w:t>
      </w:r>
      <w:r>
        <w:rPr>
          <w:rFonts w:ascii="Calibri" w:hAnsi="Calibri" w:cs="Calibri"/>
          <w:sz w:val="22"/>
          <w:szCs w:val="22"/>
        </w:rPr>
        <w:t>1</w:t>
      </w:r>
      <w:r w:rsidRPr="000101AE">
        <w:rPr>
          <w:rFonts w:ascii="Calibri" w:hAnsi="Calibri" w:cs="Calibri"/>
          <w:sz w:val="22"/>
          <w:szCs w:val="22"/>
        </w:rPr>
        <w:t xml:space="preserve"> </w:t>
      </w:r>
      <w:proofErr w:type="spellStart"/>
      <w:r w:rsidRPr="000101AE">
        <w:rPr>
          <w:rFonts w:ascii="Calibri" w:hAnsi="Calibri" w:cs="Calibri"/>
          <w:sz w:val="22"/>
          <w:szCs w:val="22"/>
        </w:rPr>
        <w:t>s.d</w:t>
      </w:r>
      <w:proofErr w:type="spellEnd"/>
      <w:r w:rsidRPr="000101AE">
        <w:rPr>
          <w:rFonts w:ascii="Calibri" w:hAnsi="Calibri" w:cs="Calibri"/>
          <w:sz w:val="22"/>
          <w:szCs w:val="22"/>
        </w:rPr>
        <w:t>. from the mean value of the variable.</w:t>
      </w:r>
    </w:p>
    <w:p w:rsidR="00AA788D" w:rsidRPr="008C369F" w:rsidRDefault="00AA788D" w:rsidP="008C369F">
      <w:pPr>
        <w:pStyle w:val="BodyText"/>
        <w:spacing w:line="480" w:lineRule="auto"/>
        <w:ind w:firstLine="357"/>
        <w:rPr>
          <w:rFonts w:ascii="Calibri" w:hAnsi="Calibri" w:cs="Calibri"/>
          <w:b/>
          <w:i/>
          <w:sz w:val="22"/>
          <w:szCs w:val="22"/>
        </w:rPr>
      </w:pPr>
      <w:r w:rsidRPr="0000217F">
        <w:rPr>
          <w:rFonts w:asciiTheme="minorHAnsi" w:hAnsiTheme="minorHAnsi" w:cstheme="minorHAnsi"/>
          <w:b/>
        </w:rPr>
        <w:t>Concluding Remarks</w:t>
      </w:r>
    </w:p>
    <w:p w:rsidR="00AA788D" w:rsidRDefault="00AA788D">
      <w:pPr>
        <w:spacing w:line="480" w:lineRule="auto"/>
        <w:ind w:firstLine="357"/>
        <w:rPr>
          <w:rFonts w:cstheme="minorHAnsi"/>
        </w:rPr>
      </w:pPr>
      <w:r w:rsidRPr="00F02A61">
        <w:t>Interpersonal networks are often associated with improving market exchange and resource allocation (</w:t>
      </w:r>
      <w:proofErr w:type="spellStart"/>
      <w:r w:rsidRPr="00F02A61">
        <w:t>Dasgupta</w:t>
      </w:r>
      <w:proofErr w:type="spellEnd"/>
      <w:r w:rsidRPr="00F02A61">
        <w:t xml:space="preserve">, 2005). In the area of development finance, </w:t>
      </w:r>
      <w:r w:rsidRPr="002C6B83">
        <w:t xml:space="preserve">for example, </w:t>
      </w:r>
      <w:r w:rsidRPr="00F02A61">
        <w:t>interpersonal relationships have been used positively in forming peer-monitoring-based microcredit institutions which provide credit to individuals excluded from formal credit (</w:t>
      </w:r>
      <w:proofErr w:type="spellStart"/>
      <w:r w:rsidRPr="00F02A61">
        <w:t>Morduch</w:t>
      </w:r>
      <w:proofErr w:type="spellEnd"/>
      <w:r w:rsidRPr="00F02A61">
        <w:t xml:space="preserve">, 1999; see also a study by </w:t>
      </w:r>
      <w:proofErr w:type="spellStart"/>
      <w:r w:rsidRPr="00F02A61">
        <w:t>Helliwell</w:t>
      </w:r>
      <w:proofErr w:type="spellEnd"/>
      <w:r w:rsidRPr="00F02A61">
        <w:t xml:space="preserve"> and Putnam, 2000).</w:t>
      </w:r>
      <w:r>
        <w:t xml:space="preserve"> Nevertheless</w:t>
      </w:r>
      <w:r w:rsidRPr="00F02A61">
        <w:t xml:space="preserve">, </w:t>
      </w:r>
      <w:proofErr w:type="spellStart"/>
      <w:r w:rsidRPr="00F02A61">
        <w:t>Stiglitz</w:t>
      </w:r>
      <w:proofErr w:type="spellEnd"/>
      <w:r w:rsidRPr="00F02A61">
        <w:t xml:space="preserve"> (2001), Rose (2001), and </w:t>
      </w:r>
      <w:proofErr w:type="spellStart"/>
      <w:r w:rsidRPr="00F02A61">
        <w:t>Dasgupta</w:t>
      </w:r>
      <w:proofErr w:type="spellEnd"/>
      <w:r w:rsidRPr="00F02A61">
        <w:t xml:space="preserve"> (2009) </w:t>
      </w:r>
      <w:r>
        <w:t xml:space="preserve">all </w:t>
      </w:r>
      <w:r w:rsidRPr="00F02A61">
        <w:t xml:space="preserve">emphasise the importance of a balanced interaction of impersonal markets as well as bureaucratic institutions. Where markets are thin or suppressed, bureaucratic state institutions lack credibility, </w:t>
      </w:r>
      <w:r>
        <w:t xml:space="preserve">and </w:t>
      </w:r>
      <w:r w:rsidRPr="00F02A61">
        <w:t>rules and laws are dysfunctional, rent-seeking behaviour may became prevalent as agents try to profit from the web of interpersonal relations</w:t>
      </w:r>
      <w:r>
        <w:t>.</w:t>
      </w:r>
      <w:r>
        <w:rPr>
          <w:rFonts w:cstheme="minorHAnsi"/>
        </w:rPr>
        <w:t xml:space="preserve"> </w:t>
      </w:r>
      <w:r w:rsidRPr="00F02A61">
        <w:rPr>
          <w:rFonts w:cstheme="minorHAnsi"/>
        </w:rPr>
        <w:t>Post transition, market-based exchanges have intensified, and formal bureaucratic organisations have gained importance, in most post-communist economies like Uzbekistan</w:t>
      </w:r>
      <w:r>
        <w:rPr>
          <w:rFonts w:cstheme="minorHAnsi"/>
        </w:rPr>
        <w:t xml:space="preserve">. However, </w:t>
      </w:r>
      <w:r w:rsidRPr="00F02A61">
        <w:rPr>
          <w:rFonts w:cstheme="minorHAnsi"/>
        </w:rPr>
        <w:t>the latter still fail to operate impartially, predictably, and according to the rule of law.</w:t>
      </w:r>
    </w:p>
    <w:p w:rsidR="00AA788D" w:rsidRDefault="00AA788D" w:rsidP="00BE31C3">
      <w:pPr>
        <w:spacing w:line="480" w:lineRule="auto"/>
        <w:ind w:firstLine="357"/>
        <w:rPr>
          <w:rFonts w:cstheme="minorHAnsi"/>
        </w:rPr>
      </w:pPr>
      <w:r w:rsidRPr="00F02A61">
        <w:rPr>
          <w:rFonts w:cstheme="minorHAnsi"/>
        </w:rPr>
        <w:t xml:space="preserve">Our findings from a survey of SMEs in Uzbekistan seem to support this argument. </w:t>
      </w:r>
      <w:r>
        <w:rPr>
          <w:rFonts w:cstheme="minorHAnsi"/>
        </w:rPr>
        <w:t xml:space="preserve">The </w:t>
      </w:r>
      <w:r w:rsidRPr="00F02A61">
        <w:rPr>
          <w:rFonts w:cstheme="minorHAnsi"/>
        </w:rPr>
        <w:t>evidence shows that the proportion of SMEs expressing a need for external finance is lower for enterprises with government connection than their counterparts; but, conditional upon applying for formal credit, the</w:t>
      </w:r>
      <w:r>
        <w:rPr>
          <w:rFonts w:cstheme="minorHAnsi"/>
        </w:rPr>
        <w:t>ir</w:t>
      </w:r>
      <w:r w:rsidRPr="00F02A61">
        <w:rPr>
          <w:rFonts w:cstheme="minorHAnsi"/>
        </w:rPr>
        <w:t xml:space="preserve"> success rate is higher than that </w:t>
      </w:r>
      <w:r>
        <w:rPr>
          <w:rFonts w:cstheme="minorHAnsi"/>
        </w:rPr>
        <w:t xml:space="preserve">of </w:t>
      </w:r>
      <w:r w:rsidRPr="00F02A61">
        <w:rPr>
          <w:rFonts w:cstheme="minorHAnsi"/>
        </w:rPr>
        <w:t xml:space="preserve">SMEs without government connections. On average, a larger proportion of SMEs with government connections obtained bank credit than those without government connections but, compared with the latter group, a smaller proportion of the former group </w:t>
      </w:r>
      <w:r>
        <w:rPr>
          <w:rFonts w:cstheme="minorHAnsi"/>
        </w:rPr>
        <w:t xml:space="preserve">had </w:t>
      </w:r>
      <w:r w:rsidRPr="00F02A61">
        <w:rPr>
          <w:rFonts w:cstheme="minorHAnsi"/>
        </w:rPr>
        <w:t xml:space="preserve">carried out business expansion since their inception. Various models estimating the </w:t>
      </w:r>
      <w:r w:rsidRPr="00F02A61">
        <w:rPr>
          <w:rFonts w:cstheme="minorHAnsi"/>
        </w:rPr>
        <w:lastRenderedPageBreak/>
        <w:t xml:space="preserve">probability of </w:t>
      </w:r>
      <w:r>
        <w:rPr>
          <w:rFonts w:cstheme="minorHAnsi"/>
        </w:rPr>
        <w:t xml:space="preserve">obtaining </w:t>
      </w:r>
      <w:r w:rsidRPr="00F02A61">
        <w:rPr>
          <w:rFonts w:cstheme="minorHAnsi"/>
        </w:rPr>
        <w:t xml:space="preserve">bank credit also show that SMEs with government connections are more than twice likely than those without to be in receipt of formal credit. </w:t>
      </w:r>
      <w:r>
        <w:rPr>
          <w:rFonts w:cstheme="minorHAnsi"/>
        </w:rPr>
        <w:t xml:space="preserve">In terms of marginal effects, having government connections improves the chances of obtaining formal finance by around 20%. </w:t>
      </w:r>
    </w:p>
    <w:p w:rsidR="00AA788D" w:rsidRDefault="00AA788D" w:rsidP="00BE31C3">
      <w:pPr>
        <w:spacing w:line="480" w:lineRule="auto"/>
        <w:ind w:firstLine="357"/>
        <w:rPr>
          <w:rFonts w:cstheme="minorHAnsi"/>
        </w:rPr>
      </w:pPr>
      <w:r w:rsidRPr="00F02A61">
        <w:rPr>
          <w:rFonts w:cstheme="minorHAnsi"/>
        </w:rPr>
        <w:t xml:space="preserve">The concept of unequal access to formal finance, widely discussed in the literature, refers to a disproportionately higher portion of resources being channelled to larger enterprises. </w:t>
      </w:r>
      <w:r>
        <w:rPr>
          <w:rFonts w:cstheme="minorHAnsi"/>
        </w:rPr>
        <w:t>Our</w:t>
      </w:r>
      <w:r w:rsidRPr="00F02A61">
        <w:rPr>
          <w:rFonts w:cstheme="minorHAnsi"/>
        </w:rPr>
        <w:t xml:space="preserve"> results show that, when the modern economic structure is not mature, even the smaller portion of formal finance left for SMEs can be distributed unequally; but in this case, </w:t>
      </w:r>
      <w:r>
        <w:rPr>
          <w:rFonts w:cstheme="minorHAnsi"/>
        </w:rPr>
        <w:t xml:space="preserve">a </w:t>
      </w:r>
      <w:r w:rsidRPr="00F02A61">
        <w:rPr>
          <w:rFonts w:cstheme="minorHAnsi"/>
        </w:rPr>
        <w:t xml:space="preserve">disproportionately higher portion of limited formal finance will be allocated to SMEs with interpersonal links to minor government officials and possibly with bank officers, with potential implications for resource allocation and growth. </w:t>
      </w:r>
    </w:p>
    <w:p w:rsidR="00AA788D" w:rsidRDefault="00AA788D">
      <w:pPr>
        <w:spacing w:line="480" w:lineRule="auto"/>
        <w:ind w:firstLine="357"/>
        <w:rPr>
          <w:rFonts w:cstheme="minorHAnsi"/>
        </w:rPr>
      </w:pPr>
      <w:r>
        <w:rPr>
          <w:rFonts w:cstheme="minorHAnsi"/>
        </w:rPr>
        <w:t>Since the later 1990s, policy making in this area in Uzbekistan has focused mainly on increasing the flow of formal finance to the SME sector, including funds attracted from international financial institutions (IFIs). For example, almost all commercial banks in the country have dedicated loan departments offering small business loans. These are financed from sources which include a compulsory 25% deduction from bank profits, targeted off-budget government funds, and loans from IFIs; and for commercial banks, they are further incentivised by tax benefits for revenues generated by credit activities in this sector. Even if these policies were effective, which is debatable without appropriate empirical evidence, our findings make a strong case against the efficiency of their ultimate outcome. This suggests that p</w:t>
      </w:r>
      <w:r w:rsidRPr="00F02A61">
        <w:rPr>
          <w:rFonts w:cstheme="minorHAnsi"/>
        </w:rPr>
        <w:t>olicy-makers should be concerned not only about measures that facilitate increased availability of formal finance, but also, and more importantly, about longer-term improvements in capacity building</w:t>
      </w:r>
      <w:r>
        <w:rPr>
          <w:rFonts w:cstheme="minorHAnsi"/>
        </w:rPr>
        <w:t xml:space="preserve">. Explicitly, they should focus on </w:t>
      </w:r>
      <w:r w:rsidRPr="00F02A61">
        <w:rPr>
          <w:rFonts w:cstheme="minorHAnsi"/>
        </w:rPr>
        <w:t xml:space="preserve">establishing more transparent and efficient bureaucratic organisations whose impartial role is to ensure the rule of law. Otherwise, public officials in otherwise impersonal bureaucratic organisations will continue using rigidity of rules and regulations as an excuse for rent-seeking. </w:t>
      </w:r>
      <w:r>
        <w:rPr>
          <w:rFonts w:cstheme="minorHAnsi"/>
        </w:rPr>
        <w:t xml:space="preserve">Thus, </w:t>
      </w:r>
      <w:r w:rsidRPr="00F02A61">
        <w:rPr>
          <w:rFonts w:cstheme="minorHAnsi"/>
        </w:rPr>
        <w:t>entrepreneurs lose incentives to use prices, rules and regulations as signals</w:t>
      </w:r>
      <w:r>
        <w:rPr>
          <w:rFonts w:cstheme="minorHAnsi"/>
        </w:rPr>
        <w:t xml:space="preserve">, relying instead, where coincidentally </w:t>
      </w:r>
      <w:r>
        <w:rPr>
          <w:rFonts w:cstheme="minorHAnsi"/>
        </w:rPr>
        <w:lastRenderedPageBreak/>
        <w:t xml:space="preserve">possible, on </w:t>
      </w:r>
      <w:r w:rsidRPr="00F02A61">
        <w:rPr>
          <w:rFonts w:cstheme="minorHAnsi"/>
        </w:rPr>
        <w:t>interpersonal networks</w:t>
      </w:r>
      <w:r>
        <w:rPr>
          <w:rFonts w:cstheme="minorHAnsi"/>
        </w:rPr>
        <w:t xml:space="preserve"> of relationships with </w:t>
      </w:r>
      <w:r w:rsidRPr="00F02A61">
        <w:rPr>
          <w:rFonts w:cstheme="minorHAnsi"/>
        </w:rPr>
        <w:t>bureaucrats</w:t>
      </w:r>
      <w:r>
        <w:rPr>
          <w:rFonts w:cstheme="minorHAnsi"/>
        </w:rPr>
        <w:t>, which results in misallocation of scarce credit resources</w:t>
      </w:r>
      <w:r w:rsidRPr="00F02A61">
        <w:rPr>
          <w:rFonts w:cstheme="minorHAnsi"/>
        </w:rPr>
        <w:t>.</w:t>
      </w:r>
    </w:p>
    <w:p w:rsidR="00AA788D" w:rsidRDefault="00AA788D" w:rsidP="00735F55">
      <w:pPr>
        <w:spacing w:line="480" w:lineRule="auto"/>
        <w:ind w:firstLine="357"/>
        <w:rPr>
          <w:rFonts w:cstheme="minorHAnsi"/>
          <w:lang w:val="en-US"/>
        </w:rPr>
      </w:pPr>
      <w:r>
        <w:rPr>
          <w:rFonts w:cstheme="minorHAnsi"/>
          <w:lang w:val="en-US"/>
        </w:rPr>
        <w:t xml:space="preserve">An important caveat, however, is that, despite passing various robustness checks, our findings only confirm existence of a statistical correlation and not of a theoretical causation. For example, in a relevant and interesting paper, Li (1996, p.16) demonstrates that under imperfect market conditions and limited rule of law, entrepreneurs may consciously and actively look for government connections hoping to gain access to resources and/or to ease various business constraints. This then could </w:t>
      </w:r>
      <w:r>
        <w:rPr>
          <w:rFonts w:cstheme="minorHAnsi"/>
        </w:rPr>
        <w:t>incentivis</w:t>
      </w:r>
      <w:r w:rsidRPr="00255CC9">
        <w:rPr>
          <w:rFonts w:cstheme="minorHAnsi"/>
        </w:rPr>
        <w:t>e</w:t>
      </w:r>
      <w:r>
        <w:rPr>
          <w:rFonts w:cstheme="minorHAnsi"/>
          <w:lang w:val="en-US"/>
        </w:rPr>
        <w:t xml:space="preserve"> public officials either </w:t>
      </w:r>
      <w:proofErr w:type="spellStart"/>
      <w:r>
        <w:rPr>
          <w:rFonts w:cstheme="minorHAnsi"/>
          <w:lang w:val="en-US"/>
        </w:rPr>
        <w:t>i</w:t>
      </w:r>
      <w:proofErr w:type="spellEnd"/>
      <w:r>
        <w:rPr>
          <w:rFonts w:cstheme="minorHAnsi"/>
          <w:lang w:val="en-US"/>
        </w:rPr>
        <w:t>) to increase complexity of regulations to gain more rents, hindering growth prospects, or ii) to make them feel de-facto stakeholders in businesses rather than “short-</w:t>
      </w:r>
      <w:proofErr w:type="spellStart"/>
      <w:r>
        <w:rPr>
          <w:rFonts w:cstheme="minorHAnsi"/>
          <w:lang w:val="en-US"/>
        </w:rPr>
        <w:t>termist</w:t>
      </w:r>
      <w:proofErr w:type="spellEnd"/>
      <w:r>
        <w:rPr>
          <w:rFonts w:cstheme="minorHAnsi"/>
          <w:lang w:val="en-US"/>
        </w:rPr>
        <w:t xml:space="preserve"> bribe-takers” (Li, 1998, p.395), resulting in the adoption and implementation of business-friendly regulations, hence fostering growth prospects. Frye and </w:t>
      </w:r>
      <w:proofErr w:type="spellStart"/>
      <w:r>
        <w:rPr>
          <w:rFonts w:cstheme="minorHAnsi"/>
          <w:lang w:val="en-US"/>
        </w:rPr>
        <w:t>Shleifer</w:t>
      </w:r>
      <w:proofErr w:type="spellEnd"/>
      <w:r>
        <w:rPr>
          <w:rFonts w:cstheme="minorHAnsi"/>
          <w:lang w:val="en-US"/>
        </w:rPr>
        <w:t xml:space="preserve"> (1997) make a strong case for the former, a ‘grabbing hand’, version of the argument in the context of the Russian experience (see also Hunt and Laszlo, 2011, and </w:t>
      </w:r>
      <w:proofErr w:type="spellStart"/>
      <w:r>
        <w:rPr>
          <w:rFonts w:cstheme="minorHAnsi"/>
          <w:lang w:val="en-US"/>
        </w:rPr>
        <w:t>Seker</w:t>
      </w:r>
      <w:proofErr w:type="spellEnd"/>
      <w:r>
        <w:rPr>
          <w:rFonts w:cstheme="minorHAnsi"/>
          <w:lang w:val="en-US"/>
        </w:rPr>
        <w:t xml:space="preserve"> and Yang, 2014 for more general cases), while Li (1998) makes a strong case for the latter, a “helping hand”, version in the context of the Chinese experience. But, Li (1998, see also Li </w:t>
      </w:r>
      <w:r w:rsidRPr="004C2DD2">
        <w:rPr>
          <w:rFonts w:cstheme="minorHAnsi"/>
          <w:i/>
          <w:lang w:val="en-US"/>
        </w:rPr>
        <w:t>et al.</w:t>
      </w:r>
      <w:r>
        <w:rPr>
          <w:rFonts w:cstheme="minorHAnsi"/>
          <w:lang w:val="en-US"/>
        </w:rPr>
        <w:t xml:space="preserve">, 2008) also </w:t>
      </w:r>
      <w:r w:rsidRPr="00255CC9">
        <w:rPr>
          <w:rFonts w:cstheme="minorHAnsi"/>
        </w:rPr>
        <w:t>emphasises</w:t>
      </w:r>
      <w:r>
        <w:rPr>
          <w:rFonts w:cstheme="minorHAnsi"/>
          <w:lang w:val="en-US"/>
        </w:rPr>
        <w:t xml:space="preserve"> that the “helping hand” version is specific only to China due to its administrative reforms which, by granting permissions allowing bureaucrats to quit bureaucracy and join the business sector, </w:t>
      </w:r>
      <w:proofErr w:type="spellStart"/>
      <w:r>
        <w:rPr>
          <w:rFonts w:cstheme="minorHAnsi"/>
          <w:lang w:val="en-US"/>
        </w:rPr>
        <w:t>incentivised</w:t>
      </w:r>
      <w:proofErr w:type="spellEnd"/>
      <w:r>
        <w:rPr>
          <w:rFonts w:cstheme="minorHAnsi"/>
          <w:lang w:val="en-US"/>
        </w:rPr>
        <w:t xml:space="preserve"> the bureaucrats to implement pro-growth reforms.</w:t>
      </w:r>
    </w:p>
    <w:p w:rsidR="00AA788D" w:rsidRDefault="00AA788D" w:rsidP="001005D8">
      <w:pPr>
        <w:pBdr>
          <w:bottom w:val="single" w:sz="4" w:space="1" w:color="auto"/>
        </w:pBdr>
        <w:spacing w:line="480" w:lineRule="auto"/>
        <w:rPr>
          <w:rFonts w:cstheme="minorHAnsi"/>
          <w:b/>
        </w:rPr>
      </w:pPr>
      <w:r>
        <w:rPr>
          <w:rFonts w:cstheme="minorHAnsi"/>
          <w:b/>
        </w:rPr>
        <w:t>End</w:t>
      </w:r>
      <w:r w:rsidRPr="006E64B5">
        <w:rPr>
          <w:rFonts w:cstheme="minorHAnsi"/>
          <w:b/>
        </w:rPr>
        <w:t>notes</w:t>
      </w:r>
    </w:p>
    <w:p w:rsidR="00AA788D" w:rsidRDefault="00AA788D" w:rsidP="006E64B5">
      <w:pPr>
        <w:spacing w:line="480" w:lineRule="auto"/>
        <w:rPr>
          <w:rFonts w:cstheme="minorHAnsi"/>
        </w:rPr>
      </w:pPr>
    </w:p>
    <w:p w:rsidR="00AA788D" w:rsidRDefault="00AA788D" w:rsidP="006E64B5">
      <w:pPr>
        <w:spacing w:line="480" w:lineRule="auto"/>
      </w:pPr>
      <w:r w:rsidRPr="006E64B5">
        <w:rPr>
          <w:rFonts w:cstheme="minorHAnsi"/>
        </w:rPr>
        <w:t>1.</w:t>
      </w:r>
      <w:r w:rsidRPr="006E64B5">
        <w:t xml:space="preserve"> </w:t>
      </w:r>
      <w:r>
        <w:t>Social capital is more extensive than interpersonal networks (</w:t>
      </w:r>
      <w:proofErr w:type="spellStart"/>
      <w:r>
        <w:t>Fedderke</w:t>
      </w:r>
      <w:proofErr w:type="spellEnd"/>
      <w:r>
        <w:t xml:space="preserve"> </w:t>
      </w:r>
      <w:r>
        <w:rPr>
          <w:i/>
        </w:rPr>
        <w:t xml:space="preserve">et al., </w:t>
      </w:r>
      <w:r>
        <w:t xml:space="preserve">1999), but, according to </w:t>
      </w:r>
      <w:proofErr w:type="spellStart"/>
      <w:r>
        <w:t>Dasgupta</w:t>
      </w:r>
      <w:proofErr w:type="spellEnd"/>
      <w:r>
        <w:t xml:space="preserve"> (2005, p.</w:t>
      </w:r>
      <w:r w:rsidRPr="00FD5409">
        <w:t xml:space="preserve">S10) </w:t>
      </w:r>
      <w:r>
        <w:t xml:space="preserve">the leaner </w:t>
      </w:r>
      <w:r w:rsidRPr="00FD5409">
        <w:t xml:space="preserve">definition </w:t>
      </w:r>
      <w:r>
        <w:t xml:space="preserve">provided here </w:t>
      </w:r>
      <w:r w:rsidRPr="00FD5409">
        <w:t xml:space="preserve">is </w:t>
      </w:r>
      <w:r>
        <w:t xml:space="preserve">better suited for study of the </w:t>
      </w:r>
      <w:r w:rsidRPr="00FD5409">
        <w:t>potentially conflicting roles of social capital in economic process</w:t>
      </w:r>
      <w:r>
        <w:t>es</w:t>
      </w:r>
      <w:r w:rsidRPr="00FD5409">
        <w:t>.</w:t>
      </w:r>
    </w:p>
    <w:p w:rsidR="00AA788D" w:rsidRDefault="00AA788D" w:rsidP="006E64B5">
      <w:pPr>
        <w:spacing w:line="480" w:lineRule="auto"/>
        <w:rPr>
          <w:rFonts w:cstheme="minorHAnsi"/>
          <w:sz w:val="20"/>
          <w:szCs w:val="20"/>
        </w:rPr>
      </w:pPr>
      <w:r>
        <w:lastRenderedPageBreak/>
        <w:t xml:space="preserve">2. </w:t>
      </w:r>
      <w:r w:rsidRPr="004A151C">
        <w:rPr>
          <w:rFonts w:cstheme="minorHAnsi"/>
          <w:sz w:val="20"/>
          <w:szCs w:val="20"/>
        </w:rPr>
        <w:t xml:space="preserve">Each </w:t>
      </w:r>
      <w:r>
        <w:rPr>
          <w:rFonts w:cstheme="minorHAnsi"/>
          <w:sz w:val="20"/>
          <w:szCs w:val="20"/>
        </w:rPr>
        <w:t>index</w:t>
      </w:r>
      <w:r w:rsidRPr="004A151C">
        <w:rPr>
          <w:rFonts w:cstheme="minorHAnsi"/>
          <w:sz w:val="20"/>
          <w:szCs w:val="20"/>
        </w:rPr>
        <w:t xml:space="preserve"> ranges from 1 to 4</w:t>
      </w:r>
      <w:r>
        <w:rPr>
          <w:rFonts w:cstheme="minorHAnsi"/>
          <w:sz w:val="20"/>
          <w:szCs w:val="20"/>
        </w:rPr>
        <w:t>.33</w:t>
      </w:r>
      <w:r w:rsidRPr="004A151C">
        <w:rPr>
          <w:rFonts w:cstheme="minorHAnsi"/>
          <w:sz w:val="20"/>
          <w:szCs w:val="20"/>
        </w:rPr>
        <w:t>, where 1 represents no or little change from a centrally planned economy and 4</w:t>
      </w:r>
      <w:r>
        <w:rPr>
          <w:rFonts w:cstheme="minorHAnsi"/>
          <w:sz w:val="20"/>
          <w:szCs w:val="20"/>
        </w:rPr>
        <w:t>.33</w:t>
      </w:r>
      <w:r w:rsidRPr="004A151C">
        <w:rPr>
          <w:rFonts w:cstheme="minorHAnsi"/>
          <w:sz w:val="20"/>
          <w:szCs w:val="20"/>
        </w:rPr>
        <w:t xml:space="preserve"> represents a standard typical of an industrialised market economy. Fu</w:t>
      </w:r>
      <w:r>
        <w:rPr>
          <w:rFonts w:cstheme="minorHAnsi"/>
          <w:sz w:val="20"/>
          <w:szCs w:val="20"/>
        </w:rPr>
        <w:t xml:space="preserve">rther </w:t>
      </w:r>
      <w:r w:rsidRPr="004A151C">
        <w:rPr>
          <w:rFonts w:cstheme="minorHAnsi"/>
          <w:sz w:val="20"/>
          <w:szCs w:val="20"/>
        </w:rPr>
        <w:t>information can be found in EBRD</w:t>
      </w:r>
      <w:r>
        <w:rPr>
          <w:rFonts w:cstheme="minorHAnsi"/>
          <w:sz w:val="20"/>
          <w:szCs w:val="20"/>
        </w:rPr>
        <w:t xml:space="preserve"> (2000)</w:t>
      </w:r>
      <w:r w:rsidRPr="004A151C">
        <w:rPr>
          <w:rFonts w:cstheme="minorHAnsi"/>
          <w:sz w:val="20"/>
          <w:szCs w:val="20"/>
        </w:rPr>
        <w:t>.</w:t>
      </w:r>
    </w:p>
    <w:p w:rsidR="00AA788D" w:rsidRDefault="00AA788D" w:rsidP="006E64B5">
      <w:pPr>
        <w:spacing w:line="480" w:lineRule="auto"/>
        <w:rPr>
          <w:rFonts w:cstheme="minorHAnsi"/>
          <w:sz w:val="20"/>
          <w:szCs w:val="20"/>
          <w:lang w:val="en-US"/>
        </w:rPr>
      </w:pPr>
      <w:r>
        <w:rPr>
          <w:rFonts w:cstheme="minorHAnsi"/>
          <w:sz w:val="20"/>
          <w:szCs w:val="20"/>
        </w:rPr>
        <w:t xml:space="preserve">3. </w:t>
      </w:r>
      <w:r w:rsidRPr="007F308B">
        <w:rPr>
          <w:rFonts w:cstheme="minorHAnsi"/>
          <w:sz w:val="20"/>
          <w:szCs w:val="20"/>
          <w:lang w:val="en-US"/>
        </w:rPr>
        <w:t xml:space="preserve">Restrictions imposed by monetary authorities limit the amount of cash that can be withdrawn from commercial banks’ accounts with the central bank, despite having sufficient balances. This </w:t>
      </w:r>
      <w:r>
        <w:rPr>
          <w:rFonts w:cstheme="minorHAnsi"/>
          <w:sz w:val="20"/>
          <w:szCs w:val="20"/>
          <w:lang w:val="en-US"/>
        </w:rPr>
        <w:t xml:space="preserve">cash money </w:t>
      </w:r>
      <w:r w:rsidRPr="007F308B">
        <w:rPr>
          <w:rFonts w:cstheme="minorHAnsi"/>
          <w:sz w:val="20"/>
          <w:szCs w:val="20"/>
          <w:lang w:val="en-US"/>
        </w:rPr>
        <w:t xml:space="preserve">squeeze has </w:t>
      </w:r>
      <w:r>
        <w:rPr>
          <w:rFonts w:cstheme="minorHAnsi"/>
          <w:sz w:val="20"/>
          <w:szCs w:val="20"/>
          <w:lang w:val="en-US"/>
        </w:rPr>
        <w:t xml:space="preserve">led to a </w:t>
      </w:r>
      <w:r w:rsidRPr="007F308B">
        <w:rPr>
          <w:rFonts w:cstheme="minorHAnsi"/>
          <w:sz w:val="20"/>
          <w:szCs w:val="20"/>
          <w:lang w:val="en-US"/>
        </w:rPr>
        <w:t xml:space="preserve">discounted </w:t>
      </w:r>
      <w:r>
        <w:rPr>
          <w:rFonts w:cstheme="minorHAnsi"/>
          <w:sz w:val="20"/>
          <w:szCs w:val="20"/>
          <w:lang w:val="en-US"/>
        </w:rPr>
        <w:t xml:space="preserve">exchange rate for </w:t>
      </w:r>
      <w:r w:rsidRPr="007F308B">
        <w:rPr>
          <w:rFonts w:cstheme="minorHAnsi"/>
          <w:sz w:val="20"/>
          <w:szCs w:val="20"/>
          <w:lang w:val="en-US"/>
        </w:rPr>
        <w:t xml:space="preserve">non-cash money, on average requiring a premium of 8-10% </w:t>
      </w:r>
      <w:r>
        <w:rPr>
          <w:rFonts w:cstheme="minorHAnsi"/>
          <w:sz w:val="20"/>
          <w:szCs w:val="20"/>
          <w:lang w:val="en-US"/>
        </w:rPr>
        <w:t xml:space="preserve">to convert to cash </w:t>
      </w:r>
      <w:r w:rsidRPr="007F308B">
        <w:rPr>
          <w:rFonts w:cstheme="minorHAnsi"/>
          <w:sz w:val="20"/>
          <w:szCs w:val="20"/>
          <w:lang w:val="en-US"/>
        </w:rPr>
        <w:t>in Tashkent, and a lot more in the provinces</w:t>
      </w:r>
      <w:r>
        <w:rPr>
          <w:rFonts w:cstheme="minorHAnsi"/>
          <w:sz w:val="20"/>
          <w:szCs w:val="20"/>
          <w:lang w:val="en-US"/>
        </w:rPr>
        <w:t xml:space="preserve"> (</w:t>
      </w:r>
      <w:proofErr w:type="spellStart"/>
      <w:r>
        <w:rPr>
          <w:rFonts w:cstheme="minorHAnsi"/>
          <w:sz w:val="20"/>
          <w:szCs w:val="20"/>
          <w:lang w:val="en-US"/>
        </w:rPr>
        <w:t>Ruziev</w:t>
      </w:r>
      <w:proofErr w:type="spellEnd"/>
      <w:r>
        <w:rPr>
          <w:rFonts w:cstheme="minorHAnsi"/>
          <w:sz w:val="20"/>
          <w:szCs w:val="20"/>
          <w:lang w:val="en-US"/>
        </w:rPr>
        <w:t xml:space="preserve"> and </w:t>
      </w:r>
      <w:proofErr w:type="spellStart"/>
      <w:r>
        <w:rPr>
          <w:rFonts w:cstheme="minorHAnsi"/>
          <w:sz w:val="20"/>
          <w:szCs w:val="20"/>
          <w:lang w:val="en-US"/>
        </w:rPr>
        <w:t>Midmore</w:t>
      </w:r>
      <w:proofErr w:type="spellEnd"/>
      <w:r>
        <w:rPr>
          <w:rFonts w:cstheme="minorHAnsi"/>
          <w:sz w:val="20"/>
          <w:szCs w:val="20"/>
          <w:lang w:val="en-US"/>
        </w:rPr>
        <w:t>, 2014)</w:t>
      </w:r>
      <w:r w:rsidRPr="007F308B">
        <w:rPr>
          <w:rFonts w:cstheme="minorHAnsi"/>
          <w:sz w:val="20"/>
          <w:szCs w:val="20"/>
          <w:lang w:val="en-US"/>
        </w:rPr>
        <w:t>.</w:t>
      </w:r>
    </w:p>
    <w:p w:rsidR="00AA788D" w:rsidRDefault="00AA788D" w:rsidP="001005D8">
      <w:pPr>
        <w:spacing w:line="480" w:lineRule="auto"/>
        <w:rPr>
          <w:sz w:val="20"/>
          <w:szCs w:val="20"/>
        </w:rPr>
      </w:pPr>
      <w:r>
        <w:rPr>
          <w:rFonts w:cstheme="minorHAnsi"/>
          <w:sz w:val="20"/>
          <w:szCs w:val="20"/>
          <w:lang w:val="en-US"/>
        </w:rPr>
        <w:t xml:space="preserve">4. </w:t>
      </w:r>
      <w:r w:rsidRPr="005A279D">
        <w:rPr>
          <w:sz w:val="20"/>
          <w:szCs w:val="20"/>
        </w:rPr>
        <w:t xml:space="preserve">Representativeness of female entrepreneurs in the SME sample and possible measurement errors are </w:t>
      </w:r>
      <w:r>
        <w:rPr>
          <w:sz w:val="20"/>
          <w:szCs w:val="20"/>
        </w:rPr>
        <w:t>discussed in Appendix 4</w:t>
      </w:r>
      <w:r w:rsidRPr="005A279D">
        <w:rPr>
          <w:sz w:val="20"/>
          <w:szCs w:val="20"/>
        </w:rPr>
        <w:t>.</w:t>
      </w:r>
    </w:p>
    <w:p w:rsidR="00AA788D" w:rsidRPr="002F7A5E" w:rsidRDefault="00AA788D" w:rsidP="001005D8">
      <w:pPr>
        <w:spacing w:line="480" w:lineRule="auto"/>
        <w:rPr>
          <w:sz w:val="20"/>
        </w:rPr>
      </w:pPr>
      <w:r>
        <w:rPr>
          <w:sz w:val="20"/>
          <w:szCs w:val="20"/>
        </w:rPr>
        <w:t xml:space="preserve">5. </w:t>
      </w:r>
      <w:r>
        <w:rPr>
          <w:sz w:val="20"/>
        </w:rPr>
        <w:t>S</w:t>
      </w:r>
      <w:r w:rsidRPr="0064734B">
        <w:rPr>
          <w:sz w:val="20"/>
        </w:rPr>
        <w:t xml:space="preserve">ince our sample size is relatively small, we use 10% as a borderline </w:t>
      </w:r>
      <w:r>
        <w:rPr>
          <w:sz w:val="20"/>
        </w:rPr>
        <w:t>significance level</w:t>
      </w:r>
      <w:r w:rsidRPr="0064734B">
        <w:rPr>
          <w:sz w:val="20"/>
        </w:rPr>
        <w:t xml:space="preserve">. </w:t>
      </w:r>
    </w:p>
    <w:p w:rsidR="00AA788D" w:rsidRPr="001005D8" w:rsidRDefault="00AA788D" w:rsidP="001005D8">
      <w:pPr>
        <w:pStyle w:val="BodyText"/>
        <w:rPr>
          <w:rFonts w:ascii="Calibri" w:hAnsi="Calibri"/>
          <w:sz w:val="20"/>
        </w:rPr>
      </w:pPr>
    </w:p>
    <w:p w:rsidR="00AA788D" w:rsidRPr="0000217F" w:rsidRDefault="00AA788D">
      <w:pPr>
        <w:rPr>
          <w:rFonts w:ascii="Verdana" w:hAnsi="Verdana"/>
          <w:b/>
        </w:rPr>
      </w:pPr>
      <w:r w:rsidRPr="0000217F">
        <w:rPr>
          <w:rFonts w:ascii="Verdana" w:hAnsi="Verdana"/>
          <w:b/>
        </w:rPr>
        <w:br w:type="page"/>
      </w:r>
    </w:p>
    <w:p w:rsidR="00AA788D" w:rsidRPr="0000217F" w:rsidRDefault="00AA788D" w:rsidP="009F6D78">
      <w:pPr>
        <w:tabs>
          <w:tab w:val="left" w:pos="6706"/>
        </w:tabs>
        <w:rPr>
          <w:b/>
        </w:rPr>
      </w:pPr>
      <w:r w:rsidRPr="0000217F">
        <w:rPr>
          <w:b/>
        </w:rPr>
        <w:lastRenderedPageBreak/>
        <w:t>Bibliography</w:t>
      </w:r>
      <w:r>
        <w:rPr>
          <w:b/>
        </w:rPr>
        <w:tab/>
      </w:r>
    </w:p>
    <w:p w:rsidR="00AA788D" w:rsidRPr="0000217F" w:rsidRDefault="00AA788D" w:rsidP="00007221">
      <w:proofErr w:type="spellStart"/>
      <w:r>
        <w:t>Acemoglu</w:t>
      </w:r>
      <w:proofErr w:type="spellEnd"/>
      <w:r>
        <w:t xml:space="preserve">, D., </w:t>
      </w:r>
      <w:r w:rsidRPr="0000217F">
        <w:t>Johnson,</w:t>
      </w:r>
      <w:r w:rsidRPr="003874A7">
        <w:rPr>
          <w:lang w:val="en-US"/>
        </w:rPr>
        <w:t xml:space="preserve"> </w:t>
      </w:r>
      <w:r>
        <w:rPr>
          <w:lang w:val="en-US"/>
        </w:rPr>
        <w:t>S.</w:t>
      </w:r>
      <w:r w:rsidRPr="0000217F">
        <w:t xml:space="preserve"> </w:t>
      </w:r>
      <w:r>
        <w:t>&amp;</w:t>
      </w:r>
      <w:r w:rsidRPr="0000217F">
        <w:t xml:space="preserve"> Robinson</w:t>
      </w:r>
      <w:r>
        <w:t>, J. (2005).</w:t>
      </w:r>
      <w:r w:rsidRPr="0000217F">
        <w:t xml:space="preserve"> Institutions As the Funda</w:t>
      </w:r>
      <w:r>
        <w:t>mental Cause of Long-run Growth. In</w:t>
      </w:r>
      <w:r w:rsidRPr="0000217F">
        <w:t xml:space="preserve"> </w:t>
      </w:r>
      <w:r>
        <w:t xml:space="preserve">P. </w:t>
      </w:r>
      <w:proofErr w:type="spellStart"/>
      <w:r>
        <w:t>Aghion</w:t>
      </w:r>
      <w:proofErr w:type="spellEnd"/>
      <w:r w:rsidRPr="0000217F">
        <w:t xml:space="preserve"> </w:t>
      </w:r>
      <w:r>
        <w:t xml:space="preserve">&amp; S. </w:t>
      </w:r>
      <w:proofErr w:type="spellStart"/>
      <w:r>
        <w:t>Durlauf</w:t>
      </w:r>
      <w:proofErr w:type="spellEnd"/>
      <w:r w:rsidRPr="0000217F">
        <w:t xml:space="preserve"> (Eds.), </w:t>
      </w:r>
      <w:r w:rsidRPr="0000217F">
        <w:rPr>
          <w:i/>
        </w:rPr>
        <w:t>Handbook of Economic Growth</w:t>
      </w:r>
      <w:r w:rsidRPr="0000217F">
        <w:t xml:space="preserve"> </w:t>
      </w:r>
      <w:r>
        <w:t xml:space="preserve">(Vol. 1A, pp.386-464). </w:t>
      </w:r>
      <w:r w:rsidRPr="0000217F">
        <w:t>Amsterdam: North Holland.</w:t>
      </w:r>
    </w:p>
    <w:p w:rsidR="00AA788D" w:rsidRPr="007239DF" w:rsidRDefault="00AA788D" w:rsidP="00CF15D7">
      <w:proofErr w:type="spellStart"/>
      <w:r>
        <w:t>Akimov</w:t>
      </w:r>
      <w:proofErr w:type="spellEnd"/>
      <w:r>
        <w:t xml:space="preserve">, A. &amp; </w:t>
      </w:r>
      <w:proofErr w:type="spellStart"/>
      <w:r>
        <w:t>Dollery</w:t>
      </w:r>
      <w:proofErr w:type="spellEnd"/>
      <w:r>
        <w:t xml:space="preserve">, D. (2009). Financial Development Policies in Uzbekistan: an Analysis of Achievements and Failures. </w:t>
      </w:r>
      <w:r>
        <w:rPr>
          <w:i/>
        </w:rPr>
        <w:t xml:space="preserve">Economic Change and Restructuring, </w:t>
      </w:r>
      <w:r>
        <w:t xml:space="preserve">42, 293-318. </w:t>
      </w:r>
      <w:proofErr w:type="spellStart"/>
      <w:r>
        <w:t>Doi</w:t>
      </w:r>
      <w:proofErr w:type="spellEnd"/>
      <w:r>
        <w:t>:</w:t>
      </w:r>
      <w:r w:rsidRPr="000E5818">
        <w:t xml:space="preserve"> 10.1007/s10644-009-9073-9</w:t>
      </w:r>
      <w:r>
        <w:t>.</w:t>
      </w:r>
    </w:p>
    <w:p w:rsidR="00AA788D" w:rsidRPr="0000217F" w:rsidRDefault="00AA788D" w:rsidP="00F93E90">
      <w:proofErr w:type="spellStart"/>
      <w:r w:rsidRPr="0000217F">
        <w:t>Ayyagari</w:t>
      </w:r>
      <w:proofErr w:type="spellEnd"/>
      <w:r w:rsidRPr="0000217F">
        <w:t xml:space="preserve">, M., </w:t>
      </w:r>
      <w:proofErr w:type="spellStart"/>
      <w:r w:rsidRPr="0000217F">
        <w:t>Demirguc-Kunt</w:t>
      </w:r>
      <w:proofErr w:type="spellEnd"/>
      <w:r w:rsidRPr="0000217F">
        <w:t>,</w:t>
      </w:r>
      <w:r w:rsidRPr="003874A7">
        <w:t xml:space="preserve"> </w:t>
      </w:r>
      <w:r>
        <w:t xml:space="preserve">A. &amp; </w:t>
      </w:r>
      <w:proofErr w:type="spellStart"/>
      <w:r w:rsidRPr="0000217F">
        <w:t>Maksimovic</w:t>
      </w:r>
      <w:proofErr w:type="spellEnd"/>
      <w:r>
        <w:t>, V. (2008).</w:t>
      </w:r>
      <w:r w:rsidRPr="0000217F">
        <w:t xml:space="preserve"> How Important are Financing Constraints? The Role of Fina</w:t>
      </w:r>
      <w:r>
        <w:t>nce in the Business Environment.</w:t>
      </w:r>
      <w:r w:rsidRPr="0000217F">
        <w:t xml:space="preserve"> </w:t>
      </w:r>
      <w:r w:rsidRPr="0000217F">
        <w:rPr>
          <w:i/>
        </w:rPr>
        <w:t xml:space="preserve">World Bank Economic Review, </w:t>
      </w:r>
      <w:r w:rsidRPr="0000217F">
        <w:t xml:space="preserve">22, 483-516. </w:t>
      </w:r>
      <w:proofErr w:type="spellStart"/>
      <w:r>
        <w:t>Doi</w:t>
      </w:r>
      <w:proofErr w:type="spellEnd"/>
      <w:r>
        <w:t>:</w:t>
      </w:r>
      <w:r w:rsidRPr="000E5818">
        <w:t xml:space="preserve"> 10.1093/</w:t>
      </w:r>
      <w:proofErr w:type="spellStart"/>
      <w:r w:rsidRPr="000E5818">
        <w:t>wber</w:t>
      </w:r>
      <w:proofErr w:type="spellEnd"/>
      <w:r w:rsidRPr="000E5818">
        <w:t>/lhn018</w:t>
      </w:r>
      <w:r>
        <w:t>.</w:t>
      </w:r>
    </w:p>
    <w:p w:rsidR="00AA788D" w:rsidRPr="0000217F" w:rsidRDefault="00AA788D" w:rsidP="006C6939">
      <w:r w:rsidRPr="0000217F">
        <w:t xml:space="preserve">Beck, T. </w:t>
      </w:r>
      <w:r>
        <w:t>&amp;</w:t>
      </w:r>
      <w:r w:rsidRPr="0000217F">
        <w:t xml:space="preserve"> </w:t>
      </w:r>
      <w:proofErr w:type="spellStart"/>
      <w:r w:rsidRPr="0000217F">
        <w:t>Demirguc-Kunt</w:t>
      </w:r>
      <w:proofErr w:type="spellEnd"/>
      <w:r>
        <w:t>, A. (2008).</w:t>
      </w:r>
      <w:r w:rsidRPr="0000217F">
        <w:t xml:space="preserve"> Access t</w:t>
      </w:r>
      <w:r>
        <w:t>o Finance: An Unfinished Agenda.</w:t>
      </w:r>
      <w:r w:rsidRPr="0000217F">
        <w:t xml:space="preserve"> </w:t>
      </w:r>
      <w:r w:rsidRPr="0000217F">
        <w:rPr>
          <w:i/>
        </w:rPr>
        <w:t xml:space="preserve">World Bank Economic Review, </w:t>
      </w:r>
      <w:r w:rsidRPr="0000217F">
        <w:t>33, 383-396.</w:t>
      </w:r>
      <w:r>
        <w:t xml:space="preserve"> </w:t>
      </w:r>
      <w:proofErr w:type="spellStart"/>
      <w:r>
        <w:t>Doi</w:t>
      </w:r>
      <w:proofErr w:type="spellEnd"/>
      <w:r>
        <w:t>:</w:t>
      </w:r>
      <w:r w:rsidRPr="0000217F">
        <w:t xml:space="preserve"> </w:t>
      </w:r>
      <w:r w:rsidRPr="00AE6E4F">
        <w:t>10.1093/</w:t>
      </w:r>
      <w:proofErr w:type="spellStart"/>
      <w:r w:rsidRPr="00AE6E4F">
        <w:t>wber</w:t>
      </w:r>
      <w:proofErr w:type="spellEnd"/>
      <w:r w:rsidRPr="00AE6E4F">
        <w:t>/lhn021</w:t>
      </w:r>
      <w:r>
        <w:t>.</w:t>
      </w:r>
    </w:p>
    <w:p w:rsidR="00AA788D" w:rsidRPr="00AE6E4F" w:rsidRDefault="00AA788D" w:rsidP="004B383C">
      <w:pPr>
        <w:rPr>
          <w:rFonts w:cs="Calibri"/>
          <w:bCs/>
          <w:color w:val="222222"/>
          <w:lang w:eastAsia="en-GB"/>
        </w:rPr>
      </w:pPr>
      <w:r w:rsidRPr="0000217F">
        <w:rPr>
          <w:rFonts w:cs="Calibri"/>
          <w:bCs/>
          <w:color w:val="222222"/>
          <w:lang w:eastAsia="en-GB"/>
        </w:rPr>
        <w:t xml:space="preserve">Beck, H., </w:t>
      </w:r>
      <w:proofErr w:type="spellStart"/>
      <w:r w:rsidRPr="0000217F">
        <w:rPr>
          <w:rFonts w:cs="Calibri"/>
          <w:bCs/>
          <w:color w:val="222222"/>
          <w:lang w:eastAsia="en-GB"/>
        </w:rPr>
        <w:t>Demirguc-Kunt</w:t>
      </w:r>
      <w:proofErr w:type="spellEnd"/>
      <w:r w:rsidRPr="0000217F">
        <w:rPr>
          <w:rFonts w:cs="Calibri"/>
          <w:bCs/>
          <w:color w:val="222222"/>
          <w:lang w:eastAsia="en-GB"/>
        </w:rPr>
        <w:t>,</w:t>
      </w:r>
      <w:r w:rsidRPr="004309FD">
        <w:rPr>
          <w:rFonts w:cs="Calibri"/>
          <w:bCs/>
          <w:color w:val="222222"/>
          <w:lang w:eastAsia="en-GB"/>
        </w:rPr>
        <w:t xml:space="preserve"> </w:t>
      </w:r>
      <w:r w:rsidRPr="0000217F">
        <w:rPr>
          <w:rFonts w:cs="Calibri"/>
          <w:bCs/>
          <w:color w:val="222222"/>
          <w:lang w:eastAsia="en-GB"/>
        </w:rPr>
        <w:t xml:space="preserve">A.  </w:t>
      </w:r>
      <w:r>
        <w:rPr>
          <w:rFonts w:cs="Calibri"/>
          <w:bCs/>
          <w:color w:val="222222"/>
          <w:lang w:eastAsia="en-GB"/>
        </w:rPr>
        <w:t>&amp;</w:t>
      </w:r>
      <w:r w:rsidRPr="0000217F">
        <w:rPr>
          <w:rFonts w:cs="Calibri"/>
          <w:bCs/>
          <w:color w:val="222222"/>
          <w:lang w:eastAsia="en-GB"/>
        </w:rPr>
        <w:t xml:space="preserve"> Martinez </w:t>
      </w:r>
      <w:proofErr w:type="spellStart"/>
      <w:r w:rsidRPr="0000217F">
        <w:rPr>
          <w:rFonts w:cs="Calibri"/>
          <w:bCs/>
          <w:color w:val="222222"/>
          <w:lang w:eastAsia="en-GB"/>
        </w:rPr>
        <w:t>Peria</w:t>
      </w:r>
      <w:proofErr w:type="spellEnd"/>
      <w:r>
        <w:rPr>
          <w:rFonts w:cs="Calibri"/>
          <w:bCs/>
          <w:color w:val="222222"/>
          <w:lang w:eastAsia="en-GB"/>
        </w:rPr>
        <w:t>, M. (2008).</w:t>
      </w:r>
      <w:r w:rsidRPr="0000217F">
        <w:rPr>
          <w:rFonts w:cs="Calibri"/>
          <w:bCs/>
          <w:color w:val="222222"/>
          <w:lang w:eastAsia="en-GB"/>
        </w:rPr>
        <w:t xml:space="preserve"> Banking Services for Everyone? Barriers to Bank </w:t>
      </w:r>
      <w:r>
        <w:rPr>
          <w:rFonts w:cs="Calibri"/>
          <w:bCs/>
          <w:color w:val="222222"/>
          <w:lang w:eastAsia="en-GB"/>
        </w:rPr>
        <w:t>Access and Use around the World.</w:t>
      </w:r>
      <w:r w:rsidRPr="0000217F">
        <w:rPr>
          <w:rFonts w:cs="Calibri"/>
          <w:bCs/>
          <w:color w:val="222222"/>
          <w:lang w:eastAsia="en-GB"/>
        </w:rPr>
        <w:t xml:space="preserve"> </w:t>
      </w:r>
      <w:r w:rsidRPr="0000217F">
        <w:rPr>
          <w:rFonts w:cs="Calibri"/>
          <w:bCs/>
          <w:i/>
          <w:color w:val="222222"/>
          <w:lang w:eastAsia="en-GB"/>
        </w:rPr>
        <w:t>World Bank Economic Review</w:t>
      </w:r>
      <w:r w:rsidRPr="0000217F">
        <w:rPr>
          <w:rFonts w:cs="Calibri"/>
          <w:bCs/>
          <w:color w:val="222222"/>
          <w:lang w:eastAsia="en-GB"/>
        </w:rPr>
        <w:t xml:space="preserve">, 22, 397-430. </w:t>
      </w:r>
      <w:proofErr w:type="spellStart"/>
      <w:r>
        <w:rPr>
          <w:rFonts w:cs="Calibri"/>
          <w:bCs/>
          <w:color w:val="222222"/>
          <w:lang w:eastAsia="en-GB"/>
        </w:rPr>
        <w:t>Doi</w:t>
      </w:r>
      <w:proofErr w:type="spellEnd"/>
      <w:r>
        <w:rPr>
          <w:rFonts w:cs="Calibri"/>
          <w:bCs/>
          <w:color w:val="222222"/>
          <w:lang w:eastAsia="en-GB"/>
        </w:rPr>
        <w:t>:</w:t>
      </w:r>
      <w:r w:rsidRPr="00AE6E4F">
        <w:rPr>
          <w:rFonts w:cs="Calibri"/>
          <w:bCs/>
          <w:color w:val="222222"/>
          <w:lang w:eastAsia="en-GB"/>
        </w:rPr>
        <w:t xml:space="preserve"> 10.1093/</w:t>
      </w:r>
      <w:proofErr w:type="spellStart"/>
      <w:r w:rsidRPr="00AE6E4F">
        <w:rPr>
          <w:rFonts w:cs="Calibri"/>
          <w:bCs/>
          <w:color w:val="222222"/>
          <w:lang w:eastAsia="en-GB"/>
        </w:rPr>
        <w:t>wber</w:t>
      </w:r>
      <w:proofErr w:type="spellEnd"/>
      <w:r w:rsidRPr="00AE6E4F">
        <w:rPr>
          <w:rFonts w:cs="Calibri"/>
          <w:bCs/>
          <w:color w:val="222222"/>
          <w:lang w:eastAsia="en-GB"/>
        </w:rPr>
        <w:t>/lhn020</w:t>
      </w:r>
      <w:r>
        <w:rPr>
          <w:rFonts w:cs="Calibri"/>
          <w:bCs/>
          <w:color w:val="222222"/>
          <w:lang w:eastAsia="en-GB"/>
        </w:rPr>
        <w:t>.</w:t>
      </w:r>
      <w:r w:rsidRPr="00AE6E4F">
        <w:rPr>
          <w:rFonts w:cs="Calibri"/>
          <w:bCs/>
          <w:color w:val="222222"/>
          <w:lang w:eastAsia="en-GB"/>
        </w:rPr>
        <w:t> </w:t>
      </w:r>
    </w:p>
    <w:p w:rsidR="00AA788D" w:rsidRDefault="00AA788D" w:rsidP="00007221">
      <w:r w:rsidRPr="00AE6E4F">
        <w:rPr>
          <w:rFonts w:cs="Calibri"/>
          <w:bCs/>
          <w:color w:val="222222"/>
          <w:lang w:eastAsia="en-GB"/>
        </w:rPr>
        <w:t xml:space="preserve">Berger, A. N. &amp; </w:t>
      </w:r>
      <w:proofErr w:type="spellStart"/>
      <w:r w:rsidRPr="00AE6E4F">
        <w:rPr>
          <w:rFonts w:cs="Calibri"/>
          <w:bCs/>
          <w:color w:val="222222"/>
          <w:lang w:eastAsia="en-GB"/>
        </w:rPr>
        <w:t>Udell</w:t>
      </w:r>
      <w:proofErr w:type="spellEnd"/>
      <w:r w:rsidRPr="00AE6E4F">
        <w:rPr>
          <w:rFonts w:cs="Calibri"/>
          <w:bCs/>
          <w:color w:val="222222"/>
          <w:lang w:eastAsia="en-GB"/>
        </w:rPr>
        <w:t>, G. F. (1998).</w:t>
      </w:r>
      <w:r w:rsidRPr="0000217F">
        <w:t xml:space="preserve"> The Economics of Small Business Finance: The Role of Private Equity and Debt Markets in the Financial Growth Cycle</w:t>
      </w:r>
      <w:r>
        <w:t>.</w:t>
      </w:r>
      <w:r w:rsidRPr="0000217F">
        <w:t xml:space="preserve"> </w:t>
      </w:r>
      <w:r w:rsidRPr="0000217F">
        <w:rPr>
          <w:i/>
        </w:rPr>
        <w:t xml:space="preserve">Journal of Banking and Finance, </w:t>
      </w:r>
      <w:r w:rsidRPr="0000217F">
        <w:t>22, 613-673.</w:t>
      </w:r>
      <w:r>
        <w:t xml:space="preserve"> </w:t>
      </w:r>
      <w:proofErr w:type="spellStart"/>
      <w:r>
        <w:t>Doi</w:t>
      </w:r>
      <w:proofErr w:type="spellEnd"/>
      <w:r>
        <w:t xml:space="preserve">: </w:t>
      </w:r>
      <w:r w:rsidRPr="00984602">
        <w:rPr>
          <w:rFonts w:hint="eastAsia"/>
        </w:rPr>
        <w:t>10.1016/S0378-4266(98)00038-7</w:t>
      </w:r>
    </w:p>
    <w:p w:rsidR="00AA788D" w:rsidRPr="0000217F" w:rsidRDefault="00AA788D" w:rsidP="00007221">
      <w:r w:rsidRPr="0000217F">
        <w:t>Blanchard, L., Zhao,</w:t>
      </w:r>
      <w:r w:rsidRPr="004309FD">
        <w:t xml:space="preserve"> </w:t>
      </w:r>
      <w:r w:rsidRPr="0000217F">
        <w:t xml:space="preserve">B.  </w:t>
      </w:r>
      <w:r>
        <w:t xml:space="preserve">&amp; </w:t>
      </w:r>
      <w:proofErr w:type="spellStart"/>
      <w:r w:rsidRPr="0000217F">
        <w:t>Yinger</w:t>
      </w:r>
      <w:proofErr w:type="spellEnd"/>
      <w:r>
        <w:t>, J. (2008).</w:t>
      </w:r>
      <w:r w:rsidRPr="0000217F">
        <w:t xml:space="preserve"> Do Lenders Discriminate Against Mi</w:t>
      </w:r>
      <w:r>
        <w:t xml:space="preserve">nority and Woman Entrepreneurs?. </w:t>
      </w:r>
      <w:r w:rsidRPr="0000217F">
        <w:rPr>
          <w:i/>
        </w:rPr>
        <w:t xml:space="preserve">Journal of Urban Economics, </w:t>
      </w:r>
      <w:r w:rsidRPr="0000217F">
        <w:t>63</w:t>
      </w:r>
      <w:r>
        <w:t xml:space="preserve">, </w:t>
      </w:r>
      <w:r w:rsidRPr="0000217F">
        <w:t>467-497</w:t>
      </w:r>
      <w:r>
        <w:t>.</w:t>
      </w:r>
      <w:r w:rsidRPr="0000217F">
        <w:t xml:space="preserve"> </w:t>
      </w:r>
      <w:proofErr w:type="spellStart"/>
      <w:r>
        <w:t>Doi</w:t>
      </w:r>
      <w:proofErr w:type="spellEnd"/>
      <w:r>
        <w:t xml:space="preserve">: </w:t>
      </w:r>
      <w:r w:rsidRPr="004C5CC9">
        <w:rPr>
          <w:rFonts w:hint="eastAsia"/>
        </w:rPr>
        <w:t>10.1016/j.jue.2007.03.001</w:t>
      </w:r>
      <w:r>
        <w:t>.</w:t>
      </w:r>
    </w:p>
    <w:p w:rsidR="00AA788D" w:rsidRDefault="00AA788D" w:rsidP="00007221">
      <w:proofErr w:type="spellStart"/>
      <w:r w:rsidRPr="0000217F">
        <w:t>Blanchflower</w:t>
      </w:r>
      <w:proofErr w:type="spellEnd"/>
      <w:r w:rsidRPr="0000217F">
        <w:t>, D. G., Levine,</w:t>
      </w:r>
      <w:r>
        <w:t xml:space="preserve"> </w:t>
      </w:r>
      <w:r w:rsidRPr="0000217F">
        <w:t xml:space="preserve">P. B. </w:t>
      </w:r>
      <w:r>
        <w:t>&amp;</w:t>
      </w:r>
      <w:r w:rsidRPr="0000217F">
        <w:t xml:space="preserve"> Zimmerman</w:t>
      </w:r>
      <w:r>
        <w:t>, D. J. (2003).</w:t>
      </w:r>
      <w:r w:rsidRPr="0000217F">
        <w:t xml:space="preserve"> Discrimination in t</w:t>
      </w:r>
      <w:r>
        <w:t>he Small-Business Credit Market.</w:t>
      </w:r>
      <w:r w:rsidRPr="0000217F">
        <w:t xml:space="preserve"> </w:t>
      </w:r>
      <w:r w:rsidRPr="0000217F">
        <w:rPr>
          <w:i/>
        </w:rPr>
        <w:t xml:space="preserve">Review of Economics and Statistics, </w:t>
      </w:r>
      <w:r w:rsidRPr="0000217F">
        <w:t>85, 930-943.</w:t>
      </w:r>
      <w:r>
        <w:t xml:space="preserve"> </w:t>
      </w:r>
      <w:proofErr w:type="spellStart"/>
      <w:r>
        <w:t>Doi</w:t>
      </w:r>
      <w:proofErr w:type="spellEnd"/>
      <w:r>
        <w:t xml:space="preserve">: </w:t>
      </w:r>
      <w:r w:rsidRPr="00FD1AA4">
        <w:t>10.1162/003465303772815835</w:t>
      </w:r>
    </w:p>
    <w:p w:rsidR="00AA788D" w:rsidRPr="0000217F" w:rsidRDefault="00AA788D" w:rsidP="00007221">
      <w:r w:rsidRPr="000E1B48">
        <w:t xml:space="preserve">Cameron, A. C., </w:t>
      </w:r>
      <w:r>
        <w:t>&amp;</w:t>
      </w:r>
      <w:r w:rsidRPr="000E1B48">
        <w:t xml:space="preserve"> </w:t>
      </w:r>
      <w:proofErr w:type="spellStart"/>
      <w:r w:rsidRPr="000E1B48">
        <w:t>Trivedi</w:t>
      </w:r>
      <w:proofErr w:type="spellEnd"/>
      <w:r>
        <w:t>, P. K.</w:t>
      </w:r>
      <w:r w:rsidRPr="000E1B48">
        <w:t xml:space="preserve"> (2010). </w:t>
      </w:r>
      <w:proofErr w:type="spellStart"/>
      <w:r w:rsidRPr="000E1B48">
        <w:rPr>
          <w:i/>
        </w:rPr>
        <w:t>Microeconometrics</w:t>
      </w:r>
      <w:proofErr w:type="spellEnd"/>
      <w:r w:rsidRPr="000E1B48">
        <w:rPr>
          <w:i/>
        </w:rPr>
        <w:t xml:space="preserve"> Using </w:t>
      </w:r>
      <w:proofErr w:type="spellStart"/>
      <w:r w:rsidRPr="000E1B48">
        <w:rPr>
          <w:i/>
        </w:rPr>
        <w:t>Stata</w:t>
      </w:r>
      <w:proofErr w:type="spellEnd"/>
      <w:r w:rsidRPr="000E1B48">
        <w:t xml:space="preserve">. College Station, TX: </w:t>
      </w:r>
      <w:proofErr w:type="spellStart"/>
      <w:r w:rsidRPr="000E1B48">
        <w:t>Stata</w:t>
      </w:r>
      <w:proofErr w:type="spellEnd"/>
      <w:r w:rsidRPr="000E1B48">
        <w:t xml:space="preserve"> Press.</w:t>
      </w:r>
      <w:r w:rsidRPr="0000217F">
        <w:t xml:space="preserve"> </w:t>
      </w:r>
    </w:p>
    <w:p w:rsidR="00AA788D" w:rsidRDefault="00AA788D" w:rsidP="0068591C">
      <w:proofErr w:type="spellStart"/>
      <w:r w:rsidRPr="0000217F">
        <w:t>Cavalluzzo</w:t>
      </w:r>
      <w:proofErr w:type="spellEnd"/>
      <w:r w:rsidRPr="0000217F">
        <w:t xml:space="preserve">, K. S., </w:t>
      </w:r>
      <w:r>
        <w:t>&amp;</w:t>
      </w:r>
      <w:r w:rsidRPr="0000217F">
        <w:t xml:space="preserve"> </w:t>
      </w:r>
      <w:proofErr w:type="spellStart"/>
      <w:r w:rsidRPr="0000217F">
        <w:t>Cavaluzzo</w:t>
      </w:r>
      <w:proofErr w:type="spellEnd"/>
      <w:r>
        <w:t>, L. C. (1998).</w:t>
      </w:r>
      <w:r w:rsidRPr="0000217F">
        <w:t xml:space="preserve"> Market Structure and Discriminatio</w:t>
      </w:r>
      <w:r>
        <w:t>n: the Case of Small Businesses.</w:t>
      </w:r>
      <w:r w:rsidRPr="0000217F">
        <w:t xml:space="preserve"> </w:t>
      </w:r>
      <w:r w:rsidRPr="0000217F">
        <w:rPr>
          <w:i/>
        </w:rPr>
        <w:t xml:space="preserve">Journal of Money, Credit, and Banking, </w:t>
      </w:r>
      <w:r>
        <w:t>3</w:t>
      </w:r>
      <w:r w:rsidRPr="0000217F">
        <w:t xml:space="preserve">, 771-792. </w:t>
      </w:r>
      <w:proofErr w:type="spellStart"/>
      <w:r>
        <w:t>Doi</w:t>
      </w:r>
      <w:proofErr w:type="spellEnd"/>
      <w:r>
        <w:t xml:space="preserve">: </w:t>
      </w:r>
      <w:r w:rsidRPr="00244978">
        <w:t>10.2307/2601128</w:t>
      </w:r>
      <w:r>
        <w:t>.</w:t>
      </w:r>
    </w:p>
    <w:p w:rsidR="00AA788D" w:rsidRPr="0000217F" w:rsidRDefault="00AA788D" w:rsidP="00CD73B8">
      <w:proofErr w:type="spellStart"/>
      <w:r w:rsidRPr="0000217F">
        <w:t>Cavalluzzo</w:t>
      </w:r>
      <w:proofErr w:type="spellEnd"/>
      <w:r w:rsidRPr="0000217F">
        <w:t xml:space="preserve">, K. S., </w:t>
      </w:r>
      <w:proofErr w:type="spellStart"/>
      <w:r w:rsidRPr="0000217F">
        <w:t>Cavaluzzo</w:t>
      </w:r>
      <w:proofErr w:type="spellEnd"/>
      <w:r w:rsidRPr="0000217F">
        <w:t xml:space="preserve">, </w:t>
      </w:r>
      <w:r>
        <w:t>L. C., &amp;</w:t>
      </w:r>
      <w:r w:rsidRPr="0000217F">
        <w:t xml:space="preserve"> </w:t>
      </w:r>
      <w:proofErr w:type="spellStart"/>
      <w:r w:rsidRPr="0000217F">
        <w:t>Wolken</w:t>
      </w:r>
      <w:proofErr w:type="spellEnd"/>
      <w:r>
        <w:t>, J. D. (2002).</w:t>
      </w:r>
      <w:r w:rsidRPr="0000217F">
        <w:t xml:space="preserve"> </w:t>
      </w:r>
      <w:r>
        <w:t xml:space="preserve">Competition, </w:t>
      </w:r>
      <w:r w:rsidRPr="0000217F">
        <w:t>Small Business Financing and Discrimination: Evidence from a New Survey</w:t>
      </w:r>
      <w:r>
        <w:t>.</w:t>
      </w:r>
      <w:r w:rsidRPr="0000217F">
        <w:t xml:space="preserve"> </w:t>
      </w:r>
      <w:r w:rsidRPr="0000217F">
        <w:rPr>
          <w:i/>
        </w:rPr>
        <w:t xml:space="preserve">Journal of Business, </w:t>
      </w:r>
      <w:r w:rsidRPr="0000217F">
        <w:t xml:space="preserve">75, 641-679. </w:t>
      </w:r>
      <w:proofErr w:type="spellStart"/>
      <w:r>
        <w:t>Doi</w:t>
      </w:r>
      <w:proofErr w:type="spellEnd"/>
      <w:r>
        <w:t xml:space="preserve">: </w:t>
      </w:r>
      <w:r w:rsidRPr="00254D29">
        <w:t>10.1086/341638</w:t>
      </w:r>
    </w:p>
    <w:p w:rsidR="00AA788D" w:rsidRPr="0000217F" w:rsidRDefault="00AA788D" w:rsidP="00CD73B8">
      <w:proofErr w:type="spellStart"/>
      <w:r w:rsidRPr="0000217F">
        <w:t>Cavaluzzo</w:t>
      </w:r>
      <w:proofErr w:type="spellEnd"/>
      <w:r w:rsidRPr="0000217F">
        <w:t xml:space="preserve">, K. S. </w:t>
      </w:r>
      <w:r>
        <w:t>&amp;</w:t>
      </w:r>
      <w:r w:rsidRPr="0000217F">
        <w:t xml:space="preserve"> </w:t>
      </w:r>
      <w:proofErr w:type="spellStart"/>
      <w:r w:rsidRPr="0000217F">
        <w:t>Wolken</w:t>
      </w:r>
      <w:proofErr w:type="spellEnd"/>
      <w:r>
        <w:t>, J. D. (2005).</w:t>
      </w:r>
      <w:r w:rsidRPr="0000217F">
        <w:t xml:space="preserve"> Small Business Loan Turndowns, Personal Wealth, and Discrimination</w:t>
      </w:r>
      <w:r>
        <w:t>.</w:t>
      </w:r>
      <w:r w:rsidRPr="0000217F">
        <w:t xml:space="preserve"> </w:t>
      </w:r>
      <w:r w:rsidRPr="0000217F">
        <w:rPr>
          <w:i/>
        </w:rPr>
        <w:t xml:space="preserve">Journal of Business, </w:t>
      </w:r>
      <w:r w:rsidRPr="0000217F">
        <w:t xml:space="preserve">78, 2153-2178. </w:t>
      </w:r>
      <w:proofErr w:type="spellStart"/>
      <w:r>
        <w:t>Doi</w:t>
      </w:r>
      <w:proofErr w:type="spellEnd"/>
      <w:r>
        <w:t>:</w:t>
      </w:r>
      <w:r w:rsidRPr="00254D29">
        <w:t xml:space="preserve"> 10.1086/497045</w:t>
      </w:r>
    </w:p>
    <w:p w:rsidR="00AA788D" w:rsidRPr="00216FD9" w:rsidRDefault="00AA788D" w:rsidP="0068591C">
      <w:pPr>
        <w:rPr>
          <w:b/>
          <w:bCs/>
        </w:rPr>
      </w:pPr>
      <w:r w:rsidRPr="00216FD9">
        <w:t>CBU (</w:t>
      </w:r>
      <w:r>
        <w:t xml:space="preserve">2012). </w:t>
      </w:r>
      <w:r w:rsidRPr="0068591C">
        <w:rPr>
          <w:i/>
        </w:rPr>
        <w:t>Monetary and Credit Policy Annual Reports</w:t>
      </w:r>
      <w:r>
        <w:rPr>
          <w:i/>
        </w:rPr>
        <w:t xml:space="preserve"> of the Central Bank of Uzbekistan</w:t>
      </w:r>
      <w:r w:rsidRPr="0068591C">
        <w:rPr>
          <w:i/>
        </w:rPr>
        <w:t>.</w:t>
      </w:r>
      <w:r>
        <w:rPr>
          <w:i/>
        </w:rPr>
        <w:t xml:space="preserve"> </w:t>
      </w:r>
      <w:r>
        <w:t>Retrieved March 17, 2013, from</w:t>
      </w:r>
      <w:r w:rsidRPr="00216FD9">
        <w:t xml:space="preserve"> </w:t>
      </w:r>
      <w:hyperlink r:id="rId9" w:history="1">
        <w:r w:rsidRPr="00503D13">
          <w:rPr>
            <w:rStyle w:val="Hyperlink"/>
          </w:rPr>
          <w:t>http://cbu.uz/uzc/section/monet_policy/monet_direct</w:t>
        </w:r>
      </w:hyperlink>
      <w:r w:rsidRPr="00216FD9">
        <w:t>.</w:t>
      </w:r>
    </w:p>
    <w:p w:rsidR="00AA788D" w:rsidRPr="0000217F" w:rsidRDefault="00AA788D" w:rsidP="00CD73B8">
      <w:proofErr w:type="spellStart"/>
      <w:r w:rsidRPr="0000217F">
        <w:t>Chandavarkar</w:t>
      </w:r>
      <w:proofErr w:type="spellEnd"/>
      <w:r w:rsidRPr="0000217F">
        <w:t>, A. (1992). Of Finance and Development: Ne</w:t>
      </w:r>
      <w:r>
        <w:t>glected and Unsettled Questions.</w:t>
      </w:r>
      <w:r w:rsidRPr="0000217F">
        <w:t xml:space="preserve"> </w:t>
      </w:r>
      <w:r w:rsidRPr="0000217F">
        <w:rPr>
          <w:i/>
        </w:rPr>
        <w:t xml:space="preserve">World Development, </w:t>
      </w:r>
      <w:r w:rsidRPr="0000217F">
        <w:t>20</w:t>
      </w:r>
      <w:r>
        <w:t xml:space="preserve"> (</w:t>
      </w:r>
      <w:r w:rsidRPr="0000217F">
        <w:t>1</w:t>
      </w:r>
      <w:r>
        <w:t>)</w:t>
      </w:r>
      <w:r w:rsidRPr="0000217F">
        <w:t>, 133-142.</w:t>
      </w:r>
      <w:r>
        <w:t xml:space="preserve"> </w:t>
      </w:r>
      <w:proofErr w:type="spellStart"/>
      <w:r>
        <w:t>Doi</w:t>
      </w:r>
      <w:proofErr w:type="spellEnd"/>
      <w:r>
        <w:t>:</w:t>
      </w:r>
      <w:r w:rsidRPr="00254D29">
        <w:t xml:space="preserve"> 10.1016/0305-750X(92)90142-I</w:t>
      </w:r>
      <w:r>
        <w:t>.</w:t>
      </w:r>
    </w:p>
    <w:p w:rsidR="00AA788D" w:rsidRPr="0000217F" w:rsidRDefault="00AA788D" w:rsidP="009274BA">
      <w:proofErr w:type="spellStart"/>
      <w:r w:rsidRPr="0000217F">
        <w:lastRenderedPageBreak/>
        <w:t>Claessens</w:t>
      </w:r>
      <w:proofErr w:type="spellEnd"/>
      <w:r>
        <w:t>, S. (2006).</w:t>
      </w:r>
      <w:r w:rsidRPr="0000217F">
        <w:t xml:space="preserve"> Access to Financial Services: A Review of the Issu</w:t>
      </w:r>
      <w:r>
        <w:t>es and Public Policy Objectives.</w:t>
      </w:r>
      <w:r w:rsidRPr="0000217F">
        <w:t xml:space="preserve"> </w:t>
      </w:r>
      <w:r w:rsidRPr="0000217F">
        <w:rPr>
          <w:i/>
        </w:rPr>
        <w:t xml:space="preserve">World Bank Research Observer, </w:t>
      </w:r>
      <w:r w:rsidRPr="0000217F">
        <w:t xml:space="preserve">21, 207-240. </w:t>
      </w:r>
      <w:proofErr w:type="spellStart"/>
      <w:r>
        <w:t>Doi</w:t>
      </w:r>
      <w:proofErr w:type="spellEnd"/>
      <w:r>
        <w:t xml:space="preserve">: </w:t>
      </w:r>
      <w:r w:rsidRPr="00254D29">
        <w:t>10.1093/</w:t>
      </w:r>
      <w:proofErr w:type="spellStart"/>
      <w:r w:rsidRPr="00254D29">
        <w:t>wbro</w:t>
      </w:r>
      <w:proofErr w:type="spellEnd"/>
      <w:r w:rsidRPr="00254D29">
        <w:t>/lkl004</w:t>
      </w:r>
    </w:p>
    <w:p w:rsidR="00AA788D" w:rsidRDefault="00AA788D" w:rsidP="00AE14E0">
      <w:proofErr w:type="spellStart"/>
      <w:r w:rsidRPr="0000217F">
        <w:t>Claessens</w:t>
      </w:r>
      <w:proofErr w:type="spellEnd"/>
      <w:r w:rsidRPr="0000217F">
        <w:t xml:space="preserve">, S. </w:t>
      </w:r>
      <w:r>
        <w:t>&amp;</w:t>
      </w:r>
      <w:r w:rsidRPr="0000217F">
        <w:t xml:space="preserve"> </w:t>
      </w:r>
      <w:proofErr w:type="spellStart"/>
      <w:r w:rsidRPr="0000217F">
        <w:t>Perotti</w:t>
      </w:r>
      <w:proofErr w:type="spellEnd"/>
      <w:r>
        <w:t xml:space="preserve">, </w:t>
      </w:r>
      <w:r w:rsidRPr="0000217F">
        <w:t>E.</w:t>
      </w:r>
      <w:r>
        <w:t xml:space="preserve"> (2007).</w:t>
      </w:r>
      <w:r w:rsidRPr="0000217F">
        <w:t xml:space="preserve"> Finance and In</w:t>
      </w:r>
      <w:r>
        <w:t>equality: Channels and Evidence.</w:t>
      </w:r>
      <w:r w:rsidRPr="0000217F">
        <w:t xml:space="preserve"> </w:t>
      </w:r>
      <w:r w:rsidRPr="0000217F">
        <w:rPr>
          <w:i/>
        </w:rPr>
        <w:t xml:space="preserve">Journal of Comparative Economics, </w:t>
      </w:r>
      <w:r w:rsidRPr="0000217F">
        <w:t>35</w:t>
      </w:r>
      <w:r>
        <w:t xml:space="preserve"> (</w:t>
      </w:r>
      <w:r w:rsidRPr="0000217F">
        <w:t>4</w:t>
      </w:r>
      <w:r>
        <w:t>)</w:t>
      </w:r>
      <w:r w:rsidRPr="0000217F">
        <w:t>, 748-773.</w:t>
      </w:r>
      <w:r>
        <w:t xml:space="preserve"> </w:t>
      </w:r>
      <w:proofErr w:type="spellStart"/>
      <w:r>
        <w:t>Doi</w:t>
      </w:r>
      <w:proofErr w:type="spellEnd"/>
      <w:r>
        <w:t>:</w:t>
      </w:r>
      <w:r w:rsidRPr="00254D29">
        <w:rPr>
          <w:rFonts w:hint="eastAsia"/>
        </w:rPr>
        <w:t xml:space="preserve"> 10.1016/j.jce.2007.07.002</w:t>
      </w:r>
    </w:p>
    <w:p w:rsidR="00AA788D" w:rsidRPr="0000217F" w:rsidRDefault="00AA788D" w:rsidP="00E56AB8">
      <w:proofErr w:type="spellStart"/>
      <w:r>
        <w:t>Dasgupta</w:t>
      </w:r>
      <w:proofErr w:type="spellEnd"/>
      <w:r>
        <w:t>, P. (2005).</w:t>
      </w:r>
      <w:r w:rsidRPr="0000217F">
        <w:t xml:space="preserve"> Economics of Social Capital</w:t>
      </w:r>
      <w:r>
        <w:t>.</w:t>
      </w:r>
      <w:r w:rsidRPr="0000217F">
        <w:t xml:space="preserve"> </w:t>
      </w:r>
      <w:r w:rsidRPr="00386B3B">
        <w:rPr>
          <w:i/>
        </w:rPr>
        <w:t>Economic Record</w:t>
      </w:r>
      <w:r w:rsidRPr="009601D2">
        <w:t xml:space="preserve">, </w:t>
      </w:r>
      <w:r w:rsidRPr="0000217F">
        <w:t>81, S2-S21.</w:t>
      </w:r>
      <w:r>
        <w:t xml:space="preserve"> </w:t>
      </w:r>
      <w:proofErr w:type="spellStart"/>
      <w:r>
        <w:t>Doi</w:t>
      </w:r>
      <w:proofErr w:type="spellEnd"/>
      <w:r>
        <w:t xml:space="preserve">: </w:t>
      </w:r>
      <w:r w:rsidRPr="009601D2">
        <w:t>10.1111/j.1475-4932.2005.00245.x</w:t>
      </w:r>
    </w:p>
    <w:p w:rsidR="00AA788D" w:rsidRPr="0000217F" w:rsidRDefault="00AA788D" w:rsidP="007F1957">
      <w:proofErr w:type="spellStart"/>
      <w:r>
        <w:t>Dasgupta</w:t>
      </w:r>
      <w:proofErr w:type="spellEnd"/>
      <w:r>
        <w:t>, P. (2009, June).</w:t>
      </w:r>
      <w:r w:rsidRPr="0000217F">
        <w:t xml:space="preserve"> </w:t>
      </w:r>
      <w:r w:rsidRPr="0000217F">
        <w:rPr>
          <w:i/>
        </w:rPr>
        <w:t>A Matter of Trust: Social Capital and Economic Development</w:t>
      </w:r>
      <w:r w:rsidRPr="0000217F">
        <w:t>, P</w:t>
      </w:r>
      <w:r>
        <w:t>aper presented at t</w:t>
      </w:r>
      <w:r w:rsidRPr="0000217F">
        <w:t>he World Bank Annual Bank Conference on Development Economics (ABCDE), Seoul, South Korea.</w:t>
      </w:r>
    </w:p>
    <w:p w:rsidR="00AA788D" w:rsidRPr="0000217F" w:rsidRDefault="00AA788D" w:rsidP="009601D2">
      <w:proofErr w:type="spellStart"/>
      <w:r w:rsidRPr="0000217F">
        <w:t>Demirguc-Kunt</w:t>
      </w:r>
      <w:proofErr w:type="spellEnd"/>
      <w:r w:rsidRPr="0000217F">
        <w:t xml:space="preserve">, A. </w:t>
      </w:r>
      <w:r>
        <w:t>&amp;</w:t>
      </w:r>
      <w:r w:rsidRPr="0000217F">
        <w:t xml:space="preserve"> </w:t>
      </w:r>
      <w:proofErr w:type="spellStart"/>
      <w:r w:rsidRPr="0000217F">
        <w:t>Maksimovic</w:t>
      </w:r>
      <w:proofErr w:type="spellEnd"/>
      <w:r>
        <w:t xml:space="preserve">, </w:t>
      </w:r>
      <w:r w:rsidRPr="0000217F">
        <w:t>V. (1998)</w:t>
      </w:r>
      <w:r>
        <w:t>. Law, Finance, and Firm Growth.</w:t>
      </w:r>
      <w:r w:rsidRPr="0000217F">
        <w:t xml:space="preserve"> </w:t>
      </w:r>
      <w:r w:rsidRPr="0000217F">
        <w:rPr>
          <w:i/>
        </w:rPr>
        <w:t xml:space="preserve">Journal of Finance, </w:t>
      </w:r>
      <w:r>
        <w:t>53</w:t>
      </w:r>
      <w:r w:rsidRPr="0000217F">
        <w:t xml:space="preserve">, 2107-37. </w:t>
      </w:r>
      <w:r>
        <w:t xml:space="preserve">Retrieved from </w:t>
      </w:r>
      <w:r w:rsidRPr="009601D2">
        <w:t>http://www.jstor.org.ezproxy.uwe.ac.uk/stable/117462</w:t>
      </w:r>
    </w:p>
    <w:p w:rsidR="00AA788D" w:rsidRDefault="00AA788D" w:rsidP="007F1957">
      <w:proofErr w:type="spellStart"/>
      <w:r w:rsidRPr="0000217F">
        <w:t>Durlauf</w:t>
      </w:r>
      <w:proofErr w:type="spellEnd"/>
      <w:r w:rsidRPr="0000217F">
        <w:t xml:space="preserve"> S. N. </w:t>
      </w:r>
      <w:r>
        <w:t>&amp;</w:t>
      </w:r>
      <w:r w:rsidRPr="0000217F">
        <w:t xml:space="preserve"> </w:t>
      </w:r>
      <w:proofErr w:type="spellStart"/>
      <w:r w:rsidRPr="0000217F">
        <w:t>Fafchamps</w:t>
      </w:r>
      <w:proofErr w:type="spellEnd"/>
      <w:r>
        <w:t xml:space="preserve">, </w:t>
      </w:r>
      <w:r w:rsidRPr="0000217F">
        <w:t>M. (2004).</w:t>
      </w:r>
      <w:r>
        <w:t xml:space="preserve"> </w:t>
      </w:r>
      <w:hyperlink r:id="rId10" w:history="1">
        <w:r w:rsidRPr="00DD0A3E">
          <w:rPr>
            <w:i/>
          </w:rPr>
          <w:t>Social Capital</w:t>
        </w:r>
      </w:hyperlink>
      <w:r>
        <w:t xml:space="preserve"> (</w:t>
      </w:r>
      <w:hyperlink r:id="rId11" w:history="1">
        <w:r w:rsidRPr="0000217F">
          <w:t>NBER Working Paper</w:t>
        </w:r>
      </w:hyperlink>
      <w:r w:rsidRPr="0000217F">
        <w:t xml:space="preserve"> No</w:t>
      </w:r>
      <w:r>
        <w:t>.</w:t>
      </w:r>
      <w:r w:rsidRPr="0000217F">
        <w:t xml:space="preserve"> 10485</w:t>
      </w:r>
      <w:r>
        <w:t>)</w:t>
      </w:r>
      <w:r w:rsidRPr="0000217F">
        <w:t xml:space="preserve">, </w:t>
      </w:r>
      <w:r>
        <w:t xml:space="preserve">Cambridge, MA: </w:t>
      </w:r>
      <w:r w:rsidRPr="0000217F">
        <w:t>National Bureau of Economic Research.</w:t>
      </w:r>
    </w:p>
    <w:p w:rsidR="00AA788D" w:rsidRPr="0068591C" w:rsidRDefault="00AA788D" w:rsidP="0068591C">
      <w:r w:rsidRPr="0068591C">
        <w:t>EBRD (</w:t>
      </w:r>
      <w:r>
        <w:t>2000 and 2011</w:t>
      </w:r>
      <w:r w:rsidRPr="0068591C">
        <w:t>)</w:t>
      </w:r>
      <w:r>
        <w:t xml:space="preserve">. </w:t>
      </w:r>
      <w:r w:rsidRPr="0068591C">
        <w:rPr>
          <w:i/>
        </w:rPr>
        <w:t>Transition Report</w:t>
      </w:r>
      <w:r>
        <w:rPr>
          <w:i/>
        </w:rPr>
        <w:t>.</w:t>
      </w:r>
      <w:r w:rsidRPr="0068591C">
        <w:t xml:space="preserve"> London: European Bank for</w:t>
      </w:r>
      <w:r w:rsidRPr="007652A6">
        <w:t xml:space="preserve"> Reconstruction and Development</w:t>
      </w:r>
      <w:r w:rsidRPr="0068591C">
        <w:t>.</w:t>
      </w:r>
    </w:p>
    <w:p w:rsidR="00AA788D" w:rsidRPr="0000217F" w:rsidRDefault="00AA788D" w:rsidP="00B77B5A">
      <w:pPr>
        <w:shd w:val="clear" w:color="auto" w:fill="FFFFFF"/>
        <w:spacing w:after="100" w:afterAutospacing="1"/>
        <w:outlineLvl w:val="1"/>
        <w:rPr>
          <w:rFonts w:cs="Courier New"/>
          <w:bCs/>
          <w:kern w:val="36"/>
        </w:rPr>
      </w:pPr>
      <w:proofErr w:type="spellStart"/>
      <w:r>
        <w:rPr>
          <w:rFonts w:cs="Calibri"/>
          <w:bCs/>
        </w:rPr>
        <w:t>Faccio</w:t>
      </w:r>
      <w:proofErr w:type="spellEnd"/>
      <w:r>
        <w:rPr>
          <w:rFonts w:cs="Calibri"/>
          <w:bCs/>
        </w:rPr>
        <w:t>, M. (2006).</w:t>
      </w:r>
      <w:r w:rsidRPr="0000217F">
        <w:rPr>
          <w:rFonts w:cs="Calibri"/>
          <w:bCs/>
        </w:rPr>
        <w:t xml:space="preserve"> Politically Connected Firms</w:t>
      </w:r>
      <w:r>
        <w:rPr>
          <w:rFonts w:cs="Calibri"/>
          <w:bCs/>
        </w:rPr>
        <w:t>.</w:t>
      </w:r>
      <w:r w:rsidRPr="0000217F">
        <w:rPr>
          <w:rFonts w:cs="Calibri"/>
          <w:bCs/>
        </w:rPr>
        <w:t xml:space="preserve"> </w:t>
      </w:r>
      <w:r w:rsidRPr="0000217F">
        <w:rPr>
          <w:rFonts w:cs="Calibri"/>
          <w:bCs/>
          <w:i/>
        </w:rPr>
        <w:t xml:space="preserve">American Economic Review, </w:t>
      </w:r>
      <w:r w:rsidRPr="0000217F">
        <w:rPr>
          <w:rFonts w:cs="Calibri"/>
          <w:bCs/>
        </w:rPr>
        <w:t xml:space="preserve">96, 369-386. </w:t>
      </w:r>
      <w:proofErr w:type="spellStart"/>
      <w:r>
        <w:rPr>
          <w:rFonts w:cs="Calibri"/>
          <w:bCs/>
        </w:rPr>
        <w:t>Doi</w:t>
      </w:r>
      <w:proofErr w:type="spellEnd"/>
      <w:r>
        <w:rPr>
          <w:rFonts w:cs="Calibri"/>
          <w:bCs/>
        </w:rPr>
        <w:t>:</w:t>
      </w:r>
      <w:r w:rsidRPr="009601D2">
        <w:rPr>
          <w:rFonts w:cs="Calibri"/>
          <w:bCs/>
        </w:rPr>
        <w:t xml:space="preserve"> 10.1257/000282806776157704</w:t>
      </w:r>
    </w:p>
    <w:p w:rsidR="00AA788D" w:rsidRPr="0000217F" w:rsidRDefault="00AA788D" w:rsidP="00B77B5A">
      <w:pPr>
        <w:pStyle w:val="BodyText"/>
        <w:rPr>
          <w:rFonts w:ascii="Calibri" w:hAnsi="Calibri" w:cs="Calibri"/>
          <w:sz w:val="22"/>
          <w:szCs w:val="22"/>
        </w:rPr>
      </w:pPr>
      <w:proofErr w:type="spellStart"/>
      <w:r w:rsidRPr="0000217F">
        <w:rPr>
          <w:rFonts w:ascii="Calibri" w:hAnsi="Calibri" w:cs="Calibri"/>
          <w:sz w:val="22"/>
          <w:szCs w:val="22"/>
        </w:rPr>
        <w:t>Faccio</w:t>
      </w:r>
      <w:proofErr w:type="spellEnd"/>
      <w:r w:rsidRPr="0000217F">
        <w:rPr>
          <w:rFonts w:ascii="Calibri" w:hAnsi="Calibri" w:cs="Calibri"/>
          <w:sz w:val="22"/>
          <w:szCs w:val="22"/>
        </w:rPr>
        <w:t xml:space="preserve">, M., </w:t>
      </w:r>
      <w:proofErr w:type="spellStart"/>
      <w:r w:rsidRPr="0000217F">
        <w:rPr>
          <w:rFonts w:ascii="Calibri" w:hAnsi="Calibri" w:cs="Calibri"/>
          <w:sz w:val="22"/>
          <w:szCs w:val="22"/>
        </w:rPr>
        <w:t>Masulis</w:t>
      </w:r>
      <w:proofErr w:type="spellEnd"/>
      <w:r w:rsidRPr="0000217F">
        <w:rPr>
          <w:rFonts w:ascii="Calibri" w:hAnsi="Calibri" w:cs="Calibri"/>
          <w:sz w:val="22"/>
          <w:szCs w:val="22"/>
        </w:rPr>
        <w:t>,</w:t>
      </w:r>
      <w:r w:rsidRPr="00DD0A3E">
        <w:rPr>
          <w:rFonts w:ascii="Calibri" w:hAnsi="Calibri" w:cs="Calibri"/>
          <w:sz w:val="22"/>
          <w:szCs w:val="22"/>
        </w:rPr>
        <w:t xml:space="preserve"> </w:t>
      </w:r>
      <w:r>
        <w:rPr>
          <w:rFonts w:ascii="Calibri" w:hAnsi="Calibri" w:cs="Calibri"/>
          <w:sz w:val="22"/>
          <w:szCs w:val="22"/>
        </w:rPr>
        <w:t>R. &amp;</w:t>
      </w:r>
      <w:r w:rsidRPr="0000217F">
        <w:rPr>
          <w:rFonts w:ascii="Calibri" w:hAnsi="Calibri" w:cs="Calibri"/>
          <w:sz w:val="22"/>
          <w:szCs w:val="22"/>
        </w:rPr>
        <w:t xml:space="preserve"> McConnell</w:t>
      </w:r>
      <w:r>
        <w:rPr>
          <w:rFonts w:ascii="Calibri" w:hAnsi="Calibri" w:cs="Calibri"/>
          <w:sz w:val="22"/>
          <w:szCs w:val="22"/>
        </w:rPr>
        <w:t>, J. (2006).</w:t>
      </w:r>
      <w:r w:rsidRPr="0000217F">
        <w:rPr>
          <w:rFonts w:ascii="Calibri" w:hAnsi="Calibri" w:cs="Calibri"/>
          <w:sz w:val="22"/>
          <w:szCs w:val="22"/>
        </w:rPr>
        <w:t xml:space="preserve"> Political Connections</w:t>
      </w:r>
      <w:r>
        <w:rPr>
          <w:rFonts w:ascii="Calibri" w:hAnsi="Calibri" w:cs="Calibri"/>
          <w:sz w:val="22"/>
          <w:szCs w:val="22"/>
        </w:rPr>
        <w:t xml:space="preserve"> and Corporate Bailouts.</w:t>
      </w:r>
      <w:r w:rsidRPr="0000217F">
        <w:rPr>
          <w:rFonts w:ascii="Calibri" w:hAnsi="Calibri" w:cs="Calibri"/>
          <w:sz w:val="22"/>
          <w:szCs w:val="22"/>
        </w:rPr>
        <w:t xml:space="preserve"> </w:t>
      </w:r>
      <w:r w:rsidRPr="0000217F">
        <w:rPr>
          <w:rFonts w:ascii="Calibri" w:hAnsi="Calibri" w:cs="Calibri"/>
          <w:i/>
          <w:sz w:val="22"/>
          <w:szCs w:val="22"/>
        </w:rPr>
        <w:t xml:space="preserve">Journal of Finance, </w:t>
      </w:r>
      <w:r>
        <w:rPr>
          <w:rFonts w:ascii="Calibri" w:hAnsi="Calibri" w:cs="Calibri"/>
          <w:sz w:val="22"/>
          <w:szCs w:val="22"/>
        </w:rPr>
        <w:t xml:space="preserve">61, </w:t>
      </w:r>
      <w:r w:rsidRPr="0000217F">
        <w:rPr>
          <w:rFonts w:ascii="Calibri" w:hAnsi="Calibri" w:cs="Calibri"/>
          <w:sz w:val="22"/>
          <w:szCs w:val="22"/>
        </w:rPr>
        <w:t xml:space="preserve">2597-2635. </w:t>
      </w:r>
      <w:proofErr w:type="spellStart"/>
      <w:r>
        <w:rPr>
          <w:rFonts w:ascii="Calibri" w:hAnsi="Calibri" w:cs="Calibri"/>
          <w:sz w:val="22"/>
          <w:szCs w:val="22"/>
        </w:rPr>
        <w:t>Doi</w:t>
      </w:r>
      <w:proofErr w:type="spellEnd"/>
      <w:r>
        <w:rPr>
          <w:rFonts w:ascii="Calibri" w:hAnsi="Calibri" w:cs="Calibri"/>
          <w:sz w:val="22"/>
          <w:szCs w:val="22"/>
        </w:rPr>
        <w:t>:</w:t>
      </w:r>
      <w:r w:rsidRPr="009601D2">
        <w:rPr>
          <w:rFonts w:ascii="Calibri" w:hAnsi="Calibri" w:cs="Calibri"/>
          <w:sz w:val="22"/>
          <w:szCs w:val="22"/>
        </w:rPr>
        <w:t xml:space="preserve"> 10.1111/j.1540-6261.2006.01000.x</w:t>
      </w:r>
    </w:p>
    <w:p w:rsidR="00AA788D" w:rsidRPr="0000217F" w:rsidRDefault="00AA788D" w:rsidP="00B77B5A">
      <w:pPr>
        <w:pStyle w:val="BodyText"/>
        <w:rPr>
          <w:rFonts w:ascii="Calibri" w:hAnsi="Calibri" w:cs="Calibri"/>
          <w:sz w:val="22"/>
          <w:szCs w:val="22"/>
        </w:rPr>
      </w:pPr>
    </w:p>
    <w:p w:rsidR="00AA788D" w:rsidRDefault="00AA788D" w:rsidP="00D81B4B">
      <w:pPr>
        <w:pStyle w:val="BodyText"/>
        <w:rPr>
          <w:rFonts w:ascii="Calibri" w:hAnsi="Calibri" w:cs="Calibri"/>
          <w:sz w:val="22"/>
          <w:szCs w:val="22"/>
        </w:rPr>
      </w:pPr>
      <w:proofErr w:type="spellStart"/>
      <w:r w:rsidRPr="0000217F">
        <w:rPr>
          <w:rFonts w:ascii="Calibri" w:hAnsi="Calibri" w:cs="Calibri"/>
          <w:sz w:val="22"/>
          <w:szCs w:val="22"/>
        </w:rPr>
        <w:t>Fedderke</w:t>
      </w:r>
      <w:proofErr w:type="spellEnd"/>
      <w:r w:rsidRPr="0000217F">
        <w:rPr>
          <w:rFonts w:ascii="Calibri" w:hAnsi="Calibri" w:cs="Calibri"/>
          <w:sz w:val="22"/>
          <w:szCs w:val="22"/>
        </w:rPr>
        <w:t>, J</w:t>
      </w:r>
      <w:r>
        <w:rPr>
          <w:rFonts w:ascii="Calibri" w:hAnsi="Calibri" w:cs="Calibri"/>
          <w:sz w:val="22"/>
          <w:szCs w:val="22"/>
        </w:rPr>
        <w:t>.,</w:t>
      </w:r>
      <w:r w:rsidRPr="0000217F">
        <w:rPr>
          <w:rFonts w:ascii="Calibri" w:hAnsi="Calibri" w:cs="Calibri"/>
          <w:sz w:val="22"/>
          <w:szCs w:val="22"/>
        </w:rPr>
        <w:t xml:space="preserve"> de </w:t>
      </w:r>
      <w:proofErr w:type="spellStart"/>
      <w:r w:rsidRPr="0000217F">
        <w:rPr>
          <w:rFonts w:ascii="Calibri" w:hAnsi="Calibri" w:cs="Calibri"/>
          <w:sz w:val="22"/>
          <w:szCs w:val="22"/>
        </w:rPr>
        <w:t>Kadt</w:t>
      </w:r>
      <w:proofErr w:type="spellEnd"/>
      <w:r w:rsidRPr="0000217F">
        <w:rPr>
          <w:rFonts w:ascii="Calibri" w:hAnsi="Calibri" w:cs="Calibri"/>
          <w:sz w:val="22"/>
          <w:szCs w:val="22"/>
        </w:rPr>
        <w:t>,</w:t>
      </w:r>
      <w:r w:rsidRPr="00DD0A3E">
        <w:rPr>
          <w:rFonts w:ascii="Calibri" w:hAnsi="Calibri" w:cs="Calibri"/>
          <w:sz w:val="22"/>
          <w:szCs w:val="22"/>
        </w:rPr>
        <w:t xml:space="preserve"> </w:t>
      </w:r>
      <w:r w:rsidRPr="0000217F">
        <w:rPr>
          <w:rFonts w:ascii="Calibri" w:hAnsi="Calibri" w:cs="Calibri"/>
          <w:sz w:val="22"/>
          <w:szCs w:val="22"/>
        </w:rPr>
        <w:t>R</w:t>
      </w:r>
      <w:r>
        <w:rPr>
          <w:rFonts w:ascii="Calibri" w:hAnsi="Calibri" w:cs="Calibri"/>
          <w:sz w:val="22"/>
          <w:szCs w:val="22"/>
        </w:rPr>
        <w:t>.</w:t>
      </w:r>
      <w:r w:rsidRPr="0000217F">
        <w:rPr>
          <w:rFonts w:ascii="Calibri" w:hAnsi="Calibri" w:cs="Calibri"/>
          <w:sz w:val="22"/>
          <w:szCs w:val="22"/>
        </w:rPr>
        <w:t xml:space="preserve"> </w:t>
      </w:r>
      <w:r>
        <w:rPr>
          <w:rFonts w:ascii="Calibri" w:hAnsi="Calibri" w:cs="Calibri"/>
          <w:sz w:val="22"/>
          <w:szCs w:val="22"/>
        </w:rPr>
        <w:t>&amp;</w:t>
      </w:r>
      <w:r w:rsidRPr="0000217F">
        <w:rPr>
          <w:rFonts w:ascii="Calibri" w:hAnsi="Calibri" w:cs="Calibri"/>
          <w:sz w:val="22"/>
          <w:szCs w:val="22"/>
        </w:rPr>
        <w:t xml:space="preserve"> </w:t>
      </w:r>
      <w:proofErr w:type="spellStart"/>
      <w:r w:rsidRPr="0000217F">
        <w:rPr>
          <w:rFonts w:ascii="Calibri" w:hAnsi="Calibri" w:cs="Calibri"/>
          <w:sz w:val="22"/>
          <w:szCs w:val="22"/>
        </w:rPr>
        <w:t>Luiz</w:t>
      </w:r>
      <w:proofErr w:type="spellEnd"/>
      <w:r>
        <w:rPr>
          <w:rFonts w:ascii="Calibri" w:hAnsi="Calibri" w:cs="Calibri"/>
          <w:sz w:val="22"/>
          <w:szCs w:val="22"/>
        </w:rPr>
        <w:t xml:space="preserve">, </w:t>
      </w:r>
      <w:r w:rsidRPr="0000217F">
        <w:rPr>
          <w:rFonts w:ascii="Calibri" w:hAnsi="Calibri" w:cs="Calibri"/>
          <w:sz w:val="22"/>
          <w:szCs w:val="22"/>
        </w:rPr>
        <w:t>J</w:t>
      </w:r>
      <w:r>
        <w:rPr>
          <w:rFonts w:ascii="Calibri" w:hAnsi="Calibri" w:cs="Calibri"/>
          <w:sz w:val="22"/>
          <w:szCs w:val="22"/>
        </w:rPr>
        <w:t>. (1999).</w:t>
      </w:r>
      <w:r w:rsidRPr="0000217F">
        <w:rPr>
          <w:rFonts w:ascii="Calibri" w:hAnsi="Calibri" w:cs="Calibri"/>
          <w:sz w:val="22"/>
          <w:szCs w:val="22"/>
        </w:rPr>
        <w:t xml:space="preserve"> Economic Growth and Social Capital: A Critical</w:t>
      </w:r>
      <w:r>
        <w:rPr>
          <w:rFonts w:ascii="Calibri" w:hAnsi="Calibri" w:cs="Calibri"/>
          <w:sz w:val="22"/>
          <w:szCs w:val="22"/>
        </w:rPr>
        <w:t xml:space="preserve"> Reflection.</w:t>
      </w:r>
      <w:r w:rsidRPr="0000217F">
        <w:rPr>
          <w:rFonts w:ascii="Calibri" w:hAnsi="Calibri" w:cs="Calibri"/>
          <w:sz w:val="22"/>
          <w:szCs w:val="22"/>
        </w:rPr>
        <w:t xml:space="preserve"> </w:t>
      </w:r>
      <w:r w:rsidRPr="0000217F">
        <w:rPr>
          <w:rFonts w:ascii="Calibri" w:hAnsi="Calibri" w:cs="Calibri"/>
          <w:i/>
          <w:sz w:val="22"/>
          <w:szCs w:val="22"/>
        </w:rPr>
        <w:t>Theory and Society</w:t>
      </w:r>
      <w:r w:rsidRPr="0000217F">
        <w:rPr>
          <w:rFonts w:ascii="Calibri" w:hAnsi="Calibri" w:cs="Calibri"/>
          <w:sz w:val="22"/>
          <w:szCs w:val="22"/>
        </w:rPr>
        <w:t>, 28</w:t>
      </w:r>
      <w:r>
        <w:rPr>
          <w:rFonts w:ascii="Calibri" w:hAnsi="Calibri" w:cs="Calibri"/>
          <w:sz w:val="22"/>
          <w:szCs w:val="22"/>
        </w:rPr>
        <w:t xml:space="preserve">, </w:t>
      </w:r>
      <w:r w:rsidRPr="0000217F">
        <w:rPr>
          <w:rFonts w:ascii="Calibri" w:hAnsi="Calibri" w:cs="Calibri"/>
          <w:sz w:val="22"/>
          <w:szCs w:val="22"/>
        </w:rPr>
        <w:t>709-745</w:t>
      </w:r>
      <w:r>
        <w:rPr>
          <w:rFonts w:ascii="Calibri" w:hAnsi="Calibri" w:cs="Calibri"/>
          <w:sz w:val="22"/>
          <w:szCs w:val="22"/>
        </w:rPr>
        <w:t xml:space="preserve">. </w:t>
      </w:r>
      <w:proofErr w:type="spellStart"/>
      <w:r>
        <w:rPr>
          <w:rFonts w:ascii="Calibri" w:hAnsi="Calibri" w:cs="Calibri"/>
          <w:sz w:val="22"/>
          <w:szCs w:val="22"/>
        </w:rPr>
        <w:t>Doi</w:t>
      </w:r>
      <w:proofErr w:type="spellEnd"/>
      <w:r>
        <w:rPr>
          <w:rFonts w:ascii="Calibri" w:hAnsi="Calibri" w:cs="Calibri"/>
          <w:sz w:val="22"/>
          <w:szCs w:val="22"/>
        </w:rPr>
        <w:t xml:space="preserve">: </w:t>
      </w:r>
      <w:r w:rsidRPr="00D86A24">
        <w:rPr>
          <w:rFonts w:ascii="Calibri" w:hAnsi="Calibri" w:cs="Calibri"/>
          <w:sz w:val="22"/>
          <w:szCs w:val="22"/>
        </w:rPr>
        <w:t>10.1023/A:1007021914850</w:t>
      </w:r>
    </w:p>
    <w:p w:rsidR="00AA788D" w:rsidRPr="00DD0A3E" w:rsidRDefault="00AA788D" w:rsidP="00D81B4B">
      <w:pPr>
        <w:pStyle w:val="BodyText"/>
        <w:rPr>
          <w:rFonts w:asciiTheme="minorHAnsi" w:hAnsiTheme="minorHAnsi" w:cstheme="minorHAnsi"/>
          <w:sz w:val="22"/>
          <w:szCs w:val="22"/>
        </w:rPr>
      </w:pPr>
    </w:p>
    <w:p w:rsidR="00AA788D" w:rsidRPr="00DD0A3E" w:rsidRDefault="00AA788D" w:rsidP="00D81B4B">
      <w:pPr>
        <w:pStyle w:val="BodyText"/>
        <w:rPr>
          <w:rFonts w:asciiTheme="minorHAnsi" w:hAnsiTheme="minorHAnsi" w:cstheme="minorHAnsi"/>
          <w:sz w:val="22"/>
          <w:szCs w:val="22"/>
        </w:rPr>
      </w:pPr>
      <w:r w:rsidRPr="00DD0A3E">
        <w:rPr>
          <w:rFonts w:asciiTheme="minorHAnsi" w:hAnsiTheme="minorHAnsi" w:cstheme="minorHAnsi"/>
          <w:sz w:val="20"/>
          <w:lang w:val="en-US"/>
        </w:rPr>
        <w:t xml:space="preserve">Frye, T. A. </w:t>
      </w:r>
      <w:r>
        <w:rPr>
          <w:rFonts w:asciiTheme="minorHAnsi" w:hAnsiTheme="minorHAnsi" w:cstheme="minorHAnsi"/>
          <w:sz w:val="20"/>
          <w:lang w:val="en-US"/>
        </w:rPr>
        <w:t>&amp;</w:t>
      </w:r>
      <w:r w:rsidRPr="00DD0A3E">
        <w:rPr>
          <w:rFonts w:asciiTheme="minorHAnsi" w:hAnsiTheme="minorHAnsi" w:cstheme="minorHAnsi"/>
          <w:sz w:val="20"/>
          <w:lang w:val="en-US"/>
        </w:rPr>
        <w:t xml:space="preserve"> </w:t>
      </w:r>
      <w:proofErr w:type="spellStart"/>
      <w:r w:rsidRPr="00DD0A3E">
        <w:rPr>
          <w:rFonts w:asciiTheme="minorHAnsi" w:hAnsiTheme="minorHAnsi" w:cstheme="minorHAnsi"/>
          <w:sz w:val="20"/>
          <w:lang w:val="en-US"/>
        </w:rPr>
        <w:t>Shleifer</w:t>
      </w:r>
      <w:proofErr w:type="spellEnd"/>
      <w:r>
        <w:rPr>
          <w:rFonts w:asciiTheme="minorHAnsi" w:hAnsiTheme="minorHAnsi" w:cstheme="minorHAnsi"/>
          <w:sz w:val="20"/>
          <w:lang w:val="en-US"/>
        </w:rPr>
        <w:t>, A. (1997).</w:t>
      </w:r>
      <w:r w:rsidRPr="00DD0A3E">
        <w:rPr>
          <w:rFonts w:asciiTheme="minorHAnsi" w:hAnsiTheme="minorHAnsi" w:cstheme="minorHAnsi"/>
          <w:sz w:val="20"/>
          <w:lang w:val="en-US"/>
        </w:rPr>
        <w:t xml:space="preserve"> The Invisible Hand and the Grabbing Hand</w:t>
      </w:r>
      <w:r>
        <w:rPr>
          <w:rFonts w:asciiTheme="minorHAnsi" w:hAnsiTheme="minorHAnsi" w:cstheme="minorHAnsi"/>
          <w:sz w:val="20"/>
          <w:lang w:val="en-US"/>
        </w:rPr>
        <w:t>.</w:t>
      </w:r>
      <w:r w:rsidRPr="00DD0A3E">
        <w:rPr>
          <w:rFonts w:asciiTheme="minorHAnsi" w:hAnsiTheme="minorHAnsi" w:cstheme="minorHAnsi"/>
          <w:sz w:val="20"/>
          <w:lang w:val="en-US"/>
        </w:rPr>
        <w:t xml:space="preserve"> </w:t>
      </w:r>
      <w:r w:rsidRPr="00DD0A3E">
        <w:rPr>
          <w:rFonts w:asciiTheme="minorHAnsi" w:hAnsiTheme="minorHAnsi" w:cstheme="minorHAnsi"/>
          <w:i/>
          <w:iCs/>
          <w:sz w:val="20"/>
          <w:lang w:val="en-US"/>
        </w:rPr>
        <w:t>American</w:t>
      </w:r>
      <w:r w:rsidRPr="00DD0A3E">
        <w:rPr>
          <w:rFonts w:asciiTheme="minorHAnsi" w:hAnsiTheme="minorHAnsi" w:cstheme="minorHAnsi"/>
          <w:sz w:val="20"/>
          <w:lang w:val="en-US"/>
        </w:rPr>
        <w:t xml:space="preserve"> </w:t>
      </w:r>
      <w:r w:rsidRPr="00DD0A3E">
        <w:rPr>
          <w:rFonts w:asciiTheme="minorHAnsi" w:hAnsiTheme="minorHAnsi" w:cstheme="minorHAnsi"/>
          <w:i/>
          <w:iCs/>
          <w:sz w:val="20"/>
          <w:lang w:val="en-US"/>
        </w:rPr>
        <w:t xml:space="preserve">Economic Review, </w:t>
      </w:r>
      <w:r w:rsidRPr="00DD0A3E">
        <w:rPr>
          <w:rFonts w:asciiTheme="minorHAnsi" w:hAnsiTheme="minorHAnsi" w:cstheme="minorHAnsi"/>
          <w:iCs/>
          <w:sz w:val="20"/>
          <w:lang w:val="en-US"/>
        </w:rPr>
        <w:t>87</w:t>
      </w:r>
      <w:r w:rsidRPr="00DD0A3E">
        <w:rPr>
          <w:rFonts w:asciiTheme="minorHAnsi" w:hAnsiTheme="minorHAnsi" w:cstheme="minorHAnsi"/>
          <w:i/>
          <w:iCs/>
          <w:sz w:val="20"/>
          <w:lang w:val="en-US"/>
        </w:rPr>
        <w:t xml:space="preserve">, </w:t>
      </w:r>
      <w:r w:rsidRPr="00DD0A3E">
        <w:rPr>
          <w:rFonts w:asciiTheme="minorHAnsi" w:hAnsiTheme="minorHAnsi" w:cstheme="minorHAnsi"/>
          <w:sz w:val="20"/>
          <w:lang w:val="en-US"/>
        </w:rPr>
        <w:t>354-58.</w:t>
      </w:r>
      <w:r>
        <w:rPr>
          <w:rFonts w:asciiTheme="minorHAnsi" w:hAnsiTheme="minorHAnsi" w:cstheme="minorHAnsi"/>
          <w:sz w:val="20"/>
          <w:lang w:val="en-US"/>
        </w:rPr>
        <w:t xml:space="preserve"> </w:t>
      </w:r>
      <w:proofErr w:type="spellStart"/>
      <w:r>
        <w:rPr>
          <w:rFonts w:asciiTheme="minorHAnsi" w:hAnsiTheme="minorHAnsi" w:cstheme="minorHAnsi"/>
          <w:sz w:val="20"/>
          <w:lang w:val="en-US"/>
        </w:rPr>
        <w:t>Doi</w:t>
      </w:r>
      <w:proofErr w:type="spellEnd"/>
      <w:r>
        <w:rPr>
          <w:rFonts w:asciiTheme="minorHAnsi" w:hAnsiTheme="minorHAnsi" w:cstheme="minorHAnsi"/>
          <w:sz w:val="20"/>
          <w:lang w:val="en-US"/>
        </w:rPr>
        <w:t xml:space="preserve">: </w:t>
      </w:r>
      <w:r w:rsidRPr="00D86A24">
        <w:rPr>
          <w:rFonts w:asciiTheme="minorHAnsi" w:hAnsiTheme="minorHAnsi" w:cstheme="minorHAnsi"/>
          <w:sz w:val="20"/>
          <w:lang w:val="en-US"/>
        </w:rPr>
        <w:t>10.3386/w5856</w:t>
      </w:r>
    </w:p>
    <w:p w:rsidR="00AA788D" w:rsidRPr="0000217F" w:rsidRDefault="00AA788D" w:rsidP="00A03619">
      <w:r w:rsidRPr="0000217F">
        <w:t xml:space="preserve">Hall, R. </w:t>
      </w:r>
      <w:r>
        <w:t>&amp;</w:t>
      </w:r>
      <w:r w:rsidRPr="0000217F">
        <w:t xml:space="preserve"> Jones</w:t>
      </w:r>
      <w:r>
        <w:t>, C. I. (1999).</w:t>
      </w:r>
      <w:r w:rsidRPr="0000217F">
        <w:t xml:space="preserve"> Why Do Some Countries Produce </w:t>
      </w:r>
      <w:r>
        <w:t xml:space="preserve">So Much Per Capita Than Others?. </w:t>
      </w:r>
      <w:r w:rsidRPr="0000217F">
        <w:rPr>
          <w:i/>
        </w:rPr>
        <w:t xml:space="preserve">Quarterly Journal of Economics, </w:t>
      </w:r>
      <w:r w:rsidRPr="0000217F">
        <w:t>114, 83-116.</w:t>
      </w:r>
      <w:r>
        <w:t xml:space="preserve"> Retrieved from </w:t>
      </w:r>
      <w:r w:rsidRPr="00D86A24">
        <w:t>http://www.jstor.org.ezproxy.uwe.ac.uk/stable/2586948</w:t>
      </w:r>
      <w:r>
        <w:t>.</w:t>
      </w:r>
    </w:p>
    <w:p w:rsidR="00AA788D" w:rsidRPr="0000217F" w:rsidRDefault="00AA788D" w:rsidP="00A03619">
      <w:proofErr w:type="spellStart"/>
      <w:r w:rsidRPr="0000217F">
        <w:rPr>
          <w:rFonts w:cstheme="minorHAnsi"/>
        </w:rPr>
        <w:t>Helliwell</w:t>
      </w:r>
      <w:proofErr w:type="spellEnd"/>
      <w:r w:rsidRPr="0000217F">
        <w:rPr>
          <w:rFonts w:cstheme="minorHAnsi"/>
        </w:rPr>
        <w:t xml:space="preserve">, J. </w:t>
      </w:r>
      <w:r>
        <w:rPr>
          <w:rFonts w:cstheme="minorHAnsi"/>
        </w:rPr>
        <w:t>&amp;</w:t>
      </w:r>
      <w:r w:rsidRPr="0000217F">
        <w:rPr>
          <w:rFonts w:cstheme="minorHAnsi"/>
        </w:rPr>
        <w:t xml:space="preserve"> Putnam</w:t>
      </w:r>
      <w:r>
        <w:rPr>
          <w:rFonts w:cstheme="minorHAnsi"/>
        </w:rPr>
        <w:t>, R. (2001).</w:t>
      </w:r>
      <w:r w:rsidRPr="0000217F">
        <w:rPr>
          <w:rFonts w:cstheme="minorHAnsi"/>
        </w:rPr>
        <w:t xml:space="preserve"> Economic Gro</w:t>
      </w:r>
      <w:r>
        <w:rPr>
          <w:rFonts w:cstheme="minorHAnsi"/>
        </w:rPr>
        <w:t>wth and Social Capital in Italy.</w:t>
      </w:r>
      <w:r w:rsidRPr="0000217F">
        <w:rPr>
          <w:rFonts w:cstheme="minorHAnsi"/>
        </w:rPr>
        <w:t xml:space="preserve"> </w:t>
      </w:r>
      <w:r>
        <w:t>In</w:t>
      </w:r>
      <w:r w:rsidRPr="0000217F">
        <w:t xml:space="preserve"> </w:t>
      </w:r>
      <w:r>
        <w:t xml:space="preserve">P. </w:t>
      </w:r>
      <w:proofErr w:type="spellStart"/>
      <w:r w:rsidRPr="0000217F">
        <w:t>Dasgupta</w:t>
      </w:r>
      <w:proofErr w:type="spellEnd"/>
      <w:r w:rsidRPr="0000217F">
        <w:t xml:space="preserve">, </w:t>
      </w:r>
      <w:r>
        <w:t>&amp;</w:t>
      </w:r>
      <w:r w:rsidRPr="0000217F">
        <w:t xml:space="preserve"> I. </w:t>
      </w:r>
      <w:proofErr w:type="spellStart"/>
      <w:r w:rsidRPr="0000217F">
        <w:t>Serageldin</w:t>
      </w:r>
      <w:proofErr w:type="spellEnd"/>
      <w:r w:rsidRPr="0000217F">
        <w:t xml:space="preserve"> (</w:t>
      </w:r>
      <w:proofErr w:type="spellStart"/>
      <w:r w:rsidRPr="0000217F">
        <w:t>Eds</w:t>
      </w:r>
      <w:proofErr w:type="spellEnd"/>
      <w:r w:rsidRPr="0000217F">
        <w:t>)</w:t>
      </w:r>
      <w:r>
        <w:t>,</w:t>
      </w:r>
      <w:r w:rsidRPr="0000217F">
        <w:t xml:space="preserve"> </w:t>
      </w:r>
      <w:r w:rsidRPr="0000217F">
        <w:rPr>
          <w:i/>
        </w:rPr>
        <w:t>Social Capi</w:t>
      </w:r>
      <w:r>
        <w:rPr>
          <w:i/>
        </w:rPr>
        <w:t>tal: A Multifaceted Perspective</w:t>
      </w:r>
      <w:r w:rsidRPr="0000217F">
        <w:rPr>
          <w:i/>
        </w:rPr>
        <w:t xml:space="preserve"> </w:t>
      </w:r>
      <w:r>
        <w:t xml:space="preserve">(pp. </w:t>
      </w:r>
      <w:r w:rsidRPr="0000217F">
        <w:t>253-266</w:t>
      </w:r>
      <w:r>
        <w:t>).</w:t>
      </w:r>
      <w:r w:rsidRPr="0000217F">
        <w:t xml:space="preserve"> Washington</w:t>
      </w:r>
      <w:r>
        <w:t>,</w:t>
      </w:r>
      <w:r w:rsidRPr="0000217F">
        <w:t xml:space="preserve"> </w:t>
      </w:r>
      <w:r>
        <w:t>DC</w:t>
      </w:r>
      <w:r w:rsidRPr="0000217F">
        <w:t>: World Bank.</w:t>
      </w:r>
    </w:p>
    <w:p w:rsidR="00AA788D" w:rsidRDefault="00AA788D" w:rsidP="00A03619">
      <w:proofErr w:type="spellStart"/>
      <w:r>
        <w:t>Honohan</w:t>
      </w:r>
      <w:proofErr w:type="spellEnd"/>
      <w:r>
        <w:t>, P. (2006).</w:t>
      </w:r>
      <w:r w:rsidRPr="0000217F">
        <w:t xml:space="preserve"> </w:t>
      </w:r>
      <w:r w:rsidRPr="00AA73B0">
        <w:rPr>
          <w:i/>
        </w:rPr>
        <w:t>Household Financial Assets in the Process of Development</w:t>
      </w:r>
      <w:r w:rsidRPr="0000217F">
        <w:t xml:space="preserve"> </w:t>
      </w:r>
      <w:r w:rsidRPr="00AA73B0">
        <w:t>(</w:t>
      </w:r>
      <w:r>
        <w:t xml:space="preserve">UNU-WIDER </w:t>
      </w:r>
      <w:r w:rsidRPr="00AA73B0">
        <w:t>Research Paper No. 2006/91</w:t>
      </w:r>
      <w:r>
        <w:t>).</w:t>
      </w:r>
      <w:r w:rsidRPr="00AA73B0">
        <w:t xml:space="preserve"> Helsinki: UNU-WIDER.</w:t>
      </w:r>
    </w:p>
    <w:p w:rsidR="00AA788D" w:rsidRPr="00AA73B0" w:rsidRDefault="00AA788D" w:rsidP="00A03619">
      <w:r w:rsidRPr="00742F5E">
        <w:t>Hunt, J.</w:t>
      </w:r>
      <w:r>
        <w:t xml:space="preserve"> </w:t>
      </w:r>
      <w:r w:rsidRPr="00742F5E">
        <w:t>&amp; Laszlo</w:t>
      </w:r>
      <w:r>
        <w:t xml:space="preserve">, </w:t>
      </w:r>
      <w:r w:rsidRPr="00742F5E">
        <w:t xml:space="preserve">S. (2011). Is Bribery Really Regressive? Bribery’s Costs, Benefits, and Mechanisms. </w:t>
      </w:r>
      <w:r w:rsidRPr="00742F5E">
        <w:rPr>
          <w:i/>
        </w:rPr>
        <w:t>World Development</w:t>
      </w:r>
      <w:r w:rsidRPr="00742F5E">
        <w:t>, 40, 355-372.</w:t>
      </w:r>
      <w:r>
        <w:t xml:space="preserve"> </w:t>
      </w:r>
      <w:proofErr w:type="spellStart"/>
      <w:r>
        <w:t>Doi</w:t>
      </w:r>
      <w:proofErr w:type="spellEnd"/>
      <w:r>
        <w:t>: 1</w:t>
      </w:r>
      <w:r w:rsidRPr="00AC1E58">
        <w:t>0.1016/j.worlddev.2011.06.001</w:t>
      </w:r>
    </w:p>
    <w:p w:rsidR="00AA788D" w:rsidRDefault="00AA788D" w:rsidP="00A03619">
      <w:r>
        <w:t xml:space="preserve">Kennedy, P. (2003). </w:t>
      </w:r>
      <w:r>
        <w:rPr>
          <w:i/>
        </w:rPr>
        <w:t xml:space="preserve">A Guide to Econometrics </w:t>
      </w:r>
      <w:r>
        <w:t xml:space="preserve">(5th ed.). Oxford: Blackwell Publishing. </w:t>
      </w:r>
    </w:p>
    <w:p w:rsidR="00AA788D" w:rsidRPr="00A13C65" w:rsidRDefault="00AA788D" w:rsidP="00A13C65">
      <w:proofErr w:type="spellStart"/>
      <w:r>
        <w:lastRenderedPageBreak/>
        <w:t>Kornai</w:t>
      </w:r>
      <w:proofErr w:type="spellEnd"/>
      <w:r>
        <w:t xml:space="preserve">, J. (2000). What the Change of System from Socialism to Capitalist Does and Does not Mean. </w:t>
      </w:r>
      <w:r>
        <w:rPr>
          <w:i/>
        </w:rPr>
        <w:t xml:space="preserve">Journal of Economic Perspectives, </w:t>
      </w:r>
      <w:r>
        <w:t xml:space="preserve">14, 27-42. </w:t>
      </w:r>
      <w:proofErr w:type="spellStart"/>
      <w:r>
        <w:t>Doi</w:t>
      </w:r>
      <w:proofErr w:type="spellEnd"/>
      <w:r>
        <w:t xml:space="preserve">: </w:t>
      </w:r>
      <w:r w:rsidRPr="00D86A24">
        <w:t>10.1257/jep.14.1.27</w:t>
      </w:r>
    </w:p>
    <w:p w:rsidR="00AA788D" w:rsidRPr="0000217F" w:rsidRDefault="00AA788D" w:rsidP="0095495A">
      <w:r w:rsidRPr="0000217F">
        <w:t xml:space="preserve">La </w:t>
      </w:r>
      <w:proofErr w:type="spellStart"/>
      <w:r w:rsidRPr="0000217F">
        <w:t>Porta</w:t>
      </w:r>
      <w:proofErr w:type="spellEnd"/>
      <w:r w:rsidRPr="0000217F">
        <w:t xml:space="preserve">, R., Lopez-de </w:t>
      </w:r>
      <w:proofErr w:type="spellStart"/>
      <w:r w:rsidRPr="0000217F">
        <w:t>Silanes</w:t>
      </w:r>
      <w:proofErr w:type="spellEnd"/>
      <w:r w:rsidRPr="0000217F">
        <w:t xml:space="preserve">, F., </w:t>
      </w:r>
      <w:proofErr w:type="spellStart"/>
      <w:r w:rsidRPr="0000217F">
        <w:t>Shleifer</w:t>
      </w:r>
      <w:proofErr w:type="spellEnd"/>
      <w:r w:rsidRPr="0000217F">
        <w:t xml:space="preserve">, A. </w:t>
      </w:r>
      <w:r>
        <w:t>&amp;</w:t>
      </w:r>
      <w:r w:rsidRPr="0000217F">
        <w:t xml:space="preserve"> </w:t>
      </w:r>
      <w:proofErr w:type="spellStart"/>
      <w:r w:rsidRPr="0000217F">
        <w:t>Vishny</w:t>
      </w:r>
      <w:proofErr w:type="spellEnd"/>
      <w:r>
        <w:t xml:space="preserve">, </w:t>
      </w:r>
      <w:r w:rsidRPr="0000217F">
        <w:t>R.</w:t>
      </w:r>
      <w:r>
        <w:t xml:space="preserve"> (1998). Law and Finance.</w:t>
      </w:r>
      <w:r w:rsidRPr="0000217F">
        <w:t xml:space="preserve"> </w:t>
      </w:r>
      <w:r w:rsidRPr="0000217F">
        <w:rPr>
          <w:i/>
        </w:rPr>
        <w:t xml:space="preserve">Journal of Political Economy, </w:t>
      </w:r>
      <w:r w:rsidRPr="0000217F">
        <w:t>106, 1113-1155.</w:t>
      </w:r>
      <w:r>
        <w:t xml:space="preserve"> </w:t>
      </w:r>
      <w:proofErr w:type="spellStart"/>
      <w:r>
        <w:t>Doi</w:t>
      </w:r>
      <w:proofErr w:type="spellEnd"/>
      <w:r>
        <w:t xml:space="preserve">: </w:t>
      </w:r>
      <w:hyperlink r:id="rId12" w:history="1">
        <w:r w:rsidRPr="006F48A1">
          <w:t>10.1086/25004</w:t>
        </w:r>
      </w:hyperlink>
      <w:r>
        <w:t>2</w:t>
      </w:r>
    </w:p>
    <w:p w:rsidR="00AA788D" w:rsidRPr="0000217F" w:rsidRDefault="00AA788D" w:rsidP="00A03619">
      <w:r w:rsidRPr="0000217F">
        <w:t xml:space="preserve">La </w:t>
      </w:r>
      <w:proofErr w:type="spellStart"/>
      <w:r w:rsidRPr="0000217F">
        <w:t>Porta</w:t>
      </w:r>
      <w:proofErr w:type="spellEnd"/>
      <w:r w:rsidRPr="0000217F">
        <w:t xml:space="preserve">, R., Lopez-de </w:t>
      </w:r>
      <w:proofErr w:type="spellStart"/>
      <w:r w:rsidRPr="0000217F">
        <w:t>Silanes</w:t>
      </w:r>
      <w:proofErr w:type="spellEnd"/>
      <w:r w:rsidRPr="0000217F">
        <w:t xml:space="preserve">, F., </w:t>
      </w:r>
      <w:r>
        <w:t>&amp;</w:t>
      </w:r>
      <w:r w:rsidRPr="0000217F">
        <w:t xml:space="preserve"> </w:t>
      </w:r>
      <w:proofErr w:type="spellStart"/>
      <w:r w:rsidRPr="0000217F">
        <w:t>Shleifer</w:t>
      </w:r>
      <w:proofErr w:type="spellEnd"/>
      <w:r>
        <w:t>, A. (2002).</w:t>
      </w:r>
      <w:r w:rsidRPr="0000217F">
        <w:t xml:space="preserve"> Government Ownership of Banks</w:t>
      </w:r>
      <w:r>
        <w:t>.</w:t>
      </w:r>
      <w:r w:rsidRPr="0000217F">
        <w:t xml:space="preserve"> </w:t>
      </w:r>
      <w:r w:rsidRPr="0000217F">
        <w:rPr>
          <w:i/>
        </w:rPr>
        <w:t xml:space="preserve">Journal of Finance, </w:t>
      </w:r>
      <w:r w:rsidRPr="0000217F">
        <w:t>57</w:t>
      </w:r>
      <w:r>
        <w:t xml:space="preserve">, </w:t>
      </w:r>
      <w:r w:rsidRPr="0000217F">
        <w:t xml:space="preserve">265-301. </w:t>
      </w:r>
      <w:proofErr w:type="spellStart"/>
      <w:r>
        <w:t>Doi</w:t>
      </w:r>
      <w:proofErr w:type="spellEnd"/>
      <w:r>
        <w:t>:</w:t>
      </w:r>
      <w:r w:rsidRPr="006F48A1">
        <w:t xml:space="preserve"> 10.1111/1540-6261.00422</w:t>
      </w:r>
    </w:p>
    <w:p w:rsidR="00AA788D" w:rsidRPr="0000217F" w:rsidRDefault="00AA788D" w:rsidP="00A03619">
      <w:proofErr w:type="spellStart"/>
      <w:r w:rsidRPr="0000217F">
        <w:t>Lerman</w:t>
      </w:r>
      <w:proofErr w:type="spellEnd"/>
      <w:r w:rsidRPr="0000217F">
        <w:t xml:space="preserve">, Z. (2008). Agricultural Development in Central Asia: A survey of Uzbekistan, 2007-2008. </w:t>
      </w:r>
      <w:r w:rsidRPr="0000217F">
        <w:rPr>
          <w:i/>
        </w:rPr>
        <w:t xml:space="preserve">European Geography and Economics, </w:t>
      </w:r>
      <w:r w:rsidRPr="0000217F">
        <w:t xml:space="preserve">49, 481-505. </w:t>
      </w:r>
      <w:proofErr w:type="spellStart"/>
      <w:r>
        <w:t>Doi</w:t>
      </w:r>
      <w:proofErr w:type="spellEnd"/>
      <w:r>
        <w:t>:</w:t>
      </w:r>
      <w:r w:rsidRPr="006F48A1">
        <w:t xml:space="preserve"> 10.2747/1539-7216.49.4.481</w:t>
      </w:r>
    </w:p>
    <w:p w:rsidR="00AA788D" w:rsidRDefault="00AA788D" w:rsidP="00D81B4B">
      <w:r w:rsidRPr="0000217F">
        <w:t>Levine, R. (2005)</w:t>
      </w:r>
      <w:r>
        <w:t>.</w:t>
      </w:r>
      <w:r w:rsidRPr="0000217F">
        <w:t xml:space="preserve"> Finance and Growth: Theory and Evidence. In</w:t>
      </w:r>
      <w:r>
        <w:t xml:space="preserve"> P.</w:t>
      </w:r>
      <w:r w:rsidRPr="0000217F">
        <w:t xml:space="preserve"> </w:t>
      </w:r>
      <w:proofErr w:type="spellStart"/>
      <w:r w:rsidRPr="0000217F">
        <w:t>Aghion</w:t>
      </w:r>
      <w:proofErr w:type="spellEnd"/>
      <w:r w:rsidRPr="0000217F">
        <w:t xml:space="preserve">, </w:t>
      </w:r>
      <w:r>
        <w:t>&amp; S.</w:t>
      </w:r>
      <w:r w:rsidRPr="0000217F">
        <w:t xml:space="preserve"> </w:t>
      </w:r>
      <w:proofErr w:type="spellStart"/>
      <w:r w:rsidRPr="0000217F">
        <w:t>Durlauf</w:t>
      </w:r>
      <w:proofErr w:type="spellEnd"/>
      <w:r w:rsidRPr="0000217F">
        <w:t xml:space="preserve"> (Eds.), </w:t>
      </w:r>
      <w:r w:rsidRPr="0000217F">
        <w:rPr>
          <w:i/>
        </w:rPr>
        <w:t>Handbook of Economic Growth</w:t>
      </w:r>
      <w:r>
        <w:t xml:space="preserve"> </w:t>
      </w:r>
      <w:r w:rsidRPr="006F48A1">
        <w:t>(</w:t>
      </w:r>
      <w:r>
        <w:t xml:space="preserve">Vol. 1A, </w:t>
      </w:r>
      <w:r w:rsidRPr="006F48A1">
        <w:t>pp.</w:t>
      </w:r>
      <w:r>
        <w:t>866-923</w:t>
      </w:r>
      <w:r w:rsidRPr="006F48A1">
        <w:t>).</w:t>
      </w:r>
      <w:r w:rsidRPr="0000217F">
        <w:t xml:space="preserve"> Amsterdam: North Holland.</w:t>
      </w:r>
    </w:p>
    <w:p w:rsidR="00AA788D" w:rsidRDefault="00AA788D" w:rsidP="00D81B4B">
      <w:r>
        <w:rPr>
          <w:lang w:val="en-US"/>
        </w:rPr>
        <w:t xml:space="preserve">Li, D. D. (1996). </w:t>
      </w:r>
      <w:r w:rsidRPr="00A43047">
        <w:rPr>
          <w:lang w:val="en-US"/>
        </w:rPr>
        <w:t>A Theory of Ambiguou</w:t>
      </w:r>
      <w:r>
        <w:rPr>
          <w:lang w:val="en-US"/>
        </w:rPr>
        <w:t xml:space="preserve">s Property Rights in Transition </w:t>
      </w:r>
      <w:r w:rsidRPr="00A43047">
        <w:rPr>
          <w:lang w:val="en-US"/>
        </w:rPr>
        <w:t>Economies: The Case of the Chinese Non-State Sector</w:t>
      </w:r>
      <w:r>
        <w:rPr>
          <w:lang w:val="en-US"/>
        </w:rPr>
        <w:t xml:space="preserve">. </w:t>
      </w:r>
      <w:r>
        <w:rPr>
          <w:i/>
          <w:lang w:val="en-US"/>
        </w:rPr>
        <w:t xml:space="preserve">Journal of Comparative Economics, </w:t>
      </w:r>
      <w:r w:rsidRPr="00AA73B0">
        <w:rPr>
          <w:lang w:val="en-US"/>
        </w:rPr>
        <w:t>2</w:t>
      </w:r>
      <w:r>
        <w:rPr>
          <w:lang w:val="en-US"/>
        </w:rPr>
        <w:t xml:space="preserve">3, 1-19. </w:t>
      </w:r>
      <w:proofErr w:type="spellStart"/>
      <w:r>
        <w:rPr>
          <w:lang w:val="en-US"/>
        </w:rPr>
        <w:t>Doi</w:t>
      </w:r>
      <w:proofErr w:type="spellEnd"/>
      <w:r>
        <w:rPr>
          <w:lang w:val="en-US"/>
        </w:rPr>
        <w:t xml:space="preserve">: </w:t>
      </w:r>
      <w:r w:rsidRPr="006F48A1">
        <w:rPr>
          <w:lang w:val="en-US"/>
        </w:rPr>
        <w:t>10.1006/jcec.1996.0040</w:t>
      </w:r>
    </w:p>
    <w:p w:rsidR="00AA788D" w:rsidRDefault="00AA788D" w:rsidP="00D81B4B">
      <w:pPr>
        <w:rPr>
          <w:lang w:val="en-US"/>
        </w:rPr>
      </w:pPr>
      <w:r w:rsidRPr="00E675B5">
        <w:rPr>
          <w:lang w:val="en-US"/>
        </w:rPr>
        <w:t>Li, D</w:t>
      </w:r>
      <w:r>
        <w:rPr>
          <w:lang w:val="en-US"/>
        </w:rPr>
        <w:t>.</w:t>
      </w:r>
      <w:r w:rsidRPr="00E675B5">
        <w:rPr>
          <w:lang w:val="en-US"/>
        </w:rPr>
        <w:t xml:space="preserve"> D. (1998), Changing Incentives of the Chinese Bureaucracy</w:t>
      </w:r>
      <w:r>
        <w:rPr>
          <w:lang w:val="en-US"/>
        </w:rPr>
        <w:t xml:space="preserve">, </w:t>
      </w:r>
      <w:r>
        <w:rPr>
          <w:i/>
          <w:lang w:val="en-US"/>
        </w:rPr>
        <w:t xml:space="preserve">American Economic Review, </w:t>
      </w:r>
      <w:r>
        <w:rPr>
          <w:lang w:val="en-US"/>
        </w:rPr>
        <w:t xml:space="preserve">88 (2), 323-397. Retrieved from </w:t>
      </w:r>
      <w:hyperlink r:id="rId13" w:history="1">
        <w:r w:rsidRPr="00EF78C1">
          <w:rPr>
            <w:rStyle w:val="Hyperlink"/>
            <w:lang w:val="en-US"/>
          </w:rPr>
          <w:t>http://www.jstor.org.ezproxy.uwe.ac.uk/stable/116954</w:t>
        </w:r>
      </w:hyperlink>
      <w:r>
        <w:rPr>
          <w:lang w:val="en-US"/>
        </w:rPr>
        <w:t>.</w:t>
      </w:r>
    </w:p>
    <w:p w:rsidR="00AA788D" w:rsidRDefault="00AA788D" w:rsidP="00742F5E">
      <w:pPr>
        <w:autoSpaceDE w:val="0"/>
        <w:autoSpaceDN w:val="0"/>
        <w:adjustRightInd w:val="0"/>
        <w:rPr>
          <w:rFonts w:ascii="AdvEPSTIM" w:hAnsi="AdvEPSTIM" w:cs="AdvEPSTIM"/>
          <w:sz w:val="19"/>
          <w:szCs w:val="19"/>
          <w:lang w:val="en-US"/>
        </w:rPr>
      </w:pPr>
    </w:p>
    <w:p w:rsidR="00AA788D" w:rsidRPr="00742F5E" w:rsidRDefault="00AA788D" w:rsidP="00742F5E">
      <w:pPr>
        <w:rPr>
          <w:lang w:val="en-US"/>
        </w:rPr>
      </w:pPr>
      <w:r w:rsidRPr="00742F5E">
        <w:rPr>
          <w:lang w:val="en-US"/>
        </w:rPr>
        <w:t xml:space="preserve">Li, H., L. </w:t>
      </w:r>
      <w:proofErr w:type="spellStart"/>
      <w:r w:rsidRPr="00742F5E">
        <w:rPr>
          <w:lang w:val="en-US"/>
        </w:rPr>
        <w:t>Meng</w:t>
      </w:r>
      <w:proofErr w:type="spellEnd"/>
      <w:r>
        <w:rPr>
          <w:lang w:val="en-US"/>
        </w:rPr>
        <w:t>, Wang, Q.,</w:t>
      </w:r>
      <w:r w:rsidRPr="00742F5E">
        <w:rPr>
          <w:lang w:val="en-US"/>
        </w:rPr>
        <w:t xml:space="preserve"> </w:t>
      </w:r>
      <w:r>
        <w:rPr>
          <w:lang w:val="en-US"/>
        </w:rPr>
        <w:t xml:space="preserve">&amp; </w:t>
      </w:r>
      <w:r w:rsidRPr="00742F5E">
        <w:rPr>
          <w:lang w:val="en-US"/>
        </w:rPr>
        <w:t>Zhou</w:t>
      </w:r>
      <w:r>
        <w:rPr>
          <w:lang w:val="en-US"/>
        </w:rPr>
        <w:t xml:space="preserve">, </w:t>
      </w:r>
      <w:r w:rsidRPr="00742F5E">
        <w:rPr>
          <w:lang w:val="en-US"/>
        </w:rPr>
        <w:t xml:space="preserve">L. (2008). Political connections, financing and firm performance: Evidence from Chinese private firms. </w:t>
      </w:r>
      <w:r w:rsidRPr="00742F5E">
        <w:rPr>
          <w:i/>
          <w:lang w:val="en-US"/>
        </w:rPr>
        <w:t>Journal of Development Economics</w:t>
      </w:r>
      <w:r>
        <w:rPr>
          <w:lang w:val="en-US"/>
        </w:rPr>
        <w:t>, 87,</w:t>
      </w:r>
      <w:r w:rsidRPr="00742F5E">
        <w:rPr>
          <w:lang w:val="en-US"/>
        </w:rPr>
        <w:t xml:space="preserve"> 283-299.</w:t>
      </w:r>
      <w:r>
        <w:rPr>
          <w:lang w:val="en-US"/>
        </w:rPr>
        <w:t xml:space="preserve"> </w:t>
      </w:r>
      <w:proofErr w:type="spellStart"/>
      <w:r>
        <w:rPr>
          <w:lang w:val="en-US"/>
        </w:rPr>
        <w:t>Doi</w:t>
      </w:r>
      <w:proofErr w:type="spellEnd"/>
      <w:r>
        <w:rPr>
          <w:lang w:val="en-US"/>
        </w:rPr>
        <w:t xml:space="preserve">: </w:t>
      </w:r>
      <w:r w:rsidRPr="00352023">
        <w:rPr>
          <w:lang w:val="en-US"/>
        </w:rPr>
        <w:t>0.1016/j.jdeveco.2007.03.001</w:t>
      </w:r>
      <w:r>
        <w:rPr>
          <w:lang w:val="en-US"/>
        </w:rPr>
        <w:t>.</w:t>
      </w:r>
    </w:p>
    <w:p w:rsidR="00AA788D" w:rsidRPr="0000217F" w:rsidRDefault="00AA788D" w:rsidP="00007221">
      <w:r w:rsidRPr="0000217F">
        <w:rPr>
          <w:rFonts w:cs="Calibri"/>
          <w:bCs/>
        </w:rPr>
        <w:t xml:space="preserve">Love, I. (2003). Financial Development and Financing Constraints: International Evidence from </w:t>
      </w:r>
      <w:r>
        <w:rPr>
          <w:rFonts w:cs="Calibri"/>
          <w:bCs/>
        </w:rPr>
        <w:t>the Structural Investment Model.</w:t>
      </w:r>
      <w:r w:rsidRPr="0000217F">
        <w:rPr>
          <w:rFonts w:cs="Calibri"/>
          <w:bCs/>
        </w:rPr>
        <w:t xml:space="preserve"> </w:t>
      </w:r>
      <w:r w:rsidRPr="0000217F">
        <w:rPr>
          <w:rFonts w:cs="Calibri"/>
          <w:bCs/>
          <w:i/>
        </w:rPr>
        <w:t xml:space="preserve">Review of Financial Studies, </w:t>
      </w:r>
      <w:r w:rsidRPr="0000217F">
        <w:rPr>
          <w:rFonts w:cs="Calibri"/>
          <w:bCs/>
        </w:rPr>
        <w:t xml:space="preserve">16, 765-91. </w:t>
      </w:r>
      <w:proofErr w:type="spellStart"/>
      <w:r>
        <w:rPr>
          <w:rFonts w:cs="Calibri"/>
          <w:bCs/>
        </w:rPr>
        <w:t>Doi</w:t>
      </w:r>
      <w:proofErr w:type="spellEnd"/>
      <w:r>
        <w:rPr>
          <w:rFonts w:cs="Calibri"/>
          <w:bCs/>
        </w:rPr>
        <w:t>:</w:t>
      </w:r>
      <w:r w:rsidRPr="005F1145">
        <w:rPr>
          <w:rFonts w:ascii="Verdana" w:hAnsi="Verdana"/>
          <w:color w:val="333300"/>
          <w:sz w:val="13"/>
          <w:szCs w:val="13"/>
          <w:shd w:val="clear" w:color="auto" w:fill="FFFFFF"/>
        </w:rPr>
        <w:t xml:space="preserve"> </w:t>
      </w:r>
      <w:r w:rsidRPr="005F1145">
        <w:rPr>
          <w:rFonts w:cs="Calibri"/>
          <w:bCs/>
        </w:rPr>
        <w:t>10.1093/</w:t>
      </w:r>
      <w:proofErr w:type="spellStart"/>
      <w:r w:rsidRPr="005F1145">
        <w:rPr>
          <w:rFonts w:cs="Calibri"/>
          <w:bCs/>
        </w:rPr>
        <w:t>rfs</w:t>
      </w:r>
      <w:proofErr w:type="spellEnd"/>
      <w:r w:rsidRPr="005F1145">
        <w:rPr>
          <w:rFonts w:cs="Calibri"/>
          <w:bCs/>
        </w:rPr>
        <w:t>/hhg013</w:t>
      </w:r>
    </w:p>
    <w:p w:rsidR="00AA788D" w:rsidRDefault="00AA788D" w:rsidP="009A0E23">
      <w:r>
        <w:t>McKean, M. (1992).</w:t>
      </w:r>
      <w:r w:rsidRPr="0000217F">
        <w:t xml:space="preserve"> Success on the Commons: A Comparative Examination of Institutions for Comm</w:t>
      </w:r>
      <w:r>
        <w:t>on Property Resource Management.</w:t>
      </w:r>
      <w:r w:rsidRPr="0000217F">
        <w:t xml:space="preserve"> </w:t>
      </w:r>
      <w:r w:rsidRPr="005F1145">
        <w:t>Journal of Theoretical Politics</w:t>
      </w:r>
      <w:r w:rsidRPr="0000217F">
        <w:t>,</w:t>
      </w:r>
      <w:r>
        <w:t xml:space="preserve"> </w:t>
      </w:r>
      <w:r w:rsidRPr="0000217F">
        <w:t>4, 247-281.</w:t>
      </w:r>
      <w:r>
        <w:t xml:space="preserve"> </w:t>
      </w:r>
      <w:proofErr w:type="spellStart"/>
      <w:r>
        <w:t>Doi</w:t>
      </w:r>
      <w:proofErr w:type="spellEnd"/>
      <w:r>
        <w:t xml:space="preserve">: </w:t>
      </w:r>
      <w:r w:rsidRPr="005F1145">
        <w:t>10.1177/0951692892004003002</w:t>
      </w:r>
    </w:p>
    <w:p w:rsidR="00AA788D" w:rsidRPr="0000217F" w:rsidRDefault="00AA788D" w:rsidP="00B77B5A">
      <w:proofErr w:type="spellStart"/>
      <w:r>
        <w:t>Morduch</w:t>
      </w:r>
      <w:proofErr w:type="spellEnd"/>
      <w:r>
        <w:t xml:space="preserve">, J. (1999). </w:t>
      </w:r>
      <w:r w:rsidRPr="0000217F">
        <w:t>The Microfinance Promise</w:t>
      </w:r>
      <w:r>
        <w:t>.</w:t>
      </w:r>
      <w:r w:rsidRPr="0000217F">
        <w:t xml:space="preserve"> </w:t>
      </w:r>
      <w:r w:rsidRPr="0000217F">
        <w:rPr>
          <w:i/>
        </w:rPr>
        <w:t xml:space="preserve">Journal of Economic Literature, </w:t>
      </w:r>
      <w:r w:rsidRPr="0000217F">
        <w:t>37, 1569-1614.</w:t>
      </w:r>
      <w:r>
        <w:t xml:space="preserve"> </w:t>
      </w:r>
      <w:proofErr w:type="spellStart"/>
      <w:r>
        <w:t>Doi</w:t>
      </w:r>
      <w:proofErr w:type="spellEnd"/>
      <w:r>
        <w:t xml:space="preserve">: </w:t>
      </w:r>
      <w:r w:rsidRPr="005F1145">
        <w:t>10.1257/jel.37.4.1569</w:t>
      </w:r>
      <w:r>
        <w:t>.</w:t>
      </w:r>
    </w:p>
    <w:p w:rsidR="00AA788D" w:rsidRPr="0000217F" w:rsidRDefault="00AA788D" w:rsidP="009A0E23">
      <w:proofErr w:type="spellStart"/>
      <w:r w:rsidRPr="0000217F">
        <w:t>Muravyev</w:t>
      </w:r>
      <w:proofErr w:type="spellEnd"/>
      <w:r w:rsidRPr="0000217F">
        <w:t>, A., Talavera,</w:t>
      </w:r>
      <w:r w:rsidRPr="00AA73B0">
        <w:t xml:space="preserve"> </w:t>
      </w:r>
      <w:r>
        <w:t>O. &amp;</w:t>
      </w:r>
      <w:r w:rsidRPr="0000217F">
        <w:t xml:space="preserve"> Schafer</w:t>
      </w:r>
      <w:r>
        <w:t xml:space="preserve">, </w:t>
      </w:r>
      <w:r w:rsidRPr="0000217F">
        <w:t>D.</w:t>
      </w:r>
      <w:r>
        <w:t xml:space="preserve"> (2009).</w:t>
      </w:r>
      <w:r w:rsidRPr="0000217F">
        <w:t xml:space="preserve"> Entrepreneurs’ Gender and Financial Constraints: Evidence from International Data</w:t>
      </w:r>
      <w:r>
        <w:t>.</w:t>
      </w:r>
      <w:r w:rsidRPr="0000217F">
        <w:t xml:space="preserve"> </w:t>
      </w:r>
      <w:r w:rsidRPr="0000217F">
        <w:rPr>
          <w:i/>
        </w:rPr>
        <w:t xml:space="preserve">Journal of Comparative Economics, </w:t>
      </w:r>
      <w:r w:rsidRPr="0000217F">
        <w:t>37, 270-286.</w:t>
      </w:r>
      <w:r>
        <w:t xml:space="preserve"> </w:t>
      </w:r>
      <w:proofErr w:type="spellStart"/>
      <w:r>
        <w:t>Doi</w:t>
      </w:r>
      <w:proofErr w:type="spellEnd"/>
      <w:r>
        <w:t xml:space="preserve">: </w:t>
      </w:r>
      <w:r w:rsidRPr="005F1145">
        <w:rPr>
          <w:rFonts w:hint="eastAsia"/>
        </w:rPr>
        <w:t>10.1016/j.jce.2008.12.001</w:t>
      </w:r>
    </w:p>
    <w:p w:rsidR="00AA788D" w:rsidRDefault="00AA788D" w:rsidP="00A03619">
      <w:r w:rsidRPr="0000217F">
        <w:t>North, D</w:t>
      </w:r>
      <w:r>
        <w:t>.C. (1990).</w:t>
      </w:r>
      <w:r w:rsidRPr="0000217F">
        <w:t xml:space="preserve"> </w:t>
      </w:r>
      <w:r w:rsidRPr="0000217F">
        <w:rPr>
          <w:i/>
        </w:rPr>
        <w:t>Institutions, Institutional C</w:t>
      </w:r>
      <w:r>
        <w:rPr>
          <w:i/>
        </w:rPr>
        <w:t>hanges, and Economic Prosperity.</w:t>
      </w:r>
      <w:r w:rsidRPr="0000217F">
        <w:rPr>
          <w:i/>
        </w:rPr>
        <w:t xml:space="preserve"> </w:t>
      </w:r>
      <w:r w:rsidRPr="0000217F">
        <w:t xml:space="preserve">New York: Cambridge University Press. </w:t>
      </w:r>
    </w:p>
    <w:p w:rsidR="00AA788D" w:rsidRPr="0068591C" w:rsidRDefault="00AA788D" w:rsidP="0068591C">
      <w:pPr>
        <w:rPr>
          <w:i/>
        </w:rPr>
      </w:pPr>
      <w:proofErr w:type="spellStart"/>
      <w:r>
        <w:t>Pomfret</w:t>
      </w:r>
      <w:proofErr w:type="spellEnd"/>
      <w:r>
        <w:t xml:space="preserve">, R. (2010). </w:t>
      </w:r>
      <w:r w:rsidRPr="0068591C">
        <w:rPr>
          <w:i/>
        </w:rPr>
        <w:t>Central Asia af</w:t>
      </w:r>
      <w:r>
        <w:rPr>
          <w:i/>
        </w:rPr>
        <w:t>ter Two Decades of Independence</w:t>
      </w:r>
      <w:r w:rsidRPr="0068591C">
        <w:rPr>
          <w:i/>
        </w:rPr>
        <w:t xml:space="preserve"> </w:t>
      </w:r>
      <w:r>
        <w:t xml:space="preserve">(UNU-WIDER </w:t>
      </w:r>
      <w:r w:rsidRPr="0068591C">
        <w:t>Working Paper No. 2010/53</w:t>
      </w:r>
      <w:r>
        <w:t>).</w:t>
      </w:r>
      <w:r w:rsidRPr="0068591C">
        <w:t xml:space="preserve"> Helsinki: </w:t>
      </w:r>
      <w:r>
        <w:t>UNU-WIDER</w:t>
      </w:r>
      <w:r w:rsidRPr="0068591C">
        <w:t>.</w:t>
      </w:r>
    </w:p>
    <w:p w:rsidR="00AA788D" w:rsidRDefault="00AA788D" w:rsidP="007300EB">
      <w:r>
        <w:t xml:space="preserve">Rose, R. (2001). Getting Things Done in </w:t>
      </w:r>
      <w:proofErr w:type="spellStart"/>
      <w:r>
        <w:t>Antimodern</w:t>
      </w:r>
      <w:proofErr w:type="spellEnd"/>
      <w:r>
        <w:t xml:space="preserve"> Society: Social Capital Networks in Russia. In</w:t>
      </w:r>
      <w:r w:rsidRPr="0000217F">
        <w:t xml:space="preserve"> </w:t>
      </w:r>
      <w:r>
        <w:t xml:space="preserve">P. </w:t>
      </w:r>
      <w:proofErr w:type="spellStart"/>
      <w:r>
        <w:t>Dasgupta</w:t>
      </w:r>
      <w:proofErr w:type="spellEnd"/>
      <w:r w:rsidRPr="0000217F">
        <w:t xml:space="preserve"> </w:t>
      </w:r>
      <w:r>
        <w:t>&amp;</w:t>
      </w:r>
      <w:r w:rsidRPr="0000217F">
        <w:t xml:space="preserve"> </w:t>
      </w:r>
      <w:proofErr w:type="spellStart"/>
      <w:r w:rsidRPr="0000217F">
        <w:t>Serageldin</w:t>
      </w:r>
      <w:proofErr w:type="spellEnd"/>
      <w:r>
        <w:t xml:space="preserve">, </w:t>
      </w:r>
      <w:r w:rsidRPr="0000217F">
        <w:t>I. (</w:t>
      </w:r>
      <w:proofErr w:type="spellStart"/>
      <w:r w:rsidRPr="0000217F">
        <w:t>Eds</w:t>
      </w:r>
      <w:proofErr w:type="spellEnd"/>
      <w:r w:rsidRPr="0000217F">
        <w:t>)</w:t>
      </w:r>
      <w:r>
        <w:t>,</w:t>
      </w:r>
      <w:r w:rsidRPr="0000217F">
        <w:t xml:space="preserve"> </w:t>
      </w:r>
      <w:r w:rsidRPr="0000217F">
        <w:rPr>
          <w:i/>
        </w:rPr>
        <w:t>Social Capital: A Multifaceted Perspective</w:t>
      </w:r>
      <w:r>
        <w:t xml:space="preserve"> (</w:t>
      </w:r>
      <w:r w:rsidRPr="0000217F">
        <w:t xml:space="preserve">pp. </w:t>
      </w:r>
      <w:r>
        <w:t>147</w:t>
      </w:r>
      <w:r w:rsidRPr="0000217F">
        <w:t>-</w:t>
      </w:r>
      <w:r>
        <w:t>172).</w:t>
      </w:r>
      <w:r w:rsidRPr="0000217F">
        <w:t xml:space="preserve"> Washington</w:t>
      </w:r>
      <w:r>
        <w:t>,</w:t>
      </w:r>
      <w:r w:rsidRPr="0000217F">
        <w:t xml:space="preserve"> </w:t>
      </w:r>
      <w:r>
        <w:t>DC</w:t>
      </w:r>
      <w:r w:rsidRPr="0000217F">
        <w:t>: World Bank.</w:t>
      </w:r>
    </w:p>
    <w:p w:rsidR="00AA788D" w:rsidRDefault="00AA788D" w:rsidP="007300EB">
      <w:proofErr w:type="spellStart"/>
      <w:r>
        <w:lastRenderedPageBreak/>
        <w:t>Ruziev</w:t>
      </w:r>
      <w:proofErr w:type="spellEnd"/>
      <w:r>
        <w:t xml:space="preserve">, K. &amp; </w:t>
      </w:r>
      <w:proofErr w:type="spellStart"/>
      <w:r>
        <w:t>Midmore</w:t>
      </w:r>
      <w:proofErr w:type="spellEnd"/>
      <w:r>
        <w:t xml:space="preserve">, P. (2014). </w:t>
      </w:r>
      <w:r w:rsidRPr="006A53ED">
        <w:t>Informal Credit Institutions in Transition Economies: A Study of Urban Moneylenders in Post-communist Uzbekistan</w:t>
      </w:r>
      <w:r>
        <w:rPr>
          <w:i/>
        </w:rPr>
        <w:t xml:space="preserve">, </w:t>
      </w:r>
      <w:r w:rsidRPr="006A53ED">
        <w:rPr>
          <w:i/>
        </w:rPr>
        <w:t>Post-Communist Economies</w:t>
      </w:r>
      <w:r>
        <w:rPr>
          <w:i/>
        </w:rPr>
        <w:t xml:space="preserve">, </w:t>
      </w:r>
      <w:r>
        <w:t xml:space="preserve">26, 415-435. </w:t>
      </w:r>
      <w:proofErr w:type="spellStart"/>
      <w:r>
        <w:t>Doi</w:t>
      </w:r>
      <w:proofErr w:type="spellEnd"/>
      <w:r>
        <w:t xml:space="preserve">: </w:t>
      </w:r>
      <w:r w:rsidRPr="00433E67">
        <w:t>10.1080/14631377.2014.937107</w:t>
      </w:r>
    </w:p>
    <w:p w:rsidR="00AA788D" w:rsidRDefault="00AA788D" w:rsidP="007300EB">
      <w:proofErr w:type="spellStart"/>
      <w:r w:rsidRPr="00742F5E">
        <w:t>Seker</w:t>
      </w:r>
      <w:proofErr w:type="spellEnd"/>
      <w:r w:rsidRPr="00742F5E">
        <w:t>, M.</w:t>
      </w:r>
      <w:r>
        <w:t xml:space="preserve"> &amp;</w:t>
      </w:r>
      <w:r w:rsidRPr="00742F5E">
        <w:t xml:space="preserve"> J. S. Yang (2014)</w:t>
      </w:r>
      <w:r>
        <w:t>.</w:t>
      </w:r>
      <w:r w:rsidRPr="00742F5E">
        <w:t xml:space="preserve"> Bribery Solicitations and Firm Performance in the Latin America and Caribbean Region</w:t>
      </w:r>
      <w:r>
        <w:t>.</w:t>
      </w:r>
      <w:r w:rsidRPr="00742F5E">
        <w:t xml:space="preserve"> </w:t>
      </w:r>
      <w:r w:rsidRPr="00742F5E">
        <w:rPr>
          <w:i/>
        </w:rPr>
        <w:t>Journal of Comparative Economics</w:t>
      </w:r>
      <w:r w:rsidRPr="00742F5E">
        <w:t xml:space="preserve">, </w:t>
      </w:r>
      <w:r>
        <w:t xml:space="preserve">42, </w:t>
      </w:r>
      <w:r w:rsidRPr="00742F5E">
        <w:t>246-264</w:t>
      </w:r>
      <w:r>
        <w:t xml:space="preserve">. </w:t>
      </w:r>
      <w:r w:rsidRPr="00352023">
        <w:rPr>
          <w:rFonts w:hint="eastAsia"/>
        </w:rPr>
        <w:t>DOI: 10.1016/j.jce.2013.05.004</w:t>
      </w:r>
    </w:p>
    <w:p w:rsidR="00AA788D" w:rsidRPr="0000217F" w:rsidRDefault="00AA788D" w:rsidP="00007221">
      <w:proofErr w:type="spellStart"/>
      <w:r w:rsidRPr="0000217F">
        <w:t>Serageldin</w:t>
      </w:r>
      <w:proofErr w:type="spellEnd"/>
      <w:r w:rsidRPr="0000217F">
        <w:t xml:space="preserve">, I. </w:t>
      </w:r>
      <w:r>
        <w:t>&amp;</w:t>
      </w:r>
      <w:r w:rsidRPr="0000217F">
        <w:t xml:space="preserve"> </w:t>
      </w:r>
      <w:proofErr w:type="spellStart"/>
      <w:r w:rsidRPr="0000217F">
        <w:t>Grootaert</w:t>
      </w:r>
      <w:proofErr w:type="spellEnd"/>
      <w:r>
        <w:t>, C.</w:t>
      </w:r>
      <w:r w:rsidRPr="0000217F">
        <w:t xml:space="preserve"> (2001)</w:t>
      </w:r>
      <w:r>
        <w:t>.</w:t>
      </w:r>
      <w:r w:rsidRPr="0000217F">
        <w:t xml:space="preserve"> Defining Social Capital: An Integrating View</w:t>
      </w:r>
      <w:r>
        <w:t>. In</w:t>
      </w:r>
      <w:r w:rsidRPr="0000217F">
        <w:t xml:space="preserve"> </w:t>
      </w:r>
      <w:r>
        <w:t xml:space="preserve">P. </w:t>
      </w:r>
      <w:proofErr w:type="spellStart"/>
      <w:r w:rsidRPr="0000217F">
        <w:t>Dasgupta</w:t>
      </w:r>
      <w:proofErr w:type="spellEnd"/>
      <w:r>
        <w:t xml:space="preserve"> &amp;</w:t>
      </w:r>
      <w:r w:rsidRPr="0000217F">
        <w:t xml:space="preserve"> I. </w:t>
      </w:r>
      <w:proofErr w:type="spellStart"/>
      <w:r w:rsidRPr="0000217F">
        <w:t>Serageldin</w:t>
      </w:r>
      <w:proofErr w:type="spellEnd"/>
      <w:r w:rsidRPr="0000217F">
        <w:t xml:space="preserve"> (</w:t>
      </w:r>
      <w:proofErr w:type="spellStart"/>
      <w:r w:rsidRPr="0000217F">
        <w:t>Eds</w:t>
      </w:r>
      <w:proofErr w:type="spellEnd"/>
      <w:r w:rsidRPr="0000217F">
        <w:t>)</w:t>
      </w:r>
      <w:r>
        <w:t>,</w:t>
      </w:r>
      <w:r w:rsidRPr="0000217F">
        <w:t xml:space="preserve"> </w:t>
      </w:r>
      <w:r w:rsidRPr="0000217F">
        <w:rPr>
          <w:i/>
        </w:rPr>
        <w:t>Social Capi</w:t>
      </w:r>
      <w:r>
        <w:rPr>
          <w:i/>
        </w:rPr>
        <w:t>tal: A Multifaceted Perspective</w:t>
      </w:r>
      <w:r w:rsidRPr="0000217F">
        <w:rPr>
          <w:i/>
        </w:rPr>
        <w:t xml:space="preserve"> </w:t>
      </w:r>
      <w:r>
        <w:t>(</w:t>
      </w:r>
      <w:r w:rsidRPr="0000217F">
        <w:t xml:space="preserve">pp. </w:t>
      </w:r>
      <w:r>
        <w:t>40-59).</w:t>
      </w:r>
      <w:r w:rsidRPr="0000217F">
        <w:t xml:space="preserve"> Washington</w:t>
      </w:r>
      <w:r>
        <w:t>,</w:t>
      </w:r>
      <w:r w:rsidRPr="0000217F">
        <w:t xml:space="preserve"> </w:t>
      </w:r>
      <w:r>
        <w:t>DC</w:t>
      </w:r>
      <w:r w:rsidRPr="0000217F">
        <w:t>: World Bank.</w:t>
      </w:r>
    </w:p>
    <w:p w:rsidR="00AA788D" w:rsidRDefault="00AA788D" w:rsidP="00007221">
      <w:pPr>
        <w:rPr>
          <w:i/>
        </w:rPr>
      </w:pPr>
      <w:proofErr w:type="spellStart"/>
      <w:r w:rsidRPr="0000217F">
        <w:t>Stiglitz</w:t>
      </w:r>
      <w:proofErr w:type="spellEnd"/>
      <w:r w:rsidRPr="0000217F">
        <w:t>, J. (2001</w:t>
      </w:r>
      <w:r>
        <w:t>).</w:t>
      </w:r>
      <w:r w:rsidRPr="0000217F">
        <w:t xml:space="preserve"> F</w:t>
      </w:r>
      <w:r>
        <w:t>ormal and Informal Institutions. In</w:t>
      </w:r>
      <w:r w:rsidRPr="0000217F">
        <w:t xml:space="preserve"> </w:t>
      </w:r>
      <w:r>
        <w:t xml:space="preserve">P. </w:t>
      </w:r>
      <w:proofErr w:type="spellStart"/>
      <w:r>
        <w:t>Dasgupta</w:t>
      </w:r>
      <w:proofErr w:type="spellEnd"/>
      <w:r>
        <w:t xml:space="preserve"> &amp; </w:t>
      </w:r>
      <w:r w:rsidRPr="0000217F">
        <w:t xml:space="preserve">I. </w:t>
      </w:r>
      <w:proofErr w:type="spellStart"/>
      <w:r w:rsidRPr="0000217F">
        <w:t>Serageldin</w:t>
      </w:r>
      <w:proofErr w:type="spellEnd"/>
      <w:r w:rsidRPr="0000217F">
        <w:t xml:space="preserve"> (</w:t>
      </w:r>
      <w:proofErr w:type="spellStart"/>
      <w:r w:rsidRPr="0000217F">
        <w:t>Eds</w:t>
      </w:r>
      <w:proofErr w:type="spellEnd"/>
      <w:r w:rsidRPr="0000217F">
        <w:t xml:space="preserve">) </w:t>
      </w:r>
      <w:r w:rsidRPr="0000217F">
        <w:rPr>
          <w:i/>
        </w:rPr>
        <w:t xml:space="preserve">Social Capital: A </w:t>
      </w:r>
      <w:r>
        <w:rPr>
          <w:i/>
        </w:rPr>
        <w:t>Multifaceted Perspective</w:t>
      </w:r>
      <w:r w:rsidRPr="0000217F">
        <w:rPr>
          <w:i/>
        </w:rPr>
        <w:t xml:space="preserve"> </w:t>
      </w:r>
      <w:r>
        <w:t>(</w:t>
      </w:r>
      <w:r w:rsidRPr="0000217F">
        <w:t>pp. 59-71</w:t>
      </w:r>
      <w:r>
        <w:t>).</w:t>
      </w:r>
      <w:r w:rsidRPr="0000217F">
        <w:t xml:space="preserve"> Washington</w:t>
      </w:r>
      <w:r>
        <w:t>,</w:t>
      </w:r>
      <w:r w:rsidRPr="0000217F">
        <w:t xml:space="preserve"> </w:t>
      </w:r>
      <w:r>
        <w:t>DC</w:t>
      </w:r>
      <w:r w:rsidRPr="0000217F">
        <w:t>: World Bank.</w:t>
      </w:r>
    </w:p>
    <w:p w:rsidR="00AA788D" w:rsidRDefault="00AA788D" w:rsidP="00007221">
      <w:r>
        <w:t xml:space="preserve">Weber, M. (1968). </w:t>
      </w:r>
      <w:r>
        <w:rPr>
          <w:i/>
        </w:rPr>
        <w:t xml:space="preserve">Economy and Society. </w:t>
      </w:r>
      <w:r>
        <w:t>Berkeley: University of California Press.</w:t>
      </w:r>
    </w:p>
    <w:p w:rsidR="00AA788D" w:rsidRPr="009E615D" w:rsidRDefault="00AA788D" w:rsidP="00007221">
      <w:r>
        <w:t>Williams, R. (2012).</w:t>
      </w:r>
      <w:r w:rsidRPr="000E1B48">
        <w:t xml:space="preserve"> Using the Margins Command to Estimate and Interpret Adjusted Predictions and </w:t>
      </w:r>
      <w:r>
        <w:t>Marginal Effects.</w:t>
      </w:r>
      <w:r w:rsidRPr="000E1B48">
        <w:t xml:space="preserve"> </w:t>
      </w:r>
      <w:proofErr w:type="spellStart"/>
      <w:r w:rsidRPr="00DE3BCF">
        <w:rPr>
          <w:i/>
        </w:rPr>
        <w:t>Stata</w:t>
      </w:r>
      <w:proofErr w:type="spellEnd"/>
      <w:r w:rsidRPr="00DE3BCF">
        <w:rPr>
          <w:i/>
        </w:rPr>
        <w:t xml:space="preserve"> Journal</w:t>
      </w:r>
      <w:r w:rsidRPr="000E1B48">
        <w:t>,</w:t>
      </w:r>
      <w:r w:rsidRPr="00D33D4E">
        <w:t xml:space="preserve"> </w:t>
      </w:r>
      <w:r>
        <w:t>12 (</w:t>
      </w:r>
      <w:r w:rsidRPr="000E1B48">
        <w:t>2</w:t>
      </w:r>
      <w:r>
        <w:t>)</w:t>
      </w:r>
      <w:r w:rsidRPr="000E1B48">
        <w:t>, 308–331.</w:t>
      </w:r>
      <w:r>
        <w:t xml:space="preserve"> Retrieved from </w:t>
      </w:r>
      <w:r w:rsidRPr="00096144">
        <w:t>http://www.stata-journal.com/article.html?article=st0260</w:t>
      </w:r>
      <w:r>
        <w:t>.</w:t>
      </w:r>
    </w:p>
    <w:p w:rsidR="00AA788D" w:rsidRDefault="00AA788D" w:rsidP="00007221">
      <w:r w:rsidRPr="0000217F">
        <w:t>Wooldridge, J. M. (2002)</w:t>
      </w:r>
      <w:r>
        <w:t>.</w:t>
      </w:r>
      <w:r w:rsidRPr="0000217F">
        <w:t xml:space="preserve"> </w:t>
      </w:r>
      <w:r w:rsidRPr="0000217F">
        <w:rPr>
          <w:i/>
        </w:rPr>
        <w:t>Econometric Analysis of Cross Section and Panel Data</w:t>
      </w:r>
      <w:r>
        <w:rPr>
          <w:i/>
        </w:rPr>
        <w:t>.</w:t>
      </w:r>
      <w:r w:rsidRPr="0000217F">
        <w:t xml:space="preserve"> Cambridge, MA: MIT Press.</w:t>
      </w:r>
    </w:p>
    <w:p w:rsidR="00AA788D" w:rsidRPr="00B60BC3" w:rsidRDefault="00AA788D" w:rsidP="00007221">
      <w:r w:rsidRPr="00B60BC3">
        <w:t>Wooldridge, J. M. (2006)</w:t>
      </w:r>
      <w:r>
        <w:t>.</w:t>
      </w:r>
      <w:r w:rsidRPr="00B60BC3">
        <w:t xml:space="preserve"> Introductory Econometrics: A Modern Approach (4th ed.). London: South-Western. </w:t>
      </w:r>
    </w:p>
    <w:p w:rsidR="00AA788D" w:rsidRDefault="00AA788D" w:rsidP="008C369F">
      <w:r>
        <w:t xml:space="preserve">World Bank. (2003). </w:t>
      </w:r>
      <w:r w:rsidRPr="0000217F">
        <w:rPr>
          <w:i/>
        </w:rPr>
        <w:t>Uzbekista</w:t>
      </w:r>
      <w:r>
        <w:rPr>
          <w:i/>
        </w:rPr>
        <w:t>n: Energy Sector. Issues, Analysis, and a</w:t>
      </w:r>
      <w:r w:rsidRPr="0000217F">
        <w:rPr>
          <w:i/>
        </w:rPr>
        <w:t>n Agenda for Reform</w:t>
      </w:r>
      <w:r>
        <w:rPr>
          <w:i/>
        </w:rPr>
        <w:t>.</w:t>
      </w:r>
      <w:r>
        <w:t xml:space="preserve"> Washington, DC</w:t>
      </w:r>
      <w:r w:rsidRPr="0000217F">
        <w:t>: World Bank.</w:t>
      </w:r>
    </w:p>
    <w:p w:rsidR="00AA788D" w:rsidRDefault="00AA788D" w:rsidP="008C369F">
      <w:pPr>
        <w:sectPr w:rsidR="00AA788D" w:rsidSect="004663F4">
          <w:pgSz w:w="11906" w:h="16838"/>
          <w:pgMar w:top="1440" w:right="1440" w:bottom="1440" w:left="1440" w:header="708" w:footer="708" w:gutter="0"/>
          <w:cols w:space="708"/>
          <w:docGrid w:linePitch="360"/>
        </w:sectPr>
      </w:pPr>
    </w:p>
    <w:p w:rsidR="00AA788D" w:rsidRDefault="00AA788D" w:rsidP="003D7F82">
      <w:pPr>
        <w:spacing w:after="0"/>
        <w:jc w:val="center"/>
        <w:rPr>
          <w:b/>
        </w:rPr>
      </w:pPr>
      <w:r w:rsidRPr="00EF41FB">
        <w:rPr>
          <w:b/>
        </w:rPr>
        <w:lastRenderedPageBreak/>
        <w:t>TABLES</w:t>
      </w:r>
      <w:r>
        <w:rPr>
          <w:b/>
        </w:rPr>
        <w:t>:</w:t>
      </w:r>
    </w:p>
    <w:tbl>
      <w:tblPr>
        <w:tblW w:w="12397" w:type="dxa"/>
        <w:tblInd w:w="93" w:type="dxa"/>
        <w:tblLook w:val="04A0"/>
      </w:tblPr>
      <w:tblGrid>
        <w:gridCol w:w="1714"/>
        <w:gridCol w:w="8052"/>
        <w:gridCol w:w="718"/>
        <w:gridCol w:w="906"/>
        <w:gridCol w:w="1007"/>
      </w:tblGrid>
      <w:tr w:rsidR="00AA788D" w:rsidRPr="009C2912" w:rsidTr="009C2912">
        <w:trPr>
          <w:trHeight w:val="300"/>
        </w:trPr>
        <w:tc>
          <w:tcPr>
            <w:tcW w:w="12397" w:type="dxa"/>
            <w:gridSpan w:val="5"/>
            <w:tcBorders>
              <w:top w:val="nil"/>
              <w:left w:val="nil"/>
              <w:bottom w:val="single" w:sz="4" w:space="0" w:color="auto"/>
              <w:right w:val="nil"/>
            </w:tcBorders>
            <w:shd w:val="clear" w:color="auto" w:fill="auto"/>
            <w:noWrap/>
            <w:vAlign w:val="bottom"/>
            <w:hideMark/>
          </w:tcPr>
          <w:p w:rsidR="00AA788D" w:rsidRPr="009C2912" w:rsidRDefault="00AA788D" w:rsidP="009C2912">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Table 1</w:t>
            </w:r>
            <w:r w:rsidRPr="009C2912">
              <w:rPr>
                <w:rFonts w:eastAsia="Times New Roman" w:cstheme="minorHAnsi"/>
                <w:b/>
                <w:bCs/>
                <w:color w:val="000000"/>
                <w:sz w:val="20"/>
                <w:szCs w:val="20"/>
                <w:lang w:eastAsia="en-GB"/>
              </w:rPr>
              <w:t xml:space="preserve">. Summary statistics of Main Variables </w:t>
            </w:r>
          </w:p>
        </w:tc>
      </w:tr>
      <w:tr w:rsidR="00AA788D" w:rsidRPr="009C2912" w:rsidTr="009C2912">
        <w:trPr>
          <w:trHeight w:val="300"/>
        </w:trPr>
        <w:tc>
          <w:tcPr>
            <w:tcW w:w="1714" w:type="dxa"/>
            <w:tcBorders>
              <w:top w:val="nil"/>
              <w:left w:val="nil"/>
              <w:bottom w:val="single" w:sz="4" w:space="0" w:color="auto"/>
              <w:right w:val="nil"/>
            </w:tcBorders>
            <w:shd w:val="clear" w:color="auto" w:fill="auto"/>
            <w:noWrap/>
            <w:vAlign w:val="bottom"/>
            <w:hideMark/>
          </w:tcPr>
          <w:p w:rsidR="00AA788D" w:rsidRPr="009C2912" w:rsidRDefault="00AA788D" w:rsidP="009C2912">
            <w:pPr>
              <w:spacing w:after="0" w:line="240" w:lineRule="auto"/>
              <w:jc w:val="center"/>
              <w:rPr>
                <w:rFonts w:eastAsia="Times New Roman" w:cstheme="minorHAnsi"/>
                <w:b/>
                <w:bCs/>
                <w:i/>
                <w:iCs/>
                <w:color w:val="000000"/>
                <w:sz w:val="20"/>
                <w:szCs w:val="20"/>
                <w:lang w:eastAsia="en-GB"/>
              </w:rPr>
            </w:pPr>
            <w:r w:rsidRPr="009C2912">
              <w:rPr>
                <w:rFonts w:eastAsia="Times New Roman" w:cstheme="minorHAnsi"/>
                <w:b/>
                <w:bCs/>
                <w:i/>
                <w:iCs/>
                <w:color w:val="000000"/>
                <w:sz w:val="20"/>
                <w:szCs w:val="20"/>
                <w:lang w:eastAsia="en-GB"/>
              </w:rPr>
              <w:t>Variables</w:t>
            </w:r>
          </w:p>
        </w:tc>
        <w:tc>
          <w:tcPr>
            <w:tcW w:w="8052" w:type="dxa"/>
            <w:tcBorders>
              <w:top w:val="nil"/>
              <w:left w:val="nil"/>
              <w:bottom w:val="single" w:sz="4" w:space="0" w:color="auto"/>
              <w:right w:val="nil"/>
            </w:tcBorders>
            <w:shd w:val="clear" w:color="auto" w:fill="auto"/>
            <w:noWrap/>
            <w:vAlign w:val="bottom"/>
            <w:hideMark/>
          </w:tcPr>
          <w:p w:rsidR="00AA788D" w:rsidRPr="009C2912" w:rsidRDefault="00AA788D" w:rsidP="009C2912">
            <w:pPr>
              <w:spacing w:after="0" w:line="240" w:lineRule="auto"/>
              <w:jc w:val="center"/>
              <w:rPr>
                <w:rFonts w:eastAsia="Times New Roman" w:cstheme="minorHAnsi"/>
                <w:b/>
                <w:bCs/>
                <w:i/>
                <w:iCs/>
                <w:color w:val="000000"/>
                <w:sz w:val="20"/>
                <w:szCs w:val="20"/>
                <w:lang w:eastAsia="en-GB"/>
              </w:rPr>
            </w:pPr>
            <w:r w:rsidRPr="009C2912">
              <w:rPr>
                <w:rFonts w:eastAsia="Times New Roman" w:cstheme="minorHAnsi"/>
                <w:b/>
                <w:bCs/>
                <w:i/>
                <w:iCs/>
                <w:color w:val="000000"/>
                <w:sz w:val="20"/>
                <w:szCs w:val="20"/>
                <w:lang w:eastAsia="en-GB"/>
              </w:rPr>
              <w:t>Description</w:t>
            </w:r>
          </w:p>
        </w:tc>
        <w:tc>
          <w:tcPr>
            <w:tcW w:w="718" w:type="dxa"/>
            <w:tcBorders>
              <w:top w:val="nil"/>
              <w:left w:val="nil"/>
              <w:bottom w:val="single" w:sz="4" w:space="0" w:color="auto"/>
              <w:right w:val="nil"/>
            </w:tcBorders>
            <w:shd w:val="clear" w:color="auto" w:fill="auto"/>
            <w:noWrap/>
            <w:vAlign w:val="bottom"/>
            <w:hideMark/>
          </w:tcPr>
          <w:p w:rsidR="00AA788D" w:rsidRPr="009C2912" w:rsidRDefault="00AA788D" w:rsidP="009C2912">
            <w:pPr>
              <w:spacing w:after="0" w:line="240" w:lineRule="auto"/>
              <w:jc w:val="center"/>
              <w:rPr>
                <w:rFonts w:eastAsia="Times New Roman" w:cstheme="minorHAnsi"/>
                <w:b/>
                <w:bCs/>
                <w:i/>
                <w:iCs/>
                <w:color w:val="000000"/>
                <w:sz w:val="20"/>
                <w:szCs w:val="20"/>
                <w:lang w:eastAsia="en-GB"/>
              </w:rPr>
            </w:pPr>
            <w:r w:rsidRPr="009C2912">
              <w:rPr>
                <w:rFonts w:eastAsia="Times New Roman" w:cstheme="minorHAnsi"/>
                <w:b/>
                <w:bCs/>
                <w:i/>
                <w:iCs/>
                <w:color w:val="000000"/>
                <w:sz w:val="20"/>
                <w:szCs w:val="20"/>
                <w:lang w:eastAsia="en-GB"/>
              </w:rPr>
              <w:t>μ</w:t>
            </w:r>
          </w:p>
        </w:tc>
        <w:tc>
          <w:tcPr>
            <w:tcW w:w="906" w:type="dxa"/>
            <w:tcBorders>
              <w:top w:val="nil"/>
              <w:left w:val="nil"/>
              <w:bottom w:val="single" w:sz="4" w:space="0" w:color="auto"/>
              <w:right w:val="nil"/>
            </w:tcBorders>
            <w:shd w:val="clear" w:color="auto" w:fill="auto"/>
            <w:vAlign w:val="bottom"/>
            <w:hideMark/>
          </w:tcPr>
          <w:p w:rsidR="00AA788D" w:rsidRPr="009C2912" w:rsidRDefault="00AA788D" w:rsidP="009C2912">
            <w:pPr>
              <w:spacing w:after="0" w:line="240" w:lineRule="auto"/>
              <w:jc w:val="center"/>
              <w:rPr>
                <w:rFonts w:eastAsia="Times New Roman" w:cstheme="minorHAnsi"/>
                <w:b/>
                <w:bCs/>
                <w:color w:val="000000"/>
                <w:sz w:val="20"/>
                <w:szCs w:val="20"/>
                <w:lang w:eastAsia="en-GB"/>
              </w:rPr>
            </w:pPr>
            <w:r w:rsidRPr="009C2912">
              <w:rPr>
                <w:rFonts w:eastAsia="Times New Roman" w:cstheme="minorHAnsi"/>
                <w:b/>
                <w:bCs/>
                <w:color w:val="000000"/>
                <w:sz w:val="20"/>
                <w:szCs w:val="20"/>
                <w:lang w:eastAsia="en-GB"/>
              </w:rPr>
              <w:t>σ</w:t>
            </w:r>
          </w:p>
        </w:tc>
        <w:tc>
          <w:tcPr>
            <w:tcW w:w="1007" w:type="dxa"/>
            <w:tcBorders>
              <w:top w:val="nil"/>
              <w:left w:val="nil"/>
              <w:bottom w:val="single" w:sz="4" w:space="0" w:color="auto"/>
              <w:right w:val="nil"/>
            </w:tcBorders>
            <w:shd w:val="clear" w:color="auto" w:fill="auto"/>
            <w:vAlign w:val="bottom"/>
            <w:hideMark/>
          </w:tcPr>
          <w:p w:rsidR="00AA788D" w:rsidRPr="009C2912" w:rsidRDefault="00AA788D" w:rsidP="009C2912">
            <w:pPr>
              <w:spacing w:after="0" w:line="240" w:lineRule="auto"/>
              <w:jc w:val="center"/>
              <w:rPr>
                <w:rFonts w:eastAsia="Times New Roman" w:cstheme="minorHAnsi"/>
                <w:b/>
                <w:bCs/>
                <w:i/>
                <w:iCs/>
                <w:color w:val="000000"/>
                <w:sz w:val="20"/>
                <w:szCs w:val="20"/>
                <w:lang w:eastAsia="en-GB"/>
              </w:rPr>
            </w:pPr>
            <w:r w:rsidRPr="009C2912">
              <w:rPr>
                <w:rFonts w:eastAsia="Times New Roman" w:cstheme="minorHAnsi"/>
                <w:b/>
                <w:bCs/>
                <w:i/>
                <w:iCs/>
                <w:color w:val="000000"/>
                <w:sz w:val="20"/>
                <w:szCs w:val="20"/>
                <w:lang w:eastAsia="en-GB"/>
              </w:rPr>
              <w:t>N</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frmfin_main</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SMEs obtained bank credit in the last five years,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0.21</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0.41</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498</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age</w:t>
            </w:r>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Age of SME's head in 2010</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42.81</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10.97</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age22</w:t>
            </w:r>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Age squared divided by 100</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19.53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9.71</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bsness_exper</w:t>
            </w:r>
            <w:proofErr w:type="spellEnd"/>
          </w:p>
        </w:tc>
        <w:tc>
          <w:tcPr>
            <w:tcW w:w="8052" w:type="dxa"/>
            <w:tcBorders>
              <w:top w:val="nil"/>
              <w:left w:val="nil"/>
              <w:bottom w:val="nil"/>
              <w:right w:val="nil"/>
            </w:tcBorders>
            <w:shd w:val="clear" w:color="auto" w:fill="auto"/>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Business experience, which is the age of SME in 2010, since the start-up</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8.13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11.26</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499</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bsness_exper22</w:t>
            </w:r>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proofErr w:type="spellStart"/>
            <w:r w:rsidRPr="009C2912">
              <w:rPr>
                <w:rFonts w:eastAsia="Times New Roman" w:cstheme="minorHAnsi"/>
                <w:color w:val="000000"/>
                <w:sz w:val="20"/>
                <w:szCs w:val="20"/>
                <w:lang w:eastAsia="en-GB"/>
              </w:rPr>
              <w:t>bsness_exper</w:t>
            </w:r>
            <w:proofErr w:type="spellEnd"/>
            <w:r w:rsidRPr="009C2912">
              <w:rPr>
                <w:rFonts w:eastAsia="Times New Roman" w:cstheme="minorHAnsi"/>
                <w:color w:val="000000"/>
                <w:sz w:val="20"/>
                <w:szCs w:val="20"/>
                <w:lang w:eastAsia="en-GB"/>
              </w:rPr>
              <w:t xml:space="preserve"> squared divided by 100</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1.93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7.19</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499</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educ</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SME head's education</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17.15</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2.95</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500</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lnsales</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Natural log of average sales revenues for the last six months</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15.43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1.85</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411</w:t>
            </w:r>
          </w:p>
        </w:tc>
      </w:tr>
      <w:tr w:rsidR="00AA788D" w:rsidRPr="009C2912" w:rsidTr="009C2912">
        <w:trPr>
          <w:trHeight w:val="265"/>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expnd_d</w:t>
            </w:r>
            <w:proofErr w:type="spellEnd"/>
          </w:p>
        </w:tc>
        <w:tc>
          <w:tcPr>
            <w:tcW w:w="8052" w:type="dxa"/>
            <w:tcBorders>
              <w:top w:val="nil"/>
              <w:left w:val="nil"/>
              <w:bottom w:val="nil"/>
              <w:right w:val="nil"/>
            </w:tcBorders>
            <w:shd w:val="clear" w:color="auto" w:fill="auto"/>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SMEs sales revenues increased  compared to the previous year,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0.59</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0.49</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439</w:t>
            </w:r>
          </w:p>
        </w:tc>
      </w:tr>
      <w:tr w:rsidR="00AA788D" w:rsidRPr="009C2912" w:rsidTr="00DB1207">
        <w:trPr>
          <w:trHeight w:val="41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cash1</w:t>
            </w:r>
          </w:p>
        </w:tc>
        <w:tc>
          <w:tcPr>
            <w:tcW w:w="8052" w:type="dxa"/>
            <w:tcBorders>
              <w:top w:val="nil"/>
              <w:left w:val="nil"/>
              <w:bottom w:val="nil"/>
              <w:right w:val="nil"/>
            </w:tcBorders>
            <w:shd w:val="clear" w:color="auto" w:fill="auto"/>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SMEs indicate the payment systems problems to be of at least some importance in constraining their operation and growth,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0.67</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0.47</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gender</w:t>
            </w:r>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SME's head if female,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0.17</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0.38</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tash</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Tashkent city,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0.60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0.49</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tash_obl</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Tashkent region,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0.20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0.40</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fergh</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Ferghana region,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0.20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0.40</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indust</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manufacturing or construction sectors,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0.49</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agri</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agricultural sector,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0.10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0.30</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srvs</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services sector,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0.30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0.46</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trd</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in the trade sector,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0.20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0.40</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needcr_main</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expressed a need for external finance,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0.53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0.50</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invstd</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undertook investment in business expansion,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0.70</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0.46</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crdappl1</w:t>
            </w:r>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applied for bank credit in the last five years,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0.37</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0.48</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DB1207">
        <w:trPr>
          <w:trHeight w:val="467"/>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gov_connect</w:t>
            </w:r>
            <w:proofErr w:type="spellEnd"/>
          </w:p>
        </w:tc>
        <w:tc>
          <w:tcPr>
            <w:tcW w:w="8052" w:type="dxa"/>
            <w:tcBorders>
              <w:top w:val="nil"/>
              <w:left w:val="nil"/>
              <w:bottom w:val="nil"/>
              <w:right w:val="nil"/>
            </w:tcBorders>
            <w:shd w:val="clear" w:color="auto" w:fill="auto"/>
            <w:vAlign w:val="bottom"/>
            <w:hideMark/>
          </w:tcPr>
          <w:p w:rsidR="00AA788D" w:rsidRPr="009C2912" w:rsidRDefault="00AA788D" w:rsidP="00606F85">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senior managers, and/or their friend</w:t>
            </w:r>
            <w:r>
              <w:rPr>
                <w:rFonts w:eastAsia="Times New Roman" w:cstheme="minorHAnsi"/>
                <w:color w:val="000000"/>
                <w:sz w:val="20"/>
                <w:szCs w:val="20"/>
                <w:lang w:eastAsia="en-GB"/>
              </w:rPr>
              <w:t>s and/or relatives held or still hold</w:t>
            </w:r>
            <w:r w:rsidRPr="009C2912">
              <w:rPr>
                <w:rFonts w:eastAsia="Times New Roman" w:cstheme="minorHAnsi"/>
                <w:color w:val="000000"/>
                <w:sz w:val="20"/>
                <w:szCs w:val="20"/>
                <w:lang w:eastAsia="en-GB"/>
              </w:rPr>
              <w:t xml:space="preserve"> a senior position with a government </w:t>
            </w:r>
            <w:r>
              <w:rPr>
                <w:rFonts w:eastAsia="Times New Roman" w:cstheme="minorHAnsi"/>
                <w:color w:val="000000"/>
                <w:sz w:val="20"/>
                <w:szCs w:val="20"/>
                <w:lang w:eastAsia="en-GB"/>
              </w:rPr>
              <w:t>institution</w:t>
            </w:r>
            <w:r w:rsidRPr="009C2912">
              <w:rPr>
                <w:rFonts w:eastAsia="Times New Roman" w:cstheme="minorHAnsi"/>
                <w:color w:val="000000"/>
                <w:sz w:val="20"/>
                <w:szCs w:val="20"/>
                <w:lang w:eastAsia="en-GB"/>
              </w:rPr>
              <w:t>,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0.21</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0.41</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498</w:t>
            </w:r>
          </w:p>
        </w:tc>
      </w:tr>
      <w:tr w:rsidR="00AA788D" w:rsidRPr="009C2912" w:rsidTr="00DB1207">
        <w:trPr>
          <w:trHeight w:val="432"/>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r w:rsidRPr="009C2912">
              <w:rPr>
                <w:rFonts w:eastAsia="Times New Roman" w:cstheme="minorHAnsi"/>
                <w:i/>
                <w:color w:val="000000"/>
                <w:sz w:val="20"/>
                <w:szCs w:val="20"/>
                <w:lang w:eastAsia="en-GB"/>
              </w:rPr>
              <w:t>bribe</w:t>
            </w:r>
          </w:p>
        </w:tc>
        <w:tc>
          <w:tcPr>
            <w:tcW w:w="8052" w:type="dxa"/>
            <w:tcBorders>
              <w:top w:val="nil"/>
              <w:left w:val="nil"/>
              <w:bottom w:val="nil"/>
              <w:right w:val="nil"/>
            </w:tcBorders>
            <w:shd w:val="clear" w:color="auto" w:fill="auto"/>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senior manager ever offered bribe to government officials to get things done,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0.33</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0.47</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453</w:t>
            </w:r>
          </w:p>
        </w:tc>
      </w:tr>
      <w:tr w:rsidR="00AA788D" w:rsidRPr="009C2912" w:rsidTr="009C2912">
        <w:trPr>
          <w:trHeight w:val="300"/>
        </w:trPr>
        <w:tc>
          <w:tcPr>
            <w:tcW w:w="1714"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i/>
                <w:color w:val="000000"/>
                <w:sz w:val="20"/>
                <w:szCs w:val="20"/>
                <w:lang w:eastAsia="en-GB"/>
              </w:rPr>
            </w:pPr>
            <w:proofErr w:type="spellStart"/>
            <w:r w:rsidRPr="009C2912">
              <w:rPr>
                <w:rFonts w:eastAsia="Times New Roman" w:cstheme="minorHAnsi"/>
                <w:i/>
                <w:color w:val="000000"/>
                <w:sz w:val="20"/>
                <w:szCs w:val="20"/>
                <w:lang w:eastAsia="en-GB"/>
              </w:rPr>
              <w:t>bzinbrpl</w:t>
            </w:r>
            <w:proofErr w:type="spellEnd"/>
          </w:p>
        </w:tc>
        <w:tc>
          <w:tcPr>
            <w:tcW w:w="8052"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1 if SME operates at the birthplace of SME's head, 0 otherwise</w:t>
            </w:r>
          </w:p>
        </w:tc>
        <w:tc>
          <w:tcPr>
            <w:tcW w:w="718"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0.77</w:t>
            </w:r>
          </w:p>
        </w:tc>
        <w:tc>
          <w:tcPr>
            <w:tcW w:w="906"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0.43</w:t>
            </w:r>
          </w:p>
        </w:tc>
        <w:tc>
          <w:tcPr>
            <w:tcW w:w="1007" w:type="dxa"/>
            <w:tcBorders>
              <w:top w:val="nil"/>
              <w:left w:val="nil"/>
              <w:bottom w:val="nil"/>
              <w:right w:val="nil"/>
            </w:tcBorders>
            <w:shd w:val="clear" w:color="auto" w:fill="auto"/>
            <w:noWrap/>
            <w:vAlign w:val="bottom"/>
            <w:hideMark/>
          </w:tcPr>
          <w:p w:rsidR="00AA788D" w:rsidRPr="009C2912" w:rsidRDefault="00AA788D" w:rsidP="009C2912">
            <w:pPr>
              <w:spacing w:after="0" w:line="240" w:lineRule="auto"/>
              <w:jc w:val="right"/>
              <w:rPr>
                <w:rFonts w:eastAsia="Times New Roman" w:cstheme="minorHAnsi"/>
                <w:color w:val="000000"/>
                <w:sz w:val="20"/>
                <w:szCs w:val="20"/>
                <w:lang w:eastAsia="en-GB"/>
              </w:rPr>
            </w:pPr>
            <w:r w:rsidRPr="009C2912">
              <w:rPr>
                <w:rFonts w:eastAsia="Times New Roman" w:cstheme="minorHAnsi"/>
                <w:color w:val="000000"/>
                <w:sz w:val="20"/>
                <w:szCs w:val="20"/>
                <w:lang w:eastAsia="en-GB"/>
              </w:rPr>
              <w:t>502</w:t>
            </w:r>
          </w:p>
        </w:tc>
      </w:tr>
      <w:tr w:rsidR="00AA788D" w:rsidRPr="009C2912" w:rsidTr="009C2912">
        <w:trPr>
          <w:trHeight w:val="300"/>
        </w:trPr>
        <w:tc>
          <w:tcPr>
            <w:tcW w:w="12397" w:type="dxa"/>
            <w:gridSpan w:val="5"/>
            <w:tcBorders>
              <w:top w:val="single" w:sz="4" w:space="0" w:color="auto"/>
              <w:left w:val="nil"/>
              <w:bottom w:val="nil"/>
              <w:right w:val="nil"/>
            </w:tcBorders>
            <w:shd w:val="clear" w:color="auto" w:fill="auto"/>
            <w:noWrap/>
            <w:vAlign w:val="bottom"/>
            <w:hideMark/>
          </w:tcPr>
          <w:p w:rsidR="00AA788D" w:rsidRPr="009C2912" w:rsidRDefault="00AA788D" w:rsidP="009C2912">
            <w:pPr>
              <w:spacing w:after="0" w:line="240" w:lineRule="auto"/>
              <w:rPr>
                <w:rFonts w:eastAsia="Times New Roman" w:cstheme="minorHAnsi"/>
                <w:color w:val="000000"/>
                <w:sz w:val="20"/>
                <w:szCs w:val="20"/>
                <w:lang w:eastAsia="en-GB"/>
              </w:rPr>
            </w:pPr>
            <w:r w:rsidRPr="009C2912">
              <w:rPr>
                <w:rFonts w:eastAsia="Times New Roman" w:cstheme="minorHAnsi"/>
                <w:color w:val="000000"/>
                <w:sz w:val="20"/>
                <w:szCs w:val="20"/>
                <w:lang w:eastAsia="en-GB"/>
              </w:rPr>
              <w:t>Note: μ refers to mean and σ to standard deviation; N is the number of observations</w:t>
            </w:r>
            <w:r>
              <w:rPr>
                <w:rFonts w:eastAsia="Times New Roman" w:cstheme="minorHAnsi"/>
                <w:color w:val="000000"/>
                <w:sz w:val="20"/>
                <w:szCs w:val="20"/>
                <w:lang w:eastAsia="en-GB"/>
              </w:rPr>
              <w:t>.</w:t>
            </w:r>
          </w:p>
        </w:tc>
      </w:tr>
    </w:tbl>
    <w:p w:rsidR="00AA788D" w:rsidRDefault="00AA788D">
      <w:pPr>
        <w:rPr>
          <w:b/>
        </w:rPr>
        <w:sectPr w:rsidR="00AA788D" w:rsidSect="00AA788D">
          <w:pgSz w:w="16838" w:h="11906" w:orient="landscape"/>
          <w:pgMar w:top="1440" w:right="1440" w:bottom="1440" w:left="1440" w:header="708" w:footer="708" w:gutter="0"/>
          <w:cols w:space="708"/>
          <w:docGrid w:linePitch="360"/>
        </w:sectPr>
      </w:pPr>
    </w:p>
    <w:p w:rsidR="00AA788D" w:rsidRDefault="00AA788D">
      <w:pPr>
        <w:rPr>
          <w:b/>
        </w:rPr>
      </w:pPr>
    </w:p>
    <w:tbl>
      <w:tblPr>
        <w:tblW w:w="9161" w:type="dxa"/>
        <w:jc w:val="center"/>
        <w:tblInd w:w="93" w:type="dxa"/>
        <w:tblLook w:val="04A0"/>
      </w:tblPr>
      <w:tblGrid>
        <w:gridCol w:w="1953"/>
        <w:gridCol w:w="708"/>
        <w:gridCol w:w="993"/>
        <w:gridCol w:w="935"/>
        <w:gridCol w:w="708"/>
        <w:gridCol w:w="993"/>
        <w:gridCol w:w="881"/>
        <w:gridCol w:w="1990"/>
      </w:tblGrid>
      <w:tr w:rsidR="00AA788D" w:rsidRPr="00DB1207" w:rsidTr="00DB1207">
        <w:trPr>
          <w:trHeight w:val="300"/>
          <w:jc w:val="center"/>
        </w:trPr>
        <w:tc>
          <w:tcPr>
            <w:tcW w:w="9161" w:type="dxa"/>
            <w:gridSpan w:val="8"/>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Table 2</w:t>
            </w:r>
            <w:r w:rsidRPr="00DB1207">
              <w:rPr>
                <w:rFonts w:eastAsia="Times New Roman" w:cstheme="minorHAnsi"/>
                <w:b/>
                <w:bCs/>
                <w:color w:val="000000"/>
                <w:sz w:val="20"/>
                <w:szCs w:val="20"/>
                <w:lang w:eastAsia="en-GB"/>
              </w:rPr>
              <w:t xml:space="preserve">. Summary statistics of Main Variables by Government Connections </w:t>
            </w:r>
          </w:p>
        </w:tc>
      </w:tr>
      <w:tr w:rsidR="00AA788D" w:rsidRPr="00DB1207" w:rsidTr="00DB1207">
        <w:trPr>
          <w:trHeight w:val="547"/>
          <w:jc w:val="center"/>
        </w:trPr>
        <w:tc>
          <w:tcPr>
            <w:tcW w:w="1953"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color w:val="000000"/>
                <w:sz w:val="20"/>
                <w:szCs w:val="20"/>
                <w:lang w:eastAsia="en-GB"/>
              </w:rPr>
            </w:pPr>
            <w:r w:rsidRPr="00DB1207">
              <w:rPr>
                <w:rFonts w:eastAsia="Times New Roman" w:cstheme="minorHAnsi"/>
                <w:color w:val="000000"/>
                <w:sz w:val="20"/>
                <w:szCs w:val="20"/>
                <w:lang w:eastAsia="en-GB"/>
              </w:rPr>
              <w:t> </w:t>
            </w:r>
          </w:p>
        </w:tc>
        <w:tc>
          <w:tcPr>
            <w:tcW w:w="2636" w:type="dxa"/>
            <w:gridSpan w:val="3"/>
            <w:tcBorders>
              <w:top w:val="single" w:sz="4" w:space="0" w:color="auto"/>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SMEs without Government Connections</w:t>
            </w:r>
          </w:p>
        </w:tc>
        <w:tc>
          <w:tcPr>
            <w:tcW w:w="2582" w:type="dxa"/>
            <w:gridSpan w:val="3"/>
            <w:tcBorders>
              <w:top w:val="single" w:sz="4" w:space="0" w:color="auto"/>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SMEs with Government Connections</w:t>
            </w:r>
          </w:p>
        </w:tc>
        <w:tc>
          <w:tcPr>
            <w:tcW w:w="1990" w:type="dxa"/>
            <w:tcBorders>
              <w:top w:val="nil"/>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Difference between the Means</w:t>
            </w:r>
          </w:p>
        </w:tc>
      </w:tr>
      <w:tr w:rsidR="00AA788D" w:rsidRPr="00DB1207" w:rsidTr="00DB1207">
        <w:trPr>
          <w:trHeight w:val="360"/>
          <w:jc w:val="center"/>
        </w:trPr>
        <w:tc>
          <w:tcPr>
            <w:tcW w:w="1953"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Variables</w:t>
            </w:r>
          </w:p>
        </w:tc>
        <w:tc>
          <w:tcPr>
            <w:tcW w:w="708"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proofErr w:type="spellStart"/>
            <w:r w:rsidRPr="00DB1207">
              <w:rPr>
                <w:rFonts w:eastAsia="Times New Roman" w:cstheme="minorHAnsi"/>
                <w:b/>
                <w:bCs/>
                <w:i/>
                <w:iCs/>
                <w:color w:val="000000"/>
                <w:sz w:val="20"/>
                <w:szCs w:val="20"/>
                <w:lang w:eastAsia="en-GB"/>
              </w:rPr>
              <w:t>μ</w:t>
            </w:r>
            <w:r w:rsidRPr="00DB1207">
              <w:rPr>
                <w:rFonts w:eastAsia="Times New Roman" w:cstheme="minorHAnsi"/>
                <w:b/>
                <w:bCs/>
                <w:i/>
                <w:iCs/>
                <w:color w:val="000000"/>
                <w:sz w:val="20"/>
                <w:szCs w:val="20"/>
                <w:vertAlign w:val="subscript"/>
                <w:lang w:eastAsia="en-GB"/>
              </w:rPr>
              <w:t>N</w:t>
            </w:r>
            <w:proofErr w:type="spellEnd"/>
          </w:p>
        </w:tc>
        <w:tc>
          <w:tcPr>
            <w:tcW w:w="993" w:type="dxa"/>
            <w:tcBorders>
              <w:top w:val="nil"/>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color w:val="000000"/>
                <w:sz w:val="20"/>
                <w:szCs w:val="20"/>
                <w:lang w:eastAsia="en-GB"/>
              </w:rPr>
            </w:pPr>
            <w:proofErr w:type="spellStart"/>
            <w:r w:rsidRPr="00DB1207">
              <w:rPr>
                <w:rFonts w:eastAsia="Times New Roman" w:cstheme="minorHAnsi"/>
                <w:b/>
                <w:bCs/>
                <w:color w:val="000000"/>
                <w:sz w:val="20"/>
                <w:szCs w:val="20"/>
                <w:lang w:eastAsia="en-GB"/>
              </w:rPr>
              <w:t>σ</w:t>
            </w:r>
            <w:r w:rsidRPr="00DB1207">
              <w:rPr>
                <w:rFonts w:eastAsia="Times New Roman" w:cstheme="minorHAnsi"/>
                <w:b/>
                <w:bCs/>
                <w:color w:val="000000"/>
                <w:sz w:val="20"/>
                <w:szCs w:val="20"/>
                <w:vertAlign w:val="subscript"/>
                <w:lang w:eastAsia="en-GB"/>
              </w:rPr>
              <w:t>N</w:t>
            </w:r>
            <w:proofErr w:type="spellEnd"/>
          </w:p>
        </w:tc>
        <w:tc>
          <w:tcPr>
            <w:tcW w:w="935" w:type="dxa"/>
            <w:tcBorders>
              <w:top w:val="nil"/>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N</w:t>
            </w:r>
            <w:r w:rsidRPr="00DB1207">
              <w:rPr>
                <w:rFonts w:eastAsia="Times New Roman" w:cstheme="minorHAnsi"/>
                <w:b/>
                <w:bCs/>
                <w:i/>
                <w:iCs/>
                <w:color w:val="000000"/>
                <w:sz w:val="20"/>
                <w:szCs w:val="20"/>
                <w:vertAlign w:val="subscript"/>
                <w:lang w:eastAsia="en-GB"/>
              </w:rPr>
              <w:t>N</w:t>
            </w:r>
          </w:p>
        </w:tc>
        <w:tc>
          <w:tcPr>
            <w:tcW w:w="708"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proofErr w:type="spellStart"/>
            <w:r w:rsidRPr="00DB1207">
              <w:rPr>
                <w:rFonts w:eastAsia="Times New Roman" w:cstheme="minorHAnsi"/>
                <w:b/>
                <w:bCs/>
                <w:i/>
                <w:iCs/>
                <w:color w:val="000000"/>
                <w:sz w:val="20"/>
                <w:szCs w:val="20"/>
                <w:lang w:eastAsia="en-GB"/>
              </w:rPr>
              <w:t>μ</w:t>
            </w:r>
            <w:r w:rsidRPr="00DB1207">
              <w:rPr>
                <w:rFonts w:eastAsia="Times New Roman" w:cstheme="minorHAnsi"/>
                <w:b/>
                <w:bCs/>
                <w:i/>
                <w:iCs/>
                <w:color w:val="000000"/>
                <w:sz w:val="20"/>
                <w:szCs w:val="20"/>
                <w:vertAlign w:val="subscript"/>
                <w:lang w:eastAsia="en-GB"/>
              </w:rPr>
              <w:t>G</w:t>
            </w:r>
            <w:proofErr w:type="spellEnd"/>
          </w:p>
        </w:tc>
        <w:tc>
          <w:tcPr>
            <w:tcW w:w="993" w:type="dxa"/>
            <w:tcBorders>
              <w:top w:val="nil"/>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color w:val="000000"/>
                <w:sz w:val="20"/>
                <w:szCs w:val="20"/>
                <w:lang w:eastAsia="en-GB"/>
              </w:rPr>
            </w:pPr>
            <w:proofErr w:type="spellStart"/>
            <w:r w:rsidRPr="00DB1207">
              <w:rPr>
                <w:rFonts w:eastAsia="Times New Roman" w:cstheme="minorHAnsi"/>
                <w:b/>
                <w:bCs/>
                <w:color w:val="000000"/>
                <w:sz w:val="20"/>
                <w:szCs w:val="20"/>
                <w:lang w:eastAsia="en-GB"/>
              </w:rPr>
              <w:t>σ</w:t>
            </w:r>
            <w:r w:rsidRPr="00DB1207">
              <w:rPr>
                <w:rFonts w:eastAsia="Times New Roman" w:cstheme="minorHAnsi"/>
                <w:b/>
                <w:bCs/>
                <w:color w:val="000000"/>
                <w:sz w:val="20"/>
                <w:szCs w:val="20"/>
                <w:vertAlign w:val="subscript"/>
                <w:lang w:eastAsia="en-GB"/>
              </w:rPr>
              <w:t>G</w:t>
            </w:r>
            <w:proofErr w:type="spellEnd"/>
          </w:p>
        </w:tc>
        <w:tc>
          <w:tcPr>
            <w:tcW w:w="881" w:type="dxa"/>
            <w:tcBorders>
              <w:top w:val="nil"/>
              <w:left w:val="nil"/>
              <w:bottom w:val="single" w:sz="4" w:space="0" w:color="auto"/>
              <w:right w:val="nil"/>
            </w:tcBorders>
            <w:shd w:val="clear" w:color="auto" w:fill="auto"/>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r w:rsidRPr="00DB1207">
              <w:rPr>
                <w:rFonts w:eastAsia="Times New Roman" w:cstheme="minorHAnsi"/>
                <w:b/>
                <w:bCs/>
                <w:i/>
                <w:iCs/>
                <w:color w:val="000000"/>
                <w:sz w:val="20"/>
                <w:szCs w:val="20"/>
                <w:lang w:eastAsia="en-GB"/>
              </w:rPr>
              <w:t>N</w:t>
            </w:r>
            <w:r w:rsidRPr="00DB1207">
              <w:rPr>
                <w:rFonts w:eastAsia="Times New Roman" w:cstheme="minorHAnsi"/>
                <w:b/>
                <w:bCs/>
                <w:i/>
                <w:iCs/>
                <w:color w:val="000000"/>
                <w:sz w:val="20"/>
                <w:szCs w:val="20"/>
                <w:vertAlign w:val="subscript"/>
                <w:lang w:eastAsia="en-GB"/>
              </w:rPr>
              <w:t>G</w:t>
            </w:r>
          </w:p>
        </w:tc>
        <w:tc>
          <w:tcPr>
            <w:tcW w:w="1990"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b/>
                <w:bCs/>
                <w:i/>
                <w:iCs/>
                <w:color w:val="000000"/>
                <w:sz w:val="20"/>
                <w:szCs w:val="20"/>
                <w:lang w:eastAsia="en-GB"/>
              </w:rPr>
            </w:pPr>
            <w:proofErr w:type="spellStart"/>
            <w:r w:rsidRPr="00DB1207">
              <w:rPr>
                <w:rFonts w:eastAsia="Times New Roman" w:cstheme="minorHAnsi"/>
                <w:b/>
                <w:bCs/>
                <w:i/>
                <w:iCs/>
                <w:color w:val="000000"/>
                <w:sz w:val="20"/>
                <w:szCs w:val="20"/>
                <w:lang w:eastAsia="en-GB"/>
              </w:rPr>
              <w:t>μ</w:t>
            </w:r>
            <w:r w:rsidRPr="00DB1207">
              <w:rPr>
                <w:rFonts w:eastAsia="Times New Roman" w:cstheme="minorHAnsi"/>
                <w:b/>
                <w:bCs/>
                <w:i/>
                <w:iCs/>
                <w:color w:val="000000"/>
                <w:sz w:val="20"/>
                <w:szCs w:val="20"/>
                <w:vertAlign w:val="subscript"/>
                <w:lang w:eastAsia="en-GB"/>
              </w:rPr>
              <w:t>N</w:t>
            </w:r>
            <w:proofErr w:type="spellEnd"/>
            <w:r w:rsidRPr="00DB1207">
              <w:rPr>
                <w:rFonts w:eastAsia="Times New Roman" w:cstheme="minorHAnsi"/>
                <w:b/>
                <w:bCs/>
                <w:i/>
                <w:iCs/>
                <w:color w:val="000000"/>
                <w:sz w:val="20"/>
                <w:szCs w:val="20"/>
                <w:lang w:eastAsia="en-GB"/>
              </w:rPr>
              <w:t xml:space="preserve"> - </w:t>
            </w:r>
            <w:proofErr w:type="spellStart"/>
            <w:r w:rsidRPr="00DB1207">
              <w:rPr>
                <w:rFonts w:eastAsia="Times New Roman" w:cstheme="minorHAnsi"/>
                <w:b/>
                <w:bCs/>
                <w:i/>
                <w:iCs/>
                <w:color w:val="000000"/>
                <w:sz w:val="20"/>
                <w:szCs w:val="20"/>
                <w:lang w:eastAsia="en-GB"/>
              </w:rPr>
              <w:t>μ</w:t>
            </w:r>
            <w:r w:rsidRPr="00DB1207">
              <w:rPr>
                <w:rFonts w:eastAsia="Times New Roman" w:cstheme="minorHAnsi"/>
                <w:b/>
                <w:bCs/>
                <w:i/>
                <w:iCs/>
                <w:color w:val="000000"/>
                <w:sz w:val="20"/>
                <w:szCs w:val="20"/>
                <w:vertAlign w:val="subscript"/>
                <w:lang w:eastAsia="en-GB"/>
              </w:rPr>
              <w:t>G</w:t>
            </w:r>
            <w:proofErr w:type="spellEnd"/>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frmfin_main</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0.19</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0.39</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382</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0.29</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0.46</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-0.10**</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Age</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42.61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10.96</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43.35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11.38</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31.65</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age22</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19.35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9.66</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20.01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10.23</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-0.66</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bsness_exper</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7.61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9.66</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384</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10.45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15.96</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105</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-2.84**</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bsness_exper22</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1.51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4.9</w:t>
            </w:r>
            <w:r>
              <w:rPr>
                <w:rFonts w:eastAsia="Times New Roman" w:cstheme="minorHAnsi"/>
                <w:color w:val="000000"/>
                <w:sz w:val="20"/>
                <w:szCs w:val="20"/>
                <w:lang w:eastAsia="en-GB"/>
              </w:rPr>
              <w:t>0</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384</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3.62</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12.47</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105</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-2.11***</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Educ</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17.08</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2.96</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384</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17.22</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3.02</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-0.14</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Lnsales</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15.35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1.85</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307</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15.61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1.84</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95</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-0.26</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expnd_d</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0.59</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0.49</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332</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0.63</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0.49</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98</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-0.04</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cash1</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0.67</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0.47</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0.64</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0.48</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0.03</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Gender</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0.18</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0.39</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0.13</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0.34</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0.05</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tash</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0.48</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0.49</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0.25***</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tash_obl</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0.18</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0.38</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0.46</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-0.12***</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fergh</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0.18</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0.38</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0.46</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-0.12***</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indust</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0.50</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0.49</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-0.01</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agri</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0.09</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0.29</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0.14</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0.35</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-0.05</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srvs</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0.46</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0.47</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-0.01</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trd</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0.22</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0.41</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0.14</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0.35</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0.08*</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needcr_main</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0.54</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0.50</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0.51</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0.50</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0.03</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invstd</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0.67</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0.47</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0.80</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0.40</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-0.13***</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crdappl1</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0.35</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0.48</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0.46</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0.50</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-0.11**</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r w:rsidRPr="00DB1207">
              <w:rPr>
                <w:rFonts w:eastAsia="Times New Roman" w:cstheme="minorHAnsi"/>
                <w:i/>
                <w:color w:val="000000"/>
                <w:sz w:val="20"/>
                <w:szCs w:val="20"/>
                <w:lang w:eastAsia="en-GB"/>
              </w:rPr>
              <w:t>bribe</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0.33</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0.47</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346</w:t>
            </w:r>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0.34</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0.48</w:t>
            </w:r>
          </w:p>
        </w:tc>
        <w:tc>
          <w:tcPr>
            <w:tcW w:w="881"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99</w:t>
            </w:r>
          </w:p>
        </w:tc>
        <w:tc>
          <w:tcPr>
            <w:tcW w:w="1990"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-0.01</w:t>
            </w:r>
          </w:p>
        </w:tc>
      </w:tr>
      <w:tr w:rsidR="00AA788D" w:rsidRPr="00DB1207" w:rsidTr="00DB1207">
        <w:trPr>
          <w:trHeight w:val="300"/>
          <w:jc w:val="center"/>
        </w:trPr>
        <w:tc>
          <w:tcPr>
            <w:tcW w:w="195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rPr>
                <w:rFonts w:eastAsia="Times New Roman" w:cstheme="minorHAnsi"/>
                <w:i/>
                <w:color w:val="000000"/>
                <w:sz w:val="20"/>
                <w:szCs w:val="20"/>
                <w:lang w:eastAsia="en-GB"/>
              </w:rPr>
            </w:pPr>
            <w:proofErr w:type="spellStart"/>
            <w:r w:rsidRPr="00DB1207">
              <w:rPr>
                <w:rFonts w:eastAsia="Times New Roman" w:cstheme="minorHAnsi"/>
                <w:i/>
                <w:color w:val="000000"/>
                <w:sz w:val="20"/>
                <w:szCs w:val="20"/>
                <w:lang w:eastAsia="en-GB"/>
              </w:rPr>
              <w:t>bzinbrpl</w:t>
            </w:r>
            <w:proofErr w:type="spellEnd"/>
          </w:p>
        </w:tc>
        <w:tc>
          <w:tcPr>
            <w:tcW w:w="708"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0.78</w:t>
            </w:r>
          </w:p>
        </w:tc>
        <w:tc>
          <w:tcPr>
            <w:tcW w:w="993"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0.41</w:t>
            </w:r>
          </w:p>
        </w:tc>
        <w:tc>
          <w:tcPr>
            <w:tcW w:w="935" w:type="dxa"/>
            <w:tcBorders>
              <w:top w:val="nil"/>
              <w:left w:val="nil"/>
              <w:bottom w:val="nil"/>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386</w:t>
            </w:r>
          </w:p>
        </w:tc>
        <w:tc>
          <w:tcPr>
            <w:tcW w:w="708"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0.73</w:t>
            </w:r>
          </w:p>
        </w:tc>
        <w:tc>
          <w:tcPr>
            <w:tcW w:w="993"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0.45</w:t>
            </w:r>
          </w:p>
        </w:tc>
        <w:tc>
          <w:tcPr>
            <w:tcW w:w="881"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106</w:t>
            </w:r>
          </w:p>
        </w:tc>
        <w:tc>
          <w:tcPr>
            <w:tcW w:w="1990" w:type="dxa"/>
            <w:tcBorders>
              <w:top w:val="nil"/>
              <w:left w:val="nil"/>
              <w:bottom w:val="single" w:sz="4" w:space="0" w:color="auto"/>
              <w:right w:val="nil"/>
            </w:tcBorders>
            <w:shd w:val="clear" w:color="auto" w:fill="auto"/>
            <w:noWrap/>
            <w:vAlign w:val="bottom"/>
            <w:hideMark/>
          </w:tcPr>
          <w:p w:rsidR="00AA788D" w:rsidRPr="00DB1207" w:rsidRDefault="00AA788D" w:rsidP="00DB1207">
            <w:pPr>
              <w:spacing w:after="0" w:line="240" w:lineRule="auto"/>
              <w:jc w:val="center"/>
              <w:rPr>
                <w:rFonts w:eastAsia="Times New Roman" w:cstheme="minorHAnsi"/>
                <w:color w:val="000000"/>
                <w:sz w:val="20"/>
                <w:szCs w:val="20"/>
                <w:lang w:eastAsia="en-GB"/>
              </w:rPr>
            </w:pPr>
            <w:r w:rsidRPr="00DB1207">
              <w:rPr>
                <w:rFonts w:eastAsia="Times New Roman" w:cstheme="minorHAnsi"/>
                <w:color w:val="000000"/>
                <w:sz w:val="20"/>
                <w:szCs w:val="20"/>
                <w:lang w:eastAsia="en-GB"/>
              </w:rPr>
              <w:t>0.05</w:t>
            </w:r>
          </w:p>
        </w:tc>
      </w:tr>
      <w:tr w:rsidR="00AA788D" w:rsidRPr="00DB1207" w:rsidTr="00DB1207">
        <w:trPr>
          <w:trHeight w:val="540"/>
          <w:jc w:val="center"/>
        </w:trPr>
        <w:tc>
          <w:tcPr>
            <w:tcW w:w="9161" w:type="dxa"/>
            <w:gridSpan w:val="8"/>
            <w:tcBorders>
              <w:top w:val="single" w:sz="4" w:space="0" w:color="auto"/>
              <w:left w:val="nil"/>
              <w:bottom w:val="nil"/>
              <w:right w:val="nil"/>
            </w:tcBorders>
            <w:shd w:val="clear" w:color="auto" w:fill="auto"/>
            <w:vAlign w:val="bottom"/>
            <w:hideMark/>
          </w:tcPr>
          <w:p w:rsidR="00AA788D" w:rsidRPr="00DB1207" w:rsidRDefault="00AA788D" w:rsidP="00DB1207">
            <w:pPr>
              <w:spacing w:after="0" w:line="240" w:lineRule="auto"/>
              <w:rPr>
                <w:rFonts w:eastAsia="Times New Roman" w:cstheme="minorHAnsi"/>
                <w:color w:val="000000"/>
                <w:sz w:val="20"/>
                <w:szCs w:val="20"/>
                <w:lang w:eastAsia="en-GB"/>
              </w:rPr>
            </w:pPr>
            <w:r w:rsidRPr="00DB1207">
              <w:rPr>
                <w:rFonts w:eastAsia="Times New Roman" w:cstheme="minorHAnsi"/>
                <w:color w:val="000000"/>
                <w:sz w:val="20"/>
                <w:szCs w:val="20"/>
                <w:lang w:eastAsia="en-GB"/>
              </w:rPr>
              <w:t>Note: μ refers to mean and σ to standard deviation; N is the number of observations. *** refers to 1%, ** to 5% and * to 10% level of significance in two-tailed t-test.</w:t>
            </w:r>
          </w:p>
        </w:tc>
      </w:tr>
    </w:tbl>
    <w:p w:rsidR="00AA788D" w:rsidRDefault="00AA788D">
      <w:pPr>
        <w:rPr>
          <w:b/>
        </w:rPr>
        <w:sectPr w:rsidR="00AA788D" w:rsidSect="00AA788D">
          <w:pgSz w:w="11906" w:h="16838"/>
          <w:pgMar w:top="1440" w:right="1440" w:bottom="1440" w:left="1440" w:header="708" w:footer="708" w:gutter="0"/>
          <w:cols w:space="708"/>
          <w:docGrid w:linePitch="360"/>
        </w:sectPr>
      </w:pPr>
      <w:r>
        <w:rPr>
          <w:b/>
        </w:rPr>
        <w:br w:type="page"/>
      </w:r>
    </w:p>
    <w:p w:rsidR="00AA788D" w:rsidRDefault="00AA788D">
      <w:pPr>
        <w:rPr>
          <w:b/>
        </w:rPr>
      </w:pPr>
    </w:p>
    <w:p w:rsidR="00AA788D" w:rsidRDefault="00AA788D">
      <w:pPr>
        <w:rPr>
          <w:b/>
        </w:rPr>
      </w:pPr>
    </w:p>
    <w:tbl>
      <w:tblPr>
        <w:tblW w:w="12741" w:type="dxa"/>
        <w:jc w:val="center"/>
        <w:tblInd w:w="93" w:type="dxa"/>
        <w:tblLook w:val="04A0"/>
      </w:tblPr>
      <w:tblGrid>
        <w:gridCol w:w="4080"/>
        <w:gridCol w:w="966"/>
        <w:gridCol w:w="965"/>
        <w:gridCol w:w="987"/>
        <w:gridCol w:w="966"/>
        <w:gridCol w:w="942"/>
        <w:gridCol w:w="987"/>
        <w:gridCol w:w="919"/>
        <w:gridCol w:w="942"/>
        <w:gridCol w:w="987"/>
      </w:tblGrid>
      <w:tr w:rsidR="00AA788D" w:rsidRPr="007839CB" w:rsidTr="007839CB">
        <w:trPr>
          <w:trHeight w:val="300"/>
          <w:jc w:val="center"/>
        </w:trPr>
        <w:tc>
          <w:tcPr>
            <w:tcW w:w="12741" w:type="dxa"/>
            <w:gridSpan w:val="10"/>
            <w:tcBorders>
              <w:top w:val="nil"/>
              <w:left w:val="nil"/>
              <w:bottom w:val="single" w:sz="4" w:space="0" w:color="auto"/>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Table 3</w:t>
            </w:r>
            <w:r w:rsidRPr="007839CB">
              <w:rPr>
                <w:rFonts w:ascii="Calibri" w:eastAsia="Times New Roman" w:hAnsi="Calibri" w:cs="Calibri"/>
                <w:b/>
                <w:bCs/>
                <w:color w:val="000000"/>
                <w:sz w:val="20"/>
                <w:szCs w:val="20"/>
                <w:lang w:eastAsia="en-GB"/>
              </w:rPr>
              <w:t xml:space="preserve">. Information on Investment and Financing Options of the SMEs in the Sample. </w:t>
            </w:r>
          </w:p>
        </w:tc>
      </w:tr>
      <w:tr w:rsidR="00AA788D" w:rsidRPr="007839CB" w:rsidTr="007839CB">
        <w:trPr>
          <w:trHeight w:val="645"/>
          <w:jc w:val="center"/>
        </w:trPr>
        <w:tc>
          <w:tcPr>
            <w:tcW w:w="4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A788D" w:rsidRPr="007839CB" w:rsidRDefault="00AA788D" w:rsidP="007839CB">
            <w:pPr>
              <w:spacing w:after="0" w:line="240" w:lineRule="auto"/>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SMEs which:</w:t>
            </w:r>
          </w:p>
        </w:tc>
        <w:tc>
          <w:tcPr>
            <w:tcW w:w="2918" w:type="dxa"/>
            <w:gridSpan w:val="3"/>
            <w:tcBorders>
              <w:top w:val="single" w:sz="4" w:space="0" w:color="auto"/>
              <w:left w:val="nil"/>
              <w:bottom w:val="single" w:sz="4" w:space="0" w:color="auto"/>
              <w:right w:val="single" w:sz="4" w:space="0" w:color="000000"/>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color w:val="000000"/>
                <w:sz w:val="20"/>
                <w:szCs w:val="20"/>
                <w:lang w:eastAsia="en-GB"/>
              </w:rPr>
            </w:pPr>
            <w:r w:rsidRPr="007839CB">
              <w:rPr>
                <w:rFonts w:ascii="Calibri" w:eastAsia="Times New Roman" w:hAnsi="Calibri" w:cs="Calibri"/>
                <w:b/>
                <w:bCs/>
                <w:color w:val="000000"/>
                <w:sz w:val="20"/>
                <w:szCs w:val="20"/>
                <w:lang w:eastAsia="en-GB"/>
              </w:rPr>
              <w:t>All SMEs</w:t>
            </w:r>
          </w:p>
        </w:tc>
        <w:tc>
          <w:tcPr>
            <w:tcW w:w="2895" w:type="dxa"/>
            <w:gridSpan w:val="3"/>
            <w:tcBorders>
              <w:top w:val="single" w:sz="4" w:space="0" w:color="auto"/>
              <w:left w:val="nil"/>
              <w:bottom w:val="single" w:sz="4" w:space="0" w:color="auto"/>
              <w:right w:val="single" w:sz="4" w:space="0" w:color="000000"/>
            </w:tcBorders>
            <w:shd w:val="clear" w:color="auto" w:fill="auto"/>
            <w:vAlign w:val="bottom"/>
            <w:hideMark/>
          </w:tcPr>
          <w:p w:rsidR="00AA788D" w:rsidRPr="007839CB" w:rsidRDefault="00AA788D" w:rsidP="007839CB">
            <w:pPr>
              <w:spacing w:after="0" w:line="240" w:lineRule="auto"/>
              <w:jc w:val="center"/>
              <w:rPr>
                <w:rFonts w:ascii="Calibri" w:eastAsia="Times New Roman" w:hAnsi="Calibri" w:cs="Calibri"/>
                <w:b/>
                <w:bCs/>
                <w:color w:val="000000"/>
                <w:sz w:val="20"/>
                <w:szCs w:val="20"/>
                <w:lang w:eastAsia="en-GB"/>
              </w:rPr>
            </w:pPr>
            <w:r w:rsidRPr="007839CB">
              <w:rPr>
                <w:rFonts w:ascii="Calibri" w:eastAsia="Times New Roman" w:hAnsi="Calibri" w:cs="Calibri"/>
                <w:b/>
                <w:bCs/>
                <w:color w:val="000000"/>
                <w:sz w:val="20"/>
                <w:szCs w:val="20"/>
                <w:lang w:eastAsia="en-GB"/>
              </w:rPr>
              <w:t>SMEs with Government Connections</w:t>
            </w:r>
          </w:p>
        </w:tc>
        <w:tc>
          <w:tcPr>
            <w:tcW w:w="2848" w:type="dxa"/>
            <w:gridSpan w:val="3"/>
            <w:tcBorders>
              <w:top w:val="single" w:sz="4" w:space="0" w:color="auto"/>
              <w:left w:val="nil"/>
              <w:bottom w:val="single" w:sz="4" w:space="0" w:color="auto"/>
              <w:right w:val="single" w:sz="4" w:space="0" w:color="000000"/>
            </w:tcBorders>
            <w:shd w:val="clear" w:color="auto" w:fill="auto"/>
            <w:vAlign w:val="bottom"/>
            <w:hideMark/>
          </w:tcPr>
          <w:p w:rsidR="00AA788D" w:rsidRPr="007839CB" w:rsidRDefault="00AA788D" w:rsidP="007839CB">
            <w:pPr>
              <w:spacing w:after="0" w:line="240" w:lineRule="auto"/>
              <w:jc w:val="center"/>
              <w:rPr>
                <w:rFonts w:ascii="Calibri" w:eastAsia="Times New Roman" w:hAnsi="Calibri" w:cs="Calibri"/>
                <w:b/>
                <w:bCs/>
                <w:color w:val="000000"/>
                <w:sz w:val="20"/>
                <w:szCs w:val="20"/>
                <w:lang w:eastAsia="en-GB"/>
              </w:rPr>
            </w:pPr>
            <w:r w:rsidRPr="007839CB">
              <w:rPr>
                <w:rFonts w:ascii="Calibri" w:eastAsia="Times New Roman" w:hAnsi="Calibri" w:cs="Calibri"/>
                <w:b/>
                <w:bCs/>
                <w:color w:val="000000"/>
                <w:sz w:val="20"/>
                <w:szCs w:val="20"/>
                <w:lang w:eastAsia="en-GB"/>
              </w:rPr>
              <w:t>SMEs without Government Connections</w:t>
            </w:r>
          </w:p>
        </w:tc>
      </w:tr>
      <w:tr w:rsidR="00AA788D" w:rsidRPr="007839CB" w:rsidTr="007839CB">
        <w:trPr>
          <w:trHeight w:val="1020"/>
          <w:jc w:val="center"/>
        </w:trPr>
        <w:tc>
          <w:tcPr>
            <w:tcW w:w="4080" w:type="dxa"/>
            <w:vMerge/>
            <w:tcBorders>
              <w:top w:val="nil"/>
              <w:left w:val="single" w:sz="4" w:space="0" w:color="auto"/>
              <w:bottom w:val="single" w:sz="4" w:space="0" w:color="000000"/>
              <w:right w:val="single" w:sz="4" w:space="0" w:color="auto"/>
            </w:tcBorders>
            <w:vAlign w:val="center"/>
            <w:hideMark/>
          </w:tcPr>
          <w:p w:rsidR="00AA788D" w:rsidRPr="007839CB" w:rsidRDefault="00AA788D" w:rsidP="007839CB">
            <w:pPr>
              <w:spacing w:after="0" w:line="240" w:lineRule="auto"/>
              <w:rPr>
                <w:rFonts w:ascii="Calibri" w:eastAsia="Times New Roman" w:hAnsi="Calibri" w:cs="Calibri"/>
                <w:b/>
                <w:bCs/>
                <w:i/>
                <w:iCs/>
                <w:color w:val="000000"/>
                <w:sz w:val="20"/>
                <w:szCs w:val="20"/>
                <w:lang w:eastAsia="en-GB"/>
              </w:rPr>
            </w:pPr>
          </w:p>
        </w:tc>
        <w:tc>
          <w:tcPr>
            <w:tcW w:w="966"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Number of SMEs</w:t>
            </w:r>
          </w:p>
        </w:tc>
        <w:tc>
          <w:tcPr>
            <w:tcW w:w="965"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Total Sample</w:t>
            </w:r>
          </w:p>
        </w:tc>
        <w:tc>
          <w:tcPr>
            <w:tcW w:w="987"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the Previous Row</w:t>
            </w:r>
          </w:p>
        </w:tc>
        <w:tc>
          <w:tcPr>
            <w:tcW w:w="966"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Number of SMEs</w:t>
            </w:r>
          </w:p>
        </w:tc>
        <w:tc>
          <w:tcPr>
            <w:tcW w:w="942"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Total Sample</w:t>
            </w:r>
          </w:p>
        </w:tc>
        <w:tc>
          <w:tcPr>
            <w:tcW w:w="987"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the Previous Row</w:t>
            </w:r>
          </w:p>
        </w:tc>
        <w:tc>
          <w:tcPr>
            <w:tcW w:w="919"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Number of SMEs</w:t>
            </w:r>
          </w:p>
        </w:tc>
        <w:tc>
          <w:tcPr>
            <w:tcW w:w="942"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Total Sample</w:t>
            </w:r>
          </w:p>
        </w:tc>
        <w:tc>
          <w:tcPr>
            <w:tcW w:w="987" w:type="dxa"/>
            <w:tcBorders>
              <w:top w:val="nil"/>
              <w:left w:val="nil"/>
              <w:bottom w:val="single" w:sz="4" w:space="0" w:color="auto"/>
              <w:right w:val="single" w:sz="4" w:space="0" w:color="auto"/>
            </w:tcBorders>
            <w:shd w:val="clear" w:color="auto" w:fill="auto"/>
            <w:vAlign w:val="center"/>
            <w:hideMark/>
          </w:tcPr>
          <w:p w:rsidR="00AA788D" w:rsidRPr="007839CB" w:rsidRDefault="00AA788D" w:rsidP="007839CB">
            <w:pPr>
              <w:spacing w:after="0" w:line="240" w:lineRule="auto"/>
              <w:jc w:val="center"/>
              <w:rPr>
                <w:rFonts w:ascii="Calibri" w:eastAsia="Times New Roman" w:hAnsi="Calibri" w:cs="Calibri"/>
                <w:b/>
                <w:bCs/>
                <w:i/>
                <w:iCs/>
                <w:color w:val="000000"/>
                <w:sz w:val="20"/>
                <w:szCs w:val="20"/>
                <w:lang w:eastAsia="en-GB"/>
              </w:rPr>
            </w:pPr>
            <w:r w:rsidRPr="007839CB">
              <w:rPr>
                <w:rFonts w:ascii="Calibri" w:eastAsia="Times New Roman" w:hAnsi="Calibri" w:cs="Calibri"/>
                <w:b/>
                <w:bCs/>
                <w:i/>
                <w:iCs/>
                <w:color w:val="000000"/>
                <w:sz w:val="20"/>
                <w:szCs w:val="20"/>
                <w:lang w:eastAsia="en-GB"/>
              </w:rPr>
              <w:t>Percent of the Previous Row</w:t>
            </w:r>
          </w:p>
        </w:tc>
      </w:tr>
      <w:tr w:rsidR="00AA788D" w:rsidRPr="007839CB" w:rsidTr="007839CB">
        <w:trPr>
          <w:trHeight w:val="300"/>
          <w:jc w:val="center"/>
        </w:trPr>
        <w:tc>
          <w:tcPr>
            <w:tcW w:w="4080"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Undertook Investment since Their Start Up</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347</w:t>
            </w:r>
          </w:p>
        </w:tc>
        <w:tc>
          <w:tcPr>
            <w:tcW w:w="965"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70.0%</w:t>
            </w:r>
          </w:p>
        </w:tc>
        <w:tc>
          <w:tcPr>
            <w:tcW w:w="987" w:type="dxa"/>
            <w:tcBorders>
              <w:top w:val="nil"/>
              <w:left w:val="nil"/>
              <w:bottom w:val="nil"/>
              <w:right w:val="nil"/>
            </w:tcBorders>
            <w:shd w:val="clear" w:color="auto" w:fill="auto"/>
            <w:noWrap/>
            <w:vAlign w:val="center"/>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85</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17.1%</w:t>
            </w:r>
          </w:p>
        </w:tc>
        <w:tc>
          <w:tcPr>
            <w:tcW w:w="987" w:type="dxa"/>
            <w:tcBorders>
              <w:top w:val="nil"/>
              <w:left w:val="nil"/>
              <w:bottom w:val="nil"/>
              <w:right w:val="nil"/>
            </w:tcBorders>
            <w:shd w:val="clear" w:color="auto" w:fill="auto"/>
            <w:noWrap/>
            <w:vAlign w:val="center"/>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w:t>
            </w:r>
          </w:p>
        </w:tc>
        <w:tc>
          <w:tcPr>
            <w:tcW w:w="919"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262</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52.8%</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w:t>
            </w:r>
          </w:p>
        </w:tc>
      </w:tr>
      <w:tr w:rsidR="00AA788D" w:rsidRPr="007839CB" w:rsidTr="007839CB">
        <w:trPr>
          <w:trHeight w:val="300"/>
          <w:jc w:val="center"/>
        </w:trPr>
        <w:tc>
          <w:tcPr>
            <w:tcW w:w="4080"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Need External Finance</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263</w:t>
            </w:r>
          </w:p>
        </w:tc>
        <w:tc>
          <w:tcPr>
            <w:tcW w:w="965"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53.0%</w:t>
            </w:r>
          </w:p>
        </w:tc>
        <w:tc>
          <w:tcPr>
            <w:tcW w:w="987" w:type="dxa"/>
            <w:tcBorders>
              <w:top w:val="nil"/>
              <w:left w:val="nil"/>
              <w:bottom w:val="nil"/>
              <w:right w:val="nil"/>
            </w:tcBorders>
            <w:shd w:val="clear" w:color="auto" w:fill="auto"/>
            <w:noWrap/>
            <w:vAlign w:val="center"/>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75.8%</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54</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10.9%</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63.5%</w:t>
            </w:r>
          </w:p>
        </w:tc>
        <w:tc>
          <w:tcPr>
            <w:tcW w:w="919"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209</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42.1%</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79.8%</w:t>
            </w:r>
          </w:p>
        </w:tc>
      </w:tr>
      <w:tr w:rsidR="00AA788D" w:rsidRPr="007839CB" w:rsidTr="007839CB">
        <w:trPr>
          <w:trHeight w:val="300"/>
          <w:jc w:val="center"/>
        </w:trPr>
        <w:tc>
          <w:tcPr>
            <w:tcW w:w="4080"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Applied for Formal Credit</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185</w:t>
            </w:r>
          </w:p>
        </w:tc>
        <w:tc>
          <w:tcPr>
            <w:tcW w:w="965"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37.3%</w:t>
            </w:r>
          </w:p>
        </w:tc>
        <w:tc>
          <w:tcPr>
            <w:tcW w:w="987" w:type="dxa"/>
            <w:tcBorders>
              <w:top w:val="nil"/>
              <w:left w:val="nil"/>
              <w:bottom w:val="nil"/>
              <w:right w:val="nil"/>
            </w:tcBorders>
            <w:shd w:val="clear" w:color="auto" w:fill="auto"/>
            <w:noWrap/>
            <w:vAlign w:val="center"/>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70.3%</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49</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9.9%</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90.7%</w:t>
            </w:r>
          </w:p>
        </w:tc>
        <w:tc>
          <w:tcPr>
            <w:tcW w:w="919"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136</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27.4%</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65.1%</w:t>
            </w:r>
          </w:p>
        </w:tc>
      </w:tr>
      <w:tr w:rsidR="00AA788D" w:rsidRPr="007839CB" w:rsidTr="007839CB">
        <w:trPr>
          <w:trHeight w:val="300"/>
          <w:jc w:val="center"/>
        </w:trPr>
        <w:tc>
          <w:tcPr>
            <w:tcW w:w="4080"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Obtained Formal Credit</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103</w:t>
            </w:r>
          </w:p>
        </w:tc>
        <w:tc>
          <w:tcPr>
            <w:tcW w:w="965"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20.9%</w:t>
            </w:r>
          </w:p>
        </w:tc>
        <w:tc>
          <w:tcPr>
            <w:tcW w:w="987" w:type="dxa"/>
            <w:tcBorders>
              <w:top w:val="nil"/>
              <w:left w:val="nil"/>
              <w:bottom w:val="nil"/>
              <w:right w:val="nil"/>
            </w:tcBorders>
            <w:shd w:val="clear" w:color="auto" w:fill="auto"/>
            <w:noWrap/>
            <w:vAlign w:val="center"/>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55.7%</w:t>
            </w:r>
          </w:p>
        </w:tc>
        <w:tc>
          <w:tcPr>
            <w:tcW w:w="966"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31</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6.3%</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63.3%</w:t>
            </w:r>
          </w:p>
        </w:tc>
        <w:tc>
          <w:tcPr>
            <w:tcW w:w="919"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72</w:t>
            </w:r>
          </w:p>
        </w:tc>
        <w:tc>
          <w:tcPr>
            <w:tcW w:w="942"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14.6%</w:t>
            </w:r>
          </w:p>
        </w:tc>
        <w:tc>
          <w:tcPr>
            <w:tcW w:w="987" w:type="dxa"/>
            <w:tcBorders>
              <w:top w:val="nil"/>
              <w:left w:val="nil"/>
              <w:bottom w:val="nil"/>
              <w:right w:val="nil"/>
            </w:tcBorders>
            <w:shd w:val="clear" w:color="auto" w:fill="auto"/>
            <w:noWrap/>
            <w:vAlign w:val="bottom"/>
            <w:hideMark/>
          </w:tcPr>
          <w:p w:rsidR="00AA788D" w:rsidRPr="007839CB" w:rsidRDefault="00AA788D" w:rsidP="007839CB">
            <w:pPr>
              <w:spacing w:after="0" w:line="240" w:lineRule="auto"/>
              <w:jc w:val="center"/>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52.9%</w:t>
            </w:r>
          </w:p>
        </w:tc>
      </w:tr>
      <w:tr w:rsidR="00AA788D" w:rsidRPr="007839CB" w:rsidTr="007839CB">
        <w:trPr>
          <w:trHeight w:val="300"/>
          <w:jc w:val="center"/>
        </w:trPr>
        <w:tc>
          <w:tcPr>
            <w:tcW w:w="12741" w:type="dxa"/>
            <w:gridSpan w:val="10"/>
            <w:tcBorders>
              <w:top w:val="single" w:sz="4" w:space="0" w:color="auto"/>
              <w:left w:val="nil"/>
              <w:bottom w:val="nil"/>
              <w:right w:val="nil"/>
            </w:tcBorders>
            <w:shd w:val="clear" w:color="auto" w:fill="auto"/>
            <w:vAlign w:val="bottom"/>
            <w:hideMark/>
          </w:tcPr>
          <w:p w:rsidR="00AA788D" w:rsidRPr="007839CB" w:rsidRDefault="00AA788D" w:rsidP="007839CB">
            <w:pPr>
              <w:spacing w:after="0" w:line="240" w:lineRule="auto"/>
              <w:rPr>
                <w:rFonts w:ascii="Calibri" w:eastAsia="Times New Roman" w:hAnsi="Calibri" w:cs="Calibri"/>
                <w:color w:val="000000"/>
                <w:sz w:val="20"/>
                <w:szCs w:val="20"/>
                <w:lang w:eastAsia="en-GB"/>
              </w:rPr>
            </w:pPr>
            <w:r w:rsidRPr="007839CB">
              <w:rPr>
                <w:rFonts w:ascii="Calibri" w:eastAsia="Times New Roman" w:hAnsi="Calibri" w:cs="Calibri"/>
                <w:color w:val="000000"/>
                <w:sz w:val="20"/>
                <w:szCs w:val="20"/>
                <w:lang w:eastAsia="en-GB"/>
              </w:rPr>
              <w:t xml:space="preserve">Note: Total number of observations used in these calculations varies Between 492 and 496 due to some missing values of respective variables. </w:t>
            </w:r>
          </w:p>
        </w:tc>
      </w:tr>
    </w:tbl>
    <w:p w:rsidR="00AA788D" w:rsidRDefault="00AA788D">
      <w:pPr>
        <w:rPr>
          <w:b/>
        </w:rPr>
      </w:pPr>
    </w:p>
    <w:p w:rsidR="00AA788D" w:rsidRDefault="00AA788D">
      <w:pPr>
        <w:rPr>
          <w:b/>
        </w:rPr>
      </w:pPr>
    </w:p>
    <w:p w:rsidR="00AA788D" w:rsidRDefault="00AA788D">
      <w:pPr>
        <w:rPr>
          <w:b/>
        </w:rPr>
      </w:pPr>
    </w:p>
    <w:p w:rsidR="00AA788D" w:rsidRDefault="00AA788D">
      <w:pPr>
        <w:rPr>
          <w:b/>
        </w:rPr>
      </w:pPr>
    </w:p>
    <w:p w:rsidR="00AA788D" w:rsidRDefault="00AA788D">
      <w:pPr>
        <w:rPr>
          <w:b/>
        </w:rPr>
        <w:sectPr w:rsidR="00AA788D" w:rsidSect="00AA788D">
          <w:pgSz w:w="16838" w:h="11906" w:orient="landscape"/>
          <w:pgMar w:top="1440" w:right="1440" w:bottom="1440" w:left="1440" w:header="708" w:footer="708" w:gutter="0"/>
          <w:cols w:space="708"/>
          <w:docGrid w:linePitch="360"/>
        </w:sectPr>
      </w:pPr>
    </w:p>
    <w:tbl>
      <w:tblPr>
        <w:tblStyle w:val="TableGrid"/>
        <w:tblW w:w="0" w:type="auto"/>
        <w:tblLayout w:type="fixed"/>
        <w:tblLook w:val="04A0"/>
      </w:tblPr>
      <w:tblGrid>
        <w:gridCol w:w="2660"/>
        <w:gridCol w:w="992"/>
        <w:gridCol w:w="1134"/>
        <w:gridCol w:w="709"/>
        <w:gridCol w:w="49"/>
        <w:gridCol w:w="1085"/>
        <w:gridCol w:w="709"/>
        <w:gridCol w:w="55"/>
        <w:gridCol w:w="1079"/>
        <w:gridCol w:w="770"/>
      </w:tblGrid>
      <w:tr w:rsidR="00AA788D" w:rsidTr="0008651B">
        <w:tc>
          <w:tcPr>
            <w:tcW w:w="9242" w:type="dxa"/>
            <w:gridSpan w:val="10"/>
            <w:tcBorders>
              <w:top w:val="nil"/>
              <w:left w:val="nil"/>
              <w:bottom w:val="single" w:sz="4" w:space="0" w:color="auto"/>
              <w:right w:val="nil"/>
            </w:tcBorders>
          </w:tcPr>
          <w:p w:rsidR="00AA788D" w:rsidRPr="00AD1F4A" w:rsidRDefault="00AA788D" w:rsidP="0008651B">
            <w:r>
              <w:rPr>
                <w:b/>
              </w:rPr>
              <w:lastRenderedPageBreak/>
              <w:t>Table 4</w:t>
            </w:r>
            <w:r w:rsidRPr="00AD1F4A">
              <w:rPr>
                <w:b/>
              </w:rPr>
              <w:t>. Credit Use: Probability of Holding a Formal Credit</w:t>
            </w:r>
          </w:p>
        </w:tc>
      </w:tr>
      <w:tr w:rsidR="00AA788D" w:rsidTr="0008651B">
        <w:tc>
          <w:tcPr>
            <w:tcW w:w="2660" w:type="dxa"/>
            <w:vMerge w:val="restart"/>
            <w:tcBorders>
              <w:top w:val="single" w:sz="4" w:space="0" w:color="auto"/>
            </w:tcBorders>
          </w:tcPr>
          <w:p w:rsidR="00AA788D" w:rsidRDefault="00AA788D" w:rsidP="0008651B">
            <w:pPr>
              <w:rPr>
                <w:b/>
              </w:rPr>
            </w:pPr>
          </w:p>
          <w:p w:rsidR="00AA788D" w:rsidRDefault="00AA788D" w:rsidP="0008651B">
            <w:pPr>
              <w:rPr>
                <w:b/>
              </w:rPr>
            </w:pPr>
          </w:p>
          <w:p w:rsidR="00AA788D" w:rsidRPr="00AD1F4A" w:rsidRDefault="00AA788D" w:rsidP="0008651B">
            <w:pPr>
              <w:rPr>
                <w:b/>
              </w:rPr>
            </w:pPr>
            <w:r w:rsidRPr="00AD1F4A">
              <w:rPr>
                <w:b/>
              </w:rPr>
              <w:t>Predictors</w:t>
            </w:r>
          </w:p>
        </w:tc>
        <w:tc>
          <w:tcPr>
            <w:tcW w:w="992" w:type="dxa"/>
            <w:vMerge w:val="restart"/>
            <w:tcBorders>
              <w:top w:val="single" w:sz="4" w:space="0" w:color="auto"/>
            </w:tcBorders>
          </w:tcPr>
          <w:p w:rsidR="00AA788D" w:rsidRDefault="00AA788D" w:rsidP="0008651B">
            <w:pPr>
              <w:jc w:val="center"/>
              <w:rPr>
                <w:b/>
              </w:rPr>
            </w:pPr>
          </w:p>
          <w:p w:rsidR="00AA788D" w:rsidRPr="00AD1F4A" w:rsidRDefault="00AA788D" w:rsidP="0008651B">
            <w:pPr>
              <w:jc w:val="center"/>
              <w:rPr>
                <w:b/>
              </w:rPr>
            </w:pPr>
            <w:r w:rsidRPr="00AD1F4A">
              <w:rPr>
                <w:b/>
              </w:rPr>
              <w:t>Expected Sign</w:t>
            </w:r>
          </w:p>
          <w:p w:rsidR="00AA788D" w:rsidRPr="00AD1F4A" w:rsidRDefault="00AA788D" w:rsidP="0008651B">
            <w:pPr>
              <w:jc w:val="center"/>
              <w:rPr>
                <w:b/>
              </w:rPr>
            </w:pPr>
            <w:r w:rsidRPr="00AD1F4A">
              <w:rPr>
                <w:b/>
              </w:rPr>
              <w:t>(+/-)</w:t>
            </w:r>
          </w:p>
        </w:tc>
        <w:tc>
          <w:tcPr>
            <w:tcW w:w="1843" w:type="dxa"/>
            <w:gridSpan w:val="2"/>
            <w:tcBorders>
              <w:top w:val="single" w:sz="4" w:space="0" w:color="auto"/>
            </w:tcBorders>
          </w:tcPr>
          <w:p w:rsidR="00AA788D" w:rsidRPr="00AD1F4A" w:rsidRDefault="00AA788D" w:rsidP="0008651B">
            <w:pPr>
              <w:jc w:val="center"/>
              <w:rPr>
                <w:b/>
              </w:rPr>
            </w:pPr>
            <w:r w:rsidRPr="00AD1F4A">
              <w:rPr>
                <w:b/>
              </w:rPr>
              <w:t>Model 1</w:t>
            </w:r>
          </w:p>
        </w:tc>
        <w:tc>
          <w:tcPr>
            <w:tcW w:w="1843" w:type="dxa"/>
            <w:gridSpan w:val="3"/>
            <w:tcBorders>
              <w:top w:val="single" w:sz="4" w:space="0" w:color="auto"/>
            </w:tcBorders>
          </w:tcPr>
          <w:p w:rsidR="00AA788D" w:rsidRPr="00AD1F4A" w:rsidRDefault="00AA788D" w:rsidP="0008651B">
            <w:pPr>
              <w:jc w:val="center"/>
              <w:rPr>
                <w:b/>
              </w:rPr>
            </w:pPr>
            <w:r w:rsidRPr="00AD1F4A">
              <w:rPr>
                <w:b/>
              </w:rPr>
              <w:t>Model 2</w:t>
            </w:r>
          </w:p>
        </w:tc>
        <w:tc>
          <w:tcPr>
            <w:tcW w:w="1904" w:type="dxa"/>
            <w:gridSpan w:val="3"/>
            <w:tcBorders>
              <w:top w:val="single" w:sz="4" w:space="0" w:color="auto"/>
            </w:tcBorders>
          </w:tcPr>
          <w:p w:rsidR="00AA788D" w:rsidRPr="00AD1F4A" w:rsidRDefault="00AA788D" w:rsidP="0008651B">
            <w:pPr>
              <w:jc w:val="center"/>
              <w:rPr>
                <w:b/>
              </w:rPr>
            </w:pPr>
            <w:r w:rsidRPr="00AD1F4A">
              <w:rPr>
                <w:b/>
              </w:rPr>
              <w:t>Model 3</w:t>
            </w:r>
          </w:p>
        </w:tc>
      </w:tr>
      <w:tr w:rsidR="00AA788D" w:rsidTr="0008651B">
        <w:tc>
          <w:tcPr>
            <w:tcW w:w="2660" w:type="dxa"/>
            <w:vMerge/>
            <w:tcBorders>
              <w:bottom w:val="single" w:sz="4" w:space="0" w:color="auto"/>
            </w:tcBorders>
          </w:tcPr>
          <w:p w:rsidR="00AA788D" w:rsidRPr="00AD1F4A" w:rsidRDefault="00AA788D" w:rsidP="0008651B">
            <w:pPr>
              <w:rPr>
                <w:b/>
              </w:rPr>
            </w:pPr>
          </w:p>
        </w:tc>
        <w:tc>
          <w:tcPr>
            <w:tcW w:w="992" w:type="dxa"/>
            <w:vMerge/>
            <w:tcBorders>
              <w:bottom w:val="single" w:sz="4" w:space="0" w:color="auto"/>
            </w:tcBorders>
          </w:tcPr>
          <w:p w:rsidR="00AA788D" w:rsidRPr="00AD1F4A" w:rsidRDefault="00AA788D" w:rsidP="0008651B">
            <w:pPr>
              <w:rPr>
                <w:b/>
              </w:rPr>
            </w:pPr>
          </w:p>
        </w:tc>
        <w:tc>
          <w:tcPr>
            <w:tcW w:w="1134" w:type="dxa"/>
            <w:tcBorders>
              <w:bottom w:val="single" w:sz="4" w:space="0" w:color="auto"/>
            </w:tcBorders>
          </w:tcPr>
          <w:p w:rsidR="00AA788D" w:rsidRPr="00AD1F4A" w:rsidRDefault="00AA788D" w:rsidP="0008651B">
            <w:pPr>
              <w:jc w:val="center"/>
              <w:rPr>
                <w:b/>
              </w:rPr>
            </w:pPr>
            <w:proofErr w:type="spellStart"/>
            <w:r w:rsidRPr="00AD1F4A">
              <w:rPr>
                <w:b/>
              </w:rPr>
              <w:t>Logit</w:t>
            </w:r>
            <w:proofErr w:type="spellEnd"/>
            <w:r w:rsidRPr="00AD1F4A">
              <w:rPr>
                <w:b/>
              </w:rPr>
              <w:t xml:space="preserve"> </w:t>
            </w:r>
            <w:proofErr w:type="spellStart"/>
            <w:r w:rsidRPr="00AD1F4A">
              <w:rPr>
                <w:b/>
              </w:rPr>
              <w:t>Coeff</w:t>
            </w:r>
            <w:proofErr w:type="spellEnd"/>
            <w:r w:rsidRPr="00AD1F4A">
              <w:rPr>
                <w:b/>
              </w:rPr>
              <w:t>. with S.E.</w:t>
            </w:r>
          </w:p>
        </w:tc>
        <w:tc>
          <w:tcPr>
            <w:tcW w:w="709" w:type="dxa"/>
            <w:tcBorders>
              <w:bottom w:val="single" w:sz="4" w:space="0" w:color="auto"/>
            </w:tcBorders>
          </w:tcPr>
          <w:p w:rsidR="00AA788D" w:rsidRPr="00AD1F4A" w:rsidRDefault="00AA788D" w:rsidP="0008651B">
            <w:pPr>
              <w:rPr>
                <w:b/>
              </w:rPr>
            </w:pPr>
            <w:r w:rsidRPr="00AD1F4A">
              <w:rPr>
                <w:b/>
              </w:rPr>
              <w:t>Odds Ratio</w:t>
            </w:r>
          </w:p>
        </w:tc>
        <w:tc>
          <w:tcPr>
            <w:tcW w:w="1134" w:type="dxa"/>
            <w:gridSpan w:val="2"/>
            <w:tcBorders>
              <w:bottom w:val="single" w:sz="4" w:space="0" w:color="auto"/>
            </w:tcBorders>
          </w:tcPr>
          <w:p w:rsidR="00AA788D" w:rsidRPr="00AD1F4A" w:rsidRDefault="00AA788D" w:rsidP="0008651B">
            <w:pPr>
              <w:jc w:val="center"/>
              <w:rPr>
                <w:b/>
              </w:rPr>
            </w:pPr>
            <w:proofErr w:type="spellStart"/>
            <w:r w:rsidRPr="00AD1F4A">
              <w:rPr>
                <w:b/>
              </w:rPr>
              <w:t>Logit</w:t>
            </w:r>
            <w:proofErr w:type="spellEnd"/>
            <w:r w:rsidRPr="00AD1F4A">
              <w:rPr>
                <w:b/>
              </w:rPr>
              <w:t xml:space="preserve"> </w:t>
            </w:r>
            <w:proofErr w:type="spellStart"/>
            <w:r w:rsidRPr="00AD1F4A">
              <w:rPr>
                <w:b/>
              </w:rPr>
              <w:t>Coeff</w:t>
            </w:r>
            <w:proofErr w:type="spellEnd"/>
            <w:r w:rsidRPr="00AD1F4A">
              <w:rPr>
                <w:b/>
              </w:rPr>
              <w:t>. with S.E.</w:t>
            </w:r>
          </w:p>
        </w:tc>
        <w:tc>
          <w:tcPr>
            <w:tcW w:w="709" w:type="dxa"/>
            <w:tcBorders>
              <w:bottom w:val="single" w:sz="4" w:space="0" w:color="auto"/>
            </w:tcBorders>
          </w:tcPr>
          <w:p w:rsidR="00AA788D" w:rsidRPr="00AD1F4A" w:rsidRDefault="00AA788D" w:rsidP="0008651B">
            <w:pPr>
              <w:rPr>
                <w:b/>
              </w:rPr>
            </w:pPr>
            <w:r w:rsidRPr="00AD1F4A">
              <w:rPr>
                <w:b/>
              </w:rPr>
              <w:t>Odds Ratio</w:t>
            </w:r>
          </w:p>
        </w:tc>
        <w:tc>
          <w:tcPr>
            <w:tcW w:w="1134" w:type="dxa"/>
            <w:gridSpan w:val="2"/>
            <w:tcBorders>
              <w:bottom w:val="single" w:sz="4" w:space="0" w:color="auto"/>
            </w:tcBorders>
          </w:tcPr>
          <w:p w:rsidR="00AA788D" w:rsidRPr="00AD1F4A" w:rsidRDefault="00AA788D" w:rsidP="0008651B">
            <w:pPr>
              <w:jc w:val="center"/>
              <w:rPr>
                <w:b/>
              </w:rPr>
            </w:pPr>
            <w:proofErr w:type="spellStart"/>
            <w:r w:rsidRPr="00AD1F4A">
              <w:rPr>
                <w:b/>
              </w:rPr>
              <w:t>Logit</w:t>
            </w:r>
            <w:proofErr w:type="spellEnd"/>
            <w:r w:rsidRPr="00AD1F4A">
              <w:rPr>
                <w:b/>
              </w:rPr>
              <w:t xml:space="preserve"> </w:t>
            </w:r>
            <w:proofErr w:type="spellStart"/>
            <w:r w:rsidRPr="00AD1F4A">
              <w:rPr>
                <w:b/>
              </w:rPr>
              <w:t>Coeff</w:t>
            </w:r>
            <w:proofErr w:type="spellEnd"/>
            <w:r w:rsidRPr="00AD1F4A">
              <w:rPr>
                <w:b/>
              </w:rPr>
              <w:t>. with S.E.</w:t>
            </w:r>
          </w:p>
        </w:tc>
        <w:tc>
          <w:tcPr>
            <w:tcW w:w="770" w:type="dxa"/>
            <w:tcBorders>
              <w:bottom w:val="single" w:sz="4" w:space="0" w:color="auto"/>
            </w:tcBorders>
          </w:tcPr>
          <w:p w:rsidR="00AA788D" w:rsidRPr="00AD1F4A" w:rsidRDefault="00AA788D" w:rsidP="0008651B">
            <w:pPr>
              <w:rPr>
                <w:b/>
              </w:rPr>
            </w:pPr>
            <w:r w:rsidRPr="00AD1F4A">
              <w:rPr>
                <w:b/>
              </w:rPr>
              <w:t>Odds Ratio</w:t>
            </w:r>
          </w:p>
        </w:tc>
      </w:tr>
      <w:tr w:rsidR="00AA788D" w:rsidRPr="00AD1F4A" w:rsidTr="0008651B">
        <w:tc>
          <w:tcPr>
            <w:tcW w:w="2660" w:type="dxa"/>
            <w:tcBorders>
              <w:top w:val="single" w:sz="4" w:space="0" w:color="auto"/>
              <w:left w:val="nil"/>
              <w:bottom w:val="nil"/>
              <w:right w:val="nil"/>
            </w:tcBorders>
          </w:tcPr>
          <w:p w:rsidR="00AA788D" w:rsidRPr="00A50368" w:rsidRDefault="00AA788D" w:rsidP="0008651B">
            <w:pPr>
              <w:rPr>
                <w:rFonts w:cstheme="minorHAnsi"/>
                <w:i/>
              </w:rPr>
            </w:pPr>
            <w:r>
              <w:rPr>
                <w:rFonts w:cstheme="minorHAnsi"/>
                <w:i/>
              </w:rPr>
              <w:t>C</w:t>
            </w:r>
            <w:r w:rsidRPr="00A50368">
              <w:rPr>
                <w:rFonts w:cstheme="minorHAnsi"/>
                <w:i/>
              </w:rPr>
              <w:t>onstant</w:t>
            </w:r>
          </w:p>
        </w:tc>
        <w:tc>
          <w:tcPr>
            <w:tcW w:w="992" w:type="dxa"/>
            <w:tcBorders>
              <w:top w:val="single" w:sz="4" w:space="0" w:color="auto"/>
              <w:left w:val="nil"/>
              <w:bottom w:val="nil"/>
              <w:right w:val="nil"/>
            </w:tcBorders>
          </w:tcPr>
          <w:p w:rsidR="00AA788D" w:rsidRPr="00AD1F4A" w:rsidRDefault="00AA788D" w:rsidP="0008651B"/>
        </w:tc>
        <w:tc>
          <w:tcPr>
            <w:tcW w:w="1134" w:type="dxa"/>
            <w:tcBorders>
              <w:top w:val="single" w:sz="4" w:space="0" w:color="auto"/>
              <w:left w:val="nil"/>
              <w:bottom w:val="nil"/>
              <w:right w:val="nil"/>
            </w:tcBorders>
          </w:tcPr>
          <w:p w:rsidR="00AA788D" w:rsidRPr="00AD1F4A" w:rsidRDefault="00AA788D" w:rsidP="0008651B">
            <w:pPr>
              <w:jc w:val="center"/>
            </w:pPr>
            <w:r w:rsidRPr="00AD1F4A">
              <w:t>- 10.15***</w:t>
            </w:r>
          </w:p>
          <w:p w:rsidR="00AA788D" w:rsidRPr="00AD1F4A" w:rsidRDefault="00AA788D" w:rsidP="0008651B">
            <w:pPr>
              <w:jc w:val="center"/>
            </w:pPr>
            <w:r w:rsidRPr="00AD1F4A">
              <w:t>(3.20)</w:t>
            </w:r>
          </w:p>
        </w:tc>
        <w:tc>
          <w:tcPr>
            <w:tcW w:w="709" w:type="dxa"/>
            <w:tcBorders>
              <w:top w:val="single" w:sz="4" w:space="0" w:color="auto"/>
              <w:left w:val="nil"/>
              <w:bottom w:val="nil"/>
              <w:right w:val="nil"/>
            </w:tcBorders>
          </w:tcPr>
          <w:p w:rsidR="00AA788D" w:rsidRPr="00AD1F4A" w:rsidRDefault="00AA788D" w:rsidP="0008651B">
            <w:pPr>
              <w:jc w:val="center"/>
            </w:pPr>
            <w:r>
              <w:rPr>
                <w:rFonts w:cstheme="minorHAnsi"/>
              </w:rPr>
              <w:t>–</w:t>
            </w:r>
          </w:p>
        </w:tc>
        <w:tc>
          <w:tcPr>
            <w:tcW w:w="1134" w:type="dxa"/>
            <w:gridSpan w:val="2"/>
            <w:tcBorders>
              <w:top w:val="single" w:sz="4" w:space="0" w:color="auto"/>
              <w:left w:val="nil"/>
              <w:bottom w:val="nil"/>
              <w:right w:val="nil"/>
            </w:tcBorders>
          </w:tcPr>
          <w:p w:rsidR="00AA788D" w:rsidRPr="00AD1F4A" w:rsidRDefault="00AA788D" w:rsidP="0008651B">
            <w:pPr>
              <w:jc w:val="center"/>
            </w:pPr>
            <w:r w:rsidRPr="00AD1F4A">
              <w:t xml:space="preserve">- 8.09*   </w:t>
            </w:r>
          </w:p>
          <w:p w:rsidR="00AA788D" w:rsidRPr="00AD1F4A" w:rsidRDefault="00AA788D" w:rsidP="0008651B">
            <w:pPr>
              <w:jc w:val="center"/>
            </w:pPr>
            <w:r w:rsidRPr="00AD1F4A">
              <w:t>(4.91)</w:t>
            </w:r>
          </w:p>
        </w:tc>
        <w:tc>
          <w:tcPr>
            <w:tcW w:w="709" w:type="dxa"/>
            <w:tcBorders>
              <w:top w:val="single" w:sz="4" w:space="0" w:color="auto"/>
              <w:left w:val="nil"/>
              <w:bottom w:val="nil"/>
              <w:right w:val="nil"/>
            </w:tcBorders>
          </w:tcPr>
          <w:p w:rsidR="00AA788D" w:rsidRPr="00AD1F4A" w:rsidRDefault="00AA788D" w:rsidP="0008651B">
            <w:pPr>
              <w:jc w:val="center"/>
            </w:pPr>
            <w:r>
              <w:rPr>
                <w:rFonts w:cstheme="minorHAnsi"/>
              </w:rPr>
              <w:t>–</w:t>
            </w:r>
          </w:p>
        </w:tc>
        <w:tc>
          <w:tcPr>
            <w:tcW w:w="1134" w:type="dxa"/>
            <w:gridSpan w:val="2"/>
            <w:tcBorders>
              <w:top w:val="single" w:sz="4" w:space="0" w:color="auto"/>
              <w:left w:val="nil"/>
              <w:bottom w:val="nil"/>
              <w:right w:val="nil"/>
            </w:tcBorders>
          </w:tcPr>
          <w:p w:rsidR="00AA788D" w:rsidRPr="00AD1F4A" w:rsidRDefault="00AA788D" w:rsidP="0008651B">
            <w:pPr>
              <w:jc w:val="center"/>
            </w:pPr>
            <w:r w:rsidRPr="00AD1F4A">
              <w:t>- 6.54*</w:t>
            </w:r>
          </w:p>
          <w:p w:rsidR="00AA788D" w:rsidRPr="00AD1F4A" w:rsidRDefault="00AA788D" w:rsidP="0008651B">
            <w:pPr>
              <w:jc w:val="center"/>
            </w:pPr>
            <w:r w:rsidRPr="00AD1F4A">
              <w:t>(4.04)</w:t>
            </w:r>
          </w:p>
        </w:tc>
        <w:tc>
          <w:tcPr>
            <w:tcW w:w="770" w:type="dxa"/>
            <w:tcBorders>
              <w:top w:val="single" w:sz="4" w:space="0" w:color="auto"/>
              <w:left w:val="nil"/>
              <w:bottom w:val="nil"/>
              <w:right w:val="nil"/>
            </w:tcBorders>
          </w:tcPr>
          <w:p w:rsidR="00AA788D" w:rsidRPr="00AD1F4A" w:rsidRDefault="00AA788D" w:rsidP="0008651B">
            <w:r>
              <w:rPr>
                <w:rFonts w:cstheme="minorHAnsi"/>
              </w:rPr>
              <w:t>–</w:t>
            </w:r>
          </w:p>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i/>
              </w:rPr>
            </w:pPr>
            <w:r w:rsidRPr="00A50368">
              <w:rPr>
                <w:rFonts w:cstheme="minorHAnsi"/>
                <w:i/>
              </w:rPr>
              <w:t>Age</w:t>
            </w:r>
          </w:p>
          <w:p w:rsidR="00AA788D" w:rsidRPr="00A50368" w:rsidRDefault="00AA788D" w:rsidP="0008651B">
            <w:pPr>
              <w:rPr>
                <w:rFonts w:cstheme="minorHAnsi"/>
                <w:i/>
              </w:rPr>
            </w:pPr>
          </w:p>
          <w:p w:rsidR="00AA788D" w:rsidRPr="00A50368" w:rsidRDefault="00AA788D" w:rsidP="0008651B">
            <w:pPr>
              <w:rPr>
                <w:rFonts w:cstheme="minorHAnsi"/>
                <w:i/>
              </w:rPr>
            </w:pPr>
            <w:r w:rsidRPr="00A50368">
              <w:rPr>
                <w:rFonts w:cstheme="minorHAnsi"/>
                <w:i/>
              </w:rPr>
              <w:t>age22</w:t>
            </w:r>
          </w:p>
        </w:tc>
        <w:tc>
          <w:tcPr>
            <w:tcW w:w="992" w:type="dxa"/>
            <w:tcBorders>
              <w:top w:val="nil"/>
              <w:left w:val="nil"/>
              <w:bottom w:val="nil"/>
              <w:right w:val="nil"/>
            </w:tcBorders>
          </w:tcPr>
          <w:p w:rsidR="00AA788D" w:rsidRDefault="00AA788D" w:rsidP="0008651B">
            <w:pPr>
              <w:jc w:val="center"/>
            </w:pPr>
            <w:r w:rsidRPr="00D270D2">
              <w:t>+</w:t>
            </w:r>
          </w:p>
          <w:p w:rsidR="00AA788D" w:rsidRDefault="00AA788D" w:rsidP="0008651B">
            <w:pPr>
              <w:jc w:val="center"/>
            </w:pPr>
          </w:p>
          <w:p w:rsidR="00AA788D" w:rsidRPr="00D270D2" w:rsidRDefault="00AA788D" w:rsidP="0008651B">
            <w:pPr>
              <w:jc w:val="center"/>
            </w:pPr>
            <w:r>
              <w:t>-</w:t>
            </w:r>
          </w:p>
        </w:tc>
        <w:tc>
          <w:tcPr>
            <w:tcW w:w="1134" w:type="dxa"/>
            <w:tcBorders>
              <w:top w:val="nil"/>
              <w:left w:val="nil"/>
              <w:bottom w:val="nil"/>
              <w:right w:val="nil"/>
            </w:tcBorders>
          </w:tcPr>
          <w:p w:rsidR="00AA788D" w:rsidRDefault="00AA788D" w:rsidP="0008651B">
            <w:pPr>
              <w:jc w:val="center"/>
            </w:pPr>
            <w:r>
              <w:t>0</w:t>
            </w:r>
            <w:r w:rsidRPr="00A50944">
              <w:t>.2</w:t>
            </w:r>
            <w:r>
              <w:t>5**</w:t>
            </w:r>
            <w:r w:rsidRPr="00A50944">
              <w:t xml:space="preserve">   </w:t>
            </w:r>
          </w:p>
          <w:p w:rsidR="00AA788D" w:rsidRDefault="00AA788D" w:rsidP="0008651B">
            <w:pPr>
              <w:jc w:val="center"/>
            </w:pPr>
            <w:r>
              <w:t>(0</w:t>
            </w:r>
            <w:r w:rsidRPr="00A50944">
              <w:t>.1</w:t>
            </w:r>
            <w:r>
              <w:t>3)</w:t>
            </w:r>
          </w:p>
          <w:p w:rsidR="00AA788D" w:rsidRPr="00D270D2" w:rsidRDefault="00AA788D" w:rsidP="0008651B">
            <w:pPr>
              <w:jc w:val="center"/>
            </w:pPr>
            <w:r w:rsidRPr="00E47BA3">
              <w:t>-</w:t>
            </w:r>
            <w:r>
              <w:t xml:space="preserve"> 0</w:t>
            </w:r>
            <w:r w:rsidRPr="00E47BA3">
              <w:t>.2</w:t>
            </w:r>
            <w:r>
              <w:t>8**</w:t>
            </w:r>
            <w:r w:rsidRPr="00E47BA3">
              <w:t xml:space="preserve">   </w:t>
            </w:r>
            <w:r>
              <w:t>(0</w:t>
            </w:r>
            <w:r w:rsidRPr="00E47BA3">
              <w:t>.14</w:t>
            </w:r>
            <w:r>
              <w:t>)</w:t>
            </w:r>
          </w:p>
        </w:tc>
        <w:tc>
          <w:tcPr>
            <w:tcW w:w="709" w:type="dxa"/>
            <w:tcBorders>
              <w:top w:val="nil"/>
              <w:left w:val="nil"/>
              <w:bottom w:val="nil"/>
              <w:right w:val="nil"/>
            </w:tcBorders>
          </w:tcPr>
          <w:p w:rsidR="00AA788D" w:rsidRDefault="00AA788D" w:rsidP="0008651B">
            <w:pPr>
              <w:jc w:val="center"/>
            </w:pPr>
            <w:r>
              <w:t>1.28</w:t>
            </w:r>
          </w:p>
          <w:p w:rsidR="00AA788D" w:rsidRDefault="00AA788D" w:rsidP="0008651B">
            <w:pPr>
              <w:jc w:val="center"/>
            </w:pPr>
          </w:p>
          <w:p w:rsidR="00AA788D" w:rsidRDefault="00AA788D" w:rsidP="0008651B">
            <w:pPr>
              <w:jc w:val="center"/>
            </w:pPr>
            <w:r>
              <w:t>0.75</w:t>
            </w:r>
          </w:p>
          <w:p w:rsidR="00AA788D" w:rsidRPr="00D270D2" w:rsidRDefault="00AA788D" w:rsidP="0008651B">
            <w:pPr>
              <w:jc w:val="center"/>
            </w:pPr>
          </w:p>
        </w:tc>
        <w:tc>
          <w:tcPr>
            <w:tcW w:w="1134" w:type="dxa"/>
            <w:gridSpan w:val="2"/>
            <w:tcBorders>
              <w:top w:val="nil"/>
              <w:left w:val="nil"/>
              <w:bottom w:val="nil"/>
              <w:right w:val="nil"/>
            </w:tcBorders>
          </w:tcPr>
          <w:p w:rsidR="00AA788D" w:rsidRDefault="00AA788D" w:rsidP="0008651B">
            <w:pPr>
              <w:jc w:val="center"/>
            </w:pPr>
            <w:r>
              <w:t>0</w:t>
            </w:r>
            <w:r w:rsidRPr="00037AF8">
              <w:t xml:space="preserve">.21  </w:t>
            </w:r>
          </w:p>
          <w:p w:rsidR="00AA788D" w:rsidRDefault="00AA788D" w:rsidP="0008651B">
            <w:pPr>
              <w:jc w:val="center"/>
            </w:pPr>
            <w:r>
              <w:t>(0</w:t>
            </w:r>
            <w:r w:rsidRPr="00037AF8">
              <w:t>.</w:t>
            </w:r>
            <w:r>
              <w:t>20)</w:t>
            </w:r>
          </w:p>
          <w:p w:rsidR="00AA788D" w:rsidRDefault="00AA788D" w:rsidP="0008651B">
            <w:pPr>
              <w:jc w:val="center"/>
            </w:pPr>
            <w:r>
              <w:t>- 0.22</w:t>
            </w:r>
          </w:p>
          <w:p w:rsidR="00AA788D" w:rsidRPr="00D270D2" w:rsidRDefault="00AA788D" w:rsidP="0008651B">
            <w:pPr>
              <w:jc w:val="center"/>
            </w:pPr>
            <w:r>
              <w:t>(0.23)</w:t>
            </w:r>
          </w:p>
        </w:tc>
        <w:tc>
          <w:tcPr>
            <w:tcW w:w="709" w:type="dxa"/>
            <w:tcBorders>
              <w:top w:val="nil"/>
              <w:left w:val="nil"/>
              <w:bottom w:val="nil"/>
              <w:right w:val="nil"/>
            </w:tcBorders>
          </w:tcPr>
          <w:p w:rsidR="00AA788D" w:rsidRDefault="00AA788D" w:rsidP="0008651B">
            <w:pPr>
              <w:jc w:val="center"/>
            </w:pPr>
            <w:r>
              <w:t>1.24</w:t>
            </w:r>
          </w:p>
          <w:p w:rsidR="00AA788D" w:rsidRDefault="00AA788D" w:rsidP="0008651B">
            <w:pPr>
              <w:jc w:val="center"/>
            </w:pPr>
          </w:p>
          <w:p w:rsidR="00AA788D" w:rsidRPr="00D270D2" w:rsidRDefault="00AA788D" w:rsidP="0008651B">
            <w:pPr>
              <w:jc w:val="center"/>
            </w:pPr>
            <w:r>
              <w:t>0.80</w:t>
            </w:r>
          </w:p>
        </w:tc>
        <w:tc>
          <w:tcPr>
            <w:tcW w:w="1134" w:type="dxa"/>
            <w:gridSpan w:val="2"/>
            <w:tcBorders>
              <w:top w:val="nil"/>
              <w:left w:val="nil"/>
              <w:bottom w:val="nil"/>
              <w:right w:val="nil"/>
            </w:tcBorders>
          </w:tcPr>
          <w:p w:rsidR="00AA788D" w:rsidRDefault="00AA788D" w:rsidP="0008651B">
            <w:pPr>
              <w:jc w:val="center"/>
            </w:pPr>
            <w:r>
              <w:t>0.06</w:t>
            </w:r>
          </w:p>
          <w:p w:rsidR="00AA788D" w:rsidRDefault="00AA788D" w:rsidP="0008651B">
            <w:pPr>
              <w:jc w:val="center"/>
            </w:pPr>
            <w:r>
              <w:t>(0.16)</w:t>
            </w:r>
          </w:p>
          <w:p w:rsidR="00AA788D" w:rsidRDefault="00AA788D" w:rsidP="0008651B">
            <w:pPr>
              <w:jc w:val="center"/>
            </w:pPr>
            <w:r>
              <w:t>0.06</w:t>
            </w:r>
          </w:p>
          <w:p w:rsidR="00AA788D" w:rsidRPr="00D270D2" w:rsidRDefault="00AA788D" w:rsidP="0008651B">
            <w:pPr>
              <w:jc w:val="center"/>
            </w:pPr>
            <w:r>
              <w:t>(0.18)</w:t>
            </w:r>
          </w:p>
        </w:tc>
        <w:tc>
          <w:tcPr>
            <w:tcW w:w="770" w:type="dxa"/>
            <w:tcBorders>
              <w:top w:val="nil"/>
              <w:left w:val="nil"/>
              <w:bottom w:val="nil"/>
              <w:right w:val="nil"/>
            </w:tcBorders>
          </w:tcPr>
          <w:p w:rsidR="00AA788D" w:rsidRDefault="00AA788D" w:rsidP="0008651B">
            <w:r>
              <w:t>1.06</w:t>
            </w:r>
          </w:p>
          <w:p w:rsidR="00AA788D" w:rsidRDefault="00AA788D" w:rsidP="0008651B"/>
          <w:p w:rsidR="00AA788D" w:rsidRDefault="00AA788D" w:rsidP="0008651B">
            <w:r>
              <w:t>0.94</w:t>
            </w:r>
          </w:p>
          <w:p w:rsidR="00AA788D" w:rsidRPr="00AD1F4A" w:rsidRDefault="00AA788D" w:rsidP="0008651B"/>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i/>
              </w:rPr>
            </w:pPr>
            <w:proofErr w:type="spellStart"/>
            <w:r w:rsidRPr="00A50368">
              <w:rPr>
                <w:rFonts w:cstheme="minorHAnsi"/>
                <w:i/>
              </w:rPr>
              <w:t>busness_exper</w:t>
            </w:r>
            <w:proofErr w:type="spellEnd"/>
          </w:p>
          <w:p w:rsidR="00AA788D" w:rsidRPr="00A50368" w:rsidRDefault="00AA788D" w:rsidP="0008651B">
            <w:pPr>
              <w:rPr>
                <w:rFonts w:cstheme="minorHAnsi"/>
                <w:i/>
              </w:rPr>
            </w:pPr>
          </w:p>
          <w:p w:rsidR="00AA788D" w:rsidRPr="00A50368" w:rsidRDefault="00AA788D" w:rsidP="0008651B">
            <w:pPr>
              <w:rPr>
                <w:rFonts w:cstheme="minorHAnsi"/>
                <w:i/>
              </w:rPr>
            </w:pPr>
            <w:r w:rsidRPr="00A50368">
              <w:rPr>
                <w:rFonts w:cstheme="minorHAnsi"/>
                <w:i/>
              </w:rPr>
              <w:t>busness_exper22</w:t>
            </w:r>
          </w:p>
        </w:tc>
        <w:tc>
          <w:tcPr>
            <w:tcW w:w="992" w:type="dxa"/>
            <w:tcBorders>
              <w:top w:val="nil"/>
              <w:left w:val="nil"/>
              <w:bottom w:val="nil"/>
              <w:right w:val="nil"/>
            </w:tcBorders>
          </w:tcPr>
          <w:p w:rsidR="00AA788D" w:rsidRDefault="00AA788D" w:rsidP="0008651B">
            <w:pPr>
              <w:jc w:val="center"/>
            </w:pPr>
            <w:r>
              <w:t>+</w:t>
            </w:r>
          </w:p>
          <w:p w:rsidR="00AA788D" w:rsidRDefault="00AA788D" w:rsidP="0008651B">
            <w:pPr>
              <w:jc w:val="center"/>
            </w:pPr>
          </w:p>
          <w:p w:rsidR="00AA788D" w:rsidRPr="00D270D2" w:rsidRDefault="00AA788D" w:rsidP="0008651B">
            <w:pPr>
              <w:jc w:val="center"/>
            </w:pPr>
            <w:r w:rsidRPr="00D270D2">
              <w:t>-</w:t>
            </w:r>
          </w:p>
        </w:tc>
        <w:tc>
          <w:tcPr>
            <w:tcW w:w="1134" w:type="dxa"/>
            <w:tcBorders>
              <w:top w:val="nil"/>
              <w:left w:val="nil"/>
              <w:bottom w:val="nil"/>
              <w:right w:val="nil"/>
            </w:tcBorders>
          </w:tcPr>
          <w:p w:rsidR="00AA788D" w:rsidRDefault="00AA788D" w:rsidP="0008651B">
            <w:pPr>
              <w:jc w:val="center"/>
            </w:pPr>
            <w:r>
              <w:t>0</w:t>
            </w:r>
            <w:r w:rsidRPr="00E47BA3">
              <w:t>.0</w:t>
            </w:r>
            <w:r>
              <w:t>7**</w:t>
            </w:r>
            <w:r w:rsidRPr="00E47BA3">
              <w:t xml:space="preserve">   </w:t>
            </w:r>
          </w:p>
          <w:p w:rsidR="00AA788D" w:rsidRDefault="00AA788D" w:rsidP="0008651B">
            <w:pPr>
              <w:jc w:val="center"/>
            </w:pPr>
            <w:r>
              <w:t>(0</w:t>
            </w:r>
            <w:r w:rsidRPr="00E47BA3">
              <w:t>.03</w:t>
            </w:r>
            <w:r>
              <w:t>)</w:t>
            </w:r>
          </w:p>
          <w:p w:rsidR="00AA788D" w:rsidRDefault="00AA788D" w:rsidP="0008651B">
            <w:pPr>
              <w:jc w:val="center"/>
            </w:pPr>
            <w:r>
              <w:t>- 0.11**</w:t>
            </w:r>
          </w:p>
          <w:p w:rsidR="00AA788D" w:rsidRPr="00D270D2" w:rsidRDefault="00AA788D" w:rsidP="0008651B">
            <w:pPr>
              <w:jc w:val="center"/>
            </w:pPr>
            <w:r>
              <w:t>(0.05)</w:t>
            </w:r>
          </w:p>
        </w:tc>
        <w:tc>
          <w:tcPr>
            <w:tcW w:w="709" w:type="dxa"/>
            <w:tcBorders>
              <w:top w:val="nil"/>
              <w:left w:val="nil"/>
              <w:bottom w:val="nil"/>
              <w:right w:val="nil"/>
            </w:tcBorders>
          </w:tcPr>
          <w:p w:rsidR="00AA788D" w:rsidRDefault="00AA788D" w:rsidP="0008651B">
            <w:pPr>
              <w:jc w:val="center"/>
            </w:pPr>
            <w:r>
              <w:t>1.07</w:t>
            </w:r>
          </w:p>
          <w:p w:rsidR="00AA788D" w:rsidRDefault="00AA788D" w:rsidP="0008651B">
            <w:pPr>
              <w:jc w:val="center"/>
            </w:pPr>
          </w:p>
          <w:p w:rsidR="00AA788D" w:rsidRPr="00D270D2" w:rsidRDefault="00AA788D" w:rsidP="0008651B">
            <w:pPr>
              <w:jc w:val="center"/>
            </w:pPr>
            <w:r>
              <w:t>0.90</w:t>
            </w:r>
          </w:p>
        </w:tc>
        <w:tc>
          <w:tcPr>
            <w:tcW w:w="1134" w:type="dxa"/>
            <w:gridSpan w:val="2"/>
            <w:tcBorders>
              <w:top w:val="nil"/>
              <w:left w:val="nil"/>
              <w:bottom w:val="nil"/>
              <w:right w:val="nil"/>
            </w:tcBorders>
          </w:tcPr>
          <w:p w:rsidR="00AA788D" w:rsidRDefault="00AA788D" w:rsidP="0008651B">
            <w:pPr>
              <w:jc w:val="center"/>
            </w:pPr>
            <w:r>
              <w:t>0.06</w:t>
            </w:r>
          </w:p>
          <w:p w:rsidR="00AA788D" w:rsidRDefault="00AA788D" w:rsidP="0008651B">
            <w:pPr>
              <w:jc w:val="center"/>
            </w:pPr>
            <w:r>
              <w:t>(0.05)</w:t>
            </w:r>
          </w:p>
          <w:p w:rsidR="00AA788D" w:rsidRDefault="00AA788D" w:rsidP="0008651B">
            <w:pPr>
              <w:jc w:val="center"/>
            </w:pPr>
            <w:r>
              <w:t>- 0.11</w:t>
            </w:r>
          </w:p>
          <w:p w:rsidR="00AA788D" w:rsidRPr="00D270D2" w:rsidRDefault="00AA788D" w:rsidP="0008651B">
            <w:pPr>
              <w:jc w:val="center"/>
            </w:pPr>
            <w:r>
              <w:t>(0.08)</w:t>
            </w:r>
          </w:p>
        </w:tc>
        <w:tc>
          <w:tcPr>
            <w:tcW w:w="709" w:type="dxa"/>
            <w:tcBorders>
              <w:top w:val="nil"/>
              <w:left w:val="nil"/>
              <w:bottom w:val="nil"/>
              <w:right w:val="nil"/>
            </w:tcBorders>
          </w:tcPr>
          <w:p w:rsidR="00AA788D" w:rsidRDefault="00AA788D" w:rsidP="0008651B">
            <w:pPr>
              <w:jc w:val="center"/>
            </w:pPr>
            <w:r>
              <w:t>1.06</w:t>
            </w:r>
          </w:p>
          <w:p w:rsidR="00AA788D" w:rsidRDefault="00AA788D" w:rsidP="0008651B">
            <w:pPr>
              <w:jc w:val="center"/>
            </w:pPr>
          </w:p>
          <w:p w:rsidR="00AA788D" w:rsidRPr="00D270D2" w:rsidRDefault="00AA788D" w:rsidP="0008651B">
            <w:pPr>
              <w:jc w:val="center"/>
            </w:pPr>
            <w:r>
              <w:t>0.90</w:t>
            </w:r>
          </w:p>
        </w:tc>
        <w:tc>
          <w:tcPr>
            <w:tcW w:w="1134" w:type="dxa"/>
            <w:gridSpan w:val="2"/>
            <w:tcBorders>
              <w:top w:val="nil"/>
              <w:left w:val="nil"/>
              <w:bottom w:val="nil"/>
              <w:right w:val="nil"/>
            </w:tcBorders>
          </w:tcPr>
          <w:p w:rsidR="00AA788D" w:rsidRDefault="00AA788D" w:rsidP="0008651B">
            <w:pPr>
              <w:jc w:val="center"/>
            </w:pPr>
            <w:r>
              <w:t>0.09</w:t>
            </w:r>
          </w:p>
          <w:p w:rsidR="00AA788D" w:rsidRDefault="00AA788D" w:rsidP="0008651B">
            <w:pPr>
              <w:jc w:val="center"/>
            </w:pPr>
            <w:r>
              <w:t>(0.14)</w:t>
            </w:r>
          </w:p>
          <w:p w:rsidR="00AA788D" w:rsidRDefault="00AA788D" w:rsidP="0008651B">
            <w:pPr>
              <w:jc w:val="center"/>
            </w:pPr>
            <w:r>
              <w:t>0.14</w:t>
            </w:r>
          </w:p>
          <w:p w:rsidR="00AA788D" w:rsidRDefault="00AA788D" w:rsidP="0008651B">
            <w:pPr>
              <w:jc w:val="center"/>
            </w:pPr>
            <w:r>
              <w:t>(0.16)</w:t>
            </w:r>
          </w:p>
        </w:tc>
        <w:tc>
          <w:tcPr>
            <w:tcW w:w="770" w:type="dxa"/>
            <w:tcBorders>
              <w:top w:val="nil"/>
              <w:left w:val="nil"/>
              <w:bottom w:val="nil"/>
              <w:right w:val="nil"/>
            </w:tcBorders>
          </w:tcPr>
          <w:p w:rsidR="00AA788D" w:rsidRDefault="00AA788D" w:rsidP="0008651B">
            <w:r>
              <w:t>1.09</w:t>
            </w:r>
          </w:p>
          <w:p w:rsidR="00AA788D" w:rsidRDefault="00AA788D" w:rsidP="0008651B"/>
          <w:p w:rsidR="00AA788D" w:rsidRPr="00AD1F4A" w:rsidRDefault="00AA788D" w:rsidP="0008651B">
            <w:r>
              <w:t>0.87</w:t>
            </w:r>
          </w:p>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i/>
              </w:rPr>
            </w:pPr>
            <w:proofErr w:type="spellStart"/>
            <w:r w:rsidRPr="00A50368">
              <w:rPr>
                <w:rFonts w:cstheme="minorHAnsi"/>
                <w:i/>
              </w:rPr>
              <w:t>Educ</w:t>
            </w:r>
            <w:proofErr w:type="spellEnd"/>
          </w:p>
          <w:p w:rsidR="00AA788D" w:rsidRPr="00A50368" w:rsidRDefault="00AA788D" w:rsidP="0008651B">
            <w:pPr>
              <w:rPr>
                <w:rFonts w:cstheme="minorHAnsi"/>
                <w:i/>
              </w:rPr>
            </w:pPr>
          </w:p>
          <w:p w:rsidR="00AA788D" w:rsidRPr="00A50368" w:rsidRDefault="00AA788D" w:rsidP="0008651B">
            <w:pPr>
              <w:rPr>
                <w:rFonts w:cstheme="minorHAnsi"/>
                <w:i/>
              </w:rPr>
            </w:pPr>
            <w:proofErr w:type="spellStart"/>
            <w:r w:rsidRPr="00A50368">
              <w:rPr>
                <w:rFonts w:cstheme="minorHAnsi"/>
                <w:i/>
              </w:rPr>
              <w:t>lnsales</w:t>
            </w:r>
            <w:proofErr w:type="spellEnd"/>
            <w:r w:rsidRPr="00A50368">
              <w:rPr>
                <w:rFonts w:cstheme="minorHAnsi"/>
                <w:i/>
              </w:rPr>
              <w:t xml:space="preserve"> </w:t>
            </w:r>
          </w:p>
        </w:tc>
        <w:tc>
          <w:tcPr>
            <w:tcW w:w="992" w:type="dxa"/>
            <w:tcBorders>
              <w:top w:val="nil"/>
              <w:left w:val="nil"/>
              <w:bottom w:val="nil"/>
              <w:right w:val="nil"/>
            </w:tcBorders>
          </w:tcPr>
          <w:p w:rsidR="00AA788D" w:rsidRDefault="00AA788D" w:rsidP="0008651B">
            <w:pPr>
              <w:jc w:val="center"/>
            </w:pPr>
            <w:r w:rsidRPr="00D270D2">
              <w:t>+</w:t>
            </w:r>
          </w:p>
          <w:p w:rsidR="00AA788D" w:rsidRDefault="00AA788D" w:rsidP="0008651B">
            <w:pPr>
              <w:jc w:val="center"/>
            </w:pPr>
          </w:p>
          <w:p w:rsidR="00AA788D" w:rsidRDefault="00AA788D" w:rsidP="0051507C">
            <w:pPr>
              <w:tabs>
                <w:tab w:val="left" w:pos="301"/>
                <w:tab w:val="center" w:pos="403"/>
              </w:tabs>
              <w:jc w:val="center"/>
            </w:pPr>
            <w:r>
              <w:t>+</w:t>
            </w:r>
          </w:p>
          <w:p w:rsidR="00AA788D" w:rsidRPr="00D270D2" w:rsidRDefault="00AA788D" w:rsidP="0008651B">
            <w:pPr>
              <w:jc w:val="center"/>
            </w:pPr>
          </w:p>
        </w:tc>
        <w:tc>
          <w:tcPr>
            <w:tcW w:w="1134" w:type="dxa"/>
            <w:tcBorders>
              <w:top w:val="nil"/>
              <w:left w:val="nil"/>
              <w:bottom w:val="nil"/>
              <w:right w:val="nil"/>
            </w:tcBorders>
          </w:tcPr>
          <w:p w:rsidR="00AA788D" w:rsidRDefault="00AA788D" w:rsidP="0008651B">
            <w:pPr>
              <w:jc w:val="center"/>
            </w:pPr>
            <w:r w:rsidRPr="00E47BA3">
              <w:t>-</w:t>
            </w:r>
            <w:r>
              <w:t xml:space="preserve"> 0</w:t>
            </w:r>
            <w:r w:rsidRPr="00E47BA3">
              <w:t>.0</w:t>
            </w:r>
            <w:r>
              <w:t>7</w:t>
            </w:r>
            <w:r w:rsidRPr="00E47BA3">
              <w:t xml:space="preserve">    </w:t>
            </w:r>
          </w:p>
          <w:p w:rsidR="00AA788D" w:rsidRDefault="00AA788D" w:rsidP="0008651B">
            <w:pPr>
              <w:jc w:val="center"/>
            </w:pPr>
            <w:r>
              <w:t>(0</w:t>
            </w:r>
            <w:r w:rsidRPr="00E47BA3">
              <w:t>.0</w:t>
            </w:r>
            <w:r>
              <w:t>6)</w:t>
            </w:r>
          </w:p>
          <w:p w:rsidR="00AA788D" w:rsidRDefault="00AA788D" w:rsidP="0008651B">
            <w:pPr>
              <w:jc w:val="center"/>
            </w:pPr>
            <w:r>
              <w:t>0</w:t>
            </w:r>
            <w:r w:rsidRPr="00E47BA3">
              <w:t>.21</w:t>
            </w:r>
            <w:r>
              <w:t>**</w:t>
            </w:r>
            <w:r w:rsidRPr="00E47BA3">
              <w:t xml:space="preserve">   </w:t>
            </w:r>
          </w:p>
          <w:p w:rsidR="00AA788D" w:rsidRPr="00D270D2" w:rsidRDefault="00AA788D" w:rsidP="0008651B">
            <w:pPr>
              <w:jc w:val="center"/>
            </w:pPr>
            <w:r>
              <w:t>(0</w:t>
            </w:r>
            <w:r w:rsidRPr="00E47BA3">
              <w:t>.</w:t>
            </w:r>
            <w:r>
              <w:t>10)</w:t>
            </w:r>
          </w:p>
        </w:tc>
        <w:tc>
          <w:tcPr>
            <w:tcW w:w="709" w:type="dxa"/>
            <w:tcBorders>
              <w:top w:val="nil"/>
              <w:left w:val="nil"/>
              <w:bottom w:val="nil"/>
              <w:right w:val="nil"/>
            </w:tcBorders>
          </w:tcPr>
          <w:p w:rsidR="00AA788D" w:rsidRDefault="00AA788D" w:rsidP="0008651B">
            <w:pPr>
              <w:jc w:val="center"/>
            </w:pPr>
            <w:r>
              <w:t>0.94</w:t>
            </w:r>
          </w:p>
          <w:p w:rsidR="00AA788D" w:rsidRDefault="00AA788D" w:rsidP="0008651B">
            <w:pPr>
              <w:jc w:val="center"/>
            </w:pPr>
          </w:p>
          <w:p w:rsidR="00AA788D" w:rsidRPr="00D270D2" w:rsidRDefault="00AA788D" w:rsidP="0008651B">
            <w:pPr>
              <w:jc w:val="center"/>
            </w:pPr>
            <w:r>
              <w:t>1.24</w:t>
            </w:r>
          </w:p>
        </w:tc>
        <w:tc>
          <w:tcPr>
            <w:tcW w:w="1134" w:type="dxa"/>
            <w:gridSpan w:val="2"/>
            <w:tcBorders>
              <w:top w:val="nil"/>
              <w:left w:val="nil"/>
              <w:bottom w:val="nil"/>
              <w:right w:val="nil"/>
            </w:tcBorders>
          </w:tcPr>
          <w:p w:rsidR="00AA788D" w:rsidRDefault="00AA788D" w:rsidP="0008651B">
            <w:pPr>
              <w:jc w:val="center"/>
            </w:pPr>
            <w:r>
              <w:t>- 0.05</w:t>
            </w:r>
          </w:p>
          <w:p w:rsidR="00AA788D" w:rsidRDefault="00AA788D" w:rsidP="0008651B">
            <w:pPr>
              <w:jc w:val="center"/>
            </w:pPr>
            <w:r>
              <w:t>(0.08)</w:t>
            </w:r>
          </w:p>
          <w:p w:rsidR="00AA788D" w:rsidRDefault="00AA788D" w:rsidP="0008651B">
            <w:pPr>
              <w:jc w:val="center"/>
            </w:pPr>
            <w:r>
              <w:t>0.22</w:t>
            </w:r>
          </w:p>
          <w:p w:rsidR="00AA788D" w:rsidRPr="00D270D2" w:rsidRDefault="00AA788D" w:rsidP="0008651B">
            <w:pPr>
              <w:jc w:val="center"/>
            </w:pPr>
            <w:r>
              <w:t>(0.14)</w:t>
            </w:r>
          </w:p>
        </w:tc>
        <w:tc>
          <w:tcPr>
            <w:tcW w:w="709" w:type="dxa"/>
            <w:tcBorders>
              <w:top w:val="nil"/>
              <w:left w:val="nil"/>
              <w:bottom w:val="nil"/>
              <w:right w:val="nil"/>
            </w:tcBorders>
          </w:tcPr>
          <w:p w:rsidR="00AA788D" w:rsidRDefault="00AA788D" w:rsidP="0008651B">
            <w:pPr>
              <w:jc w:val="center"/>
            </w:pPr>
            <w:r>
              <w:t>0.95</w:t>
            </w:r>
          </w:p>
          <w:p w:rsidR="00AA788D" w:rsidRDefault="00AA788D" w:rsidP="0008651B">
            <w:pPr>
              <w:jc w:val="center"/>
            </w:pPr>
          </w:p>
          <w:p w:rsidR="00AA788D" w:rsidRPr="00D270D2" w:rsidRDefault="00AA788D" w:rsidP="0008651B">
            <w:pPr>
              <w:jc w:val="center"/>
            </w:pPr>
            <w:r>
              <w:t>1.24</w:t>
            </w:r>
          </w:p>
        </w:tc>
        <w:tc>
          <w:tcPr>
            <w:tcW w:w="1134" w:type="dxa"/>
            <w:gridSpan w:val="2"/>
            <w:tcBorders>
              <w:top w:val="nil"/>
              <w:left w:val="nil"/>
              <w:bottom w:val="nil"/>
              <w:right w:val="nil"/>
            </w:tcBorders>
          </w:tcPr>
          <w:p w:rsidR="00AA788D" w:rsidRDefault="00AA788D" w:rsidP="0008651B">
            <w:pPr>
              <w:jc w:val="center"/>
            </w:pPr>
            <w:r>
              <w:t>- 0.08</w:t>
            </w:r>
          </w:p>
          <w:p w:rsidR="00AA788D" w:rsidRDefault="00AA788D" w:rsidP="0008651B">
            <w:pPr>
              <w:jc w:val="center"/>
            </w:pPr>
            <w:r>
              <w:t>(0.07)</w:t>
            </w:r>
          </w:p>
          <w:p w:rsidR="00AA788D" w:rsidRDefault="00AA788D" w:rsidP="0008651B">
            <w:pPr>
              <w:jc w:val="center"/>
            </w:pPr>
            <w:r>
              <w:t>0.24**</w:t>
            </w:r>
          </w:p>
          <w:p w:rsidR="00AA788D" w:rsidRPr="00D270D2" w:rsidRDefault="00AA788D" w:rsidP="0008651B">
            <w:pPr>
              <w:jc w:val="center"/>
            </w:pPr>
            <w:r>
              <w:t>(0.13)</w:t>
            </w:r>
          </w:p>
        </w:tc>
        <w:tc>
          <w:tcPr>
            <w:tcW w:w="770" w:type="dxa"/>
            <w:tcBorders>
              <w:top w:val="nil"/>
              <w:left w:val="nil"/>
              <w:bottom w:val="nil"/>
              <w:right w:val="nil"/>
            </w:tcBorders>
          </w:tcPr>
          <w:p w:rsidR="00AA788D" w:rsidRDefault="00AA788D" w:rsidP="0008651B">
            <w:r>
              <w:t>0.92</w:t>
            </w:r>
          </w:p>
          <w:p w:rsidR="00AA788D" w:rsidRDefault="00AA788D" w:rsidP="0008651B"/>
          <w:p w:rsidR="00AA788D" w:rsidRPr="00AD1F4A" w:rsidRDefault="00AA788D" w:rsidP="0008651B">
            <w:r>
              <w:t>1.29</w:t>
            </w:r>
          </w:p>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i/>
              </w:rPr>
            </w:pPr>
            <w:proofErr w:type="spellStart"/>
            <w:r>
              <w:rPr>
                <w:rFonts w:cstheme="minorHAnsi"/>
                <w:i/>
              </w:rPr>
              <w:t>expnd_d</w:t>
            </w:r>
            <w:proofErr w:type="spellEnd"/>
          </w:p>
          <w:p w:rsidR="00AA788D" w:rsidRDefault="00AA788D" w:rsidP="0008651B">
            <w:pPr>
              <w:rPr>
                <w:rFonts w:cstheme="minorHAnsi"/>
                <w:i/>
              </w:rPr>
            </w:pPr>
          </w:p>
          <w:p w:rsidR="00AA788D" w:rsidRPr="00A50368" w:rsidRDefault="00AA788D" w:rsidP="0008651B">
            <w:pPr>
              <w:rPr>
                <w:rFonts w:cstheme="minorHAnsi"/>
                <w:i/>
              </w:rPr>
            </w:pPr>
            <w:r>
              <w:rPr>
                <w:rFonts w:cstheme="minorHAnsi"/>
                <w:i/>
              </w:rPr>
              <w:t>cash1</w:t>
            </w:r>
          </w:p>
          <w:p w:rsidR="00AA788D" w:rsidRPr="00A50368" w:rsidRDefault="00AA788D" w:rsidP="0008651B">
            <w:pPr>
              <w:rPr>
                <w:rFonts w:cstheme="minorHAnsi"/>
                <w:b/>
                <w:i/>
              </w:rPr>
            </w:pPr>
          </w:p>
          <w:p w:rsidR="00AA788D" w:rsidRPr="00A50368" w:rsidRDefault="00AA788D" w:rsidP="0008651B">
            <w:pPr>
              <w:rPr>
                <w:rFonts w:cstheme="minorHAnsi"/>
                <w:i/>
              </w:rPr>
            </w:pPr>
            <w:r>
              <w:rPr>
                <w:rFonts w:cstheme="minorHAnsi"/>
                <w:i/>
              </w:rPr>
              <w:t>g</w:t>
            </w:r>
            <w:r w:rsidRPr="00A50368">
              <w:rPr>
                <w:rFonts w:cstheme="minorHAnsi"/>
                <w:i/>
              </w:rPr>
              <w:t>ender</w:t>
            </w:r>
          </w:p>
        </w:tc>
        <w:tc>
          <w:tcPr>
            <w:tcW w:w="992" w:type="dxa"/>
            <w:tcBorders>
              <w:top w:val="nil"/>
              <w:left w:val="nil"/>
              <w:bottom w:val="nil"/>
              <w:right w:val="nil"/>
            </w:tcBorders>
          </w:tcPr>
          <w:p w:rsidR="00AA788D" w:rsidRPr="00D270D2" w:rsidRDefault="00AA788D" w:rsidP="0008651B">
            <w:pPr>
              <w:jc w:val="center"/>
            </w:pPr>
            <w:r>
              <w:t>+</w:t>
            </w:r>
          </w:p>
          <w:p w:rsidR="00AA788D" w:rsidRPr="00D270D2" w:rsidRDefault="00AA788D" w:rsidP="0008651B">
            <w:pPr>
              <w:jc w:val="center"/>
            </w:pPr>
          </w:p>
          <w:p w:rsidR="00AA788D" w:rsidRDefault="00AA788D" w:rsidP="0008651B">
            <w:pPr>
              <w:jc w:val="center"/>
            </w:pPr>
            <w:r>
              <w:t>-</w:t>
            </w:r>
          </w:p>
          <w:p w:rsidR="00AA788D" w:rsidRDefault="00AA788D" w:rsidP="0008651B">
            <w:pPr>
              <w:jc w:val="center"/>
            </w:pPr>
          </w:p>
          <w:p w:rsidR="00AA788D" w:rsidRDefault="00AA788D" w:rsidP="0008651B">
            <w:pPr>
              <w:jc w:val="center"/>
            </w:pPr>
            <w:r>
              <w:t>-</w:t>
            </w:r>
          </w:p>
          <w:p w:rsidR="00AA788D" w:rsidRPr="00D270D2" w:rsidRDefault="00AA788D" w:rsidP="0008651B">
            <w:pPr>
              <w:jc w:val="center"/>
            </w:pPr>
          </w:p>
        </w:tc>
        <w:tc>
          <w:tcPr>
            <w:tcW w:w="1134" w:type="dxa"/>
            <w:tcBorders>
              <w:top w:val="nil"/>
              <w:left w:val="nil"/>
              <w:bottom w:val="nil"/>
              <w:right w:val="nil"/>
            </w:tcBorders>
          </w:tcPr>
          <w:p w:rsidR="00AA788D" w:rsidRDefault="00AA788D" w:rsidP="0008651B">
            <w:pPr>
              <w:jc w:val="center"/>
            </w:pPr>
            <w:r>
              <w:t>0</w:t>
            </w:r>
            <w:r w:rsidRPr="00BF6F50">
              <w:t>.8</w:t>
            </w:r>
            <w:r>
              <w:t>8***</w:t>
            </w:r>
            <w:r w:rsidRPr="00BF6F50">
              <w:t xml:space="preserve">   </w:t>
            </w:r>
          </w:p>
          <w:p w:rsidR="00AA788D" w:rsidRDefault="00AA788D" w:rsidP="0008651B">
            <w:pPr>
              <w:jc w:val="center"/>
            </w:pPr>
            <w:r>
              <w:t>(0</w:t>
            </w:r>
            <w:r w:rsidRPr="00BF6F50">
              <w:t>.3</w:t>
            </w:r>
            <w:r>
              <w:t>5)</w:t>
            </w:r>
          </w:p>
          <w:p w:rsidR="00AA788D" w:rsidRDefault="00AA788D" w:rsidP="0008651B">
            <w:pPr>
              <w:jc w:val="center"/>
            </w:pPr>
            <w:r w:rsidRPr="00BF6F50">
              <w:t>-</w:t>
            </w:r>
            <w:r>
              <w:t xml:space="preserve"> 0</w:t>
            </w:r>
            <w:r w:rsidRPr="00BF6F50">
              <w:t>.8</w:t>
            </w:r>
            <w:r>
              <w:t>1**</w:t>
            </w:r>
            <w:r w:rsidRPr="00BF6F50">
              <w:t xml:space="preserve">   </w:t>
            </w:r>
            <w:r>
              <w:t>(0.34)</w:t>
            </w:r>
          </w:p>
          <w:p w:rsidR="00AA788D" w:rsidRDefault="00AA788D" w:rsidP="0008651B">
            <w:pPr>
              <w:jc w:val="center"/>
            </w:pPr>
            <w:r>
              <w:t>0</w:t>
            </w:r>
            <w:r w:rsidRPr="00BF6F50">
              <w:t>.4</w:t>
            </w:r>
            <w:r>
              <w:t>5</w:t>
            </w:r>
            <w:r w:rsidRPr="00BF6F50">
              <w:t xml:space="preserve">   </w:t>
            </w:r>
          </w:p>
          <w:p w:rsidR="00AA788D" w:rsidRPr="00D270D2" w:rsidRDefault="00AA788D" w:rsidP="0008651B">
            <w:pPr>
              <w:jc w:val="center"/>
            </w:pPr>
            <w:r>
              <w:t>(0</w:t>
            </w:r>
            <w:r w:rsidRPr="00BF6F50">
              <w:t>.41</w:t>
            </w:r>
            <w:r>
              <w:t>)</w:t>
            </w:r>
          </w:p>
        </w:tc>
        <w:tc>
          <w:tcPr>
            <w:tcW w:w="709" w:type="dxa"/>
            <w:tcBorders>
              <w:top w:val="nil"/>
              <w:left w:val="nil"/>
              <w:bottom w:val="nil"/>
              <w:right w:val="nil"/>
            </w:tcBorders>
          </w:tcPr>
          <w:p w:rsidR="00AA788D" w:rsidRDefault="00AA788D" w:rsidP="0008651B">
            <w:pPr>
              <w:jc w:val="center"/>
            </w:pPr>
            <w:r>
              <w:t>2.41</w:t>
            </w:r>
          </w:p>
          <w:p w:rsidR="00AA788D" w:rsidRDefault="00AA788D" w:rsidP="0008651B">
            <w:pPr>
              <w:jc w:val="center"/>
            </w:pPr>
          </w:p>
          <w:p w:rsidR="00AA788D" w:rsidRDefault="00AA788D" w:rsidP="0008651B">
            <w:pPr>
              <w:jc w:val="center"/>
            </w:pPr>
            <w:r>
              <w:t>0.44</w:t>
            </w:r>
          </w:p>
          <w:p w:rsidR="00AA788D" w:rsidRDefault="00AA788D" w:rsidP="0008651B">
            <w:pPr>
              <w:jc w:val="center"/>
            </w:pPr>
          </w:p>
          <w:p w:rsidR="00AA788D" w:rsidRPr="00D270D2" w:rsidRDefault="00AA788D" w:rsidP="0008651B">
            <w:pPr>
              <w:jc w:val="center"/>
            </w:pPr>
            <w:r>
              <w:t>1.57</w:t>
            </w:r>
          </w:p>
        </w:tc>
        <w:tc>
          <w:tcPr>
            <w:tcW w:w="1134" w:type="dxa"/>
            <w:gridSpan w:val="2"/>
            <w:tcBorders>
              <w:top w:val="nil"/>
              <w:left w:val="nil"/>
              <w:bottom w:val="nil"/>
              <w:right w:val="nil"/>
            </w:tcBorders>
          </w:tcPr>
          <w:p w:rsidR="00AA788D" w:rsidRDefault="00AA788D" w:rsidP="0008651B">
            <w:pPr>
              <w:jc w:val="center"/>
            </w:pPr>
            <w:r>
              <w:t>0.38</w:t>
            </w:r>
          </w:p>
          <w:p w:rsidR="00AA788D" w:rsidRDefault="00AA788D" w:rsidP="0008651B">
            <w:pPr>
              <w:jc w:val="center"/>
            </w:pPr>
            <w:r>
              <w:t>(0.48)</w:t>
            </w:r>
          </w:p>
          <w:p w:rsidR="00AA788D" w:rsidRDefault="00AA788D" w:rsidP="0008651B">
            <w:pPr>
              <w:jc w:val="center"/>
            </w:pPr>
            <w:r>
              <w:t>- 1.18***</w:t>
            </w:r>
          </w:p>
          <w:p w:rsidR="00AA788D" w:rsidRDefault="00AA788D" w:rsidP="0008651B">
            <w:pPr>
              <w:jc w:val="center"/>
            </w:pPr>
            <w:r>
              <w:t>(0.48)</w:t>
            </w:r>
          </w:p>
          <w:p w:rsidR="00AA788D" w:rsidRDefault="00AA788D" w:rsidP="0008651B">
            <w:pPr>
              <w:jc w:val="center"/>
            </w:pPr>
            <w:r>
              <w:t>0.23</w:t>
            </w:r>
          </w:p>
          <w:p w:rsidR="00AA788D" w:rsidRPr="00D270D2" w:rsidRDefault="00AA788D" w:rsidP="0008651B">
            <w:pPr>
              <w:jc w:val="center"/>
            </w:pPr>
            <w:r>
              <w:t>(0.60)</w:t>
            </w:r>
          </w:p>
        </w:tc>
        <w:tc>
          <w:tcPr>
            <w:tcW w:w="709" w:type="dxa"/>
            <w:tcBorders>
              <w:top w:val="nil"/>
              <w:left w:val="nil"/>
              <w:bottom w:val="nil"/>
              <w:right w:val="nil"/>
            </w:tcBorders>
          </w:tcPr>
          <w:p w:rsidR="00AA788D" w:rsidRDefault="00AA788D" w:rsidP="0008651B">
            <w:pPr>
              <w:jc w:val="center"/>
            </w:pPr>
            <w:r>
              <w:t>1.47</w:t>
            </w:r>
          </w:p>
          <w:p w:rsidR="00AA788D" w:rsidRDefault="00AA788D" w:rsidP="0008651B">
            <w:pPr>
              <w:jc w:val="center"/>
            </w:pPr>
          </w:p>
          <w:p w:rsidR="00AA788D" w:rsidRDefault="00AA788D" w:rsidP="0008651B">
            <w:pPr>
              <w:jc w:val="center"/>
            </w:pPr>
            <w:r>
              <w:t>0.31</w:t>
            </w:r>
          </w:p>
          <w:p w:rsidR="00AA788D" w:rsidRDefault="00AA788D" w:rsidP="0008651B">
            <w:pPr>
              <w:jc w:val="center"/>
            </w:pPr>
          </w:p>
          <w:p w:rsidR="00AA788D" w:rsidRPr="00D270D2" w:rsidRDefault="00AA788D" w:rsidP="0008651B">
            <w:pPr>
              <w:jc w:val="center"/>
            </w:pPr>
            <w:r>
              <w:t>1.26</w:t>
            </w:r>
          </w:p>
        </w:tc>
        <w:tc>
          <w:tcPr>
            <w:tcW w:w="1134" w:type="dxa"/>
            <w:gridSpan w:val="2"/>
            <w:tcBorders>
              <w:top w:val="nil"/>
              <w:left w:val="nil"/>
              <w:bottom w:val="nil"/>
              <w:right w:val="nil"/>
            </w:tcBorders>
          </w:tcPr>
          <w:p w:rsidR="00AA788D" w:rsidRDefault="00AA788D" w:rsidP="0008651B">
            <w:pPr>
              <w:jc w:val="center"/>
            </w:pPr>
            <w:r>
              <w:t>0.25*</w:t>
            </w:r>
          </w:p>
          <w:p w:rsidR="00AA788D" w:rsidRDefault="00AA788D" w:rsidP="0008651B">
            <w:pPr>
              <w:jc w:val="center"/>
            </w:pPr>
            <w:r>
              <w:t>(0.13)</w:t>
            </w:r>
          </w:p>
          <w:p w:rsidR="00AA788D" w:rsidRDefault="00AA788D" w:rsidP="0008651B">
            <w:pPr>
              <w:jc w:val="center"/>
            </w:pPr>
            <w:r>
              <w:t>- 1.06**</w:t>
            </w:r>
          </w:p>
          <w:p w:rsidR="00AA788D" w:rsidRDefault="00AA788D" w:rsidP="0008651B">
            <w:pPr>
              <w:jc w:val="center"/>
            </w:pPr>
            <w:r>
              <w:t>(0.46)</w:t>
            </w:r>
          </w:p>
          <w:p w:rsidR="00AA788D" w:rsidRDefault="00AA788D" w:rsidP="0008651B">
            <w:pPr>
              <w:jc w:val="center"/>
            </w:pPr>
            <w:r>
              <w:t>0.44</w:t>
            </w:r>
          </w:p>
          <w:p w:rsidR="00AA788D" w:rsidRDefault="00AA788D" w:rsidP="0008651B">
            <w:pPr>
              <w:jc w:val="center"/>
            </w:pPr>
            <w:r>
              <w:t>(0.52)</w:t>
            </w:r>
          </w:p>
        </w:tc>
        <w:tc>
          <w:tcPr>
            <w:tcW w:w="770" w:type="dxa"/>
            <w:tcBorders>
              <w:top w:val="nil"/>
              <w:left w:val="nil"/>
              <w:bottom w:val="nil"/>
              <w:right w:val="nil"/>
            </w:tcBorders>
          </w:tcPr>
          <w:p w:rsidR="00AA788D" w:rsidRDefault="00AA788D" w:rsidP="0008651B">
            <w:r>
              <w:t>2.08</w:t>
            </w:r>
          </w:p>
          <w:p w:rsidR="00AA788D" w:rsidRDefault="00AA788D" w:rsidP="0008651B"/>
          <w:p w:rsidR="00AA788D" w:rsidRDefault="00AA788D" w:rsidP="0008651B">
            <w:r>
              <w:t>0.35</w:t>
            </w:r>
          </w:p>
          <w:p w:rsidR="00AA788D" w:rsidRDefault="00AA788D" w:rsidP="0008651B"/>
          <w:p w:rsidR="00AA788D" w:rsidRPr="00AD1F4A" w:rsidRDefault="00AA788D" w:rsidP="0008651B">
            <w:r>
              <w:t>1.56</w:t>
            </w:r>
          </w:p>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b/>
                <w:i/>
              </w:rPr>
            </w:pPr>
            <w:proofErr w:type="spellStart"/>
            <w:r>
              <w:rPr>
                <w:rFonts w:cstheme="minorHAnsi"/>
                <w:i/>
              </w:rPr>
              <w:t>tash_obl</w:t>
            </w:r>
            <w:proofErr w:type="spellEnd"/>
          </w:p>
          <w:p w:rsidR="00AA788D" w:rsidRPr="00A50368" w:rsidRDefault="00AA788D" w:rsidP="0008651B">
            <w:pPr>
              <w:rPr>
                <w:rFonts w:cstheme="minorHAnsi"/>
                <w:b/>
                <w:i/>
              </w:rPr>
            </w:pPr>
          </w:p>
          <w:p w:rsidR="00AA788D" w:rsidRPr="00A50368" w:rsidRDefault="00AA788D" w:rsidP="0008651B">
            <w:pPr>
              <w:rPr>
                <w:rFonts w:cstheme="minorHAnsi"/>
                <w:i/>
              </w:rPr>
            </w:pPr>
            <w:proofErr w:type="spellStart"/>
            <w:r>
              <w:rPr>
                <w:rFonts w:cstheme="minorHAnsi"/>
                <w:i/>
              </w:rPr>
              <w:t>f</w:t>
            </w:r>
            <w:r w:rsidRPr="00A50368">
              <w:rPr>
                <w:rFonts w:cstheme="minorHAnsi"/>
                <w:i/>
              </w:rPr>
              <w:t>ergh</w:t>
            </w:r>
            <w:proofErr w:type="spellEnd"/>
          </w:p>
        </w:tc>
        <w:tc>
          <w:tcPr>
            <w:tcW w:w="992" w:type="dxa"/>
            <w:tcBorders>
              <w:top w:val="nil"/>
              <w:left w:val="nil"/>
              <w:bottom w:val="nil"/>
              <w:right w:val="nil"/>
            </w:tcBorders>
          </w:tcPr>
          <w:p w:rsidR="00AA788D" w:rsidRDefault="00AA788D" w:rsidP="0008651B">
            <w:pPr>
              <w:jc w:val="center"/>
            </w:pPr>
            <w:r>
              <w:t>-</w:t>
            </w:r>
          </w:p>
          <w:p w:rsidR="00AA788D" w:rsidRDefault="00AA788D" w:rsidP="0008651B">
            <w:pPr>
              <w:jc w:val="center"/>
            </w:pPr>
          </w:p>
          <w:p w:rsidR="00AA788D" w:rsidRDefault="00AA788D" w:rsidP="0008651B">
            <w:pPr>
              <w:jc w:val="center"/>
            </w:pPr>
            <w:r>
              <w:t>-</w:t>
            </w:r>
          </w:p>
          <w:p w:rsidR="00AA788D" w:rsidRPr="00D270D2" w:rsidRDefault="00AA788D" w:rsidP="0008651B">
            <w:pPr>
              <w:jc w:val="center"/>
            </w:pPr>
          </w:p>
        </w:tc>
        <w:tc>
          <w:tcPr>
            <w:tcW w:w="1134" w:type="dxa"/>
            <w:tcBorders>
              <w:top w:val="nil"/>
              <w:left w:val="nil"/>
              <w:bottom w:val="nil"/>
              <w:right w:val="nil"/>
            </w:tcBorders>
          </w:tcPr>
          <w:p w:rsidR="00AA788D" w:rsidRDefault="00AA788D" w:rsidP="0008651B">
            <w:pPr>
              <w:jc w:val="center"/>
            </w:pPr>
            <w:r>
              <w:t>0</w:t>
            </w:r>
            <w:r w:rsidRPr="00BF6F50">
              <w:t>.6</w:t>
            </w:r>
            <w:r>
              <w:t>6*</w:t>
            </w:r>
            <w:r w:rsidRPr="00BF6F50">
              <w:t xml:space="preserve">   </w:t>
            </w:r>
          </w:p>
          <w:p w:rsidR="00AA788D" w:rsidRDefault="00AA788D" w:rsidP="0008651B">
            <w:pPr>
              <w:jc w:val="center"/>
            </w:pPr>
            <w:r>
              <w:t>(0</w:t>
            </w:r>
            <w:r w:rsidRPr="00BF6F50">
              <w:t>.40</w:t>
            </w:r>
            <w:r>
              <w:t>)</w:t>
            </w:r>
          </w:p>
          <w:p w:rsidR="00AA788D" w:rsidRDefault="00AA788D" w:rsidP="0008651B">
            <w:pPr>
              <w:jc w:val="center"/>
            </w:pPr>
            <w:r w:rsidRPr="00BF6F50">
              <w:t>-</w:t>
            </w:r>
            <w:r>
              <w:t xml:space="preserve"> 0</w:t>
            </w:r>
            <w:r w:rsidRPr="00BF6F50">
              <w:t>.2</w:t>
            </w:r>
            <w:r>
              <w:t>5</w:t>
            </w:r>
            <w:r w:rsidRPr="00BF6F50">
              <w:t xml:space="preserve">   </w:t>
            </w:r>
          </w:p>
          <w:p w:rsidR="00AA788D" w:rsidRPr="00D270D2" w:rsidRDefault="00AA788D" w:rsidP="0008651B">
            <w:pPr>
              <w:jc w:val="center"/>
            </w:pPr>
            <w:r>
              <w:t>(0</w:t>
            </w:r>
            <w:r w:rsidRPr="00BF6F50">
              <w:t>.49</w:t>
            </w:r>
            <w:r>
              <w:t>)</w:t>
            </w:r>
          </w:p>
        </w:tc>
        <w:tc>
          <w:tcPr>
            <w:tcW w:w="709" w:type="dxa"/>
            <w:tcBorders>
              <w:top w:val="nil"/>
              <w:left w:val="nil"/>
              <w:bottom w:val="nil"/>
              <w:right w:val="nil"/>
            </w:tcBorders>
          </w:tcPr>
          <w:p w:rsidR="00AA788D" w:rsidRDefault="00AA788D" w:rsidP="0008651B">
            <w:pPr>
              <w:jc w:val="center"/>
            </w:pPr>
            <w:r>
              <w:t>1.94</w:t>
            </w:r>
          </w:p>
          <w:p w:rsidR="00AA788D" w:rsidRDefault="00AA788D" w:rsidP="0008651B">
            <w:pPr>
              <w:jc w:val="center"/>
            </w:pPr>
          </w:p>
          <w:p w:rsidR="00AA788D" w:rsidRPr="00D270D2" w:rsidRDefault="00AA788D" w:rsidP="0008651B">
            <w:pPr>
              <w:jc w:val="center"/>
            </w:pPr>
            <w:r>
              <w:t>0.78</w:t>
            </w:r>
          </w:p>
        </w:tc>
        <w:tc>
          <w:tcPr>
            <w:tcW w:w="1134" w:type="dxa"/>
            <w:gridSpan w:val="2"/>
            <w:tcBorders>
              <w:top w:val="nil"/>
              <w:left w:val="nil"/>
              <w:bottom w:val="nil"/>
              <w:right w:val="nil"/>
            </w:tcBorders>
          </w:tcPr>
          <w:p w:rsidR="00AA788D" w:rsidRDefault="00AA788D" w:rsidP="0008651B">
            <w:pPr>
              <w:jc w:val="center"/>
            </w:pPr>
            <w:r>
              <w:t>1.05*</w:t>
            </w:r>
          </w:p>
          <w:p w:rsidR="00AA788D" w:rsidRDefault="00AA788D" w:rsidP="0008651B">
            <w:pPr>
              <w:jc w:val="center"/>
            </w:pPr>
            <w:r>
              <w:t>(0.56)</w:t>
            </w:r>
          </w:p>
          <w:p w:rsidR="00AA788D" w:rsidRDefault="00AA788D" w:rsidP="0008651B">
            <w:pPr>
              <w:jc w:val="center"/>
            </w:pPr>
            <w:r>
              <w:t>0.83</w:t>
            </w:r>
          </w:p>
          <w:p w:rsidR="00AA788D" w:rsidRPr="00D270D2" w:rsidRDefault="00AA788D" w:rsidP="0008651B">
            <w:pPr>
              <w:jc w:val="center"/>
            </w:pPr>
            <w:r>
              <w:t>(0.66)</w:t>
            </w:r>
          </w:p>
        </w:tc>
        <w:tc>
          <w:tcPr>
            <w:tcW w:w="709" w:type="dxa"/>
            <w:tcBorders>
              <w:top w:val="nil"/>
              <w:left w:val="nil"/>
              <w:bottom w:val="nil"/>
              <w:right w:val="nil"/>
            </w:tcBorders>
          </w:tcPr>
          <w:p w:rsidR="00AA788D" w:rsidRDefault="00AA788D" w:rsidP="0008651B">
            <w:pPr>
              <w:jc w:val="center"/>
            </w:pPr>
            <w:r>
              <w:t>2.85</w:t>
            </w:r>
          </w:p>
          <w:p w:rsidR="00AA788D" w:rsidRDefault="00AA788D" w:rsidP="0008651B">
            <w:pPr>
              <w:jc w:val="center"/>
            </w:pPr>
          </w:p>
          <w:p w:rsidR="00AA788D" w:rsidRPr="00D270D2" w:rsidRDefault="00AA788D" w:rsidP="0008651B">
            <w:pPr>
              <w:jc w:val="center"/>
            </w:pPr>
            <w:r>
              <w:t>2.30</w:t>
            </w:r>
          </w:p>
        </w:tc>
        <w:tc>
          <w:tcPr>
            <w:tcW w:w="1134" w:type="dxa"/>
            <w:gridSpan w:val="2"/>
            <w:tcBorders>
              <w:top w:val="nil"/>
              <w:left w:val="nil"/>
              <w:bottom w:val="nil"/>
              <w:right w:val="nil"/>
            </w:tcBorders>
          </w:tcPr>
          <w:p w:rsidR="00AA788D" w:rsidRDefault="00AA788D" w:rsidP="0008651B">
            <w:pPr>
              <w:jc w:val="center"/>
            </w:pPr>
            <w:r>
              <w:t>0.86</w:t>
            </w:r>
          </w:p>
          <w:p w:rsidR="00AA788D" w:rsidRDefault="00AA788D" w:rsidP="0008651B">
            <w:pPr>
              <w:jc w:val="center"/>
            </w:pPr>
            <w:r>
              <w:t>(0.57)</w:t>
            </w:r>
          </w:p>
          <w:p w:rsidR="00AA788D" w:rsidRDefault="00AA788D" w:rsidP="0008651B">
            <w:pPr>
              <w:jc w:val="center"/>
            </w:pPr>
            <w:r>
              <w:t>0.02</w:t>
            </w:r>
          </w:p>
          <w:p w:rsidR="00AA788D" w:rsidRDefault="00AA788D" w:rsidP="0008651B">
            <w:pPr>
              <w:jc w:val="center"/>
            </w:pPr>
            <w:r>
              <w:t>(0.54)</w:t>
            </w:r>
          </w:p>
        </w:tc>
        <w:tc>
          <w:tcPr>
            <w:tcW w:w="770" w:type="dxa"/>
            <w:tcBorders>
              <w:top w:val="nil"/>
              <w:left w:val="nil"/>
              <w:bottom w:val="nil"/>
              <w:right w:val="nil"/>
            </w:tcBorders>
          </w:tcPr>
          <w:p w:rsidR="00AA788D" w:rsidRDefault="00AA788D" w:rsidP="0008651B">
            <w:r>
              <w:t>2.37</w:t>
            </w:r>
          </w:p>
          <w:p w:rsidR="00AA788D" w:rsidRDefault="00AA788D" w:rsidP="0008651B"/>
          <w:p w:rsidR="00AA788D" w:rsidRPr="00AD1F4A" w:rsidRDefault="00AA788D" w:rsidP="0008651B">
            <w:r>
              <w:t>0.98</w:t>
            </w:r>
          </w:p>
        </w:tc>
      </w:tr>
      <w:tr w:rsidR="00AA788D" w:rsidRPr="00AD1F4A" w:rsidTr="0008651B">
        <w:tc>
          <w:tcPr>
            <w:tcW w:w="2660" w:type="dxa"/>
            <w:tcBorders>
              <w:top w:val="nil"/>
              <w:left w:val="nil"/>
              <w:bottom w:val="nil"/>
              <w:right w:val="nil"/>
            </w:tcBorders>
          </w:tcPr>
          <w:p w:rsidR="00AA788D" w:rsidRPr="00A50368" w:rsidRDefault="00AA788D" w:rsidP="0008651B">
            <w:pPr>
              <w:rPr>
                <w:rFonts w:cstheme="minorHAnsi"/>
                <w:i/>
              </w:rPr>
            </w:pPr>
            <w:proofErr w:type="spellStart"/>
            <w:r>
              <w:rPr>
                <w:rFonts w:cstheme="minorHAnsi"/>
                <w:i/>
              </w:rPr>
              <w:t>agri</w:t>
            </w:r>
            <w:proofErr w:type="spellEnd"/>
          </w:p>
          <w:p w:rsidR="00AA788D" w:rsidRPr="00A50368" w:rsidRDefault="00AA788D" w:rsidP="0008651B">
            <w:pPr>
              <w:rPr>
                <w:rFonts w:cstheme="minorHAnsi"/>
                <w:i/>
              </w:rPr>
            </w:pPr>
          </w:p>
          <w:p w:rsidR="00AA788D" w:rsidRPr="00A50368" w:rsidRDefault="00AA788D" w:rsidP="0008651B">
            <w:pPr>
              <w:rPr>
                <w:rFonts w:cstheme="minorHAnsi"/>
                <w:i/>
              </w:rPr>
            </w:pPr>
            <w:proofErr w:type="spellStart"/>
            <w:r>
              <w:rPr>
                <w:rFonts w:cstheme="minorHAnsi"/>
                <w:i/>
              </w:rPr>
              <w:t>srvs</w:t>
            </w:r>
            <w:proofErr w:type="spellEnd"/>
          </w:p>
          <w:p w:rsidR="00AA788D" w:rsidRPr="00A50368" w:rsidRDefault="00AA788D" w:rsidP="0008651B">
            <w:pPr>
              <w:rPr>
                <w:rFonts w:cstheme="minorHAnsi"/>
                <w:i/>
              </w:rPr>
            </w:pPr>
          </w:p>
          <w:p w:rsidR="00AA788D" w:rsidRPr="00A50368" w:rsidRDefault="00AA788D" w:rsidP="0008651B">
            <w:pPr>
              <w:rPr>
                <w:rFonts w:cstheme="minorHAnsi"/>
                <w:i/>
              </w:rPr>
            </w:pPr>
            <w:proofErr w:type="spellStart"/>
            <w:r>
              <w:rPr>
                <w:rFonts w:cstheme="minorHAnsi"/>
                <w:i/>
              </w:rPr>
              <w:t>trd</w:t>
            </w:r>
            <w:proofErr w:type="spellEnd"/>
          </w:p>
          <w:p w:rsidR="00AA788D" w:rsidRPr="00A50368" w:rsidRDefault="00AA788D" w:rsidP="0008651B">
            <w:pPr>
              <w:rPr>
                <w:rFonts w:cstheme="minorHAnsi"/>
                <w:i/>
              </w:rPr>
            </w:pPr>
          </w:p>
        </w:tc>
        <w:tc>
          <w:tcPr>
            <w:tcW w:w="992" w:type="dxa"/>
            <w:tcBorders>
              <w:top w:val="nil"/>
              <w:left w:val="nil"/>
              <w:bottom w:val="nil"/>
              <w:right w:val="nil"/>
            </w:tcBorders>
          </w:tcPr>
          <w:p w:rsidR="00AA788D" w:rsidRPr="00D270D2" w:rsidRDefault="00AA788D" w:rsidP="0008651B">
            <w:pPr>
              <w:jc w:val="center"/>
            </w:pPr>
            <w:r>
              <w:t>+/</w:t>
            </w:r>
            <w:r w:rsidRPr="00D270D2">
              <w:t>-</w:t>
            </w:r>
          </w:p>
          <w:p w:rsidR="00AA788D" w:rsidRPr="00D270D2" w:rsidRDefault="00AA788D" w:rsidP="0008651B">
            <w:pPr>
              <w:jc w:val="center"/>
            </w:pPr>
          </w:p>
          <w:p w:rsidR="00AA788D" w:rsidRDefault="00AA788D" w:rsidP="0008651B">
            <w:pPr>
              <w:jc w:val="center"/>
            </w:pPr>
            <w:r>
              <w:t>+/</w:t>
            </w:r>
            <w:r w:rsidRPr="00D270D2">
              <w:t>-</w:t>
            </w:r>
          </w:p>
          <w:p w:rsidR="00AA788D" w:rsidRDefault="00AA788D" w:rsidP="0008651B">
            <w:pPr>
              <w:jc w:val="center"/>
            </w:pPr>
          </w:p>
          <w:p w:rsidR="00AA788D" w:rsidRPr="00D270D2" w:rsidRDefault="00AA788D" w:rsidP="0008651B">
            <w:pPr>
              <w:jc w:val="center"/>
            </w:pPr>
            <w:r>
              <w:t>+/-</w:t>
            </w:r>
          </w:p>
        </w:tc>
        <w:tc>
          <w:tcPr>
            <w:tcW w:w="1134" w:type="dxa"/>
            <w:tcBorders>
              <w:top w:val="nil"/>
              <w:left w:val="nil"/>
              <w:bottom w:val="nil"/>
              <w:right w:val="nil"/>
            </w:tcBorders>
          </w:tcPr>
          <w:p w:rsidR="00AA788D" w:rsidRDefault="00AA788D" w:rsidP="0008651B">
            <w:pPr>
              <w:jc w:val="center"/>
            </w:pPr>
            <w:r w:rsidRPr="00BF6F50">
              <w:t>-</w:t>
            </w:r>
            <w:r>
              <w:t xml:space="preserve"> 0</w:t>
            </w:r>
            <w:r w:rsidRPr="00BF6F50">
              <w:t>.8</w:t>
            </w:r>
            <w:r>
              <w:t>5</w:t>
            </w:r>
            <w:r w:rsidRPr="00BF6F50">
              <w:t xml:space="preserve">   </w:t>
            </w:r>
          </w:p>
          <w:p w:rsidR="00AA788D" w:rsidRDefault="00AA788D" w:rsidP="0008651B">
            <w:pPr>
              <w:jc w:val="center"/>
            </w:pPr>
            <w:r>
              <w:t>(0</w:t>
            </w:r>
            <w:r w:rsidRPr="00BF6F50">
              <w:t>.5</w:t>
            </w:r>
            <w:r>
              <w:t>8)</w:t>
            </w:r>
          </w:p>
          <w:p w:rsidR="00AA788D" w:rsidRDefault="00AA788D" w:rsidP="0008651B">
            <w:pPr>
              <w:jc w:val="center"/>
            </w:pPr>
            <w:r w:rsidRPr="00BF6F50">
              <w:t>-</w:t>
            </w:r>
            <w:r>
              <w:t xml:space="preserve"> </w:t>
            </w:r>
            <w:r w:rsidRPr="00BF6F50">
              <w:t>1.1</w:t>
            </w:r>
            <w:r>
              <w:t>8**</w:t>
            </w:r>
            <w:r w:rsidRPr="00BF6F50">
              <w:t xml:space="preserve">   </w:t>
            </w:r>
            <w:r>
              <w:t>(0</w:t>
            </w:r>
            <w:r w:rsidRPr="00BF6F50">
              <w:t>.51</w:t>
            </w:r>
            <w:r>
              <w:t>)</w:t>
            </w:r>
          </w:p>
          <w:p w:rsidR="00AA788D" w:rsidRDefault="00AA788D" w:rsidP="0008651B">
            <w:pPr>
              <w:jc w:val="center"/>
            </w:pPr>
            <w:r>
              <w:t>0</w:t>
            </w:r>
            <w:r w:rsidRPr="00BF6F50">
              <w:t>.</w:t>
            </w:r>
            <w:r>
              <w:t>23</w:t>
            </w:r>
            <w:r w:rsidRPr="00BF6F50">
              <w:t xml:space="preserve">   </w:t>
            </w:r>
          </w:p>
          <w:p w:rsidR="00AA788D" w:rsidRPr="00D270D2" w:rsidRDefault="00AA788D" w:rsidP="0008651B">
            <w:pPr>
              <w:jc w:val="center"/>
            </w:pPr>
            <w:r>
              <w:t>(0</w:t>
            </w:r>
            <w:r w:rsidRPr="00BF6F50">
              <w:t>.4</w:t>
            </w:r>
            <w:r>
              <w:t>7)</w:t>
            </w:r>
          </w:p>
        </w:tc>
        <w:tc>
          <w:tcPr>
            <w:tcW w:w="709" w:type="dxa"/>
            <w:tcBorders>
              <w:top w:val="nil"/>
              <w:left w:val="nil"/>
              <w:bottom w:val="nil"/>
              <w:right w:val="nil"/>
            </w:tcBorders>
          </w:tcPr>
          <w:p w:rsidR="00AA788D" w:rsidRDefault="00AA788D" w:rsidP="0008651B">
            <w:pPr>
              <w:jc w:val="center"/>
            </w:pPr>
            <w:r>
              <w:t>0.43</w:t>
            </w:r>
          </w:p>
          <w:p w:rsidR="00AA788D" w:rsidRDefault="00AA788D" w:rsidP="0008651B">
            <w:pPr>
              <w:jc w:val="center"/>
            </w:pPr>
          </w:p>
          <w:p w:rsidR="00AA788D" w:rsidRDefault="00AA788D" w:rsidP="0008651B">
            <w:pPr>
              <w:jc w:val="center"/>
            </w:pPr>
            <w:r>
              <w:t>0.31</w:t>
            </w:r>
          </w:p>
          <w:p w:rsidR="00AA788D" w:rsidRDefault="00AA788D" w:rsidP="0008651B">
            <w:pPr>
              <w:jc w:val="center"/>
            </w:pPr>
          </w:p>
          <w:p w:rsidR="00AA788D" w:rsidRPr="00D270D2" w:rsidRDefault="00AA788D" w:rsidP="0008651B">
            <w:pPr>
              <w:jc w:val="center"/>
            </w:pPr>
            <w:r>
              <w:t>1.26</w:t>
            </w:r>
          </w:p>
        </w:tc>
        <w:tc>
          <w:tcPr>
            <w:tcW w:w="1134" w:type="dxa"/>
            <w:gridSpan w:val="2"/>
            <w:tcBorders>
              <w:top w:val="nil"/>
              <w:left w:val="nil"/>
              <w:bottom w:val="nil"/>
              <w:right w:val="nil"/>
            </w:tcBorders>
          </w:tcPr>
          <w:p w:rsidR="00AA788D" w:rsidRDefault="00AA788D" w:rsidP="0008651B">
            <w:pPr>
              <w:jc w:val="center"/>
            </w:pPr>
            <w:r>
              <w:t>- 1.85***</w:t>
            </w:r>
          </w:p>
          <w:p w:rsidR="00AA788D" w:rsidRDefault="00AA788D" w:rsidP="0008651B">
            <w:pPr>
              <w:jc w:val="center"/>
            </w:pPr>
            <w:r>
              <w:t>(0.74)</w:t>
            </w:r>
          </w:p>
          <w:p w:rsidR="00AA788D" w:rsidRDefault="00AA788D" w:rsidP="0008651B">
            <w:pPr>
              <w:jc w:val="center"/>
            </w:pPr>
            <w:r>
              <w:t>- 0.82</w:t>
            </w:r>
          </w:p>
          <w:p w:rsidR="00AA788D" w:rsidRDefault="00AA788D" w:rsidP="0008651B">
            <w:pPr>
              <w:jc w:val="center"/>
            </w:pPr>
            <w:r>
              <w:t>(0.70)</w:t>
            </w:r>
          </w:p>
          <w:p w:rsidR="00AA788D" w:rsidRDefault="00AA788D" w:rsidP="0008651B">
            <w:pPr>
              <w:jc w:val="center"/>
            </w:pPr>
            <w:r>
              <w:t>0.12</w:t>
            </w:r>
          </w:p>
          <w:p w:rsidR="00AA788D" w:rsidRPr="00D270D2" w:rsidRDefault="00AA788D" w:rsidP="0008651B">
            <w:pPr>
              <w:jc w:val="center"/>
            </w:pPr>
            <w:r>
              <w:t>(0.62)</w:t>
            </w:r>
          </w:p>
        </w:tc>
        <w:tc>
          <w:tcPr>
            <w:tcW w:w="709" w:type="dxa"/>
            <w:tcBorders>
              <w:top w:val="nil"/>
              <w:left w:val="nil"/>
              <w:bottom w:val="nil"/>
              <w:right w:val="nil"/>
            </w:tcBorders>
          </w:tcPr>
          <w:p w:rsidR="00AA788D" w:rsidRDefault="00AA788D" w:rsidP="0008651B">
            <w:pPr>
              <w:jc w:val="center"/>
            </w:pPr>
            <w:r>
              <w:t>0.16</w:t>
            </w:r>
          </w:p>
          <w:p w:rsidR="00AA788D" w:rsidRDefault="00AA788D" w:rsidP="0008651B">
            <w:pPr>
              <w:jc w:val="center"/>
            </w:pPr>
          </w:p>
          <w:p w:rsidR="00AA788D" w:rsidRDefault="00AA788D" w:rsidP="0008651B">
            <w:pPr>
              <w:jc w:val="center"/>
            </w:pPr>
            <w:r>
              <w:t>0.44</w:t>
            </w:r>
          </w:p>
          <w:p w:rsidR="00AA788D" w:rsidRDefault="00AA788D" w:rsidP="0008651B">
            <w:pPr>
              <w:jc w:val="center"/>
            </w:pPr>
          </w:p>
          <w:p w:rsidR="00AA788D" w:rsidRPr="00D270D2" w:rsidRDefault="00AA788D" w:rsidP="0008651B">
            <w:pPr>
              <w:jc w:val="center"/>
            </w:pPr>
            <w:r>
              <w:t>1.12</w:t>
            </w:r>
          </w:p>
        </w:tc>
        <w:tc>
          <w:tcPr>
            <w:tcW w:w="1134" w:type="dxa"/>
            <w:gridSpan w:val="2"/>
            <w:tcBorders>
              <w:top w:val="nil"/>
              <w:left w:val="nil"/>
              <w:bottom w:val="nil"/>
              <w:right w:val="nil"/>
            </w:tcBorders>
          </w:tcPr>
          <w:p w:rsidR="00AA788D" w:rsidRDefault="00AA788D" w:rsidP="0008651B">
            <w:pPr>
              <w:jc w:val="center"/>
            </w:pPr>
            <w:r>
              <w:t>- 1.09</w:t>
            </w:r>
          </w:p>
          <w:p w:rsidR="00AA788D" w:rsidRDefault="00AA788D" w:rsidP="0008651B">
            <w:pPr>
              <w:jc w:val="center"/>
            </w:pPr>
            <w:r>
              <w:t>(0.77)</w:t>
            </w:r>
          </w:p>
          <w:p w:rsidR="00AA788D" w:rsidRDefault="00AA788D" w:rsidP="0008651B">
            <w:pPr>
              <w:jc w:val="center"/>
            </w:pPr>
            <w:r>
              <w:t>- 0.38</w:t>
            </w:r>
          </w:p>
          <w:p w:rsidR="00AA788D" w:rsidRDefault="00AA788D" w:rsidP="0008651B">
            <w:pPr>
              <w:jc w:val="center"/>
            </w:pPr>
            <w:r>
              <w:t>(0.60)</w:t>
            </w:r>
          </w:p>
          <w:p w:rsidR="00AA788D" w:rsidRDefault="00AA788D" w:rsidP="0008651B">
            <w:pPr>
              <w:jc w:val="center"/>
            </w:pPr>
            <w:r>
              <w:t>0.33</w:t>
            </w:r>
          </w:p>
          <w:p w:rsidR="00AA788D" w:rsidRDefault="00AA788D" w:rsidP="0008651B">
            <w:pPr>
              <w:jc w:val="center"/>
            </w:pPr>
            <w:r>
              <w:t>(0.62)</w:t>
            </w:r>
          </w:p>
        </w:tc>
        <w:tc>
          <w:tcPr>
            <w:tcW w:w="770" w:type="dxa"/>
            <w:tcBorders>
              <w:top w:val="nil"/>
              <w:left w:val="nil"/>
              <w:bottom w:val="nil"/>
              <w:right w:val="nil"/>
            </w:tcBorders>
          </w:tcPr>
          <w:p w:rsidR="00AA788D" w:rsidRDefault="00AA788D" w:rsidP="0008651B">
            <w:r>
              <w:t>0.34</w:t>
            </w:r>
          </w:p>
          <w:p w:rsidR="00AA788D" w:rsidRDefault="00AA788D" w:rsidP="0008651B"/>
          <w:p w:rsidR="00AA788D" w:rsidRDefault="00AA788D" w:rsidP="0008651B">
            <w:r>
              <w:t>0.68</w:t>
            </w:r>
          </w:p>
          <w:p w:rsidR="00AA788D" w:rsidRDefault="00AA788D" w:rsidP="0008651B"/>
          <w:p w:rsidR="00AA788D" w:rsidRPr="00AD1F4A" w:rsidRDefault="00AA788D" w:rsidP="0008651B">
            <w:r>
              <w:t>1.39</w:t>
            </w:r>
          </w:p>
        </w:tc>
      </w:tr>
      <w:tr w:rsidR="00AA788D" w:rsidRPr="00AD1F4A" w:rsidTr="0008651B">
        <w:tc>
          <w:tcPr>
            <w:tcW w:w="2660" w:type="dxa"/>
            <w:tcBorders>
              <w:top w:val="nil"/>
              <w:left w:val="nil"/>
              <w:bottom w:val="single" w:sz="4" w:space="0" w:color="auto"/>
              <w:right w:val="nil"/>
            </w:tcBorders>
          </w:tcPr>
          <w:p w:rsidR="00AA788D" w:rsidRPr="00A50368" w:rsidRDefault="00AA788D" w:rsidP="0008651B">
            <w:pPr>
              <w:rPr>
                <w:rFonts w:cstheme="minorHAnsi"/>
                <w:i/>
              </w:rPr>
            </w:pPr>
            <w:proofErr w:type="spellStart"/>
            <w:r>
              <w:rPr>
                <w:rFonts w:cstheme="minorHAnsi"/>
                <w:i/>
              </w:rPr>
              <w:t>gov_connect</w:t>
            </w:r>
            <w:proofErr w:type="spellEnd"/>
          </w:p>
          <w:p w:rsidR="00AA788D" w:rsidRPr="00A50368" w:rsidRDefault="00AA788D" w:rsidP="0008651B">
            <w:pPr>
              <w:rPr>
                <w:rFonts w:cstheme="minorHAnsi"/>
                <w:i/>
              </w:rPr>
            </w:pPr>
          </w:p>
          <w:p w:rsidR="00AA788D" w:rsidRPr="00A50368" w:rsidRDefault="00AA788D" w:rsidP="0008651B">
            <w:pPr>
              <w:rPr>
                <w:rFonts w:cstheme="minorHAnsi"/>
                <w:i/>
              </w:rPr>
            </w:pPr>
            <w:r w:rsidRPr="00A50368">
              <w:rPr>
                <w:rFonts w:cstheme="minorHAnsi"/>
                <w:i/>
              </w:rPr>
              <w:t>Bribe</w:t>
            </w:r>
          </w:p>
          <w:p w:rsidR="00AA788D" w:rsidRPr="00A50368" w:rsidRDefault="00AA788D" w:rsidP="0008651B">
            <w:pPr>
              <w:rPr>
                <w:rFonts w:cstheme="minorHAnsi"/>
                <w:i/>
              </w:rPr>
            </w:pPr>
          </w:p>
          <w:p w:rsidR="00AA788D" w:rsidRPr="00A50368" w:rsidRDefault="00AA788D" w:rsidP="0008651B">
            <w:pPr>
              <w:rPr>
                <w:rFonts w:cstheme="minorHAnsi"/>
                <w:i/>
              </w:rPr>
            </w:pPr>
            <w:proofErr w:type="spellStart"/>
            <w:r>
              <w:rPr>
                <w:rFonts w:cstheme="minorHAnsi"/>
                <w:i/>
              </w:rPr>
              <w:t>bzinbrpl</w:t>
            </w:r>
            <w:proofErr w:type="spellEnd"/>
          </w:p>
          <w:p w:rsidR="00AA788D" w:rsidRPr="00A50368" w:rsidRDefault="00AA788D" w:rsidP="0008651B">
            <w:pPr>
              <w:rPr>
                <w:rFonts w:cstheme="minorHAnsi"/>
                <w:i/>
              </w:rPr>
            </w:pPr>
          </w:p>
        </w:tc>
        <w:tc>
          <w:tcPr>
            <w:tcW w:w="992" w:type="dxa"/>
            <w:tcBorders>
              <w:top w:val="nil"/>
              <w:left w:val="nil"/>
              <w:bottom w:val="single" w:sz="4" w:space="0" w:color="auto"/>
              <w:right w:val="nil"/>
            </w:tcBorders>
          </w:tcPr>
          <w:p w:rsidR="00AA788D" w:rsidRDefault="00AA788D" w:rsidP="0008651B">
            <w:pPr>
              <w:jc w:val="center"/>
            </w:pPr>
            <w:r w:rsidRPr="00D270D2">
              <w:t>+</w:t>
            </w:r>
          </w:p>
          <w:p w:rsidR="00AA788D" w:rsidRDefault="00AA788D" w:rsidP="0008651B">
            <w:pPr>
              <w:jc w:val="center"/>
            </w:pPr>
          </w:p>
          <w:p w:rsidR="00AA788D" w:rsidRDefault="00AA788D" w:rsidP="0008651B">
            <w:pPr>
              <w:jc w:val="center"/>
            </w:pPr>
            <w:r>
              <w:t>+</w:t>
            </w:r>
          </w:p>
          <w:p w:rsidR="00AA788D" w:rsidRDefault="00AA788D" w:rsidP="0008651B">
            <w:pPr>
              <w:jc w:val="center"/>
            </w:pPr>
          </w:p>
          <w:p w:rsidR="00AA788D" w:rsidRPr="00D270D2" w:rsidRDefault="00AA788D" w:rsidP="0008651B">
            <w:pPr>
              <w:jc w:val="center"/>
            </w:pPr>
            <w:r>
              <w:t>+</w:t>
            </w:r>
          </w:p>
        </w:tc>
        <w:tc>
          <w:tcPr>
            <w:tcW w:w="1134" w:type="dxa"/>
            <w:tcBorders>
              <w:top w:val="nil"/>
              <w:left w:val="nil"/>
              <w:bottom w:val="single" w:sz="4" w:space="0" w:color="auto"/>
              <w:right w:val="nil"/>
            </w:tcBorders>
          </w:tcPr>
          <w:p w:rsidR="00AA788D" w:rsidRDefault="00AA788D" w:rsidP="0008651B">
            <w:pPr>
              <w:jc w:val="center"/>
            </w:pPr>
            <w:r>
              <w:t>0</w:t>
            </w:r>
            <w:r w:rsidRPr="00BF6F50">
              <w:t>.8</w:t>
            </w:r>
            <w:r>
              <w:t>4**</w:t>
            </w:r>
            <w:r w:rsidRPr="00BF6F50">
              <w:t xml:space="preserve">   </w:t>
            </w:r>
          </w:p>
          <w:p w:rsidR="00AA788D" w:rsidRDefault="00AA788D" w:rsidP="0008651B">
            <w:pPr>
              <w:jc w:val="center"/>
            </w:pPr>
            <w:r>
              <w:t>(0</w:t>
            </w:r>
            <w:r w:rsidRPr="00BF6F50">
              <w:t>.3</w:t>
            </w:r>
            <w:r>
              <w:t>6)</w:t>
            </w:r>
          </w:p>
          <w:p w:rsidR="00AA788D" w:rsidRDefault="00AA788D" w:rsidP="0008651B">
            <w:pPr>
              <w:jc w:val="center"/>
            </w:pPr>
            <w:r>
              <w:t>0.42</w:t>
            </w:r>
          </w:p>
          <w:p w:rsidR="00AA788D" w:rsidRDefault="00AA788D" w:rsidP="0008651B">
            <w:pPr>
              <w:jc w:val="center"/>
            </w:pPr>
            <w:r>
              <w:t>(0.33)</w:t>
            </w:r>
          </w:p>
          <w:p w:rsidR="00AA788D" w:rsidRDefault="00AA788D" w:rsidP="0008651B">
            <w:pPr>
              <w:jc w:val="center"/>
            </w:pPr>
            <w:r>
              <w:t>0.93**</w:t>
            </w:r>
          </w:p>
          <w:p w:rsidR="00AA788D" w:rsidRPr="00D270D2" w:rsidRDefault="00AA788D" w:rsidP="0008651B">
            <w:pPr>
              <w:jc w:val="center"/>
            </w:pPr>
            <w:r>
              <w:t>(0.41)</w:t>
            </w:r>
          </w:p>
        </w:tc>
        <w:tc>
          <w:tcPr>
            <w:tcW w:w="709" w:type="dxa"/>
            <w:tcBorders>
              <w:top w:val="nil"/>
              <w:left w:val="nil"/>
              <w:bottom w:val="single" w:sz="4" w:space="0" w:color="auto"/>
              <w:right w:val="nil"/>
            </w:tcBorders>
          </w:tcPr>
          <w:p w:rsidR="00AA788D" w:rsidRDefault="00AA788D" w:rsidP="0008651B">
            <w:pPr>
              <w:jc w:val="center"/>
            </w:pPr>
            <w:r>
              <w:t>2.33</w:t>
            </w:r>
          </w:p>
          <w:p w:rsidR="00AA788D" w:rsidRDefault="00AA788D" w:rsidP="0008651B">
            <w:pPr>
              <w:jc w:val="center"/>
            </w:pPr>
          </w:p>
          <w:p w:rsidR="00AA788D" w:rsidRDefault="00AA788D" w:rsidP="0008651B">
            <w:pPr>
              <w:jc w:val="center"/>
            </w:pPr>
            <w:r>
              <w:t>1.52</w:t>
            </w:r>
          </w:p>
          <w:p w:rsidR="00AA788D" w:rsidRDefault="00AA788D" w:rsidP="0008651B">
            <w:pPr>
              <w:jc w:val="center"/>
            </w:pPr>
          </w:p>
          <w:p w:rsidR="00AA788D" w:rsidRPr="00D270D2" w:rsidRDefault="00AA788D" w:rsidP="0008651B">
            <w:pPr>
              <w:jc w:val="center"/>
            </w:pPr>
            <w:r>
              <w:t>2.55</w:t>
            </w:r>
          </w:p>
        </w:tc>
        <w:tc>
          <w:tcPr>
            <w:tcW w:w="1134" w:type="dxa"/>
            <w:gridSpan w:val="2"/>
            <w:tcBorders>
              <w:top w:val="nil"/>
              <w:left w:val="nil"/>
              <w:bottom w:val="single" w:sz="4" w:space="0" w:color="auto"/>
              <w:right w:val="nil"/>
            </w:tcBorders>
          </w:tcPr>
          <w:p w:rsidR="00AA788D" w:rsidRDefault="00AA788D" w:rsidP="0008651B">
            <w:pPr>
              <w:jc w:val="center"/>
            </w:pPr>
            <w:r>
              <w:t>0.78</w:t>
            </w:r>
          </w:p>
          <w:p w:rsidR="00AA788D" w:rsidRDefault="00AA788D" w:rsidP="0008651B">
            <w:pPr>
              <w:jc w:val="center"/>
            </w:pPr>
            <w:r>
              <w:t>(0.51)</w:t>
            </w:r>
          </w:p>
          <w:p w:rsidR="00AA788D" w:rsidRDefault="00AA788D" w:rsidP="0008651B">
            <w:pPr>
              <w:jc w:val="center"/>
            </w:pPr>
            <w:r>
              <w:t>- 0.11</w:t>
            </w:r>
          </w:p>
          <w:p w:rsidR="00AA788D" w:rsidRDefault="00AA788D" w:rsidP="0008651B">
            <w:pPr>
              <w:jc w:val="center"/>
            </w:pPr>
            <w:r>
              <w:t>(0.44)</w:t>
            </w:r>
          </w:p>
          <w:p w:rsidR="00AA788D" w:rsidRDefault="00AA788D" w:rsidP="0008651B">
            <w:pPr>
              <w:jc w:val="center"/>
            </w:pPr>
            <w:r>
              <w:t>0.90</w:t>
            </w:r>
          </w:p>
          <w:p w:rsidR="00AA788D" w:rsidRPr="00D270D2" w:rsidRDefault="00AA788D" w:rsidP="0008651B">
            <w:pPr>
              <w:jc w:val="center"/>
            </w:pPr>
            <w:r>
              <w:t>(0.56)</w:t>
            </w:r>
          </w:p>
        </w:tc>
        <w:tc>
          <w:tcPr>
            <w:tcW w:w="709" w:type="dxa"/>
            <w:tcBorders>
              <w:top w:val="nil"/>
              <w:left w:val="nil"/>
              <w:bottom w:val="single" w:sz="4" w:space="0" w:color="auto"/>
              <w:right w:val="nil"/>
            </w:tcBorders>
          </w:tcPr>
          <w:p w:rsidR="00AA788D" w:rsidRDefault="00AA788D" w:rsidP="0008651B">
            <w:pPr>
              <w:jc w:val="center"/>
            </w:pPr>
            <w:r>
              <w:t>2.18</w:t>
            </w:r>
          </w:p>
          <w:p w:rsidR="00AA788D" w:rsidRDefault="00AA788D" w:rsidP="0008651B">
            <w:pPr>
              <w:jc w:val="center"/>
            </w:pPr>
          </w:p>
          <w:p w:rsidR="00AA788D" w:rsidRDefault="00AA788D" w:rsidP="0008651B">
            <w:pPr>
              <w:jc w:val="center"/>
            </w:pPr>
            <w:r>
              <w:t>0.90</w:t>
            </w:r>
          </w:p>
          <w:p w:rsidR="00AA788D" w:rsidRDefault="00AA788D" w:rsidP="0008651B">
            <w:pPr>
              <w:jc w:val="center"/>
            </w:pPr>
          </w:p>
          <w:p w:rsidR="00AA788D" w:rsidRPr="00D270D2" w:rsidRDefault="00AA788D" w:rsidP="0008651B">
            <w:pPr>
              <w:jc w:val="center"/>
            </w:pPr>
            <w:r>
              <w:t>2.45</w:t>
            </w:r>
          </w:p>
        </w:tc>
        <w:tc>
          <w:tcPr>
            <w:tcW w:w="1134" w:type="dxa"/>
            <w:gridSpan w:val="2"/>
            <w:tcBorders>
              <w:top w:val="nil"/>
              <w:left w:val="nil"/>
              <w:bottom w:val="single" w:sz="4" w:space="0" w:color="auto"/>
              <w:right w:val="nil"/>
            </w:tcBorders>
          </w:tcPr>
          <w:p w:rsidR="00AA788D" w:rsidRDefault="00AA788D" w:rsidP="0008651B">
            <w:pPr>
              <w:jc w:val="center"/>
            </w:pPr>
            <w:r>
              <w:t>0.85**</w:t>
            </w:r>
          </w:p>
          <w:p w:rsidR="00AA788D" w:rsidRDefault="00AA788D" w:rsidP="0008651B">
            <w:pPr>
              <w:jc w:val="center"/>
            </w:pPr>
            <w:r>
              <w:t>(0.44)</w:t>
            </w:r>
          </w:p>
          <w:p w:rsidR="00AA788D" w:rsidRDefault="00AA788D" w:rsidP="0008651B">
            <w:pPr>
              <w:jc w:val="center"/>
            </w:pPr>
            <w:r>
              <w:t>0.47</w:t>
            </w:r>
          </w:p>
          <w:p w:rsidR="00AA788D" w:rsidRDefault="00AA788D" w:rsidP="0008651B">
            <w:pPr>
              <w:jc w:val="center"/>
            </w:pPr>
            <w:r>
              <w:t>(0.42)</w:t>
            </w:r>
          </w:p>
          <w:p w:rsidR="00AA788D" w:rsidRDefault="00AA788D" w:rsidP="0008651B">
            <w:pPr>
              <w:jc w:val="center"/>
            </w:pPr>
            <w:r>
              <w:t>1.40**</w:t>
            </w:r>
          </w:p>
          <w:p w:rsidR="00AA788D" w:rsidRDefault="00AA788D" w:rsidP="0008651B">
            <w:pPr>
              <w:jc w:val="center"/>
            </w:pPr>
            <w:r>
              <w:t>(0.62)</w:t>
            </w:r>
          </w:p>
        </w:tc>
        <w:tc>
          <w:tcPr>
            <w:tcW w:w="770" w:type="dxa"/>
            <w:tcBorders>
              <w:top w:val="nil"/>
              <w:left w:val="nil"/>
              <w:bottom w:val="single" w:sz="4" w:space="0" w:color="auto"/>
              <w:right w:val="nil"/>
            </w:tcBorders>
          </w:tcPr>
          <w:p w:rsidR="00AA788D" w:rsidRDefault="00AA788D" w:rsidP="0008651B">
            <w:r>
              <w:t>2.34</w:t>
            </w:r>
          </w:p>
          <w:p w:rsidR="00AA788D" w:rsidRDefault="00AA788D" w:rsidP="0008651B"/>
          <w:p w:rsidR="00AA788D" w:rsidRDefault="00AA788D" w:rsidP="0008651B">
            <w:r>
              <w:t>1.59</w:t>
            </w:r>
          </w:p>
          <w:p w:rsidR="00AA788D" w:rsidRDefault="00AA788D" w:rsidP="0008651B"/>
          <w:p w:rsidR="00AA788D" w:rsidRPr="00AD1F4A" w:rsidRDefault="00AA788D" w:rsidP="0008651B">
            <w:r>
              <w:t>4.06</w:t>
            </w:r>
          </w:p>
        </w:tc>
      </w:tr>
      <w:tr w:rsidR="00AA788D" w:rsidRPr="00AD1F4A" w:rsidTr="0008651B">
        <w:tc>
          <w:tcPr>
            <w:tcW w:w="3652" w:type="dxa"/>
            <w:gridSpan w:val="2"/>
            <w:tcBorders>
              <w:top w:val="single" w:sz="4" w:space="0" w:color="auto"/>
              <w:left w:val="nil"/>
              <w:bottom w:val="nil"/>
              <w:right w:val="nil"/>
            </w:tcBorders>
          </w:tcPr>
          <w:p w:rsidR="00AA788D" w:rsidRPr="00C7527A" w:rsidRDefault="00AA788D" w:rsidP="0008651B">
            <w:pPr>
              <w:rPr>
                <w:b/>
                <w:i/>
              </w:rPr>
            </w:pPr>
            <w:r w:rsidRPr="00C7527A">
              <w:rPr>
                <w:b/>
                <w:i/>
              </w:rPr>
              <w:t>Overall Model Evaluation and Tests</w:t>
            </w:r>
          </w:p>
        </w:tc>
        <w:tc>
          <w:tcPr>
            <w:tcW w:w="1892" w:type="dxa"/>
            <w:gridSpan w:val="3"/>
            <w:tcBorders>
              <w:top w:val="single" w:sz="4" w:space="0" w:color="auto"/>
              <w:left w:val="nil"/>
              <w:bottom w:val="nil"/>
              <w:right w:val="nil"/>
            </w:tcBorders>
          </w:tcPr>
          <w:p w:rsidR="00AA788D" w:rsidRDefault="00AA788D" w:rsidP="0008651B">
            <w:pPr>
              <w:jc w:val="center"/>
              <w:rPr>
                <w:rFonts w:ascii="Cambria" w:hAnsi="Cambria"/>
                <w:color w:val="000000"/>
                <w:shd w:val="clear" w:color="auto" w:fill="FFFFF4"/>
              </w:rPr>
            </w:pPr>
          </w:p>
          <w:p w:rsidR="00AA788D" w:rsidRPr="00D270D2" w:rsidRDefault="00AA788D" w:rsidP="0008651B">
            <w:pPr>
              <w:jc w:val="center"/>
              <w:rPr>
                <w:rFonts w:ascii="Times New Roman" w:hAnsi="Times New Roman"/>
                <w:i/>
              </w:rPr>
            </w:pPr>
            <w:r w:rsidRPr="00D270D2">
              <w:rPr>
                <w:rFonts w:ascii="Cambria" w:hAnsi="Cambria"/>
                <w:color w:val="000000"/>
                <w:shd w:val="clear" w:color="auto" w:fill="FFFFF4"/>
              </w:rPr>
              <w:t>χ²(</w:t>
            </w:r>
            <w:proofErr w:type="spellStart"/>
            <w:r w:rsidRPr="00D270D2">
              <w:rPr>
                <w:rFonts w:ascii="Cambria" w:hAnsi="Cambria"/>
                <w:color w:val="000000"/>
                <w:shd w:val="clear" w:color="auto" w:fill="FFFFF4"/>
              </w:rPr>
              <w:t>d.f</w:t>
            </w:r>
            <w:proofErr w:type="spellEnd"/>
            <w:r w:rsidRPr="00D270D2">
              <w:rPr>
                <w:rFonts w:ascii="Cambria" w:hAnsi="Cambria"/>
                <w:color w:val="000000"/>
                <w:shd w:val="clear" w:color="auto" w:fill="FFFFF4"/>
              </w:rPr>
              <w:t>.)</w:t>
            </w:r>
          </w:p>
        </w:tc>
        <w:tc>
          <w:tcPr>
            <w:tcW w:w="1849" w:type="dxa"/>
            <w:gridSpan w:val="3"/>
            <w:tcBorders>
              <w:top w:val="single" w:sz="4" w:space="0" w:color="auto"/>
              <w:left w:val="nil"/>
              <w:bottom w:val="nil"/>
              <w:right w:val="nil"/>
            </w:tcBorders>
          </w:tcPr>
          <w:p w:rsidR="00AA788D" w:rsidRDefault="00AA788D" w:rsidP="0008651B">
            <w:pPr>
              <w:jc w:val="center"/>
              <w:rPr>
                <w:rFonts w:ascii="Cambria" w:hAnsi="Cambria"/>
                <w:color w:val="000000"/>
                <w:shd w:val="clear" w:color="auto" w:fill="FFFFF4"/>
              </w:rPr>
            </w:pPr>
          </w:p>
          <w:p w:rsidR="00AA788D" w:rsidRPr="00D270D2" w:rsidRDefault="00AA788D" w:rsidP="0008651B">
            <w:pPr>
              <w:jc w:val="center"/>
              <w:rPr>
                <w:b/>
              </w:rPr>
            </w:pPr>
            <w:r w:rsidRPr="00D270D2">
              <w:rPr>
                <w:rFonts w:ascii="Cambria" w:hAnsi="Cambria"/>
                <w:color w:val="000000"/>
                <w:shd w:val="clear" w:color="auto" w:fill="FFFFF4"/>
              </w:rPr>
              <w:t>χ²(</w:t>
            </w:r>
            <w:proofErr w:type="spellStart"/>
            <w:r w:rsidRPr="00D270D2">
              <w:rPr>
                <w:rFonts w:ascii="Cambria" w:hAnsi="Cambria"/>
                <w:color w:val="000000"/>
                <w:shd w:val="clear" w:color="auto" w:fill="FFFFF4"/>
              </w:rPr>
              <w:t>d.f</w:t>
            </w:r>
            <w:proofErr w:type="spellEnd"/>
            <w:r w:rsidRPr="00D270D2">
              <w:rPr>
                <w:rFonts w:ascii="Cambria" w:hAnsi="Cambria"/>
                <w:color w:val="000000"/>
                <w:shd w:val="clear" w:color="auto" w:fill="FFFFF4"/>
              </w:rPr>
              <w:t>.)</w:t>
            </w:r>
          </w:p>
        </w:tc>
        <w:tc>
          <w:tcPr>
            <w:tcW w:w="1849" w:type="dxa"/>
            <w:gridSpan w:val="2"/>
            <w:tcBorders>
              <w:top w:val="single" w:sz="4" w:space="0" w:color="auto"/>
              <w:left w:val="nil"/>
              <w:bottom w:val="nil"/>
              <w:right w:val="nil"/>
            </w:tcBorders>
          </w:tcPr>
          <w:p w:rsidR="00AA788D" w:rsidRDefault="00AA788D" w:rsidP="0008651B">
            <w:pPr>
              <w:jc w:val="center"/>
              <w:rPr>
                <w:rFonts w:ascii="Cambria" w:hAnsi="Cambria"/>
                <w:color w:val="000000"/>
                <w:shd w:val="clear" w:color="auto" w:fill="FFFFF4"/>
              </w:rPr>
            </w:pPr>
          </w:p>
          <w:p w:rsidR="00AA788D" w:rsidRPr="00D270D2" w:rsidRDefault="00AA788D" w:rsidP="0008651B">
            <w:pPr>
              <w:jc w:val="center"/>
              <w:rPr>
                <w:b/>
                <w:i/>
              </w:rPr>
            </w:pPr>
            <w:r w:rsidRPr="00D270D2">
              <w:rPr>
                <w:rFonts w:ascii="Cambria" w:hAnsi="Cambria"/>
                <w:color w:val="000000"/>
                <w:shd w:val="clear" w:color="auto" w:fill="FFFFF4"/>
              </w:rPr>
              <w:t>χ²(</w:t>
            </w:r>
            <w:proofErr w:type="spellStart"/>
            <w:r w:rsidRPr="00D270D2">
              <w:rPr>
                <w:rFonts w:ascii="Cambria" w:hAnsi="Cambria"/>
                <w:color w:val="000000"/>
                <w:shd w:val="clear" w:color="auto" w:fill="FFFFF4"/>
              </w:rPr>
              <w:t>d.f</w:t>
            </w:r>
            <w:proofErr w:type="spellEnd"/>
            <w:r w:rsidRPr="00D270D2">
              <w:rPr>
                <w:rFonts w:ascii="Cambria" w:hAnsi="Cambria"/>
                <w:color w:val="000000"/>
                <w:shd w:val="clear" w:color="auto" w:fill="FFFFF4"/>
              </w:rPr>
              <w:t>.)</w:t>
            </w:r>
          </w:p>
        </w:tc>
      </w:tr>
      <w:tr w:rsidR="00AA788D" w:rsidRPr="00AD1F4A" w:rsidTr="0008651B">
        <w:tc>
          <w:tcPr>
            <w:tcW w:w="3652" w:type="dxa"/>
            <w:gridSpan w:val="2"/>
            <w:tcBorders>
              <w:top w:val="nil"/>
              <w:left w:val="nil"/>
              <w:bottom w:val="nil"/>
              <w:right w:val="nil"/>
            </w:tcBorders>
          </w:tcPr>
          <w:p w:rsidR="00AA788D" w:rsidRDefault="00AA788D" w:rsidP="0008651B">
            <w:r w:rsidRPr="00000A19">
              <w:t>Log-likelihood value</w:t>
            </w:r>
          </w:p>
          <w:p w:rsidR="00AA788D" w:rsidRPr="00000A19" w:rsidRDefault="00AA788D" w:rsidP="0008651B">
            <w:r w:rsidRPr="00D270D2">
              <w:t>Likelihood ratio test</w:t>
            </w:r>
          </w:p>
        </w:tc>
        <w:tc>
          <w:tcPr>
            <w:tcW w:w="1892" w:type="dxa"/>
            <w:gridSpan w:val="3"/>
            <w:tcBorders>
              <w:top w:val="nil"/>
              <w:left w:val="nil"/>
              <w:bottom w:val="nil"/>
              <w:right w:val="nil"/>
            </w:tcBorders>
          </w:tcPr>
          <w:p w:rsidR="00AA788D" w:rsidRDefault="00AA788D" w:rsidP="0008651B">
            <w:pPr>
              <w:jc w:val="center"/>
            </w:pPr>
            <w:r>
              <w:t>-143.38</w:t>
            </w:r>
          </w:p>
          <w:p w:rsidR="00AA788D" w:rsidRPr="00D270D2" w:rsidRDefault="00AA788D" w:rsidP="0008651B">
            <w:pPr>
              <w:jc w:val="center"/>
            </w:pPr>
            <w:r>
              <w:t>65.00 (17)***</w:t>
            </w:r>
          </w:p>
        </w:tc>
        <w:tc>
          <w:tcPr>
            <w:tcW w:w="1849" w:type="dxa"/>
            <w:gridSpan w:val="3"/>
            <w:tcBorders>
              <w:top w:val="nil"/>
              <w:left w:val="nil"/>
              <w:bottom w:val="nil"/>
              <w:right w:val="nil"/>
            </w:tcBorders>
          </w:tcPr>
          <w:p w:rsidR="00AA788D" w:rsidRDefault="00AA788D" w:rsidP="0008651B">
            <w:pPr>
              <w:jc w:val="center"/>
            </w:pPr>
            <w:r>
              <w:t>- 75.80</w:t>
            </w:r>
          </w:p>
          <w:p w:rsidR="00AA788D" w:rsidRPr="00D270D2" w:rsidRDefault="00AA788D" w:rsidP="0008651B">
            <w:pPr>
              <w:jc w:val="center"/>
            </w:pPr>
            <w:r>
              <w:t>34.96 (17)***</w:t>
            </w:r>
          </w:p>
        </w:tc>
        <w:tc>
          <w:tcPr>
            <w:tcW w:w="1849" w:type="dxa"/>
            <w:gridSpan w:val="2"/>
            <w:tcBorders>
              <w:top w:val="nil"/>
              <w:left w:val="nil"/>
              <w:bottom w:val="nil"/>
              <w:right w:val="nil"/>
            </w:tcBorders>
          </w:tcPr>
          <w:p w:rsidR="00AA788D" w:rsidRDefault="00AA788D" w:rsidP="0008651B">
            <w:pPr>
              <w:jc w:val="center"/>
            </w:pPr>
            <w:r>
              <w:t>-87.50</w:t>
            </w:r>
          </w:p>
          <w:p w:rsidR="00AA788D" w:rsidRPr="00D270D2" w:rsidRDefault="00AA788D" w:rsidP="0008651B">
            <w:pPr>
              <w:jc w:val="center"/>
            </w:pPr>
            <w:r>
              <w:t>39.68 (17)***</w:t>
            </w:r>
          </w:p>
        </w:tc>
      </w:tr>
      <w:tr w:rsidR="00AA788D" w:rsidRPr="00AD1F4A" w:rsidTr="0008651B">
        <w:tc>
          <w:tcPr>
            <w:tcW w:w="3652" w:type="dxa"/>
            <w:gridSpan w:val="2"/>
            <w:tcBorders>
              <w:top w:val="nil"/>
              <w:left w:val="nil"/>
              <w:bottom w:val="nil"/>
              <w:right w:val="nil"/>
            </w:tcBorders>
          </w:tcPr>
          <w:p w:rsidR="00AA788D" w:rsidRPr="004A1FE3" w:rsidRDefault="00AA788D" w:rsidP="0008651B">
            <w:r w:rsidRPr="004A1FE3">
              <w:t>Pseudo R squared</w:t>
            </w:r>
          </w:p>
          <w:p w:rsidR="00AA788D" w:rsidRPr="00D270D2" w:rsidRDefault="00AA788D" w:rsidP="0008651B">
            <w:proofErr w:type="spellStart"/>
            <w:r w:rsidRPr="00D270D2">
              <w:t>Hosmer</w:t>
            </w:r>
            <w:proofErr w:type="spellEnd"/>
            <w:r w:rsidRPr="00D270D2">
              <w:t xml:space="preserve"> and </w:t>
            </w:r>
            <w:proofErr w:type="spellStart"/>
            <w:r w:rsidRPr="00D270D2">
              <w:t>Lemeshow</w:t>
            </w:r>
            <w:proofErr w:type="spellEnd"/>
            <w:r w:rsidRPr="00D270D2">
              <w:t xml:space="preserve"> </w:t>
            </w:r>
            <w:r>
              <w:t xml:space="preserve">Goodness-of-fit </w:t>
            </w:r>
            <w:r w:rsidRPr="00D270D2">
              <w:t>test</w:t>
            </w:r>
          </w:p>
        </w:tc>
        <w:tc>
          <w:tcPr>
            <w:tcW w:w="1892" w:type="dxa"/>
            <w:gridSpan w:val="3"/>
            <w:tcBorders>
              <w:top w:val="nil"/>
              <w:left w:val="nil"/>
              <w:bottom w:val="nil"/>
              <w:right w:val="nil"/>
            </w:tcBorders>
          </w:tcPr>
          <w:p w:rsidR="00AA788D" w:rsidRDefault="00AA788D" w:rsidP="0008651B">
            <w:pPr>
              <w:jc w:val="center"/>
            </w:pPr>
            <w:r>
              <w:t>0.19</w:t>
            </w:r>
          </w:p>
          <w:p w:rsidR="00AA788D" w:rsidRPr="00D270D2" w:rsidRDefault="00AA788D" w:rsidP="0008651B">
            <w:pPr>
              <w:jc w:val="center"/>
            </w:pPr>
            <w:r>
              <w:t>6.24 (8)</w:t>
            </w:r>
          </w:p>
        </w:tc>
        <w:tc>
          <w:tcPr>
            <w:tcW w:w="1849" w:type="dxa"/>
            <w:gridSpan w:val="3"/>
            <w:tcBorders>
              <w:top w:val="nil"/>
              <w:left w:val="nil"/>
              <w:bottom w:val="nil"/>
              <w:right w:val="nil"/>
            </w:tcBorders>
          </w:tcPr>
          <w:p w:rsidR="00AA788D" w:rsidRDefault="00AA788D" w:rsidP="0008651B">
            <w:pPr>
              <w:jc w:val="center"/>
            </w:pPr>
            <w:r>
              <w:t>0.19</w:t>
            </w:r>
          </w:p>
          <w:p w:rsidR="00AA788D" w:rsidRPr="00D270D2" w:rsidRDefault="00AA788D" w:rsidP="0008651B">
            <w:pPr>
              <w:jc w:val="center"/>
            </w:pPr>
            <w:r>
              <w:t>10.11 (8)</w:t>
            </w:r>
          </w:p>
        </w:tc>
        <w:tc>
          <w:tcPr>
            <w:tcW w:w="1849" w:type="dxa"/>
            <w:gridSpan w:val="2"/>
            <w:tcBorders>
              <w:top w:val="nil"/>
              <w:left w:val="nil"/>
              <w:bottom w:val="nil"/>
              <w:right w:val="nil"/>
            </w:tcBorders>
          </w:tcPr>
          <w:p w:rsidR="00AA788D" w:rsidRDefault="00AA788D" w:rsidP="0008651B">
            <w:pPr>
              <w:jc w:val="center"/>
            </w:pPr>
            <w:r>
              <w:t>0.19</w:t>
            </w:r>
          </w:p>
          <w:p w:rsidR="00AA788D" w:rsidRPr="00D270D2" w:rsidRDefault="00AA788D" w:rsidP="0008651B">
            <w:pPr>
              <w:jc w:val="center"/>
            </w:pPr>
            <w:r>
              <w:t>5.70 (8)</w:t>
            </w:r>
          </w:p>
        </w:tc>
      </w:tr>
      <w:tr w:rsidR="00AA788D" w:rsidRPr="00AD1F4A" w:rsidTr="0008651B">
        <w:tc>
          <w:tcPr>
            <w:tcW w:w="3652" w:type="dxa"/>
            <w:gridSpan w:val="2"/>
            <w:tcBorders>
              <w:top w:val="nil"/>
              <w:left w:val="nil"/>
              <w:bottom w:val="single" w:sz="4" w:space="0" w:color="auto"/>
              <w:right w:val="nil"/>
            </w:tcBorders>
          </w:tcPr>
          <w:p w:rsidR="00AA788D" w:rsidRPr="004A1FE3" w:rsidRDefault="00AA788D" w:rsidP="0008651B">
            <w:r>
              <w:t>C</w:t>
            </w:r>
            <w:r w:rsidRPr="004A1FE3">
              <w:t xml:space="preserve">orrectly predicted </w:t>
            </w:r>
          </w:p>
          <w:p w:rsidR="00AA788D" w:rsidRPr="004A1FE3" w:rsidRDefault="00AA788D" w:rsidP="0008651B">
            <w:r w:rsidRPr="004A1FE3">
              <w:t>Number of Observations</w:t>
            </w:r>
          </w:p>
        </w:tc>
        <w:tc>
          <w:tcPr>
            <w:tcW w:w="1892" w:type="dxa"/>
            <w:gridSpan w:val="3"/>
            <w:tcBorders>
              <w:top w:val="nil"/>
              <w:left w:val="nil"/>
              <w:bottom w:val="single" w:sz="4" w:space="0" w:color="auto"/>
              <w:right w:val="nil"/>
            </w:tcBorders>
          </w:tcPr>
          <w:p w:rsidR="00AA788D" w:rsidRDefault="00AA788D" w:rsidP="0008651B">
            <w:pPr>
              <w:jc w:val="center"/>
            </w:pPr>
            <w:r>
              <w:t>80.97%</w:t>
            </w:r>
          </w:p>
          <w:p w:rsidR="00AA788D" w:rsidRPr="00D270D2" w:rsidRDefault="00AA788D" w:rsidP="0008651B">
            <w:pPr>
              <w:jc w:val="center"/>
            </w:pPr>
            <w:r>
              <w:t>331</w:t>
            </w:r>
          </w:p>
        </w:tc>
        <w:tc>
          <w:tcPr>
            <w:tcW w:w="1849" w:type="dxa"/>
            <w:gridSpan w:val="3"/>
            <w:tcBorders>
              <w:top w:val="nil"/>
              <w:left w:val="nil"/>
              <w:bottom w:val="single" w:sz="4" w:space="0" w:color="auto"/>
              <w:right w:val="nil"/>
            </w:tcBorders>
          </w:tcPr>
          <w:p w:rsidR="00AA788D" w:rsidRDefault="00AA788D" w:rsidP="0008651B">
            <w:pPr>
              <w:jc w:val="center"/>
            </w:pPr>
            <w:r>
              <w:t>69.63%</w:t>
            </w:r>
          </w:p>
          <w:p w:rsidR="00AA788D" w:rsidRPr="00D270D2" w:rsidRDefault="00AA788D" w:rsidP="0008651B">
            <w:pPr>
              <w:jc w:val="center"/>
            </w:pPr>
            <w:r>
              <w:t>135</w:t>
            </w:r>
          </w:p>
        </w:tc>
        <w:tc>
          <w:tcPr>
            <w:tcW w:w="1849" w:type="dxa"/>
            <w:gridSpan w:val="2"/>
            <w:tcBorders>
              <w:top w:val="nil"/>
              <w:left w:val="nil"/>
              <w:bottom w:val="single" w:sz="4" w:space="0" w:color="auto"/>
              <w:right w:val="nil"/>
            </w:tcBorders>
          </w:tcPr>
          <w:p w:rsidR="00AA788D" w:rsidRDefault="00AA788D" w:rsidP="0008651B">
            <w:pPr>
              <w:jc w:val="center"/>
            </w:pPr>
            <w:r>
              <w:t>73.43%</w:t>
            </w:r>
          </w:p>
          <w:p w:rsidR="00AA788D" w:rsidRPr="00D270D2" w:rsidRDefault="00AA788D" w:rsidP="0008651B">
            <w:pPr>
              <w:jc w:val="center"/>
            </w:pPr>
            <w:r>
              <w:t>175</w:t>
            </w:r>
          </w:p>
        </w:tc>
      </w:tr>
      <w:tr w:rsidR="00AA788D" w:rsidRPr="00AD1F4A" w:rsidTr="0008651B">
        <w:tc>
          <w:tcPr>
            <w:tcW w:w="9242" w:type="dxa"/>
            <w:gridSpan w:val="10"/>
            <w:tcBorders>
              <w:top w:val="single" w:sz="4" w:space="0" w:color="auto"/>
              <w:left w:val="nil"/>
              <w:bottom w:val="nil"/>
              <w:right w:val="nil"/>
            </w:tcBorders>
          </w:tcPr>
          <w:p w:rsidR="00AA788D" w:rsidRDefault="00AA788D" w:rsidP="0008651B">
            <w:pPr>
              <w:jc w:val="both"/>
            </w:pPr>
            <w:r w:rsidRPr="00D270D2">
              <w:t xml:space="preserve">Notes: Models estimated using </w:t>
            </w:r>
            <w:proofErr w:type="spellStart"/>
            <w:r w:rsidRPr="00D270D2">
              <w:t>Stata</w:t>
            </w:r>
            <w:proofErr w:type="spellEnd"/>
            <w:r w:rsidRPr="00D270D2">
              <w:t xml:space="preserve"> 11; *** refers to significant at 1%, ** significant at 5%, and * significant at 10% levels respectively.</w:t>
            </w:r>
            <w:r>
              <w:t xml:space="preserve"> Model 1 uses all available data from the full sample (general). Model 2 includes only observations conditional upon applying for credit (lower bound). Model 3 includes only observations conditional upon expressing need for credit (upper bound).</w:t>
            </w:r>
          </w:p>
        </w:tc>
      </w:tr>
    </w:tbl>
    <w:p w:rsidR="00AA788D" w:rsidRDefault="00AA788D" w:rsidP="009B52E6">
      <w:pPr>
        <w:rPr>
          <w:sz w:val="20"/>
          <w:szCs w:val="20"/>
        </w:rPr>
      </w:pPr>
    </w:p>
    <w:p w:rsidR="00AA788D" w:rsidRDefault="00AA788D" w:rsidP="00B7154E">
      <w:pPr>
        <w:jc w:val="center"/>
        <w:rPr>
          <w:b/>
        </w:rPr>
      </w:pPr>
      <w:r>
        <w:rPr>
          <w:b/>
        </w:rPr>
        <w:lastRenderedPageBreak/>
        <w:t>FIGURES:</w:t>
      </w:r>
    </w:p>
    <w:p w:rsidR="00AA788D" w:rsidRDefault="00AA788D">
      <w:pPr>
        <w:rPr>
          <w:b/>
        </w:rPr>
      </w:pPr>
    </w:p>
    <w:p w:rsidR="00AA788D" w:rsidRDefault="00AA788D" w:rsidP="009317C4">
      <w:pPr>
        <w:jc w:val="center"/>
        <w:rPr>
          <w:b/>
        </w:rPr>
      </w:pPr>
      <w:r>
        <w:rPr>
          <w:noProof/>
          <w:lang w:eastAsia="en-GB"/>
        </w:rPr>
        <w:drawing>
          <wp:inline distT="0" distB="0" distL="0" distR="0">
            <wp:extent cx="4676775" cy="2990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788D" w:rsidRDefault="00AA788D">
      <w:pPr>
        <w:rPr>
          <w:b/>
        </w:rPr>
      </w:pPr>
      <w:r>
        <w:rPr>
          <w:noProof/>
          <w:lang w:eastAsia="en-GB"/>
        </w:rPr>
        <w:drawing>
          <wp:inline distT="0" distB="0" distL="0" distR="0">
            <wp:extent cx="4848225"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788D" w:rsidRDefault="00AA788D" w:rsidP="009317C4">
      <w:pPr>
        <w:jc w:val="center"/>
        <w:rPr>
          <w:b/>
        </w:rPr>
      </w:pPr>
      <w:r w:rsidRPr="009317C4">
        <w:rPr>
          <w:b/>
          <w:noProof/>
          <w:lang w:eastAsia="en-GB"/>
        </w:rPr>
        <w:lastRenderedPageBreak/>
        <w:drawing>
          <wp:inline distT="0" distB="0" distL="0" distR="0">
            <wp:extent cx="4572000" cy="291846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788D" w:rsidRDefault="00AA788D">
      <w:pPr>
        <w:rPr>
          <w:b/>
        </w:rPr>
      </w:pPr>
    </w:p>
    <w:p w:rsidR="00AA788D" w:rsidRDefault="00AA788D">
      <w:pPr>
        <w:rPr>
          <w:b/>
        </w:rPr>
      </w:pPr>
      <w:r>
        <w:rPr>
          <w:noProof/>
          <w:lang w:eastAsia="en-GB"/>
        </w:rPr>
        <w:drawing>
          <wp:inline distT="0" distB="0" distL="0" distR="0">
            <wp:extent cx="5105400" cy="32480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788D" w:rsidRDefault="00AA788D">
      <w:pPr>
        <w:rPr>
          <w:b/>
        </w:rPr>
      </w:pPr>
    </w:p>
    <w:p w:rsidR="00AA788D" w:rsidRDefault="00AA788D" w:rsidP="009C6D99">
      <w:pPr>
        <w:jc w:val="center"/>
        <w:rPr>
          <w:b/>
        </w:rPr>
      </w:pPr>
      <w:r>
        <w:rPr>
          <w:noProof/>
          <w:lang w:eastAsia="en-GB"/>
        </w:rPr>
        <w:lastRenderedPageBreak/>
        <w:drawing>
          <wp:inline distT="0" distB="0" distL="0" distR="0">
            <wp:extent cx="3648075" cy="27146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788D" w:rsidRDefault="00AA788D" w:rsidP="00A3610C">
      <w:pPr>
        <w:rPr>
          <w:b/>
        </w:rPr>
      </w:pPr>
    </w:p>
    <w:p w:rsidR="00AA788D" w:rsidRDefault="00AA788D" w:rsidP="00A3610C">
      <w:pPr>
        <w:rPr>
          <w:b/>
        </w:rPr>
      </w:pPr>
    </w:p>
    <w:p w:rsidR="00AA788D" w:rsidRDefault="00AA788D" w:rsidP="00A3610C">
      <w:pPr>
        <w:rPr>
          <w:b/>
        </w:rPr>
      </w:pPr>
      <w:r>
        <w:rPr>
          <w:noProof/>
          <w:lang w:eastAsia="en-GB"/>
        </w:rPr>
        <w:drawing>
          <wp:inline distT="0" distB="0" distL="0" distR="0">
            <wp:extent cx="5438775" cy="33623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788D" w:rsidRDefault="00AA788D" w:rsidP="00A3610C">
      <w:pPr>
        <w:rPr>
          <w:b/>
        </w:rPr>
      </w:pPr>
    </w:p>
    <w:p w:rsidR="00AA788D" w:rsidRDefault="00AA788D" w:rsidP="00A3610C">
      <w:pPr>
        <w:rPr>
          <w:b/>
        </w:rPr>
      </w:pPr>
    </w:p>
    <w:p w:rsidR="00AA788D" w:rsidRDefault="00AA788D" w:rsidP="00A3610C">
      <w:pPr>
        <w:rPr>
          <w:b/>
        </w:rPr>
      </w:pPr>
    </w:p>
    <w:p w:rsidR="00AA788D" w:rsidRDefault="00AA788D" w:rsidP="00A3610C">
      <w:pPr>
        <w:rPr>
          <w:b/>
        </w:rPr>
      </w:pPr>
    </w:p>
    <w:p w:rsidR="00AA788D" w:rsidRDefault="00AA788D" w:rsidP="00A3610C">
      <w:pPr>
        <w:rPr>
          <w:b/>
        </w:rPr>
      </w:pPr>
    </w:p>
    <w:p w:rsidR="00AA788D" w:rsidRDefault="00AA788D" w:rsidP="00A3610C">
      <w:pPr>
        <w:rPr>
          <w:b/>
        </w:rPr>
      </w:pPr>
    </w:p>
    <w:p w:rsidR="00AA788D" w:rsidRDefault="00AA788D" w:rsidP="00257008">
      <w:pPr>
        <w:rPr>
          <w:b/>
        </w:rPr>
      </w:pPr>
      <w:r>
        <w:rPr>
          <w:b/>
        </w:rPr>
        <w:t>APPENDICES:</w:t>
      </w:r>
    </w:p>
    <w:p w:rsidR="00AA788D" w:rsidRPr="00C0240F" w:rsidRDefault="00AA788D" w:rsidP="00257008">
      <w:pPr>
        <w:rPr>
          <w:b/>
        </w:rPr>
      </w:pPr>
      <w:r w:rsidRPr="00C0240F">
        <w:rPr>
          <w:b/>
        </w:rPr>
        <w:t xml:space="preserve">Appendix 1 </w:t>
      </w:r>
    </w:p>
    <w:p w:rsidR="00AA788D" w:rsidRPr="00C0240F" w:rsidRDefault="00AA788D" w:rsidP="00257008">
      <w:pPr>
        <w:rPr>
          <w:b/>
        </w:rPr>
      </w:pPr>
      <w:r>
        <w:rPr>
          <w:b/>
        </w:rPr>
        <w:t>Data Source</w:t>
      </w:r>
      <w:r w:rsidRPr="00C0240F">
        <w:rPr>
          <w:b/>
        </w:rPr>
        <w:t xml:space="preserve"> and Construction</w:t>
      </w:r>
    </w:p>
    <w:p w:rsidR="00AA788D" w:rsidRPr="0009042A" w:rsidRDefault="00AA788D" w:rsidP="00257008">
      <w:pPr>
        <w:tabs>
          <w:tab w:val="left" w:pos="2839"/>
        </w:tabs>
        <w:spacing w:line="480" w:lineRule="auto"/>
        <w:ind w:firstLine="357"/>
        <w:jc w:val="both"/>
      </w:pPr>
      <w:r w:rsidRPr="0009042A">
        <w:t xml:space="preserve">Table </w:t>
      </w:r>
      <w:r>
        <w:t>A1</w:t>
      </w:r>
      <w:r w:rsidRPr="0009042A">
        <w:t xml:space="preserve"> shows how per capita output varies in the fourteen administrative regions in Uzbekistan. The city of Tashkent is the most </w:t>
      </w:r>
      <w:r>
        <w:t xml:space="preserve">prosperous </w:t>
      </w:r>
      <w:r w:rsidRPr="0009042A">
        <w:t xml:space="preserve">administrative region, with per capita output more than two and a half times higher than the national average; the only other region that enjoys similar levels of </w:t>
      </w:r>
      <w:r>
        <w:t xml:space="preserve">prosperity </w:t>
      </w:r>
      <w:r w:rsidRPr="0009042A">
        <w:t xml:space="preserve">is </w:t>
      </w:r>
      <w:proofErr w:type="spellStart"/>
      <w:r w:rsidRPr="0009042A">
        <w:t>Navoiy</w:t>
      </w:r>
      <w:proofErr w:type="spellEnd"/>
      <w:r w:rsidRPr="0009042A">
        <w:t xml:space="preserve">, with its concentration of the country’s largest gold mining corporations. </w:t>
      </w:r>
    </w:p>
    <w:p w:rsidR="00AA788D" w:rsidRPr="0009042A" w:rsidRDefault="00AA788D" w:rsidP="00257008">
      <w:pPr>
        <w:tabs>
          <w:tab w:val="left" w:pos="2839"/>
        </w:tabs>
        <w:spacing w:line="480" w:lineRule="auto"/>
        <w:ind w:firstLine="357"/>
      </w:pPr>
      <w:r w:rsidRPr="0009042A">
        <w:rPr>
          <w:b/>
          <w:i/>
        </w:rPr>
        <w:t xml:space="preserve">&lt;Table </w:t>
      </w:r>
      <w:r>
        <w:rPr>
          <w:b/>
          <w:i/>
        </w:rPr>
        <w:t>A1</w:t>
      </w:r>
      <w:r w:rsidRPr="0009042A">
        <w:rPr>
          <w:b/>
          <w:i/>
        </w:rPr>
        <w:t>&gt;</w:t>
      </w:r>
    </w:p>
    <w:p w:rsidR="00AA788D" w:rsidRPr="0009042A" w:rsidRDefault="00AA788D" w:rsidP="00257008">
      <w:pPr>
        <w:tabs>
          <w:tab w:val="left" w:pos="2839"/>
        </w:tabs>
        <w:spacing w:line="480" w:lineRule="auto"/>
        <w:ind w:firstLine="357"/>
        <w:jc w:val="both"/>
      </w:pPr>
      <w:r w:rsidRPr="0009042A">
        <w:t xml:space="preserve">To capture any possible differences in business environments which may influence enterprises’ access to and use of formal finance, </w:t>
      </w:r>
      <w:r>
        <w:t>the</w:t>
      </w:r>
      <w:r w:rsidRPr="0009042A">
        <w:t xml:space="preserve"> primary data sample of 502 SMEs is drawn from the core capital city region (301 observations) and two other regions, the Tashkent region</w:t>
      </w:r>
      <w:r>
        <w:t xml:space="preserve"> </w:t>
      </w:r>
      <w:r w:rsidRPr="0009042A">
        <w:t xml:space="preserve">(101 observations)  and the </w:t>
      </w:r>
      <w:proofErr w:type="spellStart"/>
      <w:r w:rsidRPr="0009042A">
        <w:t>Ferg</w:t>
      </w:r>
      <w:r>
        <w:t>h</w:t>
      </w:r>
      <w:r w:rsidRPr="0009042A">
        <w:t>ana</w:t>
      </w:r>
      <w:proofErr w:type="spellEnd"/>
      <w:r w:rsidRPr="0009042A">
        <w:t xml:space="preserve"> region</w:t>
      </w:r>
      <w:r>
        <w:t xml:space="preserve"> (100 </w:t>
      </w:r>
      <w:r w:rsidRPr="0009042A">
        <w:t xml:space="preserve">observations). Self-employed private entrepreneurs, enterprises providing financial services, and enterprises with more than 100 employees were excluded from </w:t>
      </w:r>
      <w:r>
        <w:t>the</w:t>
      </w:r>
      <w:r w:rsidRPr="0009042A">
        <w:t xml:space="preserve"> sample.</w:t>
      </w:r>
    </w:p>
    <w:p w:rsidR="00AA788D" w:rsidRDefault="00AA788D" w:rsidP="00257008">
      <w:pPr>
        <w:tabs>
          <w:tab w:val="left" w:pos="2839"/>
        </w:tabs>
        <w:spacing w:line="480" w:lineRule="auto"/>
        <w:ind w:firstLine="357"/>
        <w:jc w:val="both"/>
      </w:pPr>
      <w:r w:rsidRPr="0009042A">
        <w:t>Use of the State Register of Enterprises and Organisations</w:t>
      </w:r>
      <w:r>
        <w:t xml:space="preserve"> as a sampling source </w:t>
      </w:r>
      <w:r w:rsidRPr="0009042A">
        <w:t>was impractical because of the infr</w:t>
      </w:r>
      <w:r>
        <w:t>equency of its updating, so</w:t>
      </w:r>
      <w:r w:rsidRPr="0009042A">
        <w:t xml:space="preserve"> it was impossible to ascertain whether some of the listed enterprises had moved premises or had gone out of business. Instead, the sample was drawn from local business directories</w:t>
      </w:r>
      <w:r>
        <w:t>,</w:t>
      </w:r>
      <w:r w:rsidRPr="0009042A">
        <w:t xml:space="preserve"> using a stratified random sampling approach. To obtain representative samples from each sector of the economy we chose 40% of the observations from the manufacturing and construction sectors, 30% from the services sector, 20% from the trade sector, and 10% from the agricultural sector. Agriculture was accorded a lower weighting because production quotas, price controls, and subsidised credits are still common in the sector, and it remains one of the least reformed parts of the economy (</w:t>
      </w:r>
      <w:proofErr w:type="spellStart"/>
      <w:r w:rsidRPr="0009042A">
        <w:t>Lerman</w:t>
      </w:r>
      <w:proofErr w:type="spellEnd"/>
      <w:r w:rsidRPr="0009042A">
        <w:t>, 2008).</w:t>
      </w:r>
      <w:r>
        <w:t xml:space="preserve"> </w:t>
      </w:r>
      <w:r w:rsidRPr="0009042A">
        <w:t xml:space="preserve">The survey questionnaire </w:t>
      </w:r>
      <w:r w:rsidRPr="0009042A">
        <w:lastRenderedPageBreak/>
        <w:t xml:space="preserve">was piloted in November 2010 and, after making appropriate </w:t>
      </w:r>
      <w:r>
        <w:t>modifications</w:t>
      </w:r>
      <w:r w:rsidRPr="0009042A">
        <w:t>, the full survey was carried out in December 2010</w:t>
      </w:r>
      <w:r>
        <w:t xml:space="preserve"> using </w:t>
      </w:r>
      <w:r w:rsidRPr="0009042A">
        <w:t>face-to-face interviews</w:t>
      </w:r>
      <w:r>
        <w:t xml:space="preserve">, with </w:t>
      </w:r>
      <w:r w:rsidRPr="006B532A">
        <w:t>20</w:t>
      </w:r>
      <w:r>
        <w:t>%</w:t>
      </w:r>
      <w:r w:rsidRPr="006B532A">
        <w:t xml:space="preserve"> of the respondents contacted by telephone </w:t>
      </w:r>
      <w:r>
        <w:t xml:space="preserve">later on for </w:t>
      </w:r>
      <w:r w:rsidRPr="006B532A">
        <w:t>quality control</w:t>
      </w:r>
      <w:r>
        <w:t xml:space="preserve"> purposes.</w:t>
      </w:r>
    </w:p>
    <w:p w:rsidR="00AA788D"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Appendix 2</w:t>
      </w:r>
    </w:p>
    <w:p w:rsidR="00AA788D"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Bribe Models</w:t>
      </w:r>
    </w:p>
    <w:p w:rsidR="00AA788D" w:rsidRPr="00A10D05" w:rsidRDefault="00AA788D" w:rsidP="00257008">
      <w:pPr>
        <w:pStyle w:val="BodyText"/>
        <w:spacing w:line="480" w:lineRule="auto"/>
        <w:ind w:firstLine="357"/>
        <w:rPr>
          <w:rFonts w:ascii="Calibri" w:hAnsi="Calibri"/>
          <w:sz w:val="22"/>
          <w:szCs w:val="22"/>
        </w:rPr>
      </w:pPr>
      <w:r w:rsidRPr="00A10D05">
        <w:rPr>
          <w:rFonts w:ascii="Calibri" w:hAnsi="Calibri"/>
          <w:sz w:val="22"/>
          <w:szCs w:val="22"/>
        </w:rPr>
        <w:t xml:space="preserve">Table A2 shows the </w:t>
      </w:r>
      <w:r>
        <w:rPr>
          <w:rFonts w:ascii="Calibri" w:hAnsi="Calibri"/>
          <w:sz w:val="22"/>
          <w:szCs w:val="22"/>
        </w:rPr>
        <w:t>results of models estimating</w:t>
      </w:r>
      <w:r w:rsidRPr="00A10D05">
        <w:rPr>
          <w:rFonts w:ascii="Calibri" w:hAnsi="Calibri"/>
          <w:sz w:val="22"/>
          <w:szCs w:val="22"/>
        </w:rPr>
        <w:t xml:space="preserve"> the probability of offering bribe for the full sample (Model 4) and a sub-sample conditional upon applying for formal credit (Model 5). </w:t>
      </w:r>
      <w:r>
        <w:rPr>
          <w:rFonts w:ascii="Calibri" w:hAnsi="Calibri"/>
          <w:sz w:val="22"/>
          <w:szCs w:val="22"/>
        </w:rPr>
        <w:t xml:space="preserve">Focussing on Model 5, coefficients of the variables </w:t>
      </w:r>
      <w:r>
        <w:rPr>
          <w:rFonts w:ascii="Calibri" w:hAnsi="Calibri"/>
          <w:i/>
          <w:sz w:val="22"/>
          <w:szCs w:val="22"/>
        </w:rPr>
        <w:t xml:space="preserve">age, age22, </w:t>
      </w:r>
      <w:proofErr w:type="spellStart"/>
      <w:r>
        <w:rPr>
          <w:rFonts w:ascii="Calibri" w:hAnsi="Calibri"/>
          <w:i/>
          <w:sz w:val="22"/>
          <w:szCs w:val="22"/>
        </w:rPr>
        <w:t>educ</w:t>
      </w:r>
      <w:proofErr w:type="spellEnd"/>
      <w:r>
        <w:rPr>
          <w:rFonts w:ascii="Calibri" w:hAnsi="Calibri"/>
          <w:i/>
          <w:sz w:val="22"/>
          <w:szCs w:val="22"/>
        </w:rPr>
        <w:t xml:space="preserve">, cash1, and </w:t>
      </w:r>
      <w:proofErr w:type="spellStart"/>
      <w:r>
        <w:rPr>
          <w:rFonts w:ascii="Calibri" w:hAnsi="Calibri"/>
          <w:i/>
          <w:sz w:val="22"/>
          <w:szCs w:val="22"/>
        </w:rPr>
        <w:t>expnd_d</w:t>
      </w:r>
      <w:proofErr w:type="spellEnd"/>
      <w:r>
        <w:rPr>
          <w:rFonts w:ascii="Calibri" w:hAnsi="Calibri"/>
          <w:sz w:val="22"/>
          <w:szCs w:val="22"/>
        </w:rPr>
        <w:t xml:space="preserve"> are all statistically significant. As for the interpretation of the signs of these variables, the results imply that: youngest and oldest SME owners, better educated SME owners, and SMEs facing payments system problems are more likely to bribe the officials; and the probability of offering bribe falls as sales revenues (</w:t>
      </w:r>
      <w:proofErr w:type="spellStart"/>
      <w:r>
        <w:rPr>
          <w:rFonts w:ascii="Calibri" w:hAnsi="Calibri"/>
          <w:i/>
          <w:sz w:val="22"/>
          <w:szCs w:val="22"/>
        </w:rPr>
        <w:t>expnd_d</w:t>
      </w:r>
      <w:proofErr w:type="spellEnd"/>
      <w:r>
        <w:rPr>
          <w:rFonts w:ascii="Calibri" w:hAnsi="Calibri"/>
          <w:i/>
          <w:sz w:val="22"/>
          <w:szCs w:val="22"/>
        </w:rPr>
        <w:t>)</w:t>
      </w:r>
      <w:r>
        <w:rPr>
          <w:rFonts w:ascii="Calibri" w:hAnsi="Calibri"/>
          <w:sz w:val="22"/>
          <w:szCs w:val="22"/>
        </w:rPr>
        <w:t xml:space="preserve"> increases. These, combined with the fact that, although insignificant, </w:t>
      </w:r>
      <w:proofErr w:type="spellStart"/>
      <w:r>
        <w:rPr>
          <w:rFonts w:ascii="Calibri" w:hAnsi="Calibri"/>
          <w:i/>
          <w:sz w:val="22"/>
          <w:szCs w:val="22"/>
        </w:rPr>
        <w:t>lnsales</w:t>
      </w:r>
      <w:proofErr w:type="spellEnd"/>
      <w:r>
        <w:rPr>
          <w:rFonts w:ascii="Calibri" w:hAnsi="Calibri"/>
          <w:sz w:val="22"/>
          <w:szCs w:val="22"/>
        </w:rPr>
        <w:t xml:space="preserve"> also has a negative sign, imply that</w:t>
      </w:r>
      <w:r w:rsidRPr="00A10D05">
        <w:rPr>
          <w:rFonts w:ascii="Calibri" w:hAnsi="Calibri"/>
          <w:sz w:val="22"/>
          <w:szCs w:val="22"/>
        </w:rPr>
        <w:t xml:space="preserve"> firm size and superior firm characteristics reduce probability of offering bribe to public officials.</w:t>
      </w:r>
      <w:r>
        <w:rPr>
          <w:rFonts w:ascii="Calibri" w:hAnsi="Calibri"/>
          <w:sz w:val="22"/>
          <w:szCs w:val="22"/>
        </w:rPr>
        <w:t xml:space="preserve"> Further, with respect to </w:t>
      </w:r>
      <w:r>
        <w:rPr>
          <w:rFonts w:ascii="Calibri" w:hAnsi="Calibri"/>
          <w:i/>
          <w:sz w:val="22"/>
          <w:szCs w:val="22"/>
        </w:rPr>
        <w:t>cash1,</w:t>
      </w:r>
      <w:r>
        <w:rPr>
          <w:rFonts w:ascii="Calibri" w:hAnsi="Calibri"/>
          <w:sz w:val="22"/>
          <w:szCs w:val="22"/>
        </w:rPr>
        <w:t xml:space="preserve"> it is more practical for larger SMEs to effect most of their input and wage payments, and also get paid for their outputs, through their bank accounts. In other words, since it is the smaller SMEs which face payments problems the most, the observed positive sign of </w:t>
      </w:r>
      <w:r>
        <w:rPr>
          <w:rFonts w:ascii="Calibri" w:hAnsi="Calibri"/>
          <w:i/>
          <w:sz w:val="22"/>
          <w:szCs w:val="22"/>
        </w:rPr>
        <w:t xml:space="preserve">cash1 </w:t>
      </w:r>
      <w:r>
        <w:rPr>
          <w:rFonts w:ascii="Calibri" w:hAnsi="Calibri"/>
          <w:sz w:val="22"/>
          <w:szCs w:val="22"/>
        </w:rPr>
        <w:t>re-enforces our conclusion about the importance of firm size. Hence, t</w:t>
      </w:r>
      <w:r w:rsidRPr="00A10D05">
        <w:rPr>
          <w:rFonts w:ascii="Calibri" w:hAnsi="Calibri"/>
          <w:sz w:val="22"/>
          <w:szCs w:val="22"/>
        </w:rPr>
        <w:t>hese results shed further light as to why the bribe variable might be insign</w:t>
      </w:r>
      <w:r>
        <w:rPr>
          <w:rFonts w:ascii="Calibri" w:hAnsi="Calibri"/>
          <w:sz w:val="22"/>
          <w:szCs w:val="22"/>
        </w:rPr>
        <w:t>ificant in our main estimations (</w:t>
      </w:r>
      <w:r w:rsidRPr="00A10D05">
        <w:rPr>
          <w:rFonts w:ascii="Calibri" w:hAnsi="Calibri"/>
          <w:sz w:val="22"/>
          <w:szCs w:val="22"/>
        </w:rPr>
        <w:t>although this does not seem to deter the</w:t>
      </w:r>
      <w:r>
        <w:rPr>
          <w:rFonts w:ascii="Calibri" w:hAnsi="Calibri"/>
          <w:sz w:val="22"/>
          <w:szCs w:val="22"/>
        </w:rPr>
        <w:t xml:space="preserve"> sampled</w:t>
      </w:r>
      <w:r w:rsidRPr="00A10D05">
        <w:rPr>
          <w:rFonts w:ascii="Calibri" w:hAnsi="Calibri"/>
          <w:sz w:val="22"/>
          <w:szCs w:val="22"/>
        </w:rPr>
        <w:t xml:space="preserve"> SMEs from enthusiastically applying for formal credit as evidenced by the statistical significance of </w:t>
      </w:r>
      <w:r>
        <w:rPr>
          <w:rFonts w:ascii="Calibri" w:hAnsi="Calibri"/>
          <w:i/>
          <w:sz w:val="22"/>
          <w:szCs w:val="22"/>
        </w:rPr>
        <w:t>bribe</w:t>
      </w:r>
      <w:r w:rsidRPr="00A10D05">
        <w:rPr>
          <w:rFonts w:ascii="Calibri" w:hAnsi="Calibri"/>
          <w:sz w:val="22"/>
          <w:szCs w:val="22"/>
        </w:rPr>
        <w:t xml:space="preserve"> in the credit application model as shown in Model 6 in Table A2</w:t>
      </w:r>
      <w:r>
        <w:rPr>
          <w:rFonts w:ascii="Calibri" w:hAnsi="Calibri"/>
          <w:sz w:val="22"/>
          <w:szCs w:val="22"/>
        </w:rPr>
        <w:t>)</w:t>
      </w:r>
      <w:r w:rsidRPr="00A10D05">
        <w:rPr>
          <w:rFonts w:ascii="Calibri" w:hAnsi="Calibri"/>
          <w:sz w:val="22"/>
          <w:szCs w:val="22"/>
        </w:rPr>
        <w:t>.</w:t>
      </w:r>
    </w:p>
    <w:p w:rsidR="00AA788D"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&lt;Table A2 &gt;</w:t>
      </w:r>
    </w:p>
    <w:p w:rsidR="00AA788D" w:rsidRDefault="00AA788D" w:rsidP="00257008">
      <w:pPr>
        <w:pStyle w:val="BodyText"/>
        <w:spacing w:line="480" w:lineRule="auto"/>
        <w:ind w:firstLine="357"/>
        <w:rPr>
          <w:rFonts w:ascii="Calibri" w:hAnsi="Calibri" w:cs="Calibri"/>
          <w:b/>
          <w:sz w:val="22"/>
          <w:szCs w:val="22"/>
        </w:rPr>
      </w:pPr>
    </w:p>
    <w:p w:rsidR="00AA788D"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Appendix 3</w:t>
      </w:r>
    </w:p>
    <w:p w:rsidR="00AA788D" w:rsidRPr="00A26149"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Models for Business Expansion</w:t>
      </w:r>
    </w:p>
    <w:p w:rsidR="00AA788D" w:rsidRPr="0000217F" w:rsidRDefault="00AA788D" w:rsidP="00257008">
      <w:pPr>
        <w:pStyle w:val="BodyText"/>
        <w:spacing w:line="480" w:lineRule="auto"/>
        <w:ind w:firstLine="357"/>
        <w:rPr>
          <w:rFonts w:ascii="Calibri" w:hAnsi="Calibri" w:cs="Calibri"/>
          <w:sz w:val="22"/>
          <w:szCs w:val="22"/>
        </w:rPr>
      </w:pPr>
      <w:r>
        <w:rPr>
          <w:rFonts w:ascii="Calibri" w:hAnsi="Calibri" w:cs="Calibri"/>
          <w:sz w:val="22"/>
          <w:szCs w:val="22"/>
        </w:rPr>
        <w:lastRenderedPageBreak/>
        <w:t xml:space="preserve">Results of the models for business expansion are reported in Table A3 below. </w:t>
      </w:r>
      <w:r w:rsidRPr="0000217F">
        <w:rPr>
          <w:rFonts w:ascii="Calibri" w:hAnsi="Calibri" w:cs="Calibri"/>
          <w:sz w:val="22"/>
          <w:szCs w:val="22"/>
        </w:rPr>
        <w:t xml:space="preserve">In </w:t>
      </w:r>
      <w:r>
        <w:rPr>
          <w:rFonts w:ascii="Calibri" w:hAnsi="Calibri" w:cs="Calibri"/>
          <w:sz w:val="22"/>
          <w:szCs w:val="22"/>
        </w:rPr>
        <w:t xml:space="preserve">Model 7 and Model 8, the </w:t>
      </w:r>
      <w:r w:rsidRPr="0000217F">
        <w:rPr>
          <w:rFonts w:ascii="Calibri" w:hAnsi="Calibri" w:cs="Calibri"/>
          <w:sz w:val="22"/>
          <w:szCs w:val="22"/>
        </w:rPr>
        <w:t xml:space="preserve">dependent variable takes the value of 1 if SMEs expressed a need for external finance, which </w:t>
      </w:r>
      <w:r>
        <w:rPr>
          <w:rFonts w:ascii="Calibri" w:hAnsi="Calibri" w:cs="Calibri"/>
          <w:sz w:val="22"/>
          <w:szCs w:val="22"/>
        </w:rPr>
        <w:t>is used</w:t>
      </w:r>
      <w:r w:rsidRPr="0000217F">
        <w:rPr>
          <w:rFonts w:ascii="Calibri" w:hAnsi="Calibri" w:cs="Calibri"/>
          <w:sz w:val="22"/>
          <w:szCs w:val="22"/>
        </w:rPr>
        <w:t xml:space="preserve"> here as a proxy for enterprises’ growth potential, and 0 otherwise</w:t>
      </w:r>
      <w:r>
        <w:rPr>
          <w:rFonts w:ascii="Calibri" w:hAnsi="Calibri" w:cs="Calibri"/>
          <w:sz w:val="22"/>
          <w:szCs w:val="22"/>
        </w:rPr>
        <w:t xml:space="preserve">: </w:t>
      </w:r>
      <w:r w:rsidRPr="0000217F">
        <w:rPr>
          <w:rFonts w:ascii="Calibri" w:hAnsi="Calibri" w:cs="Calibri"/>
          <w:sz w:val="22"/>
          <w:szCs w:val="22"/>
        </w:rPr>
        <w:t xml:space="preserve">Model </w:t>
      </w:r>
      <w:r>
        <w:rPr>
          <w:rFonts w:ascii="Calibri" w:hAnsi="Calibri" w:cs="Calibri"/>
          <w:sz w:val="22"/>
          <w:szCs w:val="22"/>
        </w:rPr>
        <w:t>7</w:t>
      </w:r>
      <w:r w:rsidRPr="0000217F">
        <w:rPr>
          <w:rFonts w:ascii="Calibri" w:hAnsi="Calibri" w:cs="Calibri"/>
          <w:sz w:val="22"/>
          <w:szCs w:val="22"/>
        </w:rPr>
        <w:t xml:space="preserve"> uses all available observations, while Model </w:t>
      </w:r>
      <w:r>
        <w:rPr>
          <w:rFonts w:ascii="Calibri" w:hAnsi="Calibri" w:cs="Calibri"/>
          <w:sz w:val="22"/>
          <w:szCs w:val="22"/>
        </w:rPr>
        <w:t>8</w:t>
      </w:r>
      <w:r w:rsidRPr="0000217F">
        <w:rPr>
          <w:rFonts w:ascii="Calibri" w:hAnsi="Calibri" w:cs="Calibri"/>
          <w:sz w:val="22"/>
          <w:szCs w:val="22"/>
        </w:rPr>
        <w:t xml:space="preserve"> uses observations conditional upon SMEs undertaking business expansion since their inception. The dependent variable in Model </w:t>
      </w:r>
      <w:r>
        <w:rPr>
          <w:rFonts w:ascii="Calibri" w:hAnsi="Calibri" w:cs="Calibri"/>
          <w:sz w:val="22"/>
          <w:szCs w:val="22"/>
        </w:rPr>
        <w:t>9</w:t>
      </w:r>
      <w:r w:rsidRPr="0000217F">
        <w:rPr>
          <w:rFonts w:ascii="Calibri" w:hAnsi="Calibri" w:cs="Calibri"/>
          <w:sz w:val="22"/>
          <w:szCs w:val="22"/>
        </w:rPr>
        <w:t xml:space="preserve"> takes the value of 1 if SMEs undertook investment in business expansion since their inception,</w:t>
      </w:r>
      <w:r>
        <w:rPr>
          <w:rFonts w:ascii="Calibri" w:hAnsi="Calibri" w:cs="Calibri"/>
          <w:sz w:val="22"/>
          <w:szCs w:val="22"/>
        </w:rPr>
        <w:t xml:space="preserve"> 0 otherwise. Of the three proxies</w:t>
      </w:r>
      <w:r w:rsidRPr="0000217F">
        <w:rPr>
          <w:rFonts w:ascii="Calibri" w:hAnsi="Calibri" w:cs="Calibri"/>
          <w:sz w:val="22"/>
          <w:szCs w:val="22"/>
        </w:rPr>
        <w:t xml:space="preserve"> for interpersonal connections, </w:t>
      </w:r>
      <w:r>
        <w:rPr>
          <w:rFonts w:ascii="Calibri" w:hAnsi="Calibri" w:cs="Calibri"/>
          <w:sz w:val="22"/>
          <w:szCs w:val="22"/>
        </w:rPr>
        <w:t xml:space="preserve">only </w:t>
      </w:r>
      <w:r w:rsidRPr="0000217F">
        <w:rPr>
          <w:rFonts w:ascii="Calibri" w:hAnsi="Calibri" w:cs="Calibri"/>
          <w:sz w:val="22"/>
          <w:szCs w:val="22"/>
        </w:rPr>
        <w:t xml:space="preserve">the coefficient of </w:t>
      </w:r>
      <w:proofErr w:type="spellStart"/>
      <w:r w:rsidRPr="0000217F">
        <w:rPr>
          <w:rFonts w:ascii="Calibri" w:hAnsi="Calibri" w:cs="Calibri"/>
          <w:i/>
          <w:sz w:val="22"/>
          <w:szCs w:val="22"/>
        </w:rPr>
        <w:t>bzinbrpl</w:t>
      </w:r>
      <w:proofErr w:type="spellEnd"/>
      <w:r>
        <w:rPr>
          <w:rFonts w:ascii="Calibri" w:hAnsi="Calibri" w:cs="Calibri"/>
          <w:i/>
          <w:sz w:val="22"/>
          <w:szCs w:val="22"/>
        </w:rPr>
        <w:t xml:space="preserve"> </w:t>
      </w:r>
      <w:r>
        <w:rPr>
          <w:rFonts w:ascii="Calibri" w:hAnsi="Calibri" w:cs="Calibri"/>
          <w:sz w:val="22"/>
          <w:szCs w:val="22"/>
        </w:rPr>
        <w:t xml:space="preserve">is </w:t>
      </w:r>
      <w:r w:rsidRPr="0000217F">
        <w:rPr>
          <w:rFonts w:ascii="Calibri" w:hAnsi="Calibri" w:cs="Calibri"/>
          <w:sz w:val="22"/>
          <w:szCs w:val="22"/>
        </w:rPr>
        <w:t>statistically significant in all three models.</w:t>
      </w:r>
      <w:r>
        <w:rPr>
          <w:rFonts w:ascii="Calibri" w:hAnsi="Calibri" w:cs="Calibri"/>
          <w:sz w:val="22"/>
          <w:szCs w:val="22"/>
        </w:rPr>
        <w:t xml:space="preserve"> The </w:t>
      </w:r>
      <w:r w:rsidRPr="0000217F">
        <w:rPr>
          <w:rFonts w:ascii="Calibri" w:hAnsi="Calibri" w:cs="Calibri"/>
          <w:sz w:val="22"/>
          <w:szCs w:val="22"/>
        </w:rPr>
        <w:t xml:space="preserve">main target variable </w:t>
      </w:r>
      <w:proofErr w:type="spellStart"/>
      <w:r w:rsidRPr="0000217F">
        <w:rPr>
          <w:rFonts w:ascii="Calibri" w:hAnsi="Calibri" w:cs="Calibri"/>
          <w:i/>
          <w:sz w:val="22"/>
          <w:szCs w:val="22"/>
        </w:rPr>
        <w:t>gov_connect</w:t>
      </w:r>
      <w:proofErr w:type="spellEnd"/>
      <w:r w:rsidRPr="0000217F">
        <w:rPr>
          <w:rFonts w:ascii="Calibri" w:hAnsi="Calibri" w:cs="Calibri"/>
          <w:sz w:val="22"/>
          <w:szCs w:val="22"/>
        </w:rPr>
        <w:t xml:space="preserve"> has </w:t>
      </w:r>
      <w:r>
        <w:rPr>
          <w:rFonts w:ascii="Calibri" w:hAnsi="Calibri" w:cs="Calibri"/>
          <w:sz w:val="22"/>
          <w:szCs w:val="22"/>
        </w:rPr>
        <w:t>the expected</w:t>
      </w:r>
      <w:r w:rsidRPr="0000217F">
        <w:rPr>
          <w:rFonts w:ascii="Calibri" w:hAnsi="Calibri" w:cs="Calibri"/>
          <w:sz w:val="22"/>
          <w:szCs w:val="22"/>
        </w:rPr>
        <w:t xml:space="preserve"> positive sign in all three models, </w:t>
      </w:r>
      <w:r>
        <w:rPr>
          <w:rFonts w:ascii="Calibri" w:hAnsi="Calibri" w:cs="Calibri"/>
          <w:sz w:val="22"/>
          <w:szCs w:val="22"/>
        </w:rPr>
        <w:t xml:space="preserve">but </w:t>
      </w:r>
      <w:r w:rsidRPr="0000217F">
        <w:rPr>
          <w:rFonts w:ascii="Calibri" w:hAnsi="Calibri" w:cs="Calibri"/>
          <w:sz w:val="22"/>
          <w:szCs w:val="22"/>
        </w:rPr>
        <w:t>is not statistically significant in any of the</w:t>
      </w:r>
      <w:r>
        <w:rPr>
          <w:rFonts w:ascii="Calibri" w:hAnsi="Calibri" w:cs="Calibri"/>
          <w:sz w:val="22"/>
          <w:szCs w:val="22"/>
        </w:rPr>
        <w:t>m</w:t>
      </w:r>
      <w:r w:rsidRPr="0000217F">
        <w:rPr>
          <w:rFonts w:ascii="Calibri" w:hAnsi="Calibri" w:cs="Calibri"/>
          <w:sz w:val="22"/>
          <w:szCs w:val="22"/>
        </w:rPr>
        <w:t xml:space="preserve">. </w:t>
      </w:r>
    </w:p>
    <w:p w:rsidR="00AA788D" w:rsidRPr="0000217F" w:rsidRDefault="00AA788D" w:rsidP="00257008">
      <w:pPr>
        <w:pStyle w:val="BodyText"/>
        <w:spacing w:after="120" w:line="480" w:lineRule="auto"/>
        <w:ind w:firstLine="357"/>
        <w:rPr>
          <w:rFonts w:ascii="Calibri" w:hAnsi="Calibri" w:cs="Calibri"/>
          <w:b/>
          <w:i/>
          <w:sz w:val="22"/>
          <w:szCs w:val="22"/>
        </w:rPr>
      </w:pPr>
      <w:r w:rsidRPr="0000217F">
        <w:rPr>
          <w:rFonts w:ascii="Calibri" w:hAnsi="Calibri" w:cs="Calibri"/>
          <w:b/>
          <w:i/>
          <w:sz w:val="22"/>
          <w:szCs w:val="22"/>
        </w:rPr>
        <w:t xml:space="preserve">&lt;Table </w:t>
      </w:r>
      <w:r>
        <w:rPr>
          <w:rFonts w:ascii="Calibri" w:hAnsi="Calibri" w:cs="Calibri"/>
          <w:b/>
          <w:i/>
          <w:sz w:val="22"/>
          <w:szCs w:val="22"/>
        </w:rPr>
        <w:t>A3</w:t>
      </w:r>
      <w:r w:rsidRPr="0000217F">
        <w:rPr>
          <w:rFonts w:ascii="Calibri" w:hAnsi="Calibri" w:cs="Calibri"/>
          <w:b/>
          <w:i/>
          <w:sz w:val="22"/>
          <w:szCs w:val="22"/>
        </w:rPr>
        <w:t>&gt;</w:t>
      </w:r>
    </w:p>
    <w:p w:rsidR="00AA788D" w:rsidRPr="0066091E" w:rsidRDefault="00AA788D" w:rsidP="00257008">
      <w:pPr>
        <w:pStyle w:val="BodyText"/>
        <w:spacing w:line="480" w:lineRule="auto"/>
        <w:rPr>
          <w:rFonts w:ascii="Calibri" w:hAnsi="Calibri" w:cs="Calibri"/>
          <w:b/>
          <w:sz w:val="22"/>
          <w:szCs w:val="22"/>
        </w:rPr>
      </w:pPr>
      <w:r w:rsidRPr="0066091E">
        <w:rPr>
          <w:rFonts w:ascii="Calibri" w:hAnsi="Calibri" w:cs="Calibri"/>
          <w:b/>
          <w:sz w:val="22"/>
          <w:szCs w:val="22"/>
        </w:rPr>
        <w:t xml:space="preserve">Appendix </w:t>
      </w:r>
      <w:r>
        <w:rPr>
          <w:rFonts w:ascii="Calibri" w:hAnsi="Calibri" w:cs="Calibri"/>
          <w:b/>
          <w:sz w:val="22"/>
          <w:szCs w:val="22"/>
        </w:rPr>
        <w:t>4</w:t>
      </w:r>
    </w:p>
    <w:p w:rsidR="00AA788D" w:rsidRPr="0066091E" w:rsidRDefault="00AA788D" w:rsidP="00257008">
      <w:pPr>
        <w:pStyle w:val="BodyText"/>
        <w:spacing w:line="480" w:lineRule="auto"/>
        <w:rPr>
          <w:rFonts w:ascii="Calibri" w:hAnsi="Calibri" w:cs="Calibri"/>
          <w:b/>
          <w:sz w:val="22"/>
          <w:szCs w:val="22"/>
        </w:rPr>
      </w:pPr>
      <w:r w:rsidRPr="0066091E">
        <w:rPr>
          <w:rFonts w:ascii="Calibri" w:hAnsi="Calibri" w:cs="Calibri"/>
          <w:b/>
          <w:sz w:val="22"/>
          <w:szCs w:val="22"/>
        </w:rPr>
        <w:t>Further Checks for Model Specification and Robustness of the Results</w:t>
      </w:r>
    </w:p>
    <w:p w:rsidR="00AA788D" w:rsidRDefault="00AA788D" w:rsidP="00257008">
      <w:pPr>
        <w:pStyle w:val="BodyText"/>
        <w:spacing w:line="480" w:lineRule="auto"/>
        <w:ind w:firstLine="357"/>
        <w:rPr>
          <w:rFonts w:ascii="Calibri" w:hAnsi="Calibri" w:cs="Calibri"/>
          <w:sz w:val="22"/>
          <w:szCs w:val="22"/>
        </w:rPr>
      </w:pPr>
      <w:r>
        <w:rPr>
          <w:rFonts w:ascii="Calibri" w:hAnsi="Calibri" w:cs="Calibri"/>
          <w:sz w:val="22"/>
          <w:szCs w:val="22"/>
        </w:rPr>
        <w:t xml:space="preserve">An alternative </w:t>
      </w:r>
      <w:r w:rsidRPr="0000217F">
        <w:rPr>
          <w:rFonts w:ascii="Calibri" w:hAnsi="Calibri" w:cs="Calibri"/>
          <w:sz w:val="22"/>
          <w:szCs w:val="22"/>
        </w:rPr>
        <w:t xml:space="preserve">approach </w:t>
      </w:r>
      <w:r>
        <w:rPr>
          <w:rFonts w:ascii="Calibri" w:hAnsi="Calibri" w:cs="Calibri"/>
          <w:sz w:val="22"/>
          <w:szCs w:val="22"/>
        </w:rPr>
        <w:t>for</w:t>
      </w:r>
      <w:r w:rsidRPr="0000217F">
        <w:rPr>
          <w:rFonts w:ascii="Calibri" w:hAnsi="Calibri" w:cs="Calibri"/>
          <w:sz w:val="22"/>
          <w:szCs w:val="22"/>
        </w:rPr>
        <w:t xml:space="preserve"> dealing with the self-selection issue</w:t>
      </w:r>
      <w:r>
        <w:rPr>
          <w:rFonts w:ascii="Calibri" w:hAnsi="Calibri" w:cs="Calibri"/>
          <w:sz w:val="22"/>
          <w:szCs w:val="22"/>
        </w:rPr>
        <w:t xml:space="preserve">, particularly </w:t>
      </w:r>
      <w:r w:rsidRPr="0000217F">
        <w:rPr>
          <w:rFonts w:ascii="Calibri" w:hAnsi="Calibri" w:cs="Calibri"/>
          <w:sz w:val="22"/>
          <w:szCs w:val="22"/>
        </w:rPr>
        <w:t>when conditional sub-samples</w:t>
      </w:r>
      <w:r>
        <w:rPr>
          <w:rFonts w:ascii="Calibri" w:hAnsi="Calibri" w:cs="Calibri"/>
          <w:sz w:val="22"/>
          <w:szCs w:val="22"/>
        </w:rPr>
        <w:t xml:space="preserve"> cannot be drawn, is to </w:t>
      </w:r>
      <w:r w:rsidRPr="0000217F">
        <w:rPr>
          <w:rFonts w:ascii="Calibri" w:hAnsi="Calibri" w:cs="Calibri"/>
          <w:sz w:val="22"/>
          <w:szCs w:val="22"/>
        </w:rPr>
        <w:t xml:space="preserve">use more sophisticated maximum likelihood estimators such as the Heckman-type </w:t>
      </w:r>
      <w:proofErr w:type="spellStart"/>
      <w:r w:rsidRPr="0000217F">
        <w:rPr>
          <w:rFonts w:ascii="Calibri" w:hAnsi="Calibri" w:cs="Calibri"/>
          <w:sz w:val="22"/>
          <w:szCs w:val="22"/>
        </w:rPr>
        <w:t>probit</w:t>
      </w:r>
      <w:proofErr w:type="spellEnd"/>
      <w:r w:rsidRPr="0000217F">
        <w:rPr>
          <w:rFonts w:ascii="Calibri" w:hAnsi="Calibri" w:cs="Calibri"/>
          <w:sz w:val="22"/>
          <w:szCs w:val="22"/>
        </w:rPr>
        <w:t xml:space="preserve"> model</w:t>
      </w:r>
      <w:r>
        <w:rPr>
          <w:rFonts w:ascii="Calibri" w:hAnsi="Calibri" w:cs="Calibri"/>
          <w:sz w:val="22"/>
          <w:szCs w:val="22"/>
        </w:rPr>
        <w:t>. This estimates</w:t>
      </w:r>
      <w:r w:rsidRPr="0000217F">
        <w:rPr>
          <w:rFonts w:ascii="Calibri" w:hAnsi="Calibri" w:cs="Calibri"/>
          <w:sz w:val="22"/>
          <w:szCs w:val="22"/>
        </w:rPr>
        <w:t xml:space="preserve"> the credit use and credit application equations jointly, also assuming the joint normality of their error terms and non-zero correlation (</w:t>
      </w:r>
      <w:r w:rsidRPr="0000217F">
        <w:rPr>
          <w:sz w:val="22"/>
          <w:szCs w:val="22"/>
        </w:rPr>
        <w:t>ρ</w:t>
      </w:r>
      <w:r w:rsidRPr="0000217F">
        <w:rPr>
          <w:rFonts w:ascii="Calibri" w:hAnsi="Calibri" w:cs="Calibri"/>
          <w:sz w:val="22"/>
          <w:szCs w:val="22"/>
        </w:rPr>
        <w:t>) between them (</w:t>
      </w:r>
      <w:proofErr w:type="spellStart"/>
      <w:r w:rsidRPr="0000217F">
        <w:rPr>
          <w:rFonts w:ascii="Calibri" w:hAnsi="Calibri" w:cs="Calibri"/>
          <w:sz w:val="22"/>
          <w:szCs w:val="22"/>
        </w:rPr>
        <w:t>Cavaluzzo</w:t>
      </w:r>
      <w:proofErr w:type="spellEnd"/>
      <w:r>
        <w:rPr>
          <w:rFonts w:ascii="Calibri" w:hAnsi="Calibri" w:cs="Calibri"/>
          <w:sz w:val="22"/>
          <w:szCs w:val="22"/>
        </w:rPr>
        <w:t xml:space="preserve"> </w:t>
      </w:r>
      <w:r w:rsidRPr="0000217F">
        <w:rPr>
          <w:rFonts w:ascii="Calibri" w:hAnsi="Calibri" w:cs="Calibri"/>
          <w:i/>
          <w:sz w:val="22"/>
          <w:szCs w:val="22"/>
        </w:rPr>
        <w:t>et al</w:t>
      </w:r>
      <w:r w:rsidRPr="0000217F">
        <w:rPr>
          <w:rFonts w:ascii="Calibri" w:hAnsi="Calibri" w:cs="Calibri"/>
          <w:sz w:val="22"/>
          <w:szCs w:val="22"/>
        </w:rPr>
        <w:t xml:space="preserve">. 2002; </w:t>
      </w:r>
      <w:proofErr w:type="spellStart"/>
      <w:r w:rsidRPr="0000217F">
        <w:rPr>
          <w:rFonts w:ascii="Calibri" w:hAnsi="Calibri" w:cs="Calibri"/>
          <w:sz w:val="22"/>
          <w:szCs w:val="22"/>
        </w:rPr>
        <w:t>Cavaluzzo</w:t>
      </w:r>
      <w:proofErr w:type="spellEnd"/>
      <w:r w:rsidRPr="0000217F">
        <w:rPr>
          <w:rFonts w:ascii="Calibri" w:hAnsi="Calibri" w:cs="Calibri"/>
          <w:sz w:val="22"/>
          <w:szCs w:val="22"/>
        </w:rPr>
        <w:t xml:space="preserve"> and </w:t>
      </w:r>
      <w:proofErr w:type="spellStart"/>
      <w:r w:rsidRPr="0000217F">
        <w:rPr>
          <w:rFonts w:ascii="Calibri" w:hAnsi="Calibri" w:cs="Calibri"/>
          <w:sz w:val="22"/>
          <w:szCs w:val="22"/>
        </w:rPr>
        <w:t>Cavaluzzo</w:t>
      </w:r>
      <w:proofErr w:type="spellEnd"/>
      <w:r w:rsidRPr="0000217F">
        <w:rPr>
          <w:rFonts w:ascii="Calibri" w:hAnsi="Calibri" w:cs="Calibri"/>
          <w:sz w:val="22"/>
          <w:szCs w:val="22"/>
        </w:rPr>
        <w:t xml:space="preserve">, 1998). If the latter condition is not satisfied, i.e. ρ=0, the results from general models are considered unbiased and consistent (Wooldridge, 2002). </w:t>
      </w:r>
      <w:r>
        <w:rPr>
          <w:rFonts w:ascii="Calibri" w:hAnsi="Calibri" w:cs="Calibri"/>
          <w:sz w:val="22"/>
          <w:szCs w:val="22"/>
        </w:rPr>
        <w:t xml:space="preserve">However, </w:t>
      </w:r>
      <w:r w:rsidRPr="0000217F">
        <w:rPr>
          <w:rFonts w:ascii="Calibri" w:hAnsi="Calibri" w:cs="Calibri"/>
          <w:sz w:val="22"/>
          <w:szCs w:val="22"/>
        </w:rPr>
        <w:t xml:space="preserve">estimation </w:t>
      </w:r>
      <w:r>
        <w:rPr>
          <w:rFonts w:ascii="Calibri" w:hAnsi="Calibri" w:cs="Calibri"/>
          <w:sz w:val="22"/>
          <w:szCs w:val="22"/>
        </w:rPr>
        <w:t>of this</w:t>
      </w:r>
      <w:r w:rsidRPr="0000217F">
        <w:rPr>
          <w:rFonts w:ascii="Calibri" w:hAnsi="Calibri" w:cs="Calibri"/>
          <w:sz w:val="22"/>
          <w:szCs w:val="22"/>
        </w:rPr>
        <w:t xml:space="preserve"> model requires identification of a variable which affects the probability of credit application in the selection model, but does not belong to the main of model credit use </w:t>
      </w:r>
      <w:r>
        <w:rPr>
          <w:rFonts w:ascii="Calibri" w:hAnsi="Calibri" w:cs="Calibri"/>
          <w:sz w:val="22"/>
          <w:szCs w:val="22"/>
        </w:rPr>
        <w:t>in its own right. Unfortunately</w:t>
      </w:r>
      <w:r w:rsidRPr="0000217F">
        <w:rPr>
          <w:rFonts w:ascii="Calibri" w:hAnsi="Calibri" w:cs="Calibri"/>
          <w:sz w:val="22"/>
          <w:szCs w:val="22"/>
        </w:rPr>
        <w:t xml:space="preserve"> the choice of instruments </w:t>
      </w:r>
      <w:r>
        <w:rPr>
          <w:rFonts w:ascii="Calibri" w:hAnsi="Calibri" w:cs="Calibri"/>
          <w:sz w:val="22"/>
          <w:szCs w:val="22"/>
        </w:rPr>
        <w:t xml:space="preserve">available </w:t>
      </w:r>
      <w:r w:rsidRPr="0000217F">
        <w:rPr>
          <w:rFonts w:ascii="Calibri" w:hAnsi="Calibri" w:cs="Calibri"/>
          <w:sz w:val="22"/>
          <w:szCs w:val="22"/>
        </w:rPr>
        <w:t>for this variable in our dataset</w:t>
      </w:r>
      <w:r>
        <w:rPr>
          <w:rFonts w:ascii="Calibri" w:hAnsi="Calibri" w:cs="Calibri"/>
          <w:sz w:val="22"/>
          <w:szCs w:val="22"/>
        </w:rPr>
        <w:t xml:space="preserve"> </w:t>
      </w:r>
      <w:r w:rsidRPr="0000217F">
        <w:rPr>
          <w:rFonts w:ascii="Calibri" w:hAnsi="Calibri" w:cs="Calibri"/>
          <w:sz w:val="22"/>
          <w:szCs w:val="22"/>
        </w:rPr>
        <w:t xml:space="preserve">is limited. </w:t>
      </w:r>
      <w:r>
        <w:rPr>
          <w:rFonts w:ascii="Calibri" w:hAnsi="Calibri" w:cs="Calibri"/>
          <w:sz w:val="22"/>
          <w:szCs w:val="22"/>
        </w:rPr>
        <w:t xml:space="preserve">The most promising </w:t>
      </w:r>
      <w:r w:rsidRPr="0000217F">
        <w:rPr>
          <w:rFonts w:ascii="Calibri" w:hAnsi="Calibri" w:cs="Calibri"/>
          <w:sz w:val="22"/>
          <w:szCs w:val="22"/>
        </w:rPr>
        <w:t>variable</w:t>
      </w:r>
      <w:r>
        <w:rPr>
          <w:rFonts w:ascii="Calibri" w:hAnsi="Calibri" w:cs="Calibri"/>
          <w:sz w:val="22"/>
          <w:szCs w:val="22"/>
        </w:rPr>
        <w:t xml:space="preserve"> is the response to the question about </w:t>
      </w:r>
      <w:r w:rsidRPr="0000217F">
        <w:rPr>
          <w:rFonts w:ascii="Calibri" w:hAnsi="Calibri" w:cs="Calibri"/>
          <w:i/>
          <w:sz w:val="22"/>
          <w:szCs w:val="22"/>
        </w:rPr>
        <w:t>‘low demand for products’</w:t>
      </w:r>
      <w:r>
        <w:rPr>
          <w:rFonts w:ascii="Calibri" w:hAnsi="Calibri" w:cs="Calibri"/>
          <w:sz w:val="22"/>
          <w:szCs w:val="22"/>
        </w:rPr>
        <w:t xml:space="preserve">, which could be interpreted </w:t>
      </w:r>
      <w:r w:rsidRPr="0000217F">
        <w:rPr>
          <w:rFonts w:ascii="Calibri" w:hAnsi="Calibri" w:cs="Calibri"/>
          <w:sz w:val="22"/>
          <w:szCs w:val="22"/>
        </w:rPr>
        <w:t>as a measure of overconfidence</w:t>
      </w:r>
      <w:r>
        <w:rPr>
          <w:rFonts w:ascii="Calibri" w:hAnsi="Calibri" w:cs="Calibri"/>
          <w:sz w:val="22"/>
          <w:szCs w:val="22"/>
        </w:rPr>
        <w:t xml:space="preserve"> (or risk aversion): we conjecture that</w:t>
      </w:r>
      <w:r w:rsidRPr="0000217F">
        <w:rPr>
          <w:rFonts w:ascii="Calibri" w:hAnsi="Calibri" w:cs="Calibri"/>
          <w:sz w:val="22"/>
          <w:szCs w:val="22"/>
        </w:rPr>
        <w:t xml:space="preserve">, due to asymmetric information problems, banks’ knowledge </w:t>
      </w:r>
      <w:r>
        <w:rPr>
          <w:rFonts w:ascii="Calibri" w:hAnsi="Calibri" w:cs="Calibri"/>
          <w:sz w:val="22"/>
          <w:szCs w:val="22"/>
        </w:rPr>
        <w:t>of</w:t>
      </w:r>
      <w:r w:rsidRPr="0000217F">
        <w:rPr>
          <w:rFonts w:ascii="Calibri" w:hAnsi="Calibri" w:cs="Calibri"/>
          <w:sz w:val="22"/>
          <w:szCs w:val="22"/>
        </w:rPr>
        <w:t xml:space="preserve"> the </w:t>
      </w:r>
      <w:r>
        <w:rPr>
          <w:rFonts w:ascii="Calibri" w:hAnsi="Calibri" w:cs="Calibri"/>
          <w:sz w:val="22"/>
          <w:szCs w:val="22"/>
        </w:rPr>
        <w:t xml:space="preserve">actual </w:t>
      </w:r>
      <w:r w:rsidRPr="0000217F">
        <w:rPr>
          <w:rFonts w:ascii="Calibri" w:hAnsi="Calibri" w:cs="Calibri"/>
          <w:sz w:val="22"/>
          <w:szCs w:val="22"/>
        </w:rPr>
        <w:t xml:space="preserve">nature of market demand for enterprises’ products is always less than that of the borrowers. </w:t>
      </w:r>
      <w:r>
        <w:rPr>
          <w:rFonts w:ascii="Calibri" w:hAnsi="Calibri" w:cs="Calibri"/>
          <w:sz w:val="22"/>
          <w:szCs w:val="22"/>
        </w:rPr>
        <w:t xml:space="preserve">Since most </w:t>
      </w:r>
      <w:r w:rsidRPr="00091D2D">
        <w:rPr>
          <w:rFonts w:ascii="Calibri" w:hAnsi="Calibri" w:cs="Calibri"/>
          <w:sz w:val="22"/>
          <w:szCs w:val="22"/>
        </w:rPr>
        <w:t xml:space="preserve">enterprises suffering from low demand for their products will select themselves out from applying </w:t>
      </w:r>
      <w:r w:rsidRPr="00091D2D">
        <w:rPr>
          <w:rFonts w:ascii="Calibri" w:hAnsi="Calibri" w:cs="Calibri"/>
          <w:sz w:val="22"/>
          <w:szCs w:val="22"/>
        </w:rPr>
        <w:lastRenderedPageBreak/>
        <w:t>for formal credit</w:t>
      </w:r>
      <w:r>
        <w:rPr>
          <w:rFonts w:ascii="Calibri" w:hAnsi="Calibri" w:cs="Calibri"/>
          <w:sz w:val="22"/>
          <w:szCs w:val="22"/>
        </w:rPr>
        <w:t>, e</w:t>
      </w:r>
      <w:r w:rsidRPr="0000217F">
        <w:rPr>
          <w:rFonts w:ascii="Calibri" w:hAnsi="Calibri" w:cs="Calibri"/>
          <w:sz w:val="22"/>
          <w:szCs w:val="22"/>
        </w:rPr>
        <w:t xml:space="preserve">nterprises that suffer more from low demand for their products but still apply for formal credit can be described as overconfident </w:t>
      </w:r>
      <w:r>
        <w:rPr>
          <w:rFonts w:ascii="Calibri" w:hAnsi="Calibri" w:cs="Calibri"/>
          <w:sz w:val="22"/>
          <w:szCs w:val="22"/>
        </w:rPr>
        <w:t>if they are unconcerned</w:t>
      </w:r>
      <w:r w:rsidRPr="0000217F">
        <w:rPr>
          <w:rFonts w:ascii="Calibri" w:hAnsi="Calibri" w:cs="Calibri"/>
          <w:sz w:val="22"/>
          <w:szCs w:val="22"/>
        </w:rPr>
        <w:t xml:space="preserve"> about the possibility </w:t>
      </w:r>
      <w:r>
        <w:rPr>
          <w:rFonts w:ascii="Calibri" w:hAnsi="Calibri" w:cs="Calibri"/>
          <w:sz w:val="22"/>
          <w:szCs w:val="22"/>
        </w:rPr>
        <w:t xml:space="preserve">that </w:t>
      </w:r>
      <w:r w:rsidRPr="0000217F">
        <w:rPr>
          <w:rFonts w:ascii="Calibri" w:hAnsi="Calibri" w:cs="Calibri"/>
          <w:sz w:val="22"/>
          <w:szCs w:val="22"/>
        </w:rPr>
        <w:t xml:space="preserve">banks </w:t>
      </w:r>
      <w:r>
        <w:rPr>
          <w:rFonts w:ascii="Calibri" w:hAnsi="Calibri" w:cs="Calibri"/>
          <w:sz w:val="22"/>
          <w:szCs w:val="22"/>
        </w:rPr>
        <w:t>may find</w:t>
      </w:r>
      <w:r w:rsidRPr="0000217F">
        <w:rPr>
          <w:rFonts w:ascii="Calibri" w:hAnsi="Calibri" w:cs="Calibri"/>
          <w:sz w:val="22"/>
          <w:szCs w:val="22"/>
        </w:rPr>
        <w:t xml:space="preserve"> this out</w:t>
      </w:r>
      <w:r>
        <w:rPr>
          <w:rFonts w:ascii="Calibri" w:hAnsi="Calibri" w:cs="Calibri"/>
          <w:sz w:val="22"/>
          <w:szCs w:val="22"/>
        </w:rPr>
        <w:t xml:space="preserve">. </w:t>
      </w:r>
      <w:r w:rsidRPr="00A313B4">
        <w:rPr>
          <w:rFonts w:ascii="Calibri" w:hAnsi="Calibri" w:cs="Calibri"/>
          <w:sz w:val="22"/>
          <w:szCs w:val="22"/>
        </w:rPr>
        <w:t>For example, 187 enterprises in the sample complained of low demand</w:t>
      </w:r>
      <w:r>
        <w:rPr>
          <w:rFonts w:ascii="Calibri" w:hAnsi="Calibri" w:cs="Calibri"/>
          <w:sz w:val="22"/>
          <w:szCs w:val="22"/>
        </w:rPr>
        <w:t xml:space="preserve"> for their products</w:t>
      </w:r>
      <w:r w:rsidRPr="00A313B4">
        <w:rPr>
          <w:rFonts w:ascii="Calibri" w:hAnsi="Calibri" w:cs="Calibri"/>
          <w:sz w:val="22"/>
          <w:szCs w:val="22"/>
        </w:rPr>
        <w:t xml:space="preserve"> being </w:t>
      </w:r>
      <w:r>
        <w:rPr>
          <w:rFonts w:ascii="Calibri" w:hAnsi="Calibri" w:cs="Calibri"/>
          <w:sz w:val="22"/>
          <w:szCs w:val="22"/>
        </w:rPr>
        <w:t>'</w:t>
      </w:r>
      <w:r w:rsidRPr="00A313B4">
        <w:rPr>
          <w:rFonts w:ascii="Calibri" w:hAnsi="Calibri" w:cs="Calibri"/>
          <w:sz w:val="22"/>
          <w:szCs w:val="22"/>
        </w:rPr>
        <w:t>important</w:t>
      </w:r>
      <w:r>
        <w:rPr>
          <w:rFonts w:ascii="Calibri" w:hAnsi="Calibri" w:cs="Calibri"/>
          <w:sz w:val="22"/>
          <w:szCs w:val="22"/>
        </w:rPr>
        <w:t>'</w:t>
      </w:r>
      <w:r w:rsidRPr="00A313B4">
        <w:rPr>
          <w:rFonts w:ascii="Calibri" w:hAnsi="Calibri" w:cs="Calibri"/>
          <w:sz w:val="22"/>
          <w:szCs w:val="22"/>
        </w:rPr>
        <w:t xml:space="preserve"> or </w:t>
      </w:r>
      <w:r>
        <w:rPr>
          <w:rFonts w:ascii="Calibri" w:hAnsi="Calibri" w:cs="Calibri"/>
          <w:sz w:val="22"/>
          <w:szCs w:val="22"/>
        </w:rPr>
        <w:t>'</w:t>
      </w:r>
      <w:r w:rsidRPr="00A313B4">
        <w:rPr>
          <w:rFonts w:ascii="Calibri" w:hAnsi="Calibri" w:cs="Calibri"/>
          <w:sz w:val="22"/>
          <w:szCs w:val="22"/>
        </w:rPr>
        <w:t>very important</w:t>
      </w:r>
      <w:r>
        <w:rPr>
          <w:rFonts w:ascii="Calibri" w:hAnsi="Calibri" w:cs="Calibri"/>
          <w:sz w:val="22"/>
          <w:szCs w:val="22"/>
        </w:rPr>
        <w:t>'</w:t>
      </w:r>
      <w:r w:rsidRPr="00A313B4">
        <w:rPr>
          <w:rFonts w:ascii="Calibri" w:hAnsi="Calibri" w:cs="Calibri"/>
          <w:sz w:val="22"/>
          <w:szCs w:val="22"/>
        </w:rPr>
        <w:t xml:space="preserve"> problem, but 54 of these still applied for formal credit. Although the smaller proportion of these</w:t>
      </w:r>
      <w:r>
        <w:rPr>
          <w:rFonts w:ascii="Calibri" w:hAnsi="Calibri" w:cs="Calibri"/>
          <w:sz w:val="22"/>
          <w:szCs w:val="22"/>
        </w:rPr>
        <w:t xml:space="preserve"> SMEs</w:t>
      </w:r>
      <w:r w:rsidRPr="00A313B4">
        <w:rPr>
          <w:rFonts w:ascii="Calibri" w:hAnsi="Calibri" w:cs="Calibri"/>
          <w:sz w:val="22"/>
          <w:szCs w:val="22"/>
        </w:rPr>
        <w:t xml:space="preserve"> applied for formal credit (29% compared to 42% of the counterpart group), more than half of them were not detected by banks.</w:t>
      </w:r>
      <w:r>
        <w:rPr>
          <w:rFonts w:ascii="Calibri" w:hAnsi="Calibri" w:cs="Calibri"/>
          <w:sz w:val="22"/>
          <w:szCs w:val="22"/>
        </w:rPr>
        <w:t xml:space="preserve"> Hence the variable, coded </w:t>
      </w:r>
      <w:r w:rsidRPr="0000217F">
        <w:rPr>
          <w:rFonts w:ascii="Calibri" w:hAnsi="Calibri" w:cs="Calibri"/>
          <w:sz w:val="22"/>
          <w:szCs w:val="22"/>
        </w:rPr>
        <w:t xml:space="preserve">1 if enterprises </w:t>
      </w:r>
      <w:r>
        <w:rPr>
          <w:rFonts w:ascii="Calibri" w:hAnsi="Calibri" w:cs="Calibri"/>
          <w:sz w:val="22"/>
          <w:szCs w:val="22"/>
        </w:rPr>
        <w:t xml:space="preserve">reported </w:t>
      </w:r>
      <w:r w:rsidRPr="0000217F">
        <w:rPr>
          <w:rFonts w:ascii="Calibri" w:hAnsi="Calibri" w:cs="Calibri"/>
          <w:sz w:val="22"/>
          <w:szCs w:val="22"/>
        </w:rPr>
        <w:t xml:space="preserve">this factor as </w:t>
      </w:r>
      <w:r>
        <w:rPr>
          <w:rFonts w:ascii="Calibri" w:hAnsi="Calibri" w:cs="Calibri"/>
          <w:sz w:val="22"/>
          <w:szCs w:val="22"/>
        </w:rPr>
        <w:t xml:space="preserve">an </w:t>
      </w:r>
      <w:r w:rsidRPr="0000217F">
        <w:rPr>
          <w:rFonts w:ascii="Calibri" w:hAnsi="Calibri" w:cs="Calibri"/>
          <w:sz w:val="22"/>
          <w:szCs w:val="22"/>
        </w:rPr>
        <w:t>‘important’ or ‘very important’ obstacle to the operation and growth of their businesses, and 0 otherwise</w:t>
      </w:r>
      <w:r>
        <w:rPr>
          <w:rFonts w:ascii="Calibri" w:hAnsi="Calibri" w:cs="Calibri"/>
          <w:sz w:val="22"/>
          <w:szCs w:val="22"/>
        </w:rPr>
        <w:t xml:space="preserve"> was included in the credit application part of the model. </w:t>
      </w:r>
      <w:r w:rsidRPr="0000217F">
        <w:rPr>
          <w:rFonts w:ascii="Calibri" w:hAnsi="Calibri" w:cs="Calibri"/>
          <w:sz w:val="22"/>
          <w:szCs w:val="22"/>
        </w:rPr>
        <w:t>The results</w:t>
      </w:r>
      <w:r>
        <w:rPr>
          <w:rFonts w:ascii="Calibri" w:hAnsi="Calibri" w:cs="Calibri"/>
          <w:sz w:val="22"/>
          <w:szCs w:val="22"/>
        </w:rPr>
        <w:t xml:space="preserve"> of the model, which are</w:t>
      </w:r>
      <w:r w:rsidRPr="0000217F">
        <w:rPr>
          <w:rFonts w:ascii="Calibri" w:hAnsi="Calibri" w:cs="Calibri"/>
          <w:sz w:val="22"/>
          <w:szCs w:val="22"/>
        </w:rPr>
        <w:t xml:space="preserve"> reported </w:t>
      </w:r>
      <w:r>
        <w:rPr>
          <w:rFonts w:ascii="Calibri" w:hAnsi="Calibri" w:cs="Calibri"/>
          <w:sz w:val="22"/>
          <w:szCs w:val="22"/>
        </w:rPr>
        <w:t>in Table A4.1 show that</w:t>
      </w:r>
      <w:r w:rsidRPr="0000217F">
        <w:rPr>
          <w:rFonts w:ascii="Calibri" w:hAnsi="Calibri" w:cs="Calibri"/>
          <w:sz w:val="22"/>
          <w:szCs w:val="22"/>
        </w:rPr>
        <w:t xml:space="preserve"> the coefficient of the target variable </w:t>
      </w:r>
      <w:proofErr w:type="spellStart"/>
      <w:r w:rsidRPr="0000217F">
        <w:rPr>
          <w:rFonts w:ascii="Calibri" w:hAnsi="Calibri" w:cs="Calibri"/>
          <w:i/>
          <w:sz w:val="22"/>
          <w:szCs w:val="22"/>
        </w:rPr>
        <w:t>gov_connect</w:t>
      </w:r>
      <w:proofErr w:type="spellEnd"/>
      <w:r w:rsidRPr="0000217F">
        <w:rPr>
          <w:rFonts w:ascii="Calibri" w:hAnsi="Calibri" w:cs="Calibri"/>
          <w:sz w:val="22"/>
          <w:szCs w:val="22"/>
        </w:rPr>
        <w:t xml:space="preserve"> and that of </w:t>
      </w:r>
      <w:proofErr w:type="spellStart"/>
      <w:r w:rsidRPr="0000217F">
        <w:rPr>
          <w:rFonts w:ascii="Calibri" w:hAnsi="Calibri" w:cs="Calibri"/>
          <w:i/>
          <w:sz w:val="22"/>
          <w:szCs w:val="22"/>
        </w:rPr>
        <w:t>bzinbrpl</w:t>
      </w:r>
      <w:proofErr w:type="spellEnd"/>
      <w:r>
        <w:rPr>
          <w:rFonts w:ascii="Calibri" w:hAnsi="Calibri" w:cs="Calibri"/>
          <w:i/>
          <w:sz w:val="22"/>
          <w:szCs w:val="22"/>
        </w:rPr>
        <w:t xml:space="preserve"> </w:t>
      </w:r>
      <w:r w:rsidRPr="0000217F">
        <w:rPr>
          <w:rFonts w:ascii="Calibri" w:hAnsi="Calibri" w:cs="Calibri"/>
          <w:sz w:val="22"/>
          <w:szCs w:val="22"/>
        </w:rPr>
        <w:t xml:space="preserve">are statistically significant at 5% level. </w:t>
      </w:r>
      <w:r>
        <w:rPr>
          <w:rFonts w:ascii="Calibri" w:hAnsi="Calibri" w:cs="Calibri"/>
          <w:sz w:val="22"/>
          <w:szCs w:val="22"/>
        </w:rPr>
        <w:t>A</w:t>
      </w:r>
      <w:r w:rsidRPr="0000217F">
        <w:rPr>
          <w:rFonts w:ascii="Calibri" w:hAnsi="Calibri" w:cs="Calibri"/>
          <w:sz w:val="22"/>
          <w:szCs w:val="22"/>
        </w:rPr>
        <w:t xml:space="preserve">lthough </w:t>
      </w:r>
      <w:r>
        <w:rPr>
          <w:rFonts w:ascii="Calibri" w:hAnsi="Calibri" w:cs="Calibri"/>
          <w:sz w:val="22"/>
          <w:szCs w:val="22"/>
        </w:rPr>
        <w:t>the</w:t>
      </w:r>
      <w:r w:rsidRPr="0000217F">
        <w:rPr>
          <w:rFonts w:ascii="Calibri" w:hAnsi="Calibri" w:cs="Calibri"/>
          <w:sz w:val="22"/>
          <w:szCs w:val="22"/>
        </w:rPr>
        <w:t xml:space="preserve"> instrumental variable in the selection equation is statistically significant at </w:t>
      </w:r>
      <w:r>
        <w:rPr>
          <w:rFonts w:ascii="Calibri" w:hAnsi="Calibri" w:cs="Calibri"/>
          <w:sz w:val="22"/>
          <w:szCs w:val="22"/>
        </w:rPr>
        <w:t>around 2</w:t>
      </w:r>
      <w:r w:rsidRPr="0000217F">
        <w:rPr>
          <w:rFonts w:ascii="Calibri" w:hAnsi="Calibri" w:cs="Calibri"/>
          <w:sz w:val="22"/>
          <w:szCs w:val="22"/>
        </w:rPr>
        <w:t xml:space="preserve">%, </w:t>
      </w:r>
      <w:r>
        <w:rPr>
          <w:rFonts w:ascii="Calibri" w:hAnsi="Calibri" w:cs="Calibri"/>
          <w:sz w:val="22"/>
          <w:szCs w:val="22"/>
        </w:rPr>
        <w:t>and t</w:t>
      </w:r>
      <w:r w:rsidRPr="008C39FB">
        <w:rPr>
          <w:rFonts w:ascii="Calibri" w:hAnsi="Calibri" w:cs="Calibri"/>
          <w:sz w:val="22"/>
          <w:szCs w:val="22"/>
        </w:rPr>
        <w:t xml:space="preserve">he null hypothesis of 'no systematic difference between the coefficients of </w:t>
      </w:r>
      <w:r>
        <w:rPr>
          <w:rFonts w:ascii="Calibri" w:hAnsi="Calibri" w:cs="Calibri"/>
          <w:sz w:val="22"/>
          <w:szCs w:val="22"/>
        </w:rPr>
        <w:t>general</w:t>
      </w:r>
      <w:r w:rsidRPr="008C39FB">
        <w:rPr>
          <w:rFonts w:ascii="Calibri" w:hAnsi="Calibri" w:cs="Calibri"/>
          <w:sz w:val="22"/>
          <w:szCs w:val="22"/>
        </w:rPr>
        <w:t xml:space="preserve"> and </w:t>
      </w:r>
      <w:r>
        <w:rPr>
          <w:rFonts w:ascii="Calibri" w:hAnsi="Calibri" w:cs="Calibri"/>
          <w:sz w:val="22"/>
          <w:szCs w:val="22"/>
        </w:rPr>
        <w:t>Heckman</w:t>
      </w:r>
      <w:r w:rsidRPr="008C39FB">
        <w:rPr>
          <w:rFonts w:ascii="Calibri" w:hAnsi="Calibri" w:cs="Calibri"/>
          <w:sz w:val="22"/>
          <w:szCs w:val="22"/>
        </w:rPr>
        <w:t xml:space="preserve"> models' (the </w:t>
      </w:r>
      <w:proofErr w:type="spellStart"/>
      <w:r w:rsidRPr="008C39FB">
        <w:rPr>
          <w:rFonts w:ascii="Calibri" w:hAnsi="Calibri" w:cs="Calibri"/>
          <w:sz w:val="22"/>
          <w:szCs w:val="22"/>
        </w:rPr>
        <w:t>Hausman</w:t>
      </w:r>
      <w:proofErr w:type="spellEnd"/>
      <w:r w:rsidRPr="008C39FB">
        <w:rPr>
          <w:rFonts w:ascii="Calibri" w:hAnsi="Calibri" w:cs="Calibri"/>
          <w:sz w:val="22"/>
          <w:szCs w:val="22"/>
        </w:rPr>
        <w:t xml:space="preserve"> test) is also rejected at less than 1% level of significance</w:t>
      </w:r>
      <w:r>
        <w:rPr>
          <w:rFonts w:ascii="Calibri" w:hAnsi="Calibri" w:cs="Calibri"/>
          <w:sz w:val="22"/>
          <w:szCs w:val="22"/>
        </w:rPr>
        <w:t xml:space="preserve">, </w:t>
      </w:r>
      <w:r w:rsidRPr="0000217F">
        <w:rPr>
          <w:rFonts w:ascii="Calibri" w:hAnsi="Calibri" w:cs="Calibri"/>
          <w:sz w:val="22"/>
          <w:szCs w:val="22"/>
        </w:rPr>
        <w:t>the correlation coefficient between the error terms of the main and selection equations is statistically significant only at 13%.</w:t>
      </w:r>
      <w:r>
        <w:rPr>
          <w:rFonts w:ascii="Calibri" w:hAnsi="Calibri" w:cs="Calibri"/>
          <w:sz w:val="22"/>
          <w:szCs w:val="22"/>
        </w:rPr>
        <w:t xml:space="preserve"> </w:t>
      </w:r>
      <w:r w:rsidRPr="004F4991">
        <w:rPr>
          <w:rFonts w:ascii="Calibri" w:hAnsi="Calibri" w:cs="Calibri"/>
          <w:sz w:val="22"/>
          <w:szCs w:val="22"/>
        </w:rPr>
        <w:t xml:space="preserve">Nevertheless, the results from the </w:t>
      </w:r>
      <w:r>
        <w:rPr>
          <w:rFonts w:ascii="Calibri" w:hAnsi="Calibri" w:cs="Calibri"/>
          <w:sz w:val="22"/>
          <w:szCs w:val="22"/>
        </w:rPr>
        <w:t>Heckman</w:t>
      </w:r>
      <w:r w:rsidRPr="004F4991">
        <w:rPr>
          <w:rFonts w:ascii="Calibri" w:hAnsi="Calibri" w:cs="Calibri"/>
          <w:sz w:val="22"/>
          <w:szCs w:val="22"/>
        </w:rPr>
        <w:t xml:space="preserve"> model are not fundamentally different from those obtained using </w:t>
      </w:r>
      <w:proofErr w:type="spellStart"/>
      <w:r w:rsidRPr="004F4991">
        <w:rPr>
          <w:rFonts w:ascii="Calibri" w:hAnsi="Calibri" w:cs="Calibri"/>
          <w:sz w:val="22"/>
          <w:szCs w:val="22"/>
        </w:rPr>
        <w:t>univariate</w:t>
      </w:r>
      <w:proofErr w:type="spellEnd"/>
      <w:r w:rsidRPr="004F4991">
        <w:rPr>
          <w:rFonts w:ascii="Calibri" w:hAnsi="Calibri" w:cs="Calibri"/>
          <w:sz w:val="22"/>
          <w:szCs w:val="22"/>
        </w:rPr>
        <w:t xml:space="preserve"> models. </w:t>
      </w:r>
      <w:r>
        <w:rPr>
          <w:rFonts w:ascii="Calibri" w:hAnsi="Calibri" w:cs="Calibri"/>
          <w:sz w:val="22"/>
          <w:szCs w:val="22"/>
        </w:rPr>
        <w:t xml:space="preserve">For example, once converted into </w:t>
      </w:r>
      <w:proofErr w:type="spellStart"/>
      <w:r>
        <w:rPr>
          <w:rFonts w:ascii="Calibri" w:hAnsi="Calibri" w:cs="Calibri"/>
          <w:sz w:val="22"/>
          <w:szCs w:val="22"/>
        </w:rPr>
        <w:t>logit</w:t>
      </w:r>
      <w:proofErr w:type="spellEnd"/>
      <w:r>
        <w:rPr>
          <w:rFonts w:ascii="Calibri" w:hAnsi="Calibri" w:cs="Calibri"/>
          <w:sz w:val="22"/>
          <w:szCs w:val="22"/>
        </w:rPr>
        <w:t xml:space="preserve"> coefficient using rough guides, e.g. 0.54x1.6=0.86 (from which an odds ratio of 2.37 can also be derived), the estimated magnitude of the </w:t>
      </w:r>
      <w:proofErr w:type="spellStart"/>
      <w:r>
        <w:rPr>
          <w:rFonts w:ascii="Calibri" w:hAnsi="Calibri" w:cs="Calibri"/>
          <w:i/>
          <w:sz w:val="22"/>
          <w:szCs w:val="22"/>
        </w:rPr>
        <w:t>gov_connect</w:t>
      </w:r>
      <w:proofErr w:type="spellEnd"/>
      <w:r>
        <w:rPr>
          <w:rFonts w:ascii="Calibri" w:hAnsi="Calibri" w:cs="Calibri"/>
          <w:sz w:val="22"/>
          <w:szCs w:val="22"/>
        </w:rPr>
        <w:t xml:space="preserve"> coefficient is also comparable to those obtained in </w:t>
      </w:r>
      <w:proofErr w:type="spellStart"/>
      <w:r>
        <w:rPr>
          <w:rFonts w:ascii="Calibri" w:hAnsi="Calibri" w:cs="Calibri"/>
          <w:sz w:val="22"/>
          <w:szCs w:val="22"/>
        </w:rPr>
        <w:t>logit</w:t>
      </w:r>
      <w:proofErr w:type="spellEnd"/>
      <w:r>
        <w:rPr>
          <w:rFonts w:ascii="Calibri" w:hAnsi="Calibri" w:cs="Calibri"/>
          <w:sz w:val="22"/>
          <w:szCs w:val="22"/>
        </w:rPr>
        <w:t xml:space="preserve"> models in Table 4 in the main text. </w:t>
      </w:r>
      <w:r w:rsidRPr="004F4991">
        <w:rPr>
          <w:rFonts w:ascii="Calibri" w:hAnsi="Calibri" w:cs="Calibri"/>
          <w:sz w:val="22"/>
          <w:szCs w:val="22"/>
        </w:rPr>
        <w:t xml:space="preserve">Incidentally, this observation is in line with the findings of </w:t>
      </w:r>
      <w:proofErr w:type="spellStart"/>
      <w:r w:rsidRPr="004F4991">
        <w:rPr>
          <w:rFonts w:ascii="Calibri" w:hAnsi="Calibri" w:cs="Calibri"/>
          <w:sz w:val="22"/>
          <w:szCs w:val="22"/>
        </w:rPr>
        <w:t>Cavalluzzo</w:t>
      </w:r>
      <w:proofErr w:type="spellEnd"/>
      <w:r>
        <w:rPr>
          <w:rFonts w:ascii="Calibri" w:hAnsi="Calibri" w:cs="Calibri"/>
          <w:sz w:val="22"/>
          <w:szCs w:val="22"/>
        </w:rPr>
        <w:t xml:space="preserve"> </w:t>
      </w:r>
      <w:r w:rsidRPr="004F4991">
        <w:rPr>
          <w:rFonts w:ascii="Calibri" w:hAnsi="Calibri" w:cs="Calibri"/>
          <w:i/>
          <w:sz w:val="22"/>
          <w:szCs w:val="22"/>
        </w:rPr>
        <w:t>et al.</w:t>
      </w:r>
      <w:r w:rsidRPr="004F4991">
        <w:rPr>
          <w:rFonts w:ascii="Calibri" w:hAnsi="Calibri" w:cs="Calibri"/>
          <w:sz w:val="22"/>
          <w:szCs w:val="22"/>
        </w:rPr>
        <w:t xml:space="preserve"> (2002) and </w:t>
      </w:r>
      <w:proofErr w:type="spellStart"/>
      <w:r w:rsidRPr="004F4991">
        <w:rPr>
          <w:rFonts w:ascii="Calibri" w:hAnsi="Calibri" w:cs="Calibri"/>
          <w:sz w:val="22"/>
          <w:szCs w:val="22"/>
        </w:rPr>
        <w:t>Muravyev</w:t>
      </w:r>
      <w:proofErr w:type="spellEnd"/>
      <w:r>
        <w:rPr>
          <w:rFonts w:ascii="Calibri" w:hAnsi="Calibri" w:cs="Calibri"/>
          <w:sz w:val="22"/>
          <w:szCs w:val="22"/>
        </w:rPr>
        <w:t xml:space="preserve"> </w:t>
      </w:r>
      <w:r>
        <w:rPr>
          <w:rFonts w:ascii="Calibri" w:hAnsi="Calibri" w:cs="Calibri"/>
          <w:i/>
          <w:sz w:val="22"/>
          <w:szCs w:val="22"/>
        </w:rPr>
        <w:t xml:space="preserve">et al. </w:t>
      </w:r>
      <w:r w:rsidRPr="004F4991">
        <w:rPr>
          <w:rFonts w:ascii="Calibri" w:hAnsi="Calibri" w:cs="Calibri"/>
          <w:sz w:val="22"/>
          <w:szCs w:val="22"/>
        </w:rPr>
        <w:t>(2009) who, despite having a somewhat richer dataset, did not find fundamentally different results in their estimations</w:t>
      </w:r>
      <w:r>
        <w:rPr>
          <w:rFonts w:ascii="Calibri" w:hAnsi="Calibri" w:cs="Calibri"/>
          <w:sz w:val="22"/>
          <w:szCs w:val="22"/>
        </w:rPr>
        <w:t xml:space="preserve"> of Heckman-type models</w:t>
      </w:r>
      <w:r w:rsidRPr="004F4991">
        <w:rPr>
          <w:rFonts w:ascii="Calibri" w:hAnsi="Calibri" w:cs="Calibri"/>
          <w:sz w:val="22"/>
          <w:szCs w:val="22"/>
        </w:rPr>
        <w:t>. The findings, however, are not suggestive of th</w:t>
      </w:r>
      <w:r>
        <w:rPr>
          <w:rFonts w:ascii="Calibri" w:hAnsi="Calibri" w:cs="Calibri"/>
          <w:sz w:val="22"/>
          <w:szCs w:val="22"/>
        </w:rPr>
        <w:t>e absence of selection problems as t</w:t>
      </w:r>
      <w:r w:rsidRPr="004F4991">
        <w:rPr>
          <w:rFonts w:ascii="Calibri" w:hAnsi="Calibri" w:cs="Calibri"/>
          <w:sz w:val="22"/>
          <w:szCs w:val="22"/>
        </w:rPr>
        <w:t xml:space="preserve">he similarity of the estimates with and without selection correction may </w:t>
      </w:r>
      <w:r>
        <w:rPr>
          <w:rFonts w:ascii="Calibri" w:hAnsi="Calibri" w:cs="Calibri"/>
          <w:sz w:val="22"/>
          <w:szCs w:val="22"/>
        </w:rPr>
        <w:t xml:space="preserve">also </w:t>
      </w:r>
      <w:r w:rsidRPr="004F4991">
        <w:rPr>
          <w:rFonts w:ascii="Calibri" w:hAnsi="Calibri" w:cs="Calibri"/>
          <w:sz w:val="22"/>
          <w:szCs w:val="22"/>
        </w:rPr>
        <w:t xml:space="preserve">be the result of statistical problems </w:t>
      </w:r>
      <w:r>
        <w:rPr>
          <w:rFonts w:ascii="Calibri" w:hAnsi="Calibri" w:cs="Calibri"/>
          <w:sz w:val="22"/>
          <w:szCs w:val="22"/>
        </w:rPr>
        <w:t>(</w:t>
      </w:r>
      <w:r w:rsidRPr="004F4991">
        <w:rPr>
          <w:rFonts w:ascii="Calibri" w:hAnsi="Calibri" w:cs="Calibri"/>
          <w:sz w:val="22"/>
          <w:szCs w:val="22"/>
        </w:rPr>
        <w:t>Kennedy, 2003, p.291; Wooldridge, 2006, pp. 609-11</w:t>
      </w:r>
      <w:r>
        <w:rPr>
          <w:rFonts w:ascii="Calibri" w:hAnsi="Calibri" w:cs="Calibri"/>
          <w:sz w:val="22"/>
          <w:szCs w:val="22"/>
        </w:rPr>
        <w:t xml:space="preserve">) </w:t>
      </w:r>
      <w:r w:rsidRPr="004F4991">
        <w:rPr>
          <w:rFonts w:ascii="Calibri" w:hAnsi="Calibri" w:cs="Calibri"/>
          <w:sz w:val="22"/>
          <w:szCs w:val="22"/>
        </w:rPr>
        <w:t>and/or because the instrument of our choice is not strong enough.</w:t>
      </w:r>
    </w:p>
    <w:p w:rsidR="00AA788D" w:rsidRPr="00486A35" w:rsidRDefault="00AA788D" w:rsidP="00257008">
      <w:pPr>
        <w:pStyle w:val="BodyText"/>
        <w:spacing w:line="480" w:lineRule="auto"/>
        <w:ind w:firstLine="357"/>
        <w:rPr>
          <w:rFonts w:ascii="Calibri" w:hAnsi="Calibri" w:cs="Calibri"/>
          <w:b/>
          <w:sz w:val="22"/>
          <w:szCs w:val="22"/>
        </w:rPr>
      </w:pPr>
      <w:r w:rsidRPr="004F4991">
        <w:rPr>
          <w:rFonts w:ascii="Calibri" w:hAnsi="Calibri" w:cs="Calibri"/>
          <w:b/>
          <w:sz w:val="22"/>
          <w:szCs w:val="22"/>
        </w:rPr>
        <w:t>&lt;</w:t>
      </w:r>
      <w:r>
        <w:rPr>
          <w:rFonts w:ascii="Calibri" w:hAnsi="Calibri" w:cs="Calibri"/>
          <w:b/>
          <w:sz w:val="22"/>
          <w:szCs w:val="22"/>
        </w:rPr>
        <w:t>Table A4.1</w:t>
      </w:r>
      <w:r w:rsidRPr="004F4991">
        <w:rPr>
          <w:rFonts w:ascii="Calibri" w:hAnsi="Calibri" w:cs="Calibri"/>
          <w:b/>
          <w:sz w:val="22"/>
          <w:szCs w:val="22"/>
        </w:rPr>
        <w:t>&gt;</w:t>
      </w:r>
    </w:p>
    <w:p w:rsidR="00AA788D" w:rsidRDefault="00AA788D" w:rsidP="00257008">
      <w:pPr>
        <w:pStyle w:val="BodyText"/>
        <w:spacing w:line="480" w:lineRule="auto"/>
        <w:ind w:firstLine="357"/>
        <w:rPr>
          <w:rFonts w:ascii="Calibri" w:hAnsi="Calibri" w:cs="Calibri"/>
          <w:sz w:val="22"/>
          <w:szCs w:val="22"/>
        </w:rPr>
      </w:pPr>
      <w:r>
        <w:rPr>
          <w:rFonts w:ascii="Calibri" w:hAnsi="Calibri" w:cs="Calibri"/>
          <w:sz w:val="22"/>
          <w:szCs w:val="22"/>
        </w:rPr>
        <w:lastRenderedPageBreak/>
        <w:t xml:space="preserve">The missing variable problem is </w:t>
      </w:r>
      <w:r w:rsidRPr="0000217F">
        <w:rPr>
          <w:rFonts w:ascii="Calibri" w:hAnsi="Calibri" w:cs="Calibri"/>
          <w:sz w:val="22"/>
          <w:szCs w:val="22"/>
        </w:rPr>
        <w:t xml:space="preserve">another issue </w:t>
      </w:r>
      <w:r>
        <w:rPr>
          <w:rFonts w:ascii="Calibri" w:hAnsi="Calibri" w:cs="Calibri"/>
          <w:sz w:val="22"/>
          <w:szCs w:val="22"/>
        </w:rPr>
        <w:t xml:space="preserve">which may </w:t>
      </w:r>
      <w:r w:rsidRPr="0000217F">
        <w:rPr>
          <w:rFonts w:ascii="Calibri" w:hAnsi="Calibri" w:cs="Calibri"/>
          <w:sz w:val="22"/>
          <w:szCs w:val="22"/>
        </w:rPr>
        <w:t>affect</w:t>
      </w:r>
      <w:r>
        <w:rPr>
          <w:rFonts w:ascii="Calibri" w:hAnsi="Calibri" w:cs="Calibri"/>
          <w:sz w:val="22"/>
          <w:szCs w:val="22"/>
        </w:rPr>
        <w:t xml:space="preserve"> </w:t>
      </w:r>
      <w:r w:rsidRPr="0000217F">
        <w:rPr>
          <w:rFonts w:ascii="Calibri" w:hAnsi="Calibri" w:cs="Calibri"/>
          <w:sz w:val="22"/>
          <w:szCs w:val="22"/>
        </w:rPr>
        <w:t>results</w:t>
      </w:r>
      <w:r>
        <w:rPr>
          <w:rFonts w:ascii="Calibri" w:hAnsi="Calibri" w:cs="Calibri"/>
          <w:sz w:val="22"/>
          <w:szCs w:val="22"/>
        </w:rPr>
        <w:t xml:space="preserve">, particularly </w:t>
      </w:r>
      <w:r w:rsidRPr="0000217F">
        <w:rPr>
          <w:rFonts w:ascii="Calibri" w:hAnsi="Calibri" w:cs="Calibri"/>
          <w:sz w:val="22"/>
          <w:szCs w:val="22"/>
        </w:rPr>
        <w:t xml:space="preserve">differences in the creditworthiness of enterprises, including detailed data on entrepreneurs’ personal wealth. Banks usually require carefully drafted business plans and feasibility studies from SMEs when considering their loan applications, </w:t>
      </w:r>
      <w:r>
        <w:rPr>
          <w:rFonts w:ascii="Calibri" w:hAnsi="Calibri" w:cs="Calibri"/>
          <w:sz w:val="22"/>
          <w:szCs w:val="22"/>
        </w:rPr>
        <w:t>along with historic</w:t>
      </w:r>
      <w:r w:rsidRPr="0000217F">
        <w:rPr>
          <w:rFonts w:ascii="Calibri" w:hAnsi="Calibri" w:cs="Calibri"/>
          <w:sz w:val="22"/>
          <w:szCs w:val="22"/>
        </w:rPr>
        <w:t xml:space="preserve"> financial performance indicators</w:t>
      </w:r>
      <w:r>
        <w:rPr>
          <w:rFonts w:ascii="Calibri" w:hAnsi="Calibri" w:cs="Calibri"/>
          <w:sz w:val="22"/>
          <w:szCs w:val="22"/>
        </w:rPr>
        <w:t xml:space="preserve">. </w:t>
      </w:r>
      <w:r w:rsidRPr="0000217F">
        <w:rPr>
          <w:rFonts w:ascii="Calibri" w:hAnsi="Calibri" w:cs="Calibri"/>
          <w:sz w:val="22"/>
          <w:szCs w:val="22"/>
        </w:rPr>
        <w:t xml:space="preserve">They also consider </w:t>
      </w:r>
      <w:r>
        <w:rPr>
          <w:rFonts w:ascii="Calibri" w:hAnsi="Calibri" w:cs="Calibri"/>
          <w:sz w:val="22"/>
          <w:szCs w:val="22"/>
        </w:rPr>
        <w:t xml:space="preserve">the </w:t>
      </w:r>
      <w:r w:rsidRPr="0000217F">
        <w:rPr>
          <w:rFonts w:ascii="Calibri" w:hAnsi="Calibri" w:cs="Calibri"/>
          <w:sz w:val="22"/>
          <w:szCs w:val="22"/>
        </w:rPr>
        <w:t xml:space="preserve">personal wealth of business owners which can be drawn upon </w:t>
      </w:r>
      <w:r>
        <w:rPr>
          <w:rFonts w:ascii="Calibri" w:hAnsi="Calibri" w:cs="Calibri"/>
          <w:sz w:val="22"/>
          <w:szCs w:val="22"/>
        </w:rPr>
        <w:t>should the company</w:t>
      </w:r>
      <w:r w:rsidRPr="0000217F">
        <w:rPr>
          <w:rFonts w:ascii="Calibri" w:hAnsi="Calibri" w:cs="Calibri"/>
          <w:sz w:val="22"/>
          <w:szCs w:val="22"/>
        </w:rPr>
        <w:t xml:space="preserve"> finances deteriorate </w:t>
      </w:r>
      <w:r>
        <w:rPr>
          <w:rFonts w:ascii="Calibri" w:hAnsi="Calibri" w:cs="Calibri"/>
          <w:sz w:val="22"/>
          <w:szCs w:val="22"/>
        </w:rPr>
        <w:t>significantly. V</w:t>
      </w:r>
      <w:r w:rsidRPr="0000217F">
        <w:rPr>
          <w:rFonts w:ascii="Calibri" w:hAnsi="Calibri" w:cs="Calibri"/>
          <w:sz w:val="22"/>
          <w:szCs w:val="22"/>
        </w:rPr>
        <w:t>ariables already included</w:t>
      </w:r>
      <w:r>
        <w:rPr>
          <w:rFonts w:ascii="Calibri" w:hAnsi="Calibri" w:cs="Calibri"/>
          <w:sz w:val="22"/>
          <w:szCs w:val="22"/>
        </w:rPr>
        <w:t>,</w:t>
      </w:r>
      <w:r w:rsidRPr="0000217F">
        <w:rPr>
          <w:rFonts w:ascii="Calibri" w:hAnsi="Calibri" w:cs="Calibri"/>
          <w:sz w:val="22"/>
          <w:szCs w:val="22"/>
        </w:rPr>
        <w:t xml:space="preserve"> such as owner age, business experience</w:t>
      </w:r>
      <w:r>
        <w:rPr>
          <w:rFonts w:ascii="Calibri" w:hAnsi="Calibri" w:cs="Calibri"/>
          <w:sz w:val="22"/>
          <w:szCs w:val="22"/>
        </w:rPr>
        <w:t xml:space="preserve"> and </w:t>
      </w:r>
      <w:r w:rsidRPr="0000217F">
        <w:rPr>
          <w:rFonts w:ascii="Calibri" w:hAnsi="Calibri" w:cs="Calibri"/>
          <w:sz w:val="22"/>
          <w:szCs w:val="22"/>
        </w:rPr>
        <w:t>education</w:t>
      </w:r>
      <w:r>
        <w:rPr>
          <w:rFonts w:ascii="Calibri" w:hAnsi="Calibri" w:cs="Calibri"/>
          <w:sz w:val="22"/>
          <w:szCs w:val="22"/>
        </w:rPr>
        <w:t xml:space="preserve"> will </w:t>
      </w:r>
      <w:r w:rsidRPr="0000217F">
        <w:rPr>
          <w:rFonts w:ascii="Calibri" w:hAnsi="Calibri" w:cs="Calibri"/>
          <w:sz w:val="22"/>
          <w:szCs w:val="22"/>
        </w:rPr>
        <w:t xml:space="preserve">capture at least some of the </w:t>
      </w:r>
      <w:r>
        <w:rPr>
          <w:rFonts w:ascii="Calibri" w:hAnsi="Calibri" w:cs="Calibri"/>
          <w:sz w:val="22"/>
          <w:szCs w:val="22"/>
        </w:rPr>
        <w:t>features</w:t>
      </w:r>
      <w:r w:rsidRPr="0000217F">
        <w:rPr>
          <w:rFonts w:ascii="Calibri" w:hAnsi="Calibri" w:cs="Calibri"/>
          <w:sz w:val="22"/>
          <w:szCs w:val="22"/>
        </w:rPr>
        <w:t xml:space="preserve"> of creditworthiness, personal wealth, and entrepreneurial </w:t>
      </w:r>
      <w:r>
        <w:rPr>
          <w:rFonts w:ascii="Calibri" w:hAnsi="Calibri" w:cs="Calibri"/>
          <w:sz w:val="22"/>
          <w:szCs w:val="22"/>
        </w:rPr>
        <w:t>drive and skill. But,</w:t>
      </w:r>
      <w:r w:rsidRPr="0000217F">
        <w:rPr>
          <w:rFonts w:ascii="Calibri" w:hAnsi="Calibri" w:cs="Calibri"/>
          <w:sz w:val="22"/>
          <w:szCs w:val="22"/>
        </w:rPr>
        <w:t xml:space="preserve"> incomplete characterisation of these factors may still have potential impact on our results. </w:t>
      </w:r>
      <w:r>
        <w:rPr>
          <w:rFonts w:ascii="Calibri" w:hAnsi="Calibri" w:cs="Calibri"/>
          <w:sz w:val="22"/>
          <w:szCs w:val="22"/>
        </w:rPr>
        <w:t>There is also a possible measurement error with the gender term, which is statistically insignificant and has a counter-intuitive positive sign in Models 1, 2, and 3. Some</w:t>
      </w:r>
      <w:r w:rsidRPr="00493E25">
        <w:rPr>
          <w:rFonts w:ascii="Calibri" w:hAnsi="Calibri" w:cs="Calibri"/>
          <w:sz w:val="22"/>
          <w:szCs w:val="22"/>
        </w:rPr>
        <w:t xml:space="preserve"> studies inve</w:t>
      </w:r>
      <w:r>
        <w:rPr>
          <w:rFonts w:ascii="Calibri" w:hAnsi="Calibri" w:cs="Calibri"/>
          <w:sz w:val="22"/>
          <w:szCs w:val="22"/>
        </w:rPr>
        <w:t>stigating gender discrimination in SME finance</w:t>
      </w:r>
      <w:r w:rsidRPr="00493E25">
        <w:rPr>
          <w:rFonts w:ascii="Calibri" w:hAnsi="Calibri" w:cs="Calibri"/>
          <w:sz w:val="22"/>
          <w:szCs w:val="22"/>
        </w:rPr>
        <w:t xml:space="preserve"> such as </w:t>
      </w:r>
      <w:proofErr w:type="spellStart"/>
      <w:r w:rsidRPr="00493E25">
        <w:rPr>
          <w:rFonts w:ascii="Calibri" w:hAnsi="Calibri" w:cs="Calibri"/>
          <w:sz w:val="22"/>
          <w:szCs w:val="22"/>
        </w:rPr>
        <w:t>Cavaluzzo</w:t>
      </w:r>
      <w:proofErr w:type="spellEnd"/>
      <w:r>
        <w:rPr>
          <w:rFonts w:ascii="Calibri" w:hAnsi="Calibri" w:cs="Calibri"/>
          <w:sz w:val="22"/>
          <w:szCs w:val="22"/>
        </w:rPr>
        <w:t xml:space="preserve"> </w:t>
      </w:r>
      <w:r w:rsidRPr="00F87C50">
        <w:rPr>
          <w:rFonts w:ascii="Calibri" w:hAnsi="Calibri" w:cs="Calibri"/>
          <w:i/>
          <w:sz w:val="22"/>
          <w:szCs w:val="22"/>
        </w:rPr>
        <w:t>et al.</w:t>
      </w:r>
      <w:r w:rsidRPr="00493E25">
        <w:rPr>
          <w:rFonts w:ascii="Calibri" w:hAnsi="Calibri" w:cs="Calibri"/>
          <w:sz w:val="22"/>
          <w:szCs w:val="22"/>
        </w:rPr>
        <w:t xml:space="preserve"> (2002) and </w:t>
      </w:r>
      <w:proofErr w:type="spellStart"/>
      <w:r w:rsidRPr="00493E25">
        <w:rPr>
          <w:rFonts w:ascii="Calibri" w:hAnsi="Calibri" w:cs="Calibri"/>
          <w:sz w:val="22"/>
          <w:szCs w:val="22"/>
        </w:rPr>
        <w:t>Muravyev</w:t>
      </w:r>
      <w:proofErr w:type="spellEnd"/>
      <w:r>
        <w:rPr>
          <w:rFonts w:ascii="Calibri" w:hAnsi="Calibri" w:cs="Calibri"/>
          <w:sz w:val="22"/>
          <w:szCs w:val="22"/>
        </w:rPr>
        <w:t xml:space="preserve"> </w:t>
      </w:r>
      <w:r w:rsidRPr="00F87C50">
        <w:rPr>
          <w:rFonts w:ascii="Calibri" w:hAnsi="Calibri" w:cs="Calibri"/>
          <w:i/>
          <w:sz w:val="22"/>
          <w:szCs w:val="22"/>
        </w:rPr>
        <w:t>et al.</w:t>
      </w:r>
      <w:r w:rsidRPr="00493E25">
        <w:rPr>
          <w:rFonts w:ascii="Calibri" w:hAnsi="Calibri" w:cs="Calibri"/>
          <w:sz w:val="22"/>
          <w:szCs w:val="22"/>
        </w:rPr>
        <w:t xml:space="preserve"> (2009, see also Blanchard </w:t>
      </w:r>
      <w:r w:rsidRPr="00F87C50">
        <w:rPr>
          <w:rFonts w:ascii="Calibri" w:hAnsi="Calibri" w:cs="Calibri"/>
          <w:i/>
          <w:sz w:val="22"/>
          <w:szCs w:val="22"/>
        </w:rPr>
        <w:t>et al.</w:t>
      </w:r>
      <w:r>
        <w:rPr>
          <w:rFonts w:ascii="Calibri" w:hAnsi="Calibri" w:cs="Calibri"/>
          <w:i/>
          <w:sz w:val="22"/>
          <w:szCs w:val="22"/>
        </w:rPr>
        <w:t>,</w:t>
      </w:r>
      <w:r w:rsidRPr="00493E25">
        <w:rPr>
          <w:rFonts w:ascii="Calibri" w:hAnsi="Calibri" w:cs="Calibri"/>
          <w:sz w:val="22"/>
          <w:szCs w:val="22"/>
        </w:rPr>
        <w:t xml:space="preserve"> 2008) show that </w:t>
      </w:r>
      <w:r>
        <w:rPr>
          <w:rFonts w:ascii="Calibri" w:hAnsi="Calibri" w:cs="Calibri"/>
          <w:sz w:val="22"/>
          <w:szCs w:val="22"/>
        </w:rPr>
        <w:t xml:space="preserve">Models 2 and 3 can deal with </w:t>
      </w:r>
      <w:r w:rsidRPr="00673289">
        <w:rPr>
          <w:rFonts w:ascii="Calibri" w:hAnsi="Calibri" w:cs="Calibri"/>
          <w:sz w:val="22"/>
          <w:szCs w:val="22"/>
        </w:rPr>
        <w:t>negative discrimination and positive selection effects</w:t>
      </w:r>
      <w:r>
        <w:rPr>
          <w:rFonts w:ascii="Calibri" w:hAnsi="Calibri" w:cs="Calibri"/>
          <w:sz w:val="22"/>
          <w:szCs w:val="22"/>
        </w:rPr>
        <w:t xml:space="preserve"> with respect to the gender term</w:t>
      </w:r>
      <w:r w:rsidRPr="00673289">
        <w:rPr>
          <w:rFonts w:ascii="Calibri" w:hAnsi="Calibri" w:cs="Calibri"/>
          <w:sz w:val="22"/>
          <w:szCs w:val="22"/>
        </w:rPr>
        <w:t xml:space="preserve"> by </w:t>
      </w:r>
      <w:r>
        <w:rPr>
          <w:rFonts w:ascii="Calibri" w:hAnsi="Calibri" w:cs="Calibri"/>
          <w:sz w:val="22"/>
          <w:szCs w:val="22"/>
        </w:rPr>
        <w:t>providing</w:t>
      </w:r>
      <w:r w:rsidRPr="00493E25">
        <w:rPr>
          <w:rFonts w:ascii="Calibri" w:hAnsi="Calibri" w:cs="Calibri"/>
          <w:sz w:val="22"/>
          <w:szCs w:val="22"/>
        </w:rPr>
        <w:t xml:space="preserve"> the upper and lower bounds of gender discrimination, which both papers find to be </w:t>
      </w:r>
      <w:r>
        <w:rPr>
          <w:rFonts w:ascii="Calibri" w:hAnsi="Calibri" w:cs="Calibri"/>
          <w:sz w:val="22"/>
          <w:szCs w:val="22"/>
        </w:rPr>
        <w:t xml:space="preserve">negative and </w:t>
      </w:r>
      <w:r w:rsidRPr="00493E25">
        <w:rPr>
          <w:rFonts w:ascii="Calibri" w:hAnsi="Calibri" w:cs="Calibri"/>
          <w:sz w:val="22"/>
          <w:szCs w:val="22"/>
        </w:rPr>
        <w:t xml:space="preserve">statistically significant in relation to the US and International SME </w:t>
      </w:r>
      <w:r>
        <w:rPr>
          <w:rFonts w:ascii="Calibri" w:hAnsi="Calibri" w:cs="Calibri"/>
          <w:sz w:val="22"/>
          <w:szCs w:val="22"/>
        </w:rPr>
        <w:t xml:space="preserve">finance </w:t>
      </w:r>
      <w:r w:rsidRPr="00493E25">
        <w:rPr>
          <w:rFonts w:ascii="Calibri" w:hAnsi="Calibri" w:cs="Calibri"/>
          <w:sz w:val="22"/>
          <w:szCs w:val="22"/>
        </w:rPr>
        <w:t xml:space="preserve">data respectively. </w:t>
      </w:r>
      <w:r>
        <w:rPr>
          <w:rFonts w:ascii="Calibri" w:hAnsi="Calibri" w:cs="Calibri"/>
          <w:sz w:val="22"/>
          <w:szCs w:val="22"/>
        </w:rPr>
        <w:t>In our view, t</w:t>
      </w:r>
      <w:r w:rsidRPr="00493E25">
        <w:rPr>
          <w:rFonts w:ascii="Calibri" w:hAnsi="Calibri" w:cs="Calibri"/>
          <w:sz w:val="22"/>
          <w:szCs w:val="22"/>
        </w:rPr>
        <w:t xml:space="preserve">he gender term may be insignificant in our estimation </w:t>
      </w:r>
      <w:r>
        <w:rPr>
          <w:rFonts w:ascii="Calibri" w:hAnsi="Calibri" w:cs="Calibri"/>
          <w:sz w:val="22"/>
          <w:szCs w:val="22"/>
        </w:rPr>
        <w:t xml:space="preserve">due to a </w:t>
      </w:r>
      <w:r w:rsidRPr="00493E25">
        <w:rPr>
          <w:rFonts w:ascii="Calibri" w:hAnsi="Calibri" w:cs="Calibri"/>
          <w:sz w:val="22"/>
          <w:szCs w:val="22"/>
        </w:rPr>
        <w:t xml:space="preserve">lack of credibility of bureaucratic institutions in protecting private property rights. </w:t>
      </w:r>
      <w:r>
        <w:rPr>
          <w:rFonts w:ascii="Calibri" w:hAnsi="Calibri" w:cs="Calibri"/>
          <w:sz w:val="22"/>
          <w:szCs w:val="22"/>
        </w:rPr>
        <w:t>Because of</w:t>
      </w:r>
      <w:r w:rsidRPr="00493E25">
        <w:rPr>
          <w:rFonts w:ascii="Calibri" w:hAnsi="Calibri" w:cs="Calibri"/>
          <w:sz w:val="22"/>
          <w:szCs w:val="22"/>
        </w:rPr>
        <w:t xml:space="preserve"> a fear of possible misappropriation, Uzbek businessmen are known to commonly register titles of their high value properties such houses, cars, and sometimes even their businesses, in the name of their close relatives, these often being female. Hence, the insignificance of the gender term may not necessarily indicate absence of gender discrimination</w:t>
      </w:r>
      <w:r>
        <w:rPr>
          <w:rFonts w:ascii="Calibri" w:hAnsi="Calibri" w:cs="Calibri"/>
          <w:sz w:val="22"/>
          <w:szCs w:val="22"/>
        </w:rPr>
        <w:t xml:space="preserve"> as the sample of female SME owners used in this study </w:t>
      </w:r>
      <w:r w:rsidRPr="00493E25">
        <w:rPr>
          <w:rFonts w:ascii="Calibri" w:hAnsi="Calibri" w:cs="Calibri"/>
          <w:sz w:val="22"/>
          <w:szCs w:val="22"/>
        </w:rPr>
        <w:t xml:space="preserve">may not be fully representative of the female entrepreneurs in the SME population. </w:t>
      </w:r>
    </w:p>
    <w:p w:rsidR="00AA788D" w:rsidRDefault="00AA788D" w:rsidP="00257008">
      <w:pPr>
        <w:pStyle w:val="BodyText"/>
        <w:spacing w:line="480" w:lineRule="auto"/>
        <w:ind w:firstLine="357"/>
        <w:rPr>
          <w:rFonts w:ascii="Calibri" w:hAnsi="Calibri" w:cs="Calibri"/>
          <w:sz w:val="22"/>
          <w:szCs w:val="22"/>
        </w:rPr>
      </w:pPr>
      <w:r>
        <w:rPr>
          <w:rFonts w:ascii="Calibri" w:hAnsi="Calibri" w:cs="Calibri"/>
          <w:sz w:val="22"/>
          <w:szCs w:val="22"/>
        </w:rPr>
        <w:t>Consequently</w:t>
      </w:r>
      <w:r w:rsidRPr="0000217F">
        <w:rPr>
          <w:rFonts w:ascii="Calibri" w:hAnsi="Calibri" w:cs="Calibri"/>
          <w:sz w:val="22"/>
          <w:szCs w:val="22"/>
        </w:rPr>
        <w:t xml:space="preserve">, the approach proposed by </w:t>
      </w:r>
      <w:proofErr w:type="spellStart"/>
      <w:r w:rsidRPr="0000217F">
        <w:rPr>
          <w:rFonts w:ascii="Calibri" w:hAnsi="Calibri" w:cs="Calibri"/>
          <w:sz w:val="22"/>
          <w:szCs w:val="22"/>
        </w:rPr>
        <w:t>Blanchflower</w:t>
      </w:r>
      <w:proofErr w:type="spellEnd"/>
      <w:r>
        <w:rPr>
          <w:rFonts w:ascii="Calibri" w:hAnsi="Calibri" w:cs="Calibri"/>
          <w:sz w:val="22"/>
          <w:szCs w:val="22"/>
        </w:rPr>
        <w:t xml:space="preserve"> </w:t>
      </w:r>
      <w:r w:rsidRPr="0000217F">
        <w:rPr>
          <w:rFonts w:ascii="Calibri" w:hAnsi="Calibri" w:cs="Calibri"/>
          <w:i/>
          <w:sz w:val="22"/>
          <w:szCs w:val="22"/>
        </w:rPr>
        <w:t xml:space="preserve">et al. </w:t>
      </w:r>
      <w:r w:rsidRPr="0000217F">
        <w:rPr>
          <w:rFonts w:ascii="Calibri" w:hAnsi="Calibri" w:cs="Calibri"/>
          <w:sz w:val="22"/>
          <w:szCs w:val="22"/>
        </w:rPr>
        <w:t xml:space="preserve">(2003) and </w:t>
      </w:r>
      <w:proofErr w:type="spellStart"/>
      <w:r w:rsidRPr="0000217F">
        <w:rPr>
          <w:rFonts w:ascii="Calibri" w:hAnsi="Calibri" w:cs="Calibri"/>
          <w:sz w:val="22"/>
          <w:szCs w:val="22"/>
        </w:rPr>
        <w:t>Muravyev</w:t>
      </w:r>
      <w:proofErr w:type="spellEnd"/>
      <w:r>
        <w:rPr>
          <w:rFonts w:ascii="Calibri" w:hAnsi="Calibri" w:cs="Calibri"/>
          <w:sz w:val="22"/>
          <w:szCs w:val="22"/>
        </w:rPr>
        <w:t xml:space="preserve"> </w:t>
      </w:r>
      <w:r w:rsidRPr="0000217F">
        <w:rPr>
          <w:rFonts w:ascii="Calibri" w:hAnsi="Calibri" w:cs="Calibri"/>
          <w:i/>
          <w:sz w:val="22"/>
          <w:szCs w:val="22"/>
        </w:rPr>
        <w:t>et al.</w:t>
      </w:r>
      <w:r w:rsidRPr="0000217F">
        <w:rPr>
          <w:rFonts w:ascii="Calibri" w:hAnsi="Calibri" w:cs="Calibri"/>
          <w:sz w:val="22"/>
          <w:szCs w:val="22"/>
        </w:rPr>
        <w:t xml:space="preserve"> (2009) </w:t>
      </w:r>
      <w:r>
        <w:rPr>
          <w:rFonts w:ascii="Calibri" w:hAnsi="Calibri" w:cs="Calibri"/>
          <w:sz w:val="22"/>
          <w:szCs w:val="22"/>
        </w:rPr>
        <w:t>of</w:t>
      </w:r>
      <w:r w:rsidRPr="0000217F">
        <w:rPr>
          <w:rFonts w:ascii="Calibri" w:hAnsi="Calibri" w:cs="Calibri"/>
          <w:sz w:val="22"/>
          <w:szCs w:val="22"/>
        </w:rPr>
        <w:t xml:space="preserve"> carry</w:t>
      </w:r>
      <w:r>
        <w:rPr>
          <w:rFonts w:ascii="Calibri" w:hAnsi="Calibri" w:cs="Calibri"/>
          <w:sz w:val="22"/>
          <w:szCs w:val="22"/>
        </w:rPr>
        <w:t>ing</w:t>
      </w:r>
      <w:r w:rsidRPr="0000217F">
        <w:rPr>
          <w:rFonts w:ascii="Calibri" w:hAnsi="Calibri" w:cs="Calibri"/>
          <w:sz w:val="22"/>
          <w:szCs w:val="22"/>
        </w:rPr>
        <w:t xml:space="preserve"> out several </w:t>
      </w:r>
      <w:r>
        <w:rPr>
          <w:rFonts w:ascii="Calibri" w:hAnsi="Calibri" w:cs="Calibri"/>
          <w:sz w:val="22"/>
          <w:szCs w:val="22"/>
        </w:rPr>
        <w:t xml:space="preserve">further </w:t>
      </w:r>
      <w:r w:rsidRPr="0000217F">
        <w:rPr>
          <w:rFonts w:ascii="Calibri" w:hAnsi="Calibri" w:cs="Calibri"/>
          <w:sz w:val="22"/>
          <w:szCs w:val="22"/>
        </w:rPr>
        <w:t>regression estimations on various sub-samples</w:t>
      </w:r>
      <w:r>
        <w:rPr>
          <w:rFonts w:ascii="Calibri" w:hAnsi="Calibri" w:cs="Calibri"/>
          <w:sz w:val="22"/>
          <w:szCs w:val="22"/>
        </w:rPr>
        <w:t xml:space="preserve"> is used</w:t>
      </w:r>
      <w:r w:rsidRPr="0000217F">
        <w:rPr>
          <w:rFonts w:ascii="Calibri" w:hAnsi="Calibri" w:cs="Calibri"/>
          <w:sz w:val="22"/>
          <w:szCs w:val="22"/>
        </w:rPr>
        <w:t xml:space="preserve">. First, </w:t>
      </w:r>
      <w:r>
        <w:rPr>
          <w:rFonts w:ascii="Calibri" w:hAnsi="Calibri" w:cs="Calibri"/>
          <w:sz w:val="22"/>
          <w:szCs w:val="22"/>
        </w:rPr>
        <w:t>the</w:t>
      </w:r>
      <w:r w:rsidRPr="0000217F">
        <w:rPr>
          <w:rFonts w:ascii="Calibri" w:hAnsi="Calibri" w:cs="Calibri"/>
          <w:sz w:val="22"/>
          <w:szCs w:val="22"/>
        </w:rPr>
        <w:t xml:space="preserve"> sample </w:t>
      </w:r>
      <w:r>
        <w:rPr>
          <w:rFonts w:ascii="Calibri" w:hAnsi="Calibri" w:cs="Calibri"/>
          <w:sz w:val="22"/>
          <w:szCs w:val="22"/>
        </w:rPr>
        <w:t xml:space="preserve">is divided </w:t>
      </w:r>
      <w:r w:rsidRPr="0000217F">
        <w:rPr>
          <w:rFonts w:ascii="Calibri" w:hAnsi="Calibri" w:cs="Calibri"/>
          <w:sz w:val="22"/>
          <w:szCs w:val="22"/>
        </w:rPr>
        <w:t>according to enterprise size and age</w:t>
      </w:r>
      <w:r>
        <w:rPr>
          <w:rFonts w:ascii="Calibri" w:hAnsi="Calibri" w:cs="Calibri"/>
          <w:sz w:val="22"/>
          <w:szCs w:val="22"/>
        </w:rPr>
        <w:t>,</w:t>
      </w:r>
      <w:r w:rsidRPr="0000217F">
        <w:rPr>
          <w:rFonts w:ascii="Calibri" w:hAnsi="Calibri" w:cs="Calibri"/>
          <w:sz w:val="22"/>
          <w:szCs w:val="22"/>
        </w:rPr>
        <w:t xml:space="preserve"> respectively</w:t>
      </w:r>
      <w:r>
        <w:rPr>
          <w:rFonts w:ascii="Calibri" w:hAnsi="Calibri" w:cs="Calibri"/>
          <w:sz w:val="22"/>
          <w:szCs w:val="22"/>
        </w:rPr>
        <w:t>.</w:t>
      </w:r>
      <w:r w:rsidRPr="0000217F">
        <w:rPr>
          <w:rFonts w:ascii="Calibri" w:hAnsi="Calibri" w:cs="Calibri"/>
          <w:sz w:val="22"/>
          <w:szCs w:val="22"/>
        </w:rPr>
        <w:t xml:space="preserve"> Larger and more established enterprises are likely to rely on business</w:t>
      </w:r>
      <w:r>
        <w:rPr>
          <w:rFonts w:ascii="Calibri" w:hAnsi="Calibri" w:cs="Calibri"/>
          <w:sz w:val="22"/>
          <w:szCs w:val="22"/>
        </w:rPr>
        <w:t>e</w:t>
      </w:r>
      <w:r w:rsidRPr="0000217F">
        <w:rPr>
          <w:rFonts w:ascii="Calibri" w:hAnsi="Calibri" w:cs="Calibri"/>
          <w:sz w:val="22"/>
          <w:szCs w:val="22"/>
        </w:rPr>
        <w:t>s</w:t>
      </w:r>
      <w:r>
        <w:rPr>
          <w:rFonts w:ascii="Calibri" w:hAnsi="Calibri" w:cs="Calibri"/>
          <w:sz w:val="22"/>
          <w:szCs w:val="22"/>
        </w:rPr>
        <w:t>’ rather than owner</w:t>
      </w:r>
      <w:r w:rsidRPr="0000217F">
        <w:rPr>
          <w:rFonts w:ascii="Calibri" w:hAnsi="Calibri" w:cs="Calibri"/>
          <w:sz w:val="22"/>
          <w:szCs w:val="22"/>
        </w:rPr>
        <w:t>s</w:t>
      </w:r>
      <w:r>
        <w:rPr>
          <w:rFonts w:ascii="Calibri" w:hAnsi="Calibri" w:cs="Calibri"/>
          <w:sz w:val="22"/>
          <w:szCs w:val="22"/>
        </w:rPr>
        <w:t>’</w:t>
      </w:r>
      <w:r w:rsidRPr="0000217F">
        <w:rPr>
          <w:rFonts w:ascii="Calibri" w:hAnsi="Calibri" w:cs="Calibri"/>
          <w:sz w:val="22"/>
          <w:szCs w:val="22"/>
        </w:rPr>
        <w:t xml:space="preserve"> resources to repay obligations. In </w:t>
      </w:r>
      <w:r w:rsidRPr="0000217F">
        <w:rPr>
          <w:rFonts w:ascii="Calibri" w:hAnsi="Calibri" w:cs="Calibri"/>
          <w:sz w:val="22"/>
          <w:szCs w:val="22"/>
        </w:rPr>
        <w:lastRenderedPageBreak/>
        <w:t>terms of enterprise size, two sub-samples</w:t>
      </w:r>
      <w:r>
        <w:rPr>
          <w:rFonts w:ascii="Calibri" w:hAnsi="Calibri" w:cs="Calibri"/>
          <w:sz w:val="22"/>
          <w:szCs w:val="22"/>
        </w:rPr>
        <w:t xml:space="preserve"> are identified; </w:t>
      </w:r>
      <w:r w:rsidRPr="0000217F">
        <w:rPr>
          <w:rFonts w:ascii="Calibri" w:hAnsi="Calibri" w:cs="Calibri"/>
          <w:sz w:val="22"/>
          <w:szCs w:val="22"/>
        </w:rPr>
        <w:t xml:space="preserve">SMEs with less than 10 employees and </w:t>
      </w:r>
      <w:r>
        <w:rPr>
          <w:rFonts w:ascii="Calibri" w:hAnsi="Calibri" w:cs="Calibri"/>
          <w:sz w:val="22"/>
          <w:szCs w:val="22"/>
        </w:rPr>
        <w:t xml:space="preserve">those </w:t>
      </w:r>
      <w:r w:rsidRPr="0000217F">
        <w:rPr>
          <w:rFonts w:ascii="Calibri" w:hAnsi="Calibri" w:cs="Calibri"/>
          <w:sz w:val="22"/>
          <w:szCs w:val="22"/>
        </w:rPr>
        <w:t>with more than 10 employees</w:t>
      </w:r>
      <w:r>
        <w:rPr>
          <w:rFonts w:ascii="Calibri" w:hAnsi="Calibri" w:cs="Calibri"/>
          <w:sz w:val="22"/>
          <w:szCs w:val="22"/>
        </w:rPr>
        <w:t>,</w:t>
      </w:r>
      <w:r w:rsidRPr="0000217F">
        <w:rPr>
          <w:rFonts w:ascii="Calibri" w:hAnsi="Calibri" w:cs="Calibri"/>
          <w:sz w:val="22"/>
          <w:szCs w:val="22"/>
        </w:rPr>
        <w:t xml:space="preserve"> respectively. As for SME age, the first sub-sample include</w:t>
      </w:r>
      <w:r>
        <w:rPr>
          <w:rFonts w:ascii="Calibri" w:hAnsi="Calibri" w:cs="Calibri"/>
          <w:sz w:val="22"/>
          <w:szCs w:val="22"/>
        </w:rPr>
        <w:t>s</w:t>
      </w:r>
      <w:r w:rsidRPr="0000217F">
        <w:rPr>
          <w:rFonts w:ascii="Calibri" w:hAnsi="Calibri" w:cs="Calibri"/>
          <w:sz w:val="22"/>
          <w:szCs w:val="22"/>
        </w:rPr>
        <w:t xml:space="preserve"> SMEs </w:t>
      </w:r>
      <w:r>
        <w:rPr>
          <w:rFonts w:ascii="Calibri" w:hAnsi="Calibri" w:cs="Calibri"/>
          <w:sz w:val="22"/>
          <w:szCs w:val="22"/>
        </w:rPr>
        <w:t xml:space="preserve">established less </w:t>
      </w:r>
      <w:r w:rsidRPr="0000217F">
        <w:rPr>
          <w:rFonts w:ascii="Calibri" w:hAnsi="Calibri" w:cs="Calibri"/>
          <w:sz w:val="22"/>
          <w:szCs w:val="22"/>
        </w:rPr>
        <w:t>than four year</w:t>
      </w:r>
      <w:r>
        <w:rPr>
          <w:rFonts w:ascii="Calibri" w:hAnsi="Calibri" w:cs="Calibri"/>
          <w:sz w:val="22"/>
          <w:szCs w:val="22"/>
        </w:rPr>
        <w:t>s ago</w:t>
      </w:r>
      <w:r w:rsidRPr="0000217F">
        <w:rPr>
          <w:rFonts w:ascii="Calibri" w:hAnsi="Calibri" w:cs="Calibri"/>
          <w:sz w:val="22"/>
          <w:szCs w:val="22"/>
        </w:rPr>
        <w:t xml:space="preserve">, </w:t>
      </w:r>
      <w:r>
        <w:rPr>
          <w:rFonts w:ascii="Calibri" w:hAnsi="Calibri" w:cs="Calibri"/>
          <w:sz w:val="22"/>
          <w:szCs w:val="22"/>
        </w:rPr>
        <w:t xml:space="preserve">with </w:t>
      </w:r>
      <w:r w:rsidRPr="0000217F">
        <w:rPr>
          <w:rFonts w:ascii="Calibri" w:hAnsi="Calibri" w:cs="Calibri"/>
          <w:sz w:val="22"/>
          <w:szCs w:val="22"/>
        </w:rPr>
        <w:t xml:space="preserve">the rest of the available observations in the second sub-sample. Second, </w:t>
      </w:r>
      <w:r>
        <w:rPr>
          <w:rFonts w:ascii="Calibri" w:hAnsi="Calibri" w:cs="Calibri"/>
          <w:sz w:val="22"/>
          <w:szCs w:val="22"/>
        </w:rPr>
        <w:t>the</w:t>
      </w:r>
      <w:r w:rsidRPr="0000217F">
        <w:rPr>
          <w:rFonts w:ascii="Calibri" w:hAnsi="Calibri" w:cs="Calibri"/>
          <w:sz w:val="22"/>
          <w:szCs w:val="22"/>
        </w:rPr>
        <w:t xml:space="preserve"> data</w:t>
      </w:r>
      <w:r>
        <w:rPr>
          <w:rFonts w:ascii="Calibri" w:hAnsi="Calibri" w:cs="Calibri"/>
          <w:sz w:val="22"/>
          <w:szCs w:val="22"/>
        </w:rPr>
        <w:t>set</w:t>
      </w:r>
      <w:r w:rsidRPr="0000217F">
        <w:rPr>
          <w:rFonts w:ascii="Calibri" w:hAnsi="Calibri" w:cs="Calibri"/>
          <w:sz w:val="22"/>
          <w:szCs w:val="22"/>
        </w:rPr>
        <w:t xml:space="preserve"> contains a variable which measures respondents’ subjective evaluation of their access to bank credit from 1 to 5: 1 being very easy and 5 very difficult. Since wealthier business owners are less likely to be constrained by lack of external finance, they are also less likely to complain about access to bank credit. Therefore, </w:t>
      </w:r>
      <w:r>
        <w:rPr>
          <w:rFonts w:ascii="Calibri" w:hAnsi="Calibri" w:cs="Calibri"/>
          <w:sz w:val="22"/>
          <w:szCs w:val="22"/>
        </w:rPr>
        <w:t xml:space="preserve">again the </w:t>
      </w:r>
      <w:r w:rsidRPr="0000217F">
        <w:rPr>
          <w:rFonts w:ascii="Calibri" w:hAnsi="Calibri" w:cs="Calibri"/>
          <w:sz w:val="22"/>
          <w:szCs w:val="22"/>
        </w:rPr>
        <w:t xml:space="preserve">data </w:t>
      </w:r>
      <w:r>
        <w:rPr>
          <w:rFonts w:ascii="Calibri" w:hAnsi="Calibri" w:cs="Calibri"/>
          <w:sz w:val="22"/>
          <w:szCs w:val="22"/>
        </w:rPr>
        <w:t xml:space="preserve">is </w:t>
      </w:r>
      <w:r w:rsidRPr="0011369B">
        <w:rPr>
          <w:rFonts w:ascii="Calibri" w:hAnsi="Calibri" w:cs="Calibri"/>
          <w:sz w:val="22"/>
          <w:szCs w:val="22"/>
        </w:rPr>
        <w:t xml:space="preserve">split </w:t>
      </w:r>
      <w:r w:rsidRPr="0000217F">
        <w:rPr>
          <w:rFonts w:ascii="Calibri" w:hAnsi="Calibri" w:cs="Calibri"/>
          <w:sz w:val="22"/>
          <w:szCs w:val="22"/>
        </w:rPr>
        <w:t xml:space="preserve">into two sub-samples: the first sub-sample contains SMEs with ‘very easy’ and ‘easy’ responses, and the </w:t>
      </w:r>
      <w:r>
        <w:rPr>
          <w:rFonts w:ascii="Calibri" w:hAnsi="Calibri" w:cs="Calibri"/>
          <w:sz w:val="22"/>
          <w:szCs w:val="22"/>
        </w:rPr>
        <w:t>second</w:t>
      </w:r>
      <w:r w:rsidRPr="0000217F">
        <w:rPr>
          <w:rFonts w:ascii="Calibri" w:hAnsi="Calibri" w:cs="Calibri"/>
          <w:sz w:val="22"/>
          <w:szCs w:val="22"/>
        </w:rPr>
        <w:t xml:space="preserve"> contains the rest. </w:t>
      </w:r>
    </w:p>
    <w:p w:rsidR="00AA788D" w:rsidRDefault="00AA788D" w:rsidP="00257008">
      <w:pPr>
        <w:pStyle w:val="BodyText"/>
        <w:spacing w:line="480" w:lineRule="auto"/>
        <w:ind w:firstLine="357"/>
        <w:rPr>
          <w:rFonts w:ascii="Calibri" w:hAnsi="Calibri" w:cs="Calibri"/>
          <w:sz w:val="22"/>
          <w:szCs w:val="22"/>
        </w:rPr>
      </w:pPr>
      <w:r w:rsidRPr="0000217F">
        <w:rPr>
          <w:rFonts w:ascii="Calibri" w:hAnsi="Calibri" w:cs="Calibri"/>
          <w:sz w:val="22"/>
          <w:szCs w:val="22"/>
        </w:rPr>
        <w:t xml:space="preserve">The estimation results from these sub-samples are reported in Table </w:t>
      </w:r>
      <w:r>
        <w:rPr>
          <w:rFonts w:ascii="Calibri" w:hAnsi="Calibri" w:cs="Calibri"/>
          <w:sz w:val="22"/>
          <w:szCs w:val="22"/>
        </w:rPr>
        <w:t>A4.2</w:t>
      </w:r>
      <w:r w:rsidRPr="0000217F">
        <w:rPr>
          <w:rFonts w:ascii="Calibri" w:hAnsi="Calibri" w:cs="Calibri"/>
          <w:sz w:val="22"/>
          <w:szCs w:val="22"/>
        </w:rPr>
        <w:t xml:space="preserve">. Models 1, 2, and 3 in Table </w:t>
      </w:r>
      <w:r>
        <w:rPr>
          <w:rFonts w:ascii="Calibri" w:hAnsi="Calibri" w:cs="Calibri"/>
          <w:sz w:val="22"/>
          <w:szCs w:val="22"/>
        </w:rPr>
        <w:t>A4.2</w:t>
      </w:r>
      <w:r w:rsidRPr="0000217F">
        <w:rPr>
          <w:rFonts w:ascii="Calibri" w:hAnsi="Calibri" w:cs="Calibri"/>
          <w:sz w:val="22"/>
          <w:szCs w:val="22"/>
        </w:rPr>
        <w:t xml:space="preserve"> are identical to those reported in </w:t>
      </w:r>
      <w:r>
        <w:rPr>
          <w:rFonts w:ascii="Calibri" w:hAnsi="Calibri" w:cs="Calibri"/>
          <w:sz w:val="22"/>
          <w:szCs w:val="22"/>
        </w:rPr>
        <w:t>Table 4 in the main text</w:t>
      </w:r>
      <w:r w:rsidRPr="0000217F">
        <w:rPr>
          <w:rFonts w:ascii="Calibri" w:hAnsi="Calibri" w:cs="Calibri"/>
          <w:sz w:val="22"/>
          <w:szCs w:val="22"/>
        </w:rPr>
        <w:t xml:space="preserve">; for brevity, only results of the main target variable </w:t>
      </w:r>
      <w:proofErr w:type="spellStart"/>
      <w:r w:rsidRPr="0000217F">
        <w:rPr>
          <w:rFonts w:ascii="Calibri" w:hAnsi="Calibri" w:cs="Calibri"/>
          <w:i/>
          <w:sz w:val="22"/>
          <w:szCs w:val="22"/>
        </w:rPr>
        <w:t>gov_connect</w:t>
      </w:r>
      <w:proofErr w:type="spellEnd"/>
      <w:r w:rsidRPr="0000217F">
        <w:rPr>
          <w:rFonts w:ascii="Calibri" w:hAnsi="Calibri" w:cs="Calibri"/>
          <w:sz w:val="22"/>
          <w:szCs w:val="22"/>
        </w:rPr>
        <w:t xml:space="preserve">, are reported. </w:t>
      </w:r>
      <w:r>
        <w:rPr>
          <w:rFonts w:ascii="Calibri" w:hAnsi="Calibri" w:cs="Calibri"/>
          <w:sz w:val="22"/>
          <w:szCs w:val="22"/>
        </w:rPr>
        <w:t xml:space="preserve">This </w:t>
      </w:r>
      <w:r w:rsidRPr="0000217F">
        <w:rPr>
          <w:rFonts w:ascii="Calibri" w:hAnsi="Calibri" w:cs="Calibri"/>
          <w:sz w:val="22"/>
          <w:szCs w:val="22"/>
        </w:rPr>
        <w:t>show</w:t>
      </w:r>
      <w:r>
        <w:rPr>
          <w:rFonts w:ascii="Calibri" w:hAnsi="Calibri" w:cs="Calibri"/>
          <w:sz w:val="22"/>
          <w:szCs w:val="22"/>
        </w:rPr>
        <w:t>s</w:t>
      </w:r>
      <w:r w:rsidRPr="0000217F">
        <w:rPr>
          <w:rFonts w:ascii="Calibri" w:hAnsi="Calibri" w:cs="Calibri"/>
          <w:sz w:val="22"/>
          <w:szCs w:val="22"/>
        </w:rPr>
        <w:t xml:space="preserve"> that the sign of the government connections variable </w:t>
      </w:r>
      <w:r>
        <w:rPr>
          <w:rFonts w:ascii="Calibri" w:hAnsi="Calibri" w:cs="Calibri"/>
          <w:sz w:val="22"/>
          <w:szCs w:val="22"/>
        </w:rPr>
        <w:t>is</w:t>
      </w:r>
      <w:r w:rsidRPr="0000217F">
        <w:rPr>
          <w:rFonts w:ascii="Calibri" w:hAnsi="Calibri" w:cs="Calibri"/>
          <w:sz w:val="22"/>
          <w:szCs w:val="22"/>
        </w:rPr>
        <w:t xml:space="preserve"> correctly predicted in all estimations. The magnitudes of the coefficients are not </w:t>
      </w:r>
      <w:r>
        <w:rPr>
          <w:rFonts w:ascii="Calibri" w:hAnsi="Calibri" w:cs="Calibri"/>
          <w:sz w:val="22"/>
          <w:szCs w:val="22"/>
        </w:rPr>
        <w:t>radically</w:t>
      </w:r>
      <w:r w:rsidRPr="0000217F">
        <w:rPr>
          <w:rFonts w:ascii="Calibri" w:hAnsi="Calibri" w:cs="Calibri"/>
          <w:sz w:val="22"/>
          <w:szCs w:val="22"/>
        </w:rPr>
        <w:t xml:space="preserve"> different in most of the estimations, with the exception of</w:t>
      </w:r>
      <w:r>
        <w:rPr>
          <w:rFonts w:ascii="Calibri" w:hAnsi="Calibri" w:cs="Calibri"/>
          <w:sz w:val="22"/>
          <w:szCs w:val="22"/>
        </w:rPr>
        <w:t xml:space="preserve"> Model 2 in Panel A and Panel C.</w:t>
      </w:r>
      <w:r w:rsidRPr="0000217F">
        <w:rPr>
          <w:rFonts w:ascii="Calibri" w:hAnsi="Calibri" w:cs="Calibri"/>
          <w:sz w:val="22"/>
          <w:szCs w:val="22"/>
        </w:rPr>
        <w:t xml:space="preserve"> It is possible that some of the observed differences might also be due unintentional loss of observations because of missing data, especially in relation to Models 2 and 3 which already use restricted number of observ</w:t>
      </w:r>
      <w:r>
        <w:rPr>
          <w:rFonts w:ascii="Calibri" w:hAnsi="Calibri" w:cs="Calibri"/>
          <w:sz w:val="22"/>
          <w:szCs w:val="22"/>
        </w:rPr>
        <w:t>ations conditional</w:t>
      </w:r>
      <w:r w:rsidRPr="002C6B83">
        <w:rPr>
          <w:rFonts w:ascii="Calibri" w:hAnsi="Calibri" w:cs="Calibri"/>
          <w:sz w:val="22"/>
          <w:szCs w:val="22"/>
        </w:rPr>
        <w:t>, respectively</w:t>
      </w:r>
      <w:r>
        <w:rPr>
          <w:rFonts w:ascii="Calibri" w:hAnsi="Calibri" w:cs="Calibri"/>
          <w:sz w:val="22"/>
          <w:szCs w:val="22"/>
        </w:rPr>
        <w:t>, upon application</w:t>
      </w:r>
      <w:r w:rsidRPr="0000217F">
        <w:rPr>
          <w:rFonts w:ascii="Calibri" w:hAnsi="Calibri" w:cs="Calibri"/>
          <w:sz w:val="22"/>
          <w:szCs w:val="22"/>
        </w:rPr>
        <w:t xml:space="preserve"> for credit</w:t>
      </w:r>
      <w:r>
        <w:rPr>
          <w:rFonts w:ascii="Calibri" w:hAnsi="Calibri" w:cs="Calibri"/>
          <w:sz w:val="22"/>
          <w:szCs w:val="22"/>
        </w:rPr>
        <w:t>,</w:t>
      </w:r>
      <w:r w:rsidRPr="0000217F">
        <w:rPr>
          <w:rFonts w:ascii="Calibri" w:hAnsi="Calibri" w:cs="Calibri"/>
          <w:sz w:val="22"/>
          <w:szCs w:val="22"/>
        </w:rPr>
        <w:t xml:space="preserve"> and expressing </w:t>
      </w:r>
      <w:r>
        <w:rPr>
          <w:rFonts w:ascii="Calibri" w:hAnsi="Calibri" w:cs="Calibri"/>
          <w:sz w:val="22"/>
          <w:szCs w:val="22"/>
        </w:rPr>
        <w:t>the</w:t>
      </w:r>
      <w:r w:rsidRPr="0000217F">
        <w:rPr>
          <w:rFonts w:ascii="Calibri" w:hAnsi="Calibri" w:cs="Calibri"/>
          <w:sz w:val="22"/>
          <w:szCs w:val="22"/>
        </w:rPr>
        <w:t xml:space="preserve"> need for </w:t>
      </w:r>
      <w:r>
        <w:rPr>
          <w:rFonts w:ascii="Calibri" w:hAnsi="Calibri" w:cs="Calibri"/>
          <w:sz w:val="22"/>
          <w:szCs w:val="22"/>
        </w:rPr>
        <w:t>credit</w:t>
      </w:r>
      <w:r w:rsidRPr="0000217F">
        <w:rPr>
          <w:rFonts w:ascii="Calibri" w:hAnsi="Calibri" w:cs="Calibri"/>
          <w:sz w:val="22"/>
          <w:szCs w:val="22"/>
        </w:rPr>
        <w:t xml:space="preserve">. In general, parameter estimates of the sub-samples for larger, </w:t>
      </w:r>
      <w:r>
        <w:rPr>
          <w:rFonts w:ascii="Calibri" w:hAnsi="Calibri" w:cs="Calibri"/>
          <w:sz w:val="22"/>
          <w:szCs w:val="22"/>
        </w:rPr>
        <w:t>longer-</w:t>
      </w:r>
      <w:r w:rsidRPr="0000217F">
        <w:rPr>
          <w:rFonts w:ascii="Calibri" w:hAnsi="Calibri" w:cs="Calibri"/>
          <w:sz w:val="22"/>
          <w:szCs w:val="22"/>
        </w:rPr>
        <w:t xml:space="preserve">established, and wealthier enterprises appear to be </w:t>
      </w:r>
      <w:r>
        <w:rPr>
          <w:rFonts w:ascii="Calibri" w:hAnsi="Calibri" w:cs="Calibri"/>
          <w:sz w:val="22"/>
          <w:szCs w:val="22"/>
        </w:rPr>
        <w:t>greater</w:t>
      </w:r>
      <w:r w:rsidRPr="0000217F">
        <w:rPr>
          <w:rFonts w:ascii="Calibri" w:hAnsi="Calibri" w:cs="Calibri"/>
          <w:sz w:val="22"/>
          <w:szCs w:val="22"/>
        </w:rPr>
        <w:t>.</w:t>
      </w:r>
    </w:p>
    <w:p w:rsidR="00AA788D" w:rsidRPr="009865E5" w:rsidRDefault="00AA788D" w:rsidP="00257008">
      <w:pPr>
        <w:pStyle w:val="BodyText"/>
        <w:spacing w:line="480" w:lineRule="auto"/>
        <w:ind w:firstLine="357"/>
        <w:rPr>
          <w:rFonts w:ascii="Calibri" w:hAnsi="Calibri" w:cs="Calibri"/>
          <w:b/>
          <w:sz w:val="22"/>
          <w:szCs w:val="22"/>
        </w:rPr>
      </w:pPr>
      <w:r>
        <w:rPr>
          <w:rFonts w:ascii="Calibri" w:hAnsi="Calibri" w:cs="Calibri"/>
          <w:b/>
          <w:sz w:val="22"/>
          <w:szCs w:val="22"/>
        </w:rPr>
        <w:t>&lt;Table A4.2&gt;</w:t>
      </w:r>
    </w:p>
    <w:p w:rsidR="00AA788D" w:rsidRDefault="00AA788D" w:rsidP="00257008">
      <w:pPr>
        <w:pStyle w:val="BodyText"/>
        <w:spacing w:line="480" w:lineRule="auto"/>
        <w:rPr>
          <w:rFonts w:ascii="Calibri" w:hAnsi="Calibri" w:cs="Calibri"/>
          <w:b/>
          <w:sz w:val="22"/>
          <w:szCs w:val="22"/>
        </w:rPr>
      </w:pPr>
    </w:p>
    <w:p w:rsidR="00AA788D" w:rsidRDefault="00AA788D" w:rsidP="00257008">
      <w:pPr>
        <w:pStyle w:val="BodyText"/>
        <w:spacing w:line="480" w:lineRule="auto"/>
        <w:rPr>
          <w:rFonts w:ascii="Calibri" w:hAnsi="Calibri" w:cs="Calibri"/>
          <w:b/>
        </w:rPr>
      </w:pPr>
      <w:r w:rsidRPr="0066091E">
        <w:rPr>
          <w:rFonts w:ascii="Calibri" w:hAnsi="Calibri" w:cs="Calibri"/>
          <w:b/>
          <w:sz w:val="22"/>
          <w:szCs w:val="22"/>
        </w:rPr>
        <w:t xml:space="preserve">Appendix </w:t>
      </w:r>
      <w:r>
        <w:rPr>
          <w:rFonts w:ascii="Calibri" w:hAnsi="Calibri" w:cs="Calibri"/>
          <w:b/>
          <w:sz w:val="22"/>
          <w:szCs w:val="22"/>
        </w:rPr>
        <w:t>5</w:t>
      </w:r>
    </w:p>
    <w:p w:rsidR="00AA788D" w:rsidRDefault="00AA788D" w:rsidP="00257008">
      <w:pPr>
        <w:pStyle w:val="BodyText"/>
        <w:spacing w:line="480" w:lineRule="auto"/>
        <w:rPr>
          <w:rFonts w:ascii="Calibri" w:hAnsi="Calibri" w:cs="Calibri"/>
          <w:b/>
        </w:rPr>
      </w:pPr>
      <w:r>
        <w:rPr>
          <w:rFonts w:ascii="Calibri" w:hAnsi="Calibri" w:cs="Calibri"/>
          <w:b/>
          <w:sz w:val="22"/>
          <w:szCs w:val="22"/>
        </w:rPr>
        <w:t xml:space="preserve">Sensitivity of Marginal Effects of Main Target Variables </w:t>
      </w:r>
    </w:p>
    <w:p w:rsidR="00AA788D" w:rsidRDefault="00AA788D" w:rsidP="00257008">
      <w:pPr>
        <w:pStyle w:val="BodyText"/>
        <w:spacing w:line="480" w:lineRule="auto"/>
        <w:ind w:firstLine="357"/>
        <w:rPr>
          <w:rFonts w:ascii="Calibri" w:hAnsi="Calibri" w:cs="Calibri"/>
        </w:rPr>
      </w:pPr>
      <w:r w:rsidRPr="00D035D8">
        <w:rPr>
          <w:rFonts w:ascii="Calibri" w:hAnsi="Calibri" w:cs="Calibri"/>
          <w:sz w:val="22"/>
          <w:szCs w:val="22"/>
        </w:rPr>
        <w:t xml:space="preserve">Table </w:t>
      </w:r>
      <w:r>
        <w:rPr>
          <w:rFonts w:ascii="Calibri" w:hAnsi="Calibri" w:cs="Calibri"/>
          <w:sz w:val="22"/>
          <w:szCs w:val="22"/>
        </w:rPr>
        <w:t>A5.</w:t>
      </w:r>
      <w:r w:rsidRPr="00D035D8">
        <w:rPr>
          <w:rFonts w:ascii="Calibri" w:hAnsi="Calibri" w:cs="Calibri"/>
          <w:sz w:val="22"/>
          <w:szCs w:val="22"/>
        </w:rPr>
        <w:t xml:space="preserve">1 presents marginal effects of our two key target variables, </w:t>
      </w:r>
      <w:proofErr w:type="spellStart"/>
      <w:r w:rsidRPr="00D035D8">
        <w:rPr>
          <w:rFonts w:ascii="Calibri" w:hAnsi="Calibri" w:cs="Calibri"/>
          <w:i/>
          <w:sz w:val="22"/>
          <w:szCs w:val="22"/>
        </w:rPr>
        <w:t>gov_connect</w:t>
      </w:r>
      <w:proofErr w:type="spellEnd"/>
      <w:r w:rsidRPr="00D035D8">
        <w:rPr>
          <w:rFonts w:ascii="Calibri" w:hAnsi="Calibri" w:cs="Calibri"/>
          <w:sz w:val="22"/>
          <w:szCs w:val="22"/>
        </w:rPr>
        <w:t xml:space="preserve"> and </w:t>
      </w:r>
      <w:proofErr w:type="spellStart"/>
      <w:r w:rsidRPr="00D035D8">
        <w:rPr>
          <w:rFonts w:ascii="Calibri" w:hAnsi="Calibri" w:cs="Calibri"/>
          <w:i/>
          <w:sz w:val="22"/>
          <w:szCs w:val="22"/>
        </w:rPr>
        <w:t>bzinbrpl</w:t>
      </w:r>
      <w:proofErr w:type="spellEnd"/>
      <w:r>
        <w:rPr>
          <w:rFonts w:ascii="Calibri" w:hAnsi="Calibri" w:cs="Calibri"/>
          <w:sz w:val="22"/>
          <w:szCs w:val="22"/>
        </w:rPr>
        <w:t xml:space="preserve">, </w:t>
      </w:r>
      <w:r w:rsidRPr="00D035D8">
        <w:rPr>
          <w:rFonts w:ascii="Calibri" w:hAnsi="Calibri" w:cs="Calibri"/>
          <w:sz w:val="22"/>
          <w:szCs w:val="22"/>
        </w:rPr>
        <w:t xml:space="preserve">using Marginal Effects at Means (MEMs) and Average Marginal Effects (AMEs) methods. Given relative consistency of </w:t>
      </w:r>
      <w:r>
        <w:rPr>
          <w:rFonts w:ascii="Calibri" w:hAnsi="Calibri" w:cs="Calibri"/>
          <w:sz w:val="22"/>
          <w:szCs w:val="22"/>
        </w:rPr>
        <w:t xml:space="preserve">our </w:t>
      </w:r>
      <w:r w:rsidRPr="00D035D8">
        <w:rPr>
          <w:rFonts w:ascii="Calibri" w:hAnsi="Calibri" w:cs="Calibri"/>
          <w:sz w:val="22"/>
          <w:szCs w:val="22"/>
        </w:rPr>
        <w:t xml:space="preserve">results across various models, the model we choose here is the </w:t>
      </w:r>
      <w:r w:rsidRPr="00D035D8">
        <w:rPr>
          <w:rFonts w:ascii="Calibri" w:hAnsi="Calibri" w:cs="Calibri"/>
          <w:sz w:val="22"/>
          <w:szCs w:val="22"/>
        </w:rPr>
        <w:lastRenderedPageBreak/>
        <w:t>probability of holding formal credit conditional upon expressing  need for external finance</w:t>
      </w:r>
      <w:r>
        <w:rPr>
          <w:rFonts w:ascii="Calibri" w:hAnsi="Calibri" w:cs="Calibri"/>
          <w:sz w:val="22"/>
          <w:szCs w:val="22"/>
        </w:rPr>
        <w:t xml:space="preserve"> (Model 3)</w:t>
      </w:r>
      <w:r w:rsidRPr="00D035D8">
        <w:rPr>
          <w:rFonts w:ascii="Calibri" w:hAnsi="Calibri" w:cs="Calibri"/>
          <w:sz w:val="22"/>
          <w:szCs w:val="22"/>
        </w:rPr>
        <w:t>. Using the MEMs method, the results show that for an "average" SME with government connections, the probability of obtaining formal credit is 18% higher than that for a similar SME with no government connections. And, for an "average" SME that operates at its owner</w:t>
      </w:r>
      <w:r>
        <w:rPr>
          <w:rFonts w:ascii="Calibri" w:hAnsi="Calibri" w:cs="Calibri"/>
          <w:sz w:val="22"/>
          <w:szCs w:val="22"/>
        </w:rPr>
        <w:t>'</w:t>
      </w:r>
      <w:r w:rsidRPr="00D035D8">
        <w:rPr>
          <w:rFonts w:ascii="Calibri" w:hAnsi="Calibri" w:cs="Calibri"/>
          <w:sz w:val="22"/>
          <w:szCs w:val="22"/>
        </w:rPr>
        <w:t xml:space="preserve">s birthplace, the probability of obtaining formal credit </w:t>
      </w:r>
      <w:r>
        <w:rPr>
          <w:rFonts w:ascii="Calibri" w:hAnsi="Calibri" w:cs="Calibri"/>
          <w:sz w:val="22"/>
          <w:szCs w:val="22"/>
        </w:rPr>
        <w:t>is</w:t>
      </w:r>
      <w:r w:rsidRPr="00D035D8">
        <w:rPr>
          <w:rFonts w:ascii="Calibri" w:hAnsi="Calibri" w:cs="Calibri"/>
          <w:sz w:val="22"/>
          <w:szCs w:val="22"/>
        </w:rPr>
        <w:t xml:space="preserve"> 21% higher. But</w:t>
      </w:r>
      <w:r>
        <w:rPr>
          <w:rFonts w:ascii="Calibri" w:hAnsi="Calibri" w:cs="Calibri"/>
          <w:sz w:val="22"/>
          <w:szCs w:val="22"/>
        </w:rPr>
        <w:t>,</w:t>
      </w:r>
      <w:r w:rsidRPr="00D035D8">
        <w:rPr>
          <w:rFonts w:ascii="Calibri" w:hAnsi="Calibri" w:cs="Calibri"/>
          <w:sz w:val="22"/>
          <w:szCs w:val="22"/>
        </w:rPr>
        <w:t xml:space="preserve"> the drawback of the MEMs approach is that while there </w:t>
      </w:r>
      <w:r w:rsidRPr="00D035D8">
        <w:rPr>
          <w:rFonts w:ascii="Calibri" w:hAnsi="Calibri" w:cs="Calibri"/>
          <w:i/>
          <w:sz w:val="22"/>
          <w:szCs w:val="22"/>
        </w:rPr>
        <w:t>can</w:t>
      </w:r>
      <w:r w:rsidRPr="00D035D8">
        <w:rPr>
          <w:rFonts w:ascii="Calibri" w:hAnsi="Calibri" w:cs="Calibri"/>
          <w:sz w:val="22"/>
          <w:szCs w:val="22"/>
        </w:rPr>
        <w:t xml:space="preserve"> be an SME surviving in business </w:t>
      </w:r>
      <w:r>
        <w:rPr>
          <w:rFonts w:ascii="Calibri" w:hAnsi="Calibri" w:cs="Calibri"/>
          <w:sz w:val="22"/>
          <w:szCs w:val="22"/>
        </w:rPr>
        <w:t>for 7.86 years, and whose owner</w:t>
      </w:r>
      <w:r w:rsidRPr="00D035D8">
        <w:rPr>
          <w:rFonts w:ascii="Calibri" w:hAnsi="Calibri" w:cs="Calibri"/>
          <w:sz w:val="22"/>
          <w:szCs w:val="22"/>
        </w:rPr>
        <w:t xml:space="preserve"> is 42.09 years old, </w:t>
      </w:r>
      <w:r>
        <w:rPr>
          <w:rFonts w:ascii="Calibri" w:hAnsi="Calibri" w:cs="Calibri"/>
          <w:sz w:val="22"/>
          <w:szCs w:val="22"/>
        </w:rPr>
        <w:t xml:space="preserve">there can be </w:t>
      </w:r>
      <w:r w:rsidRPr="00D035D8">
        <w:rPr>
          <w:rFonts w:ascii="Calibri" w:hAnsi="Calibri" w:cs="Calibri"/>
          <w:sz w:val="22"/>
          <w:szCs w:val="22"/>
        </w:rPr>
        <w:t xml:space="preserve">no SME </w:t>
      </w:r>
      <w:r>
        <w:rPr>
          <w:rFonts w:ascii="Calibri" w:hAnsi="Calibri" w:cs="Calibri"/>
          <w:sz w:val="22"/>
          <w:szCs w:val="22"/>
        </w:rPr>
        <w:t xml:space="preserve">with </w:t>
      </w:r>
      <w:proofErr w:type="spellStart"/>
      <w:r>
        <w:rPr>
          <w:rFonts w:ascii="Calibri" w:hAnsi="Calibri" w:cs="Calibri"/>
          <w:i/>
          <w:sz w:val="22"/>
          <w:szCs w:val="22"/>
        </w:rPr>
        <w:t>gov_connect</w:t>
      </w:r>
      <w:proofErr w:type="spellEnd"/>
      <w:r>
        <w:rPr>
          <w:rFonts w:ascii="Calibri" w:hAnsi="Calibri" w:cs="Calibri"/>
          <w:i/>
          <w:sz w:val="22"/>
          <w:szCs w:val="22"/>
        </w:rPr>
        <w:t xml:space="preserve"> </w:t>
      </w:r>
      <w:r>
        <w:rPr>
          <w:rFonts w:ascii="Calibri" w:hAnsi="Calibri" w:cs="Calibri"/>
          <w:sz w:val="22"/>
          <w:szCs w:val="22"/>
        </w:rPr>
        <w:t xml:space="preserve">at </w:t>
      </w:r>
      <w:r w:rsidRPr="00D035D8">
        <w:rPr>
          <w:rFonts w:ascii="Calibri" w:hAnsi="Calibri" w:cs="Calibri"/>
          <w:sz w:val="22"/>
          <w:szCs w:val="22"/>
        </w:rPr>
        <w:t xml:space="preserve">0.25 (figures are the mean values of these variables respectively). This issue can be dealt with by using the AMEs approach which uses the actual observed values for the dummy variables </w:t>
      </w:r>
      <w:r>
        <w:rPr>
          <w:rFonts w:ascii="Calibri" w:hAnsi="Calibri" w:cs="Calibri"/>
          <w:sz w:val="22"/>
          <w:szCs w:val="22"/>
        </w:rPr>
        <w:t xml:space="preserve">for the entire sample </w:t>
      </w:r>
      <w:r w:rsidRPr="00D035D8">
        <w:rPr>
          <w:rFonts w:ascii="Calibri" w:hAnsi="Calibri" w:cs="Calibri"/>
          <w:sz w:val="22"/>
          <w:szCs w:val="22"/>
        </w:rPr>
        <w:t>when computing a predicted probability for each observation, and then averages the predicted values. The method in eﬀect compares two hypothetical populations which have the same values on the other independent variables in the model (Williams, 2012, p.323).</w:t>
      </w:r>
      <w:r>
        <w:rPr>
          <w:rFonts w:ascii="Calibri" w:hAnsi="Calibri" w:cs="Calibri"/>
          <w:sz w:val="22"/>
          <w:szCs w:val="22"/>
        </w:rPr>
        <w:t xml:space="preserve"> A</w:t>
      </w:r>
      <w:r w:rsidRPr="00D035D8">
        <w:rPr>
          <w:rFonts w:ascii="Calibri" w:hAnsi="Calibri" w:cs="Calibri"/>
          <w:sz w:val="22"/>
          <w:szCs w:val="22"/>
        </w:rPr>
        <w:t xml:space="preserve">s can be seen from </w:t>
      </w:r>
      <w:r>
        <w:rPr>
          <w:rFonts w:ascii="Calibri" w:hAnsi="Calibri" w:cs="Calibri"/>
          <w:sz w:val="22"/>
          <w:szCs w:val="22"/>
        </w:rPr>
        <w:t xml:space="preserve">the fourth column of </w:t>
      </w:r>
      <w:r w:rsidRPr="00D035D8">
        <w:rPr>
          <w:rFonts w:ascii="Calibri" w:hAnsi="Calibri" w:cs="Calibri"/>
          <w:sz w:val="22"/>
          <w:szCs w:val="22"/>
        </w:rPr>
        <w:t xml:space="preserve">Table </w:t>
      </w:r>
      <w:r>
        <w:rPr>
          <w:rFonts w:ascii="Calibri" w:hAnsi="Calibri" w:cs="Calibri"/>
          <w:sz w:val="22"/>
          <w:szCs w:val="22"/>
        </w:rPr>
        <w:t>A5.1</w:t>
      </w:r>
      <w:r w:rsidRPr="00D035D8">
        <w:rPr>
          <w:rFonts w:ascii="Calibri" w:hAnsi="Calibri" w:cs="Calibri"/>
          <w:sz w:val="22"/>
          <w:szCs w:val="22"/>
        </w:rPr>
        <w:t>, the AME methods produces results which are only marginally different from those reported using the MEM approach</w:t>
      </w:r>
      <w:r>
        <w:rPr>
          <w:rFonts w:ascii="Calibri" w:hAnsi="Calibri" w:cs="Calibri"/>
          <w:sz w:val="22"/>
          <w:szCs w:val="22"/>
        </w:rPr>
        <w:t xml:space="preserve"> in the second column of Table A5.1</w:t>
      </w:r>
      <w:r w:rsidRPr="00D035D8">
        <w:rPr>
          <w:rFonts w:ascii="Calibri" w:hAnsi="Calibri" w:cs="Calibri"/>
          <w:sz w:val="22"/>
          <w:szCs w:val="22"/>
        </w:rPr>
        <w:t xml:space="preserve">. </w:t>
      </w:r>
    </w:p>
    <w:p w:rsidR="00AA788D" w:rsidRPr="00D035D8" w:rsidRDefault="00AA788D" w:rsidP="00257008">
      <w:pPr>
        <w:pStyle w:val="BodyText"/>
        <w:spacing w:line="480" w:lineRule="auto"/>
        <w:ind w:firstLine="357"/>
        <w:rPr>
          <w:rFonts w:ascii="Calibri" w:hAnsi="Calibri" w:cs="Calibri"/>
          <w:b/>
        </w:rPr>
      </w:pPr>
      <w:r>
        <w:rPr>
          <w:rFonts w:ascii="Calibri" w:hAnsi="Calibri" w:cs="Calibri"/>
          <w:b/>
          <w:sz w:val="22"/>
          <w:szCs w:val="22"/>
        </w:rPr>
        <w:t>&lt;Table A5.1&gt;</w:t>
      </w:r>
    </w:p>
    <w:p w:rsidR="00AA788D" w:rsidRDefault="00AA788D" w:rsidP="00257008">
      <w:pPr>
        <w:pStyle w:val="BodyText"/>
        <w:spacing w:line="480" w:lineRule="auto"/>
        <w:ind w:firstLine="357"/>
        <w:rPr>
          <w:rFonts w:ascii="Calibri" w:hAnsi="Calibri" w:cs="Calibri"/>
        </w:rPr>
      </w:pPr>
      <w:r w:rsidRPr="00D035D8">
        <w:rPr>
          <w:rFonts w:ascii="Calibri" w:hAnsi="Calibri" w:cs="Calibri"/>
          <w:sz w:val="22"/>
          <w:szCs w:val="22"/>
        </w:rPr>
        <w:t xml:space="preserve">But, since all the data, not just the means, are used in the calculation of marginal effects, even the AMEs is not free from criticism (Cameron and </w:t>
      </w:r>
      <w:proofErr w:type="spellStart"/>
      <w:r w:rsidRPr="00D035D8">
        <w:rPr>
          <w:rFonts w:ascii="Calibri" w:hAnsi="Calibri" w:cs="Calibri"/>
          <w:sz w:val="22"/>
          <w:szCs w:val="22"/>
        </w:rPr>
        <w:t>Trivedi</w:t>
      </w:r>
      <w:proofErr w:type="spellEnd"/>
      <w:r w:rsidRPr="00D035D8">
        <w:rPr>
          <w:rFonts w:ascii="Calibri" w:hAnsi="Calibri" w:cs="Calibri"/>
          <w:sz w:val="22"/>
          <w:szCs w:val="22"/>
        </w:rPr>
        <w:t xml:space="preserve">, 2010). So, to complement the shortcomings of the MEMs and AMEs methods, we also check the sensitivity of our main results using representative values of two key covariates, i.e. </w:t>
      </w:r>
      <w:proofErr w:type="spellStart"/>
      <w:r w:rsidRPr="00D035D8">
        <w:rPr>
          <w:rFonts w:ascii="Calibri" w:hAnsi="Calibri" w:cs="Calibri"/>
          <w:i/>
          <w:sz w:val="22"/>
          <w:szCs w:val="22"/>
        </w:rPr>
        <w:t>lnsales</w:t>
      </w:r>
      <w:proofErr w:type="spellEnd"/>
      <w:r>
        <w:rPr>
          <w:rFonts w:ascii="Calibri" w:hAnsi="Calibri" w:cs="Calibri"/>
          <w:sz w:val="22"/>
          <w:szCs w:val="22"/>
        </w:rPr>
        <w:t xml:space="preserve"> (proxy for SME size) </w:t>
      </w:r>
      <w:r w:rsidRPr="00D035D8">
        <w:rPr>
          <w:rFonts w:ascii="Calibri" w:hAnsi="Calibri" w:cs="Calibri"/>
          <w:sz w:val="22"/>
          <w:szCs w:val="22"/>
        </w:rPr>
        <w:t xml:space="preserve">and </w:t>
      </w:r>
      <w:r w:rsidRPr="00D035D8">
        <w:rPr>
          <w:rFonts w:ascii="Calibri" w:hAnsi="Calibri" w:cs="Calibri"/>
          <w:i/>
          <w:sz w:val="22"/>
          <w:szCs w:val="22"/>
        </w:rPr>
        <w:t>cash1</w:t>
      </w:r>
      <w:r w:rsidRPr="00D035D8">
        <w:rPr>
          <w:rFonts w:ascii="Calibri" w:hAnsi="Calibri" w:cs="Calibri"/>
          <w:sz w:val="22"/>
          <w:szCs w:val="22"/>
        </w:rPr>
        <w:t xml:space="preserve"> (proxy for cash/payment system problems). The</w:t>
      </w:r>
      <w:r>
        <w:rPr>
          <w:rFonts w:ascii="Calibri" w:hAnsi="Calibri" w:cs="Calibri"/>
          <w:sz w:val="22"/>
          <w:szCs w:val="22"/>
        </w:rPr>
        <w:t>se</w:t>
      </w:r>
      <w:r w:rsidRPr="00D035D8">
        <w:rPr>
          <w:rFonts w:ascii="Calibri" w:hAnsi="Calibri" w:cs="Calibri"/>
          <w:sz w:val="22"/>
          <w:szCs w:val="22"/>
        </w:rPr>
        <w:t xml:space="preserve"> results are reported in Tables </w:t>
      </w:r>
      <w:r>
        <w:rPr>
          <w:rFonts w:ascii="Calibri" w:hAnsi="Calibri" w:cs="Calibri"/>
          <w:sz w:val="22"/>
          <w:szCs w:val="22"/>
        </w:rPr>
        <w:t>A5.2</w:t>
      </w:r>
      <w:r w:rsidRPr="00D035D8">
        <w:rPr>
          <w:rFonts w:ascii="Calibri" w:hAnsi="Calibri" w:cs="Calibri"/>
          <w:sz w:val="22"/>
          <w:szCs w:val="22"/>
        </w:rPr>
        <w:t xml:space="preserve"> and </w:t>
      </w:r>
      <w:r>
        <w:rPr>
          <w:rFonts w:ascii="Calibri" w:hAnsi="Calibri" w:cs="Calibri"/>
          <w:sz w:val="22"/>
          <w:szCs w:val="22"/>
        </w:rPr>
        <w:t>A5.3</w:t>
      </w:r>
      <w:r w:rsidRPr="00D035D8">
        <w:rPr>
          <w:rFonts w:ascii="Calibri" w:hAnsi="Calibri" w:cs="Calibri"/>
          <w:sz w:val="22"/>
          <w:szCs w:val="22"/>
        </w:rPr>
        <w:t xml:space="preserve">. The results </w:t>
      </w:r>
      <w:r>
        <w:rPr>
          <w:rFonts w:ascii="Calibri" w:hAnsi="Calibri" w:cs="Calibri"/>
          <w:sz w:val="22"/>
          <w:szCs w:val="22"/>
        </w:rPr>
        <w:t>from</w:t>
      </w:r>
      <w:r w:rsidRPr="00D035D8">
        <w:rPr>
          <w:rFonts w:ascii="Calibri" w:hAnsi="Calibri" w:cs="Calibri"/>
          <w:sz w:val="22"/>
          <w:szCs w:val="22"/>
        </w:rPr>
        <w:t xml:space="preserve"> Table </w:t>
      </w:r>
      <w:r>
        <w:rPr>
          <w:rFonts w:ascii="Calibri" w:hAnsi="Calibri" w:cs="Calibri"/>
          <w:sz w:val="22"/>
          <w:szCs w:val="22"/>
        </w:rPr>
        <w:t>A5.2</w:t>
      </w:r>
      <w:r w:rsidRPr="00D035D8">
        <w:rPr>
          <w:rFonts w:ascii="Calibri" w:hAnsi="Calibri" w:cs="Calibri"/>
          <w:sz w:val="22"/>
          <w:szCs w:val="22"/>
        </w:rPr>
        <w:t xml:space="preserve"> indicate how</w:t>
      </w:r>
      <w:r>
        <w:rPr>
          <w:rFonts w:ascii="Calibri" w:hAnsi="Calibri" w:cs="Calibri"/>
          <w:sz w:val="22"/>
          <w:szCs w:val="22"/>
        </w:rPr>
        <w:t xml:space="preserve"> much</w:t>
      </w:r>
      <w:r w:rsidRPr="00D035D8">
        <w:rPr>
          <w:rFonts w:ascii="Calibri" w:hAnsi="Calibri" w:cs="Calibri"/>
          <w:sz w:val="22"/>
          <w:szCs w:val="22"/>
        </w:rPr>
        <w:t xml:space="preserve"> the marginal impact of </w:t>
      </w:r>
      <w:r w:rsidRPr="00D035D8">
        <w:rPr>
          <w:rFonts w:ascii="Calibri" w:hAnsi="Calibri" w:cs="Calibri"/>
          <w:i/>
          <w:sz w:val="22"/>
          <w:szCs w:val="22"/>
        </w:rPr>
        <w:softHyphen/>
      </w:r>
      <w:proofErr w:type="spellStart"/>
      <w:r w:rsidRPr="00D035D8">
        <w:rPr>
          <w:rFonts w:ascii="Calibri" w:hAnsi="Calibri" w:cs="Calibri"/>
          <w:i/>
          <w:sz w:val="22"/>
          <w:szCs w:val="22"/>
        </w:rPr>
        <w:t>gov_connect</w:t>
      </w:r>
      <w:proofErr w:type="spellEnd"/>
      <w:r w:rsidRPr="00D035D8">
        <w:rPr>
          <w:rFonts w:ascii="Calibri" w:hAnsi="Calibri" w:cs="Calibri"/>
          <w:sz w:val="22"/>
          <w:szCs w:val="22"/>
        </w:rPr>
        <w:t xml:space="preserve"> and </w:t>
      </w:r>
      <w:proofErr w:type="spellStart"/>
      <w:r w:rsidRPr="00D035D8">
        <w:rPr>
          <w:rFonts w:ascii="Calibri" w:hAnsi="Calibri" w:cs="Calibri"/>
          <w:i/>
          <w:sz w:val="22"/>
          <w:szCs w:val="22"/>
        </w:rPr>
        <w:t>bzinplbr</w:t>
      </w:r>
      <w:proofErr w:type="spellEnd"/>
      <w:r w:rsidRPr="00D035D8">
        <w:rPr>
          <w:rFonts w:ascii="Calibri" w:hAnsi="Calibri" w:cs="Calibri"/>
          <w:sz w:val="22"/>
          <w:szCs w:val="22"/>
        </w:rPr>
        <w:t xml:space="preserve"> on holding formal credit </w:t>
      </w:r>
      <w:r>
        <w:rPr>
          <w:rFonts w:ascii="Calibri" w:hAnsi="Calibri" w:cs="Calibri"/>
          <w:sz w:val="22"/>
          <w:szCs w:val="22"/>
        </w:rPr>
        <w:t xml:space="preserve">changes </w:t>
      </w:r>
      <w:r w:rsidRPr="00D035D8">
        <w:rPr>
          <w:rFonts w:ascii="Calibri" w:hAnsi="Calibri" w:cs="Calibri"/>
          <w:sz w:val="22"/>
          <w:szCs w:val="22"/>
        </w:rPr>
        <w:t xml:space="preserve">when the values of </w:t>
      </w:r>
      <w:proofErr w:type="spellStart"/>
      <w:r w:rsidRPr="00D035D8">
        <w:rPr>
          <w:rFonts w:ascii="Calibri" w:hAnsi="Calibri" w:cs="Calibri"/>
          <w:i/>
          <w:sz w:val="22"/>
          <w:szCs w:val="22"/>
        </w:rPr>
        <w:t>lnsales</w:t>
      </w:r>
      <w:proofErr w:type="spellEnd"/>
      <w:r w:rsidRPr="00D035D8">
        <w:rPr>
          <w:rFonts w:ascii="Calibri" w:hAnsi="Calibri" w:cs="Calibri"/>
          <w:sz w:val="22"/>
          <w:szCs w:val="22"/>
        </w:rPr>
        <w:t xml:space="preserve"> </w:t>
      </w:r>
      <w:r>
        <w:rPr>
          <w:rFonts w:ascii="Calibri" w:hAnsi="Calibri" w:cs="Calibri"/>
          <w:sz w:val="22"/>
          <w:szCs w:val="22"/>
        </w:rPr>
        <w:t>move</w:t>
      </w:r>
      <w:r w:rsidRPr="00D035D8">
        <w:rPr>
          <w:rFonts w:ascii="Calibri" w:hAnsi="Calibri" w:cs="Calibri"/>
          <w:sz w:val="22"/>
          <w:szCs w:val="22"/>
        </w:rPr>
        <w:t xml:space="preserve"> one standard deviation (</w:t>
      </w:r>
      <w:proofErr w:type="spellStart"/>
      <w:r w:rsidRPr="00D035D8">
        <w:rPr>
          <w:rFonts w:ascii="Calibri" w:hAnsi="Calibri" w:cs="Calibri"/>
          <w:sz w:val="22"/>
          <w:szCs w:val="22"/>
        </w:rPr>
        <w:t>s.d</w:t>
      </w:r>
      <w:proofErr w:type="spellEnd"/>
      <w:r w:rsidRPr="00D035D8">
        <w:rPr>
          <w:rFonts w:ascii="Calibri" w:hAnsi="Calibri" w:cs="Calibri"/>
          <w:sz w:val="22"/>
          <w:szCs w:val="22"/>
        </w:rPr>
        <w:t>.) from its mean value. Results show that magnitude of marginal effects of both variables increase</w:t>
      </w:r>
      <w:r>
        <w:rPr>
          <w:rFonts w:ascii="Calibri" w:hAnsi="Calibri" w:cs="Calibri"/>
          <w:sz w:val="22"/>
          <w:szCs w:val="22"/>
        </w:rPr>
        <w:t>s</w:t>
      </w:r>
      <w:r w:rsidRPr="00D035D8">
        <w:rPr>
          <w:rFonts w:ascii="Calibri" w:hAnsi="Calibri" w:cs="Calibri"/>
          <w:sz w:val="22"/>
          <w:szCs w:val="22"/>
        </w:rPr>
        <w:t xml:space="preserve"> as the values of </w:t>
      </w:r>
      <w:proofErr w:type="spellStart"/>
      <w:r w:rsidRPr="00D035D8">
        <w:rPr>
          <w:rFonts w:ascii="Calibri" w:hAnsi="Calibri" w:cs="Calibri"/>
          <w:i/>
          <w:sz w:val="22"/>
          <w:szCs w:val="22"/>
        </w:rPr>
        <w:t>lnsales</w:t>
      </w:r>
      <w:proofErr w:type="spellEnd"/>
      <w:r w:rsidRPr="00D035D8">
        <w:rPr>
          <w:rFonts w:ascii="Calibri" w:hAnsi="Calibri" w:cs="Calibri"/>
          <w:sz w:val="22"/>
          <w:szCs w:val="22"/>
        </w:rPr>
        <w:t xml:space="preserve"> go up, confirming our earlier observation that the importance of interpersonal connections strengthens as the size of the SMEs increase</w:t>
      </w:r>
      <w:r>
        <w:rPr>
          <w:rFonts w:ascii="Calibri" w:hAnsi="Calibri" w:cs="Calibri"/>
          <w:sz w:val="22"/>
          <w:szCs w:val="22"/>
        </w:rPr>
        <w:t>s</w:t>
      </w:r>
      <w:r w:rsidRPr="00D035D8">
        <w:rPr>
          <w:rFonts w:ascii="Calibri" w:hAnsi="Calibri" w:cs="Calibri"/>
          <w:sz w:val="22"/>
          <w:szCs w:val="22"/>
        </w:rPr>
        <w:t xml:space="preserve">. In other words, interpersonal connections become increasingly important as the enterprise size </w:t>
      </w:r>
      <w:r>
        <w:rPr>
          <w:rFonts w:ascii="Calibri" w:hAnsi="Calibri" w:cs="Calibri"/>
          <w:sz w:val="22"/>
          <w:szCs w:val="22"/>
        </w:rPr>
        <w:t>gets</w:t>
      </w:r>
      <w:r w:rsidRPr="00D035D8">
        <w:rPr>
          <w:rFonts w:ascii="Calibri" w:hAnsi="Calibri" w:cs="Calibri"/>
          <w:sz w:val="22"/>
          <w:szCs w:val="22"/>
        </w:rPr>
        <w:t xml:space="preserve"> larger.</w:t>
      </w:r>
      <w:r>
        <w:rPr>
          <w:rFonts w:ascii="Calibri" w:hAnsi="Calibri" w:cs="Calibri"/>
          <w:sz w:val="22"/>
          <w:szCs w:val="22"/>
        </w:rPr>
        <w:t xml:space="preserve"> </w:t>
      </w:r>
      <w:r w:rsidRPr="00D035D8">
        <w:rPr>
          <w:rFonts w:ascii="Calibri" w:hAnsi="Calibri" w:cs="Calibri"/>
          <w:sz w:val="22"/>
          <w:szCs w:val="22"/>
        </w:rPr>
        <w:t xml:space="preserve">Table </w:t>
      </w:r>
      <w:r>
        <w:rPr>
          <w:rFonts w:ascii="Calibri" w:hAnsi="Calibri" w:cs="Calibri"/>
          <w:sz w:val="22"/>
          <w:szCs w:val="22"/>
        </w:rPr>
        <w:t>A5.3</w:t>
      </w:r>
      <w:r w:rsidRPr="00D035D8">
        <w:rPr>
          <w:rFonts w:ascii="Calibri" w:hAnsi="Calibri" w:cs="Calibri"/>
          <w:sz w:val="22"/>
          <w:szCs w:val="22"/>
        </w:rPr>
        <w:t xml:space="preserve"> adds another piece of useful </w:t>
      </w:r>
      <w:r w:rsidRPr="00D035D8">
        <w:rPr>
          <w:rFonts w:ascii="Calibri" w:hAnsi="Calibri" w:cs="Calibri"/>
          <w:sz w:val="22"/>
          <w:szCs w:val="22"/>
        </w:rPr>
        <w:lastRenderedPageBreak/>
        <w:t>information to this analysis. It shows</w:t>
      </w:r>
      <w:r>
        <w:rPr>
          <w:rFonts w:ascii="Calibri" w:hAnsi="Calibri" w:cs="Calibri"/>
          <w:sz w:val="22"/>
          <w:szCs w:val="22"/>
        </w:rPr>
        <w:t xml:space="preserve"> that</w:t>
      </w:r>
      <w:r w:rsidRPr="00D035D8">
        <w:rPr>
          <w:rFonts w:ascii="Calibri" w:hAnsi="Calibri" w:cs="Calibri"/>
          <w:sz w:val="22"/>
          <w:szCs w:val="22"/>
        </w:rPr>
        <w:t xml:space="preserve"> payment system problems (</w:t>
      </w:r>
      <w:r w:rsidRPr="00D035D8">
        <w:rPr>
          <w:rFonts w:ascii="Calibri" w:hAnsi="Calibri" w:cs="Calibri"/>
          <w:i/>
          <w:sz w:val="22"/>
          <w:szCs w:val="22"/>
        </w:rPr>
        <w:t>cash1=1</w:t>
      </w:r>
      <w:r w:rsidRPr="00D035D8">
        <w:rPr>
          <w:rFonts w:ascii="Calibri" w:hAnsi="Calibri" w:cs="Calibri"/>
          <w:sz w:val="22"/>
          <w:szCs w:val="22"/>
        </w:rPr>
        <w:t xml:space="preserve">) </w:t>
      </w:r>
      <w:r>
        <w:rPr>
          <w:rFonts w:ascii="Calibri" w:hAnsi="Calibri" w:cs="Calibri"/>
          <w:sz w:val="22"/>
          <w:szCs w:val="22"/>
        </w:rPr>
        <w:t>are less important for</w:t>
      </w:r>
      <w:r w:rsidRPr="00D035D8">
        <w:rPr>
          <w:rFonts w:ascii="Calibri" w:hAnsi="Calibri" w:cs="Calibri"/>
          <w:sz w:val="22"/>
          <w:szCs w:val="22"/>
        </w:rPr>
        <w:t xml:space="preserve"> </w:t>
      </w:r>
      <w:r>
        <w:rPr>
          <w:rFonts w:ascii="Calibri" w:hAnsi="Calibri" w:cs="Calibri"/>
          <w:sz w:val="22"/>
          <w:szCs w:val="22"/>
        </w:rPr>
        <w:t>larger SMEs</w:t>
      </w:r>
      <w:r w:rsidRPr="00D035D8">
        <w:rPr>
          <w:rFonts w:ascii="Calibri" w:hAnsi="Calibri" w:cs="Calibri"/>
          <w:sz w:val="22"/>
          <w:szCs w:val="22"/>
        </w:rPr>
        <w:t xml:space="preserve">. For example, </w:t>
      </w:r>
      <w:r>
        <w:rPr>
          <w:rFonts w:ascii="Calibri" w:hAnsi="Calibri" w:cs="Calibri"/>
          <w:sz w:val="22"/>
          <w:szCs w:val="22"/>
        </w:rPr>
        <w:t xml:space="preserve">as can be seen from Column 6 </w:t>
      </w:r>
      <w:r w:rsidRPr="00D035D8">
        <w:rPr>
          <w:rFonts w:ascii="Calibri" w:hAnsi="Calibri" w:cs="Calibri"/>
          <w:sz w:val="22"/>
          <w:szCs w:val="22"/>
        </w:rPr>
        <w:t xml:space="preserve">in Panel I of Table </w:t>
      </w:r>
      <w:r>
        <w:rPr>
          <w:rFonts w:ascii="Calibri" w:hAnsi="Calibri" w:cs="Calibri"/>
          <w:sz w:val="22"/>
          <w:szCs w:val="22"/>
        </w:rPr>
        <w:t>A5.3</w:t>
      </w:r>
      <w:r w:rsidRPr="00D035D8">
        <w:rPr>
          <w:rFonts w:ascii="Calibri" w:hAnsi="Calibri" w:cs="Calibri"/>
          <w:sz w:val="22"/>
          <w:szCs w:val="22"/>
        </w:rPr>
        <w:t xml:space="preserve">, if an SME with government connections that is minus </w:t>
      </w:r>
      <w:r>
        <w:rPr>
          <w:rFonts w:ascii="Calibri" w:hAnsi="Calibri" w:cs="Calibri"/>
          <w:sz w:val="22"/>
          <w:szCs w:val="22"/>
        </w:rPr>
        <w:t>1</w:t>
      </w:r>
      <w:r w:rsidRPr="00D035D8">
        <w:rPr>
          <w:rFonts w:ascii="Calibri" w:hAnsi="Calibri" w:cs="Calibri"/>
          <w:sz w:val="22"/>
          <w:szCs w:val="22"/>
        </w:rPr>
        <w:t xml:space="preserve"> </w:t>
      </w:r>
      <w:proofErr w:type="spellStart"/>
      <w:r w:rsidRPr="00D035D8">
        <w:rPr>
          <w:rFonts w:ascii="Calibri" w:hAnsi="Calibri" w:cs="Calibri"/>
          <w:sz w:val="22"/>
          <w:szCs w:val="22"/>
        </w:rPr>
        <w:t>s.d</w:t>
      </w:r>
      <w:proofErr w:type="spellEnd"/>
      <w:r w:rsidRPr="00D035D8">
        <w:rPr>
          <w:rFonts w:ascii="Calibri" w:hAnsi="Calibri" w:cs="Calibri"/>
          <w:sz w:val="22"/>
          <w:szCs w:val="22"/>
        </w:rPr>
        <w:t xml:space="preserve">. from the mean </w:t>
      </w:r>
      <w:proofErr w:type="spellStart"/>
      <w:r w:rsidRPr="00D035D8">
        <w:rPr>
          <w:rFonts w:ascii="Calibri" w:hAnsi="Calibri" w:cs="Calibri"/>
          <w:i/>
          <w:sz w:val="22"/>
          <w:szCs w:val="22"/>
        </w:rPr>
        <w:t>lnsales</w:t>
      </w:r>
      <w:proofErr w:type="spellEnd"/>
      <w:r w:rsidRPr="00D035D8">
        <w:rPr>
          <w:rFonts w:ascii="Calibri" w:hAnsi="Calibri" w:cs="Calibri"/>
          <w:sz w:val="22"/>
          <w:szCs w:val="22"/>
        </w:rPr>
        <w:t xml:space="preserve"> value, is facing payment</w:t>
      </w:r>
      <w:r>
        <w:rPr>
          <w:rFonts w:ascii="Calibri" w:hAnsi="Calibri" w:cs="Calibri"/>
          <w:sz w:val="22"/>
          <w:szCs w:val="22"/>
        </w:rPr>
        <w:t>s</w:t>
      </w:r>
      <w:r w:rsidRPr="00D035D8">
        <w:rPr>
          <w:rFonts w:ascii="Calibri" w:hAnsi="Calibri" w:cs="Calibri"/>
          <w:sz w:val="22"/>
          <w:szCs w:val="22"/>
        </w:rPr>
        <w:t xml:space="preserve"> system (cash) issues, this will reduce the importance of having government connectedness by 5%. However, for an SME with similar attributes</w:t>
      </w:r>
      <w:r>
        <w:rPr>
          <w:rFonts w:ascii="Calibri" w:hAnsi="Calibri" w:cs="Calibri"/>
          <w:sz w:val="22"/>
          <w:szCs w:val="22"/>
        </w:rPr>
        <w:t>,</w:t>
      </w:r>
      <w:r w:rsidRPr="00D035D8">
        <w:rPr>
          <w:rFonts w:ascii="Calibri" w:hAnsi="Calibri" w:cs="Calibri"/>
          <w:sz w:val="22"/>
          <w:szCs w:val="22"/>
        </w:rPr>
        <w:t xml:space="preserve"> but with plus </w:t>
      </w:r>
      <w:r>
        <w:rPr>
          <w:rFonts w:ascii="Calibri" w:hAnsi="Calibri" w:cs="Calibri"/>
          <w:sz w:val="22"/>
          <w:szCs w:val="22"/>
        </w:rPr>
        <w:t>1</w:t>
      </w:r>
      <w:r w:rsidRPr="00D035D8">
        <w:rPr>
          <w:rFonts w:ascii="Calibri" w:hAnsi="Calibri" w:cs="Calibri"/>
          <w:sz w:val="22"/>
          <w:szCs w:val="22"/>
        </w:rPr>
        <w:t xml:space="preserve"> </w:t>
      </w:r>
      <w:proofErr w:type="spellStart"/>
      <w:r w:rsidRPr="00D035D8">
        <w:rPr>
          <w:rFonts w:ascii="Calibri" w:hAnsi="Calibri" w:cs="Calibri"/>
          <w:sz w:val="22"/>
          <w:szCs w:val="22"/>
        </w:rPr>
        <w:t>s.d</w:t>
      </w:r>
      <w:proofErr w:type="spellEnd"/>
      <w:r w:rsidRPr="00D035D8">
        <w:rPr>
          <w:rFonts w:ascii="Calibri" w:hAnsi="Calibri" w:cs="Calibri"/>
          <w:sz w:val="22"/>
          <w:szCs w:val="22"/>
        </w:rPr>
        <w:t xml:space="preserve">. from the mean </w:t>
      </w:r>
      <w:proofErr w:type="spellStart"/>
      <w:r w:rsidRPr="00D035D8">
        <w:rPr>
          <w:rFonts w:ascii="Calibri" w:hAnsi="Calibri" w:cs="Calibri"/>
          <w:i/>
          <w:sz w:val="22"/>
          <w:szCs w:val="22"/>
        </w:rPr>
        <w:t>lnsales</w:t>
      </w:r>
      <w:proofErr w:type="spellEnd"/>
      <w:r w:rsidRPr="00D035D8">
        <w:rPr>
          <w:rFonts w:ascii="Calibri" w:hAnsi="Calibri" w:cs="Calibri"/>
          <w:sz w:val="22"/>
          <w:szCs w:val="22"/>
        </w:rPr>
        <w:t xml:space="preserve"> value, this difference is only 1%. And a similar trend is observed for </w:t>
      </w:r>
      <w:proofErr w:type="spellStart"/>
      <w:r w:rsidRPr="00D035D8">
        <w:rPr>
          <w:rFonts w:ascii="Calibri" w:hAnsi="Calibri" w:cs="Calibri"/>
          <w:i/>
          <w:sz w:val="22"/>
          <w:szCs w:val="22"/>
        </w:rPr>
        <w:t>bzinplbr</w:t>
      </w:r>
      <w:proofErr w:type="spellEnd"/>
      <w:r w:rsidRPr="00D035D8">
        <w:rPr>
          <w:rFonts w:ascii="Calibri" w:hAnsi="Calibri" w:cs="Calibri"/>
          <w:sz w:val="22"/>
          <w:szCs w:val="22"/>
        </w:rPr>
        <w:t xml:space="preserve">, which can be seen in Panel II of Table </w:t>
      </w:r>
      <w:r>
        <w:rPr>
          <w:rFonts w:ascii="Calibri" w:hAnsi="Calibri" w:cs="Calibri"/>
          <w:sz w:val="22"/>
          <w:szCs w:val="22"/>
        </w:rPr>
        <w:t>A5.3</w:t>
      </w:r>
      <w:r w:rsidRPr="00D035D8">
        <w:rPr>
          <w:rFonts w:ascii="Calibri" w:hAnsi="Calibri" w:cs="Calibri"/>
          <w:sz w:val="22"/>
          <w:szCs w:val="22"/>
        </w:rPr>
        <w:t xml:space="preserve">. These results </w:t>
      </w:r>
      <w:r>
        <w:rPr>
          <w:rFonts w:ascii="Calibri" w:hAnsi="Calibri" w:cs="Calibri"/>
          <w:sz w:val="22"/>
          <w:szCs w:val="22"/>
        </w:rPr>
        <w:t xml:space="preserve">also </w:t>
      </w:r>
      <w:r w:rsidRPr="00D035D8">
        <w:rPr>
          <w:rFonts w:ascii="Calibri" w:hAnsi="Calibri" w:cs="Calibri"/>
          <w:sz w:val="22"/>
          <w:szCs w:val="22"/>
        </w:rPr>
        <w:t>indicate that</w:t>
      </w:r>
      <w:r>
        <w:rPr>
          <w:rFonts w:ascii="Calibri" w:hAnsi="Calibri" w:cs="Calibri"/>
          <w:sz w:val="22"/>
          <w:szCs w:val="22"/>
        </w:rPr>
        <w:t>, given payment system problems,</w:t>
      </w:r>
      <w:r w:rsidRPr="00D035D8">
        <w:rPr>
          <w:rFonts w:ascii="Calibri" w:hAnsi="Calibri" w:cs="Calibri"/>
          <w:sz w:val="22"/>
          <w:szCs w:val="22"/>
        </w:rPr>
        <w:t xml:space="preserve"> </w:t>
      </w:r>
      <w:r w:rsidRPr="00465F69">
        <w:rPr>
          <w:rFonts w:ascii="Calibri" w:hAnsi="Calibri" w:cs="Calibri"/>
          <w:sz w:val="22"/>
          <w:szCs w:val="22"/>
        </w:rPr>
        <w:t xml:space="preserve">interpersonal connections </w:t>
      </w:r>
      <w:r>
        <w:rPr>
          <w:rFonts w:ascii="Calibri" w:hAnsi="Calibri" w:cs="Calibri"/>
          <w:sz w:val="22"/>
          <w:szCs w:val="22"/>
        </w:rPr>
        <w:t>become increasingly important as</w:t>
      </w:r>
      <w:r w:rsidRPr="00465F69">
        <w:rPr>
          <w:rFonts w:ascii="Calibri" w:hAnsi="Calibri" w:cs="Calibri"/>
          <w:sz w:val="22"/>
          <w:szCs w:val="22"/>
        </w:rPr>
        <w:t xml:space="preserve"> </w:t>
      </w:r>
      <w:r w:rsidRPr="00D035D8">
        <w:rPr>
          <w:rFonts w:ascii="Calibri" w:hAnsi="Calibri" w:cs="Calibri"/>
          <w:sz w:val="22"/>
          <w:szCs w:val="22"/>
        </w:rPr>
        <w:t>the size of SMEs increase</w:t>
      </w:r>
      <w:r>
        <w:rPr>
          <w:rFonts w:ascii="Calibri" w:hAnsi="Calibri" w:cs="Calibri"/>
          <w:sz w:val="22"/>
          <w:szCs w:val="22"/>
        </w:rPr>
        <w:t>s.</w:t>
      </w:r>
      <w:r w:rsidRPr="00D035D8">
        <w:rPr>
          <w:rFonts w:ascii="Calibri" w:hAnsi="Calibri" w:cs="Calibri"/>
          <w:sz w:val="22"/>
          <w:szCs w:val="22"/>
        </w:rPr>
        <w:t xml:space="preserve"> </w:t>
      </w:r>
    </w:p>
    <w:p w:rsidR="00AA788D" w:rsidRPr="00D035D8" w:rsidRDefault="00AA788D" w:rsidP="00257008">
      <w:pPr>
        <w:pStyle w:val="BodyText"/>
        <w:spacing w:line="480" w:lineRule="auto"/>
        <w:ind w:firstLine="357"/>
        <w:rPr>
          <w:rFonts w:ascii="Calibri" w:hAnsi="Calibri" w:cs="Calibri"/>
          <w:b/>
        </w:rPr>
      </w:pPr>
      <w:r>
        <w:rPr>
          <w:rFonts w:ascii="Calibri" w:hAnsi="Calibri" w:cs="Calibri"/>
          <w:b/>
          <w:sz w:val="22"/>
          <w:szCs w:val="22"/>
        </w:rPr>
        <w:t>&lt;Tables A5.2 and A5.3&gt;</w:t>
      </w:r>
    </w:p>
    <w:p w:rsidR="00AA788D" w:rsidRDefault="00AA788D" w:rsidP="00257008">
      <w:pPr>
        <w:pStyle w:val="BodyText"/>
        <w:spacing w:line="480" w:lineRule="auto"/>
        <w:rPr>
          <w:rFonts w:ascii="Calibri" w:hAnsi="Calibri" w:cs="Calibri"/>
          <w:b/>
        </w:rPr>
      </w:pPr>
    </w:p>
    <w:p w:rsidR="00AA788D" w:rsidRDefault="00AA788D">
      <w:pPr>
        <w:rPr>
          <w:b/>
        </w:rPr>
      </w:pPr>
      <w:r>
        <w:rPr>
          <w:b/>
        </w:rPr>
        <w:br w:type="page"/>
      </w:r>
    </w:p>
    <w:p w:rsidR="00AA788D" w:rsidRDefault="00AA788D" w:rsidP="002C250C">
      <w:pPr>
        <w:jc w:val="center"/>
        <w:rPr>
          <w:b/>
        </w:rPr>
      </w:pPr>
      <w:r w:rsidRPr="00DB7F88">
        <w:rPr>
          <w:b/>
        </w:rPr>
        <w:lastRenderedPageBreak/>
        <w:t>APPENDIX TABLES</w:t>
      </w:r>
      <w:r>
        <w:rPr>
          <w:b/>
        </w:rPr>
        <w:t>:</w:t>
      </w:r>
    </w:p>
    <w:p w:rsidR="00AA788D" w:rsidRPr="00DB7F88" w:rsidRDefault="00AA788D" w:rsidP="002C250C">
      <w:pPr>
        <w:jc w:val="center"/>
        <w:rPr>
          <w:b/>
        </w:rPr>
      </w:pPr>
      <w:r>
        <w:rPr>
          <w:b/>
        </w:rPr>
        <w:t>APPENDIX 1</w:t>
      </w:r>
    </w:p>
    <w:tbl>
      <w:tblPr>
        <w:tblW w:w="7860" w:type="dxa"/>
        <w:jc w:val="center"/>
        <w:tblInd w:w="93" w:type="dxa"/>
        <w:tblLook w:val="04A0"/>
      </w:tblPr>
      <w:tblGrid>
        <w:gridCol w:w="2840"/>
        <w:gridCol w:w="1760"/>
        <w:gridCol w:w="1420"/>
        <w:gridCol w:w="1840"/>
      </w:tblGrid>
      <w:tr w:rsidR="00AA788D" w:rsidRPr="003B7000" w:rsidTr="005A48A5">
        <w:trPr>
          <w:trHeight w:val="300"/>
          <w:jc w:val="center"/>
        </w:trPr>
        <w:tc>
          <w:tcPr>
            <w:tcW w:w="7860" w:type="dxa"/>
            <w:gridSpan w:val="4"/>
            <w:tcBorders>
              <w:top w:val="nil"/>
              <w:left w:val="nil"/>
              <w:bottom w:val="single" w:sz="4" w:space="0" w:color="auto"/>
              <w:right w:val="nil"/>
            </w:tcBorders>
            <w:shd w:val="clear" w:color="auto" w:fill="auto"/>
            <w:noWrap/>
            <w:vAlign w:val="bottom"/>
            <w:hideMark/>
          </w:tcPr>
          <w:p w:rsidR="00AA788D" w:rsidRPr="003B7000" w:rsidRDefault="00AA788D" w:rsidP="005A48A5">
            <w:pPr>
              <w:spacing w:after="0" w:line="240" w:lineRule="auto"/>
              <w:rPr>
                <w:rFonts w:eastAsia="Times New Roman" w:cstheme="minorHAnsi"/>
                <w:b/>
                <w:bCs/>
                <w:color w:val="000000"/>
                <w:sz w:val="20"/>
                <w:szCs w:val="20"/>
                <w:lang w:eastAsia="en-GB"/>
              </w:rPr>
            </w:pPr>
            <w:r w:rsidRPr="003B7000">
              <w:rPr>
                <w:rFonts w:eastAsia="Times New Roman" w:cstheme="minorHAnsi"/>
                <w:b/>
                <w:bCs/>
                <w:color w:val="000000"/>
                <w:sz w:val="20"/>
                <w:szCs w:val="20"/>
                <w:lang w:eastAsia="en-GB"/>
              </w:rPr>
              <w:t xml:space="preserve">Table </w:t>
            </w:r>
            <w:r>
              <w:rPr>
                <w:rFonts w:eastAsia="Times New Roman" w:cstheme="minorHAnsi"/>
                <w:b/>
                <w:bCs/>
                <w:color w:val="000000"/>
                <w:sz w:val="20"/>
                <w:szCs w:val="20"/>
                <w:lang w:eastAsia="en-GB"/>
              </w:rPr>
              <w:t>A1</w:t>
            </w:r>
            <w:r w:rsidRPr="003B7000">
              <w:rPr>
                <w:rFonts w:eastAsia="Times New Roman" w:cstheme="minorHAnsi"/>
                <w:b/>
                <w:bCs/>
                <w:color w:val="000000"/>
                <w:sz w:val="20"/>
                <w:szCs w:val="20"/>
                <w:lang w:eastAsia="en-GB"/>
              </w:rPr>
              <w:t>. Distribution of National Output Across Regions in Uzbekistan, 2010.</w:t>
            </w:r>
          </w:p>
        </w:tc>
      </w:tr>
      <w:tr w:rsidR="00AA788D" w:rsidRPr="003B7000" w:rsidTr="005A48A5">
        <w:trPr>
          <w:trHeight w:val="600"/>
          <w:jc w:val="center"/>
        </w:trPr>
        <w:tc>
          <w:tcPr>
            <w:tcW w:w="2840" w:type="dxa"/>
            <w:tcBorders>
              <w:top w:val="nil"/>
              <w:left w:val="nil"/>
              <w:bottom w:val="single" w:sz="4" w:space="0" w:color="auto"/>
              <w:right w:val="nil"/>
            </w:tcBorders>
            <w:shd w:val="clear" w:color="auto" w:fill="auto"/>
            <w:noWrap/>
            <w:vAlign w:val="bottom"/>
            <w:hideMark/>
          </w:tcPr>
          <w:p w:rsidR="00AA788D" w:rsidRPr="003B7000" w:rsidRDefault="00AA788D" w:rsidP="005A48A5">
            <w:pPr>
              <w:spacing w:after="0" w:line="240" w:lineRule="auto"/>
              <w:rPr>
                <w:rFonts w:eastAsia="Times New Roman" w:cstheme="minorHAnsi"/>
                <w:color w:val="000000"/>
                <w:sz w:val="20"/>
                <w:szCs w:val="20"/>
                <w:lang w:eastAsia="en-GB"/>
              </w:rPr>
            </w:pPr>
            <w:r w:rsidRPr="003B7000">
              <w:rPr>
                <w:rFonts w:eastAsia="Times New Roman" w:cstheme="minorHAnsi"/>
                <w:color w:val="000000"/>
                <w:sz w:val="20"/>
                <w:szCs w:val="20"/>
                <w:lang w:eastAsia="en-GB"/>
              </w:rPr>
              <w:t> </w:t>
            </w:r>
          </w:p>
        </w:tc>
        <w:tc>
          <w:tcPr>
            <w:tcW w:w="1760" w:type="dxa"/>
            <w:tcBorders>
              <w:top w:val="nil"/>
              <w:left w:val="nil"/>
              <w:bottom w:val="single" w:sz="4" w:space="0" w:color="auto"/>
              <w:right w:val="nil"/>
            </w:tcBorders>
            <w:shd w:val="clear" w:color="auto" w:fill="auto"/>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 xml:space="preserve">Annual Output, Billion </w:t>
            </w:r>
            <w:proofErr w:type="spellStart"/>
            <w:r w:rsidRPr="003B7000">
              <w:rPr>
                <w:rFonts w:eastAsia="Times New Roman" w:cstheme="minorHAnsi"/>
                <w:i/>
                <w:color w:val="000000"/>
                <w:sz w:val="20"/>
                <w:szCs w:val="20"/>
                <w:lang w:eastAsia="en-GB"/>
              </w:rPr>
              <w:t>Soums</w:t>
            </w:r>
            <w:proofErr w:type="spellEnd"/>
          </w:p>
        </w:tc>
        <w:tc>
          <w:tcPr>
            <w:tcW w:w="1420" w:type="dxa"/>
            <w:tcBorders>
              <w:top w:val="nil"/>
              <w:left w:val="nil"/>
              <w:bottom w:val="single" w:sz="4" w:space="0" w:color="auto"/>
              <w:right w:val="nil"/>
            </w:tcBorders>
            <w:shd w:val="clear" w:color="auto" w:fill="auto"/>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Population, Million (2009)</w:t>
            </w:r>
          </w:p>
        </w:tc>
        <w:tc>
          <w:tcPr>
            <w:tcW w:w="1840" w:type="dxa"/>
            <w:tcBorders>
              <w:top w:val="nil"/>
              <w:left w:val="nil"/>
              <w:bottom w:val="single" w:sz="4" w:space="0" w:color="auto"/>
              <w:right w:val="nil"/>
            </w:tcBorders>
            <w:shd w:val="clear" w:color="auto" w:fill="auto"/>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 xml:space="preserve">Output per Capita, Thousand </w:t>
            </w:r>
            <w:proofErr w:type="spellStart"/>
            <w:r w:rsidRPr="003B7000">
              <w:rPr>
                <w:rFonts w:eastAsia="Times New Roman" w:cstheme="minorHAnsi"/>
                <w:i/>
                <w:color w:val="000000"/>
                <w:sz w:val="20"/>
                <w:szCs w:val="20"/>
                <w:lang w:eastAsia="en-GB"/>
              </w:rPr>
              <w:t>Soums</w:t>
            </w:r>
            <w:proofErr w:type="spellEnd"/>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Karakalpakstan</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1389.8</w:t>
            </w:r>
          </w:p>
        </w:tc>
        <w:tc>
          <w:tcPr>
            <w:tcW w:w="1420" w:type="dxa"/>
            <w:tcBorders>
              <w:top w:val="nil"/>
              <w:left w:val="nil"/>
              <w:bottom w:val="nil"/>
              <w:right w:val="nil"/>
            </w:tcBorders>
            <w:shd w:val="clear" w:color="auto" w:fill="auto"/>
            <w:vAlign w:val="bottom"/>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1.62</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856.26</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Namangan</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2426.6</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2.24</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1084.22</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Surkhandarya</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2229.3</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2.05</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1085.13</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Samarkand</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3813.1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3.09</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1233.73</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Djizhak</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1389.1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1.11</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1253.93</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Khorezm</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1944.1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1.55</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1257.34</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Ferg</w:t>
            </w:r>
            <w:r>
              <w:rPr>
                <w:rFonts w:eastAsia="Times New Roman" w:cstheme="minorHAnsi"/>
                <w:color w:val="000000"/>
                <w:sz w:val="20"/>
                <w:szCs w:val="20"/>
                <w:lang w:eastAsia="en-GB"/>
              </w:rPr>
              <w:t>h</w:t>
            </w:r>
            <w:r w:rsidRPr="003B7000">
              <w:rPr>
                <w:rFonts w:eastAsia="Times New Roman" w:cstheme="minorHAnsi"/>
                <w:color w:val="000000"/>
                <w:sz w:val="20"/>
                <w:szCs w:val="20"/>
                <w:lang w:eastAsia="en-GB"/>
              </w:rPr>
              <w:t>ana</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4095.5</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3.05</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1343.36</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Syrdarya</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1008.3</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0.71</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1423.35</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Andizhan</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3679.6</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2.52</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1457.50</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Kashkadarya</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4865.1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2.59</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1878.71</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Bukhara</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3376.0</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1.60</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2109.08</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Tashkent Region</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5571.1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2.57</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2168.76</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proofErr w:type="spellStart"/>
            <w:r w:rsidRPr="003B7000">
              <w:rPr>
                <w:rFonts w:eastAsia="Times New Roman" w:cstheme="minorHAnsi"/>
                <w:color w:val="000000"/>
                <w:sz w:val="20"/>
                <w:szCs w:val="20"/>
                <w:lang w:eastAsia="en-GB"/>
              </w:rPr>
              <w:t>Navoiy</w:t>
            </w:r>
            <w:proofErr w:type="spellEnd"/>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3276.6</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0.85</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3876.26</w:t>
            </w:r>
          </w:p>
        </w:tc>
      </w:tr>
      <w:tr w:rsidR="00AA788D" w:rsidRPr="003B7000" w:rsidTr="005A48A5">
        <w:trPr>
          <w:trHeight w:val="315"/>
          <w:jc w:val="center"/>
        </w:trPr>
        <w:tc>
          <w:tcPr>
            <w:tcW w:w="284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City of Tashkent</w:t>
            </w:r>
          </w:p>
        </w:tc>
        <w:tc>
          <w:tcPr>
            <w:tcW w:w="176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9820.1</w:t>
            </w:r>
          </w:p>
        </w:tc>
        <w:tc>
          <w:tcPr>
            <w:tcW w:w="1420" w:type="dxa"/>
            <w:tcBorders>
              <w:top w:val="nil"/>
              <w:left w:val="nil"/>
              <w:bottom w:val="nil"/>
              <w:right w:val="nil"/>
            </w:tcBorders>
            <w:shd w:val="clear" w:color="auto" w:fill="auto"/>
            <w:vAlign w:val="center"/>
            <w:hideMark/>
          </w:tcPr>
          <w:p w:rsidR="00AA788D" w:rsidRPr="003B7000" w:rsidRDefault="00AA788D" w:rsidP="005A48A5">
            <w:pPr>
              <w:spacing w:after="0" w:line="240" w:lineRule="auto"/>
              <w:jc w:val="center"/>
              <w:rPr>
                <w:rFonts w:eastAsia="Times New Roman" w:cstheme="minorHAnsi"/>
                <w:sz w:val="20"/>
                <w:szCs w:val="20"/>
                <w:lang w:eastAsia="en-GB"/>
              </w:rPr>
            </w:pPr>
            <w:r w:rsidRPr="003B7000">
              <w:rPr>
                <w:rFonts w:eastAsia="Times New Roman" w:cstheme="minorHAnsi"/>
                <w:sz w:val="20"/>
                <w:szCs w:val="20"/>
                <w:lang w:eastAsia="en-GB"/>
              </w:rPr>
              <w:t>2.22</w:t>
            </w:r>
          </w:p>
        </w:tc>
        <w:tc>
          <w:tcPr>
            <w:tcW w:w="1840" w:type="dxa"/>
            <w:tcBorders>
              <w:top w:val="nil"/>
              <w:left w:val="nil"/>
              <w:bottom w:val="nil"/>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4422.07</w:t>
            </w:r>
          </w:p>
        </w:tc>
      </w:tr>
      <w:tr w:rsidR="00AA788D" w:rsidRPr="003B7000" w:rsidTr="005A48A5">
        <w:trPr>
          <w:trHeight w:val="315"/>
          <w:jc w:val="center"/>
        </w:trPr>
        <w:tc>
          <w:tcPr>
            <w:tcW w:w="2840" w:type="dxa"/>
            <w:tcBorders>
              <w:top w:val="nil"/>
              <w:left w:val="nil"/>
              <w:bottom w:val="single" w:sz="4" w:space="0" w:color="auto"/>
              <w:right w:val="nil"/>
            </w:tcBorders>
            <w:shd w:val="clear" w:color="auto" w:fill="auto"/>
            <w:vAlign w:val="bottom"/>
            <w:hideMark/>
          </w:tcPr>
          <w:p w:rsidR="00AA788D" w:rsidRPr="003B7000" w:rsidRDefault="00AA788D" w:rsidP="005A48A5">
            <w:pPr>
              <w:spacing w:after="0" w:line="240" w:lineRule="auto"/>
              <w:ind w:firstLineChars="200" w:firstLine="400"/>
              <w:rPr>
                <w:rFonts w:eastAsia="Times New Roman" w:cstheme="minorHAnsi"/>
                <w:color w:val="000000"/>
                <w:sz w:val="20"/>
                <w:szCs w:val="20"/>
                <w:lang w:eastAsia="en-GB"/>
              </w:rPr>
            </w:pPr>
            <w:r w:rsidRPr="003B7000">
              <w:rPr>
                <w:rFonts w:eastAsia="Times New Roman" w:cstheme="minorHAnsi"/>
                <w:color w:val="000000"/>
                <w:sz w:val="20"/>
                <w:szCs w:val="20"/>
                <w:lang w:eastAsia="en-GB"/>
              </w:rPr>
              <w:t>Uzbekistan</w:t>
            </w:r>
          </w:p>
        </w:tc>
        <w:tc>
          <w:tcPr>
            <w:tcW w:w="1760" w:type="dxa"/>
            <w:tcBorders>
              <w:top w:val="nil"/>
              <w:left w:val="nil"/>
              <w:bottom w:val="single" w:sz="4" w:space="0" w:color="auto"/>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48884.3</w:t>
            </w:r>
          </w:p>
        </w:tc>
        <w:tc>
          <w:tcPr>
            <w:tcW w:w="1420" w:type="dxa"/>
            <w:tcBorders>
              <w:top w:val="nil"/>
              <w:left w:val="nil"/>
              <w:bottom w:val="single" w:sz="4" w:space="0" w:color="auto"/>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27.77</w:t>
            </w:r>
          </w:p>
        </w:tc>
        <w:tc>
          <w:tcPr>
            <w:tcW w:w="1840" w:type="dxa"/>
            <w:tcBorders>
              <w:top w:val="nil"/>
              <w:left w:val="nil"/>
              <w:bottom w:val="single" w:sz="4" w:space="0" w:color="auto"/>
              <w:right w:val="nil"/>
            </w:tcBorders>
            <w:shd w:val="clear" w:color="auto" w:fill="auto"/>
            <w:noWrap/>
            <w:vAlign w:val="bottom"/>
            <w:hideMark/>
          </w:tcPr>
          <w:p w:rsidR="00AA788D" w:rsidRPr="003B7000" w:rsidRDefault="00AA788D" w:rsidP="005A48A5">
            <w:pPr>
              <w:spacing w:after="0" w:line="240" w:lineRule="auto"/>
              <w:jc w:val="center"/>
              <w:rPr>
                <w:rFonts w:eastAsia="Times New Roman" w:cstheme="minorHAnsi"/>
                <w:color w:val="000000"/>
                <w:sz w:val="20"/>
                <w:szCs w:val="20"/>
                <w:lang w:eastAsia="en-GB"/>
              </w:rPr>
            </w:pPr>
            <w:r w:rsidRPr="003B7000">
              <w:rPr>
                <w:rFonts w:eastAsia="Times New Roman" w:cstheme="minorHAnsi"/>
                <w:color w:val="000000"/>
                <w:sz w:val="20"/>
                <w:szCs w:val="20"/>
                <w:lang w:eastAsia="en-GB"/>
              </w:rPr>
              <w:t>1760.51</w:t>
            </w:r>
          </w:p>
        </w:tc>
      </w:tr>
      <w:tr w:rsidR="00AA788D" w:rsidRPr="003B7000" w:rsidTr="005A48A5">
        <w:trPr>
          <w:trHeight w:val="300"/>
          <w:jc w:val="center"/>
        </w:trPr>
        <w:tc>
          <w:tcPr>
            <w:tcW w:w="7860" w:type="dxa"/>
            <w:gridSpan w:val="4"/>
            <w:tcBorders>
              <w:top w:val="single" w:sz="4" w:space="0" w:color="auto"/>
              <w:left w:val="nil"/>
              <w:bottom w:val="nil"/>
              <w:right w:val="nil"/>
            </w:tcBorders>
            <w:shd w:val="clear" w:color="auto" w:fill="auto"/>
            <w:noWrap/>
            <w:vAlign w:val="bottom"/>
            <w:hideMark/>
          </w:tcPr>
          <w:p w:rsidR="00AA788D" w:rsidRPr="003B7000" w:rsidRDefault="00AA788D" w:rsidP="005A48A5">
            <w:pPr>
              <w:spacing w:after="0" w:line="240" w:lineRule="auto"/>
              <w:rPr>
                <w:rFonts w:eastAsia="Times New Roman" w:cstheme="minorHAnsi"/>
                <w:color w:val="000000"/>
                <w:sz w:val="20"/>
                <w:szCs w:val="20"/>
                <w:lang w:eastAsia="en-GB"/>
              </w:rPr>
            </w:pPr>
            <w:r w:rsidRPr="003B7000">
              <w:rPr>
                <w:rFonts w:eastAsia="Times New Roman" w:cstheme="minorHAnsi"/>
                <w:color w:val="000000"/>
                <w:sz w:val="20"/>
                <w:szCs w:val="20"/>
                <w:lang w:eastAsia="en-GB"/>
              </w:rPr>
              <w:t>Source: Statistical Review of the Republic of Uzbekistan (2010)</w:t>
            </w:r>
          </w:p>
        </w:tc>
      </w:tr>
    </w:tbl>
    <w:p w:rsidR="00AA788D" w:rsidRDefault="00AA788D" w:rsidP="002C250C">
      <w:pPr>
        <w:rPr>
          <w:b/>
        </w:rPr>
      </w:pPr>
    </w:p>
    <w:p w:rsidR="00AA788D" w:rsidRDefault="00AA788D" w:rsidP="002C250C">
      <w:pPr>
        <w:rPr>
          <w:b/>
        </w:rPr>
      </w:pPr>
      <w:r>
        <w:rPr>
          <w:b/>
        </w:rPr>
        <w:br w:type="page"/>
      </w:r>
    </w:p>
    <w:p w:rsidR="00AA788D" w:rsidRDefault="00AA788D" w:rsidP="002C250C">
      <w:pPr>
        <w:jc w:val="center"/>
        <w:rPr>
          <w:b/>
        </w:rPr>
      </w:pPr>
      <w:r>
        <w:rPr>
          <w:b/>
        </w:rPr>
        <w:lastRenderedPageBreak/>
        <w:t>APPENDIX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1415"/>
        <w:gridCol w:w="1414"/>
        <w:gridCol w:w="1295"/>
      </w:tblGrid>
      <w:tr w:rsidR="00AA788D" w:rsidRPr="00C15F47" w:rsidTr="005A48A5">
        <w:tc>
          <w:tcPr>
            <w:tcW w:w="9242" w:type="dxa"/>
            <w:gridSpan w:val="4"/>
            <w:tcBorders>
              <w:bottom w:val="single" w:sz="4" w:space="0" w:color="auto"/>
            </w:tcBorders>
          </w:tcPr>
          <w:p w:rsidR="00AA788D" w:rsidRDefault="00AA788D" w:rsidP="005A48A5">
            <w:pPr>
              <w:jc w:val="center"/>
              <w:rPr>
                <w:rFonts w:cstheme="minorHAnsi"/>
                <w:b/>
              </w:rPr>
            </w:pPr>
            <w:r>
              <w:rPr>
                <w:b/>
              </w:rPr>
              <w:br w:type="page"/>
            </w:r>
            <w:r w:rsidRPr="00C15F47">
              <w:rPr>
                <w:rFonts w:cstheme="minorHAnsi"/>
                <w:b/>
              </w:rPr>
              <w:t xml:space="preserve">Table </w:t>
            </w:r>
            <w:r>
              <w:rPr>
                <w:rFonts w:cstheme="minorHAnsi"/>
                <w:b/>
              </w:rPr>
              <w:t>A2</w:t>
            </w:r>
            <w:r w:rsidRPr="00C15F47">
              <w:rPr>
                <w:rFonts w:cstheme="minorHAnsi"/>
                <w:b/>
              </w:rPr>
              <w:t xml:space="preserve">. Probability of </w:t>
            </w:r>
            <w:r>
              <w:rPr>
                <w:rFonts w:cstheme="minorHAnsi"/>
                <w:b/>
              </w:rPr>
              <w:t>Offering Bribe</w:t>
            </w:r>
            <w:r w:rsidRPr="00C15F47">
              <w:rPr>
                <w:rFonts w:cstheme="minorHAnsi"/>
                <w:b/>
              </w:rPr>
              <w:t xml:space="preserve"> and </w:t>
            </w:r>
            <w:r>
              <w:rPr>
                <w:rFonts w:cstheme="minorHAnsi"/>
                <w:b/>
              </w:rPr>
              <w:t>Applying for</w:t>
            </w:r>
            <w:r w:rsidRPr="00C15F47">
              <w:rPr>
                <w:rFonts w:cstheme="minorHAnsi"/>
                <w:b/>
              </w:rPr>
              <w:t xml:space="preserve"> Formal Finance</w:t>
            </w:r>
            <w:r>
              <w:rPr>
                <w:rFonts w:cstheme="minorHAnsi"/>
                <w:b/>
              </w:rPr>
              <w:t xml:space="preserve"> </w:t>
            </w:r>
          </w:p>
          <w:p w:rsidR="00AA788D" w:rsidRPr="00012086" w:rsidRDefault="00AA788D" w:rsidP="005A48A5">
            <w:pPr>
              <w:jc w:val="center"/>
              <w:rPr>
                <w:rFonts w:cstheme="minorHAnsi"/>
                <w:b/>
              </w:rPr>
            </w:pPr>
            <w:r w:rsidRPr="00C15F47">
              <w:rPr>
                <w:rFonts w:cstheme="minorHAnsi"/>
                <w:b/>
              </w:rPr>
              <w:t>(</w:t>
            </w:r>
            <w:proofErr w:type="spellStart"/>
            <w:r w:rsidRPr="00C15F47">
              <w:rPr>
                <w:rFonts w:cstheme="minorHAnsi"/>
                <w:b/>
              </w:rPr>
              <w:t>Logit</w:t>
            </w:r>
            <w:proofErr w:type="spellEnd"/>
            <w:r w:rsidRPr="00C15F47">
              <w:rPr>
                <w:rFonts w:cstheme="minorHAnsi"/>
                <w:b/>
              </w:rPr>
              <w:t xml:space="preserve"> Coefficients with Standard Errors)</w:t>
            </w:r>
          </w:p>
        </w:tc>
      </w:tr>
      <w:tr w:rsidR="00AA788D" w:rsidRPr="00C15F47" w:rsidTr="005A48A5">
        <w:tc>
          <w:tcPr>
            <w:tcW w:w="5118" w:type="dxa"/>
            <w:tcBorders>
              <w:top w:val="single" w:sz="4" w:space="0" w:color="auto"/>
              <w:bottom w:val="single" w:sz="4" w:space="0" w:color="auto"/>
            </w:tcBorders>
          </w:tcPr>
          <w:p w:rsidR="00AA788D" w:rsidRPr="00C15F47" w:rsidRDefault="00AA788D" w:rsidP="005A48A5">
            <w:pPr>
              <w:rPr>
                <w:rFonts w:cstheme="minorHAnsi"/>
                <w:b/>
                <w:i/>
              </w:rPr>
            </w:pPr>
            <w:r w:rsidRPr="00C15F47">
              <w:rPr>
                <w:rFonts w:cstheme="minorHAnsi"/>
                <w:b/>
                <w:i/>
              </w:rPr>
              <w:t xml:space="preserve">Predictors </w:t>
            </w:r>
          </w:p>
        </w:tc>
        <w:tc>
          <w:tcPr>
            <w:tcW w:w="1415" w:type="dxa"/>
            <w:tcBorders>
              <w:top w:val="single" w:sz="4" w:space="0" w:color="auto"/>
              <w:bottom w:val="single" w:sz="4" w:space="0" w:color="auto"/>
            </w:tcBorders>
          </w:tcPr>
          <w:p w:rsidR="00AA788D" w:rsidRPr="00C15F47" w:rsidRDefault="00AA788D" w:rsidP="005A48A5">
            <w:pPr>
              <w:jc w:val="center"/>
              <w:rPr>
                <w:rFonts w:cstheme="minorHAnsi"/>
                <w:b/>
                <w:i/>
              </w:rPr>
            </w:pPr>
            <w:r w:rsidRPr="00C15F47">
              <w:rPr>
                <w:rFonts w:cstheme="minorHAnsi"/>
                <w:b/>
                <w:i/>
              </w:rPr>
              <w:t xml:space="preserve">Model </w:t>
            </w:r>
            <w:r>
              <w:rPr>
                <w:rFonts w:cstheme="minorHAnsi"/>
                <w:b/>
                <w:i/>
              </w:rPr>
              <w:t>4</w:t>
            </w:r>
          </w:p>
        </w:tc>
        <w:tc>
          <w:tcPr>
            <w:tcW w:w="1414" w:type="dxa"/>
            <w:tcBorders>
              <w:top w:val="single" w:sz="4" w:space="0" w:color="auto"/>
              <w:bottom w:val="single" w:sz="4" w:space="0" w:color="auto"/>
            </w:tcBorders>
          </w:tcPr>
          <w:p w:rsidR="00AA788D" w:rsidRPr="00C15F47" w:rsidRDefault="00AA788D" w:rsidP="005A48A5">
            <w:pPr>
              <w:jc w:val="center"/>
              <w:rPr>
                <w:rFonts w:cstheme="minorHAnsi"/>
                <w:b/>
                <w:i/>
              </w:rPr>
            </w:pPr>
            <w:r w:rsidRPr="00C15F47">
              <w:rPr>
                <w:rFonts w:cstheme="minorHAnsi"/>
                <w:b/>
                <w:i/>
              </w:rPr>
              <w:t xml:space="preserve">Model </w:t>
            </w:r>
            <w:r>
              <w:rPr>
                <w:rFonts w:cstheme="minorHAnsi"/>
                <w:b/>
                <w:i/>
              </w:rPr>
              <w:t>5</w:t>
            </w:r>
          </w:p>
        </w:tc>
        <w:tc>
          <w:tcPr>
            <w:tcW w:w="1295" w:type="dxa"/>
            <w:tcBorders>
              <w:top w:val="single" w:sz="4" w:space="0" w:color="auto"/>
              <w:bottom w:val="single" w:sz="4" w:space="0" w:color="auto"/>
            </w:tcBorders>
          </w:tcPr>
          <w:p w:rsidR="00AA788D" w:rsidRPr="00C15F47" w:rsidRDefault="00AA788D" w:rsidP="005A48A5">
            <w:pPr>
              <w:jc w:val="center"/>
              <w:rPr>
                <w:rFonts w:cstheme="minorHAnsi"/>
                <w:b/>
                <w:i/>
              </w:rPr>
            </w:pPr>
            <w:r w:rsidRPr="00C15F47">
              <w:rPr>
                <w:rFonts w:cstheme="minorHAnsi"/>
                <w:b/>
                <w:i/>
              </w:rPr>
              <w:t xml:space="preserve">Model </w:t>
            </w:r>
            <w:r>
              <w:rPr>
                <w:rFonts w:cstheme="minorHAnsi"/>
                <w:b/>
                <w:i/>
              </w:rPr>
              <w:t>6</w:t>
            </w:r>
          </w:p>
        </w:tc>
      </w:tr>
      <w:tr w:rsidR="00AA788D" w:rsidRPr="00C15F47" w:rsidTr="005A48A5">
        <w:tc>
          <w:tcPr>
            <w:tcW w:w="5118" w:type="dxa"/>
            <w:tcBorders>
              <w:top w:val="single" w:sz="4" w:space="0" w:color="auto"/>
            </w:tcBorders>
          </w:tcPr>
          <w:p w:rsidR="00AA788D" w:rsidRPr="00A50368" w:rsidRDefault="00AA788D" w:rsidP="005A48A5">
            <w:pPr>
              <w:rPr>
                <w:rFonts w:cstheme="minorHAnsi"/>
                <w:i/>
              </w:rPr>
            </w:pPr>
            <w:r>
              <w:rPr>
                <w:rFonts w:cstheme="minorHAnsi"/>
                <w:i/>
              </w:rPr>
              <w:t>C</w:t>
            </w:r>
            <w:r w:rsidRPr="00A50368">
              <w:rPr>
                <w:rFonts w:cstheme="minorHAnsi"/>
                <w:i/>
              </w:rPr>
              <w:t>onstant</w:t>
            </w:r>
          </w:p>
        </w:tc>
        <w:tc>
          <w:tcPr>
            <w:tcW w:w="1415" w:type="dxa"/>
            <w:tcBorders>
              <w:top w:val="single" w:sz="4" w:space="0" w:color="auto"/>
            </w:tcBorders>
          </w:tcPr>
          <w:p w:rsidR="00AA788D" w:rsidRDefault="00AA788D" w:rsidP="005A48A5">
            <w:pPr>
              <w:jc w:val="center"/>
              <w:rPr>
                <w:rFonts w:cstheme="minorHAnsi"/>
              </w:rPr>
            </w:pPr>
            <w:r>
              <w:rPr>
                <w:rFonts w:cstheme="minorHAnsi"/>
              </w:rPr>
              <w:t>1.48</w:t>
            </w:r>
          </w:p>
          <w:p w:rsidR="00AA788D" w:rsidRPr="00C15F47" w:rsidRDefault="00AA788D" w:rsidP="005A48A5">
            <w:pPr>
              <w:jc w:val="center"/>
              <w:rPr>
                <w:rFonts w:cstheme="minorHAnsi"/>
              </w:rPr>
            </w:pPr>
            <w:r>
              <w:rPr>
                <w:rFonts w:cstheme="minorHAnsi"/>
              </w:rPr>
              <w:t>(2.26)</w:t>
            </w:r>
          </w:p>
        </w:tc>
        <w:tc>
          <w:tcPr>
            <w:tcW w:w="1414" w:type="dxa"/>
            <w:tcBorders>
              <w:top w:val="single" w:sz="4" w:space="0" w:color="auto"/>
            </w:tcBorders>
          </w:tcPr>
          <w:p w:rsidR="00AA788D" w:rsidRDefault="00AA788D" w:rsidP="005A48A5">
            <w:pPr>
              <w:jc w:val="center"/>
              <w:rPr>
                <w:rFonts w:cstheme="minorHAnsi"/>
              </w:rPr>
            </w:pPr>
            <w:r>
              <w:rPr>
                <w:rFonts w:cstheme="minorHAnsi"/>
              </w:rPr>
              <w:t>7.63</w:t>
            </w:r>
          </w:p>
          <w:p w:rsidR="00AA788D" w:rsidRPr="00C15F47" w:rsidRDefault="00AA788D" w:rsidP="005A48A5">
            <w:pPr>
              <w:jc w:val="center"/>
              <w:rPr>
                <w:rFonts w:cstheme="minorHAnsi"/>
              </w:rPr>
            </w:pPr>
            <w:r>
              <w:rPr>
                <w:rFonts w:cstheme="minorHAnsi"/>
              </w:rPr>
              <w:t>(4.7)</w:t>
            </w:r>
          </w:p>
        </w:tc>
        <w:tc>
          <w:tcPr>
            <w:tcW w:w="1295" w:type="dxa"/>
            <w:tcBorders>
              <w:top w:val="single" w:sz="4" w:space="0" w:color="auto"/>
            </w:tcBorders>
          </w:tcPr>
          <w:p w:rsidR="00AA788D" w:rsidRDefault="00AA788D" w:rsidP="005A48A5">
            <w:pPr>
              <w:jc w:val="center"/>
              <w:rPr>
                <w:rFonts w:cstheme="minorHAnsi"/>
              </w:rPr>
            </w:pPr>
            <w:r>
              <w:rPr>
                <w:rFonts w:cstheme="minorHAnsi"/>
              </w:rPr>
              <w:t>- 7.37***</w:t>
            </w:r>
          </w:p>
          <w:p w:rsidR="00AA788D" w:rsidRPr="00C15F47" w:rsidRDefault="00AA788D" w:rsidP="005A48A5">
            <w:pPr>
              <w:jc w:val="center"/>
              <w:rPr>
                <w:rFonts w:cstheme="minorHAnsi"/>
              </w:rPr>
            </w:pPr>
            <w:r>
              <w:rPr>
                <w:rFonts w:cstheme="minorHAnsi"/>
              </w:rPr>
              <w:t>(2.50)</w:t>
            </w:r>
          </w:p>
        </w:tc>
      </w:tr>
      <w:tr w:rsidR="00AA788D" w:rsidRPr="00C15F47" w:rsidTr="005A48A5">
        <w:tc>
          <w:tcPr>
            <w:tcW w:w="5118" w:type="dxa"/>
          </w:tcPr>
          <w:p w:rsidR="00AA788D" w:rsidRPr="00A50368" w:rsidRDefault="00AA788D" w:rsidP="005A48A5">
            <w:pPr>
              <w:rPr>
                <w:rFonts w:cstheme="minorHAnsi"/>
                <w:i/>
              </w:rPr>
            </w:pPr>
            <w:r w:rsidRPr="00A50368">
              <w:rPr>
                <w:rFonts w:cstheme="minorHAnsi"/>
                <w:i/>
              </w:rPr>
              <w:t>Age</w:t>
            </w:r>
          </w:p>
          <w:p w:rsidR="00AA788D" w:rsidRPr="00A50368" w:rsidRDefault="00AA788D" w:rsidP="005A48A5">
            <w:pPr>
              <w:rPr>
                <w:rFonts w:cstheme="minorHAnsi"/>
                <w:i/>
              </w:rPr>
            </w:pPr>
          </w:p>
          <w:p w:rsidR="00AA788D" w:rsidRPr="00A50368" w:rsidRDefault="00AA788D" w:rsidP="005A48A5">
            <w:pPr>
              <w:rPr>
                <w:rFonts w:cstheme="minorHAnsi"/>
                <w:i/>
              </w:rPr>
            </w:pPr>
            <w:r w:rsidRPr="00A50368">
              <w:rPr>
                <w:rFonts w:cstheme="minorHAnsi"/>
                <w:i/>
              </w:rPr>
              <w:t>age22</w:t>
            </w:r>
          </w:p>
        </w:tc>
        <w:tc>
          <w:tcPr>
            <w:tcW w:w="1415" w:type="dxa"/>
          </w:tcPr>
          <w:p w:rsidR="00AA788D" w:rsidRDefault="00AA788D" w:rsidP="005A48A5">
            <w:pPr>
              <w:jc w:val="center"/>
              <w:rPr>
                <w:rFonts w:cstheme="minorHAnsi"/>
              </w:rPr>
            </w:pPr>
            <w:r>
              <w:rPr>
                <w:rFonts w:cstheme="minorHAnsi"/>
              </w:rPr>
              <w:t>- 0.09</w:t>
            </w:r>
          </w:p>
          <w:p w:rsidR="00AA788D" w:rsidRDefault="00AA788D" w:rsidP="005A48A5">
            <w:pPr>
              <w:jc w:val="center"/>
              <w:rPr>
                <w:rFonts w:cstheme="minorHAnsi"/>
              </w:rPr>
            </w:pPr>
            <w:r>
              <w:rPr>
                <w:rFonts w:cstheme="minorHAnsi"/>
              </w:rPr>
              <w:t>(0.08)</w:t>
            </w:r>
          </w:p>
          <w:p w:rsidR="00AA788D" w:rsidRDefault="00AA788D" w:rsidP="005A48A5">
            <w:pPr>
              <w:jc w:val="center"/>
              <w:rPr>
                <w:rFonts w:cstheme="minorHAnsi"/>
              </w:rPr>
            </w:pPr>
            <w:r>
              <w:rPr>
                <w:rFonts w:cstheme="minorHAnsi"/>
              </w:rPr>
              <w:t>0.08</w:t>
            </w:r>
          </w:p>
          <w:p w:rsidR="00AA788D" w:rsidRPr="00C15F47" w:rsidRDefault="00AA788D" w:rsidP="005A48A5">
            <w:pPr>
              <w:jc w:val="center"/>
              <w:rPr>
                <w:rFonts w:cstheme="minorHAnsi"/>
              </w:rPr>
            </w:pPr>
            <w:r>
              <w:rPr>
                <w:rFonts w:cstheme="minorHAnsi"/>
              </w:rPr>
              <w:t>(0.09)</w:t>
            </w:r>
          </w:p>
        </w:tc>
        <w:tc>
          <w:tcPr>
            <w:tcW w:w="1414" w:type="dxa"/>
          </w:tcPr>
          <w:p w:rsidR="00AA788D" w:rsidRDefault="00AA788D" w:rsidP="005A48A5">
            <w:pPr>
              <w:jc w:val="center"/>
              <w:rPr>
                <w:rFonts w:cstheme="minorHAnsi"/>
              </w:rPr>
            </w:pPr>
            <w:r>
              <w:rPr>
                <w:rFonts w:cstheme="minorHAnsi"/>
              </w:rPr>
              <w:t>- 0.36*</w:t>
            </w:r>
          </w:p>
          <w:p w:rsidR="00AA788D" w:rsidRDefault="00AA788D" w:rsidP="005A48A5">
            <w:pPr>
              <w:jc w:val="center"/>
              <w:rPr>
                <w:rFonts w:cstheme="minorHAnsi"/>
              </w:rPr>
            </w:pPr>
            <w:r>
              <w:rPr>
                <w:rFonts w:cstheme="minorHAnsi"/>
              </w:rPr>
              <w:t>(0.19)</w:t>
            </w:r>
          </w:p>
          <w:p w:rsidR="00AA788D" w:rsidRDefault="00AA788D" w:rsidP="005A48A5">
            <w:pPr>
              <w:jc w:val="center"/>
              <w:rPr>
                <w:rFonts w:cstheme="minorHAnsi"/>
              </w:rPr>
            </w:pPr>
            <w:r>
              <w:rPr>
                <w:rFonts w:cstheme="minorHAnsi"/>
              </w:rPr>
              <w:t>0.40*</w:t>
            </w:r>
          </w:p>
          <w:p w:rsidR="00AA788D" w:rsidRPr="00C15F47" w:rsidRDefault="00AA788D" w:rsidP="005A48A5">
            <w:pPr>
              <w:jc w:val="center"/>
              <w:rPr>
                <w:rFonts w:cstheme="minorHAnsi"/>
              </w:rPr>
            </w:pPr>
            <w:r>
              <w:rPr>
                <w:rFonts w:cstheme="minorHAnsi"/>
              </w:rPr>
              <w:t>(0.22)</w:t>
            </w:r>
          </w:p>
        </w:tc>
        <w:tc>
          <w:tcPr>
            <w:tcW w:w="1295" w:type="dxa"/>
          </w:tcPr>
          <w:p w:rsidR="00AA788D" w:rsidRDefault="00AA788D" w:rsidP="005A48A5">
            <w:pPr>
              <w:jc w:val="center"/>
              <w:rPr>
                <w:rFonts w:cstheme="minorHAnsi"/>
              </w:rPr>
            </w:pPr>
            <w:r>
              <w:rPr>
                <w:rFonts w:cstheme="minorHAnsi"/>
              </w:rPr>
              <w:t>0.20**</w:t>
            </w:r>
          </w:p>
          <w:p w:rsidR="00AA788D" w:rsidRDefault="00AA788D" w:rsidP="005A48A5">
            <w:pPr>
              <w:jc w:val="center"/>
              <w:rPr>
                <w:rFonts w:cstheme="minorHAnsi"/>
              </w:rPr>
            </w:pPr>
            <w:r>
              <w:rPr>
                <w:rFonts w:cstheme="minorHAnsi"/>
              </w:rPr>
              <w:t>(0.09)</w:t>
            </w:r>
          </w:p>
          <w:p w:rsidR="00AA788D" w:rsidRDefault="00AA788D" w:rsidP="005A48A5">
            <w:pPr>
              <w:jc w:val="center"/>
              <w:rPr>
                <w:rFonts w:cstheme="minorHAnsi"/>
              </w:rPr>
            </w:pPr>
            <w:r>
              <w:rPr>
                <w:rFonts w:cstheme="minorHAnsi"/>
              </w:rPr>
              <w:t>- 0.25**</w:t>
            </w:r>
          </w:p>
          <w:p w:rsidR="00AA788D" w:rsidRPr="00C15F47" w:rsidRDefault="00AA788D" w:rsidP="005A48A5">
            <w:pPr>
              <w:jc w:val="center"/>
              <w:rPr>
                <w:rFonts w:cstheme="minorHAnsi"/>
              </w:rPr>
            </w:pPr>
            <w:r>
              <w:rPr>
                <w:rFonts w:cstheme="minorHAnsi"/>
              </w:rPr>
              <w:t>(0.11)</w:t>
            </w:r>
          </w:p>
        </w:tc>
      </w:tr>
      <w:tr w:rsidR="00AA788D" w:rsidRPr="00C15F47" w:rsidTr="005A48A5">
        <w:tc>
          <w:tcPr>
            <w:tcW w:w="5118" w:type="dxa"/>
          </w:tcPr>
          <w:p w:rsidR="00AA788D" w:rsidRPr="00A50368" w:rsidRDefault="00AA788D" w:rsidP="005A48A5">
            <w:pPr>
              <w:rPr>
                <w:rFonts w:cstheme="minorHAnsi"/>
                <w:i/>
              </w:rPr>
            </w:pPr>
            <w:proofErr w:type="spellStart"/>
            <w:r w:rsidRPr="00A50368">
              <w:rPr>
                <w:rFonts w:cstheme="minorHAnsi"/>
                <w:i/>
              </w:rPr>
              <w:t>busness_exper</w:t>
            </w:r>
            <w:proofErr w:type="spellEnd"/>
          </w:p>
          <w:p w:rsidR="00AA788D" w:rsidRPr="00A50368" w:rsidRDefault="00AA788D" w:rsidP="005A48A5">
            <w:pPr>
              <w:rPr>
                <w:rFonts w:cstheme="minorHAnsi"/>
                <w:i/>
              </w:rPr>
            </w:pPr>
          </w:p>
          <w:p w:rsidR="00AA788D" w:rsidRPr="00A50368" w:rsidRDefault="00AA788D" w:rsidP="005A48A5">
            <w:pPr>
              <w:rPr>
                <w:rFonts w:cstheme="minorHAnsi"/>
                <w:i/>
              </w:rPr>
            </w:pPr>
            <w:r w:rsidRPr="00A50368">
              <w:rPr>
                <w:rFonts w:cstheme="minorHAnsi"/>
                <w:i/>
              </w:rPr>
              <w:t>busness_exper22</w:t>
            </w:r>
          </w:p>
        </w:tc>
        <w:tc>
          <w:tcPr>
            <w:tcW w:w="1415" w:type="dxa"/>
          </w:tcPr>
          <w:p w:rsidR="00AA788D" w:rsidRDefault="00AA788D" w:rsidP="005A48A5">
            <w:pPr>
              <w:jc w:val="center"/>
              <w:rPr>
                <w:rFonts w:cstheme="minorHAnsi"/>
              </w:rPr>
            </w:pPr>
            <w:r>
              <w:rPr>
                <w:rFonts w:cstheme="minorHAnsi"/>
              </w:rPr>
              <w:t>0.002</w:t>
            </w:r>
          </w:p>
          <w:p w:rsidR="00AA788D" w:rsidRDefault="00AA788D" w:rsidP="005A48A5">
            <w:pPr>
              <w:jc w:val="center"/>
              <w:rPr>
                <w:rFonts w:cstheme="minorHAnsi"/>
              </w:rPr>
            </w:pPr>
            <w:r>
              <w:rPr>
                <w:rFonts w:cstheme="minorHAnsi"/>
              </w:rPr>
              <w:t>(0.03)</w:t>
            </w:r>
          </w:p>
          <w:p w:rsidR="00AA788D" w:rsidRDefault="00AA788D" w:rsidP="005A48A5">
            <w:pPr>
              <w:jc w:val="center"/>
              <w:rPr>
                <w:rFonts w:cstheme="minorHAnsi"/>
              </w:rPr>
            </w:pPr>
            <w:r>
              <w:rPr>
                <w:rFonts w:cstheme="minorHAnsi"/>
              </w:rPr>
              <w:t>0.008</w:t>
            </w:r>
          </w:p>
          <w:p w:rsidR="00AA788D" w:rsidRPr="00C15F47" w:rsidRDefault="00AA788D" w:rsidP="005A48A5">
            <w:pPr>
              <w:jc w:val="center"/>
              <w:rPr>
                <w:rFonts w:cstheme="minorHAnsi"/>
              </w:rPr>
            </w:pPr>
            <w:r>
              <w:rPr>
                <w:rFonts w:cstheme="minorHAnsi"/>
              </w:rPr>
              <w:t>(0.04)</w:t>
            </w:r>
          </w:p>
        </w:tc>
        <w:tc>
          <w:tcPr>
            <w:tcW w:w="1414" w:type="dxa"/>
          </w:tcPr>
          <w:p w:rsidR="00AA788D" w:rsidRDefault="00AA788D" w:rsidP="005A48A5">
            <w:pPr>
              <w:jc w:val="center"/>
              <w:rPr>
                <w:rFonts w:cstheme="minorHAnsi"/>
              </w:rPr>
            </w:pPr>
            <w:r>
              <w:rPr>
                <w:rFonts w:cstheme="minorHAnsi"/>
              </w:rPr>
              <w:t>0.01</w:t>
            </w:r>
          </w:p>
          <w:p w:rsidR="00AA788D" w:rsidRDefault="00AA788D" w:rsidP="005A48A5">
            <w:pPr>
              <w:jc w:val="center"/>
              <w:rPr>
                <w:rFonts w:cstheme="minorHAnsi"/>
              </w:rPr>
            </w:pPr>
            <w:r>
              <w:rPr>
                <w:rFonts w:cstheme="minorHAnsi"/>
              </w:rPr>
              <w:t>(0.05)</w:t>
            </w:r>
          </w:p>
          <w:p w:rsidR="00AA788D" w:rsidRDefault="00AA788D" w:rsidP="005A48A5">
            <w:pPr>
              <w:jc w:val="center"/>
              <w:rPr>
                <w:rFonts w:cstheme="minorHAnsi"/>
              </w:rPr>
            </w:pPr>
            <w:r>
              <w:rPr>
                <w:rFonts w:cstheme="minorHAnsi"/>
              </w:rPr>
              <w:t>0.01</w:t>
            </w:r>
          </w:p>
          <w:p w:rsidR="00AA788D" w:rsidRPr="00C15F47" w:rsidRDefault="00AA788D" w:rsidP="005A48A5">
            <w:pPr>
              <w:jc w:val="center"/>
              <w:rPr>
                <w:rFonts w:cstheme="minorHAnsi"/>
              </w:rPr>
            </w:pPr>
            <w:r>
              <w:rPr>
                <w:rFonts w:cstheme="minorHAnsi"/>
              </w:rPr>
              <w:t>(0.08)</w:t>
            </w:r>
          </w:p>
        </w:tc>
        <w:tc>
          <w:tcPr>
            <w:tcW w:w="1295" w:type="dxa"/>
          </w:tcPr>
          <w:p w:rsidR="00AA788D" w:rsidRDefault="00AA788D" w:rsidP="005A48A5">
            <w:pPr>
              <w:jc w:val="center"/>
              <w:rPr>
                <w:rFonts w:cstheme="minorHAnsi"/>
              </w:rPr>
            </w:pPr>
            <w:r>
              <w:rPr>
                <w:rFonts w:cstheme="minorHAnsi"/>
              </w:rPr>
              <w:t>0.04</w:t>
            </w:r>
          </w:p>
          <w:p w:rsidR="00AA788D" w:rsidRDefault="00AA788D" w:rsidP="005A48A5">
            <w:pPr>
              <w:jc w:val="center"/>
              <w:rPr>
                <w:rFonts w:cstheme="minorHAnsi"/>
              </w:rPr>
            </w:pPr>
            <w:r>
              <w:rPr>
                <w:rFonts w:cstheme="minorHAnsi"/>
              </w:rPr>
              <w:t>(0.03)</w:t>
            </w:r>
          </w:p>
          <w:p w:rsidR="00AA788D" w:rsidRDefault="00AA788D" w:rsidP="005A48A5">
            <w:pPr>
              <w:jc w:val="center"/>
              <w:rPr>
                <w:rFonts w:cstheme="minorHAnsi"/>
              </w:rPr>
            </w:pPr>
            <w:r>
              <w:rPr>
                <w:rFonts w:cstheme="minorHAnsi"/>
              </w:rPr>
              <w:t>- 0.07</w:t>
            </w:r>
          </w:p>
          <w:p w:rsidR="00AA788D" w:rsidRPr="00C15F47" w:rsidRDefault="00AA788D" w:rsidP="005A48A5">
            <w:pPr>
              <w:jc w:val="center"/>
              <w:rPr>
                <w:rFonts w:cstheme="minorHAnsi"/>
              </w:rPr>
            </w:pPr>
            <w:r>
              <w:rPr>
                <w:rFonts w:cstheme="minorHAnsi"/>
              </w:rPr>
              <w:t>(0.04)</w:t>
            </w:r>
          </w:p>
        </w:tc>
      </w:tr>
      <w:tr w:rsidR="00AA788D" w:rsidRPr="00C15F47" w:rsidTr="005A48A5">
        <w:tc>
          <w:tcPr>
            <w:tcW w:w="5118" w:type="dxa"/>
          </w:tcPr>
          <w:p w:rsidR="00AA788D" w:rsidRPr="00A50368" w:rsidRDefault="00AA788D" w:rsidP="005A48A5">
            <w:pPr>
              <w:rPr>
                <w:rFonts w:cstheme="minorHAnsi"/>
                <w:i/>
              </w:rPr>
            </w:pPr>
            <w:proofErr w:type="spellStart"/>
            <w:r w:rsidRPr="00A50368">
              <w:rPr>
                <w:rFonts w:cstheme="minorHAnsi"/>
                <w:i/>
              </w:rPr>
              <w:t>Educ</w:t>
            </w:r>
            <w:proofErr w:type="spellEnd"/>
          </w:p>
          <w:p w:rsidR="00AA788D" w:rsidRPr="00A50368" w:rsidRDefault="00AA788D" w:rsidP="005A48A5">
            <w:pPr>
              <w:rPr>
                <w:rFonts w:cstheme="minorHAnsi"/>
                <w:i/>
              </w:rPr>
            </w:pPr>
          </w:p>
          <w:p w:rsidR="00AA788D" w:rsidRPr="00A50368" w:rsidRDefault="00AA788D" w:rsidP="005A48A5">
            <w:pPr>
              <w:rPr>
                <w:rFonts w:cstheme="minorHAnsi"/>
                <w:i/>
              </w:rPr>
            </w:pPr>
            <w:proofErr w:type="spellStart"/>
            <w:r w:rsidRPr="00A50368">
              <w:rPr>
                <w:rFonts w:cstheme="minorHAnsi"/>
                <w:i/>
              </w:rPr>
              <w:t>lnsales</w:t>
            </w:r>
            <w:proofErr w:type="spellEnd"/>
            <w:r w:rsidRPr="00A50368">
              <w:rPr>
                <w:rFonts w:cstheme="minorHAnsi"/>
                <w:i/>
              </w:rPr>
              <w:t xml:space="preserve"> </w:t>
            </w:r>
          </w:p>
        </w:tc>
        <w:tc>
          <w:tcPr>
            <w:tcW w:w="1415" w:type="dxa"/>
          </w:tcPr>
          <w:p w:rsidR="00AA788D" w:rsidRDefault="00AA788D" w:rsidP="005A48A5">
            <w:pPr>
              <w:jc w:val="center"/>
              <w:rPr>
                <w:rFonts w:cstheme="minorHAnsi"/>
              </w:rPr>
            </w:pPr>
            <w:r>
              <w:rPr>
                <w:rFonts w:cstheme="minorHAnsi"/>
              </w:rPr>
              <w:t>0.05</w:t>
            </w:r>
          </w:p>
          <w:p w:rsidR="00AA788D" w:rsidRDefault="00AA788D" w:rsidP="005A48A5">
            <w:pPr>
              <w:jc w:val="center"/>
              <w:rPr>
                <w:rFonts w:cstheme="minorHAnsi"/>
              </w:rPr>
            </w:pPr>
            <w:r>
              <w:rPr>
                <w:rFonts w:cstheme="minorHAnsi"/>
              </w:rPr>
              <w:t>(0.05)</w:t>
            </w:r>
          </w:p>
          <w:p w:rsidR="00AA788D" w:rsidRDefault="00AA788D" w:rsidP="005A48A5">
            <w:pPr>
              <w:jc w:val="center"/>
              <w:rPr>
                <w:rFonts w:cstheme="minorHAnsi"/>
              </w:rPr>
            </w:pPr>
            <w:r>
              <w:rPr>
                <w:rFonts w:cstheme="minorHAnsi"/>
              </w:rPr>
              <w:t>- 0.02</w:t>
            </w:r>
          </w:p>
          <w:p w:rsidR="00AA788D" w:rsidRPr="00C15F47" w:rsidRDefault="00AA788D" w:rsidP="005A48A5">
            <w:pPr>
              <w:jc w:val="center"/>
              <w:rPr>
                <w:rFonts w:cstheme="minorHAnsi"/>
              </w:rPr>
            </w:pPr>
            <w:r>
              <w:rPr>
                <w:rFonts w:cstheme="minorHAnsi"/>
              </w:rPr>
              <w:t>(0.08)</w:t>
            </w:r>
          </w:p>
        </w:tc>
        <w:tc>
          <w:tcPr>
            <w:tcW w:w="1414" w:type="dxa"/>
          </w:tcPr>
          <w:p w:rsidR="00AA788D" w:rsidRDefault="00AA788D" w:rsidP="005A48A5">
            <w:pPr>
              <w:jc w:val="center"/>
              <w:rPr>
                <w:rFonts w:cstheme="minorHAnsi"/>
              </w:rPr>
            </w:pPr>
            <w:r>
              <w:rPr>
                <w:rFonts w:cstheme="minorHAnsi"/>
              </w:rPr>
              <w:t>0.12**</w:t>
            </w:r>
          </w:p>
          <w:p w:rsidR="00AA788D" w:rsidRDefault="00AA788D" w:rsidP="005A48A5">
            <w:pPr>
              <w:jc w:val="center"/>
              <w:rPr>
                <w:rFonts w:cstheme="minorHAnsi"/>
              </w:rPr>
            </w:pPr>
            <w:r>
              <w:rPr>
                <w:rFonts w:cstheme="minorHAnsi"/>
              </w:rPr>
              <w:t>(0.07)</w:t>
            </w:r>
          </w:p>
          <w:p w:rsidR="00AA788D" w:rsidRDefault="00AA788D" w:rsidP="005A48A5">
            <w:pPr>
              <w:jc w:val="center"/>
              <w:rPr>
                <w:rFonts w:cstheme="minorHAnsi"/>
              </w:rPr>
            </w:pPr>
            <w:r>
              <w:rPr>
                <w:rFonts w:cstheme="minorHAnsi"/>
              </w:rPr>
              <w:t>- 0.13</w:t>
            </w:r>
          </w:p>
          <w:p w:rsidR="00AA788D" w:rsidRPr="00C15F47" w:rsidRDefault="00AA788D" w:rsidP="005A48A5">
            <w:pPr>
              <w:jc w:val="center"/>
              <w:rPr>
                <w:rFonts w:cstheme="minorHAnsi"/>
              </w:rPr>
            </w:pPr>
            <w:r>
              <w:rPr>
                <w:rFonts w:cstheme="minorHAnsi"/>
              </w:rPr>
              <w:t>(0.14)</w:t>
            </w:r>
          </w:p>
        </w:tc>
        <w:tc>
          <w:tcPr>
            <w:tcW w:w="1295" w:type="dxa"/>
          </w:tcPr>
          <w:p w:rsidR="00AA788D" w:rsidRDefault="00AA788D" w:rsidP="005A48A5">
            <w:pPr>
              <w:jc w:val="center"/>
              <w:rPr>
                <w:rFonts w:cstheme="minorHAnsi"/>
              </w:rPr>
            </w:pPr>
            <w:r>
              <w:rPr>
                <w:rFonts w:cstheme="minorHAnsi"/>
              </w:rPr>
              <w:t>- 0.05</w:t>
            </w:r>
          </w:p>
          <w:p w:rsidR="00AA788D" w:rsidRDefault="00AA788D" w:rsidP="005A48A5">
            <w:pPr>
              <w:jc w:val="center"/>
              <w:rPr>
                <w:rFonts w:cstheme="minorHAnsi"/>
              </w:rPr>
            </w:pPr>
            <w:r>
              <w:rPr>
                <w:rFonts w:cstheme="minorHAnsi"/>
              </w:rPr>
              <w:t>(0.04)</w:t>
            </w:r>
          </w:p>
          <w:p w:rsidR="00AA788D" w:rsidRDefault="00AA788D" w:rsidP="005A48A5">
            <w:pPr>
              <w:jc w:val="center"/>
              <w:rPr>
                <w:rFonts w:cstheme="minorHAnsi"/>
              </w:rPr>
            </w:pPr>
            <w:r>
              <w:rPr>
                <w:rFonts w:cstheme="minorHAnsi"/>
              </w:rPr>
              <w:t>0.16**</w:t>
            </w:r>
          </w:p>
          <w:p w:rsidR="00AA788D" w:rsidRPr="00C15F47" w:rsidRDefault="00AA788D" w:rsidP="005A48A5">
            <w:pPr>
              <w:jc w:val="center"/>
              <w:rPr>
                <w:rFonts w:cstheme="minorHAnsi"/>
              </w:rPr>
            </w:pPr>
            <w:r>
              <w:rPr>
                <w:rFonts w:cstheme="minorHAnsi"/>
              </w:rPr>
              <w:t>(0.08)</w:t>
            </w:r>
          </w:p>
        </w:tc>
      </w:tr>
      <w:tr w:rsidR="00AA788D" w:rsidRPr="00C15F47" w:rsidTr="005A48A5">
        <w:tc>
          <w:tcPr>
            <w:tcW w:w="5118" w:type="dxa"/>
          </w:tcPr>
          <w:p w:rsidR="00AA788D" w:rsidRPr="00A50368" w:rsidRDefault="00AA788D" w:rsidP="005A48A5">
            <w:pPr>
              <w:rPr>
                <w:rFonts w:cstheme="minorHAnsi"/>
                <w:i/>
              </w:rPr>
            </w:pPr>
            <w:proofErr w:type="spellStart"/>
            <w:r>
              <w:rPr>
                <w:rFonts w:cstheme="minorHAnsi"/>
                <w:i/>
              </w:rPr>
              <w:t>expnd_d</w:t>
            </w:r>
            <w:proofErr w:type="spellEnd"/>
          </w:p>
          <w:p w:rsidR="00AA788D" w:rsidRDefault="00AA788D" w:rsidP="005A48A5">
            <w:pPr>
              <w:rPr>
                <w:rFonts w:cstheme="minorHAnsi"/>
                <w:i/>
              </w:rPr>
            </w:pPr>
          </w:p>
          <w:p w:rsidR="00AA788D" w:rsidRPr="00A50368" w:rsidRDefault="00AA788D" w:rsidP="005A48A5">
            <w:pPr>
              <w:rPr>
                <w:rFonts w:cstheme="minorHAnsi"/>
                <w:i/>
              </w:rPr>
            </w:pPr>
            <w:r>
              <w:rPr>
                <w:rFonts w:cstheme="minorHAnsi"/>
                <w:i/>
              </w:rPr>
              <w:t>cash1</w:t>
            </w:r>
          </w:p>
          <w:p w:rsidR="00AA788D" w:rsidRPr="00A50368" w:rsidRDefault="00AA788D" w:rsidP="005A48A5">
            <w:pPr>
              <w:rPr>
                <w:rFonts w:cstheme="minorHAnsi"/>
                <w:b/>
                <w:i/>
              </w:rPr>
            </w:pPr>
          </w:p>
          <w:p w:rsidR="00AA788D" w:rsidRPr="00A50368" w:rsidRDefault="00AA788D" w:rsidP="005A48A5">
            <w:pPr>
              <w:rPr>
                <w:rFonts w:cstheme="minorHAnsi"/>
                <w:i/>
              </w:rPr>
            </w:pPr>
            <w:r>
              <w:rPr>
                <w:rFonts w:cstheme="minorHAnsi"/>
                <w:i/>
              </w:rPr>
              <w:t>g</w:t>
            </w:r>
            <w:r w:rsidRPr="00A50368">
              <w:rPr>
                <w:rFonts w:cstheme="minorHAnsi"/>
                <w:i/>
              </w:rPr>
              <w:t>ender</w:t>
            </w:r>
          </w:p>
        </w:tc>
        <w:tc>
          <w:tcPr>
            <w:tcW w:w="1415" w:type="dxa"/>
          </w:tcPr>
          <w:p w:rsidR="00AA788D" w:rsidRDefault="00AA788D" w:rsidP="005A48A5">
            <w:pPr>
              <w:jc w:val="center"/>
              <w:rPr>
                <w:rFonts w:cstheme="minorHAnsi"/>
              </w:rPr>
            </w:pPr>
            <w:r>
              <w:rPr>
                <w:rFonts w:cstheme="minorHAnsi"/>
              </w:rPr>
              <w:t>- 0.37</w:t>
            </w:r>
          </w:p>
          <w:p w:rsidR="00AA788D" w:rsidRDefault="00AA788D" w:rsidP="005A48A5">
            <w:pPr>
              <w:jc w:val="center"/>
              <w:rPr>
                <w:rFonts w:cstheme="minorHAnsi"/>
              </w:rPr>
            </w:pPr>
            <w:r>
              <w:rPr>
                <w:rFonts w:cstheme="minorHAnsi"/>
              </w:rPr>
              <w:t>(0.25)</w:t>
            </w:r>
          </w:p>
          <w:p w:rsidR="00AA788D" w:rsidRDefault="00AA788D" w:rsidP="005A48A5">
            <w:pPr>
              <w:jc w:val="center"/>
              <w:rPr>
                <w:rFonts w:cstheme="minorHAnsi"/>
              </w:rPr>
            </w:pPr>
            <w:r>
              <w:rPr>
                <w:rFonts w:cstheme="minorHAnsi"/>
              </w:rPr>
              <w:t>0.56**</w:t>
            </w:r>
          </w:p>
          <w:p w:rsidR="00AA788D" w:rsidRDefault="00AA788D" w:rsidP="005A48A5">
            <w:pPr>
              <w:jc w:val="center"/>
              <w:rPr>
                <w:rFonts w:cstheme="minorHAnsi"/>
              </w:rPr>
            </w:pPr>
            <w:r>
              <w:rPr>
                <w:rFonts w:cstheme="minorHAnsi"/>
              </w:rPr>
              <w:t>(0.27)</w:t>
            </w:r>
          </w:p>
          <w:p w:rsidR="00AA788D" w:rsidRDefault="00AA788D" w:rsidP="005A48A5">
            <w:pPr>
              <w:jc w:val="center"/>
              <w:rPr>
                <w:rFonts w:cstheme="minorHAnsi"/>
              </w:rPr>
            </w:pPr>
            <w:r>
              <w:rPr>
                <w:rFonts w:cstheme="minorHAnsi"/>
              </w:rPr>
              <w:t>0.39</w:t>
            </w:r>
          </w:p>
          <w:p w:rsidR="00AA788D" w:rsidRPr="00C15F47" w:rsidRDefault="00AA788D" w:rsidP="005A48A5">
            <w:pPr>
              <w:jc w:val="center"/>
              <w:rPr>
                <w:rFonts w:cstheme="minorHAnsi"/>
              </w:rPr>
            </w:pPr>
            <w:r>
              <w:rPr>
                <w:rFonts w:cstheme="minorHAnsi"/>
              </w:rPr>
              <w:t>(0.34)</w:t>
            </w:r>
          </w:p>
        </w:tc>
        <w:tc>
          <w:tcPr>
            <w:tcW w:w="1414" w:type="dxa"/>
          </w:tcPr>
          <w:p w:rsidR="00AA788D" w:rsidRDefault="00AA788D" w:rsidP="005A48A5">
            <w:pPr>
              <w:jc w:val="center"/>
              <w:rPr>
                <w:rFonts w:cstheme="minorHAnsi"/>
              </w:rPr>
            </w:pPr>
            <w:r>
              <w:rPr>
                <w:rFonts w:cstheme="minorHAnsi"/>
              </w:rPr>
              <w:t>- 0.93**</w:t>
            </w:r>
          </w:p>
          <w:p w:rsidR="00AA788D" w:rsidRDefault="00AA788D" w:rsidP="005A48A5">
            <w:pPr>
              <w:jc w:val="center"/>
              <w:rPr>
                <w:rFonts w:cstheme="minorHAnsi"/>
              </w:rPr>
            </w:pPr>
            <w:r>
              <w:rPr>
                <w:rFonts w:cstheme="minorHAnsi"/>
              </w:rPr>
              <w:t>(0.45)</w:t>
            </w:r>
          </w:p>
          <w:p w:rsidR="00AA788D" w:rsidRDefault="00AA788D" w:rsidP="005A48A5">
            <w:pPr>
              <w:jc w:val="center"/>
              <w:rPr>
                <w:rFonts w:cstheme="minorHAnsi"/>
              </w:rPr>
            </w:pPr>
            <w:r>
              <w:rPr>
                <w:rFonts w:cstheme="minorHAnsi"/>
              </w:rPr>
              <w:t>1.19***</w:t>
            </w:r>
          </w:p>
          <w:p w:rsidR="00AA788D" w:rsidRDefault="00AA788D" w:rsidP="005A48A5">
            <w:pPr>
              <w:jc w:val="center"/>
              <w:rPr>
                <w:rFonts w:cstheme="minorHAnsi"/>
              </w:rPr>
            </w:pPr>
            <w:r>
              <w:rPr>
                <w:rFonts w:cstheme="minorHAnsi"/>
              </w:rPr>
              <w:t>(0.45)</w:t>
            </w:r>
          </w:p>
          <w:p w:rsidR="00AA788D" w:rsidRDefault="00AA788D" w:rsidP="005A48A5">
            <w:pPr>
              <w:jc w:val="center"/>
              <w:rPr>
                <w:rFonts w:cstheme="minorHAnsi"/>
              </w:rPr>
            </w:pPr>
            <w:r>
              <w:rPr>
                <w:rFonts w:cstheme="minorHAnsi"/>
              </w:rPr>
              <w:t>0.72</w:t>
            </w:r>
          </w:p>
          <w:p w:rsidR="00AA788D" w:rsidRPr="00C15F47" w:rsidRDefault="00AA788D" w:rsidP="005A48A5">
            <w:pPr>
              <w:jc w:val="center"/>
              <w:rPr>
                <w:rFonts w:cstheme="minorHAnsi"/>
              </w:rPr>
            </w:pPr>
            <w:r>
              <w:rPr>
                <w:rFonts w:cstheme="minorHAnsi"/>
              </w:rPr>
              <w:t>(0.56)</w:t>
            </w:r>
          </w:p>
        </w:tc>
        <w:tc>
          <w:tcPr>
            <w:tcW w:w="1295" w:type="dxa"/>
          </w:tcPr>
          <w:p w:rsidR="00AA788D" w:rsidRDefault="00AA788D" w:rsidP="005A48A5">
            <w:pPr>
              <w:jc w:val="center"/>
              <w:rPr>
                <w:rFonts w:cstheme="minorHAnsi"/>
              </w:rPr>
            </w:pPr>
            <w:r>
              <w:rPr>
                <w:rFonts w:cstheme="minorHAnsi"/>
              </w:rPr>
              <w:t>0.88***</w:t>
            </w:r>
          </w:p>
          <w:p w:rsidR="00AA788D" w:rsidRDefault="00AA788D" w:rsidP="005A48A5">
            <w:pPr>
              <w:jc w:val="center"/>
              <w:rPr>
                <w:rFonts w:cstheme="minorHAnsi"/>
              </w:rPr>
            </w:pPr>
            <w:r>
              <w:rPr>
                <w:rFonts w:cstheme="minorHAnsi"/>
              </w:rPr>
              <w:t>(0.28)</w:t>
            </w:r>
          </w:p>
          <w:p w:rsidR="00AA788D" w:rsidRDefault="00AA788D" w:rsidP="005A48A5">
            <w:pPr>
              <w:jc w:val="center"/>
              <w:rPr>
                <w:rFonts w:cstheme="minorHAnsi"/>
              </w:rPr>
            </w:pPr>
            <w:r>
              <w:rPr>
                <w:rFonts w:cstheme="minorHAnsi"/>
              </w:rPr>
              <w:t>- 0.07</w:t>
            </w:r>
          </w:p>
          <w:p w:rsidR="00AA788D" w:rsidRDefault="00AA788D" w:rsidP="005A48A5">
            <w:pPr>
              <w:jc w:val="center"/>
              <w:rPr>
                <w:rFonts w:cstheme="minorHAnsi"/>
              </w:rPr>
            </w:pPr>
            <w:r>
              <w:rPr>
                <w:rFonts w:cstheme="minorHAnsi"/>
              </w:rPr>
              <w:t>(0.28)</w:t>
            </w:r>
          </w:p>
          <w:p w:rsidR="00AA788D" w:rsidRDefault="00AA788D" w:rsidP="005A48A5">
            <w:pPr>
              <w:jc w:val="center"/>
              <w:rPr>
                <w:rFonts w:cstheme="minorHAnsi"/>
              </w:rPr>
            </w:pPr>
            <w:r>
              <w:rPr>
                <w:rFonts w:cstheme="minorHAnsi"/>
              </w:rPr>
              <w:t>0.27</w:t>
            </w:r>
          </w:p>
          <w:p w:rsidR="00AA788D" w:rsidRPr="00C15F47" w:rsidRDefault="00AA788D" w:rsidP="005A48A5">
            <w:pPr>
              <w:jc w:val="center"/>
              <w:rPr>
                <w:rFonts w:cstheme="minorHAnsi"/>
              </w:rPr>
            </w:pPr>
            <w:r>
              <w:rPr>
                <w:rFonts w:cstheme="minorHAnsi"/>
              </w:rPr>
              <w:t>(0.35)</w:t>
            </w:r>
          </w:p>
        </w:tc>
      </w:tr>
      <w:tr w:rsidR="00AA788D" w:rsidRPr="00C15F47" w:rsidTr="005A48A5">
        <w:tc>
          <w:tcPr>
            <w:tcW w:w="5118" w:type="dxa"/>
          </w:tcPr>
          <w:p w:rsidR="00AA788D" w:rsidRPr="00A50368" w:rsidRDefault="00AA788D" w:rsidP="005A48A5">
            <w:pPr>
              <w:rPr>
                <w:rFonts w:cstheme="minorHAnsi"/>
                <w:b/>
                <w:i/>
              </w:rPr>
            </w:pPr>
            <w:proofErr w:type="spellStart"/>
            <w:r>
              <w:rPr>
                <w:rFonts w:cstheme="minorHAnsi"/>
                <w:i/>
              </w:rPr>
              <w:t>tash_obl</w:t>
            </w:r>
            <w:proofErr w:type="spellEnd"/>
          </w:p>
          <w:p w:rsidR="00AA788D" w:rsidRPr="00A50368" w:rsidRDefault="00AA788D" w:rsidP="005A48A5">
            <w:pPr>
              <w:rPr>
                <w:rFonts w:cstheme="minorHAnsi"/>
                <w:b/>
                <w:i/>
              </w:rPr>
            </w:pPr>
          </w:p>
          <w:p w:rsidR="00AA788D" w:rsidRPr="00A50368" w:rsidRDefault="00AA788D" w:rsidP="005A48A5">
            <w:pPr>
              <w:rPr>
                <w:rFonts w:cstheme="minorHAnsi"/>
                <w:i/>
              </w:rPr>
            </w:pPr>
            <w:proofErr w:type="spellStart"/>
            <w:r>
              <w:rPr>
                <w:rFonts w:cstheme="minorHAnsi"/>
                <w:i/>
              </w:rPr>
              <w:t>f</w:t>
            </w:r>
            <w:r w:rsidRPr="00A50368">
              <w:rPr>
                <w:rFonts w:cstheme="minorHAnsi"/>
                <w:i/>
              </w:rPr>
              <w:t>ergh</w:t>
            </w:r>
            <w:proofErr w:type="spellEnd"/>
          </w:p>
        </w:tc>
        <w:tc>
          <w:tcPr>
            <w:tcW w:w="1415" w:type="dxa"/>
          </w:tcPr>
          <w:p w:rsidR="00AA788D" w:rsidRDefault="00AA788D" w:rsidP="005A48A5">
            <w:pPr>
              <w:ind w:left="360"/>
              <w:rPr>
                <w:rFonts w:cstheme="minorHAnsi"/>
              </w:rPr>
            </w:pPr>
            <w:r>
              <w:rPr>
                <w:rFonts w:cstheme="minorHAnsi"/>
              </w:rPr>
              <w:t>- 0.05</w:t>
            </w:r>
          </w:p>
          <w:p w:rsidR="00AA788D" w:rsidRDefault="00AA788D" w:rsidP="005A48A5">
            <w:pPr>
              <w:ind w:left="360"/>
              <w:rPr>
                <w:rFonts w:cstheme="minorHAnsi"/>
              </w:rPr>
            </w:pPr>
            <w:r>
              <w:rPr>
                <w:rFonts w:cstheme="minorHAnsi"/>
              </w:rPr>
              <w:t>(0.33)</w:t>
            </w:r>
          </w:p>
          <w:p w:rsidR="00AA788D" w:rsidRDefault="00AA788D" w:rsidP="005A48A5">
            <w:pPr>
              <w:ind w:left="360"/>
              <w:rPr>
                <w:rFonts w:cstheme="minorHAnsi"/>
              </w:rPr>
            </w:pPr>
            <w:r>
              <w:rPr>
                <w:rFonts w:cstheme="minorHAnsi"/>
              </w:rPr>
              <w:t>- 1.46***</w:t>
            </w:r>
          </w:p>
          <w:p w:rsidR="00AA788D" w:rsidRPr="00C15F47" w:rsidRDefault="00AA788D" w:rsidP="005A48A5">
            <w:pPr>
              <w:ind w:left="360"/>
              <w:rPr>
                <w:rFonts w:cstheme="minorHAnsi"/>
              </w:rPr>
            </w:pPr>
            <w:r>
              <w:rPr>
                <w:rFonts w:cstheme="minorHAnsi"/>
              </w:rPr>
              <w:t>(0.40)</w:t>
            </w:r>
          </w:p>
        </w:tc>
        <w:tc>
          <w:tcPr>
            <w:tcW w:w="1414" w:type="dxa"/>
          </w:tcPr>
          <w:p w:rsidR="00AA788D" w:rsidRDefault="00AA788D" w:rsidP="005A48A5">
            <w:pPr>
              <w:jc w:val="center"/>
              <w:rPr>
                <w:rFonts w:cstheme="minorHAnsi"/>
              </w:rPr>
            </w:pPr>
            <w:r>
              <w:rPr>
                <w:rFonts w:cstheme="minorHAnsi"/>
              </w:rPr>
              <w:t>0.03</w:t>
            </w:r>
          </w:p>
          <w:p w:rsidR="00AA788D" w:rsidRDefault="00AA788D" w:rsidP="005A48A5">
            <w:pPr>
              <w:jc w:val="center"/>
              <w:rPr>
                <w:rFonts w:cstheme="minorHAnsi"/>
              </w:rPr>
            </w:pPr>
            <w:r>
              <w:rPr>
                <w:rFonts w:cstheme="minorHAnsi"/>
              </w:rPr>
              <w:t>(0.53)</w:t>
            </w:r>
          </w:p>
          <w:p w:rsidR="00AA788D" w:rsidRDefault="00AA788D" w:rsidP="005A48A5">
            <w:pPr>
              <w:jc w:val="center"/>
              <w:rPr>
                <w:rFonts w:cstheme="minorHAnsi"/>
              </w:rPr>
            </w:pPr>
            <w:r>
              <w:rPr>
                <w:rFonts w:cstheme="minorHAnsi"/>
              </w:rPr>
              <w:t>- 0.73</w:t>
            </w:r>
          </w:p>
          <w:p w:rsidR="00AA788D" w:rsidRPr="00C15F47" w:rsidRDefault="00AA788D" w:rsidP="005A48A5">
            <w:pPr>
              <w:jc w:val="center"/>
              <w:rPr>
                <w:rFonts w:cstheme="minorHAnsi"/>
              </w:rPr>
            </w:pPr>
            <w:r>
              <w:rPr>
                <w:rFonts w:cstheme="minorHAnsi"/>
              </w:rPr>
              <w:t>(0.64)</w:t>
            </w:r>
          </w:p>
        </w:tc>
        <w:tc>
          <w:tcPr>
            <w:tcW w:w="1295" w:type="dxa"/>
          </w:tcPr>
          <w:p w:rsidR="00AA788D" w:rsidRDefault="00AA788D" w:rsidP="005A48A5">
            <w:pPr>
              <w:jc w:val="center"/>
              <w:rPr>
                <w:rFonts w:cstheme="minorHAnsi"/>
              </w:rPr>
            </w:pPr>
            <w:r>
              <w:rPr>
                <w:rFonts w:cstheme="minorHAnsi"/>
              </w:rPr>
              <w:t>0.01</w:t>
            </w:r>
          </w:p>
          <w:p w:rsidR="00AA788D" w:rsidRDefault="00AA788D" w:rsidP="005A48A5">
            <w:pPr>
              <w:jc w:val="center"/>
              <w:rPr>
                <w:rFonts w:cstheme="minorHAnsi"/>
              </w:rPr>
            </w:pPr>
            <w:r>
              <w:rPr>
                <w:rFonts w:cstheme="minorHAnsi"/>
              </w:rPr>
              <w:t>(0.34)</w:t>
            </w:r>
          </w:p>
          <w:p w:rsidR="00AA788D" w:rsidRDefault="00AA788D" w:rsidP="005A48A5">
            <w:pPr>
              <w:jc w:val="center"/>
              <w:rPr>
                <w:rFonts w:cstheme="minorHAnsi"/>
              </w:rPr>
            </w:pPr>
            <w:r>
              <w:rPr>
                <w:rFonts w:cstheme="minorHAnsi"/>
              </w:rPr>
              <w:t>- 0.78**</w:t>
            </w:r>
          </w:p>
          <w:p w:rsidR="00AA788D" w:rsidRPr="00C15F47" w:rsidRDefault="00AA788D" w:rsidP="005A48A5">
            <w:pPr>
              <w:jc w:val="center"/>
              <w:rPr>
                <w:rFonts w:cstheme="minorHAnsi"/>
              </w:rPr>
            </w:pPr>
            <w:r>
              <w:rPr>
                <w:rFonts w:cstheme="minorHAnsi"/>
              </w:rPr>
              <w:t>(0.39)</w:t>
            </w:r>
          </w:p>
        </w:tc>
      </w:tr>
      <w:tr w:rsidR="00AA788D" w:rsidRPr="00C15F47" w:rsidTr="005A48A5">
        <w:tc>
          <w:tcPr>
            <w:tcW w:w="5118" w:type="dxa"/>
          </w:tcPr>
          <w:p w:rsidR="00AA788D" w:rsidRPr="00A50368" w:rsidRDefault="00AA788D" w:rsidP="005A48A5">
            <w:pPr>
              <w:rPr>
                <w:rFonts w:cstheme="minorHAnsi"/>
                <w:i/>
              </w:rPr>
            </w:pPr>
            <w:proofErr w:type="spellStart"/>
            <w:r>
              <w:rPr>
                <w:rFonts w:cstheme="minorHAnsi"/>
                <w:i/>
              </w:rPr>
              <w:t>agri</w:t>
            </w:r>
            <w:proofErr w:type="spellEnd"/>
          </w:p>
          <w:p w:rsidR="00AA788D" w:rsidRPr="00A50368" w:rsidRDefault="00AA788D" w:rsidP="005A48A5">
            <w:pPr>
              <w:rPr>
                <w:rFonts w:cstheme="minorHAnsi"/>
                <w:i/>
              </w:rPr>
            </w:pPr>
          </w:p>
          <w:p w:rsidR="00AA788D" w:rsidRPr="00A50368" w:rsidRDefault="00AA788D" w:rsidP="005A48A5">
            <w:pPr>
              <w:rPr>
                <w:rFonts w:cstheme="minorHAnsi"/>
                <w:i/>
              </w:rPr>
            </w:pPr>
            <w:proofErr w:type="spellStart"/>
            <w:r>
              <w:rPr>
                <w:rFonts w:cstheme="minorHAnsi"/>
                <w:i/>
              </w:rPr>
              <w:t>srvs</w:t>
            </w:r>
            <w:proofErr w:type="spellEnd"/>
          </w:p>
          <w:p w:rsidR="00AA788D" w:rsidRPr="00A50368" w:rsidRDefault="00AA788D" w:rsidP="005A48A5">
            <w:pPr>
              <w:rPr>
                <w:rFonts w:cstheme="minorHAnsi"/>
                <w:i/>
              </w:rPr>
            </w:pPr>
          </w:p>
          <w:p w:rsidR="00AA788D" w:rsidRPr="00A50368" w:rsidRDefault="00AA788D" w:rsidP="005A48A5">
            <w:pPr>
              <w:rPr>
                <w:rFonts w:cstheme="minorHAnsi"/>
                <w:i/>
              </w:rPr>
            </w:pPr>
            <w:proofErr w:type="spellStart"/>
            <w:r>
              <w:rPr>
                <w:rFonts w:cstheme="minorHAnsi"/>
                <w:i/>
              </w:rPr>
              <w:t>trd</w:t>
            </w:r>
            <w:proofErr w:type="spellEnd"/>
          </w:p>
          <w:p w:rsidR="00AA788D" w:rsidRPr="00A50368" w:rsidRDefault="00AA788D" w:rsidP="005A48A5">
            <w:pPr>
              <w:rPr>
                <w:rFonts w:cstheme="minorHAnsi"/>
                <w:i/>
              </w:rPr>
            </w:pPr>
          </w:p>
        </w:tc>
        <w:tc>
          <w:tcPr>
            <w:tcW w:w="1415" w:type="dxa"/>
          </w:tcPr>
          <w:p w:rsidR="00AA788D" w:rsidRDefault="00AA788D" w:rsidP="005A48A5">
            <w:pPr>
              <w:jc w:val="center"/>
              <w:rPr>
                <w:rFonts w:cstheme="minorHAnsi"/>
              </w:rPr>
            </w:pPr>
            <w:r>
              <w:rPr>
                <w:rFonts w:cstheme="minorHAnsi"/>
              </w:rPr>
              <w:t>0.28</w:t>
            </w:r>
          </w:p>
          <w:p w:rsidR="00AA788D" w:rsidRDefault="00AA788D" w:rsidP="005A48A5">
            <w:pPr>
              <w:jc w:val="center"/>
              <w:rPr>
                <w:rFonts w:cstheme="minorHAnsi"/>
              </w:rPr>
            </w:pPr>
            <w:r>
              <w:rPr>
                <w:rFonts w:cstheme="minorHAnsi"/>
              </w:rPr>
              <w:t>(0.47)</w:t>
            </w:r>
          </w:p>
          <w:p w:rsidR="00AA788D" w:rsidRDefault="00AA788D" w:rsidP="005A48A5">
            <w:pPr>
              <w:jc w:val="center"/>
              <w:rPr>
                <w:rFonts w:cstheme="minorHAnsi"/>
              </w:rPr>
            </w:pPr>
            <w:r>
              <w:rPr>
                <w:rFonts w:cstheme="minorHAnsi"/>
              </w:rPr>
              <w:t>- 0.18</w:t>
            </w:r>
          </w:p>
          <w:p w:rsidR="00AA788D" w:rsidRDefault="00AA788D" w:rsidP="005A48A5">
            <w:pPr>
              <w:jc w:val="center"/>
              <w:rPr>
                <w:rFonts w:cstheme="minorHAnsi"/>
              </w:rPr>
            </w:pPr>
            <w:r>
              <w:rPr>
                <w:rFonts w:cstheme="minorHAnsi"/>
              </w:rPr>
              <w:t>(0.36)</w:t>
            </w:r>
          </w:p>
          <w:p w:rsidR="00AA788D" w:rsidRDefault="00AA788D" w:rsidP="005A48A5">
            <w:pPr>
              <w:jc w:val="center"/>
              <w:rPr>
                <w:rFonts w:cstheme="minorHAnsi"/>
              </w:rPr>
            </w:pPr>
            <w:r>
              <w:rPr>
                <w:rFonts w:cstheme="minorHAnsi"/>
              </w:rPr>
              <w:t>- 0.49</w:t>
            </w:r>
          </w:p>
          <w:p w:rsidR="00AA788D" w:rsidRPr="00C15F47" w:rsidRDefault="00AA788D" w:rsidP="005A48A5">
            <w:pPr>
              <w:jc w:val="center"/>
              <w:rPr>
                <w:rFonts w:cstheme="minorHAnsi"/>
              </w:rPr>
            </w:pPr>
            <w:r>
              <w:rPr>
                <w:rFonts w:cstheme="minorHAnsi"/>
              </w:rPr>
              <w:t>(0.41)</w:t>
            </w:r>
          </w:p>
        </w:tc>
        <w:tc>
          <w:tcPr>
            <w:tcW w:w="1414" w:type="dxa"/>
          </w:tcPr>
          <w:p w:rsidR="00AA788D" w:rsidRDefault="00AA788D" w:rsidP="005A48A5">
            <w:pPr>
              <w:jc w:val="center"/>
              <w:rPr>
                <w:rFonts w:cstheme="minorHAnsi"/>
              </w:rPr>
            </w:pPr>
            <w:r>
              <w:rPr>
                <w:rFonts w:cstheme="minorHAnsi"/>
              </w:rPr>
              <w:t>-0.46</w:t>
            </w:r>
          </w:p>
          <w:p w:rsidR="00AA788D" w:rsidRDefault="00AA788D" w:rsidP="005A48A5">
            <w:pPr>
              <w:jc w:val="center"/>
              <w:rPr>
                <w:rFonts w:cstheme="minorHAnsi"/>
              </w:rPr>
            </w:pPr>
            <w:r>
              <w:rPr>
                <w:rFonts w:cstheme="minorHAnsi"/>
              </w:rPr>
              <w:t>(0.71)</w:t>
            </w:r>
          </w:p>
          <w:p w:rsidR="00AA788D" w:rsidRDefault="00AA788D" w:rsidP="005A48A5">
            <w:pPr>
              <w:jc w:val="center"/>
              <w:rPr>
                <w:rFonts w:cstheme="minorHAnsi"/>
              </w:rPr>
            </w:pPr>
            <w:r>
              <w:rPr>
                <w:rFonts w:cstheme="minorHAnsi"/>
              </w:rPr>
              <w:t>0.19</w:t>
            </w:r>
          </w:p>
          <w:p w:rsidR="00AA788D" w:rsidRDefault="00AA788D" w:rsidP="005A48A5">
            <w:pPr>
              <w:jc w:val="center"/>
              <w:rPr>
                <w:rFonts w:cstheme="minorHAnsi"/>
              </w:rPr>
            </w:pPr>
            <w:r>
              <w:rPr>
                <w:rFonts w:cstheme="minorHAnsi"/>
              </w:rPr>
              <w:t>(0.68)</w:t>
            </w:r>
          </w:p>
          <w:p w:rsidR="00AA788D" w:rsidRDefault="00AA788D" w:rsidP="005A48A5">
            <w:pPr>
              <w:jc w:val="center"/>
              <w:rPr>
                <w:rFonts w:cstheme="minorHAnsi"/>
              </w:rPr>
            </w:pPr>
            <w:r>
              <w:rPr>
                <w:rFonts w:cstheme="minorHAnsi"/>
              </w:rPr>
              <w:t>- 0.81</w:t>
            </w:r>
          </w:p>
          <w:p w:rsidR="00AA788D" w:rsidRPr="00C15F47" w:rsidRDefault="00AA788D" w:rsidP="005A48A5">
            <w:pPr>
              <w:jc w:val="center"/>
              <w:rPr>
                <w:rFonts w:cstheme="minorHAnsi"/>
              </w:rPr>
            </w:pPr>
            <w:r>
              <w:rPr>
                <w:rFonts w:cstheme="minorHAnsi"/>
              </w:rPr>
              <w:t>(0.61)</w:t>
            </w:r>
          </w:p>
        </w:tc>
        <w:tc>
          <w:tcPr>
            <w:tcW w:w="1295" w:type="dxa"/>
          </w:tcPr>
          <w:p w:rsidR="00AA788D" w:rsidRDefault="00AA788D" w:rsidP="005A48A5">
            <w:pPr>
              <w:jc w:val="center"/>
              <w:rPr>
                <w:rFonts w:cstheme="minorHAnsi"/>
              </w:rPr>
            </w:pPr>
            <w:r>
              <w:rPr>
                <w:rFonts w:cstheme="minorHAnsi"/>
              </w:rPr>
              <w:t>0.22</w:t>
            </w:r>
          </w:p>
          <w:p w:rsidR="00AA788D" w:rsidRDefault="00AA788D" w:rsidP="005A48A5">
            <w:pPr>
              <w:jc w:val="center"/>
              <w:rPr>
                <w:rFonts w:cstheme="minorHAnsi"/>
              </w:rPr>
            </w:pPr>
            <w:r>
              <w:rPr>
                <w:rFonts w:cstheme="minorHAnsi"/>
              </w:rPr>
              <w:t>(0.45)</w:t>
            </w:r>
          </w:p>
          <w:p w:rsidR="00AA788D" w:rsidRDefault="00AA788D" w:rsidP="005A48A5">
            <w:pPr>
              <w:jc w:val="center"/>
              <w:rPr>
                <w:rFonts w:cstheme="minorHAnsi"/>
              </w:rPr>
            </w:pPr>
            <w:r>
              <w:rPr>
                <w:rFonts w:cstheme="minorHAnsi"/>
              </w:rPr>
              <w:t>- 0.94***</w:t>
            </w:r>
          </w:p>
          <w:p w:rsidR="00AA788D" w:rsidRDefault="00AA788D" w:rsidP="005A48A5">
            <w:pPr>
              <w:jc w:val="center"/>
              <w:rPr>
                <w:rFonts w:cstheme="minorHAnsi"/>
              </w:rPr>
            </w:pPr>
            <w:r>
              <w:rPr>
                <w:rFonts w:cstheme="minorHAnsi"/>
              </w:rPr>
              <w:t>(0.38)</w:t>
            </w:r>
          </w:p>
          <w:p w:rsidR="00AA788D" w:rsidRDefault="00AA788D" w:rsidP="005A48A5">
            <w:pPr>
              <w:jc w:val="center"/>
              <w:rPr>
                <w:rFonts w:cstheme="minorHAnsi"/>
              </w:rPr>
            </w:pPr>
            <w:r>
              <w:rPr>
                <w:rFonts w:cstheme="minorHAnsi"/>
              </w:rPr>
              <w:t>0.36</w:t>
            </w:r>
          </w:p>
          <w:p w:rsidR="00AA788D" w:rsidRPr="00C15F47" w:rsidRDefault="00AA788D" w:rsidP="005A48A5">
            <w:pPr>
              <w:jc w:val="center"/>
              <w:rPr>
                <w:rFonts w:cstheme="minorHAnsi"/>
              </w:rPr>
            </w:pPr>
            <w:r>
              <w:rPr>
                <w:rFonts w:cstheme="minorHAnsi"/>
              </w:rPr>
              <w:t>(0.39)</w:t>
            </w:r>
          </w:p>
        </w:tc>
      </w:tr>
      <w:tr w:rsidR="00AA788D" w:rsidRPr="00C15F47" w:rsidTr="005A48A5">
        <w:tc>
          <w:tcPr>
            <w:tcW w:w="5118" w:type="dxa"/>
            <w:tcBorders>
              <w:bottom w:val="single" w:sz="4" w:space="0" w:color="auto"/>
            </w:tcBorders>
          </w:tcPr>
          <w:p w:rsidR="00AA788D" w:rsidRPr="00A50368" w:rsidRDefault="00AA788D" w:rsidP="005A48A5">
            <w:pPr>
              <w:rPr>
                <w:rFonts w:cstheme="minorHAnsi"/>
                <w:i/>
              </w:rPr>
            </w:pPr>
            <w:proofErr w:type="spellStart"/>
            <w:r>
              <w:rPr>
                <w:rFonts w:cstheme="minorHAnsi"/>
                <w:i/>
              </w:rPr>
              <w:t>gov_connect</w:t>
            </w:r>
            <w:proofErr w:type="spellEnd"/>
          </w:p>
          <w:p w:rsidR="00AA788D" w:rsidRPr="00A50368" w:rsidRDefault="00AA788D" w:rsidP="005A48A5">
            <w:pPr>
              <w:rPr>
                <w:rFonts w:cstheme="minorHAnsi"/>
                <w:i/>
              </w:rPr>
            </w:pPr>
          </w:p>
          <w:p w:rsidR="00AA788D" w:rsidRPr="00A50368" w:rsidRDefault="00AA788D" w:rsidP="005A48A5">
            <w:pPr>
              <w:rPr>
                <w:rFonts w:cstheme="minorHAnsi"/>
                <w:i/>
              </w:rPr>
            </w:pPr>
            <w:r w:rsidRPr="00A50368">
              <w:rPr>
                <w:rFonts w:cstheme="minorHAnsi"/>
                <w:i/>
              </w:rPr>
              <w:t>Bribe</w:t>
            </w:r>
          </w:p>
          <w:p w:rsidR="00AA788D" w:rsidRPr="00A50368" w:rsidRDefault="00AA788D" w:rsidP="005A48A5">
            <w:pPr>
              <w:rPr>
                <w:rFonts w:cstheme="minorHAnsi"/>
                <w:i/>
              </w:rPr>
            </w:pPr>
          </w:p>
          <w:p w:rsidR="00AA788D" w:rsidRPr="00A50368" w:rsidRDefault="00AA788D" w:rsidP="005A48A5">
            <w:pPr>
              <w:rPr>
                <w:rFonts w:cstheme="minorHAnsi"/>
                <w:i/>
              </w:rPr>
            </w:pPr>
            <w:proofErr w:type="spellStart"/>
            <w:r>
              <w:rPr>
                <w:rFonts w:cstheme="minorHAnsi"/>
                <w:i/>
              </w:rPr>
              <w:t>bzinbrpl</w:t>
            </w:r>
            <w:proofErr w:type="spellEnd"/>
          </w:p>
          <w:p w:rsidR="00AA788D" w:rsidRPr="00A50368" w:rsidRDefault="00AA788D" w:rsidP="005A48A5">
            <w:pPr>
              <w:rPr>
                <w:rFonts w:cstheme="minorHAnsi"/>
                <w:i/>
              </w:rPr>
            </w:pPr>
          </w:p>
        </w:tc>
        <w:tc>
          <w:tcPr>
            <w:tcW w:w="1415" w:type="dxa"/>
            <w:tcBorders>
              <w:bottom w:val="single" w:sz="4" w:space="0" w:color="auto"/>
            </w:tcBorders>
          </w:tcPr>
          <w:p w:rsidR="00AA788D" w:rsidRDefault="00AA788D" w:rsidP="005A48A5">
            <w:pPr>
              <w:jc w:val="center"/>
              <w:rPr>
                <w:rFonts w:cstheme="minorHAnsi"/>
              </w:rPr>
            </w:pPr>
            <w:r>
              <w:rPr>
                <w:rFonts w:cstheme="minorHAnsi"/>
              </w:rPr>
              <w:t>0.01</w:t>
            </w:r>
          </w:p>
          <w:p w:rsidR="00AA788D" w:rsidRDefault="00AA788D" w:rsidP="005A48A5">
            <w:pPr>
              <w:jc w:val="center"/>
              <w:rPr>
                <w:rFonts w:cstheme="minorHAnsi"/>
              </w:rPr>
            </w:pPr>
            <w:r>
              <w:rPr>
                <w:rFonts w:cstheme="minorHAnsi"/>
              </w:rPr>
              <w:t>(0.31)</w:t>
            </w:r>
          </w:p>
          <w:p w:rsidR="00AA788D" w:rsidRDefault="00AA788D" w:rsidP="005A48A5">
            <w:pPr>
              <w:jc w:val="center"/>
              <w:rPr>
                <w:rFonts w:cstheme="minorHAnsi"/>
              </w:rPr>
            </w:pPr>
            <w:r>
              <w:rPr>
                <w:rFonts w:cstheme="minorHAnsi"/>
              </w:rPr>
              <w:t>_</w:t>
            </w:r>
          </w:p>
          <w:p w:rsidR="00AA788D" w:rsidRDefault="00AA788D" w:rsidP="005A48A5">
            <w:pPr>
              <w:jc w:val="center"/>
              <w:rPr>
                <w:rFonts w:cstheme="minorHAnsi"/>
              </w:rPr>
            </w:pPr>
          </w:p>
          <w:p w:rsidR="00AA788D" w:rsidRDefault="00AA788D" w:rsidP="005A48A5">
            <w:pPr>
              <w:jc w:val="center"/>
              <w:rPr>
                <w:rFonts w:cstheme="minorHAnsi"/>
              </w:rPr>
            </w:pPr>
            <w:r>
              <w:rPr>
                <w:rFonts w:cstheme="minorHAnsi"/>
              </w:rPr>
              <w:t>- 0.17</w:t>
            </w:r>
          </w:p>
          <w:p w:rsidR="00AA788D" w:rsidRPr="00C15F47" w:rsidRDefault="00AA788D" w:rsidP="005A48A5">
            <w:pPr>
              <w:jc w:val="center"/>
              <w:rPr>
                <w:rFonts w:cstheme="minorHAnsi"/>
              </w:rPr>
            </w:pPr>
            <w:r>
              <w:rPr>
                <w:rFonts w:cstheme="minorHAnsi"/>
              </w:rPr>
              <w:t>(0.30)</w:t>
            </w:r>
          </w:p>
        </w:tc>
        <w:tc>
          <w:tcPr>
            <w:tcW w:w="1414" w:type="dxa"/>
            <w:tcBorders>
              <w:bottom w:val="single" w:sz="4" w:space="0" w:color="auto"/>
            </w:tcBorders>
          </w:tcPr>
          <w:p w:rsidR="00AA788D" w:rsidRDefault="00AA788D" w:rsidP="005A48A5">
            <w:pPr>
              <w:jc w:val="center"/>
              <w:rPr>
                <w:rFonts w:cstheme="minorHAnsi"/>
              </w:rPr>
            </w:pPr>
            <w:r>
              <w:rPr>
                <w:rFonts w:cstheme="minorHAnsi"/>
              </w:rPr>
              <w:t>- 0.28</w:t>
            </w:r>
          </w:p>
          <w:p w:rsidR="00AA788D" w:rsidRDefault="00AA788D" w:rsidP="005A48A5">
            <w:pPr>
              <w:jc w:val="center"/>
              <w:rPr>
                <w:rFonts w:cstheme="minorHAnsi"/>
              </w:rPr>
            </w:pPr>
            <w:r>
              <w:rPr>
                <w:rFonts w:cstheme="minorHAnsi"/>
              </w:rPr>
              <w:t>(0.48)</w:t>
            </w:r>
          </w:p>
          <w:p w:rsidR="00AA788D" w:rsidRDefault="00AA788D" w:rsidP="005A48A5">
            <w:pPr>
              <w:jc w:val="center"/>
              <w:rPr>
                <w:rFonts w:cstheme="minorHAnsi"/>
              </w:rPr>
            </w:pPr>
            <w:r>
              <w:rPr>
                <w:rFonts w:cstheme="minorHAnsi"/>
              </w:rPr>
              <w:t>_</w:t>
            </w:r>
          </w:p>
          <w:p w:rsidR="00AA788D" w:rsidRDefault="00AA788D" w:rsidP="005A48A5">
            <w:pPr>
              <w:jc w:val="center"/>
              <w:rPr>
                <w:rFonts w:cstheme="minorHAnsi"/>
              </w:rPr>
            </w:pPr>
          </w:p>
          <w:p w:rsidR="00AA788D" w:rsidRDefault="00AA788D" w:rsidP="005A48A5">
            <w:pPr>
              <w:jc w:val="center"/>
              <w:rPr>
                <w:rFonts w:cstheme="minorHAnsi"/>
              </w:rPr>
            </w:pPr>
            <w:r>
              <w:rPr>
                <w:rFonts w:cstheme="minorHAnsi"/>
              </w:rPr>
              <w:t>0.03</w:t>
            </w:r>
          </w:p>
          <w:p w:rsidR="00AA788D" w:rsidRPr="00C15F47" w:rsidRDefault="00AA788D" w:rsidP="005A48A5">
            <w:pPr>
              <w:jc w:val="center"/>
              <w:rPr>
                <w:rFonts w:cstheme="minorHAnsi"/>
              </w:rPr>
            </w:pPr>
            <w:r>
              <w:rPr>
                <w:rFonts w:cstheme="minorHAnsi"/>
              </w:rPr>
              <w:t>(0.53)</w:t>
            </w:r>
          </w:p>
        </w:tc>
        <w:tc>
          <w:tcPr>
            <w:tcW w:w="1295" w:type="dxa"/>
            <w:tcBorders>
              <w:bottom w:val="single" w:sz="4" w:space="0" w:color="auto"/>
            </w:tcBorders>
          </w:tcPr>
          <w:p w:rsidR="00AA788D" w:rsidRDefault="00AA788D" w:rsidP="005A48A5">
            <w:pPr>
              <w:jc w:val="center"/>
              <w:rPr>
                <w:rFonts w:cstheme="minorHAnsi"/>
              </w:rPr>
            </w:pPr>
            <w:r>
              <w:rPr>
                <w:rFonts w:cstheme="minorHAnsi"/>
              </w:rPr>
              <w:t>0.61**</w:t>
            </w:r>
          </w:p>
          <w:p w:rsidR="00AA788D" w:rsidRDefault="00AA788D" w:rsidP="005A48A5">
            <w:pPr>
              <w:jc w:val="center"/>
              <w:rPr>
                <w:rFonts w:cstheme="minorHAnsi"/>
              </w:rPr>
            </w:pPr>
            <w:r>
              <w:rPr>
                <w:rFonts w:cstheme="minorHAnsi"/>
              </w:rPr>
              <w:t>(0.30)</w:t>
            </w:r>
          </w:p>
          <w:p w:rsidR="00AA788D" w:rsidRDefault="00AA788D" w:rsidP="005A48A5">
            <w:pPr>
              <w:jc w:val="center"/>
              <w:rPr>
                <w:rFonts w:cstheme="minorHAnsi"/>
              </w:rPr>
            </w:pPr>
            <w:r>
              <w:rPr>
                <w:rFonts w:cstheme="minorHAnsi"/>
              </w:rPr>
              <w:t>0.61**</w:t>
            </w:r>
          </w:p>
          <w:p w:rsidR="00AA788D" w:rsidRDefault="00AA788D" w:rsidP="005A48A5">
            <w:pPr>
              <w:jc w:val="center"/>
              <w:rPr>
                <w:rFonts w:cstheme="minorHAnsi"/>
              </w:rPr>
            </w:pPr>
            <w:r>
              <w:rPr>
                <w:rFonts w:cstheme="minorHAnsi"/>
              </w:rPr>
              <w:t>(0.27)</w:t>
            </w:r>
          </w:p>
          <w:p w:rsidR="00AA788D" w:rsidRDefault="00AA788D" w:rsidP="005A48A5">
            <w:pPr>
              <w:jc w:val="center"/>
              <w:rPr>
                <w:rFonts w:cstheme="minorHAnsi"/>
              </w:rPr>
            </w:pPr>
            <w:r>
              <w:rPr>
                <w:rFonts w:cstheme="minorHAnsi"/>
              </w:rPr>
              <w:t>0.53*</w:t>
            </w:r>
          </w:p>
          <w:p w:rsidR="00AA788D" w:rsidRPr="00C15F47" w:rsidRDefault="00AA788D" w:rsidP="005A48A5">
            <w:pPr>
              <w:jc w:val="center"/>
              <w:rPr>
                <w:rFonts w:cstheme="minorHAnsi"/>
              </w:rPr>
            </w:pPr>
            <w:r>
              <w:rPr>
                <w:rFonts w:cstheme="minorHAnsi"/>
              </w:rPr>
              <w:t>(0.32)</w:t>
            </w:r>
          </w:p>
        </w:tc>
      </w:tr>
      <w:tr w:rsidR="00AA788D" w:rsidRPr="00C15F47" w:rsidTr="005A48A5">
        <w:tc>
          <w:tcPr>
            <w:tcW w:w="5118" w:type="dxa"/>
            <w:tcBorders>
              <w:top w:val="single" w:sz="4" w:space="0" w:color="auto"/>
            </w:tcBorders>
          </w:tcPr>
          <w:p w:rsidR="00AA788D" w:rsidRPr="00C15F47" w:rsidRDefault="00AA788D" w:rsidP="005A48A5">
            <w:pPr>
              <w:rPr>
                <w:rFonts w:cstheme="minorHAnsi"/>
                <w:b/>
                <w:i/>
              </w:rPr>
            </w:pPr>
            <w:r w:rsidRPr="00C15F47">
              <w:rPr>
                <w:rFonts w:cstheme="minorHAnsi"/>
                <w:b/>
                <w:i/>
              </w:rPr>
              <w:t>Overall Model Evaluation and Tests</w:t>
            </w:r>
          </w:p>
        </w:tc>
        <w:tc>
          <w:tcPr>
            <w:tcW w:w="1415" w:type="dxa"/>
            <w:tcBorders>
              <w:top w:val="single" w:sz="4" w:space="0" w:color="auto"/>
            </w:tcBorders>
          </w:tcPr>
          <w:p w:rsidR="00AA788D" w:rsidRPr="00C15F47" w:rsidRDefault="00AA788D" w:rsidP="005A48A5">
            <w:pPr>
              <w:rPr>
                <w:rFonts w:cstheme="minorHAnsi"/>
              </w:rPr>
            </w:pPr>
          </w:p>
        </w:tc>
        <w:tc>
          <w:tcPr>
            <w:tcW w:w="1414" w:type="dxa"/>
            <w:tcBorders>
              <w:top w:val="single" w:sz="4" w:space="0" w:color="auto"/>
            </w:tcBorders>
          </w:tcPr>
          <w:p w:rsidR="00AA788D" w:rsidRPr="00C15F47" w:rsidRDefault="00AA788D" w:rsidP="005A48A5">
            <w:pPr>
              <w:rPr>
                <w:rFonts w:cstheme="minorHAnsi"/>
              </w:rPr>
            </w:pPr>
          </w:p>
        </w:tc>
        <w:tc>
          <w:tcPr>
            <w:tcW w:w="1295" w:type="dxa"/>
            <w:tcBorders>
              <w:top w:val="single" w:sz="4" w:space="0" w:color="auto"/>
            </w:tcBorders>
          </w:tcPr>
          <w:p w:rsidR="00AA788D" w:rsidRPr="00C15F47" w:rsidRDefault="00AA788D" w:rsidP="005A48A5">
            <w:pPr>
              <w:rPr>
                <w:rFonts w:cstheme="minorHAnsi"/>
              </w:rPr>
            </w:pPr>
          </w:p>
        </w:tc>
      </w:tr>
      <w:tr w:rsidR="00AA788D" w:rsidRPr="00C15F47" w:rsidTr="005A48A5">
        <w:tc>
          <w:tcPr>
            <w:tcW w:w="5118" w:type="dxa"/>
          </w:tcPr>
          <w:p w:rsidR="00AA788D" w:rsidRPr="00C15F47" w:rsidRDefault="00AA788D" w:rsidP="005A48A5">
            <w:pPr>
              <w:rPr>
                <w:rFonts w:cstheme="minorHAnsi"/>
                <w:i/>
              </w:rPr>
            </w:pPr>
          </w:p>
        </w:tc>
        <w:tc>
          <w:tcPr>
            <w:tcW w:w="1415" w:type="dxa"/>
          </w:tcPr>
          <w:p w:rsidR="00AA788D" w:rsidRPr="00C15F47" w:rsidRDefault="00AA788D" w:rsidP="005A48A5">
            <w:pPr>
              <w:jc w:val="center"/>
              <w:rPr>
                <w:rFonts w:cstheme="minorHAnsi"/>
                <w:i/>
              </w:rPr>
            </w:pPr>
            <w:r w:rsidRPr="00C15F47">
              <w:rPr>
                <w:rFonts w:cstheme="minorHAnsi"/>
                <w:color w:val="000000"/>
                <w:shd w:val="clear" w:color="auto" w:fill="FFFFF4"/>
              </w:rPr>
              <w:t>χ²(</w:t>
            </w:r>
            <w:proofErr w:type="spellStart"/>
            <w:r w:rsidRPr="00C15F47">
              <w:rPr>
                <w:rFonts w:cstheme="minorHAnsi"/>
                <w:color w:val="000000"/>
                <w:shd w:val="clear" w:color="auto" w:fill="FFFFF4"/>
              </w:rPr>
              <w:t>d.f</w:t>
            </w:r>
            <w:proofErr w:type="spellEnd"/>
            <w:r w:rsidRPr="00C15F47">
              <w:rPr>
                <w:rFonts w:cstheme="minorHAnsi"/>
                <w:color w:val="000000"/>
                <w:shd w:val="clear" w:color="auto" w:fill="FFFFF4"/>
              </w:rPr>
              <w:t>.)</w:t>
            </w:r>
          </w:p>
        </w:tc>
        <w:tc>
          <w:tcPr>
            <w:tcW w:w="1414" w:type="dxa"/>
          </w:tcPr>
          <w:p w:rsidR="00AA788D" w:rsidRPr="00C15F47" w:rsidRDefault="00AA788D" w:rsidP="005A48A5">
            <w:pPr>
              <w:jc w:val="center"/>
              <w:rPr>
                <w:rFonts w:cstheme="minorHAnsi"/>
                <w:b/>
              </w:rPr>
            </w:pPr>
            <w:r w:rsidRPr="00C15F47">
              <w:rPr>
                <w:rFonts w:cstheme="minorHAnsi"/>
                <w:color w:val="000000"/>
                <w:shd w:val="clear" w:color="auto" w:fill="FFFFF4"/>
              </w:rPr>
              <w:t>χ²(</w:t>
            </w:r>
            <w:proofErr w:type="spellStart"/>
            <w:r w:rsidRPr="00C15F47">
              <w:rPr>
                <w:rFonts w:cstheme="minorHAnsi"/>
                <w:color w:val="000000"/>
                <w:shd w:val="clear" w:color="auto" w:fill="FFFFF4"/>
              </w:rPr>
              <w:t>d.f</w:t>
            </w:r>
            <w:proofErr w:type="spellEnd"/>
            <w:r w:rsidRPr="00C15F47">
              <w:rPr>
                <w:rFonts w:cstheme="minorHAnsi"/>
                <w:color w:val="000000"/>
                <w:shd w:val="clear" w:color="auto" w:fill="FFFFF4"/>
              </w:rPr>
              <w:t>.)</w:t>
            </w:r>
          </w:p>
        </w:tc>
        <w:tc>
          <w:tcPr>
            <w:tcW w:w="1295" w:type="dxa"/>
          </w:tcPr>
          <w:p w:rsidR="00AA788D" w:rsidRPr="00C15F47" w:rsidRDefault="00AA788D" w:rsidP="005A48A5">
            <w:pPr>
              <w:jc w:val="center"/>
              <w:rPr>
                <w:rFonts w:cstheme="minorHAnsi"/>
                <w:b/>
                <w:i/>
              </w:rPr>
            </w:pPr>
            <w:r w:rsidRPr="00C15F47">
              <w:rPr>
                <w:rFonts w:cstheme="minorHAnsi"/>
                <w:color w:val="000000"/>
                <w:shd w:val="clear" w:color="auto" w:fill="FFFFF4"/>
              </w:rPr>
              <w:t>χ²(</w:t>
            </w:r>
            <w:proofErr w:type="spellStart"/>
            <w:r w:rsidRPr="00C15F47">
              <w:rPr>
                <w:rFonts w:cstheme="minorHAnsi"/>
                <w:color w:val="000000"/>
                <w:shd w:val="clear" w:color="auto" w:fill="FFFFF4"/>
              </w:rPr>
              <w:t>d.f</w:t>
            </w:r>
            <w:proofErr w:type="spellEnd"/>
            <w:r w:rsidRPr="00C15F47">
              <w:rPr>
                <w:rFonts w:cstheme="minorHAnsi"/>
                <w:color w:val="000000"/>
                <w:shd w:val="clear" w:color="auto" w:fill="FFFFF4"/>
              </w:rPr>
              <w:t>.)</w:t>
            </w:r>
          </w:p>
        </w:tc>
      </w:tr>
      <w:tr w:rsidR="00AA788D" w:rsidRPr="00C15F47" w:rsidTr="005A48A5">
        <w:tc>
          <w:tcPr>
            <w:tcW w:w="5118" w:type="dxa"/>
          </w:tcPr>
          <w:p w:rsidR="00AA788D" w:rsidRPr="00C15F47" w:rsidRDefault="00AA788D" w:rsidP="005A48A5">
            <w:pPr>
              <w:rPr>
                <w:rFonts w:cstheme="minorHAnsi"/>
              </w:rPr>
            </w:pPr>
            <w:r w:rsidRPr="00C15F47">
              <w:rPr>
                <w:rFonts w:cstheme="minorHAnsi"/>
              </w:rPr>
              <w:t>Log-likelihood value</w:t>
            </w:r>
          </w:p>
          <w:p w:rsidR="00AA788D" w:rsidRPr="00C15F47" w:rsidRDefault="00AA788D" w:rsidP="005A48A5">
            <w:pPr>
              <w:rPr>
                <w:rFonts w:cstheme="minorHAnsi"/>
                <w:i/>
              </w:rPr>
            </w:pPr>
            <w:r w:rsidRPr="00C15F47">
              <w:rPr>
                <w:rFonts w:cstheme="minorHAnsi"/>
              </w:rPr>
              <w:t>Likelihood ratio test</w:t>
            </w:r>
          </w:p>
        </w:tc>
        <w:tc>
          <w:tcPr>
            <w:tcW w:w="1415"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- 199.65</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33.97***</w:t>
            </w:r>
          </w:p>
        </w:tc>
        <w:tc>
          <w:tcPr>
            <w:tcW w:w="1414"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-80.40</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24.78***</w:t>
            </w:r>
          </w:p>
        </w:tc>
        <w:tc>
          <w:tcPr>
            <w:tcW w:w="1295"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-197.78</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53.80***</w:t>
            </w:r>
          </w:p>
        </w:tc>
      </w:tr>
      <w:tr w:rsidR="00AA788D" w:rsidRPr="00C15F47" w:rsidTr="005A48A5">
        <w:tc>
          <w:tcPr>
            <w:tcW w:w="5118" w:type="dxa"/>
          </w:tcPr>
          <w:p w:rsidR="00AA788D" w:rsidRPr="00C15F47" w:rsidRDefault="00AA788D" w:rsidP="005A48A5">
            <w:pPr>
              <w:rPr>
                <w:rFonts w:cstheme="minorHAnsi"/>
              </w:rPr>
            </w:pPr>
            <w:r w:rsidRPr="00C15F47">
              <w:rPr>
                <w:rFonts w:cstheme="minorHAnsi"/>
              </w:rPr>
              <w:t>Pseudo R squared</w:t>
            </w:r>
          </w:p>
          <w:p w:rsidR="00AA788D" w:rsidRPr="00C15F47" w:rsidRDefault="00AA788D" w:rsidP="005A48A5">
            <w:pPr>
              <w:rPr>
                <w:rFonts w:cstheme="minorHAnsi"/>
                <w:i/>
              </w:rPr>
            </w:pPr>
            <w:proofErr w:type="spellStart"/>
            <w:r w:rsidRPr="00C15F47">
              <w:rPr>
                <w:rFonts w:cstheme="minorHAnsi"/>
              </w:rPr>
              <w:t>Hosmer</w:t>
            </w:r>
            <w:proofErr w:type="spellEnd"/>
            <w:r w:rsidRPr="00C15F47">
              <w:rPr>
                <w:rFonts w:cstheme="minorHAnsi"/>
              </w:rPr>
              <w:t xml:space="preserve"> and </w:t>
            </w:r>
            <w:proofErr w:type="spellStart"/>
            <w:r w:rsidRPr="00C15F47">
              <w:rPr>
                <w:rFonts w:cstheme="minorHAnsi"/>
              </w:rPr>
              <w:t>Lemeshow</w:t>
            </w:r>
            <w:proofErr w:type="spellEnd"/>
            <w:r w:rsidRPr="00C15F47">
              <w:rPr>
                <w:rFonts w:cstheme="minorHAnsi"/>
              </w:rPr>
              <w:t xml:space="preserve"> Goodness-of-fit test</w:t>
            </w:r>
          </w:p>
        </w:tc>
        <w:tc>
          <w:tcPr>
            <w:tcW w:w="1415"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0.08</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3.12 (8)</w:t>
            </w:r>
          </w:p>
        </w:tc>
        <w:tc>
          <w:tcPr>
            <w:tcW w:w="1414"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0.13</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7.78 (8)</w:t>
            </w:r>
          </w:p>
        </w:tc>
        <w:tc>
          <w:tcPr>
            <w:tcW w:w="1295" w:type="dxa"/>
          </w:tcPr>
          <w:p w:rsidR="00AA788D" w:rsidRDefault="00AA788D" w:rsidP="005A48A5">
            <w:pPr>
              <w:jc w:val="center"/>
              <w:rPr>
                <w:rFonts w:cstheme="minorHAnsi"/>
                <w:color w:val="000000"/>
                <w:shd w:val="clear" w:color="auto" w:fill="FFFFF4"/>
              </w:rPr>
            </w:pPr>
            <w:r>
              <w:rPr>
                <w:rFonts w:cstheme="minorHAnsi"/>
                <w:color w:val="000000"/>
                <w:shd w:val="clear" w:color="auto" w:fill="FFFFF4"/>
              </w:rPr>
              <w:t>0.12</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5.14 (8)</w:t>
            </w:r>
          </w:p>
        </w:tc>
      </w:tr>
      <w:tr w:rsidR="00AA788D" w:rsidRPr="00C15F47" w:rsidTr="005A48A5">
        <w:tc>
          <w:tcPr>
            <w:tcW w:w="5118" w:type="dxa"/>
            <w:tcBorders>
              <w:bottom w:val="single" w:sz="4" w:space="0" w:color="auto"/>
            </w:tcBorders>
          </w:tcPr>
          <w:p w:rsidR="00AA788D" w:rsidRPr="00C15F47" w:rsidRDefault="00AA788D" w:rsidP="005A48A5">
            <w:pPr>
              <w:rPr>
                <w:rFonts w:cstheme="minorHAnsi"/>
              </w:rPr>
            </w:pPr>
            <w:r w:rsidRPr="00C15F47">
              <w:rPr>
                <w:rFonts w:cstheme="minorHAnsi"/>
              </w:rPr>
              <w:t xml:space="preserve">Correctly predicted </w:t>
            </w:r>
          </w:p>
          <w:p w:rsidR="00AA788D" w:rsidRPr="00C15F47" w:rsidRDefault="00AA788D" w:rsidP="005A48A5">
            <w:pPr>
              <w:rPr>
                <w:rFonts w:cstheme="minorHAnsi"/>
                <w:i/>
              </w:rPr>
            </w:pPr>
            <w:r w:rsidRPr="00C15F47">
              <w:rPr>
                <w:rFonts w:cstheme="minorHAnsi"/>
              </w:rPr>
              <w:t>Number of Observations</w:t>
            </w:r>
          </w:p>
        </w:tc>
        <w:tc>
          <w:tcPr>
            <w:tcW w:w="1415" w:type="dxa"/>
            <w:tcBorders>
              <w:bottom w:val="single" w:sz="4" w:space="0" w:color="auto"/>
            </w:tcBorders>
          </w:tcPr>
          <w:p w:rsidR="00AA788D" w:rsidRDefault="00AA788D" w:rsidP="005A48A5">
            <w:pPr>
              <w:jc w:val="center"/>
              <w:rPr>
                <w:rFonts w:cstheme="minorHAnsi"/>
                <w:color w:val="000000"/>
                <w:shd w:val="clear" w:color="auto" w:fill="FFFFF4"/>
              </w:rPr>
            </w:pPr>
            <w:r>
              <w:rPr>
                <w:rFonts w:cstheme="minorHAnsi"/>
                <w:color w:val="000000"/>
                <w:shd w:val="clear" w:color="auto" w:fill="FFFFF4"/>
              </w:rPr>
              <w:t>67.80%</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332</w:t>
            </w:r>
          </w:p>
        </w:tc>
        <w:tc>
          <w:tcPr>
            <w:tcW w:w="1414" w:type="dxa"/>
            <w:tcBorders>
              <w:bottom w:val="single" w:sz="4" w:space="0" w:color="auto"/>
            </w:tcBorders>
          </w:tcPr>
          <w:p w:rsidR="00AA788D" w:rsidRDefault="00AA788D" w:rsidP="005A48A5">
            <w:pPr>
              <w:jc w:val="center"/>
              <w:rPr>
                <w:rFonts w:cstheme="minorHAnsi"/>
                <w:color w:val="000000"/>
                <w:shd w:val="clear" w:color="auto" w:fill="FFFFF4"/>
              </w:rPr>
            </w:pPr>
            <w:r>
              <w:rPr>
                <w:rFonts w:cstheme="minorHAnsi"/>
                <w:color w:val="000000"/>
                <w:shd w:val="clear" w:color="auto" w:fill="FFFFF4"/>
              </w:rPr>
              <w:t>68.38%</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136</w:t>
            </w:r>
          </w:p>
        </w:tc>
        <w:tc>
          <w:tcPr>
            <w:tcW w:w="1295" w:type="dxa"/>
            <w:tcBorders>
              <w:bottom w:val="single" w:sz="4" w:space="0" w:color="auto"/>
            </w:tcBorders>
          </w:tcPr>
          <w:p w:rsidR="00AA788D" w:rsidRDefault="00AA788D" w:rsidP="005A48A5">
            <w:pPr>
              <w:jc w:val="center"/>
              <w:rPr>
                <w:rFonts w:cstheme="minorHAnsi"/>
                <w:color w:val="000000"/>
                <w:shd w:val="clear" w:color="auto" w:fill="FFFFF4"/>
              </w:rPr>
            </w:pPr>
            <w:r>
              <w:rPr>
                <w:rFonts w:cstheme="minorHAnsi"/>
                <w:color w:val="000000"/>
                <w:shd w:val="clear" w:color="auto" w:fill="FFFFF4"/>
              </w:rPr>
              <w:t>68.07%</w:t>
            </w:r>
          </w:p>
          <w:p w:rsidR="00AA788D" w:rsidRPr="00C15F47" w:rsidRDefault="00AA788D" w:rsidP="005A48A5">
            <w:pPr>
              <w:jc w:val="center"/>
              <w:rPr>
                <w:rFonts w:cstheme="minorHAnsi"/>
                <w:color w:val="000000"/>
                <w:shd w:val="clear" w:color="auto" w:fill="FFFFF4"/>
              </w:rPr>
            </w:pPr>
            <w:r>
              <w:rPr>
                <w:rFonts w:cstheme="minorHAnsi"/>
                <w:color w:val="000000"/>
                <w:shd w:val="clear" w:color="auto" w:fill="FFFFF4"/>
              </w:rPr>
              <w:t>332</w:t>
            </w:r>
          </w:p>
        </w:tc>
      </w:tr>
      <w:tr w:rsidR="00AA788D" w:rsidRPr="00C15F47" w:rsidTr="005A48A5">
        <w:tc>
          <w:tcPr>
            <w:tcW w:w="9242" w:type="dxa"/>
            <w:gridSpan w:val="4"/>
            <w:tcBorders>
              <w:top w:val="single" w:sz="4" w:space="0" w:color="auto"/>
            </w:tcBorders>
          </w:tcPr>
          <w:p w:rsidR="00AA788D" w:rsidRPr="00101150" w:rsidRDefault="00AA788D" w:rsidP="005A48A5">
            <w:pPr>
              <w:rPr>
                <w:rFonts w:cstheme="minorHAnsi"/>
              </w:rPr>
            </w:pPr>
            <w:r w:rsidRPr="00C15F47">
              <w:rPr>
                <w:rFonts w:cstheme="minorHAnsi"/>
              </w:rPr>
              <w:t xml:space="preserve">Notes: Models estimated using </w:t>
            </w:r>
            <w:proofErr w:type="spellStart"/>
            <w:r w:rsidRPr="00C15F47">
              <w:rPr>
                <w:rFonts w:cstheme="minorHAnsi"/>
              </w:rPr>
              <w:t>Stata</w:t>
            </w:r>
            <w:proofErr w:type="spellEnd"/>
            <w:r w:rsidRPr="00C15F47">
              <w:rPr>
                <w:rFonts w:cstheme="minorHAnsi"/>
              </w:rPr>
              <w:t xml:space="preserve"> 11; coefficient standard errors are reported in brackets; *** refers to significant at 1%, ** significant at 5%, and * significant at 10% levels respectively. In Models </w:t>
            </w:r>
            <w:r>
              <w:rPr>
                <w:rFonts w:cstheme="minorHAnsi"/>
              </w:rPr>
              <w:t>4</w:t>
            </w:r>
            <w:r w:rsidRPr="00C15F47">
              <w:rPr>
                <w:rFonts w:cstheme="minorHAnsi"/>
              </w:rPr>
              <w:t xml:space="preserve"> and </w:t>
            </w:r>
            <w:r>
              <w:rPr>
                <w:rFonts w:cstheme="minorHAnsi"/>
              </w:rPr>
              <w:t>5</w:t>
            </w:r>
            <w:r w:rsidRPr="00C15F47">
              <w:rPr>
                <w:rFonts w:cstheme="minorHAnsi"/>
              </w:rPr>
              <w:t xml:space="preserve">, the dependant variable takes the value of 1 if </w:t>
            </w:r>
            <w:r w:rsidRPr="009C2912">
              <w:rPr>
                <w:rFonts w:eastAsia="Times New Roman" w:cstheme="minorHAnsi"/>
                <w:color w:val="000000"/>
              </w:rPr>
              <w:t>SME senior manager ever offered bribe to government officials to get things done, 0 otherwise</w:t>
            </w:r>
            <w:r>
              <w:rPr>
                <w:rFonts w:cstheme="minorHAnsi"/>
              </w:rPr>
              <w:t>;</w:t>
            </w:r>
            <w:r w:rsidRPr="00C15F47">
              <w:rPr>
                <w:rFonts w:cstheme="minorHAnsi"/>
              </w:rPr>
              <w:t xml:space="preserve">  </w:t>
            </w:r>
            <w:r>
              <w:rPr>
                <w:rFonts w:cstheme="minorHAnsi"/>
              </w:rPr>
              <w:t xml:space="preserve">Model 5 includes observations conditional upon applying for credit only. </w:t>
            </w:r>
            <w:r w:rsidRPr="00C15F47">
              <w:rPr>
                <w:rFonts w:cstheme="minorHAnsi"/>
              </w:rPr>
              <w:t xml:space="preserve">In Model </w:t>
            </w:r>
            <w:r>
              <w:rPr>
                <w:rFonts w:cstheme="minorHAnsi"/>
              </w:rPr>
              <w:t>6</w:t>
            </w:r>
            <w:r w:rsidRPr="00C15F47">
              <w:rPr>
                <w:rFonts w:cstheme="minorHAnsi"/>
              </w:rPr>
              <w:t xml:space="preserve">, the dependant variable takes the value 1 is SMEs </w:t>
            </w:r>
            <w:r>
              <w:rPr>
                <w:rFonts w:cstheme="minorHAnsi"/>
              </w:rPr>
              <w:t>applied for formal finance</w:t>
            </w:r>
            <w:r w:rsidRPr="00C15F47">
              <w:rPr>
                <w:rFonts w:cstheme="minorHAnsi"/>
              </w:rPr>
              <w:t>, 0 otherwise.</w:t>
            </w:r>
          </w:p>
        </w:tc>
      </w:tr>
    </w:tbl>
    <w:p w:rsidR="00AA788D" w:rsidRDefault="00AA788D" w:rsidP="002C250C">
      <w:pPr>
        <w:rPr>
          <w:b/>
        </w:rPr>
      </w:pPr>
    </w:p>
    <w:p w:rsidR="00AA788D" w:rsidRPr="00DB7F88" w:rsidRDefault="00AA788D" w:rsidP="002C250C">
      <w:pPr>
        <w:spacing w:after="0"/>
        <w:jc w:val="center"/>
        <w:rPr>
          <w:b/>
        </w:rPr>
      </w:pPr>
      <w:r>
        <w:rPr>
          <w:b/>
        </w:rPr>
        <w:lastRenderedPageBreak/>
        <w:t>APPENDIX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1415"/>
        <w:gridCol w:w="1414"/>
        <w:gridCol w:w="1295"/>
      </w:tblGrid>
      <w:tr w:rsidR="00AA788D" w:rsidRPr="00C15F47" w:rsidTr="005A48A5">
        <w:tc>
          <w:tcPr>
            <w:tcW w:w="9242" w:type="dxa"/>
            <w:gridSpan w:val="4"/>
            <w:tcBorders>
              <w:bottom w:val="single" w:sz="4" w:space="0" w:color="auto"/>
            </w:tcBorders>
          </w:tcPr>
          <w:p w:rsidR="00AA788D" w:rsidRPr="00EE1287" w:rsidRDefault="00AA788D" w:rsidP="005A48A5">
            <w:pPr>
              <w:jc w:val="center"/>
              <w:rPr>
                <w:rFonts w:cstheme="minorHAnsi"/>
                <w:b/>
              </w:rPr>
            </w:pPr>
            <w:r>
              <w:rPr>
                <w:rFonts w:cstheme="minorHAnsi"/>
                <w:b/>
              </w:rPr>
              <w:t>Table A3</w:t>
            </w:r>
            <w:r w:rsidRPr="00EE1287">
              <w:rPr>
                <w:rFonts w:cstheme="minorHAnsi"/>
                <w:b/>
              </w:rPr>
              <w:t>. Probability of Undertaking Business Expansion and Needing Formal Finance</w:t>
            </w:r>
          </w:p>
          <w:p w:rsidR="00AA788D" w:rsidRPr="00EE1287" w:rsidRDefault="00AA788D" w:rsidP="005A48A5">
            <w:pPr>
              <w:jc w:val="center"/>
              <w:rPr>
                <w:rFonts w:cstheme="minorHAnsi"/>
              </w:rPr>
            </w:pPr>
            <w:r w:rsidRPr="00EE1287">
              <w:rPr>
                <w:rFonts w:cstheme="minorHAnsi"/>
                <w:b/>
              </w:rPr>
              <w:t>(</w:t>
            </w:r>
            <w:proofErr w:type="spellStart"/>
            <w:r w:rsidRPr="00EE1287">
              <w:rPr>
                <w:rFonts w:cstheme="minorHAnsi"/>
                <w:b/>
              </w:rPr>
              <w:t>Logit</w:t>
            </w:r>
            <w:proofErr w:type="spellEnd"/>
            <w:r w:rsidRPr="00EE1287">
              <w:rPr>
                <w:rFonts w:cstheme="minorHAnsi"/>
                <w:b/>
              </w:rPr>
              <w:t xml:space="preserve"> Coefficients with Standard Errors)</w:t>
            </w:r>
          </w:p>
        </w:tc>
      </w:tr>
      <w:tr w:rsidR="00AA788D" w:rsidRPr="00C15F47" w:rsidTr="005A48A5">
        <w:tc>
          <w:tcPr>
            <w:tcW w:w="5118" w:type="dxa"/>
            <w:tcBorders>
              <w:top w:val="single" w:sz="4" w:space="0" w:color="auto"/>
              <w:bottom w:val="single" w:sz="4" w:space="0" w:color="auto"/>
            </w:tcBorders>
          </w:tcPr>
          <w:p w:rsidR="00AA788D" w:rsidRPr="00EE1287" w:rsidRDefault="00AA788D" w:rsidP="005A48A5">
            <w:pPr>
              <w:rPr>
                <w:rFonts w:cstheme="minorHAnsi"/>
                <w:b/>
                <w:i/>
              </w:rPr>
            </w:pPr>
            <w:r w:rsidRPr="00EE1287">
              <w:rPr>
                <w:rFonts w:cstheme="minorHAnsi"/>
                <w:b/>
                <w:i/>
              </w:rPr>
              <w:t xml:space="preserve">Predictors </w:t>
            </w:r>
          </w:p>
        </w:tc>
        <w:tc>
          <w:tcPr>
            <w:tcW w:w="1415" w:type="dxa"/>
            <w:tcBorders>
              <w:top w:val="single" w:sz="4" w:space="0" w:color="auto"/>
              <w:bottom w:val="single" w:sz="4" w:space="0" w:color="auto"/>
            </w:tcBorders>
          </w:tcPr>
          <w:p w:rsidR="00AA788D" w:rsidRPr="00EE1287" w:rsidRDefault="00AA788D" w:rsidP="005A48A5">
            <w:pPr>
              <w:jc w:val="center"/>
              <w:rPr>
                <w:rFonts w:cstheme="minorHAnsi"/>
                <w:b/>
                <w:i/>
              </w:rPr>
            </w:pPr>
            <w:r w:rsidRPr="00EE1287">
              <w:rPr>
                <w:rFonts w:cstheme="minorHAnsi"/>
                <w:b/>
                <w:i/>
              </w:rPr>
              <w:t xml:space="preserve">Model </w:t>
            </w:r>
            <w:r>
              <w:rPr>
                <w:rFonts w:cstheme="minorHAnsi"/>
                <w:b/>
                <w:i/>
              </w:rPr>
              <w:t>7</w:t>
            </w:r>
          </w:p>
        </w:tc>
        <w:tc>
          <w:tcPr>
            <w:tcW w:w="1414" w:type="dxa"/>
            <w:tcBorders>
              <w:top w:val="single" w:sz="4" w:space="0" w:color="auto"/>
              <w:bottom w:val="single" w:sz="4" w:space="0" w:color="auto"/>
            </w:tcBorders>
          </w:tcPr>
          <w:p w:rsidR="00AA788D" w:rsidRPr="00EE1287" w:rsidRDefault="00AA788D" w:rsidP="005A48A5">
            <w:pPr>
              <w:jc w:val="center"/>
              <w:rPr>
                <w:rFonts w:cstheme="minorHAnsi"/>
                <w:b/>
                <w:i/>
              </w:rPr>
            </w:pPr>
            <w:r w:rsidRPr="00EE1287">
              <w:rPr>
                <w:rFonts w:cstheme="minorHAnsi"/>
                <w:b/>
                <w:i/>
              </w:rPr>
              <w:t xml:space="preserve">Model </w:t>
            </w:r>
            <w:r>
              <w:rPr>
                <w:rFonts w:cstheme="minorHAnsi"/>
                <w:b/>
                <w:i/>
              </w:rPr>
              <w:t>8</w:t>
            </w:r>
          </w:p>
        </w:tc>
        <w:tc>
          <w:tcPr>
            <w:tcW w:w="1295" w:type="dxa"/>
            <w:tcBorders>
              <w:top w:val="single" w:sz="4" w:space="0" w:color="auto"/>
              <w:bottom w:val="single" w:sz="4" w:space="0" w:color="auto"/>
            </w:tcBorders>
          </w:tcPr>
          <w:p w:rsidR="00AA788D" w:rsidRPr="00EE1287" w:rsidRDefault="00AA788D" w:rsidP="005A48A5">
            <w:pPr>
              <w:jc w:val="center"/>
              <w:rPr>
                <w:rFonts w:cstheme="minorHAnsi"/>
                <w:b/>
                <w:i/>
              </w:rPr>
            </w:pPr>
            <w:r w:rsidRPr="00EE1287">
              <w:rPr>
                <w:rFonts w:cstheme="minorHAnsi"/>
                <w:b/>
                <w:i/>
              </w:rPr>
              <w:t xml:space="preserve">Model </w:t>
            </w:r>
            <w:r>
              <w:rPr>
                <w:rFonts w:cstheme="minorHAnsi"/>
                <w:b/>
                <w:i/>
              </w:rPr>
              <w:t>9</w:t>
            </w:r>
          </w:p>
        </w:tc>
      </w:tr>
      <w:tr w:rsidR="00AA788D" w:rsidRPr="00C15F47" w:rsidTr="005A48A5">
        <w:tc>
          <w:tcPr>
            <w:tcW w:w="5118" w:type="dxa"/>
            <w:tcBorders>
              <w:top w:val="single" w:sz="4" w:space="0" w:color="auto"/>
            </w:tcBorders>
          </w:tcPr>
          <w:p w:rsidR="00AA788D" w:rsidRPr="00EE1287" w:rsidRDefault="00AA788D" w:rsidP="005A48A5">
            <w:pPr>
              <w:rPr>
                <w:rFonts w:cstheme="minorHAnsi"/>
                <w:i/>
              </w:rPr>
            </w:pPr>
            <w:r w:rsidRPr="00EE1287">
              <w:rPr>
                <w:rFonts w:cstheme="minorHAnsi"/>
                <w:i/>
              </w:rPr>
              <w:t>Constant</w:t>
            </w:r>
          </w:p>
        </w:tc>
        <w:tc>
          <w:tcPr>
            <w:tcW w:w="1415" w:type="dxa"/>
            <w:tcBorders>
              <w:top w:val="single" w:sz="4" w:space="0" w:color="auto"/>
            </w:tcBorders>
          </w:tcPr>
          <w:p w:rsidR="00AA788D" w:rsidRPr="00EE1287" w:rsidRDefault="00AA788D" w:rsidP="005A48A5">
            <w:pPr>
              <w:jc w:val="center"/>
              <w:rPr>
                <w:rFonts w:cstheme="minorHAnsi"/>
              </w:rPr>
            </w:pPr>
            <w:r w:rsidRPr="00EE1287">
              <w:rPr>
                <w:rFonts w:cstheme="minorHAnsi"/>
              </w:rPr>
              <w:t>- 2.73</w:t>
            </w:r>
          </w:p>
          <w:p w:rsidR="00AA788D" w:rsidRPr="00EE1287" w:rsidRDefault="00AA788D" w:rsidP="005A48A5">
            <w:pPr>
              <w:jc w:val="center"/>
              <w:rPr>
                <w:rFonts w:cstheme="minorHAnsi"/>
              </w:rPr>
            </w:pPr>
            <w:r w:rsidRPr="00EE1287">
              <w:rPr>
                <w:rFonts w:cstheme="minorHAnsi"/>
              </w:rPr>
              <w:t>(2.22)</w:t>
            </w:r>
          </w:p>
        </w:tc>
        <w:tc>
          <w:tcPr>
            <w:tcW w:w="1414" w:type="dxa"/>
            <w:tcBorders>
              <w:top w:val="single" w:sz="4" w:space="0" w:color="auto"/>
            </w:tcBorders>
          </w:tcPr>
          <w:p w:rsidR="00AA788D" w:rsidRPr="00EE1287" w:rsidRDefault="00AA788D" w:rsidP="005A48A5">
            <w:pPr>
              <w:jc w:val="center"/>
              <w:rPr>
                <w:rFonts w:cstheme="minorHAnsi"/>
              </w:rPr>
            </w:pPr>
            <w:r w:rsidRPr="00EE1287">
              <w:rPr>
                <w:rFonts w:cstheme="minorHAnsi"/>
              </w:rPr>
              <w:t>- 1.98</w:t>
            </w:r>
          </w:p>
          <w:p w:rsidR="00AA788D" w:rsidRPr="00EE1287" w:rsidRDefault="00AA788D" w:rsidP="005A48A5">
            <w:pPr>
              <w:jc w:val="center"/>
              <w:rPr>
                <w:rFonts w:cstheme="minorHAnsi"/>
              </w:rPr>
            </w:pPr>
            <w:r w:rsidRPr="00EE1287">
              <w:rPr>
                <w:rFonts w:cstheme="minorHAnsi"/>
              </w:rPr>
              <w:t>(2.75)</w:t>
            </w:r>
          </w:p>
        </w:tc>
        <w:tc>
          <w:tcPr>
            <w:tcW w:w="1295" w:type="dxa"/>
            <w:tcBorders>
              <w:top w:val="single" w:sz="4" w:space="0" w:color="auto"/>
            </w:tcBorders>
          </w:tcPr>
          <w:p w:rsidR="00AA788D" w:rsidRPr="00EE1287" w:rsidRDefault="00AA788D" w:rsidP="005A48A5">
            <w:pPr>
              <w:jc w:val="center"/>
              <w:rPr>
                <w:rFonts w:cstheme="minorHAnsi"/>
              </w:rPr>
            </w:pPr>
            <w:r w:rsidRPr="00EE1287">
              <w:rPr>
                <w:rFonts w:cstheme="minorHAnsi"/>
              </w:rPr>
              <w:t>- 6.40</w:t>
            </w:r>
          </w:p>
          <w:p w:rsidR="00AA788D" w:rsidRPr="00EE1287" w:rsidRDefault="00AA788D" w:rsidP="005A48A5">
            <w:pPr>
              <w:jc w:val="center"/>
              <w:rPr>
                <w:rFonts w:cstheme="minorHAnsi"/>
              </w:rPr>
            </w:pPr>
            <w:r w:rsidRPr="00EE1287">
              <w:rPr>
                <w:rFonts w:cstheme="minorHAnsi"/>
              </w:rPr>
              <w:t>(2.51)</w:t>
            </w:r>
          </w:p>
        </w:tc>
      </w:tr>
      <w:tr w:rsidR="00AA788D" w:rsidRPr="00C15F47" w:rsidTr="005A48A5">
        <w:tc>
          <w:tcPr>
            <w:tcW w:w="5118" w:type="dxa"/>
          </w:tcPr>
          <w:p w:rsidR="00AA788D" w:rsidRPr="00EE1287" w:rsidRDefault="00AA788D" w:rsidP="005A48A5">
            <w:pPr>
              <w:rPr>
                <w:rFonts w:cstheme="minorHAnsi"/>
                <w:i/>
              </w:rPr>
            </w:pPr>
            <w:r w:rsidRPr="00EE1287">
              <w:rPr>
                <w:rFonts w:cstheme="minorHAnsi"/>
                <w:i/>
              </w:rPr>
              <w:t>Age</w:t>
            </w:r>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age22</w:t>
            </w:r>
          </w:p>
        </w:tc>
        <w:tc>
          <w:tcPr>
            <w:tcW w:w="1415" w:type="dxa"/>
          </w:tcPr>
          <w:p w:rsidR="00AA788D" w:rsidRPr="00EE1287" w:rsidRDefault="00AA788D" w:rsidP="005A48A5">
            <w:pPr>
              <w:jc w:val="center"/>
              <w:rPr>
                <w:rFonts w:cstheme="minorHAnsi"/>
              </w:rPr>
            </w:pPr>
            <w:r w:rsidRPr="00EE1287">
              <w:rPr>
                <w:rFonts w:cstheme="minorHAnsi"/>
              </w:rPr>
              <w:t>0.13</w:t>
            </w:r>
          </w:p>
          <w:p w:rsidR="00AA788D" w:rsidRPr="00EE1287" w:rsidRDefault="00AA788D" w:rsidP="005A48A5">
            <w:pPr>
              <w:jc w:val="center"/>
              <w:rPr>
                <w:rFonts w:cstheme="minorHAnsi"/>
              </w:rPr>
            </w:pPr>
            <w:r w:rsidRPr="00EE1287">
              <w:rPr>
                <w:rFonts w:cstheme="minorHAnsi"/>
              </w:rPr>
              <w:t>(0.08)</w:t>
            </w:r>
          </w:p>
          <w:p w:rsidR="00AA788D" w:rsidRPr="00EE1287" w:rsidRDefault="00AA788D" w:rsidP="005A48A5">
            <w:pPr>
              <w:jc w:val="center"/>
              <w:rPr>
                <w:rFonts w:cstheme="minorHAnsi"/>
              </w:rPr>
            </w:pPr>
            <w:r w:rsidRPr="00EE1287">
              <w:rPr>
                <w:rFonts w:cstheme="minorHAnsi"/>
              </w:rPr>
              <w:t>- 0.15</w:t>
            </w:r>
          </w:p>
          <w:p w:rsidR="00AA788D" w:rsidRPr="00EE1287" w:rsidRDefault="00AA788D" w:rsidP="005A48A5">
            <w:pPr>
              <w:jc w:val="center"/>
              <w:rPr>
                <w:rFonts w:cstheme="minorHAnsi"/>
              </w:rPr>
            </w:pPr>
            <w:r w:rsidRPr="00EE1287">
              <w:rPr>
                <w:rFonts w:cstheme="minorHAnsi"/>
              </w:rPr>
              <w:t>(0.09)</w:t>
            </w:r>
          </w:p>
        </w:tc>
        <w:tc>
          <w:tcPr>
            <w:tcW w:w="1414" w:type="dxa"/>
          </w:tcPr>
          <w:p w:rsidR="00AA788D" w:rsidRPr="00EE1287" w:rsidRDefault="00AA788D" w:rsidP="005A48A5">
            <w:pPr>
              <w:jc w:val="center"/>
              <w:rPr>
                <w:rFonts w:cstheme="minorHAnsi"/>
              </w:rPr>
            </w:pPr>
            <w:r w:rsidRPr="00EE1287">
              <w:rPr>
                <w:rFonts w:cstheme="minorHAnsi"/>
              </w:rPr>
              <w:t>0.11</w:t>
            </w:r>
          </w:p>
          <w:p w:rsidR="00AA788D" w:rsidRPr="00EE1287" w:rsidRDefault="00AA788D" w:rsidP="005A48A5">
            <w:pPr>
              <w:jc w:val="center"/>
              <w:rPr>
                <w:rFonts w:cstheme="minorHAnsi"/>
              </w:rPr>
            </w:pPr>
            <w:r w:rsidRPr="00EE1287">
              <w:rPr>
                <w:rFonts w:cstheme="minorHAnsi"/>
              </w:rPr>
              <w:t>(0.10)</w:t>
            </w:r>
          </w:p>
          <w:p w:rsidR="00AA788D" w:rsidRPr="00EE1287" w:rsidRDefault="00AA788D" w:rsidP="005A48A5">
            <w:pPr>
              <w:jc w:val="center"/>
              <w:rPr>
                <w:rFonts w:cstheme="minorHAnsi"/>
              </w:rPr>
            </w:pPr>
            <w:r w:rsidRPr="00EE1287">
              <w:rPr>
                <w:rFonts w:cstheme="minorHAnsi"/>
              </w:rPr>
              <w:t>-0.14</w:t>
            </w:r>
          </w:p>
          <w:p w:rsidR="00AA788D" w:rsidRPr="00EE1287" w:rsidRDefault="00AA788D" w:rsidP="005A48A5">
            <w:pPr>
              <w:jc w:val="center"/>
              <w:rPr>
                <w:rFonts w:cstheme="minorHAnsi"/>
              </w:rPr>
            </w:pPr>
            <w:r w:rsidRPr="00EE1287">
              <w:rPr>
                <w:rFonts w:cstheme="minorHAnsi"/>
              </w:rPr>
              <w:t>(0.11)</w:t>
            </w:r>
          </w:p>
        </w:tc>
        <w:tc>
          <w:tcPr>
            <w:tcW w:w="1295" w:type="dxa"/>
          </w:tcPr>
          <w:p w:rsidR="00AA788D" w:rsidRPr="00EE1287" w:rsidRDefault="00AA788D" w:rsidP="005A48A5">
            <w:pPr>
              <w:jc w:val="center"/>
              <w:rPr>
                <w:rFonts w:cstheme="minorHAnsi"/>
              </w:rPr>
            </w:pPr>
            <w:r w:rsidRPr="00EE1287">
              <w:rPr>
                <w:rFonts w:cstheme="minorHAnsi"/>
              </w:rPr>
              <w:t>0.08</w:t>
            </w:r>
          </w:p>
          <w:p w:rsidR="00AA788D" w:rsidRPr="00EE1287" w:rsidRDefault="00AA788D" w:rsidP="005A48A5">
            <w:pPr>
              <w:jc w:val="center"/>
              <w:rPr>
                <w:rFonts w:cstheme="minorHAnsi"/>
              </w:rPr>
            </w:pPr>
            <w:r w:rsidRPr="00EE1287">
              <w:rPr>
                <w:rFonts w:cstheme="minorHAnsi"/>
              </w:rPr>
              <w:t>(0.09)</w:t>
            </w:r>
          </w:p>
          <w:p w:rsidR="00AA788D" w:rsidRPr="00EE1287" w:rsidRDefault="00AA788D" w:rsidP="005A48A5">
            <w:pPr>
              <w:jc w:val="center"/>
              <w:rPr>
                <w:rFonts w:cstheme="minorHAnsi"/>
              </w:rPr>
            </w:pPr>
            <w:r w:rsidRPr="00EE1287">
              <w:rPr>
                <w:rFonts w:cstheme="minorHAnsi"/>
              </w:rPr>
              <w:t>- 0.08</w:t>
            </w:r>
          </w:p>
          <w:p w:rsidR="00AA788D" w:rsidRPr="00EE1287" w:rsidRDefault="00AA788D" w:rsidP="005A48A5">
            <w:pPr>
              <w:jc w:val="center"/>
              <w:rPr>
                <w:rFonts w:cstheme="minorHAnsi"/>
              </w:rPr>
            </w:pPr>
            <w:r w:rsidRPr="00EE1287">
              <w:rPr>
                <w:rFonts w:cstheme="minorHAnsi"/>
              </w:rPr>
              <w:t>(0.09)</w:t>
            </w:r>
          </w:p>
        </w:tc>
      </w:tr>
      <w:tr w:rsidR="00AA788D" w:rsidRPr="00C15F47" w:rsidTr="005A48A5">
        <w:tc>
          <w:tcPr>
            <w:tcW w:w="5118" w:type="dxa"/>
          </w:tcPr>
          <w:p w:rsidR="00AA788D" w:rsidRPr="00EE1287" w:rsidRDefault="00AA788D" w:rsidP="005A48A5">
            <w:pPr>
              <w:rPr>
                <w:rFonts w:cstheme="minorHAnsi"/>
                <w:i/>
              </w:rPr>
            </w:pPr>
            <w:proofErr w:type="spellStart"/>
            <w:r w:rsidRPr="00EE1287">
              <w:rPr>
                <w:rFonts w:cstheme="minorHAnsi"/>
                <w:i/>
              </w:rPr>
              <w:t>busness_exper</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busness_exper22</w:t>
            </w:r>
          </w:p>
        </w:tc>
        <w:tc>
          <w:tcPr>
            <w:tcW w:w="1415" w:type="dxa"/>
          </w:tcPr>
          <w:p w:rsidR="00AA788D" w:rsidRPr="00EE1287" w:rsidRDefault="00AA788D" w:rsidP="005A48A5">
            <w:pPr>
              <w:jc w:val="center"/>
              <w:rPr>
                <w:rFonts w:cstheme="minorHAnsi"/>
              </w:rPr>
            </w:pPr>
            <w:r w:rsidRPr="00EE1287">
              <w:rPr>
                <w:rFonts w:cstheme="minorHAnsi"/>
              </w:rPr>
              <w:t>0.02</w:t>
            </w:r>
          </w:p>
          <w:p w:rsidR="00AA788D" w:rsidRPr="00EE1287" w:rsidRDefault="00AA788D" w:rsidP="005A48A5">
            <w:pPr>
              <w:jc w:val="center"/>
              <w:rPr>
                <w:rFonts w:cstheme="minorHAnsi"/>
              </w:rPr>
            </w:pPr>
            <w:r w:rsidRPr="00EE1287">
              <w:rPr>
                <w:rFonts w:cstheme="minorHAnsi"/>
              </w:rPr>
              <w:t>(0.03)</w:t>
            </w:r>
          </w:p>
          <w:p w:rsidR="00AA788D" w:rsidRPr="00EE1287" w:rsidRDefault="00AA788D" w:rsidP="005A48A5">
            <w:pPr>
              <w:jc w:val="center"/>
              <w:rPr>
                <w:rFonts w:cstheme="minorHAnsi"/>
              </w:rPr>
            </w:pPr>
            <w:r w:rsidRPr="00EE1287">
              <w:rPr>
                <w:rFonts w:cstheme="minorHAnsi"/>
              </w:rPr>
              <w:t>- 0.08</w:t>
            </w:r>
          </w:p>
          <w:p w:rsidR="00AA788D" w:rsidRPr="00EE1287" w:rsidRDefault="00AA788D" w:rsidP="005A48A5">
            <w:pPr>
              <w:jc w:val="center"/>
              <w:rPr>
                <w:rFonts w:cstheme="minorHAnsi"/>
              </w:rPr>
            </w:pPr>
            <w:r w:rsidRPr="00EE1287">
              <w:rPr>
                <w:rFonts w:cstheme="minorHAnsi"/>
              </w:rPr>
              <w:t>(0.06)</w:t>
            </w:r>
          </w:p>
        </w:tc>
        <w:tc>
          <w:tcPr>
            <w:tcW w:w="1414" w:type="dxa"/>
          </w:tcPr>
          <w:p w:rsidR="00AA788D" w:rsidRPr="00EE1287" w:rsidRDefault="00AA788D" w:rsidP="005A48A5">
            <w:pPr>
              <w:jc w:val="center"/>
              <w:rPr>
                <w:rFonts w:cstheme="minorHAnsi"/>
              </w:rPr>
            </w:pPr>
            <w:r w:rsidRPr="00EE1287">
              <w:rPr>
                <w:rFonts w:cstheme="minorHAnsi"/>
              </w:rPr>
              <w:t>0.01</w:t>
            </w:r>
          </w:p>
          <w:p w:rsidR="00AA788D" w:rsidRPr="00EE1287" w:rsidRDefault="00AA788D" w:rsidP="005A48A5">
            <w:pPr>
              <w:jc w:val="center"/>
              <w:rPr>
                <w:rFonts w:cstheme="minorHAnsi"/>
              </w:rPr>
            </w:pPr>
            <w:r w:rsidRPr="00EE1287">
              <w:rPr>
                <w:rFonts w:cstheme="minorHAnsi"/>
              </w:rPr>
              <w:t>(0.04)</w:t>
            </w:r>
          </w:p>
          <w:p w:rsidR="00AA788D" w:rsidRPr="00EE1287" w:rsidRDefault="00AA788D" w:rsidP="005A48A5">
            <w:pPr>
              <w:jc w:val="center"/>
              <w:rPr>
                <w:rFonts w:cstheme="minorHAnsi"/>
              </w:rPr>
            </w:pPr>
            <w:r w:rsidRPr="00EE1287">
              <w:rPr>
                <w:rFonts w:cstheme="minorHAnsi"/>
              </w:rPr>
              <w:t>- 0.10</w:t>
            </w:r>
          </w:p>
          <w:p w:rsidR="00AA788D" w:rsidRPr="00EE1287" w:rsidRDefault="00AA788D" w:rsidP="005A48A5">
            <w:pPr>
              <w:jc w:val="center"/>
              <w:rPr>
                <w:rFonts w:cstheme="minorHAnsi"/>
              </w:rPr>
            </w:pPr>
            <w:r w:rsidRPr="00EE1287">
              <w:rPr>
                <w:rFonts w:cstheme="minorHAnsi"/>
              </w:rPr>
              <w:t>(0.09)</w:t>
            </w:r>
          </w:p>
        </w:tc>
        <w:tc>
          <w:tcPr>
            <w:tcW w:w="1295" w:type="dxa"/>
          </w:tcPr>
          <w:p w:rsidR="00AA788D" w:rsidRPr="00EE1287" w:rsidRDefault="00AA788D" w:rsidP="005A48A5">
            <w:pPr>
              <w:jc w:val="center"/>
              <w:rPr>
                <w:rFonts w:cstheme="minorHAnsi"/>
              </w:rPr>
            </w:pPr>
            <w:r w:rsidRPr="00EE1287">
              <w:rPr>
                <w:rFonts w:cstheme="minorHAnsi"/>
              </w:rPr>
              <w:t>0.04</w:t>
            </w:r>
          </w:p>
          <w:p w:rsidR="00AA788D" w:rsidRPr="00EE1287" w:rsidRDefault="00AA788D" w:rsidP="005A48A5">
            <w:pPr>
              <w:jc w:val="center"/>
              <w:rPr>
                <w:rFonts w:cstheme="minorHAnsi"/>
              </w:rPr>
            </w:pPr>
            <w:r w:rsidRPr="00EE1287">
              <w:rPr>
                <w:rFonts w:cstheme="minorHAnsi"/>
              </w:rPr>
              <w:t>(0.05)</w:t>
            </w:r>
          </w:p>
          <w:p w:rsidR="00AA788D" w:rsidRPr="00EE1287" w:rsidRDefault="00AA788D" w:rsidP="005A48A5">
            <w:pPr>
              <w:jc w:val="center"/>
              <w:rPr>
                <w:rFonts w:cstheme="minorHAnsi"/>
              </w:rPr>
            </w:pPr>
            <w:r w:rsidRPr="00EE1287">
              <w:rPr>
                <w:rFonts w:cstheme="minorHAnsi"/>
              </w:rPr>
              <w:t>- 0.04</w:t>
            </w:r>
          </w:p>
          <w:p w:rsidR="00AA788D" w:rsidRPr="00EE1287" w:rsidRDefault="00AA788D" w:rsidP="005A48A5">
            <w:pPr>
              <w:jc w:val="center"/>
              <w:rPr>
                <w:rFonts w:cstheme="minorHAnsi"/>
              </w:rPr>
            </w:pPr>
            <w:r w:rsidRPr="00EE1287">
              <w:rPr>
                <w:rFonts w:cstheme="minorHAnsi"/>
              </w:rPr>
              <w:t>(0.05)</w:t>
            </w:r>
          </w:p>
        </w:tc>
      </w:tr>
      <w:tr w:rsidR="00AA788D" w:rsidRPr="00C15F47" w:rsidTr="005A48A5">
        <w:tc>
          <w:tcPr>
            <w:tcW w:w="5118" w:type="dxa"/>
          </w:tcPr>
          <w:p w:rsidR="00AA788D" w:rsidRPr="00EE1287" w:rsidRDefault="00AA788D" w:rsidP="005A48A5">
            <w:pPr>
              <w:rPr>
                <w:rFonts w:cstheme="minorHAnsi"/>
                <w:i/>
              </w:rPr>
            </w:pPr>
            <w:proofErr w:type="spellStart"/>
            <w:r w:rsidRPr="00EE1287">
              <w:rPr>
                <w:rFonts w:cstheme="minorHAnsi"/>
                <w:i/>
              </w:rPr>
              <w:t>Educ</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lnsales</w:t>
            </w:r>
            <w:proofErr w:type="spellEnd"/>
            <w:r w:rsidRPr="00EE1287">
              <w:rPr>
                <w:rFonts w:cstheme="minorHAnsi"/>
                <w:i/>
              </w:rPr>
              <w:t xml:space="preserve"> </w:t>
            </w:r>
          </w:p>
        </w:tc>
        <w:tc>
          <w:tcPr>
            <w:tcW w:w="1415" w:type="dxa"/>
          </w:tcPr>
          <w:p w:rsidR="00AA788D" w:rsidRPr="00EE1287" w:rsidRDefault="00AA788D" w:rsidP="005A48A5">
            <w:pPr>
              <w:jc w:val="center"/>
              <w:rPr>
                <w:rFonts w:cstheme="minorHAnsi"/>
              </w:rPr>
            </w:pPr>
            <w:r w:rsidRPr="00EE1287">
              <w:rPr>
                <w:rFonts w:cstheme="minorHAnsi"/>
              </w:rPr>
              <w:t>- 0.01</w:t>
            </w:r>
          </w:p>
          <w:p w:rsidR="00AA788D" w:rsidRPr="00EE1287" w:rsidRDefault="00AA788D" w:rsidP="005A48A5">
            <w:pPr>
              <w:jc w:val="center"/>
              <w:rPr>
                <w:rFonts w:cstheme="minorHAnsi"/>
              </w:rPr>
            </w:pPr>
            <w:r w:rsidRPr="00EE1287">
              <w:rPr>
                <w:rFonts w:cstheme="minorHAnsi"/>
              </w:rPr>
              <w:t>(0.04)</w:t>
            </w:r>
          </w:p>
          <w:p w:rsidR="00AA788D" w:rsidRPr="00EE1287" w:rsidRDefault="00AA788D" w:rsidP="005A48A5">
            <w:pPr>
              <w:jc w:val="center"/>
              <w:rPr>
                <w:rFonts w:cstheme="minorHAnsi"/>
              </w:rPr>
            </w:pPr>
            <w:r w:rsidRPr="00EE1287">
              <w:rPr>
                <w:rFonts w:cstheme="minorHAnsi"/>
              </w:rPr>
              <w:t xml:space="preserve"> 0.01</w:t>
            </w:r>
          </w:p>
          <w:p w:rsidR="00AA788D" w:rsidRPr="00EE1287" w:rsidRDefault="00AA788D" w:rsidP="005A48A5">
            <w:pPr>
              <w:jc w:val="center"/>
              <w:rPr>
                <w:rFonts w:cstheme="minorHAnsi"/>
              </w:rPr>
            </w:pPr>
            <w:r w:rsidRPr="00EE1287">
              <w:rPr>
                <w:rFonts w:cstheme="minorHAnsi"/>
              </w:rPr>
              <w:t>(0.08)</w:t>
            </w:r>
          </w:p>
        </w:tc>
        <w:tc>
          <w:tcPr>
            <w:tcW w:w="1414" w:type="dxa"/>
          </w:tcPr>
          <w:p w:rsidR="00AA788D" w:rsidRPr="00EE1287" w:rsidRDefault="00AA788D" w:rsidP="005A48A5">
            <w:pPr>
              <w:jc w:val="center"/>
              <w:rPr>
                <w:rFonts w:cstheme="minorHAnsi"/>
              </w:rPr>
            </w:pPr>
            <w:r w:rsidRPr="00EE1287">
              <w:rPr>
                <w:rFonts w:cstheme="minorHAnsi"/>
              </w:rPr>
              <w:t>0.01</w:t>
            </w:r>
          </w:p>
          <w:p w:rsidR="00AA788D" w:rsidRPr="00EE1287" w:rsidRDefault="00AA788D" w:rsidP="005A48A5">
            <w:pPr>
              <w:jc w:val="center"/>
              <w:rPr>
                <w:rFonts w:cstheme="minorHAnsi"/>
              </w:rPr>
            </w:pPr>
            <w:r w:rsidRPr="00EE1287">
              <w:rPr>
                <w:rFonts w:cstheme="minorHAnsi"/>
              </w:rPr>
              <w:t>(0.05)</w:t>
            </w:r>
          </w:p>
          <w:p w:rsidR="00AA788D" w:rsidRPr="00EE1287" w:rsidRDefault="00AA788D" w:rsidP="005A48A5">
            <w:pPr>
              <w:jc w:val="center"/>
              <w:rPr>
                <w:rFonts w:cstheme="minorHAnsi"/>
              </w:rPr>
            </w:pPr>
            <w:r w:rsidRPr="00EE1287">
              <w:rPr>
                <w:rFonts w:cstheme="minorHAnsi"/>
              </w:rPr>
              <w:t>- 0.02</w:t>
            </w:r>
          </w:p>
          <w:p w:rsidR="00AA788D" w:rsidRPr="00EE1287" w:rsidRDefault="00AA788D" w:rsidP="005A48A5">
            <w:pPr>
              <w:jc w:val="center"/>
              <w:rPr>
                <w:rFonts w:cstheme="minorHAnsi"/>
              </w:rPr>
            </w:pPr>
            <w:r w:rsidRPr="00EE1287">
              <w:rPr>
                <w:rFonts w:cstheme="minorHAnsi"/>
              </w:rPr>
              <w:t>(0.10)</w:t>
            </w:r>
          </w:p>
        </w:tc>
        <w:tc>
          <w:tcPr>
            <w:tcW w:w="1295" w:type="dxa"/>
          </w:tcPr>
          <w:p w:rsidR="00AA788D" w:rsidRPr="00EE1287" w:rsidRDefault="00AA788D" w:rsidP="005A48A5">
            <w:pPr>
              <w:jc w:val="center"/>
              <w:rPr>
                <w:rFonts w:cstheme="minorHAnsi"/>
              </w:rPr>
            </w:pPr>
            <w:r w:rsidRPr="00EE1287">
              <w:rPr>
                <w:rFonts w:cstheme="minorHAnsi"/>
              </w:rPr>
              <w:t>0.01</w:t>
            </w:r>
          </w:p>
          <w:p w:rsidR="00AA788D" w:rsidRPr="00EE1287" w:rsidRDefault="00AA788D" w:rsidP="005A48A5">
            <w:pPr>
              <w:jc w:val="center"/>
              <w:rPr>
                <w:rFonts w:cstheme="minorHAnsi"/>
              </w:rPr>
            </w:pPr>
            <w:r w:rsidRPr="00EE1287">
              <w:rPr>
                <w:rFonts w:cstheme="minorHAnsi"/>
              </w:rPr>
              <w:t>(0.05)</w:t>
            </w:r>
          </w:p>
          <w:p w:rsidR="00AA788D" w:rsidRPr="00EE1287" w:rsidRDefault="00AA788D" w:rsidP="005A48A5">
            <w:pPr>
              <w:jc w:val="center"/>
              <w:rPr>
                <w:rFonts w:cstheme="minorHAnsi"/>
              </w:rPr>
            </w:pPr>
            <w:r w:rsidRPr="00EE1287">
              <w:rPr>
                <w:rFonts w:cstheme="minorHAnsi"/>
              </w:rPr>
              <w:t>0.24***</w:t>
            </w:r>
          </w:p>
          <w:p w:rsidR="00AA788D" w:rsidRPr="00EE1287" w:rsidRDefault="00AA788D" w:rsidP="005A48A5">
            <w:pPr>
              <w:jc w:val="center"/>
              <w:rPr>
                <w:rFonts w:cstheme="minorHAnsi"/>
              </w:rPr>
            </w:pPr>
            <w:r w:rsidRPr="00EE1287">
              <w:rPr>
                <w:rFonts w:cstheme="minorHAnsi"/>
              </w:rPr>
              <w:t>(0.10)</w:t>
            </w:r>
          </w:p>
        </w:tc>
      </w:tr>
      <w:tr w:rsidR="00AA788D" w:rsidRPr="00C15F47" w:rsidTr="005A48A5">
        <w:tc>
          <w:tcPr>
            <w:tcW w:w="5118" w:type="dxa"/>
          </w:tcPr>
          <w:p w:rsidR="00AA788D" w:rsidRPr="00EE1287" w:rsidRDefault="00AA788D" w:rsidP="005A48A5">
            <w:pPr>
              <w:rPr>
                <w:rFonts w:cstheme="minorHAnsi"/>
                <w:i/>
              </w:rPr>
            </w:pPr>
            <w:proofErr w:type="spellStart"/>
            <w:r w:rsidRPr="00EE1287">
              <w:rPr>
                <w:rFonts w:cstheme="minorHAnsi"/>
                <w:i/>
              </w:rPr>
              <w:t>expnd_d</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cash1</w:t>
            </w:r>
          </w:p>
          <w:p w:rsidR="00AA788D" w:rsidRPr="00EE1287" w:rsidRDefault="00AA788D" w:rsidP="005A48A5">
            <w:pPr>
              <w:rPr>
                <w:rFonts w:cstheme="minorHAnsi"/>
                <w:b/>
                <w:i/>
              </w:rPr>
            </w:pPr>
          </w:p>
          <w:p w:rsidR="00AA788D" w:rsidRDefault="00AA788D" w:rsidP="005A48A5">
            <w:pPr>
              <w:rPr>
                <w:rFonts w:cstheme="minorHAnsi"/>
                <w:i/>
              </w:rPr>
            </w:pPr>
            <w:r w:rsidRPr="00EE1287">
              <w:rPr>
                <w:rFonts w:cstheme="minorHAnsi"/>
                <w:i/>
              </w:rPr>
              <w:t>gender</w:t>
            </w:r>
          </w:p>
          <w:p w:rsidR="00AA788D" w:rsidRDefault="00AA788D" w:rsidP="005A48A5">
            <w:pPr>
              <w:rPr>
                <w:rFonts w:cstheme="minorHAnsi"/>
                <w:i/>
              </w:rPr>
            </w:pPr>
          </w:p>
          <w:p w:rsidR="00AA788D" w:rsidRPr="00EE1287" w:rsidRDefault="00AA788D" w:rsidP="005A48A5">
            <w:pPr>
              <w:rPr>
                <w:rFonts w:cstheme="minorHAnsi"/>
                <w:i/>
              </w:rPr>
            </w:pPr>
            <w:proofErr w:type="spellStart"/>
            <w:r>
              <w:rPr>
                <w:rFonts w:cstheme="minorHAnsi"/>
                <w:i/>
              </w:rPr>
              <w:t>invstd</w:t>
            </w:r>
            <w:proofErr w:type="spellEnd"/>
          </w:p>
        </w:tc>
        <w:tc>
          <w:tcPr>
            <w:tcW w:w="1415" w:type="dxa"/>
          </w:tcPr>
          <w:p w:rsidR="00AA788D" w:rsidRPr="00EE1287" w:rsidRDefault="00AA788D" w:rsidP="005A48A5">
            <w:pPr>
              <w:jc w:val="center"/>
              <w:rPr>
                <w:rFonts w:cstheme="minorHAnsi"/>
              </w:rPr>
            </w:pPr>
            <w:r w:rsidRPr="00EE1287">
              <w:rPr>
                <w:rFonts w:cstheme="minorHAnsi"/>
              </w:rPr>
              <w:t>- 0.31</w:t>
            </w:r>
          </w:p>
          <w:p w:rsidR="00AA788D" w:rsidRPr="00EE1287" w:rsidRDefault="00AA788D" w:rsidP="005A48A5">
            <w:pPr>
              <w:jc w:val="center"/>
              <w:rPr>
                <w:rFonts w:cstheme="minorHAnsi"/>
              </w:rPr>
            </w:pPr>
            <w:r w:rsidRPr="00EE1287">
              <w:rPr>
                <w:rFonts w:cstheme="minorHAnsi"/>
              </w:rPr>
              <w:t>(0.25)</w:t>
            </w:r>
          </w:p>
          <w:p w:rsidR="00AA788D" w:rsidRPr="00EE1287" w:rsidRDefault="00AA788D" w:rsidP="005A48A5">
            <w:pPr>
              <w:jc w:val="center"/>
              <w:rPr>
                <w:rFonts w:cstheme="minorHAnsi"/>
              </w:rPr>
            </w:pPr>
            <w:r w:rsidRPr="00EE1287">
              <w:rPr>
                <w:rFonts w:cstheme="minorHAnsi"/>
              </w:rPr>
              <w:t>0.46*</w:t>
            </w:r>
          </w:p>
          <w:p w:rsidR="00AA788D" w:rsidRPr="00EE1287" w:rsidRDefault="00AA788D" w:rsidP="005A48A5">
            <w:pPr>
              <w:jc w:val="center"/>
              <w:rPr>
                <w:rFonts w:cstheme="minorHAnsi"/>
              </w:rPr>
            </w:pPr>
            <w:r w:rsidRPr="00EE1287">
              <w:rPr>
                <w:rFonts w:cstheme="minorHAnsi"/>
              </w:rPr>
              <w:t>(0.26)</w:t>
            </w:r>
          </w:p>
          <w:p w:rsidR="00AA788D" w:rsidRPr="00EE1287" w:rsidRDefault="00AA788D" w:rsidP="005A48A5">
            <w:pPr>
              <w:jc w:val="center"/>
              <w:rPr>
                <w:rFonts w:cstheme="minorHAnsi"/>
              </w:rPr>
            </w:pPr>
            <w:r w:rsidRPr="00EE1287">
              <w:rPr>
                <w:rFonts w:cstheme="minorHAnsi"/>
              </w:rPr>
              <w:t>0.20</w:t>
            </w:r>
          </w:p>
          <w:p w:rsidR="00AA788D" w:rsidRPr="00EE1287" w:rsidRDefault="00AA788D" w:rsidP="005A48A5">
            <w:pPr>
              <w:jc w:val="center"/>
              <w:rPr>
                <w:rFonts w:cstheme="minorHAnsi"/>
              </w:rPr>
            </w:pPr>
            <w:r w:rsidRPr="00EE1287">
              <w:rPr>
                <w:rFonts w:cstheme="minorHAnsi"/>
              </w:rPr>
              <w:t>(0.32)</w:t>
            </w:r>
          </w:p>
          <w:p w:rsidR="00AA788D" w:rsidRPr="00EE1287" w:rsidRDefault="00AA788D" w:rsidP="005A48A5">
            <w:pPr>
              <w:jc w:val="center"/>
              <w:rPr>
                <w:rFonts w:cstheme="minorHAnsi"/>
              </w:rPr>
            </w:pPr>
            <w:r w:rsidRPr="00EE1287">
              <w:rPr>
                <w:rFonts w:cstheme="minorHAnsi"/>
              </w:rPr>
              <w:t>0.48*</w:t>
            </w:r>
          </w:p>
          <w:p w:rsidR="00AA788D" w:rsidRPr="00EE1287" w:rsidRDefault="00AA788D" w:rsidP="005A48A5">
            <w:pPr>
              <w:jc w:val="center"/>
              <w:rPr>
                <w:rFonts w:cstheme="minorHAnsi"/>
              </w:rPr>
            </w:pPr>
            <w:r w:rsidRPr="00EE1287">
              <w:rPr>
                <w:rFonts w:cstheme="minorHAnsi"/>
              </w:rPr>
              <w:t>(0.28)</w:t>
            </w:r>
          </w:p>
        </w:tc>
        <w:tc>
          <w:tcPr>
            <w:tcW w:w="1414" w:type="dxa"/>
          </w:tcPr>
          <w:p w:rsidR="00AA788D" w:rsidRPr="00EE1287" w:rsidRDefault="00AA788D" w:rsidP="005A48A5">
            <w:pPr>
              <w:jc w:val="center"/>
              <w:rPr>
                <w:rFonts w:cstheme="minorHAnsi"/>
              </w:rPr>
            </w:pPr>
            <w:r w:rsidRPr="00EE1287">
              <w:rPr>
                <w:rFonts w:cstheme="minorHAnsi"/>
              </w:rPr>
              <w:t>- 0.56*</w:t>
            </w:r>
          </w:p>
          <w:p w:rsidR="00AA788D" w:rsidRPr="00EE1287" w:rsidRDefault="00AA788D" w:rsidP="005A48A5">
            <w:pPr>
              <w:jc w:val="center"/>
              <w:rPr>
                <w:rFonts w:cstheme="minorHAnsi"/>
              </w:rPr>
            </w:pPr>
            <w:r w:rsidRPr="00EE1287">
              <w:rPr>
                <w:rFonts w:cstheme="minorHAnsi"/>
              </w:rPr>
              <w:t>(0.31)</w:t>
            </w:r>
          </w:p>
          <w:p w:rsidR="00AA788D" w:rsidRPr="00EE1287" w:rsidRDefault="00AA788D" w:rsidP="005A48A5">
            <w:pPr>
              <w:jc w:val="center"/>
              <w:rPr>
                <w:rFonts w:cstheme="minorHAnsi"/>
              </w:rPr>
            </w:pPr>
            <w:r w:rsidRPr="00EE1287">
              <w:rPr>
                <w:rFonts w:cstheme="minorHAnsi"/>
              </w:rPr>
              <w:t>0.40</w:t>
            </w:r>
          </w:p>
          <w:p w:rsidR="00AA788D" w:rsidRPr="00EE1287" w:rsidRDefault="00AA788D" w:rsidP="005A48A5">
            <w:pPr>
              <w:jc w:val="center"/>
              <w:rPr>
                <w:rFonts w:cstheme="minorHAnsi"/>
              </w:rPr>
            </w:pPr>
            <w:r w:rsidRPr="00EE1287">
              <w:rPr>
                <w:rFonts w:cstheme="minorHAnsi"/>
              </w:rPr>
              <w:t>(0.33)</w:t>
            </w:r>
          </w:p>
          <w:p w:rsidR="00AA788D" w:rsidRPr="00EE1287" w:rsidRDefault="00AA788D" w:rsidP="005A48A5">
            <w:pPr>
              <w:jc w:val="center"/>
              <w:rPr>
                <w:rFonts w:cstheme="minorHAnsi"/>
              </w:rPr>
            </w:pPr>
            <w:r w:rsidRPr="00EE1287">
              <w:rPr>
                <w:rFonts w:cstheme="minorHAnsi"/>
              </w:rPr>
              <w:t>0.47</w:t>
            </w:r>
          </w:p>
          <w:p w:rsidR="00AA788D" w:rsidRPr="00EE1287" w:rsidRDefault="00AA788D" w:rsidP="005A48A5">
            <w:pPr>
              <w:jc w:val="center"/>
              <w:rPr>
                <w:rFonts w:cstheme="minorHAnsi"/>
              </w:rPr>
            </w:pPr>
            <w:r w:rsidRPr="00EE1287">
              <w:rPr>
                <w:rFonts w:cstheme="minorHAnsi"/>
              </w:rPr>
              <w:t>(0.40)</w:t>
            </w:r>
          </w:p>
          <w:p w:rsidR="00AA788D" w:rsidRPr="00EE1287" w:rsidRDefault="00AA788D" w:rsidP="005A48A5">
            <w:pPr>
              <w:jc w:val="center"/>
              <w:rPr>
                <w:rFonts w:cstheme="minorHAnsi"/>
              </w:rPr>
            </w:pPr>
            <w:r w:rsidRPr="00EE1287">
              <w:rPr>
                <w:rFonts w:cstheme="minorHAnsi"/>
              </w:rPr>
              <w:t xml:space="preserve">– </w:t>
            </w:r>
          </w:p>
          <w:p w:rsidR="00AA788D" w:rsidRPr="00EE1287" w:rsidRDefault="00AA788D" w:rsidP="005A48A5">
            <w:pPr>
              <w:jc w:val="center"/>
              <w:rPr>
                <w:rFonts w:cstheme="minorHAnsi"/>
              </w:rPr>
            </w:pPr>
          </w:p>
        </w:tc>
        <w:tc>
          <w:tcPr>
            <w:tcW w:w="1295" w:type="dxa"/>
          </w:tcPr>
          <w:p w:rsidR="00AA788D" w:rsidRPr="00EE1287" w:rsidRDefault="00AA788D" w:rsidP="005A48A5">
            <w:pPr>
              <w:jc w:val="center"/>
              <w:rPr>
                <w:rFonts w:cstheme="minorHAnsi"/>
              </w:rPr>
            </w:pPr>
            <w:r w:rsidRPr="00EE1287">
              <w:rPr>
                <w:rFonts w:cstheme="minorHAnsi"/>
              </w:rPr>
              <w:t>0.41</w:t>
            </w:r>
          </w:p>
          <w:p w:rsidR="00AA788D" w:rsidRPr="00EE1287" w:rsidRDefault="00AA788D" w:rsidP="005A48A5">
            <w:pPr>
              <w:jc w:val="center"/>
              <w:rPr>
                <w:rFonts w:cstheme="minorHAnsi"/>
              </w:rPr>
            </w:pPr>
            <w:r w:rsidRPr="00EE1287">
              <w:rPr>
                <w:rFonts w:cstheme="minorHAnsi"/>
              </w:rPr>
              <w:t>(0.29)</w:t>
            </w:r>
          </w:p>
          <w:p w:rsidR="00AA788D" w:rsidRPr="00EE1287" w:rsidRDefault="00AA788D" w:rsidP="005A48A5">
            <w:pPr>
              <w:jc w:val="center"/>
              <w:rPr>
                <w:rFonts w:cstheme="minorHAnsi"/>
              </w:rPr>
            </w:pPr>
            <w:r w:rsidRPr="00EE1287">
              <w:rPr>
                <w:rFonts w:cstheme="minorHAnsi"/>
              </w:rPr>
              <w:t>0.45</w:t>
            </w:r>
          </w:p>
          <w:p w:rsidR="00AA788D" w:rsidRPr="00EE1287" w:rsidRDefault="00AA788D" w:rsidP="005A48A5">
            <w:pPr>
              <w:jc w:val="center"/>
              <w:rPr>
                <w:rFonts w:cstheme="minorHAnsi"/>
              </w:rPr>
            </w:pPr>
            <w:r w:rsidRPr="00EE1287">
              <w:rPr>
                <w:rFonts w:cstheme="minorHAnsi"/>
              </w:rPr>
              <w:t>(0.30)</w:t>
            </w:r>
          </w:p>
          <w:p w:rsidR="00AA788D" w:rsidRPr="00EE1287" w:rsidRDefault="00AA788D" w:rsidP="005A48A5">
            <w:pPr>
              <w:jc w:val="center"/>
              <w:rPr>
                <w:rFonts w:cstheme="minorHAnsi"/>
              </w:rPr>
            </w:pPr>
            <w:r w:rsidRPr="00EE1287">
              <w:rPr>
                <w:rFonts w:cstheme="minorHAnsi"/>
              </w:rPr>
              <w:t>- 0.06</w:t>
            </w:r>
          </w:p>
          <w:p w:rsidR="00AA788D" w:rsidRPr="00EE1287" w:rsidRDefault="00AA788D" w:rsidP="005A48A5">
            <w:pPr>
              <w:jc w:val="center"/>
              <w:rPr>
                <w:rFonts w:cstheme="minorHAnsi"/>
              </w:rPr>
            </w:pPr>
            <w:r w:rsidRPr="00EE1287">
              <w:rPr>
                <w:rFonts w:cstheme="minorHAnsi"/>
              </w:rPr>
              <w:t>(0.37)</w:t>
            </w:r>
          </w:p>
          <w:p w:rsidR="00AA788D" w:rsidRPr="00EE1287" w:rsidRDefault="00AA788D" w:rsidP="005A48A5">
            <w:pPr>
              <w:jc w:val="center"/>
              <w:rPr>
                <w:rFonts w:cstheme="minorHAnsi"/>
              </w:rPr>
            </w:pPr>
            <w:r w:rsidRPr="00EE1287">
              <w:rPr>
                <w:rFonts w:cstheme="minorHAnsi"/>
              </w:rPr>
              <w:t xml:space="preserve">– </w:t>
            </w:r>
          </w:p>
          <w:p w:rsidR="00AA788D" w:rsidRPr="00EE1287" w:rsidRDefault="00AA788D" w:rsidP="005A48A5">
            <w:pPr>
              <w:jc w:val="center"/>
              <w:rPr>
                <w:rFonts w:cstheme="minorHAnsi"/>
              </w:rPr>
            </w:pPr>
          </w:p>
        </w:tc>
      </w:tr>
      <w:tr w:rsidR="00AA788D" w:rsidRPr="00C15F47" w:rsidTr="005A48A5">
        <w:tc>
          <w:tcPr>
            <w:tcW w:w="5118" w:type="dxa"/>
          </w:tcPr>
          <w:p w:rsidR="00AA788D" w:rsidRPr="00EE1287" w:rsidRDefault="00AA788D" w:rsidP="005A48A5">
            <w:pPr>
              <w:rPr>
                <w:rFonts w:cstheme="minorHAnsi"/>
                <w:b/>
                <w:i/>
              </w:rPr>
            </w:pPr>
            <w:proofErr w:type="spellStart"/>
            <w:r>
              <w:rPr>
                <w:rFonts w:cstheme="minorHAnsi"/>
                <w:i/>
              </w:rPr>
              <w:t>t</w:t>
            </w:r>
            <w:r w:rsidRPr="00EE1287">
              <w:rPr>
                <w:rFonts w:cstheme="minorHAnsi"/>
                <w:i/>
              </w:rPr>
              <w:t>ash</w:t>
            </w:r>
            <w:r>
              <w:rPr>
                <w:rFonts w:cstheme="minorHAnsi"/>
                <w:i/>
              </w:rPr>
              <w:t>_obl</w:t>
            </w:r>
            <w:proofErr w:type="spellEnd"/>
          </w:p>
          <w:p w:rsidR="00AA788D" w:rsidRPr="00EE1287" w:rsidRDefault="00AA788D" w:rsidP="005A48A5">
            <w:pPr>
              <w:rPr>
                <w:rFonts w:cstheme="minorHAnsi"/>
                <w:b/>
                <w:i/>
              </w:rPr>
            </w:pPr>
          </w:p>
          <w:p w:rsidR="00AA788D" w:rsidRPr="00EE1287" w:rsidRDefault="00AA788D" w:rsidP="005A48A5">
            <w:pPr>
              <w:rPr>
                <w:rFonts w:cstheme="minorHAnsi"/>
                <w:i/>
              </w:rPr>
            </w:pPr>
            <w:proofErr w:type="spellStart"/>
            <w:r w:rsidRPr="00EE1287">
              <w:rPr>
                <w:rFonts w:cstheme="minorHAnsi"/>
                <w:i/>
              </w:rPr>
              <w:t>fergh</w:t>
            </w:r>
            <w:proofErr w:type="spellEnd"/>
          </w:p>
        </w:tc>
        <w:tc>
          <w:tcPr>
            <w:tcW w:w="1415" w:type="dxa"/>
          </w:tcPr>
          <w:p w:rsidR="00AA788D" w:rsidRPr="00EE1287" w:rsidRDefault="00AA788D" w:rsidP="005A48A5">
            <w:pPr>
              <w:ind w:left="360"/>
              <w:rPr>
                <w:rFonts w:cstheme="minorHAnsi"/>
              </w:rPr>
            </w:pPr>
            <w:r w:rsidRPr="00EE1287">
              <w:rPr>
                <w:rFonts w:cstheme="minorHAnsi"/>
              </w:rPr>
              <w:t>- 0.65**</w:t>
            </w:r>
          </w:p>
          <w:p w:rsidR="00AA788D" w:rsidRPr="00EE1287" w:rsidRDefault="00AA788D" w:rsidP="005A48A5">
            <w:pPr>
              <w:ind w:left="360"/>
              <w:rPr>
                <w:rFonts w:cstheme="minorHAnsi"/>
              </w:rPr>
            </w:pPr>
            <w:r w:rsidRPr="00EE1287">
              <w:rPr>
                <w:rFonts w:cstheme="minorHAnsi"/>
              </w:rPr>
              <w:t>(0.33)</w:t>
            </w:r>
          </w:p>
          <w:p w:rsidR="00AA788D" w:rsidRPr="00EE1287" w:rsidRDefault="00AA788D" w:rsidP="005A48A5">
            <w:pPr>
              <w:ind w:left="360"/>
              <w:rPr>
                <w:rFonts w:cstheme="minorHAnsi"/>
              </w:rPr>
            </w:pPr>
            <w:r w:rsidRPr="00EE1287">
              <w:rPr>
                <w:rFonts w:cstheme="minorHAnsi"/>
              </w:rPr>
              <w:t>0.19</w:t>
            </w:r>
          </w:p>
          <w:p w:rsidR="00AA788D" w:rsidRPr="00EE1287" w:rsidRDefault="00AA788D" w:rsidP="005A48A5">
            <w:pPr>
              <w:ind w:left="360"/>
              <w:rPr>
                <w:rFonts w:cstheme="minorHAnsi"/>
              </w:rPr>
            </w:pPr>
            <w:r w:rsidRPr="00EE1287">
              <w:rPr>
                <w:rFonts w:cstheme="minorHAnsi"/>
              </w:rPr>
              <w:t>(0.36)</w:t>
            </w:r>
          </w:p>
        </w:tc>
        <w:tc>
          <w:tcPr>
            <w:tcW w:w="1414" w:type="dxa"/>
          </w:tcPr>
          <w:p w:rsidR="00AA788D" w:rsidRPr="00EE1287" w:rsidRDefault="00AA788D" w:rsidP="005A48A5">
            <w:pPr>
              <w:jc w:val="center"/>
              <w:rPr>
                <w:rFonts w:cstheme="minorHAnsi"/>
              </w:rPr>
            </w:pPr>
            <w:r w:rsidRPr="00EE1287">
              <w:rPr>
                <w:rFonts w:cstheme="minorHAnsi"/>
              </w:rPr>
              <w:t>- 0.50</w:t>
            </w:r>
          </w:p>
          <w:p w:rsidR="00AA788D" w:rsidRPr="00EE1287" w:rsidRDefault="00AA788D" w:rsidP="005A48A5">
            <w:pPr>
              <w:jc w:val="center"/>
              <w:rPr>
                <w:rFonts w:cstheme="minorHAnsi"/>
              </w:rPr>
            </w:pPr>
            <w:r w:rsidRPr="00EE1287">
              <w:rPr>
                <w:rFonts w:cstheme="minorHAnsi"/>
              </w:rPr>
              <w:t>(0.39)</w:t>
            </w:r>
          </w:p>
          <w:p w:rsidR="00AA788D" w:rsidRPr="00EE1287" w:rsidRDefault="00AA788D" w:rsidP="005A48A5">
            <w:pPr>
              <w:jc w:val="center"/>
              <w:rPr>
                <w:rFonts w:cstheme="minorHAnsi"/>
              </w:rPr>
            </w:pPr>
            <w:r w:rsidRPr="00EE1287">
              <w:rPr>
                <w:rFonts w:cstheme="minorHAnsi"/>
              </w:rPr>
              <w:t>0.57</w:t>
            </w:r>
          </w:p>
          <w:p w:rsidR="00AA788D" w:rsidRPr="00EE1287" w:rsidRDefault="00AA788D" w:rsidP="005A48A5">
            <w:pPr>
              <w:jc w:val="center"/>
              <w:rPr>
                <w:rFonts w:cstheme="minorHAnsi"/>
              </w:rPr>
            </w:pPr>
            <w:r w:rsidRPr="00EE1287">
              <w:rPr>
                <w:rFonts w:cstheme="minorHAnsi"/>
              </w:rPr>
              <w:t>(0.46)</w:t>
            </w:r>
          </w:p>
        </w:tc>
        <w:tc>
          <w:tcPr>
            <w:tcW w:w="1295" w:type="dxa"/>
          </w:tcPr>
          <w:p w:rsidR="00AA788D" w:rsidRPr="00EE1287" w:rsidRDefault="00AA788D" w:rsidP="005A48A5">
            <w:pPr>
              <w:jc w:val="center"/>
              <w:rPr>
                <w:rFonts w:cstheme="minorHAnsi"/>
              </w:rPr>
            </w:pPr>
            <w:r w:rsidRPr="00EE1287">
              <w:rPr>
                <w:rFonts w:cstheme="minorHAnsi"/>
              </w:rPr>
              <w:t>1.02**</w:t>
            </w:r>
          </w:p>
          <w:p w:rsidR="00AA788D" w:rsidRPr="00EE1287" w:rsidRDefault="00AA788D" w:rsidP="005A48A5">
            <w:pPr>
              <w:jc w:val="center"/>
              <w:rPr>
                <w:rFonts w:cstheme="minorHAnsi"/>
              </w:rPr>
            </w:pPr>
            <w:r w:rsidRPr="00EE1287">
              <w:rPr>
                <w:rFonts w:cstheme="minorHAnsi"/>
              </w:rPr>
              <w:t>(0.42)</w:t>
            </w:r>
          </w:p>
          <w:p w:rsidR="00AA788D" w:rsidRPr="00EE1287" w:rsidRDefault="00AA788D" w:rsidP="005A48A5">
            <w:pPr>
              <w:jc w:val="center"/>
              <w:rPr>
                <w:rFonts w:cstheme="minorHAnsi"/>
              </w:rPr>
            </w:pPr>
            <w:r w:rsidRPr="00EE1287">
              <w:rPr>
                <w:rFonts w:cstheme="minorHAnsi"/>
              </w:rPr>
              <w:t>0.40</w:t>
            </w:r>
          </w:p>
          <w:p w:rsidR="00AA788D" w:rsidRPr="00EE1287" w:rsidRDefault="00AA788D" w:rsidP="005A48A5">
            <w:pPr>
              <w:jc w:val="center"/>
              <w:rPr>
                <w:rFonts w:cstheme="minorHAnsi"/>
              </w:rPr>
            </w:pPr>
            <w:r w:rsidRPr="00EE1287">
              <w:rPr>
                <w:rFonts w:cstheme="minorHAnsi"/>
              </w:rPr>
              <w:t>(0.40)</w:t>
            </w:r>
          </w:p>
        </w:tc>
      </w:tr>
      <w:tr w:rsidR="00AA788D" w:rsidRPr="00C15F47" w:rsidTr="005A48A5">
        <w:tc>
          <w:tcPr>
            <w:tcW w:w="5118" w:type="dxa"/>
          </w:tcPr>
          <w:p w:rsidR="00AA788D" w:rsidRPr="00EE1287" w:rsidRDefault="00AA788D" w:rsidP="005A48A5">
            <w:pPr>
              <w:rPr>
                <w:rFonts w:cstheme="minorHAnsi"/>
                <w:i/>
              </w:rPr>
            </w:pPr>
            <w:proofErr w:type="spellStart"/>
            <w:r w:rsidRPr="00EE1287">
              <w:rPr>
                <w:rFonts w:cstheme="minorHAnsi"/>
                <w:i/>
              </w:rPr>
              <w:t>Agri</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srvs</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trd</w:t>
            </w:r>
            <w:proofErr w:type="spellEnd"/>
          </w:p>
          <w:p w:rsidR="00AA788D" w:rsidRPr="00EE1287" w:rsidRDefault="00AA788D" w:rsidP="005A48A5">
            <w:pPr>
              <w:rPr>
                <w:rFonts w:cstheme="minorHAnsi"/>
                <w:i/>
              </w:rPr>
            </w:pPr>
          </w:p>
        </w:tc>
        <w:tc>
          <w:tcPr>
            <w:tcW w:w="1415" w:type="dxa"/>
          </w:tcPr>
          <w:p w:rsidR="00AA788D" w:rsidRPr="00EE1287" w:rsidRDefault="00AA788D" w:rsidP="005A48A5">
            <w:pPr>
              <w:jc w:val="center"/>
              <w:rPr>
                <w:rFonts w:cstheme="minorHAnsi"/>
              </w:rPr>
            </w:pPr>
            <w:r w:rsidRPr="00EE1287">
              <w:rPr>
                <w:rFonts w:cstheme="minorHAnsi"/>
              </w:rPr>
              <w:t>- 0.28</w:t>
            </w:r>
          </w:p>
          <w:p w:rsidR="00AA788D" w:rsidRPr="00EE1287" w:rsidRDefault="00AA788D" w:rsidP="005A48A5">
            <w:pPr>
              <w:jc w:val="center"/>
              <w:rPr>
                <w:rFonts w:cstheme="minorHAnsi"/>
              </w:rPr>
            </w:pPr>
            <w:r w:rsidRPr="00EE1287">
              <w:rPr>
                <w:rFonts w:cstheme="minorHAnsi"/>
              </w:rPr>
              <w:t>(0.44)</w:t>
            </w:r>
          </w:p>
          <w:p w:rsidR="00AA788D" w:rsidRPr="00EE1287" w:rsidRDefault="00AA788D" w:rsidP="005A48A5">
            <w:pPr>
              <w:jc w:val="center"/>
              <w:rPr>
                <w:rFonts w:cstheme="minorHAnsi"/>
              </w:rPr>
            </w:pPr>
            <w:r w:rsidRPr="00EE1287">
              <w:rPr>
                <w:rFonts w:cstheme="minorHAnsi"/>
              </w:rPr>
              <w:t>- 0.64*</w:t>
            </w:r>
          </w:p>
          <w:p w:rsidR="00AA788D" w:rsidRPr="00EE1287" w:rsidRDefault="00AA788D" w:rsidP="005A48A5">
            <w:pPr>
              <w:jc w:val="center"/>
              <w:rPr>
                <w:rFonts w:cstheme="minorHAnsi"/>
              </w:rPr>
            </w:pPr>
            <w:r w:rsidRPr="00EE1287">
              <w:rPr>
                <w:rFonts w:cstheme="minorHAnsi"/>
              </w:rPr>
              <w:t>(0.35)</w:t>
            </w:r>
          </w:p>
          <w:p w:rsidR="00AA788D" w:rsidRPr="00EE1287" w:rsidRDefault="00AA788D" w:rsidP="005A48A5">
            <w:pPr>
              <w:jc w:val="center"/>
              <w:rPr>
                <w:rFonts w:cstheme="minorHAnsi"/>
              </w:rPr>
            </w:pPr>
            <w:r w:rsidRPr="00EE1287">
              <w:rPr>
                <w:rFonts w:cstheme="minorHAnsi"/>
              </w:rPr>
              <w:t>0.07</w:t>
            </w:r>
          </w:p>
          <w:p w:rsidR="00AA788D" w:rsidRPr="00EE1287" w:rsidRDefault="00AA788D" w:rsidP="005A48A5">
            <w:pPr>
              <w:jc w:val="center"/>
              <w:rPr>
                <w:rFonts w:cstheme="minorHAnsi"/>
              </w:rPr>
            </w:pPr>
            <w:r w:rsidRPr="00EE1287">
              <w:rPr>
                <w:rFonts w:cstheme="minorHAnsi"/>
              </w:rPr>
              <w:t>(0.39)</w:t>
            </w:r>
          </w:p>
        </w:tc>
        <w:tc>
          <w:tcPr>
            <w:tcW w:w="1414" w:type="dxa"/>
          </w:tcPr>
          <w:p w:rsidR="00AA788D" w:rsidRPr="00EE1287" w:rsidRDefault="00AA788D" w:rsidP="005A48A5">
            <w:pPr>
              <w:jc w:val="center"/>
              <w:rPr>
                <w:rFonts w:cstheme="minorHAnsi"/>
              </w:rPr>
            </w:pPr>
            <w:r w:rsidRPr="00EE1287">
              <w:rPr>
                <w:rFonts w:cstheme="minorHAnsi"/>
              </w:rPr>
              <w:t>- 0.18</w:t>
            </w:r>
          </w:p>
          <w:p w:rsidR="00AA788D" w:rsidRPr="00EE1287" w:rsidRDefault="00AA788D" w:rsidP="005A48A5">
            <w:pPr>
              <w:jc w:val="center"/>
              <w:rPr>
                <w:rFonts w:cstheme="minorHAnsi"/>
              </w:rPr>
            </w:pPr>
            <w:r w:rsidRPr="00EE1287">
              <w:rPr>
                <w:rFonts w:cstheme="minorHAnsi"/>
              </w:rPr>
              <w:t>(0.53)</w:t>
            </w:r>
          </w:p>
          <w:p w:rsidR="00AA788D" w:rsidRPr="00EE1287" w:rsidRDefault="00AA788D" w:rsidP="005A48A5">
            <w:pPr>
              <w:jc w:val="center"/>
              <w:rPr>
                <w:rFonts w:cstheme="minorHAnsi"/>
              </w:rPr>
            </w:pPr>
            <w:r w:rsidRPr="00EE1287">
              <w:rPr>
                <w:rFonts w:cstheme="minorHAnsi"/>
              </w:rPr>
              <w:t>- 0.87</w:t>
            </w:r>
          </w:p>
          <w:p w:rsidR="00AA788D" w:rsidRPr="00EE1287" w:rsidRDefault="00AA788D" w:rsidP="005A48A5">
            <w:pPr>
              <w:jc w:val="center"/>
              <w:rPr>
                <w:rFonts w:cstheme="minorHAnsi"/>
              </w:rPr>
            </w:pPr>
            <w:r w:rsidRPr="00EE1287">
              <w:rPr>
                <w:rFonts w:cstheme="minorHAnsi"/>
              </w:rPr>
              <w:t>(0.42)</w:t>
            </w:r>
          </w:p>
          <w:p w:rsidR="00AA788D" w:rsidRPr="00EE1287" w:rsidRDefault="00AA788D" w:rsidP="005A48A5">
            <w:pPr>
              <w:jc w:val="center"/>
              <w:rPr>
                <w:rFonts w:cstheme="minorHAnsi"/>
              </w:rPr>
            </w:pPr>
            <w:r w:rsidRPr="00EE1287">
              <w:rPr>
                <w:rFonts w:cstheme="minorHAnsi"/>
              </w:rPr>
              <w:t>- 0.19</w:t>
            </w:r>
          </w:p>
          <w:p w:rsidR="00AA788D" w:rsidRPr="00EE1287" w:rsidRDefault="00AA788D" w:rsidP="005A48A5">
            <w:pPr>
              <w:jc w:val="center"/>
              <w:rPr>
                <w:rFonts w:cstheme="minorHAnsi"/>
              </w:rPr>
            </w:pPr>
            <w:r w:rsidRPr="00EE1287">
              <w:rPr>
                <w:rFonts w:cstheme="minorHAnsi"/>
              </w:rPr>
              <w:t>(0.51)</w:t>
            </w:r>
          </w:p>
        </w:tc>
        <w:tc>
          <w:tcPr>
            <w:tcW w:w="1295" w:type="dxa"/>
          </w:tcPr>
          <w:p w:rsidR="00AA788D" w:rsidRPr="00EE1287" w:rsidRDefault="00AA788D" w:rsidP="005A48A5">
            <w:pPr>
              <w:jc w:val="center"/>
              <w:rPr>
                <w:rFonts w:cstheme="minorHAnsi"/>
              </w:rPr>
            </w:pPr>
            <w:r w:rsidRPr="00EE1287">
              <w:rPr>
                <w:rFonts w:cstheme="minorHAnsi"/>
              </w:rPr>
              <w:t>- 0.42</w:t>
            </w:r>
          </w:p>
          <w:p w:rsidR="00AA788D" w:rsidRPr="00EE1287" w:rsidRDefault="00AA788D" w:rsidP="005A48A5">
            <w:pPr>
              <w:jc w:val="center"/>
              <w:rPr>
                <w:rFonts w:cstheme="minorHAnsi"/>
              </w:rPr>
            </w:pPr>
            <w:r w:rsidRPr="00EE1287">
              <w:rPr>
                <w:rFonts w:cstheme="minorHAnsi"/>
              </w:rPr>
              <w:t>(0.51)</w:t>
            </w:r>
          </w:p>
          <w:p w:rsidR="00AA788D" w:rsidRPr="00EE1287" w:rsidRDefault="00AA788D" w:rsidP="005A48A5">
            <w:pPr>
              <w:jc w:val="center"/>
              <w:rPr>
                <w:rFonts w:cstheme="minorHAnsi"/>
              </w:rPr>
            </w:pPr>
            <w:r w:rsidRPr="00EE1287">
              <w:rPr>
                <w:rFonts w:cstheme="minorHAnsi"/>
              </w:rPr>
              <w:t>0.10</w:t>
            </w:r>
          </w:p>
          <w:p w:rsidR="00AA788D" w:rsidRPr="00EE1287" w:rsidRDefault="00AA788D" w:rsidP="005A48A5">
            <w:pPr>
              <w:jc w:val="center"/>
              <w:rPr>
                <w:rFonts w:cstheme="minorHAnsi"/>
              </w:rPr>
            </w:pPr>
            <w:r w:rsidRPr="00EE1287">
              <w:rPr>
                <w:rFonts w:cstheme="minorHAnsi"/>
              </w:rPr>
              <w:t>(0.39)</w:t>
            </w:r>
          </w:p>
          <w:p w:rsidR="00AA788D" w:rsidRPr="00EE1287" w:rsidRDefault="00AA788D" w:rsidP="005A48A5">
            <w:pPr>
              <w:jc w:val="center"/>
              <w:rPr>
                <w:rFonts w:cstheme="minorHAnsi"/>
              </w:rPr>
            </w:pPr>
            <w:r w:rsidRPr="00EE1287">
              <w:rPr>
                <w:rFonts w:cstheme="minorHAnsi"/>
              </w:rPr>
              <w:t>- 0.82**</w:t>
            </w:r>
          </w:p>
          <w:p w:rsidR="00AA788D" w:rsidRPr="00EE1287" w:rsidRDefault="00AA788D" w:rsidP="005A48A5">
            <w:pPr>
              <w:jc w:val="center"/>
              <w:rPr>
                <w:rFonts w:cstheme="minorHAnsi"/>
              </w:rPr>
            </w:pPr>
            <w:r w:rsidRPr="00EE1287">
              <w:rPr>
                <w:rFonts w:cstheme="minorHAnsi"/>
              </w:rPr>
              <w:t>(0.41)</w:t>
            </w:r>
          </w:p>
        </w:tc>
      </w:tr>
      <w:tr w:rsidR="00AA788D" w:rsidRPr="00C15F47" w:rsidTr="005A48A5">
        <w:tc>
          <w:tcPr>
            <w:tcW w:w="5118" w:type="dxa"/>
            <w:tcBorders>
              <w:bottom w:val="single" w:sz="4" w:space="0" w:color="auto"/>
            </w:tcBorders>
          </w:tcPr>
          <w:p w:rsidR="00AA788D" w:rsidRPr="00EE1287" w:rsidRDefault="00AA788D" w:rsidP="005A48A5">
            <w:pPr>
              <w:rPr>
                <w:rFonts w:cstheme="minorHAnsi"/>
                <w:i/>
              </w:rPr>
            </w:pPr>
            <w:proofErr w:type="spellStart"/>
            <w:r w:rsidRPr="00EE1287">
              <w:rPr>
                <w:rFonts w:cstheme="minorHAnsi"/>
                <w:i/>
              </w:rPr>
              <w:t>gov_connect</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Pr>
                <w:rFonts w:cstheme="minorHAnsi"/>
                <w:i/>
              </w:rPr>
              <w:t>b</w:t>
            </w:r>
            <w:r w:rsidRPr="00EE1287">
              <w:rPr>
                <w:rFonts w:cstheme="minorHAnsi"/>
                <w:i/>
              </w:rPr>
              <w:t>ribe</w:t>
            </w:r>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bzinbrpl</w:t>
            </w:r>
            <w:proofErr w:type="spellEnd"/>
          </w:p>
          <w:p w:rsidR="00AA788D" w:rsidRPr="00EE1287" w:rsidRDefault="00AA788D" w:rsidP="005A48A5">
            <w:pPr>
              <w:rPr>
                <w:rFonts w:cstheme="minorHAnsi"/>
                <w:i/>
              </w:rPr>
            </w:pPr>
          </w:p>
        </w:tc>
        <w:tc>
          <w:tcPr>
            <w:tcW w:w="1415" w:type="dxa"/>
            <w:tcBorders>
              <w:bottom w:val="single" w:sz="4" w:space="0" w:color="auto"/>
            </w:tcBorders>
          </w:tcPr>
          <w:p w:rsidR="00AA788D" w:rsidRPr="00EE1287" w:rsidRDefault="00AA788D" w:rsidP="005A48A5">
            <w:pPr>
              <w:jc w:val="center"/>
              <w:rPr>
                <w:rFonts w:cstheme="minorHAnsi"/>
              </w:rPr>
            </w:pPr>
            <w:r w:rsidRPr="00EE1287">
              <w:rPr>
                <w:rFonts w:cstheme="minorHAnsi"/>
              </w:rPr>
              <w:t>0.14</w:t>
            </w:r>
          </w:p>
          <w:p w:rsidR="00AA788D" w:rsidRPr="00EE1287" w:rsidRDefault="00AA788D" w:rsidP="005A48A5">
            <w:pPr>
              <w:jc w:val="center"/>
              <w:rPr>
                <w:rFonts w:cstheme="minorHAnsi"/>
              </w:rPr>
            </w:pPr>
            <w:r w:rsidRPr="00EE1287">
              <w:rPr>
                <w:rFonts w:cstheme="minorHAnsi"/>
              </w:rPr>
              <w:t>(0.29)</w:t>
            </w:r>
          </w:p>
          <w:p w:rsidR="00AA788D" w:rsidRPr="00EE1287" w:rsidRDefault="00AA788D" w:rsidP="005A48A5">
            <w:pPr>
              <w:jc w:val="center"/>
              <w:rPr>
                <w:rFonts w:cstheme="minorHAnsi"/>
              </w:rPr>
            </w:pPr>
            <w:r w:rsidRPr="00EE1287">
              <w:rPr>
                <w:rFonts w:cstheme="minorHAnsi"/>
              </w:rPr>
              <w:t>0.25</w:t>
            </w:r>
          </w:p>
          <w:p w:rsidR="00AA788D" w:rsidRPr="00EE1287" w:rsidRDefault="00AA788D" w:rsidP="005A48A5">
            <w:pPr>
              <w:jc w:val="center"/>
              <w:rPr>
                <w:rFonts w:cstheme="minorHAnsi"/>
              </w:rPr>
            </w:pPr>
            <w:r w:rsidRPr="00EE1287">
              <w:rPr>
                <w:rFonts w:cstheme="minorHAnsi"/>
              </w:rPr>
              <w:t>(0.26)</w:t>
            </w:r>
          </w:p>
          <w:p w:rsidR="00AA788D" w:rsidRPr="00EE1287" w:rsidRDefault="00AA788D" w:rsidP="005A48A5">
            <w:pPr>
              <w:jc w:val="center"/>
              <w:rPr>
                <w:rFonts w:cstheme="minorHAnsi"/>
              </w:rPr>
            </w:pPr>
            <w:r w:rsidRPr="00EE1287">
              <w:rPr>
                <w:rFonts w:cstheme="minorHAnsi"/>
              </w:rPr>
              <w:t>0.56*</w:t>
            </w:r>
          </w:p>
          <w:p w:rsidR="00AA788D" w:rsidRPr="00EE1287" w:rsidRDefault="00AA788D" w:rsidP="005A48A5">
            <w:pPr>
              <w:jc w:val="center"/>
              <w:rPr>
                <w:rFonts w:cstheme="minorHAnsi"/>
              </w:rPr>
            </w:pPr>
            <w:r w:rsidRPr="00EE1287">
              <w:rPr>
                <w:rFonts w:cstheme="minorHAnsi"/>
              </w:rPr>
              <w:t>(0.30)</w:t>
            </w:r>
          </w:p>
        </w:tc>
        <w:tc>
          <w:tcPr>
            <w:tcW w:w="1414" w:type="dxa"/>
            <w:tcBorders>
              <w:bottom w:val="single" w:sz="4" w:space="0" w:color="auto"/>
            </w:tcBorders>
          </w:tcPr>
          <w:p w:rsidR="00AA788D" w:rsidRPr="00EE1287" w:rsidRDefault="00AA788D" w:rsidP="005A48A5">
            <w:pPr>
              <w:jc w:val="center"/>
              <w:rPr>
                <w:rFonts w:cstheme="minorHAnsi"/>
              </w:rPr>
            </w:pPr>
            <w:r w:rsidRPr="00EE1287">
              <w:rPr>
                <w:rFonts w:cstheme="minorHAnsi"/>
              </w:rPr>
              <w:t>0.21</w:t>
            </w:r>
          </w:p>
          <w:p w:rsidR="00AA788D" w:rsidRPr="00EE1287" w:rsidRDefault="00AA788D" w:rsidP="005A48A5">
            <w:pPr>
              <w:jc w:val="center"/>
              <w:rPr>
                <w:rFonts w:cstheme="minorHAnsi"/>
              </w:rPr>
            </w:pPr>
            <w:r w:rsidRPr="00EE1287">
              <w:rPr>
                <w:rFonts w:cstheme="minorHAnsi"/>
              </w:rPr>
              <w:t>(0.35)</w:t>
            </w:r>
          </w:p>
          <w:p w:rsidR="00AA788D" w:rsidRPr="00EE1287" w:rsidRDefault="00AA788D" w:rsidP="005A48A5">
            <w:pPr>
              <w:jc w:val="center"/>
              <w:rPr>
                <w:rFonts w:cstheme="minorHAnsi"/>
              </w:rPr>
            </w:pPr>
            <w:r w:rsidRPr="00EE1287">
              <w:rPr>
                <w:rFonts w:cstheme="minorHAnsi"/>
              </w:rPr>
              <w:t>0.40</w:t>
            </w:r>
          </w:p>
          <w:p w:rsidR="00AA788D" w:rsidRPr="00EE1287" w:rsidRDefault="00AA788D" w:rsidP="005A48A5">
            <w:pPr>
              <w:jc w:val="center"/>
              <w:rPr>
                <w:rFonts w:cstheme="minorHAnsi"/>
              </w:rPr>
            </w:pPr>
            <w:r w:rsidRPr="00EE1287">
              <w:rPr>
                <w:rFonts w:cstheme="minorHAnsi"/>
              </w:rPr>
              <w:t>(0.31)</w:t>
            </w:r>
          </w:p>
          <w:p w:rsidR="00AA788D" w:rsidRPr="00EE1287" w:rsidRDefault="00AA788D" w:rsidP="005A48A5">
            <w:pPr>
              <w:jc w:val="center"/>
              <w:rPr>
                <w:rFonts w:cstheme="minorHAnsi"/>
              </w:rPr>
            </w:pPr>
            <w:r w:rsidRPr="00EE1287">
              <w:rPr>
                <w:rFonts w:cstheme="minorHAnsi"/>
              </w:rPr>
              <w:t>0.88**</w:t>
            </w:r>
          </w:p>
          <w:p w:rsidR="00AA788D" w:rsidRPr="00EE1287" w:rsidRDefault="00AA788D" w:rsidP="005A48A5">
            <w:pPr>
              <w:jc w:val="center"/>
              <w:rPr>
                <w:rFonts w:cstheme="minorHAnsi"/>
              </w:rPr>
            </w:pPr>
            <w:r w:rsidRPr="00EE1287">
              <w:rPr>
                <w:rFonts w:cstheme="minorHAnsi"/>
              </w:rPr>
              <w:t>(0.37)</w:t>
            </w:r>
          </w:p>
        </w:tc>
        <w:tc>
          <w:tcPr>
            <w:tcW w:w="1295" w:type="dxa"/>
            <w:tcBorders>
              <w:bottom w:val="single" w:sz="4" w:space="0" w:color="auto"/>
            </w:tcBorders>
          </w:tcPr>
          <w:p w:rsidR="00AA788D" w:rsidRPr="00EE1287" w:rsidRDefault="00AA788D" w:rsidP="005A48A5">
            <w:pPr>
              <w:jc w:val="center"/>
              <w:rPr>
                <w:rFonts w:cstheme="minorHAnsi"/>
              </w:rPr>
            </w:pPr>
            <w:r w:rsidRPr="00EE1287">
              <w:rPr>
                <w:rFonts w:cstheme="minorHAnsi"/>
              </w:rPr>
              <w:t>0.31</w:t>
            </w:r>
          </w:p>
          <w:p w:rsidR="00AA788D" w:rsidRPr="00EE1287" w:rsidRDefault="00AA788D" w:rsidP="005A48A5">
            <w:pPr>
              <w:jc w:val="center"/>
              <w:rPr>
                <w:rFonts w:cstheme="minorHAnsi"/>
              </w:rPr>
            </w:pPr>
            <w:r w:rsidRPr="00EE1287">
              <w:rPr>
                <w:rFonts w:cstheme="minorHAnsi"/>
              </w:rPr>
              <w:t>(0.35)</w:t>
            </w:r>
          </w:p>
          <w:p w:rsidR="00AA788D" w:rsidRPr="00EE1287" w:rsidRDefault="00AA788D" w:rsidP="005A48A5">
            <w:pPr>
              <w:jc w:val="center"/>
              <w:rPr>
                <w:rFonts w:cstheme="minorHAnsi"/>
              </w:rPr>
            </w:pPr>
            <w:r w:rsidRPr="00EE1287">
              <w:rPr>
                <w:rFonts w:cstheme="minorHAnsi"/>
              </w:rPr>
              <w:t>0.48</w:t>
            </w:r>
          </w:p>
          <w:p w:rsidR="00AA788D" w:rsidRPr="00EE1287" w:rsidRDefault="00AA788D" w:rsidP="005A48A5">
            <w:pPr>
              <w:jc w:val="center"/>
              <w:rPr>
                <w:rFonts w:cstheme="minorHAnsi"/>
              </w:rPr>
            </w:pPr>
            <w:r w:rsidRPr="00EE1287">
              <w:rPr>
                <w:rFonts w:cstheme="minorHAnsi"/>
              </w:rPr>
              <w:t>(0.30)</w:t>
            </w:r>
          </w:p>
          <w:p w:rsidR="00AA788D" w:rsidRPr="00EE1287" w:rsidRDefault="00AA788D" w:rsidP="005A48A5">
            <w:pPr>
              <w:jc w:val="center"/>
              <w:rPr>
                <w:rFonts w:cstheme="minorHAnsi"/>
              </w:rPr>
            </w:pPr>
            <w:r w:rsidRPr="00EE1287">
              <w:rPr>
                <w:rFonts w:cstheme="minorHAnsi"/>
              </w:rPr>
              <w:t>0.64</w:t>
            </w:r>
            <w:r>
              <w:rPr>
                <w:rFonts w:cstheme="minorHAnsi"/>
              </w:rPr>
              <w:t>*</w:t>
            </w:r>
          </w:p>
          <w:p w:rsidR="00AA788D" w:rsidRPr="00EE1287" w:rsidRDefault="00AA788D" w:rsidP="005A48A5">
            <w:pPr>
              <w:jc w:val="center"/>
              <w:rPr>
                <w:rFonts w:cstheme="minorHAnsi"/>
              </w:rPr>
            </w:pPr>
            <w:r w:rsidRPr="00EE1287">
              <w:rPr>
                <w:rFonts w:cstheme="minorHAnsi"/>
              </w:rPr>
              <w:t>(0.35)</w:t>
            </w:r>
          </w:p>
        </w:tc>
      </w:tr>
      <w:tr w:rsidR="00AA788D" w:rsidRPr="00C15F47" w:rsidTr="005A48A5">
        <w:tc>
          <w:tcPr>
            <w:tcW w:w="5118" w:type="dxa"/>
            <w:tcBorders>
              <w:top w:val="single" w:sz="4" w:space="0" w:color="auto"/>
            </w:tcBorders>
          </w:tcPr>
          <w:p w:rsidR="00AA788D" w:rsidRPr="00EE1287" w:rsidRDefault="00AA788D" w:rsidP="005A48A5">
            <w:pPr>
              <w:rPr>
                <w:rFonts w:cstheme="minorHAnsi"/>
                <w:b/>
                <w:i/>
              </w:rPr>
            </w:pPr>
            <w:r w:rsidRPr="00EE1287">
              <w:rPr>
                <w:rFonts w:cstheme="minorHAnsi"/>
                <w:b/>
                <w:i/>
              </w:rPr>
              <w:t>Overall Model Evaluation and Tests</w:t>
            </w:r>
          </w:p>
        </w:tc>
        <w:tc>
          <w:tcPr>
            <w:tcW w:w="1415" w:type="dxa"/>
            <w:tcBorders>
              <w:top w:val="single" w:sz="4" w:space="0" w:color="auto"/>
            </w:tcBorders>
          </w:tcPr>
          <w:p w:rsidR="00AA788D" w:rsidRPr="00EE1287" w:rsidRDefault="00AA788D" w:rsidP="005A48A5">
            <w:pPr>
              <w:rPr>
                <w:rFonts w:cstheme="minorHAnsi"/>
              </w:rPr>
            </w:pPr>
          </w:p>
        </w:tc>
        <w:tc>
          <w:tcPr>
            <w:tcW w:w="1414" w:type="dxa"/>
            <w:tcBorders>
              <w:top w:val="single" w:sz="4" w:space="0" w:color="auto"/>
            </w:tcBorders>
          </w:tcPr>
          <w:p w:rsidR="00AA788D" w:rsidRPr="00EE1287" w:rsidRDefault="00AA788D" w:rsidP="005A48A5">
            <w:pPr>
              <w:rPr>
                <w:rFonts w:cstheme="minorHAnsi"/>
              </w:rPr>
            </w:pPr>
          </w:p>
        </w:tc>
        <w:tc>
          <w:tcPr>
            <w:tcW w:w="1295" w:type="dxa"/>
            <w:tcBorders>
              <w:top w:val="single" w:sz="4" w:space="0" w:color="auto"/>
            </w:tcBorders>
          </w:tcPr>
          <w:p w:rsidR="00AA788D" w:rsidRPr="00EE1287" w:rsidRDefault="00AA788D" w:rsidP="005A48A5">
            <w:pPr>
              <w:rPr>
                <w:rFonts w:cstheme="minorHAnsi"/>
              </w:rPr>
            </w:pPr>
          </w:p>
        </w:tc>
      </w:tr>
      <w:tr w:rsidR="00AA788D" w:rsidRPr="00C15F47" w:rsidTr="005A48A5">
        <w:tc>
          <w:tcPr>
            <w:tcW w:w="5118" w:type="dxa"/>
          </w:tcPr>
          <w:p w:rsidR="00AA788D" w:rsidRPr="00EE1287" w:rsidRDefault="00AA788D" w:rsidP="005A48A5">
            <w:pPr>
              <w:rPr>
                <w:rFonts w:cstheme="minorHAnsi"/>
                <w:i/>
              </w:rPr>
            </w:pPr>
          </w:p>
        </w:tc>
        <w:tc>
          <w:tcPr>
            <w:tcW w:w="1415" w:type="dxa"/>
          </w:tcPr>
          <w:p w:rsidR="00AA788D" w:rsidRPr="00EE1287" w:rsidRDefault="00AA788D" w:rsidP="005A48A5">
            <w:pPr>
              <w:jc w:val="center"/>
              <w:rPr>
                <w:rFonts w:cstheme="minorHAnsi"/>
                <w:i/>
              </w:rPr>
            </w:pPr>
            <w:r w:rsidRPr="00EE1287">
              <w:rPr>
                <w:rFonts w:cstheme="minorHAnsi"/>
                <w:color w:val="000000"/>
                <w:shd w:val="clear" w:color="auto" w:fill="FFFFF4"/>
              </w:rPr>
              <w:t>χ²(</w:t>
            </w:r>
            <w:proofErr w:type="spellStart"/>
            <w:r w:rsidRPr="00EE1287">
              <w:rPr>
                <w:rFonts w:cstheme="minorHAnsi"/>
                <w:color w:val="000000"/>
                <w:shd w:val="clear" w:color="auto" w:fill="FFFFF4"/>
              </w:rPr>
              <w:t>d.f</w:t>
            </w:r>
            <w:proofErr w:type="spellEnd"/>
            <w:r w:rsidRPr="00EE1287">
              <w:rPr>
                <w:rFonts w:cstheme="minorHAnsi"/>
                <w:color w:val="000000"/>
                <w:shd w:val="clear" w:color="auto" w:fill="FFFFF4"/>
              </w:rPr>
              <w:t>.)</w:t>
            </w:r>
          </w:p>
        </w:tc>
        <w:tc>
          <w:tcPr>
            <w:tcW w:w="1414" w:type="dxa"/>
          </w:tcPr>
          <w:p w:rsidR="00AA788D" w:rsidRPr="00EE1287" w:rsidRDefault="00AA788D" w:rsidP="005A48A5">
            <w:pPr>
              <w:jc w:val="center"/>
              <w:rPr>
                <w:rFonts w:cstheme="minorHAnsi"/>
                <w:b/>
              </w:rPr>
            </w:pPr>
            <w:r w:rsidRPr="00EE1287">
              <w:rPr>
                <w:rFonts w:cstheme="minorHAnsi"/>
                <w:color w:val="000000"/>
                <w:shd w:val="clear" w:color="auto" w:fill="FFFFF4"/>
              </w:rPr>
              <w:t>χ²(</w:t>
            </w:r>
            <w:proofErr w:type="spellStart"/>
            <w:r w:rsidRPr="00EE1287">
              <w:rPr>
                <w:rFonts w:cstheme="minorHAnsi"/>
                <w:color w:val="000000"/>
                <w:shd w:val="clear" w:color="auto" w:fill="FFFFF4"/>
              </w:rPr>
              <w:t>d.f</w:t>
            </w:r>
            <w:proofErr w:type="spellEnd"/>
            <w:r w:rsidRPr="00EE1287">
              <w:rPr>
                <w:rFonts w:cstheme="minorHAnsi"/>
                <w:color w:val="000000"/>
                <w:shd w:val="clear" w:color="auto" w:fill="FFFFF4"/>
              </w:rPr>
              <w:t>.)</w:t>
            </w:r>
          </w:p>
        </w:tc>
        <w:tc>
          <w:tcPr>
            <w:tcW w:w="1295" w:type="dxa"/>
          </w:tcPr>
          <w:p w:rsidR="00AA788D" w:rsidRPr="00EE1287" w:rsidRDefault="00AA788D" w:rsidP="005A48A5">
            <w:pPr>
              <w:jc w:val="center"/>
              <w:rPr>
                <w:rFonts w:cstheme="minorHAnsi"/>
                <w:b/>
                <w:i/>
              </w:rPr>
            </w:pPr>
            <w:r w:rsidRPr="00EE1287">
              <w:rPr>
                <w:rFonts w:cstheme="minorHAnsi"/>
                <w:color w:val="000000"/>
                <w:shd w:val="clear" w:color="auto" w:fill="FFFFF4"/>
              </w:rPr>
              <w:t>χ²(</w:t>
            </w:r>
            <w:proofErr w:type="spellStart"/>
            <w:r w:rsidRPr="00EE1287">
              <w:rPr>
                <w:rFonts w:cstheme="minorHAnsi"/>
                <w:color w:val="000000"/>
                <w:shd w:val="clear" w:color="auto" w:fill="FFFFF4"/>
              </w:rPr>
              <w:t>d.f</w:t>
            </w:r>
            <w:proofErr w:type="spellEnd"/>
            <w:r w:rsidRPr="00EE1287">
              <w:rPr>
                <w:rFonts w:cstheme="minorHAnsi"/>
                <w:color w:val="000000"/>
                <w:shd w:val="clear" w:color="auto" w:fill="FFFFF4"/>
              </w:rPr>
              <w:t>.)</w:t>
            </w:r>
          </w:p>
        </w:tc>
      </w:tr>
      <w:tr w:rsidR="00AA788D" w:rsidRPr="00C15F47" w:rsidTr="005A48A5">
        <w:tc>
          <w:tcPr>
            <w:tcW w:w="5118" w:type="dxa"/>
          </w:tcPr>
          <w:p w:rsidR="00AA788D" w:rsidRPr="00EE1287" w:rsidRDefault="00AA788D" w:rsidP="005A48A5">
            <w:pPr>
              <w:rPr>
                <w:rFonts w:cstheme="minorHAnsi"/>
              </w:rPr>
            </w:pPr>
            <w:r w:rsidRPr="00EE1287">
              <w:rPr>
                <w:rFonts w:cstheme="minorHAnsi"/>
              </w:rPr>
              <w:t>Log-likelihood value</w:t>
            </w:r>
          </w:p>
          <w:p w:rsidR="00AA788D" w:rsidRPr="00EE1287" w:rsidRDefault="00AA788D" w:rsidP="005A48A5">
            <w:pPr>
              <w:rPr>
                <w:rFonts w:cstheme="minorHAnsi"/>
                <w:i/>
              </w:rPr>
            </w:pPr>
            <w:r w:rsidRPr="00EE1287">
              <w:rPr>
                <w:rFonts w:cstheme="minorHAnsi"/>
              </w:rPr>
              <w:t>Likelihood ratio test</w:t>
            </w:r>
          </w:p>
        </w:tc>
        <w:tc>
          <w:tcPr>
            <w:tcW w:w="1415"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-211.80</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35.44(18)***</w:t>
            </w:r>
          </w:p>
        </w:tc>
        <w:tc>
          <w:tcPr>
            <w:tcW w:w="1414"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-147.32</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38.77(17)***</w:t>
            </w:r>
          </w:p>
        </w:tc>
        <w:tc>
          <w:tcPr>
            <w:tcW w:w="1295"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- 172.75</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40.51(17)***</w:t>
            </w:r>
          </w:p>
        </w:tc>
      </w:tr>
      <w:tr w:rsidR="00AA788D" w:rsidRPr="00C15F47" w:rsidTr="005A48A5">
        <w:tc>
          <w:tcPr>
            <w:tcW w:w="5118" w:type="dxa"/>
          </w:tcPr>
          <w:p w:rsidR="00AA788D" w:rsidRPr="00EE1287" w:rsidRDefault="00AA788D" w:rsidP="005A48A5">
            <w:pPr>
              <w:rPr>
                <w:rFonts w:cstheme="minorHAnsi"/>
              </w:rPr>
            </w:pPr>
            <w:r w:rsidRPr="00EE1287">
              <w:rPr>
                <w:rFonts w:cstheme="minorHAnsi"/>
              </w:rPr>
              <w:t>Pseudo R squared</w:t>
            </w:r>
          </w:p>
          <w:p w:rsidR="00AA788D" w:rsidRPr="00EE1287" w:rsidRDefault="00AA788D" w:rsidP="005A48A5">
            <w:pPr>
              <w:rPr>
                <w:rFonts w:cstheme="minorHAnsi"/>
                <w:i/>
              </w:rPr>
            </w:pPr>
            <w:proofErr w:type="spellStart"/>
            <w:r w:rsidRPr="00EE1287">
              <w:rPr>
                <w:rFonts w:cstheme="minorHAnsi"/>
              </w:rPr>
              <w:t>Hosmer</w:t>
            </w:r>
            <w:proofErr w:type="spellEnd"/>
            <w:r w:rsidRPr="00EE1287">
              <w:rPr>
                <w:rFonts w:cstheme="minorHAnsi"/>
              </w:rPr>
              <w:t xml:space="preserve"> and </w:t>
            </w:r>
            <w:proofErr w:type="spellStart"/>
            <w:r w:rsidRPr="00EE1287">
              <w:rPr>
                <w:rFonts w:cstheme="minorHAnsi"/>
              </w:rPr>
              <w:t>Lemeshow</w:t>
            </w:r>
            <w:proofErr w:type="spellEnd"/>
            <w:r w:rsidRPr="00EE1287">
              <w:rPr>
                <w:rFonts w:cstheme="minorHAnsi"/>
              </w:rPr>
              <w:t xml:space="preserve"> Goodness-of-fit test</w:t>
            </w:r>
          </w:p>
        </w:tc>
        <w:tc>
          <w:tcPr>
            <w:tcW w:w="1415"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0.08</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6.45 (8)</w:t>
            </w:r>
          </w:p>
        </w:tc>
        <w:tc>
          <w:tcPr>
            <w:tcW w:w="1414"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0.12</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5.54 (8)</w:t>
            </w:r>
          </w:p>
        </w:tc>
        <w:tc>
          <w:tcPr>
            <w:tcW w:w="1295" w:type="dxa"/>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0.11</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3.97 (8)</w:t>
            </w:r>
          </w:p>
        </w:tc>
      </w:tr>
      <w:tr w:rsidR="00AA788D" w:rsidRPr="00C15F47" w:rsidTr="005A48A5">
        <w:tc>
          <w:tcPr>
            <w:tcW w:w="5118" w:type="dxa"/>
            <w:tcBorders>
              <w:bottom w:val="single" w:sz="4" w:space="0" w:color="auto"/>
            </w:tcBorders>
          </w:tcPr>
          <w:p w:rsidR="00AA788D" w:rsidRPr="00EE1287" w:rsidRDefault="00AA788D" w:rsidP="005A48A5">
            <w:pPr>
              <w:rPr>
                <w:rFonts w:cstheme="minorHAnsi"/>
              </w:rPr>
            </w:pPr>
            <w:r w:rsidRPr="00EE1287">
              <w:rPr>
                <w:rFonts w:cstheme="minorHAnsi"/>
              </w:rPr>
              <w:t xml:space="preserve">Correctly predicted </w:t>
            </w:r>
          </w:p>
          <w:p w:rsidR="00AA788D" w:rsidRPr="00EE1287" w:rsidRDefault="00AA788D" w:rsidP="005A48A5">
            <w:pPr>
              <w:rPr>
                <w:rFonts w:cstheme="minorHAnsi"/>
                <w:i/>
              </w:rPr>
            </w:pPr>
            <w:r w:rsidRPr="00EE1287">
              <w:rPr>
                <w:rFonts w:cstheme="minorHAnsi"/>
              </w:rPr>
              <w:t>Number of Observations</w:t>
            </w:r>
          </w:p>
        </w:tc>
        <w:tc>
          <w:tcPr>
            <w:tcW w:w="1415" w:type="dxa"/>
            <w:tcBorders>
              <w:bottom w:val="single" w:sz="4" w:space="0" w:color="auto"/>
            </w:tcBorders>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62.35%</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332</w:t>
            </w:r>
          </w:p>
        </w:tc>
        <w:tc>
          <w:tcPr>
            <w:tcW w:w="1414" w:type="dxa"/>
            <w:tcBorders>
              <w:bottom w:val="single" w:sz="4" w:space="0" w:color="auto"/>
            </w:tcBorders>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64.61%</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243</w:t>
            </w:r>
          </w:p>
        </w:tc>
        <w:tc>
          <w:tcPr>
            <w:tcW w:w="1295" w:type="dxa"/>
            <w:tcBorders>
              <w:bottom w:val="single" w:sz="4" w:space="0" w:color="auto"/>
            </w:tcBorders>
          </w:tcPr>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73.49%</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332</w:t>
            </w:r>
          </w:p>
        </w:tc>
      </w:tr>
      <w:tr w:rsidR="00AA788D" w:rsidRPr="00C15F47" w:rsidTr="005A48A5">
        <w:tc>
          <w:tcPr>
            <w:tcW w:w="9242" w:type="dxa"/>
            <w:gridSpan w:val="4"/>
            <w:tcBorders>
              <w:top w:val="single" w:sz="4" w:space="0" w:color="auto"/>
            </w:tcBorders>
          </w:tcPr>
          <w:p w:rsidR="00AA788D" w:rsidRPr="00EB57A0" w:rsidRDefault="00AA788D" w:rsidP="005A48A5">
            <w:pPr>
              <w:jc w:val="both"/>
              <w:rPr>
                <w:rFonts w:cstheme="minorHAnsi"/>
              </w:rPr>
            </w:pPr>
            <w:r w:rsidRPr="00EE1287">
              <w:rPr>
                <w:rFonts w:cstheme="minorHAnsi"/>
              </w:rPr>
              <w:t xml:space="preserve">Notes: Models estimated using </w:t>
            </w:r>
            <w:proofErr w:type="spellStart"/>
            <w:r w:rsidRPr="00EE1287">
              <w:rPr>
                <w:rFonts w:cstheme="minorHAnsi"/>
              </w:rPr>
              <w:t>Stata</w:t>
            </w:r>
            <w:proofErr w:type="spellEnd"/>
            <w:r w:rsidRPr="00EE1287">
              <w:rPr>
                <w:rFonts w:cstheme="minorHAnsi"/>
              </w:rPr>
              <w:t xml:space="preserve"> 11; coefficient standard errors are reported in brackets; *** refers to significant at 1%, ** significant at 5%, and * significant at 10% levels respectively. In Models </w:t>
            </w:r>
            <w:r>
              <w:rPr>
                <w:rFonts w:cstheme="minorHAnsi"/>
              </w:rPr>
              <w:t>7</w:t>
            </w:r>
            <w:r w:rsidRPr="00EE1287">
              <w:rPr>
                <w:rFonts w:cstheme="minorHAnsi"/>
              </w:rPr>
              <w:t xml:space="preserve"> and </w:t>
            </w:r>
            <w:r>
              <w:rPr>
                <w:rFonts w:cstheme="minorHAnsi"/>
              </w:rPr>
              <w:t>8</w:t>
            </w:r>
            <w:r w:rsidRPr="00EE1287">
              <w:rPr>
                <w:rFonts w:cstheme="minorHAnsi"/>
              </w:rPr>
              <w:t xml:space="preserve">, the dependant variable takes the value of 1 if SMEs express need for external finance, 0 otherwise; Model </w:t>
            </w:r>
            <w:r>
              <w:rPr>
                <w:rFonts w:cstheme="minorHAnsi"/>
              </w:rPr>
              <w:t>7</w:t>
            </w:r>
            <w:r w:rsidRPr="00EE1287">
              <w:rPr>
                <w:rFonts w:cstheme="minorHAnsi"/>
              </w:rPr>
              <w:t xml:space="preserve"> includes all of the available observations in the sample; Model </w:t>
            </w:r>
            <w:r>
              <w:rPr>
                <w:rFonts w:cstheme="minorHAnsi"/>
              </w:rPr>
              <w:t>8</w:t>
            </w:r>
            <w:r w:rsidRPr="00EE1287">
              <w:rPr>
                <w:rFonts w:cstheme="minorHAnsi"/>
              </w:rPr>
              <w:t xml:space="preserve"> uses only observations if SMEs undertook business expansion.  In Model </w:t>
            </w:r>
            <w:r>
              <w:rPr>
                <w:rFonts w:cstheme="minorHAnsi"/>
              </w:rPr>
              <w:t>9</w:t>
            </w:r>
            <w:r w:rsidRPr="00EE1287">
              <w:rPr>
                <w:rFonts w:cstheme="minorHAnsi"/>
              </w:rPr>
              <w:t>, the dependant variable takes the value 1 is SMEs invested in business expansion, 0 otherwise.</w:t>
            </w:r>
          </w:p>
        </w:tc>
      </w:tr>
    </w:tbl>
    <w:p w:rsidR="00AA788D" w:rsidRPr="00DB7F88" w:rsidRDefault="00AA788D" w:rsidP="002C250C">
      <w:pPr>
        <w:jc w:val="center"/>
        <w:rPr>
          <w:b/>
        </w:rPr>
      </w:pPr>
      <w:r>
        <w:rPr>
          <w:b/>
        </w:rPr>
        <w:lastRenderedPageBreak/>
        <w:t>APPENDIX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944"/>
        <w:gridCol w:w="567"/>
        <w:gridCol w:w="709"/>
        <w:gridCol w:w="1275"/>
        <w:gridCol w:w="629"/>
      </w:tblGrid>
      <w:tr w:rsidR="00AA788D" w:rsidRPr="00EE1287" w:rsidTr="005A48A5">
        <w:tc>
          <w:tcPr>
            <w:tcW w:w="9242" w:type="dxa"/>
            <w:gridSpan w:val="6"/>
            <w:tcBorders>
              <w:bottom w:val="single" w:sz="4" w:space="0" w:color="auto"/>
            </w:tcBorders>
          </w:tcPr>
          <w:p w:rsidR="00AA788D" w:rsidRPr="00EE1287" w:rsidRDefault="00AA788D" w:rsidP="005A48A5">
            <w:pPr>
              <w:jc w:val="center"/>
              <w:rPr>
                <w:rFonts w:cstheme="minorHAnsi"/>
              </w:rPr>
            </w:pPr>
            <w:r>
              <w:rPr>
                <w:rFonts w:cstheme="minorHAnsi"/>
                <w:b/>
              </w:rPr>
              <w:t xml:space="preserve">Table A4.1. </w:t>
            </w:r>
            <w:r w:rsidRPr="00A50368">
              <w:rPr>
                <w:rFonts w:cstheme="minorHAnsi"/>
                <w:b/>
              </w:rPr>
              <w:t>Credit Use: Probability</w:t>
            </w:r>
            <w:r>
              <w:rPr>
                <w:rFonts w:cstheme="minorHAnsi"/>
                <w:b/>
              </w:rPr>
              <w:t xml:space="preserve"> of Holding a Formal Credit (</w:t>
            </w:r>
            <w:proofErr w:type="spellStart"/>
            <w:r>
              <w:rPr>
                <w:rFonts w:cstheme="minorHAnsi"/>
                <w:b/>
              </w:rPr>
              <w:t>Heckprobit</w:t>
            </w:r>
            <w:proofErr w:type="spellEnd"/>
            <w:r>
              <w:rPr>
                <w:rFonts w:cstheme="minorHAnsi"/>
                <w:b/>
              </w:rPr>
              <w:t xml:space="preserve"> </w:t>
            </w:r>
            <w:r w:rsidRPr="00A50368">
              <w:rPr>
                <w:rFonts w:cstheme="minorHAnsi"/>
                <w:b/>
              </w:rPr>
              <w:t>Coefficients with Standard Errors)</w:t>
            </w:r>
            <w:r w:rsidRPr="00EE1287">
              <w:rPr>
                <w:rFonts w:cstheme="minorHAnsi"/>
                <w:b/>
              </w:rPr>
              <w:t xml:space="preserve"> </w:t>
            </w:r>
          </w:p>
        </w:tc>
      </w:tr>
      <w:tr w:rsidR="00AA788D" w:rsidRPr="00EE1287" w:rsidTr="005A48A5">
        <w:tc>
          <w:tcPr>
            <w:tcW w:w="5118" w:type="dxa"/>
            <w:tcBorders>
              <w:top w:val="single" w:sz="4" w:space="0" w:color="auto"/>
              <w:bottom w:val="single" w:sz="4" w:space="0" w:color="auto"/>
            </w:tcBorders>
          </w:tcPr>
          <w:p w:rsidR="00AA788D" w:rsidRPr="00EE1287" w:rsidRDefault="00AA788D" w:rsidP="005A48A5">
            <w:pPr>
              <w:rPr>
                <w:rFonts w:cstheme="minorHAnsi"/>
                <w:b/>
                <w:i/>
              </w:rPr>
            </w:pPr>
            <w:r w:rsidRPr="00EE1287">
              <w:rPr>
                <w:rFonts w:cstheme="minorHAnsi"/>
                <w:b/>
                <w:i/>
              </w:rPr>
              <w:t xml:space="preserve">Predictors </w:t>
            </w:r>
          </w:p>
        </w:tc>
        <w:tc>
          <w:tcPr>
            <w:tcW w:w="1511" w:type="dxa"/>
            <w:gridSpan w:val="2"/>
            <w:tcBorders>
              <w:top w:val="single" w:sz="4" w:space="0" w:color="auto"/>
              <w:bottom w:val="single" w:sz="4" w:space="0" w:color="auto"/>
            </w:tcBorders>
          </w:tcPr>
          <w:p w:rsidR="00AA788D" w:rsidRPr="00EE1287" w:rsidRDefault="00AA788D" w:rsidP="005A48A5">
            <w:pPr>
              <w:jc w:val="center"/>
              <w:rPr>
                <w:rFonts w:cstheme="minorHAnsi"/>
                <w:b/>
                <w:i/>
              </w:rPr>
            </w:pPr>
            <w:r>
              <w:rPr>
                <w:rFonts w:cstheme="minorHAnsi"/>
                <w:b/>
                <w:i/>
              </w:rPr>
              <w:t>Main Model: Credit Use</w:t>
            </w:r>
          </w:p>
        </w:tc>
        <w:tc>
          <w:tcPr>
            <w:tcW w:w="1984" w:type="dxa"/>
            <w:gridSpan w:val="2"/>
            <w:tcBorders>
              <w:top w:val="single" w:sz="4" w:space="0" w:color="auto"/>
              <w:bottom w:val="single" w:sz="4" w:space="0" w:color="auto"/>
            </w:tcBorders>
          </w:tcPr>
          <w:p w:rsidR="00AA788D" w:rsidRPr="00EE1287" w:rsidRDefault="00AA788D" w:rsidP="005A48A5">
            <w:pPr>
              <w:jc w:val="center"/>
              <w:rPr>
                <w:rFonts w:cstheme="minorHAnsi"/>
                <w:b/>
                <w:i/>
              </w:rPr>
            </w:pPr>
            <w:r>
              <w:rPr>
                <w:rFonts w:cstheme="minorHAnsi"/>
                <w:b/>
                <w:i/>
              </w:rPr>
              <w:t xml:space="preserve">Selection </w:t>
            </w:r>
            <w:r w:rsidRPr="00EE1287">
              <w:rPr>
                <w:rFonts w:cstheme="minorHAnsi"/>
                <w:b/>
                <w:i/>
              </w:rPr>
              <w:t>Model</w:t>
            </w:r>
            <w:r>
              <w:rPr>
                <w:rFonts w:cstheme="minorHAnsi"/>
                <w:b/>
                <w:i/>
              </w:rPr>
              <w:t>: Credit Application</w:t>
            </w:r>
            <w:r w:rsidRPr="00EE1287">
              <w:rPr>
                <w:rFonts w:cstheme="minorHAnsi"/>
                <w:b/>
                <w:i/>
              </w:rPr>
              <w:t xml:space="preserve"> </w:t>
            </w:r>
          </w:p>
        </w:tc>
        <w:tc>
          <w:tcPr>
            <w:tcW w:w="629" w:type="dxa"/>
            <w:tcBorders>
              <w:top w:val="single" w:sz="4" w:space="0" w:color="auto"/>
              <w:bottom w:val="single" w:sz="4" w:space="0" w:color="auto"/>
            </w:tcBorders>
          </w:tcPr>
          <w:p w:rsidR="00AA788D" w:rsidRPr="00EE1287" w:rsidRDefault="00AA788D" w:rsidP="005A48A5">
            <w:pPr>
              <w:jc w:val="center"/>
              <w:rPr>
                <w:rFonts w:cstheme="minorHAnsi"/>
                <w:b/>
                <w:i/>
              </w:rPr>
            </w:pPr>
          </w:p>
        </w:tc>
      </w:tr>
      <w:tr w:rsidR="00AA788D" w:rsidRPr="00EE1287" w:rsidTr="005A48A5">
        <w:tc>
          <w:tcPr>
            <w:tcW w:w="5118" w:type="dxa"/>
            <w:tcBorders>
              <w:top w:val="single" w:sz="4" w:space="0" w:color="auto"/>
            </w:tcBorders>
          </w:tcPr>
          <w:p w:rsidR="00AA788D" w:rsidRPr="00EE1287" w:rsidRDefault="00AA788D" w:rsidP="005A48A5">
            <w:pPr>
              <w:rPr>
                <w:rFonts w:cstheme="minorHAnsi"/>
                <w:i/>
              </w:rPr>
            </w:pPr>
            <w:r w:rsidRPr="00EE1287">
              <w:rPr>
                <w:rFonts w:cstheme="minorHAnsi"/>
                <w:i/>
              </w:rPr>
              <w:t>Constant</w:t>
            </w:r>
          </w:p>
        </w:tc>
        <w:tc>
          <w:tcPr>
            <w:tcW w:w="1511" w:type="dxa"/>
            <w:gridSpan w:val="2"/>
            <w:tcBorders>
              <w:top w:val="single" w:sz="4" w:space="0" w:color="auto"/>
            </w:tcBorders>
          </w:tcPr>
          <w:p w:rsidR="00AA788D" w:rsidRPr="00EE1287" w:rsidRDefault="00AA788D" w:rsidP="005A48A5">
            <w:pPr>
              <w:jc w:val="center"/>
              <w:rPr>
                <w:rFonts w:cstheme="minorHAnsi"/>
              </w:rPr>
            </w:pPr>
            <w:r>
              <w:rPr>
                <w:rFonts w:cstheme="minorHAnsi"/>
              </w:rPr>
              <w:t>- 6.21***</w:t>
            </w:r>
          </w:p>
          <w:p w:rsidR="00AA788D" w:rsidRPr="00EE1287" w:rsidRDefault="00AA788D" w:rsidP="005A48A5">
            <w:pPr>
              <w:jc w:val="center"/>
              <w:rPr>
                <w:rFonts w:cstheme="minorHAnsi"/>
              </w:rPr>
            </w:pPr>
            <w:r w:rsidRPr="00EE1287">
              <w:rPr>
                <w:rFonts w:cstheme="minorHAnsi"/>
              </w:rPr>
              <w:t>(2.2</w:t>
            </w:r>
            <w:r>
              <w:rPr>
                <w:rFonts w:cstheme="minorHAnsi"/>
              </w:rPr>
              <w:t>6</w:t>
            </w:r>
            <w:r w:rsidRPr="00EE1287">
              <w:rPr>
                <w:rFonts w:cstheme="minorHAnsi"/>
              </w:rPr>
              <w:t>)</w:t>
            </w:r>
          </w:p>
        </w:tc>
        <w:tc>
          <w:tcPr>
            <w:tcW w:w="1984" w:type="dxa"/>
            <w:gridSpan w:val="2"/>
            <w:tcBorders>
              <w:top w:val="single" w:sz="4" w:space="0" w:color="auto"/>
            </w:tcBorders>
          </w:tcPr>
          <w:p w:rsidR="00AA788D" w:rsidRPr="00EE1287" w:rsidRDefault="00AA788D" w:rsidP="005A48A5">
            <w:pPr>
              <w:jc w:val="center"/>
              <w:rPr>
                <w:rFonts w:cstheme="minorHAnsi"/>
              </w:rPr>
            </w:pPr>
            <w:r>
              <w:rPr>
                <w:rFonts w:cstheme="minorHAnsi"/>
              </w:rPr>
              <w:t>- 4</w:t>
            </w:r>
            <w:r w:rsidRPr="00EE1287">
              <w:rPr>
                <w:rFonts w:cstheme="minorHAnsi"/>
              </w:rPr>
              <w:t>.</w:t>
            </w:r>
            <w:r>
              <w:rPr>
                <w:rFonts w:cstheme="minorHAnsi"/>
              </w:rPr>
              <w:t>23***</w:t>
            </w:r>
          </w:p>
          <w:p w:rsidR="00AA788D" w:rsidRPr="00EE1287" w:rsidRDefault="00AA788D" w:rsidP="005A48A5">
            <w:pPr>
              <w:jc w:val="center"/>
              <w:rPr>
                <w:rFonts w:cstheme="minorHAnsi"/>
              </w:rPr>
            </w:pPr>
            <w:r>
              <w:rPr>
                <w:rFonts w:cstheme="minorHAnsi"/>
              </w:rPr>
              <w:t>(1.48</w:t>
            </w:r>
            <w:r w:rsidRPr="00EE1287">
              <w:rPr>
                <w:rFonts w:cstheme="minorHAnsi"/>
              </w:rPr>
              <w:t>)</w:t>
            </w:r>
          </w:p>
        </w:tc>
        <w:tc>
          <w:tcPr>
            <w:tcW w:w="629" w:type="dxa"/>
            <w:tcBorders>
              <w:top w:val="single" w:sz="4" w:space="0" w:color="auto"/>
            </w:tcBorders>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i/>
              </w:rPr>
            </w:pPr>
            <w:r w:rsidRPr="00EE1287">
              <w:rPr>
                <w:rFonts w:cstheme="minorHAnsi"/>
                <w:i/>
              </w:rPr>
              <w:t>Age</w:t>
            </w:r>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age22</w:t>
            </w:r>
          </w:p>
        </w:tc>
        <w:tc>
          <w:tcPr>
            <w:tcW w:w="1511" w:type="dxa"/>
            <w:gridSpan w:val="2"/>
          </w:tcPr>
          <w:p w:rsidR="00AA788D" w:rsidRPr="00EE1287" w:rsidRDefault="00AA788D" w:rsidP="005A48A5">
            <w:pPr>
              <w:jc w:val="center"/>
              <w:rPr>
                <w:rFonts w:cstheme="minorHAnsi"/>
              </w:rPr>
            </w:pPr>
            <w:r>
              <w:rPr>
                <w:rFonts w:cstheme="minorHAnsi"/>
              </w:rPr>
              <w:t>0.15*</w:t>
            </w:r>
          </w:p>
          <w:p w:rsidR="00AA788D" w:rsidRPr="00EE1287" w:rsidRDefault="00AA788D" w:rsidP="005A48A5">
            <w:pPr>
              <w:jc w:val="center"/>
              <w:rPr>
                <w:rFonts w:cstheme="minorHAnsi"/>
              </w:rPr>
            </w:pPr>
            <w:r w:rsidRPr="00EE1287">
              <w:rPr>
                <w:rFonts w:cstheme="minorHAnsi"/>
              </w:rPr>
              <w:t>(0.0</w:t>
            </w:r>
            <w:r>
              <w:rPr>
                <w:rFonts w:cstheme="minorHAnsi"/>
              </w:rPr>
              <w:t>9</w:t>
            </w:r>
            <w:r w:rsidRPr="00EE1287">
              <w:rPr>
                <w:rFonts w:cstheme="minorHAnsi"/>
              </w:rPr>
              <w:t>)</w:t>
            </w:r>
          </w:p>
          <w:p w:rsidR="00AA788D" w:rsidRPr="00EE1287" w:rsidRDefault="00AA788D" w:rsidP="005A48A5">
            <w:pPr>
              <w:jc w:val="center"/>
              <w:rPr>
                <w:rFonts w:cstheme="minorHAnsi"/>
              </w:rPr>
            </w:pPr>
            <w:r>
              <w:rPr>
                <w:rFonts w:cstheme="minorHAnsi"/>
              </w:rPr>
              <w:t>- 0.17*</w:t>
            </w:r>
          </w:p>
          <w:p w:rsidR="00AA788D" w:rsidRPr="00EE1287" w:rsidRDefault="00AA788D" w:rsidP="005A48A5">
            <w:pPr>
              <w:jc w:val="center"/>
              <w:rPr>
                <w:rFonts w:cstheme="minorHAnsi"/>
              </w:rPr>
            </w:pPr>
            <w:r>
              <w:rPr>
                <w:rFonts w:cstheme="minorHAnsi"/>
              </w:rPr>
              <w:t>(0.11</w:t>
            </w:r>
            <w:r w:rsidRPr="00EE1287">
              <w:rPr>
                <w:rFonts w:cstheme="minorHAnsi"/>
              </w:rPr>
              <w:t>)</w:t>
            </w:r>
          </w:p>
        </w:tc>
        <w:tc>
          <w:tcPr>
            <w:tcW w:w="1984" w:type="dxa"/>
            <w:gridSpan w:val="2"/>
          </w:tcPr>
          <w:p w:rsidR="00AA788D" w:rsidRPr="00EE1287" w:rsidRDefault="00AA788D" w:rsidP="005A48A5">
            <w:pPr>
              <w:jc w:val="center"/>
              <w:rPr>
                <w:rFonts w:cstheme="minorHAnsi"/>
              </w:rPr>
            </w:pPr>
            <w:r>
              <w:rPr>
                <w:rFonts w:cstheme="minorHAnsi"/>
              </w:rPr>
              <w:t>0.13**</w:t>
            </w:r>
          </w:p>
          <w:p w:rsidR="00AA788D" w:rsidRPr="00EE1287" w:rsidRDefault="00AA788D" w:rsidP="005A48A5">
            <w:pPr>
              <w:jc w:val="center"/>
              <w:rPr>
                <w:rFonts w:cstheme="minorHAnsi"/>
              </w:rPr>
            </w:pPr>
            <w:r>
              <w:rPr>
                <w:rFonts w:cstheme="minorHAnsi"/>
              </w:rPr>
              <w:t>(0.06</w:t>
            </w:r>
            <w:r w:rsidRPr="00EE1287">
              <w:rPr>
                <w:rFonts w:cstheme="minorHAnsi"/>
              </w:rPr>
              <w:t>)</w:t>
            </w:r>
          </w:p>
          <w:p w:rsidR="00AA788D" w:rsidRPr="00EE1287" w:rsidRDefault="00AA788D" w:rsidP="005A48A5">
            <w:pPr>
              <w:jc w:val="center"/>
              <w:rPr>
                <w:rFonts w:cstheme="minorHAnsi"/>
              </w:rPr>
            </w:pPr>
            <w:r>
              <w:rPr>
                <w:rFonts w:cstheme="minorHAnsi"/>
              </w:rPr>
              <w:t>- 0.15**</w:t>
            </w:r>
          </w:p>
          <w:p w:rsidR="00AA788D" w:rsidRPr="00EE1287" w:rsidRDefault="00AA788D" w:rsidP="005A48A5">
            <w:pPr>
              <w:jc w:val="center"/>
              <w:rPr>
                <w:rFonts w:cstheme="minorHAnsi"/>
              </w:rPr>
            </w:pPr>
            <w:r>
              <w:rPr>
                <w:rFonts w:cstheme="minorHAnsi"/>
              </w:rPr>
              <w:t>(0.07</w:t>
            </w:r>
            <w:r w:rsidRPr="00EE1287">
              <w:rPr>
                <w:rFonts w:cstheme="minorHAnsi"/>
              </w:rPr>
              <w:t>)</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i/>
              </w:rPr>
            </w:pPr>
            <w:proofErr w:type="spellStart"/>
            <w:r w:rsidRPr="00EE1287">
              <w:rPr>
                <w:rFonts w:cstheme="minorHAnsi"/>
                <w:i/>
              </w:rPr>
              <w:t>busness_exper</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busness_exper22</w:t>
            </w:r>
          </w:p>
        </w:tc>
        <w:tc>
          <w:tcPr>
            <w:tcW w:w="1511" w:type="dxa"/>
            <w:gridSpan w:val="2"/>
          </w:tcPr>
          <w:p w:rsidR="00AA788D" w:rsidRPr="00EE1287" w:rsidRDefault="00AA788D" w:rsidP="005A48A5">
            <w:pPr>
              <w:jc w:val="center"/>
              <w:rPr>
                <w:rFonts w:cstheme="minorHAnsi"/>
              </w:rPr>
            </w:pPr>
            <w:r>
              <w:rPr>
                <w:rFonts w:cstheme="minorHAnsi"/>
              </w:rPr>
              <w:t>0.04*</w:t>
            </w:r>
          </w:p>
          <w:p w:rsidR="00AA788D" w:rsidRPr="00EE1287" w:rsidRDefault="00AA788D" w:rsidP="005A48A5">
            <w:pPr>
              <w:jc w:val="center"/>
              <w:rPr>
                <w:rFonts w:cstheme="minorHAnsi"/>
              </w:rPr>
            </w:pPr>
            <w:r>
              <w:rPr>
                <w:rFonts w:cstheme="minorHAnsi"/>
              </w:rPr>
              <w:t>(0.02</w:t>
            </w:r>
            <w:r w:rsidRPr="00EE1287">
              <w:rPr>
                <w:rFonts w:cstheme="minorHAnsi"/>
              </w:rPr>
              <w:t>)</w:t>
            </w:r>
          </w:p>
          <w:p w:rsidR="00AA788D" w:rsidRPr="00EE1287" w:rsidRDefault="00AA788D" w:rsidP="005A48A5">
            <w:pPr>
              <w:jc w:val="center"/>
              <w:rPr>
                <w:rFonts w:cstheme="minorHAnsi"/>
              </w:rPr>
            </w:pPr>
            <w:r>
              <w:rPr>
                <w:rFonts w:cstheme="minorHAnsi"/>
              </w:rPr>
              <w:t>- 0.07*</w:t>
            </w:r>
          </w:p>
          <w:p w:rsidR="00AA788D" w:rsidRPr="00EE1287" w:rsidRDefault="00AA788D" w:rsidP="005A48A5">
            <w:pPr>
              <w:jc w:val="center"/>
              <w:rPr>
                <w:rFonts w:cstheme="minorHAnsi"/>
              </w:rPr>
            </w:pPr>
            <w:r>
              <w:rPr>
                <w:rFonts w:cstheme="minorHAnsi"/>
              </w:rPr>
              <w:t>(0.04</w:t>
            </w:r>
            <w:r w:rsidRPr="00EE1287">
              <w:rPr>
                <w:rFonts w:cstheme="minorHAnsi"/>
              </w:rPr>
              <w:t>)</w:t>
            </w:r>
          </w:p>
        </w:tc>
        <w:tc>
          <w:tcPr>
            <w:tcW w:w="1984" w:type="dxa"/>
            <w:gridSpan w:val="2"/>
          </w:tcPr>
          <w:p w:rsidR="00AA788D" w:rsidRPr="00EE1287" w:rsidRDefault="00AA788D" w:rsidP="005A48A5">
            <w:pPr>
              <w:jc w:val="center"/>
              <w:rPr>
                <w:rFonts w:cstheme="minorHAnsi"/>
              </w:rPr>
            </w:pPr>
            <w:r>
              <w:rPr>
                <w:rFonts w:cstheme="minorHAnsi"/>
              </w:rPr>
              <w:t>0.03*</w:t>
            </w:r>
          </w:p>
          <w:p w:rsidR="00AA788D" w:rsidRPr="00EE1287" w:rsidRDefault="00AA788D" w:rsidP="005A48A5">
            <w:pPr>
              <w:jc w:val="center"/>
              <w:rPr>
                <w:rFonts w:cstheme="minorHAnsi"/>
              </w:rPr>
            </w:pPr>
            <w:r>
              <w:rPr>
                <w:rFonts w:cstheme="minorHAnsi"/>
              </w:rPr>
              <w:t>(0.02</w:t>
            </w:r>
            <w:r w:rsidRPr="00EE1287">
              <w:rPr>
                <w:rFonts w:cstheme="minorHAnsi"/>
              </w:rPr>
              <w:t>)</w:t>
            </w:r>
          </w:p>
          <w:p w:rsidR="00AA788D" w:rsidRPr="00EE1287" w:rsidRDefault="00AA788D" w:rsidP="005A48A5">
            <w:pPr>
              <w:jc w:val="center"/>
              <w:rPr>
                <w:rFonts w:cstheme="minorHAnsi"/>
              </w:rPr>
            </w:pPr>
            <w:r>
              <w:rPr>
                <w:rFonts w:cstheme="minorHAnsi"/>
              </w:rPr>
              <w:t>- 0.</w:t>
            </w:r>
            <w:r w:rsidRPr="00EE1287">
              <w:rPr>
                <w:rFonts w:cstheme="minorHAnsi"/>
              </w:rPr>
              <w:t>0</w:t>
            </w:r>
            <w:r>
              <w:rPr>
                <w:rFonts w:cstheme="minorHAnsi"/>
              </w:rPr>
              <w:t>5*</w:t>
            </w:r>
          </w:p>
          <w:p w:rsidR="00AA788D" w:rsidRPr="00EE1287" w:rsidRDefault="00AA788D" w:rsidP="005A48A5">
            <w:pPr>
              <w:jc w:val="center"/>
              <w:rPr>
                <w:rFonts w:cstheme="minorHAnsi"/>
              </w:rPr>
            </w:pPr>
            <w:r>
              <w:rPr>
                <w:rFonts w:cstheme="minorHAnsi"/>
              </w:rPr>
              <w:t>(0.03</w:t>
            </w:r>
            <w:r w:rsidRPr="00EE1287">
              <w:rPr>
                <w:rFonts w:cstheme="minorHAnsi"/>
              </w:rPr>
              <w:t>)</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i/>
              </w:rPr>
            </w:pPr>
            <w:proofErr w:type="spellStart"/>
            <w:r w:rsidRPr="00EE1287">
              <w:rPr>
                <w:rFonts w:cstheme="minorHAnsi"/>
                <w:i/>
              </w:rPr>
              <w:t>Educ</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lnsales</w:t>
            </w:r>
            <w:proofErr w:type="spellEnd"/>
            <w:r w:rsidRPr="00EE1287">
              <w:rPr>
                <w:rFonts w:cstheme="minorHAnsi"/>
                <w:i/>
              </w:rPr>
              <w:t xml:space="preserve"> </w:t>
            </w:r>
          </w:p>
        </w:tc>
        <w:tc>
          <w:tcPr>
            <w:tcW w:w="1511" w:type="dxa"/>
            <w:gridSpan w:val="2"/>
          </w:tcPr>
          <w:p w:rsidR="00AA788D" w:rsidRPr="00EE1287" w:rsidRDefault="00AA788D" w:rsidP="005A48A5">
            <w:pPr>
              <w:jc w:val="center"/>
              <w:rPr>
                <w:rFonts w:cstheme="minorHAnsi"/>
              </w:rPr>
            </w:pPr>
            <w:r>
              <w:rPr>
                <w:rFonts w:cstheme="minorHAnsi"/>
              </w:rPr>
              <w:t>- 0.04</w:t>
            </w:r>
          </w:p>
          <w:p w:rsidR="00AA788D" w:rsidRPr="00EE1287" w:rsidRDefault="00AA788D" w:rsidP="005A48A5">
            <w:pPr>
              <w:jc w:val="center"/>
              <w:rPr>
                <w:rFonts w:cstheme="minorHAnsi"/>
              </w:rPr>
            </w:pPr>
            <w:r>
              <w:rPr>
                <w:rFonts w:cstheme="minorHAnsi"/>
              </w:rPr>
              <w:t>(0.04</w:t>
            </w:r>
            <w:r w:rsidRPr="00EE1287">
              <w:rPr>
                <w:rFonts w:cstheme="minorHAnsi"/>
              </w:rPr>
              <w:t>)</w:t>
            </w:r>
          </w:p>
          <w:p w:rsidR="00AA788D" w:rsidRPr="00EE1287" w:rsidRDefault="00AA788D" w:rsidP="005A48A5">
            <w:pPr>
              <w:jc w:val="center"/>
              <w:rPr>
                <w:rFonts w:cstheme="minorHAnsi"/>
              </w:rPr>
            </w:pPr>
            <w:r>
              <w:rPr>
                <w:rFonts w:cstheme="minorHAnsi"/>
              </w:rPr>
              <w:t>0.13*</w:t>
            </w:r>
          </w:p>
          <w:p w:rsidR="00AA788D" w:rsidRPr="00EE1287" w:rsidRDefault="00AA788D" w:rsidP="005A48A5">
            <w:pPr>
              <w:jc w:val="center"/>
              <w:rPr>
                <w:rFonts w:cstheme="minorHAnsi"/>
              </w:rPr>
            </w:pPr>
            <w:r>
              <w:rPr>
                <w:rFonts w:cstheme="minorHAnsi"/>
              </w:rPr>
              <w:t>(0.07</w:t>
            </w:r>
            <w:r w:rsidRPr="00EE1287">
              <w:rPr>
                <w:rFonts w:cstheme="minorHAnsi"/>
              </w:rPr>
              <w:t>)</w:t>
            </w:r>
          </w:p>
        </w:tc>
        <w:tc>
          <w:tcPr>
            <w:tcW w:w="1984" w:type="dxa"/>
            <w:gridSpan w:val="2"/>
          </w:tcPr>
          <w:p w:rsidR="00AA788D" w:rsidRPr="00EE1287" w:rsidRDefault="00AA788D" w:rsidP="005A48A5">
            <w:pPr>
              <w:jc w:val="center"/>
              <w:rPr>
                <w:rFonts w:cstheme="minorHAnsi"/>
              </w:rPr>
            </w:pPr>
            <w:r>
              <w:rPr>
                <w:rFonts w:cstheme="minorHAnsi"/>
              </w:rPr>
              <w:t>- 0.02</w:t>
            </w:r>
          </w:p>
          <w:p w:rsidR="00AA788D" w:rsidRPr="00EE1287" w:rsidRDefault="00AA788D" w:rsidP="005A48A5">
            <w:pPr>
              <w:jc w:val="center"/>
              <w:rPr>
                <w:rFonts w:cstheme="minorHAnsi"/>
              </w:rPr>
            </w:pPr>
            <w:r>
              <w:rPr>
                <w:rFonts w:cstheme="minorHAnsi"/>
              </w:rPr>
              <w:t>(0.03</w:t>
            </w:r>
            <w:r w:rsidRPr="00EE1287">
              <w:rPr>
                <w:rFonts w:cstheme="minorHAnsi"/>
              </w:rPr>
              <w:t>)</w:t>
            </w:r>
          </w:p>
          <w:p w:rsidR="00AA788D" w:rsidRPr="00EE1287" w:rsidRDefault="00AA788D" w:rsidP="005A48A5">
            <w:pPr>
              <w:jc w:val="center"/>
              <w:rPr>
                <w:rFonts w:cstheme="minorHAnsi"/>
              </w:rPr>
            </w:pPr>
            <w:r>
              <w:rPr>
                <w:rFonts w:cstheme="minorHAnsi"/>
              </w:rPr>
              <w:t>0.08*</w:t>
            </w:r>
          </w:p>
          <w:p w:rsidR="00AA788D" w:rsidRPr="00EE1287" w:rsidRDefault="00AA788D" w:rsidP="005A48A5">
            <w:pPr>
              <w:jc w:val="center"/>
              <w:rPr>
                <w:rFonts w:cstheme="minorHAnsi"/>
              </w:rPr>
            </w:pPr>
            <w:r>
              <w:rPr>
                <w:rFonts w:cstheme="minorHAnsi"/>
              </w:rPr>
              <w:t>(0.</w:t>
            </w:r>
            <w:r w:rsidRPr="00EE1287">
              <w:rPr>
                <w:rFonts w:cstheme="minorHAnsi"/>
              </w:rPr>
              <w:t>0</w:t>
            </w:r>
            <w:r>
              <w:rPr>
                <w:rFonts w:cstheme="minorHAnsi"/>
              </w:rPr>
              <w:t>5</w:t>
            </w:r>
            <w:r w:rsidRPr="00EE1287">
              <w:rPr>
                <w:rFonts w:cstheme="minorHAnsi"/>
              </w:rPr>
              <w:t>)</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i/>
              </w:rPr>
            </w:pPr>
            <w:proofErr w:type="spellStart"/>
            <w:r w:rsidRPr="00EE1287">
              <w:rPr>
                <w:rFonts w:cstheme="minorHAnsi"/>
                <w:i/>
              </w:rPr>
              <w:t>expnd_d</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sidRPr="00EE1287">
              <w:rPr>
                <w:rFonts w:cstheme="minorHAnsi"/>
                <w:i/>
              </w:rPr>
              <w:t>cash1</w:t>
            </w:r>
          </w:p>
          <w:p w:rsidR="00AA788D" w:rsidRPr="00EE1287" w:rsidRDefault="00AA788D" w:rsidP="005A48A5">
            <w:pPr>
              <w:rPr>
                <w:rFonts w:cstheme="minorHAnsi"/>
                <w:b/>
                <w:i/>
              </w:rPr>
            </w:pPr>
          </w:p>
          <w:p w:rsidR="00AA788D" w:rsidRDefault="00AA788D" w:rsidP="005A48A5">
            <w:pPr>
              <w:rPr>
                <w:rFonts w:cstheme="minorHAnsi"/>
                <w:i/>
              </w:rPr>
            </w:pPr>
            <w:r w:rsidRPr="00EE1287">
              <w:rPr>
                <w:rFonts w:cstheme="minorHAnsi"/>
                <w:i/>
              </w:rPr>
              <w:t>gender</w:t>
            </w:r>
          </w:p>
          <w:p w:rsidR="00AA788D" w:rsidRPr="00EE1287" w:rsidRDefault="00AA788D" w:rsidP="005A48A5">
            <w:pPr>
              <w:rPr>
                <w:rFonts w:cstheme="minorHAnsi"/>
                <w:i/>
              </w:rPr>
            </w:pPr>
          </w:p>
        </w:tc>
        <w:tc>
          <w:tcPr>
            <w:tcW w:w="1511" w:type="dxa"/>
            <w:gridSpan w:val="2"/>
          </w:tcPr>
          <w:p w:rsidR="00AA788D" w:rsidRPr="00EE1287" w:rsidRDefault="00AA788D" w:rsidP="005A48A5">
            <w:pPr>
              <w:jc w:val="center"/>
              <w:rPr>
                <w:rFonts w:cstheme="minorHAnsi"/>
              </w:rPr>
            </w:pPr>
            <w:r>
              <w:rPr>
                <w:rFonts w:cstheme="minorHAnsi"/>
              </w:rPr>
              <w:t>0.48**</w:t>
            </w:r>
          </w:p>
          <w:p w:rsidR="00AA788D" w:rsidRPr="00EE1287" w:rsidRDefault="00AA788D" w:rsidP="005A48A5">
            <w:pPr>
              <w:jc w:val="center"/>
              <w:rPr>
                <w:rFonts w:cstheme="minorHAnsi"/>
              </w:rPr>
            </w:pPr>
            <w:r>
              <w:rPr>
                <w:rFonts w:cstheme="minorHAnsi"/>
              </w:rPr>
              <w:t>(0.23</w:t>
            </w:r>
            <w:r w:rsidRPr="00EE1287">
              <w:rPr>
                <w:rFonts w:cstheme="minorHAnsi"/>
              </w:rPr>
              <w:t>)</w:t>
            </w:r>
          </w:p>
          <w:p w:rsidR="00AA788D" w:rsidRPr="00EE1287" w:rsidRDefault="00AA788D" w:rsidP="005A48A5">
            <w:pPr>
              <w:jc w:val="center"/>
              <w:rPr>
                <w:rFonts w:cstheme="minorHAnsi"/>
              </w:rPr>
            </w:pPr>
            <w:r>
              <w:rPr>
                <w:rFonts w:cstheme="minorHAnsi"/>
              </w:rPr>
              <w:t>- 0.52</w:t>
            </w:r>
            <w:r w:rsidRPr="00EE1287">
              <w:rPr>
                <w:rFonts w:cstheme="minorHAnsi"/>
              </w:rPr>
              <w:t>*</w:t>
            </w:r>
            <w:r>
              <w:rPr>
                <w:rFonts w:cstheme="minorHAnsi"/>
              </w:rPr>
              <w:t>*</w:t>
            </w:r>
          </w:p>
          <w:p w:rsidR="00AA788D" w:rsidRPr="00EE1287" w:rsidRDefault="00AA788D" w:rsidP="005A48A5">
            <w:pPr>
              <w:jc w:val="center"/>
              <w:rPr>
                <w:rFonts w:cstheme="minorHAnsi"/>
              </w:rPr>
            </w:pPr>
            <w:r w:rsidRPr="00EE1287">
              <w:rPr>
                <w:rFonts w:cstheme="minorHAnsi"/>
              </w:rPr>
              <w:t>(0.2</w:t>
            </w:r>
            <w:r>
              <w:rPr>
                <w:rFonts w:cstheme="minorHAnsi"/>
              </w:rPr>
              <w:t>6</w:t>
            </w:r>
            <w:r w:rsidRPr="00EE1287">
              <w:rPr>
                <w:rFonts w:cstheme="minorHAnsi"/>
              </w:rPr>
              <w:t>)</w:t>
            </w:r>
          </w:p>
          <w:p w:rsidR="00AA788D" w:rsidRPr="00EE1287" w:rsidRDefault="00AA788D" w:rsidP="005A48A5">
            <w:pPr>
              <w:jc w:val="center"/>
              <w:rPr>
                <w:rFonts w:cstheme="minorHAnsi"/>
              </w:rPr>
            </w:pPr>
            <w:r>
              <w:rPr>
                <w:rFonts w:cstheme="minorHAnsi"/>
              </w:rPr>
              <w:t>0.18</w:t>
            </w:r>
          </w:p>
          <w:p w:rsidR="00AA788D" w:rsidRPr="00EE1287" w:rsidRDefault="00AA788D" w:rsidP="005A48A5">
            <w:pPr>
              <w:jc w:val="center"/>
              <w:rPr>
                <w:rFonts w:cstheme="minorHAnsi"/>
              </w:rPr>
            </w:pPr>
            <w:r>
              <w:rPr>
                <w:rFonts w:cstheme="minorHAnsi"/>
              </w:rPr>
              <w:t>(0.27</w:t>
            </w:r>
            <w:r w:rsidRPr="00EE1287">
              <w:rPr>
                <w:rFonts w:cstheme="minorHAnsi"/>
              </w:rPr>
              <w:t>)</w:t>
            </w:r>
          </w:p>
        </w:tc>
        <w:tc>
          <w:tcPr>
            <w:tcW w:w="1984" w:type="dxa"/>
            <w:gridSpan w:val="2"/>
          </w:tcPr>
          <w:p w:rsidR="00AA788D" w:rsidRPr="00EE1287" w:rsidRDefault="00AA788D" w:rsidP="005A48A5">
            <w:pPr>
              <w:jc w:val="center"/>
              <w:rPr>
                <w:rFonts w:cstheme="minorHAnsi"/>
              </w:rPr>
            </w:pPr>
            <w:r>
              <w:rPr>
                <w:rFonts w:cstheme="minorHAnsi"/>
              </w:rPr>
              <w:t xml:space="preserve"> 0.49</w:t>
            </w:r>
            <w:r w:rsidRPr="00EE1287">
              <w:rPr>
                <w:rFonts w:cstheme="minorHAnsi"/>
              </w:rPr>
              <w:t>*</w:t>
            </w:r>
            <w:r>
              <w:rPr>
                <w:rFonts w:cstheme="minorHAnsi"/>
              </w:rPr>
              <w:t>**</w:t>
            </w:r>
          </w:p>
          <w:p w:rsidR="00AA788D" w:rsidRPr="00EE1287" w:rsidRDefault="00AA788D" w:rsidP="005A48A5">
            <w:pPr>
              <w:jc w:val="center"/>
              <w:rPr>
                <w:rFonts w:cstheme="minorHAnsi"/>
              </w:rPr>
            </w:pPr>
            <w:r>
              <w:rPr>
                <w:rFonts w:cstheme="minorHAnsi"/>
              </w:rPr>
              <w:t>(0.17</w:t>
            </w:r>
            <w:r w:rsidRPr="00EE1287">
              <w:rPr>
                <w:rFonts w:cstheme="minorHAnsi"/>
              </w:rPr>
              <w:t>)</w:t>
            </w:r>
          </w:p>
          <w:p w:rsidR="00AA788D" w:rsidRPr="00860F40" w:rsidRDefault="00AA788D" w:rsidP="005A48A5">
            <w:pPr>
              <w:jc w:val="center"/>
              <w:rPr>
                <w:rFonts w:cstheme="minorHAnsi"/>
              </w:rPr>
            </w:pPr>
            <w:r w:rsidRPr="00860F40">
              <w:rPr>
                <w:rFonts w:cstheme="minorHAnsi"/>
              </w:rPr>
              <w:t>- 0.</w:t>
            </w:r>
            <w:r>
              <w:rPr>
                <w:rFonts w:cstheme="minorHAnsi"/>
              </w:rPr>
              <w:t>05</w:t>
            </w:r>
          </w:p>
          <w:p w:rsidR="00AA788D" w:rsidRPr="00860F40" w:rsidRDefault="00AA788D" w:rsidP="005A48A5">
            <w:pPr>
              <w:jc w:val="center"/>
              <w:rPr>
                <w:rFonts w:cstheme="minorHAnsi"/>
              </w:rPr>
            </w:pPr>
            <w:r>
              <w:rPr>
                <w:rFonts w:cstheme="minorHAnsi"/>
              </w:rPr>
              <w:t>(0.17</w:t>
            </w:r>
            <w:r w:rsidRPr="00860F40">
              <w:rPr>
                <w:rFonts w:cstheme="minorHAnsi"/>
              </w:rPr>
              <w:t>)</w:t>
            </w:r>
          </w:p>
          <w:p w:rsidR="00AA788D" w:rsidRPr="00EE1287" w:rsidRDefault="00AA788D" w:rsidP="005A48A5">
            <w:pPr>
              <w:jc w:val="center"/>
              <w:rPr>
                <w:rFonts w:cstheme="minorHAnsi"/>
              </w:rPr>
            </w:pPr>
            <w:r>
              <w:rPr>
                <w:rFonts w:cstheme="minorHAnsi"/>
              </w:rPr>
              <w:t>0.17</w:t>
            </w:r>
          </w:p>
          <w:p w:rsidR="00AA788D" w:rsidRPr="00EE1287" w:rsidRDefault="00AA788D" w:rsidP="005A48A5">
            <w:pPr>
              <w:jc w:val="center"/>
              <w:rPr>
                <w:rFonts w:cstheme="minorHAnsi"/>
              </w:rPr>
            </w:pPr>
            <w:r>
              <w:rPr>
                <w:rFonts w:cstheme="minorHAnsi"/>
              </w:rPr>
              <w:t>(0.21</w:t>
            </w:r>
            <w:r w:rsidRPr="00EE1287">
              <w:rPr>
                <w:rFonts w:cstheme="minorHAnsi"/>
              </w:rPr>
              <w:t>)</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b/>
                <w:i/>
              </w:rPr>
            </w:pPr>
            <w:proofErr w:type="spellStart"/>
            <w:r>
              <w:rPr>
                <w:rFonts w:cstheme="minorHAnsi"/>
                <w:i/>
              </w:rPr>
              <w:t>t</w:t>
            </w:r>
            <w:r w:rsidRPr="00EE1287">
              <w:rPr>
                <w:rFonts w:cstheme="minorHAnsi"/>
                <w:i/>
              </w:rPr>
              <w:t>ash</w:t>
            </w:r>
            <w:r>
              <w:rPr>
                <w:rFonts w:cstheme="minorHAnsi"/>
                <w:i/>
              </w:rPr>
              <w:t>_obl</w:t>
            </w:r>
            <w:proofErr w:type="spellEnd"/>
          </w:p>
          <w:p w:rsidR="00AA788D" w:rsidRPr="00EE1287" w:rsidRDefault="00AA788D" w:rsidP="005A48A5">
            <w:pPr>
              <w:rPr>
                <w:rFonts w:cstheme="minorHAnsi"/>
                <w:b/>
                <w:i/>
              </w:rPr>
            </w:pPr>
          </w:p>
          <w:p w:rsidR="00AA788D" w:rsidRPr="00EE1287" w:rsidRDefault="00AA788D" w:rsidP="005A48A5">
            <w:pPr>
              <w:rPr>
                <w:rFonts w:cstheme="minorHAnsi"/>
                <w:i/>
              </w:rPr>
            </w:pPr>
            <w:proofErr w:type="spellStart"/>
            <w:r w:rsidRPr="00EE1287">
              <w:rPr>
                <w:rFonts w:cstheme="minorHAnsi"/>
                <w:i/>
              </w:rPr>
              <w:t>fergh</w:t>
            </w:r>
            <w:proofErr w:type="spellEnd"/>
          </w:p>
        </w:tc>
        <w:tc>
          <w:tcPr>
            <w:tcW w:w="1511" w:type="dxa"/>
            <w:gridSpan w:val="2"/>
          </w:tcPr>
          <w:p w:rsidR="00AA788D" w:rsidRPr="00EE1287" w:rsidRDefault="00AA788D" w:rsidP="005A48A5">
            <w:pPr>
              <w:ind w:left="360"/>
              <w:rPr>
                <w:rFonts w:cstheme="minorHAnsi"/>
              </w:rPr>
            </w:pPr>
            <w:r w:rsidRPr="00EE1287">
              <w:rPr>
                <w:rFonts w:cstheme="minorHAnsi"/>
              </w:rPr>
              <w:t>0.</w:t>
            </w:r>
            <w:r>
              <w:rPr>
                <w:rFonts w:cstheme="minorHAnsi"/>
              </w:rPr>
              <w:t>47</w:t>
            </w:r>
          </w:p>
          <w:p w:rsidR="00AA788D" w:rsidRPr="00EE1287" w:rsidRDefault="00AA788D" w:rsidP="005A48A5">
            <w:pPr>
              <w:ind w:left="360"/>
              <w:rPr>
                <w:rFonts w:cstheme="minorHAnsi"/>
              </w:rPr>
            </w:pPr>
            <w:r>
              <w:rPr>
                <w:rFonts w:cstheme="minorHAnsi"/>
              </w:rPr>
              <w:t>(0.30</w:t>
            </w:r>
            <w:r w:rsidRPr="00EE1287">
              <w:rPr>
                <w:rFonts w:cstheme="minorHAnsi"/>
              </w:rPr>
              <w:t>)</w:t>
            </w:r>
          </w:p>
          <w:p w:rsidR="00AA788D" w:rsidRPr="00EE1287" w:rsidRDefault="00AA788D" w:rsidP="005A48A5">
            <w:pPr>
              <w:ind w:left="360"/>
              <w:rPr>
                <w:rFonts w:cstheme="minorHAnsi"/>
              </w:rPr>
            </w:pPr>
            <w:r>
              <w:rPr>
                <w:rFonts w:cstheme="minorHAnsi"/>
              </w:rPr>
              <w:t>0.07</w:t>
            </w:r>
          </w:p>
          <w:p w:rsidR="00AA788D" w:rsidRPr="00EE1287" w:rsidRDefault="00AA788D" w:rsidP="005A48A5">
            <w:pPr>
              <w:ind w:left="360"/>
              <w:rPr>
                <w:rFonts w:cstheme="minorHAnsi"/>
              </w:rPr>
            </w:pPr>
            <w:r>
              <w:rPr>
                <w:rFonts w:cstheme="minorHAnsi"/>
              </w:rPr>
              <w:t>(0.36</w:t>
            </w:r>
            <w:r w:rsidRPr="00EE1287">
              <w:rPr>
                <w:rFonts w:cstheme="minorHAnsi"/>
              </w:rPr>
              <w:t>)</w:t>
            </w:r>
          </w:p>
        </w:tc>
        <w:tc>
          <w:tcPr>
            <w:tcW w:w="1984" w:type="dxa"/>
            <w:gridSpan w:val="2"/>
          </w:tcPr>
          <w:p w:rsidR="00AA788D" w:rsidRDefault="00AA788D" w:rsidP="005A48A5">
            <w:pPr>
              <w:jc w:val="center"/>
              <w:rPr>
                <w:rFonts w:cstheme="minorHAnsi"/>
              </w:rPr>
            </w:pPr>
            <w:r>
              <w:rPr>
                <w:rFonts w:cstheme="minorHAnsi"/>
              </w:rPr>
              <w:t>0.08</w:t>
            </w:r>
          </w:p>
          <w:p w:rsidR="00AA788D" w:rsidRDefault="00AA788D" w:rsidP="005A48A5">
            <w:pPr>
              <w:jc w:val="center"/>
              <w:rPr>
                <w:rFonts w:cstheme="minorHAnsi"/>
              </w:rPr>
            </w:pPr>
            <w:r>
              <w:rPr>
                <w:rFonts w:cstheme="minorHAnsi"/>
              </w:rPr>
              <w:t>(0.21)</w:t>
            </w:r>
          </w:p>
          <w:p w:rsidR="00AA788D" w:rsidRDefault="00AA788D" w:rsidP="005A48A5">
            <w:pPr>
              <w:jc w:val="center"/>
              <w:rPr>
                <w:rFonts w:cstheme="minorHAnsi"/>
              </w:rPr>
            </w:pPr>
            <w:r>
              <w:rPr>
                <w:rFonts w:cstheme="minorHAnsi"/>
              </w:rPr>
              <w:t>- 0.36</w:t>
            </w:r>
          </w:p>
          <w:p w:rsidR="00AA788D" w:rsidRPr="00EE1287" w:rsidRDefault="00AA788D" w:rsidP="005A48A5">
            <w:pPr>
              <w:jc w:val="center"/>
              <w:rPr>
                <w:rFonts w:cstheme="minorHAnsi"/>
              </w:rPr>
            </w:pPr>
            <w:r>
              <w:rPr>
                <w:rFonts w:cstheme="minorHAnsi"/>
              </w:rPr>
              <w:t>(0.24)</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Pr>
          <w:p w:rsidR="00AA788D" w:rsidRPr="00EE1287" w:rsidRDefault="00AA788D" w:rsidP="005A48A5">
            <w:pPr>
              <w:rPr>
                <w:rFonts w:cstheme="minorHAnsi"/>
                <w:i/>
              </w:rPr>
            </w:pPr>
            <w:proofErr w:type="spellStart"/>
            <w:r w:rsidRPr="00EE1287">
              <w:rPr>
                <w:rFonts w:cstheme="minorHAnsi"/>
                <w:i/>
              </w:rPr>
              <w:t>Agri</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srvs</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trd</w:t>
            </w:r>
            <w:proofErr w:type="spellEnd"/>
          </w:p>
          <w:p w:rsidR="00AA788D" w:rsidRPr="00EE1287" w:rsidRDefault="00AA788D" w:rsidP="005A48A5">
            <w:pPr>
              <w:rPr>
                <w:rFonts w:cstheme="minorHAnsi"/>
                <w:i/>
              </w:rPr>
            </w:pPr>
          </w:p>
        </w:tc>
        <w:tc>
          <w:tcPr>
            <w:tcW w:w="1511" w:type="dxa"/>
            <w:gridSpan w:val="2"/>
          </w:tcPr>
          <w:p w:rsidR="00AA788D" w:rsidRPr="00EE1287" w:rsidRDefault="00AA788D" w:rsidP="005A48A5">
            <w:pPr>
              <w:jc w:val="center"/>
              <w:rPr>
                <w:rFonts w:cstheme="minorHAnsi"/>
              </w:rPr>
            </w:pPr>
            <w:r>
              <w:rPr>
                <w:rFonts w:cstheme="minorHAnsi"/>
              </w:rPr>
              <w:t>- 0.74*</w:t>
            </w:r>
          </w:p>
          <w:p w:rsidR="00AA788D" w:rsidRPr="00EE1287" w:rsidRDefault="00AA788D" w:rsidP="005A48A5">
            <w:pPr>
              <w:jc w:val="center"/>
              <w:rPr>
                <w:rFonts w:cstheme="minorHAnsi"/>
              </w:rPr>
            </w:pPr>
            <w:r>
              <w:rPr>
                <w:rFonts w:cstheme="minorHAnsi"/>
              </w:rPr>
              <w:t>(0.45</w:t>
            </w:r>
            <w:r w:rsidRPr="00EE1287">
              <w:rPr>
                <w:rFonts w:cstheme="minorHAnsi"/>
              </w:rPr>
              <w:t>)</w:t>
            </w:r>
          </w:p>
          <w:p w:rsidR="00AA788D" w:rsidRPr="00EE1287" w:rsidRDefault="00AA788D" w:rsidP="005A48A5">
            <w:pPr>
              <w:jc w:val="center"/>
              <w:rPr>
                <w:rFonts w:cstheme="minorHAnsi"/>
              </w:rPr>
            </w:pPr>
            <w:r>
              <w:rPr>
                <w:rFonts w:cstheme="minorHAnsi"/>
              </w:rPr>
              <w:t>- 0.73</w:t>
            </w:r>
            <w:r w:rsidRPr="00EE1287">
              <w:rPr>
                <w:rFonts w:cstheme="minorHAnsi"/>
              </w:rPr>
              <w:t>*</w:t>
            </w:r>
            <w:r>
              <w:rPr>
                <w:rFonts w:cstheme="minorHAnsi"/>
              </w:rPr>
              <w:t>*</w:t>
            </w:r>
          </w:p>
          <w:p w:rsidR="00AA788D" w:rsidRPr="00EE1287" w:rsidRDefault="00AA788D" w:rsidP="005A48A5">
            <w:pPr>
              <w:jc w:val="center"/>
              <w:rPr>
                <w:rFonts w:cstheme="minorHAnsi"/>
              </w:rPr>
            </w:pPr>
            <w:r>
              <w:rPr>
                <w:rFonts w:cstheme="minorHAnsi"/>
              </w:rPr>
              <w:t>(0.32</w:t>
            </w:r>
            <w:r w:rsidRPr="00EE1287">
              <w:rPr>
                <w:rFonts w:cstheme="minorHAnsi"/>
              </w:rPr>
              <w:t>)</w:t>
            </w:r>
          </w:p>
          <w:p w:rsidR="00AA788D" w:rsidRPr="00EE1287" w:rsidRDefault="00AA788D" w:rsidP="005A48A5">
            <w:pPr>
              <w:jc w:val="center"/>
              <w:rPr>
                <w:rFonts w:cstheme="minorHAnsi"/>
              </w:rPr>
            </w:pPr>
            <w:r>
              <w:rPr>
                <w:rFonts w:cstheme="minorHAnsi"/>
              </w:rPr>
              <w:t>0.14</w:t>
            </w:r>
          </w:p>
          <w:p w:rsidR="00AA788D" w:rsidRPr="00EE1287" w:rsidRDefault="00AA788D" w:rsidP="005A48A5">
            <w:pPr>
              <w:jc w:val="center"/>
              <w:rPr>
                <w:rFonts w:cstheme="minorHAnsi"/>
              </w:rPr>
            </w:pPr>
            <w:r>
              <w:rPr>
                <w:rFonts w:cstheme="minorHAnsi"/>
              </w:rPr>
              <w:t>(0.2</w:t>
            </w:r>
            <w:r w:rsidRPr="00EE1287">
              <w:rPr>
                <w:rFonts w:cstheme="minorHAnsi"/>
              </w:rPr>
              <w:t>9)</w:t>
            </w:r>
          </w:p>
        </w:tc>
        <w:tc>
          <w:tcPr>
            <w:tcW w:w="1984" w:type="dxa"/>
            <w:gridSpan w:val="2"/>
          </w:tcPr>
          <w:p w:rsidR="00AA788D" w:rsidRPr="00EE1287" w:rsidRDefault="00AA788D" w:rsidP="005A48A5">
            <w:pPr>
              <w:jc w:val="center"/>
              <w:rPr>
                <w:rFonts w:cstheme="minorHAnsi"/>
              </w:rPr>
            </w:pPr>
            <w:r>
              <w:rPr>
                <w:rFonts w:cstheme="minorHAnsi"/>
              </w:rPr>
              <w:t>- 0.02</w:t>
            </w:r>
          </w:p>
          <w:p w:rsidR="00AA788D" w:rsidRPr="00EE1287" w:rsidRDefault="00AA788D" w:rsidP="005A48A5">
            <w:pPr>
              <w:jc w:val="center"/>
              <w:rPr>
                <w:rFonts w:cstheme="minorHAnsi"/>
              </w:rPr>
            </w:pPr>
            <w:r>
              <w:rPr>
                <w:rFonts w:cstheme="minorHAnsi"/>
              </w:rPr>
              <w:t>(0.28</w:t>
            </w:r>
            <w:r w:rsidRPr="00EE1287">
              <w:rPr>
                <w:rFonts w:cstheme="minorHAnsi"/>
              </w:rPr>
              <w:t>)</w:t>
            </w:r>
          </w:p>
          <w:p w:rsidR="00AA788D" w:rsidRPr="00EE1287" w:rsidRDefault="00AA788D" w:rsidP="005A48A5">
            <w:pPr>
              <w:jc w:val="center"/>
              <w:rPr>
                <w:rFonts w:cstheme="minorHAnsi"/>
              </w:rPr>
            </w:pPr>
            <w:r>
              <w:rPr>
                <w:rFonts w:cstheme="minorHAnsi"/>
              </w:rPr>
              <w:t>- 0.54**</w:t>
            </w:r>
          </w:p>
          <w:p w:rsidR="00AA788D" w:rsidRPr="00EE1287" w:rsidRDefault="00AA788D" w:rsidP="005A48A5">
            <w:pPr>
              <w:jc w:val="center"/>
              <w:rPr>
                <w:rFonts w:cstheme="minorHAnsi"/>
              </w:rPr>
            </w:pPr>
            <w:r>
              <w:rPr>
                <w:rFonts w:cstheme="minorHAnsi"/>
              </w:rPr>
              <w:t>(0.23</w:t>
            </w:r>
            <w:r w:rsidRPr="00EE1287">
              <w:rPr>
                <w:rFonts w:cstheme="minorHAnsi"/>
              </w:rPr>
              <w:t>)</w:t>
            </w:r>
          </w:p>
          <w:p w:rsidR="00AA788D" w:rsidRPr="00EE1287" w:rsidRDefault="00AA788D" w:rsidP="005A48A5">
            <w:pPr>
              <w:jc w:val="center"/>
              <w:rPr>
                <w:rFonts w:cstheme="minorHAnsi"/>
              </w:rPr>
            </w:pPr>
            <w:r>
              <w:rPr>
                <w:rFonts w:cstheme="minorHAnsi"/>
              </w:rPr>
              <w:t>0.17</w:t>
            </w:r>
          </w:p>
          <w:p w:rsidR="00AA788D" w:rsidRPr="00EE1287" w:rsidRDefault="00AA788D" w:rsidP="005A48A5">
            <w:pPr>
              <w:jc w:val="center"/>
              <w:rPr>
                <w:rFonts w:cstheme="minorHAnsi"/>
              </w:rPr>
            </w:pPr>
            <w:r>
              <w:rPr>
                <w:rFonts w:cstheme="minorHAnsi"/>
              </w:rPr>
              <w:t>(0.24</w:t>
            </w:r>
            <w:r w:rsidRPr="00EE1287">
              <w:rPr>
                <w:rFonts w:cstheme="minorHAnsi"/>
              </w:rPr>
              <w:t>)</w:t>
            </w:r>
          </w:p>
        </w:tc>
        <w:tc>
          <w:tcPr>
            <w:tcW w:w="629" w:type="dxa"/>
          </w:tcPr>
          <w:p w:rsidR="00AA788D" w:rsidRPr="00EE1287" w:rsidRDefault="00AA788D" w:rsidP="005A48A5">
            <w:pPr>
              <w:jc w:val="center"/>
              <w:rPr>
                <w:rFonts w:cstheme="minorHAnsi"/>
              </w:rPr>
            </w:pPr>
          </w:p>
        </w:tc>
      </w:tr>
      <w:tr w:rsidR="00AA788D" w:rsidRPr="00EE1287" w:rsidTr="005A48A5">
        <w:tc>
          <w:tcPr>
            <w:tcW w:w="5118" w:type="dxa"/>
            <w:tcBorders>
              <w:bottom w:val="single" w:sz="4" w:space="0" w:color="auto"/>
            </w:tcBorders>
          </w:tcPr>
          <w:p w:rsidR="00AA788D" w:rsidRPr="00EE1287" w:rsidRDefault="00AA788D" w:rsidP="005A48A5">
            <w:pPr>
              <w:rPr>
                <w:rFonts w:cstheme="minorHAnsi"/>
                <w:i/>
              </w:rPr>
            </w:pPr>
            <w:proofErr w:type="spellStart"/>
            <w:r w:rsidRPr="00EE1287">
              <w:rPr>
                <w:rFonts w:cstheme="minorHAnsi"/>
                <w:i/>
              </w:rPr>
              <w:t>gov_connect</w:t>
            </w:r>
            <w:proofErr w:type="spellEnd"/>
          </w:p>
          <w:p w:rsidR="00AA788D" w:rsidRPr="00EE1287" w:rsidRDefault="00AA788D" w:rsidP="005A48A5">
            <w:pPr>
              <w:rPr>
                <w:rFonts w:cstheme="minorHAnsi"/>
                <w:i/>
              </w:rPr>
            </w:pPr>
          </w:p>
          <w:p w:rsidR="00AA788D" w:rsidRPr="00EE1287" w:rsidRDefault="00AA788D" w:rsidP="005A48A5">
            <w:pPr>
              <w:rPr>
                <w:rFonts w:cstheme="minorHAnsi"/>
                <w:i/>
              </w:rPr>
            </w:pPr>
            <w:r>
              <w:rPr>
                <w:rFonts w:cstheme="minorHAnsi"/>
                <w:i/>
              </w:rPr>
              <w:t>b</w:t>
            </w:r>
            <w:r w:rsidRPr="00EE1287">
              <w:rPr>
                <w:rFonts w:cstheme="minorHAnsi"/>
                <w:i/>
              </w:rPr>
              <w:t>ribe</w:t>
            </w:r>
          </w:p>
          <w:p w:rsidR="00AA788D" w:rsidRPr="00EE1287" w:rsidRDefault="00AA788D" w:rsidP="005A48A5">
            <w:pPr>
              <w:rPr>
                <w:rFonts w:cstheme="minorHAnsi"/>
                <w:i/>
              </w:rPr>
            </w:pPr>
          </w:p>
          <w:p w:rsidR="00AA788D" w:rsidRPr="00EE1287" w:rsidRDefault="00AA788D" w:rsidP="005A48A5">
            <w:pPr>
              <w:rPr>
                <w:rFonts w:cstheme="minorHAnsi"/>
                <w:i/>
              </w:rPr>
            </w:pPr>
            <w:proofErr w:type="spellStart"/>
            <w:r w:rsidRPr="00EE1287">
              <w:rPr>
                <w:rFonts w:cstheme="minorHAnsi"/>
                <w:i/>
              </w:rPr>
              <w:t>bzinbrpl</w:t>
            </w:r>
            <w:proofErr w:type="spellEnd"/>
          </w:p>
          <w:p w:rsidR="00AA788D" w:rsidRDefault="00AA788D" w:rsidP="005A48A5">
            <w:pPr>
              <w:rPr>
                <w:rFonts w:cstheme="minorHAnsi"/>
                <w:i/>
              </w:rPr>
            </w:pPr>
          </w:p>
          <w:p w:rsidR="00AA788D" w:rsidRDefault="00AA788D" w:rsidP="005A48A5">
            <w:pPr>
              <w:rPr>
                <w:rFonts w:cstheme="minorHAnsi"/>
                <w:i/>
              </w:rPr>
            </w:pPr>
            <w:proofErr w:type="spellStart"/>
            <w:r>
              <w:rPr>
                <w:rFonts w:cstheme="minorHAnsi"/>
                <w:i/>
              </w:rPr>
              <w:t>lw_dmd_dum</w:t>
            </w:r>
            <w:proofErr w:type="spellEnd"/>
          </w:p>
          <w:p w:rsidR="00AA788D" w:rsidRPr="00EE1287" w:rsidRDefault="00AA788D" w:rsidP="005A48A5">
            <w:pPr>
              <w:rPr>
                <w:rFonts w:cstheme="minorHAnsi"/>
                <w:i/>
              </w:rPr>
            </w:pPr>
          </w:p>
        </w:tc>
        <w:tc>
          <w:tcPr>
            <w:tcW w:w="1511" w:type="dxa"/>
            <w:gridSpan w:val="2"/>
            <w:tcBorders>
              <w:bottom w:val="single" w:sz="4" w:space="0" w:color="auto"/>
            </w:tcBorders>
          </w:tcPr>
          <w:p w:rsidR="00AA788D" w:rsidRPr="00EE1287" w:rsidRDefault="00AA788D" w:rsidP="005A48A5">
            <w:pPr>
              <w:jc w:val="center"/>
              <w:rPr>
                <w:rFonts w:cstheme="minorHAnsi"/>
              </w:rPr>
            </w:pPr>
            <w:r>
              <w:rPr>
                <w:rFonts w:cstheme="minorHAnsi"/>
              </w:rPr>
              <w:t>0.54**</w:t>
            </w:r>
          </w:p>
          <w:p w:rsidR="00AA788D" w:rsidRPr="00EE1287" w:rsidRDefault="00AA788D" w:rsidP="005A48A5">
            <w:pPr>
              <w:jc w:val="center"/>
              <w:rPr>
                <w:rFonts w:cstheme="minorHAnsi"/>
              </w:rPr>
            </w:pPr>
            <w:r>
              <w:rPr>
                <w:rFonts w:cstheme="minorHAnsi"/>
              </w:rPr>
              <w:t>(0.24</w:t>
            </w:r>
            <w:r w:rsidRPr="00EE1287">
              <w:rPr>
                <w:rFonts w:cstheme="minorHAnsi"/>
              </w:rPr>
              <w:t>)</w:t>
            </w:r>
          </w:p>
          <w:p w:rsidR="00AA788D" w:rsidRPr="00EE1287" w:rsidRDefault="00AA788D" w:rsidP="005A48A5">
            <w:pPr>
              <w:jc w:val="center"/>
              <w:rPr>
                <w:rFonts w:cstheme="minorHAnsi"/>
              </w:rPr>
            </w:pPr>
            <w:r>
              <w:rPr>
                <w:rFonts w:cstheme="minorHAnsi"/>
              </w:rPr>
              <w:t>0.18</w:t>
            </w:r>
          </w:p>
          <w:p w:rsidR="00AA788D" w:rsidRPr="00EE1287" w:rsidRDefault="00AA788D" w:rsidP="005A48A5">
            <w:pPr>
              <w:jc w:val="center"/>
              <w:rPr>
                <w:rFonts w:cstheme="minorHAnsi"/>
              </w:rPr>
            </w:pPr>
            <w:r>
              <w:rPr>
                <w:rFonts w:cstheme="minorHAnsi"/>
              </w:rPr>
              <w:t>(0.22</w:t>
            </w:r>
            <w:r w:rsidRPr="00EE1287">
              <w:rPr>
                <w:rFonts w:cstheme="minorHAnsi"/>
              </w:rPr>
              <w:t>)</w:t>
            </w:r>
          </w:p>
          <w:p w:rsidR="00AA788D" w:rsidRPr="00EE1287" w:rsidRDefault="00AA788D" w:rsidP="005A48A5">
            <w:pPr>
              <w:jc w:val="center"/>
              <w:rPr>
                <w:rFonts w:cstheme="minorHAnsi"/>
              </w:rPr>
            </w:pPr>
            <w:r>
              <w:rPr>
                <w:rFonts w:cstheme="minorHAnsi"/>
              </w:rPr>
              <w:t>0.52</w:t>
            </w:r>
            <w:r w:rsidRPr="00EE1287">
              <w:rPr>
                <w:rFonts w:cstheme="minorHAnsi"/>
              </w:rPr>
              <w:t>*</w:t>
            </w:r>
          </w:p>
          <w:p w:rsidR="00AA788D" w:rsidRDefault="00AA788D" w:rsidP="005A48A5">
            <w:pPr>
              <w:jc w:val="center"/>
              <w:rPr>
                <w:rFonts w:cstheme="minorHAnsi"/>
              </w:rPr>
            </w:pPr>
            <w:r>
              <w:rPr>
                <w:rFonts w:cstheme="minorHAnsi"/>
              </w:rPr>
              <w:t>(0.26</w:t>
            </w:r>
            <w:r w:rsidRPr="00EE1287">
              <w:rPr>
                <w:rFonts w:cstheme="minorHAnsi"/>
              </w:rPr>
              <w:t>)</w:t>
            </w:r>
          </w:p>
          <w:p w:rsidR="00AA788D" w:rsidRPr="00EE1287" w:rsidRDefault="00AA788D" w:rsidP="005A48A5">
            <w:pPr>
              <w:jc w:val="center"/>
              <w:rPr>
                <w:rFonts w:cstheme="minorHAnsi"/>
              </w:rPr>
            </w:pPr>
            <w:r>
              <w:rPr>
                <w:rFonts w:cstheme="minorHAnsi"/>
              </w:rPr>
              <w:t>_</w:t>
            </w:r>
          </w:p>
        </w:tc>
        <w:tc>
          <w:tcPr>
            <w:tcW w:w="1984" w:type="dxa"/>
            <w:gridSpan w:val="2"/>
            <w:tcBorders>
              <w:bottom w:val="single" w:sz="4" w:space="0" w:color="auto"/>
            </w:tcBorders>
          </w:tcPr>
          <w:p w:rsidR="00AA788D" w:rsidRPr="00EE1287" w:rsidRDefault="00AA788D" w:rsidP="005A48A5">
            <w:pPr>
              <w:jc w:val="center"/>
              <w:rPr>
                <w:rFonts w:cstheme="minorHAnsi"/>
              </w:rPr>
            </w:pPr>
            <w:r w:rsidRPr="00EE1287">
              <w:rPr>
                <w:rFonts w:cstheme="minorHAnsi"/>
              </w:rPr>
              <w:t>0.</w:t>
            </w:r>
            <w:r>
              <w:rPr>
                <w:rFonts w:cstheme="minorHAnsi"/>
              </w:rPr>
              <w:t>36*</w:t>
            </w:r>
          </w:p>
          <w:p w:rsidR="00AA788D" w:rsidRPr="00EE1287" w:rsidRDefault="00AA788D" w:rsidP="005A48A5">
            <w:pPr>
              <w:jc w:val="center"/>
              <w:rPr>
                <w:rFonts w:cstheme="minorHAnsi"/>
              </w:rPr>
            </w:pPr>
            <w:r w:rsidRPr="00EE1287">
              <w:rPr>
                <w:rFonts w:cstheme="minorHAnsi"/>
              </w:rPr>
              <w:t>(0.</w:t>
            </w:r>
            <w:r>
              <w:rPr>
                <w:rFonts w:cstheme="minorHAnsi"/>
              </w:rPr>
              <w:t>18</w:t>
            </w:r>
            <w:r w:rsidRPr="00EE1287">
              <w:rPr>
                <w:rFonts w:cstheme="minorHAnsi"/>
              </w:rPr>
              <w:t>)</w:t>
            </w:r>
          </w:p>
          <w:p w:rsidR="00AA788D" w:rsidRPr="00EE1287" w:rsidRDefault="00AA788D" w:rsidP="005A48A5">
            <w:pPr>
              <w:jc w:val="center"/>
              <w:rPr>
                <w:rFonts w:cstheme="minorHAnsi"/>
              </w:rPr>
            </w:pPr>
            <w:r>
              <w:rPr>
                <w:rFonts w:cstheme="minorHAnsi"/>
              </w:rPr>
              <w:t>0.39***</w:t>
            </w:r>
          </w:p>
          <w:p w:rsidR="00AA788D" w:rsidRPr="00EE1287" w:rsidRDefault="00AA788D" w:rsidP="005A48A5">
            <w:pPr>
              <w:jc w:val="center"/>
              <w:rPr>
                <w:rFonts w:cstheme="minorHAnsi"/>
              </w:rPr>
            </w:pPr>
            <w:r>
              <w:rPr>
                <w:rFonts w:cstheme="minorHAnsi"/>
              </w:rPr>
              <w:t>(0.16</w:t>
            </w:r>
            <w:r w:rsidRPr="00EE1287">
              <w:rPr>
                <w:rFonts w:cstheme="minorHAnsi"/>
              </w:rPr>
              <w:t>)</w:t>
            </w:r>
          </w:p>
          <w:p w:rsidR="00AA788D" w:rsidRPr="00EE1287" w:rsidRDefault="00AA788D" w:rsidP="005A48A5">
            <w:pPr>
              <w:jc w:val="center"/>
              <w:rPr>
                <w:rFonts w:cstheme="minorHAnsi"/>
              </w:rPr>
            </w:pPr>
            <w:r w:rsidRPr="00EE1287">
              <w:rPr>
                <w:rFonts w:cstheme="minorHAnsi"/>
              </w:rPr>
              <w:t>0.</w:t>
            </w:r>
            <w:r>
              <w:rPr>
                <w:rFonts w:cstheme="minorHAnsi"/>
              </w:rPr>
              <w:t>33</w:t>
            </w:r>
            <w:r w:rsidRPr="00EE1287">
              <w:rPr>
                <w:rFonts w:cstheme="minorHAnsi"/>
              </w:rPr>
              <w:t>**</w:t>
            </w:r>
          </w:p>
          <w:p w:rsidR="00AA788D" w:rsidRDefault="00AA788D" w:rsidP="005A48A5">
            <w:pPr>
              <w:jc w:val="center"/>
              <w:rPr>
                <w:rFonts w:cstheme="minorHAnsi"/>
              </w:rPr>
            </w:pPr>
            <w:r w:rsidRPr="00EE1287">
              <w:rPr>
                <w:rFonts w:cstheme="minorHAnsi"/>
              </w:rPr>
              <w:t>(0.</w:t>
            </w:r>
            <w:r>
              <w:rPr>
                <w:rFonts w:cstheme="minorHAnsi"/>
              </w:rPr>
              <w:t>20</w:t>
            </w:r>
            <w:r w:rsidRPr="00EE1287">
              <w:rPr>
                <w:rFonts w:cstheme="minorHAnsi"/>
              </w:rPr>
              <w:t>)</w:t>
            </w:r>
          </w:p>
          <w:p w:rsidR="00AA788D" w:rsidRDefault="00AA788D" w:rsidP="005A48A5">
            <w:pPr>
              <w:jc w:val="center"/>
              <w:rPr>
                <w:rFonts w:cstheme="minorHAnsi"/>
              </w:rPr>
            </w:pPr>
            <w:r>
              <w:rPr>
                <w:rFonts w:cstheme="minorHAnsi"/>
              </w:rPr>
              <w:t>- 0.36**</w:t>
            </w:r>
          </w:p>
          <w:p w:rsidR="00AA788D" w:rsidRPr="00EE1287" w:rsidRDefault="00AA788D" w:rsidP="005A48A5">
            <w:pPr>
              <w:jc w:val="center"/>
              <w:rPr>
                <w:rFonts w:cstheme="minorHAnsi"/>
              </w:rPr>
            </w:pPr>
            <w:r>
              <w:rPr>
                <w:rFonts w:cstheme="minorHAnsi"/>
              </w:rPr>
              <w:t>(0.15)</w:t>
            </w:r>
          </w:p>
        </w:tc>
        <w:tc>
          <w:tcPr>
            <w:tcW w:w="629" w:type="dxa"/>
            <w:tcBorders>
              <w:bottom w:val="single" w:sz="4" w:space="0" w:color="auto"/>
            </w:tcBorders>
          </w:tcPr>
          <w:p w:rsidR="00AA788D" w:rsidRPr="00EE1287" w:rsidRDefault="00AA788D" w:rsidP="005A48A5">
            <w:pPr>
              <w:jc w:val="center"/>
              <w:rPr>
                <w:rFonts w:cstheme="minorHAnsi"/>
              </w:rPr>
            </w:pPr>
          </w:p>
        </w:tc>
      </w:tr>
      <w:tr w:rsidR="00AA788D" w:rsidRPr="00EE1287" w:rsidTr="005A48A5">
        <w:tc>
          <w:tcPr>
            <w:tcW w:w="6062" w:type="dxa"/>
            <w:gridSpan w:val="2"/>
            <w:tcBorders>
              <w:top w:val="single" w:sz="4" w:space="0" w:color="auto"/>
            </w:tcBorders>
          </w:tcPr>
          <w:p w:rsidR="00AA788D" w:rsidRDefault="00AA788D" w:rsidP="005A48A5">
            <w:pPr>
              <w:rPr>
                <w:rFonts w:cstheme="minorHAnsi"/>
              </w:rPr>
            </w:pPr>
            <w:r>
              <w:rPr>
                <w:rFonts w:cstheme="minorHAnsi"/>
              </w:rPr>
              <w:t>Likelihood ratio test of the independence of equations (</w:t>
            </w:r>
            <w:r w:rsidRPr="00846F6F">
              <w:rPr>
                <w:rFonts w:cstheme="minorHAnsi"/>
              </w:rPr>
              <w:t>ρ=</w:t>
            </w:r>
            <w:r>
              <w:rPr>
                <w:rFonts w:cstheme="minorHAnsi"/>
              </w:rPr>
              <w:t>0)</w:t>
            </w:r>
          </w:p>
          <w:p w:rsidR="00AA788D" w:rsidRDefault="00AA788D" w:rsidP="005A48A5">
            <w:pPr>
              <w:rPr>
                <w:rFonts w:cstheme="minorHAnsi"/>
              </w:rPr>
            </w:pPr>
          </w:p>
          <w:p w:rsidR="00AA788D" w:rsidRPr="00846F6F" w:rsidRDefault="00AA788D" w:rsidP="005A48A5">
            <w:pPr>
              <w:rPr>
                <w:rFonts w:cstheme="minorHAnsi"/>
              </w:rPr>
            </w:pPr>
            <w:r>
              <w:rPr>
                <w:rFonts w:cstheme="minorHAnsi"/>
              </w:rPr>
              <w:t xml:space="preserve">Heckman test for the absence of systematic difference between the coefficients of </w:t>
            </w:r>
            <w:proofErr w:type="spellStart"/>
            <w:r>
              <w:rPr>
                <w:rFonts w:cstheme="minorHAnsi"/>
              </w:rPr>
              <w:t>univariate</w:t>
            </w:r>
            <w:proofErr w:type="spellEnd"/>
            <w:r>
              <w:rPr>
                <w:rFonts w:cstheme="minorHAnsi"/>
              </w:rPr>
              <w:t xml:space="preserve"> and </w:t>
            </w:r>
            <w:proofErr w:type="spellStart"/>
            <w:r>
              <w:rPr>
                <w:rFonts w:cstheme="minorHAnsi"/>
              </w:rPr>
              <w:t>bivariate</w:t>
            </w:r>
            <w:proofErr w:type="spellEnd"/>
            <w:r>
              <w:rPr>
                <w:rFonts w:cstheme="minorHAnsi"/>
              </w:rPr>
              <w:t xml:space="preserve"> models</w:t>
            </w:r>
          </w:p>
        </w:tc>
        <w:tc>
          <w:tcPr>
            <w:tcW w:w="3180" w:type="dxa"/>
            <w:gridSpan w:val="4"/>
            <w:tcBorders>
              <w:top w:val="single" w:sz="4" w:space="0" w:color="auto"/>
            </w:tcBorders>
          </w:tcPr>
          <w:p w:rsidR="00AA788D" w:rsidRDefault="00AA788D" w:rsidP="005A48A5">
            <w:pPr>
              <w:jc w:val="center"/>
              <w:rPr>
                <w:rFonts w:cstheme="minorHAnsi"/>
                <w:color w:val="000000"/>
                <w:shd w:val="clear" w:color="auto" w:fill="FFFFF4"/>
              </w:rPr>
            </w:pPr>
            <w:r w:rsidRPr="00EE1287">
              <w:rPr>
                <w:rFonts w:cstheme="minorHAnsi"/>
                <w:color w:val="000000"/>
                <w:shd w:val="clear" w:color="auto" w:fill="FFFFF4"/>
              </w:rPr>
              <w:t>χ²(</w:t>
            </w:r>
            <w:proofErr w:type="spellStart"/>
            <w:r w:rsidRPr="00EE1287">
              <w:rPr>
                <w:rFonts w:cstheme="minorHAnsi"/>
                <w:color w:val="000000"/>
                <w:shd w:val="clear" w:color="auto" w:fill="FFFFF4"/>
              </w:rPr>
              <w:t>d.f</w:t>
            </w:r>
            <w:proofErr w:type="spellEnd"/>
            <w:r w:rsidRPr="00EE1287">
              <w:rPr>
                <w:rFonts w:cstheme="minorHAnsi"/>
                <w:color w:val="000000"/>
                <w:shd w:val="clear" w:color="auto" w:fill="FFFFF4"/>
              </w:rPr>
              <w:t>.)</w:t>
            </w:r>
          </w:p>
          <w:p w:rsidR="00AA788D" w:rsidRDefault="00AA788D" w:rsidP="005A48A5">
            <w:pPr>
              <w:jc w:val="center"/>
              <w:rPr>
                <w:rFonts w:cstheme="minorHAnsi"/>
                <w:color w:val="000000"/>
                <w:shd w:val="clear" w:color="auto" w:fill="FFFFF4"/>
              </w:rPr>
            </w:pPr>
            <w:r>
              <w:rPr>
                <w:rFonts w:cstheme="minorHAnsi"/>
                <w:color w:val="000000"/>
                <w:shd w:val="clear" w:color="auto" w:fill="FFFFF4"/>
              </w:rPr>
              <w:t>2.68 (1)</w:t>
            </w:r>
          </w:p>
          <w:p w:rsidR="00AA788D" w:rsidRDefault="00AA788D" w:rsidP="005A48A5">
            <w:pPr>
              <w:jc w:val="center"/>
              <w:rPr>
                <w:rFonts w:cstheme="minorHAnsi"/>
                <w:color w:val="000000"/>
                <w:shd w:val="clear" w:color="auto" w:fill="FFFFF4"/>
              </w:rPr>
            </w:pPr>
          </w:p>
          <w:p w:rsidR="00AA788D" w:rsidRPr="005166B0" w:rsidRDefault="00AA788D" w:rsidP="005A48A5">
            <w:pPr>
              <w:jc w:val="center"/>
              <w:rPr>
                <w:rFonts w:cstheme="minorHAnsi"/>
                <w:color w:val="000000"/>
                <w:shd w:val="clear" w:color="auto" w:fill="FFFFF4"/>
              </w:rPr>
            </w:pPr>
            <w:r>
              <w:rPr>
                <w:rFonts w:cstheme="minorHAnsi"/>
                <w:color w:val="000000"/>
                <w:shd w:val="clear" w:color="auto" w:fill="FFFFF4"/>
              </w:rPr>
              <w:t>62.63 (17)***</w:t>
            </w:r>
          </w:p>
        </w:tc>
      </w:tr>
      <w:tr w:rsidR="00AA788D" w:rsidRPr="00EE1287" w:rsidTr="005A48A5">
        <w:tc>
          <w:tcPr>
            <w:tcW w:w="7338" w:type="dxa"/>
            <w:gridSpan w:val="4"/>
            <w:tcBorders>
              <w:top w:val="single" w:sz="4" w:space="0" w:color="auto"/>
            </w:tcBorders>
          </w:tcPr>
          <w:p w:rsidR="00AA788D" w:rsidRDefault="00AA788D" w:rsidP="005A48A5">
            <w:pPr>
              <w:rPr>
                <w:rFonts w:cstheme="minorHAnsi"/>
                <w:b/>
                <w:i/>
              </w:rPr>
            </w:pPr>
            <w:r w:rsidRPr="00EE1287">
              <w:rPr>
                <w:rFonts w:cstheme="minorHAnsi"/>
                <w:b/>
                <w:i/>
              </w:rPr>
              <w:t>Overall Model Evaluation and Tests</w:t>
            </w:r>
          </w:p>
        </w:tc>
        <w:tc>
          <w:tcPr>
            <w:tcW w:w="1904" w:type="dxa"/>
            <w:gridSpan w:val="2"/>
            <w:tcBorders>
              <w:top w:val="single" w:sz="4" w:space="0" w:color="auto"/>
            </w:tcBorders>
          </w:tcPr>
          <w:p w:rsidR="00AA788D" w:rsidRPr="00EE1287" w:rsidRDefault="00AA788D" w:rsidP="005A48A5">
            <w:pPr>
              <w:rPr>
                <w:rFonts w:cstheme="minorHAnsi"/>
              </w:rPr>
            </w:pPr>
            <w:r w:rsidRPr="00EE1287">
              <w:rPr>
                <w:rFonts w:cstheme="minorHAnsi"/>
                <w:color w:val="000000"/>
                <w:shd w:val="clear" w:color="auto" w:fill="FFFFF4"/>
              </w:rPr>
              <w:t>χ²</w:t>
            </w:r>
            <w:r>
              <w:rPr>
                <w:rFonts w:cstheme="minorHAnsi"/>
                <w:color w:val="000000"/>
                <w:shd w:val="clear" w:color="auto" w:fill="FFFFF4"/>
              </w:rPr>
              <w:t xml:space="preserve"> </w:t>
            </w:r>
            <w:r w:rsidRPr="00EE1287">
              <w:rPr>
                <w:rFonts w:cstheme="minorHAnsi"/>
                <w:color w:val="000000"/>
                <w:shd w:val="clear" w:color="auto" w:fill="FFFFF4"/>
              </w:rPr>
              <w:t>(</w:t>
            </w:r>
            <w:proofErr w:type="spellStart"/>
            <w:r w:rsidRPr="00EE1287">
              <w:rPr>
                <w:rFonts w:cstheme="minorHAnsi"/>
                <w:color w:val="000000"/>
                <w:shd w:val="clear" w:color="auto" w:fill="FFFFF4"/>
              </w:rPr>
              <w:t>d.f</w:t>
            </w:r>
            <w:proofErr w:type="spellEnd"/>
            <w:r w:rsidRPr="00EE1287">
              <w:rPr>
                <w:rFonts w:cstheme="minorHAnsi"/>
                <w:color w:val="000000"/>
                <w:shd w:val="clear" w:color="auto" w:fill="FFFFF4"/>
              </w:rPr>
              <w:t>.)</w:t>
            </w:r>
          </w:p>
        </w:tc>
      </w:tr>
      <w:tr w:rsidR="00AA788D" w:rsidRPr="00EE1287" w:rsidTr="005A48A5">
        <w:trPr>
          <w:trHeight w:val="80"/>
        </w:trPr>
        <w:tc>
          <w:tcPr>
            <w:tcW w:w="6062" w:type="dxa"/>
            <w:gridSpan w:val="2"/>
          </w:tcPr>
          <w:p w:rsidR="00AA788D" w:rsidRPr="00EE1287" w:rsidRDefault="00AA788D" w:rsidP="005A48A5">
            <w:pPr>
              <w:rPr>
                <w:rFonts w:cstheme="minorHAnsi"/>
              </w:rPr>
            </w:pPr>
            <w:r w:rsidRPr="00EE1287">
              <w:rPr>
                <w:rFonts w:cstheme="minorHAnsi"/>
              </w:rPr>
              <w:t>Log-likelihood value</w:t>
            </w:r>
          </w:p>
          <w:p w:rsidR="00AA788D" w:rsidRPr="00EE1287" w:rsidRDefault="00AA788D" w:rsidP="005A48A5">
            <w:pPr>
              <w:rPr>
                <w:rFonts w:cstheme="minorHAnsi"/>
                <w:i/>
              </w:rPr>
            </w:pPr>
            <w:r w:rsidRPr="00EE1287">
              <w:rPr>
                <w:rFonts w:cstheme="minorHAnsi"/>
              </w:rPr>
              <w:t>Likelihood ratio test</w:t>
            </w:r>
          </w:p>
        </w:tc>
        <w:tc>
          <w:tcPr>
            <w:tcW w:w="3180" w:type="dxa"/>
            <w:gridSpan w:val="4"/>
            <w:vMerge w:val="restart"/>
          </w:tcPr>
          <w:p w:rsidR="00AA788D" w:rsidRPr="00EE1287" w:rsidRDefault="00AA788D" w:rsidP="005A48A5">
            <w:pPr>
              <w:jc w:val="center"/>
              <w:rPr>
                <w:rFonts w:cstheme="minorHAnsi"/>
                <w:color w:val="000000"/>
                <w:shd w:val="clear" w:color="auto" w:fill="FFFFF4"/>
              </w:rPr>
            </w:pPr>
            <w:r>
              <w:rPr>
                <w:rFonts w:cstheme="minorHAnsi"/>
                <w:color w:val="000000"/>
                <w:shd w:val="clear" w:color="auto" w:fill="FFFFF4"/>
              </w:rPr>
              <w:t>-269</w:t>
            </w:r>
            <w:r w:rsidRPr="00EE1287">
              <w:rPr>
                <w:rFonts w:cstheme="minorHAnsi"/>
                <w:color w:val="000000"/>
                <w:shd w:val="clear" w:color="auto" w:fill="FFFFF4"/>
              </w:rPr>
              <w:t>.</w:t>
            </w:r>
            <w:r>
              <w:rPr>
                <w:rFonts w:cstheme="minorHAnsi"/>
                <w:color w:val="000000"/>
                <w:shd w:val="clear" w:color="auto" w:fill="FFFFF4"/>
              </w:rPr>
              <w:t>52</w:t>
            </w:r>
          </w:p>
          <w:p w:rsidR="00AA788D" w:rsidRPr="00EE1287" w:rsidRDefault="00AA788D" w:rsidP="005A48A5">
            <w:pPr>
              <w:jc w:val="center"/>
              <w:rPr>
                <w:rFonts w:cstheme="minorHAnsi"/>
                <w:color w:val="000000"/>
                <w:shd w:val="clear" w:color="auto" w:fill="FFFFF4"/>
              </w:rPr>
            </w:pPr>
            <w:r w:rsidRPr="00EE1287">
              <w:rPr>
                <w:rFonts w:cstheme="minorHAnsi"/>
                <w:color w:val="000000"/>
                <w:shd w:val="clear" w:color="auto" w:fill="FFFFF4"/>
              </w:rPr>
              <w:t>35.</w:t>
            </w:r>
            <w:r>
              <w:rPr>
                <w:rFonts w:cstheme="minorHAnsi"/>
                <w:color w:val="000000"/>
                <w:shd w:val="clear" w:color="auto" w:fill="FFFFF4"/>
              </w:rPr>
              <w:t xml:space="preserve">05 </w:t>
            </w:r>
            <w:r w:rsidRPr="00EE1287">
              <w:rPr>
                <w:rFonts w:cstheme="minorHAnsi"/>
                <w:color w:val="000000"/>
                <w:shd w:val="clear" w:color="auto" w:fill="FFFFF4"/>
              </w:rPr>
              <w:t>(1</w:t>
            </w:r>
            <w:r>
              <w:rPr>
                <w:rFonts w:cstheme="minorHAnsi"/>
                <w:color w:val="000000"/>
                <w:shd w:val="clear" w:color="auto" w:fill="FFFFF4"/>
              </w:rPr>
              <w:t>7</w:t>
            </w:r>
            <w:r w:rsidRPr="00EE1287">
              <w:rPr>
                <w:rFonts w:cstheme="minorHAnsi"/>
                <w:color w:val="000000"/>
                <w:shd w:val="clear" w:color="auto" w:fill="FFFFF4"/>
              </w:rPr>
              <w:t>)***</w:t>
            </w:r>
          </w:p>
          <w:p w:rsidR="00AA788D" w:rsidRPr="00EE1287" w:rsidRDefault="00AA788D" w:rsidP="005A48A5">
            <w:pPr>
              <w:jc w:val="center"/>
              <w:rPr>
                <w:rFonts w:cstheme="minorHAnsi"/>
                <w:b/>
                <w:i/>
              </w:rPr>
            </w:pPr>
            <w:r>
              <w:rPr>
                <w:rFonts w:cstheme="minorHAnsi"/>
                <w:color w:val="000000"/>
                <w:shd w:val="clear" w:color="auto" w:fill="FFFFF4"/>
              </w:rPr>
              <w:t>331</w:t>
            </w:r>
          </w:p>
        </w:tc>
      </w:tr>
      <w:tr w:rsidR="00AA788D" w:rsidRPr="00EE1287" w:rsidTr="005A48A5">
        <w:tc>
          <w:tcPr>
            <w:tcW w:w="6062" w:type="dxa"/>
            <w:gridSpan w:val="2"/>
          </w:tcPr>
          <w:p w:rsidR="00AA788D" w:rsidRPr="00EE1287" w:rsidRDefault="00AA788D" w:rsidP="005A48A5">
            <w:pPr>
              <w:rPr>
                <w:rFonts w:cstheme="minorHAnsi"/>
                <w:i/>
              </w:rPr>
            </w:pPr>
            <w:r w:rsidRPr="00EE1287">
              <w:rPr>
                <w:rFonts w:cstheme="minorHAnsi"/>
              </w:rPr>
              <w:t>Number of Observations</w:t>
            </w:r>
          </w:p>
        </w:tc>
        <w:tc>
          <w:tcPr>
            <w:tcW w:w="3180" w:type="dxa"/>
            <w:gridSpan w:val="4"/>
            <w:vMerge/>
          </w:tcPr>
          <w:p w:rsidR="00AA788D" w:rsidRPr="00EE1287" w:rsidRDefault="00AA788D" w:rsidP="005A48A5">
            <w:pPr>
              <w:jc w:val="center"/>
              <w:rPr>
                <w:rFonts w:cstheme="minorHAnsi"/>
                <w:color w:val="000000"/>
                <w:shd w:val="clear" w:color="auto" w:fill="FFFFF4"/>
              </w:rPr>
            </w:pPr>
          </w:p>
        </w:tc>
      </w:tr>
      <w:tr w:rsidR="00AA788D" w:rsidRPr="00EE1287" w:rsidTr="005A48A5">
        <w:tc>
          <w:tcPr>
            <w:tcW w:w="9242" w:type="dxa"/>
            <w:gridSpan w:val="6"/>
            <w:tcBorders>
              <w:top w:val="single" w:sz="4" w:space="0" w:color="auto"/>
            </w:tcBorders>
          </w:tcPr>
          <w:p w:rsidR="00AA788D" w:rsidRPr="00C17C57" w:rsidRDefault="00AA788D" w:rsidP="005A48A5">
            <w:pPr>
              <w:rPr>
                <w:rFonts w:cstheme="minorHAnsi"/>
              </w:rPr>
            </w:pPr>
            <w:r>
              <w:rPr>
                <w:rFonts w:cstheme="minorHAnsi"/>
              </w:rPr>
              <w:t xml:space="preserve">Notes: Models </w:t>
            </w:r>
            <w:r w:rsidRPr="00EE1287">
              <w:rPr>
                <w:rFonts w:cstheme="minorHAnsi"/>
              </w:rPr>
              <w:t xml:space="preserve">estimated using </w:t>
            </w:r>
            <w:proofErr w:type="spellStart"/>
            <w:r w:rsidRPr="00EE1287">
              <w:rPr>
                <w:rFonts w:cstheme="minorHAnsi"/>
              </w:rPr>
              <w:t>Stata</w:t>
            </w:r>
            <w:proofErr w:type="spellEnd"/>
            <w:r w:rsidRPr="00EE1287">
              <w:rPr>
                <w:rFonts w:cstheme="minorHAnsi"/>
              </w:rPr>
              <w:t xml:space="preserve"> 11; coefficient standard errors are reported in brackets; *** refers to significant at 1%, ** significant at 5%, and * significant at 10% levels respectively. </w:t>
            </w:r>
          </w:p>
        </w:tc>
      </w:tr>
    </w:tbl>
    <w:p w:rsidR="00AA788D" w:rsidRDefault="00AA788D" w:rsidP="002C250C"/>
    <w:p w:rsidR="00AA788D" w:rsidRDefault="00AA788D" w:rsidP="002C250C">
      <w:pPr>
        <w:rPr>
          <w:b/>
        </w:rPr>
      </w:pPr>
    </w:p>
    <w:tbl>
      <w:tblPr>
        <w:tblW w:w="9368" w:type="dxa"/>
        <w:tblInd w:w="96" w:type="dxa"/>
        <w:tblLook w:val="04A0"/>
      </w:tblPr>
      <w:tblGrid>
        <w:gridCol w:w="1146"/>
        <w:gridCol w:w="102"/>
        <w:gridCol w:w="1458"/>
        <w:gridCol w:w="1275"/>
        <w:gridCol w:w="1418"/>
        <w:gridCol w:w="1276"/>
        <w:gridCol w:w="141"/>
        <w:gridCol w:w="1276"/>
        <w:gridCol w:w="1276"/>
      </w:tblGrid>
      <w:tr w:rsidR="00AA788D" w:rsidRPr="00985C20" w:rsidTr="005A48A5">
        <w:trPr>
          <w:trHeight w:val="300"/>
        </w:trPr>
        <w:tc>
          <w:tcPr>
            <w:tcW w:w="9368" w:type="dxa"/>
            <w:gridSpan w:val="9"/>
            <w:tcBorders>
              <w:top w:val="nil"/>
              <w:left w:val="nil"/>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b/>
                <w:bCs/>
                <w:color w:val="000000"/>
                <w:sz w:val="20"/>
                <w:szCs w:val="20"/>
                <w:lang w:eastAsia="en-GB"/>
              </w:rPr>
            </w:pPr>
            <w:r w:rsidRPr="00985C20">
              <w:rPr>
                <w:rFonts w:eastAsia="Times New Roman" w:cstheme="minorHAnsi"/>
                <w:b/>
                <w:bCs/>
                <w:color w:val="000000"/>
                <w:sz w:val="20"/>
                <w:szCs w:val="20"/>
                <w:lang w:eastAsia="en-GB"/>
              </w:rPr>
              <w:lastRenderedPageBreak/>
              <w:t xml:space="preserve">Table </w:t>
            </w:r>
            <w:r>
              <w:rPr>
                <w:rFonts w:eastAsia="Times New Roman" w:cstheme="minorHAnsi"/>
                <w:b/>
                <w:bCs/>
                <w:color w:val="000000"/>
                <w:sz w:val="20"/>
                <w:szCs w:val="20"/>
                <w:lang w:eastAsia="en-GB"/>
              </w:rPr>
              <w:t>A4.2</w:t>
            </w:r>
            <w:r w:rsidRPr="00985C20">
              <w:rPr>
                <w:rFonts w:eastAsia="Times New Roman" w:cstheme="minorHAnsi"/>
                <w:b/>
                <w:bCs/>
                <w:color w:val="000000"/>
                <w:sz w:val="20"/>
                <w:szCs w:val="20"/>
                <w:lang w:eastAsia="en-GB"/>
              </w:rPr>
              <w:t>. Probability of Holding Formal Credit: Estimation Results from Sub-samples</w:t>
            </w:r>
          </w:p>
        </w:tc>
      </w:tr>
      <w:tr w:rsidR="00AA788D" w:rsidRPr="00985C20" w:rsidTr="005A48A5">
        <w:trPr>
          <w:trHeight w:val="300"/>
        </w:trPr>
        <w:tc>
          <w:tcPr>
            <w:tcW w:w="1146"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b/>
                <w:bCs/>
                <w:color w:val="000000"/>
                <w:sz w:val="20"/>
                <w:szCs w:val="20"/>
                <w:lang w:eastAsia="en-GB"/>
              </w:rPr>
            </w:pPr>
            <w:r w:rsidRPr="00985C20">
              <w:rPr>
                <w:rFonts w:eastAsia="Times New Roman" w:cstheme="minorHAnsi"/>
                <w:b/>
                <w:bCs/>
                <w:color w:val="000000"/>
                <w:sz w:val="20"/>
                <w:szCs w:val="20"/>
                <w:lang w:eastAsia="en-GB"/>
              </w:rPr>
              <w:t>Model 1</w:t>
            </w:r>
          </w:p>
        </w:tc>
        <w:tc>
          <w:tcPr>
            <w:tcW w:w="2694" w:type="dxa"/>
            <w:gridSpan w:val="2"/>
            <w:tcBorders>
              <w:top w:val="single" w:sz="4" w:space="0" w:color="auto"/>
              <w:left w:val="nil"/>
              <w:bottom w:val="single" w:sz="4" w:space="0" w:color="auto"/>
              <w:right w:val="single" w:sz="4" w:space="0" w:color="auto"/>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b/>
                <w:bCs/>
                <w:color w:val="000000"/>
                <w:sz w:val="20"/>
                <w:szCs w:val="20"/>
                <w:lang w:eastAsia="en-GB"/>
              </w:rPr>
            </w:pPr>
            <w:r w:rsidRPr="00985C20">
              <w:rPr>
                <w:rFonts w:eastAsia="Times New Roman" w:cstheme="minorHAnsi"/>
                <w:b/>
                <w:bCs/>
                <w:color w:val="000000"/>
                <w:sz w:val="20"/>
                <w:szCs w:val="20"/>
                <w:lang w:eastAsia="en-GB"/>
              </w:rPr>
              <w:t>Model 2</w:t>
            </w:r>
          </w:p>
        </w:tc>
        <w:tc>
          <w:tcPr>
            <w:tcW w:w="2693" w:type="dxa"/>
            <w:gridSpan w:val="3"/>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b/>
                <w:bCs/>
                <w:color w:val="000000"/>
                <w:sz w:val="20"/>
                <w:szCs w:val="20"/>
                <w:lang w:eastAsia="en-GB"/>
              </w:rPr>
            </w:pPr>
            <w:r w:rsidRPr="00985C20">
              <w:rPr>
                <w:rFonts w:eastAsia="Times New Roman" w:cstheme="minorHAnsi"/>
                <w:b/>
                <w:bCs/>
                <w:color w:val="000000"/>
                <w:sz w:val="20"/>
                <w:szCs w:val="20"/>
                <w:lang w:eastAsia="en-GB"/>
              </w:rPr>
              <w:t>Model 3</w:t>
            </w:r>
          </w:p>
        </w:tc>
      </w:tr>
      <w:tr w:rsidR="00AA788D" w:rsidRPr="00985C20" w:rsidTr="005A48A5">
        <w:trPr>
          <w:trHeight w:val="300"/>
        </w:trPr>
        <w:tc>
          <w:tcPr>
            <w:tcW w:w="9368" w:type="dxa"/>
            <w:gridSpan w:val="9"/>
            <w:tcBorders>
              <w:top w:val="single" w:sz="4" w:space="0" w:color="auto"/>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b/>
                <w:bCs/>
                <w:i/>
                <w:iCs/>
                <w:color w:val="000000"/>
                <w:sz w:val="20"/>
                <w:szCs w:val="20"/>
                <w:lang w:eastAsia="en-GB"/>
              </w:rPr>
            </w:pPr>
            <w:r w:rsidRPr="00985C20">
              <w:rPr>
                <w:rFonts w:eastAsia="Times New Roman" w:cstheme="minorHAnsi"/>
                <w:b/>
                <w:bCs/>
                <w:i/>
                <w:iCs/>
                <w:color w:val="000000"/>
                <w:sz w:val="20"/>
                <w:szCs w:val="20"/>
                <w:lang w:eastAsia="en-GB"/>
              </w:rPr>
              <w:t>Panel A. Enterprise size sub-samples</w:t>
            </w:r>
          </w:p>
        </w:tc>
      </w:tr>
      <w:tr w:rsidR="00AA788D" w:rsidRPr="00985C20" w:rsidTr="005A48A5">
        <w:trPr>
          <w:trHeight w:val="600"/>
        </w:trPr>
        <w:tc>
          <w:tcPr>
            <w:tcW w:w="1248" w:type="dxa"/>
            <w:gridSpan w:val="2"/>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 </w:t>
            </w:r>
          </w:p>
        </w:tc>
        <w:tc>
          <w:tcPr>
            <w:tcW w:w="1458"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More than 10 employees</w:t>
            </w:r>
          </w:p>
        </w:tc>
        <w:tc>
          <w:tcPr>
            <w:tcW w:w="1275"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Less than 10 employees</w:t>
            </w:r>
          </w:p>
        </w:tc>
        <w:tc>
          <w:tcPr>
            <w:tcW w:w="1418"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More than 10 employees</w:t>
            </w:r>
          </w:p>
        </w:tc>
        <w:tc>
          <w:tcPr>
            <w:tcW w:w="1276"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Less than 10 employees</w:t>
            </w:r>
          </w:p>
        </w:tc>
        <w:tc>
          <w:tcPr>
            <w:tcW w:w="1417" w:type="dxa"/>
            <w:gridSpan w:val="2"/>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More than 10 employees</w:t>
            </w:r>
          </w:p>
        </w:tc>
        <w:tc>
          <w:tcPr>
            <w:tcW w:w="1276"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Less than 10 employees</w:t>
            </w:r>
          </w:p>
        </w:tc>
      </w:tr>
      <w:tr w:rsidR="00AA788D" w:rsidRPr="00985C20" w:rsidTr="005A48A5">
        <w:trPr>
          <w:trHeight w:val="300"/>
        </w:trPr>
        <w:tc>
          <w:tcPr>
            <w:tcW w:w="1248"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i/>
                <w:iCs/>
                <w:color w:val="000000"/>
                <w:sz w:val="20"/>
                <w:szCs w:val="20"/>
                <w:lang w:eastAsia="en-GB"/>
              </w:rPr>
            </w:pPr>
            <w:proofErr w:type="spellStart"/>
            <w:r w:rsidRPr="00985C20">
              <w:rPr>
                <w:rFonts w:eastAsia="Times New Roman" w:cstheme="minorHAnsi"/>
                <w:i/>
                <w:iCs/>
                <w:color w:val="000000"/>
                <w:sz w:val="20"/>
                <w:szCs w:val="20"/>
                <w:lang w:eastAsia="en-GB"/>
              </w:rPr>
              <w:t>gov_connect</w:t>
            </w:r>
            <w:proofErr w:type="spellEnd"/>
          </w:p>
        </w:tc>
        <w:tc>
          <w:tcPr>
            <w:tcW w:w="145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0.996*</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(0.573)</w:t>
            </w:r>
          </w:p>
        </w:tc>
        <w:tc>
          <w:tcPr>
            <w:tcW w:w="1275"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0.543</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(0.551)</w:t>
            </w:r>
          </w:p>
        </w:tc>
        <w:tc>
          <w:tcPr>
            <w:tcW w:w="141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0.064</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(0.951)</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1.570</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(0.989)</w:t>
            </w:r>
          </w:p>
        </w:tc>
        <w:tc>
          <w:tcPr>
            <w:tcW w:w="1417"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0.835</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(0.747)</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0.615</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(0.735)</w:t>
            </w:r>
          </w:p>
        </w:tc>
      </w:tr>
      <w:tr w:rsidR="00AA788D" w:rsidRPr="00985C20" w:rsidTr="005A48A5">
        <w:trPr>
          <w:trHeight w:val="300"/>
        </w:trPr>
        <w:tc>
          <w:tcPr>
            <w:tcW w:w="1248"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N. Obs.</w:t>
            </w:r>
          </w:p>
        </w:tc>
        <w:tc>
          <w:tcPr>
            <w:tcW w:w="145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135</w:t>
            </w:r>
          </w:p>
        </w:tc>
        <w:tc>
          <w:tcPr>
            <w:tcW w:w="1275"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196</w:t>
            </w:r>
          </w:p>
        </w:tc>
        <w:tc>
          <w:tcPr>
            <w:tcW w:w="141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67</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68</w:t>
            </w:r>
          </w:p>
        </w:tc>
        <w:tc>
          <w:tcPr>
            <w:tcW w:w="1417"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72</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92</w:t>
            </w:r>
          </w:p>
        </w:tc>
      </w:tr>
      <w:tr w:rsidR="00AA788D" w:rsidRPr="00985C20" w:rsidTr="005A48A5">
        <w:trPr>
          <w:trHeight w:val="300"/>
        </w:trPr>
        <w:tc>
          <w:tcPr>
            <w:tcW w:w="9368" w:type="dxa"/>
            <w:gridSpan w:val="9"/>
            <w:tcBorders>
              <w:top w:val="single" w:sz="4" w:space="0" w:color="auto"/>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b/>
                <w:bCs/>
                <w:i/>
                <w:iCs/>
                <w:color w:val="000000"/>
                <w:sz w:val="20"/>
                <w:szCs w:val="20"/>
                <w:lang w:eastAsia="en-GB"/>
              </w:rPr>
            </w:pPr>
            <w:r w:rsidRPr="00985C20">
              <w:rPr>
                <w:rFonts w:eastAsia="Times New Roman" w:cstheme="minorHAnsi"/>
                <w:b/>
                <w:bCs/>
                <w:i/>
                <w:iCs/>
                <w:color w:val="000000"/>
                <w:sz w:val="20"/>
                <w:szCs w:val="20"/>
                <w:lang w:eastAsia="en-GB"/>
              </w:rPr>
              <w:t>Panel B. Enterprise age sub-samples</w:t>
            </w:r>
          </w:p>
        </w:tc>
      </w:tr>
      <w:tr w:rsidR="00AA788D" w:rsidRPr="00985C20" w:rsidTr="005A48A5">
        <w:trPr>
          <w:trHeight w:val="600"/>
        </w:trPr>
        <w:tc>
          <w:tcPr>
            <w:tcW w:w="1248" w:type="dxa"/>
            <w:gridSpan w:val="2"/>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 </w:t>
            </w:r>
          </w:p>
        </w:tc>
        <w:tc>
          <w:tcPr>
            <w:tcW w:w="1458"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5 years or above</w:t>
            </w:r>
          </w:p>
        </w:tc>
        <w:tc>
          <w:tcPr>
            <w:tcW w:w="1275"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4 years or under</w:t>
            </w:r>
          </w:p>
        </w:tc>
        <w:tc>
          <w:tcPr>
            <w:tcW w:w="1418"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5 years or above</w:t>
            </w:r>
          </w:p>
        </w:tc>
        <w:tc>
          <w:tcPr>
            <w:tcW w:w="1276"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4 years or under</w:t>
            </w:r>
          </w:p>
        </w:tc>
        <w:tc>
          <w:tcPr>
            <w:tcW w:w="1417" w:type="dxa"/>
            <w:gridSpan w:val="2"/>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5 years or above</w:t>
            </w:r>
          </w:p>
        </w:tc>
        <w:tc>
          <w:tcPr>
            <w:tcW w:w="1276"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4 years or under</w:t>
            </w:r>
          </w:p>
        </w:tc>
      </w:tr>
      <w:tr w:rsidR="00AA788D" w:rsidRPr="00985C20" w:rsidTr="005A48A5">
        <w:trPr>
          <w:trHeight w:val="300"/>
        </w:trPr>
        <w:tc>
          <w:tcPr>
            <w:tcW w:w="1248"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i/>
                <w:iCs/>
                <w:color w:val="000000"/>
                <w:sz w:val="20"/>
                <w:szCs w:val="20"/>
                <w:lang w:eastAsia="en-GB"/>
              </w:rPr>
            </w:pPr>
            <w:proofErr w:type="spellStart"/>
            <w:r w:rsidRPr="00985C20">
              <w:rPr>
                <w:rFonts w:eastAsia="Times New Roman" w:cstheme="minorHAnsi"/>
                <w:i/>
                <w:iCs/>
                <w:color w:val="000000"/>
                <w:sz w:val="20"/>
                <w:szCs w:val="20"/>
                <w:lang w:eastAsia="en-GB"/>
              </w:rPr>
              <w:t>gov_connect</w:t>
            </w:r>
            <w:proofErr w:type="spellEnd"/>
          </w:p>
        </w:tc>
        <w:tc>
          <w:tcPr>
            <w:tcW w:w="145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1.243***</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(0.502)</w:t>
            </w:r>
          </w:p>
        </w:tc>
        <w:tc>
          <w:tcPr>
            <w:tcW w:w="1275"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1.061</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(0.667)</w:t>
            </w:r>
          </w:p>
        </w:tc>
        <w:tc>
          <w:tcPr>
            <w:tcW w:w="141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1.096</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(0.705)</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0.932</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(1.171)</w:t>
            </w:r>
          </w:p>
        </w:tc>
        <w:tc>
          <w:tcPr>
            <w:tcW w:w="1417"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1.205**</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(0.622)</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0.808 (0.953)</w:t>
            </w:r>
          </w:p>
        </w:tc>
      </w:tr>
      <w:tr w:rsidR="00AA788D" w:rsidRPr="00985C20" w:rsidTr="005A48A5">
        <w:trPr>
          <w:trHeight w:val="300"/>
        </w:trPr>
        <w:tc>
          <w:tcPr>
            <w:tcW w:w="1248"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N. Obs.</w:t>
            </w:r>
          </w:p>
        </w:tc>
        <w:tc>
          <w:tcPr>
            <w:tcW w:w="145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182</w:t>
            </w:r>
          </w:p>
        </w:tc>
        <w:tc>
          <w:tcPr>
            <w:tcW w:w="1275"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149</w:t>
            </w:r>
          </w:p>
        </w:tc>
        <w:tc>
          <w:tcPr>
            <w:tcW w:w="141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53</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82</w:t>
            </w:r>
          </w:p>
        </w:tc>
        <w:tc>
          <w:tcPr>
            <w:tcW w:w="1417"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97</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78</w:t>
            </w:r>
          </w:p>
        </w:tc>
      </w:tr>
      <w:tr w:rsidR="00AA788D" w:rsidRPr="00985C20" w:rsidTr="005A48A5">
        <w:trPr>
          <w:trHeight w:val="300"/>
        </w:trPr>
        <w:tc>
          <w:tcPr>
            <w:tcW w:w="9368" w:type="dxa"/>
            <w:gridSpan w:val="9"/>
            <w:tcBorders>
              <w:top w:val="single" w:sz="4" w:space="0" w:color="auto"/>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b/>
                <w:bCs/>
                <w:i/>
                <w:iCs/>
                <w:color w:val="000000"/>
                <w:sz w:val="20"/>
                <w:szCs w:val="20"/>
                <w:lang w:eastAsia="en-GB"/>
              </w:rPr>
            </w:pPr>
            <w:r w:rsidRPr="00985C20">
              <w:rPr>
                <w:rFonts w:eastAsia="Times New Roman" w:cstheme="minorHAnsi"/>
                <w:b/>
                <w:bCs/>
                <w:i/>
                <w:iCs/>
                <w:color w:val="000000"/>
                <w:sz w:val="20"/>
                <w:szCs w:val="20"/>
                <w:lang w:eastAsia="en-GB"/>
              </w:rPr>
              <w:t>Panel C. Access to financing sub-samples</w:t>
            </w:r>
          </w:p>
        </w:tc>
      </w:tr>
      <w:tr w:rsidR="00AA788D" w:rsidRPr="00985C20" w:rsidTr="005A48A5">
        <w:trPr>
          <w:trHeight w:val="600"/>
        </w:trPr>
        <w:tc>
          <w:tcPr>
            <w:tcW w:w="1248" w:type="dxa"/>
            <w:gridSpan w:val="2"/>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 </w:t>
            </w:r>
          </w:p>
        </w:tc>
        <w:tc>
          <w:tcPr>
            <w:tcW w:w="1458" w:type="dxa"/>
            <w:tcBorders>
              <w:top w:val="nil"/>
              <w:left w:val="single" w:sz="4" w:space="0" w:color="auto"/>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 xml:space="preserve">Access </w:t>
            </w:r>
          </w:p>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Easy</w:t>
            </w:r>
          </w:p>
        </w:tc>
        <w:tc>
          <w:tcPr>
            <w:tcW w:w="1275" w:type="dxa"/>
            <w:tcBorders>
              <w:top w:val="nil"/>
              <w:left w:val="nil"/>
              <w:bottom w:val="single" w:sz="4" w:space="0" w:color="auto"/>
              <w:right w:val="single" w:sz="4" w:space="0" w:color="auto"/>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Access Difficult</w:t>
            </w:r>
          </w:p>
        </w:tc>
        <w:tc>
          <w:tcPr>
            <w:tcW w:w="1418" w:type="dxa"/>
            <w:tcBorders>
              <w:top w:val="nil"/>
              <w:left w:val="nil"/>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 xml:space="preserve">Access </w:t>
            </w:r>
          </w:p>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Easy</w:t>
            </w:r>
          </w:p>
        </w:tc>
        <w:tc>
          <w:tcPr>
            <w:tcW w:w="1417" w:type="dxa"/>
            <w:gridSpan w:val="2"/>
            <w:tcBorders>
              <w:top w:val="nil"/>
              <w:left w:val="nil"/>
              <w:bottom w:val="single" w:sz="4" w:space="0" w:color="auto"/>
              <w:right w:val="single" w:sz="4" w:space="0" w:color="auto"/>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Access Difficult</w:t>
            </w:r>
          </w:p>
        </w:tc>
        <w:tc>
          <w:tcPr>
            <w:tcW w:w="1276" w:type="dxa"/>
            <w:tcBorders>
              <w:top w:val="nil"/>
              <w:left w:val="nil"/>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 xml:space="preserve">Access </w:t>
            </w:r>
          </w:p>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Easy</w:t>
            </w:r>
          </w:p>
        </w:tc>
        <w:tc>
          <w:tcPr>
            <w:tcW w:w="1276" w:type="dxa"/>
            <w:tcBorders>
              <w:top w:val="nil"/>
              <w:left w:val="nil"/>
              <w:bottom w:val="single" w:sz="4" w:space="0" w:color="auto"/>
              <w:right w:val="nil"/>
            </w:tcBorders>
            <w:shd w:val="clear" w:color="auto" w:fill="auto"/>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Access Difficult</w:t>
            </w:r>
          </w:p>
        </w:tc>
      </w:tr>
      <w:tr w:rsidR="00AA788D" w:rsidRPr="00985C20" w:rsidTr="005A48A5">
        <w:trPr>
          <w:trHeight w:val="300"/>
        </w:trPr>
        <w:tc>
          <w:tcPr>
            <w:tcW w:w="1248"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i/>
                <w:iCs/>
                <w:color w:val="000000"/>
                <w:sz w:val="20"/>
                <w:szCs w:val="20"/>
                <w:lang w:eastAsia="en-GB"/>
              </w:rPr>
            </w:pPr>
            <w:proofErr w:type="spellStart"/>
            <w:r w:rsidRPr="00985C20">
              <w:rPr>
                <w:rFonts w:eastAsia="Times New Roman" w:cstheme="minorHAnsi"/>
                <w:i/>
                <w:iCs/>
                <w:color w:val="000000"/>
                <w:sz w:val="20"/>
                <w:szCs w:val="20"/>
                <w:lang w:eastAsia="en-GB"/>
              </w:rPr>
              <w:t>gov_connect</w:t>
            </w:r>
            <w:proofErr w:type="spellEnd"/>
          </w:p>
        </w:tc>
        <w:tc>
          <w:tcPr>
            <w:tcW w:w="145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1.000</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(0.878)</w:t>
            </w:r>
          </w:p>
        </w:tc>
        <w:tc>
          <w:tcPr>
            <w:tcW w:w="1275"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0.562</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(0.468)</w:t>
            </w:r>
          </w:p>
        </w:tc>
        <w:tc>
          <w:tcPr>
            <w:tcW w:w="1418"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w:t>
            </w:r>
          </w:p>
        </w:tc>
        <w:tc>
          <w:tcPr>
            <w:tcW w:w="1417" w:type="dxa"/>
            <w:gridSpan w:val="2"/>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0.765</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(0.631)</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1.371</w:t>
            </w:r>
          </w:p>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(1.330)</w:t>
            </w:r>
          </w:p>
        </w:tc>
        <w:tc>
          <w:tcPr>
            <w:tcW w:w="1276" w:type="dxa"/>
            <w:tcBorders>
              <w:top w:val="nil"/>
              <w:left w:val="nil"/>
              <w:bottom w:val="nil"/>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i/>
                <w:iCs/>
                <w:color w:val="000000"/>
                <w:sz w:val="20"/>
                <w:szCs w:val="20"/>
                <w:lang w:eastAsia="en-GB"/>
              </w:rPr>
            </w:pPr>
            <w:r w:rsidRPr="00985C20">
              <w:rPr>
                <w:rFonts w:eastAsia="Times New Roman" w:cstheme="minorHAnsi"/>
                <w:i/>
                <w:iCs/>
                <w:color w:val="000000"/>
                <w:sz w:val="20"/>
                <w:szCs w:val="20"/>
                <w:lang w:eastAsia="en-GB"/>
              </w:rPr>
              <w:t>0.496 (0.548)</w:t>
            </w:r>
          </w:p>
        </w:tc>
      </w:tr>
      <w:tr w:rsidR="00AA788D" w:rsidRPr="00985C20" w:rsidTr="005A48A5">
        <w:trPr>
          <w:trHeight w:val="300"/>
        </w:trPr>
        <w:tc>
          <w:tcPr>
            <w:tcW w:w="1248" w:type="dxa"/>
            <w:gridSpan w:val="2"/>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rPr>
                <w:rFonts w:eastAsia="Times New Roman" w:cstheme="minorHAnsi"/>
                <w:color w:val="000000"/>
                <w:sz w:val="20"/>
                <w:szCs w:val="20"/>
                <w:lang w:eastAsia="en-GB"/>
              </w:rPr>
            </w:pPr>
            <w:r w:rsidRPr="00985C20">
              <w:rPr>
                <w:rFonts w:eastAsia="Times New Roman" w:cstheme="minorHAnsi"/>
                <w:color w:val="000000"/>
                <w:sz w:val="20"/>
                <w:szCs w:val="20"/>
                <w:lang w:eastAsia="en-GB"/>
              </w:rPr>
              <w:t>N. Obs.</w:t>
            </w:r>
          </w:p>
        </w:tc>
        <w:tc>
          <w:tcPr>
            <w:tcW w:w="1458"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64</w:t>
            </w:r>
          </w:p>
        </w:tc>
        <w:tc>
          <w:tcPr>
            <w:tcW w:w="1275"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244</w:t>
            </w:r>
          </w:p>
        </w:tc>
        <w:tc>
          <w:tcPr>
            <w:tcW w:w="1418"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16</w:t>
            </w:r>
          </w:p>
        </w:tc>
        <w:tc>
          <w:tcPr>
            <w:tcW w:w="1417" w:type="dxa"/>
            <w:gridSpan w:val="2"/>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94</w:t>
            </w:r>
          </w:p>
        </w:tc>
        <w:tc>
          <w:tcPr>
            <w:tcW w:w="1276"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34</w:t>
            </w:r>
          </w:p>
        </w:tc>
        <w:tc>
          <w:tcPr>
            <w:tcW w:w="1276" w:type="dxa"/>
            <w:tcBorders>
              <w:top w:val="nil"/>
              <w:left w:val="nil"/>
              <w:bottom w:val="single" w:sz="4" w:space="0" w:color="auto"/>
              <w:right w:val="nil"/>
            </w:tcBorders>
            <w:shd w:val="clear" w:color="auto" w:fill="auto"/>
            <w:noWrap/>
            <w:vAlign w:val="bottom"/>
            <w:hideMark/>
          </w:tcPr>
          <w:p w:rsidR="00AA788D" w:rsidRPr="00985C20" w:rsidRDefault="00AA788D" w:rsidP="005A48A5">
            <w:pPr>
              <w:spacing w:after="0" w:line="240" w:lineRule="auto"/>
              <w:jc w:val="center"/>
              <w:rPr>
                <w:rFonts w:eastAsia="Times New Roman" w:cstheme="minorHAnsi"/>
                <w:color w:val="000000"/>
                <w:sz w:val="20"/>
                <w:szCs w:val="20"/>
                <w:lang w:eastAsia="en-GB"/>
              </w:rPr>
            </w:pPr>
            <w:r w:rsidRPr="00985C20">
              <w:rPr>
                <w:rFonts w:eastAsia="Times New Roman" w:cstheme="minorHAnsi"/>
                <w:color w:val="000000"/>
                <w:sz w:val="20"/>
                <w:szCs w:val="20"/>
                <w:lang w:eastAsia="en-GB"/>
              </w:rPr>
              <w:t>141</w:t>
            </w:r>
          </w:p>
        </w:tc>
      </w:tr>
      <w:tr w:rsidR="00AA788D" w:rsidRPr="00985C20" w:rsidTr="005A48A5">
        <w:trPr>
          <w:trHeight w:val="300"/>
        </w:trPr>
        <w:tc>
          <w:tcPr>
            <w:tcW w:w="9368" w:type="dxa"/>
            <w:gridSpan w:val="9"/>
            <w:tcBorders>
              <w:top w:val="single" w:sz="4" w:space="0" w:color="auto"/>
              <w:left w:val="nil"/>
              <w:right w:val="nil"/>
            </w:tcBorders>
            <w:shd w:val="clear" w:color="auto" w:fill="auto"/>
            <w:noWrap/>
            <w:vAlign w:val="bottom"/>
          </w:tcPr>
          <w:p w:rsidR="00AA788D" w:rsidRPr="00985C20" w:rsidRDefault="00AA788D" w:rsidP="005A48A5">
            <w:pPr>
              <w:spacing w:after="0" w:line="240" w:lineRule="auto"/>
              <w:jc w:val="both"/>
              <w:rPr>
                <w:rFonts w:eastAsia="Times New Roman" w:cstheme="minorHAnsi"/>
                <w:color w:val="000000"/>
                <w:sz w:val="20"/>
                <w:szCs w:val="20"/>
                <w:lang w:eastAsia="en-GB"/>
              </w:rPr>
            </w:pPr>
            <w:r w:rsidRPr="00985C20">
              <w:rPr>
                <w:rFonts w:eastAsia="Times New Roman" w:cstheme="minorHAnsi"/>
                <w:color w:val="000000"/>
                <w:sz w:val="20"/>
                <w:szCs w:val="20"/>
                <w:lang w:eastAsia="en-GB"/>
              </w:rPr>
              <w:t xml:space="preserve">Notes: Models 1, 2, and 3 are identical to those reported in Table </w:t>
            </w:r>
            <w:r>
              <w:rPr>
                <w:rFonts w:eastAsia="Times New Roman" w:cstheme="minorHAnsi"/>
                <w:color w:val="000000"/>
                <w:sz w:val="20"/>
                <w:szCs w:val="20"/>
                <w:lang w:eastAsia="en-GB"/>
              </w:rPr>
              <w:t>4 in the main text</w:t>
            </w:r>
            <w:r w:rsidRPr="00985C20">
              <w:rPr>
                <w:rFonts w:eastAsia="Times New Roman" w:cstheme="minorHAnsi"/>
                <w:color w:val="000000"/>
                <w:sz w:val="20"/>
                <w:szCs w:val="20"/>
                <w:lang w:eastAsia="en-GB"/>
              </w:rPr>
              <w:t xml:space="preserve">; for brevity, only the results of the target variable, government connections, are reported. Panel A reports the estimates from sub-samples split on the basis of enterprise size, Panel B from sub-samples split on the basis of enterprise age. For Panel C, the sample is split on the basis of enterprises’ subjective evaluation of their access to formal finance. No result is reported for Model 2 in Panel C under ‘Access Easy’ due to low number of observations. </w:t>
            </w:r>
          </w:p>
          <w:p w:rsidR="00AA788D" w:rsidRPr="00985C20" w:rsidRDefault="00AA788D" w:rsidP="005A48A5">
            <w:pPr>
              <w:jc w:val="both"/>
              <w:rPr>
                <w:rFonts w:cstheme="minorHAnsi"/>
                <w:sz w:val="20"/>
                <w:szCs w:val="20"/>
              </w:rPr>
            </w:pPr>
            <w:r w:rsidRPr="00985C20">
              <w:rPr>
                <w:rFonts w:cstheme="minorHAnsi"/>
                <w:sz w:val="20"/>
                <w:szCs w:val="20"/>
              </w:rPr>
              <w:t xml:space="preserve">*** refers to significant at 1%, ** significant at 5%, and * significant at 10% levels respectively. </w:t>
            </w:r>
          </w:p>
        </w:tc>
      </w:tr>
    </w:tbl>
    <w:p w:rsidR="00AA788D" w:rsidRDefault="00AA788D" w:rsidP="002C250C"/>
    <w:p w:rsidR="00AA788D" w:rsidRDefault="00AA788D" w:rsidP="002C250C">
      <w:r>
        <w:br w:type="page"/>
      </w:r>
    </w:p>
    <w:p w:rsidR="00AA788D" w:rsidRDefault="00AA788D" w:rsidP="002C250C"/>
    <w:tbl>
      <w:tblPr>
        <w:tblW w:w="6492" w:type="dxa"/>
        <w:jc w:val="center"/>
        <w:tblInd w:w="-737" w:type="dxa"/>
        <w:tblLook w:val="04A0"/>
      </w:tblPr>
      <w:tblGrid>
        <w:gridCol w:w="2209"/>
        <w:gridCol w:w="1189"/>
        <w:gridCol w:w="1097"/>
        <w:gridCol w:w="1189"/>
        <w:gridCol w:w="808"/>
      </w:tblGrid>
      <w:tr w:rsidR="00AA788D" w:rsidRPr="00C07682" w:rsidTr="005A48A5">
        <w:trPr>
          <w:trHeight w:val="1050"/>
          <w:jc w:val="center"/>
        </w:trPr>
        <w:tc>
          <w:tcPr>
            <w:tcW w:w="6492" w:type="dxa"/>
            <w:gridSpan w:val="5"/>
            <w:tcBorders>
              <w:top w:val="nil"/>
              <w:left w:val="nil"/>
              <w:bottom w:val="single" w:sz="4" w:space="0" w:color="auto"/>
              <w:right w:val="nil"/>
            </w:tcBorders>
            <w:shd w:val="clear" w:color="auto" w:fill="auto"/>
            <w:vAlign w:val="bottom"/>
            <w:hideMark/>
          </w:tcPr>
          <w:p w:rsidR="00AA788D" w:rsidRDefault="00AA788D" w:rsidP="005A48A5">
            <w:pPr>
              <w:spacing w:after="0" w:line="240" w:lineRule="auto"/>
              <w:rPr>
                <w:b/>
              </w:rPr>
            </w:pPr>
            <w:r>
              <w:rPr>
                <w:b/>
              </w:rPr>
              <w:t>Appendix 5</w:t>
            </w:r>
          </w:p>
          <w:p w:rsidR="00AA788D" w:rsidRDefault="00AA788D" w:rsidP="005A48A5">
            <w:pPr>
              <w:spacing w:after="0" w:line="240" w:lineRule="auto"/>
              <w:rPr>
                <w:b/>
              </w:rPr>
            </w:pPr>
          </w:p>
          <w:p w:rsidR="00AA788D" w:rsidRDefault="00AA788D" w:rsidP="005A48A5">
            <w:pPr>
              <w:spacing w:after="0" w:line="240" w:lineRule="auto"/>
              <w:rPr>
                <w:b/>
              </w:rPr>
            </w:pPr>
          </w:p>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Table A5.1. Marginal Effects of </w:t>
            </w:r>
            <w:proofErr w:type="spellStart"/>
            <w:r w:rsidRPr="00C07682">
              <w:rPr>
                <w:rFonts w:ascii="Calibri" w:eastAsia="Times New Roman" w:hAnsi="Calibri" w:cs="Times New Roman"/>
                <w:b/>
                <w:bCs/>
                <w:i/>
                <w:color w:val="000000"/>
                <w:sz w:val="20"/>
                <w:szCs w:val="20"/>
                <w:lang w:eastAsia="en-GB"/>
              </w:rPr>
              <w:t>Gov_connect</w:t>
            </w:r>
            <w:proofErr w:type="spellEnd"/>
            <w:r w:rsidRPr="00C07682">
              <w:rPr>
                <w:rFonts w:ascii="Calibri" w:eastAsia="Times New Roman" w:hAnsi="Calibri" w:cs="Times New Roman"/>
                <w:b/>
                <w:bCs/>
                <w:color w:val="000000"/>
                <w:sz w:val="20"/>
                <w:szCs w:val="20"/>
                <w:lang w:eastAsia="en-GB"/>
              </w:rPr>
              <w:t xml:space="preserve"> and </w:t>
            </w:r>
            <w:proofErr w:type="spellStart"/>
            <w:r w:rsidRPr="00C07682">
              <w:rPr>
                <w:rFonts w:ascii="Calibri" w:eastAsia="Times New Roman" w:hAnsi="Calibri" w:cs="Times New Roman"/>
                <w:b/>
                <w:bCs/>
                <w:i/>
                <w:color w:val="000000"/>
                <w:sz w:val="20"/>
                <w:szCs w:val="20"/>
                <w:lang w:eastAsia="en-GB"/>
              </w:rPr>
              <w:t>Bzinbrpl</w:t>
            </w:r>
            <w:proofErr w:type="spellEnd"/>
            <w:r w:rsidRPr="00C07682">
              <w:rPr>
                <w:rFonts w:ascii="Calibri" w:eastAsia="Times New Roman" w:hAnsi="Calibri" w:cs="Times New Roman"/>
                <w:b/>
                <w:bCs/>
                <w:color w:val="000000"/>
                <w:sz w:val="20"/>
                <w:szCs w:val="20"/>
                <w:lang w:eastAsia="en-GB"/>
              </w:rPr>
              <w:t xml:space="preserve"> using Marginal Effects at Means (MEMs) and Average Marginal Affects Methods.</w:t>
            </w:r>
          </w:p>
        </w:tc>
      </w:tr>
      <w:tr w:rsidR="00AA788D" w:rsidRPr="00C07682" w:rsidTr="005A48A5">
        <w:trPr>
          <w:trHeight w:val="300"/>
          <w:jc w:val="center"/>
        </w:trPr>
        <w:tc>
          <w:tcPr>
            <w:tcW w:w="2209" w:type="dxa"/>
            <w:vMerge w:val="restart"/>
            <w:tcBorders>
              <w:top w:val="nil"/>
              <w:left w:val="single" w:sz="4" w:space="0" w:color="auto"/>
              <w:bottom w:val="nil"/>
              <w:right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w:t>
            </w:r>
          </w:p>
        </w:tc>
        <w:tc>
          <w:tcPr>
            <w:tcW w:w="22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MEMs</w:t>
            </w:r>
          </w:p>
        </w:tc>
        <w:tc>
          <w:tcPr>
            <w:tcW w:w="199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AMEs</w:t>
            </w:r>
          </w:p>
        </w:tc>
      </w:tr>
      <w:tr w:rsidR="00AA788D" w:rsidRPr="00C07682" w:rsidTr="005A48A5">
        <w:trPr>
          <w:trHeight w:val="600"/>
          <w:jc w:val="center"/>
        </w:trPr>
        <w:tc>
          <w:tcPr>
            <w:tcW w:w="2209" w:type="dxa"/>
            <w:vMerge/>
            <w:tcBorders>
              <w:top w:val="nil"/>
              <w:left w:val="single" w:sz="4" w:space="0" w:color="auto"/>
              <w:bottom w:val="single" w:sz="4" w:space="0" w:color="auto"/>
              <w:right w:val="single" w:sz="4" w:space="0" w:color="auto"/>
            </w:tcBorders>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tc>
        <w:tc>
          <w:tcPr>
            <w:tcW w:w="1189"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System"/>
                <w:b/>
                <w:bCs/>
                <w:i/>
                <w:iCs/>
                <w:color w:val="000000"/>
                <w:sz w:val="20"/>
                <w:szCs w:val="20"/>
                <w:lang w:eastAsia="en-GB"/>
              </w:rPr>
              <w:t>Marginal Effects</w:t>
            </w:r>
          </w:p>
        </w:tc>
        <w:tc>
          <w:tcPr>
            <w:tcW w:w="1097" w:type="dxa"/>
            <w:tcBorders>
              <w:top w:val="nil"/>
              <w:left w:val="nil"/>
              <w:bottom w:val="single" w:sz="4" w:space="0" w:color="auto"/>
              <w:right w:val="single" w:sz="4" w:space="0" w:color="auto"/>
            </w:tcBorders>
            <w:shd w:val="clear" w:color="auto" w:fill="auto"/>
            <w:vAlign w:val="center"/>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System"/>
                <w:b/>
                <w:bCs/>
                <w:i/>
                <w:iCs/>
                <w:color w:val="000000"/>
                <w:sz w:val="20"/>
                <w:szCs w:val="20"/>
                <w:lang w:eastAsia="en-GB"/>
              </w:rPr>
              <w:t>p-value</w:t>
            </w:r>
          </w:p>
        </w:tc>
        <w:tc>
          <w:tcPr>
            <w:tcW w:w="1189"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System"/>
                <w:b/>
                <w:bCs/>
                <w:i/>
                <w:iCs/>
                <w:color w:val="000000"/>
                <w:sz w:val="20"/>
                <w:szCs w:val="20"/>
                <w:lang w:eastAsia="en-GB"/>
              </w:rPr>
              <w:t>Marginal Effects</w:t>
            </w:r>
          </w:p>
        </w:tc>
        <w:tc>
          <w:tcPr>
            <w:tcW w:w="808" w:type="dxa"/>
            <w:tcBorders>
              <w:top w:val="nil"/>
              <w:left w:val="nil"/>
              <w:bottom w:val="single" w:sz="4" w:space="0" w:color="auto"/>
              <w:right w:val="single" w:sz="4" w:space="0" w:color="auto"/>
            </w:tcBorders>
            <w:shd w:val="clear" w:color="auto" w:fill="auto"/>
            <w:noWrap/>
            <w:vAlign w:val="center"/>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System"/>
                <w:b/>
                <w:bCs/>
                <w:i/>
                <w:iCs/>
                <w:color w:val="000000"/>
                <w:sz w:val="20"/>
                <w:szCs w:val="20"/>
                <w:lang w:eastAsia="en-GB"/>
              </w:rPr>
              <w:t>p-value</w:t>
            </w:r>
          </w:p>
        </w:tc>
      </w:tr>
      <w:tr w:rsidR="00AA788D" w:rsidRPr="00C07682" w:rsidTr="005A48A5">
        <w:trPr>
          <w:trHeight w:val="300"/>
          <w:jc w:val="center"/>
        </w:trPr>
        <w:tc>
          <w:tcPr>
            <w:tcW w:w="2209"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i/>
                <w:iCs/>
                <w:color w:val="000000"/>
                <w:sz w:val="20"/>
                <w:szCs w:val="20"/>
                <w:lang w:eastAsia="en-GB"/>
              </w:rPr>
            </w:pPr>
            <w:proofErr w:type="spellStart"/>
            <w:r w:rsidRPr="00C07682">
              <w:rPr>
                <w:rFonts w:ascii="Calibri" w:eastAsia="Times New Roman" w:hAnsi="Calibri" w:cs="System"/>
                <w:i/>
                <w:iCs/>
                <w:color w:val="000000"/>
                <w:sz w:val="20"/>
                <w:szCs w:val="20"/>
                <w:lang w:eastAsia="en-GB"/>
              </w:rPr>
              <w:t>Gov_connect</w:t>
            </w:r>
            <w:proofErr w:type="spellEnd"/>
          </w:p>
        </w:tc>
        <w:tc>
          <w:tcPr>
            <w:tcW w:w="1189"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0.18</w:t>
            </w:r>
          </w:p>
        </w:tc>
        <w:tc>
          <w:tcPr>
            <w:tcW w:w="1097"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0.07</w:t>
            </w:r>
          </w:p>
        </w:tc>
        <w:tc>
          <w:tcPr>
            <w:tcW w:w="1189"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0.15</w:t>
            </w:r>
          </w:p>
        </w:tc>
        <w:tc>
          <w:tcPr>
            <w:tcW w:w="808"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0.06</w:t>
            </w:r>
          </w:p>
        </w:tc>
      </w:tr>
      <w:tr w:rsidR="00AA788D" w:rsidRPr="00C07682" w:rsidTr="005A48A5">
        <w:trPr>
          <w:trHeight w:val="349"/>
          <w:jc w:val="center"/>
        </w:trPr>
        <w:tc>
          <w:tcPr>
            <w:tcW w:w="2209"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i/>
                <w:iCs/>
                <w:color w:val="000000"/>
                <w:sz w:val="20"/>
                <w:szCs w:val="20"/>
                <w:lang w:eastAsia="en-GB"/>
              </w:rPr>
            </w:pPr>
            <w:proofErr w:type="spellStart"/>
            <w:r w:rsidRPr="00C07682">
              <w:rPr>
                <w:rFonts w:ascii="Calibri" w:eastAsia="Times New Roman" w:hAnsi="Calibri" w:cs="Times New Roman"/>
                <w:i/>
                <w:iCs/>
                <w:color w:val="000000"/>
                <w:sz w:val="20"/>
                <w:szCs w:val="20"/>
                <w:lang w:eastAsia="en-GB"/>
              </w:rPr>
              <w:t>Bzinbrpl</w:t>
            </w:r>
            <w:proofErr w:type="spellEnd"/>
          </w:p>
        </w:tc>
        <w:tc>
          <w:tcPr>
            <w:tcW w:w="1189"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0.21</w:t>
            </w:r>
          </w:p>
        </w:tc>
        <w:tc>
          <w:tcPr>
            <w:tcW w:w="1097"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0.00</w:t>
            </w:r>
          </w:p>
        </w:tc>
        <w:tc>
          <w:tcPr>
            <w:tcW w:w="1189"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0.20</w:t>
            </w:r>
          </w:p>
        </w:tc>
        <w:tc>
          <w:tcPr>
            <w:tcW w:w="808"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System"/>
                <w:color w:val="000000"/>
                <w:sz w:val="20"/>
                <w:szCs w:val="20"/>
                <w:lang w:eastAsia="en-GB"/>
              </w:rPr>
              <w:t>0.00</w:t>
            </w:r>
          </w:p>
        </w:tc>
      </w:tr>
    </w:tbl>
    <w:p w:rsidR="00AA788D" w:rsidRDefault="00AA788D" w:rsidP="002C250C">
      <w:pPr>
        <w:rPr>
          <w:b/>
          <w:sz w:val="20"/>
          <w:szCs w:val="20"/>
        </w:rPr>
      </w:pPr>
    </w:p>
    <w:p w:rsidR="00AA788D" w:rsidRPr="00C07682" w:rsidRDefault="00AA788D" w:rsidP="002C250C">
      <w:pPr>
        <w:rPr>
          <w:b/>
          <w:sz w:val="20"/>
          <w:szCs w:val="20"/>
        </w:rPr>
      </w:pPr>
    </w:p>
    <w:tbl>
      <w:tblPr>
        <w:tblW w:w="6768" w:type="dxa"/>
        <w:jc w:val="center"/>
        <w:tblInd w:w="389" w:type="dxa"/>
        <w:tblLook w:val="04A0"/>
      </w:tblPr>
      <w:tblGrid>
        <w:gridCol w:w="2626"/>
        <w:gridCol w:w="1160"/>
        <w:gridCol w:w="963"/>
        <w:gridCol w:w="1059"/>
        <w:gridCol w:w="960"/>
      </w:tblGrid>
      <w:tr w:rsidR="00AA788D" w:rsidRPr="00C07682" w:rsidTr="005A48A5">
        <w:trPr>
          <w:trHeight w:val="555"/>
          <w:jc w:val="center"/>
        </w:trPr>
        <w:tc>
          <w:tcPr>
            <w:tcW w:w="6768" w:type="dxa"/>
            <w:gridSpan w:val="5"/>
            <w:tcBorders>
              <w:top w:val="nil"/>
              <w:left w:val="nil"/>
              <w:bottom w:val="single" w:sz="4" w:space="0" w:color="auto"/>
              <w:right w:val="nil"/>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Table </w:t>
            </w:r>
            <w:r>
              <w:rPr>
                <w:rFonts w:ascii="Calibri" w:eastAsia="Times New Roman" w:hAnsi="Calibri" w:cs="Times New Roman"/>
                <w:b/>
                <w:bCs/>
                <w:color w:val="000000"/>
                <w:sz w:val="20"/>
                <w:szCs w:val="20"/>
                <w:lang w:eastAsia="en-GB"/>
              </w:rPr>
              <w:t>A</w:t>
            </w:r>
            <w:r w:rsidRPr="00C07682">
              <w:rPr>
                <w:rFonts w:ascii="Calibri" w:eastAsia="Times New Roman" w:hAnsi="Calibri" w:cs="Times New Roman"/>
                <w:b/>
                <w:bCs/>
                <w:color w:val="000000"/>
                <w:sz w:val="20"/>
                <w:szCs w:val="20"/>
                <w:lang w:eastAsia="en-GB"/>
              </w:rPr>
              <w:t xml:space="preserve">5.2. Marginal Effects of </w:t>
            </w:r>
            <w:proofErr w:type="spellStart"/>
            <w:r w:rsidRPr="00C07682">
              <w:rPr>
                <w:rFonts w:ascii="Calibri" w:eastAsia="Times New Roman" w:hAnsi="Calibri" w:cs="Times New Roman"/>
                <w:b/>
                <w:bCs/>
                <w:i/>
                <w:color w:val="000000"/>
                <w:sz w:val="20"/>
                <w:szCs w:val="20"/>
                <w:lang w:eastAsia="en-GB"/>
              </w:rPr>
              <w:t>Gov</w:t>
            </w:r>
            <w:r w:rsidRPr="00C07682">
              <w:rPr>
                <w:rFonts w:ascii="Calibri" w:eastAsia="Times New Roman" w:hAnsi="Calibri" w:cs="Times New Roman"/>
                <w:b/>
                <w:bCs/>
                <w:color w:val="000000"/>
                <w:sz w:val="20"/>
                <w:szCs w:val="20"/>
                <w:lang w:eastAsia="en-GB"/>
              </w:rPr>
              <w:t>_</w:t>
            </w:r>
            <w:r w:rsidRPr="00C07682">
              <w:rPr>
                <w:rFonts w:ascii="Calibri" w:eastAsia="Times New Roman" w:hAnsi="Calibri" w:cs="Times New Roman"/>
                <w:b/>
                <w:bCs/>
                <w:i/>
                <w:color w:val="000000"/>
                <w:sz w:val="20"/>
                <w:szCs w:val="20"/>
                <w:lang w:eastAsia="en-GB"/>
              </w:rPr>
              <w:t>connect</w:t>
            </w:r>
            <w:proofErr w:type="spellEnd"/>
            <w:r w:rsidRPr="00C07682">
              <w:rPr>
                <w:rFonts w:ascii="Calibri" w:eastAsia="Times New Roman" w:hAnsi="Calibri" w:cs="Times New Roman"/>
                <w:b/>
                <w:bCs/>
                <w:color w:val="000000"/>
                <w:sz w:val="20"/>
                <w:szCs w:val="20"/>
                <w:lang w:eastAsia="en-GB"/>
              </w:rPr>
              <w:t xml:space="preserve"> and </w:t>
            </w:r>
            <w:proofErr w:type="spellStart"/>
            <w:r w:rsidRPr="00C07682">
              <w:rPr>
                <w:rFonts w:ascii="Calibri" w:eastAsia="Times New Roman" w:hAnsi="Calibri" w:cs="Times New Roman"/>
                <w:b/>
                <w:bCs/>
                <w:i/>
                <w:color w:val="000000"/>
                <w:sz w:val="20"/>
                <w:szCs w:val="20"/>
                <w:lang w:eastAsia="en-GB"/>
              </w:rPr>
              <w:t>Bzinbrpl</w:t>
            </w:r>
            <w:proofErr w:type="spellEnd"/>
            <w:r w:rsidRPr="00C07682">
              <w:rPr>
                <w:rFonts w:ascii="Calibri" w:eastAsia="Times New Roman" w:hAnsi="Calibri" w:cs="Times New Roman"/>
                <w:b/>
                <w:bCs/>
                <w:color w:val="000000"/>
                <w:sz w:val="20"/>
                <w:szCs w:val="20"/>
                <w:lang w:eastAsia="en-GB"/>
              </w:rPr>
              <w:t xml:space="preserve"> Given Representative Values of </w:t>
            </w:r>
            <w:proofErr w:type="spellStart"/>
            <w:r w:rsidRPr="00C07682">
              <w:rPr>
                <w:rFonts w:ascii="Calibri" w:eastAsia="Times New Roman" w:hAnsi="Calibri" w:cs="Times New Roman"/>
                <w:b/>
                <w:bCs/>
                <w:i/>
                <w:color w:val="000000"/>
                <w:sz w:val="20"/>
                <w:szCs w:val="20"/>
                <w:lang w:eastAsia="en-GB"/>
              </w:rPr>
              <w:t>Lnsales</w:t>
            </w:r>
            <w:proofErr w:type="spellEnd"/>
            <w:r w:rsidRPr="00C07682">
              <w:rPr>
                <w:rFonts w:ascii="Calibri" w:eastAsia="Times New Roman" w:hAnsi="Calibri" w:cs="Times New Roman"/>
                <w:b/>
                <w:bCs/>
                <w:color w:val="000000"/>
                <w:sz w:val="20"/>
                <w:szCs w:val="20"/>
                <w:lang w:eastAsia="en-GB"/>
              </w:rPr>
              <w:t>.</w:t>
            </w:r>
          </w:p>
        </w:tc>
      </w:tr>
      <w:tr w:rsidR="00AA788D" w:rsidRPr="00C07682" w:rsidTr="005A48A5">
        <w:trPr>
          <w:trHeight w:val="315"/>
          <w:jc w:val="center"/>
        </w:trPr>
        <w:tc>
          <w:tcPr>
            <w:tcW w:w="2626" w:type="dxa"/>
            <w:vMerge w:val="restart"/>
            <w:tcBorders>
              <w:top w:val="nil"/>
              <w:left w:val="single" w:sz="4" w:space="0" w:color="auto"/>
              <w:bottom w:val="single" w:sz="4" w:space="0" w:color="000000"/>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Representative Values of </w:t>
            </w:r>
            <w:proofErr w:type="spellStart"/>
            <w:r w:rsidRPr="00C07682">
              <w:rPr>
                <w:rFonts w:ascii="Calibri" w:eastAsia="Times New Roman" w:hAnsi="Calibri" w:cs="Times New Roman"/>
                <w:b/>
                <w:bCs/>
                <w:i/>
                <w:color w:val="000000"/>
                <w:sz w:val="20"/>
                <w:szCs w:val="20"/>
                <w:lang w:eastAsia="en-GB"/>
              </w:rPr>
              <w:t>Lnsales</w:t>
            </w:r>
            <w:proofErr w:type="spellEnd"/>
            <w:r w:rsidRPr="00C07682">
              <w:rPr>
                <w:rFonts w:ascii="Calibri" w:eastAsia="Times New Roman" w:hAnsi="Calibri" w:cs="Times New Roman"/>
                <w:b/>
                <w:bCs/>
                <w:color w:val="000000"/>
                <w:sz w:val="20"/>
                <w:szCs w:val="20"/>
                <w:lang w:eastAsia="en-GB"/>
              </w:rPr>
              <w:t>:</w:t>
            </w:r>
          </w:p>
        </w:tc>
        <w:tc>
          <w:tcPr>
            <w:tcW w:w="21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proofErr w:type="spellStart"/>
            <w:r w:rsidRPr="00C07682">
              <w:rPr>
                <w:rFonts w:ascii="Calibri" w:eastAsia="Times New Roman" w:hAnsi="Calibri" w:cs="Times New Roman"/>
                <w:b/>
                <w:bCs/>
                <w:i/>
                <w:color w:val="000000"/>
                <w:sz w:val="20"/>
                <w:szCs w:val="20"/>
                <w:lang w:eastAsia="en-GB"/>
              </w:rPr>
              <w:t>Gov_connect</w:t>
            </w:r>
            <w:proofErr w:type="spellEnd"/>
          </w:p>
        </w:tc>
        <w:tc>
          <w:tcPr>
            <w:tcW w:w="20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proofErr w:type="spellStart"/>
            <w:r w:rsidRPr="00C07682">
              <w:rPr>
                <w:rFonts w:ascii="Calibri" w:eastAsia="Times New Roman" w:hAnsi="Calibri" w:cs="Times New Roman"/>
                <w:b/>
                <w:bCs/>
                <w:i/>
                <w:color w:val="000000"/>
                <w:sz w:val="20"/>
                <w:szCs w:val="20"/>
                <w:lang w:eastAsia="en-GB"/>
              </w:rPr>
              <w:t>Bzinbrpl</w:t>
            </w:r>
            <w:proofErr w:type="spellEnd"/>
          </w:p>
        </w:tc>
      </w:tr>
      <w:tr w:rsidR="00AA788D" w:rsidRPr="00C07682" w:rsidTr="005A48A5">
        <w:trPr>
          <w:trHeight w:val="585"/>
          <w:jc w:val="center"/>
        </w:trPr>
        <w:tc>
          <w:tcPr>
            <w:tcW w:w="2626" w:type="dxa"/>
            <w:vMerge/>
            <w:tcBorders>
              <w:top w:val="nil"/>
              <w:left w:val="single" w:sz="4" w:space="0" w:color="auto"/>
              <w:bottom w:val="single" w:sz="4" w:space="0" w:color="auto"/>
              <w:right w:val="single" w:sz="4" w:space="0" w:color="auto"/>
            </w:tcBorders>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tc>
        <w:tc>
          <w:tcPr>
            <w:tcW w:w="1160"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Times New Roman"/>
                <w:b/>
                <w:bCs/>
                <w:i/>
                <w:iCs/>
                <w:color w:val="000000"/>
                <w:sz w:val="20"/>
                <w:szCs w:val="20"/>
                <w:lang w:eastAsia="en-GB"/>
              </w:rPr>
              <w:t>Marginal Effects</w:t>
            </w:r>
          </w:p>
        </w:tc>
        <w:tc>
          <w:tcPr>
            <w:tcW w:w="963" w:type="dxa"/>
            <w:tcBorders>
              <w:top w:val="nil"/>
              <w:left w:val="nil"/>
              <w:bottom w:val="single" w:sz="4" w:space="0" w:color="auto"/>
              <w:right w:val="single" w:sz="4" w:space="0" w:color="auto"/>
            </w:tcBorders>
            <w:shd w:val="clear" w:color="auto" w:fill="auto"/>
            <w:vAlign w:val="center"/>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Times New Roman"/>
                <w:b/>
                <w:bCs/>
                <w:i/>
                <w:iCs/>
                <w:color w:val="000000"/>
                <w:sz w:val="20"/>
                <w:szCs w:val="20"/>
                <w:lang w:eastAsia="en-GB"/>
              </w:rPr>
              <w:t>p-value</w:t>
            </w:r>
          </w:p>
        </w:tc>
        <w:tc>
          <w:tcPr>
            <w:tcW w:w="1059"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i/>
                <w:iCs/>
                <w:color w:val="000000"/>
                <w:sz w:val="20"/>
                <w:szCs w:val="20"/>
                <w:lang w:eastAsia="en-GB"/>
              </w:rPr>
            </w:pPr>
            <w:r w:rsidRPr="00C07682">
              <w:rPr>
                <w:rFonts w:ascii="Calibri" w:eastAsia="Times New Roman" w:hAnsi="Calibri" w:cs="Times New Roman"/>
                <w:b/>
                <w:bCs/>
                <w:i/>
                <w:iCs/>
                <w:color w:val="000000"/>
                <w:sz w:val="20"/>
                <w:szCs w:val="20"/>
                <w:lang w:eastAsia="en-GB"/>
              </w:rPr>
              <w:t>Marginal Effects</w:t>
            </w:r>
          </w:p>
        </w:tc>
        <w:tc>
          <w:tcPr>
            <w:tcW w:w="960" w:type="dxa"/>
            <w:tcBorders>
              <w:top w:val="nil"/>
              <w:left w:val="nil"/>
              <w:bottom w:val="single" w:sz="4" w:space="0" w:color="auto"/>
              <w:right w:val="single" w:sz="4" w:space="0" w:color="auto"/>
            </w:tcBorders>
            <w:shd w:val="clear" w:color="auto" w:fill="auto"/>
            <w:vAlign w:val="center"/>
            <w:hideMark/>
          </w:tcPr>
          <w:p w:rsidR="00AA788D" w:rsidRPr="00C07682" w:rsidRDefault="00AA788D" w:rsidP="005A48A5">
            <w:pPr>
              <w:spacing w:after="0" w:line="240" w:lineRule="auto"/>
              <w:rPr>
                <w:rFonts w:ascii="Calibri" w:eastAsia="Times New Roman" w:hAnsi="Calibri" w:cs="Times New Roman"/>
                <w:b/>
                <w:bCs/>
                <w:i/>
                <w:iCs/>
                <w:color w:val="000000"/>
                <w:sz w:val="20"/>
                <w:szCs w:val="20"/>
                <w:lang w:eastAsia="en-GB"/>
              </w:rPr>
            </w:pPr>
            <w:r w:rsidRPr="00C07682">
              <w:rPr>
                <w:rFonts w:ascii="Calibri" w:eastAsia="Times New Roman" w:hAnsi="Calibri" w:cs="Times New Roman"/>
                <w:b/>
                <w:bCs/>
                <w:i/>
                <w:iCs/>
                <w:color w:val="000000"/>
                <w:sz w:val="20"/>
                <w:szCs w:val="20"/>
                <w:lang w:eastAsia="en-GB"/>
              </w:rPr>
              <w:t>p-value</w:t>
            </w:r>
          </w:p>
        </w:tc>
      </w:tr>
      <w:tr w:rsidR="00AA788D" w:rsidRPr="00C07682" w:rsidTr="005A48A5">
        <w:trPr>
          <w:trHeight w:val="300"/>
          <w:jc w:val="center"/>
        </w:trPr>
        <w:tc>
          <w:tcPr>
            <w:tcW w:w="2626" w:type="dxa"/>
            <w:tcBorders>
              <w:top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Minus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160"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0.13</w:t>
            </w:r>
          </w:p>
        </w:tc>
        <w:tc>
          <w:tcPr>
            <w:tcW w:w="963" w:type="dxa"/>
            <w:tcBorders>
              <w:top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0.07 </w:t>
            </w:r>
          </w:p>
        </w:tc>
        <w:tc>
          <w:tcPr>
            <w:tcW w:w="1059" w:type="dxa"/>
            <w:tcBorders>
              <w:top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0.16</w:t>
            </w:r>
          </w:p>
        </w:tc>
        <w:tc>
          <w:tcPr>
            <w:tcW w:w="960" w:type="dxa"/>
            <w:tcBorders>
              <w:top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0.01 </w:t>
            </w:r>
          </w:p>
        </w:tc>
      </w:tr>
      <w:tr w:rsidR="00AA788D" w:rsidRPr="00C07682" w:rsidTr="005A48A5">
        <w:trPr>
          <w:trHeight w:val="300"/>
          <w:jc w:val="center"/>
        </w:trPr>
        <w:tc>
          <w:tcPr>
            <w:tcW w:w="2626" w:type="dxa"/>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Mean</w:t>
            </w:r>
          </w:p>
        </w:tc>
        <w:tc>
          <w:tcPr>
            <w:tcW w:w="1160" w:type="dxa"/>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0.16</w:t>
            </w:r>
          </w:p>
        </w:tc>
        <w:tc>
          <w:tcPr>
            <w:tcW w:w="963" w:type="dxa"/>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0.06 </w:t>
            </w:r>
          </w:p>
        </w:tc>
        <w:tc>
          <w:tcPr>
            <w:tcW w:w="1059" w:type="dxa"/>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0.20</w:t>
            </w:r>
          </w:p>
        </w:tc>
        <w:tc>
          <w:tcPr>
            <w:tcW w:w="960" w:type="dxa"/>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0.00 </w:t>
            </w:r>
          </w:p>
        </w:tc>
      </w:tr>
      <w:tr w:rsidR="00AA788D" w:rsidRPr="00C07682" w:rsidTr="005A48A5">
        <w:trPr>
          <w:trHeight w:val="300"/>
          <w:jc w:val="center"/>
        </w:trPr>
        <w:tc>
          <w:tcPr>
            <w:tcW w:w="2626" w:type="dxa"/>
            <w:tcBorders>
              <w:bottom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Plus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160"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0.17</w:t>
            </w:r>
          </w:p>
        </w:tc>
        <w:tc>
          <w:tcPr>
            <w:tcW w:w="963" w:type="dxa"/>
            <w:tcBorders>
              <w:bottom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 0.05 </w:t>
            </w:r>
          </w:p>
        </w:tc>
        <w:tc>
          <w:tcPr>
            <w:tcW w:w="1059" w:type="dxa"/>
            <w:tcBorders>
              <w:bottom w:val="single" w:sz="4" w:space="0" w:color="auto"/>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0.24</w:t>
            </w:r>
          </w:p>
        </w:tc>
        <w:tc>
          <w:tcPr>
            <w:tcW w:w="960" w:type="dxa"/>
            <w:tcBorders>
              <w:bottom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xml:space="preserve">0.01 </w:t>
            </w:r>
          </w:p>
        </w:tc>
      </w:tr>
    </w:tbl>
    <w:p w:rsidR="00AA788D" w:rsidRDefault="00AA788D" w:rsidP="002C250C">
      <w:pPr>
        <w:rPr>
          <w:b/>
          <w:sz w:val="20"/>
          <w:szCs w:val="20"/>
        </w:rPr>
      </w:pPr>
    </w:p>
    <w:tbl>
      <w:tblPr>
        <w:tblW w:w="7749" w:type="dxa"/>
        <w:jc w:val="center"/>
        <w:tblInd w:w="521" w:type="dxa"/>
        <w:tblLook w:val="04A0"/>
      </w:tblPr>
      <w:tblGrid>
        <w:gridCol w:w="2494"/>
        <w:gridCol w:w="1050"/>
        <w:gridCol w:w="930"/>
        <w:gridCol w:w="1035"/>
        <w:gridCol w:w="960"/>
        <w:gridCol w:w="1280"/>
      </w:tblGrid>
      <w:tr w:rsidR="00AA788D" w:rsidRPr="00C07682" w:rsidTr="005A48A5">
        <w:trPr>
          <w:trHeight w:val="570"/>
          <w:jc w:val="center"/>
        </w:trPr>
        <w:tc>
          <w:tcPr>
            <w:tcW w:w="7749" w:type="dxa"/>
            <w:gridSpan w:val="6"/>
            <w:tcBorders>
              <w:top w:val="nil"/>
              <w:left w:val="nil"/>
              <w:bottom w:val="single" w:sz="4" w:space="0" w:color="auto"/>
              <w:right w:val="nil"/>
            </w:tcBorders>
            <w:shd w:val="clear" w:color="auto" w:fill="auto"/>
            <w:vAlign w:val="bottom"/>
            <w:hideMark/>
          </w:tcPr>
          <w:p w:rsidR="00AA788D" w:rsidRDefault="00AA788D" w:rsidP="005A48A5">
            <w:pPr>
              <w:spacing w:after="0" w:line="240" w:lineRule="auto"/>
              <w:jc w:val="center"/>
              <w:rPr>
                <w:rFonts w:ascii="Calibri" w:eastAsia="Times New Roman" w:hAnsi="Calibri" w:cs="Times New Roman"/>
                <w:b/>
                <w:bCs/>
                <w:color w:val="000000"/>
                <w:sz w:val="20"/>
                <w:szCs w:val="20"/>
                <w:lang w:eastAsia="en-GB"/>
              </w:rPr>
            </w:pPr>
          </w:p>
          <w:p w:rsidR="00AA788D" w:rsidRDefault="00AA788D" w:rsidP="005A48A5">
            <w:pPr>
              <w:spacing w:after="0" w:line="240" w:lineRule="auto"/>
              <w:jc w:val="center"/>
              <w:rPr>
                <w:rFonts w:ascii="Calibri" w:eastAsia="Times New Roman" w:hAnsi="Calibri" w:cs="Times New Roman"/>
                <w:b/>
                <w:bCs/>
                <w:color w:val="000000"/>
                <w:sz w:val="20"/>
                <w:szCs w:val="20"/>
                <w:lang w:eastAsia="en-GB"/>
              </w:rPr>
            </w:pPr>
          </w:p>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Table A5.3. Marginal Effects of </w:t>
            </w:r>
            <w:proofErr w:type="spellStart"/>
            <w:r w:rsidRPr="00C07682">
              <w:rPr>
                <w:rFonts w:ascii="Calibri" w:eastAsia="Times New Roman" w:hAnsi="Calibri" w:cs="Times New Roman"/>
                <w:b/>
                <w:bCs/>
                <w:i/>
                <w:color w:val="000000"/>
                <w:sz w:val="20"/>
                <w:szCs w:val="20"/>
                <w:lang w:eastAsia="en-GB"/>
              </w:rPr>
              <w:t>Gov_connect</w:t>
            </w:r>
            <w:proofErr w:type="spellEnd"/>
            <w:r w:rsidRPr="00C07682">
              <w:rPr>
                <w:rFonts w:ascii="Calibri" w:eastAsia="Times New Roman" w:hAnsi="Calibri" w:cs="Times New Roman"/>
                <w:b/>
                <w:bCs/>
                <w:color w:val="000000"/>
                <w:sz w:val="20"/>
                <w:szCs w:val="20"/>
                <w:lang w:eastAsia="en-GB"/>
              </w:rPr>
              <w:t xml:space="preserve"> and </w:t>
            </w:r>
            <w:proofErr w:type="spellStart"/>
            <w:r w:rsidRPr="00C07682">
              <w:rPr>
                <w:rFonts w:ascii="Calibri" w:eastAsia="Times New Roman" w:hAnsi="Calibri" w:cs="Times New Roman"/>
                <w:b/>
                <w:bCs/>
                <w:i/>
                <w:color w:val="000000"/>
                <w:sz w:val="20"/>
                <w:szCs w:val="20"/>
                <w:lang w:eastAsia="en-GB"/>
              </w:rPr>
              <w:t>Bzinbrpl</w:t>
            </w:r>
            <w:proofErr w:type="spellEnd"/>
            <w:r w:rsidRPr="00C07682">
              <w:rPr>
                <w:rFonts w:ascii="Calibri" w:eastAsia="Times New Roman" w:hAnsi="Calibri" w:cs="Times New Roman"/>
                <w:b/>
                <w:bCs/>
                <w:color w:val="000000"/>
                <w:sz w:val="20"/>
                <w:szCs w:val="20"/>
                <w:lang w:eastAsia="en-GB"/>
              </w:rPr>
              <w:t xml:space="preserve"> Given Representative Values of </w:t>
            </w:r>
            <w:proofErr w:type="spellStart"/>
            <w:r w:rsidRPr="00C07682">
              <w:rPr>
                <w:rFonts w:ascii="Calibri" w:eastAsia="Times New Roman" w:hAnsi="Calibri" w:cs="Times New Roman"/>
                <w:b/>
                <w:bCs/>
                <w:color w:val="000000"/>
                <w:sz w:val="20"/>
                <w:szCs w:val="20"/>
                <w:lang w:eastAsia="en-GB"/>
              </w:rPr>
              <w:t>Lnsales</w:t>
            </w:r>
            <w:proofErr w:type="spellEnd"/>
            <w:r w:rsidRPr="00C07682">
              <w:rPr>
                <w:rFonts w:ascii="Calibri" w:eastAsia="Times New Roman" w:hAnsi="Calibri" w:cs="Times New Roman"/>
                <w:b/>
                <w:bCs/>
                <w:color w:val="000000"/>
                <w:sz w:val="20"/>
                <w:szCs w:val="20"/>
                <w:lang w:eastAsia="en-GB"/>
              </w:rPr>
              <w:t xml:space="preserve"> and Cash1 Variables.</w:t>
            </w:r>
          </w:p>
        </w:tc>
      </w:tr>
      <w:tr w:rsidR="00AA788D" w:rsidRPr="00C07682" w:rsidTr="005A48A5">
        <w:trPr>
          <w:trHeight w:val="300"/>
          <w:jc w:val="center"/>
        </w:trPr>
        <w:tc>
          <w:tcPr>
            <w:tcW w:w="774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Panel I. </w:t>
            </w:r>
            <w:proofErr w:type="spellStart"/>
            <w:r w:rsidRPr="00C07682">
              <w:rPr>
                <w:rFonts w:ascii="Calibri" w:eastAsia="Times New Roman" w:hAnsi="Calibri" w:cs="Times New Roman"/>
                <w:b/>
                <w:bCs/>
                <w:i/>
                <w:color w:val="000000"/>
                <w:sz w:val="20"/>
                <w:szCs w:val="20"/>
                <w:lang w:eastAsia="en-GB"/>
              </w:rPr>
              <w:t>Gov_connect</w:t>
            </w:r>
            <w:proofErr w:type="spellEnd"/>
          </w:p>
        </w:tc>
      </w:tr>
      <w:tr w:rsidR="00AA788D" w:rsidRPr="00C07682" w:rsidTr="005A48A5">
        <w:trPr>
          <w:trHeight w:val="300"/>
          <w:jc w:val="center"/>
        </w:trPr>
        <w:tc>
          <w:tcPr>
            <w:tcW w:w="2494" w:type="dxa"/>
            <w:vMerge w:val="restart"/>
            <w:tcBorders>
              <w:top w:val="nil"/>
              <w:left w:val="single" w:sz="4" w:space="0" w:color="auto"/>
              <w:bottom w:val="single" w:sz="4" w:space="0" w:color="000000"/>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Representative Values of </w:t>
            </w:r>
            <w:proofErr w:type="spellStart"/>
            <w:r w:rsidRPr="00C07682">
              <w:rPr>
                <w:rFonts w:ascii="Calibri" w:eastAsia="Times New Roman" w:hAnsi="Calibri" w:cs="Times New Roman"/>
                <w:b/>
                <w:bCs/>
                <w:color w:val="000000"/>
                <w:sz w:val="20"/>
                <w:szCs w:val="20"/>
                <w:lang w:eastAsia="en-GB"/>
              </w:rPr>
              <w:t>Lnsales</w:t>
            </w:r>
            <w:proofErr w:type="spellEnd"/>
            <w:r w:rsidRPr="00C07682">
              <w:rPr>
                <w:rFonts w:ascii="Calibri" w:eastAsia="Times New Roman" w:hAnsi="Calibri" w:cs="Times New Roman"/>
                <w:b/>
                <w:bCs/>
                <w:color w:val="000000"/>
                <w:sz w:val="20"/>
                <w:szCs w:val="20"/>
                <w:lang w:eastAsia="en-GB"/>
              </w:rPr>
              <w:t>:</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r w:rsidRPr="00C07682">
              <w:rPr>
                <w:rFonts w:ascii="Calibri" w:eastAsia="Times New Roman" w:hAnsi="Calibri" w:cs="Times New Roman"/>
                <w:b/>
                <w:bCs/>
                <w:i/>
                <w:color w:val="000000"/>
                <w:sz w:val="20"/>
                <w:szCs w:val="20"/>
                <w:lang w:eastAsia="en-GB"/>
              </w:rPr>
              <w:t>Cash1 = 1</w:t>
            </w:r>
          </w:p>
        </w:tc>
        <w:tc>
          <w:tcPr>
            <w:tcW w:w="1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r w:rsidRPr="00C07682">
              <w:rPr>
                <w:rFonts w:ascii="Calibri" w:eastAsia="Times New Roman" w:hAnsi="Calibri" w:cs="Times New Roman"/>
                <w:b/>
                <w:bCs/>
                <w:i/>
                <w:color w:val="000000"/>
                <w:sz w:val="20"/>
                <w:szCs w:val="20"/>
                <w:lang w:eastAsia="en-GB"/>
              </w:rPr>
              <w:t>Cash1 = 0</w:t>
            </w:r>
          </w:p>
        </w:tc>
        <w:tc>
          <w:tcPr>
            <w:tcW w:w="1280" w:type="dxa"/>
            <w:tcBorders>
              <w:top w:val="nil"/>
              <w:left w:val="nil"/>
              <w:bottom w:val="single" w:sz="4" w:space="0" w:color="auto"/>
              <w:right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w:t>
            </w:r>
          </w:p>
        </w:tc>
      </w:tr>
      <w:tr w:rsidR="00AA788D" w:rsidRPr="00C07682" w:rsidTr="005A48A5">
        <w:trPr>
          <w:trHeight w:val="900"/>
          <w:jc w:val="center"/>
        </w:trPr>
        <w:tc>
          <w:tcPr>
            <w:tcW w:w="2494" w:type="dxa"/>
            <w:vMerge/>
            <w:tcBorders>
              <w:top w:val="nil"/>
              <w:left w:val="single" w:sz="4" w:space="0" w:color="auto"/>
              <w:bottom w:val="single" w:sz="4" w:space="0" w:color="000000"/>
              <w:right w:val="single" w:sz="4" w:space="0" w:color="auto"/>
            </w:tcBorders>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tc>
        <w:tc>
          <w:tcPr>
            <w:tcW w:w="1050"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Marginal Effects</w:t>
            </w:r>
          </w:p>
        </w:tc>
        <w:tc>
          <w:tcPr>
            <w:tcW w:w="930" w:type="dxa"/>
            <w:tcBorders>
              <w:top w:val="nil"/>
              <w:left w:val="nil"/>
              <w:bottom w:val="single" w:sz="4" w:space="0" w:color="auto"/>
              <w:right w:val="single" w:sz="4" w:space="0" w:color="auto"/>
            </w:tcBorders>
            <w:shd w:val="clear" w:color="auto" w:fill="auto"/>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p-value</w:t>
            </w:r>
          </w:p>
        </w:tc>
        <w:tc>
          <w:tcPr>
            <w:tcW w:w="1035"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Marginal Effects</w:t>
            </w:r>
          </w:p>
        </w:tc>
        <w:tc>
          <w:tcPr>
            <w:tcW w:w="960" w:type="dxa"/>
            <w:tcBorders>
              <w:top w:val="nil"/>
              <w:left w:val="nil"/>
              <w:bottom w:val="single" w:sz="4" w:space="0" w:color="auto"/>
              <w:right w:val="single" w:sz="4" w:space="0" w:color="auto"/>
            </w:tcBorders>
            <w:shd w:val="clear" w:color="auto" w:fill="auto"/>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p-value</w:t>
            </w:r>
          </w:p>
        </w:tc>
        <w:tc>
          <w:tcPr>
            <w:tcW w:w="1280" w:type="dxa"/>
            <w:tcBorders>
              <w:top w:val="nil"/>
              <w:left w:val="nil"/>
              <w:bottom w:val="single" w:sz="4" w:space="0" w:color="auto"/>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Difference between the two M.E.s</w:t>
            </w:r>
          </w:p>
        </w:tc>
      </w:tr>
      <w:tr w:rsidR="00AA788D" w:rsidRPr="00C07682" w:rsidTr="005A48A5">
        <w:trPr>
          <w:trHeight w:val="300"/>
          <w:jc w:val="center"/>
        </w:trPr>
        <w:tc>
          <w:tcPr>
            <w:tcW w:w="2494"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Minus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05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0.12</w:t>
            </w:r>
          </w:p>
        </w:tc>
        <w:tc>
          <w:tcPr>
            <w:tcW w:w="93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0.09</w:t>
            </w:r>
          </w:p>
        </w:tc>
        <w:tc>
          <w:tcPr>
            <w:tcW w:w="1035"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0.17</w:t>
            </w:r>
          </w:p>
        </w:tc>
        <w:tc>
          <w:tcPr>
            <w:tcW w:w="96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0.06</w:t>
            </w:r>
          </w:p>
        </w:tc>
        <w:tc>
          <w:tcPr>
            <w:tcW w:w="128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0.05</w:t>
            </w:r>
          </w:p>
        </w:tc>
      </w:tr>
      <w:tr w:rsidR="00AA788D" w:rsidRPr="00C07682" w:rsidTr="005A48A5">
        <w:trPr>
          <w:trHeight w:val="300"/>
          <w:jc w:val="center"/>
        </w:trPr>
        <w:tc>
          <w:tcPr>
            <w:tcW w:w="2494"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Mean</w:t>
            </w:r>
          </w:p>
        </w:tc>
        <w:tc>
          <w:tcPr>
            <w:tcW w:w="105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0.15</w:t>
            </w:r>
          </w:p>
        </w:tc>
        <w:tc>
          <w:tcPr>
            <w:tcW w:w="93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0.07</w:t>
            </w:r>
          </w:p>
        </w:tc>
        <w:tc>
          <w:tcPr>
            <w:tcW w:w="1035"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0.18</w:t>
            </w:r>
          </w:p>
        </w:tc>
        <w:tc>
          <w:tcPr>
            <w:tcW w:w="96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0.05</w:t>
            </w:r>
          </w:p>
        </w:tc>
        <w:tc>
          <w:tcPr>
            <w:tcW w:w="128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0.03</w:t>
            </w:r>
          </w:p>
        </w:tc>
      </w:tr>
      <w:tr w:rsidR="00AA788D" w:rsidRPr="00C07682" w:rsidTr="005A48A5">
        <w:trPr>
          <w:trHeight w:val="300"/>
          <w:jc w:val="center"/>
        </w:trPr>
        <w:tc>
          <w:tcPr>
            <w:tcW w:w="2494"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Plus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05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0.17</w:t>
            </w:r>
          </w:p>
        </w:tc>
        <w:tc>
          <w:tcPr>
            <w:tcW w:w="93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0.06</w:t>
            </w:r>
          </w:p>
        </w:tc>
        <w:tc>
          <w:tcPr>
            <w:tcW w:w="1035"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0.18</w:t>
            </w:r>
          </w:p>
        </w:tc>
        <w:tc>
          <w:tcPr>
            <w:tcW w:w="96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0.04</w:t>
            </w:r>
          </w:p>
        </w:tc>
        <w:tc>
          <w:tcPr>
            <w:tcW w:w="128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0.01</w:t>
            </w:r>
          </w:p>
        </w:tc>
      </w:tr>
      <w:tr w:rsidR="00AA788D" w:rsidRPr="00C07682" w:rsidTr="005A48A5">
        <w:trPr>
          <w:trHeight w:val="300"/>
          <w:jc w:val="center"/>
        </w:trPr>
        <w:tc>
          <w:tcPr>
            <w:tcW w:w="7749" w:type="dxa"/>
            <w:gridSpan w:val="6"/>
            <w:tcBorders>
              <w:top w:val="nil"/>
              <w:left w:val="single" w:sz="4" w:space="0" w:color="auto"/>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Panel II. </w:t>
            </w:r>
            <w:proofErr w:type="spellStart"/>
            <w:r w:rsidRPr="00C07682">
              <w:rPr>
                <w:rFonts w:ascii="Calibri" w:eastAsia="Times New Roman" w:hAnsi="Calibri" w:cs="Times New Roman"/>
                <w:b/>
                <w:bCs/>
                <w:i/>
                <w:color w:val="000000"/>
                <w:sz w:val="20"/>
                <w:szCs w:val="20"/>
                <w:lang w:eastAsia="en-GB"/>
              </w:rPr>
              <w:t>Bzinbrpl</w:t>
            </w:r>
            <w:proofErr w:type="spellEnd"/>
          </w:p>
        </w:tc>
      </w:tr>
      <w:tr w:rsidR="00AA788D" w:rsidRPr="00C07682" w:rsidTr="005A48A5">
        <w:trPr>
          <w:trHeight w:val="300"/>
          <w:jc w:val="center"/>
        </w:trPr>
        <w:tc>
          <w:tcPr>
            <w:tcW w:w="2494" w:type="dxa"/>
            <w:vMerge w:val="restart"/>
            <w:tcBorders>
              <w:top w:val="nil"/>
              <w:left w:val="single" w:sz="4" w:space="0" w:color="auto"/>
              <w:bottom w:val="nil"/>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 xml:space="preserve">Representative Values of </w:t>
            </w:r>
            <w:proofErr w:type="spellStart"/>
            <w:r w:rsidRPr="00C07682">
              <w:rPr>
                <w:rFonts w:ascii="Calibri" w:eastAsia="Times New Roman" w:hAnsi="Calibri" w:cs="Times New Roman"/>
                <w:b/>
                <w:bCs/>
                <w:color w:val="000000"/>
                <w:sz w:val="20"/>
                <w:szCs w:val="20"/>
                <w:lang w:eastAsia="en-GB"/>
              </w:rPr>
              <w:t>Lnsales</w:t>
            </w:r>
            <w:proofErr w:type="spellEnd"/>
            <w:r w:rsidRPr="00C07682">
              <w:rPr>
                <w:rFonts w:ascii="Calibri" w:eastAsia="Times New Roman" w:hAnsi="Calibri" w:cs="Times New Roman"/>
                <w:b/>
                <w:bCs/>
                <w:color w:val="000000"/>
                <w:sz w:val="20"/>
                <w:szCs w:val="20"/>
                <w:lang w:eastAsia="en-GB"/>
              </w:rPr>
              <w:t>:</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r w:rsidRPr="00C07682">
              <w:rPr>
                <w:rFonts w:ascii="Calibri" w:eastAsia="Times New Roman" w:hAnsi="Calibri" w:cs="Times New Roman"/>
                <w:b/>
                <w:bCs/>
                <w:i/>
                <w:color w:val="000000"/>
                <w:sz w:val="20"/>
                <w:szCs w:val="20"/>
                <w:lang w:eastAsia="en-GB"/>
              </w:rPr>
              <w:t>Cash1=1</w:t>
            </w:r>
          </w:p>
        </w:tc>
        <w:tc>
          <w:tcPr>
            <w:tcW w:w="1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b/>
                <w:bCs/>
                <w:i/>
                <w:color w:val="000000"/>
                <w:sz w:val="20"/>
                <w:szCs w:val="20"/>
                <w:lang w:eastAsia="en-GB"/>
              </w:rPr>
            </w:pPr>
            <w:r w:rsidRPr="00C07682">
              <w:rPr>
                <w:rFonts w:ascii="Calibri" w:eastAsia="Times New Roman" w:hAnsi="Calibri" w:cs="Times New Roman"/>
                <w:b/>
                <w:bCs/>
                <w:i/>
                <w:color w:val="000000"/>
                <w:sz w:val="20"/>
                <w:szCs w:val="20"/>
                <w:lang w:eastAsia="en-GB"/>
              </w:rPr>
              <w:t>Cash1=0</w:t>
            </w:r>
          </w:p>
        </w:tc>
        <w:tc>
          <w:tcPr>
            <w:tcW w:w="1280" w:type="dxa"/>
            <w:tcBorders>
              <w:top w:val="nil"/>
              <w:left w:val="nil"/>
              <w:bottom w:val="single" w:sz="4" w:space="0" w:color="auto"/>
              <w:right w:val="single" w:sz="4" w:space="0" w:color="auto"/>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 </w:t>
            </w:r>
          </w:p>
        </w:tc>
      </w:tr>
      <w:tr w:rsidR="00AA788D" w:rsidRPr="00C07682" w:rsidTr="005A48A5">
        <w:trPr>
          <w:trHeight w:val="570"/>
          <w:jc w:val="center"/>
        </w:trPr>
        <w:tc>
          <w:tcPr>
            <w:tcW w:w="2494" w:type="dxa"/>
            <w:vMerge/>
            <w:tcBorders>
              <w:top w:val="nil"/>
              <w:left w:val="single" w:sz="4" w:space="0" w:color="auto"/>
              <w:bottom w:val="nil"/>
              <w:right w:val="single" w:sz="4" w:space="0" w:color="auto"/>
            </w:tcBorders>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tc>
        <w:tc>
          <w:tcPr>
            <w:tcW w:w="1050" w:type="dxa"/>
            <w:tcBorders>
              <w:top w:val="nil"/>
              <w:left w:val="nil"/>
              <w:bottom w:val="nil"/>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Marginal Effects</w:t>
            </w:r>
          </w:p>
        </w:tc>
        <w:tc>
          <w:tcPr>
            <w:tcW w:w="930" w:type="dxa"/>
            <w:tcBorders>
              <w:top w:val="nil"/>
              <w:left w:val="nil"/>
              <w:bottom w:val="nil"/>
              <w:right w:val="single" w:sz="4" w:space="0" w:color="auto"/>
            </w:tcBorders>
            <w:shd w:val="clear" w:color="auto" w:fill="auto"/>
            <w:noWrap/>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p-value</w:t>
            </w:r>
          </w:p>
        </w:tc>
        <w:tc>
          <w:tcPr>
            <w:tcW w:w="1035" w:type="dxa"/>
            <w:tcBorders>
              <w:top w:val="nil"/>
              <w:left w:val="nil"/>
              <w:bottom w:val="nil"/>
              <w:right w:val="single" w:sz="4" w:space="0" w:color="auto"/>
            </w:tcBorders>
            <w:shd w:val="clear" w:color="auto" w:fill="auto"/>
            <w:vAlign w:val="bottom"/>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Marginal Effects</w:t>
            </w:r>
          </w:p>
        </w:tc>
        <w:tc>
          <w:tcPr>
            <w:tcW w:w="960" w:type="dxa"/>
            <w:tcBorders>
              <w:top w:val="nil"/>
              <w:left w:val="nil"/>
              <w:bottom w:val="nil"/>
              <w:right w:val="single" w:sz="4" w:space="0" w:color="auto"/>
            </w:tcBorders>
            <w:shd w:val="clear" w:color="auto" w:fill="auto"/>
            <w:noWrap/>
            <w:vAlign w:val="center"/>
            <w:hideMark/>
          </w:tcPr>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p>
          <w:p w:rsidR="00AA788D" w:rsidRPr="00C07682" w:rsidRDefault="00AA788D" w:rsidP="005A48A5">
            <w:pPr>
              <w:spacing w:after="0" w:line="240" w:lineRule="auto"/>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p-value</w:t>
            </w:r>
          </w:p>
        </w:tc>
        <w:tc>
          <w:tcPr>
            <w:tcW w:w="1280" w:type="dxa"/>
            <w:tcBorders>
              <w:top w:val="nil"/>
              <w:left w:val="nil"/>
              <w:bottom w:val="nil"/>
              <w:right w:val="single" w:sz="4" w:space="0" w:color="auto"/>
            </w:tcBorders>
            <w:shd w:val="clear" w:color="auto" w:fill="auto"/>
            <w:vAlign w:val="bottom"/>
            <w:hideMark/>
          </w:tcPr>
          <w:p w:rsidR="00AA788D" w:rsidRPr="00C07682" w:rsidRDefault="00AA788D" w:rsidP="005A48A5">
            <w:pPr>
              <w:spacing w:after="0" w:line="240" w:lineRule="auto"/>
              <w:jc w:val="center"/>
              <w:rPr>
                <w:rFonts w:ascii="Calibri" w:eastAsia="Times New Roman" w:hAnsi="Calibri" w:cs="Times New Roman"/>
                <w:b/>
                <w:bCs/>
                <w:color w:val="000000"/>
                <w:sz w:val="20"/>
                <w:szCs w:val="20"/>
                <w:lang w:eastAsia="en-GB"/>
              </w:rPr>
            </w:pPr>
            <w:r w:rsidRPr="00C07682">
              <w:rPr>
                <w:rFonts w:ascii="Calibri" w:eastAsia="Times New Roman" w:hAnsi="Calibri" w:cs="Times New Roman"/>
                <w:b/>
                <w:bCs/>
                <w:color w:val="000000"/>
                <w:sz w:val="20"/>
                <w:szCs w:val="20"/>
                <w:lang w:eastAsia="en-GB"/>
              </w:rPr>
              <w:t>Difference between the two M.E.s</w:t>
            </w:r>
          </w:p>
        </w:tc>
      </w:tr>
      <w:tr w:rsidR="00AA788D" w:rsidRPr="00C07682" w:rsidTr="005A48A5">
        <w:trPr>
          <w:trHeight w:val="300"/>
          <w:jc w:val="center"/>
        </w:trPr>
        <w:tc>
          <w:tcPr>
            <w:tcW w:w="2494"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Minus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050"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0.13</w:t>
            </w:r>
          </w:p>
        </w:tc>
        <w:tc>
          <w:tcPr>
            <w:tcW w:w="930"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0.01</w:t>
            </w:r>
          </w:p>
        </w:tc>
        <w:tc>
          <w:tcPr>
            <w:tcW w:w="1035"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0.23</w:t>
            </w:r>
          </w:p>
        </w:tc>
        <w:tc>
          <w:tcPr>
            <w:tcW w:w="960"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0.01</w:t>
            </w:r>
          </w:p>
        </w:tc>
        <w:tc>
          <w:tcPr>
            <w:tcW w:w="1280" w:type="dxa"/>
            <w:tcBorders>
              <w:top w:val="single" w:sz="4" w:space="0" w:color="auto"/>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0.10</w:t>
            </w:r>
          </w:p>
        </w:tc>
      </w:tr>
      <w:tr w:rsidR="00AA788D" w:rsidRPr="00C07682" w:rsidTr="005A48A5">
        <w:trPr>
          <w:trHeight w:val="345"/>
          <w:jc w:val="center"/>
        </w:trPr>
        <w:tc>
          <w:tcPr>
            <w:tcW w:w="2494"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Mean</w:t>
            </w:r>
          </w:p>
        </w:tc>
        <w:tc>
          <w:tcPr>
            <w:tcW w:w="105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0.18</w:t>
            </w:r>
          </w:p>
        </w:tc>
        <w:tc>
          <w:tcPr>
            <w:tcW w:w="93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0.00</w:t>
            </w:r>
          </w:p>
        </w:tc>
        <w:tc>
          <w:tcPr>
            <w:tcW w:w="1035"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0.27</w:t>
            </w:r>
          </w:p>
        </w:tc>
        <w:tc>
          <w:tcPr>
            <w:tcW w:w="96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0.01</w:t>
            </w:r>
          </w:p>
        </w:tc>
        <w:tc>
          <w:tcPr>
            <w:tcW w:w="1280" w:type="dxa"/>
            <w:tcBorders>
              <w:top w:val="nil"/>
              <w:left w:val="nil"/>
              <w:bottom w:val="nil"/>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0.09</w:t>
            </w:r>
          </w:p>
        </w:tc>
      </w:tr>
      <w:tr w:rsidR="00AA788D" w:rsidRPr="00C07682" w:rsidTr="005A48A5">
        <w:trPr>
          <w:trHeight w:val="300"/>
          <w:jc w:val="center"/>
        </w:trPr>
        <w:tc>
          <w:tcPr>
            <w:tcW w:w="2494"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rPr>
                <w:rFonts w:ascii="Calibri" w:eastAsia="Times New Roman" w:hAnsi="Calibri" w:cs="Times New Roman"/>
                <w:i/>
                <w:iCs/>
                <w:color w:val="000000"/>
                <w:sz w:val="20"/>
                <w:szCs w:val="20"/>
                <w:lang w:eastAsia="en-GB"/>
              </w:rPr>
            </w:pPr>
            <w:r w:rsidRPr="00C07682">
              <w:rPr>
                <w:rFonts w:ascii="Calibri" w:eastAsia="Times New Roman" w:hAnsi="Calibri" w:cs="Times New Roman"/>
                <w:i/>
                <w:iCs/>
                <w:color w:val="000000"/>
                <w:sz w:val="20"/>
                <w:szCs w:val="20"/>
                <w:lang w:eastAsia="en-GB"/>
              </w:rPr>
              <w:t xml:space="preserve">Plus 1 </w:t>
            </w:r>
            <w:proofErr w:type="spellStart"/>
            <w:r w:rsidRPr="00C07682">
              <w:rPr>
                <w:rFonts w:ascii="Calibri" w:eastAsia="Times New Roman" w:hAnsi="Calibri" w:cs="Times New Roman"/>
                <w:i/>
                <w:iCs/>
                <w:color w:val="000000"/>
                <w:sz w:val="20"/>
                <w:szCs w:val="20"/>
                <w:lang w:eastAsia="en-GB"/>
              </w:rPr>
              <w:t>s.d</w:t>
            </w:r>
            <w:proofErr w:type="spellEnd"/>
            <w:r w:rsidRPr="00C07682">
              <w:rPr>
                <w:rFonts w:ascii="Calibri" w:eastAsia="Times New Roman" w:hAnsi="Calibri" w:cs="Times New Roman"/>
                <w:i/>
                <w:iCs/>
                <w:color w:val="000000"/>
                <w:sz w:val="20"/>
                <w:szCs w:val="20"/>
                <w:lang w:eastAsia="en-GB"/>
              </w:rPr>
              <w:t>. from the mean</w:t>
            </w:r>
          </w:p>
        </w:tc>
        <w:tc>
          <w:tcPr>
            <w:tcW w:w="105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0.22</w:t>
            </w:r>
          </w:p>
        </w:tc>
        <w:tc>
          <w:tcPr>
            <w:tcW w:w="93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0.00</w:t>
            </w:r>
          </w:p>
        </w:tc>
        <w:tc>
          <w:tcPr>
            <w:tcW w:w="1035"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0.29</w:t>
            </w:r>
          </w:p>
        </w:tc>
        <w:tc>
          <w:tcPr>
            <w:tcW w:w="96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0.01</w:t>
            </w:r>
          </w:p>
        </w:tc>
        <w:tc>
          <w:tcPr>
            <w:tcW w:w="1280" w:type="dxa"/>
            <w:tcBorders>
              <w:top w:val="nil"/>
              <w:left w:val="nil"/>
              <w:bottom w:val="single" w:sz="4" w:space="0" w:color="auto"/>
              <w:right w:val="nil"/>
            </w:tcBorders>
            <w:shd w:val="clear" w:color="auto" w:fill="auto"/>
            <w:noWrap/>
            <w:vAlign w:val="bottom"/>
            <w:hideMark/>
          </w:tcPr>
          <w:p w:rsidR="00AA788D" w:rsidRPr="00C07682" w:rsidRDefault="00AA788D" w:rsidP="005A48A5">
            <w:pPr>
              <w:spacing w:after="0" w:line="240" w:lineRule="auto"/>
              <w:jc w:val="center"/>
              <w:rPr>
                <w:rFonts w:ascii="Calibri" w:eastAsia="Times New Roman" w:hAnsi="Calibri" w:cs="Times New Roman"/>
                <w:color w:val="000000"/>
                <w:sz w:val="20"/>
                <w:szCs w:val="20"/>
                <w:lang w:eastAsia="en-GB"/>
              </w:rPr>
            </w:pPr>
            <w:r w:rsidRPr="00C07682">
              <w:rPr>
                <w:rFonts w:ascii="Calibri" w:eastAsia="Times New Roman" w:hAnsi="Calibri" w:cs="Times New Roman"/>
                <w:color w:val="000000"/>
                <w:sz w:val="20"/>
                <w:szCs w:val="20"/>
                <w:lang w:eastAsia="en-GB"/>
              </w:rPr>
              <w:t>0.07</w:t>
            </w:r>
          </w:p>
        </w:tc>
      </w:tr>
    </w:tbl>
    <w:p w:rsidR="00AA788D" w:rsidRPr="00C07682" w:rsidRDefault="00AA788D" w:rsidP="002C250C">
      <w:pPr>
        <w:rPr>
          <w:b/>
          <w:sz w:val="20"/>
          <w:szCs w:val="20"/>
        </w:rPr>
      </w:pPr>
    </w:p>
    <w:p w:rsidR="00AA788D" w:rsidRPr="00EF41FB" w:rsidRDefault="00AA788D" w:rsidP="002C250C">
      <w:pPr>
        <w:jc w:val="center"/>
        <w:rPr>
          <w:b/>
        </w:rPr>
      </w:pPr>
    </w:p>
    <w:p w:rsidR="0023277D" w:rsidRDefault="0023277D"/>
    <w:sectPr w:rsidR="0023277D" w:rsidSect="0037042C">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8D" w:rsidRDefault="00AA788D" w:rsidP="00AA788D">
      <w:pPr>
        <w:spacing w:after="0" w:line="240" w:lineRule="auto"/>
      </w:pPr>
      <w:r>
        <w:separator/>
      </w:r>
    </w:p>
  </w:endnote>
  <w:endnote w:type="continuationSeparator" w:id="0">
    <w:p w:rsidR="00AA788D" w:rsidRDefault="00AA788D" w:rsidP="00AA7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dvEPSTIM">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B0" w:rsidRDefault="00AA788D">
    <w:pPr>
      <w:pStyle w:val="Footer"/>
      <w:jc w:val="center"/>
    </w:pPr>
    <w:r>
      <w:fldChar w:fldCharType="begin"/>
    </w:r>
    <w:r>
      <w:instrText xml:space="preserve"> PAGE   \* MERGEFORMAT </w:instrText>
    </w:r>
    <w:r>
      <w:fldChar w:fldCharType="separate"/>
    </w:r>
    <w:r>
      <w:rPr>
        <w:noProof/>
      </w:rPr>
      <w:t>48</w:t>
    </w:r>
    <w:r>
      <w:fldChar w:fldCharType="end"/>
    </w:r>
  </w:p>
  <w:p w:rsidR="00AA73B0" w:rsidRDefault="00AA7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8D" w:rsidRDefault="00AA788D" w:rsidP="00AA788D">
      <w:pPr>
        <w:spacing w:after="0" w:line="240" w:lineRule="auto"/>
      </w:pPr>
      <w:r>
        <w:separator/>
      </w:r>
    </w:p>
  </w:footnote>
  <w:footnote w:type="continuationSeparator" w:id="0">
    <w:p w:rsidR="00AA788D" w:rsidRDefault="00AA788D" w:rsidP="00AA788D">
      <w:pPr>
        <w:spacing w:after="0" w:line="240" w:lineRule="auto"/>
      </w:pPr>
      <w:r>
        <w:continuationSeparator/>
      </w:r>
    </w:p>
  </w:footnote>
  <w:footnote w:id="1">
    <w:p w:rsidR="00AA788D" w:rsidRPr="00AA788D" w:rsidRDefault="00AA788D" w:rsidP="00AA788D">
      <w:pPr>
        <w:pStyle w:val="FootnoteText"/>
        <w:ind w:left="0" w:firstLine="0"/>
        <w:rPr>
          <w:i/>
        </w:rPr>
      </w:pPr>
      <w:r>
        <w:rPr>
          <w:rStyle w:val="FootnoteReference"/>
        </w:rPr>
        <w:footnoteRef/>
      </w:r>
      <w:r>
        <w:t xml:space="preserve"> The article has now been accepted for publication in the </w:t>
      </w:r>
      <w:r>
        <w:rPr>
          <w:i/>
        </w:rPr>
        <w:t xml:space="preserve">Journal of Development Studies </w:t>
      </w:r>
      <w:r w:rsidRPr="00AA788D">
        <w:t>(</w:t>
      </w:r>
      <w:r>
        <w:rPr>
          <w:color w:val="000000"/>
          <w:sz w:val="16"/>
          <w:szCs w:val="16"/>
        </w:rPr>
        <w:t>DOI: 10.1080/00220388.2014.989991).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311"/>
    <w:multiLevelType w:val="hybridMultilevel"/>
    <w:tmpl w:val="26EEFD8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8BF5250"/>
    <w:multiLevelType w:val="hybridMultilevel"/>
    <w:tmpl w:val="FEC0BDF6"/>
    <w:lvl w:ilvl="0" w:tplc="161A3DA2">
      <w:start w:val="5"/>
      <w:numFmt w:val="decimal"/>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
    <w:nsid w:val="2EFA6CC8"/>
    <w:multiLevelType w:val="hybridMultilevel"/>
    <w:tmpl w:val="74D0BCD6"/>
    <w:lvl w:ilvl="0" w:tplc="02A4B2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nsid w:val="3CD570F9"/>
    <w:multiLevelType w:val="hybridMultilevel"/>
    <w:tmpl w:val="79D42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35382B"/>
    <w:multiLevelType w:val="hybridMultilevel"/>
    <w:tmpl w:val="4EB4D8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9141E0"/>
    <w:multiLevelType w:val="hybridMultilevel"/>
    <w:tmpl w:val="C5525B2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B332BF1"/>
    <w:multiLevelType w:val="hybridMultilevel"/>
    <w:tmpl w:val="E42E5F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788D"/>
    <w:rsid w:val="0023277D"/>
    <w:rsid w:val="00AA78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788D"/>
    <w:pPr>
      <w:spacing w:before="100" w:beforeAutospacing="1" w:after="0" w:line="240" w:lineRule="auto"/>
      <w:ind w:left="720" w:firstLine="720"/>
      <w:contextualSpacing/>
      <w:jc w:val="both"/>
    </w:pPr>
    <w:rPr>
      <w:rFonts w:ascii="Calibri" w:eastAsia="Calibri" w:hAnsi="Calibri" w:cs="Times New Roman"/>
    </w:rPr>
  </w:style>
  <w:style w:type="paragraph" w:styleId="BodyText">
    <w:name w:val="Body Text"/>
    <w:basedOn w:val="Normal"/>
    <w:link w:val="BodyTextChar"/>
    <w:uiPriority w:val="99"/>
    <w:rsid w:val="00AA788D"/>
    <w:pPr>
      <w:spacing w:after="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99"/>
    <w:rsid w:val="00AA788D"/>
    <w:rPr>
      <w:rFonts w:ascii="Times New Roman" w:eastAsia="Calibri" w:hAnsi="Times New Roman" w:cs="Times New Roman"/>
      <w:sz w:val="24"/>
      <w:szCs w:val="20"/>
    </w:rPr>
  </w:style>
  <w:style w:type="character" w:customStyle="1" w:styleId="apple-style-span">
    <w:name w:val="apple-style-span"/>
    <w:uiPriority w:val="99"/>
    <w:rsid w:val="00AA788D"/>
    <w:rPr>
      <w:rFonts w:cs="Times New Roman"/>
    </w:rPr>
  </w:style>
  <w:style w:type="character" w:styleId="Emphasis">
    <w:name w:val="Emphasis"/>
    <w:uiPriority w:val="20"/>
    <w:qFormat/>
    <w:rsid w:val="00AA788D"/>
    <w:rPr>
      <w:rFonts w:cs="Times New Roman"/>
      <w:i/>
      <w:iCs/>
    </w:rPr>
  </w:style>
  <w:style w:type="paragraph" w:styleId="FootnoteText">
    <w:name w:val="footnote text"/>
    <w:basedOn w:val="Normal"/>
    <w:link w:val="FootnoteTextChar"/>
    <w:uiPriority w:val="99"/>
    <w:semiHidden/>
    <w:rsid w:val="00AA788D"/>
    <w:pPr>
      <w:spacing w:before="100" w:beforeAutospacing="1" w:after="0" w:line="240" w:lineRule="auto"/>
      <w:ind w:left="720" w:firstLine="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A788D"/>
    <w:rPr>
      <w:rFonts w:ascii="Calibri" w:eastAsia="Calibri" w:hAnsi="Calibri" w:cs="Times New Roman"/>
      <w:sz w:val="20"/>
      <w:szCs w:val="20"/>
    </w:rPr>
  </w:style>
  <w:style w:type="character" w:styleId="FootnoteReference">
    <w:name w:val="footnote reference"/>
    <w:uiPriority w:val="99"/>
    <w:semiHidden/>
    <w:rsid w:val="00AA788D"/>
    <w:rPr>
      <w:rFonts w:cs="Times New Roman"/>
      <w:vertAlign w:val="superscript"/>
    </w:rPr>
  </w:style>
  <w:style w:type="paragraph" w:styleId="Header">
    <w:name w:val="header"/>
    <w:basedOn w:val="Normal"/>
    <w:link w:val="HeaderChar"/>
    <w:uiPriority w:val="99"/>
    <w:semiHidden/>
    <w:rsid w:val="00AA788D"/>
    <w:pPr>
      <w:tabs>
        <w:tab w:val="center" w:pos="4513"/>
        <w:tab w:val="right" w:pos="9026"/>
      </w:tabs>
      <w:spacing w:before="100" w:beforeAutospacing="1" w:after="0" w:line="240" w:lineRule="auto"/>
      <w:ind w:left="720" w:firstLine="720"/>
      <w:jc w:val="both"/>
    </w:pPr>
    <w:rPr>
      <w:rFonts w:ascii="Calibri" w:eastAsia="Calibri" w:hAnsi="Calibri" w:cs="Times New Roman"/>
    </w:rPr>
  </w:style>
  <w:style w:type="character" w:customStyle="1" w:styleId="HeaderChar">
    <w:name w:val="Header Char"/>
    <w:basedOn w:val="DefaultParagraphFont"/>
    <w:link w:val="Header"/>
    <w:uiPriority w:val="99"/>
    <w:semiHidden/>
    <w:rsid w:val="00AA788D"/>
    <w:rPr>
      <w:rFonts w:ascii="Calibri" w:eastAsia="Calibri" w:hAnsi="Calibri" w:cs="Times New Roman"/>
    </w:rPr>
  </w:style>
  <w:style w:type="paragraph" w:styleId="Footer">
    <w:name w:val="footer"/>
    <w:basedOn w:val="Normal"/>
    <w:link w:val="FooterChar"/>
    <w:uiPriority w:val="99"/>
    <w:rsid w:val="00AA788D"/>
    <w:pPr>
      <w:tabs>
        <w:tab w:val="center" w:pos="4513"/>
        <w:tab w:val="right" w:pos="9026"/>
      </w:tabs>
      <w:spacing w:before="100" w:beforeAutospacing="1" w:after="0" w:line="240" w:lineRule="auto"/>
      <w:ind w:left="720" w:firstLine="720"/>
      <w:jc w:val="both"/>
    </w:pPr>
    <w:rPr>
      <w:rFonts w:ascii="Calibri" w:eastAsia="Calibri" w:hAnsi="Calibri" w:cs="Times New Roman"/>
    </w:rPr>
  </w:style>
  <w:style w:type="character" w:customStyle="1" w:styleId="FooterChar">
    <w:name w:val="Footer Char"/>
    <w:basedOn w:val="DefaultParagraphFont"/>
    <w:link w:val="Footer"/>
    <w:uiPriority w:val="99"/>
    <w:rsid w:val="00AA788D"/>
    <w:rPr>
      <w:rFonts w:ascii="Calibri" w:eastAsia="Calibri" w:hAnsi="Calibri" w:cs="Times New Roman"/>
    </w:rPr>
  </w:style>
  <w:style w:type="character" w:styleId="Hyperlink">
    <w:name w:val="Hyperlink"/>
    <w:unhideWhenUsed/>
    <w:rsid w:val="00AA788D"/>
    <w:rPr>
      <w:color w:val="0000FF"/>
      <w:u w:val="single"/>
    </w:rPr>
  </w:style>
  <w:style w:type="character" w:styleId="HTMLCite">
    <w:name w:val="HTML Cite"/>
    <w:rsid w:val="00AA788D"/>
    <w:rPr>
      <w:i/>
      <w:iCs/>
    </w:rPr>
  </w:style>
  <w:style w:type="paragraph" w:customStyle="1" w:styleId="WPBodyText">
    <w:name w:val="WP_Body Text"/>
    <w:basedOn w:val="Normal"/>
    <w:rsid w:val="00AA788D"/>
    <w:pPr>
      <w:widowControl w:val="0"/>
      <w:spacing w:after="0" w:line="240" w:lineRule="auto"/>
      <w:jc w:val="both"/>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A788D"/>
    <w:pPr>
      <w:spacing w:beforeAutospacing="1" w:after="0" w:line="240" w:lineRule="auto"/>
      <w:ind w:left="720" w:firstLine="720"/>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A788D"/>
    <w:rPr>
      <w:rFonts w:ascii="Tahoma" w:eastAsia="Calibri" w:hAnsi="Tahoma" w:cs="Times New Roman"/>
      <w:sz w:val="16"/>
      <w:szCs w:val="16"/>
    </w:rPr>
  </w:style>
  <w:style w:type="paragraph" w:styleId="PlainText">
    <w:name w:val="Plain Text"/>
    <w:basedOn w:val="Normal"/>
    <w:link w:val="PlainTextChar"/>
    <w:uiPriority w:val="99"/>
    <w:semiHidden/>
    <w:unhideWhenUsed/>
    <w:rsid w:val="00AA788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AA788D"/>
    <w:rPr>
      <w:rFonts w:ascii="Calibri" w:eastAsia="Calibri" w:hAnsi="Calibri" w:cs="Times New Roman"/>
      <w:szCs w:val="21"/>
    </w:rPr>
  </w:style>
  <w:style w:type="character" w:styleId="CommentReference">
    <w:name w:val="annotation reference"/>
    <w:basedOn w:val="DefaultParagraphFont"/>
    <w:uiPriority w:val="99"/>
    <w:semiHidden/>
    <w:unhideWhenUsed/>
    <w:rsid w:val="00AA788D"/>
    <w:rPr>
      <w:sz w:val="16"/>
      <w:szCs w:val="16"/>
    </w:rPr>
  </w:style>
  <w:style w:type="paragraph" w:styleId="CommentText">
    <w:name w:val="annotation text"/>
    <w:basedOn w:val="Normal"/>
    <w:link w:val="CommentTextChar"/>
    <w:uiPriority w:val="99"/>
    <w:semiHidden/>
    <w:unhideWhenUsed/>
    <w:rsid w:val="00AA788D"/>
    <w:pPr>
      <w:spacing w:before="100" w:beforeAutospacing="1" w:after="0" w:line="240" w:lineRule="auto"/>
      <w:ind w:left="720" w:firstLine="720"/>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78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788D"/>
    <w:rPr>
      <w:b/>
      <w:bCs/>
    </w:rPr>
  </w:style>
  <w:style w:type="character" w:customStyle="1" w:styleId="CommentSubjectChar">
    <w:name w:val="Comment Subject Char"/>
    <w:basedOn w:val="CommentTextChar"/>
    <w:link w:val="CommentSubject"/>
    <w:uiPriority w:val="99"/>
    <w:semiHidden/>
    <w:rsid w:val="00AA788D"/>
    <w:rPr>
      <w:b/>
      <w:bCs/>
    </w:rPr>
  </w:style>
  <w:style w:type="character" w:customStyle="1" w:styleId="apple-converted-space">
    <w:name w:val="apple-converted-space"/>
    <w:basedOn w:val="DefaultParagraphFont"/>
    <w:rsid w:val="00AA788D"/>
  </w:style>
  <w:style w:type="paragraph" w:styleId="DocumentMap">
    <w:name w:val="Document Map"/>
    <w:basedOn w:val="Normal"/>
    <w:link w:val="DocumentMapChar"/>
    <w:uiPriority w:val="99"/>
    <w:semiHidden/>
    <w:unhideWhenUsed/>
    <w:rsid w:val="00AA788D"/>
    <w:pPr>
      <w:spacing w:beforeAutospacing="1" w:after="0" w:line="240" w:lineRule="auto"/>
      <w:ind w:left="720" w:firstLine="720"/>
      <w:jc w:val="both"/>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A788D"/>
    <w:rPr>
      <w:rFonts w:ascii="Tahoma" w:eastAsia="Calibri" w:hAnsi="Tahoma" w:cs="Tahoma"/>
      <w:sz w:val="16"/>
      <w:szCs w:val="16"/>
    </w:rPr>
  </w:style>
  <w:style w:type="paragraph" w:customStyle="1" w:styleId="Default">
    <w:name w:val="Default"/>
    <w:rsid w:val="00AA788D"/>
    <w:pPr>
      <w:autoSpaceDE w:val="0"/>
      <w:autoSpaceDN w:val="0"/>
      <w:adjustRightInd w:val="0"/>
      <w:spacing w:after="0" w:line="240" w:lineRule="auto"/>
    </w:pPr>
    <w:rPr>
      <w:rFonts w:ascii="Code" w:eastAsia="Calibri" w:hAnsi="Code" w:cs="Code"/>
      <w:color w:val="000000"/>
      <w:sz w:val="24"/>
      <w:szCs w:val="24"/>
      <w:lang w:eastAsia="en-GB"/>
    </w:rPr>
  </w:style>
  <w:style w:type="table" w:styleId="TableGrid">
    <w:name w:val="Table Grid"/>
    <w:basedOn w:val="TableNormal"/>
    <w:uiPriority w:val="59"/>
    <w:rsid w:val="00AA788D"/>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AA788D"/>
    <w:pPr>
      <w:spacing w:before="100" w:beforeAutospacing="1" w:after="120" w:line="480" w:lineRule="auto"/>
      <w:ind w:left="720" w:firstLine="720"/>
      <w:jc w:val="both"/>
    </w:pPr>
    <w:rPr>
      <w:rFonts w:ascii="Calibri" w:eastAsia="Calibri" w:hAnsi="Calibri" w:cs="Times New Roman"/>
    </w:rPr>
  </w:style>
  <w:style w:type="character" w:customStyle="1" w:styleId="BodyText2Char">
    <w:name w:val="Body Text 2 Char"/>
    <w:basedOn w:val="DefaultParagraphFont"/>
    <w:link w:val="BodyText2"/>
    <w:uiPriority w:val="99"/>
    <w:semiHidden/>
    <w:rsid w:val="00AA788D"/>
    <w:rPr>
      <w:rFonts w:ascii="Calibri" w:eastAsia="Calibri" w:hAnsi="Calibri" w:cs="Times New Roman"/>
    </w:rPr>
  </w:style>
  <w:style w:type="paragraph" w:styleId="Revision">
    <w:name w:val="Revision"/>
    <w:hidden/>
    <w:uiPriority w:val="99"/>
    <w:semiHidden/>
    <w:rsid w:val="00AA78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xm@aber.ac.uk" TargetMode="External"/><Relationship Id="rId13" Type="http://schemas.openxmlformats.org/officeDocument/2006/relationships/hyperlink" Target="http://www.jstor.org.ezproxy.uwe.ac.uk/stable/116954" TargetMode="Externa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obil.ruziev@uwe.ac.uk" TargetMode="External"/><Relationship Id="rId12" Type="http://schemas.openxmlformats.org/officeDocument/2006/relationships/hyperlink" Target="http://dx.doi.org/10.1086%2F250042"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eas.repec.org/s/nbr/nberwo.html"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ideas.repec.org/p/nbr/nberwo/10485.html" TargetMode="Externa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cbu.uz/uzc/section/monet_policy/monet_direct"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kr\Desktop\PAPER%202%20June%202012\1st%20Draft\Fgures%20and%20Tables\Uzbek%20Financial%20Dev%20Section\Banking%20Sector%20Reform%20Index%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kr\Desktop\PAPER%202%20June%202012\1st%20Draft\Fgures%20and%20Tables\Uzbek%20Financial%20Dev%20Section\Banking%20Sector%20Reform%20Index%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bil%20Ruziev\Desktop\PAPER%202%20June%202012\1st%20Draft\Fgures%20and%20Tables\Uzbek%20Financial%20Dev%20Section\Selected%20Fin%20Sec%20Indicator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kkr\Desktop\PAPER%202%20June%202012\1st%20Draft\Fgures%20and%20Tables\Survey%20stats\Important%20Survey%20Data%20Stats%20for%20BA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kr\Desktop\PAPER%202%20June%202012\1st%20Draft\Fgures%20and%20Tables\Survey%20stats\Important%20Survey%20Data%20Stats%20for%20BA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000"/>
              <a:t>Figure 1. EBRD's Banking Sector Reforms and Small Scale Privatisation Indices for TEs in 2010.</a:t>
            </a:r>
          </a:p>
        </c:rich>
      </c:tx>
      <c:layout/>
    </c:title>
    <c:plotArea>
      <c:layout/>
      <c:scatterChart>
        <c:scatterStyle val="lineMarker"/>
        <c:ser>
          <c:idx val="0"/>
          <c:order val="0"/>
          <c:tx>
            <c:strRef>
              <c:f>'EBRD indices'!$D$2</c:f>
              <c:strCache>
                <c:ptCount val="1"/>
                <c:pt idx="0">
                  <c:v>Banking Sector Reforms</c:v>
                </c:pt>
              </c:strCache>
            </c:strRef>
          </c:tx>
          <c:spPr>
            <a:ln w="28575">
              <a:noFill/>
            </a:ln>
          </c:spPr>
          <c:dLbls>
            <c:dLbl>
              <c:idx val="0"/>
              <c:layout/>
              <c:tx>
                <c:rich>
                  <a:bodyPr/>
                  <a:lstStyle/>
                  <a:p>
                    <a:r>
                      <a:rPr lang="en-US"/>
                      <a:t>ALB</a:t>
                    </a:r>
                  </a:p>
                </c:rich>
              </c:tx>
              <c:showVal val="1"/>
            </c:dLbl>
            <c:dLbl>
              <c:idx val="1"/>
              <c:layout>
                <c:manualLayout>
                  <c:x val="-7.2498715186992482E-2"/>
                  <c:y val="1.58259198660156E-2"/>
                </c:manualLayout>
              </c:layout>
              <c:tx>
                <c:rich>
                  <a:bodyPr/>
                  <a:lstStyle/>
                  <a:p>
                    <a:r>
                      <a:rPr lang="en-US"/>
                      <a:t>ARM</a:t>
                    </a:r>
                  </a:p>
                </c:rich>
              </c:tx>
              <c:showVal val="1"/>
            </c:dLbl>
            <c:dLbl>
              <c:idx val="2"/>
              <c:layout/>
              <c:tx>
                <c:rich>
                  <a:bodyPr/>
                  <a:lstStyle/>
                  <a:p>
                    <a:r>
                      <a:rPr lang="en-US"/>
                      <a:t>AZE</a:t>
                    </a:r>
                  </a:p>
                </c:rich>
              </c:tx>
              <c:showVal val="1"/>
            </c:dLbl>
            <c:dLbl>
              <c:idx val="3"/>
              <c:layout/>
              <c:tx>
                <c:rich>
                  <a:bodyPr/>
                  <a:lstStyle/>
                  <a:p>
                    <a:r>
                      <a:rPr lang="en-US"/>
                      <a:t>BEL</a:t>
                    </a:r>
                  </a:p>
                </c:rich>
              </c:tx>
              <c:showVal val="1"/>
            </c:dLbl>
            <c:dLbl>
              <c:idx val="4"/>
              <c:layout/>
              <c:tx>
                <c:rich>
                  <a:bodyPr/>
                  <a:lstStyle/>
                  <a:p>
                    <a:r>
                      <a:rPr lang="en-US"/>
                      <a:t>BOS</a:t>
                    </a:r>
                  </a:p>
                </c:rich>
              </c:tx>
              <c:showVal val="1"/>
            </c:dLbl>
            <c:dLbl>
              <c:idx val="5"/>
              <c:layout>
                <c:manualLayout>
                  <c:x val="0"/>
                  <c:y val="-3.9564799665038793E-3"/>
                </c:manualLayout>
              </c:layout>
              <c:tx>
                <c:rich>
                  <a:bodyPr/>
                  <a:lstStyle/>
                  <a:p>
                    <a:r>
                      <a:rPr lang="en-US"/>
                      <a:t>BUL</a:t>
                    </a:r>
                  </a:p>
                </c:rich>
              </c:tx>
              <c:showVal val="1"/>
            </c:dLbl>
            <c:dLbl>
              <c:idx val="6"/>
              <c:layout>
                <c:manualLayout>
                  <c:x val="-1.0649627263045821E-2"/>
                  <c:y val="-6.7260159430565958E-2"/>
                </c:manualLayout>
              </c:layout>
              <c:tx>
                <c:rich>
                  <a:bodyPr/>
                  <a:lstStyle/>
                  <a:p>
                    <a:r>
                      <a:rPr lang="en-US"/>
                      <a:t>CRO</a:t>
                    </a:r>
                  </a:p>
                </c:rich>
              </c:tx>
              <c:showVal val="1"/>
            </c:dLbl>
            <c:dLbl>
              <c:idx val="7"/>
              <c:layout>
                <c:manualLayout>
                  <c:x val="-1.0649627263045821E-2"/>
                  <c:y val="-3.1651839732031041E-2"/>
                </c:manualLayout>
              </c:layout>
              <c:tx>
                <c:rich>
                  <a:bodyPr/>
                  <a:lstStyle/>
                  <a:p>
                    <a:r>
                      <a:rPr lang="en-US"/>
                      <a:t>EST</a:t>
                    </a:r>
                  </a:p>
                </c:rich>
              </c:tx>
              <c:showVal val="1"/>
            </c:dLbl>
            <c:dLbl>
              <c:idx val="8"/>
              <c:layout>
                <c:manualLayout>
                  <c:x val="-4.3143304359754657E-2"/>
                  <c:y val="-6.3303679464062082E-2"/>
                </c:manualLayout>
              </c:layout>
              <c:tx>
                <c:rich>
                  <a:bodyPr/>
                  <a:lstStyle/>
                  <a:p>
                    <a:r>
                      <a:rPr lang="en-US"/>
                      <a:t>MAC</a:t>
                    </a:r>
                  </a:p>
                </c:rich>
              </c:tx>
              <c:showVal val="1"/>
            </c:dLbl>
            <c:dLbl>
              <c:idx val="9"/>
              <c:layout>
                <c:manualLayout>
                  <c:x val="-7.6557463810236715E-3"/>
                  <c:y val="-1.58259198660156E-2"/>
                </c:manualLayout>
              </c:layout>
              <c:tx>
                <c:rich>
                  <a:bodyPr/>
                  <a:lstStyle/>
                  <a:p>
                    <a:r>
                      <a:rPr lang="en-US"/>
                      <a:t>GEO</a:t>
                    </a:r>
                  </a:p>
                </c:rich>
              </c:tx>
              <c:showVal val="1"/>
            </c:dLbl>
            <c:dLbl>
              <c:idx val="10"/>
              <c:layout>
                <c:manualLayout>
                  <c:x val="-1.0649627263045821E-2"/>
                  <c:y val="-4.7477759598046683E-2"/>
                </c:manualLayout>
              </c:layout>
              <c:tx>
                <c:rich>
                  <a:bodyPr/>
                  <a:lstStyle/>
                  <a:p>
                    <a:r>
                      <a:rPr lang="en-US"/>
                      <a:t>HUN</a:t>
                    </a:r>
                  </a:p>
                </c:rich>
              </c:tx>
              <c:showVal val="1"/>
            </c:dLbl>
            <c:dLbl>
              <c:idx val="11"/>
              <c:layout>
                <c:manualLayout>
                  <c:x val="-4.1088861295004416E-3"/>
                  <c:y val="1.58259198660156E-2"/>
                </c:manualLayout>
              </c:layout>
              <c:tx>
                <c:rich>
                  <a:bodyPr/>
                  <a:lstStyle/>
                  <a:p>
                    <a:r>
                      <a:rPr lang="en-US"/>
                      <a:t>KAZ</a:t>
                    </a:r>
                  </a:p>
                </c:rich>
              </c:tx>
              <c:showVal val="1"/>
            </c:dLbl>
            <c:dLbl>
              <c:idx val="12"/>
              <c:layout>
                <c:manualLayout>
                  <c:x val="-4.5478790493548533E-2"/>
                  <c:y val="3.2967032967033141E-2"/>
                </c:manualLayout>
              </c:layout>
              <c:tx>
                <c:rich>
                  <a:bodyPr/>
                  <a:lstStyle/>
                  <a:p>
                    <a:r>
                      <a:rPr lang="en-US"/>
                      <a:t>KYR</a:t>
                    </a:r>
                  </a:p>
                </c:rich>
              </c:tx>
              <c:showVal val="1"/>
            </c:dLbl>
            <c:dLbl>
              <c:idx val="13"/>
              <c:layout>
                <c:manualLayout>
                  <c:x val="-3.7155467878558146E-3"/>
                  <c:y val="-1.4652014652014655E-2"/>
                </c:manualLayout>
              </c:layout>
              <c:tx>
                <c:rich>
                  <a:bodyPr/>
                  <a:lstStyle/>
                  <a:p>
                    <a:r>
                      <a:rPr lang="en-US"/>
                      <a:t>LAT</a:t>
                    </a:r>
                  </a:p>
                </c:rich>
              </c:tx>
              <c:showVal val="1"/>
            </c:dLbl>
            <c:dLbl>
              <c:idx val="14"/>
              <c:layout>
                <c:manualLayout>
                  <c:x val="-5.6737597705222922E-2"/>
                  <c:y val="-2.2564967840558389E-2"/>
                </c:manualLayout>
              </c:layout>
              <c:tx>
                <c:rich>
                  <a:bodyPr/>
                  <a:lstStyle/>
                  <a:p>
                    <a:r>
                      <a:rPr lang="en-US"/>
                      <a:t>LIT</a:t>
                    </a:r>
                  </a:p>
                </c:rich>
              </c:tx>
              <c:showVal val="1"/>
            </c:dLbl>
            <c:dLbl>
              <c:idx val="15"/>
              <c:layout>
                <c:manualLayout>
                  <c:x val="-4.3143304359754657E-2"/>
                  <c:y val="-3.5608319698535076E-2"/>
                </c:manualLayout>
              </c:layout>
              <c:tx>
                <c:rich>
                  <a:bodyPr/>
                  <a:lstStyle/>
                  <a:p>
                    <a:r>
                      <a:rPr lang="en-US"/>
                      <a:t>MOL</a:t>
                    </a:r>
                  </a:p>
                </c:rich>
              </c:tx>
              <c:showVal val="1"/>
            </c:dLbl>
            <c:dLbl>
              <c:idx val="16"/>
              <c:layout>
                <c:manualLayout>
                  <c:x val="0"/>
                  <c:y val="0"/>
                </c:manualLayout>
              </c:layout>
              <c:tx>
                <c:rich>
                  <a:bodyPr/>
                  <a:lstStyle/>
                  <a:p>
                    <a:r>
                      <a:rPr lang="en-US"/>
                      <a:t>MON</a:t>
                    </a:r>
                  </a:p>
                </c:rich>
              </c:tx>
              <c:showVal val="1"/>
            </c:dLbl>
            <c:dLbl>
              <c:idx val="17"/>
              <c:layout>
                <c:manualLayout>
                  <c:x val="-5.769971163706351E-3"/>
                  <c:y val="1.3043465720631102E-2"/>
                </c:manualLayout>
              </c:layout>
              <c:tx>
                <c:rich>
                  <a:bodyPr/>
                  <a:lstStyle/>
                  <a:p>
                    <a:r>
                      <a:rPr lang="en-US"/>
                      <a:t>POL</a:t>
                    </a:r>
                  </a:p>
                </c:rich>
              </c:tx>
              <c:showVal val="1"/>
            </c:dLbl>
            <c:dLbl>
              <c:idx val="18"/>
              <c:layout/>
              <c:tx>
                <c:rich>
                  <a:bodyPr/>
                  <a:lstStyle/>
                  <a:p>
                    <a:r>
                      <a:rPr lang="en-US"/>
                      <a:t>ROM</a:t>
                    </a:r>
                  </a:p>
                </c:rich>
              </c:tx>
              <c:showVal val="1"/>
            </c:dLbl>
            <c:dLbl>
              <c:idx val="19"/>
              <c:layout>
                <c:manualLayout>
                  <c:x val="-6.6953556383147303E-2"/>
                  <c:y val="-1.58259198660156E-2"/>
                </c:manualLayout>
              </c:layout>
              <c:tx>
                <c:rich>
                  <a:bodyPr/>
                  <a:lstStyle/>
                  <a:p>
                    <a:r>
                      <a:rPr lang="en-US"/>
                      <a:t>RUS</a:t>
                    </a:r>
                  </a:p>
                </c:rich>
              </c:tx>
              <c:showVal val="1"/>
            </c:dLbl>
            <c:dLbl>
              <c:idx val="20"/>
              <c:layout>
                <c:manualLayout>
                  <c:x val="0"/>
                  <c:y val="3.1651839732031041E-2"/>
                </c:manualLayout>
              </c:layout>
              <c:tx>
                <c:rich>
                  <a:bodyPr/>
                  <a:lstStyle/>
                  <a:p>
                    <a:r>
                      <a:rPr lang="en-US"/>
                      <a:t>SER</a:t>
                    </a:r>
                  </a:p>
                </c:rich>
              </c:tx>
              <c:showVal val="1"/>
            </c:dLbl>
            <c:dLbl>
              <c:idx val="21"/>
              <c:layout>
                <c:manualLayout>
                  <c:x val="-5.8848185282401176E-2"/>
                  <c:y val="1.3043465720631102E-2"/>
                </c:manualLayout>
              </c:layout>
              <c:tx>
                <c:rich>
                  <a:bodyPr/>
                  <a:lstStyle/>
                  <a:p>
                    <a:r>
                      <a:rPr lang="en-US"/>
                      <a:t>SLK</a:t>
                    </a:r>
                  </a:p>
                </c:rich>
              </c:tx>
              <c:showVal val="1"/>
            </c:dLbl>
            <c:dLbl>
              <c:idx val="22"/>
              <c:layout>
                <c:manualLayout>
                  <c:x val="-5.7524405813006628E-2"/>
                  <c:y val="0"/>
                </c:manualLayout>
              </c:layout>
              <c:tx>
                <c:rich>
                  <a:bodyPr/>
                  <a:lstStyle/>
                  <a:p>
                    <a:r>
                      <a:rPr lang="en-US"/>
                      <a:t>SLV</a:t>
                    </a:r>
                  </a:p>
                </c:rich>
              </c:tx>
              <c:showVal val="1"/>
            </c:dLbl>
            <c:dLbl>
              <c:idx val="23"/>
              <c:layout>
                <c:manualLayout>
                  <c:x val="-4.5478790493548533E-2"/>
                  <c:y val="6.0662513339678967E-2"/>
                </c:manualLayout>
              </c:layout>
              <c:tx>
                <c:rich>
                  <a:bodyPr/>
                  <a:lstStyle/>
                  <a:p>
                    <a:r>
                      <a:rPr lang="en-US"/>
                      <a:t>TAJ</a:t>
                    </a:r>
                  </a:p>
                </c:rich>
              </c:tx>
              <c:showVal val="1"/>
            </c:dLbl>
            <c:dLbl>
              <c:idx val="24"/>
              <c:layout/>
              <c:tx>
                <c:rich>
                  <a:bodyPr/>
                  <a:lstStyle/>
                  <a:p>
                    <a:r>
                      <a:rPr lang="en-US"/>
                      <a:t>TUR</a:t>
                    </a:r>
                  </a:p>
                </c:rich>
              </c:tx>
              <c:showVal val="1"/>
            </c:dLbl>
            <c:dLbl>
              <c:idx val="25"/>
              <c:layout>
                <c:manualLayout>
                  <c:x val="0"/>
                  <c:y val="-3.1651839732031041E-2"/>
                </c:manualLayout>
              </c:layout>
              <c:tx>
                <c:rich>
                  <a:bodyPr/>
                  <a:lstStyle/>
                  <a:p>
                    <a:r>
                      <a:rPr lang="en-US"/>
                      <a:t>UKR</a:t>
                    </a:r>
                  </a:p>
                </c:rich>
              </c:tx>
              <c:showVal val="1"/>
            </c:dLbl>
            <c:dLbl>
              <c:idx val="26"/>
              <c:layout/>
              <c:tx>
                <c:rich>
                  <a:bodyPr/>
                  <a:lstStyle/>
                  <a:p>
                    <a:r>
                      <a:rPr lang="en-US">
                        <a:solidFill>
                          <a:srgbClr val="FF0000"/>
                        </a:solidFill>
                      </a:rPr>
                      <a:t>UZBEKISTAN</a:t>
                    </a:r>
                  </a:p>
                </c:rich>
              </c:tx>
              <c:showVal val="1"/>
            </c:dLbl>
            <c:showVal val="1"/>
          </c:dLbls>
          <c:xVal>
            <c:numRef>
              <c:f>'EBRD indices'!$C$3:$C$29</c:f>
              <c:numCache>
                <c:formatCode>#0.00</c:formatCode>
                <c:ptCount val="27"/>
                <c:pt idx="0">
                  <c:v>4</c:v>
                </c:pt>
                <c:pt idx="1">
                  <c:v>4</c:v>
                </c:pt>
                <c:pt idx="2">
                  <c:v>3.67</c:v>
                </c:pt>
                <c:pt idx="3">
                  <c:v>2.3299999999999987</c:v>
                </c:pt>
                <c:pt idx="4">
                  <c:v>3</c:v>
                </c:pt>
                <c:pt idx="5">
                  <c:v>4</c:v>
                </c:pt>
                <c:pt idx="6">
                  <c:v>4.33</c:v>
                </c:pt>
                <c:pt idx="7">
                  <c:v>4.33</c:v>
                </c:pt>
                <c:pt idx="8">
                  <c:v>4</c:v>
                </c:pt>
                <c:pt idx="9">
                  <c:v>4</c:v>
                </c:pt>
                <c:pt idx="10">
                  <c:v>4.33</c:v>
                </c:pt>
                <c:pt idx="11">
                  <c:v>4</c:v>
                </c:pt>
                <c:pt idx="12">
                  <c:v>4</c:v>
                </c:pt>
                <c:pt idx="13">
                  <c:v>4.33</c:v>
                </c:pt>
                <c:pt idx="14">
                  <c:v>4.33</c:v>
                </c:pt>
                <c:pt idx="15">
                  <c:v>4</c:v>
                </c:pt>
                <c:pt idx="16">
                  <c:v>3.67</c:v>
                </c:pt>
                <c:pt idx="17">
                  <c:v>4.33</c:v>
                </c:pt>
                <c:pt idx="18">
                  <c:v>3.67</c:v>
                </c:pt>
                <c:pt idx="19">
                  <c:v>4</c:v>
                </c:pt>
                <c:pt idx="20">
                  <c:v>3.67</c:v>
                </c:pt>
                <c:pt idx="21">
                  <c:v>4.33</c:v>
                </c:pt>
                <c:pt idx="22">
                  <c:v>4.33</c:v>
                </c:pt>
                <c:pt idx="23">
                  <c:v>4</c:v>
                </c:pt>
                <c:pt idx="24">
                  <c:v>2.3299999999999987</c:v>
                </c:pt>
                <c:pt idx="25">
                  <c:v>4</c:v>
                </c:pt>
                <c:pt idx="26">
                  <c:v>3.3299999999999987</c:v>
                </c:pt>
              </c:numCache>
            </c:numRef>
          </c:xVal>
          <c:yVal>
            <c:numRef>
              <c:f>'EBRD indices'!$D$3:$D$29</c:f>
              <c:numCache>
                <c:formatCode>#0.00</c:formatCode>
                <c:ptCount val="27"/>
                <c:pt idx="0">
                  <c:v>3</c:v>
                </c:pt>
                <c:pt idx="1">
                  <c:v>2.67</c:v>
                </c:pt>
                <c:pt idx="2">
                  <c:v>2.3299999999999987</c:v>
                </c:pt>
                <c:pt idx="3">
                  <c:v>2.3299999999999987</c:v>
                </c:pt>
                <c:pt idx="4">
                  <c:v>3</c:v>
                </c:pt>
                <c:pt idx="5">
                  <c:v>3.67</c:v>
                </c:pt>
                <c:pt idx="6">
                  <c:v>4</c:v>
                </c:pt>
                <c:pt idx="7">
                  <c:v>4</c:v>
                </c:pt>
                <c:pt idx="8">
                  <c:v>3</c:v>
                </c:pt>
                <c:pt idx="9">
                  <c:v>2.67</c:v>
                </c:pt>
                <c:pt idx="10">
                  <c:v>3.67</c:v>
                </c:pt>
                <c:pt idx="11">
                  <c:v>2.67</c:v>
                </c:pt>
                <c:pt idx="12">
                  <c:v>2.3299999999999987</c:v>
                </c:pt>
                <c:pt idx="13">
                  <c:v>3.67</c:v>
                </c:pt>
                <c:pt idx="14">
                  <c:v>3.67</c:v>
                </c:pt>
                <c:pt idx="15">
                  <c:v>3</c:v>
                </c:pt>
                <c:pt idx="16">
                  <c:v>3</c:v>
                </c:pt>
                <c:pt idx="17">
                  <c:v>3.67</c:v>
                </c:pt>
                <c:pt idx="18">
                  <c:v>3.3299999999999987</c:v>
                </c:pt>
                <c:pt idx="19">
                  <c:v>2.67</c:v>
                </c:pt>
                <c:pt idx="20">
                  <c:v>3</c:v>
                </c:pt>
                <c:pt idx="21">
                  <c:v>3.67</c:v>
                </c:pt>
                <c:pt idx="22">
                  <c:v>3.3299999999999987</c:v>
                </c:pt>
                <c:pt idx="23">
                  <c:v>2.3299999999999987</c:v>
                </c:pt>
                <c:pt idx="24">
                  <c:v>1</c:v>
                </c:pt>
                <c:pt idx="25">
                  <c:v>3</c:v>
                </c:pt>
                <c:pt idx="26">
                  <c:v>1.6700000000000021</c:v>
                </c:pt>
              </c:numCache>
            </c:numRef>
          </c:yVal>
        </c:ser>
        <c:axId val="131277184"/>
        <c:axId val="131279104"/>
      </c:scatterChart>
      <c:valAx>
        <c:axId val="131277184"/>
        <c:scaling>
          <c:orientation val="minMax"/>
          <c:max val="4.5"/>
          <c:min val="2"/>
        </c:scaling>
        <c:axPos val="b"/>
        <c:title>
          <c:tx>
            <c:rich>
              <a:bodyPr/>
              <a:lstStyle/>
              <a:p>
                <a:pPr>
                  <a:defRPr/>
                </a:pPr>
                <a:r>
                  <a:rPr lang="en-US"/>
                  <a:t>Small</a:t>
                </a:r>
                <a:r>
                  <a:rPr lang="en-US" baseline="0"/>
                  <a:t> Scale Privatisation Index</a:t>
                </a:r>
              </a:p>
              <a:p>
                <a:pPr>
                  <a:defRPr/>
                </a:pPr>
                <a:r>
                  <a:rPr lang="en-US" b="0" baseline="0"/>
                  <a:t>Source: EBRD (2011)</a:t>
                </a:r>
                <a:endParaRPr lang="en-US" b="0"/>
              </a:p>
            </c:rich>
          </c:tx>
          <c:layout/>
        </c:title>
        <c:numFmt formatCode="#0.00" sourceLinked="1"/>
        <c:majorTickMark val="none"/>
        <c:tickLblPos val="nextTo"/>
        <c:crossAx val="131279104"/>
        <c:crosses val="autoZero"/>
        <c:crossBetween val="midCat"/>
      </c:valAx>
      <c:valAx>
        <c:axId val="131279104"/>
        <c:scaling>
          <c:orientation val="minMax"/>
          <c:max val="4.5"/>
        </c:scaling>
        <c:axPos val="l"/>
        <c:title>
          <c:tx>
            <c:rich>
              <a:bodyPr/>
              <a:lstStyle/>
              <a:p>
                <a:pPr>
                  <a:defRPr/>
                </a:pPr>
                <a:r>
                  <a:rPr lang="en-GB"/>
                  <a:t>Banking Sector Refom Index</a:t>
                </a:r>
              </a:p>
            </c:rich>
          </c:tx>
          <c:layout/>
        </c:title>
        <c:numFmt formatCode="#0.00" sourceLinked="1"/>
        <c:majorTickMark val="none"/>
        <c:tickLblPos val="nextTo"/>
        <c:crossAx val="131277184"/>
        <c:crosses val="autoZero"/>
        <c:crossBetween val="midCat"/>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000"/>
              <a:t>Figure 2. EBRD's Banking Sector Reform and Enterprise Restructuring Indices for TEs in 2010.</a:t>
            </a:r>
          </a:p>
        </c:rich>
      </c:tx>
      <c:layout/>
    </c:title>
    <c:plotArea>
      <c:layout>
        <c:manualLayout>
          <c:layoutTarget val="inner"/>
          <c:xMode val="edge"/>
          <c:yMode val="edge"/>
          <c:x val="0.1107047582633361"/>
          <c:y val="0.14223155438903473"/>
          <c:w val="0.8491031109730407"/>
          <c:h val="0.65866943715369553"/>
        </c:manualLayout>
      </c:layout>
      <c:scatterChart>
        <c:scatterStyle val="lineMarker"/>
        <c:ser>
          <c:idx val="0"/>
          <c:order val="0"/>
          <c:tx>
            <c:strRef>
              <c:f>'EBRD indices'!$G$2</c:f>
              <c:strCache>
                <c:ptCount val="1"/>
                <c:pt idx="0">
                  <c:v>Banking Sector Reforms</c:v>
                </c:pt>
              </c:strCache>
            </c:strRef>
          </c:tx>
          <c:spPr>
            <a:ln w="28575">
              <a:noFill/>
            </a:ln>
          </c:spPr>
          <c:dLbls>
            <c:dLbl>
              <c:idx val="0"/>
              <c:layout/>
              <c:tx>
                <c:rich>
                  <a:bodyPr/>
                  <a:lstStyle/>
                  <a:p>
                    <a:r>
                      <a:rPr lang="en-US"/>
                      <a:t>ALB</a:t>
                    </a:r>
                  </a:p>
                </c:rich>
              </c:tx>
              <c:showVal val="1"/>
            </c:dLbl>
            <c:dLbl>
              <c:idx val="1"/>
              <c:layout>
                <c:manualLayout>
                  <c:x val="0"/>
                  <c:y val="5.5555555555555455E-2"/>
                </c:manualLayout>
              </c:layout>
              <c:tx>
                <c:rich>
                  <a:bodyPr/>
                  <a:lstStyle/>
                  <a:p>
                    <a:r>
                      <a:rPr lang="en-US"/>
                      <a:t>ARM</a:t>
                    </a:r>
                  </a:p>
                </c:rich>
              </c:tx>
              <c:showVal val="1"/>
            </c:dLbl>
            <c:dLbl>
              <c:idx val="2"/>
              <c:layout>
                <c:manualLayout>
                  <c:x val="0"/>
                  <c:y val="1.8518518518518583E-2"/>
                </c:manualLayout>
              </c:layout>
              <c:tx>
                <c:rich>
                  <a:bodyPr/>
                  <a:lstStyle/>
                  <a:p>
                    <a:r>
                      <a:rPr lang="en-US"/>
                      <a:t>AZE</a:t>
                    </a:r>
                  </a:p>
                </c:rich>
              </c:tx>
              <c:showVal val="1"/>
            </c:dLbl>
            <c:dLbl>
              <c:idx val="3"/>
              <c:layout>
                <c:manualLayout>
                  <c:x val="0"/>
                  <c:y val="0"/>
                </c:manualLayout>
              </c:layout>
              <c:tx>
                <c:rich>
                  <a:bodyPr/>
                  <a:lstStyle/>
                  <a:p>
                    <a:r>
                      <a:rPr lang="en-US"/>
                      <a:t>BEL</a:t>
                    </a:r>
                  </a:p>
                </c:rich>
              </c:tx>
              <c:showVal val="1"/>
            </c:dLbl>
            <c:dLbl>
              <c:idx val="4"/>
              <c:layout>
                <c:manualLayout>
                  <c:x val="-6.0698027314112658E-3"/>
                  <c:y val="-2.6851851851851849E-2"/>
                </c:manualLayout>
              </c:layout>
              <c:tx>
                <c:rich>
                  <a:bodyPr/>
                  <a:lstStyle/>
                  <a:p>
                    <a:r>
                      <a:rPr lang="en-US"/>
                      <a:t>BOS</a:t>
                    </a:r>
                  </a:p>
                </c:rich>
              </c:tx>
              <c:showVal val="1"/>
            </c:dLbl>
            <c:dLbl>
              <c:idx val="5"/>
              <c:layout>
                <c:manualLayout>
                  <c:x val="0"/>
                  <c:y val="0"/>
                </c:manualLayout>
              </c:layout>
              <c:tx>
                <c:rich>
                  <a:bodyPr/>
                  <a:lstStyle/>
                  <a:p>
                    <a:r>
                      <a:rPr lang="en-US"/>
                      <a:t>BUL</a:t>
                    </a:r>
                  </a:p>
                </c:rich>
              </c:tx>
              <c:showVal val="1"/>
            </c:dLbl>
            <c:dLbl>
              <c:idx val="6"/>
              <c:layout>
                <c:manualLayout>
                  <c:x val="0"/>
                  <c:y val="-1.3889253426655005E-2"/>
                </c:manualLayout>
              </c:layout>
              <c:tx>
                <c:rich>
                  <a:bodyPr/>
                  <a:lstStyle/>
                  <a:p>
                    <a:r>
                      <a:rPr lang="en-US"/>
                      <a:t>CRO</a:t>
                    </a:r>
                  </a:p>
                </c:rich>
              </c:tx>
              <c:showVal val="1"/>
            </c:dLbl>
            <c:dLbl>
              <c:idx val="7"/>
              <c:layout>
                <c:manualLayout>
                  <c:x val="0"/>
                  <c:y val="-1.8518883056284633E-2"/>
                </c:manualLayout>
              </c:layout>
              <c:tx>
                <c:rich>
                  <a:bodyPr/>
                  <a:lstStyle/>
                  <a:p>
                    <a:r>
                      <a:rPr lang="en-US"/>
                      <a:t>EST</a:t>
                    </a:r>
                  </a:p>
                </c:rich>
              </c:tx>
              <c:showVal val="1"/>
            </c:dLbl>
            <c:dLbl>
              <c:idx val="8"/>
              <c:layout>
                <c:manualLayout>
                  <c:x val="0"/>
                  <c:y val="-9.2592592592593732E-3"/>
                </c:manualLayout>
              </c:layout>
              <c:tx>
                <c:rich>
                  <a:bodyPr/>
                  <a:lstStyle/>
                  <a:p>
                    <a:r>
                      <a:rPr lang="en-US"/>
                      <a:t>MAC</a:t>
                    </a:r>
                  </a:p>
                </c:rich>
              </c:tx>
              <c:showVal val="1"/>
            </c:dLbl>
            <c:dLbl>
              <c:idx val="9"/>
              <c:layout>
                <c:manualLayout>
                  <c:x val="0"/>
                  <c:y val="-4.6296296296296658E-3"/>
                </c:manualLayout>
              </c:layout>
              <c:tx>
                <c:rich>
                  <a:bodyPr/>
                  <a:lstStyle/>
                  <a:p>
                    <a:r>
                      <a:rPr lang="en-US"/>
                      <a:t>GEO</a:t>
                    </a:r>
                  </a:p>
                </c:rich>
              </c:tx>
              <c:showVal val="1"/>
            </c:dLbl>
            <c:dLbl>
              <c:idx val="10"/>
              <c:layout>
                <c:manualLayout>
                  <c:x val="-2.7777777777778208E-3"/>
                  <c:y val="3.7037037037037056E-2"/>
                </c:manualLayout>
              </c:layout>
              <c:tx>
                <c:rich>
                  <a:bodyPr/>
                  <a:lstStyle/>
                  <a:p>
                    <a:r>
                      <a:rPr lang="en-US"/>
                      <a:t>HUN</a:t>
                    </a:r>
                  </a:p>
                </c:rich>
              </c:tx>
              <c:showVal val="1"/>
            </c:dLbl>
            <c:dLbl>
              <c:idx val="11"/>
              <c:layout>
                <c:manualLayout>
                  <c:x val="0"/>
                  <c:y val="-4.6296296296296658E-3"/>
                </c:manualLayout>
              </c:layout>
              <c:tx>
                <c:rich>
                  <a:bodyPr/>
                  <a:lstStyle/>
                  <a:p>
                    <a:r>
                      <a:rPr lang="en-US"/>
                      <a:t>KAZ</a:t>
                    </a:r>
                  </a:p>
                </c:rich>
              </c:tx>
              <c:showVal val="1"/>
            </c:dLbl>
            <c:dLbl>
              <c:idx val="12"/>
              <c:layout>
                <c:manualLayout>
                  <c:x val="0"/>
                  <c:y val="-9.2592592592593732E-3"/>
                </c:manualLayout>
              </c:layout>
              <c:tx>
                <c:rich>
                  <a:bodyPr/>
                  <a:lstStyle/>
                  <a:p>
                    <a:r>
                      <a:rPr lang="en-US"/>
                      <a:t>KYR</a:t>
                    </a:r>
                  </a:p>
                </c:rich>
              </c:tx>
              <c:showVal val="1"/>
            </c:dLbl>
            <c:dLbl>
              <c:idx val="13"/>
              <c:layout>
                <c:manualLayout>
                  <c:x val="0"/>
                  <c:y val="-2.3148148148148147E-2"/>
                </c:manualLayout>
              </c:layout>
              <c:tx>
                <c:rich>
                  <a:bodyPr/>
                  <a:lstStyle/>
                  <a:p>
                    <a:r>
                      <a:rPr lang="en-US"/>
                      <a:t>LAT</a:t>
                    </a:r>
                  </a:p>
                </c:rich>
              </c:tx>
              <c:showVal val="1"/>
            </c:dLbl>
            <c:dLbl>
              <c:idx val="14"/>
              <c:layout>
                <c:manualLayout>
                  <c:x val="0"/>
                  <c:y val="9.2592592592593732E-3"/>
                </c:manualLayout>
              </c:layout>
              <c:tx>
                <c:rich>
                  <a:bodyPr/>
                  <a:lstStyle/>
                  <a:p>
                    <a:r>
                      <a:rPr lang="en-US"/>
                      <a:t>LIT</a:t>
                    </a:r>
                  </a:p>
                </c:rich>
              </c:tx>
              <c:showVal val="1"/>
            </c:dLbl>
            <c:dLbl>
              <c:idx val="15"/>
              <c:layout>
                <c:manualLayout>
                  <c:x val="0"/>
                  <c:y val="4.6296296296296658E-3"/>
                </c:manualLayout>
              </c:layout>
              <c:tx>
                <c:rich>
                  <a:bodyPr/>
                  <a:lstStyle/>
                  <a:p>
                    <a:r>
                      <a:rPr lang="en-US"/>
                      <a:t>MOL</a:t>
                    </a:r>
                  </a:p>
                </c:rich>
              </c:tx>
              <c:showVal val="1"/>
            </c:dLbl>
            <c:dLbl>
              <c:idx val="16"/>
              <c:layout>
                <c:manualLayout>
                  <c:x val="-8.0930703085483266E-3"/>
                  <c:y val="-6.3888888888888884E-2"/>
                </c:manualLayout>
              </c:layout>
              <c:tx>
                <c:rich>
                  <a:bodyPr/>
                  <a:lstStyle/>
                  <a:p>
                    <a:r>
                      <a:rPr lang="en-US"/>
                      <a:t>MON</a:t>
                    </a:r>
                  </a:p>
                </c:rich>
              </c:tx>
              <c:showVal val="1"/>
            </c:dLbl>
            <c:dLbl>
              <c:idx val="17"/>
              <c:layout>
                <c:manualLayout>
                  <c:x val="0"/>
                  <c:y val="4.6296296296296658E-3"/>
                </c:manualLayout>
              </c:layout>
              <c:tx>
                <c:rich>
                  <a:bodyPr/>
                  <a:lstStyle/>
                  <a:p>
                    <a:r>
                      <a:rPr lang="en-US"/>
                      <a:t>POL</a:t>
                    </a:r>
                  </a:p>
                </c:rich>
              </c:tx>
              <c:showVal val="1"/>
            </c:dLbl>
            <c:dLbl>
              <c:idx val="18"/>
              <c:layout>
                <c:manualLayout>
                  <c:x val="0"/>
                  <c:y val="4.2437781360067911E-17"/>
                </c:manualLayout>
              </c:layout>
              <c:tx>
                <c:rich>
                  <a:bodyPr/>
                  <a:lstStyle/>
                  <a:p>
                    <a:r>
                      <a:rPr lang="en-US"/>
                      <a:t>ROM</a:t>
                    </a:r>
                  </a:p>
                </c:rich>
              </c:tx>
              <c:showVal val="1"/>
            </c:dLbl>
            <c:dLbl>
              <c:idx val="19"/>
              <c:layout>
                <c:manualLayout>
                  <c:x val="0"/>
                  <c:y val="2.7777777777778141E-2"/>
                </c:manualLayout>
              </c:layout>
              <c:tx>
                <c:rich>
                  <a:bodyPr/>
                  <a:lstStyle/>
                  <a:p>
                    <a:r>
                      <a:rPr lang="en-US"/>
                      <a:t>RUS</a:t>
                    </a:r>
                  </a:p>
                </c:rich>
              </c:tx>
              <c:showVal val="1"/>
            </c:dLbl>
            <c:dLbl>
              <c:idx val="20"/>
              <c:layout>
                <c:manualLayout>
                  <c:x val="0"/>
                  <c:y val="-2.7777777777778141E-2"/>
                </c:manualLayout>
              </c:layout>
              <c:tx>
                <c:rich>
                  <a:bodyPr/>
                  <a:lstStyle/>
                  <a:p>
                    <a:r>
                      <a:rPr lang="en-US"/>
                      <a:t>SER</a:t>
                    </a:r>
                  </a:p>
                </c:rich>
              </c:tx>
              <c:showVal val="1"/>
            </c:dLbl>
            <c:dLbl>
              <c:idx val="21"/>
              <c:layout>
                <c:manualLayout>
                  <c:x val="0"/>
                  <c:y val="-2.7777777777778141E-2"/>
                </c:manualLayout>
              </c:layout>
              <c:tx>
                <c:rich>
                  <a:bodyPr/>
                  <a:lstStyle/>
                  <a:p>
                    <a:r>
                      <a:rPr lang="en-US"/>
                      <a:t>SLK</a:t>
                    </a:r>
                  </a:p>
                </c:rich>
              </c:tx>
              <c:showVal val="1"/>
            </c:dLbl>
            <c:dLbl>
              <c:idx val="22"/>
              <c:layout>
                <c:manualLayout>
                  <c:x val="0"/>
                  <c:y val="0"/>
                </c:manualLayout>
              </c:layout>
              <c:tx>
                <c:rich>
                  <a:bodyPr/>
                  <a:lstStyle/>
                  <a:p>
                    <a:r>
                      <a:rPr lang="en-US"/>
                      <a:t>SLV</a:t>
                    </a:r>
                  </a:p>
                </c:rich>
              </c:tx>
              <c:showVal val="1"/>
            </c:dLbl>
            <c:dLbl>
              <c:idx val="23"/>
              <c:layout>
                <c:manualLayout>
                  <c:x val="0"/>
                  <c:y val="5.0925925925925923E-2"/>
                </c:manualLayout>
              </c:layout>
              <c:tx>
                <c:rich>
                  <a:bodyPr/>
                  <a:lstStyle/>
                  <a:p>
                    <a:r>
                      <a:rPr lang="en-US"/>
                      <a:t>TAJ</a:t>
                    </a:r>
                  </a:p>
                </c:rich>
              </c:tx>
              <c:showVal val="1"/>
            </c:dLbl>
            <c:dLbl>
              <c:idx val="24"/>
              <c:layout/>
              <c:tx>
                <c:rich>
                  <a:bodyPr/>
                  <a:lstStyle/>
                  <a:p>
                    <a:r>
                      <a:rPr lang="en-US"/>
                      <a:t>TUR</a:t>
                    </a:r>
                  </a:p>
                </c:rich>
              </c:tx>
              <c:showVal val="1"/>
            </c:dLbl>
            <c:dLbl>
              <c:idx val="25"/>
              <c:layout>
                <c:manualLayout>
                  <c:x val="0"/>
                  <c:y val="-6.0185185185185147E-2"/>
                </c:manualLayout>
              </c:layout>
              <c:tx>
                <c:rich>
                  <a:bodyPr/>
                  <a:lstStyle/>
                  <a:p>
                    <a:r>
                      <a:rPr lang="en-US"/>
                      <a:t>UKR</a:t>
                    </a:r>
                  </a:p>
                </c:rich>
              </c:tx>
              <c:showVal val="1"/>
            </c:dLbl>
            <c:dLbl>
              <c:idx val="26"/>
              <c:layout>
                <c:manualLayout>
                  <c:x val="-3.586497294511895E-2"/>
                  <c:y val="6.2962962962963123E-2"/>
                </c:manualLayout>
              </c:layout>
              <c:tx>
                <c:rich>
                  <a:bodyPr/>
                  <a:lstStyle/>
                  <a:p>
                    <a:r>
                      <a:rPr lang="en-US">
                        <a:solidFill>
                          <a:srgbClr val="FF0000"/>
                        </a:solidFill>
                      </a:rPr>
                      <a:t>UZBEKISTAN</a:t>
                    </a:r>
                  </a:p>
                </c:rich>
              </c:tx>
              <c:showVal val="1"/>
            </c:dLbl>
            <c:showVal val="1"/>
          </c:dLbls>
          <c:xVal>
            <c:numRef>
              <c:f>'EBRD indices'!$F$3:$F$29</c:f>
              <c:numCache>
                <c:formatCode>#0.00</c:formatCode>
                <c:ptCount val="27"/>
                <c:pt idx="0">
                  <c:v>2.3299999999999987</c:v>
                </c:pt>
                <c:pt idx="1">
                  <c:v>2.3299999999999987</c:v>
                </c:pt>
                <c:pt idx="2">
                  <c:v>2</c:v>
                </c:pt>
                <c:pt idx="3">
                  <c:v>1.6700000000000021</c:v>
                </c:pt>
                <c:pt idx="4">
                  <c:v>2</c:v>
                </c:pt>
                <c:pt idx="5">
                  <c:v>2.67</c:v>
                </c:pt>
                <c:pt idx="6">
                  <c:v>3</c:v>
                </c:pt>
                <c:pt idx="7">
                  <c:v>3.67</c:v>
                </c:pt>
                <c:pt idx="8">
                  <c:v>2.67</c:v>
                </c:pt>
                <c:pt idx="9">
                  <c:v>2.3299999999999987</c:v>
                </c:pt>
                <c:pt idx="10">
                  <c:v>3.67</c:v>
                </c:pt>
                <c:pt idx="11">
                  <c:v>2</c:v>
                </c:pt>
                <c:pt idx="12">
                  <c:v>2</c:v>
                </c:pt>
                <c:pt idx="13">
                  <c:v>3</c:v>
                </c:pt>
                <c:pt idx="14">
                  <c:v>3</c:v>
                </c:pt>
                <c:pt idx="15">
                  <c:v>2</c:v>
                </c:pt>
                <c:pt idx="16">
                  <c:v>2</c:v>
                </c:pt>
                <c:pt idx="17">
                  <c:v>3.67</c:v>
                </c:pt>
                <c:pt idx="18">
                  <c:v>2.67</c:v>
                </c:pt>
                <c:pt idx="19">
                  <c:v>2.3299999999999987</c:v>
                </c:pt>
                <c:pt idx="20">
                  <c:v>2.3299999999999987</c:v>
                </c:pt>
                <c:pt idx="21">
                  <c:v>3.67</c:v>
                </c:pt>
                <c:pt idx="22">
                  <c:v>3</c:v>
                </c:pt>
                <c:pt idx="23">
                  <c:v>2</c:v>
                </c:pt>
                <c:pt idx="24">
                  <c:v>1</c:v>
                </c:pt>
                <c:pt idx="25">
                  <c:v>2.3299999999999987</c:v>
                </c:pt>
                <c:pt idx="26">
                  <c:v>1.6700000000000021</c:v>
                </c:pt>
              </c:numCache>
            </c:numRef>
          </c:xVal>
          <c:yVal>
            <c:numRef>
              <c:f>'EBRD indices'!$G$3:$G$29</c:f>
              <c:numCache>
                <c:formatCode>#0.00</c:formatCode>
                <c:ptCount val="27"/>
                <c:pt idx="0">
                  <c:v>3</c:v>
                </c:pt>
                <c:pt idx="1">
                  <c:v>2.67</c:v>
                </c:pt>
                <c:pt idx="2">
                  <c:v>2.3299999999999987</c:v>
                </c:pt>
                <c:pt idx="3">
                  <c:v>2.3299999999999987</c:v>
                </c:pt>
                <c:pt idx="4">
                  <c:v>3</c:v>
                </c:pt>
                <c:pt idx="5">
                  <c:v>3.67</c:v>
                </c:pt>
                <c:pt idx="6">
                  <c:v>4</c:v>
                </c:pt>
                <c:pt idx="7">
                  <c:v>4</c:v>
                </c:pt>
                <c:pt idx="8">
                  <c:v>3</c:v>
                </c:pt>
                <c:pt idx="9">
                  <c:v>2.67</c:v>
                </c:pt>
                <c:pt idx="10">
                  <c:v>3.67</c:v>
                </c:pt>
                <c:pt idx="11">
                  <c:v>2.67</c:v>
                </c:pt>
                <c:pt idx="12">
                  <c:v>2.3299999999999987</c:v>
                </c:pt>
                <c:pt idx="13">
                  <c:v>3.67</c:v>
                </c:pt>
                <c:pt idx="14">
                  <c:v>3.67</c:v>
                </c:pt>
                <c:pt idx="15">
                  <c:v>3</c:v>
                </c:pt>
                <c:pt idx="16">
                  <c:v>3</c:v>
                </c:pt>
                <c:pt idx="17">
                  <c:v>3.67</c:v>
                </c:pt>
                <c:pt idx="18">
                  <c:v>3.3299999999999987</c:v>
                </c:pt>
                <c:pt idx="19">
                  <c:v>2.67</c:v>
                </c:pt>
                <c:pt idx="20">
                  <c:v>3</c:v>
                </c:pt>
                <c:pt idx="21">
                  <c:v>3.67</c:v>
                </c:pt>
                <c:pt idx="22">
                  <c:v>3.3299999999999987</c:v>
                </c:pt>
                <c:pt idx="23">
                  <c:v>2.3299999999999987</c:v>
                </c:pt>
                <c:pt idx="24">
                  <c:v>1</c:v>
                </c:pt>
                <c:pt idx="25">
                  <c:v>3</c:v>
                </c:pt>
                <c:pt idx="26">
                  <c:v>1.6700000000000021</c:v>
                </c:pt>
              </c:numCache>
            </c:numRef>
          </c:yVal>
        </c:ser>
        <c:axId val="157124864"/>
        <c:axId val="187187584"/>
      </c:scatterChart>
      <c:valAx>
        <c:axId val="157124864"/>
        <c:scaling>
          <c:orientation val="minMax"/>
          <c:max val="4.5"/>
          <c:min val="0.75000000000000366"/>
        </c:scaling>
        <c:axPos val="b"/>
        <c:title>
          <c:tx>
            <c:rich>
              <a:bodyPr/>
              <a:lstStyle/>
              <a:p>
                <a:pPr>
                  <a:defRPr/>
                </a:pPr>
                <a:r>
                  <a:rPr lang="en-GB"/>
                  <a:t>Enterprise Reform </a:t>
                </a:r>
                <a:r>
                  <a:rPr lang="en-GB" baseline="0"/>
                  <a:t>Index</a:t>
                </a:r>
              </a:p>
              <a:p>
                <a:pPr>
                  <a:defRPr/>
                </a:pPr>
                <a:r>
                  <a:rPr lang="en-GB" b="0" baseline="0"/>
                  <a:t>Source: EBRD (2011)</a:t>
                </a:r>
                <a:endParaRPr lang="en-GB" b="0"/>
              </a:p>
            </c:rich>
          </c:tx>
          <c:layout/>
        </c:title>
        <c:numFmt formatCode="#0.00" sourceLinked="1"/>
        <c:majorTickMark val="none"/>
        <c:tickLblPos val="nextTo"/>
        <c:crossAx val="187187584"/>
        <c:crosses val="autoZero"/>
        <c:crossBetween val="midCat"/>
      </c:valAx>
      <c:valAx>
        <c:axId val="187187584"/>
        <c:scaling>
          <c:orientation val="minMax"/>
          <c:max val="4.5"/>
          <c:min val="0"/>
        </c:scaling>
        <c:axPos val="l"/>
        <c:title>
          <c:tx>
            <c:rich>
              <a:bodyPr/>
              <a:lstStyle/>
              <a:p>
                <a:pPr>
                  <a:defRPr/>
                </a:pPr>
                <a:r>
                  <a:rPr lang="en-GB" sz="1000" b="1" i="0" baseline="0"/>
                  <a:t>Banking Sector Refom Index</a:t>
                </a:r>
                <a:endParaRPr lang="en-GB" sz="1000"/>
              </a:p>
            </c:rich>
          </c:tx>
          <c:layout/>
        </c:title>
        <c:numFmt formatCode="#0.00" sourceLinked="1"/>
        <c:majorTickMark val="none"/>
        <c:tickLblPos val="nextTo"/>
        <c:crossAx val="157124864"/>
        <c:crosses val="autoZero"/>
        <c:crossBetween val="midCat"/>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000"/>
              <a:t>Figure</a:t>
            </a:r>
            <a:r>
              <a:rPr lang="en-GB" sz="1000" baseline="0"/>
              <a:t> 3. Selected Financial Sector Indicators in Uzbekistan.</a:t>
            </a:r>
            <a:endParaRPr lang="en-GB" sz="1000"/>
          </a:p>
        </c:rich>
      </c:tx>
      <c:layout/>
    </c:title>
    <c:plotArea>
      <c:layout>
        <c:manualLayout>
          <c:layoutTarget val="inner"/>
          <c:xMode val="edge"/>
          <c:yMode val="edge"/>
          <c:x val="0.13089129483814524"/>
          <c:y val="0.14957203266258384"/>
          <c:w val="0.81039348206474204"/>
          <c:h val="0.63627661125692625"/>
        </c:manualLayout>
      </c:layout>
      <c:scatterChart>
        <c:scatterStyle val="smoothMarker"/>
        <c:ser>
          <c:idx val="0"/>
          <c:order val="0"/>
          <c:tx>
            <c:strRef>
              <c:f>'Fin Indicators'!$B$8</c:f>
              <c:strCache>
                <c:ptCount val="1"/>
                <c:pt idx="0">
                  <c:v>Broad Money (M3) to GDP (%)</c:v>
                </c:pt>
              </c:strCache>
            </c:strRef>
          </c:tx>
          <c:xVal>
            <c:numRef>
              <c:f>'Fin Indicators'!$C$7:$O$7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xVal>
          <c:yVal>
            <c:numRef>
              <c:f>'Fin Indicators'!$C$8:$O$8</c:f>
              <c:numCache>
                <c:formatCode>General</c:formatCode>
                <c:ptCount val="13"/>
                <c:pt idx="0">
                  <c:v>15.4</c:v>
                </c:pt>
                <c:pt idx="1">
                  <c:v>13.6</c:v>
                </c:pt>
                <c:pt idx="2">
                  <c:v>12.2</c:v>
                </c:pt>
                <c:pt idx="3">
                  <c:v>12.4</c:v>
                </c:pt>
                <c:pt idx="4">
                  <c:v>10.6</c:v>
                </c:pt>
                <c:pt idx="5">
                  <c:v>10.3</c:v>
                </c:pt>
                <c:pt idx="6">
                  <c:v>12.2</c:v>
                </c:pt>
                <c:pt idx="7">
                  <c:v>14.4</c:v>
                </c:pt>
                <c:pt idx="8" formatCode="#,##0.0">
                  <c:v>15.394746128600024</c:v>
                </c:pt>
                <c:pt idx="9" formatCode="#,##0.0">
                  <c:v>16.655328329700001</c:v>
                </c:pt>
                <c:pt idx="10" formatCode="#,##0.0">
                  <c:v>17.280160716000001</c:v>
                </c:pt>
                <c:pt idx="11" formatCode="#,##0.0">
                  <c:v>18.224950961000093</c:v>
                </c:pt>
                <c:pt idx="12">
                  <c:v>19.399999999999999</c:v>
                </c:pt>
              </c:numCache>
            </c:numRef>
          </c:yVal>
          <c:smooth val="1"/>
        </c:ser>
        <c:ser>
          <c:idx val="1"/>
          <c:order val="1"/>
          <c:tx>
            <c:strRef>
              <c:f>'Fin Indicators'!$B$9</c:f>
              <c:strCache>
                <c:ptCount val="1"/>
                <c:pt idx="0">
                  <c:v>Bank Assets to GDP (%)</c:v>
                </c:pt>
              </c:strCache>
            </c:strRef>
          </c:tx>
          <c:xVal>
            <c:numRef>
              <c:f>'Fin Indicators'!$C$7:$O$7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xVal>
          <c:yVal>
            <c:numRef>
              <c:f>'Fin Indicators'!$C$9:$O$9</c:f>
              <c:numCache>
                <c:formatCode>General</c:formatCode>
                <c:ptCount val="13"/>
                <c:pt idx="0">
                  <c:v>45.2</c:v>
                </c:pt>
                <c:pt idx="1">
                  <c:v>44.7</c:v>
                </c:pt>
                <c:pt idx="2">
                  <c:v>51.6</c:v>
                </c:pt>
                <c:pt idx="3">
                  <c:v>64.900000000000006</c:v>
                </c:pt>
                <c:pt idx="4">
                  <c:v>52.6</c:v>
                </c:pt>
                <c:pt idx="5">
                  <c:v>45.7</c:v>
                </c:pt>
                <c:pt idx="6">
                  <c:v>41.1</c:v>
                </c:pt>
                <c:pt idx="7">
                  <c:v>37</c:v>
                </c:pt>
                <c:pt idx="8">
                  <c:v>28.3</c:v>
                </c:pt>
                <c:pt idx="9">
                  <c:v>32.9</c:v>
                </c:pt>
                <c:pt idx="10">
                  <c:v>35.700000000000003</c:v>
                </c:pt>
                <c:pt idx="11">
                  <c:v>32.6</c:v>
                </c:pt>
                <c:pt idx="12">
                  <c:v>33.5</c:v>
                </c:pt>
              </c:numCache>
            </c:numRef>
          </c:yVal>
          <c:smooth val="1"/>
        </c:ser>
        <c:ser>
          <c:idx val="2"/>
          <c:order val="2"/>
          <c:tx>
            <c:strRef>
              <c:f>'Fin Indicators'!$B$10</c:f>
              <c:strCache>
                <c:ptCount val="1"/>
                <c:pt idx="0">
                  <c:v>External Debt to GDP (%)</c:v>
                </c:pt>
              </c:strCache>
            </c:strRef>
          </c:tx>
          <c:xVal>
            <c:numRef>
              <c:f>'Fin Indicators'!$C$7:$O$7</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xVal>
          <c:yVal>
            <c:numRef>
              <c:f>'Fin Indicators'!$C$10:$O$10</c:f>
              <c:numCache>
                <c:formatCode>General</c:formatCode>
                <c:ptCount val="13"/>
                <c:pt idx="0">
                  <c:v>48.9</c:v>
                </c:pt>
                <c:pt idx="1">
                  <c:v>58.5</c:v>
                </c:pt>
                <c:pt idx="2">
                  <c:v>48.9</c:v>
                </c:pt>
                <c:pt idx="3">
                  <c:v>56.2</c:v>
                </c:pt>
                <c:pt idx="4">
                  <c:v>50.6</c:v>
                </c:pt>
                <c:pt idx="5" formatCode="#,##0.0">
                  <c:v>43.7</c:v>
                </c:pt>
                <c:pt idx="6" formatCode="#,##0.0">
                  <c:v>37.300000000000004</c:v>
                </c:pt>
                <c:pt idx="7" formatCode="#,##0.0">
                  <c:v>31.3</c:v>
                </c:pt>
                <c:pt idx="8" formatCode="#,##0.0">
                  <c:v>22.146010029199999</c:v>
                </c:pt>
                <c:pt idx="9" formatCode="#,##0.0">
                  <c:v>16.702238554999905</c:v>
                </c:pt>
                <c:pt idx="10" formatCode="#,##0.0">
                  <c:v>13.4300857476</c:v>
                </c:pt>
                <c:pt idx="11">
                  <c:v>15</c:v>
                </c:pt>
                <c:pt idx="12">
                  <c:v>14.7</c:v>
                </c:pt>
              </c:numCache>
            </c:numRef>
          </c:yVal>
          <c:smooth val="1"/>
        </c:ser>
        <c:axId val="187209216"/>
        <c:axId val="187211136"/>
      </c:scatterChart>
      <c:valAx>
        <c:axId val="187209216"/>
        <c:scaling>
          <c:orientation val="minMax"/>
          <c:max val="2011"/>
          <c:min val="1997"/>
        </c:scaling>
        <c:axPos val="b"/>
        <c:title>
          <c:tx>
            <c:rich>
              <a:bodyPr/>
              <a:lstStyle/>
              <a:p>
                <a:pPr>
                  <a:defRPr/>
                </a:pPr>
                <a:r>
                  <a:rPr lang="en-GB" b="0"/>
                  <a:t>Source: EBRD (2011);</a:t>
                </a:r>
                <a:r>
                  <a:rPr lang="en-GB" b="0" baseline="0"/>
                  <a:t> ABD (2011); and CBU (2011)</a:t>
                </a:r>
                <a:endParaRPr lang="en-GB" b="0"/>
              </a:p>
            </c:rich>
          </c:tx>
          <c:layout/>
        </c:title>
        <c:numFmt formatCode="General" sourceLinked="1"/>
        <c:majorTickMark val="none"/>
        <c:tickLblPos val="nextTo"/>
        <c:crossAx val="187211136"/>
        <c:crosses val="autoZero"/>
        <c:crossBetween val="midCat"/>
        <c:majorUnit val="2"/>
        <c:minorUnit val="1"/>
      </c:valAx>
      <c:valAx>
        <c:axId val="187211136"/>
        <c:scaling>
          <c:orientation val="minMax"/>
        </c:scaling>
        <c:axPos val="l"/>
        <c:title>
          <c:tx>
            <c:rich>
              <a:bodyPr/>
              <a:lstStyle/>
              <a:p>
                <a:pPr>
                  <a:defRPr/>
                </a:pPr>
                <a:r>
                  <a:rPr lang="en-GB"/>
                  <a:t>%</a:t>
                </a:r>
                <a:r>
                  <a:rPr lang="en-GB" baseline="0"/>
                  <a:t> of GDP</a:t>
                </a:r>
                <a:endParaRPr lang="en-GB"/>
              </a:p>
            </c:rich>
          </c:tx>
          <c:layout/>
        </c:title>
        <c:numFmt formatCode="General" sourceLinked="1"/>
        <c:majorTickMark val="none"/>
        <c:tickLblPos val="nextTo"/>
        <c:crossAx val="187209216"/>
        <c:crosses val="autoZero"/>
        <c:crossBetween val="midCat"/>
      </c:valAx>
    </c:plotArea>
    <c:legend>
      <c:legendPos val="r"/>
      <c:layout>
        <c:manualLayout>
          <c:xMode val="edge"/>
          <c:yMode val="edge"/>
          <c:x val="0.53611111111111109"/>
          <c:y val="0.11811592022334789"/>
          <c:w val="0.41666666666666824"/>
          <c:h val="0.28236722002106435"/>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13"/>
  <c:chart>
    <c:title>
      <c:tx>
        <c:rich>
          <a:bodyPr/>
          <a:lstStyle/>
          <a:p>
            <a:pPr>
              <a:defRPr/>
            </a:pPr>
            <a:r>
              <a:rPr lang="en-US" sz="1000"/>
              <a:t>Figure 4. Major Obstacles to Enterprises' Operation and Growth </a:t>
            </a:r>
          </a:p>
          <a:p>
            <a:pPr>
              <a:defRPr/>
            </a:pPr>
            <a:r>
              <a:rPr lang="en-US" sz="1000"/>
              <a:t>("Important" and "Very Important" Responses Only out of 502 Responses).</a:t>
            </a:r>
          </a:p>
        </c:rich>
      </c:tx>
      <c:layout>
        <c:manualLayout>
          <c:xMode val="edge"/>
          <c:yMode val="edge"/>
          <c:x val="0.11297880675363342"/>
          <c:y val="2.3460410557184751E-2"/>
        </c:manualLayout>
      </c:layout>
      <c:overlay val="1"/>
    </c:title>
    <c:plotArea>
      <c:layout>
        <c:manualLayout>
          <c:layoutTarget val="inner"/>
          <c:xMode val="edge"/>
          <c:yMode val="edge"/>
          <c:x val="0.25888259933510915"/>
          <c:y val="0.1341381623071764"/>
          <c:w val="0.70662145975046764"/>
          <c:h val="0.77872336380488039"/>
        </c:manualLayout>
      </c:layout>
      <c:barChart>
        <c:barDir val="bar"/>
        <c:grouping val="clustered"/>
        <c:ser>
          <c:idx val="0"/>
          <c:order val="0"/>
          <c:dPt>
            <c:idx val="0"/>
            <c:spPr>
              <a:solidFill>
                <a:schemeClr val="tx1">
                  <a:lumMod val="65000"/>
                  <a:lumOff val="35000"/>
                </a:schemeClr>
              </a:solidFill>
            </c:spPr>
          </c:dPt>
          <c:dPt>
            <c:idx val="4"/>
            <c:spPr>
              <a:solidFill>
                <a:schemeClr val="tx1">
                  <a:lumMod val="65000"/>
                  <a:lumOff val="35000"/>
                </a:schemeClr>
              </a:solidFill>
            </c:spPr>
          </c:dPt>
          <c:dLbls>
            <c:showVal val="1"/>
          </c:dLbls>
          <c:cat>
            <c:strRef>
              <c:f>'Factors limiting firms'' growth'!$O$56:$O$64</c:f>
              <c:strCache>
                <c:ptCount val="9"/>
                <c:pt idx="0">
                  <c:v>Payments system problems</c:v>
                </c:pt>
                <c:pt idx="1">
                  <c:v>High tax rates</c:v>
                </c:pt>
                <c:pt idx="2">
                  <c:v>Low demand for products</c:v>
                </c:pt>
                <c:pt idx="3">
                  <c:v>Obtaining various permits</c:v>
                </c:pt>
                <c:pt idx="4">
                  <c:v>External finance</c:v>
                </c:pt>
                <c:pt idx="5">
                  <c:v>Bureaucracy and bribery</c:v>
                </c:pt>
                <c:pt idx="6">
                  <c:v>Energy shortages</c:v>
                </c:pt>
                <c:pt idx="7">
                  <c:v>Underdeveloped infrastructure</c:v>
                </c:pt>
                <c:pt idx="8">
                  <c:v>Forced contributions to social projects</c:v>
                </c:pt>
              </c:strCache>
            </c:strRef>
          </c:cat>
          <c:val>
            <c:numRef>
              <c:f>'Factors limiting firms'' growth'!$P$56:$P$64</c:f>
              <c:numCache>
                <c:formatCode>0.0%</c:formatCode>
                <c:ptCount val="9"/>
                <c:pt idx="0">
                  <c:v>0.59</c:v>
                </c:pt>
                <c:pt idx="1">
                  <c:v>0.53600000000000003</c:v>
                </c:pt>
                <c:pt idx="2">
                  <c:v>0.37300000000000144</c:v>
                </c:pt>
                <c:pt idx="3">
                  <c:v>0.33500000000000191</c:v>
                </c:pt>
                <c:pt idx="4">
                  <c:v>0.32500000000000162</c:v>
                </c:pt>
                <c:pt idx="5">
                  <c:v>0.29900000000000032</c:v>
                </c:pt>
                <c:pt idx="6">
                  <c:v>0.29900000000000032</c:v>
                </c:pt>
                <c:pt idx="7">
                  <c:v>0.21700000000000041</c:v>
                </c:pt>
                <c:pt idx="8">
                  <c:v>0.16900000000000001</c:v>
                </c:pt>
              </c:numCache>
            </c:numRef>
          </c:val>
        </c:ser>
        <c:axId val="187231616"/>
        <c:axId val="187438208"/>
      </c:barChart>
      <c:catAx>
        <c:axId val="187231616"/>
        <c:scaling>
          <c:orientation val="minMax"/>
        </c:scaling>
        <c:axPos val="l"/>
        <c:numFmt formatCode="General" sourceLinked="1"/>
        <c:tickLblPos val="nextTo"/>
        <c:crossAx val="187438208"/>
        <c:crosses val="autoZero"/>
        <c:auto val="1"/>
        <c:lblAlgn val="ctr"/>
        <c:lblOffset val="100"/>
      </c:catAx>
      <c:valAx>
        <c:axId val="187438208"/>
        <c:scaling>
          <c:orientation val="minMax"/>
        </c:scaling>
        <c:axPos val="b"/>
        <c:numFmt formatCode="0.0%" sourceLinked="1"/>
        <c:tickLblPos val="nextTo"/>
        <c:crossAx val="187231616"/>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style val="13"/>
  <c:chart>
    <c:title>
      <c:tx>
        <c:rich>
          <a:bodyPr/>
          <a:lstStyle/>
          <a:p>
            <a:pPr>
              <a:defRPr/>
            </a:pPr>
            <a:r>
              <a:rPr lang="en-GB" sz="1000"/>
              <a:t>Figure 5. Enterprises' Subjective Evaluation of Their Access to Bank Credit (460 Responses).</a:t>
            </a:r>
          </a:p>
        </c:rich>
      </c:tx>
      <c:layout>
        <c:manualLayout>
          <c:xMode val="edge"/>
          <c:yMode val="edge"/>
          <c:x val="0.17213736011458097"/>
          <c:y val="3.2748538011695916E-2"/>
        </c:manualLayout>
      </c:layout>
    </c:title>
    <c:plotArea>
      <c:layout>
        <c:manualLayout>
          <c:layoutTarget val="inner"/>
          <c:xMode val="edge"/>
          <c:yMode val="edge"/>
          <c:x val="0.125"/>
          <c:y val="0.17770483952663907"/>
          <c:w val="0.843750000000003"/>
          <c:h val="0.66604521803196015"/>
        </c:manualLayout>
      </c:layout>
      <c:barChart>
        <c:barDir val="col"/>
        <c:grouping val="clustered"/>
        <c:ser>
          <c:idx val="0"/>
          <c:order val="0"/>
          <c:dLbls>
            <c:showVal val="1"/>
          </c:dLbls>
          <c:cat>
            <c:strRef>
              <c:f>'Access to bank credit'!$L$3:$L$7</c:f>
              <c:strCache>
                <c:ptCount val="5"/>
                <c:pt idx="0">
                  <c:v>Very easy</c:v>
                </c:pt>
                <c:pt idx="1">
                  <c:v>Easy</c:v>
                </c:pt>
                <c:pt idx="2">
                  <c:v>Not easy</c:v>
                </c:pt>
                <c:pt idx="3">
                  <c:v>Difficult</c:v>
                </c:pt>
                <c:pt idx="4">
                  <c:v>Very difficult</c:v>
                </c:pt>
              </c:strCache>
            </c:strRef>
          </c:cat>
          <c:val>
            <c:numRef>
              <c:f>'Access to bank credit'!$N$3:$N$7</c:f>
              <c:numCache>
                <c:formatCode>0.0%</c:formatCode>
                <c:ptCount val="5"/>
                <c:pt idx="0">
                  <c:v>2.8260869565217391E-2</c:v>
                </c:pt>
                <c:pt idx="1">
                  <c:v>0.17391304347826231</c:v>
                </c:pt>
                <c:pt idx="2">
                  <c:v>0.26739130434782632</c:v>
                </c:pt>
                <c:pt idx="3">
                  <c:v>0.32391304347826233</c:v>
                </c:pt>
                <c:pt idx="4">
                  <c:v>0.20652173913043562</c:v>
                </c:pt>
              </c:numCache>
            </c:numRef>
          </c:val>
        </c:ser>
        <c:axId val="187114240"/>
        <c:axId val="187115776"/>
      </c:barChart>
      <c:catAx>
        <c:axId val="187114240"/>
        <c:scaling>
          <c:orientation val="minMax"/>
        </c:scaling>
        <c:axPos val="b"/>
        <c:numFmt formatCode="General" sourceLinked="1"/>
        <c:tickLblPos val="nextTo"/>
        <c:crossAx val="187115776"/>
        <c:crosses val="autoZero"/>
        <c:auto val="1"/>
        <c:lblAlgn val="ctr"/>
        <c:lblOffset val="100"/>
      </c:catAx>
      <c:valAx>
        <c:axId val="187115776"/>
        <c:scaling>
          <c:orientation val="minMax"/>
        </c:scaling>
        <c:axPos val="l"/>
        <c:numFmt formatCode="0.0%" sourceLinked="1"/>
        <c:tickLblPos val="nextTo"/>
        <c:crossAx val="187114240"/>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style val="13"/>
  <c:chart>
    <c:title>
      <c:tx>
        <c:rich>
          <a:bodyPr/>
          <a:lstStyle/>
          <a:p>
            <a:pPr>
              <a:defRPr/>
            </a:pPr>
            <a:r>
              <a:rPr lang="en-GB" sz="1000"/>
              <a:t>Figure 6. Main Reasons for Rejection of Application </a:t>
            </a:r>
          </a:p>
          <a:p>
            <a:pPr>
              <a:defRPr/>
            </a:pPr>
            <a:r>
              <a:rPr lang="en-GB" sz="1000"/>
              <a:t>(99 responses, multiple responses possible).</a:t>
            </a:r>
          </a:p>
        </c:rich>
      </c:tx>
      <c:layout>
        <c:manualLayout>
          <c:xMode val="edge"/>
          <c:yMode val="edge"/>
          <c:x val="0.3577521281649883"/>
          <c:y val="2.2739560655693405E-2"/>
        </c:manualLayout>
      </c:layout>
    </c:title>
    <c:plotArea>
      <c:layout>
        <c:manualLayout>
          <c:layoutTarget val="inner"/>
          <c:xMode val="edge"/>
          <c:yMode val="edge"/>
          <c:x val="0.53089102218387829"/>
          <c:y val="0.15051020408163363"/>
          <c:w val="0.43457706827742687"/>
          <c:h val="0.73724489795919013"/>
        </c:manualLayout>
      </c:layout>
      <c:barChart>
        <c:barDir val="bar"/>
        <c:grouping val="clustered"/>
        <c:ser>
          <c:idx val="0"/>
          <c:order val="0"/>
          <c:dLbls>
            <c:showVal val="1"/>
          </c:dLbls>
          <c:cat>
            <c:strRef>
              <c:f>'reason 4 not obtaining'!$T$5:$T$12</c:f>
              <c:strCache>
                <c:ptCount val="8"/>
                <c:pt idx="0">
                  <c:v>Various other reasons</c:v>
                </c:pt>
                <c:pt idx="1">
                  <c:v>Lack resources to pay the required unofficial payments</c:v>
                </c:pt>
                <c:pt idx="2">
                  <c:v>Lender did not have funds at the time</c:v>
                </c:pt>
                <c:pt idx="3">
                  <c:v>Lack connections in the formal credit sector</c:v>
                </c:pt>
                <c:pt idx="4">
                  <c:v>Refused the loan on offer as terms were not acceptable </c:v>
                </c:pt>
                <c:pt idx="5">
                  <c:v>Business plan was not acceptable to lender</c:v>
                </c:pt>
                <c:pt idx="6">
                  <c:v>Small scope of business</c:v>
                </c:pt>
                <c:pt idx="7">
                  <c:v>Our collateral was not suitable for lender</c:v>
                </c:pt>
              </c:strCache>
            </c:strRef>
          </c:cat>
          <c:val>
            <c:numRef>
              <c:f>'reason 4 not obtaining'!$V$5:$V$12</c:f>
              <c:numCache>
                <c:formatCode>0.0%</c:formatCode>
                <c:ptCount val="8"/>
                <c:pt idx="0">
                  <c:v>0.13186813186813287</c:v>
                </c:pt>
                <c:pt idx="1">
                  <c:v>3.2967032967032975E-2</c:v>
                </c:pt>
                <c:pt idx="2">
                  <c:v>6.5934065934065936E-2</c:v>
                </c:pt>
                <c:pt idx="3">
                  <c:v>7.6923076923076927E-2</c:v>
                </c:pt>
                <c:pt idx="4">
                  <c:v>8.7912087912087933E-2</c:v>
                </c:pt>
                <c:pt idx="5">
                  <c:v>0.10989010989011012</c:v>
                </c:pt>
                <c:pt idx="6">
                  <c:v>0.14285714285714399</c:v>
                </c:pt>
                <c:pt idx="7">
                  <c:v>0.35164835164835168</c:v>
                </c:pt>
              </c:numCache>
            </c:numRef>
          </c:val>
        </c:ser>
        <c:axId val="187123584"/>
        <c:axId val="187125120"/>
      </c:barChart>
      <c:catAx>
        <c:axId val="187123584"/>
        <c:scaling>
          <c:orientation val="minMax"/>
        </c:scaling>
        <c:axPos val="l"/>
        <c:numFmt formatCode="General" sourceLinked="1"/>
        <c:tickLblPos val="nextTo"/>
        <c:crossAx val="187125120"/>
        <c:crosses val="autoZero"/>
        <c:auto val="1"/>
        <c:lblAlgn val="ctr"/>
        <c:lblOffset val="100"/>
      </c:catAx>
      <c:valAx>
        <c:axId val="187125120"/>
        <c:scaling>
          <c:orientation val="minMax"/>
        </c:scaling>
        <c:axPos val="b"/>
        <c:numFmt formatCode="0.0%" sourceLinked="1"/>
        <c:tickLblPos val="nextTo"/>
        <c:crossAx val="187123584"/>
        <c:crosses val="autoZero"/>
        <c:crossBetween val="between"/>
        <c:majorUnit val="0.1"/>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48</Pages>
  <Words>13226</Words>
  <Characters>75391</Characters>
  <Application>Microsoft Office Word</Application>
  <DocSecurity>0</DocSecurity>
  <Lines>628</Lines>
  <Paragraphs>176</Paragraphs>
  <ScaleCrop>false</ScaleCrop>
  <Company/>
  <LinksUpToDate>false</LinksUpToDate>
  <CharactersWithSpaces>88441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 Ruziev</dc:creator>
  <cp:keywords/>
  <dc:description/>
  <cp:lastModifiedBy>Kobil Ruziev</cp:lastModifiedBy>
  <cp:revision>1</cp:revision>
  <dcterms:created xsi:type="dcterms:W3CDTF">2014-12-06T14:12:00Z</dcterms:created>
  <dcterms:modified xsi:type="dcterms:W3CDTF">2014-12-06T14:22:00Z</dcterms:modified>
</cp:coreProperties>
</file>