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C6" w:rsidRPr="009C16CF" w:rsidRDefault="00051083" w:rsidP="003E581D">
      <w:pPr>
        <w:spacing w:line="360" w:lineRule="auto"/>
        <w:rPr>
          <w:b/>
          <w:sz w:val="36"/>
          <w:szCs w:val="28"/>
        </w:rPr>
      </w:pPr>
      <w:r w:rsidRPr="009C16CF">
        <w:rPr>
          <w:b/>
          <w:sz w:val="36"/>
          <w:szCs w:val="28"/>
        </w:rPr>
        <w:t xml:space="preserve">An ecological fallacy </w:t>
      </w:r>
      <w:r w:rsidR="00545C97" w:rsidRPr="009C16CF">
        <w:rPr>
          <w:b/>
          <w:sz w:val="36"/>
          <w:szCs w:val="28"/>
        </w:rPr>
        <w:t>in</w:t>
      </w:r>
      <w:r w:rsidRPr="009C16CF">
        <w:rPr>
          <w:b/>
          <w:sz w:val="36"/>
          <w:szCs w:val="28"/>
        </w:rPr>
        <w:t xml:space="preserve"> higher education</w:t>
      </w:r>
      <w:r w:rsidR="00506901" w:rsidRPr="009C16CF">
        <w:rPr>
          <w:b/>
          <w:sz w:val="36"/>
          <w:szCs w:val="28"/>
        </w:rPr>
        <w:t xml:space="preserve"> policy</w:t>
      </w:r>
      <w:r w:rsidRPr="009C16CF">
        <w:rPr>
          <w:b/>
          <w:sz w:val="36"/>
          <w:szCs w:val="28"/>
        </w:rPr>
        <w:t>: the use</w:t>
      </w:r>
      <w:r w:rsidR="008476FD" w:rsidRPr="009C16CF">
        <w:rPr>
          <w:b/>
          <w:sz w:val="36"/>
          <w:szCs w:val="28"/>
        </w:rPr>
        <w:t>, overuse</w:t>
      </w:r>
      <w:r w:rsidRPr="009C16CF">
        <w:rPr>
          <w:b/>
          <w:sz w:val="36"/>
          <w:szCs w:val="28"/>
        </w:rPr>
        <w:t xml:space="preserve"> and misuse of ‘low participation neighbourhoods’</w:t>
      </w:r>
    </w:p>
    <w:p w:rsidR="00516FC6" w:rsidRPr="009C16CF" w:rsidRDefault="00200835" w:rsidP="00200835">
      <w:pPr>
        <w:tabs>
          <w:tab w:val="left" w:pos="7095"/>
        </w:tabs>
        <w:spacing w:line="360" w:lineRule="auto"/>
        <w:rPr>
          <w:b/>
          <w:sz w:val="28"/>
          <w:szCs w:val="24"/>
        </w:rPr>
      </w:pPr>
      <w:r>
        <w:rPr>
          <w:b/>
          <w:sz w:val="28"/>
          <w:szCs w:val="24"/>
        </w:rPr>
        <w:tab/>
      </w:r>
    </w:p>
    <w:p w:rsidR="00516FC6" w:rsidRPr="009C16CF" w:rsidRDefault="00516FC6" w:rsidP="003E581D">
      <w:pPr>
        <w:spacing w:line="360" w:lineRule="auto"/>
        <w:rPr>
          <w:b/>
          <w:sz w:val="28"/>
          <w:szCs w:val="24"/>
        </w:rPr>
      </w:pPr>
    </w:p>
    <w:p w:rsidR="00051083" w:rsidRPr="009C16CF" w:rsidRDefault="00051083" w:rsidP="003E581D">
      <w:pPr>
        <w:spacing w:line="360" w:lineRule="auto"/>
        <w:rPr>
          <w:b/>
          <w:sz w:val="28"/>
          <w:szCs w:val="24"/>
        </w:rPr>
      </w:pPr>
      <w:r w:rsidRPr="009C16CF">
        <w:rPr>
          <w:b/>
          <w:sz w:val="28"/>
          <w:szCs w:val="24"/>
        </w:rPr>
        <w:t>Neil Harrison (University of the West of England)</w:t>
      </w:r>
    </w:p>
    <w:p w:rsidR="00051083" w:rsidRPr="009C16CF" w:rsidRDefault="00051083" w:rsidP="003E581D">
      <w:pPr>
        <w:spacing w:line="360" w:lineRule="auto"/>
        <w:rPr>
          <w:b/>
          <w:sz w:val="28"/>
          <w:szCs w:val="24"/>
        </w:rPr>
      </w:pPr>
      <w:r w:rsidRPr="009C16CF">
        <w:rPr>
          <w:b/>
          <w:sz w:val="28"/>
          <w:szCs w:val="24"/>
        </w:rPr>
        <w:t>Colin McCaig (Sheffield Hallam University)</w:t>
      </w:r>
    </w:p>
    <w:p w:rsidR="00051083" w:rsidRPr="009C16CF" w:rsidRDefault="00051083" w:rsidP="003E581D">
      <w:pPr>
        <w:spacing w:line="360" w:lineRule="auto"/>
        <w:rPr>
          <w:b/>
          <w:sz w:val="24"/>
          <w:szCs w:val="24"/>
        </w:rPr>
      </w:pPr>
    </w:p>
    <w:p w:rsidR="00051083" w:rsidRPr="009C16CF" w:rsidRDefault="00051083" w:rsidP="003E581D">
      <w:pPr>
        <w:spacing w:line="360" w:lineRule="auto"/>
        <w:rPr>
          <w:b/>
          <w:sz w:val="24"/>
          <w:szCs w:val="24"/>
        </w:rPr>
      </w:pPr>
    </w:p>
    <w:p w:rsidR="00F75B59" w:rsidRPr="000C7050" w:rsidRDefault="00F75B59" w:rsidP="003E581D">
      <w:pPr>
        <w:spacing w:line="360" w:lineRule="auto"/>
        <w:rPr>
          <w:sz w:val="24"/>
          <w:szCs w:val="24"/>
        </w:rPr>
      </w:pPr>
      <w:r w:rsidRPr="000C7050">
        <w:rPr>
          <w:sz w:val="24"/>
          <w:szCs w:val="24"/>
          <w:u w:val="single"/>
        </w:rPr>
        <w:t>Abstract:</w:t>
      </w:r>
      <w:r w:rsidRPr="000C7050">
        <w:rPr>
          <w:sz w:val="24"/>
          <w:szCs w:val="24"/>
        </w:rPr>
        <w:t xml:space="preserve">  </w:t>
      </w:r>
      <w:r w:rsidR="00D13A7E" w:rsidRPr="000C7050">
        <w:rPr>
          <w:sz w:val="24"/>
          <w:szCs w:val="24"/>
        </w:rPr>
        <w:t>One</w:t>
      </w:r>
      <w:r w:rsidRPr="000C7050">
        <w:rPr>
          <w:sz w:val="24"/>
          <w:szCs w:val="24"/>
        </w:rPr>
        <w:t xml:space="preserve"> </w:t>
      </w:r>
      <w:r w:rsidR="00D13A7E" w:rsidRPr="000C7050">
        <w:rPr>
          <w:sz w:val="24"/>
          <w:szCs w:val="24"/>
        </w:rPr>
        <w:t xml:space="preserve">form of </w:t>
      </w:r>
      <w:r w:rsidRPr="000C7050">
        <w:rPr>
          <w:sz w:val="24"/>
          <w:szCs w:val="24"/>
        </w:rPr>
        <w:t xml:space="preserve">ecological fallacy </w:t>
      </w:r>
      <w:r w:rsidR="00D13A7E" w:rsidRPr="000C7050">
        <w:rPr>
          <w:sz w:val="24"/>
          <w:szCs w:val="24"/>
        </w:rPr>
        <w:t>is found in</w:t>
      </w:r>
      <w:r w:rsidRPr="000C7050">
        <w:rPr>
          <w:sz w:val="24"/>
          <w:szCs w:val="24"/>
        </w:rPr>
        <w:t xml:space="preserve"> the dictum that ‘you are where you live’ – otherwise expressed in the idea that you can </w:t>
      </w:r>
      <w:r w:rsidR="00D13A7E" w:rsidRPr="000C7050">
        <w:rPr>
          <w:sz w:val="24"/>
          <w:szCs w:val="24"/>
        </w:rPr>
        <w:t>infer</w:t>
      </w:r>
      <w:r w:rsidRPr="000C7050">
        <w:rPr>
          <w:sz w:val="24"/>
          <w:szCs w:val="24"/>
        </w:rPr>
        <w:t xml:space="preserve"> significant information about an individual or their family from the prevailing conditions </w:t>
      </w:r>
      <w:r w:rsidR="00D13A7E" w:rsidRPr="000C7050">
        <w:rPr>
          <w:sz w:val="24"/>
          <w:szCs w:val="24"/>
        </w:rPr>
        <w:t>around their home</w:t>
      </w:r>
      <w:r w:rsidRPr="000C7050">
        <w:rPr>
          <w:sz w:val="24"/>
          <w:szCs w:val="24"/>
        </w:rPr>
        <w:t xml:space="preserve">.  One expression of this within higher education in the UK </w:t>
      </w:r>
      <w:r w:rsidR="003C2DBB" w:rsidRPr="000C7050">
        <w:rPr>
          <w:sz w:val="24"/>
          <w:szCs w:val="24"/>
        </w:rPr>
        <w:t>has been the use (and, arguably, overuse and misuse) of ‘low participation neighbourhoods’ (LPNs) over the last 15 years.  These are areas that have been defined, from historic official data, to have a lower-than-average propensity to send their young people onto university.</w:t>
      </w:r>
    </w:p>
    <w:p w:rsidR="003C2DBB" w:rsidRPr="000C7050" w:rsidRDefault="003C2DBB" w:rsidP="003E581D">
      <w:pPr>
        <w:spacing w:line="360" w:lineRule="auto"/>
        <w:rPr>
          <w:sz w:val="24"/>
          <w:szCs w:val="24"/>
        </w:rPr>
      </w:pPr>
    </w:p>
    <w:p w:rsidR="003C2DBB" w:rsidRPr="000C7050" w:rsidRDefault="003C2DBB" w:rsidP="003E581D">
      <w:pPr>
        <w:spacing w:line="360" w:lineRule="auto"/>
        <w:rPr>
          <w:sz w:val="24"/>
          <w:szCs w:val="24"/>
        </w:rPr>
      </w:pPr>
      <w:r w:rsidRPr="000C7050">
        <w:rPr>
          <w:sz w:val="24"/>
          <w:szCs w:val="24"/>
        </w:rPr>
        <w:t>These LPNs have increasingly become used within the widening participation and social mobility agendas as a proxy for young people from disadvantaged backgrounds who have the potential to benefit from higher education, but who would not attend without encouragement support and/or incentives.  In this paper, we explore the various uses to which LPNs have been put by policymakers, universities and practitioners, including the targeting of outreach activities, the allocation of funding and the monitoring of the social mix within higher education.</w:t>
      </w:r>
    </w:p>
    <w:p w:rsidR="003C2DBB" w:rsidRPr="000C7050" w:rsidRDefault="003C2DBB" w:rsidP="003E581D">
      <w:pPr>
        <w:spacing w:line="360" w:lineRule="auto"/>
        <w:rPr>
          <w:sz w:val="24"/>
          <w:szCs w:val="24"/>
        </w:rPr>
      </w:pPr>
    </w:p>
    <w:p w:rsidR="003C2DBB" w:rsidRPr="000C7050" w:rsidRDefault="003C2DBB" w:rsidP="003E581D">
      <w:pPr>
        <w:spacing w:line="360" w:lineRule="auto"/>
        <w:rPr>
          <w:sz w:val="24"/>
          <w:szCs w:val="24"/>
        </w:rPr>
      </w:pPr>
      <w:r w:rsidRPr="000C7050">
        <w:rPr>
          <w:sz w:val="24"/>
          <w:szCs w:val="24"/>
        </w:rPr>
        <w:t xml:space="preserve">We use a range of official data to demonstrate that LPNs have a </w:t>
      </w:r>
      <w:r w:rsidR="000862CF" w:rsidRPr="000C7050">
        <w:rPr>
          <w:sz w:val="24"/>
          <w:szCs w:val="24"/>
        </w:rPr>
        <w:t>questionable</w:t>
      </w:r>
      <w:r w:rsidR="000C3E91" w:rsidRPr="000C7050">
        <w:rPr>
          <w:sz w:val="24"/>
          <w:szCs w:val="24"/>
        </w:rPr>
        <w:t xml:space="preserve"> diagnostic value, with more </w:t>
      </w:r>
      <w:r w:rsidRPr="000C7050">
        <w:rPr>
          <w:sz w:val="24"/>
          <w:szCs w:val="24"/>
        </w:rPr>
        <w:t xml:space="preserve">disadvantaged families living outside them than within them, while they contain a higher-than-expected proportion of relatively advantaged families.  We also use content analysis of university policy documents to demonstrate </w:t>
      </w:r>
      <w:r w:rsidR="002646C5" w:rsidRPr="000C7050">
        <w:rPr>
          <w:sz w:val="24"/>
          <w:szCs w:val="24"/>
        </w:rPr>
        <w:t xml:space="preserve">that </w:t>
      </w:r>
      <w:r w:rsidR="000C3E91" w:rsidRPr="000C7050">
        <w:rPr>
          <w:sz w:val="24"/>
          <w:szCs w:val="24"/>
        </w:rPr>
        <w:t xml:space="preserve">universities have adopted some questionable practices with regard to LPNs, although </w:t>
      </w:r>
      <w:r w:rsidR="009F08B4">
        <w:rPr>
          <w:sz w:val="24"/>
          <w:szCs w:val="24"/>
        </w:rPr>
        <w:t xml:space="preserve">some of </w:t>
      </w:r>
      <w:r w:rsidR="000C3E91" w:rsidRPr="000C7050">
        <w:rPr>
          <w:sz w:val="24"/>
          <w:szCs w:val="24"/>
        </w:rPr>
        <w:t>these are now being actively discouraged.</w:t>
      </w:r>
    </w:p>
    <w:p w:rsidR="00F75B59" w:rsidRPr="000C7050" w:rsidRDefault="00F75B59" w:rsidP="003E581D">
      <w:pPr>
        <w:spacing w:line="360" w:lineRule="auto"/>
        <w:rPr>
          <w:b/>
          <w:sz w:val="24"/>
          <w:szCs w:val="24"/>
        </w:rPr>
      </w:pPr>
      <w:r w:rsidRPr="000C7050">
        <w:rPr>
          <w:b/>
          <w:sz w:val="24"/>
          <w:szCs w:val="24"/>
        </w:rPr>
        <w:br w:type="page"/>
      </w:r>
    </w:p>
    <w:p w:rsidR="00B75A98" w:rsidRPr="000C7050" w:rsidRDefault="00B75A98" w:rsidP="003E581D">
      <w:pPr>
        <w:spacing w:line="360" w:lineRule="auto"/>
        <w:rPr>
          <w:b/>
          <w:sz w:val="24"/>
          <w:szCs w:val="24"/>
        </w:rPr>
      </w:pPr>
      <w:r w:rsidRPr="000C7050">
        <w:rPr>
          <w:b/>
          <w:sz w:val="24"/>
          <w:szCs w:val="24"/>
        </w:rPr>
        <w:lastRenderedPageBreak/>
        <w:t>Introduction</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Despite the 2010 change of government, social mobility through higher education remains a policy priority in the United Kingdom</w:t>
      </w:r>
      <w:r w:rsidR="001E7832" w:rsidRPr="000C7050">
        <w:rPr>
          <w:sz w:val="24"/>
          <w:szCs w:val="24"/>
        </w:rPr>
        <w:t xml:space="preserve"> (e.g. </w:t>
      </w:r>
      <w:r w:rsidR="00B96D17" w:rsidRPr="000C7050">
        <w:rPr>
          <w:sz w:val="24"/>
          <w:szCs w:val="24"/>
        </w:rPr>
        <w:t xml:space="preserve">Cable 2010; </w:t>
      </w:r>
      <w:r w:rsidR="001E7832" w:rsidRPr="000C7050">
        <w:rPr>
          <w:sz w:val="24"/>
          <w:szCs w:val="24"/>
        </w:rPr>
        <w:t>Cabinet Office 2011, 2012)</w:t>
      </w:r>
      <w:r w:rsidRPr="000C7050">
        <w:rPr>
          <w:sz w:val="24"/>
          <w:szCs w:val="24"/>
        </w:rPr>
        <w:t xml:space="preserve">.  While the emphasis has shifted from a social justice approach of widening participation </w:t>
      </w:r>
      <w:r w:rsidR="007F0333">
        <w:rPr>
          <w:sz w:val="24"/>
          <w:szCs w:val="24"/>
        </w:rPr>
        <w:t xml:space="preserve">among under-represented groups </w:t>
      </w:r>
      <w:r w:rsidRPr="000C7050">
        <w:rPr>
          <w:sz w:val="24"/>
          <w:szCs w:val="24"/>
        </w:rPr>
        <w:t xml:space="preserve">to one driven more by meritocracy and maximising national competitiveness, </w:t>
      </w:r>
      <w:r w:rsidR="006A485B" w:rsidRPr="000C7050">
        <w:rPr>
          <w:sz w:val="24"/>
          <w:szCs w:val="24"/>
        </w:rPr>
        <w:t>encouraging</w:t>
      </w:r>
      <w:r w:rsidRPr="000C7050">
        <w:rPr>
          <w:sz w:val="24"/>
          <w:szCs w:val="24"/>
        </w:rPr>
        <w:t xml:space="preserve"> academically-talented young people from </w:t>
      </w:r>
      <w:r w:rsidR="001E7832" w:rsidRPr="000C7050">
        <w:rPr>
          <w:sz w:val="24"/>
          <w:szCs w:val="24"/>
        </w:rPr>
        <w:t>disadvantaged backgrounds</w:t>
      </w:r>
      <w:r w:rsidRPr="000C7050">
        <w:rPr>
          <w:sz w:val="24"/>
          <w:szCs w:val="24"/>
        </w:rPr>
        <w:t xml:space="preserve"> to apply to university</w:t>
      </w:r>
      <w:r w:rsidR="00350DEE" w:rsidRPr="000C7050">
        <w:rPr>
          <w:rStyle w:val="EndnoteReference"/>
          <w:sz w:val="24"/>
          <w:szCs w:val="24"/>
        </w:rPr>
        <w:endnoteReference w:id="1"/>
      </w:r>
      <w:r w:rsidRPr="000C7050">
        <w:rPr>
          <w:sz w:val="24"/>
          <w:szCs w:val="24"/>
        </w:rPr>
        <w:t xml:space="preserve"> continues to prompt significant discourse and occupy large commitments from the public purse.</w:t>
      </w:r>
    </w:p>
    <w:p w:rsidR="00B75A98" w:rsidRPr="000C7050" w:rsidRDefault="00B75A98" w:rsidP="003E581D">
      <w:pPr>
        <w:spacing w:line="360" w:lineRule="auto"/>
        <w:rPr>
          <w:sz w:val="24"/>
          <w:szCs w:val="24"/>
        </w:rPr>
      </w:pPr>
    </w:p>
    <w:p w:rsidR="007F0333" w:rsidRDefault="00B75A98" w:rsidP="003E581D">
      <w:pPr>
        <w:spacing w:line="360" w:lineRule="auto"/>
        <w:rPr>
          <w:sz w:val="24"/>
          <w:szCs w:val="24"/>
        </w:rPr>
      </w:pPr>
      <w:r w:rsidRPr="000C7050">
        <w:rPr>
          <w:sz w:val="24"/>
          <w:szCs w:val="24"/>
        </w:rPr>
        <w:t xml:space="preserve">One of the key concepts to emerge over the last fifteen years in this regard is that of the 'low participation neighbourhood' or LPN.  These are geographically defined areas that are </w:t>
      </w:r>
      <w:r w:rsidR="007F0333">
        <w:rPr>
          <w:sz w:val="24"/>
          <w:szCs w:val="24"/>
        </w:rPr>
        <w:t>calculated</w:t>
      </w:r>
      <w:r w:rsidRPr="000C7050">
        <w:rPr>
          <w:sz w:val="24"/>
          <w:szCs w:val="24"/>
        </w:rPr>
        <w:t xml:space="preserve"> to have a lower-than-average propensity to send young people into higher education, based on historic</w:t>
      </w:r>
      <w:r w:rsidR="004C21C3" w:rsidRPr="000C7050">
        <w:rPr>
          <w:sz w:val="24"/>
          <w:szCs w:val="24"/>
        </w:rPr>
        <w:t xml:space="preserve"> official</w:t>
      </w:r>
      <w:r w:rsidRPr="000C7050">
        <w:rPr>
          <w:sz w:val="24"/>
          <w:szCs w:val="24"/>
        </w:rPr>
        <w:t xml:space="preserve"> data.</w:t>
      </w:r>
      <w:r w:rsidR="007F0333">
        <w:rPr>
          <w:sz w:val="24"/>
          <w:szCs w:val="24"/>
        </w:rPr>
        <w:t xml:space="preserve">  </w:t>
      </w:r>
      <w:r w:rsidRPr="000C7050">
        <w:rPr>
          <w:sz w:val="24"/>
          <w:szCs w:val="24"/>
        </w:rPr>
        <w:t>These LPNs have grown in policy importance in recent years and have come to dominate many aspects</w:t>
      </w:r>
      <w:r w:rsidR="004C21C3" w:rsidRPr="000C7050">
        <w:rPr>
          <w:sz w:val="24"/>
          <w:szCs w:val="24"/>
        </w:rPr>
        <w:t xml:space="preserve"> of</w:t>
      </w:r>
      <w:r w:rsidRPr="000C7050">
        <w:rPr>
          <w:sz w:val="24"/>
          <w:szCs w:val="24"/>
        </w:rPr>
        <w:t xml:space="preserve"> targeting, monitoring and f</w:t>
      </w:r>
      <w:r w:rsidR="007F0333">
        <w:rPr>
          <w:sz w:val="24"/>
          <w:szCs w:val="24"/>
        </w:rPr>
        <w:t>unding (</w:t>
      </w:r>
      <w:r w:rsidR="006A485B" w:rsidRPr="000C7050">
        <w:rPr>
          <w:sz w:val="24"/>
          <w:szCs w:val="24"/>
        </w:rPr>
        <w:t>both personal and inst</w:t>
      </w:r>
      <w:r w:rsidRPr="000C7050">
        <w:rPr>
          <w:sz w:val="24"/>
          <w:szCs w:val="24"/>
        </w:rPr>
        <w:t>itutional</w:t>
      </w:r>
      <w:r w:rsidR="007F0333">
        <w:rPr>
          <w:sz w:val="24"/>
          <w:szCs w:val="24"/>
        </w:rPr>
        <w:t>)</w:t>
      </w:r>
      <w:r w:rsidRPr="000C7050">
        <w:rPr>
          <w:sz w:val="24"/>
          <w:szCs w:val="24"/>
        </w:rPr>
        <w:t xml:space="preserve">.  </w:t>
      </w:r>
    </w:p>
    <w:p w:rsidR="007F0333" w:rsidRDefault="007F0333" w:rsidP="003E581D">
      <w:pPr>
        <w:spacing w:line="360" w:lineRule="auto"/>
        <w:rPr>
          <w:sz w:val="24"/>
          <w:szCs w:val="24"/>
        </w:rPr>
      </w:pPr>
    </w:p>
    <w:p w:rsidR="007F0333" w:rsidRDefault="007F0333" w:rsidP="007F0333">
      <w:pPr>
        <w:spacing w:line="360" w:lineRule="auto"/>
        <w:rPr>
          <w:sz w:val="24"/>
          <w:szCs w:val="24"/>
        </w:rPr>
      </w:pPr>
      <w:r>
        <w:rPr>
          <w:sz w:val="24"/>
          <w:szCs w:val="24"/>
        </w:rPr>
        <w:t xml:space="preserve">In this paper, we will begin by looking at how LPNs are defined, using official data to illuminate who lives in them and assess their diagnostic validity in identifying educational disadvantage.  We will then use content analysis of university strategy documents to show that the use of LPNs has grown in recent years and that some emerging practices are showing evidence of overuse and misuse.  </w:t>
      </w:r>
    </w:p>
    <w:p w:rsidR="007F0333" w:rsidRDefault="007F0333" w:rsidP="007F0333">
      <w:pPr>
        <w:spacing w:line="360" w:lineRule="auto"/>
        <w:rPr>
          <w:sz w:val="24"/>
          <w:szCs w:val="24"/>
        </w:rPr>
      </w:pPr>
    </w:p>
    <w:p w:rsidR="00B75A98" w:rsidRPr="000C7050" w:rsidRDefault="007F0333" w:rsidP="007F0333">
      <w:pPr>
        <w:spacing w:line="360" w:lineRule="auto"/>
        <w:rPr>
          <w:sz w:val="24"/>
          <w:szCs w:val="24"/>
        </w:rPr>
      </w:pPr>
      <w:r>
        <w:rPr>
          <w:sz w:val="24"/>
          <w:szCs w:val="24"/>
        </w:rPr>
        <w:t>We will argue that LPNs</w:t>
      </w:r>
      <w:r w:rsidR="00B75A98" w:rsidRPr="000C7050">
        <w:rPr>
          <w:sz w:val="24"/>
          <w:szCs w:val="24"/>
        </w:rPr>
        <w:t xml:space="preserve"> remain poorly understood by</w:t>
      </w:r>
      <w:r>
        <w:rPr>
          <w:sz w:val="24"/>
          <w:szCs w:val="24"/>
        </w:rPr>
        <w:t xml:space="preserve"> some</w:t>
      </w:r>
      <w:r w:rsidR="00B75A98" w:rsidRPr="000C7050">
        <w:rPr>
          <w:sz w:val="24"/>
          <w:szCs w:val="24"/>
        </w:rPr>
        <w:t xml:space="preserve"> policymakers and practitioners</w:t>
      </w:r>
      <w:r>
        <w:rPr>
          <w:sz w:val="24"/>
          <w:szCs w:val="24"/>
        </w:rPr>
        <w:t xml:space="preserve"> and that their use </w:t>
      </w:r>
      <w:r w:rsidR="00B75A98" w:rsidRPr="000C7050">
        <w:rPr>
          <w:sz w:val="24"/>
          <w:szCs w:val="24"/>
        </w:rPr>
        <w:t>ha</w:t>
      </w:r>
      <w:r>
        <w:rPr>
          <w:sz w:val="24"/>
          <w:szCs w:val="24"/>
        </w:rPr>
        <w:t>s</w:t>
      </w:r>
      <w:r w:rsidR="00B75A98" w:rsidRPr="000C7050">
        <w:rPr>
          <w:sz w:val="24"/>
          <w:szCs w:val="24"/>
        </w:rPr>
        <w:t xml:space="preserve"> accelerated beyond their validity as a tool in understanding participation and that their use by universities and government is in danger of becoming pathological; creating new inequalities, distorting practice and undermining the very policy objectives that they are intended to support.</w:t>
      </w:r>
      <w:r w:rsidR="001217A9" w:rsidRPr="000C7050">
        <w:rPr>
          <w:sz w:val="24"/>
          <w:szCs w:val="24"/>
        </w:rPr>
        <w:t xml:space="preserve">  As such, it forms a classic case of the ecological fallacy that ‘you are where you live’.</w:t>
      </w:r>
    </w:p>
    <w:p w:rsidR="007F0333" w:rsidRDefault="007F0333"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Th</w:t>
      </w:r>
      <w:r w:rsidR="007F0333">
        <w:rPr>
          <w:sz w:val="24"/>
          <w:szCs w:val="24"/>
        </w:rPr>
        <w:t>e</w:t>
      </w:r>
      <w:r w:rsidRPr="000C7050">
        <w:rPr>
          <w:sz w:val="24"/>
          <w:szCs w:val="24"/>
        </w:rPr>
        <w:t xml:space="preserve"> paper will focus specifically on English higher education as each of the four nations of the UK have different systems and space </w:t>
      </w:r>
      <w:r w:rsidR="006A485B" w:rsidRPr="000C7050">
        <w:rPr>
          <w:sz w:val="24"/>
          <w:szCs w:val="24"/>
        </w:rPr>
        <w:t>precludes</w:t>
      </w:r>
      <w:r w:rsidRPr="000C7050">
        <w:rPr>
          <w:sz w:val="24"/>
          <w:szCs w:val="24"/>
        </w:rPr>
        <w:t xml:space="preserve"> an exploration of each.  Nevertheless, </w:t>
      </w:r>
      <w:r w:rsidR="004C21C3" w:rsidRPr="000C7050">
        <w:rPr>
          <w:sz w:val="24"/>
          <w:szCs w:val="24"/>
        </w:rPr>
        <w:t xml:space="preserve">many of </w:t>
      </w:r>
      <w:r w:rsidRPr="000C7050">
        <w:rPr>
          <w:sz w:val="24"/>
          <w:szCs w:val="24"/>
        </w:rPr>
        <w:t>the themes developed in this paper apply to differing degrees across the UK - and to other countries using a similar area-based approach to higher education admissions.</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p>
    <w:p w:rsidR="00B75A98" w:rsidRPr="000C7050" w:rsidRDefault="00B75A98" w:rsidP="003E581D">
      <w:pPr>
        <w:spacing w:line="360" w:lineRule="auto"/>
        <w:rPr>
          <w:b/>
          <w:sz w:val="24"/>
          <w:szCs w:val="24"/>
        </w:rPr>
      </w:pPr>
      <w:r w:rsidRPr="000C7050">
        <w:rPr>
          <w:b/>
          <w:sz w:val="24"/>
          <w:szCs w:val="24"/>
        </w:rPr>
        <w:lastRenderedPageBreak/>
        <w:t>A brief history of LPNs</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 xml:space="preserve">The first incarnation of LPNs arrived, publicly at least, in </w:t>
      </w:r>
      <w:r w:rsidR="00DD462C" w:rsidRPr="000C7050">
        <w:rPr>
          <w:sz w:val="24"/>
          <w:szCs w:val="24"/>
        </w:rPr>
        <w:t>1997</w:t>
      </w:r>
      <w:r w:rsidRPr="000C7050">
        <w:rPr>
          <w:sz w:val="24"/>
          <w:szCs w:val="24"/>
        </w:rPr>
        <w:t xml:space="preserve">.  They were labelled as 'Super Profiles' and were employed officially with two purposes.  Firstly, they were used as a means of monitoring the admissions profiles of individual universities and the sector as a whole via the </w:t>
      </w:r>
      <w:r w:rsidR="00F776B9" w:rsidRPr="000C7050">
        <w:rPr>
          <w:sz w:val="24"/>
          <w:szCs w:val="24"/>
        </w:rPr>
        <w:t>performance indicators</w:t>
      </w:r>
      <w:r w:rsidRPr="000C7050">
        <w:rPr>
          <w:sz w:val="24"/>
          <w:szCs w:val="24"/>
        </w:rPr>
        <w:t xml:space="preserve"> compiled and published </w:t>
      </w:r>
      <w:r w:rsidR="00DD462C" w:rsidRPr="000C7050">
        <w:rPr>
          <w:sz w:val="24"/>
          <w:szCs w:val="24"/>
        </w:rPr>
        <w:t xml:space="preserve">first by the Higher Education Funding Council for England (HEFCE) and </w:t>
      </w:r>
      <w:r w:rsidR="00F776B9" w:rsidRPr="000C7050">
        <w:rPr>
          <w:sz w:val="24"/>
          <w:szCs w:val="24"/>
        </w:rPr>
        <w:t>latterly</w:t>
      </w:r>
      <w:r w:rsidR="00DD462C" w:rsidRPr="000C7050">
        <w:rPr>
          <w:sz w:val="24"/>
          <w:szCs w:val="24"/>
        </w:rPr>
        <w:t xml:space="preserve"> by the </w:t>
      </w:r>
      <w:r w:rsidRPr="000C7050">
        <w:rPr>
          <w:sz w:val="24"/>
          <w:szCs w:val="24"/>
        </w:rPr>
        <w:t>Higher Education Statistics Agency (</w:t>
      </w:r>
      <w:r w:rsidR="00DD462C" w:rsidRPr="000C7050">
        <w:rPr>
          <w:sz w:val="24"/>
          <w:szCs w:val="24"/>
        </w:rPr>
        <w:t>HESA</w:t>
      </w:r>
      <w:r w:rsidRPr="000C7050">
        <w:rPr>
          <w:sz w:val="24"/>
          <w:szCs w:val="24"/>
        </w:rPr>
        <w:t xml:space="preserve">).  </w:t>
      </w:r>
      <w:r w:rsidR="00F776B9" w:rsidRPr="000C7050">
        <w:rPr>
          <w:sz w:val="24"/>
          <w:szCs w:val="24"/>
        </w:rPr>
        <w:t>Secondly</w:t>
      </w:r>
      <w:r w:rsidRPr="000C7050">
        <w:rPr>
          <w:sz w:val="24"/>
          <w:szCs w:val="24"/>
        </w:rPr>
        <w:t xml:space="preserve">, they were used by </w:t>
      </w:r>
      <w:r w:rsidR="00F776B9" w:rsidRPr="000C7050">
        <w:rPr>
          <w:sz w:val="24"/>
          <w:szCs w:val="24"/>
        </w:rPr>
        <w:t xml:space="preserve">HEFCE </w:t>
      </w:r>
      <w:r w:rsidRPr="000C7050">
        <w:rPr>
          <w:sz w:val="24"/>
          <w:szCs w:val="24"/>
        </w:rPr>
        <w:t xml:space="preserve">to allocate additional funds to universities for each student recruited from an LPN.  This became </w:t>
      </w:r>
      <w:r w:rsidR="007F0333">
        <w:rPr>
          <w:sz w:val="24"/>
          <w:szCs w:val="24"/>
        </w:rPr>
        <w:t xml:space="preserve">colloquially </w:t>
      </w:r>
      <w:r w:rsidRPr="000C7050">
        <w:rPr>
          <w:sz w:val="24"/>
          <w:szCs w:val="24"/>
        </w:rPr>
        <w:t>known as the 'postcode premium'</w:t>
      </w:r>
      <w:r w:rsidR="008B69B0" w:rsidRPr="000C7050">
        <w:rPr>
          <w:sz w:val="24"/>
          <w:szCs w:val="24"/>
        </w:rPr>
        <w:t xml:space="preserve"> (e.g. Times Higher Education </w:t>
      </w:r>
      <w:r w:rsidR="00715C3D" w:rsidRPr="000C7050">
        <w:rPr>
          <w:sz w:val="24"/>
          <w:szCs w:val="24"/>
        </w:rPr>
        <w:t xml:space="preserve">Supplement </w:t>
      </w:r>
      <w:r w:rsidR="008B69B0" w:rsidRPr="000C7050">
        <w:rPr>
          <w:sz w:val="24"/>
          <w:szCs w:val="24"/>
        </w:rPr>
        <w:t>2001)</w:t>
      </w:r>
      <w:r w:rsidRPr="000C7050">
        <w:rPr>
          <w:sz w:val="24"/>
          <w:szCs w:val="24"/>
        </w:rPr>
        <w:t xml:space="preserve">; a name that has stuck for many stakeholders and which critically continues to colour and distort understanding of LPNs.  Both these functions of LPNs persist to the present day and will be </w:t>
      </w:r>
      <w:r w:rsidR="00BF4EC5" w:rsidRPr="000C7050">
        <w:rPr>
          <w:sz w:val="24"/>
          <w:szCs w:val="24"/>
        </w:rPr>
        <w:t>explored</w:t>
      </w:r>
      <w:r w:rsidRPr="000C7050">
        <w:rPr>
          <w:sz w:val="24"/>
          <w:szCs w:val="24"/>
        </w:rPr>
        <w:t xml:space="preserve"> in detail shortly.</w:t>
      </w:r>
    </w:p>
    <w:p w:rsidR="00B75A98" w:rsidRPr="000C7050" w:rsidRDefault="00B75A98" w:rsidP="003E581D">
      <w:pPr>
        <w:spacing w:line="360" w:lineRule="auto"/>
        <w:rPr>
          <w:sz w:val="24"/>
          <w:szCs w:val="24"/>
        </w:rPr>
      </w:pPr>
    </w:p>
    <w:p w:rsidR="00B75A98" w:rsidRDefault="00B75A98" w:rsidP="003E581D">
      <w:pPr>
        <w:spacing w:line="360" w:lineRule="auto"/>
        <w:rPr>
          <w:sz w:val="24"/>
          <w:szCs w:val="24"/>
        </w:rPr>
      </w:pPr>
      <w:r w:rsidRPr="000C7050">
        <w:rPr>
          <w:sz w:val="24"/>
          <w:szCs w:val="24"/>
        </w:rPr>
        <w:t>The history of LPNs took a major step forwards in 2005 with the publication of the first POLAR</w:t>
      </w:r>
      <w:r w:rsidR="004C21C3" w:rsidRPr="000C7050">
        <w:rPr>
          <w:rStyle w:val="EndnoteReference"/>
          <w:sz w:val="24"/>
          <w:szCs w:val="24"/>
        </w:rPr>
        <w:endnoteReference w:id="2"/>
      </w:r>
      <w:r w:rsidRPr="000C7050">
        <w:rPr>
          <w:sz w:val="24"/>
          <w:szCs w:val="24"/>
        </w:rPr>
        <w:t xml:space="preserve"> (Participation Of Local </w:t>
      </w:r>
      <w:proofErr w:type="spellStart"/>
      <w:r w:rsidR="005615BC" w:rsidRPr="000C7050">
        <w:rPr>
          <w:sz w:val="24"/>
          <w:szCs w:val="24"/>
        </w:rPr>
        <w:t>A</w:t>
      </w:r>
      <w:r w:rsidR="00BF4EC5" w:rsidRPr="000C7050">
        <w:rPr>
          <w:sz w:val="24"/>
          <w:szCs w:val="24"/>
        </w:rPr>
        <w:t>R</w:t>
      </w:r>
      <w:r w:rsidR="005615BC" w:rsidRPr="000C7050">
        <w:rPr>
          <w:sz w:val="24"/>
          <w:szCs w:val="24"/>
        </w:rPr>
        <w:t>eas</w:t>
      </w:r>
      <w:proofErr w:type="spellEnd"/>
      <w:r w:rsidRPr="000C7050">
        <w:rPr>
          <w:sz w:val="24"/>
          <w:szCs w:val="24"/>
        </w:rPr>
        <w:t xml:space="preserve">) dataset (HEFCE 2005).  This, for the first time, provided </w:t>
      </w:r>
      <w:r w:rsidR="004C21C3" w:rsidRPr="000C7050">
        <w:rPr>
          <w:sz w:val="24"/>
          <w:szCs w:val="24"/>
        </w:rPr>
        <w:t xml:space="preserve">public </w:t>
      </w:r>
      <w:r w:rsidRPr="000C7050">
        <w:rPr>
          <w:sz w:val="24"/>
          <w:szCs w:val="24"/>
        </w:rPr>
        <w:t>data about the historic participation rates at a range of geographic scales, ranging from the region to local government electoral wards; it would be the latter that gained most currency.</w:t>
      </w:r>
      <w:r w:rsidR="004C21C3" w:rsidRPr="000C7050">
        <w:rPr>
          <w:sz w:val="24"/>
          <w:szCs w:val="24"/>
        </w:rPr>
        <w:t xml:space="preserve">  The development of POLAR</w:t>
      </w:r>
      <w:r w:rsidR="00BF4EC5" w:rsidRPr="000C7050">
        <w:rPr>
          <w:sz w:val="24"/>
          <w:szCs w:val="24"/>
        </w:rPr>
        <w:t xml:space="preserve"> </w:t>
      </w:r>
      <w:r w:rsidRPr="000C7050">
        <w:rPr>
          <w:sz w:val="24"/>
          <w:szCs w:val="24"/>
        </w:rPr>
        <w:t xml:space="preserve">was a major achievement in the marshalling of large quantities of data and fitting this into recognised </w:t>
      </w:r>
      <w:r w:rsidR="008B69B0" w:rsidRPr="000C7050">
        <w:rPr>
          <w:sz w:val="24"/>
          <w:szCs w:val="24"/>
        </w:rPr>
        <w:t xml:space="preserve">geographical </w:t>
      </w:r>
      <w:r w:rsidRPr="000C7050">
        <w:rPr>
          <w:sz w:val="24"/>
          <w:szCs w:val="24"/>
        </w:rPr>
        <w:t>boundaries.  It was a massive boon for practitioners and researchers and its value in this respect should not be seen as being questioned by this paper.  Stakeholders were able to see graphically which areas of the country were disproportionately less likely to see their young people progress, meaning that outreach and support activities could be more efficiently targeted to meet social justice objectives.</w:t>
      </w:r>
      <w:r w:rsidR="007F0333">
        <w:rPr>
          <w:sz w:val="24"/>
          <w:szCs w:val="24"/>
        </w:rPr>
        <w:t xml:space="preserve">  </w:t>
      </w:r>
    </w:p>
    <w:p w:rsidR="00AC4F7C" w:rsidRDefault="00AC4F7C" w:rsidP="003E581D">
      <w:pPr>
        <w:spacing w:line="360" w:lineRule="auto"/>
        <w:rPr>
          <w:sz w:val="24"/>
          <w:szCs w:val="24"/>
        </w:rPr>
      </w:pPr>
    </w:p>
    <w:p w:rsidR="00AC4F7C" w:rsidRDefault="00AC4F7C" w:rsidP="003E581D">
      <w:pPr>
        <w:spacing w:line="360" w:lineRule="auto"/>
        <w:rPr>
          <w:sz w:val="24"/>
          <w:szCs w:val="24"/>
        </w:rPr>
      </w:pPr>
      <w:r>
        <w:rPr>
          <w:sz w:val="24"/>
          <w:szCs w:val="24"/>
        </w:rPr>
        <w:t>While HEFCE were clear that POLAR data was not synonymous with educational disadvantage, there was an implication that it was capturing something not only about the people living in an area, but also of the prevailing wider social factors operating therein (e.g. quality of schooling, labour market opportunities or young people’s aspirations).  As such, it provided a strong steer about where activities to widen participation in higher education might most usefully be focused, although the underpinning assumptions were not explicit or tested.</w:t>
      </w:r>
    </w:p>
    <w:p w:rsidR="00AC4F7C" w:rsidRDefault="00AC4F7C" w:rsidP="003E581D">
      <w:pPr>
        <w:spacing w:line="360" w:lineRule="auto"/>
        <w:rPr>
          <w:sz w:val="24"/>
          <w:szCs w:val="24"/>
        </w:rPr>
      </w:pPr>
    </w:p>
    <w:p w:rsidR="00B75A98" w:rsidRPr="000C7050" w:rsidRDefault="004C21C3" w:rsidP="003E581D">
      <w:pPr>
        <w:spacing w:line="360" w:lineRule="auto"/>
        <w:rPr>
          <w:sz w:val="24"/>
          <w:szCs w:val="24"/>
        </w:rPr>
      </w:pPr>
      <w:r w:rsidRPr="000C7050">
        <w:rPr>
          <w:sz w:val="24"/>
          <w:szCs w:val="24"/>
        </w:rPr>
        <w:t>The POLAR</w:t>
      </w:r>
      <w:r w:rsidR="00B75A98" w:rsidRPr="000C7050">
        <w:rPr>
          <w:sz w:val="24"/>
          <w:szCs w:val="24"/>
        </w:rPr>
        <w:t xml:space="preserve"> methodology allocated each ward into one of five ordinal quintiles based on the proportion of the resident population of young people entering higher education at the age of 18 </w:t>
      </w:r>
      <w:r w:rsidR="00B75A98" w:rsidRPr="000C7050">
        <w:rPr>
          <w:sz w:val="24"/>
          <w:szCs w:val="24"/>
        </w:rPr>
        <w:lastRenderedPageBreak/>
        <w:t xml:space="preserve">or 19.  The quintiles were designed to </w:t>
      </w:r>
      <w:r w:rsidR="00AC4F7C">
        <w:rPr>
          <w:sz w:val="24"/>
          <w:szCs w:val="24"/>
        </w:rPr>
        <w:t>include</w:t>
      </w:r>
      <w:r w:rsidR="00B75A98" w:rsidRPr="000C7050">
        <w:rPr>
          <w:sz w:val="24"/>
          <w:szCs w:val="24"/>
        </w:rPr>
        <w:t xml:space="preserve"> equal numbers of young people, with Quintile 1 representing participation rates of less than 16 percent and Quintile 5 rates of over 4</w:t>
      </w:r>
      <w:r w:rsidRPr="000C7050">
        <w:rPr>
          <w:sz w:val="24"/>
          <w:szCs w:val="24"/>
        </w:rPr>
        <w:t>3</w:t>
      </w:r>
      <w:r w:rsidR="00B75A98" w:rsidRPr="000C7050">
        <w:rPr>
          <w:sz w:val="24"/>
          <w:szCs w:val="24"/>
        </w:rPr>
        <w:t xml:space="preserve"> percent.  In other words, young people living in wards in the latter group were more than </w:t>
      </w:r>
      <w:r w:rsidRPr="000C7050">
        <w:rPr>
          <w:sz w:val="24"/>
          <w:szCs w:val="24"/>
        </w:rPr>
        <w:t>two-and-a-half times</w:t>
      </w:r>
      <w:r w:rsidR="00B75A98" w:rsidRPr="000C7050">
        <w:rPr>
          <w:sz w:val="24"/>
          <w:szCs w:val="24"/>
        </w:rPr>
        <w:t xml:space="preserve"> as likely to attend university than those in the former.  Coloured maps were published to pinpoint the location of LPNs (generally taken to be Quintiles 1 and 2) </w:t>
      </w:r>
      <w:r w:rsidRPr="000C7050">
        <w:rPr>
          <w:sz w:val="24"/>
          <w:szCs w:val="24"/>
        </w:rPr>
        <w:t>in the</w:t>
      </w:r>
      <w:r w:rsidR="00B75A98" w:rsidRPr="000C7050">
        <w:rPr>
          <w:sz w:val="24"/>
          <w:szCs w:val="24"/>
        </w:rPr>
        <w:t xml:space="preserve"> POLAR1 </w:t>
      </w:r>
      <w:r w:rsidRPr="000C7050">
        <w:rPr>
          <w:sz w:val="24"/>
          <w:szCs w:val="24"/>
        </w:rPr>
        <w:t>data</w:t>
      </w:r>
      <w:r w:rsidR="002C5E50" w:rsidRPr="000C7050">
        <w:rPr>
          <w:sz w:val="24"/>
          <w:szCs w:val="24"/>
        </w:rPr>
        <w:t xml:space="preserve"> – a tradition that has continued </w:t>
      </w:r>
      <w:r w:rsidRPr="000C7050">
        <w:rPr>
          <w:sz w:val="24"/>
          <w:szCs w:val="24"/>
        </w:rPr>
        <w:t xml:space="preserve">through to </w:t>
      </w:r>
      <w:r w:rsidR="002C5E50" w:rsidRPr="000C7050">
        <w:rPr>
          <w:sz w:val="24"/>
          <w:szCs w:val="24"/>
        </w:rPr>
        <w:t>POLAR3</w:t>
      </w:r>
      <w:r w:rsidRPr="000C7050">
        <w:rPr>
          <w:sz w:val="24"/>
          <w:szCs w:val="24"/>
        </w:rPr>
        <w:t xml:space="preserve"> (HEFCE 201</w:t>
      </w:r>
      <w:r w:rsidR="00516FC6" w:rsidRPr="000C7050">
        <w:rPr>
          <w:sz w:val="24"/>
          <w:szCs w:val="24"/>
        </w:rPr>
        <w:t>2</w:t>
      </w:r>
      <w:r w:rsidR="00715C3D" w:rsidRPr="000C7050">
        <w:rPr>
          <w:sz w:val="24"/>
          <w:szCs w:val="24"/>
        </w:rPr>
        <w:t>a</w:t>
      </w:r>
      <w:r w:rsidRPr="000C7050">
        <w:rPr>
          <w:sz w:val="24"/>
          <w:szCs w:val="24"/>
        </w:rPr>
        <w:t>)</w:t>
      </w:r>
      <w:r w:rsidR="00B75A98" w:rsidRPr="000C7050">
        <w:rPr>
          <w:sz w:val="24"/>
          <w:szCs w:val="24"/>
        </w:rPr>
        <w:t>.</w:t>
      </w:r>
      <w:r w:rsidR="000862CF" w:rsidRPr="000C7050">
        <w:rPr>
          <w:sz w:val="24"/>
          <w:szCs w:val="24"/>
        </w:rPr>
        <w:t xml:space="preserve">  As a result of the equal sizing</w:t>
      </w:r>
      <w:r w:rsidR="00BE72DA" w:rsidRPr="000C7050">
        <w:rPr>
          <w:sz w:val="24"/>
          <w:szCs w:val="24"/>
        </w:rPr>
        <w:t xml:space="preserve"> of the quintiles</w:t>
      </w:r>
      <w:r w:rsidR="000862CF" w:rsidRPr="000C7050">
        <w:rPr>
          <w:sz w:val="24"/>
          <w:szCs w:val="24"/>
        </w:rPr>
        <w:t xml:space="preserve">, </w:t>
      </w:r>
      <w:r w:rsidR="00BE72DA" w:rsidRPr="000C7050">
        <w:rPr>
          <w:sz w:val="24"/>
          <w:szCs w:val="24"/>
        </w:rPr>
        <w:t>LPNs comprise roughly 40 percent of the population.</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POLAR quickly replaced Super Profiles as the LPN methodology of choice, both for monitoring and additional funding of student places.  Another iteration with newer data followed quickly and became canonical for the next five years</w:t>
      </w:r>
      <w:r w:rsidR="00506901" w:rsidRPr="000C7050">
        <w:rPr>
          <w:sz w:val="24"/>
          <w:szCs w:val="24"/>
        </w:rPr>
        <w:t xml:space="preserve"> (HEFCE 2007a)</w:t>
      </w:r>
      <w:r w:rsidRPr="000C7050">
        <w:rPr>
          <w:sz w:val="24"/>
          <w:szCs w:val="24"/>
        </w:rPr>
        <w:t xml:space="preserve">.  This POLAR2 dataset also assumed another key role.  </w:t>
      </w:r>
      <w:r w:rsidR="00AC4F7C">
        <w:rPr>
          <w:sz w:val="24"/>
          <w:szCs w:val="24"/>
        </w:rPr>
        <w:t>A downloadable dataset was</w:t>
      </w:r>
      <w:r w:rsidRPr="000C7050">
        <w:rPr>
          <w:sz w:val="24"/>
          <w:szCs w:val="24"/>
        </w:rPr>
        <w:t xml:space="preserve"> provided on the HEFCE website mapping individual postcodes against the POLAR quintiles, providing an easy-to-use means of matching individual applicants to the participation rates of their neighbourhood.  </w:t>
      </w:r>
    </w:p>
    <w:p w:rsidR="00B75A98" w:rsidRPr="000C7050" w:rsidRDefault="00B75A98" w:rsidP="003E581D">
      <w:pPr>
        <w:spacing w:line="360" w:lineRule="auto"/>
        <w:rPr>
          <w:sz w:val="24"/>
          <w:szCs w:val="24"/>
        </w:rPr>
      </w:pPr>
    </w:p>
    <w:p w:rsidR="00B75A98" w:rsidRDefault="00B75A98" w:rsidP="003E581D">
      <w:pPr>
        <w:spacing w:line="360" w:lineRule="auto"/>
        <w:rPr>
          <w:sz w:val="24"/>
          <w:szCs w:val="24"/>
        </w:rPr>
      </w:pPr>
      <w:r w:rsidRPr="000C7050">
        <w:rPr>
          <w:sz w:val="24"/>
          <w:szCs w:val="24"/>
        </w:rPr>
        <w:t>This</w:t>
      </w:r>
      <w:r w:rsidR="00AC4F7C">
        <w:rPr>
          <w:sz w:val="24"/>
          <w:szCs w:val="24"/>
        </w:rPr>
        <w:t xml:space="preserve"> dataset</w:t>
      </w:r>
      <w:r w:rsidRPr="000C7050">
        <w:rPr>
          <w:sz w:val="24"/>
          <w:szCs w:val="24"/>
        </w:rPr>
        <w:t xml:space="preserve"> was intended, in particular, to add value to the work of Aimhigher (the government's national widening participation initiative</w:t>
      </w:r>
      <w:r w:rsidR="00506901" w:rsidRPr="000C7050">
        <w:rPr>
          <w:sz w:val="24"/>
          <w:szCs w:val="24"/>
        </w:rPr>
        <w:t>: HEFCE 2004, 2008</w:t>
      </w:r>
      <w:r w:rsidRPr="000C7050">
        <w:rPr>
          <w:sz w:val="24"/>
          <w:szCs w:val="24"/>
        </w:rPr>
        <w:t>) and other outreach practitioners.  With a list of postcodes, it was assumed to make it easier for them to target their activities and interventions to maximise their likelihood of fin</w:t>
      </w:r>
      <w:r w:rsidR="00AC1547">
        <w:rPr>
          <w:sz w:val="24"/>
          <w:szCs w:val="24"/>
        </w:rPr>
        <w:t xml:space="preserve">ding the 'right' young people – </w:t>
      </w:r>
      <w:r w:rsidRPr="000C7050">
        <w:rPr>
          <w:sz w:val="24"/>
          <w:szCs w:val="24"/>
        </w:rPr>
        <w:t>those with the ability to attend higher education, but who would not apply without various forms of support and encouragement.</w:t>
      </w:r>
    </w:p>
    <w:p w:rsidR="00AC1547" w:rsidRPr="000C7050" w:rsidRDefault="00AC1547"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 xml:space="preserve">However, the existence of a list of postcodes </w:t>
      </w:r>
      <w:r w:rsidR="001217A9" w:rsidRPr="000C7050">
        <w:rPr>
          <w:sz w:val="24"/>
          <w:szCs w:val="24"/>
        </w:rPr>
        <w:t xml:space="preserve">appears to have </w:t>
      </w:r>
      <w:r w:rsidRPr="000C7050">
        <w:rPr>
          <w:sz w:val="24"/>
          <w:szCs w:val="24"/>
        </w:rPr>
        <w:t xml:space="preserve">cemented in the minds of </w:t>
      </w:r>
      <w:r w:rsidR="004C21C3" w:rsidRPr="000C7050">
        <w:rPr>
          <w:sz w:val="24"/>
          <w:szCs w:val="24"/>
        </w:rPr>
        <w:t xml:space="preserve">many </w:t>
      </w:r>
      <w:r w:rsidRPr="000C7050">
        <w:rPr>
          <w:sz w:val="24"/>
          <w:szCs w:val="24"/>
        </w:rPr>
        <w:t>practitioners the misconception that POLAR was able to identify low participation to a much greater degree of granularity than actually the case.  The reality of this widely-distributed dataset was that it simply assigned the same quintile number to all postco</w:t>
      </w:r>
      <w:r w:rsidR="00AC1547">
        <w:rPr>
          <w:sz w:val="24"/>
          <w:szCs w:val="24"/>
        </w:rPr>
        <w:t>des contained within that ward – sometimes thousands of them</w:t>
      </w:r>
      <w:r w:rsidRPr="000C7050">
        <w:rPr>
          <w:sz w:val="24"/>
          <w:szCs w:val="24"/>
        </w:rPr>
        <w:t>.  This, as we shall see, is a vital form of category error.</w:t>
      </w:r>
    </w:p>
    <w:p w:rsidR="00D3173A" w:rsidRPr="000C7050" w:rsidRDefault="00D3173A" w:rsidP="00F4530A">
      <w:pPr>
        <w:spacing w:line="360" w:lineRule="auto"/>
        <w:rPr>
          <w:sz w:val="24"/>
          <w:szCs w:val="24"/>
        </w:rPr>
      </w:pPr>
    </w:p>
    <w:p w:rsidR="002E0611" w:rsidRDefault="002E0611" w:rsidP="00F4530A">
      <w:pPr>
        <w:spacing w:line="360" w:lineRule="auto"/>
        <w:rPr>
          <w:rFonts w:cs="Sabon-Roman"/>
          <w:sz w:val="24"/>
          <w:szCs w:val="24"/>
        </w:rPr>
      </w:pPr>
      <w:r w:rsidRPr="000C7050">
        <w:rPr>
          <w:sz w:val="24"/>
          <w:szCs w:val="24"/>
        </w:rPr>
        <w:t xml:space="preserve">The role of LPNs in </w:t>
      </w:r>
      <w:r w:rsidR="003B3B74" w:rsidRPr="000C7050">
        <w:rPr>
          <w:sz w:val="24"/>
          <w:szCs w:val="24"/>
        </w:rPr>
        <w:t>directing</w:t>
      </w:r>
      <w:r w:rsidRPr="000C7050">
        <w:rPr>
          <w:sz w:val="24"/>
          <w:szCs w:val="24"/>
        </w:rPr>
        <w:t xml:space="preserve"> outreach activity was reinforced with the publication of </w:t>
      </w:r>
      <w:r w:rsidR="003B3B74" w:rsidRPr="000C7050">
        <w:rPr>
          <w:sz w:val="24"/>
          <w:szCs w:val="24"/>
        </w:rPr>
        <w:t>official</w:t>
      </w:r>
      <w:r w:rsidRPr="000C7050">
        <w:rPr>
          <w:sz w:val="24"/>
          <w:szCs w:val="24"/>
        </w:rPr>
        <w:t xml:space="preserve"> guidance to practitioners </w:t>
      </w:r>
      <w:r w:rsidR="007815F0" w:rsidRPr="000C7050">
        <w:rPr>
          <w:sz w:val="24"/>
          <w:szCs w:val="24"/>
        </w:rPr>
        <w:t xml:space="preserve">which </w:t>
      </w:r>
      <w:r w:rsidR="00F4530A" w:rsidRPr="000C7050">
        <w:rPr>
          <w:sz w:val="24"/>
          <w:szCs w:val="24"/>
        </w:rPr>
        <w:t xml:space="preserve">required </w:t>
      </w:r>
      <w:r w:rsidR="003B3B74" w:rsidRPr="000C7050">
        <w:rPr>
          <w:rFonts w:cs="Sabon-Roman"/>
          <w:sz w:val="24"/>
          <w:szCs w:val="24"/>
        </w:rPr>
        <w:t>that “resources should be targeted at learners with the potential to benefit from higher education who come from under-represented communities</w:t>
      </w:r>
      <w:r w:rsidR="007815F0" w:rsidRPr="000C7050">
        <w:rPr>
          <w:rFonts w:cs="Sabon-Roman"/>
          <w:sz w:val="24"/>
          <w:szCs w:val="24"/>
        </w:rPr>
        <w:t xml:space="preserve"> </w:t>
      </w:r>
      <w:r w:rsidR="00F4530A" w:rsidRPr="000C7050">
        <w:rPr>
          <w:rFonts w:cs="Sabon-Roman"/>
          <w:sz w:val="24"/>
          <w:szCs w:val="24"/>
        </w:rPr>
        <w:t>[</w:t>
      </w:r>
      <w:r w:rsidR="007815F0" w:rsidRPr="000C7050">
        <w:rPr>
          <w:rFonts w:cs="Sabon-Roman"/>
          <w:sz w:val="24"/>
          <w:szCs w:val="24"/>
        </w:rPr>
        <w:t>...</w:t>
      </w:r>
      <w:r w:rsidR="00F4530A" w:rsidRPr="000C7050">
        <w:rPr>
          <w:rFonts w:cs="Sabon-Roman"/>
          <w:sz w:val="24"/>
          <w:szCs w:val="24"/>
        </w:rPr>
        <w:t>]</w:t>
      </w:r>
      <w:r w:rsidR="007815F0" w:rsidRPr="000C7050">
        <w:rPr>
          <w:rFonts w:cs="Sabon-Roman"/>
          <w:sz w:val="24"/>
          <w:szCs w:val="24"/>
        </w:rPr>
        <w:t xml:space="preserve"> who live in areas of relative deprivation </w:t>
      </w:r>
      <w:r w:rsidR="007815F0" w:rsidRPr="00AC1547">
        <w:rPr>
          <w:rFonts w:cs="Sabon-Roman"/>
          <w:i/>
          <w:sz w:val="24"/>
          <w:szCs w:val="24"/>
        </w:rPr>
        <w:t>where participation in HE is low</w:t>
      </w:r>
      <w:r w:rsidR="003B3B74" w:rsidRPr="000C7050">
        <w:rPr>
          <w:rFonts w:cs="Sabon-Roman"/>
          <w:sz w:val="24"/>
          <w:szCs w:val="24"/>
        </w:rPr>
        <w:t>” (</w:t>
      </w:r>
      <w:r w:rsidR="007815F0" w:rsidRPr="000C7050">
        <w:rPr>
          <w:rFonts w:cs="Sabon-Roman"/>
          <w:sz w:val="24"/>
          <w:szCs w:val="24"/>
        </w:rPr>
        <w:t>HEFCE 2007</w:t>
      </w:r>
      <w:r w:rsidR="003B3B74" w:rsidRPr="000C7050">
        <w:rPr>
          <w:rFonts w:cs="Sabon-Roman"/>
          <w:sz w:val="24"/>
          <w:szCs w:val="24"/>
        </w:rPr>
        <w:t>, 8</w:t>
      </w:r>
      <w:r w:rsidR="00AC1547">
        <w:rPr>
          <w:rFonts w:cs="Sabon-Roman"/>
          <w:sz w:val="24"/>
          <w:szCs w:val="24"/>
        </w:rPr>
        <w:t>, emphasis added</w:t>
      </w:r>
      <w:r w:rsidR="003B3B74" w:rsidRPr="000C7050">
        <w:rPr>
          <w:rFonts w:cs="Sabon-Roman"/>
          <w:sz w:val="24"/>
          <w:szCs w:val="24"/>
        </w:rPr>
        <w:t>).</w:t>
      </w:r>
      <w:r w:rsidR="007815F0" w:rsidRPr="000C7050">
        <w:rPr>
          <w:rFonts w:cs="Sabon-Roman"/>
          <w:sz w:val="24"/>
          <w:szCs w:val="24"/>
        </w:rPr>
        <w:t xml:space="preserve">  </w:t>
      </w:r>
      <w:r w:rsidR="003D1203" w:rsidRPr="000C7050">
        <w:rPr>
          <w:sz w:val="24"/>
          <w:szCs w:val="24"/>
        </w:rPr>
        <w:t>Specifically, t</w:t>
      </w:r>
      <w:r w:rsidRPr="000C7050">
        <w:rPr>
          <w:sz w:val="24"/>
          <w:szCs w:val="24"/>
        </w:rPr>
        <w:t>his</w:t>
      </w:r>
      <w:r w:rsidR="007815F0" w:rsidRPr="000C7050">
        <w:rPr>
          <w:sz w:val="24"/>
          <w:szCs w:val="24"/>
        </w:rPr>
        <w:t xml:space="preserve"> guidance</w:t>
      </w:r>
      <w:r w:rsidRPr="000C7050">
        <w:rPr>
          <w:sz w:val="24"/>
          <w:szCs w:val="24"/>
        </w:rPr>
        <w:t xml:space="preserve"> </w:t>
      </w:r>
      <w:r w:rsidR="00A7525F" w:rsidRPr="000C7050">
        <w:rPr>
          <w:sz w:val="24"/>
          <w:szCs w:val="24"/>
        </w:rPr>
        <w:t xml:space="preserve">promoted the use </w:t>
      </w:r>
      <w:r w:rsidR="007815F0" w:rsidRPr="000C7050">
        <w:rPr>
          <w:sz w:val="24"/>
          <w:szCs w:val="24"/>
        </w:rPr>
        <w:t xml:space="preserve">of LPNs </w:t>
      </w:r>
      <w:r w:rsidR="00A7525F" w:rsidRPr="000C7050">
        <w:rPr>
          <w:sz w:val="24"/>
          <w:szCs w:val="24"/>
        </w:rPr>
        <w:t xml:space="preserve">alongside the Index of </w:t>
      </w:r>
      <w:r w:rsidR="00A7525F" w:rsidRPr="000C7050">
        <w:rPr>
          <w:sz w:val="24"/>
          <w:szCs w:val="24"/>
        </w:rPr>
        <w:lastRenderedPageBreak/>
        <w:t xml:space="preserve">Multiple Deprivation (DCLG 2007) to identify </w:t>
      </w:r>
      <w:r w:rsidR="003B3B74" w:rsidRPr="000C7050">
        <w:rPr>
          <w:sz w:val="24"/>
          <w:szCs w:val="24"/>
        </w:rPr>
        <w:t>areas in which individuals from lower socio-economic groups might mo</w:t>
      </w:r>
      <w:r w:rsidR="007815F0" w:rsidRPr="000C7050">
        <w:rPr>
          <w:sz w:val="24"/>
          <w:szCs w:val="24"/>
        </w:rPr>
        <w:t>st</w:t>
      </w:r>
      <w:r w:rsidR="003B3B74" w:rsidRPr="000C7050">
        <w:rPr>
          <w:sz w:val="24"/>
          <w:szCs w:val="24"/>
        </w:rPr>
        <w:t xml:space="preserve"> commonly be found</w:t>
      </w:r>
      <w:r w:rsidR="007815F0" w:rsidRPr="000C7050">
        <w:rPr>
          <w:sz w:val="24"/>
          <w:szCs w:val="24"/>
        </w:rPr>
        <w:t xml:space="preserve">, although it did not evidence the assumptions surrounding </w:t>
      </w:r>
      <w:r w:rsidR="00286130" w:rsidRPr="000C7050">
        <w:rPr>
          <w:sz w:val="24"/>
          <w:szCs w:val="24"/>
        </w:rPr>
        <w:t xml:space="preserve">the efficacy of these </w:t>
      </w:r>
      <w:proofErr w:type="spellStart"/>
      <w:r w:rsidR="00286130" w:rsidRPr="000C7050">
        <w:rPr>
          <w:sz w:val="24"/>
          <w:szCs w:val="24"/>
        </w:rPr>
        <w:t>geodemographic</w:t>
      </w:r>
      <w:proofErr w:type="spellEnd"/>
      <w:r w:rsidR="00286130" w:rsidRPr="000C7050">
        <w:rPr>
          <w:sz w:val="24"/>
          <w:szCs w:val="24"/>
        </w:rPr>
        <w:t xml:space="preserve"> markers.  </w:t>
      </w:r>
      <w:r w:rsidR="00F4530A" w:rsidRPr="000C7050">
        <w:rPr>
          <w:sz w:val="24"/>
          <w:szCs w:val="24"/>
        </w:rPr>
        <w:t xml:space="preserve">However, it also stressed the need </w:t>
      </w:r>
      <w:r w:rsidR="003D1203" w:rsidRPr="000C7050">
        <w:rPr>
          <w:sz w:val="24"/>
          <w:szCs w:val="24"/>
        </w:rPr>
        <w:t>for</w:t>
      </w:r>
      <w:r w:rsidR="00F4530A" w:rsidRPr="000C7050">
        <w:rPr>
          <w:sz w:val="24"/>
          <w:szCs w:val="24"/>
        </w:rPr>
        <w:t xml:space="preserve"> local knowledge to be used </w:t>
      </w:r>
      <w:r w:rsidR="003D1203" w:rsidRPr="000C7050">
        <w:rPr>
          <w:sz w:val="24"/>
          <w:szCs w:val="24"/>
        </w:rPr>
        <w:t xml:space="preserve">to target schools and communities and the need for targeting at an individual level within these areas, </w:t>
      </w:r>
      <w:r w:rsidR="00F4530A" w:rsidRPr="000C7050">
        <w:rPr>
          <w:sz w:val="24"/>
          <w:szCs w:val="24"/>
        </w:rPr>
        <w:t>recommend</w:t>
      </w:r>
      <w:r w:rsidR="003D1203" w:rsidRPr="000C7050">
        <w:rPr>
          <w:sz w:val="24"/>
          <w:szCs w:val="24"/>
        </w:rPr>
        <w:t>ing</w:t>
      </w:r>
      <w:r w:rsidR="00F4530A" w:rsidRPr="000C7050">
        <w:rPr>
          <w:sz w:val="24"/>
          <w:szCs w:val="24"/>
        </w:rPr>
        <w:t xml:space="preserve"> that </w:t>
      </w:r>
      <w:r w:rsidR="00F4530A" w:rsidRPr="000C7050">
        <w:rPr>
          <w:rFonts w:cs="Sabon-Roman"/>
          <w:sz w:val="24"/>
          <w:szCs w:val="24"/>
        </w:rPr>
        <w:t>“the boundaries of the areas targeted should not be drawn too widely, or too tightly” (HEFCE 2007, 10).</w:t>
      </w:r>
      <w:r w:rsidR="003D1203" w:rsidRPr="000C7050">
        <w:rPr>
          <w:rFonts w:cs="Sabon-Roman"/>
          <w:sz w:val="24"/>
          <w:szCs w:val="24"/>
        </w:rPr>
        <w:t xml:space="preserve">  Providing a degree of mixed message, it </w:t>
      </w:r>
      <w:r w:rsidR="00D3173A" w:rsidRPr="000C7050">
        <w:rPr>
          <w:rFonts w:cs="Sabon-Roman"/>
          <w:sz w:val="24"/>
          <w:szCs w:val="24"/>
        </w:rPr>
        <w:t xml:space="preserve">simultaneously </w:t>
      </w:r>
      <w:r w:rsidR="003D1203" w:rsidRPr="000C7050">
        <w:rPr>
          <w:rFonts w:cs="Sabon-Roman"/>
          <w:sz w:val="24"/>
          <w:szCs w:val="24"/>
        </w:rPr>
        <w:t xml:space="preserve">advocated a pragmatic approach while also issuing prescriptive formulae and </w:t>
      </w:r>
      <w:r w:rsidR="00AC1547">
        <w:rPr>
          <w:rFonts w:cs="Sabon-Roman"/>
          <w:sz w:val="24"/>
          <w:szCs w:val="24"/>
        </w:rPr>
        <w:t>‘</w:t>
      </w:r>
      <w:r w:rsidR="003D1203" w:rsidRPr="000C7050">
        <w:rPr>
          <w:rFonts w:cs="Sabon-Roman"/>
          <w:sz w:val="24"/>
          <w:szCs w:val="24"/>
        </w:rPr>
        <w:t>criteria</w:t>
      </w:r>
      <w:r w:rsidR="00AC1547">
        <w:rPr>
          <w:rFonts w:cs="Sabon-Roman"/>
          <w:sz w:val="24"/>
          <w:szCs w:val="24"/>
        </w:rPr>
        <w:t xml:space="preserve"> for success’. </w:t>
      </w:r>
    </w:p>
    <w:p w:rsidR="00AC1547" w:rsidRPr="000C7050" w:rsidRDefault="00AC1547" w:rsidP="00F4530A">
      <w:pPr>
        <w:spacing w:line="360" w:lineRule="auto"/>
        <w:rPr>
          <w:rFonts w:cs="Sabon-Roman"/>
          <w:sz w:val="24"/>
          <w:szCs w:val="24"/>
        </w:rPr>
      </w:pPr>
    </w:p>
    <w:p w:rsidR="00D3173A" w:rsidRPr="000C7050" w:rsidRDefault="00D3173A" w:rsidP="003E581D">
      <w:pPr>
        <w:spacing w:line="360" w:lineRule="auto"/>
        <w:rPr>
          <w:sz w:val="24"/>
          <w:szCs w:val="24"/>
        </w:rPr>
      </w:pPr>
      <w:r w:rsidRPr="000C7050">
        <w:rPr>
          <w:sz w:val="24"/>
          <w:szCs w:val="24"/>
        </w:rPr>
        <w:t xml:space="preserve">Thus LPNs become, from 2007 onwards, one of the principal means by which outreach activities were targeted.  For example, one </w:t>
      </w:r>
      <w:r w:rsidR="008C2F07" w:rsidRPr="000C7050">
        <w:rPr>
          <w:sz w:val="24"/>
          <w:szCs w:val="24"/>
        </w:rPr>
        <w:t xml:space="preserve">typical </w:t>
      </w:r>
      <w:r w:rsidRPr="000C7050">
        <w:rPr>
          <w:sz w:val="24"/>
          <w:szCs w:val="24"/>
        </w:rPr>
        <w:t xml:space="preserve">contemporary response used the proportion of pupils from LPNs to </w:t>
      </w:r>
      <w:r w:rsidR="008C2F07" w:rsidRPr="000C7050">
        <w:rPr>
          <w:sz w:val="24"/>
          <w:szCs w:val="24"/>
        </w:rPr>
        <w:t>select</w:t>
      </w:r>
      <w:r w:rsidRPr="000C7050">
        <w:rPr>
          <w:sz w:val="24"/>
          <w:szCs w:val="24"/>
        </w:rPr>
        <w:t xml:space="preserve"> schools for interventions (Ai</w:t>
      </w:r>
      <w:r w:rsidR="008C2F07" w:rsidRPr="000C7050">
        <w:rPr>
          <w:sz w:val="24"/>
          <w:szCs w:val="24"/>
        </w:rPr>
        <w:t>mhigher West 2008), such that those from disadvantaged socio-economic groups in other schools were effectively excluded.</w:t>
      </w:r>
      <w:r w:rsidR="005847B2" w:rsidRPr="000C7050">
        <w:rPr>
          <w:sz w:val="24"/>
          <w:szCs w:val="24"/>
        </w:rPr>
        <w:t xml:space="preserve">  Indeed, the ease of use of the POLAR postcodes saw LPNs become ubiquitous among practitioners.</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Late 2012 saw the publication of the third instalment of POLAR data</w:t>
      </w:r>
      <w:r w:rsidR="00E02690" w:rsidRPr="000C7050">
        <w:rPr>
          <w:sz w:val="24"/>
          <w:szCs w:val="24"/>
        </w:rPr>
        <w:t xml:space="preserve"> (HEFCE 2012</w:t>
      </w:r>
      <w:r w:rsidR="00715C3D" w:rsidRPr="000C7050">
        <w:rPr>
          <w:sz w:val="24"/>
          <w:szCs w:val="24"/>
        </w:rPr>
        <w:t>a</w:t>
      </w:r>
      <w:r w:rsidR="00E02690" w:rsidRPr="000C7050">
        <w:rPr>
          <w:sz w:val="24"/>
          <w:szCs w:val="24"/>
        </w:rPr>
        <w:t>)</w:t>
      </w:r>
      <w:r w:rsidRPr="000C7050">
        <w:rPr>
          <w:sz w:val="24"/>
          <w:szCs w:val="24"/>
        </w:rPr>
        <w:t xml:space="preserve">, although little has changed </w:t>
      </w:r>
      <w:r w:rsidR="00A41DF1" w:rsidRPr="000C7050">
        <w:rPr>
          <w:sz w:val="24"/>
          <w:szCs w:val="24"/>
        </w:rPr>
        <w:t xml:space="preserve">substantively </w:t>
      </w:r>
      <w:r w:rsidRPr="000C7050">
        <w:rPr>
          <w:sz w:val="24"/>
          <w:szCs w:val="24"/>
        </w:rPr>
        <w:t>fr</w:t>
      </w:r>
      <w:r w:rsidR="004C21C3" w:rsidRPr="000C7050">
        <w:rPr>
          <w:sz w:val="24"/>
          <w:szCs w:val="24"/>
        </w:rPr>
        <w:t>om the previous iterations, beyond an updating of the data.</w:t>
      </w:r>
      <w:r w:rsidR="008C2F07" w:rsidRPr="000C7050">
        <w:rPr>
          <w:sz w:val="24"/>
          <w:szCs w:val="24"/>
        </w:rPr>
        <w:t xml:space="preserve">  </w:t>
      </w:r>
      <w:r w:rsidR="005847B2" w:rsidRPr="000C7050">
        <w:rPr>
          <w:sz w:val="24"/>
          <w:szCs w:val="24"/>
        </w:rPr>
        <w:t>Meanwhile, t</w:t>
      </w:r>
      <w:r w:rsidR="008C2F07" w:rsidRPr="000C7050">
        <w:rPr>
          <w:sz w:val="24"/>
          <w:szCs w:val="24"/>
        </w:rPr>
        <w:t xml:space="preserve">he latest guidance on targeting </w:t>
      </w:r>
      <w:r w:rsidR="005847B2" w:rsidRPr="000C7050">
        <w:rPr>
          <w:sz w:val="24"/>
          <w:szCs w:val="24"/>
        </w:rPr>
        <w:t xml:space="preserve">continues advocate the use of LPNs, albeit as part of a wider pool of </w:t>
      </w:r>
      <w:r w:rsidR="00C63479">
        <w:rPr>
          <w:sz w:val="24"/>
          <w:szCs w:val="24"/>
        </w:rPr>
        <w:t xml:space="preserve">area-base and individual </w:t>
      </w:r>
      <w:r w:rsidR="005847B2" w:rsidRPr="000C7050">
        <w:rPr>
          <w:sz w:val="24"/>
          <w:szCs w:val="24"/>
        </w:rPr>
        <w:t>indicators</w:t>
      </w:r>
      <w:r w:rsidR="00C63479">
        <w:rPr>
          <w:sz w:val="24"/>
          <w:szCs w:val="24"/>
        </w:rPr>
        <w:t xml:space="preserve"> of disadvantage</w:t>
      </w:r>
      <w:r w:rsidR="005847B2" w:rsidRPr="000C7050">
        <w:rPr>
          <w:sz w:val="24"/>
          <w:szCs w:val="24"/>
        </w:rPr>
        <w:t xml:space="preserve"> (HEFCE 2012b).</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p>
    <w:p w:rsidR="00B75A98" w:rsidRPr="000C7050" w:rsidRDefault="00B75A98" w:rsidP="003E581D">
      <w:pPr>
        <w:spacing w:line="360" w:lineRule="auto"/>
        <w:rPr>
          <w:b/>
          <w:sz w:val="24"/>
          <w:szCs w:val="24"/>
        </w:rPr>
      </w:pPr>
      <w:r w:rsidRPr="000C7050">
        <w:rPr>
          <w:b/>
          <w:sz w:val="24"/>
          <w:szCs w:val="24"/>
        </w:rPr>
        <w:t xml:space="preserve">What </w:t>
      </w:r>
      <w:r w:rsidR="00C63479">
        <w:rPr>
          <w:b/>
          <w:sz w:val="24"/>
          <w:szCs w:val="24"/>
        </w:rPr>
        <w:t>exactly</w:t>
      </w:r>
      <w:r w:rsidRPr="000C7050">
        <w:rPr>
          <w:b/>
          <w:sz w:val="24"/>
          <w:szCs w:val="24"/>
        </w:rPr>
        <w:t xml:space="preserve"> are LPNs and who lives in them?</w:t>
      </w:r>
    </w:p>
    <w:p w:rsidR="00B75A98" w:rsidRPr="000C7050" w:rsidRDefault="00B75A98" w:rsidP="003E581D">
      <w:pPr>
        <w:spacing w:line="360" w:lineRule="auto"/>
        <w:rPr>
          <w:sz w:val="24"/>
          <w:szCs w:val="24"/>
        </w:rPr>
      </w:pPr>
    </w:p>
    <w:p w:rsidR="00246098" w:rsidRPr="000C7050" w:rsidRDefault="00B75A98" w:rsidP="003E581D">
      <w:pPr>
        <w:spacing w:line="360" w:lineRule="auto"/>
        <w:rPr>
          <w:sz w:val="24"/>
          <w:szCs w:val="24"/>
        </w:rPr>
      </w:pPr>
      <w:r w:rsidRPr="000C7050">
        <w:rPr>
          <w:sz w:val="24"/>
          <w:szCs w:val="24"/>
        </w:rPr>
        <w:t>As mentioned above, LPNs are currently formed around the geography of local government electoral wards</w:t>
      </w:r>
      <w:r w:rsidR="00EC5984" w:rsidRPr="000C7050">
        <w:rPr>
          <w:sz w:val="24"/>
          <w:szCs w:val="24"/>
        </w:rPr>
        <w:t xml:space="preserve"> and specifically what are known as ‘census area statistics’ (CAS) wards</w:t>
      </w:r>
      <w:r w:rsidRPr="000C7050">
        <w:rPr>
          <w:sz w:val="24"/>
          <w:szCs w:val="24"/>
        </w:rPr>
        <w:t xml:space="preserve">.  </w:t>
      </w:r>
      <w:r w:rsidR="00E56223" w:rsidRPr="000C7050">
        <w:rPr>
          <w:sz w:val="24"/>
          <w:szCs w:val="24"/>
        </w:rPr>
        <w:t>Using</w:t>
      </w:r>
      <w:r w:rsidR="004C21C3" w:rsidRPr="000C7050">
        <w:rPr>
          <w:sz w:val="24"/>
          <w:szCs w:val="24"/>
        </w:rPr>
        <w:t xml:space="preserve"> official</w:t>
      </w:r>
      <w:r w:rsidR="00E56223" w:rsidRPr="000C7050">
        <w:rPr>
          <w:sz w:val="24"/>
          <w:szCs w:val="24"/>
        </w:rPr>
        <w:t xml:space="preserve"> data </w:t>
      </w:r>
      <w:r w:rsidR="00E02690" w:rsidRPr="000C7050">
        <w:rPr>
          <w:sz w:val="24"/>
          <w:szCs w:val="24"/>
        </w:rPr>
        <w:t xml:space="preserve">drawn </w:t>
      </w:r>
      <w:r w:rsidR="00E56223" w:rsidRPr="000C7050">
        <w:rPr>
          <w:sz w:val="24"/>
          <w:szCs w:val="24"/>
        </w:rPr>
        <w:t xml:space="preserve">from the </w:t>
      </w:r>
      <w:proofErr w:type="spellStart"/>
      <w:r w:rsidR="00E56223" w:rsidRPr="000C7050">
        <w:rPr>
          <w:sz w:val="24"/>
          <w:szCs w:val="24"/>
        </w:rPr>
        <w:t>Nomis</w:t>
      </w:r>
      <w:proofErr w:type="spellEnd"/>
      <w:r w:rsidR="00E56223" w:rsidRPr="000C7050">
        <w:rPr>
          <w:sz w:val="24"/>
          <w:szCs w:val="24"/>
        </w:rPr>
        <w:t xml:space="preserve"> website</w:t>
      </w:r>
      <w:r w:rsidR="002B638F" w:rsidRPr="000C7050">
        <w:rPr>
          <w:sz w:val="24"/>
          <w:szCs w:val="24"/>
        </w:rPr>
        <w:t xml:space="preserve"> (www.nomisweb.co.uk)</w:t>
      </w:r>
      <w:r w:rsidR="00E56223" w:rsidRPr="000C7050">
        <w:rPr>
          <w:sz w:val="24"/>
          <w:szCs w:val="24"/>
        </w:rPr>
        <w:t>, at the 2001 Census</w:t>
      </w:r>
      <w:r w:rsidR="00A41DF1" w:rsidRPr="000C7050">
        <w:rPr>
          <w:rStyle w:val="EndnoteReference"/>
          <w:sz w:val="24"/>
          <w:szCs w:val="24"/>
        </w:rPr>
        <w:endnoteReference w:id="3"/>
      </w:r>
      <w:r w:rsidR="006A485B" w:rsidRPr="000C7050">
        <w:rPr>
          <w:sz w:val="24"/>
          <w:szCs w:val="24"/>
        </w:rPr>
        <w:t xml:space="preserve"> t</w:t>
      </w:r>
      <w:r w:rsidRPr="000C7050">
        <w:rPr>
          <w:sz w:val="24"/>
          <w:szCs w:val="24"/>
        </w:rPr>
        <w:t xml:space="preserve">here </w:t>
      </w:r>
      <w:r w:rsidR="006A485B" w:rsidRPr="000C7050">
        <w:rPr>
          <w:sz w:val="24"/>
          <w:szCs w:val="24"/>
        </w:rPr>
        <w:t>we</w:t>
      </w:r>
      <w:r w:rsidRPr="000C7050">
        <w:rPr>
          <w:sz w:val="24"/>
          <w:szCs w:val="24"/>
        </w:rPr>
        <w:t xml:space="preserve">re </w:t>
      </w:r>
      <w:r w:rsidR="00EC5984" w:rsidRPr="000C7050">
        <w:rPr>
          <w:sz w:val="24"/>
          <w:szCs w:val="24"/>
        </w:rPr>
        <w:t xml:space="preserve">7,969 CAS </w:t>
      </w:r>
      <w:r w:rsidR="00E56223" w:rsidRPr="000C7050">
        <w:rPr>
          <w:sz w:val="24"/>
          <w:szCs w:val="24"/>
        </w:rPr>
        <w:t>wards</w:t>
      </w:r>
      <w:r w:rsidR="00E8021F" w:rsidRPr="000C7050">
        <w:rPr>
          <w:sz w:val="24"/>
          <w:szCs w:val="24"/>
        </w:rPr>
        <w:t xml:space="preserve"> in England, containing a mean </w:t>
      </w:r>
      <w:r w:rsidRPr="000C7050">
        <w:rPr>
          <w:sz w:val="24"/>
          <w:szCs w:val="24"/>
        </w:rPr>
        <w:t xml:space="preserve">of </w:t>
      </w:r>
      <w:r w:rsidR="00EC5984" w:rsidRPr="000C7050">
        <w:rPr>
          <w:sz w:val="24"/>
          <w:szCs w:val="24"/>
        </w:rPr>
        <w:t>6,166</w:t>
      </w:r>
      <w:r w:rsidR="00E8021F" w:rsidRPr="000C7050">
        <w:rPr>
          <w:sz w:val="24"/>
          <w:szCs w:val="24"/>
        </w:rPr>
        <w:t xml:space="preserve"> people in each, </w:t>
      </w:r>
      <w:r w:rsidR="00C63479">
        <w:rPr>
          <w:sz w:val="24"/>
          <w:szCs w:val="24"/>
        </w:rPr>
        <w:t>with</w:t>
      </w:r>
      <w:r w:rsidR="00E8021F" w:rsidRPr="000C7050">
        <w:rPr>
          <w:sz w:val="24"/>
          <w:szCs w:val="24"/>
        </w:rPr>
        <w:t xml:space="preserve"> a</w:t>
      </w:r>
      <w:r w:rsidR="00C63479">
        <w:rPr>
          <w:sz w:val="24"/>
          <w:szCs w:val="24"/>
        </w:rPr>
        <w:t>n average</w:t>
      </w:r>
      <w:r w:rsidR="00E8021F" w:rsidRPr="000C7050">
        <w:rPr>
          <w:sz w:val="24"/>
          <w:szCs w:val="24"/>
        </w:rPr>
        <w:t xml:space="preserve"> </w:t>
      </w:r>
      <w:r w:rsidRPr="000C7050">
        <w:rPr>
          <w:sz w:val="24"/>
          <w:szCs w:val="24"/>
        </w:rPr>
        <w:t xml:space="preserve">of </w:t>
      </w:r>
      <w:r w:rsidR="00246098" w:rsidRPr="000C7050">
        <w:rPr>
          <w:sz w:val="24"/>
          <w:szCs w:val="24"/>
        </w:rPr>
        <w:t>76</w:t>
      </w:r>
      <w:r w:rsidRPr="000C7050">
        <w:rPr>
          <w:sz w:val="24"/>
          <w:szCs w:val="24"/>
        </w:rPr>
        <w:t xml:space="preserve"> </w:t>
      </w:r>
      <w:r w:rsidR="00C63479">
        <w:rPr>
          <w:sz w:val="24"/>
          <w:szCs w:val="24"/>
        </w:rPr>
        <w:t>being</w:t>
      </w:r>
      <w:r w:rsidRPr="000C7050">
        <w:rPr>
          <w:sz w:val="24"/>
          <w:szCs w:val="24"/>
        </w:rPr>
        <w:t xml:space="preserve"> </w:t>
      </w:r>
      <w:r w:rsidR="00246098" w:rsidRPr="000C7050">
        <w:rPr>
          <w:sz w:val="24"/>
          <w:szCs w:val="24"/>
        </w:rPr>
        <w:t>aged 17</w:t>
      </w:r>
      <w:r w:rsidR="00082C8F" w:rsidRPr="000C7050">
        <w:rPr>
          <w:sz w:val="24"/>
          <w:szCs w:val="24"/>
        </w:rPr>
        <w:t xml:space="preserve">; the CAS ward definitions amalgamate eighteen tiny wards into larger ones to provide an appropriate scale for statistical purposes.  </w:t>
      </w:r>
    </w:p>
    <w:p w:rsidR="00246098" w:rsidRPr="000C7050" w:rsidRDefault="00246098"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However, there is wide va</w:t>
      </w:r>
      <w:r w:rsidR="00AF2740" w:rsidRPr="000C7050">
        <w:rPr>
          <w:sz w:val="24"/>
          <w:szCs w:val="24"/>
        </w:rPr>
        <w:t>riation in the size of wards.  In 2001, t</w:t>
      </w:r>
      <w:r w:rsidRPr="000C7050">
        <w:rPr>
          <w:sz w:val="24"/>
          <w:szCs w:val="24"/>
        </w:rPr>
        <w:t xml:space="preserve">he smallest in England </w:t>
      </w:r>
      <w:r w:rsidR="00AF2740" w:rsidRPr="000C7050">
        <w:rPr>
          <w:sz w:val="24"/>
          <w:szCs w:val="24"/>
        </w:rPr>
        <w:t>was</w:t>
      </w:r>
      <w:r w:rsidRPr="000C7050">
        <w:rPr>
          <w:sz w:val="24"/>
          <w:szCs w:val="24"/>
        </w:rPr>
        <w:t xml:space="preserve"> </w:t>
      </w:r>
      <w:proofErr w:type="spellStart"/>
      <w:r w:rsidR="002E6BFF" w:rsidRPr="000C7050">
        <w:rPr>
          <w:sz w:val="24"/>
          <w:szCs w:val="24"/>
        </w:rPr>
        <w:t>Bishopsgate</w:t>
      </w:r>
      <w:proofErr w:type="spellEnd"/>
      <w:r w:rsidR="002E6BFF" w:rsidRPr="000C7050">
        <w:rPr>
          <w:sz w:val="24"/>
          <w:szCs w:val="24"/>
        </w:rPr>
        <w:t xml:space="preserve"> </w:t>
      </w:r>
      <w:r w:rsidR="00246098" w:rsidRPr="000C7050">
        <w:rPr>
          <w:sz w:val="24"/>
          <w:szCs w:val="24"/>
        </w:rPr>
        <w:t xml:space="preserve">ward </w:t>
      </w:r>
      <w:r w:rsidR="00E56223" w:rsidRPr="000C7050">
        <w:rPr>
          <w:sz w:val="24"/>
          <w:szCs w:val="24"/>
        </w:rPr>
        <w:t>(</w:t>
      </w:r>
      <w:r w:rsidR="002E6BFF" w:rsidRPr="000C7050">
        <w:rPr>
          <w:sz w:val="24"/>
          <w:szCs w:val="24"/>
        </w:rPr>
        <w:t>City of London</w:t>
      </w:r>
      <w:r w:rsidR="00E56223" w:rsidRPr="000C7050">
        <w:rPr>
          <w:sz w:val="24"/>
          <w:szCs w:val="24"/>
        </w:rPr>
        <w:t>)</w:t>
      </w:r>
      <w:r w:rsidRPr="000C7050">
        <w:rPr>
          <w:sz w:val="24"/>
          <w:szCs w:val="24"/>
        </w:rPr>
        <w:t xml:space="preserve">, containing just </w:t>
      </w:r>
      <w:r w:rsidR="00EC5984" w:rsidRPr="000C7050">
        <w:rPr>
          <w:sz w:val="24"/>
          <w:szCs w:val="24"/>
        </w:rPr>
        <w:t>112</w:t>
      </w:r>
      <w:r w:rsidRPr="000C7050">
        <w:rPr>
          <w:sz w:val="24"/>
          <w:szCs w:val="24"/>
        </w:rPr>
        <w:t xml:space="preserve"> people, while </w:t>
      </w:r>
      <w:r w:rsidR="00E56223" w:rsidRPr="000C7050">
        <w:rPr>
          <w:sz w:val="24"/>
          <w:szCs w:val="24"/>
        </w:rPr>
        <w:t>Small Heath</w:t>
      </w:r>
      <w:r w:rsidRPr="000C7050">
        <w:rPr>
          <w:sz w:val="24"/>
          <w:szCs w:val="24"/>
        </w:rPr>
        <w:t xml:space="preserve"> ward </w:t>
      </w:r>
      <w:r w:rsidR="00246098" w:rsidRPr="000C7050">
        <w:rPr>
          <w:sz w:val="24"/>
          <w:szCs w:val="24"/>
        </w:rPr>
        <w:t xml:space="preserve">(Birmingham) </w:t>
      </w:r>
      <w:r w:rsidR="00AF2740" w:rsidRPr="000C7050">
        <w:rPr>
          <w:sz w:val="24"/>
          <w:szCs w:val="24"/>
        </w:rPr>
        <w:t>was</w:t>
      </w:r>
      <w:r w:rsidRPr="000C7050">
        <w:rPr>
          <w:sz w:val="24"/>
          <w:szCs w:val="24"/>
        </w:rPr>
        <w:t xml:space="preserve"> </w:t>
      </w:r>
      <w:r w:rsidR="00C63479">
        <w:rPr>
          <w:sz w:val="24"/>
          <w:szCs w:val="24"/>
        </w:rPr>
        <w:t>very much</w:t>
      </w:r>
      <w:r w:rsidR="00547AE4" w:rsidRPr="000C7050">
        <w:rPr>
          <w:sz w:val="24"/>
          <w:szCs w:val="24"/>
        </w:rPr>
        <w:t xml:space="preserve"> larger</w:t>
      </w:r>
      <w:r w:rsidRPr="000C7050">
        <w:rPr>
          <w:sz w:val="24"/>
          <w:szCs w:val="24"/>
        </w:rPr>
        <w:t xml:space="preserve"> with </w:t>
      </w:r>
      <w:r w:rsidR="00EC5984" w:rsidRPr="000C7050">
        <w:rPr>
          <w:sz w:val="24"/>
          <w:szCs w:val="24"/>
        </w:rPr>
        <w:t>35,106</w:t>
      </w:r>
      <w:r w:rsidRPr="000C7050">
        <w:rPr>
          <w:sz w:val="24"/>
          <w:szCs w:val="24"/>
        </w:rPr>
        <w:t xml:space="preserve">.  As a rule of thumb, wards are less populous in </w:t>
      </w:r>
      <w:r w:rsidRPr="000C7050">
        <w:rPr>
          <w:sz w:val="24"/>
          <w:szCs w:val="24"/>
        </w:rPr>
        <w:lastRenderedPageBreak/>
        <w:t xml:space="preserve">rural areas, but cover a significantly wider geographical area.  The largest by area </w:t>
      </w:r>
      <w:r w:rsidR="00AF2740" w:rsidRPr="000C7050">
        <w:rPr>
          <w:sz w:val="24"/>
          <w:szCs w:val="24"/>
        </w:rPr>
        <w:t>was</w:t>
      </w:r>
      <w:r w:rsidRPr="000C7050">
        <w:rPr>
          <w:sz w:val="24"/>
          <w:szCs w:val="24"/>
        </w:rPr>
        <w:t xml:space="preserve"> </w:t>
      </w:r>
      <w:r w:rsidR="00E73E3A" w:rsidRPr="000C7050">
        <w:rPr>
          <w:sz w:val="24"/>
          <w:szCs w:val="24"/>
        </w:rPr>
        <w:t>Upper North Tyne</w:t>
      </w:r>
      <w:r w:rsidRPr="000C7050">
        <w:rPr>
          <w:sz w:val="24"/>
          <w:szCs w:val="24"/>
        </w:rPr>
        <w:t xml:space="preserve"> ward</w:t>
      </w:r>
      <w:r w:rsidR="00E73E3A" w:rsidRPr="000C7050">
        <w:rPr>
          <w:sz w:val="24"/>
          <w:szCs w:val="24"/>
        </w:rPr>
        <w:t xml:space="preserve"> (Northumberland)</w:t>
      </w:r>
      <w:r w:rsidRPr="000C7050">
        <w:rPr>
          <w:sz w:val="24"/>
          <w:szCs w:val="24"/>
        </w:rPr>
        <w:t xml:space="preserve">, which covers a massive area of </w:t>
      </w:r>
      <w:r w:rsidR="004F6CF7" w:rsidRPr="000C7050">
        <w:rPr>
          <w:sz w:val="24"/>
          <w:szCs w:val="24"/>
        </w:rPr>
        <w:t>46,274</w:t>
      </w:r>
      <w:r w:rsidRPr="000C7050">
        <w:rPr>
          <w:sz w:val="24"/>
          <w:szCs w:val="24"/>
        </w:rPr>
        <w:t xml:space="preserve"> hectares</w:t>
      </w:r>
      <w:r w:rsidR="00E73E3A" w:rsidRPr="000C7050">
        <w:rPr>
          <w:sz w:val="24"/>
          <w:szCs w:val="24"/>
        </w:rPr>
        <w:t>, or 179 square miles</w:t>
      </w:r>
      <w:r w:rsidRPr="000C7050">
        <w:rPr>
          <w:sz w:val="24"/>
          <w:szCs w:val="24"/>
        </w:rPr>
        <w:t>.  Not only is there no standardised size of ward across the country, there is often no standardisation within local authority areas.  Some have attempted to adapt the boundaries to equalise populations while others maintain wards of very different sizes.  Even within the former, population migration can quickly lead to disparities.</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The ward boundaries are therefore a relatively arbitrary set of lines on a map</w:t>
      </w:r>
      <w:r w:rsidR="00547AE4" w:rsidRPr="000C7050">
        <w:rPr>
          <w:sz w:val="24"/>
          <w:szCs w:val="24"/>
        </w:rPr>
        <w:t xml:space="preserve"> enclosing areas of arbitrary size</w:t>
      </w:r>
      <w:r w:rsidRPr="000C7050">
        <w:rPr>
          <w:sz w:val="24"/>
          <w:szCs w:val="24"/>
        </w:rPr>
        <w:t xml:space="preserve">.  While local authorities and the Boundary Commission seek to create wards that are meaningful in terms of real communities (to meet their main purpose - i.e. democratic representation), they are necessarily built on pragmatic compromises, shaped to a degree by political considerations that have no articulation with higher education policy.  As explored in Harrison and Hatt (2009), ward boundaries can often fail to respect on-the-ground communities.  This can happen, for example, where a coherent community is too small to form a ward by itself, so it is paired with a strongly contrasting neighbouring one.  Alternative, practical considerations can cleave communities into two wards; main roads are </w:t>
      </w:r>
      <w:r w:rsidR="00E73E3A" w:rsidRPr="000C7050">
        <w:rPr>
          <w:sz w:val="24"/>
          <w:szCs w:val="24"/>
        </w:rPr>
        <w:t xml:space="preserve">often </w:t>
      </w:r>
      <w:r w:rsidRPr="000C7050">
        <w:rPr>
          <w:sz w:val="24"/>
          <w:szCs w:val="24"/>
        </w:rPr>
        <w:t>preferred ward boundaries, even though communities may span them.  In rural areas, population density is such that several whole villages and hamlets are artificially joined.</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 xml:space="preserve">So, LPNs are not really neighbourhoods in any meaningful sense.  Generally they are far too big </w:t>
      </w:r>
      <w:r w:rsidR="004C21C3" w:rsidRPr="000C7050">
        <w:rPr>
          <w:sz w:val="24"/>
          <w:szCs w:val="24"/>
        </w:rPr>
        <w:t xml:space="preserve">(in population and/or area terms) </w:t>
      </w:r>
      <w:r w:rsidRPr="000C7050">
        <w:rPr>
          <w:sz w:val="24"/>
          <w:szCs w:val="24"/>
        </w:rPr>
        <w:t>to meet any reason</w:t>
      </w:r>
      <w:r w:rsidR="000F5B0B" w:rsidRPr="000C7050">
        <w:rPr>
          <w:sz w:val="24"/>
          <w:szCs w:val="24"/>
        </w:rPr>
        <w:t>able definition of a neighbourhood</w:t>
      </w:r>
      <w:r w:rsidRPr="000C7050">
        <w:rPr>
          <w:sz w:val="24"/>
          <w:szCs w:val="24"/>
        </w:rPr>
        <w:t>, while there is limited articulation between the LPN boundaries and what the people living in them might consider to be their neighbourhood in the sense of 'people like us'.  All in all, one could easily redraw the whole corpus of ward boundaries and create a system with at least as much coherence as the current one.  Different streets, villages and potentially whole towns could move in or out of LPNs depending on the boundaries drawn.</w:t>
      </w:r>
    </w:p>
    <w:p w:rsidR="00B75A98" w:rsidRPr="000C7050" w:rsidRDefault="00B75A98" w:rsidP="003E581D">
      <w:pPr>
        <w:spacing w:line="360" w:lineRule="auto"/>
        <w:rPr>
          <w:sz w:val="24"/>
          <w:szCs w:val="24"/>
        </w:rPr>
      </w:pPr>
    </w:p>
    <w:p w:rsidR="00B75A98" w:rsidRPr="000C7050" w:rsidRDefault="00C63479" w:rsidP="003E581D">
      <w:pPr>
        <w:spacing w:line="360" w:lineRule="auto"/>
        <w:rPr>
          <w:sz w:val="24"/>
          <w:szCs w:val="24"/>
        </w:rPr>
      </w:pPr>
      <w:r>
        <w:rPr>
          <w:sz w:val="24"/>
          <w:szCs w:val="24"/>
        </w:rPr>
        <w:t xml:space="preserve">But, </w:t>
      </w:r>
      <w:r w:rsidR="00B75A98" w:rsidRPr="000C7050">
        <w:rPr>
          <w:sz w:val="24"/>
          <w:szCs w:val="24"/>
        </w:rPr>
        <w:t>LPNs are also not postcodes</w:t>
      </w:r>
      <w:r>
        <w:rPr>
          <w:sz w:val="24"/>
          <w:szCs w:val="24"/>
        </w:rPr>
        <w:t xml:space="preserve"> – and they have never been officially described as such</w:t>
      </w:r>
      <w:r w:rsidR="00B75A98" w:rsidRPr="000C7050">
        <w:rPr>
          <w:sz w:val="24"/>
          <w:szCs w:val="24"/>
        </w:rPr>
        <w:t>.  As mentioned above, this widely-believed fallacy seems to have been driven by two developments in widening participation policy: the creation of the Widening Participation Allocation (known informally as the 'postcode premium') and the publication of table</w:t>
      </w:r>
      <w:r w:rsidR="00256F11" w:rsidRPr="000C7050">
        <w:rPr>
          <w:sz w:val="24"/>
          <w:szCs w:val="24"/>
        </w:rPr>
        <w:t>s</w:t>
      </w:r>
      <w:r w:rsidR="00B75A98" w:rsidRPr="000C7050">
        <w:rPr>
          <w:sz w:val="24"/>
          <w:szCs w:val="24"/>
        </w:rPr>
        <w:t xml:space="preserve"> mapping postcodes to POLAR quintiles.  Both of these have had the effect of convincing </w:t>
      </w:r>
      <w:r>
        <w:rPr>
          <w:sz w:val="24"/>
          <w:szCs w:val="24"/>
        </w:rPr>
        <w:t>many stakeholders</w:t>
      </w:r>
      <w:r w:rsidR="00B75A98" w:rsidRPr="000C7050">
        <w:rPr>
          <w:sz w:val="24"/>
          <w:szCs w:val="24"/>
        </w:rPr>
        <w:t xml:space="preserve"> that LPNs are </w:t>
      </w:r>
      <w:r w:rsidR="00387658" w:rsidRPr="000C7050">
        <w:rPr>
          <w:sz w:val="24"/>
          <w:szCs w:val="24"/>
        </w:rPr>
        <w:t>built around postcodes.  However, t</w:t>
      </w:r>
      <w:r w:rsidR="00B75A98" w:rsidRPr="000C7050">
        <w:rPr>
          <w:sz w:val="24"/>
          <w:szCs w:val="24"/>
        </w:rPr>
        <w:t xml:space="preserve">his is fallacious.  While it is obviously possible to determine which </w:t>
      </w:r>
      <w:r w:rsidR="00B75A98" w:rsidRPr="000C7050">
        <w:rPr>
          <w:sz w:val="24"/>
          <w:szCs w:val="24"/>
        </w:rPr>
        <w:lastRenderedPageBreak/>
        <w:t>postcodes fall within a ward, the postcode data published simply assigns all postcodes within a war</w:t>
      </w:r>
      <w:r>
        <w:rPr>
          <w:sz w:val="24"/>
          <w:szCs w:val="24"/>
        </w:rPr>
        <w:t>d to the same POLAR quintile; t</w:t>
      </w:r>
      <w:r w:rsidR="00B75A98" w:rsidRPr="000C7050">
        <w:rPr>
          <w:sz w:val="24"/>
          <w:szCs w:val="24"/>
        </w:rPr>
        <w:t>he</w:t>
      </w:r>
      <w:r>
        <w:rPr>
          <w:sz w:val="24"/>
          <w:szCs w:val="24"/>
        </w:rPr>
        <w:t>re is no postcode-</w:t>
      </w:r>
      <w:r w:rsidR="00B75A98" w:rsidRPr="000C7050">
        <w:rPr>
          <w:sz w:val="24"/>
          <w:szCs w:val="24"/>
        </w:rPr>
        <w:t>level granularity to LPN data.</w:t>
      </w:r>
      <w:r w:rsidR="00EA350E" w:rsidRPr="000C7050">
        <w:rPr>
          <w:sz w:val="24"/>
          <w:szCs w:val="24"/>
        </w:rPr>
        <w:t xml:space="preserve"> </w:t>
      </w:r>
      <w:r w:rsidR="00C12059" w:rsidRPr="000C7050">
        <w:rPr>
          <w:sz w:val="24"/>
          <w:szCs w:val="24"/>
        </w:rPr>
        <w:t xml:space="preserve"> </w:t>
      </w:r>
      <w:r w:rsidR="00EA350E" w:rsidRPr="000C7050">
        <w:rPr>
          <w:sz w:val="24"/>
          <w:szCs w:val="24"/>
        </w:rPr>
        <w:t xml:space="preserve">Postcodes themselves contain </w:t>
      </w:r>
      <w:r w:rsidR="004C21C3" w:rsidRPr="000C7050">
        <w:rPr>
          <w:sz w:val="24"/>
          <w:szCs w:val="24"/>
        </w:rPr>
        <w:t>around</w:t>
      </w:r>
      <w:r w:rsidR="00EA350E" w:rsidRPr="000C7050">
        <w:rPr>
          <w:sz w:val="24"/>
          <w:szCs w:val="24"/>
        </w:rPr>
        <w:t xml:space="preserve"> 20 homes and </w:t>
      </w:r>
      <w:r w:rsidR="004C21C3" w:rsidRPr="000C7050">
        <w:rPr>
          <w:sz w:val="24"/>
          <w:szCs w:val="24"/>
        </w:rPr>
        <w:t>are far too small to</w:t>
      </w:r>
      <w:r w:rsidR="00EA350E" w:rsidRPr="000C7050">
        <w:rPr>
          <w:sz w:val="24"/>
          <w:szCs w:val="24"/>
        </w:rPr>
        <w:t xml:space="preserve"> constitute a meaningful unit for analysis.</w:t>
      </w:r>
      <w:r w:rsidR="00B75A98" w:rsidRPr="000C7050">
        <w:rPr>
          <w:sz w:val="24"/>
          <w:szCs w:val="24"/>
        </w:rPr>
        <w:t xml:space="preserve">  In fact, postcodes only map poorly to </w:t>
      </w:r>
      <w:r w:rsidR="00256F11" w:rsidRPr="000C7050">
        <w:rPr>
          <w:sz w:val="24"/>
          <w:szCs w:val="24"/>
        </w:rPr>
        <w:t xml:space="preserve">electoral </w:t>
      </w:r>
      <w:r w:rsidR="00B75A98" w:rsidRPr="000C7050">
        <w:rPr>
          <w:sz w:val="24"/>
          <w:szCs w:val="24"/>
        </w:rPr>
        <w:t>wards and geographical approximations</w:t>
      </w:r>
      <w:r w:rsidR="004C21C3" w:rsidRPr="000C7050">
        <w:rPr>
          <w:sz w:val="24"/>
          <w:szCs w:val="24"/>
        </w:rPr>
        <w:t xml:space="preserve"> are used</w:t>
      </w:r>
      <w:r w:rsidR="00B75A98" w:rsidRPr="000C7050">
        <w:rPr>
          <w:sz w:val="24"/>
          <w:szCs w:val="24"/>
        </w:rPr>
        <w:t>.</w:t>
      </w:r>
    </w:p>
    <w:p w:rsidR="00B75A98" w:rsidRPr="000C7050" w:rsidRDefault="00B75A98" w:rsidP="003E581D">
      <w:pPr>
        <w:spacing w:line="360" w:lineRule="auto"/>
        <w:rPr>
          <w:sz w:val="24"/>
          <w:szCs w:val="24"/>
        </w:rPr>
      </w:pPr>
    </w:p>
    <w:p w:rsidR="00B05A1A" w:rsidRPr="000C7050" w:rsidRDefault="00B75A98" w:rsidP="003E581D">
      <w:pPr>
        <w:spacing w:line="360" w:lineRule="auto"/>
        <w:rPr>
          <w:sz w:val="24"/>
          <w:szCs w:val="24"/>
        </w:rPr>
      </w:pPr>
      <w:r w:rsidRPr="000C7050">
        <w:rPr>
          <w:sz w:val="24"/>
          <w:szCs w:val="24"/>
        </w:rPr>
        <w:t xml:space="preserve">The </w:t>
      </w:r>
      <w:r w:rsidR="00B05A1A" w:rsidRPr="000C7050">
        <w:rPr>
          <w:sz w:val="24"/>
          <w:szCs w:val="24"/>
        </w:rPr>
        <w:t xml:space="preserve">danger </w:t>
      </w:r>
      <w:r w:rsidRPr="000C7050">
        <w:rPr>
          <w:sz w:val="24"/>
          <w:szCs w:val="24"/>
        </w:rPr>
        <w:t>result</w:t>
      </w:r>
      <w:r w:rsidR="00B05A1A" w:rsidRPr="000C7050">
        <w:rPr>
          <w:sz w:val="24"/>
          <w:szCs w:val="24"/>
        </w:rPr>
        <w:t>ing from</w:t>
      </w:r>
      <w:r w:rsidRPr="000C7050">
        <w:rPr>
          <w:sz w:val="24"/>
          <w:szCs w:val="24"/>
        </w:rPr>
        <w:t xml:space="preserve"> this postcode fallacy is that LPNs are </w:t>
      </w:r>
      <w:r w:rsidR="00B05A1A" w:rsidRPr="000C7050">
        <w:rPr>
          <w:sz w:val="24"/>
          <w:szCs w:val="24"/>
        </w:rPr>
        <w:t xml:space="preserve">then </w:t>
      </w:r>
      <w:r w:rsidRPr="000C7050">
        <w:rPr>
          <w:sz w:val="24"/>
          <w:szCs w:val="24"/>
        </w:rPr>
        <w:t>assumed to have a far greater level of granularity than is actually the case</w:t>
      </w:r>
      <w:r w:rsidR="00B05A1A" w:rsidRPr="000C7050">
        <w:rPr>
          <w:sz w:val="24"/>
          <w:szCs w:val="24"/>
        </w:rPr>
        <w:t>, being</w:t>
      </w:r>
      <w:r w:rsidR="004C21C3" w:rsidRPr="000C7050">
        <w:rPr>
          <w:sz w:val="24"/>
          <w:szCs w:val="24"/>
        </w:rPr>
        <w:t xml:space="preserve"> viewed</w:t>
      </w:r>
      <w:r w:rsidRPr="000C7050">
        <w:rPr>
          <w:sz w:val="24"/>
          <w:szCs w:val="24"/>
        </w:rPr>
        <w:t xml:space="preserve"> as a scientific means of finding the 'right' young people</w:t>
      </w:r>
      <w:r w:rsidR="00B05A1A" w:rsidRPr="000C7050">
        <w:rPr>
          <w:sz w:val="24"/>
          <w:szCs w:val="24"/>
        </w:rPr>
        <w:t xml:space="preserve"> with high levels of </w:t>
      </w:r>
      <w:r w:rsidR="00C63479">
        <w:rPr>
          <w:sz w:val="24"/>
          <w:szCs w:val="24"/>
        </w:rPr>
        <w:t xml:space="preserve">personal </w:t>
      </w:r>
      <w:r w:rsidR="00B05A1A" w:rsidRPr="000C7050">
        <w:rPr>
          <w:sz w:val="24"/>
          <w:szCs w:val="24"/>
        </w:rPr>
        <w:t>educational disadvantage</w:t>
      </w:r>
      <w:r w:rsidRPr="000C7050">
        <w:rPr>
          <w:sz w:val="24"/>
          <w:szCs w:val="24"/>
        </w:rPr>
        <w:t xml:space="preserve">.  </w:t>
      </w:r>
      <w:r w:rsidR="00C63479">
        <w:rPr>
          <w:sz w:val="24"/>
          <w:szCs w:val="24"/>
        </w:rPr>
        <w:t>In fact,</w:t>
      </w:r>
      <w:r w:rsidRPr="000C7050">
        <w:rPr>
          <w:sz w:val="24"/>
          <w:szCs w:val="24"/>
        </w:rPr>
        <w:t xml:space="preserve"> large swathes of most major cities are LPNs</w:t>
      </w:r>
      <w:r w:rsidR="000862CF" w:rsidRPr="000C7050">
        <w:rPr>
          <w:sz w:val="24"/>
          <w:szCs w:val="24"/>
        </w:rPr>
        <w:t>, with little precision in identifying specific areas lacking a tradition of higher education</w:t>
      </w:r>
      <w:r w:rsidRPr="000C7050">
        <w:rPr>
          <w:sz w:val="24"/>
          <w:szCs w:val="24"/>
        </w:rPr>
        <w:t xml:space="preserve">.  They include many affluent areas that have been paired with next-door areas whose </w:t>
      </w:r>
      <w:r w:rsidR="001F57C7" w:rsidRPr="000C7050">
        <w:rPr>
          <w:sz w:val="24"/>
          <w:szCs w:val="24"/>
        </w:rPr>
        <w:t>participation rate</w:t>
      </w:r>
      <w:r w:rsidRPr="000C7050">
        <w:rPr>
          <w:sz w:val="24"/>
          <w:szCs w:val="24"/>
        </w:rPr>
        <w:t xml:space="preserve"> is sufficient to see the whole ward </w:t>
      </w:r>
      <w:r w:rsidR="001F57C7" w:rsidRPr="000C7050">
        <w:rPr>
          <w:sz w:val="24"/>
          <w:szCs w:val="24"/>
        </w:rPr>
        <w:t>being designated as an LPN</w:t>
      </w:r>
      <w:r w:rsidRPr="000C7050">
        <w:rPr>
          <w:sz w:val="24"/>
          <w:szCs w:val="24"/>
        </w:rPr>
        <w:t xml:space="preserve">.  </w:t>
      </w:r>
      <w:r w:rsidR="001F57C7" w:rsidRPr="000C7050">
        <w:rPr>
          <w:sz w:val="24"/>
          <w:szCs w:val="24"/>
        </w:rPr>
        <w:t xml:space="preserve">This issue is discussed with examples in HEFCE (2005), although it concludes that this is not </w:t>
      </w:r>
      <w:r w:rsidR="00C63479">
        <w:rPr>
          <w:sz w:val="24"/>
          <w:szCs w:val="24"/>
        </w:rPr>
        <w:t xml:space="preserve">a </w:t>
      </w:r>
      <w:r w:rsidR="001F57C7" w:rsidRPr="000C7050">
        <w:rPr>
          <w:sz w:val="24"/>
          <w:szCs w:val="24"/>
        </w:rPr>
        <w:t>widespread</w:t>
      </w:r>
      <w:r w:rsidR="00C63479">
        <w:rPr>
          <w:sz w:val="24"/>
          <w:szCs w:val="24"/>
        </w:rPr>
        <w:t xml:space="preserve"> problem</w:t>
      </w:r>
      <w:r w:rsidR="001F57C7" w:rsidRPr="000C7050">
        <w:rPr>
          <w:sz w:val="24"/>
          <w:szCs w:val="24"/>
        </w:rPr>
        <w:t>, although it does not look in detail at instances where this might be most li</w:t>
      </w:r>
      <w:r w:rsidR="00C63479">
        <w:rPr>
          <w:sz w:val="24"/>
          <w:szCs w:val="24"/>
        </w:rPr>
        <w:t xml:space="preserve">kely to occur (e.g. rural areas, </w:t>
      </w:r>
      <w:r w:rsidR="001F57C7" w:rsidRPr="000C7050">
        <w:rPr>
          <w:sz w:val="24"/>
          <w:szCs w:val="24"/>
        </w:rPr>
        <w:t>very large urban wards</w:t>
      </w:r>
      <w:r w:rsidR="00C63479">
        <w:rPr>
          <w:sz w:val="24"/>
          <w:szCs w:val="24"/>
        </w:rPr>
        <w:t xml:space="preserve"> and neighbourhoods in the process of being ‘gentrified’</w:t>
      </w:r>
      <w:r w:rsidR="001F57C7" w:rsidRPr="000C7050">
        <w:rPr>
          <w:sz w:val="24"/>
          <w:szCs w:val="24"/>
        </w:rPr>
        <w:t xml:space="preserve">).  Conversely, many areas with low participation are located outside of LPNs as they are subsumed within more affluent ones (Grove 2012a).  </w:t>
      </w:r>
    </w:p>
    <w:p w:rsidR="00B05A1A" w:rsidRPr="000C7050" w:rsidRDefault="00B05A1A" w:rsidP="003E581D">
      <w:pPr>
        <w:spacing w:line="360" w:lineRule="auto"/>
        <w:rPr>
          <w:sz w:val="24"/>
          <w:szCs w:val="24"/>
        </w:rPr>
      </w:pPr>
    </w:p>
    <w:p w:rsidR="00B75A98" w:rsidRPr="000C7050" w:rsidRDefault="00145F21" w:rsidP="003E581D">
      <w:pPr>
        <w:spacing w:line="360" w:lineRule="auto"/>
        <w:rPr>
          <w:sz w:val="24"/>
          <w:szCs w:val="24"/>
        </w:rPr>
      </w:pPr>
      <w:r w:rsidRPr="000C7050">
        <w:rPr>
          <w:sz w:val="24"/>
          <w:szCs w:val="24"/>
        </w:rPr>
        <w:t>More widely</w:t>
      </w:r>
      <w:r w:rsidR="00B75A98" w:rsidRPr="000C7050">
        <w:rPr>
          <w:sz w:val="24"/>
          <w:szCs w:val="24"/>
        </w:rPr>
        <w:t>, Harrison and Hatt (2010</w:t>
      </w:r>
      <w:r w:rsidR="008E5A35" w:rsidRPr="000C7050">
        <w:rPr>
          <w:sz w:val="24"/>
          <w:szCs w:val="24"/>
        </w:rPr>
        <w:t>a</w:t>
      </w:r>
      <w:r w:rsidR="00B75A98" w:rsidRPr="000C7050">
        <w:rPr>
          <w:sz w:val="24"/>
          <w:szCs w:val="24"/>
        </w:rPr>
        <w:t xml:space="preserve">) demonstrate that young people from disadvantaged households are actually to be found across a very wide mix of neighbourhoods.  </w:t>
      </w:r>
      <w:r w:rsidR="00B05A1A" w:rsidRPr="000C7050">
        <w:rPr>
          <w:sz w:val="24"/>
          <w:szCs w:val="24"/>
        </w:rPr>
        <w:t xml:space="preserve">While LPNs are not designed to measure </w:t>
      </w:r>
      <w:r w:rsidR="00F625A1" w:rsidRPr="000C7050">
        <w:rPr>
          <w:sz w:val="24"/>
          <w:szCs w:val="24"/>
        </w:rPr>
        <w:t>deprivation</w:t>
      </w:r>
      <w:r w:rsidR="00B05A1A" w:rsidRPr="000C7050">
        <w:rPr>
          <w:sz w:val="24"/>
          <w:szCs w:val="24"/>
        </w:rPr>
        <w:t xml:space="preserve"> </w:t>
      </w:r>
      <w:r w:rsidR="00B05A1A" w:rsidRPr="000C7050">
        <w:rPr>
          <w:i/>
          <w:sz w:val="24"/>
          <w:szCs w:val="24"/>
        </w:rPr>
        <w:t>per se</w:t>
      </w:r>
      <w:r w:rsidR="00B05A1A" w:rsidRPr="000C7050">
        <w:rPr>
          <w:sz w:val="24"/>
          <w:szCs w:val="24"/>
        </w:rPr>
        <w:t xml:space="preserve">, </w:t>
      </w:r>
      <w:r w:rsidR="00F625A1" w:rsidRPr="000C7050">
        <w:rPr>
          <w:sz w:val="24"/>
          <w:szCs w:val="24"/>
        </w:rPr>
        <w:t xml:space="preserve">the relationship between this and participation is less deterministic than might be imagined.  </w:t>
      </w:r>
      <w:r w:rsidR="00B75A98" w:rsidRPr="000C7050">
        <w:rPr>
          <w:sz w:val="24"/>
          <w:szCs w:val="24"/>
        </w:rPr>
        <w:t xml:space="preserve">This can be examined </w:t>
      </w:r>
      <w:r w:rsidR="000F5B0B" w:rsidRPr="000C7050">
        <w:rPr>
          <w:sz w:val="24"/>
          <w:szCs w:val="24"/>
        </w:rPr>
        <w:t xml:space="preserve">further </w:t>
      </w:r>
      <w:r w:rsidR="00B75A98" w:rsidRPr="000C7050">
        <w:rPr>
          <w:sz w:val="24"/>
          <w:szCs w:val="24"/>
        </w:rPr>
        <w:t xml:space="preserve">using more </w:t>
      </w:r>
      <w:r w:rsidR="004C21C3" w:rsidRPr="000C7050">
        <w:rPr>
          <w:sz w:val="24"/>
          <w:szCs w:val="24"/>
        </w:rPr>
        <w:t xml:space="preserve">recent </w:t>
      </w:r>
      <w:r w:rsidR="00B75A98" w:rsidRPr="000C7050">
        <w:rPr>
          <w:sz w:val="24"/>
          <w:szCs w:val="24"/>
        </w:rPr>
        <w:t>data from UCAS</w:t>
      </w:r>
      <w:r w:rsidR="000F5B0B" w:rsidRPr="000C7050">
        <w:rPr>
          <w:sz w:val="24"/>
          <w:szCs w:val="24"/>
        </w:rPr>
        <w:t xml:space="preserve">, the </w:t>
      </w:r>
      <w:r w:rsidR="00B75A98" w:rsidRPr="000C7050">
        <w:rPr>
          <w:sz w:val="24"/>
          <w:szCs w:val="24"/>
        </w:rPr>
        <w:t>2011 Census</w:t>
      </w:r>
      <w:r w:rsidR="000F5B0B" w:rsidRPr="000C7050">
        <w:rPr>
          <w:sz w:val="24"/>
          <w:szCs w:val="24"/>
        </w:rPr>
        <w:t xml:space="preserve"> and the POLAR</w:t>
      </w:r>
      <w:r w:rsidR="004C21C3" w:rsidRPr="000C7050">
        <w:rPr>
          <w:sz w:val="24"/>
          <w:szCs w:val="24"/>
        </w:rPr>
        <w:t>2 and POLAR3</w:t>
      </w:r>
      <w:r w:rsidR="000F5B0B" w:rsidRPr="000C7050">
        <w:rPr>
          <w:sz w:val="24"/>
          <w:szCs w:val="24"/>
        </w:rPr>
        <w:t xml:space="preserve"> datasets</w:t>
      </w:r>
      <w:r w:rsidR="00B75A98" w:rsidRPr="000C7050">
        <w:rPr>
          <w:sz w:val="24"/>
          <w:szCs w:val="24"/>
        </w:rPr>
        <w:t>, covering both young people as a whole and university applicants in particular.</w:t>
      </w:r>
    </w:p>
    <w:p w:rsidR="00B75A98" w:rsidRPr="000C7050" w:rsidRDefault="00B75A98" w:rsidP="003E581D">
      <w:pPr>
        <w:spacing w:line="360" w:lineRule="auto"/>
        <w:rPr>
          <w:sz w:val="24"/>
          <w:szCs w:val="24"/>
        </w:rPr>
      </w:pPr>
    </w:p>
    <w:p w:rsidR="00DE2035" w:rsidRPr="000C7050" w:rsidRDefault="009C3B5B" w:rsidP="003E581D">
      <w:pPr>
        <w:spacing w:line="360" w:lineRule="auto"/>
        <w:rPr>
          <w:sz w:val="24"/>
          <w:szCs w:val="24"/>
        </w:rPr>
      </w:pPr>
      <w:r w:rsidRPr="000C7050">
        <w:rPr>
          <w:sz w:val="24"/>
          <w:szCs w:val="24"/>
        </w:rPr>
        <w:t xml:space="preserve">Table 1 uses data from applicants aged 18 or 19 for the 2008 admissions cycle, this being the final one for which </w:t>
      </w:r>
      <w:r w:rsidR="008E5A35" w:rsidRPr="000C7050">
        <w:rPr>
          <w:sz w:val="24"/>
          <w:szCs w:val="24"/>
        </w:rPr>
        <w:t>National Statistics Socio-Economic Classification (</w:t>
      </w:r>
      <w:r w:rsidRPr="000C7050">
        <w:rPr>
          <w:sz w:val="24"/>
          <w:szCs w:val="24"/>
        </w:rPr>
        <w:t>NS-SEC</w:t>
      </w:r>
      <w:r w:rsidR="00464AE1" w:rsidRPr="000C7050">
        <w:rPr>
          <w:sz w:val="24"/>
          <w:szCs w:val="24"/>
        </w:rPr>
        <w:t>: Office for National Statistics 2013</w:t>
      </w:r>
      <w:r w:rsidR="008E5A35" w:rsidRPr="000C7050">
        <w:rPr>
          <w:sz w:val="24"/>
          <w:szCs w:val="24"/>
        </w:rPr>
        <w:t>)</w:t>
      </w:r>
      <w:r w:rsidRPr="000C7050">
        <w:rPr>
          <w:sz w:val="24"/>
          <w:szCs w:val="24"/>
        </w:rPr>
        <w:t xml:space="preserve"> data </w:t>
      </w:r>
      <w:r w:rsidR="004C21C3" w:rsidRPr="000C7050">
        <w:rPr>
          <w:sz w:val="24"/>
          <w:szCs w:val="24"/>
        </w:rPr>
        <w:t>were</w:t>
      </w:r>
      <w:r w:rsidRPr="000C7050">
        <w:rPr>
          <w:sz w:val="24"/>
          <w:szCs w:val="24"/>
        </w:rPr>
        <w:t xml:space="preserve"> made available.  The </w:t>
      </w:r>
      <w:r w:rsidR="004C21C3" w:rsidRPr="000C7050">
        <w:rPr>
          <w:sz w:val="24"/>
          <w:szCs w:val="24"/>
        </w:rPr>
        <w:t xml:space="preserve">reduced </w:t>
      </w:r>
      <w:r w:rsidRPr="000C7050">
        <w:rPr>
          <w:sz w:val="24"/>
          <w:szCs w:val="24"/>
        </w:rPr>
        <w:t xml:space="preserve">NS-SEC system </w:t>
      </w:r>
      <w:r w:rsidR="004C21C3" w:rsidRPr="000C7050">
        <w:rPr>
          <w:sz w:val="24"/>
          <w:szCs w:val="24"/>
        </w:rPr>
        <w:t xml:space="preserve">used by UCAS </w:t>
      </w:r>
      <w:r w:rsidR="00715C3D" w:rsidRPr="000C7050">
        <w:rPr>
          <w:sz w:val="24"/>
          <w:szCs w:val="24"/>
        </w:rPr>
        <w:t>assigned</w:t>
      </w:r>
      <w:r w:rsidRPr="000C7050">
        <w:rPr>
          <w:sz w:val="24"/>
          <w:szCs w:val="24"/>
        </w:rPr>
        <w:t xml:space="preserve"> applicants to one of seven groups based on the occupation of their highest-paid parent, where Group 1 </w:t>
      </w:r>
      <w:r w:rsidR="004C21C3" w:rsidRPr="000C7050">
        <w:rPr>
          <w:sz w:val="24"/>
          <w:szCs w:val="24"/>
        </w:rPr>
        <w:t>comprises</w:t>
      </w:r>
      <w:r w:rsidRPr="000C7050">
        <w:rPr>
          <w:sz w:val="24"/>
          <w:szCs w:val="24"/>
        </w:rPr>
        <w:t xml:space="preserve"> professionals and senior managers and Group 7 </w:t>
      </w:r>
      <w:r w:rsidR="004C21C3" w:rsidRPr="000C7050">
        <w:rPr>
          <w:sz w:val="24"/>
          <w:szCs w:val="24"/>
        </w:rPr>
        <w:t>comprises</w:t>
      </w:r>
      <w:r w:rsidRPr="000C7050">
        <w:rPr>
          <w:sz w:val="24"/>
          <w:szCs w:val="24"/>
        </w:rPr>
        <w:t xml:space="preserve"> </w:t>
      </w:r>
      <w:r w:rsidR="008E5A35" w:rsidRPr="000C7050">
        <w:rPr>
          <w:sz w:val="24"/>
          <w:szCs w:val="24"/>
        </w:rPr>
        <w:t xml:space="preserve">routine manual workers.  While this system </w:t>
      </w:r>
      <w:r w:rsidR="00715C3D" w:rsidRPr="000C7050">
        <w:rPr>
          <w:sz w:val="24"/>
          <w:szCs w:val="24"/>
        </w:rPr>
        <w:t>was</w:t>
      </w:r>
      <w:r w:rsidR="008E5A35" w:rsidRPr="000C7050">
        <w:rPr>
          <w:sz w:val="24"/>
          <w:szCs w:val="24"/>
        </w:rPr>
        <w:t xml:space="preserve"> </w:t>
      </w:r>
      <w:r w:rsidR="000862CF" w:rsidRPr="000C7050">
        <w:rPr>
          <w:sz w:val="24"/>
          <w:szCs w:val="24"/>
        </w:rPr>
        <w:t>flawed</w:t>
      </w:r>
      <w:r w:rsidR="008E5A35" w:rsidRPr="000C7050">
        <w:rPr>
          <w:sz w:val="24"/>
          <w:szCs w:val="24"/>
        </w:rPr>
        <w:t xml:space="preserve"> (see Harrison and Hatt 2010b), it represents the best </w:t>
      </w:r>
      <w:r w:rsidR="000862CF" w:rsidRPr="000C7050">
        <w:rPr>
          <w:sz w:val="24"/>
          <w:szCs w:val="24"/>
        </w:rPr>
        <w:t xml:space="preserve">publicly-available </w:t>
      </w:r>
      <w:r w:rsidR="008E5A35" w:rsidRPr="000C7050">
        <w:rPr>
          <w:sz w:val="24"/>
          <w:szCs w:val="24"/>
        </w:rPr>
        <w:t xml:space="preserve">individualised </w:t>
      </w:r>
      <w:r w:rsidR="000862CF" w:rsidRPr="000C7050">
        <w:rPr>
          <w:sz w:val="24"/>
          <w:szCs w:val="24"/>
        </w:rPr>
        <w:t>data</w:t>
      </w:r>
      <w:r w:rsidR="008E5A35" w:rsidRPr="000C7050">
        <w:rPr>
          <w:sz w:val="24"/>
          <w:szCs w:val="24"/>
        </w:rPr>
        <w:t xml:space="preserve"> o</w:t>
      </w:r>
      <w:r w:rsidR="000862CF" w:rsidRPr="000C7050">
        <w:rPr>
          <w:sz w:val="24"/>
          <w:szCs w:val="24"/>
        </w:rPr>
        <w:t>n</w:t>
      </w:r>
      <w:r w:rsidR="008E5A35" w:rsidRPr="000C7050">
        <w:rPr>
          <w:sz w:val="24"/>
          <w:szCs w:val="24"/>
        </w:rPr>
        <w:t xml:space="preserve"> the socio-economic status of applicants and thereby the </w:t>
      </w:r>
      <w:r w:rsidR="008E5A35" w:rsidRPr="000C7050">
        <w:rPr>
          <w:sz w:val="24"/>
          <w:szCs w:val="24"/>
        </w:rPr>
        <w:lastRenderedPageBreak/>
        <w:t>relative degree of embedded (</w:t>
      </w:r>
      <w:proofErr w:type="spellStart"/>
      <w:r w:rsidR="008E5A35" w:rsidRPr="000C7050">
        <w:rPr>
          <w:sz w:val="24"/>
          <w:szCs w:val="24"/>
        </w:rPr>
        <w:t>dis</w:t>
      </w:r>
      <w:proofErr w:type="spellEnd"/>
      <w:r w:rsidR="008E5A35" w:rsidRPr="000C7050">
        <w:rPr>
          <w:sz w:val="24"/>
          <w:szCs w:val="24"/>
        </w:rPr>
        <w:t>)advantage</w:t>
      </w:r>
      <w:r w:rsidR="000862CF" w:rsidRPr="000C7050">
        <w:rPr>
          <w:sz w:val="24"/>
          <w:szCs w:val="24"/>
        </w:rPr>
        <w:t xml:space="preserve"> within the family</w:t>
      </w:r>
      <w:r w:rsidR="008E5A35" w:rsidRPr="000C7050">
        <w:rPr>
          <w:sz w:val="24"/>
          <w:szCs w:val="24"/>
        </w:rPr>
        <w:t xml:space="preserve">.  The NS-SEC data </w:t>
      </w:r>
      <w:r w:rsidR="004C21C3" w:rsidRPr="000C7050">
        <w:rPr>
          <w:sz w:val="24"/>
          <w:szCs w:val="24"/>
        </w:rPr>
        <w:t>are</w:t>
      </w:r>
      <w:r w:rsidR="008E5A35" w:rsidRPr="000C7050">
        <w:rPr>
          <w:sz w:val="24"/>
          <w:szCs w:val="24"/>
        </w:rPr>
        <w:t xml:space="preserve"> tabulated against the POLAR2 quintile of the ward in which the applicant lives.</w:t>
      </w:r>
    </w:p>
    <w:p w:rsidR="00DE2035" w:rsidRPr="000C7050" w:rsidRDefault="00DE2035" w:rsidP="003E581D">
      <w:pPr>
        <w:spacing w:line="360" w:lineRule="auto"/>
        <w:rPr>
          <w:sz w:val="24"/>
          <w:szCs w:val="24"/>
        </w:rPr>
      </w:pPr>
    </w:p>
    <w:p w:rsidR="00DE2035" w:rsidRPr="000C7050" w:rsidRDefault="008E5A35" w:rsidP="003E581D">
      <w:pPr>
        <w:spacing w:line="360" w:lineRule="auto"/>
        <w:rPr>
          <w:sz w:val="24"/>
          <w:szCs w:val="24"/>
        </w:rPr>
      </w:pPr>
      <w:r w:rsidRPr="000C7050">
        <w:rPr>
          <w:sz w:val="24"/>
          <w:szCs w:val="24"/>
        </w:rPr>
        <w:t xml:space="preserve">The </w:t>
      </w:r>
      <w:r w:rsidR="000862CF" w:rsidRPr="000C7050">
        <w:rPr>
          <w:sz w:val="24"/>
          <w:szCs w:val="24"/>
        </w:rPr>
        <w:t xml:space="preserve">principal </w:t>
      </w:r>
      <w:r w:rsidRPr="000C7050">
        <w:rPr>
          <w:sz w:val="24"/>
          <w:szCs w:val="24"/>
        </w:rPr>
        <w:t xml:space="preserve">rationale for policy interest in LPNs is that this is where educational disadvantage is concentrated and therefore the </w:t>
      </w:r>
      <w:r w:rsidR="000862CF" w:rsidRPr="000C7050">
        <w:rPr>
          <w:sz w:val="24"/>
          <w:szCs w:val="24"/>
        </w:rPr>
        <w:t>appropriate</w:t>
      </w:r>
      <w:r w:rsidRPr="000C7050">
        <w:rPr>
          <w:sz w:val="24"/>
          <w:szCs w:val="24"/>
        </w:rPr>
        <w:t xml:space="preserve"> target for additional resources and interventions to promote higher education participation.  Table 1 does provide some support for this conjecture.  For example, applicants </w:t>
      </w:r>
      <w:r w:rsidR="000862CF" w:rsidRPr="000C7050">
        <w:rPr>
          <w:sz w:val="24"/>
          <w:szCs w:val="24"/>
        </w:rPr>
        <w:t>assigned to</w:t>
      </w:r>
      <w:r w:rsidRPr="000C7050">
        <w:rPr>
          <w:sz w:val="24"/>
          <w:szCs w:val="24"/>
        </w:rPr>
        <w:t xml:space="preserve"> NS-SEC Group 1 are </w:t>
      </w:r>
      <w:r w:rsidR="00387658" w:rsidRPr="000C7050">
        <w:rPr>
          <w:sz w:val="24"/>
          <w:szCs w:val="24"/>
        </w:rPr>
        <w:t>heavily concentrated in POLAR2 Q</w:t>
      </w:r>
      <w:r w:rsidRPr="000C7050">
        <w:rPr>
          <w:sz w:val="24"/>
          <w:szCs w:val="24"/>
        </w:rPr>
        <w:t>uintile 5, bu</w:t>
      </w:r>
      <w:r w:rsidR="00DA6CD2" w:rsidRPr="000C7050">
        <w:rPr>
          <w:sz w:val="24"/>
          <w:szCs w:val="24"/>
        </w:rPr>
        <w:t xml:space="preserve">t relatively rare in </w:t>
      </w:r>
      <w:r w:rsidR="00387658" w:rsidRPr="000C7050">
        <w:rPr>
          <w:sz w:val="24"/>
          <w:szCs w:val="24"/>
        </w:rPr>
        <w:t>Q</w:t>
      </w:r>
      <w:r w:rsidR="00DA6CD2" w:rsidRPr="000C7050">
        <w:rPr>
          <w:sz w:val="24"/>
          <w:szCs w:val="24"/>
        </w:rPr>
        <w:t>uintile 1; very advantaged applicants tend to live in areas with a high historical demand for university places.</w:t>
      </w:r>
    </w:p>
    <w:p w:rsidR="00715C3D" w:rsidRPr="000C7050" w:rsidRDefault="00715C3D" w:rsidP="003E581D">
      <w:pPr>
        <w:spacing w:line="360" w:lineRule="auto"/>
        <w:rPr>
          <w:sz w:val="24"/>
          <w:szCs w:val="24"/>
        </w:rPr>
      </w:pPr>
    </w:p>
    <w:p w:rsidR="00BB1420" w:rsidRPr="004153F6" w:rsidRDefault="00BB1420" w:rsidP="00BB1420">
      <w:pPr>
        <w:spacing w:line="360" w:lineRule="auto"/>
        <w:rPr>
          <w:i/>
          <w:sz w:val="24"/>
          <w:szCs w:val="24"/>
        </w:rPr>
      </w:pPr>
      <w:r w:rsidRPr="004153F6">
        <w:rPr>
          <w:i/>
          <w:sz w:val="24"/>
          <w:szCs w:val="24"/>
        </w:rPr>
        <w:t>Table 1: 2008 applicants by POLAR2 and NS-SEC groups (including unknowns)</w:t>
      </w:r>
    </w:p>
    <w:tbl>
      <w:tblPr>
        <w:tblStyle w:val="LightShading1"/>
        <w:tblW w:w="9889" w:type="dxa"/>
        <w:tblLayout w:type="fixed"/>
        <w:tblLook w:val="06A0"/>
      </w:tblPr>
      <w:tblGrid>
        <w:gridCol w:w="1951"/>
        <w:gridCol w:w="882"/>
        <w:gridCol w:w="882"/>
        <w:gridCol w:w="882"/>
        <w:gridCol w:w="882"/>
        <w:gridCol w:w="882"/>
        <w:gridCol w:w="882"/>
        <w:gridCol w:w="1087"/>
        <w:gridCol w:w="779"/>
        <w:gridCol w:w="780"/>
      </w:tblGrid>
      <w:tr w:rsidR="00BB1420" w:rsidRPr="004153F6" w:rsidTr="00207BC3">
        <w:trPr>
          <w:cnfStyle w:val="100000000000"/>
          <w:trHeight w:val="420"/>
        </w:trPr>
        <w:tc>
          <w:tcPr>
            <w:cnfStyle w:val="001000000000"/>
            <w:tcW w:w="1951" w:type="dxa"/>
            <w:vMerge w:val="restart"/>
            <w:tcBorders>
              <w:bottom w:val="single" w:sz="4" w:space="0" w:color="auto"/>
            </w:tcBorders>
            <w:vAlign w:val="center"/>
          </w:tcPr>
          <w:p w:rsidR="00BB1420" w:rsidRPr="004153F6" w:rsidRDefault="00BB1420" w:rsidP="00207BC3">
            <w:pPr>
              <w:spacing w:line="360" w:lineRule="auto"/>
              <w:rPr>
                <w:color w:val="auto"/>
                <w:sz w:val="24"/>
                <w:szCs w:val="24"/>
              </w:rPr>
            </w:pPr>
            <w:r w:rsidRPr="004153F6">
              <w:rPr>
                <w:color w:val="auto"/>
                <w:sz w:val="24"/>
                <w:szCs w:val="24"/>
              </w:rPr>
              <w:t>NS-SEC groups</w:t>
            </w:r>
          </w:p>
        </w:tc>
        <w:tc>
          <w:tcPr>
            <w:tcW w:w="6379" w:type="dxa"/>
            <w:gridSpan w:val="7"/>
            <w:tcBorders>
              <w:bottom w:val="nil"/>
            </w:tcBorders>
            <w:vAlign w:val="center"/>
          </w:tcPr>
          <w:p w:rsidR="00BB1420" w:rsidRPr="004153F6" w:rsidRDefault="00BB1420" w:rsidP="00207BC3">
            <w:pPr>
              <w:spacing w:line="360" w:lineRule="auto"/>
              <w:jc w:val="center"/>
              <w:cnfStyle w:val="100000000000"/>
              <w:rPr>
                <w:color w:val="auto"/>
                <w:sz w:val="24"/>
                <w:szCs w:val="24"/>
              </w:rPr>
            </w:pPr>
            <w:r w:rsidRPr="004153F6">
              <w:rPr>
                <w:color w:val="auto"/>
                <w:sz w:val="24"/>
                <w:szCs w:val="24"/>
              </w:rPr>
              <w:t>POLAR2 quintiles</w:t>
            </w:r>
          </w:p>
        </w:tc>
        <w:tc>
          <w:tcPr>
            <w:tcW w:w="1559" w:type="dxa"/>
            <w:gridSpan w:val="2"/>
            <w:tcBorders>
              <w:bottom w:val="nil"/>
            </w:tcBorders>
            <w:vAlign w:val="center"/>
          </w:tcPr>
          <w:p w:rsidR="00BB1420" w:rsidRPr="004153F6" w:rsidRDefault="00BB1420" w:rsidP="00207BC3">
            <w:pPr>
              <w:spacing w:line="360" w:lineRule="auto"/>
              <w:jc w:val="center"/>
              <w:cnfStyle w:val="100000000000"/>
              <w:rPr>
                <w:color w:val="auto"/>
                <w:sz w:val="24"/>
                <w:szCs w:val="24"/>
              </w:rPr>
            </w:pPr>
            <w:r w:rsidRPr="004153F6">
              <w:rPr>
                <w:color w:val="auto"/>
                <w:sz w:val="24"/>
                <w:szCs w:val="24"/>
              </w:rPr>
              <w:t>LPN?</w:t>
            </w:r>
          </w:p>
        </w:tc>
      </w:tr>
      <w:tr w:rsidR="00BB1420" w:rsidRPr="004153F6" w:rsidTr="00207BC3">
        <w:trPr>
          <w:trHeight w:val="420"/>
        </w:trPr>
        <w:tc>
          <w:tcPr>
            <w:cnfStyle w:val="001000000000"/>
            <w:tcW w:w="1951" w:type="dxa"/>
            <w:vMerge/>
            <w:tcBorders>
              <w:top w:val="single" w:sz="8" w:space="0" w:color="000000" w:themeColor="text1"/>
              <w:bottom w:val="single" w:sz="4" w:space="0" w:color="auto"/>
            </w:tcBorders>
            <w:vAlign w:val="center"/>
          </w:tcPr>
          <w:p w:rsidR="00BB1420" w:rsidRPr="004153F6" w:rsidRDefault="00BB1420" w:rsidP="00207BC3">
            <w:pPr>
              <w:spacing w:line="360" w:lineRule="auto"/>
              <w:rPr>
                <w:color w:val="auto"/>
                <w:sz w:val="24"/>
                <w:szCs w:val="24"/>
              </w:rPr>
            </w:pPr>
          </w:p>
        </w:tc>
        <w:tc>
          <w:tcPr>
            <w:tcW w:w="88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1</w:t>
            </w:r>
          </w:p>
        </w:tc>
        <w:tc>
          <w:tcPr>
            <w:tcW w:w="88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2</w:t>
            </w:r>
          </w:p>
        </w:tc>
        <w:tc>
          <w:tcPr>
            <w:tcW w:w="88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3</w:t>
            </w:r>
          </w:p>
        </w:tc>
        <w:tc>
          <w:tcPr>
            <w:tcW w:w="88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4</w:t>
            </w:r>
          </w:p>
        </w:tc>
        <w:tc>
          <w:tcPr>
            <w:tcW w:w="88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5</w:t>
            </w:r>
          </w:p>
        </w:tc>
        <w:tc>
          <w:tcPr>
            <w:tcW w:w="88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proofErr w:type="spellStart"/>
            <w:r w:rsidRPr="004153F6">
              <w:rPr>
                <w:b/>
                <w:color w:val="auto"/>
                <w:sz w:val="24"/>
                <w:szCs w:val="24"/>
              </w:rPr>
              <w:t>Unk</w:t>
            </w:r>
            <w:proofErr w:type="spellEnd"/>
          </w:p>
        </w:tc>
        <w:tc>
          <w:tcPr>
            <w:tcW w:w="1087"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Total</w:t>
            </w:r>
          </w:p>
        </w:tc>
        <w:tc>
          <w:tcPr>
            <w:tcW w:w="779"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Yes</w:t>
            </w:r>
          </w:p>
        </w:tc>
        <w:tc>
          <w:tcPr>
            <w:tcW w:w="780"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No</w:t>
            </w:r>
          </w:p>
        </w:tc>
      </w:tr>
      <w:tr w:rsidR="00BB1420" w:rsidRPr="004153F6" w:rsidTr="00207BC3">
        <w:trPr>
          <w:trHeight w:val="401"/>
        </w:trPr>
        <w:tc>
          <w:tcPr>
            <w:cnfStyle w:val="001000000000"/>
            <w:tcW w:w="1951" w:type="dxa"/>
            <w:tcBorders>
              <w:top w:val="single" w:sz="4" w:space="0" w:color="auto"/>
            </w:tcBorders>
            <w:vAlign w:val="center"/>
          </w:tcPr>
          <w:p w:rsidR="00BB1420" w:rsidRPr="004153F6" w:rsidRDefault="00BB1420" w:rsidP="00207BC3">
            <w:pPr>
              <w:spacing w:line="360" w:lineRule="auto"/>
              <w:rPr>
                <w:color w:val="auto"/>
                <w:sz w:val="24"/>
                <w:szCs w:val="24"/>
              </w:rPr>
            </w:pPr>
            <w:r w:rsidRPr="004153F6">
              <w:rPr>
                <w:color w:val="auto"/>
                <w:sz w:val="24"/>
                <w:szCs w:val="24"/>
              </w:rPr>
              <w:t>Group 1</w:t>
            </w:r>
          </w:p>
        </w:tc>
        <w:tc>
          <w:tcPr>
            <w:tcW w:w="88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2,428</w:t>
            </w:r>
          </w:p>
        </w:tc>
        <w:tc>
          <w:tcPr>
            <w:tcW w:w="88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5,118</w:t>
            </w:r>
          </w:p>
        </w:tc>
        <w:tc>
          <w:tcPr>
            <w:tcW w:w="88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7,904</w:t>
            </w:r>
          </w:p>
        </w:tc>
        <w:tc>
          <w:tcPr>
            <w:tcW w:w="88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13,453</w:t>
            </w:r>
          </w:p>
        </w:tc>
        <w:tc>
          <w:tcPr>
            <w:tcW w:w="88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21,731</w:t>
            </w:r>
          </w:p>
        </w:tc>
        <w:tc>
          <w:tcPr>
            <w:tcW w:w="88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1,037</w:t>
            </w:r>
          </w:p>
        </w:tc>
        <w:tc>
          <w:tcPr>
            <w:tcW w:w="1087"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51,671</w:t>
            </w:r>
          </w:p>
        </w:tc>
        <w:tc>
          <w:tcPr>
            <w:tcW w:w="779"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15%</w:t>
            </w:r>
          </w:p>
        </w:tc>
        <w:tc>
          <w:tcPr>
            <w:tcW w:w="780"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85%</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Group 2</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5,777</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9,522</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12,584</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16,936</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21,971</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1,482</w:t>
            </w:r>
          </w:p>
        </w:tc>
        <w:tc>
          <w:tcPr>
            <w:tcW w:w="108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68,272</w:t>
            </w:r>
          </w:p>
        </w:tc>
        <w:tc>
          <w:tcPr>
            <w:tcW w:w="779"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23%</w:t>
            </w:r>
          </w:p>
        </w:tc>
        <w:tc>
          <w:tcPr>
            <w:tcW w:w="780"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77%</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Group 3</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2,886</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4,783</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5,919</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7,362</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8,890</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618</w:t>
            </w:r>
          </w:p>
        </w:tc>
        <w:tc>
          <w:tcPr>
            <w:tcW w:w="108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30,458</w:t>
            </w:r>
          </w:p>
        </w:tc>
        <w:tc>
          <w:tcPr>
            <w:tcW w:w="779"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26%</w:t>
            </w:r>
          </w:p>
        </w:tc>
        <w:tc>
          <w:tcPr>
            <w:tcW w:w="780"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74%</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Group 4</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2,097</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2,993</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3,580</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3,923</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4,476</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394</w:t>
            </w:r>
          </w:p>
        </w:tc>
        <w:tc>
          <w:tcPr>
            <w:tcW w:w="108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17,463</w:t>
            </w:r>
          </w:p>
        </w:tc>
        <w:tc>
          <w:tcPr>
            <w:tcW w:w="779"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30%</w:t>
            </w:r>
          </w:p>
        </w:tc>
        <w:tc>
          <w:tcPr>
            <w:tcW w:w="780"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70%</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Group 5</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1,477</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2,098</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2,306</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2,486</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2,103</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173</w:t>
            </w:r>
          </w:p>
        </w:tc>
        <w:tc>
          <w:tcPr>
            <w:tcW w:w="108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10,643</w:t>
            </w:r>
          </w:p>
        </w:tc>
        <w:tc>
          <w:tcPr>
            <w:tcW w:w="779"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34%</w:t>
            </w:r>
          </w:p>
        </w:tc>
        <w:tc>
          <w:tcPr>
            <w:tcW w:w="780"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66%</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Group 6</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5,236</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6,373</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6,799</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6,558</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6,394</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494</w:t>
            </w:r>
          </w:p>
        </w:tc>
        <w:tc>
          <w:tcPr>
            <w:tcW w:w="108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31,854</w:t>
            </w:r>
          </w:p>
        </w:tc>
        <w:tc>
          <w:tcPr>
            <w:tcW w:w="779"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37%</w:t>
            </w:r>
          </w:p>
        </w:tc>
        <w:tc>
          <w:tcPr>
            <w:tcW w:w="780"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63%</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Group 7</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2,821</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2,878</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2,910</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2,378</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1,980</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229</w:t>
            </w:r>
          </w:p>
        </w:tc>
        <w:tc>
          <w:tcPr>
            <w:tcW w:w="108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13,196</w:t>
            </w:r>
          </w:p>
        </w:tc>
        <w:tc>
          <w:tcPr>
            <w:tcW w:w="779"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44%</w:t>
            </w:r>
          </w:p>
        </w:tc>
        <w:tc>
          <w:tcPr>
            <w:tcW w:w="780"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56%</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Unknown</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6,887</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9,576</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11,094</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11,772</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13,071</w:t>
            </w:r>
          </w:p>
        </w:tc>
        <w:tc>
          <w:tcPr>
            <w:tcW w:w="88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1,307</w:t>
            </w:r>
          </w:p>
        </w:tc>
        <w:tc>
          <w:tcPr>
            <w:tcW w:w="108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53,707</w:t>
            </w:r>
          </w:p>
        </w:tc>
        <w:tc>
          <w:tcPr>
            <w:tcW w:w="779"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31%</w:t>
            </w:r>
          </w:p>
        </w:tc>
        <w:tc>
          <w:tcPr>
            <w:tcW w:w="780"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69%</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Total</w:t>
            </w:r>
          </w:p>
        </w:tc>
        <w:tc>
          <w:tcPr>
            <w:tcW w:w="88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29,609</w:t>
            </w:r>
          </w:p>
        </w:tc>
        <w:tc>
          <w:tcPr>
            <w:tcW w:w="88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43,341</w:t>
            </w:r>
          </w:p>
        </w:tc>
        <w:tc>
          <w:tcPr>
            <w:tcW w:w="88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53,096</w:t>
            </w:r>
          </w:p>
        </w:tc>
        <w:tc>
          <w:tcPr>
            <w:tcW w:w="88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64,868</w:t>
            </w:r>
          </w:p>
        </w:tc>
        <w:tc>
          <w:tcPr>
            <w:tcW w:w="88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80,616</w:t>
            </w:r>
          </w:p>
        </w:tc>
        <w:tc>
          <w:tcPr>
            <w:tcW w:w="88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5,734</w:t>
            </w:r>
          </w:p>
        </w:tc>
        <w:tc>
          <w:tcPr>
            <w:tcW w:w="108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277,264</w:t>
            </w:r>
          </w:p>
        </w:tc>
        <w:tc>
          <w:tcPr>
            <w:tcW w:w="779"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27%</w:t>
            </w:r>
          </w:p>
        </w:tc>
        <w:tc>
          <w:tcPr>
            <w:tcW w:w="780"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73%</w:t>
            </w:r>
          </w:p>
        </w:tc>
      </w:tr>
      <w:tr w:rsidR="00BB1420" w:rsidRPr="004153F6" w:rsidTr="00207BC3">
        <w:trPr>
          <w:gridAfter w:val="2"/>
          <w:wAfter w:w="1559" w:type="dxa"/>
          <w:trHeight w:val="401"/>
        </w:trPr>
        <w:tc>
          <w:tcPr>
            <w:cnfStyle w:val="001000000000"/>
            <w:tcW w:w="1951" w:type="dxa"/>
            <w:tcBorders>
              <w:bottom w:val="nil"/>
            </w:tcBorders>
            <w:vAlign w:val="center"/>
          </w:tcPr>
          <w:p w:rsidR="00BB1420" w:rsidRPr="004153F6" w:rsidRDefault="00BB1420" w:rsidP="00207BC3">
            <w:pPr>
              <w:spacing w:line="360" w:lineRule="auto"/>
              <w:rPr>
                <w:color w:val="auto"/>
                <w:sz w:val="24"/>
                <w:szCs w:val="24"/>
              </w:rPr>
            </w:pPr>
            <w:r w:rsidRPr="004153F6">
              <w:rPr>
                <w:color w:val="auto"/>
                <w:sz w:val="24"/>
                <w:szCs w:val="24"/>
              </w:rPr>
              <w:t>‘Higher’ (1 to 3)</w:t>
            </w:r>
          </w:p>
        </w:tc>
        <w:tc>
          <w:tcPr>
            <w:tcW w:w="882" w:type="dxa"/>
            <w:tcBorders>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49%</w:t>
            </w:r>
          </w:p>
        </w:tc>
        <w:tc>
          <w:tcPr>
            <w:tcW w:w="882" w:type="dxa"/>
            <w:tcBorders>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58%</w:t>
            </w:r>
          </w:p>
        </w:tc>
        <w:tc>
          <w:tcPr>
            <w:tcW w:w="882" w:type="dxa"/>
            <w:tcBorders>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63%</w:t>
            </w:r>
          </w:p>
        </w:tc>
        <w:tc>
          <w:tcPr>
            <w:tcW w:w="882" w:type="dxa"/>
            <w:tcBorders>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71%</w:t>
            </w:r>
          </w:p>
        </w:tc>
        <w:tc>
          <w:tcPr>
            <w:tcW w:w="882" w:type="dxa"/>
            <w:tcBorders>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78%</w:t>
            </w:r>
          </w:p>
        </w:tc>
        <w:tc>
          <w:tcPr>
            <w:tcW w:w="882" w:type="dxa"/>
            <w:tcBorders>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71%</w:t>
            </w:r>
          </w:p>
        </w:tc>
        <w:tc>
          <w:tcPr>
            <w:tcW w:w="1087" w:type="dxa"/>
            <w:tcBorders>
              <w:bottom w:val="nil"/>
            </w:tcBorders>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67%</w:t>
            </w:r>
          </w:p>
        </w:tc>
      </w:tr>
      <w:tr w:rsidR="00BB1420" w:rsidRPr="004153F6" w:rsidTr="00207BC3">
        <w:trPr>
          <w:gridAfter w:val="2"/>
          <w:wAfter w:w="1559" w:type="dxa"/>
          <w:trHeight w:val="401"/>
        </w:trPr>
        <w:tc>
          <w:tcPr>
            <w:cnfStyle w:val="001000000000"/>
            <w:tcW w:w="1951" w:type="dxa"/>
            <w:tcBorders>
              <w:top w:val="nil"/>
              <w:bottom w:val="nil"/>
            </w:tcBorders>
            <w:vAlign w:val="center"/>
          </w:tcPr>
          <w:p w:rsidR="00BB1420" w:rsidRPr="004153F6" w:rsidRDefault="00BB1420" w:rsidP="00207BC3">
            <w:pPr>
              <w:spacing w:line="360" w:lineRule="auto"/>
              <w:rPr>
                <w:color w:val="auto"/>
                <w:sz w:val="24"/>
                <w:szCs w:val="24"/>
              </w:rPr>
            </w:pPr>
            <w:r w:rsidRPr="004153F6">
              <w:rPr>
                <w:color w:val="auto"/>
                <w:sz w:val="24"/>
                <w:szCs w:val="24"/>
              </w:rPr>
              <w:t>‘Lower’ (4 to 7)</w:t>
            </w:r>
          </w:p>
        </w:tc>
        <w:tc>
          <w:tcPr>
            <w:tcW w:w="882" w:type="dxa"/>
            <w:tcBorders>
              <w:top w:val="nil"/>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51%</w:t>
            </w:r>
          </w:p>
        </w:tc>
        <w:tc>
          <w:tcPr>
            <w:tcW w:w="882" w:type="dxa"/>
            <w:tcBorders>
              <w:top w:val="nil"/>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42%</w:t>
            </w:r>
          </w:p>
        </w:tc>
        <w:tc>
          <w:tcPr>
            <w:tcW w:w="882" w:type="dxa"/>
            <w:tcBorders>
              <w:top w:val="nil"/>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37%</w:t>
            </w:r>
          </w:p>
        </w:tc>
        <w:tc>
          <w:tcPr>
            <w:tcW w:w="882" w:type="dxa"/>
            <w:tcBorders>
              <w:top w:val="nil"/>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29%</w:t>
            </w:r>
          </w:p>
        </w:tc>
        <w:tc>
          <w:tcPr>
            <w:tcW w:w="882" w:type="dxa"/>
            <w:tcBorders>
              <w:top w:val="nil"/>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22%</w:t>
            </w:r>
          </w:p>
        </w:tc>
        <w:tc>
          <w:tcPr>
            <w:tcW w:w="882" w:type="dxa"/>
            <w:tcBorders>
              <w:top w:val="nil"/>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29%</w:t>
            </w:r>
          </w:p>
        </w:tc>
        <w:tc>
          <w:tcPr>
            <w:tcW w:w="1087" w:type="dxa"/>
            <w:tcBorders>
              <w:top w:val="nil"/>
              <w:bottom w:val="nil"/>
            </w:tcBorders>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33%</w:t>
            </w:r>
          </w:p>
        </w:tc>
      </w:tr>
    </w:tbl>
    <w:p w:rsidR="00BB1420" w:rsidRPr="004153F6" w:rsidRDefault="00BB1420" w:rsidP="00BB1420">
      <w:pPr>
        <w:spacing w:line="360" w:lineRule="auto"/>
        <w:rPr>
          <w:i/>
          <w:sz w:val="24"/>
          <w:szCs w:val="24"/>
        </w:rPr>
      </w:pPr>
      <w:r w:rsidRPr="004153F6">
        <w:rPr>
          <w:i/>
          <w:sz w:val="24"/>
          <w:szCs w:val="24"/>
        </w:rPr>
        <w:t>Source: Data provided by Universities and Colleges Admissions Service</w:t>
      </w:r>
    </w:p>
    <w:p w:rsidR="00DA6CD2" w:rsidRPr="000C7050" w:rsidRDefault="00DA6CD2" w:rsidP="003E581D">
      <w:pPr>
        <w:spacing w:line="360" w:lineRule="auto"/>
        <w:rPr>
          <w:sz w:val="24"/>
          <w:szCs w:val="24"/>
        </w:rPr>
      </w:pPr>
    </w:p>
    <w:p w:rsidR="00DE2035" w:rsidRPr="000C7050" w:rsidRDefault="00DA6CD2" w:rsidP="003E581D">
      <w:pPr>
        <w:spacing w:line="360" w:lineRule="auto"/>
        <w:rPr>
          <w:sz w:val="24"/>
          <w:szCs w:val="24"/>
        </w:rPr>
      </w:pPr>
      <w:r w:rsidRPr="000C7050">
        <w:rPr>
          <w:sz w:val="24"/>
          <w:szCs w:val="24"/>
        </w:rPr>
        <w:t xml:space="preserve">However, there are also some </w:t>
      </w:r>
      <w:r w:rsidR="00C63479">
        <w:rPr>
          <w:sz w:val="24"/>
          <w:szCs w:val="24"/>
        </w:rPr>
        <w:t>readily-apparent</w:t>
      </w:r>
      <w:r w:rsidRPr="000C7050">
        <w:rPr>
          <w:sz w:val="24"/>
          <w:szCs w:val="24"/>
        </w:rPr>
        <w:t xml:space="preserve"> problems with the conjecture.  </w:t>
      </w:r>
      <w:r w:rsidR="00592E84" w:rsidRPr="000C7050">
        <w:rPr>
          <w:sz w:val="24"/>
          <w:szCs w:val="24"/>
        </w:rPr>
        <w:t xml:space="preserve">Looking at NS-SEC Group 7, which includes the </w:t>
      </w:r>
      <w:r w:rsidR="00387658" w:rsidRPr="000C7050">
        <w:rPr>
          <w:sz w:val="24"/>
          <w:szCs w:val="24"/>
        </w:rPr>
        <w:t xml:space="preserve">generally </w:t>
      </w:r>
      <w:r w:rsidR="00592E84" w:rsidRPr="000C7050">
        <w:rPr>
          <w:sz w:val="24"/>
          <w:szCs w:val="24"/>
        </w:rPr>
        <w:t>poorest paid and lowest status occupations, we find that they are evenly spread across POLAR2 quintiles.  The largest group is in Quintile 3, but even Quintile 5 has relatively high numbers.  The largest numbers of NS-SEC Group 4 (</w:t>
      </w:r>
      <w:r w:rsidR="00467868" w:rsidRPr="000C7050">
        <w:rPr>
          <w:sz w:val="24"/>
          <w:szCs w:val="24"/>
        </w:rPr>
        <w:t xml:space="preserve">mainly </w:t>
      </w:r>
      <w:r w:rsidR="00592E84" w:rsidRPr="000C7050">
        <w:rPr>
          <w:sz w:val="24"/>
          <w:szCs w:val="24"/>
        </w:rPr>
        <w:t xml:space="preserve">comprising small trade businesses) are actually to be found in POLAR2 Quintile 5 wards, not in those designated as LPNs.  Similarly, wards in Quintile 1 contain applicants from a wide range of social </w:t>
      </w:r>
      <w:r w:rsidR="00592E84" w:rsidRPr="000C7050">
        <w:rPr>
          <w:sz w:val="24"/>
          <w:szCs w:val="24"/>
        </w:rPr>
        <w:lastRenderedPageBreak/>
        <w:t>backgrounds, the second largest being those from NS-SEC Group 2 (comprising junior professionals and managers).</w:t>
      </w:r>
    </w:p>
    <w:p w:rsidR="00592E84" w:rsidRPr="000C7050" w:rsidRDefault="00592E84" w:rsidP="003E581D">
      <w:pPr>
        <w:spacing w:line="360" w:lineRule="auto"/>
        <w:rPr>
          <w:sz w:val="24"/>
          <w:szCs w:val="24"/>
        </w:rPr>
      </w:pPr>
    </w:p>
    <w:p w:rsidR="00592E84" w:rsidRPr="000C7050" w:rsidRDefault="00592E84" w:rsidP="003E581D">
      <w:pPr>
        <w:spacing w:line="360" w:lineRule="auto"/>
        <w:rPr>
          <w:sz w:val="24"/>
          <w:szCs w:val="24"/>
        </w:rPr>
      </w:pPr>
      <w:r w:rsidRPr="000C7050">
        <w:rPr>
          <w:sz w:val="24"/>
          <w:szCs w:val="24"/>
        </w:rPr>
        <w:t xml:space="preserve">This is brought into sharper focus in Table 2, which collapses the NS-SEC data into </w:t>
      </w:r>
      <w:r w:rsidR="00715C3D" w:rsidRPr="000C7050">
        <w:rPr>
          <w:sz w:val="24"/>
          <w:szCs w:val="24"/>
        </w:rPr>
        <w:t xml:space="preserve">a </w:t>
      </w:r>
      <w:r w:rsidR="000862CF" w:rsidRPr="000C7050">
        <w:rPr>
          <w:sz w:val="24"/>
          <w:szCs w:val="24"/>
        </w:rPr>
        <w:t>‘</w:t>
      </w:r>
      <w:r w:rsidRPr="000C7050">
        <w:rPr>
          <w:sz w:val="24"/>
          <w:szCs w:val="24"/>
        </w:rPr>
        <w:t>higher</w:t>
      </w:r>
      <w:r w:rsidR="000862CF" w:rsidRPr="000C7050">
        <w:rPr>
          <w:sz w:val="24"/>
          <w:szCs w:val="24"/>
        </w:rPr>
        <w:t>’</w:t>
      </w:r>
      <w:r w:rsidR="00715C3D" w:rsidRPr="000C7050">
        <w:rPr>
          <w:sz w:val="24"/>
          <w:szCs w:val="24"/>
        </w:rPr>
        <w:t xml:space="preserve"> socio-economic group (NS-SEC Groups 1 to 3) and a </w:t>
      </w:r>
      <w:r w:rsidR="000862CF" w:rsidRPr="000C7050">
        <w:rPr>
          <w:sz w:val="24"/>
          <w:szCs w:val="24"/>
        </w:rPr>
        <w:t>‘</w:t>
      </w:r>
      <w:r w:rsidR="00715C3D" w:rsidRPr="000C7050">
        <w:rPr>
          <w:sz w:val="24"/>
          <w:szCs w:val="24"/>
        </w:rPr>
        <w:t>lower</w:t>
      </w:r>
      <w:r w:rsidR="000862CF" w:rsidRPr="000C7050">
        <w:rPr>
          <w:sz w:val="24"/>
          <w:szCs w:val="24"/>
        </w:rPr>
        <w:t>’</w:t>
      </w:r>
      <w:r w:rsidR="00715C3D" w:rsidRPr="000C7050">
        <w:rPr>
          <w:sz w:val="24"/>
          <w:szCs w:val="24"/>
        </w:rPr>
        <w:t xml:space="preserve"> socio-economic group (NS-SEC Groups 4 to 7), </w:t>
      </w:r>
      <w:r w:rsidRPr="000C7050">
        <w:rPr>
          <w:sz w:val="24"/>
          <w:szCs w:val="24"/>
        </w:rPr>
        <w:t xml:space="preserve">in keeping with HEFCE </w:t>
      </w:r>
      <w:r w:rsidR="00715C3D" w:rsidRPr="000C7050">
        <w:rPr>
          <w:sz w:val="24"/>
          <w:szCs w:val="24"/>
        </w:rPr>
        <w:t>(</w:t>
      </w:r>
      <w:r w:rsidRPr="000C7050">
        <w:rPr>
          <w:sz w:val="24"/>
          <w:szCs w:val="24"/>
        </w:rPr>
        <w:t>2007</w:t>
      </w:r>
      <w:r w:rsidR="00715C3D" w:rsidRPr="000C7050">
        <w:rPr>
          <w:sz w:val="24"/>
          <w:szCs w:val="24"/>
        </w:rPr>
        <w:t xml:space="preserve">b).  These are then cross-tabulated against </w:t>
      </w:r>
      <w:r w:rsidRPr="000C7050">
        <w:rPr>
          <w:sz w:val="24"/>
          <w:szCs w:val="24"/>
        </w:rPr>
        <w:t>LPNs</w:t>
      </w:r>
      <w:r w:rsidR="00715C3D" w:rsidRPr="000C7050">
        <w:rPr>
          <w:sz w:val="24"/>
          <w:szCs w:val="24"/>
        </w:rPr>
        <w:t xml:space="preserve"> (i.e. POLAR2 Quintiles 1 and 2)</w:t>
      </w:r>
      <w:r w:rsidRPr="000C7050">
        <w:rPr>
          <w:sz w:val="24"/>
          <w:szCs w:val="24"/>
        </w:rPr>
        <w:t>.  Two important findings present themselves:</w:t>
      </w:r>
    </w:p>
    <w:p w:rsidR="00592E84" w:rsidRPr="000C7050" w:rsidRDefault="00592E84" w:rsidP="003E581D">
      <w:pPr>
        <w:spacing w:line="360" w:lineRule="auto"/>
        <w:rPr>
          <w:sz w:val="24"/>
          <w:szCs w:val="24"/>
        </w:rPr>
      </w:pPr>
    </w:p>
    <w:p w:rsidR="00592E84" w:rsidRPr="000C7050" w:rsidRDefault="00592E84" w:rsidP="003E581D">
      <w:pPr>
        <w:pStyle w:val="ListParagraph"/>
        <w:numPr>
          <w:ilvl w:val="0"/>
          <w:numId w:val="1"/>
        </w:numPr>
        <w:spacing w:line="360" w:lineRule="auto"/>
        <w:rPr>
          <w:sz w:val="24"/>
          <w:szCs w:val="24"/>
        </w:rPr>
      </w:pPr>
      <w:r w:rsidRPr="000C7050">
        <w:rPr>
          <w:sz w:val="24"/>
          <w:szCs w:val="24"/>
        </w:rPr>
        <w:t>There are more applicants from higher socio-economic groups in LPNs than there are those from lower groups: 54</w:t>
      </w:r>
      <w:r w:rsidR="00B95BAE">
        <w:rPr>
          <w:sz w:val="24"/>
          <w:szCs w:val="24"/>
        </w:rPr>
        <w:t xml:space="preserve"> percent</w:t>
      </w:r>
      <w:r w:rsidRPr="000C7050">
        <w:rPr>
          <w:sz w:val="24"/>
          <w:szCs w:val="24"/>
        </w:rPr>
        <w:t xml:space="preserve"> compared to 46</w:t>
      </w:r>
      <w:r w:rsidR="00B95BAE">
        <w:rPr>
          <w:sz w:val="24"/>
          <w:szCs w:val="24"/>
        </w:rPr>
        <w:t xml:space="preserve"> percent</w:t>
      </w:r>
      <w:r w:rsidRPr="000C7050">
        <w:rPr>
          <w:sz w:val="24"/>
          <w:szCs w:val="24"/>
        </w:rPr>
        <w:t>.</w:t>
      </w:r>
      <w:r w:rsidR="00667E8C">
        <w:rPr>
          <w:sz w:val="24"/>
          <w:szCs w:val="24"/>
        </w:rPr>
        <w:t xml:space="preserve">  This is the result of differential application rates between the two groups.</w:t>
      </w:r>
    </w:p>
    <w:p w:rsidR="00746892" w:rsidRPr="000C7050" w:rsidRDefault="000862CF" w:rsidP="003E581D">
      <w:pPr>
        <w:pStyle w:val="ListParagraph"/>
        <w:numPr>
          <w:ilvl w:val="0"/>
          <w:numId w:val="1"/>
        </w:numPr>
        <w:spacing w:line="360" w:lineRule="auto"/>
        <w:rPr>
          <w:sz w:val="24"/>
          <w:szCs w:val="24"/>
        </w:rPr>
      </w:pPr>
      <w:r w:rsidRPr="000C7050">
        <w:rPr>
          <w:sz w:val="24"/>
          <w:szCs w:val="24"/>
        </w:rPr>
        <w:t>More a</w:t>
      </w:r>
      <w:r w:rsidR="00746892" w:rsidRPr="000C7050">
        <w:rPr>
          <w:sz w:val="24"/>
          <w:szCs w:val="24"/>
        </w:rPr>
        <w:t>pplicants from lower socio-economic groups are</w:t>
      </w:r>
      <w:r w:rsidRPr="000C7050">
        <w:rPr>
          <w:sz w:val="24"/>
          <w:szCs w:val="24"/>
        </w:rPr>
        <w:t xml:space="preserve"> found</w:t>
      </w:r>
      <w:r w:rsidR="00746892" w:rsidRPr="000C7050">
        <w:rPr>
          <w:sz w:val="24"/>
          <w:szCs w:val="24"/>
        </w:rPr>
        <w:t xml:space="preserve"> outside LPNs </w:t>
      </w:r>
      <w:r w:rsidR="00617C30" w:rsidRPr="000C7050">
        <w:rPr>
          <w:sz w:val="24"/>
          <w:szCs w:val="24"/>
        </w:rPr>
        <w:t xml:space="preserve">rather </w:t>
      </w:r>
      <w:r w:rsidR="00746892" w:rsidRPr="000C7050">
        <w:rPr>
          <w:sz w:val="24"/>
          <w:szCs w:val="24"/>
        </w:rPr>
        <w:t>than within them: 64</w:t>
      </w:r>
      <w:r w:rsidR="00B95BAE">
        <w:rPr>
          <w:sz w:val="24"/>
          <w:szCs w:val="24"/>
        </w:rPr>
        <w:t xml:space="preserve"> percent</w:t>
      </w:r>
      <w:r w:rsidR="00746892" w:rsidRPr="000C7050">
        <w:rPr>
          <w:sz w:val="24"/>
          <w:szCs w:val="24"/>
        </w:rPr>
        <w:t xml:space="preserve"> compared to 36</w:t>
      </w:r>
      <w:r w:rsidR="00B95BAE">
        <w:rPr>
          <w:sz w:val="24"/>
          <w:szCs w:val="24"/>
        </w:rPr>
        <w:t xml:space="preserve"> percent</w:t>
      </w:r>
      <w:r w:rsidR="00746892" w:rsidRPr="000C7050">
        <w:rPr>
          <w:sz w:val="24"/>
          <w:szCs w:val="24"/>
        </w:rPr>
        <w:t>.</w:t>
      </w:r>
      <w:r w:rsidR="00667E8C">
        <w:rPr>
          <w:sz w:val="24"/>
          <w:szCs w:val="24"/>
        </w:rPr>
        <w:t xml:space="preserve">  Given that </w:t>
      </w:r>
      <w:r w:rsidR="00B95BAE">
        <w:rPr>
          <w:sz w:val="24"/>
          <w:szCs w:val="24"/>
        </w:rPr>
        <w:t>LPNs contain around 40 percent of the relevant population, this is not much more than would be expected by chance.</w:t>
      </w:r>
    </w:p>
    <w:p w:rsidR="00592E84" w:rsidRPr="000C7050" w:rsidRDefault="00592E84" w:rsidP="003E581D">
      <w:pPr>
        <w:spacing w:line="360" w:lineRule="auto"/>
        <w:rPr>
          <w:sz w:val="24"/>
          <w:szCs w:val="24"/>
        </w:rPr>
      </w:pPr>
    </w:p>
    <w:p w:rsidR="005B6BEF" w:rsidRPr="000C7050" w:rsidRDefault="00AD1F96" w:rsidP="003E581D">
      <w:pPr>
        <w:spacing w:line="360" w:lineRule="auto"/>
        <w:rPr>
          <w:sz w:val="24"/>
          <w:szCs w:val="24"/>
        </w:rPr>
      </w:pPr>
      <w:r w:rsidRPr="000C7050">
        <w:rPr>
          <w:sz w:val="24"/>
          <w:szCs w:val="24"/>
        </w:rPr>
        <w:t xml:space="preserve">In other words, </w:t>
      </w:r>
      <w:r w:rsidR="00BE72DA" w:rsidRPr="000C7050">
        <w:rPr>
          <w:sz w:val="24"/>
          <w:szCs w:val="24"/>
        </w:rPr>
        <w:t>a small</w:t>
      </w:r>
      <w:r w:rsidRPr="000C7050">
        <w:rPr>
          <w:sz w:val="24"/>
          <w:szCs w:val="24"/>
        </w:rPr>
        <w:t xml:space="preserve"> </w:t>
      </w:r>
      <w:r w:rsidR="00BE72DA" w:rsidRPr="000C7050">
        <w:rPr>
          <w:sz w:val="24"/>
          <w:szCs w:val="24"/>
        </w:rPr>
        <w:t>majority</w:t>
      </w:r>
      <w:r w:rsidRPr="000C7050">
        <w:rPr>
          <w:sz w:val="24"/>
          <w:szCs w:val="24"/>
        </w:rPr>
        <w:t xml:space="preserve"> </w:t>
      </w:r>
      <w:r w:rsidR="00BE72DA" w:rsidRPr="000C7050">
        <w:rPr>
          <w:sz w:val="24"/>
          <w:szCs w:val="24"/>
        </w:rPr>
        <w:t xml:space="preserve">of </w:t>
      </w:r>
      <w:r w:rsidRPr="000C7050">
        <w:rPr>
          <w:sz w:val="24"/>
          <w:szCs w:val="24"/>
        </w:rPr>
        <w:t>applicant</w:t>
      </w:r>
      <w:r w:rsidR="00BE72DA" w:rsidRPr="000C7050">
        <w:rPr>
          <w:sz w:val="24"/>
          <w:szCs w:val="24"/>
        </w:rPr>
        <w:t xml:space="preserve">s from </w:t>
      </w:r>
      <w:r w:rsidRPr="000C7050">
        <w:rPr>
          <w:sz w:val="24"/>
          <w:szCs w:val="24"/>
        </w:rPr>
        <w:t>LPN</w:t>
      </w:r>
      <w:r w:rsidR="00BE72DA" w:rsidRPr="000C7050">
        <w:rPr>
          <w:sz w:val="24"/>
          <w:szCs w:val="24"/>
        </w:rPr>
        <w:t>s</w:t>
      </w:r>
      <w:r w:rsidRPr="000C7050">
        <w:rPr>
          <w:sz w:val="24"/>
          <w:szCs w:val="24"/>
        </w:rPr>
        <w:t xml:space="preserve"> </w:t>
      </w:r>
      <w:r w:rsidR="00BE72DA" w:rsidRPr="000C7050">
        <w:rPr>
          <w:sz w:val="24"/>
          <w:szCs w:val="24"/>
        </w:rPr>
        <w:t>are</w:t>
      </w:r>
      <w:r w:rsidRPr="000C7050">
        <w:rPr>
          <w:sz w:val="24"/>
          <w:szCs w:val="24"/>
        </w:rPr>
        <w:t xml:space="preserve"> advantaged, while disadvantaged applicants are most likely to found outside LPNs.  </w:t>
      </w:r>
    </w:p>
    <w:p w:rsidR="00DE2035" w:rsidRPr="000C7050" w:rsidRDefault="00DE2035" w:rsidP="003E581D">
      <w:pPr>
        <w:spacing w:line="360" w:lineRule="auto"/>
        <w:rPr>
          <w:sz w:val="24"/>
          <w:szCs w:val="24"/>
        </w:rPr>
      </w:pPr>
    </w:p>
    <w:p w:rsidR="00BB1420" w:rsidRPr="004153F6" w:rsidRDefault="00BB1420" w:rsidP="00BB1420">
      <w:pPr>
        <w:spacing w:line="360" w:lineRule="auto"/>
        <w:rPr>
          <w:i/>
          <w:sz w:val="24"/>
          <w:szCs w:val="24"/>
        </w:rPr>
      </w:pPr>
      <w:r w:rsidRPr="004153F6">
        <w:rPr>
          <w:i/>
          <w:sz w:val="24"/>
          <w:szCs w:val="24"/>
        </w:rPr>
        <w:t>Table 2: 2008 applicants by LPN and social class (only those with known NS-SEC and POLAR2)</w:t>
      </w:r>
    </w:p>
    <w:tbl>
      <w:tblPr>
        <w:tblStyle w:val="LightShading1"/>
        <w:tblW w:w="0" w:type="auto"/>
        <w:tblLook w:val="06A0"/>
      </w:tblPr>
      <w:tblGrid>
        <w:gridCol w:w="1951"/>
        <w:gridCol w:w="1271"/>
        <w:gridCol w:w="1272"/>
        <w:gridCol w:w="1272"/>
        <w:gridCol w:w="1272"/>
        <w:gridCol w:w="867"/>
      </w:tblGrid>
      <w:tr w:rsidR="00BB1420" w:rsidRPr="004153F6" w:rsidTr="00207BC3">
        <w:trPr>
          <w:cnfStyle w:val="100000000000"/>
          <w:trHeight w:val="401"/>
        </w:trPr>
        <w:tc>
          <w:tcPr>
            <w:cnfStyle w:val="001000000000"/>
            <w:tcW w:w="1951" w:type="dxa"/>
            <w:vMerge w:val="restart"/>
            <w:vAlign w:val="center"/>
          </w:tcPr>
          <w:p w:rsidR="00BB1420" w:rsidRPr="004153F6" w:rsidRDefault="00BB1420" w:rsidP="00207BC3">
            <w:pPr>
              <w:spacing w:line="360" w:lineRule="auto"/>
              <w:rPr>
                <w:color w:val="auto"/>
                <w:sz w:val="24"/>
                <w:szCs w:val="24"/>
              </w:rPr>
            </w:pPr>
            <w:r w:rsidRPr="004153F6">
              <w:rPr>
                <w:color w:val="auto"/>
                <w:sz w:val="24"/>
                <w:szCs w:val="24"/>
              </w:rPr>
              <w:t>NS-SEC groups</w:t>
            </w:r>
          </w:p>
        </w:tc>
        <w:tc>
          <w:tcPr>
            <w:tcW w:w="3815" w:type="dxa"/>
            <w:gridSpan w:val="3"/>
            <w:tcBorders>
              <w:top w:val="single" w:sz="4" w:space="0" w:color="auto"/>
              <w:bottom w:val="nil"/>
            </w:tcBorders>
            <w:vAlign w:val="center"/>
          </w:tcPr>
          <w:p w:rsidR="00BB1420" w:rsidRPr="004153F6" w:rsidRDefault="00BB1420" w:rsidP="00207BC3">
            <w:pPr>
              <w:spacing w:line="360" w:lineRule="auto"/>
              <w:jc w:val="center"/>
              <w:cnfStyle w:val="100000000000"/>
              <w:rPr>
                <w:color w:val="auto"/>
                <w:sz w:val="24"/>
                <w:szCs w:val="24"/>
              </w:rPr>
            </w:pPr>
            <w:r w:rsidRPr="004153F6">
              <w:rPr>
                <w:color w:val="auto"/>
                <w:sz w:val="24"/>
                <w:szCs w:val="24"/>
              </w:rPr>
              <w:t>LPN?</w:t>
            </w:r>
          </w:p>
        </w:tc>
        <w:tc>
          <w:tcPr>
            <w:tcW w:w="2139" w:type="dxa"/>
            <w:gridSpan w:val="2"/>
            <w:tcBorders>
              <w:top w:val="single" w:sz="4" w:space="0" w:color="auto"/>
              <w:bottom w:val="nil"/>
            </w:tcBorders>
            <w:vAlign w:val="center"/>
          </w:tcPr>
          <w:p w:rsidR="00BB1420" w:rsidRPr="004153F6" w:rsidRDefault="00BB1420" w:rsidP="00207BC3">
            <w:pPr>
              <w:spacing w:line="360" w:lineRule="auto"/>
              <w:jc w:val="center"/>
              <w:cnfStyle w:val="100000000000"/>
              <w:rPr>
                <w:color w:val="auto"/>
                <w:sz w:val="24"/>
                <w:szCs w:val="24"/>
              </w:rPr>
            </w:pPr>
            <w:r w:rsidRPr="004153F6">
              <w:rPr>
                <w:color w:val="auto"/>
                <w:sz w:val="24"/>
                <w:szCs w:val="24"/>
              </w:rPr>
              <w:t>LPN?</w:t>
            </w:r>
          </w:p>
        </w:tc>
      </w:tr>
      <w:tr w:rsidR="00BB1420" w:rsidRPr="004153F6" w:rsidTr="00207BC3">
        <w:trPr>
          <w:trHeight w:val="401"/>
        </w:trPr>
        <w:tc>
          <w:tcPr>
            <w:cnfStyle w:val="001000000000"/>
            <w:tcW w:w="1951" w:type="dxa"/>
            <w:vMerge/>
            <w:tcBorders>
              <w:bottom w:val="single" w:sz="4" w:space="0" w:color="auto"/>
            </w:tcBorders>
            <w:vAlign w:val="center"/>
          </w:tcPr>
          <w:p w:rsidR="00BB1420" w:rsidRPr="004153F6" w:rsidRDefault="00BB1420" w:rsidP="00207BC3">
            <w:pPr>
              <w:spacing w:line="360" w:lineRule="auto"/>
              <w:rPr>
                <w:color w:val="auto"/>
                <w:sz w:val="24"/>
                <w:szCs w:val="24"/>
              </w:rPr>
            </w:pPr>
          </w:p>
        </w:tc>
        <w:tc>
          <w:tcPr>
            <w:tcW w:w="1271"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Yes</w:t>
            </w:r>
          </w:p>
        </w:tc>
        <w:tc>
          <w:tcPr>
            <w:tcW w:w="127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No</w:t>
            </w:r>
          </w:p>
        </w:tc>
        <w:tc>
          <w:tcPr>
            <w:tcW w:w="127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Total</w:t>
            </w:r>
          </w:p>
        </w:tc>
        <w:tc>
          <w:tcPr>
            <w:tcW w:w="1272"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Yes</w:t>
            </w:r>
          </w:p>
        </w:tc>
        <w:tc>
          <w:tcPr>
            <w:tcW w:w="867" w:type="dxa"/>
            <w:tcBorders>
              <w:top w:val="nil"/>
              <w:bottom w:val="single" w:sz="4" w:space="0" w:color="auto"/>
            </w:tcBorders>
            <w:vAlign w:val="center"/>
          </w:tcPr>
          <w:p w:rsidR="00BB1420" w:rsidRPr="004153F6" w:rsidRDefault="00BB1420" w:rsidP="00207BC3">
            <w:pPr>
              <w:spacing w:line="360" w:lineRule="auto"/>
              <w:jc w:val="center"/>
              <w:cnfStyle w:val="000000000000"/>
              <w:rPr>
                <w:b/>
                <w:color w:val="auto"/>
                <w:sz w:val="24"/>
                <w:szCs w:val="24"/>
              </w:rPr>
            </w:pPr>
            <w:r w:rsidRPr="004153F6">
              <w:rPr>
                <w:b/>
                <w:color w:val="auto"/>
                <w:sz w:val="24"/>
                <w:szCs w:val="24"/>
              </w:rPr>
              <w:t>No</w:t>
            </w:r>
          </w:p>
        </w:tc>
      </w:tr>
      <w:tr w:rsidR="00BB1420" w:rsidRPr="004153F6" w:rsidTr="00207BC3">
        <w:trPr>
          <w:trHeight w:val="401"/>
        </w:trPr>
        <w:tc>
          <w:tcPr>
            <w:cnfStyle w:val="001000000000"/>
            <w:tcW w:w="1951" w:type="dxa"/>
            <w:tcBorders>
              <w:top w:val="single" w:sz="4" w:space="0" w:color="auto"/>
            </w:tcBorders>
            <w:vAlign w:val="center"/>
          </w:tcPr>
          <w:p w:rsidR="00BB1420" w:rsidRPr="004153F6" w:rsidRDefault="00BB1420" w:rsidP="00207BC3">
            <w:pPr>
              <w:spacing w:line="360" w:lineRule="auto"/>
              <w:rPr>
                <w:color w:val="auto"/>
                <w:sz w:val="24"/>
                <w:szCs w:val="24"/>
              </w:rPr>
            </w:pPr>
            <w:r w:rsidRPr="004153F6">
              <w:rPr>
                <w:color w:val="auto"/>
                <w:sz w:val="24"/>
                <w:szCs w:val="24"/>
              </w:rPr>
              <w:t>‘Higher’ (1 to 3)</w:t>
            </w:r>
          </w:p>
        </w:tc>
        <w:tc>
          <w:tcPr>
            <w:tcW w:w="1271"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30,514</w:t>
            </w:r>
          </w:p>
        </w:tc>
        <w:tc>
          <w:tcPr>
            <w:tcW w:w="127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116,750</w:t>
            </w:r>
          </w:p>
        </w:tc>
        <w:tc>
          <w:tcPr>
            <w:tcW w:w="127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147,264</w:t>
            </w:r>
          </w:p>
        </w:tc>
        <w:tc>
          <w:tcPr>
            <w:tcW w:w="1272"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21%</w:t>
            </w:r>
          </w:p>
        </w:tc>
        <w:tc>
          <w:tcPr>
            <w:tcW w:w="867" w:type="dxa"/>
            <w:tcBorders>
              <w:top w:val="single" w:sz="4" w:space="0" w:color="auto"/>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79%</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‘Lower’ (4 to 7)</w:t>
            </w:r>
          </w:p>
        </w:tc>
        <w:tc>
          <w:tcPr>
            <w:tcW w:w="1271"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25,973</w:t>
            </w:r>
          </w:p>
        </w:tc>
        <w:tc>
          <w:tcPr>
            <w:tcW w:w="127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45,893</w:t>
            </w:r>
          </w:p>
        </w:tc>
        <w:tc>
          <w:tcPr>
            <w:tcW w:w="127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71,866</w:t>
            </w:r>
          </w:p>
        </w:tc>
        <w:tc>
          <w:tcPr>
            <w:tcW w:w="1272"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36%</w:t>
            </w:r>
          </w:p>
        </w:tc>
        <w:tc>
          <w:tcPr>
            <w:tcW w:w="867" w:type="dxa"/>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64%</w:t>
            </w:r>
          </w:p>
        </w:tc>
      </w:tr>
      <w:tr w:rsidR="00BB1420" w:rsidRPr="004153F6" w:rsidTr="00207BC3">
        <w:trPr>
          <w:trHeight w:val="401"/>
        </w:trPr>
        <w:tc>
          <w:tcPr>
            <w:cnfStyle w:val="001000000000"/>
            <w:tcW w:w="1951" w:type="dxa"/>
            <w:vAlign w:val="center"/>
          </w:tcPr>
          <w:p w:rsidR="00BB1420" w:rsidRPr="004153F6" w:rsidRDefault="00BB1420" w:rsidP="00207BC3">
            <w:pPr>
              <w:spacing w:line="360" w:lineRule="auto"/>
              <w:rPr>
                <w:color w:val="auto"/>
                <w:sz w:val="24"/>
                <w:szCs w:val="24"/>
              </w:rPr>
            </w:pPr>
            <w:r w:rsidRPr="004153F6">
              <w:rPr>
                <w:color w:val="auto"/>
                <w:sz w:val="24"/>
                <w:szCs w:val="24"/>
              </w:rPr>
              <w:t>Total</w:t>
            </w:r>
          </w:p>
        </w:tc>
        <w:tc>
          <w:tcPr>
            <w:tcW w:w="1271"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56,487</w:t>
            </w:r>
          </w:p>
        </w:tc>
        <w:tc>
          <w:tcPr>
            <w:tcW w:w="127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16,2643</w:t>
            </w:r>
          </w:p>
        </w:tc>
        <w:tc>
          <w:tcPr>
            <w:tcW w:w="127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219,130</w:t>
            </w:r>
          </w:p>
        </w:tc>
        <w:tc>
          <w:tcPr>
            <w:tcW w:w="1272"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26%</w:t>
            </w:r>
          </w:p>
        </w:tc>
        <w:tc>
          <w:tcPr>
            <w:tcW w:w="867" w:type="dxa"/>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74%</w:t>
            </w:r>
          </w:p>
        </w:tc>
      </w:tr>
      <w:tr w:rsidR="00BB1420" w:rsidRPr="004153F6" w:rsidTr="00207BC3">
        <w:trPr>
          <w:gridAfter w:val="2"/>
          <w:wAfter w:w="2139" w:type="dxa"/>
          <w:trHeight w:val="401"/>
        </w:trPr>
        <w:tc>
          <w:tcPr>
            <w:cnfStyle w:val="001000000000"/>
            <w:tcW w:w="1951" w:type="dxa"/>
            <w:tcBorders>
              <w:bottom w:val="nil"/>
            </w:tcBorders>
            <w:vAlign w:val="center"/>
          </w:tcPr>
          <w:p w:rsidR="00BB1420" w:rsidRPr="004153F6" w:rsidRDefault="00BB1420" w:rsidP="00207BC3">
            <w:pPr>
              <w:spacing w:line="360" w:lineRule="auto"/>
              <w:rPr>
                <w:color w:val="auto"/>
                <w:sz w:val="24"/>
                <w:szCs w:val="24"/>
              </w:rPr>
            </w:pPr>
            <w:r w:rsidRPr="004153F6">
              <w:rPr>
                <w:color w:val="auto"/>
                <w:sz w:val="24"/>
                <w:szCs w:val="24"/>
              </w:rPr>
              <w:t>‘Higher’ (1 to 3)</w:t>
            </w:r>
          </w:p>
        </w:tc>
        <w:tc>
          <w:tcPr>
            <w:tcW w:w="1271" w:type="dxa"/>
            <w:tcBorders>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54%</w:t>
            </w:r>
          </w:p>
        </w:tc>
        <w:tc>
          <w:tcPr>
            <w:tcW w:w="1272" w:type="dxa"/>
            <w:tcBorders>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72%</w:t>
            </w:r>
          </w:p>
        </w:tc>
        <w:tc>
          <w:tcPr>
            <w:tcW w:w="1272" w:type="dxa"/>
            <w:tcBorders>
              <w:bottom w:val="nil"/>
            </w:tcBorders>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67%</w:t>
            </w:r>
          </w:p>
        </w:tc>
      </w:tr>
      <w:tr w:rsidR="00BB1420" w:rsidRPr="004153F6" w:rsidTr="00207BC3">
        <w:trPr>
          <w:gridAfter w:val="2"/>
          <w:wAfter w:w="2139" w:type="dxa"/>
          <w:trHeight w:val="401"/>
        </w:trPr>
        <w:tc>
          <w:tcPr>
            <w:cnfStyle w:val="001000000000"/>
            <w:tcW w:w="1951" w:type="dxa"/>
            <w:tcBorders>
              <w:top w:val="nil"/>
              <w:bottom w:val="nil"/>
            </w:tcBorders>
            <w:vAlign w:val="center"/>
          </w:tcPr>
          <w:p w:rsidR="00BB1420" w:rsidRPr="004153F6" w:rsidRDefault="00BB1420" w:rsidP="00207BC3">
            <w:pPr>
              <w:spacing w:line="360" w:lineRule="auto"/>
              <w:rPr>
                <w:color w:val="auto"/>
                <w:sz w:val="24"/>
                <w:szCs w:val="24"/>
              </w:rPr>
            </w:pPr>
            <w:r w:rsidRPr="004153F6">
              <w:rPr>
                <w:color w:val="auto"/>
                <w:sz w:val="24"/>
                <w:szCs w:val="24"/>
              </w:rPr>
              <w:t>‘Lower’ (4 to 7)</w:t>
            </w:r>
          </w:p>
        </w:tc>
        <w:tc>
          <w:tcPr>
            <w:tcW w:w="1271" w:type="dxa"/>
            <w:tcBorders>
              <w:top w:val="nil"/>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46%</w:t>
            </w:r>
          </w:p>
        </w:tc>
        <w:tc>
          <w:tcPr>
            <w:tcW w:w="1272" w:type="dxa"/>
            <w:tcBorders>
              <w:top w:val="nil"/>
              <w:bottom w:val="nil"/>
            </w:tcBorders>
            <w:vAlign w:val="center"/>
          </w:tcPr>
          <w:p w:rsidR="00BB1420" w:rsidRPr="004153F6" w:rsidRDefault="00BB1420" w:rsidP="00207BC3">
            <w:pPr>
              <w:spacing w:line="360" w:lineRule="auto"/>
              <w:jc w:val="center"/>
              <w:cnfStyle w:val="000000000000"/>
              <w:rPr>
                <w:rFonts w:ascii="Calibri" w:hAnsi="Calibri"/>
                <w:color w:val="auto"/>
              </w:rPr>
            </w:pPr>
            <w:r w:rsidRPr="004153F6">
              <w:rPr>
                <w:rFonts w:ascii="Calibri" w:hAnsi="Calibri"/>
                <w:color w:val="auto"/>
              </w:rPr>
              <w:t>28%</w:t>
            </w:r>
          </w:p>
        </w:tc>
        <w:tc>
          <w:tcPr>
            <w:tcW w:w="1272" w:type="dxa"/>
            <w:tcBorders>
              <w:top w:val="nil"/>
              <w:bottom w:val="nil"/>
            </w:tcBorders>
            <w:vAlign w:val="center"/>
          </w:tcPr>
          <w:p w:rsidR="00BB1420" w:rsidRPr="004153F6" w:rsidRDefault="00BB1420" w:rsidP="00207BC3">
            <w:pPr>
              <w:spacing w:line="360" w:lineRule="auto"/>
              <w:jc w:val="center"/>
              <w:cnfStyle w:val="000000000000"/>
              <w:rPr>
                <w:rFonts w:ascii="Calibri" w:hAnsi="Calibri"/>
                <w:b/>
                <w:color w:val="auto"/>
              </w:rPr>
            </w:pPr>
            <w:r w:rsidRPr="004153F6">
              <w:rPr>
                <w:rFonts w:ascii="Calibri" w:hAnsi="Calibri"/>
                <w:b/>
                <w:color w:val="auto"/>
              </w:rPr>
              <w:t>33%</w:t>
            </w:r>
          </w:p>
        </w:tc>
      </w:tr>
    </w:tbl>
    <w:p w:rsidR="00BB1420" w:rsidRPr="004153F6" w:rsidRDefault="00BB1420" w:rsidP="00BB1420">
      <w:pPr>
        <w:spacing w:line="360" w:lineRule="auto"/>
        <w:rPr>
          <w:i/>
          <w:sz w:val="24"/>
          <w:szCs w:val="24"/>
        </w:rPr>
      </w:pPr>
      <w:r w:rsidRPr="004153F6">
        <w:rPr>
          <w:i/>
          <w:sz w:val="24"/>
          <w:szCs w:val="24"/>
        </w:rPr>
        <w:t>Source: Data provided by Universities and Colleges Admissions Service</w:t>
      </w:r>
    </w:p>
    <w:p w:rsidR="00715C3D" w:rsidRPr="000C7050" w:rsidRDefault="00715C3D" w:rsidP="003E581D">
      <w:pPr>
        <w:spacing w:line="360" w:lineRule="auto"/>
        <w:rPr>
          <w:sz w:val="24"/>
          <w:szCs w:val="24"/>
        </w:rPr>
      </w:pPr>
    </w:p>
    <w:p w:rsidR="00AA6619" w:rsidRPr="000C7050" w:rsidRDefault="00617C30" w:rsidP="003E581D">
      <w:pPr>
        <w:spacing w:line="360" w:lineRule="auto"/>
        <w:rPr>
          <w:sz w:val="24"/>
          <w:szCs w:val="24"/>
        </w:rPr>
      </w:pPr>
      <w:r w:rsidRPr="000C7050">
        <w:rPr>
          <w:sz w:val="24"/>
          <w:szCs w:val="24"/>
        </w:rPr>
        <w:t xml:space="preserve">However, it is possible to argue that this observation is simply a measure of current patterns in participation, rather than a representation of the future potential demand.  There may be many more disadvantaged young people living within LPNs that currently are not applying to higher education – a currently untapped demand that universities </w:t>
      </w:r>
      <w:r w:rsidR="00667E8C">
        <w:rPr>
          <w:sz w:val="24"/>
          <w:szCs w:val="24"/>
        </w:rPr>
        <w:t>could</w:t>
      </w:r>
      <w:r w:rsidRPr="000C7050">
        <w:rPr>
          <w:sz w:val="24"/>
          <w:szCs w:val="24"/>
        </w:rPr>
        <w:t xml:space="preserve"> access.  </w:t>
      </w:r>
      <w:r w:rsidR="00074D2C" w:rsidRPr="000C7050">
        <w:rPr>
          <w:sz w:val="24"/>
          <w:szCs w:val="24"/>
        </w:rPr>
        <w:t xml:space="preserve">We therefore </w:t>
      </w:r>
      <w:r w:rsidR="00AA6619" w:rsidRPr="000C7050">
        <w:rPr>
          <w:sz w:val="24"/>
          <w:szCs w:val="24"/>
        </w:rPr>
        <w:t xml:space="preserve">extend </w:t>
      </w:r>
      <w:r w:rsidR="00AA6619" w:rsidRPr="000C7050">
        <w:rPr>
          <w:sz w:val="24"/>
          <w:szCs w:val="24"/>
        </w:rPr>
        <w:lastRenderedPageBreak/>
        <w:t xml:space="preserve">this analysis beyond applicants to the population at large by combining ward-level 2001 Census data with the POLAR3 dataset.  In constructing Table 3, the Household Reference Person was isolated for those aged 35 to </w:t>
      </w:r>
      <w:r w:rsidR="00AD11C6" w:rsidRPr="000C7050">
        <w:rPr>
          <w:sz w:val="24"/>
          <w:szCs w:val="24"/>
        </w:rPr>
        <w:t>6</w:t>
      </w:r>
      <w:r w:rsidR="00003E63" w:rsidRPr="000C7050">
        <w:rPr>
          <w:sz w:val="24"/>
          <w:szCs w:val="24"/>
        </w:rPr>
        <w:t>4</w:t>
      </w:r>
      <w:r w:rsidR="00AA6619" w:rsidRPr="000C7050">
        <w:rPr>
          <w:sz w:val="24"/>
          <w:szCs w:val="24"/>
        </w:rPr>
        <w:t xml:space="preserve">, representing those households most likely to play host to 18 or 19 year olds.  The data on the NS-SEC category for each of these was captured and cross-tabulated against the POLAR3 statistic for the ward.  </w:t>
      </w:r>
    </w:p>
    <w:p w:rsidR="00AA6619" w:rsidRPr="000C7050" w:rsidRDefault="00AA6619" w:rsidP="003E581D">
      <w:pPr>
        <w:spacing w:line="360" w:lineRule="auto"/>
        <w:rPr>
          <w:sz w:val="24"/>
          <w:szCs w:val="24"/>
        </w:rPr>
      </w:pPr>
    </w:p>
    <w:p w:rsidR="00BB1420" w:rsidRPr="004153F6" w:rsidRDefault="00BB1420" w:rsidP="00BB1420">
      <w:pPr>
        <w:spacing w:line="360" w:lineRule="auto"/>
        <w:rPr>
          <w:sz w:val="24"/>
          <w:szCs w:val="24"/>
        </w:rPr>
      </w:pPr>
      <w:r w:rsidRPr="004153F6">
        <w:rPr>
          <w:i/>
          <w:sz w:val="24"/>
          <w:szCs w:val="24"/>
        </w:rPr>
        <w:t>Table 3: Proportion of households in each POLAR3 quintile by NS-SEC group, for households with a reference person aged 35 to 65</w:t>
      </w:r>
    </w:p>
    <w:tbl>
      <w:tblPr>
        <w:tblStyle w:val="TableGrid"/>
        <w:tblW w:w="0" w:type="auto"/>
        <w:tblLook w:val="04A0"/>
      </w:tblPr>
      <w:tblGrid>
        <w:gridCol w:w="2802"/>
        <w:gridCol w:w="1254"/>
        <w:gridCol w:w="1254"/>
        <w:gridCol w:w="1255"/>
        <w:gridCol w:w="1254"/>
        <w:gridCol w:w="1255"/>
      </w:tblGrid>
      <w:tr w:rsidR="00BB1420" w:rsidRPr="004153F6" w:rsidTr="00207BC3">
        <w:trPr>
          <w:trHeight w:val="391"/>
        </w:trPr>
        <w:tc>
          <w:tcPr>
            <w:tcW w:w="2802" w:type="dxa"/>
            <w:tcBorders>
              <w:left w:val="nil"/>
              <w:bottom w:val="nil"/>
              <w:right w:val="nil"/>
            </w:tcBorders>
            <w:vAlign w:val="center"/>
          </w:tcPr>
          <w:p w:rsidR="00BB1420" w:rsidRPr="004153F6" w:rsidRDefault="00BB1420" w:rsidP="00207BC3">
            <w:pPr>
              <w:spacing w:line="360" w:lineRule="auto"/>
              <w:rPr>
                <w:sz w:val="24"/>
                <w:szCs w:val="24"/>
              </w:rPr>
            </w:pPr>
          </w:p>
        </w:tc>
        <w:tc>
          <w:tcPr>
            <w:tcW w:w="6272" w:type="dxa"/>
            <w:gridSpan w:val="5"/>
            <w:tcBorders>
              <w:left w:val="nil"/>
              <w:bottom w:val="nil"/>
              <w:right w:val="nil"/>
            </w:tcBorders>
            <w:vAlign w:val="center"/>
          </w:tcPr>
          <w:p w:rsidR="00BB1420" w:rsidRPr="004153F6" w:rsidRDefault="00BB1420" w:rsidP="00207BC3">
            <w:pPr>
              <w:spacing w:line="360" w:lineRule="auto"/>
              <w:jc w:val="center"/>
              <w:rPr>
                <w:b/>
                <w:sz w:val="24"/>
                <w:szCs w:val="24"/>
              </w:rPr>
            </w:pPr>
            <w:r w:rsidRPr="004153F6">
              <w:rPr>
                <w:b/>
                <w:sz w:val="24"/>
                <w:szCs w:val="24"/>
              </w:rPr>
              <w:t>POLAR3 quintiles</w:t>
            </w:r>
          </w:p>
        </w:tc>
      </w:tr>
      <w:tr w:rsidR="00BB1420" w:rsidRPr="004153F6" w:rsidTr="00207BC3">
        <w:trPr>
          <w:trHeight w:val="391"/>
        </w:trPr>
        <w:tc>
          <w:tcPr>
            <w:tcW w:w="2802" w:type="dxa"/>
            <w:tcBorders>
              <w:top w:val="nil"/>
              <w:left w:val="nil"/>
              <w:right w:val="nil"/>
            </w:tcBorders>
            <w:vAlign w:val="center"/>
          </w:tcPr>
          <w:p w:rsidR="00BB1420" w:rsidRPr="004153F6" w:rsidRDefault="00BB1420" w:rsidP="00207BC3">
            <w:pPr>
              <w:spacing w:line="360" w:lineRule="auto"/>
              <w:rPr>
                <w:b/>
                <w:sz w:val="24"/>
                <w:szCs w:val="24"/>
              </w:rPr>
            </w:pPr>
            <w:r w:rsidRPr="004153F6">
              <w:rPr>
                <w:b/>
                <w:sz w:val="24"/>
                <w:szCs w:val="24"/>
              </w:rPr>
              <w:t>NS-SEC groups</w:t>
            </w:r>
          </w:p>
        </w:tc>
        <w:tc>
          <w:tcPr>
            <w:tcW w:w="1254" w:type="dxa"/>
            <w:tcBorders>
              <w:top w:val="nil"/>
              <w:left w:val="nil"/>
              <w:right w:val="nil"/>
            </w:tcBorders>
            <w:vAlign w:val="center"/>
          </w:tcPr>
          <w:p w:rsidR="00BB1420" w:rsidRPr="004153F6" w:rsidRDefault="00BB1420" w:rsidP="00207BC3">
            <w:pPr>
              <w:jc w:val="center"/>
              <w:rPr>
                <w:b/>
                <w:sz w:val="24"/>
                <w:szCs w:val="24"/>
              </w:rPr>
            </w:pPr>
            <w:r w:rsidRPr="004153F6">
              <w:rPr>
                <w:b/>
                <w:sz w:val="24"/>
                <w:szCs w:val="24"/>
              </w:rPr>
              <w:t>1</w:t>
            </w:r>
          </w:p>
        </w:tc>
        <w:tc>
          <w:tcPr>
            <w:tcW w:w="1254" w:type="dxa"/>
            <w:tcBorders>
              <w:top w:val="nil"/>
              <w:left w:val="nil"/>
              <w:right w:val="nil"/>
            </w:tcBorders>
            <w:vAlign w:val="center"/>
          </w:tcPr>
          <w:p w:rsidR="00BB1420" w:rsidRPr="004153F6" w:rsidRDefault="00BB1420" w:rsidP="00207BC3">
            <w:pPr>
              <w:jc w:val="center"/>
              <w:rPr>
                <w:b/>
                <w:sz w:val="24"/>
                <w:szCs w:val="24"/>
              </w:rPr>
            </w:pPr>
            <w:r w:rsidRPr="004153F6">
              <w:rPr>
                <w:b/>
                <w:sz w:val="24"/>
                <w:szCs w:val="24"/>
              </w:rPr>
              <w:t>2</w:t>
            </w:r>
          </w:p>
        </w:tc>
        <w:tc>
          <w:tcPr>
            <w:tcW w:w="1255" w:type="dxa"/>
            <w:tcBorders>
              <w:top w:val="nil"/>
              <w:left w:val="nil"/>
              <w:right w:val="nil"/>
            </w:tcBorders>
            <w:vAlign w:val="center"/>
          </w:tcPr>
          <w:p w:rsidR="00BB1420" w:rsidRPr="004153F6" w:rsidRDefault="00BB1420" w:rsidP="00207BC3">
            <w:pPr>
              <w:jc w:val="center"/>
              <w:rPr>
                <w:b/>
                <w:sz w:val="24"/>
                <w:szCs w:val="24"/>
              </w:rPr>
            </w:pPr>
            <w:r w:rsidRPr="004153F6">
              <w:rPr>
                <w:b/>
                <w:sz w:val="24"/>
                <w:szCs w:val="24"/>
              </w:rPr>
              <w:t>3</w:t>
            </w:r>
          </w:p>
        </w:tc>
        <w:tc>
          <w:tcPr>
            <w:tcW w:w="1254" w:type="dxa"/>
            <w:tcBorders>
              <w:top w:val="nil"/>
              <w:left w:val="nil"/>
              <w:right w:val="nil"/>
            </w:tcBorders>
            <w:vAlign w:val="center"/>
          </w:tcPr>
          <w:p w:rsidR="00BB1420" w:rsidRPr="004153F6" w:rsidRDefault="00BB1420" w:rsidP="00207BC3">
            <w:pPr>
              <w:jc w:val="center"/>
              <w:rPr>
                <w:b/>
                <w:sz w:val="24"/>
                <w:szCs w:val="24"/>
              </w:rPr>
            </w:pPr>
            <w:r w:rsidRPr="004153F6">
              <w:rPr>
                <w:b/>
                <w:sz w:val="24"/>
                <w:szCs w:val="24"/>
              </w:rPr>
              <w:t>4</w:t>
            </w:r>
          </w:p>
        </w:tc>
        <w:tc>
          <w:tcPr>
            <w:tcW w:w="1255" w:type="dxa"/>
            <w:tcBorders>
              <w:top w:val="nil"/>
              <w:left w:val="nil"/>
              <w:right w:val="nil"/>
            </w:tcBorders>
            <w:vAlign w:val="center"/>
          </w:tcPr>
          <w:p w:rsidR="00BB1420" w:rsidRPr="004153F6" w:rsidRDefault="00BB1420" w:rsidP="00207BC3">
            <w:pPr>
              <w:jc w:val="center"/>
              <w:rPr>
                <w:b/>
                <w:sz w:val="24"/>
                <w:szCs w:val="24"/>
              </w:rPr>
            </w:pPr>
            <w:r w:rsidRPr="004153F6">
              <w:rPr>
                <w:b/>
                <w:sz w:val="24"/>
                <w:szCs w:val="24"/>
              </w:rPr>
              <w:t>5</w:t>
            </w:r>
          </w:p>
        </w:tc>
      </w:tr>
      <w:tr w:rsidR="00BB1420" w:rsidRPr="004153F6" w:rsidTr="00207BC3">
        <w:trPr>
          <w:trHeight w:val="391"/>
        </w:trPr>
        <w:tc>
          <w:tcPr>
            <w:tcW w:w="2802" w:type="dxa"/>
            <w:tcBorders>
              <w:left w:val="nil"/>
              <w:bottom w:val="nil"/>
              <w:right w:val="nil"/>
            </w:tcBorders>
            <w:vAlign w:val="center"/>
          </w:tcPr>
          <w:p w:rsidR="00BB1420" w:rsidRPr="004153F6" w:rsidRDefault="00BB1420" w:rsidP="00207BC3">
            <w:pPr>
              <w:spacing w:line="360" w:lineRule="auto"/>
              <w:rPr>
                <w:b/>
                <w:sz w:val="24"/>
                <w:szCs w:val="24"/>
              </w:rPr>
            </w:pPr>
            <w:r w:rsidRPr="004153F6">
              <w:rPr>
                <w:b/>
                <w:sz w:val="24"/>
                <w:szCs w:val="24"/>
              </w:rPr>
              <w:t>Group 1 to 3 (‘Higher’)</w:t>
            </w:r>
          </w:p>
        </w:tc>
        <w:tc>
          <w:tcPr>
            <w:tcW w:w="1254"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29%</w:t>
            </w:r>
          </w:p>
        </w:tc>
        <w:tc>
          <w:tcPr>
            <w:tcW w:w="1254"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37%</w:t>
            </w:r>
          </w:p>
        </w:tc>
        <w:tc>
          <w:tcPr>
            <w:tcW w:w="1255"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45%</w:t>
            </w:r>
          </w:p>
        </w:tc>
        <w:tc>
          <w:tcPr>
            <w:tcW w:w="1254"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51%</w:t>
            </w:r>
          </w:p>
        </w:tc>
        <w:tc>
          <w:tcPr>
            <w:tcW w:w="1255"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61%</w:t>
            </w:r>
          </w:p>
        </w:tc>
      </w:tr>
      <w:tr w:rsidR="00BB1420" w:rsidRPr="004153F6" w:rsidTr="00207BC3">
        <w:trPr>
          <w:trHeight w:val="391"/>
        </w:trPr>
        <w:tc>
          <w:tcPr>
            <w:tcW w:w="2802" w:type="dxa"/>
            <w:tcBorders>
              <w:top w:val="nil"/>
              <w:left w:val="nil"/>
              <w:bottom w:val="nil"/>
              <w:right w:val="nil"/>
            </w:tcBorders>
            <w:vAlign w:val="center"/>
          </w:tcPr>
          <w:p w:rsidR="00BB1420" w:rsidRPr="004153F6" w:rsidRDefault="00BB1420" w:rsidP="00207BC3">
            <w:pPr>
              <w:spacing w:line="360" w:lineRule="auto"/>
              <w:rPr>
                <w:b/>
                <w:sz w:val="24"/>
                <w:szCs w:val="24"/>
              </w:rPr>
            </w:pPr>
            <w:r w:rsidRPr="004153F6">
              <w:rPr>
                <w:b/>
                <w:sz w:val="24"/>
                <w:szCs w:val="24"/>
              </w:rPr>
              <w:t>Group 4 to 7 (‘Lower’)</w:t>
            </w:r>
          </w:p>
        </w:tc>
        <w:tc>
          <w:tcPr>
            <w:tcW w:w="1254"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51%</w:t>
            </w:r>
          </w:p>
        </w:tc>
        <w:tc>
          <w:tcPr>
            <w:tcW w:w="1254"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47%</w:t>
            </w:r>
          </w:p>
        </w:tc>
        <w:tc>
          <w:tcPr>
            <w:tcW w:w="1255"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42%</w:t>
            </w:r>
          </w:p>
        </w:tc>
        <w:tc>
          <w:tcPr>
            <w:tcW w:w="1254"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38%</w:t>
            </w:r>
          </w:p>
        </w:tc>
        <w:tc>
          <w:tcPr>
            <w:tcW w:w="1255"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30%</w:t>
            </w:r>
          </w:p>
        </w:tc>
      </w:tr>
      <w:tr w:rsidR="00BB1420" w:rsidRPr="004153F6" w:rsidTr="00207BC3">
        <w:trPr>
          <w:trHeight w:val="391"/>
        </w:trPr>
        <w:tc>
          <w:tcPr>
            <w:tcW w:w="2802" w:type="dxa"/>
            <w:tcBorders>
              <w:top w:val="nil"/>
              <w:left w:val="nil"/>
              <w:right w:val="nil"/>
            </w:tcBorders>
            <w:vAlign w:val="center"/>
          </w:tcPr>
          <w:p w:rsidR="00BB1420" w:rsidRPr="004153F6" w:rsidRDefault="00BB1420" w:rsidP="00207BC3">
            <w:pPr>
              <w:spacing w:line="360" w:lineRule="auto"/>
              <w:rPr>
                <w:b/>
                <w:sz w:val="24"/>
                <w:szCs w:val="24"/>
              </w:rPr>
            </w:pPr>
            <w:r w:rsidRPr="004153F6">
              <w:rPr>
                <w:b/>
                <w:sz w:val="24"/>
                <w:szCs w:val="24"/>
              </w:rPr>
              <w:t>Group 8 and Unclassified</w:t>
            </w:r>
          </w:p>
        </w:tc>
        <w:tc>
          <w:tcPr>
            <w:tcW w:w="1254"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20%</w:t>
            </w:r>
          </w:p>
        </w:tc>
        <w:tc>
          <w:tcPr>
            <w:tcW w:w="1254"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15%</w:t>
            </w:r>
          </w:p>
        </w:tc>
        <w:tc>
          <w:tcPr>
            <w:tcW w:w="1255"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14%</w:t>
            </w:r>
          </w:p>
        </w:tc>
        <w:tc>
          <w:tcPr>
            <w:tcW w:w="1254"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11%</w:t>
            </w:r>
          </w:p>
        </w:tc>
        <w:tc>
          <w:tcPr>
            <w:tcW w:w="1255"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9%</w:t>
            </w:r>
          </w:p>
        </w:tc>
      </w:tr>
    </w:tbl>
    <w:p w:rsidR="00BB1420" w:rsidRPr="004153F6" w:rsidRDefault="00BB1420" w:rsidP="00BB1420">
      <w:pPr>
        <w:spacing w:line="360" w:lineRule="auto"/>
        <w:rPr>
          <w:i/>
          <w:sz w:val="24"/>
          <w:szCs w:val="24"/>
        </w:rPr>
      </w:pPr>
      <w:r w:rsidRPr="004153F6">
        <w:rPr>
          <w:i/>
          <w:sz w:val="24"/>
          <w:szCs w:val="24"/>
        </w:rPr>
        <w:t>Source: 2001 Census and POLAR3 dataset</w:t>
      </w:r>
    </w:p>
    <w:p w:rsidR="00AA6619" w:rsidRPr="000C7050" w:rsidRDefault="00AA6619" w:rsidP="003E581D">
      <w:pPr>
        <w:spacing w:line="360" w:lineRule="auto"/>
        <w:rPr>
          <w:sz w:val="24"/>
          <w:szCs w:val="24"/>
        </w:rPr>
      </w:pPr>
    </w:p>
    <w:p w:rsidR="00AA6619" w:rsidRPr="000C7050" w:rsidRDefault="00AA6619" w:rsidP="003E581D">
      <w:pPr>
        <w:spacing w:line="360" w:lineRule="auto"/>
        <w:rPr>
          <w:sz w:val="24"/>
          <w:szCs w:val="24"/>
        </w:rPr>
      </w:pPr>
      <w:r w:rsidRPr="000C7050">
        <w:rPr>
          <w:sz w:val="24"/>
          <w:szCs w:val="24"/>
        </w:rPr>
        <w:t>Table 3 demonstrates that, once again, there is a good correlation between POLAR3 quintiles and socio-economic status of the families living in them, with more families from lower groups in POLAR quintiles 1 (</w:t>
      </w:r>
      <w:r w:rsidR="00AD11C6" w:rsidRPr="000C7050">
        <w:rPr>
          <w:sz w:val="24"/>
          <w:szCs w:val="24"/>
        </w:rPr>
        <w:t xml:space="preserve">51 </w:t>
      </w:r>
      <w:r w:rsidRPr="000C7050">
        <w:rPr>
          <w:sz w:val="24"/>
          <w:szCs w:val="24"/>
        </w:rPr>
        <w:t>percent) and 2 (</w:t>
      </w:r>
      <w:r w:rsidR="00AD11C6" w:rsidRPr="000C7050">
        <w:rPr>
          <w:sz w:val="24"/>
          <w:szCs w:val="24"/>
        </w:rPr>
        <w:t xml:space="preserve">47 </w:t>
      </w:r>
      <w:r w:rsidRPr="000C7050">
        <w:rPr>
          <w:sz w:val="24"/>
          <w:szCs w:val="24"/>
        </w:rPr>
        <w:t>percent).  However, it also demonstrates that this relationship is not convincingly diagnostic</w:t>
      </w:r>
      <w:r w:rsidR="00BE72DA" w:rsidRPr="000C7050">
        <w:rPr>
          <w:sz w:val="24"/>
          <w:szCs w:val="24"/>
        </w:rPr>
        <w:t xml:space="preserve"> for locating disadvantaged young people</w:t>
      </w:r>
      <w:r w:rsidRPr="000C7050">
        <w:rPr>
          <w:sz w:val="24"/>
          <w:szCs w:val="24"/>
        </w:rPr>
        <w:t xml:space="preserve">.  For example, 30 percent of households in POLAR </w:t>
      </w:r>
      <w:r w:rsidR="00B95BAE">
        <w:rPr>
          <w:sz w:val="24"/>
          <w:szCs w:val="24"/>
        </w:rPr>
        <w:t>Q</w:t>
      </w:r>
      <w:r w:rsidRPr="000C7050">
        <w:rPr>
          <w:sz w:val="24"/>
          <w:szCs w:val="24"/>
        </w:rPr>
        <w:t xml:space="preserve">uintile 5 were actually from NS-SEC groups 4 to 7, with a further </w:t>
      </w:r>
      <w:r w:rsidR="00AD11C6" w:rsidRPr="000C7050">
        <w:rPr>
          <w:sz w:val="24"/>
          <w:szCs w:val="24"/>
        </w:rPr>
        <w:t xml:space="preserve">9 </w:t>
      </w:r>
      <w:r w:rsidRPr="000C7050">
        <w:rPr>
          <w:sz w:val="24"/>
          <w:szCs w:val="24"/>
        </w:rPr>
        <w:t xml:space="preserve">percent from group 8 (long-term unemployed) and an unclassified group (mainly those outside the labour market – e.g. by disability).  Similarly </w:t>
      </w:r>
      <w:r w:rsidR="00AD11C6" w:rsidRPr="000C7050">
        <w:rPr>
          <w:sz w:val="24"/>
          <w:szCs w:val="24"/>
        </w:rPr>
        <w:t xml:space="preserve">29 </w:t>
      </w:r>
      <w:r w:rsidRPr="000C7050">
        <w:rPr>
          <w:sz w:val="24"/>
          <w:szCs w:val="24"/>
        </w:rPr>
        <w:t xml:space="preserve">percent of households in POLAR </w:t>
      </w:r>
      <w:r w:rsidR="00B95BAE">
        <w:rPr>
          <w:sz w:val="24"/>
          <w:szCs w:val="24"/>
        </w:rPr>
        <w:t>Q</w:t>
      </w:r>
      <w:r w:rsidRPr="000C7050">
        <w:rPr>
          <w:sz w:val="24"/>
          <w:szCs w:val="24"/>
        </w:rPr>
        <w:t xml:space="preserve">uintile 1 were from the higher NS-SEC grouping.  In other words, there is roughly a one-in-three chance of a household in an LPN being </w:t>
      </w:r>
      <w:r w:rsidR="00AD11C6" w:rsidRPr="000C7050">
        <w:rPr>
          <w:sz w:val="24"/>
          <w:szCs w:val="24"/>
        </w:rPr>
        <w:t xml:space="preserve">from a higher socio-economic group, while </w:t>
      </w:r>
      <w:r w:rsidR="00A21636" w:rsidRPr="000C7050">
        <w:rPr>
          <w:sz w:val="24"/>
          <w:szCs w:val="24"/>
        </w:rPr>
        <w:t xml:space="preserve">approaching </w:t>
      </w:r>
      <w:r w:rsidR="00AD11C6" w:rsidRPr="000C7050">
        <w:rPr>
          <w:sz w:val="24"/>
          <w:szCs w:val="24"/>
        </w:rPr>
        <w:t xml:space="preserve">one third of households </w:t>
      </w:r>
      <w:r w:rsidR="00F4034C" w:rsidRPr="000C7050">
        <w:rPr>
          <w:sz w:val="24"/>
          <w:szCs w:val="24"/>
        </w:rPr>
        <w:t xml:space="preserve">outside LPNs </w:t>
      </w:r>
      <w:r w:rsidR="00AD11C6" w:rsidRPr="000C7050">
        <w:rPr>
          <w:sz w:val="24"/>
          <w:szCs w:val="24"/>
        </w:rPr>
        <w:t>were from a lower socio-economic group</w:t>
      </w:r>
    </w:p>
    <w:p w:rsidR="00AA6619" w:rsidRPr="000C7050" w:rsidRDefault="00AA6619" w:rsidP="003E581D">
      <w:pPr>
        <w:spacing w:line="360" w:lineRule="auto"/>
        <w:rPr>
          <w:sz w:val="24"/>
          <w:szCs w:val="24"/>
        </w:rPr>
      </w:pPr>
    </w:p>
    <w:p w:rsidR="00AA6619" w:rsidRPr="000C7050" w:rsidRDefault="00AA6619" w:rsidP="00003E63">
      <w:pPr>
        <w:spacing w:line="360" w:lineRule="auto"/>
        <w:rPr>
          <w:sz w:val="24"/>
          <w:szCs w:val="24"/>
        </w:rPr>
      </w:pPr>
      <w:r w:rsidRPr="000C7050">
        <w:rPr>
          <w:sz w:val="24"/>
          <w:szCs w:val="24"/>
        </w:rPr>
        <w:t>Taking this a step further, the number of 17 year olds in each ward was extracted from the 2001 Census data</w:t>
      </w:r>
      <w:r w:rsidR="00003E63" w:rsidRPr="000C7050">
        <w:rPr>
          <w:sz w:val="24"/>
          <w:szCs w:val="24"/>
        </w:rPr>
        <w:t>.</w:t>
      </w:r>
      <w:r w:rsidRPr="000C7050">
        <w:rPr>
          <w:sz w:val="24"/>
          <w:szCs w:val="24"/>
        </w:rPr>
        <w:t xml:space="preserve"> </w:t>
      </w:r>
      <w:r w:rsidR="00003E63" w:rsidRPr="000C7050">
        <w:rPr>
          <w:sz w:val="24"/>
          <w:szCs w:val="24"/>
        </w:rPr>
        <w:t xml:space="preserve"> As there is no data available on the implied NS-SEC grouping of children, this was estimated by dividing the number of 17 year olds by the proportion of families with children (of any age) within the </w:t>
      </w:r>
      <w:r w:rsidRPr="000C7050">
        <w:rPr>
          <w:sz w:val="24"/>
          <w:szCs w:val="24"/>
        </w:rPr>
        <w:t xml:space="preserve">three NS-SEC groupings </w:t>
      </w:r>
      <w:r w:rsidR="00B95BAE" w:rsidRPr="000C7050">
        <w:rPr>
          <w:sz w:val="24"/>
          <w:szCs w:val="24"/>
        </w:rPr>
        <w:t xml:space="preserve">used </w:t>
      </w:r>
      <w:r w:rsidRPr="000C7050">
        <w:rPr>
          <w:sz w:val="24"/>
          <w:szCs w:val="24"/>
        </w:rPr>
        <w:t xml:space="preserve">in Table 3.  This provides a </w:t>
      </w:r>
      <w:r w:rsidR="00B95BAE">
        <w:rPr>
          <w:sz w:val="24"/>
          <w:szCs w:val="24"/>
        </w:rPr>
        <w:t>reasonable</w:t>
      </w:r>
      <w:r w:rsidRPr="000C7050">
        <w:rPr>
          <w:sz w:val="24"/>
          <w:szCs w:val="24"/>
        </w:rPr>
        <w:t xml:space="preserve"> estimate of the social origins of the total pool of potential higher education entrants (in the broadest sense) on a ward basis</w:t>
      </w:r>
      <w:r w:rsidR="00003E63" w:rsidRPr="000C7050">
        <w:rPr>
          <w:sz w:val="24"/>
          <w:szCs w:val="24"/>
        </w:rPr>
        <w:t xml:space="preserve"> given differential fertility rates between different social groups</w:t>
      </w:r>
      <w:r w:rsidRPr="000C7050">
        <w:rPr>
          <w:sz w:val="24"/>
          <w:szCs w:val="24"/>
        </w:rPr>
        <w:t xml:space="preserve">.  Cross-tabulating </w:t>
      </w:r>
      <w:r w:rsidRPr="000C7050">
        <w:rPr>
          <w:sz w:val="24"/>
          <w:szCs w:val="24"/>
        </w:rPr>
        <w:lastRenderedPageBreak/>
        <w:t>these against the POLAR3 dataset provides an estimate of the number of 17 year olds living inside and outside LPNs, subdivided by NS-SEC grouping.  This is presented in Table 4.</w:t>
      </w:r>
    </w:p>
    <w:p w:rsidR="00AA6619" w:rsidRPr="000C7050" w:rsidRDefault="00AA6619" w:rsidP="003E581D">
      <w:pPr>
        <w:spacing w:line="360" w:lineRule="auto"/>
        <w:rPr>
          <w:sz w:val="24"/>
          <w:szCs w:val="24"/>
        </w:rPr>
      </w:pPr>
    </w:p>
    <w:p w:rsidR="00BB1420" w:rsidRPr="004153F6" w:rsidRDefault="00BB1420" w:rsidP="00BB1420">
      <w:pPr>
        <w:spacing w:line="360" w:lineRule="auto"/>
        <w:rPr>
          <w:sz w:val="24"/>
          <w:szCs w:val="24"/>
        </w:rPr>
      </w:pPr>
      <w:r w:rsidRPr="004153F6">
        <w:rPr>
          <w:i/>
          <w:sz w:val="24"/>
          <w:szCs w:val="24"/>
        </w:rPr>
        <w:t>Table 4: Estimated number of 17 year olds in each POLAR3 quintile by NS-SEC group</w:t>
      </w:r>
    </w:p>
    <w:tbl>
      <w:tblPr>
        <w:tblStyle w:val="TableGrid"/>
        <w:tblW w:w="0" w:type="auto"/>
        <w:tblLook w:val="04A0"/>
      </w:tblPr>
      <w:tblGrid>
        <w:gridCol w:w="2802"/>
        <w:gridCol w:w="1254"/>
        <w:gridCol w:w="1254"/>
        <w:gridCol w:w="1255"/>
        <w:gridCol w:w="1254"/>
        <w:gridCol w:w="1255"/>
      </w:tblGrid>
      <w:tr w:rsidR="00BB1420" w:rsidRPr="004153F6" w:rsidTr="00207BC3">
        <w:trPr>
          <w:trHeight w:val="391"/>
        </w:trPr>
        <w:tc>
          <w:tcPr>
            <w:tcW w:w="2802" w:type="dxa"/>
            <w:tcBorders>
              <w:left w:val="nil"/>
              <w:bottom w:val="nil"/>
              <w:right w:val="nil"/>
            </w:tcBorders>
            <w:vAlign w:val="center"/>
          </w:tcPr>
          <w:p w:rsidR="00BB1420" w:rsidRPr="004153F6" w:rsidRDefault="00BB1420" w:rsidP="00207BC3">
            <w:pPr>
              <w:spacing w:line="360" w:lineRule="auto"/>
              <w:rPr>
                <w:sz w:val="24"/>
                <w:szCs w:val="24"/>
              </w:rPr>
            </w:pPr>
          </w:p>
        </w:tc>
        <w:tc>
          <w:tcPr>
            <w:tcW w:w="6272" w:type="dxa"/>
            <w:gridSpan w:val="5"/>
            <w:tcBorders>
              <w:left w:val="nil"/>
              <w:bottom w:val="nil"/>
              <w:right w:val="nil"/>
            </w:tcBorders>
            <w:vAlign w:val="center"/>
          </w:tcPr>
          <w:p w:rsidR="00BB1420" w:rsidRPr="004153F6" w:rsidRDefault="00BB1420" w:rsidP="00207BC3">
            <w:pPr>
              <w:spacing w:line="360" w:lineRule="auto"/>
              <w:jc w:val="center"/>
              <w:rPr>
                <w:b/>
                <w:sz w:val="24"/>
                <w:szCs w:val="24"/>
              </w:rPr>
            </w:pPr>
            <w:r w:rsidRPr="004153F6">
              <w:rPr>
                <w:b/>
                <w:sz w:val="24"/>
                <w:szCs w:val="24"/>
              </w:rPr>
              <w:t>POLAR3 quintiles</w:t>
            </w:r>
          </w:p>
        </w:tc>
      </w:tr>
      <w:tr w:rsidR="00BB1420" w:rsidRPr="004153F6" w:rsidTr="00207BC3">
        <w:trPr>
          <w:trHeight w:val="391"/>
        </w:trPr>
        <w:tc>
          <w:tcPr>
            <w:tcW w:w="2802" w:type="dxa"/>
            <w:tcBorders>
              <w:top w:val="nil"/>
              <w:left w:val="nil"/>
              <w:right w:val="nil"/>
            </w:tcBorders>
            <w:vAlign w:val="center"/>
          </w:tcPr>
          <w:p w:rsidR="00BB1420" w:rsidRPr="004153F6" w:rsidRDefault="00BB1420" w:rsidP="00207BC3">
            <w:pPr>
              <w:spacing w:line="360" w:lineRule="auto"/>
              <w:rPr>
                <w:b/>
                <w:sz w:val="24"/>
                <w:szCs w:val="24"/>
              </w:rPr>
            </w:pPr>
            <w:r w:rsidRPr="004153F6">
              <w:rPr>
                <w:b/>
                <w:sz w:val="24"/>
                <w:szCs w:val="24"/>
              </w:rPr>
              <w:t>NS-SEC groups</w:t>
            </w:r>
          </w:p>
        </w:tc>
        <w:tc>
          <w:tcPr>
            <w:tcW w:w="1254" w:type="dxa"/>
            <w:tcBorders>
              <w:top w:val="nil"/>
              <w:left w:val="nil"/>
              <w:right w:val="nil"/>
            </w:tcBorders>
          </w:tcPr>
          <w:p w:rsidR="00BB1420" w:rsidRPr="004153F6" w:rsidRDefault="00BB1420" w:rsidP="00207BC3">
            <w:pPr>
              <w:spacing w:line="360" w:lineRule="auto"/>
              <w:jc w:val="center"/>
              <w:rPr>
                <w:b/>
                <w:sz w:val="24"/>
                <w:szCs w:val="24"/>
              </w:rPr>
            </w:pPr>
            <w:r w:rsidRPr="004153F6">
              <w:rPr>
                <w:b/>
                <w:sz w:val="24"/>
                <w:szCs w:val="24"/>
              </w:rPr>
              <w:t>1</w:t>
            </w:r>
          </w:p>
        </w:tc>
        <w:tc>
          <w:tcPr>
            <w:tcW w:w="1254" w:type="dxa"/>
            <w:tcBorders>
              <w:top w:val="nil"/>
              <w:left w:val="nil"/>
              <w:right w:val="nil"/>
            </w:tcBorders>
          </w:tcPr>
          <w:p w:rsidR="00BB1420" w:rsidRPr="004153F6" w:rsidRDefault="00BB1420" w:rsidP="00207BC3">
            <w:pPr>
              <w:spacing w:line="360" w:lineRule="auto"/>
              <w:jc w:val="center"/>
              <w:rPr>
                <w:b/>
                <w:sz w:val="24"/>
                <w:szCs w:val="24"/>
              </w:rPr>
            </w:pPr>
            <w:r w:rsidRPr="004153F6">
              <w:rPr>
                <w:b/>
                <w:sz w:val="24"/>
                <w:szCs w:val="24"/>
              </w:rPr>
              <w:t>2</w:t>
            </w:r>
          </w:p>
        </w:tc>
        <w:tc>
          <w:tcPr>
            <w:tcW w:w="1255" w:type="dxa"/>
            <w:tcBorders>
              <w:top w:val="nil"/>
              <w:left w:val="nil"/>
              <w:right w:val="nil"/>
            </w:tcBorders>
          </w:tcPr>
          <w:p w:rsidR="00BB1420" w:rsidRPr="004153F6" w:rsidRDefault="00BB1420" w:rsidP="00207BC3">
            <w:pPr>
              <w:spacing w:line="360" w:lineRule="auto"/>
              <w:jc w:val="center"/>
              <w:rPr>
                <w:b/>
                <w:sz w:val="24"/>
                <w:szCs w:val="24"/>
              </w:rPr>
            </w:pPr>
            <w:r w:rsidRPr="004153F6">
              <w:rPr>
                <w:b/>
                <w:sz w:val="24"/>
                <w:szCs w:val="24"/>
              </w:rPr>
              <w:t>3</w:t>
            </w:r>
          </w:p>
        </w:tc>
        <w:tc>
          <w:tcPr>
            <w:tcW w:w="1254" w:type="dxa"/>
            <w:tcBorders>
              <w:top w:val="nil"/>
              <w:left w:val="nil"/>
              <w:right w:val="nil"/>
            </w:tcBorders>
          </w:tcPr>
          <w:p w:rsidR="00BB1420" w:rsidRPr="004153F6" w:rsidRDefault="00BB1420" w:rsidP="00207BC3">
            <w:pPr>
              <w:spacing w:line="360" w:lineRule="auto"/>
              <w:jc w:val="center"/>
              <w:rPr>
                <w:b/>
                <w:sz w:val="24"/>
                <w:szCs w:val="24"/>
              </w:rPr>
            </w:pPr>
            <w:r w:rsidRPr="004153F6">
              <w:rPr>
                <w:b/>
                <w:sz w:val="24"/>
                <w:szCs w:val="24"/>
              </w:rPr>
              <w:t>4</w:t>
            </w:r>
          </w:p>
        </w:tc>
        <w:tc>
          <w:tcPr>
            <w:tcW w:w="1255" w:type="dxa"/>
            <w:tcBorders>
              <w:top w:val="nil"/>
              <w:left w:val="nil"/>
              <w:right w:val="nil"/>
            </w:tcBorders>
          </w:tcPr>
          <w:p w:rsidR="00BB1420" w:rsidRPr="004153F6" w:rsidRDefault="00BB1420" w:rsidP="00207BC3">
            <w:pPr>
              <w:spacing w:line="360" w:lineRule="auto"/>
              <w:jc w:val="center"/>
              <w:rPr>
                <w:b/>
                <w:sz w:val="24"/>
                <w:szCs w:val="24"/>
              </w:rPr>
            </w:pPr>
            <w:r w:rsidRPr="004153F6">
              <w:rPr>
                <w:b/>
                <w:sz w:val="24"/>
                <w:szCs w:val="24"/>
              </w:rPr>
              <w:t>5</w:t>
            </w:r>
          </w:p>
        </w:tc>
      </w:tr>
      <w:tr w:rsidR="00BB1420" w:rsidRPr="004153F6" w:rsidTr="00207BC3">
        <w:trPr>
          <w:trHeight w:val="391"/>
        </w:trPr>
        <w:tc>
          <w:tcPr>
            <w:tcW w:w="2802" w:type="dxa"/>
            <w:tcBorders>
              <w:left w:val="nil"/>
              <w:bottom w:val="nil"/>
              <w:right w:val="nil"/>
            </w:tcBorders>
            <w:vAlign w:val="center"/>
          </w:tcPr>
          <w:p w:rsidR="00BB1420" w:rsidRPr="004153F6" w:rsidRDefault="00BB1420" w:rsidP="00207BC3">
            <w:pPr>
              <w:spacing w:line="360" w:lineRule="auto"/>
              <w:rPr>
                <w:b/>
                <w:sz w:val="24"/>
                <w:szCs w:val="24"/>
              </w:rPr>
            </w:pPr>
            <w:r w:rsidRPr="004153F6">
              <w:rPr>
                <w:b/>
                <w:sz w:val="24"/>
                <w:szCs w:val="24"/>
              </w:rPr>
              <w:t>Group 1 to 3 (‘Higher’)</w:t>
            </w:r>
          </w:p>
        </w:tc>
        <w:tc>
          <w:tcPr>
            <w:tcW w:w="1254"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28,345</w:t>
            </w:r>
          </w:p>
        </w:tc>
        <w:tc>
          <w:tcPr>
            <w:tcW w:w="1254"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36,965</w:t>
            </w:r>
          </w:p>
        </w:tc>
        <w:tc>
          <w:tcPr>
            <w:tcW w:w="1255"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44,798</w:t>
            </w:r>
          </w:p>
        </w:tc>
        <w:tc>
          <w:tcPr>
            <w:tcW w:w="1254"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52,285</w:t>
            </w:r>
          </w:p>
        </w:tc>
        <w:tc>
          <w:tcPr>
            <w:tcW w:w="1255" w:type="dxa"/>
            <w:tcBorders>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65,961</w:t>
            </w:r>
          </w:p>
        </w:tc>
      </w:tr>
      <w:tr w:rsidR="00BB1420" w:rsidRPr="004153F6" w:rsidTr="00207BC3">
        <w:trPr>
          <w:trHeight w:val="391"/>
        </w:trPr>
        <w:tc>
          <w:tcPr>
            <w:tcW w:w="2802" w:type="dxa"/>
            <w:tcBorders>
              <w:top w:val="nil"/>
              <w:left w:val="nil"/>
              <w:bottom w:val="nil"/>
              <w:right w:val="nil"/>
            </w:tcBorders>
            <w:vAlign w:val="center"/>
          </w:tcPr>
          <w:p w:rsidR="00BB1420" w:rsidRPr="004153F6" w:rsidRDefault="00BB1420" w:rsidP="00207BC3">
            <w:pPr>
              <w:spacing w:line="360" w:lineRule="auto"/>
              <w:rPr>
                <w:b/>
                <w:sz w:val="24"/>
                <w:szCs w:val="24"/>
              </w:rPr>
            </w:pPr>
            <w:r w:rsidRPr="004153F6">
              <w:rPr>
                <w:b/>
                <w:sz w:val="24"/>
                <w:szCs w:val="24"/>
              </w:rPr>
              <w:t>Group 4 to 7 (‘Lower’)</w:t>
            </w:r>
          </w:p>
        </w:tc>
        <w:tc>
          <w:tcPr>
            <w:tcW w:w="1254"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68,077</w:t>
            </w:r>
          </w:p>
        </w:tc>
        <w:tc>
          <w:tcPr>
            <w:tcW w:w="1254"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65,374</w:t>
            </w:r>
          </w:p>
        </w:tc>
        <w:tc>
          <w:tcPr>
            <w:tcW w:w="1255"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62,185</w:t>
            </w:r>
          </w:p>
        </w:tc>
        <w:tc>
          <w:tcPr>
            <w:tcW w:w="1254"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56,698</w:t>
            </w:r>
          </w:p>
        </w:tc>
        <w:tc>
          <w:tcPr>
            <w:tcW w:w="1255" w:type="dxa"/>
            <w:tcBorders>
              <w:top w:val="nil"/>
              <w:left w:val="nil"/>
              <w:bottom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50,741</w:t>
            </w:r>
          </w:p>
        </w:tc>
      </w:tr>
      <w:tr w:rsidR="00BB1420" w:rsidRPr="004153F6" w:rsidTr="00207BC3">
        <w:trPr>
          <w:trHeight w:val="391"/>
        </w:trPr>
        <w:tc>
          <w:tcPr>
            <w:tcW w:w="2802" w:type="dxa"/>
            <w:tcBorders>
              <w:top w:val="nil"/>
              <w:left w:val="nil"/>
              <w:right w:val="nil"/>
            </w:tcBorders>
            <w:vAlign w:val="center"/>
          </w:tcPr>
          <w:p w:rsidR="00BB1420" w:rsidRPr="004153F6" w:rsidRDefault="00BB1420" w:rsidP="00207BC3">
            <w:pPr>
              <w:spacing w:line="360" w:lineRule="auto"/>
              <w:rPr>
                <w:b/>
                <w:sz w:val="24"/>
                <w:szCs w:val="24"/>
              </w:rPr>
            </w:pPr>
            <w:r w:rsidRPr="004153F6">
              <w:rPr>
                <w:b/>
                <w:sz w:val="24"/>
                <w:szCs w:val="24"/>
              </w:rPr>
              <w:t>Group 8 and Unclassified</w:t>
            </w:r>
          </w:p>
        </w:tc>
        <w:tc>
          <w:tcPr>
            <w:tcW w:w="1254"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20,046</w:t>
            </w:r>
          </w:p>
        </w:tc>
        <w:tc>
          <w:tcPr>
            <w:tcW w:w="1254"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15,041</w:t>
            </w:r>
          </w:p>
        </w:tc>
        <w:tc>
          <w:tcPr>
            <w:tcW w:w="1255"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14,758</w:t>
            </w:r>
          </w:p>
        </w:tc>
        <w:tc>
          <w:tcPr>
            <w:tcW w:w="1254"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11,302</w:t>
            </w:r>
          </w:p>
        </w:tc>
        <w:tc>
          <w:tcPr>
            <w:tcW w:w="1255" w:type="dxa"/>
            <w:tcBorders>
              <w:top w:val="nil"/>
              <w:left w:val="nil"/>
              <w:right w:val="nil"/>
            </w:tcBorders>
          </w:tcPr>
          <w:p w:rsidR="00BB1420" w:rsidRPr="004153F6" w:rsidRDefault="00BB1420" w:rsidP="00207BC3">
            <w:pPr>
              <w:jc w:val="center"/>
              <w:rPr>
                <w:rFonts w:ascii="Calibri" w:hAnsi="Calibri"/>
                <w:sz w:val="24"/>
                <w:szCs w:val="24"/>
              </w:rPr>
            </w:pPr>
            <w:r w:rsidRPr="004153F6">
              <w:rPr>
                <w:rFonts w:ascii="Calibri" w:hAnsi="Calibri"/>
                <w:sz w:val="24"/>
                <w:szCs w:val="24"/>
              </w:rPr>
              <w:t>9,279</w:t>
            </w:r>
          </w:p>
        </w:tc>
      </w:tr>
    </w:tbl>
    <w:p w:rsidR="00BB1420" w:rsidRPr="004153F6" w:rsidRDefault="00BB1420" w:rsidP="00BB1420">
      <w:pPr>
        <w:rPr>
          <w:i/>
          <w:sz w:val="24"/>
          <w:szCs w:val="24"/>
        </w:rPr>
      </w:pPr>
      <w:r w:rsidRPr="004153F6">
        <w:rPr>
          <w:i/>
          <w:sz w:val="24"/>
          <w:szCs w:val="24"/>
        </w:rPr>
        <w:t>Source: 2001 Census and POLAR3 dataset</w:t>
      </w:r>
    </w:p>
    <w:p w:rsidR="00AA6619" w:rsidRPr="000C7050" w:rsidRDefault="00AA6619" w:rsidP="003E581D">
      <w:pPr>
        <w:spacing w:line="360" w:lineRule="auto"/>
        <w:rPr>
          <w:sz w:val="24"/>
          <w:szCs w:val="24"/>
        </w:rPr>
      </w:pPr>
    </w:p>
    <w:p w:rsidR="00AA6619" w:rsidRPr="000C7050" w:rsidRDefault="00AA6619" w:rsidP="003E581D">
      <w:pPr>
        <w:spacing w:line="360" w:lineRule="auto"/>
        <w:rPr>
          <w:sz w:val="24"/>
          <w:szCs w:val="24"/>
        </w:rPr>
      </w:pPr>
      <w:r w:rsidRPr="000C7050">
        <w:rPr>
          <w:sz w:val="24"/>
          <w:szCs w:val="24"/>
        </w:rPr>
        <w:t>Subdividing the 601,</w:t>
      </w:r>
      <w:r w:rsidR="00003E63" w:rsidRPr="000C7050">
        <w:rPr>
          <w:sz w:val="24"/>
          <w:szCs w:val="24"/>
        </w:rPr>
        <w:t xml:space="preserve">855 </w:t>
      </w:r>
      <w:r w:rsidRPr="000C7050">
        <w:rPr>
          <w:sz w:val="24"/>
          <w:szCs w:val="24"/>
        </w:rPr>
        <w:t xml:space="preserve">17 year olds from the 2001 Census in this way, we find that an estimated </w:t>
      </w:r>
      <w:r w:rsidR="00003E63" w:rsidRPr="000C7050">
        <w:rPr>
          <w:sz w:val="24"/>
          <w:szCs w:val="24"/>
        </w:rPr>
        <w:t>133,451</w:t>
      </w:r>
      <w:r w:rsidRPr="000C7050">
        <w:rPr>
          <w:sz w:val="24"/>
          <w:szCs w:val="24"/>
        </w:rPr>
        <w:t xml:space="preserve"> from lower socio-economic groups were living in LPNs.  However, </w:t>
      </w:r>
      <w:r w:rsidR="00003E63" w:rsidRPr="000C7050">
        <w:rPr>
          <w:sz w:val="24"/>
          <w:szCs w:val="24"/>
        </w:rPr>
        <w:t>169,624</w:t>
      </w:r>
      <w:r w:rsidRPr="000C7050">
        <w:rPr>
          <w:sz w:val="24"/>
          <w:szCs w:val="24"/>
        </w:rPr>
        <w:t xml:space="preserve"> were living outside of LPNs.  Similarly, </w:t>
      </w:r>
      <w:r w:rsidR="00003E63" w:rsidRPr="000C7050">
        <w:rPr>
          <w:sz w:val="24"/>
          <w:szCs w:val="24"/>
        </w:rPr>
        <w:t>65,310</w:t>
      </w:r>
      <w:r w:rsidRPr="000C7050">
        <w:rPr>
          <w:sz w:val="24"/>
          <w:szCs w:val="24"/>
        </w:rPr>
        <w:t xml:space="preserve"> of 17 year olds living within LPNs were actually from higher socio-economic groups – about </w:t>
      </w:r>
      <w:r w:rsidR="00003E63" w:rsidRPr="000C7050">
        <w:rPr>
          <w:sz w:val="24"/>
          <w:szCs w:val="24"/>
        </w:rPr>
        <w:t>28</w:t>
      </w:r>
      <w:r w:rsidRPr="000C7050">
        <w:rPr>
          <w:sz w:val="24"/>
          <w:szCs w:val="24"/>
        </w:rPr>
        <w:t xml:space="preserve"> percent of the total</w:t>
      </w:r>
      <w:r w:rsidR="00003E63" w:rsidRPr="000C7050">
        <w:rPr>
          <w:sz w:val="24"/>
          <w:szCs w:val="24"/>
        </w:rPr>
        <w:t xml:space="preserve"> living in these wards</w:t>
      </w:r>
      <w:r w:rsidRPr="000C7050">
        <w:rPr>
          <w:sz w:val="24"/>
          <w:szCs w:val="24"/>
        </w:rPr>
        <w:t>.  There are two key findings from this analysis, therefore:</w:t>
      </w:r>
    </w:p>
    <w:p w:rsidR="00AA6619" w:rsidRPr="000C7050" w:rsidRDefault="00AA6619" w:rsidP="003E581D">
      <w:pPr>
        <w:spacing w:line="360" w:lineRule="auto"/>
        <w:rPr>
          <w:sz w:val="24"/>
          <w:szCs w:val="24"/>
        </w:rPr>
      </w:pPr>
    </w:p>
    <w:p w:rsidR="00AA6619" w:rsidRPr="000C7050" w:rsidRDefault="00AA6619" w:rsidP="003E581D">
      <w:pPr>
        <w:pStyle w:val="ListParagraph"/>
        <w:numPr>
          <w:ilvl w:val="0"/>
          <w:numId w:val="4"/>
        </w:numPr>
        <w:spacing w:line="360" w:lineRule="auto"/>
        <w:rPr>
          <w:sz w:val="24"/>
          <w:szCs w:val="24"/>
        </w:rPr>
      </w:pPr>
      <w:r w:rsidRPr="000C7050">
        <w:rPr>
          <w:sz w:val="24"/>
          <w:szCs w:val="24"/>
        </w:rPr>
        <w:t xml:space="preserve">That more 17 year olds from lower socio-economic groups live outside of LPNs than live within them: </w:t>
      </w:r>
      <w:r w:rsidR="00003E63" w:rsidRPr="000C7050">
        <w:rPr>
          <w:sz w:val="24"/>
          <w:szCs w:val="24"/>
        </w:rPr>
        <w:t xml:space="preserve">56 </w:t>
      </w:r>
      <w:r w:rsidRPr="000C7050">
        <w:rPr>
          <w:sz w:val="24"/>
          <w:szCs w:val="24"/>
        </w:rPr>
        <w:t xml:space="preserve">percent compared to </w:t>
      </w:r>
      <w:r w:rsidR="00003E63" w:rsidRPr="000C7050">
        <w:rPr>
          <w:sz w:val="24"/>
          <w:szCs w:val="24"/>
        </w:rPr>
        <w:t xml:space="preserve">44 </w:t>
      </w:r>
      <w:r w:rsidRPr="000C7050">
        <w:rPr>
          <w:sz w:val="24"/>
          <w:szCs w:val="24"/>
        </w:rPr>
        <w:t>percent.</w:t>
      </w:r>
      <w:r w:rsidR="00B95BAE">
        <w:rPr>
          <w:sz w:val="24"/>
          <w:szCs w:val="24"/>
        </w:rPr>
        <w:t xml:space="preserve">  Again, this is only slightly different from the 60 percent expected by chance.</w:t>
      </w:r>
    </w:p>
    <w:p w:rsidR="00AA6619" w:rsidRPr="000C7050" w:rsidRDefault="00AA6619" w:rsidP="003E581D">
      <w:pPr>
        <w:pStyle w:val="ListParagraph"/>
        <w:numPr>
          <w:ilvl w:val="0"/>
          <w:numId w:val="4"/>
        </w:numPr>
        <w:spacing w:line="360" w:lineRule="auto"/>
        <w:rPr>
          <w:sz w:val="24"/>
          <w:szCs w:val="24"/>
        </w:rPr>
      </w:pPr>
      <w:r w:rsidRPr="000C7050">
        <w:rPr>
          <w:sz w:val="24"/>
          <w:szCs w:val="24"/>
        </w:rPr>
        <w:t>That, contrary to applicants, there are more 17 year olds from lower socio-economic groups in LPNs than those from higher groups, although the latter comprise over one-</w:t>
      </w:r>
      <w:r w:rsidR="00003E63" w:rsidRPr="000C7050">
        <w:rPr>
          <w:sz w:val="24"/>
          <w:szCs w:val="24"/>
        </w:rPr>
        <w:t xml:space="preserve">quarter </w:t>
      </w:r>
      <w:r w:rsidRPr="000C7050">
        <w:rPr>
          <w:sz w:val="24"/>
          <w:szCs w:val="24"/>
        </w:rPr>
        <w:t>of the total.</w:t>
      </w:r>
    </w:p>
    <w:p w:rsidR="00AA6619" w:rsidRPr="000C7050" w:rsidRDefault="00AA6619" w:rsidP="003E581D">
      <w:pPr>
        <w:spacing w:line="360" w:lineRule="auto"/>
        <w:rPr>
          <w:sz w:val="24"/>
          <w:szCs w:val="24"/>
        </w:rPr>
      </w:pPr>
    </w:p>
    <w:p w:rsidR="00AA6619" w:rsidRPr="000C7050" w:rsidRDefault="00AA6619" w:rsidP="003E581D">
      <w:pPr>
        <w:spacing w:line="360" w:lineRule="auto"/>
        <w:rPr>
          <w:sz w:val="24"/>
          <w:szCs w:val="24"/>
        </w:rPr>
      </w:pPr>
      <w:r w:rsidRPr="000C7050">
        <w:rPr>
          <w:sz w:val="24"/>
          <w:szCs w:val="24"/>
        </w:rPr>
        <w:t xml:space="preserve">Pulling the data on young applicants and the general population of 17 year olds together and summarising, a clear picture emerges.  In both instances, there are more young people/applicants from lower socio-economic groups living outside LPNs than living within LPNs; in the case of applicants, nearly twice as many.  In other words, there is relatively little targeting power to be derived from using LPNs to ‘find’ such young people.  For example, 39 percent of all 17 year olds live in LPNs, but </w:t>
      </w:r>
      <w:r w:rsidR="00003E63" w:rsidRPr="000C7050">
        <w:rPr>
          <w:sz w:val="24"/>
          <w:szCs w:val="24"/>
        </w:rPr>
        <w:t xml:space="preserve">44 </w:t>
      </w:r>
      <w:r w:rsidRPr="000C7050">
        <w:rPr>
          <w:sz w:val="24"/>
          <w:szCs w:val="24"/>
        </w:rPr>
        <w:t xml:space="preserve">percent of those from lower socio-economic groups; they are more likely to be living in LPNs, but not by </w:t>
      </w:r>
      <w:r w:rsidR="00BE72DA" w:rsidRPr="000C7050">
        <w:rPr>
          <w:sz w:val="24"/>
          <w:szCs w:val="24"/>
        </w:rPr>
        <w:t>a very large margin</w:t>
      </w:r>
      <w:r w:rsidRPr="000C7050">
        <w:rPr>
          <w:sz w:val="24"/>
          <w:szCs w:val="24"/>
        </w:rPr>
        <w:t>.</w:t>
      </w:r>
      <w:r w:rsidR="00BE72DA" w:rsidRPr="000C7050">
        <w:rPr>
          <w:sz w:val="24"/>
          <w:szCs w:val="24"/>
        </w:rPr>
        <w:t xml:space="preserve">  </w:t>
      </w:r>
    </w:p>
    <w:p w:rsidR="00AA6619" w:rsidRPr="000C7050" w:rsidRDefault="00AA6619" w:rsidP="003E581D">
      <w:pPr>
        <w:spacing w:line="360" w:lineRule="auto"/>
        <w:rPr>
          <w:sz w:val="24"/>
          <w:szCs w:val="24"/>
        </w:rPr>
      </w:pPr>
    </w:p>
    <w:p w:rsidR="00EA564C" w:rsidRPr="000C7050" w:rsidRDefault="00EA564C" w:rsidP="003E581D">
      <w:pPr>
        <w:spacing w:line="360" w:lineRule="auto"/>
        <w:rPr>
          <w:sz w:val="24"/>
          <w:szCs w:val="24"/>
        </w:rPr>
      </w:pPr>
      <w:r w:rsidRPr="000C7050">
        <w:rPr>
          <w:sz w:val="24"/>
          <w:szCs w:val="24"/>
        </w:rPr>
        <w:lastRenderedPageBreak/>
        <w:t>It is important, at this point, to remember that there is a third row within Tables 3 and 4, comprising the unemployed and other unclassifiable households.  These are likely to be at least as educationally deprived as the lower socio-economic group; by definition, they cannot be categorised, although it is notable that this group is correlated with POLAR3 and concentrated within LPNs.  This does, to an extent, impact on the analysis above as it</w:t>
      </w:r>
      <w:r w:rsidR="00C474C6" w:rsidRPr="000C7050">
        <w:rPr>
          <w:sz w:val="24"/>
          <w:szCs w:val="24"/>
        </w:rPr>
        <w:t xml:space="preserve"> almost certainly</w:t>
      </w:r>
      <w:r w:rsidRPr="000C7050">
        <w:rPr>
          <w:sz w:val="24"/>
          <w:szCs w:val="24"/>
        </w:rPr>
        <w:t xml:space="preserve"> increases the number of deprived </w:t>
      </w:r>
      <w:r w:rsidR="00C474C6" w:rsidRPr="000C7050">
        <w:rPr>
          <w:sz w:val="24"/>
          <w:szCs w:val="24"/>
        </w:rPr>
        <w:t>young people within LPNs</w:t>
      </w:r>
      <w:r w:rsidRPr="000C7050">
        <w:rPr>
          <w:sz w:val="24"/>
          <w:szCs w:val="24"/>
        </w:rPr>
        <w:t xml:space="preserve">.  </w:t>
      </w:r>
      <w:r w:rsidR="00C474C6" w:rsidRPr="000C7050">
        <w:rPr>
          <w:sz w:val="24"/>
          <w:szCs w:val="24"/>
        </w:rPr>
        <w:t>Notably</w:t>
      </w:r>
      <w:r w:rsidRPr="000C7050">
        <w:rPr>
          <w:sz w:val="24"/>
          <w:szCs w:val="24"/>
        </w:rPr>
        <w:t xml:space="preserve"> these unclassifiable households are not included in the official statistics </w:t>
      </w:r>
      <w:r w:rsidR="00C474C6" w:rsidRPr="000C7050">
        <w:rPr>
          <w:sz w:val="24"/>
          <w:szCs w:val="24"/>
        </w:rPr>
        <w:t>on</w:t>
      </w:r>
      <w:r w:rsidRPr="000C7050">
        <w:rPr>
          <w:sz w:val="24"/>
          <w:szCs w:val="24"/>
        </w:rPr>
        <w:t xml:space="preserve"> participation </w:t>
      </w:r>
      <w:r w:rsidR="00C474C6" w:rsidRPr="000C7050">
        <w:rPr>
          <w:sz w:val="24"/>
          <w:szCs w:val="24"/>
        </w:rPr>
        <w:t xml:space="preserve">(e.g. </w:t>
      </w:r>
      <w:r w:rsidRPr="000C7050">
        <w:rPr>
          <w:sz w:val="24"/>
          <w:szCs w:val="24"/>
        </w:rPr>
        <w:t>as published by HESA</w:t>
      </w:r>
      <w:r w:rsidR="00C474C6" w:rsidRPr="000C7050">
        <w:rPr>
          <w:sz w:val="24"/>
          <w:szCs w:val="24"/>
        </w:rPr>
        <w:t>)</w:t>
      </w:r>
      <w:r w:rsidRPr="000C7050">
        <w:rPr>
          <w:sz w:val="24"/>
          <w:szCs w:val="24"/>
        </w:rPr>
        <w:t>.</w:t>
      </w:r>
    </w:p>
    <w:p w:rsidR="00EA564C" w:rsidRPr="000C7050" w:rsidRDefault="00EA564C" w:rsidP="003E581D">
      <w:pPr>
        <w:spacing w:line="360" w:lineRule="auto"/>
        <w:rPr>
          <w:sz w:val="24"/>
          <w:szCs w:val="24"/>
        </w:rPr>
      </w:pPr>
    </w:p>
    <w:p w:rsidR="00AA6619" w:rsidRPr="000C7050" w:rsidRDefault="00EA564C" w:rsidP="003E581D">
      <w:pPr>
        <w:spacing w:line="360" w:lineRule="auto"/>
        <w:rPr>
          <w:sz w:val="24"/>
          <w:szCs w:val="24"/>
        </w:rPr>
      </w:pPr>
      <w:r w:rsidRPr="000C7050">
        <w:rPr>
          <w:sz w:val="24"/>
          <w:szCs w:val="24"/>
        </w:rPr>
        <w:t>The analysis above demonstrates that there is</w:t>
      </w:r>
      <w:r w:rsidR="00AA6619" w:rsidRPr="000C7050">
        <w:rPr>
          <w:sz w:val="24"/>
          <w:szCs w:val="24"/>
        </w:rPr>
        <w:t xml:space="preserve"> considerable scope for </w:t>
      </w:r>
      <w:r w:rsidR="00350DEE" w:rsidRPr="000C7050">
        <w:rPr>
          <w:sz w:val="24"/>
          <w:szCs w:val="24"/>
        </w:rPr>
        <w:t>‘</w:t>
      </w:r>
      <w:r w:rsidR="00AA6619" w:rsidRPr="000C7050">
        <w:rPr>
          <w:sz w:val="24"/>
          <w:szCs w:val="24"/>
        </w:rPr>
        <w:t>leakage</w:t>
      </w:r>
      <w:r w:rsidR="00350DEE" w:rsidRPr="000C7050">
        <w:rPr>
          <w:sz w:val="24"/>
          <w:szCs w:val="24"/>
        </w:rPr>
        <w:t>’</w:t>
      </w:r>
      <w:r w:rsidR="00AA6619" w:rsidRPr="000C7050">
        <w:rPr>
          <w:sz w:val="24"/>
          <w:szCs w:val="24"/>
        </w:rPr>
        <w:t>, where targeting of resources by LPN actually finds young people from higher socio-economic groups</w:t>
      </w:r>
      <w:r w:rsidR="00AE4275" w:rsidRPr="000C7050">
        <w:rPr>
          <w:sz w:val="24"/>
          <w:szCs w:val="24"/>
        </w:rPr>
        <w:t xml:space="preserve"> (Thomas 2</w:t>
      </w:r>
      <w:r w:rsidR="00715C3D" w:rsidRPr="000C7050">
        <w:rPr>
          <w:sz w:val="24"/>
          <w:szCs w:val="24"/>
        </w:rPr>
        <w:t>001; Hatt, Baxter and Tate 2005</w:t>
      </w:r>
      <w:r w:rsidR="00AE4275" w:rsidRPr="000C7050">
        <w:rPr>
          <w:sz w:val="24"/>
          <w:szCs w:val="24"/>
        </w:rPr>
        <w:t>)</w:t>
      </w:r>
      <w:r w:rsidR="00AA6619" w:rsidRPr="000C7050">
        <w:rPr>
          <w:sz w:val="24"/>
          <w:szCs w:val="24"/>
        </w:rPr>
        <w:t xml:space="preserve">.  Among the general population, 17 year olds from lower socio-economic groups do predominate slightly, but among university applicants there are actually more drawn from higher groups in LPNs than lower groups.  This represents a strong potential for </w:t>
      </w:r>
      <w:r w:rsidR="00350DEE" w:rsidRPr="000C7050">
        <w:rPr>
          <w:sz w:val="24"/>
          <w:szCs w:val="24"/>
        </w:rPr>
        <w:t>misdirection</w:t>
      </w:r>
      <w:r w:rsidR="00AA6619" w:rsidRPr="000C7050">
        <w:rPr>
          <w:sz w:val="24"/>
          <w:szCs w:val="24"/>
        </w:rPr>
        <w:t>, as will be discussed in more detail shortly.</w:t>
      </w:r>
      <w:r w:rsidR="00BE72DA" w:rsidRPr="000C7050">
        <w:rPr>
          <w:sz w:val="24"/>
          <w:szCs w:val="24"/>
        </w:rPr>
        <w:t xml:space="preserve">  Indeed, guidance provided by HEFCE (200</w:t>
      </w:r>
      <w:r w:rsidR="000A2E04" w:rsidRPr="000C7050">
        <w:rPr>
          <w:sz w:val="24"/>
          <w:szCs w:val="24"/>
        </w:rPr>
        <w:t>7</w:t>
      </w:r>
      <w:r w:rsidR="00B95BAE">
        <w:rPr>
          <w:sz w:val="24"/>
          <w:szCs w:val="24"/>
        </w:rPr>
        <w:t>b, 2008</w:t>
      </w:r>
      <w:r w:rsidR="00BE72DA" w:rsidRPr="000C7050">
        <w:rPr>
          <w:sz w:val="24"/>
          <w:szCs w:val="24"/>
        </w:rPr>
        <w:t xml:space="preserve">) was intended to counter </w:t>
      </w:r>
      <w:r w:rsidR="00003E63" w:rsidRPr="000C7050">
        <w:rPr>
          <w:sz w:val="24"/>
          <w:szCs w:val="24"/>
        </w:rPr>
        <w:t xml:space="preserve">this </w:t>
      </w:r>
      <w:r w:rsidR="00BE72DA" w:rsidRPr="000C7050">
        <w:rPr>
          <w:sz w:val="24"/>
          <w:szCs w:val="24"/>
        </w:rPr>
        <w:t xml:space="preserve">leakage and ensure a more cost-effective </w:t>
      </w:r>
      <w:r w:rsidR="000A2E04" w:rsidRPr="000C7050">
        <w:rPr>
          <w:sz w:val="24"/>
          <w:szCs w:val="24"/>
        </w:rPr>
        <w:t>allocation of resources.</w:t>
      </w:r>
    </w:p>
    <w:p w:rsidR="00B75A98" w:rsidRPr="000C7050" w:rsidRDefault="00B75A98" w:rsidP="003E581D">
      <w:pPr>
        <w:spacing w:line="360" w:lineRule="auto"/>
        <w:rPr>
          <w:sz w:val="24"/>
          <w:szCs w:val="24"/>
        </w:rPr>
      </w:pPr>
    </w:p>
    <w:p w:rsidR="00B75A98" w:rsidRPr="000C7050" w:rsidRDefault="00467868" w:rsidP="003E581D">
      <w:pPr>
        <w:spacing w:line="360" w:lineRule="auto"/>
        <w:rPr>
          <w:sz w:val="24"/>
          <w:szCs w:val="24"/>
        </w:rPr>
      </w:pPr>
      <w:r w:rsidRPr="000C7050">
        <w:rPr>
          <w:sz w:val="24"/>
          <w:szCs w:val="24"/>
        </w:rPr>
        <w:t xml:space="preserve">All in all, these findings must cast doubt on the use of LPNs as a means of targeting resources to combat </w:t>
      </w:r>
      <w:r w:rsidR="00BE72DA" w:rsidRPr="000C7050">
        <w:rPr>
          <w:sz w:val="24"/>
          <w:szCs w:val="24"/>
        </w:rPr>
        <w:t xml:space="preserve">low participation in higher education and the associated </w:t>
      </w:r>
      <w:r w:rsidRPr="000C7050">
        <w:rPr>
          <w:sz w:val="24"/>
          <w:szCs w:val="24"/>
        </w:rPr>
        <w:t xml:space="preserve">educational </w:t>
      </w:r>
      <w:r w:rsidR="00F625A1" w:rsidRPr="000C7050">
        <w:rPr>
          <w:sz w:val="24"/>
          <w:szCs w:val="24"/>
        </w:rPr>
        <w:t xml:space="preserve">and economic </w:t>
      </w:r>
      <w:r w:rsidRPr="000C7050">
        <w:rPr>
          <w:sz w:val="24"/>
          <w:szCs w:val="24"/>
        </w:rPr>
        <w:t>disadvantage</w:t>
      </w:r>
      <w:r w:rsidR="00BE72DA" w:rsidRPr="000C7050">
        <w:rPr>
          <w:sz w:val="24"/>
          <w:szCs w:val="24"/>
        </w:rPr>
        <w:t xml:space="preserve"> that underpins it</w:t>
      </w:r>
      <w:r w:rsidRPr="000C7050">
        <w:rPr>
          <w:sz w:val="24"/>
          <w:szCs w:val="24"/>
        </w:rPr>
        <w:t>.</w:t>
      </w:r>
      <w:r w:rsidR="00F625A1" w:rsidRPr="000C7050">
        <w:rPr>
          <w:sz w:val="24"/>
          <w:szCs w:val="24"/>
        </w:rPr>
        <w:t xml:space="preserve">  Indeed, it is useful to reflect on what value an historic measure of participation has for directing resources and policy if it is not very strong correlate with the </w:t>
      </w:r>
      <w:r w:rsidR="00B95BAE">
        <w:rPr>
          <w:sz w:val="24"/>
          <w:szCs w:val="24"/>
        </w:rPr>
        <w:t>inequalities that militate</w:t>
      </w:r>
      <w:r w:rsidR="00F625A1" w:rsidRPr="000C7050">
        <w:rPr>
          <w:sz w:val="24"/>
          <w:szCs w:val="24"/>
        </w:rPr>
        <w:t xml:space="preserve"> against progression to higher education.</w:t>
      </w:r>
    </w:p>
    <w:p w:rsidR="00467868" w:rsidRPr="000C7050" w:rsidRDefault="00467868" w:rsidP="003E581D">
      <w:pPr>
        <w:spacing w:line="360" w:lineRule="auto"/>
        <w:rPr>
          <w:sz w:val="24"/>
          <w:szCs w:val="24"/>
        </w:rPr>
      </w:pPr>
    </w:p>
    <w:p w:rsidR="00467868" w:rsidRPr="000C7050" w:rsidRDefault="00467868" w:rsidP="003E581D">
      <w:pPr>
        <w:spacing w:line="360" w:lineRule="auto"/>
        <w:rPr>
          <w:sz w:val="24"/>
          <w:szCs w:val="24"/>
        </w:rPr>
      </w:pPr>
    </w:p>
    <w:p w:rsidR="00B75A98" w:rsidRPr="000C7050" w:rsidRDefault="00B75A98" w:rsidP="003E581D">
      <w:pPr>
        <w:spacing w:line="360" w:lineRule="auto"/>
        <w:rPr>
          <w:b/>
          <w:sz w:val="24"/>
          <w:szCs w:val="24"/>
        </w:rPr>
      </w:pPr>
      <w:r w:rsidRPr="000C7050">
        <w:rPr>
          <w:b/>
          <w:sz w:val="24"/>
          <w:szCs w:val="24"/>
        </w:rPr>
        <w:t>The contemporary uses of LPNs</w:t>
      </w:r>
    </w:p>
    <w:p w:rsidR="00B75A98" w:rsidRPr="000C7050" w:rsidRDefault="00B75A98" w:rsidP="003E581D">
      <w:pPr>
        <w:spacing w:line="360" w:lineRule="auto"/>
        <w:rPr>
          <w:sz w:val="24"/>
          <w:szCs w:val="24"/>
        </w:rPr>
      </w:pPr>
    </w:p>
    <w:p w:rsidR="00B75A98" w:rsidRPr="000C7050" w:rsidRDefault="00B75A98" w:rsidP="003E581D">
      <w:pPr>
        <w:spacing w:line="360" w:lineRule="auto"/>
        <w:rPr>
          <w:sz w:val="24"/>
          <w:szCs w:val="24"/>
        </w:rPr>
      </w:pPr>
      <w:r w:rsidRPr="000C7050">
        <w:rPr>
          <w:sz w:val="24"/>
          <w:szCs w:val="24"/>
        </w:rPr>
        <w:t>Since their inception, and especially since the creation of POLAR, LPNs have accumulated a number of uses within the higher education sector, some of which have been touched upon already and all of which deserve a critical examination.</w:t>
      </w:r>
    </w:p>
    <w:p w:rsidR="00B75A98" w:rsidRPr="000C7050" w:rsidRDefault="00B75A98" w:rsidP="003E581D">
      <w:pPr>
        <w:spacing w:line="360" w:lineRule="auto"/>
        <w:rPr>
          <w:sz w:val="24"/>
          <w:szCs w:val="24"/>
        </w:rPr>
      </w:pPr>
    </w:p>
    <w:p w:rsidR="00B75A98" w:rsidRPr="000C7050" w:rsidRDefault="00B75A98" w:rsidP="000A2E04">
      <w:pPr>
        <w:pStyle w:val="ListParagraph"/>
        <w:numPr>
          <w:ilvl w:val="0"/>
          <w:numId w:val="3"/>
        </w:numPr>
        <w:spacing w:line="360" w:lineRule="auto"/>
        <w:rPr>
          <w:sz w:val="24"/>
          <w:szCs w:val="24"/>
        </w:rPr>
      </w:pPr>
      <w:r w:rsidRPr="000C7050">
        <w:rPr>
          <w:sz w:val="24"/>
          <w:szCs w:val="24"/>
          <w:u w:val="single"/>
        </w:rPr>
        <w:t>Production of performance indicators.</w:t>
      </w:r>
      <w:r w:rsidRPr="000C7050">
        <w:rPr>
          <w:sz w:val="24"/>
          <w:szCs w:val="24"/>
        </w:rPr>
        <w:t xml:space="preserve">  LPNs </w:t>
      </w:r>
      <w:r w:rsidR="00B95BAE">
        <w:rPr>
          <w:sz w:val="24"/>
          <w:szCs w:val="24"/>
        </w:rPr>
        <w:t xml:space="preserve">(comprising Quintile 1 only in this case) </w:t>
      </w:r>
      <w:r w:rsidRPr="000C7050">
        <w:rPr>
          <w:sz w:val="24"/>
          <w:szCs w:val="24"/>
        </w:rPr>
        <w:t>are one of the three key performance indicators published annual</w:t>
      </w:r>
      <w:r w:rsidR="00B95BAE">
        <w:rPr>
          <w:sz w:val="24"/>
          <w:szCs w:val="24"/>
        </w:rPr>
        <w:t>ly</w:t>
      </w:r>
      <w:r w:rsidRPr="000C7050">
        <w:rPr>
          <w:sz w:val="24"/>
          <w:szCs w:val="24"/>
        </w:rPr>
        <w:t xml:space="preserve"> by HESA for each university and collectively across the sector</w:t>
      </w:r>
      <w:r w:rsidR="00350DEE" w:rsidRPr="000C7050">
        <w:rPr>
          <w:sz w:val="24"/>
          <w:szCs w:val="24"/>
        </w:rPr>
        <w:t xml:space="preserve"> (HESA 2013)</w:t>
      </w:r>
      <w:r w:rsidRPr="000C7050">
        <w:rPr>
          <w:sz w:val="24"/>
          <w:szCs w:val="24"/>
        </w:rPr>
        <w:t xml:space="preserve">.  They are published both in a raw </w:t>
      </w:r>
      <w:r w:rsidRPr="000C7050">
        <w:rPr>
          <w:sz w:val="24"/>
          <w:szCs w:val="24"/>
        </w:rPr>
        <w:lastRenderedPageBreak/>
        <w:t xml:space="preserve">form and in comparison to calculated benchmarks of what a university with that entrance requirements, subject mix and location should expect.  In some ways, </w:t>
      </w:r>
      <w:r w:rsidR="00B95BAE">
        <w:rPr>
          <w:sz w:val="24"/>
          <w:szCs w:val="24"/>
        </w:rPr>
        <w:t>LPNs are the</w:t>
      </w:r>
      <w:r w:rsidRPr="000C7050">
        <w:rPr>
          <w:sz w:val="24"/>
          <w:szCs w:val="24"/>
        </w:rPr>
        <w:t xml:space="preserve"> most reliable of the three in that it is simple to collect a student's postcode and to map this onto </w:t>
      </w:r>
      <w:r w:rsidR="00B95BAE">
        <w:rPr>
          <w:sz w:val="24"/>
          <w:szCs w:val="24"/>
        </w:rPr>
        <w:t>POLAR quintiles</w:t>
      </w:r>
      <w:r w:rsidRPr="000C7050">
        <w:rPr>
          <w:sz w:val="24"/>
          <w:szCs w:val="24"/>
        </w:rPr>
        <w:t xml:space="preserve">.  The importance of the HESA performance indicators and benchmarks has declined somewhat in recent years, but it remains the authoritative data source on the social profile of universities.  For example, the 2010/11 data shows that </w:t>
      </w:r>
      <w:r w:rsidR="00822F52" w:rsidRPr="000C7050">
        <w:rPr>
          <w:sz w:val="24"/>
          <w:szCs w:val="24"/>
        </w:rPr>
        <w:t xml:space="preserve">the </w:t>
      </w:r>
      <w:r w:rsidRPr="000C7050">
        <w:rPr>
          <w:sz w:val="24"/>
          <w:szCs w:val="24"/>
        </w:rPr>
        <w:t xml:space="preserve">University </w:t>
      </w:r>
      <w:r w:rsidR="00822F52" w:rsidRPr="000C7050">
        <w:rPr>
          <w:sz w:val="24"/>
          <w:szCs w:val="24"/>
        </w:rPr>
        <w:t>of Sunderland recruits 26.9</w:t>
      </w:r>
      <w:r w:rsidRPr="000C7050">
        <w:rPr>
          <w:sz w:val="24"/>
          <w:szCs w:val="24"/>
        </w:rPr>
        <w:t xml:space="preserve"> percent of its young full-time </w:t>
      </w:r>
      <w:r w:rsidR="00822F52" w:rsidRPr="000C7050">
        <w:rPr>
          <w:sz w:val="24"/>
          <w:szCs w:val="24"/>
        </w:rPr>
        <w:t>degree students from LPNs, compared to just 2.5 percent at the University of Oxford</w:t>
      </w:r>
      <w:r w:rsidRPr="000C7050">
        <w:rPr>
          <w:sz w:val="24"/>
          <w:szCs w:val="24"/>
        </w:rPr>
        <w:t xml:space="preserve">.  </w:t>
      </w:r>
      <w:r w:rsidR="00B95BAE">
        <w:rPr>
          <w:sz w:val="24"/>
          <w:szCs w:val="24"/>
        </w:rPr>
        <w:t>While there are no</w:t>
      </w:r>
      <w:r w:rsidRPr="000C7050">
        <w:rPr>
          <w:sz w:val="24"/>
          <w:szCs w:val="24"/>
        </w:rPr>
        <w:t xml:space="preserve"> penalties for universities failing to </w:t>
      </w:r>
      <w:r w:rsidR="00B95BAE">
        <w:rPr>
          <w:sz w:val="24"/>
          <w:szCs w:val="24"/>
        </w:rPr>
        <w:t>make</w:t>
      </w:r>
      <w:r w:rsidRPr="000C7050">
        <w:rPr>
          <w:sz w:val="24"/>
          <w:szCs w:val="24"/>
        </w:rPr>
        <w:t xml:space="preserve"> year-on-year progress</w:t>
      </w:r>
      <w:r w:rsidR="00B95BAE">
        <w:rPr>
          <w:sz w:val="24"/>
          <w:szCs w:val="24"/>
        </w:rPr>
        <w:t xml:space="preserve"> on recruiting from LPNs, they are increasingly being used for target setting within universities.</w:t>
      </w:r>
    </w:p>
    <w:p w:rsidR="000A2E04" w:rsidRPr="000C7050" w:rsidRDefault="000A2E04" w:rsidP="000A2E04">
      <w:pPr>
        <w:pStyle w:val="ListParagraph"/>
        <w:spacing w:line="360" w:lineRule="auto"/>
        <w:rPr>
          <w:sz w:val="24"/>
          <w:szCs w:val="24"/>
        </w:rPr>
      </w:pPr>
    </w:p>
    <w:p w:rsidR="00B75A98" w:rsidRPr="000C7050" w:rsidRDefault="00B75A98" w:rsidP="003E581D">
      <w:pPr>
        <w:pStyle w:val="ListParagraph"/>
        <w:numPr>
          <w:ilvl w:val="0"/>
          <w:numId w:val="3"/>
        </w:numPr>
        <w:spacing w:line="360" w:lineRule="auto"/>
        <w:rPr>
          <w:sz w:val="24"/>
          <w:szCs w:val="24"/>
        </w:rPr>
      </w:pPr>
      <w:r w:rsidRPr="000C7050">
        <w:rPr>
          <w:sz w:val="24"/>
          <w:szCs w:val="24"/>
          <w:u w:val="single"/>
        </w:rPr>
        <w:t>Monitoring application trends.</w:t>
      </w:r>
      <w:r w:rsidRPr="000C7050">
        <w:rPr>
          <w:sz w:val="24"/>
          <w:szCs w:val="24"/>
        </w:rPr>
        <w:t xml:space="preserve">  The HESA datasets take around 1</w:t>
      </w:r>
      <w:r w:rsidR="00F116B6" w:rsidRPr="000C7050">
        <w:rPr>
          <w:sz w:val="24"/>
          <w:szCs w:val="24"/>
        </w:rPr>
        <w:t>8</w:t>
      </w:r>
      <w:r w:rsidRPr="000C7050">
        <w:rPr>
          <w:sz w:val="24"/>
          <w:szCs w:val="24"/>
        </w:rPr>
        <w:t xml:space="preserve"> months to emerge, reliant on data being provided by universities and a period of processing and validation.  The initial data on applications to higher education is provided through the data collected by UCAS as part of the admissions process.  Until 20</w:t>
      </w:r>
      <w:r w:rsidR="00084362" w:rsidRPr="000C7050">
        <w:rPr>
          <w:sz w:val="24"/>
          <w:szCs w:val="24"/>
        </w:rPr>
        <w:t>09</w:t>
      </w:r>
      <w:r w:rsidRPr="000C7050">
        <w:rPr>
          <w:sz w:val="24"/>
          <w:szCs w:val="24"/>
        </w:rPr>
        <w:t xml:space="preserve">, the primary data collected </w:t>
      </w:r>
      <w:r w:rsidR="000A2E04" w:rsidRPr="000C7050">
        <w:rPr>
          <w:sz w:val="24"/>
          <w:szCs w:val="24"/>
        </w:rPr>
        <w:t xml:space="preserve">and reported </w:t>
      </w:r>
      <w:r w:rsidRPr="000C7050">
        <w:rPr>
          <w:sz w:val="24"/>
          <w:szCs w:val="24"/>
        </w:rPr>
        <w:t xml:space="preserve">related to the occupation of </w:t>
      </w:r>
      <w:r w:rsidR="00350DEE" w:rsidRPr="000C7050">
        <w:rPr>
          <w:sz w:val="24"/>
          <w:szCs w:val="24"/>
        </w:rPr>
        <w:t>an</w:t>
      </w:r>
      <w:r w:rsidRPr="000C7050">
        <w:rPr>
          <w:sz w:val="24"/>
          <w:szCs w:val="24"/>
        </w:rPr>
        <w:t xml:space="preserve"> applicant's parents</w:t>
      </w:r>
      <w:r w:rsidR="00B95BAE">
        <w:rPr>
          <w:sz w:val="24"/>
          <w:szCs w:val="24"/>
        </w:rPr>
        <w:t xml:space="preserve"> through NS-SEC</w:t>
      </w:r>
      <w:r w:rsidRPr="000C7050">
        <w:rPr>
          <w:sz w:val="24"/>
          <w:szCs w:val="24"/>
        </w:rPr>
        <w:t>.  However, due to on-going concerns about the relia</w:t>
      </w:r>
      <w:r w:rsidR="00084362" w:rsidRPr="000C7050">
        <w:rPr>
          <w:sz w:val="24"/>
          <w:szCs w:val="24"/>
        </w:rPr>
        <w:t>bility and validity of this data</w:t>
      </w:r>
      <w:r w:rsidR="000A2E04" w:rsidRPr="000C7050">
        <w:rPr>
          <w:sz w:val="24"/>
          <w:szCs w:val="24"/>
        </w:rPr>
        <w:t xml:space="preserve"> (DBIS 2011a)</w:t>
      </w:r>
      <w:r w:rsidRPr="000C7050">
        <w:rPr>
          <w:sz w:val="24"/>
          <w:szCs w:val="24"/>
        </w:rPr>
        <w:t>, this has recently been dropped in favour of LPNs</w:t>
      </w:r>
      <w:r w:rsidR="00F116B6" w:rsidRPr="000C7050">
        <w:rPr>
          <w:sz w:val="24"/>
          <w:szCs w:val="24"/>
        </w:rPr>
        <w:t xml:space="preserve"> using the POLAR methodology</w:t>
      </w:r>
      <w:r w:rsidR="00B95BAE">
        <w:rPr>
          <w:sz w:val="24"/>
          <w:szCs w:val="24"/>
        </w:rPr>
        <w:t xml:space="preserve"> (UCAS 2012)</w:t>
      </w:r>
      <w:r w:rsidRPr="000C7050">
        <w:rPr>
          <w:sz w:val="24"/>
          <w:szCs w:val="24"/>
        </w:rPr>
        <w:t xml:space="preserve">.  </w:t>
      </w:r>
      <w:r w:rsidR="0043594E" w:rsidRPr="000C7050">
        <w:rPr>
          <w:sz w:val="24"/>
          <w:szCs w:val="24"/>
        </w:rPr>
        <w:t>T</w:t>
      </w:r>
      <w:r w:rsidRPr="000C7050">
        <w:rPr>
          <w:sz w:val="24"/>
          <w:szCs w:val="24"/>
        </w:rPr>
        <w:t xml:space="preserve">he ability to </w:t>
      </w:r>
      <w:r w:rsidR="0043594E" w:rsidRPr="000C7050">
        <w:rPr>
          <w:sz w:val="24"/>
          <w:szCs w:val="24"/>
        </w:rPr>
        <w:t xml:space="preserve">directly </w:t>
      </w:r>
      <w:r w:rsidRPr="000C7050">
        <w:rPr>
          <w:sz w:val="24"/>
          <w:szCs w:val="24"/>
        </w:rPr>
        <w:t xml:space="preserve">map postcodes (collected on the application form) to LPNs means </w:t>
      </w:r>
      <w:r w:rsidR="0043594E" w:rsidRPr="000C7050">
        <w:rPr>
          <w:sz w:val="24"/>
          <w:szCs w:val="24"/>
        </w:rPr>
        <w:t>that this more readily available data is currently preferred</w:t>
      </w:r>
      <w:r w:rsidRPr="000C7050">
        <w:rPr>
          <w:sz w:val="24"/>
          <w:szCs w:val="24"/>
        </w:rPr>
        <w:t xml:space="preserve">.  In future, </w:t>
      </w:r>
      <w:r w:rsidR="00B95BAE">
        <w:rPr>
          <w:sz w:val="24"/>
          <w:szCs w:val="24"/>
        </w:rPr>
        <w:t>therefore, media coverage around the</w:t>
      </w:r>
      <w:r w:rsidRPr="000C7050">
        <w:rPr>
          <w:sz w:val="24"/>
          <w:szCs w:val="24"/>
        </w:rPr>
        <w:t xml:space="preserve"> social profile of applicants will relate to LPNs.</w:t>
      </w:r>
    </w:p>
    <w:p w:rsidR="00B75A98" w:rsidRPr="000C7050" w:rsidRDefault="00B75A98" w:rsidP="003E581D">
      <w:pPr>
        <w:spacing w:line="360" w:lineRule="auto"/>
        <w:rPr>
          <w:sz w:val="24"/>
          <w:szCs w:val="24"/>
        </w:rPr>
      </w:pPr>
    </w:p>
    <w:p w:rsidR="00B75A98" w:rsidRPr="000C7050" w:rsidRDefault="00B75A98" w:rsidP="003E581D">
      <w:pPr>
        <w:pStyle w:val="ListParagraph"/>
        <w:numPr>
          <w:ilvl w:val="0"/>
          <w:numId w:val="3"/>
        </w:numPr>
        <w:spacing w:line="360" w:lineRule="auto"/>
        <w:rPr>
          <w:sz w:val="24"/>
          <w:szCs w:val="24"/>
        </w:rPr>
      </w:pPr>
      <w:r w:rsidRPr="000C7050">
        <w:rPr>
          <w:sz w:val="24"/>
          <w:szCs w:val="24"/>
          <w:u w:val="single"/>
        </w:rPr>
        <w:t>Allocating student funding.</w:t>
      </w:r>
      <w:r w:rsidR="00FE6CB5" w:rsidRPr="000C7050">
        <w:rPr>
          <w:sz w:val="24"/>
          <w:szCs w:val="24"/>
        </w:rPr>
        <w:t xml:space="preserve">  </w:t>
      </w:r>
      <w:r w:rsidR="008D161D" w:rsidRPr="000C7050">
        <w:rPr>
          <w:sz w:val="24"/>
          <w:szCs w:val="24"/>
        </w:rPr>
        <w:t>The use of geographical areas to allocate discretionary funding to individual students dates back to the Opportunity Bursaries launched in 2001 (DFEE 2000).  In this instance, it was whole local authority areas that were targeted, although not necessarily those with the highest need (Hatt, Baxter and Harrison 2003).</w:t>
      </w:r>
      <w:r w:rsidR="004A309F" w:rsidRPr="000C7050">
        <w:rPr>
          <w:sz w:val="24"/>
          <w:szCs w:val="24"/>
        </w:rPr>
        <w:t xml:space="preserve">  Similar </w:t>
      </w:r>
      <w:r w:rsidR="00A60E16" w:rsidRPr="000C7050">
        <w:rPr>
          <w:sz w:val="24"/>
          <w:szCs w:val="24"/>
        </w:rPr>
        <w:t>targeting</w:t>
      </w:r>
      <w:r w:rsidR="004A309F" w:rsidRPr="000C7050">
        <w:rPr>
          <w:sz w:val="24"/>
          <w:szCs w:val="24"/>
        </w:rPr>
        <w:t xml:space="preserve"> continued with the introduction of the new wave of student bursaries in 2006 under the Higher Educa</w:t>
      </w:r>
      <w:r w:rsidR="00A60E16" w:rsidRPr="000C7050">
        <w:rPr>
          <w:sz w:val="24"/>
          <w:szCs w:val="24"/>
        </w:rPr>
        <w:t>tion Act</w:t>
      </w:r>
      <w:r w:rsidR="00350DEE" w:rsidRPr="000C7050">
        <w:rPr>
          <w:sz w:val="24"/>
          <w:szCs w:val="24"/>
        </w:rPr>
        <w:t xml:space="preserve"> 2004</w:t>
      </w:r>
      <w:r w:rsidR="00A60E16" w:rsidRPr="000C7050">
        <w:rPr>
          <w:sz w:val="24"/>
          <w:szCs w:val="24"/>
        </w:rPr>
        <w:t xml:space="preserve">, with </w:t>
      </w:r>
      <w:r w:rsidR="00350DEE" w:rsidRPr="000C7050">
        <w:rPr>
          <w:sz w:val="24"/>
          <w:szCs w:val="24"/>
        </w:rPr>
        <w:t>many</w:t>
      </w:r>
      <w:r w:rsidR="00A60E16" w:rsidRPr="000C7050">
        <w:rPr>
          <w:sz w:val="24"/>
          <w:szCs w:val="24"/>
        </w:rPr>
        <w:t xml:space="preserve"> universities offering additional funding to students in certain postcodes – either by ‘localness’ or perceived need (Harrison and Hatt 2012).</w:t>
      </w:r>
      <w:r w:rsidR="009F7490" w:rsidRPr="000C7050">
        <w:rPr>
          <w:sz w:val="24"/>
          <w:szCs w:val="24"/>
        </w:rPr>
        <w:t xml:space="preserve">  This has now begun to articulate with the use of LPNs, with those living within these areas being offered bursaries </w:t>
      </w:r>
      <w:r w:rsidR="00D319BC" w:rsidRPr="000C7050">
        <w:rPr>
          <w:sz w:val="24"/>
          <w:szCs w:val="24"/>
        </w:rPr>
        <w:t>preferentially</w:t>
      </w:r>
      <w:r w:rsidR="00715C3D" w:rsidRPr="000C7050">
        <w:rPr>
          <w:sz w:val="24"/>
          <w:szCs w:val="24"/>
        </w:rPr>
        <w:t xml:space="preserve"> those living</w:t>
      </w:r>
      <w:r w:rsidR="009F7490" w:rsidRPr="000C7050">
        <w:rPr>
          <w:sz w:val="24"/>
          <w:szCs w:val="24"/>
        </w:rPr>
        <w:t xml:space="preserve"> outside them.  </w:t>
      </w:r>
      <w:r w:rsidR="00831DE6" w:rsidRPr="000C7050">
        <w:rPr>
          <w:rFonts w:cstheme="minorHAnsi"/>
          <w:color w:val="000000"/>
          <w:sz w:val="24"/>
          <w:szCs w:val="24"/>
        </w:rPr>
        <w:t xml:space="preserve">The </w:t>
      </w:r>
      <w:r w:rsidR="00831DE6" w:rsidRPr="000C7050">
        <w:rPr>
          <w:rFonts w:cstheme="minorHAnsi"/>
          <w:bCs/>
          <w:color w:val="000000"/>
          <w:sz w:val="24"/>
          <w:szCs w:val="24"/>
        </w:rPr>
        <w:t xml:space="preserve">formative evaluation of the new National Scholarship Programme (NSP) award also found that LPN and other </w:t>
      </w:r>
      <w:r w:rsidR="00831DE6" w:rsidRPr="000C7050">
        <w:rPr>
          <w:rFonts w:cstheme="minorHAnsi"/>
          <w:bCs/>
          <w:color w:val="000000"/>
          <w:sz w:val="24"/>
          <w:szCs w:val="24"/>
        </w:rPr>
        <w:lastRenderedPageBreak/>
        <w:t xml:space="preserve">area-based data was used by over a third of </w:t>
      </w:r>
      <w:r w:rsidR="00831DE6" w:rsidRPr="000C7050">
        <w:rPr>
          <w:rFonts w:cstheme="minorHAnsi"/>
          <w:color w:val="000000"/>
          <w:sz w:val="24"/>
          <w:szCs w:val="24"/>
        </w:rPr>
        <w:t>universities</w:t>
      </w:r>
      <w:r w:rsidR="00831DE6" w:rsidRPr="000C7050">
        <w:rPr>
          <w:rFonts w:eastAsia="Times New Roman" w:cstheme="minorHAnsi"/>
          <w:color w:val="000000"/>
          <w:sz w:val="24"/>
          <w:szCs w:val="24"/>
        </w:rPr>
        <w:t xml:space="preserve"> </w:t>
      </w:r>
      <w:r w:rsidR="00831DE6" w:rsidRPr="000C7050">
        <w:rPr>
          <w:rFonts w:cstheme="minorHAnsi"/>
          <w:bCs/>
          <w:color w:val="000000"/>
          <w:sz w:val="24"/>
          <w:szCs w:val="24"/>
        </w:rPr>
        <w:t>to determine additional qualifying criteria for their allocation (Diamond et al 2012)</w:t>
      </w:r>
      <w:r w:rsidR="00B95BAE">
        <w:rPr>
          <w:rFonts w:cstheme="minorHAnsi"/>
          <w:bCs/>
          <w:color w:val="000000"/>
          <w:sz w:val="24"/>
          <w:szCs w:val="24"/>
        </w:rPr>
        <w:t>.</w:t>
      </w:r>
    </w:p>
    <w:p w:rsidR="00B75A98" w:rsidRPr="000C7050" w:rsidRDefault="00B75A98" w:rsidP="003E581D">
      <w:pPr>
        <w:spacing w:line="360" w:lineRule="auto"/>
        <w:rPr>
          <w:sz w:val="24"/>
          <w:szCs w:val="24"/>
        </w:rPr>
      </w:pPr>
    </w:p>
    <w:p w:rsidR="00D04543" w:rsidRDefault="00B75A98" w:rsidP="003E581D">
      <w:pPr>
        <w:pStyle w:val="ListParagraph"/>
        <w:numPr>
          <w:ilvl w:val="0"/>
          <w:numId w:val="3"/>
        </w:numPr>
        <w:spacing w:line="360" w:lineRule="auto"/>
        <w:rPr>
          <w:sz w:val="24"/>
          <w:szCs w:val="24"/>
        </w:rPr>
      </w:pPr>
      <w:r w:rsidRPr="000C7050">
        <w:rPr>
          <w:sz w:val="24"/>
          <w:szCs w:val="24"/>
          <w:u w:val="single"/>
        </w:rPr>
        <w:t>Allocating university funding.</w:t>
      </w:r>
      <w:r w:rsidR="007974AD" w:rsidRPr="000C7050">
        <w:rPr>
          <w:sz w:val="24"/>
          <w:szCs w:val="24"/>
        </w:rPr>
        <w:t xml:space="preserve">  As outlined above, universities have been financially rewarded (or compensated, depending on one’s perspective) for recruiting students from LPNs since the early 2000s.  This funding stream has been reconfigured over time, renamed as </w:t>
      </w:r>
      <w:r w:rsidR="007974AD" w:rsidRPr="00B95BAE">
        <w:rPr>
          <w:i/>
          <w:sz w:val="24"/>
          <w:szCs w:val="24"/>
        </w:rPr>
        <w:t xml:space="preserve">Widening Participation </w:t>
      </w:r>
      <w:r w:rsidR="00AA2889" w:rsidRPr="00B95BAE">
        <w:rPr>
          <w:i/>
          <w:sz w:val="24"/>
          <w:szCs w:val="24"/>
        </w:rPr>
        <w:t>Funding</w:t>
      </w:r>
      <w:r w:rsidR="007974AD" w:rsidRPr="000C7050">
        <w:rPr>
          <w:sz w:val="24"/>
          <w:szCs w:val="24"/>
        </w:rPr>
        <w:t xml:space="preserve"> and using the POLAR methodology for allocation</w:t>
      </w:r>
      <w:r w:rsidR="0061157E" w:rsidRPr="000C7050">
        <w:rPr>
          <w:sz w:val="24"/>
          <w:szCs w:val="24"/>
        </w:rPr>
        <w:t xml:space="preserve"> (for younger students, with mature students being allotted to similar ward-based quintiles)</w:t>
      </w:r>
      <w:r w:rsidR="007974AD" w:rsidRPr="000C7050">
        <w:rPr>
          <w:sz w:val="24"/>
          <w:szCs w:val="24"/>
        </w:rPr>
        <w:t>.  A total of £12</w:t>
      </w:r>
      <w:r w:rsidR="00873126" w:rsidRPr="000C7050">
        <w:rPr>
          <w:sz w:val="24"/>
          <w:szCs w:val="24"/>
        </w:rPr>
        <w:t>8</w:t>
      </w:r>
      <w:r w:rsidR="007974AD" w:rsidRPr="000C7050">
        <w:rPr>
          <w:sz w:val="24"/>
          <w:szCs w:val="24"/>
        </w:rPr>
        <w:t xml:space="preserve">m </w:t>
      </w:r>
      <w:r w:rsidR="00873126" w:rsidRPr="000C7050">
        <w:rPr>
          <w:sz w:val="24"/>
          <w:szCs w:val="24"/>
        </w:rPr>
        <w:t>wa</w:t>
      </w:r>
      <w:r w:rsidR="007974AD" w:rsidRPr="000C7050">
        <w:rPr>
          <w:sz w:val="24"/>
          <w:szCs w:val="24"/>
        </w:rPr>
        <w:t xml:space="preserve">s </w:t>
      </w:r>
      <w:proofErr w:type="spellStart"/>
      <w:r w:rsidR="007974AD" w:rsidRPr="000C7050">
        <w:rPr>
          <w:sz w:val="24"/>
          <w:szCs w:val="24"/>
        </w:rPr>
        <w:t>ringfenced</w:t>
      </w:r>
      <w:proofErr w:type="spellEnd"/>
      <w:r w:rsidR="007974AD" w:rsidRPr="000C7050">
        <w:rPr>
          <w:sz w:val="24"/>
          <w:szCs w:val="24"/>
        </w:rPr>
        <w:t xml:space="preserve"> for this purpose in the 2012/13 academic year, amounting to an average of around £1m per university, although the figures clearly vary dramatically between </w:t>
      </w:r>
      <w:r w:rsidR="00C60E77" w:rsidRPr="000C7050">
        <w:rPr>
          <w:sz w:val="24"/>
          <w:szCs w:val="24"/>
        </w:rPr>
        <w:t>universities</w:t>
      </w:r>
      <w:r w:rsidR="0061157E" w:rsidRPr="000C7050">
        <w:rPr>
          <w:sz w:val="24"/>
          <w:szCs w:val="24"/>
        </w:rPr>
        <w:t>, with many attracting £2m or more</w:t>
      </w:r>
      <w:r w:rsidR="007974AD" w:rsidRPr="000C7050">
        <w:rPr>
          <w:sz w:val="24"/>
          <w:szCs w:val="24"/>
        </w:rPr>
        <w:t>.</w:t>
      </w:r>
      <w:r w:rsidR="00207A1A" w:rsidRPr="000C7050">
        <w:rPr>
          <w:sz w:val="24"/>
          <w:szCs w:val="24"/>
        </w:rPr>
        <w:t xml:space="preserve">  </w:t>
      </w:r>
      <w:r w:rsidR="00EE7800" w:rsidRPr="000C7050">
        <w:rPr>
          <w:sz w:val="24"/>
          <w:szCs w:val="24"/>
        </w:rPr>
        <w:t xml:space="preserve">This is justified </w:t>
      </w:r>
      <w:r w:rsidR="00F01460">
        <w:rPr>
          <w:sz w:val="24"/>
          <w:szCs w:val="24"/>
        </w:rPr>
        <w:t xml:space="preserve">as being </w:t>
      </w:r>
      <w:proofErr w:type="spellStart"/>
      <w:r w:rsidR="00EE7800" w:rsidRPr="000C7050">
        <w:rPr>
          <w:sz w:val="24"/>
          <w:szCs w:val="24"/>
        </w:rPr>
        <w:t>to</w:t>
      </w:r>
      <w:proofErr w:type="spellEnd"/>
      <w:r w:rsidR="00EE7800" w:rsidRPr="000C7050">
        <w:rPr>
          <w:sz w:val="24"/>
          <w:szCs w:val="24"/>
        </w:rPr>
        <w:t xml:space="preserve"> “recognise the extra costs associated with recruiting and supporting students from disadvantaged backgrounds who are currently under-represented in higher education” (HEFCE 2012</w:t>
      </w:r>
      <w:r w:rsidR="00CA04D4" w:rsidRPr="000C7050">
        <w:rPr>
          <w:sz w:val="24"/>
          <w:szCs w:val="24"/>
        </w:rPr>
        <w:t>c</w:t>
      </w:r>
      <w:r w:rsidR="002E3410" w:rsidRPr="000C7050">
        <w:rPr>
          <w:sz w:val="24"/>
          <w:szCs w:val="24"/>
        </w:rPr>
        <w:t>: 27</w:t>
      </w:r>
      <w:r w:rsidR="00EE7800" w:rsidRPr="000C7050">
        <w:rPr>
          <w:sz w:val="24"/>
          <w:szCs w:val="24"/>
        </w:rPr>
        <w:t>).</w:t>
      </w:r>
      <w:r w:rsidR="00AA2889" w:rsidRPr="000C7050">
        <w:rPr>
          <w:sz w:val="24"/>
          <w:szCs w:val="24"/>
        </w:rPr>
        <w:t xml:space="preserve">  It is proposed that this should continue into 2013/14 and beyond, although rebranded as </w:t>
      </w:r>
      <w:r w:rsidR="00AA2889" w:rsidRPr="000C7050">
        <w:rPr>
          <w:i/>
          <w:sz w:val="24"/>
          <w:szCs w:val="24"/>
        </w:rPr>
        <w:t>Student Opportunity Funding</w:t>
      </w:r>
      <w:r w:rsidR="00AA2889" w:rsidRPr="000C7050">
        <w:rPr>
          <w:sz w:val="24"/>
          <w:szCs w:val="24"/>
        </w:rPr>
        <w:t>.</w:t>
      </w:r>
      <w:r w:rsidR="0061157E" w:rsidRPr="000C7050">
        <w:rPr>
          <w:sz w:val="24"/>
          <w:szCs w:val="24"/>
        </w:rPr>
        <w:t xml:space="preserve">  </w:t>
      </w:r>
      <w:r w:rsidR="001B18FC" w:rsidRPr="000C7050">
        <w:rPr>
          <w:sz w:val="24"/>
          <w:szCs w:val="24"/>
        </w:rPr>
        <w:t>As headline figures,</w:t>
      </w:r>
      <w:r w:rsidR="0061157E" w:rsidRPr="000C7050">
        <w:rPr>
          <w:sz w:val="24"/>
          <w:szCs w:val="24"/>
        </w:rPr>
        <w:t xml:space="preserve"> u</w:t>
      </w:r>
      <w:r w:rsidR="00207A1A" w:rsidRPr="000C7050">
        <w:rPr>
          <w:sz w:val="24"/>
          <w:szCs w:val="24"/>
        </w:rPr>
        <w:t>niversities are allotted an extra £</w:t>
      </w:r>
      <w:r w:rsidR="0061157E" w:rsidRPr="000C7050">
        <w:rPr>
          <w:sz w:val="24"/>
          <w:szCs w:val="24"/>
        </w:rPr>
        <w:t>356</w:t>
      </w:r>
      <w:r w:rsidR="00207A1A" w:rsidRPr="000C7050">
        <w:rPr>
          <w:sz w:val="24"/>
          <w:szCs w:val="24"/>
        </w:rPr>
        <w:t xml:space="preserve"> for every </w:t>
      </w:r>
      <w:r w:rsidR="0061157E" w:rsidRPr="000C7050">
        <w:rPr>
          <w:sz w:val="24"/>
          <w:szCs w:val="24"/>
        </w:rPr>
        <w:t xml:space="preserve">full-time </w:t>
      </w:r>
      <w:r w:rsidR="00E77149" w:rsidRPr="000C7050">
        <w:rPr>
          <w:sz w:val="24"/>
          <w:szCs w:val="24"/>
        </w:rPr>
        <w:t>undergraduate</w:t>
      </w:r>
      <w:r w:rsidR="00207A1A" w:rsidRPr="000C7050">
        <w:rPr>
          <w:sz w:val="24"/>
          <w:szCs w:val="24"/>
        </w:rPr>
        <w:t xml:space="preserve"> recruited from POLAR Quintile 1 and £</w:t>
      </w:r>
      <w:r w:rsidR="0061157E" w:rsidRPr="000C7050">
        <w:rPr>
          <w:sz w:val="24"/>
          <w:szCs w:val="24"/>
        </w:rPr>
        <w:t>178</w:t>
      </w:r>
      <w:r w:rsidR="00207A1A" w:rsidRPr="000C7050">
        <w:rPr>
          <w:sz w:val="24"/>
          <w:szCs w:val="24"/>
        </w:rPr>
        <w:t xml:space="preserve"> for every student recruited from POLAR Quintile </w:t>
      </w:r>
      <w:r w:rsidR="00247F7F" w:rsidRPr="000C7050">
        <w:rPr>
          <w:sz w:val="24"/>
          <w:szCs w:val="24"/>
        </w:rPr>
        <w:t xml:space="preserve">2, regardless of other variables </w:t>
      </w:r>
      <w:r w:rsidR="00EE7800" w:rsidRPr="000C7050">
        <w:rPr>
          <w:sz w:val="24"/>
          <w:szCs w:val="24"/>
        </w:rPr>
        <w:t>describing</w:t>
      </w:r>
      <w:r w:rsidR="0061157E" w:rsidRPr="000C7050">
        <w:rPr>
          <w:sz w:val="24"/>
          <w:szCs w:val="24"/>
        </w:rPr>
        <w:t xml:space="preserve"> </w:t>
      </w:r>
      <w:r w:rsidR="00247F7F" w:rsidRPr="000C7050">
        <w:rPr>
          <w:sz w:val="24"/>
          <w:szCs w:val="24"/>
        </w:rPr>
        <w:t>disadvantage</w:t>
      </w:r>
      <w:r w:rsidR="001B18FC" w:rsidRPr="000C7050">
        <w:rPr>
          <w:sz w:val="24"/>
          <w:szCs w:val="24"/>
        </w:rPr>
        <w:t>; t</w:t>
      </w:r>
      <w:r w:rsidR="0061157E" w:rsidRPr="000C7050">
        <w:rPr>
          <w:sz w:val="24"/>
          <w:szCs w:val="24"/>
        </w:rPr>
        <w:t xml:space="preserve">here is a London uplift and different figures for part-time undergraduates.  </w:t>
      </w:r>
      <w:r w:rsidR="001B18FC" w:rsidRPr="000C7050">
        <w:rPr>
          <w:sz w:val="24"/>
          <w:szCs w:val="24"/>
        </w:rPr>
        <w:t>T</w:t>
      </w:r>
      <w:r w:rsidR="0061157E" w:rsidRPr="000C7050">
        <w:rPr>
          <w:sz w:val="24"/>
          <w:szCs w:val="24"/>
        </w:rPr>
        <w:t xml:space="preserve">here is </w:t>
      </w:r>
      <w:r w:rsidR="001B18FC" w:rsidRPr="000C7050">
        <w:rPr>
          <w:sz w:val="24"/>
          <w:szCs w:val="24"/>
        </w:rPr>
        <w:t xml:space="preserve">therefore </w:t>
      </w:r>
      <w:r w:rsidR="0061157E" w:rsidRPr="000C7050">
        <w:rPr>
          <w:sz w:val="24"/>
          <w:szCs w:val="24"/>
        </w:rPr>
        <w:t xml:space="preserve">a </w:t>
      </w:r>
      <w:r w:rsidR="001B18FC" w:rsidRPr="000C7050">
        <w:rPr>
          <w:sz w:val="24"/>
          <w:szCs w:val="24"/>
        </w:rPr>
        <w:t xml:space="preserve">clear, if small, </w:t>
      </w:r>
      <w:r w:rsidR="0061157E" w:rsidRPr="000C7050">
        <w:rPr>
          <w:sz w:val="24"/>
          <w:szCs w:val="24"/>
        </w:rPr>
        <w:t xml:space="preserve">financial incentive </w:t>
      </w:r>
      <w:r w:rsidR="00E77149" w:rsidRPr="000C7050">
        <w:rPr>
          <w:sz w:val="24"/>
          <w:szCs w:val="24"/>
        </w:rPr>
        <w:t>for universities to r</w:t>
      </w:r>
      <w:r w:rsidR="00F77379" w:rsidRPr="000C7050">
        <w:rPr>
          <w:sz w:val="24"/>
          <w:szCs w:val="24"/>
        </w:rPr>
        <w:t xml:space="preserve">ecruit </w:t>
      </w:r>
      <w:r w:rsidR="00146A49" w:rsidRPr="000C7050">
        <w:rPr>
          <w:sz w:val="24"/>
          <w:szCs w:val="24"/>
        </w:rPr>
        <w:t xml:space="preserve">preferentially </w:t>
      </w:r>
      <w:r w:rsidR="00F77379" w:rsidRPr="000C7050">
        <w:rPr>
          <w:sz w:val="24"/>
          <w:szCs w:val="24"/>
        </w:rPr>
        <w:t>from LPNs, regardless of the actual disadva</w:t>
      </w:r>
      <w:r w:rsidR="001B18FC" w:rsidRPr="000C7050">
        <w:rPr>
          <w:sz w:val="24"/>
          <w:szCs w:val="24"/>
        </w:rPr>
        <w:t>ntage of the individual student.</w:t>
      </w:r>
    </w:p>
    <w:p w:rsidR="00B95BAE" w:rsidRPr="000C7050" w:rsidRDefault="00B95BAE" w:rsidP="00B95BAE">
      <w:pPr>
        <w:spacing w:line="360" w:lineRule="auto"/>
        <w:rPr>
          <w:sz w:val="24"/>
          <w:szCs w:val="24"/>
        </w:rPr>
      </w:pPr>
    </w:p>
    <w:p w:rsidR="00B95BAE" w:rsidRPr="00B95BAE" w:rsidRDefault="00B95BAE" w:rsidP="00B95BAE">
      <w:pPr>
        <w:pStyle w:val="ListParagraph"/>
        <w:numPr>
          <w:ilvl w:val="0"/>
          <w:numId w:val="3"/>
        </w:numPr>
        <w:spacing w:line="360" w:lineRule="auto"/>
        <w:rPr>
          <w:sz w:val="24"/>
          <w:szCs w:val="24"/>
        </w:rPr>
      </w:pPr>
      <w:r w:rsidRPr="000C7050">
        <w:rPr>
          <w:sz w:val="24"/>
          <w:szCs w:val="24"/>
          <w:u w:val="single"/>
        </w:rPr>
        <w:t>Targeting outreach activities.</w:t>
      </w:r>
      <w:r w:rsidRPr="000C7050">
        <w:rPr>
          <w:sz w:val="24"/>
          <w:szCs w:val="24"/>
        </w:rPr>
        <w:t xml:space="preserve">  As noted above, HEFCE (2007b) established the principle that LPNs should be used in the targeting of outreach activities, alongside other area-based indicators and local knowledge.  This paradigm remains dominant (HEFCE 2012b) and has become strongly embedded in some universities, with resources being strongly directed at LPNs in order to meet participation targets laid out within Access Agreements.  </w:t>
      </w:r>
      <w:r>
        <w:rPr>
          <w:sz w:val="24"/>
          <w:szCs w:val="24"/>
        </w:rPr>
        <w:t>We will return to this in more detail shortly.</w:t>
      </w:r>
    </w:p>
    <w:p w:rsidR="00D04543" w:rsidRDefault="00D04543" w:rsidP="003E581D">
      <w:pPr>
        <w:spacing w:line="360" w:lineRule="auto"/>
        <w:rPr>
          <w:sz w:val="24"/>
          <w:szCs w:val="24"/>
        </w:rPr>
      </w:pPr>
    </w:p>
    <w:p w:rsidR="00D04543" w:rsidRPr="000C7050" w:rsidRDefault="00D04543" w:rsidP="003E581D">
      <w:pPr>
        <w:spacing w:line="360" w:lineRule="auto"/>
        <w:rPr>
          <w:sz w:val="24"/>
          <w:szCs w:val="24"/>
        </w:rPr>
      </w:pPr>
      <w:r w:rsidRPr="000C7050">
        <w:rPr>
          <w:sz w:val="24"/>
          <w:szCs w:val="24"/>
        </w:rPr>
        <w:t xml:space="preserve">We therefore </w:t>
      </w:r>
      <w:r w:rsidR="001B18FC" w:rsidRPr="000C7050">
        <w:rPr>
          <w:sz w:val="24"/>
          <w:szCs w:val="24"/>
        </w:rPr>
        <w:t>assert</w:t>
      </w:r>
      <w:r w:rsidRPr="000C7050">
        <w:rPr>
          <w:sz w:val="24"/>
          <w:szCs w:val="24"/>
        </w:rPr>
        <w:t xml:space="preserve"> that LPNs have become deeply ingrained within the collective psyche of the higher education sector.  They are used to monitor universities, allocate funds and target activities.  They are used as a broad proxy for disadvantage, despite the foundations </w:t>
      </w:r>
      <w:r w:rsidR="00293033" w:rsidRPr="000C7050">
        <w:rPr>
          <w:sz w:val="24"/>
          <w:szCs w:val="24"/>
        </w:rPr>
        <w:t>of this relationship being questionable</w:t>
      </w:r>
      <w:r w:rsidRPr="000C7050">
        <w:rPr>
          <w:sz w:val="24"/>
          <w:szCs w:val="24"/>
        </w:rPr>
        <w:t>.  We will go on to argue th</w:t>
      </w:r>
      <w:r w:rsidR="00B05A1A" w:rsidRPr="000C7050">
        <w:rPr>
          <w:sz w:val="24"/>
          <w:szCs w:val="24"/>
        </w:rPr>
        <w:t>at these roles collectively run</w:t>
      </w:r>
      <w:r w:rsidRPr="000C7050">
        <w:rPr>
          <w:sz w:val="24"/>
          <w:szCs w:val="24"/>
        </w:rPr>
        <w:t xml:space="preserve"> the risk of </w:t>
      </w:r>
      <w:r w:rsidRPr="000C7050">
        <w:rPr>
          <w:sz w:val="24"/>
          <w:szCs w:val="24"/>
        </w:rPr>
        <w:lastRenderedPageBreak/>
        <w:t xml:space="preserve">undermining the principles of widening participation.  However, we now move to document how LPNs have become strongly embedded in institutional widening participation strategies in recent </w:t>
      </w:r>
      <w:r w:rsidR="00497DB5" w:rsidRPr="000C7050">
        <w:rPr>
          <w:sz w:val="24"/>
          <w:szCs w:val="24"/>
        </w:rPr>
        <w:t>years.</w:t>
      </w:r>
    </w:p>
    <w:p w:rsidR="00D04543" w:rsidRPr="000C7050" w:rsidRDefault="00D04543" w:rsidP="003E581D">
      <w:pPr>
        <w:spacing w:line="360" w:lineRule="auto"/>
        <w:rPr>
          <w:sz w:val="24"/>
          <w:szCs w:val="24"/>
        </w:rPr>
      </w:pPr>
    </w:p>
    <w:p w:rsidR="00AA6619" w:rsidRPr="000C7050" w:rsidRDefault="00AA6619" w:rsidP="003E581D">
      <w:pPr>
        <w:spacing w:line="360" w:lineRule="auto"/>
        <w:rPr>
          <w:sz w:val="24"/>
          <w:szCs w:val="24"/>
        </w:rPr>
      </w:pPr>
    </w:p>
    <w:p w:rsidR="00F84E74" w:rsidRPr="000C7050" w:rsidRDefault="00F84E74" w:rsidP="003E581D">
      <w:pPr>
        <w:spacing w:line="360" w:lineRule="auto"/>
        <w:rPr>
          <w:b/>
          <w:sz w:val="24"/>
          <w:szCs w:val="24"/>
        </w:rPr>
      </w:pPr>
      <w:r w:rsidRPr="000C7050">
        <w:rPr>
          <w:b/>
          <w:sz w:val="24"/>
          <w:szCs w:val="24"/>
        </w:rPr>
        <w:t xml:space="preserve">The uses </w:t>
      </w:r>
      <w:r w:rsidR="00E213D6" w:rsidRPr="000C7050">
        <w:rPr>
          <w:b/>
          <w:sz w:val="24"/>
          <w:szCs w:val="24"/>
        </w:rPr>
        <w:t>(</w:t>
      </w:r>
      <w:r w:rsidRPr="000C7050">
        <w:rPr>
          <w:b/>
          <w:sz w:val="24"/>
          <w:szCs w:val="24"/>
        </w:rPr>
        <w:t xml:space="preserve">and </w:t>
      </w:r>
      <w:r w:rsidR="001F7076" w:rsidRPr="000C7050">
        <w:rPr>
          <w:b/>
          <w:sz w:val="24"/>
          <w:szCs w:val="24"/>
        </w:rPr>
        <w:t>mis</w:t>
      </w:r>
      <w:r w:rsidRPr="000C7050">
        <w:rPr>
          <w:b/>
          <w:sz w:val="24"/>
          <w:szCs w:val="24"/>
        </w:rPr>
        <w:t>us</w:t>
      </w:r>
      <w:r w:rsidR="001F7076" w:rsidRPr="000C7050">
        <w:rPr>
          <w:b/>
          <w:sz w:val="24"/>
          <w:szCs w:val="24"/>
        </w:rPr>
        <w:t>es</w:t>
      </w:r>
      <w:r w:rsidR="00E213D6" w:rsidRPr="000C7050">
        <w:rPr>
          <w:b/>
          <w:sz w:val="24"/>
          <w:szCs w:val="24"/>
        </w:rPr>
        <w:t>)</w:t>
      </w:r>
      <w:r w:rsidR="001F7076" w:rsidRPr="000C7050">
        <w:rPr>
          <w:b/>
          <w:sz w:val="24"/>
          <w:szCs w:val="24"/>
        </w:rPr>
        <w:t xml:space="preserve"> of LPNs </w:t>
      </w:r>
      <w:r w:rsidR="003913F3" w:rsidRPr="000C7050">
        <w:rPr>
          <w:b/>
          <w:sz w:val="24"/>
          <w:szCs w:val="24"/>
        </w:rPr>
        <w:t xml:space="preserve">by </w:t>
      </w:r>
      <w:r w:rsidR="00C60E77" w:rsidRPr="000C7050">
        <w:rPr>
          <w:b/>
          <w:sz w:val="24"/>
          <w:szCs w:val="24"/>
        </w:rPr>
        <w:t>universities</w:t>
      </w:r>
    </w:p>
    <w:p w:rsidR="003913F3" w:rsidRPr="000C7050" w:rsidRDefault="003913F3" w:rsidP="003E581D">
      <w:pPr>
        <w:spacing w:line="360" w:lineRule="auto"/>
        <w:rPr>
          <w:b/>
          <w:sz w:val="24"/>
          <w:szCs w:val="24"/>
        </w:rPr>
      </w:pPr>
    </w:p>
    <w:p w:rsidR="00F01460" w:rsidRPr="00F01460" w:rsidRDefault="00F01460" w:rsidP="00F01460">
      <w:pPr>
        <w:spacing w:line="360" w:lineRule="auto"/>
        <w:rPr>
          <w:bCs/>
          <w:sz w:val="24"/>
          <w:szCs w:val="24"/>
        </w:rPr>
      </w:pPr>
      <w:r>
        <w:rPr>
          <w:bCs/>
          <w:sz w:val="24"/>
          <w:szCs w:val="24"/>
        </w:rPr>
        <w:t>The implied p</w:t>
      </w:r>
      <w:r w:rsidR="00F84E74" w:rsidRPr="000C7050">
        <w:rPr>
          <w:bCs/>
          <w:sz w:val="24"/>
          <w:szCs w:val="24"/>
        </w:rPr>
        <w:t xml:space="preserve">ressure on </w:t>
      </w:r>
      <w:r w:rsidR="00541464" w:rsidRPr="000C7050">
        <w:rPr>
          <w:sz w:val="24"/>
          <w:szCs w:val="24"/>
        </w:rPr>
        <w:t>universities</w:t>
      </w:r>
      <w:r w:rsidR="00541464" w:rsidRPr="000C7050">
        <w:rPr>
          <w:bCs/>
          <w:sz w:val="24"/>
          <w:szCs w:val="24"/>
        </w:rPr>
        <w:t xml:space="preserve"> </w:t>
      </w:r>
      <w:r w:rsidR="00085715" w:rsidRPr="000C7050">
        <w:rPr>
          <w:bCs/>
          <w:sz w:val="24"/>
          <w:szCs w:val="24"/>
        </w:rPr>
        <w:t>to make use of LPN data has grown steadily</w:t>
      </w:r>
      <w:r>
        <w:rPr>
          <w:bCs/>
          <w:sz w:val="24"/>
          <w:szCs w:val="24"/>
        </w:rPr>
        <w:t>, through its use in league tables, targeting guidance and funding mechanisms</w:t>
      </w:r>
      <w:r w:rsidR="00C724B0" w:rsidRPr="000C7050">
        <w:rPr>
          <w:bCs/>
          <w:sz w:val="24"/>
          <w:szCs w:val="24"/>
        </w:rPr>
        <w:t xml:space="preserve">. </w:t>
      </w:r>
      <w:r w:rsidR="00664D11" w:rsidRPr="000C7050">
        <w:rPr>
          <w:bCs/>
          <w:sz w:val="24"/>
          <w:szCs w:val="24"/>
        </w:rPr>
        <w:t xml:space="preserve"> </w:t>
      </w:r>
      <w:r>
        <w:rPr>
          <w:bCs/>
          <w:sz w:val="24"/>
          <w:szCs w:val="24"/>
        </w:rPr>
        <w:t>T</w:t>
      </w:r>
      <w:r w:rsidR="00C724B0" w:rsidRPr="000C7050">
        <w:rPr>
          <w:bCs/>
          <w:sz w:val="24"/>
          <w:szCs w:val="24"/>
        </w:rPr>
        <w:t xml:space="preserve">he use of LPN data </w:t>
      </w:r>
      <w:r w:rsidR="00EC4B22" w:rsidRPr="000C7050">
        <w:rPr>
          <w:bCs/>
          <w:sz w:val="24"/>
          <w:szCs w:val="24"/>
        </w:rPr>
        <w:t xml:space="preserve">has also been galvanised by </w:t>
      </w:r>
      <w:r w:rsidR="00F84E74" w:rsidRPr="000C7050">
        <w:rPr>
          <w:bCs/>
          <w:sz w:val="24"/>
          <w:szCs w:val="24"/>
        </w:rPr>
        <w:t>new initiatives</w:t>
      </w:r>
      <w:r w:rsidR="00715C3D" w:rsidRPr="000C7050">
        <w:rPr>
          <w:bCs/>
          <w:sz w:val="24"/>
          <w:szCs w:val="24"/>
        </w:rPr>
        <w:t xml:space="preserve">, such as the </w:t>
      </w:r>
      <w:r w:rsidR="00831DE6" w:rsidRPr="000C7050">
        <w:rPr>
          <w:bCs/>
          <w:sz w:val="24"/>
          <w:szCs w:val="24"/>
        </w:rPr>
        <w:t>NSP</w:t>
      </w:r>
      <w:r w:rsidR="00715C3D" w:rsidRPr="000C7050">
        <w:rPr>
          <w:bCs/>
          <w:sz w:val="24"/>
          <w:szCs w:val="24"/>
        </w:rPr>
        <w:t>,</w:t>
      </w:r>
      <w:r w:rsidR="00F84E74" w:rsidRPr="000C7050">
        <w:rPr>
          <w:bCs/>
          <w:sz w:val="24"/>
          <w:szCs w:val="24"/>
        </w:rPr>
        <w:t xml:space="preserve"> that oblige </w:t>
      </w:r>
      <w:r w:rsidR="00541464" w:rsidRPr="000C7050">
        <w:rPr>
          <w:sz w:val="24"/>
          <w:szCs w:val="24"/>
        </w:rPr>
        <w:t>universities</w:t>
      </w:r>
      <w:r w:rsidR="00541464" w:rsidRPr="000C7050">
        <w:rPr>
          <w:bCs/>
          <w:sz w:val="24"/>
          <w:szCs w:val="24"/>
        </w:rPr>
        <w:t xml:space="preserve"> </w:t>
      </w:r>
      <w:r w:rsidR="00F84E74" w:rsidRPr="000C7050">
        <w:rPr>
          <w:bCs/>
          <w:sz w:val="24"/>
          <w:szCs w:val="24"/>
        </w:rPr>
        <w:t>to focus or target their resource</w:t>
      </w:r>
      <w:r w:rsidR="00664D11" w:rsidRPr="000C7050">
        <w:rPr>
          <w:bCs/>
          <w:sz w:val="24"/>
          <w:szCs w:val="24"/>
        </w:rPr>
        <w:t>s</w:t>
      </w:r>
      <w:r w:rsidR="00715C3D" w:rsidRPr="000C7050">
        <w:rPr>
          <w:bCs/>
          <w:sz w:val="24"/>
          <w:szCs w:val="24"/>
        </w:rPr>
        <w:t xml:space="preserve"> ever more tightly </w:t>
      </w:r>
      <w:r w:rsidR="00EC4B22" w:rsidRPr="000C7050">
        <w:rPr>
          <w:bCs/>
          <w:sz w:val="24"/>
          <w:szCs w:val="24"/>
        </w:rPr>
        <w:t>(</w:t>
      </w:r>
      <w:r w:rsidR="00B96D17" w:rsidRPr="000C7050">
        <w:rPr>
          <w:bCs/>
          <w:sz w:val="24"/>
          <w:szCs w:val="24"/>
        </w:rPr>
        <w:t>Department for Business, Innovation and Skills [DBIS]</w:t>
      </w:r>
      <w:r w:rsidR="00EC4B22" w:rsidRPr="000C7050">
        <w:rPr>
          <w:bCs/>
          <w:sz w:val="24"/>
          <w:szCs w:val="24"/>
        </w:rPr>
        <w:t xml:space="preserve"> 2011</w:t>
      </w:r>
      <w:r w:rsidR="000A2E04" w:rsidRPr="000C7050">
        <w:rPr>
          <w:bCs/>
          <w:sz w:val="24"/>
          <w:szCs w:val="24"/>
        </w:rPr>
        <w:t>c</w:t>
      </w:r>
      <w:r w:rsidR="00EC4B22" w:rsidRPr="000C7050">
        <w:rPr>
          <w:bCs/>
          <w:sz w:val="24"/>
          <w:szCs w:val="24"/>
        </w:rPr>
        <w:t>, HEFCE 2011)</w:t>
      </w:r>
      <w:r w:rsidR="00831DE6" w:rsidRPr="000C7050">
        <w:rPr>
          <w:bCs/>
          <w:sz w:val="24"/>
          <w:szCs w:val="24"/>
        </w:rPr>
        <w:t>.</w:t>
      </w:r>
      <w:r>
        <w:rPr>
          <w:bCs/>
          <w:sz w:val="24"/>
          <w:szCs w:val="24"/>
        </w:rPr>
        <w:t xml:space="preserve">  </w:t>
      </w:r>
      <w:r w:rsidRPr="000C7050">
        <w:rPr>
          <w:rFonts w:cstheme="minorHAnsi"/>
          <w:color w:val="000000"/>
          <w:sz w:val="24"/>
          <w:szCs w:val="24"/>
        </w:rPr>
        <w:t>In response, HEFCE’s guidance for the operation of the NSP in 2014/15 warns that POLAR data is "</w:t>
      </w:r>
      <w:r w:rsidRPr="000C7050">
        <w:rPr>
          <w:rFonts w:cstheme="minorHAnsi"/>
          <w:sz w:val="24"/>
          <w:szCs w:val="24"/>
        </w:rPr>
        <w:t>suitable for funding and policy purposes, but not suited to making decisions based upon individuals</w:t>
      </w:r>
      <w:r w:rsidRPr="000C7050">
        <w:rPr>
          <w:rFonts w:cstheme="minorHAnsi"/>
          <w:color w:val="000000"/>
          <w:sz w:val="24"/>
          <w:szCs w:val="24"/>
        </w:rPr>
        <w:t xml:space="preserve">", although it goes on to say that this is because "students not living in low participation areas can be disadvantaged in other ways, and vice versa" </w:t>
      </w:r>
      <w:r>
        <w:rPr>
          <w:rFonts w:cstheme="minorHAnsi"/>
          <w:sz w:val="24"/>
          <w:szCs w:val="24"/>
        </w:rPr>
        <w:t xml:space="preserve">(HEFCE 2013, </w:t>
      </w:r>
      <w:r w:rsidRPr="000C7050">
        <w:rPr>
          <w:rFonts w:cstheme="minorHAnsi"/>
          <w:sz w:val="24"/>
          <w:szCs w:val="24"/>
        </w:rPr>
        <w:t>12) rather than being explicit about the shortcomings of LPNs in targeting the most disadvantaged.</w:t>
      </w:r>
    </w:p>
    <w:p w:rsidR="00F01460" w:rsidRDefault="00F01460" w:rsidP="003E581D">
      <w:pPr>
        <w:spacing w:line="360" w:lineRule="auto"/>
        <w:rPr>
          <w:bCs/>
          <w:sz w:val="24"/>
          <w:szCs w:val="24"/>
        </w:rPr>
      </w:pPr>
    </w:p>
    <w:p w:rsidR="00F84E74" w:rsidRPr="000C7050" w:rsidRDefault="00783DBD" w:rsidP="003E581D">
      <w:pPr>
        <w:spacing w:line="360" w:lineRule="auto"/>
        <w:rPr>
          <w:bCs/>
          <w:sz w:val="24"/>
          <w:szCs w:val="24"/>
        </w:rPr>
      </w:pPr>
      <w:r w:rsidRPr="000C7050">
        <w:rPr>
          <w:rFonts w:eastAsia="Times New Roman"/>
          <w:sz w:val="24"/>
          <w:szCs w:val="24"/>
        </w:rPr>
        <w:t xml:space="preserve">Since 2006, English </w:t>
      </w:r>
      <w:r w:rsidR="00293033" w:rsidRPr="000C7050">
        <w:rPr>
          <w:rFonts w:eastAsia="Times New Roman"/>
          <w:sz w:val="24"/>
          <w:szCs w:val="24"/>
        </w:rPr>
        <w:t>universities</w:t>
      </w:r>
      <w:r w:rsidRPr="000C7050">
        <w:rPr>
          <w:rFonts w:eastAsia="Times New Roman"/>
          <w:sz w:val="24"/>
          <w:szCs w:val="24"/>
        </w:rPr>
        <w:t xml:space="preserve"> have been mandated to </w:t>
      </w:r>
      <w:r w:rsidR="00293033" w:rsidRPr="000C7050">
        <w:rPr>
          <w:rFonts w:eastAsia="Times New Roman"/>
          <w:sz w:val="24"/>
          <w:szCs w:val="24"/>
        </w:rPr>
        <w:t>lodge</w:t>
      </w:r>
      <w:r w:rsidRPr="000C7050">
        <w:rPr>
          <w:rFonts w:eastAsia="Times New Roman"/>
          <w:sz w:val="24"/>
          <w:szCs w:val="24"/>
        </w:rPr>
        <w:t xml:space="preserve"> an Access Agreement with the </w:t>
      </w:r>
      <w:r w:rsidRPr="000C7050">
        <w:rPr>
          <w:bCs/>
          <w:sz w:val="24"/>
          <w:szCs w:val="24"/>
        </w:rPr>
        <w:t>Office for Fair Access (</w:t>
      </w:r>
      <w:r w:rsidRPr="000C7050">
        <w:rPr>
          <w:rFonts w:eastAsia="Times New Roman"/>
          <w:sz w:val="24"/>
          <w:szCs w:val="24"/>
        </w:rPr>
        <w:t xml:space="preserve">OFFA) as a condition of setting tuition fees above a minimum point. </w:t>
      </w:r>
      <w:r w:rsidR="00715C3D" w:rsidRPr="000C7050">
        <w:rPr>
          <w:rFonts w:eastAsia="Times New Roman"/>
          <w:sz w:val="24"/>
          <w:szCs w:val="24"/>
        </w:rPr>
        <w:t xml:space="preserve"> In these Agreements universities </w:t>
      </w:r>
      <w:r w:rsidRPr="000C7050">
        <w:rPr>
          <w:rFonts w:eastAsia="Times New Roman"/>
          <w:sz w:val="24"/>
          <w:szCs w:val="24"/>
        </w:rPr>
        <w:t xml:space="preserve">state how they will use a proportion of the additional fee income to support access for applicants from under-represented groups who might otherwise have been deterred from applying.  </w:t>
      </w:r>
      <w:r w:rsidR="00831DE6" w:rsidRPr="000C7050">
        <w:rPr>
          <w:rFonts w:eastAsia="Times New Roman"/>
          <w:sz w:val="24"/>
          <w:szCs w:val="24"/>
        </w:rPr>
        <w:t xml:space="preserve">The </w:t>
      </w:r>
      <w:r w:rsidR="00831DE6" w:rsidRPr="000C7050">
        <w:rPr>
          <w:bCs/>
          <w:sz w:val="24"/>
          <w:szCs w:val="24"/>
        </w:rPr>
        <w:t>OFFA guidelines for the production</w:t>
      </w:r>
      <w:r w:rsidR="00F01460">
        <w:rPr>
          <w:bCs/>
          <w:sz w:val="24"/>
          <w:szCs w:val="24"/>
        </w:rPr>
        <w:t xml:space="preserve"> of new Access Agreements for 2</w:t>
      </w:r>
      <w:r w:rsidR="00831DE6" w:rsidRPr="000C7050">
        <w:rPr>
          <w:bCs/>
          <w:sz w:val="24"/>
          <w:szCs w:val="24"/>
        </w:rPr>
        <w:t>012/13 (OFFA 2011; DBIS 2011c) also enhance</w:t>
      </w:r>
      <w:r w:rsidR="00F01460">
        <w:rPr>
          <w:bCs/>
          <w:sz w:val="24"/>
          <w:szCs w:val="24"/>
        </w:rPr>
        <w:t>d</w:t>
      </w:r>
      <w:r w:rsidR="00831DE6" w:rsidRPr="000C7050">
        <w:rPr>
          <w:bCs/>
          <w:sz w:val="24"/>
          <w:szCs w:val="24"/>
        </w:rPr>
        <w:t xml:space="preserve"> the status of, and reliance on, LPNs as </w:t>
      </w:r>
      <w:r w:rsidR="00F01460">
        <w:rPr>
          <w:bCs/>
          <w:sz w:val="24"/>
          <w:szCs w:val="24"/>
        </w:rPr>
        <w:t>tools for assessing progress on access</w:t>
      </w:r>
      <w:r w:rsidR="00831DE6" w:rsidRPr="000C7050">
        <w:rPr>
          <w:bCs/>
          <w:sz w:val="24"/>
          <w:szCs w:val="24"/>
        </w:rPr>
        <w:t xml:space="preserve">, while the most recent guidelines for 2014/15 and beyond still highlight LPN as </w:t>
      </w:r>
      <w:r w:rsidR="000C3E91" w:rsidRPr="000C7050">
        <w:rPr>
          <w:bCs/>
          <w:sz w:val="24"/>
          <w:szCs w:val="24"/>
        </w:rPr>
        <w:t>one</w:t>
      </w:r>
      <w:r w:rsidR="00831DE6" w:rsidRPr="000C7050">
        <w:rPr>
          <w:bCs/>
          <w:sz w:val="24"/>
          <w:szCs w:val="24"/>
        </w:rPr>
        <w:t xml:space="preserve"> under</w:t>
      </w:r>
      <w:r w:rsidR="000C3E91" w:rsidRPr="000C7050">
        <w:rPr>
          <w:bCs/>
          <w:sz w:val="24"/>
          <w:szCs w:val="24"/>
        </w:rPr>
        <w:t>-</w:t>
      </w:r>
      <w:r w:rsidR="00831DE6" w:rsidRPr="000C7050">
        <w:rPr>
          <w:bCs/>
          <w:sz w:val="24"/>
          <w:szCs w:val="24"/>
        </w:rPr>
        <w:t>represented group for identifying cohorts for measurable progress</w:t>
      </w:r>
      <w:r w:rsidR="000C3E91" w:rsidRPr="000C7050">
        <w:rPr>
          <w:bCs/>
          <w:sz w:val="24"/>
          <w:szCs w:val="24"/>
        </w:rPr>
        <w:t xml:space="preserve"> (OFFA 2013, </w:t>
      </w:r>
      <w:r w:rsidR="00831DE6" w:rsidRPr="000C7050">
        <w:rPr>
          <w:bCs/>
          <w:sz w:val="24"/>
          <w:szCs w:val="24"/>
        </w:rPr>
        <w:t>40) and particularly for the identification of outreach cohorts (OFFA/HEFCE 2013</w:t>
      </w:r>
      <w:r w:rsidR="000C3E91" w:rsidRPr="000C7050">
        <w:rPr>
          <w:bCs/>
          <w:sz w:val="24"/>
          <w:szCs w:val="24"/>
        </w:rPr>
        <w:t xml:space="preserve">, </w:t>
      </w:r>
      <w:r w:rsidR="00831DE6" w:rsidRPr="000C7050">
        <w:rPr>
          <w:bCs/>
          <w:sz w:val="24"/>
          <w:szCs w:val="24"/>
        </w:rPr>
        <w:t>10).</w:t>
      </w:r>
    </w:p>
    <w:p w:rsidR="00664D11" w:rsidRPr="000C7050" w:rsidRDefault="00664D11" w:rsidP="003E581D">
      <w:pPr>
        <w:spacing w:line="360" w:lineRule="auto"/>
        <w:rPr>
          <w:bCs/>
          <w:sz w:val="24"/>
          <w:szCs w:val="24"/>
        </w:rPr>
      </w:pPr>
    </w:p>
    <w:p w:rsidR="00002941" w:rsidRPr="000C7050" w:rsidRDefault="00C004FB" w:rsidP="00F45101">
      <w:pPr>
        <w:autoSpaceDE w:val="0"/>
        <w:autoSpaceDN w:val="0"/>
        <w:adjustRightInd w:val="0"/>
        <w:spacing w:line="360" w:lineRule="auto"/>
        <w:rPr>
          <w:rFonts w:cstheme="minorHAnsi"/>
          <w:bCs/>
          <w:sz w:val="24"/>
          <w:szCs w:val="24"/>
        </w:rPr>
      </w:pPr>
      <w:r w:rsidRPr="000C7050">
        <w:rPr>
          <w:bCs/>
          <w:sz w:val="24"/>
          <w:szCs w:val="24"/>
        </w:rPr>
        <w:t>Indeed, i</w:t>
      </w:r>
      <w:r w:rsidR="00085715" w:rsidRPr="000C7050">
        <w:rPr>
          <w:bCs/>
          <w:sz w:val="24"/>
          <w:szCs w:val="24"/>
        </w:rPr>
        <w:t xml:space="preserve">t is clear that </w:t>
      </w:r>
      <w:r w:rsidR="00293033" w:rsidRPr="000C7050">
        <w:rPr>
          <w:bCs/>
          <w:sz w:val="24"/>
          <w:szCs w:val="24"/>
        </w:rPr>
        <w:t>universities</w:t>
      </w:r>
      <w:r w:rsidR="00085715" w:rsidRPr="000C7050">
        <w:rPr>
          <w:bCs/>
          <w:sz w:val="24"/>
          <w:szCs w:val="24"/>
        </w:rPr>
        <w:t xml:space="preserve"> have 'bought into' the use of LPN data</w:t>
      </w:r>
      <w:r w:rsidR="00EC4B22" w:rsidRPr="000C7050">
        <w:rPr>
          <w:bCs/>
          <w:sz w:val="24"/>
          <w:szCs w:val="24"/>
        </w:rPr>
        <w:t>.</w:t>
      </w:r>
      <w:r w:rsidR="00061979" w:rsidRPr="000C7050">
        <w:rPr>
          <w:bCs/>
          <w:sz w:val="24"/>
          <w:szCs w:val="24"/>
        </w:rPr>
        <w:t xml:space="preserve"> </w:t>
      </w:r>
      <w:r w:rsidRPr="000C7050">
        <w:rPr>
          <w:bCs/>
          <w:sz w:val="24"/>
          <w:szCs w:val="24"/>
        </w:rPr>
        <w:t xml:space="preserve"> </w:t>
      </w:r>
      <w:r w:rsidR="00061979" w:rsidRPr="000C7050">
        <w:rPr>
          <w:bCs/>
          <w:sz w:val="24"/>
          <w:szCs w:val="24"/>
        </w:rPr>
        <w:t xml:space="preserve">It is certainly more convenient a performance indicator data source for </w:t>
      </w:r>
      <w:r w:rsidR="00C60E77" w:rsidRPr="000C7050">
        <w:rPr>
          <w:sz w:val="24"/>
          <w:szCs w:val="24"/>
        </w:rPr>
        <w:t>universities</w:t>
      </w:r>
      <w:r w:rsidR="00C60E77" w:rsidRPr="000C7050">
        <w:rPr>
          <w:bCs/>
          <w:sz w:val="24"/>
          <w:szCs w:val="24"/>
        </w:rPr>
        <w:t xml:space="preserve"> </w:t>
      </w:r>
      <w:r w:rsidR="00061979" w:rsidRPr="000C7050">
        <w:rPr>
          <w:bCs/>
          <w:sz w:val="24"/>
          <w:szCs w:val="24"/>
        </w:rPr>
        <w:t xml:space="preserve">to use, </w:t>
      </w:r>
      <w:r w:rsidRPr="000C7050">
        <w:rPr>
          <w:bCs/>
          <w:sz w:val="24"/>
          <w:szCs w:val="24"/>
        </w:rPr>
        <w:t>compared to NS-SEC</w:t>
      </w:r>
      <w:r w:rsidR="00061979" w:rsidRPr="000C7050">
        <w:rPr>
          <w:bCs/>
          <w:sz w:val="24"/>
          <w:szCs w:val="24"/>
        </w:rPr>
        <w:t xml:space="preserve"> data which is known securely </w:t>
      </w:r>
      <w:r w:rsidR="00875514" w:rsidRPr="000C7050">
        <w:rPr>
          <w:bCs/>
          <w:sz w:val="24"/>
          <w:szCs w:val="24"/>
        </w:rPr>
        <w:t>for</w:t>
      </w:r>
      <w:r w:rsidR="00061979" w:rsidRPr="000C7050">
        <w:rPr>
          <w:bCs/>
          <w:sz w:val="24"/>
          <w:szCs w:val="24"/>
        </w:rPr>
        <w:t xml:space="preserve"> only</w:t>
      </w:r>
      <w:r w:rsidR="003913F3" w:rsidRPr="000C7050">
        <w:rPr>
          <w:bCs/>
          <w:sz w:val="24"/>
          <w:szCs w:val="24"/>
        </w:rPr>
        <w:t xml:space="preserve"> 81</w:t>
      </w:r>
      <w:r w:rsidRPr="000C7050">
        <w:rPr>
          <w:bCs/>
          <w:sz w:val="24"/>
          <w:szCs w:val="24"/>
        </w:rPr>
        <w:t xml:space="preserve"> percent</w:t>
      </w:r>
      <w:r w:rsidR="003913F3" w:rsidRPr="000C7050">
        <w:rPr>
          <w:bCs/>
          <w:sz w:val="24"/>
          <w:szCs w:val="24"/>
        </w:rPr>
        <w:t xml:space="preserve"> of UK </w:t>
      </w:r>
      <w:r w:rsidR="00875514" w:rsidRPr="000C7050">
        <w:rPr>
          <w:bCs/>
          <w:sz w:val="24"/>
          <w:szCs w:val="24"/>
        </w:rPr>
        <w:t>students</w:t>
      </w:r>
      <w:r w:rsidRPr="000C7050">
        <w:rPr>
          <w:bCs/>
          <w:sz w:val="24"/>
          <w:szCs w:val="24"/>
        </w:rPr>
        <w:t>, against over 99 percent</w:t>
      </w:r>
      <w:r w:rsidR="003913F3" w:rsidRPr="000C7050">
        <w:rPr>
          <w:bCs/>
          <w:sz w:val="24"/>
          <w:szCs w:val="24"/>
        </w:rPr>
        <w:t xml:space="preserve"> for</w:t>
      </w:r>
      <w:r w:rsidR="00061979" w:rsidRPr="000C7050">
        <w:rPr>
          <w:bCs/>
          <w:sz w:val="24"/>
          <w:szCs w:val="24"/>
        </w:rPr>
        <w:t xml:space="preserve"> LPN data (HESA 2013). </w:t>
      </w:r>
      <w:r w:rsidRPr="000C7050">
        <w:rPr>
          <w:bCs/>
          <w:sz w:val="24"/>
          <w:szCs w:val="24"/>
        </w:rPr>
        <w:t xml:space="preserve"> </w:t>
      </w:r>
      <w:r w:rsidR="00875514" w:rsidRPr="000C7050">
        <w:rPr>
          <w:bCs/>
          <w:sz w:val="24"/>
          <w:szCs w:val="24"/>
        </w:rPr>
        <w:t xml:space="preserve">One </w:t>
      </w:r>
      <w:r w:rsidRPr="000C7050">
        <w:rPr>
          <w:bCs/>
          <w:sz w:val="24"/>
          <w:szCs w:val="24"/>
        </w:rPr>
        <w:t xml:space="preserve">Access Agreement </w:t>
      </w:r>
      <w:r w:rsidR="00875514" w:rsidRPr="000C7050">
        <w:rPr>
          <w:bCs/>
          <w:sz w:val="24"/>
          <w:szCs w:val="24"/>
        </w:rPr>
        <w:t xml:space="preserve">noted that while outreach would be targeted at </w:t>
      </w:r>
      <w:r w:rsidR="00875514" w:rsidRPr="000C7050">
        <w:rPr>
          <w:rFonts w:cstheme="minorHAnsi"/>
          <w:bCs/>
          <w:sz w:val="24"/>
          <w:szCs w:val="24"/>
        </w:rPr>
        <w:t xml:space="preserve">both </w:t>
      </w:r>
      <w:r w:rsidR="00875514" w:rsidRPr="000C7050">
        <w:rPr>
          <w:rFonts w:cstheme="minorHAnsi"/>
          <w:sz w:val="24"/>
          <w:szCs w:val="24"/>
        </w:rPr>
        <w:t xml:space="preserve">those considered to be from lower socio-economic backgrounds and </w:t>
      </w:r>
      <w:r w:rsidR="00875514" w:rsidRPr="00F01460">
        <w:rPr>
          <w:rFonts w:cstheme="minorHAnsi"/>
          <w:sz w:val="24"/>
          <w:szCs w:val="24"/>
        </w:rPr>
        <w:t xml:space="preserve">individuals from LPNs "only those from LPNs can be accurately identified at the pre-application stage (by postcode of domicile) in a </w:t>
      </w:r>
      <w:r w:rsidR="00875514" w:rsidRPr="00F01460">
        <w:rPr>
          <w:rFonts w:cstheme="minorHAnsi"/>
          <w:sz w:val="24"/>
          <w:szCs w:val="24"/>
        </w:rPr>
        <w:lastRenderedPageBreak/>
        <w:t xml:space="preserve">way that exactly replicates how they are identified and measured for </w:t>
      </w:r>
      <w:r w:rsidR="00F45101" w:rsidRPr="00F01460">
        <w:rPr>
          <w:rFonts w:cstheme="minorHAnsi"/>
          <w:sz w:val="24"/>
          <w:szCs w:val="24"/>
        </w:rPr>
        <w:t>HESA’s performance indicat</w:t>
      </w:r>
      <w:r w:rsidRPr="00F01460">
        <w:rPr>
          <w:rFonts w:cstheme="minorHAnsi"/>
          <w:sz w:val="24"/>
          <w:szCs w:val="24"/>
        </w:rPr>
        <w:t>ors"</w:t>
      </w:r>
      <w:r w:rsidR="00875514" w:rsidRPr="00F01460">
        <w:rPr>
          <w:rFonts w:cstheme="minorHAnsi"/>
          <w:sz w:val="24"/>
          <w:szCs w:val="24"/>
        </w:rPr>
        <w:t xml:space="preserve"> (Newcastl</w:t>
      </w:r>
      <w:r w:rsidRPr="00F01460">
        <w:rPr>
          <w:rFonts w:cstheme="minorHAnsi"/>
          <w:sz w:val="24"/>
          <w:szCs w:val="24"/>
        </w:rPr>
        <w:t xml:space="preserve">e </w:t>
      </w:r>
      <w:r w:rsidR="00F45101" w:rsidRPr="00F01460">
        <w:rPr>
          <w:rFonts w:cstheme="minorHAnsi"/>
          <w:sz w:val="24"/>
          <w:szCs w:val="24"/>
        </w:rPr>
        <w:t xml:space="preserve">University </w:t>
      </w:r>
      <w:r w:rsidRPr="00F01460">
        <w:rPr>
          <w:rFonts w:cstheme="minorHAnsi"/>
          <w:sz w:val="24"/>
          <w:szCs w:val="24"/>
        </w:rPr>
        <w:t>2012</w:t>
      </w:r>
      <w:r w:rsidR="00875514" w:rsidRPr="00F01460">
        <w:rPr>
          <w:rFonts w:eastAsia="Times New Roman" w:cstheme="minorHAnsi"/>
          <w:sz w:val="24"/>
          <w:szCs w:val="24"/>
        </w:rPr>
        <w:t>)</w:t>
      </w:r>
      <w:r w:rsidRPr="00F01460">
        <w:rPr>
          <w:rFonts w:eastAsia="Times New Roman" w:cstheme="minorHAnsi"/>
          <w:sz w:val="24"/>
          <w:szCs w:val="24"/>
        </w:rPr>
        <w:t>.</w:t>
      </w:r>
      <w:r w:rsidR="00875514" w:rsidRPr="000C7050">
        <w:rPr>
          <w:rFonts w:eastAsia="Times New Roman" w:cstheme="minorHAnsi"/>
          <w:sz w:val="24"/>
          <w:szCs w:val="24"/>
        </w:rPr>
        <w:t xml:space="preserve"> </w:t>
      </w:r>
    </w:p>
    <w:p w:rsidR="00002941" w:rsidRPr="000C7050" w:rsidRDefault="00002941" w:rsidP="003E581D">
      <w:pPr>
        <w:autoSpaceDE w:val="0"/>
        <w:autoSpaceDN w:val="0"/>
        <w:adjustRightInd w:val="0"/>
        <w:spacing w:line="360" w:lineRule="auto"/>
        <w:rPr>
          <w:bCs/>
          <w:sz w:val="24"/>
          <w:szCs w:val="24"/>
        </w:rPr>
      </w:pPr>
    </w:p>
    <w:p w:rsidR="00A21F43" w:rsidRPr="000C7050" w:rsidRDefault="00452844" w:rsidP="003E581D">
      <w:pPr>
        <w:autoSpaceDE w:val="0"/>
        <w:autoSpaceDN w:val="0"/>
        <w:adjustRightInd w:val="0"/>
        <w:spacing w:line="360" w:lineRule="auto"/>
        <w:rPr>
          <w:bCs/>
          <w:sz w:val="24"/>
          <w:szCs w:val="24"/>
        </w:rPr>
      </w:pPr>
      <w:r w:rsidRPr="000C7050">
        <w:rPr>
          <w:bCs/>
          <w:sz w:val="24"/>
          <w:szCs w:val="24"/>
        </w:rPr>
        <w:t xml:space="preserve">Analysis </w:t>
      </w:r>
      <w:r w:rsidR="007F0B5E" w:rsidRPr="000C7050">
        <w:rPr>
          <w:bCs/>
          <w:sz w:val="24"/>
          <w:szCs w:val="24"/>
        </w:rPr>
        <w:t>of</w:t>
      </w:r>
      <w:r w:rsidRPr="000C7050">
        <w:rPr>
          <w:bCs/>
          <w:sz w:val="24"/>
          <w:szCs w:val="24"/>
        </w:rPr>
        <w:t xml:space="preserve"> OFFA of </w:t>
      </w:r>
      <w:r w:rsidR="009853F1" w:rsidRPr="000C7050">
        <w:rPr>
          <w:bCs/>
          <w:sz w:val="24"/>
          <w:szCs w:val="24"/>
        </w:rPr>
        <w:t>A</w:t>
      </w:r>
      <w:r w:rsidRPr="000C7050">
        <w:rPr>
          <w:bCs/>
          <w:sz w:val="24"/>
          <w:szCs w:val="24"/>
        </w:rPr>
        <w:t xml:space="preserve">ccess </w:t>
      </w:r>
      <w:r w:rsidR="009853F1" w:rsidRPr="000C7050">
        <w:rPr>
          <w:bCs/>
          <w:sz w:val="24"/>
          <w:szCs w:val="24"/>
        </w:rPr>
        <w:t>A</w:t>
      </w:r>
      <w:r w:rsidRPr="000C7050">
        <w:rPr>
          <w:bCs/>
          <w:sz w:val="24"/>
          <w:szCs w:val="24"/>
        </w:rPr>
        <w:t>greement returns for 2010/11 (OFFA</w:t>
      </w:r>
      <w:r w:rsidR="003601C6" w:rsidRPr="000C7050">
        <w:rPr>
          <w:bCs/>
          <w:sz w:val="24"/>
          <w:szCs w:val="24"/>
        </w:rPr>
        <w:t>/HEFCE</w:t>
      </w:r>
      <w:r w:rsidRPr="000C7050">
        <w:rPr>
          <w:bCs/>
          <w:sz w:val="24"/>
          <w:szCs w:val="24"/>
        </w:rPr>
        <w:t xml:space="preserve"> 2012) shows the extent of t</w:t>
      </w:r>
      <w:r w:rsidR="00061979" w:rsidRPr="000C7050">
        <w:rPr>
          <w:bCs/>
          <w:sz w:val="24"/>
          <w:szCs w:val="24"/>
        </w:rPr>
        <w:t xml:space="preserve">he use of LPN data by </w:t>
      </w:r>
      <w:r w:rsidR="00541464" w:rsidRPr="000C7050">
        <w:rPr>
          <w:sz w:val="24"/>
          <w:szCs w:val="24"/>
        </w:rPr>
        <w:t>universities</w:t>
      </w:r>
      <w:r w:rsidR="00541464" w:rsidRPr="000C7050">
        <w:rPr>
          <w:bCs/>
          <w:sz w:val="24"/>
          <w:szCs w:val="24"/>
        </w:rPr>
        <w:t xml:space="preserve"> </w:t>
      </w:r>
      <w:r w:rsidR="003913F3" w:rsidRPr="000C7050">
        <w:rPr>
          <w:bCs/>
          <w:sz w:val="24"/>
          <w:szCs w:val="24"/>
        </w:rPr>
        <w:t xml:space="preserve">when setting their milestones and targets. </w:t>
      </w:r>
      <w:r w:rsidR="009853F1" w:rsidRPr="000C7050">
        <w:rPr>
          <w:bCs/>
          <w:sz w:val="24"/>
          <w:szCs w:val="24"/>
        </w:rPr>
        <w:t xml:space="preserve"> </w:t>
      </w:r>
      <w:r w:rsidR="00541464" w:rsidRPr="000C7050">
        <w:rPr>
          <w:bCs/>
          <w:sz w:val="24"/>
          <w:szCs w:val="24"/>
        </w:rPr>
        <w:t>Table 5 shows the proportion of universities of different types operating in this way, with the post-1992 universities (i.e. those that achieved university status since 1992) being those with lowest status and having the strongest tradition in widening participation activity</w:t>
      </w:r>
      <w:r w:rsidR="0055776C" w:rsidRPr="000C7050">
        <w:rPr>
          <w:bCs/>
          <w:sz w:val="24"/>
          <w:szCs w:val="24"/>
        </w:rPr>
        <w:t xml:space="preserve">, while </w:t>
      </w:r>
      <w:r w:rsidR="00541464" w:rsidRPr="000C7050">
        <w:rPr>
          <w:bCs/>
          <w:sz w:val="24"/>
          <w:szCs w:val="24"/>
        </w:rPr>
        <w:t xml:space="preserve">the pre-1992 group </w:t>
      </w:r>
      <w:r w:rsidR="0055776C" w:rsidRPr="000C7050">
        <w:rPr>
          <w:bCs/>
          <w:sz w:val="24"/>
          <w:szCs w:val="24"/>
        </w:rPr>
        <w:t>have higher status.</w:t>
      </w:r>
      <w:r w:rsidR="00541464" w:rsidRPr="000C7050">
        <w:rPr>
          <w:bCs/>
          <w:sz w:val="24"/>
          <w:szCs w:val="24"/>
        </w:rPr>
        <w:t xml:space="preserve">  </w:t>
      </w:r>
      <w:r w:rsidR="003913F3" w:rsidRPr="000C7050">
        <w:rPr>
          <w:bCs/>
          <w:sz w:val="24"/>
          <w:szCs w:val="24"/>
        </w:rPr>
        <w:t xml:space="preserve">Of the 95 </w:t>
      </w:r>
      <w:r w:rsidR="00541464" w:rsidRPr="000C7050">
        <w:rPr>
          <w:sz w:val="24"/>
          <w:szCs w:val="24"/>
        </w:rPr>
        <w:t>universities</w:t>
      </w:r>
      <w:r w:rsidR="00541464" w:rsidRPr="000C7050">
        <w:rPr>
          <w:bCs/>
          <w:sz w:val="24"/>
          <w:szCs w:val="24"/>
        </w:rPr>
        <w:t xml:space="preserve"> </w:t>
      </w:r>
      <w:r w:rsidR="003913F3" w:rsidRPr="000C7050">
        <w:rPr>
          <w:bCs/>
          <w:sz w:val="24"/>
          <w:szCs w:val="24"/>
        </w:rPr>
        <w:t>with available data</w:t>
      </w:r>
      <w:r w:rsidR="00541464" w:rsidRPr="000C7050">
        <w:rPr>
          <w:bCs/>
          <w:sz w:val="24"/>
          <w:szCs w:val="24"/>
        </w:rPr>
        <w:t>,</w:t>
      </w:r>
      <w:r w:rsidR="003913F3" w:rsidRPr="000C7050">
        <w:rPr>
          <w:bCs/>
          <w:sz w:val="24"/>
          <w:szCs w:val="24"/>
        </w:rPr>
        <w:t xml:space="preserve"> 65 (68</w:t>
      </w:r>
      <w:r w:rsidR="009853F1" w:rsidRPr="000C7050">
        <w:rPr>
          <w:bCs/>
          <w:sz w:val="24"/>
          <w:szCs w:val="24"/>
        </w:rPr>
        <w:t xml:space="preserve"> percent</w:t>
      </w:r>
      <w:r w:rsidR="003913F3" w:rsidRPr="000C7050">
        <w:rPr>
          <w:bCs/>
          <w:sz w:val="24"/>
          <w:szCs w:val="24"/>
        </w:rPr>
        <w:t>) use LPN</w:t>
      </w:r>
      <w:r w:rsidR="0039393E" w:rsidRPr="000C7050">
        <w:rPr>
          <w:bCs/>
          <w:sz w:val="24"/>
          <w:szCs w:val="24"/>
        </w:rPr>
        <w:t xml:space="preserve"> data</w:t>
      </w:r>
      <w:r w:rsidR="00541464" w:rsidRPr="000C7050">
        <w:rPr>
          <w:bCs/>
          <w:sz w:val="24"/>
          <w:szCs w:val="24"/>
        </w:rPr>
        <w:t>,</w:t>
      </w:r>
      <w:r w:rsidR="003913F3" w:rsidRPr="000C7050">
        <w:rPr>
          <w:bCs/>
          <w:sz w:val="24"/>
          <w:szCs w:val="24"/>
        </w:rPr>
        <w:t xml:space="preserve"> including 71</w:t>
      </w:r>
      <w:r w:rsidR="009853F1" w:rsidRPr="000C7050">
        <w:rPr>
          <w:bCs/>
          <w:sz w:val="24"/>
          <w:szCs w:val="24"/>
        </w:rPr>
        <w:t xml:space="preserve"> percent</w:t>
      </w:r>
      <w:r w:rsidR="003913F3" w:rsidRPr="000C7050">
        <w:rPr>
          <w:bCs/>
          <w:sz w:val="24"/>
          <w:szCs w:val="24"/>
        </w:rPr>
        <w:t xml:space="preserve"> of post-1992 </w:t>
      </w:r>
      <w:r w:rsidR="00541464" w:rsidRPr="000C7050">
        <w:rPr>
          <w:sz w:val="24"/>
          <w:szCs w:val="24"/>
        </w:rPr>
        <w:t>universities</w:t>
      </w:r>
      <w:r w:rsidR="00541464" w:rsidRPr="000C7050">
        <w:rPr>
          <w:bCs/>
          <w:sz w:val="24"/>
          <w:szCs w:val="24"/>
        </w:rPr>
        <w:t>.</w:t>
      </w:r>
      <w:r w:rsidR="00A21F43" w:rsidRPr="000C7050">
        <w:rPr>
          <w:bCs/>
          <w:sz w:val="24"/>
          <w:szCs w:val="24"/>
        </w:rPr>
        <w:t xml:space="preserve"> </w:t>
      </w:r>
      <w:r w:rsidR="006A61C1" w:rsidRPr="000C7050">
        <w:rPr>
          <w:bCs/>
          <w:sz w:val="24"/>
          <w:szCs w:val="24"/>
        </w:rPr>
        <w:t xml:space="preserve"> </w:t>
      </w:r>
      <w:r w:rsidR="00A21F43" w:rsidRPr="000C7050">
        <w:rPr>
          <w:bCs/>
          <w:sz w:val="24"/>
          <w:szCs w:val="24"/>
        </w:rPr>
        <w:t>However</w:t>
      </w:r>
      <w:r w:rsidR="006A61C1" w:rsidRPr="000C7050">
        <w:rPr>
          <w:bCs/>
          <w:sz w:val="24"/>
          <w:szCs w:val="24"/>
        </w:rPr>
        <w:t>,</w:t>
      </w:r>
      <w:r w:rsidR="00A21F43" w:rsidRPr="000C7050">
        <w:rPr>
          <w:bCs/>
          <w:sz w:val="24"/>
          <w:szCs w:val="24"/>
        </w:rPr>
        <w:t xml:space="preserve"> the use of LPNs by the 63</w:t>
      </w:r>
      <w:r w:rsidR="006A61C1" w:rsidRPr="000C7050">
        <w:rPr>
          <w:bCs/>
          <w:sz w:val="24"/>
          <w:szCs w:val="24"/>
        </w:rPr>
        <w:t xml:space="preserve"> percent</w:t>
      </w:r>
      <w:r w:rsidR="00A21F43" w:rsidRPr="000C7050">
        <w:rPr>
          <w:bCs/>
          <w:sz w:val="24"/>
          <w:szCs w:val="24"/>
        </w:rPr>
        <w:t xml:space="preserve"> of pre-1992 universities is perhaps more significant for two reasons: they tend to have more funds to distribute to </w:t>
      </w:r>
      <w:r w:rsidR="006A61C1" w:rsidRPr="000C7050">
        <w:rPr>
          <w:bCs/>
          <w:sz w:val="24"/>
          <w:szCs w:val="24"/>
        </w:rPr>
        <w:t>students from under-represented</w:t>
      </w:r>
      <w:r w:rsidR="00A21F43" w:rsidRPr="000C7050">
        <w:rPr>
          <w:bCs/>
          <w:sz w:val="24"/>
          <w:szCs w:val="24"/>
        </w:rPr>
        <w:t xml:space="preserve"> </w:t>
      </w:r>
      <w:r w:rsidR="006A61C1" w:rsidRPr="000C7050">
        <w:rPr>
          <w:bCs/>
          <w:sz w:val="24"/>
          <w:szCs w:val="24"/>
        </w:rPr>
        <w:t xml:space="preserve">groups </w:t>
      </w:r>
      <w:r w:rsidR="00A21F43" w:rsidRPr="000C7050">
        <w:rPr>
          <w:bCs/>
          <w:sz w:val="24"/>
          <w:szCs w:val="24"/>
        </w:rPr>
        <w:t>(</w:t>
      </w:r>
      <w:proofErr w:type="spellStart"/>
      <w:r w:rsidR="004600CA" w:rsidRPr="000C7050">
        <w:rPr>
          <w:bCs/>
          <w:sz w:val="24"/>
          <w:szCs w:val="24"/>
        </w:rPr>
        <w:t>Callender</w:t>
      </w:r>
      <w:proofErr w:type="spellEnd"/>
      <w:r w:rsidR="004600CA" w:rsidRPr="000C7050">
        <w:rPr>
          <w:bCs/>
          <w:sz w:val="24"/>
          <w:szCs w:val="24"/>
        </w:rPr>
        <w:t xml:space="preserve"> and Jackson 2008; McCaig and </w:t>
      </w:r>
      <w:proofErr w:type="spellStart"/>
      <w:r w:rsidR="004600CA" w:rsidRPr="000C7050">
        <w:rPr>
          <w:bCs/>
          <w:sz w:val="24"/>
          <w:szCs w:val="24"/>
        </w:rPr>
        <w:t>Adnett</w:t>
      </w:r>
      <w:proofErr w:type="spellEnd"/>
      <w:r w:rsidR="004600CA" w:rsidRPr="000C7050">
        <w:rPr>
          <w:bCs/>
          <w:sz w:val="24"/>
          <w:szCs w:val="24"/>
        </w:rPr>
        <w:t xml:space="preserve"> 2009; </w:t>
      </w:r>
      <w:r w:rsidR="00A21F43" w:rsidRPr="000C7050">
        <w:rPr>
          <w:bCs/>
          <w:sz w:val="24"/>
          <w:szCs w:val="24"/>
        </w:rPr>
        <w:t>McCaig</w:t>
      </w:r>
      <w:r w:rsidR="00317D8A" w:rsidRPr="000C7050">
        <w:rPr>
          <w:bCs/>
          <w:sz w:val="24"/>
          <w:szCs w:val="24"/>
        </w:rPr>
        <w:t xml:space="preserve"> 2011)</w:t>
      </w:r>
      <w:r w:rsidR="00A21F43" w:rsidRPr="000C7050">
        <w:rPr>
          <w:bCs/>
          <w:sz w:val="24"/>
          <w:szCs w:val="24"/>
        </w:rPr>
        <w:t xml:space="preserve">; and access to these </w:t>
      </w:r>
      <w:r w:rsidR="00C60E77" w:rsidRPr="000C7050">
        <w:rPr>
          <w:sz w:val="24"/>
          <w:szCs w:val="24"/>
        </w:rPr>
        <w:t>universities</w:t>
      </w:r>
      <w:r w:rsidR="00A21F43" w:rsidRPr="000C7050">
        <w:rPr>
          <w:bCs/>
          <w:sz w:val="24"/>
          <w:szCs w:val="24"/>
        </w:rPr>
        <w:t xml:space="preserve">, because such </w:t>
      </w:r>
      <w:r w:rsidR="00C60E77" w:rsidRPr="000C7050">
        <w:rPr>
          <w:sz w:val="24"/>
          <w:szCs w:val="24"/>
        </w:rPr>
        <w:t>universities</w:t>
      </w:r>
      <w:r w:rsidR="00C60E77" w:rsidRPr="000C7050">
        <w:rPr>
          <w:bCs/>
          <w:sz w:val="24"/>
          <w:szCs w:val="24"/>
        </w:rPr>
        <w:t xml:space="preserve"> </w:t>
      </w:r>
      <w:r w:rsidR="00A21F43" w:rsidRPr="000C7050">
        <w:rPr>
          <w:bCs/>
          <w:sz w:val="24"/>
          <w:szCs w:val="24"/>
        </w:rPr>
        <w:t xml:space="preserve">are prestigious in employability terms, is potentially more </w:t>
      </w:r>
      <w:r w:rsidR="005E0B71" w:rsidRPr="000C7050">
        <w:rPr>
          <w:bCs/>
          <w:sz w:val="24"/>
          <w:szCs w:val="24"/>
        </w:rPr>
        <w:t xml:space="preserve">likely to increase </w:t>
      </w:r>
      <w:r w:rsidR="00A21F43" w:rsidRPr="000C7050">
        <w:rPr>
          <w:bCs/>
          <w:sz w:val="24"/>
          <w:szCs w:val="24"/>
        </w:rPr>
        <w:t xml:space="preserve">social mobility.  Therefore it is </w:t>
      </w:r>
      <w:r w:rsidR="004600CA" w:rsidRPr="000C7050">
        <w:rPr>
          <w:bCs/>
          <w:sz w:val="24"/>
          <w:szCs w:val="24"/>
        </w:rPr>
        <w:t xml:space="preserve">arguably </w:t>
      </w:r>
      <w:r w:rsidR="00A21F43" w:rsidRPr="000C7050">
        <w:rPr>
          <w:bCs/>
          <w:sz w:val="24"/>
          <w:szCs w:val="24"/>
        </w:rPr>
        <w:t xml:space="preserve">even more important that any intervention </w:t>
      </w:r>
      <w:r w:rsidR="004600CA" w:rsidRPr="000C7050">
        <w:rPr>
          <w:bCs/>
          <w:sz w:val="24"/>
          <w:szCs w:val="24"/>
        </w:rPr>
        <w:t>to widen participation</w:t>
      </w:r>
      <w:r w:rsidR="00A21F43" w:rsidRPr="000C7050">
        <w:rPr>
          <w:bCs/>
          <w:sz w:val="24"/>
          <w:szCs w:val="24"/>
        </w:rPr>
        <w:t xml:space="preserve"> is accurate at picking up only those </w:t>
      </w:r>
      <w:r w:rsidR="00875514" w:rsidRPr="000C7050">
        <w:rPr>
          <w:bCs/>
          <w:sz w:val="24"/>
          <w:szCs w:val="24"/>
        </w:rPr>
        <w:t>most in need of help</w:t>
      </w:r>
      <w:r w:rsidR="004600CA" w:rsidRPr="000C7050">
        <w:rPr>
          <w:bCs/>
          <w:sz w:val="24"/>
          <w:szCs w:val="24"/>
        </w:rPr>
        <w:t>.</w:t>
      </w:r>
    </w:p>
    <w:p w:rsidR="0039393E" w:rsidRPr="000C7050" w:rsidRDefault="0039393E" w:rsidP="003E581D">
      <w:pPr>
        <w:autoSpaceDE w:val="0"/>
        <w:autoSpaceDN w:val="0"/>
        <w:adjustRightInd w:val="0"/>
        <w:spacing w:line="360" w:lineRule="auto"/>
        <w:rPr>
          <w:bCs/>
          <w:sz w:val="24"/>
          <w:szCs w:val="24"/>
        </w:rPr>
      </w:pPr>
    </w:p>
    <w:p w:rsidR="00BB1420" w:rsidRPr="004153F6" w:rsidRDefault="00BB1420" w:rsidP="00BB1420">
      <w:pPr>
        <w:autoSpaceDE w:val="0"/>
        <w:autoSpaceDN w:val="0"/>
        <w:adjustRightInd w:val="0"/>
        <w:spacing w:line="360" w:lineRule="auto"/>
        <w:rPr>
          <w:bCs/>
          <w:i/>
          <w:sz w:val="24"/>
          <w:szCs w:val="24"/>
        </w:rPr>
      </w:pPr>
      <w:r w:rsidRPr="004153F6">
        <w:rPr>
          <w:bCs/>
          <w:i/>
          <w:sz w:val="24"/>
          <w:szCs w:val="24"/>
        </w:rPr>
        <w:t>Table 5: Use of LPN in milestones and target setting by English HEIs in 2010/11</w:t>
      </w:r>
    </w:p>
    <w:tbl>
      <w:tblPr>
        <w:tblStyle w:val="TableGrid"/>
        <w:tblW w:w="0" w:type="auto"/>
        <w:tblInd w:w="108" w:type="dxa"/>
        <w:tblLook w:val="04A0"/>
      </w:tblPr>
      <w:tblGrid>
        <w:gridCol w:w="2552"/>
        <w:gridCol w:w="709"/>
        <w:gridCol w:w="2409"/>
        <w:gridCol w:w="993"/>
      </w:tblGrid>
      <w:tr w:rsidR="00BB1420" w:rsidRPr="004153F6" w:rsidTr="00207BC3">
        <w:tc>
          <w:tcPr>
            <w:tcW w:w="2552" w:type="dxa"/>
            <w:tcBorders>
              <w:left w:val="nil"/>
              <w:right w:val="nil"/>
            </w:tcBorders>
          </w:tcPr>
          <w:p w:rsidR="00BB1420" w:rsidRPr="004153F6" w:rsidRDefault="00BB1420" w:rsidP="00207BC3">
            <w:pPr>
              <w:autoSpaceDE w:val="0"/>
              <w:autoSpaceDN w:val="0"/>
              <w:adjustRightInd w:val="0"/>
              <w:spacing w:line="360" w:lineRule="auto"/>
              <w:rPr>
                <w:b/>
                <w:bCs/>
                <w:sz w:val="24"/>
                <w:szCs w:val="24"/>
              </w:rPr>
            </w:pPr>
            <w:r w:rsidRPr="004153F6">
              <w:rPr>
                <w:b/>
                <w:bCs/>
                <w:sz w:val="24"/>
                <w:szCs w:val="24"/>
              </w:rPr>
              <w:t>Category</w:t>
            </w:r>
          </w:p>
        </w:tc>
        <w:tc>
          <w:tcPr>
            <w:tcW w:w="709" w:type="dxa"/>
            <w:tcBorders>
              <w:left w:val="nil"/>
              <w:right w:val="nil"/>
            </w:tcBorders>
          </w:tcPr>
          <w:p w:rsidR="00BB1420" w:rsidRPr="004153F6" w:rsidRDefault="00BB1420" w:rsidP="00207BC3">
            <w:pPr>
              <w:autoSpaceDE w:val="0"/>
              <w:autoSpaceDN w:val="0"/>
              <w:adjustRightInd w:val="0"/>
              <w:spacing w:line="360" w:lineRule="auto"/>
              <w:jc w:val="center"/>
              <w:rPr>
                <w:b/>
                <w:bCs/>
                <w:sz w:val="24"/>
                <w:szCs w:val="24"/>
              </w:rPr>
            </w:pPr>
            <w:r w:rsidRPr="004153F6">
              <w:rPr>
                <w:b/>
                <w:bCs/>
                <w:sz w:val="24"/>
                <w:szCs w:val="24"/>
              </w:rPr>
              <w:t>N</w:t>
            </w:r>
          </w:p>
        </w:tc>
        <w:tc>
          <w:tcPr>
            <w:tcW w:w="2409" w:type="dxa"/>
            <w:tcBorders>
              <w:left w:val="nil"/>
              <w:right w:val="nil"/>
            </w:tcBorders>
          </w:tcPr>
          <w:p w:rsidR="00BB1420" w:rsidRPr="004153F6" w:rsidRDefault="00BB1420" w:rsidP="00207BC3">
            <w:pPr>
              <w:autoSpaceDE w:val="0"/>
              <w:autoSpaceDN w:val="0"/>
              <w:adjustRightInd w:val="0"/>
              <w:spacing w:line="360" w:lineRule="auto"/>
              <w:jc w:val="center"/>
              <w:rPr>
                <w:b/>
                <w:bCs/>
                <w:sz w:val="24"/>
                <w:szCs w:val="24"/>
              </w:rPr>
            </w:pPr>
            <w:r w:rsidRPr="004153F6">
              <w:rPr>
                <w:b/>
                <w:bCs/>
                <w:sz w:val="24"/>
                <w:szCs w:val="24"/>
              </w:rPr>
              <w:t>Number using LPNs</w:t>
            </w:r>
          </w:p>
        </w:tc>
        <w:tc>
          <w:tcPr>
            <w:tcW w:w="993" w:type="dxa"/>
            <w:tcBorders>
              <w:left w:val="nil"/>
              <w:right w:val="nil"/>
            </w:tcBorders>
          </w:tcPr>
          <w:p w:rsidR="00BB1420" w:rsidRPr="004153F6" w:rsidRDefault="00BB1420" w:rsidP="00207BC3">
            <w:pPr>
              <w:autoSpaceDE w:val="0"/>
              <w:autoSpaceDN w:val="0"/>
              <w:adjustRightInd w:val="0"/>
              <w:spacing w:line="360" w:lineRule="auto"/>
              <w:jc w:val="center"/>
              <w:rPr>
                <w:b/>
                <w:bCs/>
                <w:sz w:val="24"/>
                <w:szCs w:val="24"/>
              </w:rPr>
            </w:pPr>
            <w:r w:rsidRPr="004153F6">
              <w:rPr>
                <w:b/>
                <w:bCs/>
                <w:sz w:val="24"/>
                <w:szCs w:val="24"/>
              </w:rPr>
              <w:t>%</w:t>
            </w:r>
          </w:p>
        </w:tc>
      </w:tr>
      <w:tr w:rsidR="00BB1420" w:rsidRPr="004153F6" w:rsidTr="00207BC3">
        <w:tc>
          <w:tcPr>
            <w:tcW w:w="2552" w:type="dxa"/>
            <w:tcBorders>
              <w:left w:val="nil"/>
              <w:bottom w:val="nil"/>
              <w:right w:val="nil"/>
            </w:tcBorders>
          </w:tcPr>
          <w:p w:rsidR="00BB1420" w:rsidRPr="004153F6" w:rsidRDefault="00BB1420" w:rsidP="00207BC3">
            <w:pPr>
              <w:autoSpaceDE w:val="0"/>
              <w:autoSpaceDN w:val="0"/>
              <w:adjustRightInd w:val="0"/>
              <w:spacing w:line="360" w:lineRule="auto"/>
              <w:rPr>
                <w:b/>
                <w:bCs/>
                <w:sz w:val="24"/>
                <w:szCs w:val="24"/>
              </w:rPr>
            </w:pPr>
            <w:r w:rsidRPr="004153F6">
              <w:rPr>
                <w:b/>
                <w:bCs/>
                <w:sz w:val="24"/>
                <w:szCs w:val="24"/>
              </w:rPr>
              <w:t xml:space="preserve">All English universities </w:t>
            </w:r>
          </w:p>
        </w:tc>
        <w:tc>
          <w:tcPr>
            <w:tcW w:w="709" w:type="dxa"/>
            <w:tcBorders>
              <w:left w:val="nil"/>
              <w:bottom w:val="nil"/>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95</w:t>
            </w:r>
          </w:p>
        </w:tc>
        <w:tc>
          <w:tcPr>
            <w:tcW w:w="2409" w:type="dxa"/>
            <w:tcBorders>
              <w:left w:val="nil"/>
              <w:bottom w:val="nil"/>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65</w:t>
            </w:r>
          </w:p>
        </w:tc>
        <w:tc>
          <w:tcPr>
            <w:tcW w:w="993" w:type="dxa"/>
            <w:tcBorders>
              <w:left w:val="nil"/>
              <w:bottom w:val="nil"/>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68%</w:t>
            </w:r>
          </w:p>
        </w:tc>
      </w:tr>
      <w:tr w:rsidR="00BB1420" w:rsidRPr="004153F6" w:rsidTr="00207BC3">
        <w:tc>
          <w:tcPr>
            <w:tcW w:w="2552" w:type="dxa"/>
            <w:tcBorders>
              <w:top w:val="nil"/>
              <w:left w:val="nil"/>
              <w:bottom w:val="nil"/>
              <w:right w:val="nil"/>
            </w:tcBorders>
          </w:tcPr>
          <w:p w:rsidR="00BB1420" w:rsidRPr="004153F6" w:rsidRDefault="00BB1420" w:rsidP="00207BC3">
            <w:pPr>
              <w:autoSpaceDE w:val="0"/>
              <w:autoSpaceDN w:val="0"/>
              <w:adjustRightInd w:val="0"/>
              <w:spacing w:line="360" w:lineRule="auto"/>
              <w:rPr>
                <w:b/>
                <w:bCs/>
                <w:sz w:val="24"/>
                <w:szCs w:val="24"/>
              </w:rPr>
            </w:pPr>
            <w:r w:rsidRPr="004153F6">
              <w:rPr>
                <w:b/>
                <w:bCs/>
                <w:sz w:val="24"/>
                <w:szCs w:val="24"/>
              </w:rPr>
              <w:t>Post-1992</w:t>
            </w:r>
          </w:p>
        </w:tc>
        <w:tc>
          <w:tcPr>
            <w:tcW w:w="709" w:type="dxa"/>
            <w:tcBorders>
              <w:top w:val="nil"/>
              <w:left w:val="nil"/>
              <w:bottom w:val="nil"/>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57</w:t>
            </w:r>
          </w:p>
        </w:tc>
        <w:tc>
          <w:tcPr>
            <w:tcW w:w="2409" w:type="dxa"/>
            <w:tcBorders>
              <w:top w:val="nil"/>
              <w:left w:val="nil"/>
              <w:bottom w:val="nil"/>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41</w:t>
            </w:r>
          </w:p>
        </w:tc>
        <w:tc>
          <w:tcPr>
            <w:tcW w:w="993" w:type="dxa"/>
            <w:tcBorders>
              <w:top w:val="nil"/>
              <w:left w:val="nil"/>
              <w:bottom w:val="nil"/>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71%</w:t>
            </w:r>
          </w:p>
        </w:tc>
      </w:tr>
      <w:tr w:rsidR="00BB1420" w:rsidRPr="004153F6" w:rsidTr="00207BC3">
        <w:tc>
          <w:tcPr>
            <w:tcW w:w="2552" w:type="dxa"/>
            <w:tcBorders>
              <w:top w:val="nil"/>
              <w:left w:val="nil"/>
              <w:bottom w:val="single" w:sz="4" w:space="0" w:color="auto"/>
              <w:right w:val="nil"/>
            </w:tcBorders>
          </w:tcPr>
          <w:p w:rsidR="00BB1420" w:rsidRPr="004153F6" w:rsidRDefault="00BB1420" w:rsidP="00207BC3">
            <w:pPr>
              <w:autoSpaceDE w:val="0"/>
              <w:autoSpaceDN w:val="0"/>
              <w:adjustRightInd w:val="0"/>
              <w:spacing w:line="360" w:lineRule="auto"/>
              <w:rPr>
                <w:b/>
                <w:bCs/>
                <w:sz w:val="24"/>
                <w:szCs w:val="24"/>
              </w:rPr>
            </w:pPr>
            <w:r w:rsidRPr="004153F6">
              <w:rPr>
                <w:b/>
                <w:bCs/>
                <w:sz w:val="24"/>
                <w:szCs w:val="24"/>
              </w:rPr>
              <w:t xml:space="preserve">Pre-1992 </w:t>
            </w:r>
          </w:p>
        </w:tc>
        <w:tc>
          <w:tcPr>
            <w:tcW w:w="709" w:type="dxa"/>
            <w:tcBorders>
              <w:top w:val="nil"/>
              <w:left w:val="nil"/>
              <w:bottom w:val="single" w:sz="4" w:space="0" w:color="auto"/>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38</w:t>
            </w:r>
          </w:p>
        </w:tc>
        <w:tc>
          <w:tcPr>
            <w:tcW w:w="2409" w:type="dxa"/>
            <w:tcBorders>
              <w:top w:val="nil"/>
              <w:left w:val="nil"/>
              <w:bottom w:val="single" w:sz="4" w:space="0" w:color="auto"/>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24</w:t>
            </w:r>
          </w:p>
        </w:tc>
        <w:tc>
          <w:tcPr>
            <w:tcW w:w="993" w:type="dxa"/>
            <w:tcBorders>
              <w:top w:val="nil"/>
              <w:left w:val="nil"/>
              <w:bottom w:val="single" w:sz="4" w:space="0" w:color="auto"/>
              <w:right w:val="nil"/>
            </w:tcBorders>
          </w:tcPr>
          <w:p w:rsidR="00BB1420" w:rsidRPr="004153F6" w:rsidRDefault="00BB1420" w:rsidP="00207BC3">
            <w:pPr>
              <w:autoSpaceDE w:val="0"/>
              <w:autoSpaceDN w:val="0"/>
              <w:adjustRightInd w:val="0"/>
              <w:spacing w:line="360" w:lineRule="auto"/>
              <w:jc w:val="center"/>
              <w:rPr>
                <w:bCs/>
                <w:sz w:val="24"/>
                <w:szCs w:val="24"/>
              </w:rPr>
            </w:pPr>
            <w:r w:rsidRPr="004153F6">
              <w:rPr>
                <w:bCs/>
                <w:sz w:val="24"/>
                <w:szCs w:val="24"/>
              </w:rPr>
              <w:t>63%</w:t>
            </w:r>
          </w:p>
        </w:tc>
      </w:tr>
    </w:tbl>
    <w:p w:rsidR="00BB1420" w:rsidRPr="004153F6" w:rsidRDefault="00BB1420" w:rsidP="00BB1420">
      <w:pPr>
        <w:autoSpaceDE w:val="0"/>
        <w:autoSpaceDN w:val="0"/>
        <w:adjustRightInd w:val="0"/>
        <w:spacing w:line="360" w:lineRule="auto"/>
        <w:rPr>
          <w:rFonts w:cs="Tahoma"/>
          <w:bCs/>
          <w:i/>
          <w:sz w:val="24"/>
          <w:szCs w:val="20"/>
        </w:rPr>
      </w:pPr>
      <w:r w:rsidRPr="004153F6">
        <w:rPr>
          <w:rFonts w:cs="Tahoma"/>
          <w:bCs/>
          <w:i/>
          <w:sz w:val="24"/>
          <w:szCs w:val="20"/>
        </w:rPr>
        <w:t>Source: Adapted from OFFA/HEFCE (2012)</w:t>
      </w:r>
    </w:p>
    <w:p w:rsidR="00003B6E" w:rsidRPr="000C7050" w:rsidRDefault="00003B6E" w:rsidP="003E581D">
      <w:pPr>
        <w:spacing w:line="360" w:lineRule="auto"/>
        <w:rPr>
          <w:bCs/>
          <w:sz w:val="24"/>
          <w:szCs w:val="24"/>
        </w:rPr>
      </w:pPr>
    </w:p>
    <w:p w:rsidR="00003B6E" w:rsidRPr="000C7050" w:rsidRDefault="00003B6E" w:rsidP="003E581D">
      <w:pPr>
        <w:spacing w:line="360" w:lineRule="auto"/>
        <w:rPr>
          <w:bCs/>
          <w:sz w:val="24"/>
          <w:szCs w:val="24"/>
        </w:rPr>
      </w:pPr>
      <w:r w:rsidRPr="000C7050">
        <w:rPr>
          <w:bCs/>
          <w:sz w:val="24"/>
          <w:szCs w:val="24"/>
        </w:rPr>
        <w:t xml:space="preserve">LPNs are used </w:t>
      </w:r>
      <w:r w:rsidR="007C1BAF" w:rsidRPr="000C7050">
        <w:rPr>
          <w:bCs/>
          <w:sz w:val="24"/>
          <w:szCs w:val="24"/>
        </w:rPr>
        <w:t>(</w:t>
      </w:r>
      <w:r w:rsidRPr="000C7050">
        <w:rPr>
          <w:bCs/>
          <w:sz w:val="24"/>
          <w:szCs w:val="24"/>
        </w:rPr>
        <w:t>and</w:t>
      </w:r>
      <w:r w:rsidR="007C1BAF" w:rsidRPr="000C7050">
        <w:rPr>
          <w:bCs/>
          <w:sz w:val="24"/>
          <w:szCs w:val="24"/>
        </w:rPr>
        <w:t xml:space="preserve"> </w:t>
      </w:r>
      <w:r w:rsidR="001F7076" w:rsidRPr="000C7050">
        <w:rPr>
          <w:bCs/>
          <w:sz w:val="24"/>
          <w:szCs w:val="24"/>
        </w:rPr>
        <w:t>possibly</w:t>
      </w:r>
      <w:r w:rsidRPr="000C7050">
        <w:rPr>
          <w:bCs/>
          <w:sz w:val="24"/>
          <w:szCs w:val="24"/>
        </w:rPr>
        <w:t xml:space="preserve"> misused</w:t>
      </w:r>
      <w:r w:rsidR="007C1BAF" w:rsidRPr="000C7050">
        <w:rPr>
          <w:bCs/>
          <w:sz w:val="24"/>
          <w:szCs w:val="24"/>
        </w:rPr>
        <w:t>)</w:t>
      </w:r>
      <w:r w:rsidRPr="000C7050">
        <w:rPr>
          <w:bCs/>
          <w:sz w:val="24"/>
          <w:szCs w:val="24"/>
        </w:rPr>
        <w:t xml:space="preserve"> by </w:t>
      </w:r>
      <w:r w:rsidR="00541464" w:rsidRPr="000C7050">
        <w:rPr>
          <w:bCs/>
          <w:sz w:val="24"/>
          <w:szCs w:val="24"/>
        </w:rPr>
        <w:t xml:space="preserve">universities </w:t>
      </w:r>
      <w:r w:rsidRPr="000C7050">
        <w:rPr>
          <w:bCs/>
          <w:sz w:val="24"/>
          <w:szCs w:val="24"/>
        </w:rPr>
        <w:t>in three main areas</w:t>
      </w:r>
      <w:r w:rsidR="007463A0" w:rsidRPr="000C7050">
        <w:rPr>
          <w:bCs/>
          <w:sz w:val="24"/>
          <w:szCs w:val="24"/>
        </w:rPr>
        <w:t>, all of which can be found in Access Agreements</w:t>
      </w:r>
      <w:r w:rsidRPr="000C7050">
        <w:rPr>
          <w:bCs/>
          <w:sz w:val="24"/>
          <w:szCs w:val="24"/>
        </w:rPr>
        <w:t xml:space="preserve">; the allocation of outreach expenditure; the selection of outreach priorities; and the allocation of financial support packages such as NSP and </w:t>
      </w:r>
      <w:r w:rsidR="00C60E77" w:rsidRPr="000C7050">
        <w:rPr>
          <w:sz w:val="24"/>
          <w:szCs w:val="24"/>
        </w:rPr>
        <w:t>universities’</w:t>
      </w:r>
      <w:r w:rsidR="00C60E77" w:rsidRPr="000C7050">
        <w:rPr>
          <w:bCs/>
          <w:sz w:val="24"/>
          <w:szCs w:val="24"/>
        </w:rPr>
        <w:t xml:space="preserve"> </w:t>
      </w:r>
      <w:r w:rsidRPr="000C7050">
        <w:rPr>
          <w:bCs/>
          <w:sz w:val="24"/>
          <w:szCs w:val="24"/>
        </w:rPr>
        <w:t xml:space="preserve">own bursaries and scholarships. </w:t>
      </w:r>
      <w:r w:rsidR="007C1BAF" w:rsidRPr="000C7050">
        <w:rPr>
          <w:bCs/>
          <w:sz w:val="24"/>
          <w:szCs w:val="24"/>
        </w:rPr>
        <w:t xml:space="preserve"> </w:t>
      </w:r>
      <w:r w:rsidRPr="000C7050">
        <w:rPr>
          <w:bCs/>
          <w:sz w:val="24"/>
          <w:szCs w:val="24"/>
        </w:rPr>
        <w:t xml:space="preserve">The clearest indication of this tendency is </w:t>
      </w:r>
      <w:r w:rsidR="001F7076" w:rsidRPr="000C7050">
        <w:rPr>
          <w:bCs/>
          <w:sz w:val="24"/>
          <w:szCs w:val="24"/>
        </w:rPr>
        <w:t>derived from</w:t>
      </w:r>
      <w:r w:rsidRPr="000C7050">
        <w:rPr>
          <w:bCs/>
          <w:sz w:val="24"/>
          <w:szCs w:val="24"/>
        </w:rPr>
        <w:t xml:space="preserve"> content analyses of a sample of </w:t>
      </w:r>
      <w:r w:rsidR="0055776C" w:rsidRPr="000C7050">
        <w:rPr>
          <w:bCs/>
          <w:sz w:val="24"/>
          <w:szCs w:val="24"/>
        </w:rPr>
        <w:t>A</w:t>
      </w:r>
      <w:r w:rsidRPr="000C7050">
        <w:rPr>
          <w:bCs/>
          <w:sz w:val="24"/>
          <w:szCs w:val="24"/>
        </w:rPr>
        <w:t xml:space="preserve">ccess </w:t>
      </w:r>
      <w:r w:rsidR="0055776C" w:rsidRPr="000C7050">
        <w:rPr>
          <w:bCs/>
          <w:sz w:val="24"/>
          <w:szCs w:val="24"/>
        </w:rPr>
        <w:t>A</w:t>
      </w:r>
      <w:r w:rsidRPr="000C7050">
        <w:rPr>
          <w:bCs/>
          <w:sz w:val="24"/>
          <w:szCs w:val="24"/>
        </w:rPr>
        <w:t xml:space="preserve">greements over time and between </w:t>
      </w:r>
      <w:r w:rsidR="00541464" w:rsidRPr="000C7050">
        <w:rPr>
          <w:bCs/>
          <w:sz w:val="24"/>
          <w:szCs w:val="24"/>
        </w:rPr>
        <w:t>university</w:t>
      </w:r>
      <w:r w:rsidRPr="000C7050">
        <w:rPr>
          <w:bCs/>
          <w:sz w:val="24"/>
          <w:szCs w:val="24"/>
        </w:rPr>
        <w:t xml:space="preserve"> types (</w:t>
      </w:r>
      <w:r w:rsidR="00F01460" w:rsidRPr="000C7050">
        <w:rPr>
          <w:bCs/>
          <w:sz w:val="24"/>
          <w:szCs w:val="24"/>
        </w:rPr>
        <w:t xml:space="preserve">McCaig and </w:t>
      </w:r>
      <w:proofErr w:type="spellStart"/>
      <w:r w:rsidR="00F01460" w:rsidRPr="000C7050">
        <w:rPr>
          <w:bCs/>
          <w:sz w:val="24"/>
          <w:szCs w:val="24"/>
        </w:rPr>
        <w:t>Adnett</w:t>
      </w:r>
      <w:proofErr w:type="spellEnd"/>
      <w:r w:rsidR="00F01460" w:rsidRPr="000C7050">
        <w:rPr>
          <w:bCs/>
          <w:sz w:val="24"/>
          <w:szCs w:val="24"/>
        </w:rPr>
        <w:t xml:space="preserve"> 2009; </w:t>
      </w:r>
      <w:r w:rsidR="00317D8A" w:rsidRPr="000C7050">
        <w:rPr>
          <w:bCs/>
          <w:sz w:val="24"/>
          <w:szCs w:val="24"/>
        </w:rPr>
        <w:t xml:space="preserve">McCaig 2012, </w:t>
      </w:r>
      <w:r w:rsidR="00317D8A" w:rsidRPr="000C7050">
        <w:rPr>
          <w:bCs/>
          <w:i/>
          <w:iCs/>
          <w:sz w:val="24"/>
          <w:szCs w:val="24"/>
        </w:rPr>
        <w:t>forthcoming</w:t>
      </w:r>
      <w:r w:rsidR="0055776C" w:rsidRPr="000C7050">
        <w:rPr>
          <w:bCs/>
          <w:sz w:val="24"/>
          <w:szCs w:val="24"/>
        </w:rPr>
        <w:t xml:space="preserve">) </w:t>
      </w:r>
      <w:r w:rsidRPr="000C7050">
        <w:rPr>
          <w:bCs/>
          <w:sz w:val="24"/>
          <w:szCs w:val="24"/>
        </w:rPr>
        <w:t xml:space="preserve">and in the evaluation of the </w:t>
      </w:r>
      <w:r w:rsidR="00E72B16" w:rsidRPr="000C7050">
        <w:rPr>
          <w:bCs/>
          <w:sz w:val="24"/>
          <w:szCs w:val="24"/>
        </w:rPr>
        <w:t xml:space="preserve">NSP </w:t>
      </w:r>
      <w:r w:rsidRPr="000C7050">
        <w:rPr>
          <w:bCs/>
          <w:sz w:val="24"/>
          <w:szCs w:val="24"/>
        </w:rPr>
        <w:t>(</w:t>
      </w:r>
      <w:r w:rsidR="00BF5E70" w:rsidRPr="000C7050">
        <w:rPr>
          <w:bCs/>
          <w:sz w:val="24"/>
          <w:szCs w:val="24"/>
        </w:rPr>
        <w:t>Diamond et al</w:t>
      </w:r>
      <w:r w:rsidRPr="000C7050">
        <w:rPr>
          <w:bCs/>
          <w:sz w:val="24"/>
          <w:szCs w:val="24"/>
        </w:rPr>
        <w:t xml:space="preserve"> 2012)</w:t>
      </w:r>
      <w:r w:rsidR="0055776C" w:rsidRPr="000C7050">
        <w:rPr>
          <w:bCs/>
          <w:sz w:val="24"/>
          <w:szCs w:val="24"/>
        </w:rPr>
        <w:t>; we turn to these now.</w:t>
      </w:r>
    </w:p>
    <w:p w:rsidR="00003B6E" w:rsidRPr="000C7050" w:rsidRDefault="00003B6E" w:rsidP="003E581D">
      <w:pPr>
        <w:spacing w:line="360" w:lineRule="auto"/>
        <w:rPr>
          <w:bCs/>
          <w:sz w:val="24"/>
          <w:szCs w:val="24"/>
        </w:rPr>
      </w:pPr>
    </w:p>
    <w:p w:rsidR="007F3D6A" w:rsidRPr="000C7050" w:rsidRDefault="007F3D6A" w:rsidP="003E581D">
      <w:pPr>
        <w:spacing w:line="360" w:lineRule="auto"/>
        <w:rPr>
          <w:bCs/>
          <w:sz w:val="24"/>
          <w:szCs w:val="24"/>
        </w:rPr>
      </w:pPr>
    </w:p>
    <w:p w:rsidR="00B05457" w:rsidRPr="000C7050" w:rsidRDefault="00B05457" w:rsidP="003E581D">
      <w:pPr>
        <w:spacing w:line="360" w:lineRule="auto"/>
        <w:rPr>
          <w:b/>
          <w:sz w:val="24"/>
          <w:szCs w:val="24"/>
        </w:rPr>
      </w:pPr>
      <w:r w:rsidRPr="000C7050">
        <w:rPr>
          <w:b/>
          <w:sz w:val="24"/>
          <w:szCs w:val="24"/>
        </w:rPr>
        <w:t>Access Agreements and the impact of the National Scholarship Programme</w:t>
      </w:r>
    </w:p>
    <w:p w:rsidR="00B05457" w:rsidRPr="000C7050" w:rsidRDefault="00B05457" w:rsidP="003E581D">
      <w:pPr>
        <w:spacing w:line="360" w:lineRule="auto"/>
        <w:rPr>
          <w:bCs/>
          <w:sz w:val="24"/>
          <w:szCs w:val="24"/>
        </w:rPr>
      </w:pPr>
    </w:p>
    <w:p w:rsidR="00003B6E" w:rsidRPr="000C7050" w:rsidRDefault="00003B6E" w:rsidP="003E581D">
      <w:pPr>
        <w:spacing w:line="360" w:lineRule="auto"/>
        <w:rPr>
          <w:rFonts w:eastAsia="Times New Roman"/>
          <w:sz w:val="24"/>
          <w:szCs w:val="24"/>
        </w:rPr>
      </w:pPr>
      <w:r w:rsidRPr="000C7050">
        <w:rPr>
          <w:rFonts w:eastAsia="Times New Roman"/>
          <w:sz w:val="24"/>
          <w:szCs w:val="24"/>
        </w:rPr>
        <w:t xml:space="preserve">The White Paper </w:t>
      </w:r>
      <w:r w:rsidRPr="000C7050">
        <w:rPr>
          <w:rFonts w:eastAsia="Times New Roman"/>
          <w:i/>
          <w:iCs/>
          <w:sz w:val="24"/>
          <w:szCs w:val="24"/>
        </w:rPr>
        <w:t>Students at the Heart of the System</w:t>
      </w:r>
      <w:r w:rsidRPr="000C7050">
        <w:rPr>
          <w:rFonts w:eastAsia="Times New Roman"/>
          <w:sz w:val="24"/>
          <w:szCs w:val="24"/>
        </w:rPr>
        <w:t xml:space="preserve"> (</w:t>
      </w:r>
      <w:r w:rsidR="000A2E04" w:rsidRPr="000C7050">
        <w:rPr>
          <w:rFonts w:eastAsia="Times New Roman"/>
          <w:sz w:val="24"/>
          <w:szCs w:val="24"/>
        </w:rPr>
        <w:t>D</w:t>
      </w:r>
      <w:r w:rsidRPr="000C7050">
        <w:rPr>
          <w:rFonts w:eastAsia="Times New Roman"/>
          <w:sz w:val="24"/>
          <w:szCs w:val="24"/>
        </w:rPr>
        <w:t>BIS 2011</w:t>
      </w:r>
      <w:r w:rsidR="000A2E04" w:rsidRPr="000C7050">
        <w:rPr>
          <w:rFonts w:eastAsia="Times New Roman"/>
          <w:sz w:val="24"/>
          <w:szCs w:val="24"/>
        </w:rPr>
        <w:t>b</w:t>
      </w:r>
      <w:r w:rsidRPr="000C7050">
        <w:rPr>
          <w:rFonts w:eastAsia="Times New Roman"/>
          <w:sz w:val="24"/>
          <w:szCs w:val="24"/>
        </w:rPr>
        <w:t xml:space="preserve">) introduced new funding arrangements </w:t>
      </w:r>
      <w:r w:rsidRPr="000C7050">
        <w:rPr>
          <w:sz w:val="24"/>
          <w:szCs w:val="24"/>
        </w:rPr>
        <w:t>which</w:t>
      </w:r>
      <w:r w:rsidRPr="000C7050">
        <w:rPr>
          <w:rFonts w:eastAsia="Times New Roman"/>
          <w:sz w:val="24"/>
          <w:szCs w:val="24"/>
        </w:rPr>
        <w:t xml:space="preserve"> included a significant rise in maximum tuition fees and a removal of the obligation on </w:t>
      </w:r>
      <w:r w:rsidR="0055776C" w:rsidRPr="000C7050">
        <w:rPr>
          <w:sz w:val="24"/>
          <w:szCs w:val="24"/>
        </w:rPr>
        <w:t>universities</w:t>
      </w:r>
      <w:r w:rsidR="0055776C" w:rsidRPr="000C7050">
        <w:rPr>
          <w:rFonts w:eastAsia="Times New Roman"/>
          <w:sz w:val="24"/>
          <w:szCs w:val="24"/>
        </w:rPr>
        <w:t xml:space="preserve"> </w:t>
      </w:r>
      <w:r w:rsidRPr="000C7050">
        <w:rPr>
          <w:rFonts w:eastAsia="Times New Roman"/>
          <w:sz w:val="24"/>
          <w:szCs w:val="24"/>
        </w:rPr>
        <w:t>to provide means</w:t>
      </w:r>
      <w:r w:rsidR="0055776C" w:rsidRPr="000C7050">
        <w:rPr>
          <w:rFonts w:eastAsia="Times New Roman"/>
          <w:sz w:val="24"/>
          <w:szCs w:val="24"/>
        </w:rPr>
        <w:t>-</w:t>
      </w:r>
      <w:r w:rsidRPr="000C7050">
        <w:rPr>
          <w:rFonts w:eastAsia="Times New Roman"/>
          <w:sz w:val="24"/>
          <w:szCs w:val="24"/>
        </w:rPr>
        <w:t>tested </w:t>
      </w:r>
      <w:r w:rsidR="0055776C" w:rsidRPr="000C7050">
        <w:rPr>
          <w:rFonts w:eastAsia="Times New Roman"/>
          <w:sz w:val="24"/>
          <w:szCs w:val="24"/>
        </w:rPr>
        <w:t>bursaries to all students that qualified</w:t>
      </w:r>
      <w:r w:rsidR="00F01460">
        <w:rPr>
          <w:rFonts w:eastAsia="Times New Roman"/>
          <w:sz w:val="24"/>
          <w:szCs w:val="24"/>
        </w:rPr>
        <w:t>. The Coalition G</w:t>
      </w:r>
      <w:r w:rsidRPr="000C7050">
        <w:rPr>
          <w:rFonts w:eastAsia="Times New Roman"/>
          <w:sz w:val="24"/>
          <w:szCs w:val="24"/>
        </w:rPr>
        <w:t>overnment</w:t>
      </w:r>
      <w:r w:rsidRPr="000C7050">
        <w:rPr>
          <w:sz w:val="24"/>
          <w:szCs w:val="24"/>
          <w:lang w:val="en-US"/>
        </w:rPr>
        <w:t xml:space="preserve"> </w:t>
      </w:r>
      <w:r w:rsidR="0055776C" w:rsidRPr="000C7050">
        <w:rPr>
          <w:sz w:val="24"/>
          <w:szCs w:val="24"/>
          <w:lang w:val="en-US"/>
        </w:rPr>
        <w:t>–</w:t>
      </w:r>
      <w:r w:rsidRPr="000C7050">
        <w:rPr>
          <w:sz w:val="24"/>
          <w:szCs w:val="24"/>
          <w:lang w:val="en-US"/>
        </w:rPr>
        <w:t xml:space="preserve"> rhetorically</w:t>
      </w:r>
      <w:r w:rsidR="00F01460">
        <w:rPr>
          <w:sz w:val="24"/>
          <w:szCs w:val="24"/>
          <w:lang w:val="en-US"/>
        </w:rPr>
        <w:t>,</w:t>
      </w:r>
      <w:r w:rsidRPr="000C7050">
        <w:rPr>
          <w:sz w:val="24"/>
          <w:szCs w:val="24"/>
          <w:lang w:val="en-US"/>
        </w:rPr>
        <w:t xml:space="preserve"> at least</w:t>
      </w:r>
      <w:r w:rsidR="0055776C" w:rsidRPr="000C7050">
        <w:rPr>
          <w:sz w:val="24"/>
          <w:szCs w:val="24"/>
          <w:lang w:val="en-US"/>
        </w:rPr>
        <w:t xml:space="preserve"> –</w:t>
      </w:r>
      <w:r w:rsidRPr="000C7050">
        <w:rPr>
          <w:sz w:val="24"/>
          <w:szCs w:val="24"/>
          <w:lang w:val="en-US"/>
        </w:rPr>
        <w:t xml:space="preserve"> continued to support wider access to higher education, reiterating that "Social mobility, fair access and widening participation should be a key</w:t>
      </w:r>
      <w:r w:rsidR="00C60E77" w:rsidRPr="000C7050">
        <w:rPr>
          <w:sz w:val="24"/>
          <w:szCs w:val="24"/>
          <w:lang w:val="en-US"/>
        </w:rPr>
        <w:t xml:space="preserve"> strategic objective"</w:t>
      </w:r>
      <w:r w:rsidRPr="000C7050">
        <w:rPr>
          <w:sz w:val="24"/>
          <w:szCs w:val="24"/>
          <w:lang w:val="en-US"/>
        </w:rPr>
        <w:t xml:space="preserve">, however it also signaled that </w:t>
      </w:r>
      <w:r w:rsidR="00186E89" w:rsidRPr="000C7050">
        <w:rPr>
          <w:sz w:val="24"/>
          <w:szCs w:val="24"/>
        </w:rPr>
        <w:t>universities</w:t>
      </w:r>
      <w:r w:rsidR="00186E89" w:rsidRPr="000C7050">
        <w:rPr>
          <w:sz w:val="24"/>
          <w:szCs w:val="24"/>
          <w:lang w:val="en-US"/>
        </w:rPr>
        <w:t xml:space="preserve"> </w:t>
      </w:r>
      <w:r w:rsidRPr="000C7050">
        <w:rPr>
          <w:sz w:val="24"/>
          <w:szCs w:val="24"/>
          <w:lang w:val="en-US"/>
        </w:rPr>
        <w:t>should begin "looking at improved targeting</w:t>
      </w:r>
      <w:r w:rsidRPr="000C7050">
        <w:rPr>
          <w:b/>
          <w:bCs/>
          <w:sz w:val="24"/>
          <w:szCs w:val="24"/>
          <w:lang w:val="en-US"/>
        </w:rPr>
        <w:t xml:space="preserve"> </w:t>
      </w:r>
      <w:r w:rsidR="00C60E77" w:rsidRPr="000C7050">
        <w:rPr>
          <w:sz w:val="24"/>
          <w:szCs w:val="24"/>
          <w:lang w:val="en-US"/>
        </w:rPr>
        <w:t>of outreach" (</w:t>
      </w:r>
      <w:r w:rsidR="00D027B3" w:rsidRPr="000C7050">
        <w:rPr>
          <w:sz w:val="24"/>
          <w:szCs w:val="24"/>
          <w:lang w:val="en-US"/>
        </w:rPr>
        <w:t>D</w:t>
      </w:r>
      <w:r w:rsidR="00C60E77" w:rsidRPr="000C7050">
        <w:rPr>
          <w:sz w:val="24"/>
          <w:szCs w:val="24"/>
          <w:lang w:val="en-US"/>
        </w:rPr>
        <w:t>BIS 2010</w:t>
      </w:r>
      <w:r w:rsidR="00D027B3" w:rsidRPr="000C7050">
        <w:rPr>
          <w:sz w:val="24"/>
          <w:szCs w:val="24"/>
          <w:lang w:val="en-US"/>
        </w:rPr>
        <w:t>: 2</w:t>
      </w:r>
      <w:r w:rsidRPr="000C7050">
        <w:rPr>
          <w:sz w:val="24"/>
          <w:szCs w:val="24"/>
          <w:lang w:val="en-US"/>
        </w:rPr>
        <w:t xml:space="preserve">). </w:t>
      </w:r>
      <w:r w:rsidR="0055776C" w:rsidRPr="000C7050">
        <w:rPr>
          <w:sz w:val="24"/>
          <w:szCs w:val="24"/>
          <w:lang w:val="en-US"/>
        </w:rPr>
        <w:t xml:space="preserve"> </w:t>
      </w:r>
      <w:r w:rsidR="00F01460">
        <w:rPr>
          <w:rFonts w:eastAsia="Times New Roman"/>
          <w:sz w:val="24"/>
          <w:szCs w:val="24"/>
        </w:rPr>
        <w:t>U</w:t>
      </w:r>
      <w:r w:rsidR="0055776C" w:rsidRPr="000C7050">
        <w:rPr>
          <w:sz w:val="24"/>
          <w:szCs w:val="24"/>
        </w:rPr>
        <w:t>niversities were</w:t>
      </w:r>
      <w:r w:rsidRPr="000C7050">
        <w:rPr>
          <w:rFonts w:eastAsia="Times New Roman"/>
          <w:sz w:val="24"/>
          <w:szCs w:val="24"/>
        </w:rPr>
        <w:t xml:space="preserve"> obliged to sign-up to the National Scholarship Programme which offers</w:t>
      </w:r>
      <w:r w:rsidR="0055776C" w:rsidRPr="000C7050">
        <w:rPr>
          <w:rFonts w:eastAsia="Times New Roman"/>
          <w:sz w:val="24"/>
          <w:szCs w:val="24"/>
        </w:rPr>
        <w:t xml:space="preserve"> significant financial support </w:t>
      </w:r>
      <w:r w:rsidRPr="000C7050">
        <w:rPr>
          <w:rFonts w:eastAsia="Times New Roman"/>
          <w:sz w:val="24"/>
          <w:szCs w:val="24"/>
        </w:rPr>
        <w:t>in the form o</w:t>
      </w:r>
      <w:r w:rsidR="0055776C" w:rsidRPr="000C7050">
        <w:rPr>
          <w:rFonts w:eastAsia="Times New Roman"/>
          <w:sz w:val="24"/>
          <w:szCs w:val="24"/>
        </w:rPr>
        <w:t>f fee waivers or cash bursaries</w:t>
      </w:r>
      <w:r w:rsidRPr="000C7050">
        <w:rPr>
          <w:rFonts w:eastAsia="Times New Roman"/>
          <w:sz w:val="24"/>
          <w:szCs w:val="24"/>
        </w:rPr>
        <w:t xml:space="preserve"> (</w:t>
      </w:r>
      <w:r w:rsidR="00D027B3" w:rsidRPr="000C7050">
        <w:rPr>
          <w:rFonts w:eastAsia="Times New Roman"/>
          <w:sz w:val="24"/>
          <w:szCs w:val="24"/>
        </w:rPr>
        <w:t>D</w:t>
      </w:r>
      <w:r w:rsidRPr="000C7050">
        <w:rPr>
          <w:rFonts w:eastAsia="Times New Roman"/>
          <w:sz w:val="24"/>
          <w:szCs w:val="24"/>
        </w:rPr>
        <w:t>BIS 2011</w:t>
      </w:r>
      <w:r w:rsidR="000A2E04" w:rsidRPr="000C7050">
        <w:rPr>
          <w:rFonts w:eastAsia="Times New Roman"/>
          <w:sz w:val="24"/>
          <w:szCs w:val="24"/>
        </w:rPr>
        <w:t>c</w:t>
      </w:r>
      <w:r w:rsidRPr="000C7050">
        <w:rPr>
          <w:rFonts w:eastAsia="Times New Roman"/>
          <w:sz w:val="24"/>
          <w:szCs w:val="24"/>
        </w:rPr>
        <w:t xml:space="preserve">). However NSP awards </w:t>
      </w:r>
      <w:r w:rsidR="0055776C" w:rsidRPr="000C7050">
        <w:rPr>
          <w:rFonts w:eastAsia="Times New Roman"/>
          <w:sz w:val="24"/>
          <w:szCs w:val="24"/>
        </w:rPr>
        <w:t xml:space="preserve">go </w:t>
      </w:r>
      <w:proofErr w:type="spellStart"/>
      <w:r w:rsidR="0055776C" w:rsidRPr="000C7050">
        <w:rPr>
          <w:rFonts w:eastAsia="Times New Roman"/>
          <w:sz w:val="24"/>
          <w:szCs w:val="24"/>
        </w:rPr>
        <w:t>to</w:t>
      </w:r>
      <w:proofErr w:type="spellEnd"/>
      <w:r w:rsidRPr="000C7050">
        <w:rPr>
          <w:rFonts w:eastAsia="Times New Roman"/>
          <w:sz w:val="24"/>
          <w:szCs w:val="24"/>
        </w:rPr>
        <w:t xml:space="preserve"> far fewer recipients </w:t>
      </w:r>
      <w:r w:rsidR="007016F0" w:rsidRPr="000C7050">
        <w:rPr>
          <w:rFonts w:eastAsia="Times New Roman"/>
          <w:sz w:val="24"/>
          <w:szCs w:val="24"/>
        </w:rPr>
        <w:t>than</w:t>
      </w:r>
      <w:r w:rsidRPr="000C7050">
        <w:rPr>
          <w:rFonts w:eastAsia="Times New Roman"/>
          <w:sz w:val="24"/>
          <w:szCs w:val="24"/>
        </w:rPr>
        <w:t xml:space="preserve"> </w:t>
      </w:r>
      <w:r w:rsidR="0055776C" w:rsidRPr="000C7050">
        <w:rPr>
          <w:rFonts w:eastAsia="Times New Roman"/>
          <w:sz w:val="24"/>
          <w:szCs w:val="24"/>
        </w:rPr>
        <w:t>the previous generation of</w:t>
      </w:r>
      <w:r w:rsidRPr="000C7050">
        <w:rPr>
          <w:rFonts w:eastAsia="Times New Roman"/>
          <w:sz w:val="24"/>
          <w:szCs w:val="24"/>
        </w:rPr>
        <w:t xml:space="preserve"> bursaries</w:t>
      </w:r>
      <w:r w:rsidR="007016F0" w:rsidRPr="000C7050">
        <w:rPr>
          <w:rFonts w:eastAsia="Times New Roman"/>
          <w:sz w:val="24"/>
          <w:szCs w:val="24"/>
        </w:rPr>
        <w:t xml:space="preserve"> which were</w:t>
      </w:r>
      <w:r w:rsidRPr="000C7050">
        <w:rPr>
          <w:rFonts w:eastAsia="Times New Roman"/>
          <w:sz w:val="24"/>
          <w:szCs w:val="24"/>
        </w:rPr>
        <w:t xml:space="preserve"> awarded to all</w:t>
      </w:r>
      <w:r w:rsidR="0055776C" w:rsidRPr="000C7050">
        <w:rPr>
          <w:rFonts w:eastAsia="Times New Roman"/>
          <w:sz w:val="24"/>
          <w:szCs w:val="24"/>
        </w:rPr>
        <w:t xml:space="preserve"> low-income</w:t>
      </w:r>
      <w:r w:rsidRPr="000C7050">
        <w:rPr>
          <w:rFonts w:eastAsia="Times New Roman"/>
          <w:sz w:val="24"/>
          <w:szCs w:val="24"/>
        </w:rPr>
        <w:t xml:space="preserve"> students </w:t>
      </w:r>
      <w:r w:rsidR="0055776C" w:rsidRPr="000C7050">
        <w:rPr>
          <w:rFonts w:eastAsia="Times New Roman"/>
          <w:sz w:val="24"/>
          <w:szCs w:val="24"/>
        </w:rPr>
        <w:t>and</w:t>
      </w:r>
      <w:r w:rsidRPr="000C7050">
        <w:rPr>
          <w:rFonts w:eastAsia="Times New Roman"/>
          <w:sz w:val="24"/>
          <w:szCs w:val="24"/>
        </w:rPr>
        <w:t xml:space="preserve"> amounted to an average of </w:t>
      </w:r>
      <w:r w:rsidR="00496DAF" w:rsidRPr="000C7050">
        <w:rPr>
          <w:rFonts w:eastAsia="Times New Roman"/>
          <w:sz w:val="24"/>
          <w:szCs w:val="24"/>
        </w:rPr>
        <w:t xml:space="preserve">over </w:t>
      </w:r>
      <w:r w:rsidRPr="000C7050">
        <w:rPr>
          <w:rFonts w:eastAsia="Times New Roman"/>
          <w:sz w:val="24"/>
          <w:szCs w:val="24"/>
        </w:rPr>
        <w:t>£</w:t>
      </w:r>
      <w:r w:rsidR="009C16CF" w:rsidRPr="000C7050">
        <w:rPr>
          <w:rFonts w:eastAsia="Times New Roman"/>
          <w:sz w:val="24"/>
          <w:szCs w:val="24"/>
        </w:rPr>
        <w:t>1,000</w:t>
      </w:r>
      <w:r w:rsidR="009C6144" w:rsidRPr="000C7050">
        <w:rPr>
          <w:rFonts w:eastAsia="Times New Roman"/>
          <w:sz w:val="24"/>
          <w:szCs w:val="24"/>
        </w:rPr>
        <w:t xml:space="preserve"> </w:t>
      </w:r>
      <w:r w:rsidR="007016F0" w:rsidRPr="000C7050">
        <w:rPr>
          <w:rFonts w:eastAsia="Times New Roman"/>
          <w:sz w:val="24"/>
          <w:szCs w:val="24"/>
        </w:rPr>
        <w:t>per year of study</w:t>
      </w:r>
      <w:r w:rsidR="009C16CF" w:rsidRPr="000C7050">
        <w:rPr>
          <w:rFonts w:eastAsia="Times New Roman"/>
          <w:sz w:val="24"/>
          <w:szCs w:val="24"/>
        </w:rPr>
        <w:t xml:space="preserve"> (</w:t>
      </w:r>
      <w:proofErr w:type="spellStart"/>
      <w:r w:rsidR="009C16CF" w:rsidRPr="000C7050">
        <w:rPr>
          <w:rFonts w:eastAsia="Times New Roman"/>
          <w:sz w:val="24"/>
          <w:szCs w:val="24"/>
        </w:rPr>
        <w:t>Callender</w:t>
      </w:r>
      <w:proofErr w:type="spellEnd"/>
      <w:r w:rsidR="009C16CF" w:rsidRPr="000C7050">
        <w:rPr>
          <w:rFonts w:eastAsia="Times New Roman"/>
          <w:sz w:val="24"/>
          <w:szCs w:val="24"/>
        </w:rPr>
        <w:t xml:space="preserve"> 2010)</w:t>
      </w:r>
      <w:r w:rsidR="0055776C" w:rsidRPr="000C7050">
        <w:rPr>
          <w:rFonts w:eastAsia="Times New Roman"/>
          <w:sz w:val="24"/>
          <w:szCs w:val="24"/>
        </w:rPr>
        <w:t>.</w:t>
      </w:r>
    </w:p>
    <w:p w:rsidR="00003B6E" w:rsidRPr="000C7050" w:rsidRDefault="00003B6E" w:rsidP="003E581D">
      <w:pPr>
        <w:spacing w:line="360" w:lineRule="auto"/>
        <w:rPr>
          <w:rFonts w:eastAsia="Times New Roman"/>
          <w:sz w:val="24"/>
          <w:szCs w:val="24"/>
        </w:rPr>
      </w:pPr>
      <w:bookmarkStart w:id="0" w:name="_GoBack"/>
      <w:bookmarkEnd w:id="0"/>
    </w:p>
    <w:p w:rsidR="00003B6E" w:rsidRPr="000C7050" w:rsidRDefault="00003B6E" w:rsidP="003E581D">
      <w:pPr>
        <w:spacing w:line="360" w:lineRule="auto"/>
        <w:rPr>
          <w:sz w:val="24"/>
          <w:szCs w:val="24"/>
        </w:rPr>
      </w:pPr>
      <w:r w:rsidRPr="000C7050">
        <w:rPr>
          <w:rFonts w:eastAsia="Times New Roman"/>
          <w:sz w:val="24"/>
          <w:szCs w:val="24"/>
        </w:rPr>
        <w:t xml:space="preserve">The NSP thus shifts the emphasis from supporting all who enrol from poorer backgrounds to targeting support at only the most 'needy' of cases, and leaves considerable room for </w:t>
      </w:r>
      <w:r w:rsidR="00186E89" w:rsidRPr="000C7050">
        <w:rPr>
          <w:sz w:val="24"/>
          <w:szCs w:val="24"/>
        </w:rPr>
        <w:t>universities</w:t>
      </w:r>
      <w:r w:rsidR="00186E89" w:rsidRPr="000C7050">
        <w:rPr>
          <w:rFonts w:eastAsia="Times New Roman"/>
          <w:sz w:val="24"/>
          <w:szCs w:val="24"/>
        </w:rPr>
        <w:t xml:space="preserve"> </w:t>
      </w:r>
      <w:r w:rsidRPr="000C7050">
        <w:rPr>
          <w:rFonts w:eastAsia="Times New Roman"/>
          <w:sz w:val="24"/>
          <w:szCs w:val="24"/>
        </w:rPr>
        <w:t xml:space="preserve">to target specific cohorts or to incentivise applications to specific programmes of study. </w:t>
      </w:r>
      <w:r w:rsidR="007016F0" w:rsidRPr="000C7050">
        <w:rPr>
          <w:rFonts w:eastAsia="Times New Roman"/>
          <w:sz w:val="24"/>
          <w:szCs w:val="24"/>
        </w:rPr>
        <w:t>As</w:t>
      </w:r>
      <w:r w:rsidRPr="000C7050">
        <w:rPr>
          <w:rFonts w:eastAsia="Times New Roman"/>
          <w:sz w:val="24"/>
          <w:szCs w:val="24"/>
        </w:rPr>
        <w:t xml:space="preserve"> far more students at post-1992 </w:t>
      </w:r>
      <w:r w:rsidR="00186E89" w:rsidRPr="000C7050">
        <w:rPr>
          <w:sz w:val="24"/>
          <w:szCs w:val="24"/>
        </w:rPr>
        <w:t>universities</w:t>
      </w:r>
      <w:r w:rsidR="00186E89" w:rsidRPr="000C7050">
        <w:rPr>
          <w:rFonts w:eastAsia="Times New Roman"/>
          <w:sz w:val="24"/>
          <w:szCs w:val="24"/>
        </w:rPr>
        <w:t xml:space="preserve"> </w:t>
      </w:r>
      <w:r w:rsidRPr="000C7050">
        <w:rPr>
          <w:rFonts w:eastAsia="Times New Roman"/>
          <w:sz w:val="24"/>
          <w:szCs w:val="24"/>
        </w:rPr>
        <w:t>qualify for full state support by family income measures (41.3</w:t>
      </w:r>
      <w:r w:rsidR="00186E89" w:rsidRPr="000C7050">
        <w:rPr>
          <w:rFonts w:eastAsia="Times New Roman"/>
          <w:sz w:val="24"/>
          <w:szCs w:val="24"/>
        </w:rPr>
        <w:t xml:space="preserve"> percent</w:t>
      </w:r>
      <w:r w:rsidRPr="000C7050">
        <w:rPr>
          <w:rFonts w:eastAsia="Times New Roman"/>
          <w:sz w:val="24"/>
          <w:szCs w:val="24"/>
        </w:rPr>
        <w:t xml:space="preserve">) than those at pre-1992 </w:t>
      </w:r>
      <w:r w:rsidR="00186E89" w:rsidRPr="000C7050">
        <w:rPr>
          <w:sz w:val="24"/>
          <w:szCs w:val="24"/>
        </w:rPr>
        <w:t>universities</w:t>
      </w:r>
      <w:r w:rsidR="00186E89" w:rsidRPr="000C7050">
        <w:rPr>
          <w:rFonts w:eastAsia="Times New Roman"/>
          <w:sz w:val="24"/>
          <w:szCs w:val="24"/>
        </w:rPr>
        <w:t xml:space="preserve"> </w:t>
      </w:r>
      <w:r w:rsidRPr="000C7050">
        <w:rPr>
          <w:rFonts w:eastAsia="Times New Roman"/>
          <w:sz w:val="24"/>
          <w:szCs w:val="24"/>
        </w:rPr>
        <w:t>(21.2</w:t>
      </w:r>
      <w:r w:rsidR="00186E89" w:rsidRPr="000C7050">
        <w:rPr>
          <w:rFonts w:eastAsia="Times New Roman"/>
          <w:sz w:val="24"/>
          <w:szCs w:val="24"/>
        </w:rPr>
        <w:t xml:space="preserve"> percent</w:t>
      </w:r>
      <w:r w:rsidRPr="000C7050">
        <w:rPr>
          <w:rFonts w:eastAsia="Times New Roman"/>
          <w:sz w:val="24"/>
          <w:szCs w:val="24"/>
        </w:rPr>
        <w:t xml:space="preserve">) </w:t>
      </w:r>
      <w:r w:rsidRPr="000C7050">
        <w:rPr>
          <w:sz w:val="24"/>
          <w:szCs w:val="24"/>
        </w:rPr>
        <w:t xml:space="preserve">funds for widening participation have to </w:t>
      </w:r>
      <w:r w:rsidR="007D4C2A" w:rsidRPr="000C7050">
        <w:rPr>
          <w:sz w:val="24"/>
          <w:szCs w:val="24"/>
        </w:rPr>
        <w:t xml:space="preserve">be </w:t>
      </w:r>
      <w:r w:rsidRPr="000C7050">
        <w:rPr>
          <w:sz w:val="24"/>
          <w:szCs w:val="24"/>
        </w:rPr>
        <w:t xml:space="preserve">spread more thinly in post-1992 </w:t>
      </w:r>
      <w:r w:rsidR="00186E89" w:rsidRPr="000C7050">
        <w:rPr>
          <w:sz w:val="24"/>
          <w:szCs w:val="24"/>
        </w:rPr>
        <w:t>universities</w:t>
      </w:r>
      <w:r w:rsidR="00186E89" w:rsidRPr="000C7050">
        <w:rPr>
          <w:rFonts w:eastAsia="Times New Roman"/>
          <w:sz w:val="24"/>
          <w:szCs w:val="24"/>
        </w:rPr>
        <w:t xml:space="preserve"> </w:t>
      </w:r>
      <w:r w:rsidRPr="000C7050">
        <w:rPr>
          <w:sz w:val="24"/>
          <w:szCs w:val="24"/>
        </w:rPr>
        <w:t>and this highlights the importance of any mechanisms by which financial support is rationed, such as LPN data</w:t>
      </w:r>
      <w:r w:rsidR="00186E89" w:rsidRPr="000C7050">
        <w:rPr>
          <w:sz w:val="24"/>
          <w:szCs w:val="24"/>
        </w:rPr>
        <w:t xml:space="preserve"> (OFFA 2012; </w:t>
      </w:r>
      <w:r w:rsidR="008A0115" w:rsidRPr="000C7050">
        <w:rPr>
          <w:sz w:val="24"/>
          <w:szCs w:val="24"/>
        </w:rPr>
        <w:t>Grove</w:t>
      </w:r>
      <w:r w:rsidR="00186E89" w:rsidRPr="000C7050">
        <w:rPr>
          <w:sz w:val="24"/>
          <w:szCs w:val="24"/>
        </w:rPr>
        <w:t xml:space="preserve"> 2012</w:t>
      </w:r>
      <w:r w:rsidR="008A0115" w:rsidRPr="000C7050">
        <w:rPr>
          <w:sz w:val="24"/>
          <w:szCs w:val="24"/>
        </w:rPr>
        <w:t>b</w:t>
      </w:r>
      <w:r w:rsidR="00186E89" w:rsidRPr="000C7050">
        <w:rPr>
          <w:sz w:val="24"/>
          <w:szCs w:val="24"/>
        </w:rPr>
        <w:t>)</w:t>
      </w:r>
      <w:r w:rsidRPr="000C7050">
        <w:rPr>
          <w:rFonts w:eastAsia="Times New Roman"/>
          <w:sz w:val="24"/>
          <w:szCs w:val="24"/>
        </w:rPr>
        <w:t xml:space="preserve">.  The NSP has a distortion effect on WP spending, particularly among post-1992 </w:t>
      </w:r>
      <w:r w:rsidR="00186E89" w:rsidRPr="000C7050">
        <w:rPr>
          <w:sz w:val="24"/>
          <w:szCs w:val="24"/>
        </w:rPr>
        <w:t>universities</w:t>
      </w:r>
      <w:r w:rsidRPr="000C7050">
        <w:rPr>
          <w:rFonts w:eastAsia="Times New Roman"/>
          <w:sz w:val="24"/>
          <w:szCs w:val="24"/>
        </w:rPr>
        <w:t>, because allocations were (in the first two years of the scheme</w:t>
      </w:r>
      <w:r w:rsidR="00186E89" w:rsidRPr="000C7050">
        <w:rPr>
          <w:rFonts w:eastAsia="Times New Roman"/>
          <w:sz w:val="24"/>
          <w:szCs w:val="24"/>
        </w:rPr>
        <w:t>)</w:t>
      </w:r>
      <w:r w:rsidRPr="000C7050">
        <w:rPr>
          <w:rFonts w:eastAsia="Times New Roman"/>
          <w:sz w:val="24"/>
          <w:szCs w:val="24"/>
        </w:rPr>
        <w:t xml:space="preserve"> based on size (student numbers) rather than need (proportion of poor students)</w:t>
      </w:r>
      <w:r w:rsidR="00496DAF" w:rsidRPr="000C7050">
        <w:rPr>
          <w:rFonts w:eastAsia="Times New Roman"/>
          <w:sz w:val="24"/>
          <w:szCs w:val="24"/>
        </w:rPr>
        <w:t>.</w:t>
      </w:r>
      <w:r w:rsidRPr="000C7050">
        <w:rPr>
          <w:rFonts w:eastAsia="Times New Roman"/>
          <w:sz w:val="24"/>
          <w:szCs w:val="24"/>
        </w:rPr>
        <w:t xml:space="preserve"> </w:t>
      </w:r>
      <w:r w:rsidRPr="000C7050">
        <w:rPr>
          <w:bCs/>
          <w:sz w:val="24"/>
          <w:szCs w:val="24"/>
        </w:rPr>
        <w:t>The formative evaluation of the NSP (</w:t>
      </w:r>
      <w:r w:rsidR="00BF5E70" w:rsidRPr="000C7050">
        <w:rPr>
          <w:bCs/>
          <w:sz w:val="24"/>
          <w:szCs w:val="24"/>
        </w:rPr>
        <w:t>Diamond et al 2012</w:t>
      </w:r>
      <w:r w:rsidRPr="000C7050">
        <w:rPr>
          <w:bCs/>
          <w:sz w:val="24"/>
          <w:szCs w:val="24"/>
        </w:rPr>
        <w:t xml:space="preserve">) found that LPN </w:t>
      </w:r>
      <w:r w:rsidR="00E213D6" w:rsidRPr="000C7050">
        <w:rPr>
          <w:bCs/>
          <w:sz w:val="24"/>
          <w:szCs w:val="24"/>
        </w:rPr>
        <w:t xml:space="preserve">and other area-based </w:t>
      </w:r>
      <w:r w:rsidRPr="000C7050">
        <w:rPr>
          <w:bCs/>
          <w:sz w:val="24"/>
          <w:szCs w:val="24"/>
        </w:rPr>
        <w:t xml:space="preserve">data </w:t>
      </w:r>
      <w:r w:rsidR="007D4C2A" w:rsidRPr="000C7050">
        <w:rPr>
          <w:bCs/>
          <w:sz w:val="24"/>
          <w:szCs w:val="24"/>
        </w:rPr>
        <w:t>wa</w:t>
      </w:r>
      <w:r w:rsidRPr="000C7050">
        <w:rPr>
          <w:bCs/>
          <w:sz w:val="24"/>
          <w:szCs w:val="24"/>
        </w:rPr>
        <w:t>s used by</w:t>
      </w:r>
      <w:r w:rsidR="00E213D6" w:rsidRPr="000C7050">
        <w:rPr>
          <w:bCs/>
          <w:sz w:val="24"/>
          <w:szCs w:val="24"/>
        </w:rPr>
        <w:t xml:space="preserve"> over</w:t>
      </w:r>
      <w:r w:rsidRPr="000C7050">
        <w:rPr>
          <w:bCs/>
          <w:sz w:val="24"/>
          <w:szCs w:val="24"/>
        </w:rPr>
        <w:t xml:space="preserve"> a third of </w:t>
      </w:r>
      <w:r w:rsidR="00186E89" w:rsidRPr="000C7050">
        <w:rPr>
          <w:sz w:val="24"/>
          <w:szCs w:val="24"/>
        </w:rPr>
        <w:t>universities</w:t>
      </w:r>
      <w:r w:rsidR="00186E89" w:rsidRPr="000C7050">
        <w:rPr>
          <w:rFonts w:eastAsia="Times New Roman"/>
          <w:sz w:val="24"/>
          <w:szCs w:val="24"/>
        </w:rPr>
        <w:t xml:space="preserve"> </w:t>
      </w:r>
      <w:r w:rsidRPr="000C7050">
        <w:rPr>
          <w:bCs/>
          <w:sz w:val="24"/>
          <w:szCs w:val="24"/>
        </w:rPr>
        <w:t>to determine additional</w:t>
      </w:r>
      <w:r w:rsidR="00E213D6" w:rsidRPr="000C7050">
        <w:rPr>
          <w:bCs/>
          <w:sz w:val="24"/>
          <w:szCs w:val="24"/>
        </w:rPr>
        <w:t xml:space="preserve"> qualifying criteria.</w:t>
      </w:r>
      <w:r w:rsidR="000C3E91" w:rsidRPr="000C7050">
        <w:rPr>
          <w:bCs/>
          <w:sz w:val="24"/>
          <w:szCs w:val="24"/>
        </w:rPr>
        <w:t xml:space="preserve"> </w:t>
      </w:r>
      <w:r w:rsidR="00E213D6" w:rsidRPr="000C7050">
        <w:rPr>
          <w:bCs/>
          <w:sz w:val="24"/>
          <w:szCs w:val="24"/>
        </w:rPr>
        <w:t xml:space="preserve"> </w:t>
      </w:r>
      <w:r w:rsidR="000C3E91" w:rsidRPr="000C7050">
        <w:rPr>
          <w:bCs/>
          <w:sz w:val="24"/>
          <w:szCs w:val="24"/>
        </w:rPr>
        <w:t>Similarly, in-year analysis by HEFCE finds that of the 184 NSP schemes, 80 of them are run by universities that have had to use additional criteria to differentiate between deserving applicants,  37 of which have used LPN data for this purpose (OFFA/HEFCE 2013, 42-43).</w:t>
      </w:r>
    </w:p>
    <w:p w:rsidR="00003B6E" w:rsidRPr="000C7050" w:rsidRDefault="00003B6E" w:rsidP="003E581D">
      <w:pPr>
        <w:spacing w:line="360" w:lineRule="auto"/>
        <w:rPr>
          <w:sz w:val="24"/>
          <w:szCs w:val="24"/>
        </w:rPr>
      </w:pPr>
    </w:p>
    <w:p w:rsidR="00003B6E" w:rsidRPr="000C7050" w:rsidRDefault="00003B6E" w:rsidP="003E581D">
      <w:pPr>
        <w:spacing w:line="360" w:lineRule="auto"/>
        <w:rPr>
          <w:sz w:val="24"/>
          <w:szCs w:val="24"/>
        </w:rPr>
      </w:pPr>
      <w:r w:rsidRPr="000C7050">
        <w:rPr>
          <w:sz w:val="24"/>
          <w:szCs w:val="24"/>
        </w:rPr>
        <w:t xml:space="preserve">There is further scope for the use of LPNs in the second and third years of the NSP as the number of allocated awards is </w:t>
      </w:r>
      <w:r w:rsidR="00186E89" w:rsidRPr="000C7050">
        <w:rPr>
          <w:sz w:val="24"/>
          <w:szCs w:val="24"/>
        </w:rPr>
        <w:t>increased</w:t>
      </w:r>
      <w:r w:rsidRPr="000C7050">
        <w:rPr>
          <w:sz w:val="24"/>
          <w:szCs w:val="24"/>
        </w:rPr>
        <w:t xml:space="preserve">. Some, usually pre-1992 </w:t>
      </w:r>
      <w:r w:rsidR="00186E89" w:rsidRPr="000C7050">
        <w:rPr>
          <w:sz w:val="24"/>
          <w:szCs w:val="24"/>
        </w:rPr>
        <w:t>universities</w:t>
      </w:r>
      <w:r w:rsidRPr="000C7050">
        <w:rPr>
          <w:sz w:val="24"/>
          <w:szCs w:val="24"/>
        </w:rPr>
        <w:t>, will have more awards than they have students that qualify and may be tempted to use LPNs to</w:t>
      </w:r>
      <w:r w:rsidR="007D4C2A" w:rsidRPr="000C7050">
        <w:rPr>
          <w:sz w:val="24"/>
          <w:szCs w:val="24"/>
        </w:rPr>
        <w:t xml:space="preserve"> easily</w:t>
      </w:r>
      <w:r w:rsidRPr="000C7050">
        <w:rPr>
          <w:sz w:val="24"/>
          <w:szCs w:val="24"/>
        </w:rPr>
        <w:t xml:space="preserve"> identify a wider group of recipients; conversely the match-funded requirement of NSP, which diverts funding away from </w:t>
      </w:r>
      <w:r w:rsidR="00186E89" w:rsidRPr="000C7050">
        <w:rPr>
          <w:sz w:val="24"/>
          <w:szCs w:val="24"/>
        </w:rPr>
        <w:lastRenderedPageBreak/>
        <w:t>low-income students</w:t>
      </w:r>
      <w:r w:rsidRPr="000C7050">
        <w:rPr>
          <w:sz w:val="24"/>
          <w:szCs w:val="24"/>
        </w:rPr>
        <w:t xml:space="preserve">, may also increase the use of LPN data by post-1992 </w:t>
      </w:r>
      <w:r w:rsidR="00186E89" w:rsidRPr="000C7050">
        <w:rPr>
          <w:sz w:val="24"/>
          <w:szCs w:val="24"/>
        </w:rPr>
        <w:t>universities</w:t>
      </w:r>
      <w:r w:rsidRPr="000C7050">
        <w:rPr>
          <w:sz w:val="24"/>
          <w:szCs w:val="24"/>
        </w:rPr>
        <w:t xml:space="preserve">. Such a multiplier effect in the use of LPNs </w:t>
      </w:r>
      <w:r w:rsidR="007D4C2A" w:rsidRPr="000C7050">
        <w:rPr>
          <w:sz w:val="24"/>
          <w:szCs w:val="24"/>
        </w:rPr>
        <w:t>would</w:t>
      </w:r>
      <w:r w:rsidRPr="000C7050">
        <w:rPr>
          <w:sz w:val="24"/>
          <w:szCs w:val="24"/>
        </w:rPr>
        <w:t xml:space="preserve"> increase the proportion of state WP funding that is </w:t>
      </w:r>
      <w:r w:rsidRPr="000C7050">
        <w:rPr>
          <w:i/>
          <w:iCs/>
          <w:sz w:val="24"/>
          <w:szCs w:val="24"/>
        </w:rPr>
        <w:t>not</w:t>
      </w:r>
      <w:r w:rsidRPr="000C7050">
        <w:rPr>
          <w:sz w:val="24"/>
          <w:szCs w:val="24"/>
        </w:rPr>
        <w:t xml:space="preserve"> going to the most </w:t>
      </w:r>
      <w:r w:rsidR="00186E89" w:rsidRPr="000C7050">
        <w:rPr>
          <w:sz w:val="24"/>
          <w:szCs w:val="24"/>
        </w:rPr>
        <w:t>financially-</w:t>
      </w:r>
      <w:r w:rsidRPr="000C7050">
        <w:rPr>
          <w:sz w:val="24"/>
          <w:szCs w:val="24"/>
        </w:rPr>
        <w:t>needy students.</w:t>
      </w:r>
      <w:r w:rsidR="007D4C2A" w:rsidRPr="000C7050">
        <w:rPr>
          <w:sz w:val="24"/>
          <w:szCs w:val="24"/>
        </w:rPr>
        <w:t xml:space="preserve"> </w:t>
      </w:r>
      <w:r w:rsidR="00EF1A59" w:rsidRPr="000C7050">
        <w:rPr>
          <w:sz w:val="24"/>
          <w:szCs w:val="24"/>
        </w:rPr>
        <w:t xml:space="preserve"> </w:t>
      </w:r>
      <w:r w:rsidR="00EF1A59" w:rsidRPr="000C7050">
        <w:rPr>
          <w:rFonts w:cstheme="minorHAnsi"/>
          <w:sz w:val="24"/>
          <w:szCs w:val="24"/>
        </w:rPr>
        <w:t>The latest OFFA/HEFCE monitoring report recognises this temptation and notes that LPN data "is not an appropriate determining criterion of eligibility in its own right" (OFFA/HEFCE 2013, 13).</w:t>
      </w:r>
    </w:p>
    <w:p w:rsidR="00003B6E" w:rsidRPr="000C7050" w:rsidRDefault="00003B6E" w:rsidP="003E581D">
      <w:pPr>
        <w:autoSpaceDE w:val="0"/>
        <w:autoSpaceDN w:val="0"/>
        <w:adjustRightInd w:val="0"/>
        <w:spacing w:line="360" w:lineRule="auto"/>
        <w:rPr>
          <w:rFonts w:cstheme="minorHAnsi"/>
          <w:bCs/>
          <w:sz w:val="24"/>
          <w:szCs w:val="24"/>
        </w:rPr>
      </w:pPr>
    </w:p>
    <w:p w:rsidR="007D4C2A" w:rsidRPr="000C7050" w:rsidRDefault="007D4C2A" w:rsidP="003E581D">
      <w:pPr>
        <w:autoSpaceDE w:val="0"/>
        <w:autoSpaceDN w:val="0"/>
        <w:adjustRightInd w:val="0"/>
        <w:spacing w:line="360" w:lineRule="auto"/>
        <w:rPr>
          <w:rFonts w:cstheme="minorHAnsi"/>
          <w:bCs/>
          <w:sz w:val="24"/>
          <w:szCs w:val="24"/>
        </w:rPr>
      </w:pPr>
    </w:p>
    <w:p w:rsidR="007D4C2A" w:rsidRPr="000C7050" w:rsidRDefault="00E213D6" w:rsidP="003E581D">
      <w:pPr>
        <w:autoSpaceDE w:val="0"/>
        <w:autoSpaceDN w:val="0"/>
        <w:adjustRightInd w:val="0"/>
        <w:spacing w:line="360" w:lineRule="auto"/>
        <w:rPr>
          <w:rFonts w:cstheme="minorHAnsi"/>
          <w:b/>
          <w:sz w:val="24"/>
          <w:szCs w:val="24"/>
        </w:rPr>
      </w:pPr>
      <w:r w:rsidRPr="000C7050">
        <w:rPr>
          <w:rFonts w:cstheme="minorHAnsi"/>
          <w:b/>
          <w:sz w:val="24"/>
          <w:szCs w:val="24"/>
        </w:rPr>
        <w:t>LPNs within</w:t>
      </w:r>
      <w:r w:rsidR="007D4C2A" w:rsidRPr="000C7050">
        <w:rPr>
          <w:rFonts w:cstheme="minorHAnsi"/>
          <w:b/>
          <w:sz w:val="24"/>
          <w:szCs w:val="24"/>
        </w:rPr>
        <w:t xml:space="preserve"> Access Agreements</w:t>
      </w:r>
    </w:p>
    <w:p w:rsidR="007D4C2A" w:rsidRPr="000C7050" w:rsidRDefault="007D4C2A" w:rsidP="003E581D">
      <w:pPr>
        <w:autoSpaceDE w:val="0"/>
        <w:autoSpaceDN w:val="0"/>
        <w:adjustRightInd w:val="0"/>
        <w:spacing w:line="360" w:lineRule="auto"/>
        <w:rPr>
          <w:rFonts w:cstheme="minorHAnsi"/>
          <w:b/>
          <w:sz w:val="24"/>
          <w:szCs w:val="24"/>
        </w:rPr>
      </w:pPr>
    </w:p>
    <w:p w:rsidR="006E032E" w:rsidRPr="000C7050" w:rsidRDefault="007016F0" w:rsidP="003E581D">
      <w:pPr>
        <w:autoSpaceDE w:val="0"/>
        <w:autoSpaceDN w:val="0"/>
        <w:adjustRightInd w:val="0"/>
        <w:spacing w:line="360" w:lineRule="auto"/>
        <w:rPr>
          <w:rFonts w:cstheme="minorHAnsi"/>
          <w:i/>
          <w:iCs/>
          <w:sz w:val="24"/>
          <w:szCs w:val="24"/>
        </w:rPr>
      </w:pPr>
      <w:r w:rsidRPr="000C7050">
        <w:rPr>
          <w:rFonts w:cstheme="minorHAnsi"/>
          <w:bCs/>
          <w:sz w:val="24"/>
          <w:szCs w:val="24"/>
        </w:rPr>
        <w:t xml:space="preserve">Content analysis </w:t>
      </w:r>
      <w:r w:rsidR="00186E89" w:rsidRPr="000C7050">
        <w:rPr>
          <w:rFonts w:cstheme="minorHAnsi"/>
          <w:bCs/>
          <w:sz w:val="24"/>
          <w:szCs w:val="24"/>
        </w:rPr>
        <w:t>of</w:t>
      </w:r>
      <w:r w:rsidRPr="000C7050">
        <w:rPr>
          <w:rFonts w:cstheme="minorHAnsi"/>
          <w:bCs/>
          <w:sz w:val="24"/>
          <w:szCs w:val="24"/>
        </w:rPr>
        <w:t xml:space="preserve"> a sample of 20 </w:t>
      </w:r>
      <w:r w:rsidR="00C60E77" w:rsidRPr="000C7050">
        <w:rPr>
          <w:sz w:val="24"/>
          <w:szCs w:val="24"/>
        </w:rPr>
        <w:t>universities</w:t>
      </w:r>
      <w:r w:rsidR="00C60E77" w:rsidRPr="000C7050">
        <w:rPr>
          <w:rFonts w:cstheme="minorHAnsi"/>
          <w:bCs/>
          <w:sz w:val="24"/>
          <w:szCs w:val="24"/>
        </w:rPr>
        <w:t xml:space="preserve">’ </w:t>
      </w:r>
      <w:r w:rsidR="00186E89" w:rsidRPr="000C7050">
        <w:rPr>
          <w:rFonts w:cstheme="minorHAnsi"/>
          <w:bCs/>
          <w:sz w:val="24"/>
          <w:szCs w:val="24"/>
        </w:rPr>
        <w:t>A</w:t>
      </w:r>
      <w:r w:rsidRPr="000C7050">
        <w:rPr>
          <w:rFonts w:cstheme="minorHAnsi"/>
          <w:bCs/>
          <w:sz w:val="24"/>
          <w:szCs w:val="24"/>
        </w:rPr>
        <w:t xml:space="preserve">ccess </w:t>
      </w:r>
      <w:r w:rsidR="00186E89" w:rsidRPr="000C7050">
        <w:rPr>
          <w:rFonts w:cstheme="minorHAnsi"/>
          <w:bCs/>
          <w:sz w:val="24"/>
          <w:szCs w:val="24"/>
        </w:rPr>
        <w:t>A</w:t>
      </w:r>
      <w:r w:rsidRPr="000C7050">
        <w:rPr>
          <w:rFonts w:cstheme="minorHAnsi"/>
          <w:bCs/>
          <w:sz w:val="24"/>
          <w:szCs w:val="24"/>
        </w:rPr>
        <w:t>greements over time (2006/7 and 2012/13</w:t>
      </w:r>
      <w:r w:rsidR="00186E89" w:rsidRPr="000C7050">
        <w:rPr>
          <w:rFonts w:cstheme="minorHAnsi"/>
          <w:bCs/>
          <w:sz w:val="24"/>
          <w:szCs w:val="24"/>
        </w:rPr>
        <w:t>)</w:t>
      </w:r>
      <w:r w:rsidRPr="000C7050">
        <w:rPr>
          <w:rFonts w:cstheme="minorHAnsi"/>
          <w:bCs/>
          <w:sz w:val="24"/>
          <w:szCs w:val="24"/>
        </w:rPr>
        <w:t xml:space="preserve"> shows th</w:t>
      </w:r>
      <w:r w:rsidR="001154A2" w:rsidRPr="000C7050">
        <w:rPr>
          <w:rFonts w:cstheme="minorHAnsi"/>
          <w:bCs/>
          <w:sz w:val="24"/>
          <w:szCs w:val="24"/>
        </w:rPr>
        <w:t>e</w:t>
      </w:r>
      <w:r w:rsidRPr="000C7050">
        <w:rPr>
          <w:rFonts w:cstheme="minorHAnsi"/>
          <w:bCs/>
          <w:sz w:val="24"/>
          <w:szCs w:val="24"/>
        </w:rPr>
        <w:t xml:space="preserve"> evolution in the use of LPN data to allocate student support and </w:t>
      </w:r>
      <w:r w:rsidR="001154A2" w:rsidRPr="000C7050">
        <w:rPr>
          <w:rFonts w:cstheme="minorHAnsi"/>
          <w:bCs/>
          <w:sz w:val="24"/>
          <w:szCs w:val="24"/>
        </w:rPr>
        <w:t>identify</w:t>
      </w:r>
      <w:r w:rsidRPr="000C7050">
        <w:rPr>
          <w:rFonts w:cstheme="minorHAnsi"/>
          <w:bCs/>
          <w:sz w:val="24"/>
          <w:szCs w:val="24"/>
        </w:rPr>
        <w:t xml:space="preserve"> worthy cohorts for outreach (</w:t>
      </w:r>
      <w:r w:rsidR="001154A2" w:rsidRPr="000C7050">
        <w:rPr>
          <w:rFonts w:cstheme="minorHAnsi"/>
          <w:bCs/>
          <w:sz w:val="24"/>
          <w:szCs w:val="24"/>
        </w:rPr>
        <w:t xml:space="preserve">McCaig and </w:t>
      </w:r>
      <w:proofErr w:type="spellStart"/>
      <w:r w:rsidR="001154A2" w:rsidRPr="000C7050">
        <w:rPr>
          <w:rFonts w:cstheme="minorHAnsi"/>
          <w:bCs/>
          <w:sz w:val="24"/>
          <w:szCs w:val="24"/>
        </w:rPr>
        <w:t>Adnett</w:t>
      </w:r>
      <w:proofErr w:type="spellEnd"/>
      <w:r w:rsidR="001154A2" w:rsidRPr="000C7050">
        <w:rPr>
          <w:rFonts w:cstheme="minorHAnsi"/>
          <w:bCs/>
          <w:sz w:val="24"/>
          <w:szCs w:val="24"/>
        </w:rPr>
        <w:t xml:space="preserve"> 2009, McCaig 2011, McCaig forthcoming). The sample consisted of ten large pre-1992 universities and ten large post-1992 </w:t>
      </w:r>
      <w:r w:rsidR="00186E89" w:rsidRPr="000C7050">
        <w:rPr>
          <w:sz w:val="24"/>
          <w:szCs w:val="24"/>
        </w:rPr>
        <w:t>universities</w:t>
      </w:r>
      <w:r w:rsidR="001154A2" w:rsidRPr="000C7050">
        <w:rPr>
          <w:rFonts w:cstheme="minorHAnsi"/>
          <w:bCs/>
          <w:sz w:val="24"/>
          <w:szCs w:val="24"/>
        </w:rPr>
        <w:t xml:space="preserve">. A close reading of the text of the most recent agreements illustrates a </w:t>
      </w:r>
      <w:r w:rsidR="00186E89" w:rsidRPr="000C7050">
        <w:rPr>
          <w:rFonts w:cstheme="minorHAnsi"/>
          <w:bCs/>
          <w:sz w:val="24"/>
          <w:szCs w:val="24"/>
        </w:rPr>
        <w:t>poor</w:t>
      </w:r>
      <w:r w:rsidR="006E032E" w:rsidRPr="000C7050">
        <w:rPr>
          <w:rFonts w:cstheme="minorHAnsi"/>
          <w:bCs/>
          <w:sz w:val="24"/>
          <w:szCs w:val="24"/>
        </w:rPr>
        <w:t xml:space="preserve"> </w:t>
      </w:r>
      <w:r w:rsidR="00875514" w:rsidRPr="000C7050">
        <w:rPr>
          <w:rFonts w:cstheme="minorHAnsi"/>
          <w:bCs/>
          <w:sz w:val="24"/>
          <w:szCs w:val="24"/>
        </w:rPr>
        <w:t>goodness</w:t>
      </w:r>
      <w:r w:rsidR="00186E89" w:rsidRPr="000C7050">
        <w:rPr>
          <w:rFonts w:cstheme="minorHAnsi"/>
          <w:bCs/>
          <w:sz w:val="24"/>
          <w:szCs w:val="24"/>
        </w:rPr>
        <w:t>-</w:t>
      </w:r>
      <w:r w:rsidR="00875514" w:rsidRPr="000C7050">
        <w:rPr>
          <w:rFonts w:cstheme="minorHAnsi"/>
          <w:bCs/>
          <w:sz w:val="24"/>
          <w:szCs w:val="24"/>
        </w:rPr>
        <w:t>of</w:t>
      </w:r>
      <w:r w:rsidR="00186E89" w:rsidRPr="000C7050">
        <w:rPr>
          <w:rFonts w:cstheme="minorHAnsi"/>
          <w:bCs/>
          <w:sz w:val="24"/>
          <w:szCs w:val="24"/>
        </w:rPr>
        <w:t>-</w:t>
      </w:r>
      <w:r w:rsidR="00875514" w:rsidRPr="000C7050">
        <w:rPr>
          <w:rFonts w:cstheme="minorHAnsi"/>
          <w:bCs/>
          <w:sz w:val="24"/>
          <w:szCs w:val="24"/>
        </w:rPr>
        <w:t xml:space="preserve">fit between LPN and </w:t>
      </w:r>
      <w:r w:rsidR="006E032E" w:rsidRPr="000C7050">
        <w:rPr>
          <w:rFonts w:cstheme="minorHAnsi"/>
          <w:bCs/>
          <w:sz w:val="24"/>
          <w:szCs w:val="24"/>
        </w:rPr>
        <w:t xml:space="preserve">those from </w:t>
      </w:r>
      <w:r w:rsidR="006E032E" w:rsidRPr="000C7050">
        <w:rPr>
          <w:rFonts w:cstheme="minorHAnsi"/>
          <w:sz w:val="24"/>
          <w:szCs w:val="24"/>
        </w:rPr>
        <w:t>lower socio-economic backgrounds (</w:t>
      </w:r>
      <w:r w:rsidR="00186E89" w:rsidRPr="000C7050">
        <w:rPr>
          <w:rFonts w:cstheme="minorHAnsi"/>
          <w:sz w:val="24"/>
          <w:szCs w:val="24"/>
        </w:rPr>
        <w:t xml:space="preserve">as represented by </w:t>
      </w:r>
      <w:r w:rsidR="006E032E" w:rsidRPr="000C7050">
        <w:rPr>
          <w:rFonts w:cstheme="minorHAnsi"/>
          <w:sz w:val="24"/>
          <w:szCs w:val="24"/>
        </w:rPr>
        <w:t xml:space="preserve">NS-SEC </w:t>
      </w:r>
      <w:r w:rsidR="00186E89" w:rsidRPr="000C7050">
        <w:rPr>
          <w:rFonts w:cstheme="minorHAnsi"/>
          <w:sz w:val="24"/>
          <w:szCs w:val="24"/>
        </w:rPr>
        <w:t>G</w:t>
      </w:r>
      <w:r w:rsidR="006E032E" w:rsidRPr="000C7050">
        <w:rPr>
          <w:rFonts w:cstheme="minorHAnsi"/>
          <w:sz w:val="24"/>
          <w:szCs w:val="24"/>
        </w:rPr>
        <w:t>roups 4</w:t>
      </w:r>
      <w:r w:rsidR="00186E89" w:rsidRPr="000C7050">
        <w:rPr>
          <w:rFonts w:cstheme="minorHAnsi"/>
          <w:sz w:val="24"/>
          <w:szCs w:val="24"/>
        </w:rPr>
        <w:t xml:space="preserve"> to </w:t>
      </w:r>
      <w:r w:rsidR="006E032E" w:rsidRPr="000C7050">
        <w:rPr>
          <w:rFonts w:cstheme="minorHAnsi"/>
          <w:sz w:val="24"/>
          <w:szCs w:val="24"/>
        </w:rPr>
        <w:t>7)</w:t>
      </w:r>
      <w:r w:rsidR="001154A2" w:rsidRPr="000C7050">
        <w:rPr>
          <w:rFonts w:cstheme="minorHAnsi"/>
          <w:sz w:val="24"/>
          <w:szCs w:val="24"/>
        </w:rPr>
        <w:t xml:space="preserve">. This was noted </w:t>
      </w:r>
      <w:r w:rsidR="00186E89" w:rsidRPr="000C7050">
        <w:rPr>
          <w:rFonts w:cstheme="minorHAnsi"/>
          <w:sz w:val="24"/>
          <w:szCs w:val="24"/>
        </w:rPr>
        <w:t>within</w:t>
      </w:r>
      <w:r w:rsidR="006E032E" w:rsidRPr="000C7050">
        <w:rPr>
          <w:rFonts w:cstheme="minorHAnsi"/>
          <w:sz w:val="24"/>
          <w:szCs w:val="24"/>
        </w:rPr>
        <w:t xml:space="preserve"> several pre-1992 </w:t>
      </w:r>
      <w:r w:rsidR="00186E89" w:rsidRPr="000C7050">
        <w:rPr>
          <w:sz w:val="24"/>
          <w:szCs w:val="24"/>
        </w:rPr>
        <w:t>universities’</w:t>
      </w:r>
      <w:r w:rsidR="00186E89" w:rsidRPr="000C7050">
        <w:rPr>
          <w:rFonts w:cstheme="minorHAnsi"/>
          <w:sz w:val="24"/>
          <w:szCs w:val="24"/>
        </w:rPr>
        <w:t xml:space="preserve"> </w:t>
      </w:r>
      <w:r w:rsidR="006E032E" w:rsidRPr="000C7050">
        <w:rPr>
          <w:rFonts w:cstheme="minorHAnsi"/>
          <w:sz w:val="24"/>
          <w:szCs w:val="24"/>
        </w:rPr>
        <w:t>Access Agreements, who</w:t>
      </w:r>
      <w:r w:rsidR="007463A0" w:rsidRPr="000C7050">
        <w:rPr>
          <w:rFonts w:cstheme="minorHAnsi"/>
          <w:sz w:val="24"/>
          <w:szCs w:val="24"/>
        </w:rPr>
        <w:t>se authors</w:t>
      </w:r>
      <w:r w:rsidR="006E032E" w:rsidRPr="000C7050">
        <w:rPr>
          <w:rFonts w:cstheme="minorHAnsi"/>
          <w:sz w:val="24"/>
          <w:szCs w:val="24"/>
        </w:rPr>
        <w:t xml:space="preserve"> had appar</w:t>
      </w:r>
      <w:r w:rsidR="00F01460">
        <w:rPr>
          <w:rFonts w:cstheme="minorHAnsi"/>
          <w:sz w:val="24"/>
          <w:szCs w:val="24"/>
        </w:rPr>
        <w:t>ently not been aware that LPNs have limited articulation with financial need or other forms of disadvantage</w:t>
      </w:r>
      <w:r w:rsidR="006E032E" w:rsidRPr="000C7050">
        <w:rPr>
          <w:rFonts w:cstheme="minorHAnsi"/>
          <w:sz w:val="24"/>
          <w:szCs w:val="24"/>
        </w:rPr>
        <w:t xml:space="preserve">. </w:t>
      </w:r>
      <w:r w:rsidR="00A738E1" w:rsidRPr="000C7050">
        <w:rPr>
          <w:rFonts w:cstheme="minorHAnsi"/>
          <w:sz w:val="24"/>
          <w:szCs w:val="24"/>
        </w:rPr>
        <w:t xml:space="preserve"> </w:t>
      </w:r>
      <w:r w:rsidR="00A738E1" w:rsidRPr="000C7050">
        <w:rPr>
          <w:rFonts w:eastAsia="Times New Roman" w:cstheme="minorHAnsi"/>
          <w:sz w:val="24"/>
          <w:szCs w:val="24"/>
        </w:rPr>
        <w:t xml:space="preserve">One </w:t>
      </w:r>
      <w:r w:rsidR="006E032E" w:rsidRPr="000C7050">
        <w:rPr>
          <w:rFonts w:eastAsia="Times New Roman" w:cstheme="minorHAnsi"/>
          <w:sz w:val="24"/>
          <w:szCs w:val="24"/>
        </w:rPr>
        <w:t xml:space="preserve">noted that </w:t>
      </w:r>
      <w:r w:rsidR="006E032E" w:rsidRPr="000C7050">
        <w:rPr>
          <w:rFonts w:cstheme="minorHAnsi"/>
          <w:sz w:val="24"/>
          <w:szCs w:val="24"/>
        </w:rPr>
        <w:t>although</w:t>
      </w:r>
      <w:r w:rsidR="00186E89" w:rsidRPr="000C7050">
        <w:rPr>
          <w:rFonts w:cstheme="minorHAnsi"/>
          <w:sz w:val="24"/>
          <w:szCs w:val="24"/>
        </w:rPr>
        <w:t xml:space="preserve"> the</w:t>
      </w:r>
      <w:r w:rsidR="006E032E" w:rsidRPr="000C7050">
        <w:rPr>
          <w:rFonts w:cstheme="minorHAnsi"/>
          <w:sz w:val="24"/>
          <w:szCs w:val="24"/>
        </w:rPr>
        <w:t xml:space="preserve"> </w:t>
      </w:r>
      <w:r w:rsidR="00186E89" w:rsidRPr="000C7050">
        <w:rPr>
          <w:rFonts w:cstheme="minorHAnsi"/>
          <w:sz w:val="24"/>
          <w:szCs w:val="24"/>
        </w:rPr>
        <w:t xml:space="preserve">intake </w:t>
      </w:r>
      <w:r w:rsidR="00186E89" w:rsidRPr="00F01460">
        <w:rPr>
          <w:rFonts w:cstheme="minorHAnsi"/>
          <w:sz w:val="24"/>
          <w:szCs w:val="24"/>
        </w:rPr>
        <w:t xml:space="preserve">of students from </w:t>
      </w:r>
      <w:r w:rsidR="006E032E" w:rsidRPr="00F01460">
        <w:rPr>
          <w:rFonts w:cstheme="minorHAnsi"/>
          <w:sz w:val="24"/>
          <w:szCs w:val="24"/>
        </w:rPr>
        <w:t>LPN had risen steadily over the years from 2005 and 2008, thereafter "LPN intake for 2009 disappointingly fell by half a percentage point.</w:t>
      </w:r>
      <w:r w:rsidR="00186E89" w:rsidRPr="00F01460">
        <w:rPr>
          <w:rFonts w:cstheme="minorHAnsi"/>
          <w:sz w:val="24"/>
          <w:szCs w:val="24"/>
        </w:rPr>
        <w:t xml:space="preserve"> </w:t>
      </w:r>
      <w:r w:rsidR="006E032E" w:rsidRPr="00F01460">
        <w:rPr>
          <w:rFonts w:cstheme="minorHAnsi"/>
          <w:sz w:val="24"/>
          <w:szCs w:val="24"/>
        </w:rPr>
        <w:t xml:space="preserve"> It is not clear why and we note that this runs counter to a significant rise in the intake of students from low-income backgrounds for the same year"</w:t>
      </w:r>
      <w:r w:rsidR="00A738E1" w:rsidRPr="00F01460">
        <w:rPr>
          <w:rFonts w:cstheme="minorHAnsi"/>
          <w:sz w:val="24"/>
          <w:szCs w:val="24"/>
        </w:rPr>
        <w:t xml:space="preserve"> (University of Nottingham</w:t>
      </w:r>
      <w:r w:rsidR="00A738E1" w:rsidRPr="00F01460">
        <w:rPr>
          <w:rFonts w:eastAsia="Times New Roman" w:cstheme="minorHAnsi"/>
          <w:sz w:val="24"/>
          <w:szCs w:val="24"/>
        </w:rPr>
        <w:t xml:space="preserve"> 2012</w:t>
      </w:r>
      <w:r w:rsidR="00C34F4E" w:rsidRPr="00F01460">
        <w:rPr>
          <w:rFonts w:eastAsia="Times New Roman" w:cstheme="minorHAnsi"/>
          <w:sz w:val="24"/>
          <w:szCs w:val="24"/>
        </w:rPr>
        <w:t>: 14</w:t>
      </w:r>
      <w:r w:rsidR="00A738E1" w:rsidRPr="00F01460">
        <w:rPr>
          <w:rFonts w:eastAsia="Times New Roman" w:cstheme="minorHAnsi"/>
          <w:sz w:val="24"/>
          <w:szCs w:val="24"/>
        </w:rPr>
        <w:t>)</w:t>
      </w:r>
      <w:r w:rsidR="006E032E" w:rsidRPr="00F01460">
        <w:rPr>
          <w:rFonts w:cstheme="minorHAnsi"/>
          <w:sz w:val="24"/>
          <w:szCs w:val="24"/>
        </w:rPr>
        <w:t xml:space="preserve">. </w:t>
      </w:r>
      <w:r w:rsidR="00A738E1" w:rsidRPr="00F01460">
        <w:rPr>
          <w:rFonts w:cstheme="minorHAnsi"/>
          <w:sz w:val="24"/>
          <w:szCs w:val="24"/>
        </w:rPr>
        <w:t xml:space="preserve"> Another</w:t>
      </w:r>
      <w:r w:rsidR="006E032E" w:rsidRPr="00F01460">
        <w:rPr>
          <w:rFonts w:cstheme="minorHAnsi"/>
          <w:sz w:val="24"/>
          <w:szCs w:val="24"/>
        </w:rPr>
        <w:t>, reporting on its progress towards benchmarks</w:t>
      </w:r>
      <w:r w:rsidR="006E032E" w:rsidRPr="000C7050">
        <w:rPr>
          <w:rFonts w:cstheme="minorHAnsi"/>
          <w:sz w:val="24"/>
          <w:szCs w:val="24"/>
        </w:rPr>
        <w:t>, noted that while the proportion of applicants from LPN backgrounds ha</w:t>
      </w:r>
      <w:r w:rsidR="0039393E" w:rsidRPr="000C7050">
        <w:rPr>
          <w:rFonts w:cstheme="minorHAnsi"/>
          <w:sz w:val="24"/>
          <w:szCs w:val="24"/>
        </w:rPr>
        <w:t>d</w:t>
      </w:r>
      <w:r w:rsidR="006E032E" w:rsidRPr="000C7050">
        <w:rPr>
          <w:rFonts w:cstheme="minorHAnsi"/>
          <w:sz w:val="24"/>
          <w:szCs w:val="24"/>
        </w:rPr>
        <w:t xml:space="preserve"> increased, those from </w:t>
      </w:r>
      <w:r w:rsidR="00A738E1" w:rsidRPr="000C7050">
        <w:rPr>
          <w:rFonts w:cstheme="minorHAnsi"/>
          <w:sz w:val="24"/>
          <w:szCs w:val="24"/>
        </w:rPr>
        <w:t>NS-SEC</w:t>
      </w:r>
      <w:r w:rsidR="00186E89" w:rsidRPr="000C7050">
        <w:rPr>
          <w:rFonts w:cstheme="minorHAnsi"/>
          <w:sz w:val="24"/>
          <w:szCs w:val="24"/>
        </w:rPr>
        <w:t xml:space="preserve"> Groups 4 to </w:t>
      </w:r>
      <w:r w:rsidR="006E032E" w:rsidRPr="000C7050">
        <w:rPr>
          <w:rFonts w:cstheme="minorHAnsi"/>
          <w:sz w:val="24"/>
          <w:szCs w:val="24"/>
        </w:rPr>
        <w:t>7 were declining</w:t>
      </w:r>
      <w:r w:rsidR="00945962" w:rsidRPr="000C7050">
        <w:rPr>
          <w:rFonts w:cstheme="minorHAnsi"/>
          <w:sz w:val="24"/>
          <w:szCs w:val="24"/>
        </w:rPr>
        <w:t xml:space="preserve">. </w:t>
      </w:r>
      <w:r w:rsidR="00A738E1" w:rsidRPr="000C7050">
        <w:rPr>
          <w:rFonts w:cstheme="minorHAnsi"/>
          <w:sz w:val="24"/>
          <w:szCs w:val="24"/>
        </w:rPr>
        <w:t xml:space="preserve"> </w:t>
      </w:r>
      <w:r w:rsidR="00945962" w:rsidRPr="000C7050">
        <w:rPr>
          <w:rFonts w:cstheme="minorHAnsi"/>
          <w:sz w:val="24"/>
          <w:szCs w:val="24"/>
        </w:rPr>
        <w:t>In fact</w:t>
      </w:r>
      <w:r w:rsidR="00186E89" w:rsidRPr="000C7050">
        <w:rPr>
          <w:rFonts w:cstheme="minorHAnsi"/>
          <w:sz w:val="24"/>
          <w:szCs w:val="24"/>
        </w:rPr>
        <w:t>,</w:t>
      </w:r>
      <w:r w:rsidR="00945962" w:rsidRPr="000C7050">
        <w:rPr>
          <w:rFonts w:cstheme="minorHAnsi"/>
          <w:sz w:val="24"/>
          <w:szCs w:val="24"/>
        </w:rPr>
        <w:t xml:space="preserve"> along with </w:t>
      </w:r>
      <w:r w:rsidR="00A738E1" w:rsidRPr="000C7050">
        <w:rPr>
          <w:rFonts w:cstheme="minorHAnsi"/>
          <w:sz w:val="24"/>
          <w:szCs w:val="24"/>
        </w:rPr>
        <w:t>NS-</w:t>
      </w:r>
      <w:r w:rsidR="00945962" w:rsidRPr="000C7050">
        <w:rPr>
          <w:rFonts w:cstheme="minorHAnsi"/>
          <w:sz w:val="24"/>
          <w:szCs w:val="24"/>
        </w:rPr>
        <w:t xml:space="preserve">SEC </w:t>
      </w:r>
      <w:r w:rsidR="00186E89" w:rsidRPr="000C7050">
        <w:rPr>
          <w:rFonts w:cstheme="minorHAnsi"/>
          <w:sz w:val="24"/>
          <w:szCs w:val="24"/>
        </w:rPr>
        <w:t>G</w:t>
      </w:r>
      <w:r w:rsidR="00A738E1" w:rsidRPr="000C7050">
        <w:rPr>
          <w:rFonts w:cstheme="minorHAnsi"/>
          <w:sz w:val="24"/>
          <w:szCs w:val="24"/>
        </w:rPr>
        <w:t xml:space="preserve">roups </w:t>
      </w:r>
      <w:r w:rsidR="00945962" w:rsidRPr="000C7050">
        <w:rPr>
          <w:rFonts w:cstheme="minorHAnsi"/>
          <w:sz w:val="24"/>
          <w:szCs w:val="24"/>
        </w:rPr>
        <w:t>4</w:t>
      </w:r>
      <w:r w:rsidR="00186E89" w:rsidRPr="000C7050">
        <w:rPr>
          <w:rFonts w:cstheme="minorHAnsi"/>
          <w:sz w:val="24"/>
          <w:szCs w:val="24"/>
        </w:rPr>
        <w:t xml:space="preserve"> to 7, applications</w:t>
      </w:r>
      <w:r w:rsidR="00945962" w:rsidRPr="000C7050">
        <w:rPr>
          <w:rFonts w:cstheme="minorHAnsi"/>
          <w:sz w:val="24"/>
          <w:szCs w:val="24"/>
        </w:rPr>
        <w:t xml:space="preserve"> were declining from those students from low-performing schools and minority ethnic groups suggesting that LPN</w:t>
      </w:r>
      <w:r w:rsidR="00C562D3" w:rsidRPr="000C7050">
        <w:rPr>
          <w:rFonts w:cstheme="minorHAnsi"/>
          <w:sz w:val="24"/>
          <w:szCs w:val="24"/>
        </w:rPr>
        <w:t>s</w:t>
      </w:r>
      <w:r w:rsidR="00945962" w:rsidRPr="000C7050">
        <w:rPr>
          <w:rFonts w:cstheme="minorHAnsi"/>
          <w:sz w:val="24"/>
          <w:szCs w:val="24"/>
        </w:rPr>
        <w:t xml:space="preserve"> w</w:t>
      </w:r>
      <w:r w:rsidR="00C562D3" w:rsidRPr="000C7050">
        <w:rPr>
          <w:rFonts w:cstheme="minorHAnsi"/>
          <w:sz w:val="24"/>
          <w:szCs w:val="24"/>
        </w:rPr>
        <w:t>ere</w:t>
      </w:r>
      <w:r w:rsidR="00945962" w:rsidRPr="000C7050">
        <w:rPr>
          <w:rFonts w:cstheme="minorHAnsi"/>
          <w:sz w:val="24"/>
          <w:szCs w:val="24"/>
        </w:rPr>
        <w:t xml:space="preserve"> a poor mechanism for identifying the most under</w:t>
      </w:r>
      <w:r w:rsidR="00C562D3" w:rsidRPr="000C7050">
        <w:rPr>
          <w:rFonts w:cstheme="minorHAnsi"/>
          <w:sz w:val="24"/>
          <w:szCs w:val="24"/>
        </w:rPr>
        <w:t>-</w:t>
      </w:r>
      <w:r w:rsidR="00945962" w:rsidRPr="000C7050">
        <w:rPr>
          <w:rFonts w:cstheme="minorHAnsi"/>
          <w:sz w:val="24"/>
          <w:szCs w:val="24"/>
        </w:rPr>
        <w:t>represented groups</w:t>
      </w:r>
      <w:r w:rsidR="00A738E1" w:rsidRPr="000C7050">
        <w:rPr>
          <w:rFonts w:cstheme="minorHAnsi"/>
          <w:sz w:val="24"/>
          <w:szCs w:val="24"/>
        </w:rPr>
        <w:t xml:space="preserve"> (University of Bristol 2012)</w:t>
      </w:r>
      <w:r w:rsidR="00945962" w:rsidRPr="000C7050">
        <w:rPr>
          <w:rFonts w:cstheme="minorHAnsi"/>
          <w:sz w:val="24"/>
          <w:szCs w:val="24"/>
        </w:rPr>
        <w:t>.</w:t>
      </w:r>
      <w:r w:rsidR="001C2023" w:rsidRPr="000C7050">
        <w:rPr>
          <w:rFonts w:cstheme="minorHAnsi"/>
          <w:sz w:val="24"/>
          <w:szCs w:val="24"/>
        </w:rPr>
        <w:t xml:space="preserve"> </w:t>
      </w:r>
      <w:r w:rsidR="00A738E1" w:rsidRPr="000C7050">
        <w:rPr>
          <w:rFonts w:cstheme="minorHAnsi"/>
          <w:sz w:val="24"/>
          <w:szCs w:val="24"/>
        </w:rPr>
        <w:t xml:space="preserve"> Newcastle </w:t>
      </w:r>
      <w:r w:rsidR="00F45101" w:rsidRPr="000C7050">
        <w:rPr>
          <w:rFonts w:cstheme="minorHAnsi"/>
          <w:sz w:val="24"/>
          <w:szCs w:val="24"/>
        </w:rPr>
        <w:t xml:space="preserve">University </w:t>
      </w:r>
      <w:r w:rsidR="00A738E1" w:rsidRPr="000C7050">
        <w:rPr>
          <w:rFonts w:cstheme="minorHAnsi"/>
          <w:sz w:val="24"/>
          <w:szCs w:val="24"/>
        </w:rPr>
        <w:t>(2012)</w:t>
      </w:r>
      <w:r w:rsidR="001C2023" w:rsidRPr="000C7050">
        <w:rPr>
          <w:rFonts w:cstheme="minorHAnsi"/>
          <w:sz w:val="24"/>
          <w:szCs w:val="24"/>
        </w:rPr>
        <w:t xml:space="preserve"> recognised this by offering an online 'look-up tool' which allowed applicants to check if their postcode was actually in a LPN. </w:t>
      </w:r>
      <w:r w:rsidR="00A738E1" w:rsidRPr="000C7050">
        <w:rPr>
          <w:rFonts w:cstheme="minorHAnsi"/>
          <w:sz w:val="24"/>
          <w:szCs w:val="24"/>
        </w:rPr>
        <w:t xml:space="preserve"> </w:t>
      </w:r>
      <w:r w:rsidR="001C2023" w:rsidRPr="000C7050">
        <w:rPr>
          <w:rFonts w:cstheme="minorHAnsi"/>
          <w:sz w:val="24"/>
          <w:szCs w:val="24"/>
        </w:rPr>
        <w:t xml:space="preserve">Another </w:t>
      </w:r>
      <w:r w:rsidR="002772BC" w:rsidRPr="000C7050">
        <w:rPr>
          <w:rFonts w:cstheme="minorHAnsi"/>
          <w:sz w:val="24"/>
          <w:szCs w:val="24"/>
        </w:rPr>
        <w:t>(</w:t>
      </w:r>
      <w:r w:rsidR="001C2023" w:rsidRPr="000C7050">
        <w:rPr>
          <w:rFonts w:cstheme="minorHAnsi"/>
          <w:sz w:val="24"/>
          <w:szCs w:val="24"/>
        </w:rPr>
        <w:t xml:space="preserve">perhaps </w:t>
      </w:r>
      <w:r w:rsidR="002772BC" w:rsidRPr="000C7050">
        <w:rPr>
          <w:rFonts w:cstheme="minorHAnsi"/>
          <w:sz w:val="24"/>
          <w:szCs w:val="24"/>
        </w:rPr>
        <w:t>inadvertently) acknowledge</w:t>
      </w:r>
      <w:r w:rsidR="001C2023" w:rsidRPr="000C7050">
        <w:rPr>
          <w:rFonts w:cstheme="minorHAnsi"/>
          <w:sz w:val="24"/>
          <w:szCs w:val="24"/>
        </w:rPr>
        <w:t>d</w:t>
      </w:r>
      <w:r w:rsidR="002772BC" w:rsidRPr="000C7050">
        <w:rPr>
          <w:rFonts w:cstheme="minorHAnsi"/>
          <w:sz w:val="24"/>
          <w:szCs w:val="24"/>
        </w:rPr>
        <w:t xml:space="preserve"> the disparity between LPNs and actual </w:t>
      </w:r>
      <w:r w:rsidR="003519D7" w:rsidRPr="000C7050">
        <w:rPr>
          <w:rFonts w:cstheme="minorHAnsi"/>
          <w:sz w:val="24"/>
          <w:szCs w:val="24"/>
        </w:rPr>
        <w:t xml:space="preserve">people from </w:t>
      </w:r>
      <w:r w:rsidR="00C562D3" w:rsidRPr="000C7050">
        <w:rPr>
          <w:rFonts w:cstheme="minorHAnsi"/>
          <w:sz w:val="24"/>
          <w:szCs w:val="24"/>
        </w:rPr>
        <w:t>lower socio-economic backgrounds</w:t>
      </w:r>
      <w:r w:rsidR="002772BC" w:rsidRPr="000C7050">
        <w:rPr>
          <w:rFonts w:cstheme="minorHAnsi"/>
          <w:sz w:val="24"/>
          <w:szCs w:val="24"/>
        </w:rPr>
        <w:t xml:space="preserve"> when explaining its lack of progress against milestones</w:t>
      </w:r>
      <w:r w:rsidR="001C2023" w:rsidRPr="000C7050">
        <w:rPr>
          <w:rFonts w:cstheme="minorHAnsi"/>
          <w:sz w:val="24"/>
          <w:szCs w:val="24"/>
        </w:rPr>
        <w:t>:</w:t>
      </w:r>
    </w:p>
    <w:p w:rsidR="00EC78A4" w:rsidRPr="000C7050" w:rsidRDefault="00EC78A4" w:rsidP="003E581D">
      <w:pPr>
        <w:autoSpaceDE w:val="0"/>
        <w:autoSpaceDN w:val="0"/>
        <w:adjustRightInd w:val="0"/>
        <w:spacing w:line="360" w:lineRule="auto"/>
        <w:rPr>
          <w:i/>
          <w:iCs/>
          <w:sz w:val="24"/>
          <w:szCs w:val="24"/>
        </w:rPr>
      </w:pPr>
    </w:p>
    <w:p w:rsidR="009B3061" w:rsidRPr="000C7050" w:rsidRDefault="00C562D3" w:rsidP="003E581D">
      <w:pPr>
        <w:autoSpaceDE w:val="0"/>
        <w:autoSpaceDN w:val="0"/>
        <w:adjustRightInd w:val="0"/>
        <w:spacing w:line="360" w:lineRule="auto"/>
        <w:ind w:left="720"/>
        <w:rPr>
          <w:rFonts w:cstheme="minorHAnsi"/>
          <w:sz w:val="24"/>
          <w:szCs w:val="24"/>
        </w:rPr>
      </w:pPr>
      <w:r w:rsidRPr="000C7050">
        <w:rPr>
          <w:rFonts w:cstheme="minorHAnsi"/>
          <w:sz w:val="24"/>
          <w:szCs w:val="24"/>
        </w:rPr>
        <w:t>“</w:t>
      </w:r>
      <w:r w:rsidR="002772BC" w:rsidRPr="000C7050">
        <w:rPr>
          <w:rFonts w:cstheme="minorHAnsi"/>
          <w:sz w:val="24"/>
          <w:szCs w:val="24"/>
        </w:rPr>
        <w:t>I</w:t>
      </w:r>
      <w:r w:rsidR="009B3061" w:rsidRPr="000C7050">
        <w:rPr>
          <w:rFonts w:cstheme="minorHAnsi"/>
          <w:sz w:val="24"/>
          <w:szCs w:val="24"/>
        </w:rPr>
        <w:t>t should be noted that when setting milestones there are a number of contextual factors that create</w:t>
      </w:r>
      <w:r w:rsidR="002772BC" w:rsidRPr="000C7050">
        <w:rPr>
          <w:rFonts w:cstheme="minorHAnsi"/>
          <w:sz w:val="24"/>
          <w:szCs w:val="24"/>
        </w:rPr>
        <w:t xml:space="preserve"> </w:t>
      </w:r>
      <w:r w:rsidR="009B3061" w:rsidRPr="000C7050">
        <w:rPr>
          <w:rFonts w:cstheme="minorHAnsi"/>
          <w:sz w:val="24"/>
          <w:szCs w:val="24"/>
        </w:rPr>
        <w:t xml:space="preserve">additional challenges. </w:t>
      </w:r>
      <w:r w:rsidR="00C00C00" w:rsidRPr="000C7050">
        <w:rPr>
          <w:rFonts w:cstheme="minorHAnsi"/>
          <w:sz w:val="24"/>
          <w:szCs w:val="24"/>
        </w:rPr>
        <w:t xml:space="preserve"> </w:t>
      </w:r>
      <w:r w:rsidR="009B3061" w:rsidRPr="000C7050">
        <w:rPr>
          <w:rFonts w:cstheme="minorHAnsi"/>
          <w:sz w:val="24"/>
          <w:szCs w:val="24"/>
        </w:rPr>
        <w:t xml:space="preserve">75% of the current home students the University recruits </w:t>
      </w:r>
      <w:r w:rsidR="009B3061" w:rsidRPr="000C7050">
        <w:rPr>
          <w:rFonts w:cstheme="minorHAnsi"/>
          <w:sz w:val="24"/>
          <w:szCs w:val="24"/>
        </w:rPr>
        <w:lastRenderedPageBreak/>
        <w:t>come from locations</w:t>
      </w:r>
      <w:r w:rsidR="002772BC" w:rsidRPr="000C7050">
        <w:rPr>
          <w:rFonts w:cstheme="minorHAnsi"/>
          <w:sz w:val="24"/>
          <w:szCs w:val="24"/>
        </w:rPr>
        <w:t xml:space="preserve"> </w:t>
      </w:r>
      <w:r w:rsidR="009B3061" w:rsidRPr="000C7050">
        <w:rPr>
          <w:rFonts w:cstheme="minorHAnsi"/>
          <w:sz w:val="24"/>
          <w:szCs w:val="24"/>
        </w:rPr>
        <w:t>that are no more than two counties away from Hampshire, for example Berkshire, Dorset, Devon, East</w:t>
      </w:r>
      <w:r w:rsidR="002772BC" w:rsidRPr="000C7050">
        <w:rPr>
          <w:rFonts w:cstheme="minorHAnsi"/>
          <w:sz w:val="24"/>
          <w:szCs w:val="24"/>
        </w:rPr>
        <w:t xml:space="preserve"> </w:t>
      </w:r>
      <w:r w:rsidR="009B3061" w:rsidRPr="000C7050">
        <w:rPr>
          <w:rFonts w:cstheme="minorHAnsi"/>
          <w:sz w:val="24"/>
          <w:szCs w:val="24"/>
        </w:rPr>
        <w:t>Sussex, Somerset, Surrey, West Sussex, Wiltshire. The impact of recruiting from these relatively</w:t>
      </w:r>
      <w:r w:rsidR="002772BC" w:rsidRPr="000C7050">
        <w:rPr>
          <w:rFonts w:cstheme="minorHAnsi"/>
          <w:sz w:val="24"/>
          <w:szCs w:val="24"/>
        </w:rPr>
        <w:t xml:space="preserve"> </w:t>
      </w:r>
      <w:r w:rsidR="009B3061" w:rsidRPr="000C7050">
        <w:rPr>
          <w:rFonts w:cstheme="minorHAnsi"/>
          <w:sz w:val="24"/>
          <w:szCs w:val="24"/>
        </w:rPr>
        <w:t>affluent areas can be seen in the University’s performance in the HESA Performance Indicator for</w:t>
      </w:r>
      <w:r w:rsidR="002772BC" w:rsidRPr="000C7050">
        <w:rPr>
          <w:rFonts w:cstheme="minorHAnsi"/>
          <w:sz w:val="24"/>
          <w:szCs w:val="24"/>
        </w:rPr>
        <w:t xml:space="preserve"> </w:t>
      </w:r>
      <w:r w:rsidR="009B3061" w:rsidRPr="000C7050">
        <w:rPr>
          <w:rFonts w:cstheme="minorHAnsi"/>
          <w:sz w:val="24"/>
          <w:szCs w:val="24"/>
        </w:rPr>
        <w:t xml:space="preserve">entrants from SEC backgrounds 4-7 and low participation </w:t>
      </w:r>
      <w:r w:rsidR="002772BC" w:rsidRPr="000C7050">
        <w:rPr>
          <w:rFonts w:cstheme="minorHAnsi"/>
          <w:sz w:val="24"/>
          <w:szCs w:val="24"/>
        </w:rPr>
        <w:t>n</w:t>
      </w:r>
      <w:r w:rsidRPr="000C7050">
        <w:rPr>
          <w:rFonts w:cstheme="minorHAnsi"/>
          <w:sz w:val="24"/>
          <w:szCs w:val="24"/>
        </w:rPr>
        <w:t>eighbourhoods”</w:t>
      </w:r>
      <w:r w:rsidR="0039393E" w:rsidRPr="000C7050">
        <w:rPr>
          <w:rFonts w:cstheme="minorHAnsi"/>
          <w:sz w:val="24"/>
          <w:szCs w:val="24"/>
        </w:rPr>
        <w:t xml:space="preserve"> (</w:t>
      </w:r>
      <w:r w:rsidRPr="000C7050">
        <w:rPr>
          <w:rFonts w:cstheme="minorHAnsi"/>
          <w:sz w:val="24"/>
          <w:szCs w:val="24"/>
        </w:rPr>
        <w:t>University of Southampton 20</w:t>
      </w:r>
      <w:r w:rsidR="006C446F" w:rsidRPr="000C7050">
        <w:rPr>
          <w:rFonts w:cstheme="minorHAnsi"/>
          <w:sz w:val="24"/>
          <w:szCs w:val="24"/>
        </w:rPr>
        <w:t>12</w:t>
      </w:r>
      <w:r w:rsidR="00C34F4E" w:rsidRPr="000C7050">
        <w:rPr>
          <w:rFonts w:cstheme="minorHAnsi"/>
          <w:sz w:val="24"/>
          <w:szCs w:val="24"/>
        </w:rPr>
        <w:t>: 20</w:t>
      </w:r>
      <w:r w:rsidR="0039393E" w:rsidRPr="000C7050">
        <w:rPr>
          <w:rFonts w:cstheme="minorHAnsi"/>
          <w:sz w:val="24"/>
          <w:szCs w:val="24"/>
        </w:rPr>
        <w:t>)</w:t>
      </w:r>
      <w:r w:rsidRPr="000C7050">
        <w:rPr>
          <w:rFonts w:cstheme="minorHAnsi"/>
          <w:sz w:val="24"/>
          <w:szCs w:val="24"/>
        </w:rPr>
        <w:t>.</w:t>
      </w:r>
    </w:p>
    <w:p w:rsidR="002772BC" w:rsidRPr="000C7050" w:rsidRDefault="002772BC" w:rsidP="003E581D">
      <w:pPr>
        <w:autoSpaceDE w:val="0"/>
        <w:autoSpaceDN w:val="0"/>
        <w:adjustRightInd w:val="0"/>
        <w:spacing w:line="360" w:lineRule="auto"/>
        <w:rPr>
          <w:rFonts w:cstheme="minorHAnsi"/>
          <w:sz w:val="24"/>
          <w:szCs w:val="24"/>
        </w:rPr>
      </w:pPr>
    </w:p>
    <w:p w:rsidR="004C21C3" w:rsidRPr="000C7050" w:rsidRDefault="00C562D3" w:rsidP="003E581D">
      <w:pPr>
        <w:autoSpaceDE w:val="0"/>
        <w:autoSpaceDN w:val="0"/>
        <w:adjustRightInd w:val="0"/>
        <w:spacing w:line="360" w:lineRule="auto"/>
        <w:rPr>
          <w:rFonts w:cstheme="minorHAnsi"/>
          <w:sz w:val="24"/>
          <w:szCs w:val="24"/>
        </w:rPr>
      </w:pPr>
      <w:r w:rsidRPr="000C7050">
        <w:rPr>
          <w:rFonts w:cstheme="minorHAnsi"/>
          <w:sz w:val="24"/>
          <w:szCs w:val="24"/>
        </w:rPr>
        <w:t xml:space="preserve">However, </w:t>
      </w:r>
      <w:r w:rsidR="002772BC" w:rsidRPr="000C7050">
        <w:rPr>
          <w:rFonts w:cstheme="minorHAnsi"/>
          <w:sz w:val="24"/>
          <w:szCs w:val="24"/>
        </w:rPr>
        <w:t>HEFCE's POLAR</w:t>
      </w:r>
      <w:r w:rsidRPr="000C7050">
        <w:rPr>
          <w:rFonts w:cstheme="minorHAnsi"/>
          <w:sz w:val="24"/>
          <w:szCs w:val="24"/>
        </w:rPr>
        <w:t>3</w:t>
      </w:r>
      <w:r w:rsidR="002772BC" w:rsidRPr="000C7050">
        <w:rPr>
          <w:rFonts w:cstheme="minorHAnsi"/>
          <w:sz w:val="24"/>
          <w:szCs w:val="24"/>
        </w:rPr>
        <w:t xml:space="preserve"> map shows 11</w:t>
      </w:r>
      <w:r w:rsidR="0000432F" w:rsidRPr="000C7050">
        <w:rPr>
          <w:rFonts w:cstheme="minorHAnsi"/>
          <w:sz w:val="24"/>
          <w:szCs w:val="24"/>
        </w:rPr>
        <w:t xml:space="preserve"> wards </w:t>
      </w:r>
      <w:r w:rsidRPr="000C7050">
        <w:rPr>
          <w:rFonts w:cstheme="minorHAnsi"/>
          <w:sz w:val="24"/>
          <w:szCs w:val="24"/>
        </w:rPr>
        <w:t>in</w:t>
      </w:r>
      <w:r w:rsidR="0000432F" w:rsidRPr="000C7050">
        <w:rPr>
          <w:rFonts w:cstheme="minorHAnsi"/>
          <w:sz w:val="24"/>
          <w:szCs w:val="24"/>
        </w:rPr>
        <w:t xml:space="preserve"> Quintile 1 and another 12 </w:t>
      </w:r>
      <w:r w:rsidRPr="000C7050">
        <w:rPr>
          <w:rFonts w:cstheme="minorHAnsi"/>
          <w:sz w:val="24"/>
          <w:szCs w:val="24"/>
        </w:rPr>
        <w:t>in</w:t>
      </w:r>
      <w:r w:rsidR="0000432F" w:rsidRPr="000C7050">
        <w:rPr>
          <w:rFonts w:cstheme="minorHAnsi"/>
          <w:sz w:val="24"/>
          <w:szCs w:val="24"/>
        </w:rPr>
        <w:t xml:space="preserve"> Quintile 2 in the immediate area. </w:t>
      </w:r>
      <w:r w:rsidR="00C578BA" w:rsidRPr="000C7050">
        <w:rPr>
          <w:rFonts w:cstheme="minorHAnsi"/>
          <w:sz w:val="24"/>
          <w:szCs w:val="24"/>
        </w:rPr>
        <w:t xml:space="preserve"> </w:t>
      </w:r>
      <w:r w:rsidR="0039393E" w:rsidRPr="000C7050">
        <w:rPr>
          <w:rFonts w:cstheme="minorHAnsi"/>
          <w:sz w:val="24"/>
          <w:szCs w:val="24"/>
        </w:rPr>
        <w:t xml:space="preserve">The Agreement cites its </w:t>
      </w:r>
      <w:r w:rsidR="00BD0DD4" w:rsidRPr="000C7050">
        <w:rPr>
          <w:rFonts w:cstheme="minorHAnsi"/>
          <w:sz w:val="24"/>
          <w:szCs w:val="24"/>
        </w:rPr>
        <w:t xml:space="preserve">outreach </w:t>
      </w:r>
      <w:r w:rsidR="0039393E" w:rsidRPr="000C7050">
        <w:rPr>
          <w:rFonts w:cstheme="minorHAnsi"/>
          <w:sz w:val="24"/>
          <w:szCs w:val="24"/>
        </w:rPr>
        <w:t>work offering</w:t>
      </w:r>
      <w:r w:rsidR="003519D7" w:rsidRPr="000C7050">
        <w:rPr>
          <w:rFonts w:cstheme="minorHAnsi"/>
          <w:sz w:val="24"/>
          <w:szCs w:val="24"/>
        </w:rPr>
        <w:t xml:space="preserve"> support for various under</w:t>
      </w:r>
      <w:r w:rsidRPr="000C7050">
        <w:rPr>
          <w:rFonts w:cstheme="minorHAnsi"/>
          <w:sz w:val="24"/>
          <w:szCs w:val="24"/>
        </w:rPr>
        <w:t>-</w:t>
      </w:r>
      <w:r w:rsidR="003519D7" w:rsidRPr="000C7050">
        <w:rPr>
          <w:rFonts w:cstheme="minorHAnsi"/>
          <w:sz w:val="24"/>
          <w:szCs w:val="24"/>
        </w:rPr>
        <w:t>represented groups (</w:t>
      </w:r>
      <w:r w:rsidRPr="000C7050">
        <w:rPr>
          <w:rFonts w:cstheme="minorHAnsi"/>
          <w:sz w:val="24"/>
          <w:szCs w:val="24"/>
        </w:rPr>
        <w:t>e.g. minority e</w:t>
      </w:r>
      <w:r w:rsidR="0039393E" w:rsidRPr="000C7050">
        <w:rPr>
          <w:rFonts w:cstheme="minorHAnsi"/>
          <w:sz w:val="24"/>
          <w:szCs w:val="24"/>
        </w:rPr>
        <w:t>thnic groups</w:t>
      </w:r>
      <w:r w:rsidR="003519D7" w:rsidRPr="000C7050">
        <w:rPr>
          <w:rFonts w:cstheme="minorHAnsi"/>
          <w:sz w:val="24"/>
          <w:szCs w:val="24"/>
        </w:rPr>
        <w:t xml:space="preserve"> and</w:t>
      </w:r>
      <w:r w:rsidRPr="000C7050">
        <w:rPr>
          <w:rFonts w:cstheme="minorHAnsi"/>
          <w:sz w:val="24"/>
          <w:szCs w:val="24"/>
        </w:rPr>
        <w:t xml:space="preserve"> care l</w:t>
      </w:r>
      <w:r w:rsidR="0039393E" w:rsidRPr="000C7050">
        <w:rPr>
          <w:rFonts w:cstheme="minorHAnsi"/>
          <w:sz w:val="24"/>
          <w:szCs w:val="24"/>
        </w:rPr>
        <w:t>eavers</w:t>
      </w:r>
      <w:r w:rsidR="003519D7" w:rsidRPr="000C7050">
        <w:rPr>
          <w:rFonts w:cstheme="minorHAnsi"/>
          <w:sz w:val="24"/>
          <w:szCs w:val="24"/>
        </w:rPr>
        <w:t>)</w:t>
      </w:r>
      <w:r w:rsidRPr="000C7050">
        <w:rPr>
          <w:rFonts w:cstheme="minorHAnsi"/>
          <w:sz w:val="24"/>
          <w:szCs w:val="24"/>
        </w:rPr>
        <w:t>,</w:t>
      </w:r>
      <w:r w:rsidR="003519D7" w:rsidRPr="000C7050">
        <w:rPr>
          <w:rFonts w:cstheme="minorHAnsi"/>
          <w:sz w:val="24"/>
          <w:szCs w:val="24"/>
        </w:rPr>
        <w:t xml:space="preserve"> but </w:t>
      </w:r>
      <w:r w:rsidRPr="000C7050">
        <w:rPr>
          <w:rFonts w:cstheme="minorHAnsi"/>
          <w:sz w:val="24"/>
          <w:szCs w:val="24"/>
        </w:rPr>
        <w:t xml:space="preserve">states that it </w:t>
      </w:r>
      <w:r w:rsidR="003519D7" w:rsidRPr="000C7050">
        <w:rPr>
          <w:rFonts w:cstheme="minorHAnsi"/>
          <w:sz w:val="24"/>
          <w:szCs w:val="24"/>
        </w:rPr>
        <w:t xml:space="preserve">looks for </w:t>
      </w:r>
      <w:r w:rsidRPr="000C7050">
        <w:rPr>
          <w:rFonts w:cstheme="minorHAnsi"/>
          <w:sz w:val="24"/>
          <w:szCs w:val="24"/>
        </w:rPr>
        <w:t>low-income</w:t>
      </w:r>
      <w:r w:rsidR="003519D7" w:rsidRPr="000C7050">
        <w:rPr>
          <w:rFonts w:cstheme="minorHAnsi"/>
          <w:sz w:val="24"/>
          <w:szCs w:val="24"/>
        </w:rPr>
        <w:t xml:space="preserve"> students only </w:t>
      </w:r>
      <w:r w:rsidRPr="000C7050">
        <w:rPr>
          <w:rFonts w:cstheme="minorHAnsi"/>
          <w:sz w:val="24"/>
          <w:szCs w:val="24"/>
        </w:rPr>
        <w:t>within LPNs</w:t>
      </w:r>
      <w:r w:rsidR="0039393E" w:rsidRPr="000C7050">
        <w:rPr>
          <w:rFonts w:cstheme="minorHAnsi"/>
          <w:sz w:val="24"/>
          <w:szCs w:val="24"/>
        </w:rPr>
        <w:t xml:space="preserve"> (</w:t>
      </w:r>
      <w:r w:rsidR="006C446F" w:rsidRPr="000C7050">
        <w:rPr>
          <w:rFonts w:cstheme="minorHAnsi"/>
          <w:sz w:val="24"/>
          <w:szCs w:val="24"/>
        </w:rPr>
        <w:t>University of Southampton</w:t>
      </w:r>
      <w:r w:rsidRPr="000C7050">
        <w:rPr>
          <w:rFonts w:cstheme="minorHAnsi"/>
          <w:sz w:val="24"/>
          <w:szCs w:val="24"/>
        </w:rPr>
        <w:t xml:space="preserve"> 2012</w:t>
      </w:r>
      <w:r w:rsidR="0039393E" w:rsidRPr="000C7050">
        <w:rPr>
          <w:rFonts w:cstheme="minorHAnsi"/>
          <w:sz w:val="24"/>
          <w:szCs w:val="24"/>
        </w:rPr>
        <w:t>)</w:t>
      </w:r>
      <w:r w:rsidR="00F01460">
        <w:rPr>
          <w:rFonts w:cstheme="minorHAnsi"/>
          <w:sz w:val="24"/>
          <w:szCs w:val="24"/>
        </w:rPr>
        <w:t xml:space="preserve">; the </w:t>
      </w:r>
      <w:r w:rsidR="00F01460" w:rsidRPr="000C7050">
        <w:rPr>
          <w:rFonts w:cstheme="minorHAnsi"/>
          <w:sz w:val="24"/>
          <w:szCs w:val="24"/>
        </w:rPr>
        <w:t xml:space="preserve">university’s disappointment in identifying those from lower socio-economic groups </w:t>
      </w:r>
      <w:r w:rsidR="00BF7C27">
        <w:rPr>
          <w:rFonts w:cstheme="minorHAnsi"/>
          <w:sz w:val="24"/>
          <w:szCs w:val="24"/>
        </w:rPr>
        <w:t>appears to be</w:t>
      </w:r>
      <w:r w:rsidR="00F01460" w:rsidRPr="000C7050">
        <w:rPr>
          <w:rFonts w:cstheme="minorHAnsi"/>
          <w:sz w:val="24"/>
          <w:szCs w:val="24"/>
        </w:rPr>
        <w:t xml:space="preserve"> compounded by its over-reliance on LPN data.  </w:t>
      </w:r>
    </w:p>
    <w:p w:rsidR="002772BC" w:rsidRPr="000C7050" w:rsidRDefault="002772BC" w:rsidP="003E581D">
      <w:pPr>
        <w:autoSpaceDE w:val="0"/>
        <w:autoSpaceDN w:val="0"/>
        <w:adjustRightInd w:val="0"/>
        <w:spacing w:line="360" w:lineRule="auto"/>
        <w:rPr>
          <w:rFonts w:cstheme="minorHAnsi"/>
          <w:sz w:val="24"/>
          <w:szCs w:val="24"/>
        </w:rPr>
      </w:pPr>
    </w:p>
    <w:p w:rsidR="007463A0" w:rsidRPr="000C7050" w:rsidRDefault="00BF7C27" w:rsidP="003E581D">
      <w:pPr>
        <w:spacing w:line="360" w:lineRule="auto"/>
        <w:rPr>
          <w:rFonts w:cstheme="minorHAnsi"/>
          <w:sz w:val="24"/>
          <w:szCs w:val="24"/>
        </w:rPr>
      </w:pPr>
      <w:r>
        <w:rPr>
          <w:sz w:val="24"/>
          <w:szCs w:val="24"/>
        </w:rPr>
        <w:t>L</w:t>
      </w:r>
      <w:r w:rsidR="0061710A" w:rsidRPr="000C7050">
        <w:rPr>
          <w:sz w:val="24"/>
          <w:szCs w:val="24"/>
        </w:rPr>
        <w:t xml:space="preserve">iving in an </w:t>
      </w:r>
      <w:r w:rsidR="007463A0" w:rsidRPr="000C7050">
        <w:rPr>
          <w:sz w:val="24"/>
          <w:szCs w:val="24"/>
        </w:rPr>
        <w:t xml:space="preserve">LPN was found to be increasingly used by </w:t>
      </w:r>
      <w:r w:rsidR="00C60E77" w:rsidRPr="000C7050">
        <w:rPr>
          <w:sz w:val="24"/>
          <w:szCs w:val="24"/>
        </w:rPr>
        <w:t xml:space="preserve">universities </w:t>
      </w:r>
      <w:r w:rsidR="007463A0" w:rsidRPr="000C7050">
        <w:rPr>
          <w:sz w:val="24"/>
          <w:szCs w:val="24"/>
        </w:rPr>
        <w:t>to</w:t>
      </w:r>
      <w:r w:rsidR="00C00C00" w:rsidRPr="000C7050">
        <w:rPr>
          <w:sz w:val="24"/>
          <w:szCs w:val="24"/>
        </w:rPr>
        <w:t>o</w:t>
      </w:r>
      <w:r w:rsidR="007463A0" w:rsidRPr="000C7050">
        <w:rPr>
          <w:sz w:val="24"/>
          <w:szCs w:val="24"/>
        </w:rPr>
        <w:t xml:space="preserve"> in determining which under</w:t>
      </w:r>
      <w:r w:rsidR="00A059F8" w:rsidRPr="000C7050">
        <w:rPr>
          <w:sz w:val="24"/>
          <w:szCs w:val="24"/>
        </w:rPr>
        <w:t>-</w:t>
      </w:r>
      <w:r w:rsidR="007463A0" w:rsidRPr="000C7050">
        <w:rPr>
          <w:sz w:val="24"/>
          <w:szCs w:val="24"/>
        </w:rPr>
        <w:t xml:space="preserve">represented groups to </w:t>
      </w:r>
      <w:r w:rsidR="007D4C2A" w:rsidRPr="000C7050">
        <w:rPr>
          <w:sz w:val="24"/>
          <w:szCs w:val="24"/>
        </w:rPr>
        <w:t>target with their</w:t>
      </w:r>
      <w:r w:rsidR="007463A0" w:rsidRPr="000C7050">
        <w:rPr>
          <w:sz w:val="24"/>
          <w:szCs w:val="24"/>
        </w:rPr>
        <w:t xml:space="preserve"> outreach activity. </w:t>
      </w:r>
      <w:r w:rsidR="00A059F8" w:rsidRPr="000C7050">
        <w:rPr>
          <w:sz w:val="24"/>
          <w:szCs w:val="24"/>
        </w:rPr>
        <w:t xml:space="preserve"> </w:t>
      </w:r>
      <w:r w:rsidR="007463A0" w:rsidRPr="000C7050">
        <w:rPr>
          <w:sz w:val="24"/>
          <w:szCs w:val="24"/>
        </w:rPr>
        <w:t>Comparing Access Agre</w:t>
      </w:r>
      <w:r w:rsidR="0061710A" w:rsidRPr="000C7050">
        <w:rPr>
          <w:sz w:val="24"/>
          <w:szCs w:val="24"/>
        </w:rPr>
        <w:t xml:space="preserve">ements from 2006/07 and 2012/13, it emerges </w:t>
      </w:r>
      <w:r w:rsidR="007463A0" w:rsidRPr="000C7050">
        <w:rPr>
          <w:sz w:val="24"/>
          <w:szCs w:val="24"/>
        </w:rPr>
        <w:t xml:space="preserve">that LPN data was cited more often in the latter agreements by both pre-1992 and post-1992 </w:t>
      </w:r>
      <w:r w:rsidR="0061710A" w:rsidRPr="000C7050">
        <w:rPr>
          <w:sz w:val="24"/>
          <w:szCs w:val="24"/>
        </w:rPr>
        <w:t xml:space="preserve">universities </w:t>
      </w:r>
      <w:r w:rsidR="00981C78" w:rsidRPr="000C7050">
        <w:rPr>
          <w:sz w:val="24"/>
          <w:szCs w:val="24"/>
        </w:rPr>
        <w:t>(</w:t>
      </w:r>
      <w:r w:rsidR="00A059F8" w:rsidRPr="000C7050">
        <w:rPr>
          <w:sz w:val="24"/>
          <w:szCs w:val="24"/>
        </w:rPr>
        <w:t xml:space="preserve">see </w:t>
      </w:r>
      <w:r w:rsidR="00981C78" w:rsidRPr="000C7050">
        <w:rPr>
          <w:sz w:val="24"/>
          <w:szCs w:val="24"/>
        </w:rPr>
        <w:t xml:space="preserve">Table </w:t>
      </w:r>
      <w:r w:rsidR="00A059F8" w:rsidRPr="000C7050">
        <w:rPr>
          <w:sz w:val="24"/>
          <w:szCs w:val="24"/>
        </w:rPr>
        <w:t>6</w:t>
      </w:r>
      <w:r w:rsidR="00981C78" w:rsidRPr="000C7050">
        <w:rPr>
          <w:sz w:val="24"/>
          <w:szCs w:val="24"/>
        </w:rPr>
        <w:t>)</w:t>
      </w:r>
      <w:r w:rsidR="004B411B" w:rsidRPr="000C7050">
        <w:rPr>
          <w:sz w:val="24"/>
          <w:szCs w:val="24"/>
        </w:rPr>
        <w:t xml:space="preserve">, and that the greatest increase in use is among pre-1992 </w:t>
      </w:r>
      <w:r w:rsidR="0061710A" w:rsidRPr="000C7050">
        <w:rPr>
          <w:sz w:val="24"/>
          <w:szCs w:val="24"/>
        </w:rPr>
        <w:t xml:space="preserve">universities </w:t>
      </w:r>
      <w:r w:rsidR="00A059F8" w:rsidRPr="000C7050">
        <w:rPr>
          <w:sz w:val="24"/>
          <w:szCs w:val="24"/>
        </w:rPr>
        <w:t xml:space="preserve">(McCaig 2012; McCaig </w:t>
      </w:r>
      <w:r w:rsidR="00A059F8" w:rsidRPr="000C7050">
        <w:rPr>
          <w:i/>
          <w:iCs/>
          <w:sz w:val="24"/>
          <w:szCs w:val="24"/>
        </w:rPr>
        <w:t>forthcoming</w:t>
      </w:r>
      <w:r w:rsidR="00A059F8" w:rsidRPr="000C7050">
        <w:rPr>
          <w:sz w:val="24"/>
          <w:szCs w:val="24"/>
        </w:rPr>
        <w:t>)</w:t>
      </w:r>
      <w:r w:rsidR="007D4C2A" w:rsidRPr="000C7050">
        <w:rPr>
          <w:sz w:val="24"/>
          <w:szCs w:val="24"/>
        </w:rPr>
        <w:t>.</w:t>
      </w:r>
      <w:r w:rsidR="00981C78" w:rsidRPr="000C7050">
        <w:rPr>
          <w:sz w:val="24"/>
          <w:szCs w:val="24"/>
        </w:rPr>
        <w:t xml:space="preserve"> </w:t>
      </w:r>
      <w:r w:rsidR="00A059F8" w:rsidRPr="000C7050">
        <w:rPr>
          <w:sz w:val="24"/>
          <w:szCs w:val="24"/>
        </w:rPr>
        <w:t xml:space="preserve"> </w:t>
      </w:r>
      <w:r w:rsidR="00981C78" w:rsidRPr="000C7050">
        <w:rPr>
          <w:sz w:val="24"/>
          <w:szCs w:val="24"/>
        </w:rPr>
        <w:t xml:space="preserve">Table </w:t>
      </w:r>
      <w:r w:rsidR="00A059F8" w:rsidRPr="000C7050">
        <w:rPr>
          <w:sz w:val="24"/>
          <w:szCs w:val="24"/>
        </w:rPr>
        <w:t>6</w:t>
      </w:r>
      <w:r w:rsidR="00981C78" w:rsidRPr="000C7050">
        <w:rPr>
          <w:sz w:val="24"/>
          <w:szCs w:val="24"/>
        </w:rPr>
        <w:t xml:space="preserve"> illustrates both the growth in overall uses of LPN in Access Agreements and the wider range of ways in which LPN</w:t>
      </w:r>
      <w:r w:rsidR="0061710A" w:rsidRPr="000C7050">
        <w:rPr>
          <w:sz w:val="24"/>
          <w:szCs w:val="24"/>
        </w:rPr>
        <w:t xml:space="preserve"> data</w:t>
      </w:r>
      <w:r w:rsidR="00981C78" w:rsidRPr="000C7050">
        <w:rPr>
          <w:sz w:val="24"/>
          <w:szCs w:val="24"/>
        </w:rPr>
        <w:t xml:space="preserve"> </w:t>
      </w:r>
      <w:r w:rsidR="0061710A" w:rsidRPr="000C7050">
        <w:rPr>
          <w:sz w:val="24"/>
          <w:szCs w:val="24"/>
        </w:rPr>
        <w:t>are</w:t>
      </w:r>
      <w:r w:rsidR="00981C78" w:rsidRPr="000C7050">
        <w:rPr>
          <w:sz w:val="24"/>
          <w:szCs w:val="24"/>
        </w:rPr>
        <w:t xml:space="preserve"> used to calculate performance and to allocate opportunity in either outreach </w:t>
      </w:r>
      <w:r w:rsidR="00A059F8" w:rsidRPr="000C7050">
        <w:rPr>
          <w:sz w:val="24"/>
          <w:szCs w:val="24"/>
        </w:rPr>
        <w:t>or</w:t>
      </w:r>
      <w:r w:rsidR="00981C78" w:rsidRPr="000C7050">
        <w:rPr>
          <w:sz w:val="24"/>
          <w:szCs w:val="24"/>
        </w:rPr>
        <w:t xml:space="preserve"> financial support terms. </w:t>
      </w:r>
      <w:r w:rsidR="00A059F8" w:rsidRPr="000C7050">
        <w:rPr>
          <w:sz w:val="24"/>
          <w:szCs w:val="24"/>
        </w:rPr>
        <w:t xml:space="preserve"> </w:t>
      </w:r>
      <w:r w:rsidR="00981C78" w:rsidRPr="000C7050">
        <w:rPr>
          <w:sz w:val="24"/>
          <w:szCs w:val="24"/>
        </w:rPr>
        <w:t>While the use of LPN</w:t>
      </w:r>
      <w:r w:rsidR="0061710A" w:rsidRPr="000C7050">
        <w:rPr>
          <w:sz w:val="24"/>
          <w:szCs w:val="24"/>
        </w:rPr>
        <w:t xml:space="preserve"> data</w:t>
      </w:r>
      <w:r w:rsidR="00981C78" w:rsidRPr="000C7050">
        <w:rPr>
          <w:sz w:val="24"/>
          <w:szCs w:val="24"/>
        </w:rPr>
        <w:t xml:space="preserve"> for benchmarking against targets or milestones, which was </w:t>
      </w:r>
      <w:r w:rsidR="0035400F" w:rsidRPr="000C7050">
        <w:rPr>
          <w:sz w:val="24"/>
          <w:szCs w:val="24"/>
        </w:rPr>
        <w:t>widespread</w:t>
      </w:r>
      <w:r w:rsidR="00981C78" w:rsidRPr="000C7050">
        <w:rPr>
          <w:sz w:val="24"/>
          <w:szCs w:val="24"/>
        </w:rPr>
        <w:t xml:space="preserve"> in 2006, has grown further (18 out of the 20 sample </w:t>
      </w:r>
      <w:r w:rsidR="00E4617C" w:rsidRPr="000C7050">
        <w:rPr>
          <w:sz w:val="24"/>
          <w:szCs w:val="24"/>
        </w:rPr>
        <w:t>A</w:t>
      </w:r>
      <w:r w:rsidR="00981C78" w:rsidRPr="000C7050">
        <w:rPr>
          <w:sz w:val="24"/>
          <w:szCs w:val="24"/>
        </w:rPr>
        <w:t xml:space="preserve">greements now use it as a measure) and the uses for allocating financial support and identifying outreach targets remain important in a minority of </w:t>
      </w:r>
      <w:r w:rsidR="00E4617C" w:rsidRPr="000C7050">
        <w:rPr>
          <w:sz w:val="24"/>
          <w:szCs w:val="24"/>
        </w:rPr>
        <w:t>A</w:t>
      </w:r>
      <w:r w:rsidR="00981C78" w:rsidRPr="000C7050">
        <w:rPr>
          <w:sz w:val="24"/>
          <w:szCs w:val="24"/>
        </w:rPr>
        <w:t xml:space="preserve">greements, there are a series of categories </w:t>
      </w:r>
      <w:r w:rsidR="00B05457" w:rsidRPr="000C7050">
        <w:rPr>
          <w:sz w:val="24"/>
          <w:szCs w:val="24"/>
        </w:rPr>
        <w:t xml:space="preserve">of use that are new in the most recent set of </w:t>
      </w:r>
      <w:r w:rsidR="0061710A" w:rsidRPr="000C7050">
        <w:rPr>
          <w:sz w:val="24"/>
          <w:szCs w:val="24"/>
        </w:rPr>
        <w:t xml:space="preserve">Access </w:t>
      </w:r>
      <w:r w:rsidR="00A059F8" w:rsidRPr="000C7050">
        <w:rPr>
          <w:sz w:val="24"/>
          <w:szCs w:val="24"/>
        </w:rPr>
        <w:t>A</w:t>
      </w:r>
      <w:r w:rsidR="00B05457" w:rsidRPr="000C7050">
        <w:rPr>
          <w:sz w:val="24"/>
          <w:szCs w:val="24"/>
        </w:rPr>
        <w:t xml:space="preserve">greements, </w:t>
      </w:r>
      <w:r w:rsidR="00A059F8" w:rsidRPr="000C7050">
        <w:rPr>
          <w:sz w:val="24"/>
          <w:szCs w:val="24"/>
        </w:rPr>
        <w:t>mainly within</w:t>
      </w:r>
      <w:r w:rsidR="00B05457" w:rsidRPr="000C7050">
        <w:rPr>
          <w:sz w:val="24"/>
          <w:szCs w:val="24"/>
        </w:rPr>
        <w:t xml:space="preserve"> pre-1992 </w:t>
      </w:r>
      <w:r w:rsidR="00C60E77" w:rsidRPr="000C7050">
        <w:rPr>
          <w:sz w:val="24"/>
          <w:szCs w:val="24"/>
        </w:rPr>
        <w:t>universities</w:t>
      </w:r>
      <w:r w:rsidR="00B05457" w:rsidRPr="000C7050">
        <w:rPr>
          <w:sz w:val="24"/>
          <w:szCs w:val="24"/>
        </w:rPr>
        <w:t>.</w:t>
      </w:r>
    </w:p>
    <w:p w:rsidR="00A00CB9" w:rsidRPr="000C7050" w:rsidRDefault="00A00CB9" w:rsidP="003E581D">
      <w:pPr>
        <w:autoSpaceDE w:val="0"/>
        <w:autoSpaceDN w:val="0"/>
        <w:adjustRightInd w:val="0"/>
        <w:spacing w:line="360" w:lineRule="auto"/>
        <w:rPr>
          <w:rFonts w:cstheme="minorHAnsi"/>
          <w:sz w:val="24"/>
          <w:szCs w:val="24"/>
        </w:rPr>
      </w:pPr>
    </w:p>
    <w:p w:rsidR="00BB1420" w:rsidRDefault="00BB1420" w:rsidP="00BB1420">
      <w:pPr>
        <w:autoSpaceDE w:val="0"/>
        <w:autoSpaceDN w:val="0"/>
        <w:adjustRightInd w:val="0"/>
        <w:spacing w:line="360" w:lineRule="auto"/>
        <w:rPr>
          <w:rFonts w:cstheme="minorHAnsi"/>
          <w:bCs/>
          <w:i/>
          <w:sz w:val="24"/>
          <w:szCs w:val="24"/>
        </w:rPr>
      </w:pPr>
    </w:p>
    <w:p w:rsidR="00BB1420" w:rsidRDefault="00BB1420" w:rsidP="00BB1420">
      <w:pPr>
        <w:autoSpaceDE w:val="0"/>
        <w:autoSpaceDN w:val="0"/>
        <w:adjustRightInd w:val="0"/>
        <w:spacing w:line="360" w:lineRule="auto"/>
        <w:rPr>
          <w:rFonts w:cstheme="minorHAnsi"/>
          <w:bCs/>
          <w:i/>
          <w:sz w:val="24"/>
          <w:szCs w:val="24"/>
        </w:rPr>
      </w:pPr>
    </w:p>
    <w:p w:rsidR="00BB1420" w:rsidRDefault="00BB1420" w:rsidP="00BB1420">
      <w:pPr>
        <w:autoSpaceDE w:val="0"/>
        <w:autoSpaceDN w:val="0"/>
        <w:adjustRightInd w:val="0"/>
        <w:spacing w:line="360" w:lineRule="auto"/>
        <w:rPr>
          <w:rFonts w:cstheme="minorHAnsi"/>
          <w:bCs/>
          <w:i/>
          <w:sz w:val="24"/>
          <w:szCs w:val="24"/>
        </w:rPr>
      </w:pPr>
    </w:p>
    <w:p w:rsidR="00BB1420" w:rsidRDefault="00BB1420" w:rsidP="00BB1420">
      <w:pPr>
        <w:autoSpaceDE w:val="0"/>
        <w:autoSpaceDN w:val="0"/>
        <w:adjustRightInd w:val="0"/>
        <w:spacing w:line="360" w:lineRule="auto"/>
        <w:rPr>
          <w:rFonts w:cstheme="minorHAnsi"/>
          <w:bCs/>
          <w:i/>
          <w:sz w:val="24"/>
          <w:szCs w:val="24"/>
        </w:rPr>
      </w:pPr>
    </w:p>
    <w:p w:rsidR="00BB1420" w:rsidRDefault="00BB1420" w:rsidP="00BB1420">
      <w:pPr>
        <w:autoSpaceDE w:val="0"/>
        <w:autoSpaceDN w:val="0"/>
        <w:adjustRightInd w:val="0"/>
        <w:spacing w:line="360" w:lineRule="auto"/>
        <w:rPr>
          <w:rFonts w:cstheme="minorHAnsi"/>
          <w:bCs/>
          <w:i/>
          <w:sz w:val="24"/>
          <w:szCs w:val="24"/>
        </w:rPr>
      </w:pPr>
    </w:p>
    <w:p w:rsidR="00BB1420" w:rsidRDefault="00BB1420" w:rsidP="00BB1420">
      <w:pPr>
        <w:autoSpaceDE w:val="0"/>
        <w:autoSpaceDN w:val="0"/>
        <w:adjustRightInd w:val="0"/>
        <w:spacing w:line="360" w:lineRule="auto"/>
        <w:rPr>
          <w:rFonts w:cstheme="minorHAnsi"/>
          <w:bCs/>
          <w:i/>
          <w:sz w:val="24"/>
          <w:szCs w:val="24"/>
        </w:rPr>
      </w:pPr>
    </w:p>
    <w:p w:rsidR="00BB1420" w:rsidRDefault="00BB1420" w:rsidP="00BB1420">
      <w:pPr>
        <w:autoSpaceDE w:val="0"/>
        <w:autoSpaceDN w:val="0"/>
        <w:adjustRightInd w:val="0"/>
        <w:spacing w:line="360" w:lineRule="auto"/>
        <w:rPr>
          <w:rFonts w:cstheme="minorHAnsi"/>
          <w:bCs/>
          <w:i/>
          <w:sz w:val="24"/>
          <w:szCs w:val="24"/>
        </w:rPr>
      </w:pPr>
    </w:p>
    <w:p w:rsidR="00BB1420" w:rsidRPr="004153F6" w:rsidRDefault="00BB1420" w:rsidP="00BB1420">
      <w:pPr>
        <w:autoSpaceDE w:val="0"/>
        <w:autoSpaceDN w:val="0"/>
        <w:adjustRightInd w:val="0"/>
        <w:spacing w:line="360" w:lineRule="auto"/>
        <w:rPr>
          <w:rFonts w:cstheme="minorHAnsi"/>
          <w:bCs/>
          <w:i/>
          <w:sz w:val="24"/>
          <w:szCs w:val="24"/>
        </w:rPr>
      </w:pPr>
      <w:r w:rsidRPr="004153F6">
        <w:rPr>
          <w:rFonts w:cstheme="minorHAnsi"/>
          <w:bCs/>
          <w:i/>
          <w:sz w:val="24"/>
          <w:szCs w:val="24"/>
        </w:rPr>
        <w:lastRenderedPageBreak/>
        <w:t>Table 6: growth in uses of LPN data within Access Agreements between 2006 and 2012</w:t>
      </w:r>
    </w:p>
    <w:p w:rsidR="00BB1420" w:rsidRPr="004153F6" w:rsidRDefault="00BB1420" w:rsidP="00BB1420">
      <w:pPr>
        <w:autoSpaceDE w:val="0"/>
        <w:autoSpaceDN w:val="0"/>
        <w:adjustRightInd w:val="0"/>
        <w:spacing w:line="360" w:lineRule="auto"/>
        <w:rPr>
          <w:rFonts w:cstheme="minorHAnsi"/>
          <w:sz w:val="24"/>
          <w:szCs w:val="24"/>
        </w:rPr>
      </w:pPr>
    </w:p>
    <w:tbl>
      <w:tblPr>
        <w:tblStyle w:val="TableGrid"/>
        <w:tblW w:w="0" w:type="auto"/>
        <w:tblInd w:w="108" w:type="dxa"/>
        <w:tblLayout w:type="fixed"/>
        <w:tblLook w:val="04A0"/>
      </w:tblPr>
      <w:tblGrid>
        <w:gridCol w:w="1227"/>
        <w:gridCol w:w="1201"/>
        <w:gridCol w:w="1202"/>
        <w:gridCol w:w="1202"/>
        <w:gridCol w:w="1201"/>
        <w:gridCol w:w="1202"/>
        <w:gridCol w:w="1202"/>
        <w:gridCol w:w="1202"/>
      </w:tblGrid>
      <w:tr w:rsidR="00BB1420" w:rsidRPr="004153F6" w:rsidTr="00207BC3">
        <w:trPr>
          <w:cantSplit/>
          <w:trHeight w:val="1501"/>
        </w:trPr>
        <w:tc>
          <w:tcPr>
            <w:tcW w:w="1227" w:type="dxa"/>
            <w:shd w:val="pct10" w:color="auto" w:fill="auto"/>
          </w:tcPr>
          <w:p w:rsidR="00BB1420" w:rsidRPr="004153F6" w:rsidRDefault="00BB1420" w:rsidP="00207BC3">
            <w:pPr>
              <w:autoSpaceDE w:val="0"/>
              <w:autoSpaceDN w:val="0"/>
              <w:adjustRightInd w:val="0"/>
              <w:rPr>
                <w:rFonts w:cstheme="minorHAnsi"/>
                <w:sz w:val="24"/>
                <w:szCs w:val="24"/>
              </w:rPr>
            </w:pPr>
          </w:p>
        </w:tc>
        <w:tc>
          <w:tcPr>
            <w:tcW w:w="1201" w:type="dxa"/>
            <w:shd w:val="pct10" w:color="auto" w:fill="auto"/>
            <w:textDirection w:val="btLr"/>
            <w:vAlign w:val="center"/>
          </w:tcPr>
          <w:p w:rsidR="00BB1420" w:rsidRPr="004153F6" w:rsidRDefault="00BB1420" w:rsidP="00207BC3">
            <w:pPr>
              <w:autoSpaceDE w:val="0"/>
              <w:autoSpaceDN w:val="0"/>
              <w:adjustRightInd w:val="0"/>
              <w:ind w:left="113" w:right="113"/>
              <w:rPr>
                <w:rFonts w:cstheme="minorHAnsi"/>
                <w:b/>
                <w:sz w:val="24"/>
                <w:szCs w:val="24"/>
              </w:rPr>
            </w:pPr>
            <w:r w:rsidRPr="004153F6">
              <w:rPr>
                <w:rFonts w:cstheme="minorHAnsi"/>
                <w:b/>
                <w:sz w:val="24"/>
                <w:szCs w:val="24"/>
              </w:rPr>
              <w:t>Milestones/</w:t>
            </w:r>
          </w:p>
          <w:p w:rsidR="00BB1420" w:rsidRPr="004153F6" w:rsidRDefault="00BB1420" w:rsidP="00207BC3">
            <w:pPr>
              <w:autoSpaceDE w:val="0"/>
              <w:autoSpaceDN w:val="0"/>
              <w:adjustRightInd w:val="0"/>
              <w:ind w:left="113" w:right="113"/>
              <w:rPr>
                <w:rFonts w:cstheme="minorHAnsi"/>
                <w:b/>
                <w:sz w:val="24"/>
                <w:szCs w:val="24"/>
              </w:rPr>
            </w:pPr>
            <w:r w:rsidRPr="004153F6">
              <w:rPr>
                <w:rFonts w:cstheme="minorHAnsi"/>
                <w:b/>
                <w:sz w:val="24"/>
                <w:szCs w:val="24"/>
              </w:rPr>
              <w:t>benchmarks</w:t>
            </w:r>
          </w:p>
        </w:tc>
        <w:tc>
          <w:tcPr>
            <w:tcW w:w="1202" w:type="dxa"/>
            <w:shd w:val="pct10" w:color="auto" w:fill="auto"/>
            <w:textDirection w:val="btLr"/>
            <w:vAlign w:val="center"/>
          </w:tcPr>
          <w:p w:rsidR="00BB1420" w:rsidRPr="004153F6" w:rsidRDefault="00BB1420" w:rsidP="00207BC3">
            <w:pPr>
              <w:autoSpaceDE w:val="0"/>
              <w:autoSpaceDN w:val="0"/>
              <w:adjustRightInd w:val="0"/>
              <w:ind w:left="113" w:right="113"/>
              <w:rPr>
                <w:rFonts w:cstheme="minorHAnsi"/>
                <w:b/>
                <w:sz w:val="24"/>
                <w:szCs w:val="24"/>
              </w:rPr>
            </w:pPr>
            <w:r w:rsidRPr="004153F6">
              <w:rPr>
                <w:rFonts w:cstheme="minorHAnsi"/>
                <w:b/>
                <w:sz w:val="24"/>
                <w:szCs w:val="24"/>
              </w:rPr>
              <w:t>Financial support</w:t>
            </w:r>
          </w:p>
        </w:tc>
        <w:tc>
          <w:tcPr>
            <w:tcW w:w="1202" w:type="dxa"/>
            <w:shd w:val="pct10" w:color="auto" w:fill="auto"/>
            <w:textDirection w:val="btLr"/>
            <w:vAlign w:val="center"/>
          </w:tcPr>
          <w:p w:rsidR="00BB1420" w:rsidRPr="004153F6" w:rsidRDefault="00BB1420" w:rsidP="00207BC3">
            <w:pPr>
              <w:autoSpaceDE w:val="0"/>
              <w:autoSpaceDN w:val="0"/>
              <w:adjustRightInd w:val="0"/>
              <w:ind w:left="113" w:right="113"/>
              <w:rPr>
                <w:rFonts w:cstheme="minorHAnsi"/>
                <w:b/>
                <w:sz w:val="24"/>
                <w:szCs w:val="24"/>
              </w:rPr>
            </w:pPr>
            <w:r w:rsidRPr="004153F6">
              <w:rPr>
                <w:rFonts w:cstheme="minorHAnsi"/>
                <w:b/>
                <w:sz w:val="24"/>
                <w:szCs w:val="24"/>
              </w:rPr>
              <w:t>Outreach targeting</w:t>
            </w:r>
          </w:p>
        </w:tc>
        <w:tc>
          <w:tcPr>
            <w:tcW w:w="1201" w:type="dxa"/>
            <w:shd w:val="pct10" w:color="auto" w:fill="auto"/>
            <w:textDirection w:val="btLr"/>
            <w:vAlign w:val="center"/>
          </w:tcPr>
          <w:p w:rsidR="00BB1420" w:rsidRPr="004153F6" w:rsidRDefault="00BB1420" w:rsidP="00207BC3">
            <w:pPr>
              <w:autoSpaceDE w:val="0"/>
              <w:autoSpaceDN w:val="0"/>
              <w:adjustRightInd w:val="0"/>
              <w:ind w:left="113" w:right="113"/>
              <w:rPr>
                <w:rFonts w:cstheme="minorHAnsi"/>
                <w:b/>
                <w:sz w:val="24"/>
                <w:szCs w:val="24"/>
              </w:rPr>
            </w:pPr>
            <w:r w:rsidRPr="004153F6">
              <w:rPr>
                <w:rFonts w:cstheme="minorHAnsi"/>
                <w:b/>
                <w:sz w:val="24"/>
                <w:szCs w:val="24"/>
              </w:rPr>
              <w:t>Contextual data</w:t>
            </w:r>
          </w:p>
        </w:tc>
        <w:tc>
          <w:tcPr>
            <w:tcW w:w="1202" w:type="dxa"/>
            <w:shd w:val="pct10" w:color="auto" w:fill="auto"/>
            <w:textDirection w:val="btLr"/>
            <w:vAlign w:val="center"/>
          </w:tcPr>
          <w:p w:rsidR="00BB1420" w:rsidRPr="004153F6" w:rsidRDefault="00BB1420" w:rsidP="00207BC3">
            <w:pPr>
              <w:autoSpaceDE w:val="0"/>
              <w:autoSpaceDN w:val="0"/>
              <w:adjustRightInd w:val="0"/>
              <w:ind w:left="113" w:right="113"/>
              <w:rPr>
                <w:rFonts w:cstheme="minorHAnsi"/>
                <w:b/>
                <w:sz w:val="24"/>
                <w:szCs w:val="24"/>
              </w:rPr>
            </w:pPr>
            <w:r w:rsidRPr="004153F6">
              <w:rPr>
                <w:rFonts w:cstheme="minorHAnsi"/>
                <w:b/>
                <w:sz w:val="24"/>
                <w:szCs w:val="24"/>
              </w:rPr>
              <w:t>Retention</w:t>
            </w:r>
          </w:p>
        </w:tc>
        <w:tc>
          <w:tcPr>
            <w:tcW w:w="1202" w:type="dxa"/>
            <w:shd w:val="pct10" w:color="auto" w:fill="auto"/>
            <w:textDirection w:val="btLr"/>
            <w:vAlign w:val="center"/>
          </w:tcPr>
          <w:p w:rsidR="00BB1420" w:rsidRPr="004153F6" w:rsidRDefault="00BB1420" w:rsidP="00207BC3">
            <w:pPr>
              <w:autoSpaceDE w:val="0"/>
              <w:autoSpaceDN w:val="0"/>
              <w:adjustRightInd w:val="0"/>
              <w:ind w:left="113" w:right="113"/>
              <w:rPr>
                <w:rFonts w:cstheme="minorHAnsi"/>
                <w:b/>
                <w:sz w:val="24"/>
                <w:szCs w:val="24"/>
              </w:rPr>
            </w:pPr>
            <w:r w:rsidRPr="004153F6">
              <w:rPr>
                <w:rFonts w:cstheme="minorHAnsi"/>
                <w:b/>
                <w:sz w:val="24"/>
                <w:szCs w:val="24"/>
              </w:rPr>
              <w:t>Mature/</w:t>
            </w:r>
          </w:p>
          <w:p w:rsidR="00BB1420" w:rsidRPr="004153F6" w:rsidRDefault="00BB1420" w:rsidP="00207BC3">
            <w:pPr>
              <w:autoSpaceDE w:val="0"/>
              <w:autoSpaceDN w:val="0"/>
              <w:adjustRightInd w:val="0"/>
              <w:ind w:left="113" w:right="113"/>
              <w:rPr>
                <w:rFonts w:cstheme="minorHAnsi"/>
                <w:b/>
                <w:sz w:val="24"/>
                <w:szCs w:val="24"/>
              </w:rPr>
            </w:pPr>
            <w:r w:rsidRPr="004153F6">
              <w:rPr>
                <w:rFonts w:cstheme="minorHAnsi"/>
                <w:b/>
                <w:sz w:val="24"/>
                <w:szCs w:val="24"/>
              </w:rPr>
              <w:t>PT students</w:t>
            </w:r>
          </w:p>
        </w:tc>
        <w:tc>
          <w:tcPr>
            <w:tcW w:w="1202" w:type="dxa"/>
            <w:shd w:val="pct10" w:color="auto" w:fill="auto"/>
            <w:textDirection w:val="btLr"/>
            <w:vAlign w:val="center"/>
          </w:tcPr>
          <w:p w:rsidR="00BB1420" w:rsidRPr="004153F6" w:rsidRDefault="00BB1420" w:rsidP="00207BC3">
            <w:pPr>
              <w:autoSpaceDE w:val="0"/>
              <w:autoSpaceDN w:val="0"/>
              <w:adjustRightInd w:val="0"/>
              <w:ind w:left="113" w:right="113"/>
              <w:rPr>
                <w:rFonts w:cstheme="minorHAnsi"/>
                <w:b/>
                <w:i/>
                <w:iCs/>
                <w:sz w:val="24"/>
                <w:szCs w:val="24"/>
              </w:rPr>
            </w:pPr>
            <w:r w:rsidRPr="004153F6">
              <w:rPr>
                <w:rFonts w:cstheme="minorHAnsi"/>
                <w:b/>
                <w:i/>
                <w:iCs/>
                <w:sz w:val="24"/>
                <w:szCs w:val="24"/>
              </w:rPr>
              <w:t>Total</w:t>
            </w:r>
          </w:p>
        </w:tc>
      </w:tr>
      <w:tr w:rsidR="00BB1420" w:rsidRPr="004153F6" w:rsidTr="00207BC3">
        <w:tc>
          <w:tcPr>
            <w:tcW w:w="9639" w:type="dxa"/>
            <w:gridSpan w:val="8"/>
            <w:tcBorders>
              <w:bottom w:val="single" w:sz="4" w:space="0" w:color="auto"/>
            </w:tcBorders>
            <w:shd w:val="clear" w:color="auto" w:fill="auto"/>
          </w:tcPr>
          <w:p w:rsidR="00BB1420" w:rsidRPr="004153F6" w:rsidRDefault="00BB1420" w:rsidP="00207BC3">
            <w:pPr>
              <w:autoSpaceDE w:val="0"/>
              <w:autoSpaceDN w:val="0"/>
              <w:adjustRightInd w:val="0"/>
              <w:jc w:val="center"/>
              <w:rPr>
                <w:rFonts w:cstheme="minorHAnsi"/>
                <w:i/>
                <w:iCs/>
                <w:sz w:val="24"/>
                <w:szCs w:val="24"/>
              </w:rPr>
            </w:pPr>
            <w:r w:rsidRPr="004153F6">
              <w:rPr>
                <w:rFonts w:cstheme="minorHAnsi"/>
                <w:sz w:val="24"/>
                <w:szCs w:val="24"/>
              </w:rPr>
              <w:t>2006/07 Access Agreements</w:t>
            </w:r>
          </w:p>
        </w:tc>
      </w:tr>
      <w:tr w:rsidR="00BB1420" w:rsidRPr="004153F6" w:rsidTr="00207BC3">
        <w:tc>
          <w:tcPr>
            <w:tcW w:w="1227" w:type="dxa"/>
            <w:shd w:val="pct10" w:color="auto" w:fill="auto"/>
            <w:vAlign w:val="bottom"/>
          </w:tcPr>
          <w:p w:rsidR="00BB1420" w:rsidRPr="004153F6" w:rsidRDefault="00BB1420" w:rsidP="00207BC3">
            <w:pPr>
              <w:rPr>
                <w:rFonts w:eastAsia="Times New Roman" w:cstheme="minorHAnsi"/>
                <w:b/>
                <w:bCs/>
                <w:sz w:val="24"/>
                <w:szCs w:val="24"/>
              </w:rPr>
            </w:pPr>
            <w:r w:rsidRPr="004153F6">
              <w:rPr>
                <w:rFonts w:eastAsia="Times New Roman" w:cstheme="minorHAnsi"/>
                <w:b/>
                <w:bCs/>
                <w:sz w:val="24"/>
                <w:szCs w:val="24"/>
              </w:rPr>
              <w:t>Pre- 1992 Total</w:t>
            </w:r>
          </w:p>
        </w:tc>
        <w:tc>
          <w:tcPr>
            <w:tcW w:w="1201"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7</w:t>
            </w: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1</w:t>
            </w: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4</w:t>
            </w:r>
          </w:p>
        </w:tc>
        <w:tc>
          <w:tcPr>
            <w:tcW w:w="1201"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12</w:t>
            </w:r>
          </w:p>
        </w:tc>
      </w:tr>
      <w:tr w:rsidR="00BB1420" w:rsidRPr="004153F6" w:rsidTr="00207BC3">
        <w:tc>
          <w:tcPr>
            <w:tcW w:w="1227" w:type="dxa"/>
            <w:shd w:val="clear" w:color="auto" w:fill="auto"/>
            <w:vAlign w:val="bottom"/>
          </w:tcPr>
          <w:p w:rsidR="00BB1420" w:rsidRPr="004153F6" w:rsidRDefault="00BB1420" w:rsidP="00207BC3">
            <w:pPr>
              <w:rPr>
                <w:rFonts w:eastAsia="Times New Roman" w:cstheme="minorHAnsi"/>
                <w:b/>
                <w:bCs/>
                <w:sz w:val="24"/>
                <w:szCs w:val="24"/>
              </w:rPr>
            </w:pPr>
            <w:r w:rsidRPr="004153F6">
              <w:rPr>
                <w:rFonts w:eastAsia="Times New Roman" w:cstheme="minorHAnsi"/>
                <w:b/>
                <w:bCs/>
                <w:sz w:val="24"/>
                <w:szCs w:val="24"/>
              </w:rPr>
              <w:t>Post-1992 Total</w:t>
            </w:r>
          </w:p>
        </w:tc>
        <w:tc>
          <w:tcPr>
            <w:tcW w:w="1201"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7</w:t>
            </w: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1</w:t>
            </w: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3</w:t>
            </w:r>
          </w:p>
        </w:tc>
        <w:tc>
          <w:tcPr>
            <w:tcW w:w="1201"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11</w:t>
            </w:r>
          </w:p>
        </w:tc>
      </w:tr>
      <w:tr w:rsidR="00BB1420" w:rsidRPr="004153F6" w:rsidTr="00207BC3">
        <w:tc>
          <w:tcPr>
            <w:tcW w:w="9639" w:type="dxa"/>
            <w:gridSpan w:val="8"/>
            <w:tcBorders>
              <w:bottom w:val="single" w:sz="4" w:space="0" w:color="auto"/>
            </w:tcBorders>
            <w:shd w:val="clear" w:color="auto" w:fill="auto"/>
            <w:vAlign w:val="bottom"/>
          </w:tcPr>
          <w:p w:rsidR="00BB1420" w:rsidRPr="004153F6" w:rsidRDefault="00BB1420" w:rsidP="00207BC3">
            <w:pPr>
              <w:autoSpaceDE w:val="0"/>
              <w:autoSpaceDN w:val="0"/>
              <w:adjustRightInd w:val="0"/>
              <w:jc w:val="center"/>
              <w:rPr>
                <w:rFonts w:cstheme="minorHAnsi"/>
                <w:sz w:val="24"/>
                <w:szCs w:val="24"/>
              </w:rPr>
            </w:pPr>
            <w:r w:rsidRPr="004153F6">
              <w:rPr>
                <w:rFonts w:cstheme="minorHAnsi"/>
                <w:sz w:val="24"/>
                <w:szCs w:val="24"/>
              </w:rPr>
              <w:t>2012/13 Access Agreements</w:t>
            </w:r>
          </w:p>
        </w:tc>
      </w:tr>
      <w:tr w:rsidR="00BB1420" w:rsidRPr="004153F6" w:rsidTr="00207BC3">
        <w:tc>
          <w:tcPr>
            <w:tcW w:w="1227" w:type="dxa"/>
            <w:shd w:val="pct10" w:color="auto" w:fill="auto"/>
            <w:vAlign w:val="bottom"/>
          </w:tcPr>
          <w:p w:rsidR="00BB1420" w:rsidRPr="004153F6" w:rsidRDefault="00BB1420" w:rsidP="00207BC3">
            <w:pPr>
              <w:rPr>
                <w:rFonts w:eastAsia="Times New Roman" w:cstheme="minorHAnsi"/>
                <w:b/>
                <w:bCs/>
                <w:sz w:val="24"/>
                <w:szCs w:val="24"/>
              </w:rPr>
            </w:pPr>
            <w:r w:rsidRPr="004153F6">
              <w:rPr>
                <w:rFonts w:eastAsia="Times New Roman" w:cstheme="minorHAnsi"/>
                <w:b/>
                <w:bCs/>
                <w:sz w:val="24"/>
                <w:szCs w:val="24"/>
              </w:rPr>
              <w:t>Pre-1992 Total</w:t>
            </w:r>
          </w:p>
        </w:tc>
        <w:tc>
          <w:tcPr>
            <w:tcW w:w="1201" w:type="dxa"/>
            <w:shd w:val="pct10" w:color="auto" w:fill="auto"/>
            <w:vAlign w:val="center"/>
          </w:tcPr>
          <w:p w:rsidR="00BB1420" w:rsidRPr="004153F6" w:rsidRDefault="00BB1420" w:rsidP="00207BC3">
            <w:pPr>
              <w:jc w:val="center"/>
              <w:rPr>
                <w:rFonts w:eastAsia="Times New Roman" w:cstheme="minorHAnsi"/>
                <w:b/>
                <w:bCs/>
                <w:sz w:val="24"/>
                <w:szCs w:val="24"/>
              </w:rPr>
            </w:pPr>
            <w:r w:rsidRPr="004153F6">
              <w:rPr>
                <w:rFonts w:eastAsia="Times New Roman" w:cstheme="minorHAnsi"/>
                <w:b/>
                <w:bCs/>
                <w:sz w:val="24"/>
                <w:szCs w:val="24"/>
              </w:rPr>
              <w:t>9</w:t>
            </w: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2</w:t>
            </w: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4</w:t>
            </w:r>
          </w:p>
        </w:tc>
        <w:tc>
          <w:tcPr>
            <w:tcW w:w="1201"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2</w:t>
            </w: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5</w:t>
            </w: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2</w:t>
            </w:r>
          </w:p>
        </w:tc>
        <w:tc>
          <w:tcPr>
            <w:tcW w:w="1202" w:type="dxa"/>
            <w:shd w:val="pct10"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24</w:t>
            </w:r>
          </w:p>
        </w:tc>
      </w:tr>
      <w:tr w:rsidR="00BB1420" w:rsidRPr="004153F6" w:rsidTr="00207BC3">
        <w:tc>
          <w:tcPr>
            <w:tcW w:w="1227" w:type="dxa"/>
            <w:shd w:val="clear" w:color="auto" w:fill="auto"/>
          </w:tcPr>
          <w:p w:rsidR="00BB1420" w:rsidRPr="004153F6" w:rsidRDefault="00BB1420" w:rsidP="00207BC3">
            <w:pPr>
              <w:rPr>
                <w:rFonts w:eastAsia="Times New Roman" w:cstheme="minorHAnsi"/>
                <w:b/>
                <w:bCs/>
                <w:sz w:val="24"/>
                <w:szCs w:val="24"/>
              </w:rPr>
            </w:pPr>
            <w:r w:rsidRPr="004153F6">
              <w:rPr>
                <w:rFonts w:eastAsia="Times New Roman" w:cstheme="minorHAnsi"/>
                <w:b/>
                <w:bCs/>
                <w:sz w:val="24"/>
                <w:szCs w:val="24"/>
              </w:rPr>
              <w:t>Post-1992 Total</w:t>
            </w:r>
          </w:p>
        </w:tc>
        <w:tc>
          <w:tcPr>
            <w:tcW w:w="1201" w:type="dxa"/>
            <w:shd w:val="clear" w:color="auto" w:fill="auto"/>
            <w:vAlign w:val="center"/>
          </w:tcPr>
          <w:p w:rsidR="00BB1420" w:rsidRPr="004153F6" w:rsidRDefault="00BB1420" w:rsidP="00207BC3">
            <w:pPr>
              <w:jc w:val="center"/>
              <w:rPr>
                <w:rFonts w:eastAsia="Times New Roman" w:cstheme="minorHAnsi"/>
                <w:b/>
                <w:bCs/>
                <w:sz w:val="24"/>
                <w:szCs w:val="24"/>
              </w:rPr>
            </w:pPr>
            <w:r w:rsidRPr="004153F6">
              <w:rPr>
                <w:rFonts w:eastAsia="Times New Roman" w:cstheme="minorHAnsi"/>
                <w:b/>
                <w:bCs/>
                <w:sz w:val="24"/>
                <w:szCs w:val="24"/>
              </w:rPr>
              <w:t>9</w:t>
            </w: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2</w:t>
            </w: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2</w:t>
            </w:r>
          </w:p>
        </w:tc>
        <w:tc>
          <w:tcPr>
            <w:tcW w:w="1201"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1</w:t>
            </w: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1</w:t>
            </w:r>
          </w:p>
        </w:tc>
        <w:tc>
          <w:tcPr>
            <w:tcW w:w="1202" w:type="dxa"/>
            <w:shd w:val="clear" w:color="auto" w:fill="auto"/>
            <w:vAlign w:val="center"/>
          </w:tcPr>
          <w:p w:rsidR="00BB1420" w:rsidRPr="004153F6" w:rsidRDefault="00BB1420" w:rsidP="00207BC3">
            <w:pPr>
              <w:autoSpaceDE w:val="0"/>
              <w:autoSpaceDN w:val="0"/>
              <w:adjustRightInd w:val="0"/>
              <w:jc w:val="center"/>
              <w:rPr>
                <w:rFonts w:cstheme="minorHAnsi"/>
                <w:b/>
                <w:bCs/>
                <w:sz w:val="24"/>
                <w:szCs w:val="24"/>
              </w:rPr>
            </w:pPr>
            <w:r w:rsidRPr="004153F6">
              <w:rPr>
                <w:rFonts w:cstheme="minorHAnsi"/>
                <w:b/>
                <w:bCs/>
                <w:sz w:val="24"/>
                <w:szCs w:val="24"/>
              </w:rPr>
              <w:t>15</w:t>
            </w:r>
          </w:p>
        </w:tc>
      </w:tr>
    </w:tbl>
    <w:p w:rsidR="00DB68FB" w:rsidRPr="000C7050" w:rsidRDefault="00DB68FB" w:rsidP="003E581D">
      <w:pPr>
        <w:autoSpaceDE w:val="0"/>
        <w:autoSpaceDN w:val="0"/>
        <w:adjustRightInd w:val="0"/>
        <w:spacing w:line="360" w:lineRule="auto"/>
        <w:rPr>
          <w:rFonts w:cstheme="minorHAnsi"/>
          <w:sz w:val="24"/>
          <w:szCs w:val="24"/>
        </w:rPr>
      </w:pPr>
    </w:p>
    <w:p w:rsidR="006D2917" w:rsidRPr="000C7050" w:rsidRDefault="006D2917" w:rsidP="003E581D">
      <w:pPr>
        <w:autoSpaceDE w:val="0"/>
        <w:autoSpaceDN w:val="0"/>
        <w:adjustRightInd w:val="0"/>
        <w:spacing w:line="360" w:lineRule="auto"/>
        <w:rPr>
          <w:rFonts w:cstheme="minorHAnsi"/>
          <w:sz w:val="24"/>
          <w:szCs w:val="24"/>
        </w:rPr>
      </w:pPr>
    </w:p>
    <w:p w:rsidR="008B5FAE" w:rsidRPr="000C7050" w:rsidRDefault="008B5FAE" w:rsidP="003E581D">
      <w:pPr>
        <w:autoSpaceDE w:val="0"/>
        <w:autoSpaceDN w:val="0"/>
        <w:adjustRightInd w:val="0"/>
        <w:spacing w:line="360" w:lineRule="auto"/>
        <w:rPr>
          <w:rFonts w:cstheme="minorHAnsi"/>
          <w:b/>
          <w:sz w:val="24"/>
          <w:szCs w:val="24"/>
        </w:rPr>
      </w:pPr>
      <w:r w:rsidRPr="000C7050">
        <w:rPr>
          <w:rFonts w:cstheme="minorHAnsi"/>
          <w:b/>
          <w:sz w:val="24"/>
          <w:szCs w:val="24"/>
        </w:rPr>
        <w:t>Discussion and conclusion</w:t>
      </w:r>
    </w:p>
    <w:p w:rsidR="008B5FAE" w:rsidRPr="000C7050" w:rsidRDefault="008B5FAE" w:rsidP="003E581D">
      <w:pPr>
        <w:autoSpaceDE w:val="0"/>
        <w:autoSpaceDN w:val="0"/>
        <w:adjustRightInd w:val="0"/>
        <w:spacing w:line="360" w:lineRule="auto"/>
        <w:rPr>
          <w:rFonts w:cstheme="minorHAnsi"/>
          <w:sz w:val="24"/>
          <w:szCs w:val="24"/>
        </w:rPr>
      </w:pPr>
    </w:p>
    <w:p w:rsidR="008B5FAE" w:rsidRPr="000C7050" w:rsidRDefault="008D09FF" w:rsidP="003E581D">
      <w:pPr>
        <w:autoSpaceDE w:val="0"/>
        <w:autoSpaceDN w:val="0"/>
        <w:adjustRightInd w:val="0"/>
        <w:spacing w:line="360" w:lineRule="auto"/>
        <w:rPr>
          <w:rFonts w:cstheme="minorHAnsi"/>
          <w:sz w:val="24"/>
          <w:szCs w:val="24"/>
        </w:rPr>
      </w:pPr>
      <w:r w:rsidRPr="000C7050">
        <w:rPr>
          <w:rFonts w:cstheme="minorHAnsi"/>
          <w:sz w:val="24"/>
          <w:szCs w:val="24"/>
        </w:rPr>
        <w:t xml:space="preserve">In the previous section, we have demonstrated the growing ubiquity of LPNs within contemporary </w:t>
      </w:r>
      <w:r w:rsidR="00D6572B" w:rsidRPr="000C7050">
        <w:rPr>
          <w:rFonts w:cstheme="minorHAnsi"/>
          <w:sz w:val="24"/>
          <w:szCs w:val="24"/>
        </w:rPr>
        <w:t xml:space="preserve">policy </w:t>
      </w:r>
      <w:r w:rsidRPr="000C7050">
        <w:rPr>
          <w:rFonts w:cstheme="minorHAnsi"/>
          <w:sz w:val="24"/>
          <w:szCs w:val="24"/>
        </w:rPr>
        <w:t xml:space="preserve">around widening participation and fair access to higher education.  In the 2010/11 cohort of Access Agreements, they were being used by over two-thirds of universities and the most recent evidence from 2012/13 Agreement is that this trend has continued.  In particular, it has grown within pre-1992 </w:t>
      </w:r>
      <w:r w:rsidR="00D6572B" w:rsidRPr="000C7050">
        <w:rPr>
          <w:rFonts w:cstheme="minorHAnsi"/>
          <w:sz w:val="24"/>
          <w:szCs w:val="24"/>
        </w:rPr>
        <w:t>universities</w:t>
      </w:r>
      <w:r w:rsidRPr="000C7050">
        <w:rPr>
          <w:rFonts w:cstheme="minorHAnsi"/>
          <w:sz w:val="24"/>
          <w:szCs w:val="24"/>
        </w:rPr>
        <w:t xml:space="preserve"> that have the poorest recruitment from lower socio-economic groups and have made the least progress </w:t>
      </w:r>
      <w:r w:rsidR="00122360" w:rsidRPr="000C7050">
        <w:rPr>
          <w:rFonts w:cstheme="minorHAnsi"/>
          <w:sz w:val="24"/>
          <w:szCs w:val="24"/>
        </w:rPr>
        <w:t xml:space="preserve">over the last decade </w:t>
      </w:r>
      <w:r w:rsidRPr="000C7050">
        <w:rPr>
          <w:rFonts w:cstheme="minorHAnsi"/>
          <w:sz w:val="24"/>
          <w:szCs w:val="24"/>
        </w:rPr>
        <w:t>(Harrison 2011).</w:t>
      </w:r>
    </w:p>
    <w:p w:rsidR="00122360" w:rsidRPr="000C7050" w:rsidRDefault="00122360" w:rsidP="003E581D">
      <w:pPr>
        <w:autoSpaceDE w:val="0"/>
        <w:autoSpaceDN w:val="0"/>
        <w:adjustRightInd w:val="0"/>
        <w:spacing w:line="360" w:lineRule="auto"/>
        <w:rPr>
          <w:rFonts w:cstheme="minorHAnsi"/>
          <w:sz w:val="24"/>
          <w:szCs w:val="24"/>
        </w:rPr>
      </w:pPr>
    </w:p>
    <w:p w:rsidR="00122360" w:rsidRPr="000C7050" w:rsidRDefault="00122360" w:rsidP="003E581D">
      <w:pPr>
        <w:autoSpaceDE w:val="0"/>
        <w:autoSpaceDN w:val="0"/>
        <w:adjustRightInd w:val="0"/>
        <w:spacing w:line="360" w:lineRule="auto"/>
        <w:rPr>
          <w:rFonts w:cstheme="minorHAnsi"/>
          <w:sz w:val="24"/>
          <w:szCs w:val="24"/>
        </w:rPr>
      </w:pPr>
      <w:r w:rsidRPr="000C7050">
        <w:rPr>
          <w:rFonts w:cstheme="minorHAnsi"/>
          <w:sz w:val="24"/>
          <w:szCs w:val="24"/>
        </w:rPr>
        <w:t>There is also evidence from the text of the Access Agreement</w:t>
      </w:r>
      <w:r w:rsidR="00D6572B" w:rsidRPr="000C7050">
        <w:rPr>
          <w:rFonts w:cstheme="minorHAnsi"/>
          <w:sz w:val="24"/>
          <w:szCs w:val="24"/>
        </w:rPr>
        <w:t>s</w:t>
      </w:r>
      <w:r w:rsidRPr="000C7050">
        <w:rPr>
          <w:rFonts w:cstheme="minorHAnsi"/>
          <w:sz w:val="24"/>
          <w:szCs w:val="24"/>
        </w:rPr>
        <w:t xml:space="preserve"> to suggest that some universities do not adequately appreciate the meaning of LPNs and their relationship with socio-economic status and other markers of disadvantage.  They </w:t>
      </w:r>
      <w:r w:rsidR="00496DAF" w:rsidRPr="000C7050">
        <w:rPr>
          <w:rFonts w:cstheme="minorHAnsi"/>
          <w:sz w:val="24"/>
          <w:szCs w:val="24"/>
        </w:rPr>
        <w:t xml:space="preserve">are increasingly </w:t>
      </w:r>
      <w:r w:rsidRPr="000C7050">
        <w:rPr>
          <w:rFonts w:cstheme="minorHAnsi"/>
          <w:sz w:val="24"/>
          <w:szCs w:val="24"/>
        </w:rPr>
        <w:t>used to allocate resources, both in terms of targeted outreach activities and financial support to students.  We have argued that this is likely to occur more often due to the configuration of the NSP, with higher status universities using LPNs to find additional disadvantaged students to allocate their excess funds towards, while lower status universities use them to filter the excess demand from students.</w:t>
      </w:r>
    </w:p>
    <w:p w:rsidR="008B5FAE" w:rsidRPr="000C7050" w:rsidRDefault="008B5FAE" w:rsidP="003E581D">
      <w:pPr>
        <w:autoSpaceDE w:val="0"/>
        <w:autoSpaceDN w:val="0"/>
        <w:adjustRightInd w:val="0"/>
        <w:spacing w:line="360" w:lineRule="auto"/>
        <w:rPr>
          <w:rFonts w:cstheme="minorHAnsi"/>
          <w:sz w:val="24"/>
          <w:szCs w:val="24"/>
        </w:rPr>
      </w:pPr>
    </w:p>
    <w:p w:rsidR="00085715" w:rsidRPr="000C7050" w:rsidRDefault="00402731" w:rsidP="003E581D">
      <w:pPr>
        <w:spacing w:line="360" w:lineRule="auto"/>
        <w:rPr>
          <w:bCs/>
          <w:sz w:val="24"/>
          <w:szCs w:val="24"/>
        </w:rPr>
      </w:pPr>
      <w:r w:rsidRPr="000C7050">
        <w:rPr>
          <w:bCs/>
          <w:sz w:val="24"/>
          <w:szCs w:val="24"/>
        </w:rPr>
        <w:lastRenderedPageBreak/>
        <w:t>Our critique</w:t>
      </w:r>
      <w:r w:rsidR="004B411B" w:rsidRPr="000C7050">
        <w:rPr>
          <w:bCs/>
          <w:sz w:val="24"/>
          <w:szCs w:val="24"/>
        </w:rPr>
        <w:t xml:space="preserve"> is not</w:t>
      </w:r>
      <w:r w:rsidR="00BF7C27">
        <w:rPr>
          <w:bCs/>
          <w:sz w:val="24"/>
          <w:szCs w:val="24"/>
        </w:rPr>
        <w:t xml:space="preserve"> </w:t>
      </w:r>
      <w:r w:rsidR="004B411B" w:rsidRPr="000C7050">
        <w:rPr>
          <w:bCs/>
          <w:sz w:val="24"/>
          <w:szCs w:val="24"/>
        </w:rPr>
        <w:t xml:space="preserve">meant to </w:t>
      </w:r>
      <w:r w:rsidRPr="000C7050">
        <w:rPr>
          <w:bCs/>
          <w:sz w:val="24"/>
          <w:szCs w:val="24"/>
        </w:rPr>
        <w:t xml:space="preserve">undermine </w:t>
      </w:r>
      <w:r w:rsidR="004B411B" w:rsidRPr="000C7050">
        <w:rPr>
          <w:bCs/>
          <w:sz w:val="24"/>
          <w:szCs w:val="24"/>
        </w:rPr>
        <w:t xml:space="preserve">the use of data to identify cohorts that can be additionally helped, either at the outreach stage, in supporting applications or throughout the student journey. </w:t>
      </w:r>
      <w:r w:rsidRPr="000C7050">
        <w:rPr>
          <w:bCs/>
          <w:sz w:val="24"/>
          <w:szCs w:val="24"/>
        </w:rPr>
        <w:t xml:space="preserve"> However,</w:t>
      </w:r>
      <w:r w:rsidR="004B411B" w:rsidRPr="000C7050">
        <w:rPr>
          <w:bCs/>
          <w:sz w:val="24"/>
          <w:szCs w:val="24"/>
        </w:rPr>
        <w:t xml:space="preserve"> with so much of the av</w:t>
      </w:r>
      <w:r w:rsidRPr="000C7050">
        <w:rPr>
          <w:bCs/>
          <w:sz w:val="24"/>
          <w:szCs w:val="24"/>
        </w:rPr>
        <w:t xml:space="preserve">ailable resource dependent on an </w:t>
      </w:r>
      <w:r w:rsidR="00D6572B" w:rsidRPr="000C7050">
        <w:rPr>
          <w:bCs/>
          <w:sz w:val="24"/>
          <w:szCs w:val="24"/>
        </w:rPr>
        <w:t>imperfect</w:t>
      </w:r>
      <w:r w:rsidRPr="000C7050">
        <w:rPr>
          <w:bCs/>
          <w:sz w:val="24"/>
          <w:szCs w:val="24"/>
        </w:rPr>
        <w:t xml:space="preserve"> </w:t>
      </w:r>
      <w:r w:rsidR="004B411B" w:rsidRPr="000C7050">
        <w:rPr>
          <w:bCs/>
          <w:sz w:val="24"/>
          <w:szCs w:val="24"/>
        </w:rPr>
        <w:t xml:space="preserve">method of identifying need it must bring into question the efficiency of the </w:t>
      </w:r>
      <w:r w:rsidR="00BF7C27">
        <w:rPr>
          <w:bCs/>
          <w:sz w:val="24"/>
          <w:szCs w:val="24"/>
        </w:rPr>
        <w:t>policy transmission from intent to delivery.</w:t>
      </w:r>
    </w:p>
    <w:p w:rsidR="00085715" w:rsidRPr="000C7050" w:rsidRDefault="00085715" w:rsidP="003E581D">
      <w:pPr>
        <w:spacing w:line="360" w:lineRule="auto"/>
        <w:rPr>
          <w:bCs/>
          <w:sz w:val="24"/>
          <w:szCs w:val="24"/>
        </w:rPr>
      </w:pPr>
    </w:p>
    <w:p w:rsidR="00402731" w:rsidRPr="000C7050" w:rsidRDefault="0093362C" w:rsidP="003E581D">
      <w:pPr>
        <w:spacing w:line="360" w:lineRule="auto"/>
        <w:rPr>
          <w:bCs/>
          <w:sz w:val="24"/>
          <w:szCs w:val="24"/>
        </w:rPr>
      </w:pPr>
      <w:r w:rsidRPr="000C7050">
        <w:rPr>
          <w:bCs/>
          <w:sz w:val="24"/>
          <w:szCs w:val="24"/>
        </w:rPr>
        <w:t xml:space="preserve">For example, we have demonstrated that LPNs are </w:t>
      </w:r>
      <w:r w:rsidR="00BF7C27">
        <w:rPr>
          <w:bCs/>
          <w:sz w:val="24"/>
          <w:szCs w:val="24"/>
        </w:rPr>
        <w:t>not a strongly valid (in the statistical sense)</w:t>
      </w:r>
      <w:r w:rsidRPr="000C7050">
        <w:rPr>
          <w:bCs/>
          <w:sz w:val="24"/>
          <w:szCs w:val="24"/>
        </w:rPr>
        <w:t xml:space="preserve"> </w:t>
      </w:r>
      <w:r w:rsidR="00EE6837" w:rsidRPr="000C7050">
        <w:rPr>
          <w:bCs/>
          <w:sz w:val="24"/>
          <w:szCs w:val="24"/>
        </w:rPr>
        <w:t>means</w:t>
      </w:r>
      <w:r w:rsidRPr="000C7050">
        <w:rPr>
          <w:bCs/>
          <w:sz w:val="24"/>
          <w:szCs w:val="24"/>
        </w:rPr>
        <w:t xml:space="preserve"> of identifying young people from lower socio-economic groups, both in terms of current applications and the general population.  Indeed, there are more disadvantaged young people living outside of LPNs than within them – the picture is even more stark for applicants.</w:t>
      </w:r>
      <w:r w:rsidR="00EE6837" w:rsidRPr="000C7050">
        <w:rPr>
          <w:bCs/>
          <w:sz w:val="24"/>
          <w:szCs w:val="24"/>
        </w:rPr>
        <w:t xml:space="preserve">  Targeting LPNs does yield a slightly improved probability of ‘finding’ the ‘right’ students, but it </w:t>
      </w:r>
      <w:r w:rsidR="00BF7C27">
        <w:rPr>
          <w:bCs/>
          <w:sz w:val="24"/>
          <w:szCs w:val="24"/>
        </w:rPr>
        <w:t>does not have</w:t>
      </w:r>
      <w:r w:rsidR="00EE6837" w:rsidRPr="000C7050">
        <w:rPr>
          <w:bCs/>
          <w:sz w:val="24"/>
          <w:szCs w:val="24"/>
        </w:rPr>
        <w:t xml:space="preserve"> the predictive power than one might assume from their use by universities and governmental bodies like HEFCE, OFFA and HESA.</w:t>
      </w:r>
    </w:p>
    <w:p w:rsidR="00402731" w:rsidRPr="000C7050" w:rsidRDefault="00402731" w:rsidP="003E581D">
      <w:pPr>
        <w:spacing w:line="360" w:lineRule="auto"/>
        <w:rPr>
          <w:bCs/>
          <w:sz w:val="24"/>
          <w:szCs w:val="24"/>
        </w:rPr>
      </w:pPr>
    </w:p>
    <w:p w:rsidR="00402731" w:rsidRPr="000C7050" w:rsidRDefault="00BE7239" w:rsidP="003E581D">
      <w:pPr>
        <w:spacing w:line="360" w:lineRule="auto"/>
        <w:rPr>
          <w:bCs/>
          <w:sz w:val="24"/>
          <w:szCs w:val="24"/>
        </w:rPr>
      </w:pPr>
      <w:r w:rsidRPr="000C7050">
        <w:rPr>
          <w:bCs/>
          <w:sz w:val="24"/>
          <w:szCs w:val="24"/>
        </w:rPr>
        <w:t>What are the ramifications of this misunderstanding?  It is impossible to know with certainty, as the nuts-and-bolts use of LPNs is largely invisible in the everyday decisions made within universities about, for example, which schools to engage with, which young people to admit to summer schools or which students to provide with a bursary when they are already over-subscribed.</w:t>
      </w:r>
      <w:r w:rsidR="00CE04AF" w:rsidRPr="000C7050">
        <w:rPr>
          <w:bCs/>
          <w:sz w:val="24"/>
          <w:szCs w:val="24"/>
        </w:rPr>
        <w:t xml:space="preserve">  We are therefore only in a position to hypothesise on the responses that universities might reasonably make to the pressure and incentives to use LPNs within those decisions.</w:t>
      </w:r>
    </w:p>
    <w:p w:rsidR="00CE04AF" w:rsidRPr="000C7050" w:rsidRDefault="00CE04AF" w:rsidP="003E581D">
      <w:pPr>
        <w:spacing w:line="360" w:lineRule="auto"/>
        <w:rPr>
          <w:bCs/>
          <w:sz w:val="24"/>
          <w:szCs w:val="24"/>
        </w:rPr>
      </w:pPr>
    </w:p>
    <w:p w:rsidR="00CE04AF" w:rsidRPr="000C7050" w:rsidRDefault="00061A8F" w:rsidP="003E581D">
      <w:pPr>
        <w:spacing w:line="360" w:lineRule="auto"/>
        <w:rPr>
          <w:bCs/>
          <w:sz w:val="24"/>
          <w:szCs w:val="24"/>
        </w:rPr>
      </w:pPr>
      <w:r w:rsidRPr="000C7050">
        <w:rPr>
          <w:bCs/>
          <w:sz w:val="24"/>
          <w:szCs w:val="24"/>
        </w:rPr>
        <w:t xml:space="preserve">Firstly, we know that pressure exists.  It exists </w:t>
      </w:r>
      <w:r w:rsidR="00187972" w:rsidRPr="000C7050">
        <w:rPr>
          <w:bCs/>
          <w:sz w:val="24"/>
          <w:szCs w:val="24"/>
        </w:rPr>
        <w:t xml:space="preserve">at the institutional level </w:t>
      </w:r>
      <w:r w:rsidRPr="000C7050">
        <w:rPr>
          <w:bCs/>
          <w:sz w:val="24"/>
          <w:szCs w:val="24"/>
        </w:rPr>
        <w:t xml:space="preserve">both in the form of </w:t>
      </w:r>
      <w:r w:rsidR="00187972" w:rsidRPr="000C7050">
        <w:rPr>
          <w:bCs/>
          <w:sz w:val="24"/>
          <w:szCs w:val="24"/>
        </w:rPr>
        <w:t xml:space="preserve">the Access Agreements and the need to demonstrate progress on fair access as the </w:t>
      </w:r>
      <w:r w:rsidR="00187972" w:rsidRPr="000C7050">
        <w:rPr>
          <w:bCs/>
          <w:i/>
          <w:sz w:val="24"/>
          <w:szCs w:val="24"/>
        </w:rPr>
        <w:t>quid pro quo</w:t>
      </w:r>
      <w:r w:rsidR="00187972" w:rsidRPr="000C7050">
        <w:rPr>
          <w:bCs/>
          <w:sz w:val="24"/>
          <w:szCs w:val="24"/>
        </w:rPr>
        <w:t xml:space="preserve"> for higher tuition fees, and through a more implicit need to conform to the expectations of the HESA benchmarks and the implied league tabling.  There is also an active financial incentive through the Widening Participation Allocation that specifically rewards universities for their success in recruiting from LPNs.  While the </w:t>
      </w:r>
      <w:r w:rsidR="00187972" w:rsidRPr="000C7050">
        <w:rPr>
          <w:bCs/>
          <w:i/>
          <w:sz w:val="24"/>
          <w:szCs w:val="24"/>
        </w:rPr>
        <w:t>per capita</w:t>
      </w:r>
      <w:r w:rsidR="00187972" w:rsidRPr="000C7050">
        <w:rPr>
          <w:bCs/>
          <w:sz w:val="24"/>
          <w:szCs w:val="24"/>
        </w:rPr>
        <w:t xml:space="preserve"> figure is modest, the aggregate is a significant sum for many universities.  This incentive does not</w:t>
      </w:r>
      <w:r w:rsidR="004240CA" w:rsidRPr="000C7050">
        <w:rPr>
          <w:bCs/>
          <w:sz w:val="24"/>
          <w:szCs w:val="24"/>
        </w:rPr>
        <w:t>, however,</w:t>
      </w:r>
      <w:r w:rsidR="00187972" w:rsidRPr="000C7050">
        <w:rPr>
          <w:bCs/>
          <w:sz w:val="24"/>
          <w:szCs w:val="24"/>
        </w:rPr>
        <w:t xml:space="preserve"> respect</w:t>
      </w:r>
      <w:r w:rsidR="004240CA" w:rsidRPr="000C7050">
        <w:rPr>
          <w:bCs/>
          <w:sz w:val="24"/>
          <w:szCs w:val="24"/>
        </w:rPr>
        <w:t xml:space="preserve"> the actual circumstances of individual students and is as readily secured though the 54 percent of applicants from LPNs who are in positions of relative advantage.</w:t>
      </w:r>
    </w:p>
    <w:p w:rsidR="00B22AA3" w:rsidRPr="000C7050" w:rsidRDefault="00B22AA3" w:rsidP="003E581D">
      <w:pPr>
        <w:spacing w:line="360" w:lineRule="auto"/>
        <w:rPr>
          <w:bCs/>
          <w:sz w:val="24"/>
          <w:szCs w:val="24"/>
        </w:rPr>
      </w:pPr>
    </w:p>
    <w:p w:rsidR="00B22AA3" w:rsidRPr="000C7050" w:rsidRDefault="00B22AA3" w:rsidP="003E581D">
      <w:pPr>
        <w:spacing w:line="360" w:lineRule="auto"/>
        <w:rPr>
          <w:bCs/>
          <w:sz w:val="24"/>
          <w:szCs w:val="24"/>
        </w:rPr>
      </w:pPr>
      <w:r w:rsidRPr="000C7050">
        <w:rPr>
          <w:bCs/>
          <w:sz w:val="24"/>
          <w:szCs w:val="24"/>
        </w:rPr>
        <w:t xml:space="preserve">Secondly, there is convenience and certainty to the perceived construction of LPNs that is likely to be attractive to those making </w:t>
      </w:r>
      <w:proofErr w:type="spellStart"/>
      <w:r w:rsidRPr="000C7050">
        <w:rPr>
          <w:bCs/>
          <w:sz w:val="24"/>
          <w:szCs w:val="24"/>
        </w:rPr>
        <w:t>chalkface</w:t>
      </w:r>
      <w:proofErr w:type="spellEnd"/>
      <w:r w:rsidRPr="000C7050">
        <w:rPr>
          <w:bCs/>
          <w:sz w:val="24"/>
          <w:szCs w:val="24"/>
        </w:rPr>
        <w:t xml:space="preserve"> decisions about outreach, financial support or even </w:t>
      </w:r>
      <w:r w:rsidRPr="000C7050">
        <w:rPr>
          <w:bCs/>
          <w:sz w:val="24"/>
          <w:szCs w:val="24"/>
        </w:rPr>
        <w:lastRenderedPageBreak/>
        <w:t>admissions.</w:t>
      </w:r>
      <w:r w:rsidR="000E3F21" w:rsidRPr="000C7050">
        <w:rPr>
          <w:bCs/>
          <w:sz w:val="24"/>
          <w:szCs w:val="24"/>
        </w:rPr>
        <w:t xml:space="preserve">  The temptation to follow the </w:t>
      </w:r>
      <w:r w:rsidR="000E3F21" w:rsidRPr="000C7050">
        <w:rPr>
          <w:bCs/>
          <w:i/>
          <w:sz w:val="24"/>
          <w:szCs w:val="24"/>
        </w:rPr>
        <w:t>non sequitur</w:t>
      </w:r>
      <w:r w:rsidR="000E3F21" w:rsidRPr="000C7050">
        <w:rPr>
          <w:bCs/>
          <w:sz w:val="24"/>
          <w:szCs w:val="24"/>
        </w:rPr>
        <w:t xml:space="preserve"> that equates LPNs with disadvantage in the absence of other data must be strong – something that we have witnessed firsthand in our own interactions with practitioners.</w:t>
      </w:r>
      <w:r w:rsidR="005F6DBE" w:rsidRPr="000C7050">
        <w:rPr>
          <w:bCs/>
          <w:sz w:val="24"/>
          <w:szCs w:val="24"/>
        </w:rPr>
        <w:t xml:space="preserve">  The presumed scientific basis</w:t>
      </w:r>
      <w:r w:rsidR="00B449F2" w:rsidRPr="000C7050">
        <w:rPr>
          <w:bCs/>
          <w:sz w:val="24"/>
          <w:szCs w:val="24"/>
        </w:rPr>
        <w:t xml:space="preserve"> and granularity</w:t>
      </w:r>
      <w:r w:rsidR="005F6DBE" w:rsidRPr="000C7050">
        <w:rPr>
          <w:bCs/>
          <w:sz w:val="24"/>
          <w:szCs w:val="24"/>
        </w:rPr>
        <w:t xml:space="preserve"> for LPNs is an attractive certainty in an otherwise complex field beset with </w:t>
      </w:r>
      <w:r w:rsidR="00610A65" w:rsidRPr="000C7050">
        <w:rPr>
          <w:bCs/>
          <w:sz w:val="24"/>
          <w:szCs w:val="24"/>
        </w:rPr>
        <w:t xml:space="preserve">data </w:t>
      </w:r>
      <w:r w:rsidR="00E4617C" w:rsidRPr="000C7050">
        <w:rPr>
          <w:bCs/>
          <w:sz w:val="24"/>
          <w:szCs w:val="24"/>
        </w:rPr>
        <w:t>difficulties</w:t>
      </w:r>
      <w:r w:rsidR="00610A65" w:rsidRPr="000C7050">
        <w:rPr>
          <w:bCs/>
          <w:sz w:val="24"/>
          <w:szCs w:val="24"/>
        </w:rPr>
        <w:t xml:space="preserve"> (Passy and Morris 2010</w:t>
      </w:r>
      <w:r w:rsidR="00B449F2" w:rsidRPr="000C7050">
        <w:rPr>
          <w:bCs/>
          <w:sz w:val="24"/>
          <w:szCs w:val="24"/>
        </w:rPr>
        <w:t>; Harrison 2012</w:t>
      </w:r>
      <w:r w:rsidR="00610A65" w:rsidRPr="000C7050">
        <w:rPr>
          <w:bCs/>
          <w:sz w:val="24"/>
          <w:szCs w:val="24"/>
        </w:rPr>
        <w:t>).</w:t>
      </w:r>
    </w:p>
    <w:p w:rsidR="00B22AA3" w:rsidRPr="000C7050" w:rsidRDefault="00B22AA3" w:rsidP="003E581D">
      <w:pPr>
        <w:spacing w:line="360" w:lineRule="auto"/>
        <w:rPr>
          <w:bCs/>
          <w:sz w:val="24"/>
          <w:szCs w:val="24"/>
        </w:rPr>
      </w:pPr>
    </w:p>
    <w:p w:rsidR="00B22AA3" w:rsidRPr="000C7050" w:rsidRDefault="000E36BF" w:rsidP="003E581D">
      <w:pPr>
        <w:spacing w:line="360" w:lineRule="auto"/>
        <w:rPr>
          <w:bCs/>
          <w:sz w:val="24"/>
          <w:szCs w:val="24"/>
        </w:rPr>
      </w:pPr>
      <w:r w:rsidRPr="000C7050">
        <w:rPr>
          <w:bCs/>
          <w:sz w:val="24"/>
          <w:szCs w:val="24"/>
        </w:rPr>
        <w:t>LPNs are therefore a classic type of postcode lottery, but with the twist that the young person almost certainly does not know which side of the line they are on until it is too late.</w:t>
      </w:r>
      <w:r w:rsidR="00C62E3F" w:rsidRPr="000C7050">
        <w:rPr>
          <w:bCs/>
          <w:sz w:val="24"/>
          <w:szCs w:val="24"/>
        </w:rPr>
        <w:t xml:space="preserve">  Disadvantaged young people living outside an LPN are less likely to get outreach activities targeted at the</w:t>
      </w:r>
      <w:r w:rsidR="00514C57" w:rsidRPr="000C7050">
        <w:rPr>
          <w:bCs/>
          <w:sz w:val="24"/>
          <w:szCs w:val="24"/>
        </w:rPr>
        <w:t>m</w:t>
      </w:r>
      <w:r w:rsidR="00D6572B" w:rsidRPr="000C7050">
        <w:rPr>
          <w:bCs/>
          <w:sz w:val="24"/>
          <w:szCs w:val="24"/>
        </w:rPr>
        <w:t xml:space="preserve"> </w:t>
      </w:r>
      <w:r w:rsidR="00C62E3F" w:rsidRPr="000C7050">
        <w:rPr>
          <w:bCs/>
          <w:sz w:val="24"/>
          <w:szCs w:val="24"/>
        </w:rPr>
        <w:t xml:space="preserve">and less likely to get discretionary financial support than their peers within LPNs </w:t>
      </w:r>
      <w:r w:rsidR="00514C57" w:rsidRPr="000C7050">
        <w:rPr>
          <w:bCs/>
          <w:sz w:val="24"/>
          <w:szCs w:val="24"/>
        </w:rPr>
        <w:t xml:space="preserve">– </w:t>
      </w:r>
      <w:r w:rsidR="00C62E3F" w:rsidRPr="000C7050">
        <w:rPr>
          <w:bCs/>
          <w:sz w:val="24"/>
          <w:szCs w:val="24"/>
        </w:rPr>
        <w:t xml:space="preserve">and possibly even than </w:t>
      </w:r>
      <w:r w:rsidR="00514C57" w:rsidRPr="000C7050">
        <w:rPr>
          <w:bCs/>
          <w:sz w:val="24"/>
          <w:szCs w:val="24"/>
        </w:rPr>
        <w:t xml:space="preserve">the many </w:t>
      </w:r>
      <w:r w:rsidR="00C62E3F" w:rsidRPr="000C7050">
        <w:rPr>
          <w:bCs/>
          <w:sz w:val="24"/>
          <w:szCs w:val="24"/>
        </w:rPr>
        <w:t xml:space="preserve">advantaged young people </w:t>
      </w:r>
      <w:r w:rsidR="00514C57" w:rsidRPr="000C7050">
        <w:rPr>
          <w:bCs/>
          <w:sz w:val="24"/>
          <w:szCs w:val="24"/>
        </w:rPr>
        <w:t xml:space="preserve">living </w:t>
      </w:r>
      <w:r w:rsidR="00C62E3F" w:rsidRPr="000C7050">
        <w:rPr>
          <w:bCs/>
          <w:sz w:val="24"/>
          <w:szCs w:val="24"/>
        </w:rPr>
        <w:t xml:space="preserve">within an LPN.  </w:t>
      </w:r>
      <w:r w:rsidR="009C4A50" w:rsidRPr="000C7050">
        <w:rPr>
          <w:bCs/>
          <w:sz w:val="24"/>
          <w:szCs w:val="24"/>
        </w:rPr>
        <w:t xml:space="preserve">The sector has </w:t>
      </w:r>
      <w:r w:rsidR="00D6572B" w:rsidRPr="000C7050">
        <w:rPr>
          <w:bCs/>
          <w:sz w:val="24"/>
          <w:szCs w:val="24"/>
        </w:rPr>
        <w:t xml:space="preserve">inadvertently </w:t>
      </w:r>
      <w:r w:rsidR="009C4A50" w:rsidRPr="000C7050">
        <w:rPr>
          <w:bCs/>
          <w:sz w:val="24"/>
          <w:szCs w:val="24"/>
        </w:rPr>
        <w:t xml:space="preserve">adopted an approach where people living in </w:t>
      </w:r>
      <w:r w:rsidR="00D6572B" w:rsidRPr="000C7050">
        <w:rPr>
          <w:bCs/>
          <w:sz w:val="24"/>
          <w:szCs w:val="24"/>
        </w:rPr>
        <w:t xml:space="preserve">an </w:t>
      </w:r>
      <w:r w:rsidR="009C4A50" w:rsidRPr="000C7050">
        <w:rPr>
          <w:bCs/>
          <w:sz w:val="24"/>
          <w:szCs w:val="24"/>
        </w:rPr>
        <w:t xml:space="preserve">LPN have themselves become </w:t>
      </w:r>
      <w:r w:rsidR="00B06F55" w:rsidRPr="000C7050">
        <w:rPr>
          <w:bCs/>
          <w:sz w:val="24"/>
          <w:szCs w:val="24"/>
        </w:rPr>
        <w:t>the</w:t>
      </w:r>
      <w:r w:rsidR="009C4A50" w:rsidRPr="000C7050">
        <w:rPr>
          <w:bCs/>
          <w:sz w:val="24"/>
          <w:szCs w:val="24"/>
        </w:rPr>
        <w:t xml:space="preserve"> under-represented group, rather than</w:t>
      </w:r>
      <w:r w:rsidR="00B06F55" w:rsidRPr="000C7050">
        <w:rPr>
          <w:bCs/>
          <w:sz w:val="24"/>
          <w:szCs w:val="24"/>
        </w:rPr>
        <w:t xml:space="preserve"> LPNs</w:t>
      </w:r>
      <w:r w:rsidR="009C4A50" w:rsidRPr="000C7050">
        <w:rPr>
          <w:bCs/>
          <w:sz w:val="24"/>
          <w:szCs w:val="24"/>
        </w:rPr>
        <w:t xml:space="preserve"> </w:t>
      </w:r>
      <w:r w:rsidR="00B06F55" w:rsidRPr="000C7050">
        <w:rPr>
          <w:bCs/>
          <w:sz w:val="24"/>
          <w:szCs w:val="24"/>
        </w:rPr>
        <w:t xml:space="preserve">being </w:t>
      </w:r>
      <w:r w:rsidR="009C4A50" w:rsidRPr="000C7050">
        <w:rPr>
          <w:bCs/>
          <w:sz w:val="24"/>
          <w:szCs w:val="24"/>
        </w:rPr>
        <w:t>a proxy for more real forms of social, economic or cultural disadvantage in terms of progression to higher education.</w:t>
      </w:r>
    </w:p>
    <w:p w:rsidR="00B22AA3" w:rsidRPr="000C7050" w:rsidRDefault="00B22AA3" w:rsidP="003E581D">
      <w:pPr>
        <w:spacing w:line="360" w:lineRule="auto"/>
        <w:rPr>
          <w:bCs/>
          <w:sz w:val="24"/>
          <w:szCs w:val="24"/>
        </w:rPr>
      </w:pPr>
    </w:p>
    <w:p w:rsidR="00EF1A59" w:rsidRPr="000C7050" w:rsidRDefault="00EF1A59" w:rsidP="00EF1A59">
      <w:pPr>
        <w:spacing w:line="360" w:lineRule="auto"/>
        <w:rPr>
          <w:bCs/>
          <w:sz w:val="24"/>
          <w:szCs w:val="24"/>
        </w:rPr>
      </w:pPr>
      <w:r w:rsidRPr="000C7050">
        <w:rPr>
          <w:bCs/>
          <w:sz w:val="24"/>
          <w:szCs w:val="24"/>
        </w:rPr>
        <w:t>While this may feel very unfair at the individual level, there is a more strategic point to be made too. Even after the health warnings about the use of LPN data to allocate</w:t>
      </w:r>
      <w:r w:rsidR="00BF7C27">
        <w:rPr>
          <w:bCs/>
          <w:sz w:val="24"/>
          <w:szCs w:val="24"/>
        </w:rPr>
        <w:t xml:space="preserve"> individual finance (HEFCE 2013;</w:t>
      </w:r>
      <w:r w:rsidRPr="000C7050">
        <w:rPr>
          <w:bCs/>
          <w:sz w:val="24"/>
          <w:szCs w:val="24"/>
        </w:rPr>
        <w:t xml:space="preserve"> OFFA/HEFCE 2013) it is still encouraged for the identification of outreach cohorts and for use as a monitoring measure.  An over-emphasis on LPNs for targeting not only misses tens of thousands of people that it should be targeting, but it also </w:t>
      </w:r>
      <w:r w:rsidR="00BF7C27">
        <w:rPr>
          <w:bCs/>
          <w:sz w:val="24"/>
          <w:szCs w:val="24"/>
        </w:rPr>
        <w:t>runs the risk of wasting</w:t>
      </w:r>
      <w:r w:rsidRPr="000C7050">
        <w:rPr>
          <w:bCs/>
          <w:sz w:val="24"/>
          <w:szCs w:val="24"/>
        </w:rPr>
        <w:t xml:space="preserve"> scarce resources on encouraging young people from over-represented groups.  The net result in the future may prove to be slow progress on changing the social mix of higher education, particularly within elite </w:t>
      </w:r>
      <w:r w:rsidRPr="000C7050">
        <w:rPr>
          <w:sz w:val="24"/>
          <w:szCs w:val="24"/>
        </w:rPr>
        <w:t>universities</w:t>
      </w:r>
      <w:r w:rsidRPr="000C7050">
        <w:rPr>
          <w:bCs/>
          <w:sz w:val="24"/>
          <w:szCs w:val="24"/>
        </w:rPr>
        <w:t xml:space="preserve">, with the deadweight of relatively advantaged young people from LPNs working to cancel progress among the disadvantaged.  As noted above, universities </w:t>
      </w:r>
      <w:r w:rsidR="00BF7C27">
        <w:rPr>
          <w:bCs/>
          <w:sz w:val="24"/>
          <w:szCs w:val="24"/>
        </w:rPr>
        <w:t xml:space="preserve">can </w:t>
      </w:r>
      <w:r w:rsidRPr="000C7050">
        <w:rPr>
          <w:bCs/>
          <w:sz w:val="24"/>
          <w:szCs w:val="24"/>
        </w:rPr>
        <w:t>report positive changes in recruitment from LPNs without seeing any significant difference in the actual situations of the young people coming in by other measures such as social class or family income.</w:t>
      </w:r>
    </w:p>
    <w:p w:rsidR="00B17EB9" w:rsidRPr="000C7050" w:rsidRDefault="00B17EB9" w:rsidP="003E581D">
      <w:pPr>
        <w:spacing w:line="360" w:lineRule="auto"/>
        <w:rPr>
          <w:bCs/>
          <w:sz w:val="24"/>
          <w:szCs w:val="24"/>
        </w:rPr>
      </w:pPr>
    </w:p>
    <w:p w:rsidR="00B17EB9" w:rsidRPr="000C7050" w:rsidRDefault="00B17EB9" w:rsidP="003E581D">
      <w:pPr>
        <w:spacing w:line="360" w:lineRule="auto"/>
        <w:rPr>
          <w:bCs/>
          <w:sz w:val="24"/>
          <w:szCs w:val="24"/>
        </w:rPr>
      </w:pPr>
      <w:r w:rsidRPr="000C7050">
        <w:rPr>
          <w:bCs/>
          <w:sz w:val="24"/>
          <w:szCs w:val="24"/>
        </w:rPr>
        <w:t xml:space="preserve">In conclusion, we are not arguing for the abandonment of LPNs.  They serve a useful purpose as a simple and reliable (in the statistical sense) proxy for a broad concept of historical </w:t>
      </w:r>
      <w:r w:rsidR="00BE356C" w:rsidRPr="000C7050">
        <w:rPr>
          <w:bCs/>
          <w:sz w:val="24"/>
          <w:szCs w:val="24"/>
        </w:rPr>
        <w:t xml:space="preserve">educational </w:t>
      </w:r>
      <w:r w:rsidRPr="000C7050">
        <w:rPr>
          <w:bCs/>
          <w:sz w:val="24"/>
          <w:szCs w:val="24"/>
        </w:rPr>
        <w:t>disadvantage.  They are useful in identifying the sorts of areas in which young people with the potential to enter higher education with additional support might be found.</w:t>
      </w:r>
      <w:r w:rsidR="00851CF2" w:rsidRPr="000C7050">
        <w:rPr>
          <w:bCs/>
          <w:sz w:val="24"/>
          <w:szCs w:val="24"/>
        </w:rPr>
        <w:t xml:space="preserve">  However, where their use becomes pathological is when </w:t>
      </w:r>
      <w:r w:rsidR="007A49F2" w:rsidRPr="000C7050">
        <w:rPr>
          <w:bCs/>
          <w:sz w:val="24"/>
          <w:szCs w:val="24"/>
        </w:rPr>
        <w:t xml:space="preserve">recruiting students from LPNs becomes the goal in its own right.  We are arguing, therefore, for a more nuanced approach to the issue, both from universities and </w:t>
      </w:r>
      <w:r w:rsidR="007A49F2" w:rsidRPr="000C7050">
        <w:rPr>
          <w:bCs/>
          <w:sz w:val="24"/>
          <w:szCs w:val="24"/>
        </w:rPr>
        <w:lastRenderedPageBreak/>
        <w:t>(led by) governmental bodies.</w:t>
      </w:r>
      <w:r w:rsidR="00AC405E" w:rsidRPr="000C7050">
        <w:rPr>
          <w:bCs/>
          <w:sz w:val="24"/>
          <w:szCs w:val="24"/>
        </w:rPr>
        <w:t xml:space="preserve">  This could be in the form of </w:t>
      </w:r>
      <w:r w:rsidR="009B5046" w:rsidRPr="000C7050">
        <w:rPr>
          <w:bCs/>
          <w:sz w:val="24"/>
          <w:szCs w:val="24"/>
        </w:rPr>
        <w:t>data with greater granularity or compound data that works in other area-based proxies for disadvantage</w:t>
      </w:r>
      <w:r w:rsidR="00423566" w:rsidRPr="000C7050">
        <w:rPr>
          <w:bCs/>
          <w:sz w:val="24"/>
          <w:szCs w:val="24"/>
        </w:rPr>
        <w:t xml:space="preserve"> that actually impact on individuals, rather than simply reflecting historical patterns of participation</w:t>
      </w:r>
      <w:r w:rsidR="009B5046" w:rsidRPr="000C7050">
        <w:rPr>
          <w:bCs/>
          <w:sz w:val="24"/>
          <w:szCs w:val="24"/>
        </w:rPr>
        <w:t>.  We particularly feel that the targeting of bursaries and scholarships at LPNs without other filtering criteria is an unfair practice that should be actively discouraged</w:t>
      </w:r>
      <w:r w:rsidR="00BE356C" w:rsidRPr="000C7050">
        <w:rPr>
          <w:bCs/>
          <w:sz w:val="24"/>
          <w:szCs w:val="24"/>
        </w:rPr>
        <w:t xml:space="preserve">, as </w:t>
      </w:r>
      <w:r w:rsidR="00BF7C27">
        <w:rPr>
          <w:bCs/>
          <w:sz w:val="24"/>
          <w:szCs w:val="24"/>
        </w:rPr>
        <w:t>is beginning to be officially recognised</w:t>
      </w:r>
      <w:r w:rsidR="009B5046" w:rsidRPr="000C7050">
        <w:rPr>
          <w:bCs/>
          <w:sz w:val="24"/>
          <w:szCs w:val="24"/>
        </w:rPr>
        <w:t>.</w:t>
      </w:r>
      <w:r w:rsidR="00F812EB" w:rsidRPr="000C7050">
        <w:rPr>
          <w:bCs/>
          <w:sz w:val="24"/>
          <w:szCs w:val="24"/>
        </w:rPr>
        <w:t xml:space="preserve">  All in all, we are calling for a refocusing back to the components of a young person’s situation that might dissuade them from achieving their academic and career potential and an acceptance that</w:t>
      </w:r>
      <w:r w:rsidR="00D6572B" w:rsidRPr="000C7050">
        <w:rPr>
          <w:bCs/>
          <w:sz w:val="24"/>
          <w:szCs w:val="24"/>
        </w:rPr>
        <w:t xml:space="preserve"> ‘you are where you live’</w:t>
      </w:r>
      <w:r w:rsidR="00F812EB" w:rsidRPr="000C7050">
        <w:rPr>
          <w:bCs/>
          <w:sz w:val="24"/>
          <w:szCs w:val="24"/>
        </w:rPr>
        <w:t xml:space="preserve"> </w:t>
      </w:r>
      <w:r w:rsidR="00BE356C" w:rsidRPr="000C7050">
        <w:rPr>
          <w:bCs/>
          <w:sz w:val="24"/>
          <w:szCs w:val="24"/>
        </w:rPr>
        <w:t xml:space="preserve">is not a helpful concept in respect of many </w:t>
      </w:r>
      <w:r w:rsidR="00F812EB" w:rsidRPr="000C7050">
        <w:rPr>
          <w:bCs/>
          <w:sz w:val="24"/>
          <w:szCs w:val="24"/>
        </w:rPr>
        <w:t>young people.</w:t>
      </w:r>
      <w:r w:rsidR="00BE356C" w:rsidRPr="000C7050">
        <w:rPr>
          <w:bCs/>
          <w:sz w:val="24"/>
          <w:szCs w:val="24"/>
        </w:rPr>
        <w:t xml:space="preserve"> </w:t>
      </w:r>
    </w:p>
    <w:p w:rsidR="00B22AA3" w:rsidRPr="000C7050" w:rsidRDefault="00B22AA3" w:rsidP="003E581D">
      <w:pPr>
        <w:spacing w:line="360" w:lineRule="auto"/>
        <w:rPr>
          <w:bCs/>
          <w:sz w:val="24"/>
          <w:szCs w:val="24"/>
        </w:rPr>
      </w:pPr>
    </w:p>
    <w:p w:rsidR="00B22AA3" w:rsidRPr="000C7050" w:rsidRDefault="00B22AA3" w:rsidP="003E581D">
      <w:pPr>
        <w:spacing w:line="360" w:lineRule="auto"/>
        <w:rPr>
          <w:bCs/>
          <w:sz w:val="24"/>
          <w:szCs w:val="24"/>
        </w:rPr>
      </w:pPr>
    </w:p>
    <w:p w:rsidR="00BF7C27" w:rsidRDefault="00BF7C27">
      <w:pPr>
        <w:rPr>
          <w:rFonts w:cstheme="minorHAnsi"/>
          <w:bCs/>
          <w:sz w:val="24"/>
          <w:szCs w:val="24"/>
        </w:rPr>
      </w:pPr>
      <w:r>
        <w:rPr>
          <w:rFonts w:cstheme="minorHAnsi"/>
          <w:b/>
          <w:bCs/>
          <w:sz w:val="24"/>
          <w:szCs w:val="24"/>
        </w:rPr>
        <w:t>Acknowledgements</w:t>
      </w:r>
    </w:p>
    <w:p w:rsidR="00BF7C27" w:rsidRDefault="00BF7C27" w:rsidP="00BF7C27">
      <w:pPr>
        <w:spacing w:line="360" w:lineRule="auto"/>
        <w:rPr>
          <w:rFonts w:cstheme="minorHAnsi"/>
          <w:bCs/>
          <w:sz w:val="24"/>
          <w:szCs w:val="24"/>
        </w:rPr>
      </w:pPr>
    </w:p>
    <w:p w:rsidR="00655E83" w:rsidRDefault="00BF7C27" w:rsidP="00BF7C27">
      <w:pPr>
        <w:spacing w:line="360" w:lineRule="auto"/>
        <w:rPr>
          <w:rFonts w:cstheme="minorHAnsi"/>
          <w:bCs/>
          <w:sz w:val="24"/>
          <w:szCs w:val="24"/>
        </w:rPr>
      </w:pPr>
      <w:r>
        <w:rPr>
          <w:rFonts w:cstheme="minorHAnsi"/>
          <w:bCs/>
          <w:sz w:val="24"/>
          <w:szCs w:val="24"/>
        </w:rPr>
        <w:t>The authors would like to acknowledge the feedback on an earlier draft of this paper from John Selby and Seth Fleet.  We are conscious that they disagree with us on some points, but the paper is stronger from their challenge and we are very grateful for it.</w:t>
      </w:r>
    </w:p>
    <w:p w:rsidR="00655E83" w:rsidRDefault="00655E83" w:rsidP="00BF7C27">
      <w:pPr>
        <w:spacing w:line="360" w:lineRule="auto"/>
        <w:rPr>
          <w:rFonts w:cstheme="minorHAnsi"/>
          <w:bCs/>
          <w:sz w:val="24"/>
          <w:szCs w:val="24"/>
        </w:rPr>
      </w:pPr>
    </w:p>
    <w:p w:rsidR="00655E83" w:rsidRDefault="00655E83" w:rsidP="00BF7C27">
      <w:pPr>
        <w:spacing w:line="360" w:lineRule="auto"/>
        <w:rPr>
          <w:rFonts w:cstheme="minorHAnsi"/>
          <w:bCs/>
          <w:sz w:val="24"/>
          <w:szCs w:val="24"/>
        </w:rPr>
      </w:pPr>
    </w:p>
    <w:p w:rsidR="00BF7C27" w:rsidRPr="00655E83" w:rsidRDefault="00BF7C27" w:rsidP="00655E83">
      <w:pPr>
        <w:autoSpaceDE w:val="0"/>
        <w:autoSpaceDN w:val="0"/>
        <w:adjustRightInd w:val="0"/>
        <w:spacing w:line="240" w:lineRule="auto"/>
        <w:rPr>
          <w:rFonts w:ascii="TimesNewRomanPS" w:hAnsi="TimesNewRomanPS" w:cs="TimesNewRomanPS"/>
          <w:color w:val="292526"/>
          <w:sz w:val="21"/>
          <w:szCs w:val="21"/>
        </w:rPr>
      </w:pPr>
      <w:r>
        <w:rPr>
          <w:rFonts w:cstheme="minorHAnsi"/>
          <w:b/>
          <w:bCs/>
          <w:sz w:val="24"/>
          <w:szCs w:val="24"/>
        </w:rPr>
        <w:br w:type="page"/>
      </w:r>
    </w:p>
    <w:p w:rsidR="00085715" w:rsidRPr="000C7050" w:rsidRDefault="00085715" w:rsidP="003E581D">
      <w:pPr>
        <w:spacing w:line="360" w:lineRule="auto"/>
        <w:rPr>
          <w:rFonts w:cstheme="minorHAnsi"/>
          <w:b/>
          <w:bCs/>
          <w:sz w:val="24"/>
          <w:szCs w:val="24"/>
        </w:rPr>
      </w:pPr>
      <w:r w:rsidRPr="000C7050">
        <w:rPr>
          <w:rFonts w:cstheme="minorHAnsi"/>
          <w:b/>
          <w:bCs/>
          <w:sz w:val="24"/>
          <w:szCs w:val="24"/>
        </w:rPr>
        <w:lastRenderedPageBreak/>
        <w:t>References</w:t>
      </w:r>
    </w:p>
    <w:p w:rsidR="00EC4B22" w:rsidRPr="000C7050" w:rsidRDefault="00EC4B22" w:rsidP="003E581D">
      <w:pPr>
        <w:spacing w:line="360" w:lineRule="auto"/>
        <w:rPr>
          <w:rFonts w:cstheme="minorHAnsi"/>
          <w:sz w:val="24"/>
          <w:szCs w:val="24"/>
        </w:rPr>
      </w:pPr>
    </w:p>
    <w:p w:rsidR="00D3173A" w:rsidRPr="000C7050" w:rsidRDefault="00D3173A" w:rsidP="003E581D">
      <w:pPr>
        <w:spacing w:line="360" w:lineRule="auto"/>
        <w:ind w:left="426" w:hanging="426"/>
        <w:rPr>
          <w:rFonts w:cstheme="minorHAnsi"/>
          <w:sz w:val="24"/>
          <w:szCs w:val="24"/>
        </w:rPr>
      </w:pPr>
      <w:r w:rsidRPr="000C7050">
        <w:rPr>
          <w:rFonts w:cstheme="minorHAnsi"/>
          <w:sz w:val="24"/>
          <w:szCs w:val="24"/>
        </w:rPr>
        <w:t xml:space="preserve">Aimhigher West.  2008.  </w:t>
      </w:r>
      <w:r w:rsidRPr="000C7050">
        <w:rPr>
          <w:rFonts w:cstheme="minorHAnsi"/>
          <w:i/>
          <w:sz w:val="24"/>
          <w:szCs w:val="24"/>
        </w:rPr>
        <w:t>Intervention model: 2008/09 edition.</w:t>
      </w:r>
      <w:r w:rsidRPr="000C7050">
        <w:rPr>
          <w:rFonts w:cstheme="minorHAnsi"/>
          <w:sz w:val="24"/>
          <w:szCs w:val="24"/>
        </w:rPr>
        <w:t xml:space="preserve"> Bristol: Aimhigher West.</w:t>
      </w:r>
    </w:p>
    <w:p w:rsidR="00B96D17" w:rsidRPr="000C7050" w:rsidRDefault="00B96D17" w:rsidP="003E581D">
      <w:pPr>
        <w:spacing w:line="360" w:lineRule="auto"/>
        <w:ind w:left="426" w:hanging="426"/>
        <w:rPr>
          <w:rFonts w:cstheme="minorHAnsi"/>
          <w:sz w:val="24"/>
          <w:szCs w:val="24"/>
        </w:rPr>
      </w:pPr>
      <w:r w:rsidRPr="000C7050">
        <w:rPr>
          <w:rFonts w:cstheme="minorHAnsi"/>
          <w:sz w:val="24"/>
          <w:szCs w:val="24"/>
        </w:rPr>
        <w:t xml:space="preserve">Cable, V. 2010. </w:t>
      </w:r>
      <w:r w:rsidR="00A54687" w:rsidRPr="000C7050">
        <w:rPr>
          <w:rFonts w:cstheme="minorHAnsi"/>
          <w:i/>
          <w:sz w:val="24"/>
          <w:szCs w:val="24"/>
        </w:rPr>
        <w:t>Keynote s</w:t>
      </w:r>
      <w:r w:rsidRPr="000C7050">
        <w:rPr>
          <w:rFonts w:cstheme="minorHAnsi"/>
          <w:i/>
          <w:sz w:val="24"/>
          <w:szCs w:val="24"/>
        </w:rPr>
        <w:t>peech</w:t>
      </w:r>
      <w:r w:rsidR="00D027B3" w:rsidRPr="000C7050">
        <w:rPr>
          <w:rFonts w:cstheme="minorHAnsi"/>
          <w:i/>
          <w:sz w:val="24"/>
          <w:szCs w:val="24"/>
        </w:rPr>
        <w:t xml:space="preserve"> on </w:t>
      </w:r>
      <w:r w:rsidR="00A54687" w:rsidRPr="000C7050">
        <w:rPr>
          <w:rFonts w:cstheme="minorHAnsi"/>
          <w:i/>
          <w:sz w:val="24"/>
          <w:szCs w:val="24"/>
        </w:rPr>
        <w:t>higher education policy</w:t>
      </w:r>
      <w:r w:rsidR="00A54687" w:rsidRPr="000C7050">
        <w:rPr>
          <w:rFonts w:cstheme="minorHAnsi"/>
          <w:sz w:val="24"/>
          <w:szCs w:val="24"/>
        </w:rPr>
        <w:t>. London South Bank University</w:t>
      </w:r>
      <w:r w:rsidRPr="000C7050">
        <w:rPr>
          <w:rFonts w:cstheme="minorHAnsi"/>
          <w:sz w:val="24"/>
          <w:szCs w:val="24"/>
        </w:rPr>
        <w:t>. 15</w:t>
      </w:r>
      <w:r w:rsidRPr="000C7050">
        <w:rPr>
          <w:rFonts w:cstheme="minorHAnsi"/>
          <w:sz w:val="24"/>
          <w:szCs w:val="24"/>
          <w:vertAlign w:val="superscript"/>
        </w:rPr>
        <w:t>th</w:t>
      </w:r>
      <w:r w:rsidRPr="000C7050">
        <w:rPr>
          <w:rFonts w:cstheme="minorHAnsi"/>
          <w:sz w:val="24"/>
          <w:szCs w:val="24"/>
        </w:rPr>
        <w:t xml:space="preserve"> July 2010.</w:t>
      </w:r>
    </w:p>
    <w:p w:rsidR="001E7832" w:rsidRPr="000C7050" w:rsidRDefault="00D027B3" w:rsidP="003E581D">
      <w:pPr>
        <w:autoSpaceDE w:val="0"/>
        <w:autoSpaceDN w:val="0"/>
        <w:adjustRightInd w:val="0"/>
        <w:spacing w:line="360" w:lineRule="auto"/>
        <w:ind w:left="426" w:hanging="426"/>
        <w:rPr>
          <w:rFonts w:cs="Times New Roman"/>
          <w:sz w:val="24"/>
          <w:szCs w:val="24"/>
        </w:rPr>
      </w:pPr>
      <w:r w:rsidRPr="000C7050">
        <w:rPr>
          <w:sz w:val="24"/>
          <w:szCs w:val="24"/>
        </w:rPr>
        <w:t>Cabinet Office. 2011.</w:t>
      </w:r>
      <w:r w:rsidR="001E7832" w:rsidRPr="000C7050">
        <w:rPr>
          <w:sz w:val="24"/>
          <w:szCs w:val="24"/>
        </w:rPr>
        <w:t xml:space="preserve"> </w:t>
      </w:r>
      <w:r w:rsidR="001E7832" w:rsidRPr="000C7050">
        <w:rPr>
          <w:rFonts w:cs="Times New Roman"/>
          <w:i/>
          <w:sz w:val="24"/>
          <w:szCs w:val="24"/>
        </w:rPr>
        <w:t>Opening doors, breaking barriers</w:t>
      </w:r>
      <w:r w:rsidRPr="000C7050">
        <w:rPr>
          <w:rFonts w:cs="Times New Roman"/>
          <w:i/>
          <w:sz w:val="24"/>
          <w:szCs w:val="24"/>
        </w:rPr>
        <w:t xml:space="preserve">: a strategy for social mobility. </w:t>
      </w:r>
      <w:r w:rsidR="001E7832" w:rsidRPr="000C7050">
        <w:rPr>
          <w:rFonts w:cs="Times New Roman"/>
          <w:sz w:val="24"/>
          <w:szCs w:val="24"/>
        </w:rPr>
        <w:t>London: Cabinet Office.</w:t>
      </w:r>
    </w:p>
    <w:p w:rsidR="009C16CF" w:rsidRPr="000C7050" w:rsidRDefault="001E7832" w:rsidP="009C16CF">
      <w:pPr>
        <w:autoSpaceDE w:val="0"/>
        <w:autoSpaceDN w:val="0"/>
        <w:adjustRightInd w:val="0"/>
        <w:spacing w:line="360" w:lineRule="auto"/>
        <w:ind w:left="426" w:hanging="426"/>
        <w:rPr>
          <w:rFonts w:cs="Times New Roman"/>
          <w:sz w:val="24"/>
          <w:szCs w:val="24"/>
        </w:rPr>
      </w:pPr>
      <w:r w:rsidRPr="000C7050">
        <w:rPr>
          <w:sz w:val="24"/>
          <w:szCs w:val="24"/>
        </w:rPr>
        <w:t>Cabine</w:t>
      </w:r>
      <w:r w:rsidR="00D027B3" w:rsidRPr="000C7050">
        <w:rPr>
          <w:sz w:val="24"/>
          <w:szCs w:val="24"/>
        </w:rPr>
        <w:t>t Office. 2012.</w:t>
      </w:r>
      <w:r w:rsidRPr="000C7050">
        <w:rPr>
          <w:sz w:val="24"/>
          <w:szCs w:val="24"/>
        </w:rPr>
        <w:t xml:space="preserve"> </w:t>
      </w:r>
      <w:r w:rsidRPr="000C7050">
        <w:rPr>
          <w:i/>
          <w:sz w:val="24"/>
          <w:szCs w:val="24"/>
        </w:rPr>
        <w:t>Fair access to professional careers: a progress report by the Independent Reviewer on S</w:t>
      </w:r>
      <w:r w:rsidR="00D027B3" w:rsidRPr="000C7050">
        <w:rPr>
          <w:i/>
          <w:sz w:val="24"/>
          <w:szCs w:val="24"/>
        </w:rPr>
        <w:t>ocial Mobility and Child Poverty</w:t>
      </w:r>
      <w:r w:rsidR="00D027B3" w:rsidRPr="000C7050">
        <w:rPr>
          <w:rFonts w:cs="Times New Roman"/>
          <w:i/>
          <w:sz w:val="24"/>
          <w:szCs w:val="24"/>
        </w:rPr>
        <w:t>.</w:t>
      </w:r>
      <w:r w:rsidRPr="000C7050">
        <w:rPr>
          <w:rFonts w:cs="Times New Roman"/>
          <w:sz w:val="24"/>
          <w:szCs w:val="24"/>
        </w:rPr>
        <w:t xml:space="preserve"> London: Cabinet Office.</w:t>
      </w:r>
      <w:r w:rsidR="009C16CF" w:rsidRPr="000C7050">
        <w:rPr>
          <w:rFonts w:cs="Times New Roman"/>
          <w:sz w:val="24"/>
          <w:szCs w:val="24"/>
        </w:rPr>
        <w:t xml:space="preserve"> </w:t>
      </w:r>
    </w:p>
    <w:p w:rsidR="009C16CF" w:rsidRPr="000C7050" w:rsidRDefault="009C16CF" w:rsidP="009C16CF">
      <w:pPr>
        <w:autoSpaceDE w:val="0"/>
        <w:autoSpaceDN w:val="0"/>
        <w:adjustRightInd w:val="0"/>
        <w:spacing w:line="360" w:lineRule="auto"/>
        <w:ind w:left="426" w:hanging="426"/>
        <w:rPr>
          <w:rFonts w:cs="Times New Roman"/>
          <w:sz w:val="24"/>
          <w:szCs w:val="24"/>
        </w:rPr>
      </w:pPr>
      <w:proofErr w:type="spellStart"/>
      <w:r w:rsidRPr="000C7050">
        <w:rPr>
          <w:rFonts w:cs="AdvOT40514f85"/>
          <w:sz w:val="24"/>
          <w:szCs w:val="24"/>
        </w:rPr>
        <w:t>Callender</w:t>
      </w:r>
      <w:proofErr w:type="spellEnd"/>
      <w:r w:rsidRPr="000C7050">
        <w:rPr>
          <w:rFonts w:cs="AdvOT40514f85"/>
          <w:sz w:val="24"/>
          <w:szCs w:val="24"/>
        </w:rPr>
        <w:t xml:space="preserve">, C. 2010. Bursaries and institution aid in higher education in England: do they safeguard and promote fair access? </w:t>
      </w:r>
      <w:r w:rsidRPr="000C7050">
        <w:rPr>
          <w:rFonts w:cs="AdvOTdf4e37e1.I"/>
          <w:sz w:val="24"/>
          <w:szCs w:val="24"/>
        </w:rPr>
        <w:t xml:space="preserve">Oxford Review of Education </w:t>
      </w:r>
      <w:r w:rsidRPr="000C7050">
        <w:rPr>
          <w:rFonts w:cs="AdvOT40514f85"/>
          <w:sz w:val="24"/>
          <w:szCs w:val="24"/>
        </w:rPr>
        <w:t>36, no. 1: 45–62.</w:t>
      </w:r>
    </w:p>
    <w:p w:rsidR="001217A9" w:rsidRPr="000C7050" w:rsidRDefault="00317D8A" w:rsidP="003E581D">
      <w:pPr>
        <w:autoSpaceDE w:val="0"/>
        <w:autoSpaceDN w:val="0"/>
        <w:adjustRightInd w:val="0"/>
        <w:spacing w:line="360" w:lineRule="auto"/>
        <w:ind w:left="426" w:hanging="426"/>
        <w:rPr>
          <w:rFonts w:eastAsia="Times New Roman" w:cstheme="minorHAnsi"/>
          <w:sz w:val="24"/>
          <w:szCs w:val="24"/>
        </w:rPr>
      </w:pPr>
      <w:proofErr w:type="spellStart"/>
      <w:r w:rsidRPr="000C7050">
        <w:rPr>
          <w:rFonts w:eastAsia="Times New Roman" w:cstheme="minorHAnsi"/>
          <w:sz w:val="24"/>
          <w:szCs w:val="24"/>
        </w:rPr>
        <w:t>Callender</w:t>
      </w:r>
      <w:proofErr w:type="spellEnd"/>
      <w:r w:rsidRPr="000C7050">
        <w:rPr>
          <w:rFonts w:eastAsia="Times New Roman" w:cstheme="minorHAnsi"/>
          <w:sz w:val="24"/>
          <w:szCs w:val="24"/>
        </w:rPr>
        <w:t>, C</w:t>
      </w:r>
      <w:r w:rsidR="00D027B3" w:rsidRPr="000C7050">
        <w:rPr>
          <w:rFonts w:eastAsia="Times New Roman" w:cstheme="minorHAnsi"/>
          <w:sz w:val="24"/>
          <w:szCs w:val="24"/>
        </w:rPr>
        <w:t>.</w:t>
      </w:r>
      <w:r w:rsidRPr="000C7050">
        <w:rPr>
          <w:rFonts w:eastAsia="Times New Roman" w:cstheme="minorHAnsi"/>
          <w:sz w:val="24"/>
          <w:szCs w:val="24"/>
        </w:rPr>
        <w:t xml:space="preserve"> and </w:t>
      </w:r>
      <w:r w:rsidR="00D027B3" w:rsidRPr="000C7050">
        <w:rPr>
          <w:rFonts w:eastAsia="Times New Roman" w:cstheme="minorHAnsi"/>
          <w:sz w:val="24"/>
          <w:szCs w:val="24"/>
        </w:rPr>
        <w:t>J. Jackson. 2008. Does fear of debt constrain choice of university and s</w:t>
      </w:r>
      <w:r w:rsidRPr="000C7050">
        <w:rPr>
          <w:rFonts w:eastAsia="Times New Roman" w:cstheme="minorHAnsi"/>
          <w:sz w:val="24"/>
          <w:szCs w:val="24"/>
        </w:rPr>
        <w:t>ubjec</w:t>
      </w:r>
      <w:r w:rsidR="00D027B3" w:rsidRPr="000C7050">
        <w:rPr>
          <w:rFonts w:eastAsia="Times New Roman" w:cstheme="minorHAnsi"/>
          <w:sz w:val="24"/>
          <w:szCs w:val="24"/>
        </w:rPr>
        <w:t>t of s</w:t>
      </w:r>
      <w:r w:rsidRPr="000C7050">
        <w:rPr>
          <w:rFonts w:eastAsia="Times New Roman" w:cstheme="minorHAnsi"/>
          <w:sz w:val="24"/>
          <w:szCs w:val="24"/>
        </w:rPr>
        <w:t xml:space="preserve">tudy? </w:t>
      </w:r>
      <w:r w:rsidRPr="000C7050">
        <w:rPr>
          <w:rFonts w:eastAsia="Times New Roman" w:cstheme="minorHAnsi"/>
          <w:i/>
          <w:sz w:val="24"/>
          <w:szCs w:val="24"/>
        </w:rPr>
        <w:t>Studies in Higher Education</w:t>
      </w:r>
      <w:r w:rsidRPr="000C7050">
        <w:rPr>
          <w:rFonts w:eastAsia="Times New Roman" w:cstheme="minorHAnsi"/>
          <w:sz w:val="24"/>
          <w:szCs w:val="24"/>
        </w:rPr>
        <w:t xml:space="preserve"> 33</w:t>
      </w:r>
      <w:r w:rsidR="00D027B3" w:rsidRPr="000C7050">
        <w:rPr>
          <w:rFonts w:eastAsia="Times New Roman" w:cstheme="minorHAnsi"/>
          <w:sz w:val="24"/>
          <w:szCs w:val="24"/>
        </w:rPr>
        <w:t>, no. 4:</w:t>
      </w:r>
      <w:r w:rsidRPr="000C7050">
        <w:rPr>
          <w:rFonts w:eastAsia="Times New Roman" w:cstheme="minorHAnsi"/>
          <w:sz w:val="24"/>
          <w:szCs w:val="24"/>
        </w:rPr>
        <w:t xml:space="preserve"> 405-29</w:t>
      </w:r>
      <w:r w:rsidR="00D027B3" w:rsidRPr="000C7050">
        <w:rPr>
          <w:rFonts w:eastAsia="Times New Roman" w:cstheme="minorHAnsi"/>
          <w:sz w:val="24"/>
          <w:szCs w:val="24"/>
        </w:rPr>
        <w:t>.</w:t>
      </w:r>
    </w:p>
    <w:p w:rsidR="000A2E04" w:rsidRPr="000C7050" w:rsidRDefault="00D027B3" w:rsidP="000A2E04">
      <w:pPr>
        <w:spacing w:line="360" w:lineRule="auto"/>
        <w:ind w:left="426" w:hanging="426"/>
        <w:rPr>
          <w:rFonts w:eastAsia="Times New Roman" w:cstheme="minorHAnsi"/>
          <w:sz w:val="24"/>
          <w:szCs w:val="24"/>
        </w:rPr>
      </w:pPr>
      <w:r w:rsidRPr="000C7050">
        <w:rPr>
          <w:rFonts w:eastAsia="Times New Roman" w:cstheme="minorHAnsi"/>
          <w:sz w:val="24"/>
          <w:szCs w:val="24"/>
        </w:rPr>
        <w:t xml:space="preserve">Department of Business, Innovation and Skills. 2010. </w:t>
      </w:r>
      <w:r w:rsidRPr="000C7050">
        <w:rPr>
          <w:rFonts w:eastAsia="Times New Roman" w:cstheme="minorHAnsi"/>
          <w:i/>
          <w:sz w:val="24"/>
          <w:szCs w:val="24"/>
        </w:rPr>
        <w:t>Higher education funding for 2011-12 and beyond</w:t>
      </w:r>
      <w:r w:rsidRPr="000C7050">
        <w:rPr>
          <w:rFonts w:eastAsia="Times New Roman" w:cstheme="minorHAnsi"/>
          <w:sz w:val="24"/>
          <w:szCs w:val="24"/>
        </w:rPr>
        <w:t xml:space="preserve">. Letter from Vince Cable MP and David </w:t>
      </w:r>
      <w:proofErr w:type="spellStart"/>
      <w:r w:rsidRPr="000C7050">
        <w:rPr>
          <w:rFonts w:eastAsia="Times New Roman" w:cstheme="minorHAnsi"/>
          <w:sz w:val="24"/>
          <w:szCs w:val="24"/>
        </w:rPr>
        <w:t>Willetts</w:t>
      </w:r>
      <w:proofErr w:type="spellEnd"/>
      <w:r w:rsidRPr="000C7050">
        <w:rPr>
          <w:rFonts w:eastAsia="Times New Roman" w:cstheme="minorHAnsi"/>
          <w:sz w:val="24"/>
          <w:szCs w:val="24"/>
        </w:rPr>
        <w:t xml:space="preserve"> MP to the Higher Education Funding Council for England.  20</w:t>
      </w:r>
      <w:r w:rsidRPr="000C7050">
        <w:rPr>
          <w:rFonts w:eastAsia="Times New Roman" w:cstheme="minorHAnsi"/>
          <w:sz w:val="24"/>
          <w:szCs w:val="24"/>
          <w:vertAlign w:val="superscript"/>
        </w:rPr>
        <w:t>th</w:t>
      </w:r>
      <w:r w:rsidRPr="000C7050">
        <w:rPr>
          <w:rFonts w:eastAsia="Times New Roman" w:cstheme="minorHAnsi"/>
          <w:sz w:val="24"/>
          <w:szCs w:val="24"/>
        </w:rPr>
        <w:t xml:space="preserve"> December 2010.</w:t>
      </w:r>
    </w:p>
    <w:p w:rsidR="000A2E04" w:rsidRPr="000C7050" w:rsidRDefault="000A2E04" w:rsidP="000A2E04">
      <w:pPr>
        <w:spacing w:line="360" w:lineRule="auto"/>
        <w:ind w:left="426" w:hanging="426"/>
        <w:rPr>
          <w:rFonts w:eastAsia="Times New Roman" w:cstheme="minorHAnsi"/>
          <w:sz w:val="24"/>
          <w:szCs w:val="24"/>
        </w:rPr>
      </w:pPr>
      <w:r w:rsidRPr="000C7050">
        <w:rPr>
          <w:rFonts w:cs="Times-Roman"/>
          <w:sz w:val="24"/>
          <w:szCs w:val="24"/>
        </w:rPr>
        <w:t xml:space="preserve">Department for Business, Innovation and Skills. 2011a.  </w:t>
      </w:r>
      <w:r w:rsidRPr="000C7050">
        <w:rPr>
          <w:rFonts w:cs="Times-Italic"/>
          <w:i/>
          <w:iCs/>
          <w:sz w:val="24"/>
          <w:szCs w:val="24"/>
        </w:rPr>
        <w:t xml:space="preserve">Findings from the public consultation on statistics that measure the progress of children from disadvantaged backgrounds to higher education. </w:t>
      </w:r>
      <w:r w:rsidRPr="000C7050">
        <w:rPr>
          <w:rFonts w:cs="Times-Roman"/>
          <w:sz w:val="24"/>
          <w:szCs w:val="24"/>
        </w:rPr>
        <w:t>London: DBIS.</w:t>
      </w:r>
    </w:p>
    <w:p w:rsidR="00A54687" w:rsidRPr="000C7050" w:rsidRDefault="00A54687" w:rsidP="003E581D">
      <w:pPr>
        <w:spacing w:line="360" w:lineRule="auto"/>
        <w:ind w:left="426" w:hanging="426"/>
        <w:rPr>
          <w:rFonts w:eastAsia="Times New Roman" w:cstheme="minorHAnsi"/>
          <w:sz w:val="24"/>
          <w:szCs w:val="24"/>
        </w:rPr>
      </w:pPr>
      <w:r w:rsidRPr="000C7050">
        <w:rPr>
          <w:rFonts w:eastAsia="Times New Roman" w:cstheme="minorHAnsi"/>
          <w:sz w:val="24"/>
          <w:szCs w:val="24"/>
        </w:rPr>
        <w:t>Department of Business, Innovation and Skills. 2011</w:t>
      </w:r>
      <w:r w:rsidR="000A2E04" w:rsidRPr="000C7050">
        <w:rPr>
          <w:rFonts w:eastAsia="Times New Roman" w:cstheme="minorHAnsi"/>
          <w:sz w:val="24"/>
          <w:szCs w:val="24"/>
        </w:rPr>
        <w:t>b</w:t>
      </w:r>
      <w:r w:rsidRPr="000C7050">
        <w:rPr>
          <w:rFonts w:eastAsia="Times New Roman" w:cstheme="minorHAnsi"/>
          <w:sz w:val="24"/>
          <w:szCs w:val="24"/>
        </w:rPr>
        <w:t xml:space="preserve">. </w:t>
      </w:r>
      <w:r w:rsidRPr="000C7050">
        <w:rPr>
          <w:rFonts w:eastAsia="Times New Roman" w:cstheme="minorHAnsi"/>
          <w:i/>
          <w:iCs/>
          <w:sz w:val="24"/>
          <w:szCs w:val="24"/>
        </w:rPr>
        <w:t>Students at the heart of the system</w:t>
      </w:r>
      <w:r w:rsidRPr="000C7050">
        <w:rPr>
          <w:rFonts w:eastAsia="Times New Roman" w:cstheme="minorHAnsi"/>
          <w:sz w:val="24"/>
          <w:szCs w:val="24"/>
        </w:rPr>
        <w:t>. Norwich: The Stationery Office.</w:t>
      </w:r>
    </w:p>
    <w:p w:rsidR="00A54687" w:rsidRPr="000C7050" w:rsidRDefault="00A54687" w:rsidP="003E581D">
      <w:pPr>
        <w:spacing w:line="360" w:lineRule="auto"/>
        <w:ind w:left="426" w:hanging="426"/>
        <w:rPr>
          <w:rFonts w:eastAsia="Times New Roman" w:cstheme="minorHAnsi"/>
          <w:sz w:val="24"/>
          <w:szCs w:val="24"/>
        </w:rPr>
      </w:pPr>
      <w:r w:rsidRPr="000C7050">
        <w:rPr>
          <w:rFonts w:eastAsia="Times New Roman" w:cstheme="minorHAnsi"/>
          <w:sz w:val="24"/>
          <w:szCs w:val="24"/>
        </w:rPr>
        <w:t>Department of Business, Innovation and Skills. 2011</w:t>
      </w:r>
      <w:r w:rsidR="000A2E04" w:rsidRPr="000C7050">
        <w:rPr>
          <w:rFonts w:eastAsia="Times New Roman" w:cstheme="minorHAnsi"/>
          <w:sz w:val="24"/>
          <w:szCs w:val="24"/>
        </w:rPr>
        <w:t>c</w:t>
      </w:r>
      <w:r w:rsidRPr="000C7050">
        <w:rPr>
          <w:rFonts w:eastAsia="Times New Roman" w:cstheme="minorHAnsi"/>
          <w:sz w:val="24"/>
          <w:szCs w:val="24"/>
        </w:rPr>
        <w:t>.</w:t>
      </w:r>
      <w:r w:rsidRPr="000C7050">
        <w:rPr>
          <w:rFonts w:cstheme="minorHAnsi"/>
          <w:sz w:val="24"/>
          <w:szCs w:val="24"/>
        </w:rPr>
        <w:t xml:space="preserve"> </w:t>
      </w:r>
      <w:r w:rsidR="0060473E" w:rsidRPr="000C7050">
        <w:rPr>
          <w:rFonts w:cstheme="minorHAnsi"/>
          <w:i/>
          <w:iCs/>
          <w:sz w:val="24"/>
          <w:szCs w:val="24"/>
        </w:rPr>
        <w:t>G</w:t>
      </w:r>
      <w:r w:rsidRPr="000C7050">
        <w:rPr>
          <w:rFonts w:cstheme="minorHAnsi"/>
          <w:i/>
          <w:iCs/>
          <w:sz w:val="24"/>
          <w:szCs w:val="24"/>
        </w:rPr>
        <w:t>uidance to</w:t>
      </w:r>
      <w:r w:rsidR="0060473E" w:rsidRPr="000C7050">
        <w:rPr>
          <w:rFonts w:cstheme="minorHAnsi"/>
          <w:i/>
          <w:iCs/>
          <w:sz w:val="24"/>
          <w:szCs w:val="24"/>
        </w:rPr>
        <w:t xml:space="preserve"> the </w:t>
      </w:r>
      <w:r w:rsidRPr="000C7050">
        <w:rPr>
          <w:rFonts w:cstheme="minorHAnsi"/>
          <w:i/>
          <w:sz w:val="24"/>
          <w:szCs w:val="24"/>
        </w:rPr>
        <w:t>Director of Fair Access</w:t>
      </w:r>
      <w:r w:rsidR="0060473E" w:rsidRPr="000C7050">
        <w:rPr>
          <w:rFonts w:cstheme="minorHAnsi"/>
          <w:sz w:val="24"/>
          <w:szCs w:val="24"/>
        </w:rPr>
        <w:t xml:space="preserve"> (letter from </w:t>
      </w:r>
      <w:r w:rsidR="0060473E" w:rsidRPr="000C7050">
        <w:rPr>
          <w:rFonts w:eastAsia="Times New Roman" w:cstheme="minorHAnsi"/>
          <w:sz w:val="24"/>
          <w:szCs w:val="24"/>
        </w:rPr>
        <w:t xml:space="preserve">Vince Cable MP and David </w:t>
      </w:r>
      <w:proofErr w:type="spellStart"/>
      <w:r w:rsidR="0060473E" w:rsidRPr="000C7050">
        <w:rPr>
          <w:rFonts w:eastAsia="Times New Roman" w:cstheme="minorHAnsi"/>
          <w:sz w:val="24"/>
          <w:szCs w:val="24"/>
        </w:rPr>
        <w:t>Willetts</w:t>
      </w:r>
      <w:proofErr w:type="spellEnd"/>
      <w:r w:rsidR="0060473E" w:rsidRPr="000C7050">
        <w:rPr>
          <w:rFonts w:eastAsia="Times New Roman" w:cstheme="minorHAnsi"/>
          <w:sz w:val="24"/>
          <w:szCs w:val="24"/>
        </w:rPr>
        <w:t xml:space="preserve"> MP)</w:t>
      </w:r>
      <w:r w:rsidR="0060473E" w:rsidRPr="000C7050">
        <w:rPr>
          <w:rFonts w:cstheme="minorHAnsi"/>
          <w:i/>
          <w:sz w:val="24"/>
          <w:szCs w:val="24"/>
        </w:rPr>
        <w:t>.</w:t>
      </w:r>
      <w:r w:rsidRPr="000C7050">
        <w:rPr>
          <w:rFonts w:cstheme="minorHAnsi"/>
          <w:i/>
          <w:sz w:val="24"/>
          <w:szCs w:val="24"/>
        </w:rPr>
        <w:t xml:space="preserve"> </w:t>
      </w:r>
      <w:r w:rsidR="0060473E" w:rsidRPr="000C7050">
        <w:rPr>
          <w:rFonts w:cstheme="minorHAnsi"/>
          <w:sz w:val="24"/>
          <w:szCs w:val="24"/>
        </w:rPr>
        <w:t>10</w:t>
      </w:r>
      <w:r w:rsidR="0060473E" w:rsidRPr="000C7050">
        <w:rPr>
          <w:rFonts w:cstheme="minorHAnsi"/>
          <w:sz w:val="24"/>
          <w:szCs w:val="24"/>
          <w:vertAlign w:val="superscript"/>
        </w:rPr>
        <w:t>th</w:t>
      </w:r>
      <w:r w:rsidR="0060473E" w:rsidRPr="000C7050">
        <w:rPr>
          <w:rFonts w:cstheme="minorHAnsi"/>
          <w:sz w:val="24"/>
          <w:szCs w:val="24"/>
        </w:rPr>
        <w:t xml:space="preserve"> February</w:t>
      </w:r>
      <w:r w:rsidRPr="000C7050">
        <w:rPr>
          <w:rFonts w:cstheme="minorHAnsi"/>
          <w:sz w:val="24"/>
          <w:szCs w:val="24"/>
        </w:rPr>
        <w:t xml:space="preserve"> 2011.</w:t>
      </w:r>
    </w:p>
    <w:p w:rsidR="003E581D" w:rsidRPr="000C7050" w:rsidRDefault="001217A9" w:rsidP="003E581D">
      <w:pPr>
        <w:autoSpaceDE w:val="0"/>
        <w:autoSpaceDN w:val="0"/>
        <w:adjustRightInd w:val="0"/>
        <w:spacing w:line="360" w:lineRule="auto"/>
        <w:ind w:left="426" w:hanging="426"/>
        <w:rPr>
          <w:rFonts w:eastAsia="Times New Roman" w:cstheme="minorHAnsi"/>
          <w:sz w:val="24"/>
          <w:szCs w:val="24"/>
        </w:rPr>
      </w:pPr>
      <w:r w:rsidRPr="000C7050">
        <w:rPr>
          <w:rFonts w:cs="Plantin"/>
          <w:sz w:val="24"/>
          <w:szCs w:val="24"/>
        </w:rPr>
        <w:t xml:space="preserve">Department of Communities and Local Government. 2007. </w:t>
      </w:r>
      <w:r w:rsidRPr="000C7050">
        <w:rPr>
          <w:rFonts w:cs="Plantin-Italic"/>
          <w:i/>
          <w:iCs/>
          <w:sz w:val="24"/>
          <w:szCs w:val="24"/>
        </w:rPr>
        <w:t>Indices of Multiple Deprivation 2007</w:t>
      </w:r>
      <w:r w:rsidRPr="000C7050">
        <w:rPr>
          <w:rFonts w:cs="Plantin"/>
          <w:sz w:val="24"/>
          <w:szCs w:val="24"/>
        </w:rPr>
        <w:t xml:space="preserve">.  webarchive.nationalarchives.gov.uk/+/http:/www.communities.gov.uk/communities/neighbourhoodrenewal/deprivation/deprivation07. </w:t>
      </w:r>
      <w:r w:rsidRPr="000C7050">
        <w:rPr>
          <w:rFonts w:eastAsia="Times New Roman" w:cstheme="minorHAnsi"/>
          <w:sz w:val="24"/>
          <w:szCs w:val="24"/>
        </w:rPr>
        <w:t>Last accessed 3</w:t>
      </w:r>
      <w:r w:rsidRPr="000C7050">
        <w:rPr>
          <w:rFonts w:eastAsia="Times New Roman" w:cstheme="minorHAnsi"/>
          <w:sz w:val="24"/>
          <w:szCs w:val="24"/>
          <w:vertAlign w:val="superscript"/>
        </w:rPr>
        <w:t>rd</w:t>
      </w:r>
      <w:r w:rsidRPr="000C7050">
        <w:rPr>
          <w:rFonts w:eastAsia="Times New Roman" w:cstheme="minorHAnsi"/>
          <w:sz w:val="24"/>
          <w:szCs w:val="24"/>
        </w:rPr>
        <w:t xml:space="preserve"> May 2013.</w:t>
      </w:r>
    </w:p>
    <w:p w:rsidR="003E581D" w:rsidRPr="000C7050" w:rsidRDefault="003E581D" w:rsidP="003E581D">
      <w:pPr>
        <w:autoSpaceDE w:val="0"/>
        <w:autoSpaceDN w:val="0"/>
        <w:adjustRightInd w:val="0"/>
        <w:spacing w:line="360" w:lineRule="auto"/>
        <w:ind w:left="426" w:hanging="426"/>
        <w:rPr>
          <w:rFonts w:eastAsia="Times New Roman" w:cstheme="minorHAnsi"/>
          <w:sz w:val="24"/>
          <w:szCs w:val="24"/>
        </w:rPr>
      </w:pPr>
      <w:r w:rsidRPr="000C7050">
        <w:rPr>
          <w:rFonts w:cs="Times-Roman"/>
          <w:sz w:val="24"/>
          <w:szCs w:val="24"/>
        </w:rPr>
        <w:t xml:space="preserve">Department for Education and Employment. 2000. </w:t>
      </w:r>
      <w:r w:rsidR="004F03FC" w:rsidRPr="000C7050">
        <w:rPr>
          <w:rFonts w:cs="Times-Italic"/>
          <w:i/>
          <w:iCs/>
          <w:sz w:val="24"/>
          <w:szCs w:val="24"/>
        </w:rPr>
        <w:t>The excellence challenge.</w:t>
      </w:r>
      <w:r w:rsidRPr="000C7050">
        <w:rPr>
          <w:rFonts w:cs="Times-Italic"/>
          <w:i/>
          <w:iCs/>
          <w:sz w:val="24"/>
          <w:szCs w:val="24"/>
        </w:rPr>
        <w:t xml:space="preserve"> </w:t>
      </w:r>
      <w:r w:rsidRPr="000C7050">
        <w:rPr>
          <w:rFonts w:cs="Times-Roman"/>
          <w:sz w:val="24"/>
          <w:szCs w:val="24"/>
        </w:rPr>
        <w:t>London: DFEE.</w:t>
      </w:r>
    </w:p>
    <w:p w:rsidR="008A0115" w:rsidRPr="000C7050" w:rsidRDefault="00BF5E70" w:rsidP="008A0115">
      <w:pPr>
        <w:pStyle w:val="Default"/>
        <w:spacing w:line="360" w:lineRule="auto"/>
        <w:ind w:left="426" w:hanging="426"/>
        <w:rPr>
          <w:rFonts w:asciiTheme="minorHAnsi" w:hAnsiTheme="minorHAnsi" w:cstheme="minorHAnsi"/>
          <w:color w:val="auto"/>
        </w:rPr>
      </w:pPr>
      <w:r w:rsidRPr="000C7050">
        <w:rPr>
          <w:rFonts w:asciiTheme="minorHAnsi" w:eastAsia="Times New Roman" w:hAnsiTheme="minorHAnsi" w:cstheme="minorHAnsi"/>
          <w:color w:val="auto"/>
        </w:rPr>
        <w:t xml:space="preserve">Diamond, A., L. Bowes, A. Michael, L. Thomas, A. Porter and J. Sheen. 2012.  </w:t>
      </w:r>
      <w:r w:rsidRPr="000C7050">
        <w:rPr>
          <w:rFonts w:asciiTheme="minorHAnsi" w:hAnsiTheme="minorHAnsi" w:cstheme="minorHAnsi"/>
          <w:i/>
          <w:iCs/>
          <w:color w:val="auto"/>
        </w:rPr>
        <w:t xml:space="preserve">Formative </w:t>
      </w:r>
      <w:r w:rsidR="001F7076" w:rsidRPr="000C7050">
        <w:rPr>
          <w:rFonts w:asciiTheme="minorHAnsi" w:hAnsiTheme="minorHAnsi" w:cstheme="minorHAnsi"/>
          <w:i/>
          <w:iCs/>
          <w:color w:val="auto"/>
        </w:rPr>
        <w:t>e</w:t>
      </w:r>
      <w:r w:rsidRPr="000C7050">
        <w:rPr>
          <w:rFonts w:asciiTheme="minorHAnsi" w:hAnsiTheme="minorHAnsi" w:cstheme="minorHAnsi"/>
          <w:i/>
          <w:iCs/>
          <w:color w:val="auto"/>
        </w:rPr>
        <w:t>valuation of the National Scholarship Programme</w:t>
      </w:r>
      <w:r w:rsidRPr="000C7050">
        <w:rPr>
          <w:rFonts w:asciiTheme="minorHAnsi" w:hAnsiTheme="minorHAnsi" w:cstheme="minorHAnsi"/>
          <w:color w:val="auto"/>
        </w:rPr>
        <w:t>.  Leicester: CFE.</w:t>
      </w:r>
    </w:p>
    <w:p w:rsidR="008A0115" w:rsidRPr="000C7050" w:rsidRDefault="008A0115" w:rsidP="008A0115">
      <w:pPr>
        <w:pStyle w:val="Default"/>
        <w:spacing w:line="360" w:lineRule="auto"/>
        <w:ind w:left="426" w:hanging="426"/>
        <w:rPr>
          <w:rFonts w:asciiTheme="minorHAnsi" w:hAnsiTheme="minorHAnsi" w:cstheme="minorHAnsi"/>
          <w:i/>
          <w:color w:val="auto"/>
        </w:rPr>
      </w:pPr>
      <w:r w:rsidRPr="000C7050">
        <w:rPr>
          <w:rFonts w:asciiTheme="minorHAnsi" w:hAnsiTheme="minorHAnsi" w:cstheme="minorHAnsi"/>
          <w:color w:val="auto"/>
        </w:rPr>
        <w:t xml:space="preserve">Grove, J. 2012a. </w:t>
      </w:r>
      <w:r w:rsidRPr="000C7050">
        <w:rPr>
          <w:rFonts w:asciiTheme="minorHAnsi" w:hAnsiTheme="minorHAnsi"/>
          <w:color w:val="auto"/>
        </w:rPr>
        <w:t xml:space="preserve">Affluent neighbours obscure true number of poor put off by fees. </w:t>
      </w:r>
      <w:r w:rsidRPr="000C7050">
        <w:rPr>
          <w:rFonts w:asciiTheme="minorHAnsi" w:hAnsiTheme="minorHAnsi"/>
          <w:i/>
          <w:color w:val="auto"/>
        </w:rPr>
        <w:t>Times Higher Education</w:t>
      </w:r>
      <w:r w:rsidRPr="000C7050">
        <w:rPr>
          <w:rFonts w:asciiTheme="minorHAnsi" w:hAnsiTheme="minorHAnsi"/>
          <w:color w:val="auto"/>
        </w:rPr>
        <w:t>.18</w:t>
      </w:r>
      <w:r w:rsidRPr="000C7050">
        <w:rPr>
          <w:rFonts w:asciiTheme="minorHAnsi" w:hAnsiTheme="minorHAnsi"/>
          <w:color w:val="auto"/>
          <w:vertAlign w:val="superscript"/>
        </w:rPr>
        <w:t>th</w:t>
      </w:r>
      <w:r w:rsidRPr="000C7050">
        <w:rPr>
          <w:rFonts w:asciiTheme="minorHAnsi" w:hAnsiTheme="minorHAnsi"/>
          <w:color w:val="auto"/>
        </w:rPr>
        <w:t xml:space="preserve"> October 2012.</w:t>
      </w:r>
      <w:r w:rsidRPr="000C7050">
        <w:rPr>
          <w:rFonts w:asciiTheme="minorHAnsi" w:hAnsiTheme="minorHAnsi"/>
          <w:i/>
          <w:color w:val="auto"/>
        </w:rPr>
        <w:t xml:space="preserve"> www.timeshighereducation.co.uk/news/affluent-neighbours-obscure-true-number-of-poor-put-off-by-fees/421528.article</w:t>
      </w:r>
      <w:r w:rsidRPr="000C7050">
        <w:rPr>
          <w:rFonts w:asciiTheme="minorHAnsi" w:hAnsiTheme="minorHAnsi" w:cstheme="minorHAnsi"/>
          <w:i/>
          <w:color w:val="auto"/>
        </w:rPr>
        <w:t>.</w:t>
      </w:r>
    </w:p>
    <w:p w:rsidR="00D81BD5" w:rsidRPr="000C7050" w:rsidRDefault="00D81BD5" w:rsidP="003E581D">
      <w:pPr>
        <w:spacing w:line="360" w:lineRule="auto"/>
        <w:ind w:left="426" w:hanging="426"/>
        <w:rPr>
          <w:rFonts w:cstheme="minorHAnsi"/>
          <w:sz w:val="24"/>
          <w:szCs w:val="24"/>
        </w:rPr>
      </w:pPr>
      <w:r w:rsidRPr="000C7050">
        <w:rPr>
          <w:rFonts w:cstheme="minorHAnsi"/>
          <w:sz w:val="24"/>
          <w:szCs w:val="24"/>
        </w:rPr>
        <w:lastRenderedPageBreak/>
        <w:t>Grove, J</w:t>
      </w:r>
      <w:r w:rsidR="00574742" w:rsidRPr="000C7050">
        <w:rPr>
          <w:rFonts w:cstheme="minorHAnsi"/>
          <w:sz w:val="24"/>
          <w:szCs w:val="24"/>
        </w:rPr>
        <w:t>. 2012</w:t>
      </w:r>
      <w:r w:rsidR="008A0115" w:rsidRPr="000C7050">
        <w:rPr>
          <w:rFonts w:cstheme="minorHAnsi"/>
          <w:sz w:val="24"/>
          <w:szCs w:val="24"/>
        </w:rPr>
        <w:t>b</w:t>
      </w:r>
      <w:r w:rsidR="00574742" w:rsidRPr="000C7050">
        <w:rPr>
          <w:rFonts w:cstheme="minorHAnsi"/>
          <w:sz w:val="24"/>
          <w:szCs w:val="24"/>
        </w:rPr>
        <w:t>.</w:t>
      </w:r>
      <w:r w:rsidRPr="000C7050">
        <w:rPr>
          <w:rFonts w:cstheme="minorHAnsi"/>
          <w:sz w:val="24"/>
          <w:szCs w:val="24"/>
        </w:rPr>
        <w:t xml:space="preserve"> Access is still a game wh</w:t>
      </w:r>
      <w:r w:rsidR="00574742" w:rsidRPr="000C7050">
        <w:rPr>
          <w:rFonts w:cstheme="minorHAnsi"/>
          <w:sz w:val="24"/>
          <w:szCs w:val="24"/>
        </w:rPr>
        <w:t>ere post-92s beat Russell Group.</w:t>
      </w:r>
      <w:r w:rsidRPr="000C7050">
        <w:rPr>
          <w:rFonts w:cstheme="minorHAnsi"/>
          <w:sz w:val="24"/>
          <w:szCs w:val="24"/>
        </w:rPr>
        <w:t xml:space="preserve"> </w:t>
      </w:r>
      <w:r w:rsidRPr="000C7050">
        <w:rPr>
          <w:rFonts w:cstheme="minorHAnsi"/>
          <w:i/>
          <w:sz w:val="24"/>
          <w:szCs w:val="24"/>
        </w:rPr>
        <w:t>Times Higher Education</w:t>
      </w:r>
      <w:r w:rsidR="00574742" w:rsidRPr="000C7050">
        <w:rPr>
          <w:rFonts w:cstheme="minorHAnsi"/>
          <w:sz w:val="24"/>
          <w:szCs w:val="24"/>
        </w:rPr>
        <w:t>. 4</w:t>
      </w:r>
      <w:r w:rsidR="00574742" w:rsidRPr="000C7050">
        <w:rPr>
          <w:rFonts w:cstheme="minorHAnsi"/>
          <w:sz w:val="24"/>
          <w:szCs w:val="24"/>
          <w:vertAlign w:val="superscript"/>
        </w:rPr>
        <w:t>th</w:t>
      </w:r>
      <w:r w:rsidR="00574742" w:rsidRPr="000C7050">
        <w:rPr>
          <w:rFonts w:cstheme="minorHAnsi"/>
          <w:sz w:val="24"/>
          <w:szCs w:val="24"/>
        </w:rPr>
        <w:t xml:space="preserve"> July 2012. </w:t>
      </w:r>
      <w:r w:rsidRPr="000C7050">
        <w:rPr>
          <w:rFonts w:cstheme="minorHAnsi"/>
          <w:sz w:val="24"/>
          <w:szCs w:val="24"/>
        </w:rPr>
        <w:t>www.timeshighereducation.co.uk/story.asp?sectioncode=26&amp;storycode=420464&amp;c=1</w:t>
      </w:r>
    </w:p>
    <w:p w:rsidR="00AC4864" w:rsidRPr="000C7050" w:rsidRDefault="00AC4864" w:rsidP="003E581D">
      <w:pPr>
        <w:autoSpaceDE w:val="0"/>
        <w:autoSpaceDN w:val="0"/>
        <w:adjustRightInd w:val="0"/>
        <w:spacing w:line="360" w:lineRule="auto"/>
        <w:ind w:left="426" w:hanging="426"/>
        <w:rPr>
          <w:sz w:val="24"/>
          <w:szCs w:val="24"/>
        </w:rPr>
      </w:pPr>
      <w:r w:rsidRPr="000C7050">
        <w:rPr>
          <w:rFonts w:cs="Arial"/>
          <w:sz w:val="24"/>
          <w:szCs w:val="24"/>
        </w:rPr>
        <w:t xml:space="preserve">Harrison, N.  2011.  </w:t>
      </w:r>
      <w:r w:rsidRPr="000C7050">
        <w:rPr>
          <w:sz w:val="24"/>
          <w:szCs w:val="24"/>
        </w:rPr>
        <w:t>Have the changes introduced by the 2004 Higher Education Act made higher education admissions in England wider and fairer?</w:t>
      </w:r>
      <w:r w:rsidRPr="000C7050">
        <w:rPr>
          <w:b/>
          <w:sz w:val="24"/>
          <w:szCs w:val="24"/>
        </w:rPr>
        <w:t xml:space="preserve">  </w:t>
      </w:r>
      <w:r w:rsidRPr="000C7050">
        <w:rPr>
          <w:i/>
          <w:sz w:val="24"/>
          <w:szCs w:val="24"/>
        </w:rPr>
        <w:t>Journal of Education Policy</w:t>
      </w:r>
      <w:r w:rsidR="00574742" w:rsidRPr="000C7050">
        <w:rPr>
          <w:sz w:val="24"/>
          <w:szCs w:val="24"/>
        </w:rPr>
        <w:t xml:space="preserve"> 26</w:t>
      </w:r>
      <w:r w:rsidR="00C923B0" w:rsidRPr="000C7050">
        <w:rPr>
          <w:sz w:val="24"/>
          <w:szCs w:val="24"/>
        </w:rPr>
        <w:t>, no. 3</w:t>
      </w:r>
      <w:r w:rsidRPr="000C7050">
        <w:rPr>
          <w:sz w:val="24"/>
          <w:szCs w:val="24"/>
        </w:rPr>
        <w:t>: 449-468.</w:t>
      </w:r>
    </w:p>
    <w:p w:rsidR="00AC4864" w:rsidRPr="000C7050" w:rsidRDefault="00C923B0" w:rsidP="003E581D">
      <w:pPr>
        <w:autoSpaceDE w:val="0"/>
        <w:autoSpaceDN w:val="0"/>
        <w:adjustRightInd w:val="0"/>
        <w:spacing w:line="360" w:lineRule="auto"/>
        <w:ind w:left="426" w:hanging="426"/>
        <w:rPr>
          <w:bCs/>
          <w:sz w:val="24"/>
          <w:szCs w:val="24"/>
        </w:rPr>
      </w:pPr>
      <w:r w:rsidRPr="000C7050">
        <w:rPr>
          <w:sz w:val="24"/>
          <w:szCs w:val="24"/>
        </w:rPr>
        <w:t>Harrison, N.  2012.</w:t>
      </w:r>
      <w:r w:rsidR="00AC4864" w:rsidRPr="000C7050">
        <w:rPr>
          <w:sz w:val="24"/>
          <w:szCs w:val="24"/>
        </w:rPr>
        <w:t xml:space="preserve"> </w:t>
      </w:r>
      <w:r w:rsidR="00AC4864" w:rsidRPr="000C7050">
        <w:rPr>
          <w:bCs/>
          <w:sz w:val="24"/>
          <w:szCs w:val="24"/>
        </w:rPr>
        <w:t xml:space="preserve">The </w:t>
      </w:r>
      <w:proofErr w:type="spellStart"/>
      <w:r w:rsidR="00AC4864" w:rsidRPr="000C7050">
        <w:rPr>
          <w:bCs/>
          <w:sz w:val="24"/>
          <w:szCs w:val="24"/>
        </w:rPr>
        <w:t>mismeasure</w:t>
      </w:r>
      <w:proofErr w:type="spellEnd"/>
      <w:r w:rsidR="00AC4864" w:rsidRPr="000C7050">
        <w:rPr>
          <w:bCs/>
          <w:sz w:val="24"/>
          <w:szCs w:val="24"/>
        </w:rPr>
        <w:t xml:space="preserve"> of participation: how choosing the ‘wrong’ statistic helped seal the fat</w:t>
      </w:r>
      <w:r w:rsidRPr="000C7050">
        <w:rPr>
          <w:bCs/>
          <w:sz w:val="24"/>
          <w:szCs w:val="24"/>
        </w:rPr>
        <w:t>e of Aimhigher.</w:t>
      </w:r>
      <w:r w:rsidR="00AC4864" w:rsidRPr="000C7050">
        <w:rPr>
          <w:bCs/>
          <w:sz w:val="24"/>
          <w:szCs w:val="24"/>
        </w:rPr>
        <w:t xml:space="preserve"> </w:t>
      </w:r>
      <w:r w:rsidR="00AC4864" w:rsidRPr="000C7050">
        <w:rPr>
          <w:bCs/>
          <w:i/>
          <w:sz w:val="24"/>
          <w:szCs w:val="24"/>
        </w:rPr>
        <w:t xml:space="preserve">Higher Education Review </w:t>
      </w:r>
      <w:r w:rsidRPr="000C7050">
        <w:rPr>
          <w:bCs/>
          <w:sz w:val="24"/>
          <w:szCs w:val="24"/>
        </w:rPr>
        <w:t>45, no. 1</w:t>
      </w:r>
      <w:r w:rsidR="00AC4864" w:rsidRPr="000C7050">
        <w:rPr>
          <w:bCs/>
          <w:sz w:val="24"/>
          <w:szCs w:val="24"/>
        </w:rPr>
        <w:t>: 30-61.</w:t>
      </w:r>
    </w:p>
    <w:p w:rsidR="00464AE1" w:rsidRPr="000C7050" w:rsidRDefault="00464AE1" w:rsidP="003E581D">
      <w:pPr>
        <w:autoSpaceDE w:val="0"/>
        <w:autoSpaceDN w:val="0"/>
        <w:adjustRightInd w:val="0"/>
        <w:spacing w:line="360" w:lineRule="auto"/>
        <w:ind w:left="426" w:hanging="426"/>
        <w:rPr>
          <w:sz w:val="24"/>
          <w:szCs w:val="24"/>
        </w:rPr>
      </w:pPr>
      <w:r w:rsidRPr="000C7050">
        <w:rPr>
          <w:rFonts w:cs="Arial"/>
          <w:sz w:val="24"/>
          <w:szCs w:val="24"/>
        </w:rPr>
        <w:t xml:space="preserve">Harrison, N. and </w:t>
      </w:r>
      <w:r w:rsidR="00C923B0" w:rsidRPr="000C7050">
        <w:rPr>
          <w:rFonts w:cs="Arial"/>
          <w:sz w:val="24"/>
          <w:szCs w:val="24"/>
        </w:rPr>
        <w:t>S. Hatt. 2009.</w:t>
      </w:r>
      <w:r w:rsidRPr="000C7050">
        <w:rPr>
          <w:rFonts w:cs="Arial"/>
          <w:sz w:val="24"/>
          <w:szCs w:val="24"/>
        </w:rPr>
        <w:t xml:space="preserve"> </w:t>
      </w:r>
      <w:r w:rsidR="00C923B0" w:rsidRPr="000C7050">
        <w:rPr>
          <w:sz w:val="24"/>
          <w:szCs w:val="24"/>
        </w:rPr>
        <w:t>‘</w:t>
      </w:r>
      <w:r w:rsidRPr="000C7050">
        <w:rPr>
          <w:sz w:val="24"/>
          <w:szCs w:val="24"/>
        </w:rPr>
        <w:t>T</w:t>
      </w:r>
      <w:r w:rsidR="00C923B0" w:rsidRPr="000C7050">
        <w:rPr>
          <w:sz w:val="24"/>
          <w:szCs w:val="24"/>
        </w:rPr>
        <w:t>argeting disadvantaged learners’</w:t>
      </w:r>
      <w:r w:rsidRPr="000C7050">
        <w:rPr>
          <w:sz w:val="24"/>
          <w:szCs w:val="24"/>
        </w:rPr>
        <w:t>: will we really narrow the social class gap in participation by targeting our m</w:t>
      </w:r>
      <w:r w:rsidR="00C923B0" w:rsidRPr="000C7050">
        <w:rPr>
          <w:sz w:val="24"/>
          <w:szCs w:val="24"/>
        </w:rPr>
        <w:t>ost deprived communities first?</w:t>
      </w:r>
      <w:r w:rsidRPr="000C7050">
        <w:rPr>
          <w:sz w:val="24"/>
          <w:szCs w:val="24"/>
        </w:rPr>
        <w:t xml:space="preserve"> </w:t>
      </w:r>
      <w:r w:rsidRPr="000C7050">
        <w:rPr>
          <w:i/>
          <w:sz w:val="24"/>
          <w:szCs w:val="24"/>
        </w:rPr>
        <w:t>Journal of Access Policy and Practice</w:t>
      </w:r>
      <w:r w:rsidRPr="000C7050">
        <w:rPr>
          <w:sz w:val="24"/>
          <w:szCs w:val="24"/>
        </w:rPr>
        <w:t xml:space="preserve"> 6, </w:t>
      </w:r>
      <w:r w:rsidR="00C923B0" w:rsidRPr="000C7050">
        <w:rPr>
          <w:sz w:val="24"/>
          <w:szCs w:val="24"/>
        </w:rPr>
        <w:t xml:space="preserve">no. </w:t>
      </w:r>
      <w:r w:rsidRPr="000C7050">
        <w:rPr>
          <w:sz w:val="24"/>
          <w:szCs w:val="24"/>
        </w:rPr>
        <w:t>2: 61-80.</w:t>
      </w:r>
    </w:p>
    <w:p w:rsidR="00E02690" w:rsidRPr="000C7050" w:rsidRDefault="00E02690" w:rsidP="003E581D">
      <w:pPr>
        <w:autoSpaceDE w:val="0"/>
        <w:autoSpaceDN w:val="0"/>
        <w:adjustRightInd w:val="0"/>
        <w:spacing w:line="360" w:lineRule="auto"/>
        <w:ind w:left="426" w:hanging="426"/>
        <w:rPr>
          <w:sz w:val="24"/>
          <w:szCs w:val="24"/>
        </w:rPr>
      </w:pPr>
      <w:r w:rsidRPr="000C7050">
        <w:rPr>
          <w:sz w:val="24"/>
          <w:szCs w:val="24"/>
        </w:rPr>
        <w:t xml:space="preserve">Harrison, N. and </w:t>
      </w:r>
      <w:r w:rsidR="00C923B0" w:rsidRPr="000C7050">
        <w:rPr>
          <w:sz w:val="24"/>
          <w:szCs w:val="24"/>
        </w:rPr>
        <w:t>S. Hatt. 2010a. ‘</w:t>
      </w:r>
      <w:r w:rsidRPr="000C7050">
        <w:rPr>
          <w:sz w:val="24"/>
          <w:szCs w:val="24"/>
        </w:rPr>
        <w:t>Disadvantaged learners</w:t>
      </w:r>
      <w:r w:rsidR="00C923B0" w:rsidRPr="000C7050">
        <w:rPr>
          <w:sz w:val="24"/>
          <w:szCs w:val="24"/>
        </w:rPr>
        <w:t>’</w:t>
      </w:r>
      <w:r w:rsidRPr="000C7050">
        <w:rPr>
          <w:sz w:val="24"/>
          <w:szCs w:val="24"/>
        </w:rPr>
        <w:t>: who are we targeting?  Understanding the targeting of widening participation activity using geo-demograp</w:t>
      </w:r>
      <w:r w:rsidR="00C923B0" w:rsidRPr="000C7050">
        <w:rPr>
          <w:sz w:val="24"/>
          <w:szCs w:val="24"/>
        </w:rPr>
        <w:t>hic data from Southwest England.</w:t>
      </w:r>
      <w:r w:rsidRPr="000C7050">
        <w:rPr>
          <w:sz w:val="24"/>
          <w:szCs w:val="24"/>
        </w:rPr>
        <w:t xml:space="preserve"> </w:t>
      </w:r>
      <w:r w:rsidRPr="000C7050">
        <w:rPr>
          <w:i/>
          <w:sz w:val="24"/>
          <w:szCs w:val="24"/>
        </w:rPr>
        <w:t>Higher Education Quarterly</w:t>
      </w:r>
      <w:r w:rsidRPr="000C7050">
        <w:rPr>
          <w:sz w:val="24"/>
          <w:szCs w:val="24"/>
        </w:rPr>
        <w:t xml:space="preserve"> 64, </w:t>
      </w:r>
      <w:r w:rsidR="00C923B0" w:rsidRPr="000C7050">
        <w:rPr>
          <w:sz w:val="24"/>
          <w:szCs w:val="24"/>
        </w:rPr>
        <w:t xml:space="preserve">no. </w:t>
      </w:r>
      <w:r w:rsidRPr="000C7050">
        <w:rPr>
          <w:sz w:val="24"/>
          <w:szCs w:val="24"/>
        </w:rPr>
        <w:t>1: 65-88.</w:t>
      </w:r>
    </w:p>
    <w:p w:rsidR="00464AE1" w:rsidRPr="000C7050" w:rsidRDefault="00464AE1" w:rsidP="003E581D">
      <w:pPr>
        <w:autoSpaceDE w:val="0"/>
        <w:autoSpaceDN w:val="0"/>
        <w:adjustRightInd w:val="0"/>
        <w:spacing w:line="360" w:lineRule="auto"/>
        <w:ind w:left="426" w:hanging="426"/>
        <w:rPr>
          <w:rFonts w:cs="Arial"/>
          <w:bCs/>
          <w:sz w:val="24"/>
          <w:szCs w:val="24"/>
        </w:rPr>
      </w:pPr>
      <w:r w:rsidRPr="000C7050">
        <w:rPr>
          <w:sz w:val="24"/>
          <w:szCs w:val="24"/>
        </w:rPr>
        <w:t xml:space="preserve">Harrison, N. and </w:t>
      </w:r>
      <w:r w:rsidR="00C923B0" w:rsidRPr="000C7050">
        <w:rPr>
          <w:sz w:val="24"/>
          <w:szCs w:val="24"/>
        </w:rPr>
        <w:t xml:space="preserve">S. Hatt. </w:t>
      </w:r>
      <w:r w:rsidRPr="000C7050">
        <w:rPr>
          <w:sz w:val="24"/>
          <w:szCs w:val="24"/>
        </w:rPr>
        <w:t>2010</w:t>
      </w:r>
      <w:r w:rsidR="00E02690" w:rsidRPr="000C7050">
        <w:rPr>
          <w:sz w:val="24"/>
          <w:szCs w:val="24"/>
        </w:rPr>
        <w:t>b</w:t>
      </w:r>
      <w:r w:rsidR="00C923B0" w:rsidRPr="000C7050">
        <w:rPr>
          <w:sz w:val="24"/>
          <w:szCs w:val="24"/>
        </w:rPr>
        <w:t>.</w:t>
      </w:r>
      <w:r w:rsidRPr="000C7050">
        <w:rPr>
          <w:sz w:val="24"/>
          <w:szCs w:val="24"/>
        </w:rPr>
        <w:t xml:space="preserve"> </w:t>
      </w:r>
      <w:r w:rsidRPr="000C7050">
        <w:rPr>
          <w:rFonts w:cs="Arial"/>
          <w:bCs/>
          <w:sz w:val="24"/>
          <w:szCs w:val="24"/>
        </w:rPr>
        <w:t>Knowing the ‘unknowns’: investigating the students whose social class is not kno</w:t>
      </w:r>
      <w:r w:rsidR="00C923B0" w:rsidRPr="000C7050">
        <w:rPr>
          <w:rFonts w:cs="Arial"/>
          <w:bCs/>
          <w:sz w:val="24"/>
          <w:szCs w:val="24"/>
        </w:rPr>
        <w:t>wn at entry to higher education.</w:t>
      </w:r>
      <w:r w:rsidRPr="000C7050">
        <w:rPr>
          <w:rFonts w:cs="Arial"/>
          <w:bCs/>
          <w:sz w:val="24"/>
          <w:szCs w:val="24"/>
        </w:rPr>
        <w:t xml:space="preserve"> </w:t>
      </w:r>
      <w:r w:rsidRPr="000C7050">
        <w:rPr>
          <w:rFonts w:cs="Arial"/>
          <w:bCs/>
          <w:i/>
          <w:sz w:val="24"/>
          <w:szCs w:val="24"/>
        </w:rPr>
        <w:t>Journal of Further and Higher Education</w:t>
      </w:r>
      <w:r w:rsidRPr="000C7050">
        <w:rPr>
          <w:rFonts w:cs="Arial"/>
          <w:bCs/>
          <w:sz w:val="24"/>
          <w:szCs w:val="24"/>
        </w:rPr>
        <w:t xml:space="preserve"> 33, </w:t>
      </w:r>
      <w:r w:rsidR="00C923B0" w:rsidRPr="000C7050">
        <w:rPr>
          <w:rFonts w:cs="Arial"/>
          <w:bCs/>
          <w:sz w:val="24"/>
          <w:szCs w:val="24"/>
        </w:rPr>
        <w:t xml:space="preserve">no. </w:t>
      </w:r>
      <w:r w:rsidRPr="000C7050">
        <w:rPr>
          <w:rFonts w:cs="Arial"/>
          <w:bCs/>
          <w:sz w:val="24"/>
          <w:szCs w:val="24"/>
        </w:rPr>
        <w:t>4: 347-357.</w:t>
      </w:r>
    </w:p>
    <w:p w:rsidR="00837F6D" w:rsidRPr="000C7050" w:rsidRDefault="00C923B0" w:rsidP="00837F6D">
      <w:pPr>
        <w:pStyle w:val="Default"/>
        <w:spacing w:line="360" w:lineRule="auto"/>
        <w:ind w:left="426" w:hanging="426"/>
        <w:rPr>
          <w:rFonts w:asciiTheme="minorHAnsi" w:hAnsiTheme="minorHAnsi"/>
          <w:color w:val="auto"/>
        </w:rPr>
      </w:pPr>
      <w:r w:rsidRPr="000C7050">
        <w:rPr>
          <w:rFonts w:asciiTheme="minorHAnsi" w:hAnsiTheme="minorHAnsi"/>
          <w:bCs/>
          <w:color w:val="auto"/>
        </w:rPr>
        <w:t>Harrison, N. and</w:t>
      </w:r>
      <w:r w:rsidR="00AC4864" w:rsidRPr="000C7050">
        <w:rPr>
          <w:rFonts w:asciiTheme="minorHAnsi" w:hAnsiTheme="minorHAnsi"/>
          <w:bCs/>
          <w:color w:val="auto"/>
        </w:rPr>
        <w:t xml:space="preserve"> S. Hatt.  2012.  </w:t>
      </w:r>
      <w:r w:rsidR="00AC4864" w:rsidRPr="000C7050">
        <w:rPr>
          <w:rFonts w:asciiTheme="minorHAnsi" w:hAnsiTheme="minorHAnsi"/>
          <w:color w:val="auto"/>
        </w:rPr>
        <w:t xml:space="preserve">Expensive and failing? The role of student bursaries in widening participation and fair access in England.  </w:t>
      </w:r>
      <w:r w:rsidR="00AC4864" w:rsidRPr="000C7050">
        <w:rPr>
          <w:rFonts w:asciiTheme="minorHAnsi" w:hAnsiTheme="minorHAnsi"/>
          <w:i/>
          <w:color w:val="auto"/>
        </w:rPr>
        <w:t xml:space="preserve">Studies in Higher Education </w:t>
      </w:r>
      <w:r w:rsidR="00AC4864" w:rsidRPr="000C7050">
        <w:rPr>
          <w:rFonts w:asciiTheme="minorHAnsi" w:hAnsiTheme="minorHAnsi"/>
          <w:color w:val="auto"/>
        </w:rPr>
        <w:t>37</w:t>
      </w:r>
      <w:r w:rsidRPr="000C7050">
        <w:rPr>
          <w:rFonts w:asciiTheme="minorHAnsi" w:hAnsiTheme="minorHAnsi"/>
          <w:color w:val="auto"/>
        </w:rPr>
        <w:t>, no. 6</w:t>
      </w:r>
      <w:r w:rsidR="00AC4864" w:rsidRPr="000C7050">
        <w:rPr>
          <w:rFonts w:asciiTheme="minorHAnsi" w:hAnsiTheme="minorHAnsi"/>
          <w:color w:val="auto"/>
        </w:rPr>
        <w:t>: 695-712.</w:t>
      </w:r>
    </w:p>
    <w:p w:rsidR="00837F6D" w:rsidRPr="000C7050" w:rsidRDefault="00837F6D" w:rsidP="00837F6D">
      <w:pPr>
        <w:pStyle w:val="Default"/>
        <w:spacing w:line="360" w:lineRule="auto"/>
        <w:ind w:left="426" w:hanging="426"/>
        <w:rPr>
          <w:rFonts w:asciiTheme="minorHAnsi" w:hAnsiTheme="minorHAnsi"/>
          <w:color w:val="auto"/>
        </w:rPr>
      </w:pPr>
      <w:r w:rsidRPr="000C7050">
        <w:rPr>
          <w:rFonts w:asciiTheme="minorHAnsi" w:hAnsiTheme="minorHAnsi"/>
          <w:color w:val="auto"/>
        </w:rPr>
        <w:t xml:space="preserve">Hatt, S., A. Baxter and N. Harrison.  2003.  The new widening participation students: moral imperative or academic risk?  </w:t>
      </w:r>
      <w:r w:rsidRPr="000C7050">
        <w:rPr>
          <w:rFonts w:asciiTheme="minorHAnsi" w:hAnsiTheme="minorHAnsi"/>
          <w:i/>
          <w:color w:val="auto"/>
        </w:rPr>
        <w:t>Journal of Access Policy and Practice</w:t>
      </w:r>
      <w:r w:rsidRPr="000C7050">
        <w:rPr>
          <w:rFonts w:asciiTheme="minorHAnsi" w:hAnsiTheme="minorHAnsi"/>
          <w:color w:val="auto"/>
        </w:rPr>
        <w:t xml:space="preserve"> 1, no. 1: 16-31.</w:t>
      </w:r>
    </w:p>
    <w:p w:rsidR="00AE4275" w:rsidRPr="000C7050" w:rsidRDefault="00AE4275" w:rsidP="003E581D">
      <w:pPr>
        <w:spacing w:line="360" w:lineRule="auto"/>
        <w:ind w:left="426" w:hanging="426"/>
        <w:rPr>
          <w:sz w:val="24"/>
          <w:szCs w:val="24"/>
        </w:rPr>
      </w:pPr>
      <w:r w:rsidRPr="000C7050">
        <w:rPr>
          <w:sz w:val="24"/>
          <w:szCs w:val="24"/>
        </w:rPr>
        <w:t xml:space="preserve">Hatt, S., </w:t>
      </w:r>
      <w:r w:rsidR="00C923B0" w:rsidRPr="000C7050">
        <w:rPr>
          <w:sz w:val="24"/>
          <w:szCs w:val="24"/>
        </w:rPr>
        <w:t xml:space="preserve">A. Baxter, </w:t>
      </w:r>
      <w:r w:rsidRPr="000C7050">
        <w:rPr>
          <w:sz w:val="24"/>
          <w:szCs w:val="24"/>
        </w:rPr>
        <w:t xml:space="preserve">and </w:t>
      </w:r>
      <w:r w:rsidR="00C923B0" w:rsidRPr="000C7050">
        <w:rPr>
          <w:sz w:val="24"/>
          <w:szCs w:val="24"/>
        </w:rPr>
        <w:t xml:space="preserve">J. </w:t>
      </w:r>
      <w:r w:rsidRPr="000C7050">
        <w:rPr>
          <w:sz w:val="24"/>
          <w:szCs w:val="24"/>
        </w:rPr>
        <w:t>Tate</w:t>
      </w:r>
      <w:r w:rsidR="00C923B0" w:rsidRPr="000C7050">
        <w:rPr>
          <w:sz w:val="24"/>
          <w:szCs w:val="24"/>
        </w:rPr>
        <w:t>. 2005.</w:t>
      </w:r>
      <w:r w:rsidRPr="000C7050">
        <w:rPr>
          <w:sz w:val="24"/>
          <w:szCs w:val="24"/>
        </w:rPr>
        <w:t xml:space="preserve"> Who benefits from widening participation? A study of targeting in the Sout</w:t>
      </w:r>
      <w:r w:rsidR="00C923B0" w:rsidRPr="000C7050">
        <w:rPr>
          <w:sz w:val="24"/>
          <w:szCs w:val="24"/>
        </w:rPr>
        <w:t>h West of England.</w:t>
      </w:r>
      <w:r w:rsidRPr="000C7050">
        <w:rPr>
          <w:sz w:val="24"/>
          <w:szCs w:val="24"/>
        </w:rPr>
        <w:t xml:space="preserve"> </w:t>
      </w:r>
      <w:r w:rsidRPr="000C7050">
        <w:rPr>
          <w:i/>
          <w:sz w:val="24"/>
          <w:szCs w:val="24"/>
        </w:rPr>
        <w:t>Journal of Further and Higher Education</w:t>
      </w:r>
      <w:r w:rsidRPr="000C7050">
        <w:rPr>
          <w:sz w:val="24"/>
          <w:szCs w:val="24"/>
        </w:rPr>
        <w:t xml:space="preserve"> 29, </w:t>
      </w:r>
      <w:r w:rsidR="00C923B0" w:rsidRPr="000C7050">
        <w:rPr>
          <w:sz w:val="24"/>
          <w:szCs w:val="24"/>
        </w:rPr>
        <w:t xml:space="preserve">no. </w:t>
      </w:r>
      <w:r w:rsidRPr="000C7050">
        <w:rPr>
          <w:sz w:val="24"/>
          <w:szCs w:val="24"/>
        </w:rPr>
        <w:t>4: 341-351.</w:t>
      </w:r>
    </w:p>
    <w:p w:rsidR="00506901" w:rsidRPr="000C7050" w:rsidRDefault="00506901" w:rsidP="003E581D">
      <w:pPr>
        <w:spacing w:line="360" w:lineRule="auto"/>
        <w:ind w:left="426" w:hanging="426"/>
        <w:rPr>
          <w:sz w:val="24"/>
          <w:szCs w:val="24"/>
        </w:rPr>
      </w:pPr>
      <w:r w:rsidRPr="000C7050">
        <w:rPr>
          <w:sz w:val="24"/>
          <w:szCs w:val="24"/>
        </w:rPr>
        <w:t>Higher Education Funding Council for England</w:t>
      </w:r>
      <w:r w:rsidR="00C923B0" w:rsidRPr="000C7050">
        <w:rPr>
          <w:sz w:val="24"/>
          <w:szCs w:val="24"/>
        </w:rPr>
        <w:t>. 2004.</w:t>
      </w:r>
      <w:r w:rsidRPr="000C7050">
        <w:rPr>
          <w:sz w:val="24"/>
          <w:szCs w:val="24"/>
        </w:rPr>
        <w:t xml:space="preserve"> </w:t>
      </w:r>
      <w:r w:rsidRPr="000C7050">
        <w:rPr>
          <w:i/>
          <w:iCs/>
          <w:sz w:val="24"/>
          <w:szCs w:val="24"/>
        </w:rPr>
        <w:t>Aimhigher: guidance notes for integration</w:t>
      </w:r>
      <w:r w:rsidR="00C923B0" w:rsidRPr="000C7050">
        <w:rPr>
          <w:sz w:val="24"/>
          <w:szCs w:val="24"/>
        </w:rPr>
        <w:t xml:space="preserve"> (Report 2004/08).</w:t>
      </w:r>
      <w:r w:rsidRPr="000C7050">
        <w:rPr>
          <w:sz w:val="24"/>
          <w:szCs w:val="24"/>
        </w:rPr>
        <w:t xml:space="preserve"> Bristol: HEFCE.</w:t>
      </w:r>
    </w:p>
    <w:p w:rsidR="00506901" w:rsidRPr="000C7050" w:rsidRDefault="008B69B0" w:rsidP="003E581D">
      <w:pPr>
        <w:autoSpaceDE w:val="0"/>
        <w:autoSpaceDN w:val="0"/>
        <w:adjustRightInd w:val="0"/>
        <w:spacing w:line="360" w:lineRule="auto"/>
        <w:ind w:left="426" w:hanging="426"/>
        <w:rPr>
          <w:sz w:val="24"/>
          <w:szCs w:val="24"/>
        </w:rPr>
      </w:pPr>
      <w:r w:rsidRPr="000C7050">
        <w:rPr>
          <w:rFonts w:cs="Arial"/>
          <w:bCs/>
          <w:sz w:val="24"/>
          <w:szCs w:val="24"/>
        </w:rPr>
        <w:t>Higher Education Funding Council for England.  2005</w:t>
      </w:r>
      <w:r w:rsidRPr="000C7050">
        <w:rPr>
          <w:rFonts w:cs="Arial"/>
          <w:bCs/>
          <w:i/>
          <w:iCs/>
          <w:sz w:val="24"/>
          <w:szCs w:val="24"/>
        </w:rPr>
        <w:t>. Young participation in higher education</w:t>
      </w:r>
      <w:r w:rsidR="00C923B0" w:rsidRPr="000C7050">
        <w:rPr>
          <w:rFonts w:cs="Arial"/>
          <w:bCs/>
          <w:sz w:val="24"/>
          <w:szCs w:val="24"/>
        </w:rPr>
        <w:t xml:space="preserve"> (Report 2005/03).</w:t>
      </w:r>
      <w:r w:rsidRPr="000C7050">
        <w:rPr>
          <w:rFonts w:cs="Arial"/>
          <w:bCs/>
          <w:sz w:val="24"/>
          <w:szCs w:val="24"/>
        </w:rPr>
        <w:t xml:space="preserve"> Bristol: HEFCE.</w:t>
      </w:r>
    </w:p>
    <w:p w:rsidR="00506901" w:rsidRPr="000C7050" w:rsidRDefault="00506901" w:rsidP="003E581D">
      <w:pPr>
        <w:autoSpaceDE w:val="0"/>
        <w:autoSpaceDN w:val="0"/>
        <w:adjustRightInd w:val="0"/>
        <w:spacing w:line="360" w:lineRule="auto"/>
        <w:ind w:left="426" w:hanging="426"/>
        <w:rPr>
          <w:sz w:val="24"/>
          <w:szCs w:val="24"/>
        </w:rPr>
      </w:pPr>
      <w:r w:rsidRPr="000C7050">
        <w:rPr>
          <w:rFonts w:eastAsia="Times New Roman" w:cstheme="minorHAnsi"/>
          <w:sz w:val="24"/>
          <w:szCs w:val="24"/>
        </w:rPr>
        <w:t>Higher Education Funding Council for England. 2007</w:t>
      </w:r>
      <w:r w:rsidR="00C923B0" w:rsidRPr="000C7050">
        <w:rPr>
          <w:rFonts w:eastAsia="Times New Roman" w:cstheme="minorHAnsi"/>
          <w:sz w:val="24"/>
          <w:szCs w:val="24"/>
        </w:rPr>
        <w:t>a</w:t>
      </w:r>
      <w:r w:rsidRPr="000C7050">
        <w:rPr>
          <w:rFonts w:eastAsia="Times New Roman" w:cstheme="minorHAnsi"/>
          <w:sz w:val="24"/>
          <w:szCs w:val="24"/>
        </w:rPr>
        <w:t xml:space="preserve">. </w:t>
      </w:r>
      <w:r w:rsidRPr="000C7050">
        <w:rPr>
          <w:rFonts w:eastAsia="Times New Roman" w:cstheme="minorHAnsi"/>
          <w:i/>
          <w:sz w:val="24"/>
          <w:szCs w:val="24"/>
        </w:rPr>
        <w:t>Updated young participation area classification (POLAR2)</w:t>
      </w:r>
      <w:r w:rsidRPr="000C7050">
        <w:rPr>
          <w:rFonts w:eastAsia="Times New Roman" w:cstheme="minorHAnsi"/>
          <w:sz w:val="24"/>
          <w:szCs w:val="24"/>
        </w:rPr>
        <w:t xml:space="preserve"> website.  webarchive.nationalarchives.gov.uk/20120118171947/http://www.hefce.ac.uk/widen/polar/polar2.  Last accessed 3</w:t>
      </w:r>
      <w:r w:rsidRPr="000C7050">
        <w:rPr>
          <w:rFonts w:eastAsia="Times New Roman" w:cstheme="minorHAnsi"/>
          <w:sz w:val="24"/>
          <w:szCs w:val="24"/>
          <w:vertAlign w:val="superscript"/>
        </w:rPr>
        <w:t>rd</w:t>
      </w:r>
      <w:r w:rsidRPr="000C7050">
        <w:rPr>
          <w:rFonts w:eastAsia="Times New Roman" w:cstheme="minorHAnsi"/>
          <w:sz w:val="24"/>
          <w:szCs w:val="24"/>
        </w:rPr>
        <w:t xml:space="preserve"> May 2013.</w:t>
      </w:r>
    </w:p>
    <w:p w:rsidR="00EC4B22" w:rsidRPr="000C7050" w:rsidRDefault="00C923B0" w:rsidP="003E581D">
      <w:pPr>
        <w:spacing w:line="360" w:lineRule="auto"/>
        <w:ind w:left="426" w:hanging="426"/>
        <w:rPr>
          <w:rFonts w:eastAsia="Times New Roman" w:cstheme="minorHAnsi"/>
          <w:sz w:val="24"/>
          <w:szCs w:val="24"/>
        </w:rPr>
      </w:pPr>
      <w:r w:rsidRPr="000C7050">
        <w:rPr>
          <w:rFonts w:eastAsia="Times New Roman" w:cstheme="minorHAnsi"/>
          <w:sz w:val="24"/>
          <w:szCs w:val="24"/>
        </w:rPr>
        <w:lastRenderedPageBreak/>
        <w:t xml:space="preserve">Higher Education Funding Council for England. 2007b. </w:t>
      </w:r>
      <w:r w:rsidR="00EC4B22" w:rsidRPr="000C7050">
        <w:rPr>
          <w:rFonts w:eastAsia="Times New Roman" w:cstheme="minorHAnsi"/>
          <w:i/>
          <w:iCs/>
          <w:sz w:val="24"/>
          <w:szCs w:val="24"/>
        </w:rPr>
        <w:t>Higher education outreach: targeting disadvantaged learners</w:t>
      </w:r>
      <w:r w:rsidRPr="000C7050">
        <w:rPr>
          <w:rFonts w:eastAsia="Times New Roman" w:cstheme="minorHAnsi"/>
          <w:sz w:val="24"/>
          <w:szCs w:val="24"/>
        </w:rPr>
        <w:t xml:space="preserve"> (Report </w:t>
      </w:r>
      <w:r w:rsidR="00516FC6" w:rsidRPr="000C7050">
        <w:rPr>
          <w:rFonts w:eastAsia="Times New Roman" w:cstheme="minorHAnsi"/>
          <w:sz w:val="24"/>
          <w:szCs w:val="24"/>
        </w:rPr>
        <w:t>2007/12</w:t>
      </w:r>
      <w:r w:rsidRPr="000C7050">
        <w:rPr>
          <w:rFonts w:eastAsia="Times New Roman" w:cstheme="minorHAnsi"/>
          <w:sz w:val="24"/>
          <w:szCs w:val="24"/>
        </w:rPr>
        <w:t>)</w:t>
      </w:r>
      <w:r w:rsidR="00EC4B22" w:rsidRPr="000C7050">
        <w:rPr>
          <w:rFonts w:eastAsia="Times New Roman" w:cstheme="minorHAnsi"/>
          <w:sz w:val="24"/>
          <w:szCs w:val="24"/>
        </w:rPr>
        <w:t>.</w:t>
      </w:r>
      <w:r w:rsidRPr="000C7050">
        <w:rPr>
          <w:rFonts w:eastAsia="Times New Roman" w:cstheme="minorHAnsi"/>
          <w:sz w:val="24"/>
          <w:szCs w:val="24"/>
        </w:rPr>
        <w:t xml:space="preserve">  Bristol: HEFCE.</w:t>
      </w:r>
    </w:p>
    <w:p w:rsidR="00506901" w:rsidRPr="000C7050" w:rsidRDefault="00456E66" w:rsidP="003E581D">
      <w:pPr>
        <w:spacing w:line="360" w:lineRule="auto"/>
        <w:ind w:left="426" w:hanging="426"/>
        <w:rPr>
          <w:sz w:val="24"/>
          <w:szCs w:val="24"/>
        </w:rPr>
      </w:pPr>
      <w:r w:rsidRPr="000C7050">
        <w:rPr>
          <w:sz w:val="24"/>
          <w:szCs w:val="24"/>
        </w:rPr>
        <w:t>H</w:t>
      </w:r>
      <w:r w:rsidR="00506901" w:rsidRPr="000C7050">
        <w:rPr>
          <w:sz w:val="24"/>
          <w:szCs w:val="24"/>
        </w:rPr>
        <w:t>igher Educatio</w:t>
      </w:r>
      <w:r w:rsidR="00C923B0" w:rsidRPr="000C7050">
        <w:rPr>
          <w:sz w:val="24"/>
          <w:szCs w:val="24"/>
        </w:rPr>
        <w:t>n Funding Council for England. 2008.</w:t>
      </w:r>
      <w:r w:rsidR="00506901" w:rsidRPr="000C7050">
        <w:rPr>
          <w:sz w:val="24"/>
          <w:szCs w:val="24"/>
        </w:rPr>
        <w:t xml:space="preserve"> </w:t>
      </w:r>
      <w:r w:rsidR="00506901" w:rsidRPr="000C7050">
        <w:rPr>
          <w:rFonts w:eastAsia="Times New Roman" w:cs="Times New Roman"/>
          <w:bCs/>
          <w:i/>
          <w:kern w:val="36"/>
          <w:sz w:val="24"/>
          <w:szCs w:val="24"/>
          <w:lang w:eastAsia="en-GB"/>
        </w:rPr>
        <w:t>Guidance for Aimhigher partnerships: updated for the 2008-2011 programme</w:t>
      </w:r>
      <w:r w:rsidR="00C923B0" w:rsidRPr="000C7050">
        <w:rPr>
          <w:rFonts w:eastAsia="Times New Roman" w:cs="Times New Roman"/>
          <w:bCs/>
          <w:kern w:val="36"/>
          <w:sz w:val="24"/>
          <w:szCs w:val="24"/>
          <w:lang w:eastAsia="en-GB"/>
        </w:rPr>
        <w:t xml:space="preserve"> (Report 2008/05).</w:t>
      </w:r>
      <w:r w:rsidR="00506901" w:rsidRPr="000C7050">
        <w:rPr>
          <w:rFonts w:eastAsia="Times New Roman" w:cs="Times New Roman"/>
          <w:bCs/>
          <w:kern w:val="36"/>
          <w:sz w:val="24"/>
          <w:szCs w:val="24"/>
          <w:lang w:eastAsia="en-GB"/>
        </w:rPr>
        <w:t xml:space="preserve"> Bristol: HEFCE.</w:t>
      </w:r>
    </w:p>
    <w:p w:rsidR="003E581D" w:rsidRPr="000C7050" w:rsidRDefault="00C923B0" w:rsidP="003E581D">
      <w:pPr>
        <w:spacing w:line="360" w:lineRule="auto"/>
        <w:ind w:left="426" w:hanging="426"/>
        <w:rPr>
          <w:rFonts w:cstheme="minorHAnsi"/>
          <w:bCs/>
          <w:sz w:val="24"/>
          <w:szCs w:val="24"/>
        </w:rPr>
      </w:pPr>
      <w:r w:rsidRPr="000C7050">
        <w:rPr>
          <w:rFonts w:eastAsia="Times New Roman" w:cstheme="minorHAnsi"/>
          <w:sz w:val="24"/>
          <w:szCs w:val="24"/>
        </w:rPr>
        <w:t xml:space="preserve">Higher Education Funding Council for England. </w:t>
      </w:r>
      <w:r w:rsidRPr="000C7050">
        <w:rPr>
          <w:rFonts w:cstheme="minorHAnsi"/>
          <w:bCs/>
          <w:sz w:val="24"/>
          <w:szCs w:val="24"/>
        </w:rPr>
        <w:t>2010</w:t>
      </w:r>
      <w:r w:rsidR="003E581D" w:rsidRPr="000C7050">
        <w:rPr>
          <w:rFonts w:cstheme="minorHAnsi"/>
          <w:bCs/>
          <w:sz w:val="24"/>
          <w:szCs w:val="24"/>
        </w:rPr>
        <w:t>a</w:t>
      </w:r>
      <w:r w:rsidRPr="000C7050">
        <w:rPr>
          <w:rFonts w:cstheme="minorHAnsi"/>
          <w:bCs/>
          <w:sz w:val="24"/>
          <w:szCs w:val="24"/>
        </w:rPr>
        <w:t>.</w:t>
      </w:r>
      <w:r w:rsidR="0092243F" w:rsidRPr="000C7050">
        <w:rPr>
          <w:rFonts w:cstheme="minorHAnsi"/>
          <w:bCs/>
          <w:sz w:val="24"/>
          <w:szCs w:val="24"/>
        </w:rPr>
        <w:t xml:space="preserve"> </w:t>
      </w:r>
      <w:r w:rsidR="0092243F" w:rsidRPr="000C7050">
        <w:rPr>
          <w:rFonts w:cstheme="minorHAnsi"/>
          <w:bCs/>
          <w:i/>
          <w:iCs/>
          <w:sz w:val="24"/>
          <w:szCs w:val="24"/>
        </w:rPr>
        <w:t>Trends in young participation in higher education: core results for England</w:t>
      </w:r>
      <w:r w:rsidRPr="000C7050">
        <w:rPr>
          <w:rFonts w:cstheme="minorHAnsi"/>
          <w:bCs/>
          <w:sz w:val="24"/>
          <w:szCs w:val="24"/>
        </w:rPr>
        <w:t xml:space="preserve"> (Report</w:t>
      </w:r>
      <w:r w:rsidR="00516FC6" w:rsidRPr="000C7050">
        <w:rPr>
          <w:rFonts w:cstheme="minorHAnsi"/>
          <w:bCs/>
          <w:sz w:val="24"/>
          <w:szCs w:val="24"/>
        </w:rPr>
        <w:t xml:space="preserve"> </w:t>
      </w:r>
      <w:r w:rsidR="0092243F" w:rsidRPr="000C7050">
        <w:rPr>
          <w:rFonts w:cstheme="minorHAnsi"/>
          <w:bCs/>
          <w:sz w:val="24"/>
          <w:szCs w:val="24"/>
        </w:rPr>
        <w:t>2010/03</w:t>
      </w:r>
      <w:r w:rsidRPr="000C7050">
        <w:rPr>
          <w:rFonts w:cstheme="minorHAnsi"/>
          <w:bCs/>
          <w:sz w:val="24"/>
          <w:szCs w:val="24"/>
        </w:rPr>
        <w:t>)</w:t>
      </w:r>
      <w:r w:rsidR="00516FC6" w:rsidRPr="000C7050">
        <w:rPr>
          <w:rFonts w:cstheme="minorHAnsi"/>
          <w:bCs/>
          <w:sz w:val="24"/>
          <w:szCs w:val="24"/>
        </w:rPr>
        <w:t>.</w:t>
      </w:r>
      <w:r w:rsidRPr="000C7050">
        <w:rPr>
          <w:rFonts w:cstheme="minorHAnsi"/>
          <w:bCs/>
          <w:sz w:val="24"/>
          <w:szCs w:val="24"/>
        </w:rPr>
        <w:t xml:space="preserve"> Bristol: HEFCE.</w:t>
      </w:r>
    </w:p>
    <w:p w:rsidR="003E581D" w:rsidRPr="000C7050" w:rsidRDefault="003E581D" w:rsidP="003E581D">
      <w:pPr>
        <w:spacing w:line="360" w:lineRule="auto"/>
        <w:ind w:left="426" w:hanging="426"/>
        <w:rPr>
          <w:rFonts w:cstheme="minorHAnsi"/>
          <w:bCs/>
          <w:sz w:val="24"/>
          <w:szCs w:val="24"/>
        </w:rPr>
      </w:pPr>
      <w:r w:rsidRPr="000C7050">
        <w:rPr>
          <w:rFonts w:cs="Times-Roman"/>
          <w:sz w:val="24"/>
          <w:szCs w:val="24"/>
        </w:rPr>
        <w:t xml:space="preserve">Higher Education Funding Council for England. 2010b. </w:t>
      </w:r>
      <w:r w:rsidRPr="000C7050">
        <w:rPr>
          <w:rFonts w:cs="Times-Italic"/>
          <w:i/>
          <w:iCs/>
          <w:sz w:val="24"/>
          <w:szCs w:val="24"/>
        </w:rPr>
        <w:t>Aimhigher</w:t>
      </w:r>
      <w:r w:rsidRPr="000C7050">
        <w:rPr>
          <w:rFonts w:cstheme="minorHAnsi"/>
          <w:bCs/>
          <w:sz w:val="24"/>
          <w:szCs w:val="24"/>
        </w:rPr>
        <w:t xml:space="preserve"> </w:t>
      </w:r>
      <w:r w:rsidRPr="000C7050">
        <w:rPr>
          <w:rFonts w:cs="Times-Italic"/>
          <w:i/>
          <w:iCs/>
          <w:sz w:val="24"/>
          <w:szCs w:val="24"/>
        </w:rPr>
        <w:t>summer schools: participants and progression to higher education</w:t>
      </w:r>
      <w:r w:rsidRPr="000C7050">
        <w:rPr>
          <w:rFonts w:cs="Times-Roman"/>
          <w:sz w:val="24"/>
          <w:szCs w:val="24"/>
        </w:rPr>
        <w:t xml:space="preserve"> (Report</w:t>
      </w:r>
      <w:r w:rsidRPr="000C7050">
        <w:rPr>
          <w:rFonts w:cstheme="minorHAnsi"/>
          <w:bCs/>
          <w:sz w:val="24"/>
          <w:szCs w:val="24"/>
        </w:rPr>
        <w:t xml:space="preserve"> </w:t>
      </w:r>
      <w:r w:rsidRPr="000C7050">
        <w:rPr>
          <w:rFonts w:cs="Times-Roman"/>
          <w:sz w:val="24"/>
          <w:szCs w:val="24"/>
        </w:rPr>
        <w:t>2010/32). Bristol: HEFCE.</w:t>
      </w:r>
    </w:p>
    <w:p w:rsidR="00C923B0" w:rsidRPr="000C7050" w:rsidRDefault="00C923B0" w:rsidP="003E581D">
      <w:pPr>
        <w:spacing w:line="360" w:lineRule="auto"/>
        <w:ind w:left="426" w:hanging="426"/>
        <w:rPr>
          <w:rFonts w:cstheme="minorHAnsi"/>
          <w:sz w:val="24"/>
          <w:szCs w:val="24"/>
        </w:rPr>
      </w:pPr>
      <w:r w:rsidRPr="000C7050">
        <w:rPr>
          <w:rFonts w:eastAsia="Times New Roman" w:cstheme="minorHAnsi"/>
          <w:sz w:val="24"/>
          <w:szCs w:val="24"/>
        </w:rPr>
        <w:t xml:space="preserve">Higher Education Funding Council for England. </w:t>
      </w:r>
      <w:r w:rsidRPr="000C7050">
        <w:rPr>
          <w:rFonts w:cstheme="minorHAnsi"/>
          <w:bCs/>
          <w:sz w:val="24"/>
          <w:szCs w:val="24"/>
        </w:rPr>
        <w:t>2011.</w:t>
      </w:r>
      <w:r w:rsidRPr="000C7050">
        <w:rPr>
          <w:rFonts w:eastAsia="Times New Roman" w:cstheme="minorHAnsi"/>
          <w:sz w:val="24"/>
          <w:szCs w:val="24"/>
        </w:rPr>
        <w:t xml:space="preserve"> </w:t>
      </w:r>
      <w:r w:rsidRPr="000C7050">
        <w:rPr>
          <w:rFonts w:cstheme="minorHAnsi"/>
          <w:i/>
          <w:sz w:val="24"/>
          <w:szCs w:val="24"/>
        </w:rPr>
        <w:t>National Scholarship Programme 2012-13: guidance for institutions</w:t>
      </w:r>
      <w:r w:rsidRPr="000C7050">
        <w:rPr>
          <w:rFonts w:cstheme="minorHAnsi"/>
          <w:sz w:val="24"/>
          <w:szCs w:val="24"/>
        </w:rPr>
        <w:t xml:space="preserve"> (Report 2011/10).  Bristol: HEFCE.</w:t>
      </w:r>
    </w:p>
    <w:p w:rsidR="0092243F" w:rsidRPr="000C7050" w:rsidRDefault="00334F9E" w:rsidP="003E581D">
      <w:pPr>
        <w:spacing w:line="360" w:lineRule="auto"/>
        <w:ind w:left="426" w:hanging="426"/>
        <w:rPr>
          <w:rFonts w:cstheme="minorHAnsi"/>
          <w:bCs/>
          <w:sz w:val="24"/>
          <w:szCs w:val="24"/>
        </w:rPr>
      </w:pPr>
      <w:r w:rsidRPr="000C7050">
        <w:rPr>
          <w:rFonts w:eastAsia="Times New Roman" w:cstheme="minorHAnsi"/>
          <w:sz w:val="24"/>
          <w:szCs w:val="24"/>
        </w:rPr>
        <w:t xml:space="preserve">Higher Education Funding Council for England. </w:t>
      </w:r>
      <w:r w:rsidRPr="000C7050">
        <w:rPr>
          <w:rFonts w:cstheme="minorHAnsi"/>
          <w:bCs/>
          <w:sz w:val="24"/>
          <w:szCs w:val="24"/>
        </w:rPr>
        <w:t>2012a.</w:t>
      </w:r>
      <w:r w:rsidR="00516FC6" w:rsidRPr="000C7050">
        <w:rPr>
          <w:rFonts w:cstheme="minorHAnsi"/>
          <w:bCs/>
          <w:sz w:val="24"/>
          <w:szCs w:val="24"/>
        </w:rPr>
        <w:t xml:space="preserve"> </w:t>
      </w:r>
      <w:r w:rsidR="00516FC6" w:rsidRPr="000C7050">
        <w:rPr>
          <w:rFonts w:cstheme="minorHAnsi"/>
          <w:bCs/>
          <w:i/>
          <w:iCs/>
          <w:sz w:val="24"/>
          <w:szCs w:val="24"/>
        </w:rPr>
        <w:t xml:space="preserve">POLAR3: young participation rates in higher </w:t>
      </w:r>
      <w:r w:rsidR="00516FC6" w:rsidRPr="000C7050">
        <w:rPr>
          <w:rFonts w:cstheme="minorHAnsi"/>
          <w:bCs/>
          <w:iCs/>
          <w:sz w:val="24"/>
          <w:szCs w:val="24"/>
        </w:rPr>
        <w:t>education</w:t>
      </w:r>
      <w:r w:rsidRPr="000C7050">
        <w:rPr>
          <w:rFonts w:cstheme="minorHAnsi"/>
          <w:bCs/>
          <w:iCs/>
          <w:sz w:val="24"/>
          <w:szCs w:val="24"/>
        </w:rPr>
        <w:t xml:space="preserve"> (Report </w:t>
      </w:r>
      <w:r w:rsidR="00516FC6" w:rsidRPr="000C7050">
        <w:rPr>
          <w:rFonts w:cstheme="minorHAnsi"/>
          <w:bCs/>
          <w:sz w:val="24"/>
          <w:szCs w:val="24"/>
        </w:rPr>
        <w:t>2012/26</w:t>
      </w:r>
      <w:r w:rsidRPr="000C7050">
        <w:rPr>
          <w:rFonts w:cstheme="minorHAnsi"/>
          <w:bCs/>
          <w:sz w:val="24"/>
          <w:szCs w:val="24"/>
        </w:rPr>
        <w:t>)</w:t>
      </w:r>
      <w:r w:rsidR="00516FC6" w:rsidRPr="000C7050">
        <w:rPr>
          <w:rFonts w:cstheme="minorHAnsi"/>
          <w:bCs/>
          <w:sz w:val="24"/>
          <w:szCs w:val="24"/>
        </w:rPr>
        <w:t>.</w:t>
      </w:r>
      <w:r w:rsidRPr="000C7050">
        <w:rPr>
          <w:rFonts w:cstheme="minorHAnsi"/>
          <w:bCs/>
          <w:sz w:val="24"/>
          <w:szCs w:val="24"/>
        </w:rPr>
        <w:t xml:space="preserve"> Bristol: HEFCE.</w:t>
      </w:r>
    </w:p>
    <w:p w:rsidR="00CA04D4" w:rsidRPr="000C7050" w:rsidRDefault="00CA04D4" w:rsidP="00CA04D4">
      <w:pPr>
        <w:spacing w:line="360" w:lineRule="auto"/>
        <w:ind w:left="426" w:hanging="426"/>
        <w:rPr>
          <w:rFonts w:cstheme="minorHAnsi"/>
          <w:bCs/>
          <w:sz w:val="24"/>
          <w:szCs w:val="24"/>
        </w:rPr>
      </w:pPr>
      <w:r w:rsidRPr="000C7050">
        <w:rPr>
          <w:rFonts w:eastAsia="Times New Roman" w:cstheme="minorHAnsi"/>
          <w:sz w:val="24"/>
          <w:szCs w:val="24"/>
        </w:rPr>
        <w:t xml:space="preserve">Higher Education Funding Council for England. </w:t>
      </w:r>
      <w:r w:rsidRPr="000C7050">
        <w:rPr>
          <w:rFonts w:cstheme="minorHAnsi"/>
          <w:bCs/>
          <w:sz w:val="24"/>
          <w:szCs w:val="24"/>
        </w:rPr>
        <w:t xml:space="preserve">2012b. </w:t>
      </w:r>
      <w:r w:rsidRPr="000C7050">
        <w:rPr>
          <w:rFonts w:cstheme="minorHAnsi"/>
          <w:bCs/>
          <w:i/>
          <w:iCs/>
          <w:sz w:val="24"/>
          <w:szCs w:val="24"/>
        </w:rPr>
        <w:t>Higher education outreach to widen participation – toolkits for practitioners: targeting</w:t>
      </w:r>
      <w:r w:rsidRPr="000C7050">
        <w:rPr>
          <w:rFonts w:cstheme="minorHAnsi"/>
          <w:bCs/>
          <w:sz w:val="24"/>
          <w:szCs w:val="24"/>
        </w:rPr>
        <w:t>. Bristol: HEFCE.</w:t>
      </w:r>
    </w:p>
    <w:p w:rsidR="00682E52" w:rsidRPr="000C7050" w:rsidRDefault="002E3410" w:rsidP="00682E52">
      <w:pPr>
        <w:autoSpaceDE w:val="0"/>
        <w:autoSpaceDN w:val="0"/>
        <w:adjustRightInd w:val="0"/>
        <w:spacing w:line="360" w:lineRule="auto"/>
        <w:ind w:left="426" w:hanging="426"/>
        <w:rPr>
          <w:rFonts w:cstheme="minorHAnsi"/>
          <w:bCs/>
          <w:sz w:val="24"/>
          <w:szCs w:val="24"/>
        </w:rPr>
      </w:pPr>
      <w:r w:rsidRPr="000C7050">
        <w:rPr>
          <w:rFonts w:eastAsia="Times New Roman" w:cstheme="minorHAnsi"/>
          <w:sz w:val="24"/>
          <w:szCs w:val="24"/>
        </w:rPr>
        <w:t xml:space="preserve">Higher Education Funding Council for England. </w:t>
      </w:r>
      <w:r w:rsidR="00CA04D4" w:rsidRPr="000C7050">
        <w:rPr>
          <w:rFonts w:cstheme="minorHAnsi"/>
          <w:bCs/>
          <w:sz w:val="24"/>
          <w:szCs w:val="24"/>
        </w:rPr>
        <w:t>2012c</w:t>
      </w:r>
      <w:r w:rsidRPr="000C7050">
        <w:rPr>
          <w:rFonts w:cstheme="minorHAnsi"/>
          <w:bCs/>
          <w:sz w:val="24"/>
          <w:szCs w:val="24"/>
        </w:rPr>
        <w:t xml:space="preserve">. </w:t>
      </w:r>
      <w:r w:rsidRPr="000C7050">
        <w:rPr>
          <w:rFonts w:cstheme="minorHAnsi"/>
          <w:bCs/>
          <w:i/>
          <w:iCs/>
          <w:sz w:val="24"/>
          <w:szCs w:val="24"/>
        </w:rPr>
        <w:t>Recurrent grants and student number controls for 2012-13</w:t>
      </w:r>
      <w:r w:rsidRPr="000C7050">
        <w:rPr>
          <w:rFonts w:cstheme="minorHAnsi"/>
          <w:bCs/>
          <w:iCs/>
          <w:sz w:val="24"/>
          <w:szCs w:val="24"/>
        </w:rPr>
        <w:t xml:space="preserve"> (Report </w:t>
      </w:r>
      <w:r w:rsidRPr="000C7050">
        <w:rPr>
          <w:rFonts w:cstheme="minorHAnsi"/>
          <w:bCs/>
          <w:sz w:val="24"/>
          <w:szCs w:val="24"/>
        </w:rPr>
        <w:t>2012/08). Bristol: HEFCE.</w:t>
      </w:r>
    </w:p>
    <w:p w:rsidR="00682E52" w:rsidRPr="000C7050" w:rsidRDefault="00682E52" w:rsidP="00682E52">
      <w:pPr>
        <w:autoSpaceDE w:val="0"/>
        <w:autoSpaceDN w:val="0"/>
        <w:adjustRightInd w:val="0"/>
        <w:spacing w:line="360" w:lineRule="auto"/>
        <w:ind w:left="426" w:hanging="426"/>
        <w:rPr>
          <w:rFonts w:cstheme="minorHAnsi"/>
          <w:bCs/>
          <w:sz w:val="24"/>
          <w:szCs w:val="24"/>
        </w:rPr>
      </w:pPr>
      <w:r w:rsidRPr="000C7050">
        <w:rPr>
          <w:rFonts w:cstheme="minorHAnsi"/>
          <w:bCs/>
          <w:sz w:val="24"/>
          <w:szCs w:val="24"/>
        </w:rPr>
        <w:t xml:space="preserve">Higher Education Funding Council for England. 2013. </w:t>
      </w:r>
      <w:r w:rsidRPr="000C7050">
        <w:rPr>
          <w:rFonts w:eastAsia="Times New Roman" w:cs="Arial"/>
          <w:i/>
          <w:sz w:val="24"/>
          <w:szCs w:val="24"/>
          <w:lang w:eastAsia="en-GB"/>
        </w:rPr>
        <w:t>National Scholarship Programme 2014-15:</w:t>
      </w:r>
      <w:r w:rsidRPr="000C7050">
        <w:rPr>
          <w:rFonts w:cstheme="minorHAnsi"/>
          <w:bCs/>
          <w:i/>
          <w:sz w:val="24"/>
          <w:szCs w:val="24"/>
        </w:rPr>
        <w:t xml:space="preserve"> </w:t>
      </w:r>
      <w:r w:rsidRPr="000C7050">
        <w:rPr>
          <w:rFonts w:eastAsia="Times New Roman" w:cs="Arial"/>
          <w:i/>
          <w:sz w:val="24"/>
          <w:szCs w:val="24"/>
          <w:lang w:eastAsia="en-GB"/>
        </w:rPr>
        <w:t>provisional allocations and guidance for institutions</w:t>
      </w:r>
      <w:r w:rsidRPr="000C7050">
        <w:rPr>
          <w:rFonts w:cstheme="minorHAnsi"/>
          <w:bCs/>
          <w:sz w:val="24"/>
          <w:szCs w:val="24"/>
        </w:rPr>
        <w:t xml:space="preserve"> (Report 2013/02).  Bristol: HEFCE.</w:t>
      </w:r>
    </w:p>
    <w:p w:rsidR="00EC4B22" w:rsidRPr="000C7050" w:rsidRDefault="00D62891" w:rsidP="003E581D">
      <w:pPr>
        <w:pStyle w:val="Default"/>
        <w:spacing w:line="360" w:lineRule="auto"/>
        <w:ind w:left="426" w:hanging="426"/>
        <w:rPr>
          <w:rFonts w:asciiTheme="minorHAnsi" w:hAnsiTheme="minorHAnsi" w:cstheme="minorHAnsi"/>
          <w:color w:val="auto"/>
        </w:rPr>
      </w:pPr>
      <w:r w:rsidRPr="000C7050">
        <w:rPr>
          <w:rFonts w:asciiTheme="minorHAnsi" w:hAnsiTheme="minorHAnsi" w:cstheme="minorHAnsi"/>
          <w:color w:val="auto"/>
        </w:rPr>
        <w:t xml:space="preserve">Higher Education Statistics Agency. 2013. </w:t>
      </w:r>
      <w:r w:rsidRPr="000C7050">
        <w:rPr>
          <w:rFonts w:asciiTheme="minorHAnsi" w:hAnsiTheme="minorHAnsi" w:cstheme="minorHAnsi"/>
          <w:i/>
          <w:color w:val="auto"/>
        </w:rPr>
        <w:t>Performance indicators in higher e</w:t>
      </w:r>
      <w:r w:rsidR="00EC4B22" w:rsidRPr="000C7050">
        <w:rPr>
          <w:rFonts w:asciiTheme="minorHAnsi" w:hAnsiTheme="minorHAnsi" w:cstheme="minorHAnsi"/>
          <w:i/>
          <w:color w:val="auto"/>
        </w:rPr>
        <w:t>ducation in the UK</w:t>
      </w:r>
      <w:r w:rsidRPr="000C7050">
        <w:rPr>
          <w:rFonts w:asciiTheme="minorHAnsi" w:hAnsiTheme="minorHAnsi" w:cstheme="minorHAnsi"/>
          <w:color w:val="auto"/>
        </w:rPr>
        <w:t>.</w:t>
      </w:r>
      <w:r w:rsidR="00EC4B22" w:rsidRPr="000C7050">
        <w:rPr>
          <w:rFonts w:asciiTheme="minorHAnsi" w:hAnsiTheme="minorHAnsi" w:cstheme="minorHAnsi"/>
          <w:i/>
          <w:color w:val="auto"/>
        </w:rPr>
        <w:t xml:space="preserve"> </w:t>
      </w:r>
      <w:r w:rsidRPr="000C7050">
        <w:rPr>
          <w:rFonts w:asciiTheme="minorHAnsi" w:hAnsiTheme="minorHAnsi" w:cstheme="minorHAnsi"/>
          <w:color w:val="auto"/>
        </w:rPr>
        <w:t>www.hesa.ac.uk/content/view/2072/141. Last accessed 5</w:t>
      </w:r>
      <w:r w:rsidRPr="000C7050">
        <w:rPr>
          <w:rFonts w:asciiTheme="minorHAnsi" w:hAnsiTheme="minorHAnsi" w:cstheme="minorHAnsi"/>
          <w:color w:val="auto"/>
          <w:vertAlign w:val="superscript"/>
        </w:rPr>
        <w:t>th</w:t>
      </w:r>
      <w:r w:rsidRPr="000C7050">
        <w:rPr>
          <w:rFonts w:asciiTheme="minorHAnsi" w:hAnsiTheme="minorHAnsi" w:cstheme="minorHAnsi"/>
          <w:color w:val="auto"/>
        </w:rPr>
        <w:t xml:space="preserve"> May 2013.</w:t>
      </w:r>
    </w:p>
    <w:p w:rsidR="00317D8A" w:rsidRPr="000C7050" w:rsidRDefault="00317D8A" w:rsidP="003E581D">
      <w:pPr>
        <w:spacing w:line="360" w:lineRule="auto"/>
        <w:ind w:left="426" w:hanging="426"/>
        <w:rPr>
          <w:rFonts w:eastAsia="Times New Roman" w:cstheme="minorHAnsi"/>
          <w:sz w:val="24"/>
          <w:szCs w:val="24"/>
        </w:rPr>
      </w:pPr>
      <w:r w:rsidRPr="000C7050">
        <w:rPr>
          <w:rFonts w:eastAsia="Times New Roman" w:cstheme="minorHAnsi"/>
          <w:sz w:val="24"/>
          <w:szCs w:val="24"/>
        </w:rPr>
        <w:t>McCaig, C</w:t>
      </w:r>
      <w:r w:rsidR="00D62891" w:rsidRPr="000C7050">
        <w:rPr>
          <w:rFonts w:eastAsia="Times New Roman" w:cstheme="minorHAnsi"/>
          <w:sz w:val="24"/>
          <w:szCs w:val="24"/>
        </w:rPr>
        <w:t>.</w:t>
      </w:r>
      <w:r w:rsidRPr="000C7050">
        <w:rPr>
          <w:rFonts w:eastAsia="Times New Roman" w:cstheme="minorHAnsi"/>
          <w:sz w:val="24"/>
          <w:szCs w:val="24"/>
        </w:rPr>
        <w:t xml:space="preserve"> and </w:t>
      </w:r>
      <w:r w:rsidR="00D62891" w:rsidRPr="000C7050">
        <w:rPr>
          <w:rFonts w:eastAsia="Times New Roman" w:cstheme="minorHAnsi"/>
          <w:sz w:val="24"/>
          <w:szCs w:val="24"/>
        </w:rPr>
        <w:t xml:space="preserve">N. </w:t>
      </w:r>
      <w:proofErr w:type="spellStart"/>
      <w:r w:rsidRPr="000C7050">
        <w:rPr>
          <w:rFonts w:eastAsia="Times New Roman" w:cstheme="minorHAnsi"/>
          <w:sz w:val="24"/>
          <w:szCs w:val="24"/>
        </w:rPr>
        <w:t>Adnett</w:t>
      </w:r>
      <w:proofErr w:type="spellEnd"/>
      <w:r w:rsidR="00D62891" w:rsidRPr="000C7050">
        <w:rPr>
          <w:rFonts w:eastAsia="Times New Roman" w:cstheme="minorHAnsi"/>
          <w:sz w:val="24"/>
          <w:szCs w:val="24"/>
        </w:rPr>
        <w:t>. 2009. English u</w:t>
      </w:r>
      <w:r w:rsidRPr="000C7050">
        <w:rPr>
          <w:rFonts w:eastAsia="Times New Roman" w:cstheme="minorHAnsi"/>
          <w:sz w:val="24"/>
          <w:szCs w:val="24"/>
        </w:rPr>
        <w:t xml:space="preserve">niversities, </w:t>
      </w:r>
      <w:r w:rsidR="00D62891" w:rsidRPr="000C7050">
        <w:rPr>
          <w:rFonts w:eastAsia="Times New Roman" w:cstheme="minorHAnsi"/>
          <w:sz w:val="24"/>
          <w:szCs w:val="24"/>
        </w:rPr>
        <w:t>additional fee i</w:t>
      </w:r>
      <w:r w:rsidRPr="000C7050">
        <w:rPr>
          <w:rFonts w:eastAsia="Times New Roman" w:cstheme="minorHAnsi"/>
          <w:sz w:val="24"/>
          <w:szCs w:val="24"/>
        </w:rPr>
        <w:t>ncome and Acce</w:t>
      </w:r>
      <w:r w:rsidR="00D62891" w:rsidRPr="000C7050">
        <w:rPr>
          <w:rFonts w:eastAsia="Times New Roman" w:cstheme="minorHAnsi"/>
          <w:sz w:val="24"/>
          <w:szCs w:val="24"/>
        </w:rPr>
        <w:t>ss Agreements: their impact on widening participation and f</w:t>
      </w:r>
      <w:r w:rsidRPr="000C7050">
        <w:rPr>
          <w:rFonts w:eastAsia="Times New Roman" w:cstheme="minorHAnsi"/>
          <w:sz w:val="24"/>
          <w:szCs w:val="24"/>
        </w:rPr>
        <w:t xml:space="preserve">air </w:t>
      </w:r>
      <w:r w:rsidR="00D62891" w:rsidRPr="000C7050">
        <w:rPr>
          <w:rFonts w:eastAsia="Times New Roman" w:cstheme="minorHAnsi"/>
          <w:sz w:val="24"/>
          <w:szCs w:val="24"/>
        </w:rPr>
        <w:t>access.</w:t>
      </w:r>
      <w:r w:rsidRPr="000C7050">
        <w:rPr>
          <w:rFonts w:eastAsia="Times New Roman" w:cstheme="minorHAnsi"/>
          <w:sz w:val="24"/>
          <w:szCs w:val="24"/>
        </w:rPr>
        <w:t xml:space="preserve"> </w:t>
      </w:r>
      <w:r w:rsidRPr="000C7050">
        <w:rPr>
          <w:rFonts w:eastAsia="Times New Roman" w:cstheme="minorHAnsi"/>
          <w:i/>
          <w:iCs/>
          <w:sz w:val="24"/>
          <w:szCs w:val="24"/>
        </w:rPr>
        <w:t>British Journal of Education Studies</w:t>
      </w:r>
      <w:r w:rsidR="00D62891" w:rsidRPr="000C7050">
        <w:rPr>
          <w:rFonts w:eastAsia="Times New Roman" w:cstheme="minorHAnsi"/>
          <w:sz w:val="24"/>
          <w:szCs w:val="24"/>
        </w:rPr>
        <w:t xml:space="preserve"> 57, n</w:t>
      </w:r>
      <w:r w:rsidRPr="000C7050">
        <w:rPr>
          <w:rFonts w:eastAsia="Times New Roman" w:cstheme="minorHAnsi"/>
          <w:sz w:val="24"/>
          <w:szCs w:val="24"/>
        </w:rPr>
        <w:t>o.</w:t>
      </w:r>
      <w:r w:rsidR="00D62891" w:rsidRPr="000C7050">
        <w:rPr>
          <w:rFonts w:eastAsia="Times New Roman" w:cstheme="minorHAnsi"/>
          <w:sz w:val="24"/>
          <w:szCs w:val="24"/>
        </w:rPr>
        <w:t xml:space="preserve"> </w:t>
      </w:r>
      <w:r w:rsidRPr="000C7050">
        <w:rPr>
          <w:rFonts w:eastAsia="Times New Roman" w:cstheme="minorHAnsi"/>
          <w:sz w:val="24"/>
          <w:szCs w:val="24"/>
        </w:rPr>
        <w:t>1</w:t>
      </w:r>
      <w:r w:rsidR="00D62891" w:rsidRPr="000C7050">
        <w:rPr>
          <w:rFonts w:eastAsia="Times New Roman" w:cstheme="minorHAnsi"/>
          <w:sz w:val="24"/>
          <w:szCs w:val="24"/>
        </w:rPr>
        <w:t xml:space="preserve">: </w:t>
      </w:r>
      <w:r w:rsidRPr="000C7050">
        <w:rPr>
          <w:rFonts w:eastAsia="Times New Roman" w:cstheme="minorHAnsi"/>
          <w:sz w:val="24"/>
          <w:szCs w:val="24"/>
        </w:rPr>
        <w:t>18-36.</w:t>
      </w:r>
    </w:p>
    <w:p w:rsidR="00D62891" w:rsidRPr="000C7050" w:rsidRDefault="00317D8A" w:rsidP="003E581D">
      <w:pPr>
        <w:spacing w:line="360" w:lineRule="auto"/>
        <w:ind w:left="426" w:hanging="426"/>
        <w:rPr>
          <w:rFonts w:cstheme="minorHAnsi"/>
          <w:sz w:val="24"/>
          <w:szCs w:val="24"/>
        </w:rPr>
      </w:pPr>
      <w:r w:rsidRPr="000C7050">
        <w:rPr>
          <w:rFonts w:cstheme="minorHAnsi"/>
          <w:sz w:val="24"/>
          <w:szCs w:val="24"/>
        </w:rPr>
        <w:t>McCaig, C</w:t>
      </w:r>
      <w:r w:rsidR="00D62891" w:rsidRPr="000C7050">
        <w:rPr>
          <w:rFonts w:cstheme="minorHAnsi"/>
          <w:sz w:val="24"/>
          <w:szCs w:val="24"/>
        </w:rPr>
        <w:t>. 2011.</w:t>
      </w:r>
      <w:r w:rsidRPr="000C7050">
        <w:rPr>
          <w:rFonts w:cstheme="minorHAnsi"/>
          <w:sz w:val="24"/>
          <w:szCs w:val="24"/>
        </w:rPr>
        <w:t xml:space="preserve"> </w:t>
      </w:r>
      <w:r w:rsidRPr="000C7050">
        <w:rPr>
          <w:rFonts w:cstheme="minorHAnsi"/>
          <w:iCs/>
          <w:sz w:val="24"/>
          <w:szCs w:val="24"/>
        </w:rPr>
        <w:t xml:space="preserve">Access agreements, widening participation and market </w:t>
      </w:r>
      <w:proofErr w:type="spellStart"/>
      <w:r w:rsidRPr="000C7050">
        <w:rPr>
          <w:rFonts w:cstheme="minorHAnsi"/>
          <w:iCs/>
          <w:sz w:val="24"/>
          <w:szCs w:val="24"/>
        </w:rPr>
        <w:t>positionality</w:t>
      </w:r>
      <w:proofErr w:type="spellEnd"/>
      <w:r w:rsidRPr="000C7050">
        <w:rPr>
          <w:rFonts w:cstheme="minorHAnsi"/>
          <w:iCs/>
          <w:sz w:val="24"/>
          <w:szCs w:val="24"/>
        </w:rPr>
        <w:t>: enabling student choice?</w:t>
      </w:r>
      <w:r w:rsidRPr="000C7050">
        <w:rPr>
          <w:rFonts w:cstheme="minorHAnsi"/>
          <w:sz w:val="24"/>
          <w:szCs w:val="24"/>
        </w:rPr>
        <w:t xml:space="preserve"> in </w:t>
      </w:r>
      <w:r w:rsidR="00D62891" w:rsidRPr="000C7050">
        <w:rPr>
          <w:rFonts w:cstheme="minorHAnsi"/>
          <w:i/>
          <w:iCs/>
          <w:sz w:val="24"/>
          <w:szCs w:val="24"/>
        </w:rPr>
        <w:t xml:space="preserve">The </w:t>
      </w:r>
      <w:proofErr w:type="spellStart"/>
      <w:r w:rsidR="00D62891" w:rsidRPr="000C7050">
        <w:rPr>
          <w:rFonts w:cstheme="minorHAnsi"/>
          <w:i/>
          <w:iCs/>
          <w:sz w:val="24"/>
          <w:szCs w:val="24"/>
        </w:rPr>
        <w:t>m</w:t>
      </w:r>
      <w:r w:rsidRPr="000C7050">
        <w:rPr>
          <w:rFonts w:cstheme="minorHAnsi"/>
          <w:i/>
          <w:iCs/>
          <w:sz w:val="24"/>
          <w:szCs w:val="24"/>
        </w:rPr>
        <w:t>arketisation</w:t>
      </w:r>
      <w:proofErr w:type="spellEnd"/>
      <w:r w:rsidRPr="000C7050">
        <w:rPr>
          <w:rFonts w:cstheme="minorHAnsi"/>
          <w:i/>
          <w:iCs/>
          <w:sz w:val="24"/>
          <w:szCs w:val="24"/>
        </w:rPr>
        <w:t xml:space="preserve"> of </w:t>
      </w:r>
      <w:r w:rsidR="00D62891" w:rsidRPr="000C7050">
        <w:rPr>
          <w:rFonts w:cstheme="minorHAnsi"/>
          <w:i/>
          <w:iCs/>
          <w:sz w:val="24"/>
          <w:szCs w:val="24"/>
        </w:rPr>
        <w:t>h</w:t>
      </w:r>
      <w:r w:rsidRPr="000C7050">
        <w:rPr>
          <w:rFonts w:cstheme="minorHAnsi"/>
          <w:i/>
          <w:iCs/>
          <w:sz w:val="24"/>
          <w:szCs w:val="24"/>
        </w:rPr>
        <w:t xml:space="preserve">igher </w:t>
      </w:r>
      <w:r w:rsidR="00D62891" w:rsidRPr="000C7050">
        <w:rPr>
          <w:rFonts w:cstheme="minorHAnsi"/>
          <w:i/>
          <w:iCs/>
          <w:sz w:val="24"/>
          <w:szCs w:val="24"/>
        </w:rPr>
        <w:t>e</w:t>
      </w:r>
      <w:r w:rsidRPr="000C7050">
        <w:rPr>
          <w:rFonts w:cstheme="minorHAnsi"/>
          <w:i/>
          <w:iCs/>
          <w:sz w:val="24"/>
          <w:szCs w:val="24"/>
        </w:rPr>
        <w:t xml:space="preserve">ducation and the </w:t>
      </w:r>
      <w:r w:rsidR="00D62891" w:rsidRPr="000C7050">
        <w:rPr>
          <w:rFonts w:cstheme="minorHAnsi"/>
          <w:i/>
          <w:iCs/>
          <w:sz w:val="24"/>
          <w:szCs w:val="24"/>
        </w:rPr>
        <w:t>student as c</w:t>
      </w:r>
      <w:r w:rsidRPr="000C7050">
        <w:rPr>
          <w:rFonts w:cstheme="minorHAnsi"/>
          <w:i/>
          <w:iCs/>
          <w:sz w:val="24"/>
          <w:szCs w:val="24"/>
        </w:rPr>
        <w:t>onsumer</w:t>
      </w:r>
      <w:r w:rsidR="00D62891" w:rsidRPr="000C7050">
        <w:rPr>
          <w:rFonts w:cstheme="minorHAnsi"/>
          <w:sz w:val="24"/>
          <w:szCs w:val="24"/>
        </w:rPr>
        <w:t xml:space="preserve">, ed. M. </w:t>
      </w:r>
      <w:proofErr w:type="spellStart"/>
      <w:r w:rsidR="00D62891" w:rsidRPr="000C7050">
        <w:rPr>
          <w:rFonts w:cstheme="minorHAnsi"/>
          <w:sz w:val="24"/>
          <w:szCs w:val="24"/>
        </w:rPr>
        <w:t>Molesworth</w:t>
      </w:r>
      <w:proofErr w:type="spellEnd"/>
      <w:r w:rsidR="00D62891" w:rsidRPr="000C7050">
        <w:rPr>
          <w:rFonts w:cstheme="minorHAnsi"/>
          <w:sz w:val="24"/>
          <w:szCs w:val="24"/>
        </w:rPr>
        <w:t>, L. Nixon, and R. Scullion, 115-128.</w:t>
      </w:r>
      <w:r w:rsidRPr="000C7050">
        <w:rPr>
          <w:rFonts w:cstheme="minorHAnsi"/>
          <w:sz w:val="24"/>
          <w:szCs w:val="24"/>
        </w:rPr>
        <w:t xml:space="preserve"> London and New York</w:t>
      </w:r>
      <w:r w:rsidR="00D62891" w:rsidRPr="000C7050">
        <w:rPr>
          <w:rFonts w:cstheme="minorHAnsi"/>
          <w:sz w:val="24"/>
          <w:szCs w:val="24"/>
        </w:rPr>
        <w:t xml:space="preserve">: </w:t>
      </w:r>
      <w:proofErr w:type="spellStart"/>
      <w:r w:rsidR="00D62891" w:rsidRPr="000C7050">
        <w:rPr>
          <w:rFonts w:cstheme="minorHAnsi"/>
          <w:sz w:val="24"/>
          <w:szCs w:val="24"/>
        </w:rPr>
        <w:t>Routledge</w:t>
      </w:r>
      <w:proofErr w:type="spellEnd"/>
    </w:p>
    <w:p w:rsidR="00317D8A" w:rsidRPr="000C7050" w:rsidRDefault="00317D8A" w:rsidP="003E581D">
      <w:pPr>
        <w:spacing w:line="360" w:lineRule="auto"/>
        <w:ind w:left="426" w:right="15" w:hanging="426"/>
        <w:rPr>
          <w:rFonts w:eastAsia="Times New Roman" w:cstheme="minorHAnsi"/>
          <w:sz w:val="24"/>
          <w:szCs w:val="24"/>
        </w:rPr>
      </w:pPr>
      <w:r w:rsidRPr="000C7050">
        <w:rPr>
          <w:rFonts w:cstheme="minorHAnsi"/>
          <w:sz w:val="24"/>
          <w:szCs w:val="24"/>
        </w:rPr>
        <w:t>McCaig, C</w:t>
      </w:r>
      <w:r w:rsidR="00D62891" w:rsidRPr="000C7050">
        <w:rPr>
          <w:rFonts w:cstheme="minorHAnsi"/>
          <w:sz w:val="24"/>
          <w:szCs w:val="24"/>
        </w:rPr>
        <w:t>. 2012.</w:t>
      </w:r>
      <w:r w:rsidRPr="000C7050">
        <w:rPr>
          <w:rFonts w:cstheme="minorHAnsi"/>
          <w:sz w:val="24"/>
          <w:szCs w:val="24"/>
        </w:rPr>
        <w:t xml:space="preserve"> </w:t>
      </w:r>
      <w:r w:rsidRPr="000C7050">
        <w:rPr>
          <w:rFonts w:eastAsia="Times New Roman" w:cstheme="minorHAnsi"/>
          <w:i/>
          <w:iCs/>
          <w:sz w:val="24"/>
          <w:szCs w:val="24"/>
        </w:rPr>
        <w:t>New OFFA Access Agreements and the N</w:t>
      </w:r>
      <w:r w:rsidR="00D62891" w:rsidRPr="000C7050">
        <w:rPr>
          <w:rFonts w:eastAsia="Times New Roman" w:cstheme="minorHAnsi"/>
          <w:i/>
          <w:iCs/>
          <w:sz w:val="24"/>
          <w:szCs w:val="24"/>
        </w:rPr>
        <w:t>ational Scholarship Programme: r</w:t>
      </w:r>
      <w:r w:rsidRPr="000C7050">
        <w:rPr>
          <w:rFonts w:eastAsia="Times New Roman" w:cstheme="minorHAnsi"/>
          <w:i/>
          <w:iCs/>
          <w:sz w:val="24"/>
          <w:szCs w:val="24"/>
        </w:rPr>
        <w:t xml:space="preserve">amifications for </w:t>
      </w:r>
      <w:r w:rsidR="00D62891" w:rsidRPr="000C7050">
        <w:rPr>
          <w:rFonts w:eastAsia="Times New Roman" w:cstheme="minorHAnsi"/>
          <w:i/>
          <w:iCs/>
          <w:sz w:val="24"/>
          <w:szCs w:val="24"/>
        </w:rPr>
        <w:t>access to English h</w:t>
      </w:r>
      <w:r w:rsidRPr="000C7050">
        <w:rPr>
          <w:rFonts w:eastAsia="Times New Roman" w:cstheme="minorHAnsi"/>
          <w:i/>
          <w:iCs/>
          <w:sz w:val="24"/>
          <w:szCs w:val="24"/>
        </w:rPr>
        <w:t>igher education</w:t>
      </w:r>
      <w:r w:rsidRPr="000C7050">
        <w:rPr>
          <w:rFonts w:eastAsia="Times New Roman" w:cstheme="minorHAnsi"/>
          <w:sz w:val="24"/>
          <w:szCs w:val="24"/>
        </w:rPr>
        <w:t xml:space="preserve">. </w:t>
      </w:r>
      <w:r w:rsidR="00D62891" w:rsidRPr="000C7050">
        <w:rPr>
          <w:rFonts w:eastAsia="Times New Roman" w:cstheme="minorHAnsi"/>
          <w:sz w:val="24"/>
          <w:szCs w:val="24"/>
        </w:rPr>
        <w:t xml:space="preserve"> </w:t>
      </w:r>
      <w:r w:rsidRPr="000C7050">
        <w:rPr>
          <w:rFonts w:eastAsia="Times New Roman" w:cstheme="minorHAnsi"/>
          <w:sz w:val="24"/>
          <w:szCs w:val="24"/>
        </w:rPr>
        <w:t xml:space="preserve">Paper </w:t>
      </w:r>
      <w:r w:rsidR="00D62891" w:rsidRPr="000C7050">
        <w:rPr>
          <w:rFonts w:eastAsia="Times New Roman" w:cstheme="minorHAnsi"/>
          <w:sz w:val="24"/>
          <w:szCs w:val="24"/>
        </w:rPr>
        <w:t xml:space="preserve">delivered at the </w:t>
      </w:r>
      <w:r w:rsidRPr="000C7050">
        <w:rPr>
          <w:rFonts w:eastAsia="Times New Roman" w:cstheme="minorHAnsi"/>
          <w:sz w:val="24"/>
          <w:szCs w:val="24"/>
        </w:rPr>
        <w:t xml:space="preserve">SRHE </w:t>
      </w:r>
      <w:r w:rsidR="00D62891" w:rsidRPr="000C7050">
        <w:rPr>
          <w:rFonts w:eastAsia="Times New Roman" w:cstheme="minorHAnsi"/>
          <w:sz w:val="24"/>
          <w:szCs w:val="24"/>
        </w:rPr>
        <w:t>A</w:t>
      </w:r>
      <w:r w:rsidRPr="000C7050">
        <w:rPr>
          <w:rFonts w:eastAsia="Times New Roman" w:cstheme="minorHAnsi"/>
          <w:sz w:val="24"/>
          <w:szCs w:val="24"/>
        </w:rPr>
        <w:t xml:space="preserve">nnual </w:t>
      </w:r>
      <w:r w:rsidR="00D62891" w:rsidRPr="000C7050">
        <w:rPr>
          <w:rFonts w:eastAsia="Times New Roman" w:cstheme="minorHAnsi"/>
          <w:sz w:val="24"/>
          <w:szCs w:val="24"/>
        </w:rPr>
        <w:t>C</w:t>
      </w:r>
      <w:r w:rsidRPr="000C7050">
        <w:rPr>
          <w:rFonts w:eastAsia="Times New Roman" w:cstheme="minorHAnsi"/>
          <w:sz w:val="24"/>
          <w:szCs w:val="24"/>
        </w:rPr>
        <w:t xml:space="preserve">onference, </w:t>
      </w:r>
      <w:r w:rsidR="00D62891" w:rsidRPr="000C7050">
        <w:rPr>
          <w:rFonts w:eastAsia="Times New Roman" w:cstheme="minorHAnsi"/>
          <w:sz w:val="24"/>
          <w:szCs w:val="24"/>
        </w:rPr>
        <w:t>Newport.</w:t>
      </w:r>
      <w:r w:rsidRPr="000C7050">
        <w:rPr>
          <w:rFonts w:eastAsia="Times New Roman" w:cstheme="minorHAnsi"/>
          <w:sz w:val="24"/>
          <w:szCs w:val="24"/>
        </w:rPr>
        <w:t xml:space="preserve"> </w:t>
      </w:r>
      <w:r w:rsidR="00D62891" w:rsidRPr="000C7050">
        <w:rPr>
          <w:rFonts w:eastAsia="Times New Roman" w:cstheme="minorHAnsi"/>
          <w:sz w:val="24"/>
          <w:szCs w:val="24"/>
        </w:rPr>
        <w:t xml:space="preserve"> 12</w:t>
      </w:r>
      <w:r w:rsidR="00D62891" w:rsidRPr="000C7050">
        <w:rPr>
          <w:rFonts w:eastAsia="Times New Roman" w:cstheme="minorHAnsi"/>
          <w:sz w:val="24"/>
          <w:szCs w:val="24"/>
          <w:vertAlign w:val="superscript"/>
        </w:rPr>
        <w:t>th</w:t>
      </w:r>
      <w:r w:rsidR="00D62891" w:rsidRPr="000C7050">
        <w:rPr>
          <w:rFonts w:eastAsia="Times New Roman" w:cstheme="minorHAnsi"/>
          <w:sz w:val="24"/>
          <w:szCs w:val="24"/>
        </w:rPr>
        <w:t xml:space="preserve"> </w:t>
      </w:r>
      <w:r w:rsidRPr="000C7050">
        <w:rPr>
          <w:rFonts w:eastAsia="Times New Roman" w:cstheme="minorHAnsi"/>
          <w:sz w:val="24"/>
          <w:szCs w:val="24"/>
        </w:rPr>
        <w:t>December 2012</w:t>
      </w:r>
      <w:r w:rsidR="00D62891" w:rsidRPr="000C7050">
        <w:rPr>
          <w:rFonts w:eastAsia="Times New Roman" w:cstheme="minorHAnsi"/>
          <w:sz w:val="24"/>
          <w:szCs w:val="24"/>
        </w:rPr>
        <w:t>.</w:t>
      </w:r>
    </w:p>
    <w:p w:rsidR="00200835" w:rsidRPr="000C7050" w:rsidRDefault="00F75B59" w:rsidP="00200835">
      <w:pPr>
        <w:spacing w:line="360" w:lineRule="auto"/>
        <w:ind w:left="426" w:right="15" w:hanging="426"/>
        <w:rPr>
          <w:rFonts w:eastAsia="Times New Roman" w:cstheme="minorHAnsi"/>
          <w:i/>
          <w:iCs/>
          <w:sz w:val="24"/>
          <w:szCs w:val="24"/>
        </w:rPr>
      </w:pPr>
      <w:r w:rsidRPr="000C7050">
        <w:rPr>
          <w:rFonts w:eastAsia="Times New Roman" w:cstheme="minorHAnsi"/>
          <w:sz w:val="24"/>
          <w:szCs w:val="24"/>
        </w:rPr>
        <w:t>M</w:t>
      </w:r>
      <w:r w:rsidR="00317D8A" w:rsidRPr="000C7050">
        <w:rPr>
          <w:rFonts w:eastAsia="Times New Roman" w:cstheme="minorHAnsi"/>
          <w:sz w:val="24"/>
          <w:szCs w:val="24"/>
        </w:rPr>
        <w:t>cCaig</w:t>
      </w:r>
      <w:r w:rsidR="00A65835" w:rsidRPr="000C7050">
        <w:rPr>
          <w:rFonts w:eastAsia="Times New Roman" w:cstheme="minorHAnsi"/>
          <w:sz w:val="24"/>
          <w:szCs w:val="24"/>
        </w:rPr>
        <w:t>, C. F</w:t>
      </w:r>
      <w:r w:rsidR="00317D8A" w:rsidRPr="000C7050">
        <w:rPr>
          <w:rFonts w:eastAsia="Times New Roman" w:cstheme="minorHAnsi"/>
          <w:sz w:val="24"/>
          <w:szCs w:val="24"/>
        </w:rPr>
        <w:t>orthcoming</w:t>
      </w:r>
      <w:r w:rsidR="00A65835" w:rsidRPr="000C7050">
        <w:rPr>
          <w:rFonts w:eastAsia="Times New Roman" w:cstheme="minorHAnsi"/>
          <w:sz w:val="24"/>
          <w:szCs w:val="24"/>
        </w:rPr>
        <w:t>.</w:t>
      </w:r>
      <w:r w:rsidR="00D62891" w:rsidRPr="000C7050">
        <w:rPr>
          <w:rFonts w:eastAsia="Times New Roman" w:cstheme="minorHAnsi"/>
          <w:i/>
          <w:iCs/>
          <w:sz w:val="24"/>
          <w:szCs w:val="24"/>
        </w:rPr>
        <w:t xml:space="preserve"> A retreat from widening p</w:t>
      </w:r>
      <w:r w:rsidR="00317D8A" w:rsidRPr="000C7050">
        <w:rPr>
          <w:rFonts w:eastAsia="Times New Roman" w:cstheme="minorHAnsi"/>
          <w:i/>
          <w:iCs/>
          <w:sz w:val="24"/>
          <w:szCs w:val="24"/>
        </w:rPr>
        <w:t>articipation? The National Scholarship Programme and new Access Agreements in English higher education</w:t>
      </w:r>
      <w:r w:rsidR="00D62891" w:rsidRPr="000C7050">
        <w:rPr>
          <w:rFonts w:eastAsia="Times New Roman" w:cstheme="minorHAnsi"/>
          <w:i/>
          <w:iCs/>
          <w:sz w:val="24"/>
          <w:szCs w:val="24"/>
        </w:rPr>
        <w:t>.</w:t>
      </w:r>
    </w:p>
    <w:p w:rsidR="00200835" w:rsidRPr="000C7050" w:rsidRDefault="00200835" w:rsidP="00200835">
      <w:pPr>
        <w:spacing w:line="360" w:lineRule="auto"/>
        <w:ind w:left="426" w:right="15" w:hanging="426"/>
        <w:rPr>
          <w:rFonts w:eastAsia="Times New Roman" w:cstheme="minorHAnsi"/>
          <w:i/>
          <w:iCs/>
          <w:sz w:val="24"/>
          <w:szCs w:val="24"/>
        </w:rPr>
      </w:pPr>
      <w:r w:rsidRPr="000C7050">
        <w:rPr>
          <w:rFonts w:cs="Times-Roman"/>
          <w:sz w:val="24"/>
          <w:szCs w:val="24"/>
        </w:rPr>
        <w:t xml:space="preserve">Moore, J. and F. </w:t>
      </w:r>
      <w:proofErr w:type="spellStart"/>
      <w:r w:rsidRPr="000C7050">
        <w:rPr>
          <w:rFonts w:cs="Times-Roman"/>
          <w:sz w:val="24"/>
          <w:szCs w:val="24"/>
        </w:rPr>
        <w:t>Dunworth</w:t>
      </w:r>
      <w:proofErr w:type="spellEnd"/>
      <w:r w:rsidRPr="000C7050">
        <w:rPr>
          <w:rFonts w:cs="Times-Roman"/>
          <w:sz w:val="24"/>
          <w:szCs w:val="24"/>
        </w:rPr>
        <w:t xml:space="preserve">. 2011. </w:t>
      </w:r>
      <w:r w:rsidRPr="000C7050">
        <w:rPr>
          <w:rFonts w:cs="Times-Italic"/>
          <w:i/>
          <w:iCs/>
          <w:sz w:val="24"/>
          <w:szCs w:val="24"/>
        </w:rPr>
        <w:t>Review of evidence from Aimhigher Area Partnerships of the impact of Aimhigher</w:t>
      </w:r>
      <w:r w:rsidRPr="000C7050">
        <w:rPr>
          <w:rFonts w:cs="Times-Roman"/>
          <w:sz w:val="24"/>
          <w:szCs w:val="24"/>
        </w:rPr>
        <w:t>.  London: Aimhigher.</w:t>
      </w:r>
    </w:p>
    <w:p w:rsidR="00F45101" w:rsidRPr="000C7050" w:rsidRDefault="00F45101" w:rsidP="00F45101">
      <w:pPr>
        <w:spacing w:line="360" w:lineRule="auto"/>
        <w:ind w:left="426" w:hanging="426"/>
        <w:rPr>
          <w:rFonts w:cstheme="minorHAnsi"/>
          <w:sz w:val="24"/>
          <w:szCs w:val="24"/>
        </w:rPr>
      </w:pPr>
      <w:r w:rsidRPr="000C7050">
        <w:rPr>
          <w:rFonts w:cstheme="minorHAnsi"/>
          <w:sz w:val="24"/>
          <w:szCs w:val="24"/>
        </w:rPr>
        <w:lastRenderedPageBreak/>
        <w:t xml:space="preserve">Newcastle University. 2012. </w:t>
      </w:r>
      <w:r w:rsidRPr="000C7050">
        <w:rPr>
          <w:rFonts w:cstheme="minorHAnsi"/>
          <w:i/>
          <w:sz w:val="24"/>
          <w:szCs w:val="24"/>
        </w:rPr>
        <w:t>Access Agreement 2012-13</w:t>
      </w:r>
      <w:r w:rsidRPr="000C7050">
        <w:rPr>
          <w:rFonts w:cstheme="minorHAnsi"/>
          <w:sz w:val="24"/>
          <w:szCs w:val="24"/>
        </w:rPr>
        <w:t>.  Newcastle: Newcastle University.</w:t>
      </w:r>
    </w:p>
    <w:p w:rsidR="00EC4B22" w:rsidRPr="000C7050" w:rsidRDefault="003601C6" w:rsidP="003E581D">
      <w:pPr>
        <w:pStyle w:val="Default"/>
        <w:spacing w:line="360" w:lineRule="auto"/>
        <w:ind w:left="426" w:hanging="426"/>
        <w:rPr>
          <w:rFonts w:asciiTheme="minorHAnsi" w:hAnsiTheme="minorHAnsi" w:cstheme="minorHAnsi"/>
          <w:color w:val="auto"/>
        </w:rPr>
      </w:pPr>
      <w:r w:rsidRPr="000C7050">
        <w:rPr>
          <w:rFonts w:asciiTheme="minorHAnsi" w:hAnsiTheme="minorHAnsi" w:cstheme="minorHAnsi"/>
          <w:color w:val="auto"/>
        </w:rPr>
        <w:t>Office for Fair Access. 2011.</w:t>
      </w:r>
      <w:r w:rsidR="00EC4B22" w:rsidRPr="000C7050">
        <w:rPr>
          <w:rFonts w:asciiTheme="minorHAnsi" w:hAnsiTheme="minorHAnsi" w:cstheme="minorHAnsi"/>
          <w:color w:val="auto"/>
        </w:rPr>
        <w:t xml:space="preserve"> </w:t>
      </w:r>
      <w:r w:rsidR="00EC4B22" w:rsidRPr="000C7050">
        <w:rPr>
          <w:rFonts w:asciiTheme="minorHAnsi" w:hAnsiTheme="minorHAnsi" w:cstheme="minorHAnsi"/>
          <w:i/>
          <w:color w:val="auto"/>
        </w:rPr>
        <w:t xml:space="preserve">How to produce an </w:t>
      </w:r>
      <w:r w:rsidRPr="000C7050">
        <w:rPr>
          <w:rFonts w:asciiTheme="minorHAnsi" w:hAnsiTheme="minorHAnsi" w:cstheme="minorHAnsi"/>
          <w:i/>
          <w:color w:val="auto"/>
        </w:rPr>
        <w:t>A</w:t>
      </w:r>
      <w:r w:rsidR="00EC4B22" w:rsidRPr="000C7050">
        <w:rPr>
          <w:rFonts w:asciiTheme="minorHAnsi" w:hAnsiTheme="minorHAnsi" w:cstheme="minorHAnsi"/>
          <w:i/>
          <w:color w:val="auto"/>
        </w:rPr>
        <w:t xml:space="preserve">ccess </w:t>
      </w:r>
      <w:r w:rsidRPr="000C7050">
        <w:rPr>
          <w:rFonts w:asciiTheme="minorHAnsi" w:hAnsiTheme="minorHAnsi" w:cstheme="minorHAnsi"/>
          <w:i/>
          <w:color w:val="auto"/>
        </w:rPr>
        <w:t>Agreement for 2012-13: g</w:t>
      </w:r>
      <w:r w:rsidR="00EC4B22" w:rsidRPr="000C7050">
        <w:rPr>
          <w:rFonts w:asciiTheme="minorHAnsi" w:hAnsiTheme="minorHAnsi" w:cstheme="minorHAnsi"/>
          <w:i/>
          <w:color w:val="auto"/>
        </w:rPr>
        <w:t>uidance</w:t>
      </w:r>
      <w:r w:rsidRPr="000C7050">
        <w:rPr>
          <w:rFonts w:asciiTheme="minorHAnsi" w:hAnsiTheme="minorHAnsi" w:cstheme="minorHAnsi"/>
          <w:color w:val="auto"/>
        </w:rPr>
        <w:t>.  Bristol: OFFA.</w:t>
      </w:r>
    </w:p>
    <w:p w:rsidR="00452844" w:rsidRPr="000C7050" w:rsidRDefault="003601C6" w:rsidP="003E581D">
      <w:pPr>
        <w:spacing w:line="360" w:lineRule="auto"/>
        <w:ind w:left="426" w:hanging="426"/>
        <w:outlineLvl w:val="0"/>
        <w:rPr>
          <w:rFonts w:cstheme="minorHAnsi"/>
          <w:sz w:val="24"/>
          <w:szCs w:val="24"/>
        </w:rPr>
      </w:pPr>
      <w:r w:rsidRPr="000C7050">
        <w:rPr>
          <w:rFonts w:eastAsia="Times New Roman" w:cstheme="minorHAnsi"/>
          <w:kern w:val="36"/>
          <w:sz w:val="24"/>
          <w:szCs w:val="24"/>
          <w:lang w:eastAsia="zh-CN"/>
        </w:rPr>
        <w:t>Office for Fair Access. 2012.</w:t>
      </w:r>
      <w:r w:rsidR="00452844" w:rsidRPr="000C7050">
        <w:rPr>
          <w:rFonts w:eastAsia="Times New Roman" w:cstheme="minorHAnsi"/>
          <w:kern w:val="36"/>
          <w:sz w:val="24"/>
          <w:szCs w:val="24"/>
          <w:lang w:eastAsia="zh-CN"/>
        </w:rPr>
        <w:t xml:space="preserve"> 2010-11 monitoring: institutions’ se</w:t>
      </w:r>
      <w:r w:rsidRPr="000C7050">
        <w:rPr>
          <w:rFonts w:eastAsia="Times New Roman" w:cstheme="minorHAnsi"/>
          <w:kern w:val="36"/>
          <w:sz w:val="24"/>
          <w:szCs w:val="24"/>
          <w:lang w:eastAsia="zh-CN"/>
        </w:rPr>
        <w:t>lf-assessments and commentaries.</w:t>
      </w:r>
      <w:r w:rsidR="00452844" w:rsidRPr="000C7050">
        <w:rPr>
          <w:rFonts w:eastAsia="Times New Roman" w:cstheme="minorHAnsi"/>
          <w:kern w:val="36"/>
          <w:sz w:val="24"/>
          <w:szCs w:val="24"/>
          <w:lang w:eastAsia="zh-CN"/>
        </w:rPr>
        <w:t xml:space="preserve"> </w:t>
      </w:r>
      <w:r w:rsidRPr="000C7050">
        <w:rPr>
          <w:rFonts w:cstheme="minorHAnsi"/>
          <w:sz w:val="24"/>
          <w:szCs w:val="24"/>
        </w:rPr>
        <w:t>www.offa.org.uk/universitiesand-colleges/monitoring/2010-11-monitoringinstitutions-commentaries.  Last accessed 5</w:t>
      </w:r>
      <w:r w:rsidRPr="000C7050">
        <w:rPr>
          <w:rFonts w:cstheme="minorHAnsi"/>
          <w:sz w:val="24"/>
          <w:szCs w:val="24"/>
          <w:vertAlign w:val="superscript"/>
        </w:rPr>
        <w:t>th</w:t>
      </w:r>
      <w:r w:rsidRPr="000C7050">
        <w:rPr>
          <w:rFonts w:cstheme="minorHAnsi"/>
          <w:sz w:val="24"/>
          <w:szCs w:val="24"/>
        </w:rPr>
        <w:t xml:space="preserve"> May 2013.</w:t>
      </w:r>
    </w:p>
    <w:p w:rsidR="003601C6" w:rsidRPr="000C7050" w:rsidRDefault="003601C6" w:rsidP="003E581D">
      <w:pPr>
        <w:autoSpaceDE w:val="0"/>
        <w:autoSpaceDN w:val="0"/>
        <w:adjustRightInd w:val="0"/>
        <w:spacing w:line="360" w:lineRule="auto"/>
        <w:ind w:left="426" w:hanging="426"/>
        <w:rPr>
          <w:rFonts w:cstheme="minorHAnsi"/>
          <w:sz w:val="24"/>
          <w:szCs w:val="24"/>
        </w:rPr>
      </w:pPr>
      <w:r w:rsidRPr="000C7050">
        <w:rPr>
          <w:rFonts w:cstheme="minorHAnsi"/>
          <w:sz w:val="24"/>
          <w:szCs w:val="24"/>
        </w:rPr>
        <w:t xml:space="preserve">Office for Fair Access and Higher Education Funding Council for England. 2012. </w:t>
      </w:r>
      <w:r w:rsidRPr="000C7050">
        <w:rPr>
          <w:rFonts w:cstheme="minorHAnsi"/>
          <w:i/>
          <w:sz w:val="24"/>
          <w:szCs w:val="24"/>
        </w:rPr>
        <w:t>Access Agreement and widening participation strategic assessment monitoring: outcomes for 2010-11</w:t>
      </w:r>
      <w:r w:rsidRPr="000C7050">
        <w:rPr>
          <w:rFonts w:cstheme="minorHAnsi"/>
          <w:sz w:val="24"/>
          <w:szCs w:val="24"/>
        </w:rPr>
        <w:t>. Bristol: OFFA/HEFCE.</w:t>
      </w:r>
    </w:p>
    <w:p w:rsidR="00F4649E" w:rsidRPr="009F08B4" w:rsidRDefault="00F4649E" w:rsidP="00F4649E">
      <w:pPr>
        <w:pStyle w:val="Default"/>
        <w:spacing w:line="360" w:lineRule="auto"/>
        <w:ind w:left="426" w:hanging="426"/>
        <w:rPr>
          <w:rFonts w:asciiTheme="minorHAnsi" w:hAnsiTheme="minorHAnsi" w:cstheme="minorHAnsi"/>
          <w:color w:val="auto"/>
        </w:rPr>
      </w:pPr>
      <w:r w:rsidRPr="000C7050">
        <w:rPr>
          <w:rFonts w:asciiTheme="minorHAnsi" w:hAnsiTheme="minorHAnsi" w:cstheme="minorHAnsi"/>
          <w:color w:val="auto"/>
        </w:rPr>
        <w:t xml:space="preserve">Office for Fair Access. 2013. </w:t>
      </w:r>
      <w:r w:rsidRPr="000C7050">
        <w:rPr>
          <w:rFonts w:asciiTheme="minorHAnsi" w:hAnsiTheme="minorHAnsi" w:cstheme="minorHAnsi"/>
          <w:i/>
          <w:color w:val="auto"/>
        </w:rPr>
        <w:t>How to produce an Access Agreement for 2014-15: guidance</w:t>
      </w:r>
      <w:r w:rsidRPr="000C7050">
        <w:rPr>
          <w:rFonts w:asciiTheme="minorHAnsi" w:hAnsiTheme="minorHAnsi" w:cstheme="minorHAnsi"/>
          <w:color w:val="auto"/>
        </w:rPr>
        <w:t xml:space="preserve">.  Bristol: </w:t>
      </w:r>
      <w:r w:rsidRPr="009F08B4">
        <w:rPr>
          <w:rFonts w:asciiTheme="minorHAnsi" w:hAnsiTheme="minorHAnsi" w:cstheme="minorHAnsi"/>
          <w:color w:val="auto"/>
        </w:rPr>
        <w:t>OFFA.</w:t>
      </w:r>
    </w:p>
    <w:p w:rsidR="009F08B4" w:rsidRPr="009F08B4" w:rsidRDefault="00F4649E" w:rsidP="003E581D">
      <w:pPr>
        <w:pStyle w:val="Heading1"/>
        <w:spacing w:before="0" w:beforeAutospacing="0" w:after="0" w:afterAutospacing="0" w:line="360" w:lineRule="auto"/>
        <w:ind w:left="426" w:hanging="426"/>
        <w:rPr>
          <w:rFonts w:asciiTheme="minorHAnsi" w:hAnsiTheme="minorHAnsi" w:cstheme="minorHAnsi"/>
          <w:b w:val="0"/>
          <w:color w:val="auto"/>
          <w:sz w:val="24"/>
          <w:szCs w:val="24"/>
        </w:rPr>
      </w:pPr>
      <w:r w:rsidRPr="009F08B4">
        <w:rPr>
          <w:rFonts w:asciiTheme="minorHAnsi" w:hAnsiTheme="minorHAnsi" w:cstheme="minorHAnsi"/>
          <w:b w:val="0"/>
          <w:color w:val="auto"/>
          <w:sz w:val="24"/>
          <w:szCs w:val="24"/>
        </w:rPr>
        <w:t xml:space="preserve">Office for Fair Access/Higher Education Funding Council for England. 2013. </w:t>
      </w:r>
      <w:r w:rsidRPr="009F08B4">
        <w:rPr>
          <w:rFonts w:asciiTheme="minorHAnsi" w:hAnsiTheme="minorHAnsi" w:cstheme="minorHAnsi"/>
          <w:b w:val="0"/>
          <w:i/>
          <w:iCs/>
          <w:color w:val="auto"/>
          <w:sz w:val="24"/>
          <w:szCs w:val="24"/>
        </w:rPr>
        <w:t>Access agreements and widening participation strategic assessment 2011-12 and National Scholarship Programme 2012-13 (in year) monitoring outcomes</w:t>
      </w:r>
      <w:r w:rsidRPr="009F08B4">
        <w:rPr>
          <w:rFonts w:asciiTheme="minorHAnsi" w:hAnsiTheme="minorHAnsi" w:cstheme="minorHAnsi"/>
          <w:b w:val="0"/>
          <w:color w:val="auto"/>
          <w:sz w:val="24"/>
          <w:szCs w:val="24"/>
        </w:rPr>
        <w:t>. Bristol: OFFA/HEFCE.</w:t>
      </w:r>
    </w:p>
    <w:p w:rsidR="003E581D" w:rsidRPr="000C7050" w:rsidRDefault="00C62917" w:rsidP="003E581D">
      <w:pPr>
        <w:pStyle w:val="Heading1"/>
        <w:spacing w:before="0" w:beforeAutospacing="0" w:after="0" w:afterAutospacing="0" w:line="360" w:lineRule="auto"/>
        <w:ind w:left="426" w:hanging="426"/>
        <w:rPr>
          <w:rFonts w:asciiTheme="minorHAnsi" w:hAnsiTheme="minorHAnsi" w:cs="Plantin"/>
          <w:b w:val="0"/>
          <w:color w:val="auto"/>
          <w:sz w:val="24"/>
          <w:szCs w:val="24"/>
        </w:rPr>
      </w:pPr>
      <w:r w:rsidRPr="000C7050">
        <w:rPr>
          <w:rFonts w:asciiTheme="minorHAnsi" w:hAnsiTheme="minorHAnsi" w:cstheme="minorHAnsi"/>
          <w:b w:val="0"/>
          <w:color w:val="auto"/>
          <w:sz w:val="24"/>
          <w:szCs w:val="24"/>
        </w:rPr>
        <w:t xml:space="preserve">Office for National Statistics. 2013.  </w:t>
      </w:r>
      <w:r w:rsidRPr="000C7050">
        <w:rPr>
          <w:rFonts w:asciiTheme="minorHAnsi" w:hAnsiTheme="minorHAnsi"/>
          <w:b w:val="0"/>
          <w:i/>
          <w:color w:val="auto"/>
          <w:sz w:val="24"/>
          <w:szCs w:val="24"/>
        </w:rPr>
        <w:t>The National Statistics Socio-economic Classification (NS-SEC rebased on the SOC2010)</w:t>
      </w:r>
      <w:r w:rsidR="003601C6" w:rsidRPr="000C7050">
        <w:rPr>
          <w:rFonts w:asciiTheme="minorHAnsi" w:hAnsiTheme="minorHAnsi"/>
          <w:b w:val="0"/>
          <w:color w:val="auto"/>
          <w:sz w:val="24"/>
          <w:szCs w:val="24"/>
        </w:rPr>
        <w:t xml:space="preserve">.  </w:t>
      </w:r>
      <w:r w:rsidRPr="000C7050">
        <w:rPr>
          <w:rFonts w:asciiTheme="minorHAnsi" w:hAnsiTheme="minorHAnsi" w:cs="Plantin-Italic"/>
          <w:b w:val="0"/>
          <w:iCs/>
          <w:color w:val="auto"/>
          <w:sz w:val="24"/>
          <w:szCs w:val="24"/>
        </w:rPr>
        <w:t>www.ons.gov.uk/ons/guide-method/classifications/current-standard-classifications/soc2010/soc2010-volume-3-ns-sec--rebased-on-soc2010--user-manual/index.html.</w:t>
      </w:r>
      <w:r w:rsidRPr="000C7050">
        <w:rPr>
          <w:rFonts w:asciiTheme="minorHAnsi" w:hAnsiTheme="minorHAnsi" w:cs="Plantin-Italic"/>
          <w:b w:val="0"/>
          <w:i/>
          <w:iCs/>
          <w:color w:val="auto"/>
          <w:sz w:val="24"/>
          <w:szCs w:val="24"/>
        </w:rPr>
        <w:t xml:space="preserve"> </w:t>
      </w:r>
      <w:r w:rsidRPr="000C7050">
        <w:rPr>
          <w:rFonts w:asciiTheme="minorHAnsi" w:hAnsiTheme="minorHAnsi" w:cs="Plantin-Italic"/>
          <w:b w:val="0"/>
          <w:iCs/>
          <w:color w:val="auto"/>
          <w:sz w:val="24"/>
          <w:szCs w:val="24"/>
        </w:rPr>
        <w:t>Last a</w:t>
      </w:r>
      <w:r w:rsidRPr="000C7050">
        <w:rPr>
          <w:rFonts w:asciiTheme="minorHAnsi" w:hAnsiTheme="minorHAnsi" w:cs="Plantin"/>
          <w:b w:val="0"/>
          <w:color w:val="auto"/>
          <w:sz w:val="24"/>
          <w:szCs w:val="24"/>
        </w:rPr>
        <w:t xml:space="preserve">ccessed on </w:t>
      </w:r>
      <w:r w:rsidR="00464AE1" w:rsidRPr="000C7050">
        <w:rPr>
          <w:rFonts w:asciiTheme="minorHAnsi" w:hAnsiTheme="minorHAnsi" w:cs="Plantin"/>
          <w:b w:val="0"/>
          <w:color w:val="auto"/>
          <w:sz w:val="24"/>
          <w:szCs w:val="24"/>
        </w:rPr>
        <w:t>3rd May 2013</w:t>
      </w:r>
      <w:r w:rsidRPr="000C7050">
        <w:rPr>
          <w:rFonts w:asciiTheme="minorHAnsi" w:hAnsiTheme="minorHAnsi" w:cs="Plantin"/>
          <w:b w:val="0"/>
          <w:color w:val="auto"/>
          <w:sz w:val="24"/>
          <w:szCs w:val="24"/>
        </w:rPr>
        <w:t>.</w:t>
      </w:r>
    </w:p>
    <w:p w:rsidR="003E581D" w:rsidRPr="000C7050" w:rsidRDefault="003E581D" w:rsidP="003E581D">
      <w:pPr>
        <w:pStyle w:val="Heading1"/>
        <w:spacing w:before="0" w:beforeAutospacing="0" w:after="0" w:afterAutospacing="0" w:line="360" w:lineRule="auto"/>
        <w:ind w:left="426" w:hanging="426"/>
        <w:rPr>
          <w:rFonts w:asciiTheme="minorHAnsi" w:hAnsiTheme="minorHAnsi" w:cs="Plantin"/>
          <w:b w:val="0"/>
          <w:color w:val="auto"/>
          <w:sz w:val="24"/>
          <w:szCs w:val="24"/>
        </w:rPr>
      </w:pPr>
      <w:r w:rsidRPr="000C7050">
        <w:rPr>
          <w:rFonts w:asciiTheme="minorHAnsi" w:hAnsiTheme="minorHAnsi" w:cs="Times-Roman"/>
          <w:b w:val="0"/>
          <w:color w:val="auto"/>
          <w:sz w:val="24"/>
          <w:szCs w:val="24"/>
        </w:rPr>
        <w:t xml:space="preserve">Passy, R. and M. Morris. 2010. </w:t>
      </w:r>
      <w:r w:rsidRPr="000C7050">
        <w:rPr>
          <w:rFonts w:asciiTheme="minorHAnsi" w:hAnsiTheme="minorHAnsi" w:cs="Times-Italic"/>
          <w:b w:val="0"/>
          <w:i/>
          <w:iCs/>
          <w:color w:val="auto"/>
          <w:sz w:val="24"/>
          <w:szCs w:val="24"/>
        </w:rPr>
        <w:t>Evaluation of Aimhigher: learner attainment and</w:t>
      </w:r>
      <w:r w:rsidRPr="000C7050">
        <w:rPr>
          <w:rFonts w:asciiTheme="minorHAnsi" w:hAnsiTheme="minorHAnsi" w:cs="Plantin"/>
          <w:b w:val="0"/>
          <w:color w:val="auto"/>
          <w:sz w:val="24"/>
          <w:szCs w:val="24"/>
        </w:rPr>
        <w:t xml:space="preserve"> </w:t>
      </w:r>
      <w:r w:rsidRPr="000C7050">
        <w:rPr>
          <w:rFonts w:asciiTheme="minorHAnsi" w:hAnsiTheme="minorHAnsi" w:cs="Times-Italic"/>
          <w:b w:val="0"/>
          <w:i/>
          <w:iCs/>
          <w:color w:val="auto"/>
          <w:sz w:val="24"/>
          <w:szCs w:val="24"/>
        </w:rPr>
        <w:t>progression</w:t>
      </w:r>
      <w:r w:rsidRPr="000C7050">
        <w:rPr>
          <w:rFonts w:asciiTheme="minorHAnsi" w:hAnsiTheme="minorHAnsi" w:cs="Times-Roman"/>
          <w:b w:val="0"/>
          <w:color w:val="auto"/>
          <w:sz w:val="24"/>
          <w:szCs w:val="24"/>
        </w:rPr>
        <w:t>. Slough: National Foundation for Educational Research.</w:t>
      </w:r>
    </w:p>
    <w:p w:rsidR="00AE4275" w:rsidRPr="000C7050" w:rsidRDefault="006F5ACF" w:rsidP="003E581D">
      <w:pPr>
        <w:spacing w:line="360" w:lineRule="auto"/>
        <w:ind w:left="426" w:hanging="426"/>
        <w:rPr>
          <w:rFonts w:cs="RealpagePAL3"/>
          <w:sz w:val="24"/>
          <w:szCs w:val="24"/>
        </w:rPr>
      </w:pPr>
      <w:r w:rsidRPr="000C7050">
        <w:rPr>
          <w:rFonts w:cs="RealpagePAL3"/>
          <w:sz w:val="24"/>
          <w:szCs w:val="24"/>
        </w:rPr>
        <w:t>Thomas, L. 2001.</w:t>
      </w:r>
      <w:r w:rsidR="00AE4275" w:rsidRPr="000C7050">
        <w:rPr>
          <w:rFonts w:cs="RealpagePAL3"/>
          <w:sz w:val="24"/>
          <w:szCs w:val="24"/>
        </w:rPr>
        <w:t xml:space="preserve"> Power, assumptions and prescriptions: A critique of</w:t>
      </w:r>
      <w:r w:rsidR="00AE4275" w:rsidRPr="000C7050">
        <w:rPr>
          <w:rFonts w:cs="Arial"/>
          <w:sz w:val="24"/>
          <w:szCs w:val="24"/>
        </w:rPr>
        <w:t xml:space="preserve"> </w:t>
      </w:r>
      <w:r w:rsidR="00AE4275" w:rsidRPr="000C7050">
        <w:rPr>
          <w:rFonts w:cs="RealpagePAL3"/>
          <w:sz w:val="24"/>
          <w:szCs w:val="24"/>
        </w:rPr>
        <w:t>widen</w:t>
      </w:r>
      <w:r w:rsidRPr="000C7050">
        <w:rPr>
          <w:rFonts w:cs="RealpagePAL3"/>
          <w:sz w:val="24"/>
          <w:szCs w:val="24"/>
        </w:rPr>
        <w:t>ing participation policy-making.</w:t>
      </w:r>
      <w:r w:rsidR="00AE4275" w:rsidRPr="000C7050">
        <w:rPr>
          <w:rFonts w:cs="RealpagePAL3"/>
          <w:sz w:val="24"/>
          <w:szCs w:val="24"/>
        </w:rPr>
        <w:t xml:space="preserve"> </w:t>
      </w:r>
      <w:r w:rsidR="00AE4275" w:rsidRPr="000C7050">
        <w:rPr>
          <w:rFonts w:cs="RealpagePAL3-Italic"/>
          <w:i/>
          <w:iCs/>
          <w:sz w:val="24"/>
          <w:szCs w:val="24"/>
        </w:rPr>
        <w:t>Higher Education Policy</w:t>
      </w:r>
      <w:r w:rsidR="00AE4275" w:rsidRPr="000C7050">
        <w:rPr>
          <w:rFonts w:cs="RealpagePAL3"/>
          <w:sz w:val="24"/>
          <w:szCs w:val="24"/>
        </w:rPr>
        <w:t xml:space="preserve"> 14, </w:t>
      </w:r>
      <w:r w:rsidRPr="000C7050">
        <w:rPr>
          <w:rFonts w:cs="RealpagePAL3"/>
          <w:sz w:val="24"/>
          <w:szCs w:val="24"/>
        </w:rPr>
        <w:t xml:space="preserve">no. </w:t>
      </w:r>
      <w:r w:rsidR="00AE4275" w:rsidRPr="000C7050">
        <w:rPr>
          <w:rFonts w:cs="RealpagePAL3"/>
          <w:sz w:val="24"/>
          <w:szCs w:val="24"/>
        </w:rPr>
        <w:t>4: 361–76.</w:t>
      </w:r>
    </w:p>
    <w:p w:rsidR="008B69B0" w:rsidRPr="000C7050" w:rsidRDefault="008B69B0" w:rsidP="003E581D">
      <w:pPr>
        <w:autoSpaceDE w:val="0"/>
        <w:autoSpaceDN w:val="0"/>
        <w:adjustRightInd w:val="0"/>
        <w:spacing w:line="360" w:lineRule="auto"/>
        <w:ind w:left="426" w:hanging="426"/>
        <w:rPr>
          <w:rFonts w:eastAsia="Times New Roman" w:cstheme="minorHAnsi"/>
          <w:kern w:val="36"/>
          <w:sz w:val="24"/>
          <w:szCs w:val="24"/>
          <w:lang w:eastAsia="zh-CN"/>
        </w:rPr>
      </w:pPr>
      <w:r w:rsidRPr="000C7050">
        <w:rPr>
          <w:rFonts w:cstheme="minorHAnsi"/>
          <w:sz w:val="24"/>
          <w:szCs w:val="24"/>
        </w:rPr>
        <w:t xml:space="preserve">Times Higher Education. 2001. Pressure to extend postcode premium.  </w:t>
      </w:r>
      <w:r w:rsidR="006F5ACF" w:rsidRPr="000C7050">
        <w:rPr>
          <w:rFonts w:cstheme="minorHAnsi"/>
          <w:i/>
          <w:sz w:val="24"/>
          <w:szCs w:val="24"/>
        </w:rPr>
        <w:t>Times Higher Education Supplement</w:t>
      </w:r>
      <w:r w:rsidR="006F5ACF" w:rsidRPr="000C7050">
        <w:rPr>
          <w:rFonts w:cstheme="minorHAnsi"/>
          <w:sz w:val="24"/>
          <w:szCs w:val="24"/>
        </w:rPr>
        <w:t xml:space="preserve">. </w:t>
      </w:r>
      <w:r w:rsidRPr="000C7050">
        <w:rPr>
          <w:rFonts w:cstheme="minorHAnsi"/>
          <w:sz w:val="24"/>
          <w:szCs w:val="24"/>
        </w:rPr>
        <w:t>16</w:t>
      </w:r>
      <w:r w:rsidRPr="000C7050">
        <w:rPr>
          <w:rFonts w:cstheme="minorHAnsi"/>
          <w:sz w:val="24"/>
          <w:szCs w:val="24"/>
          <w:vertAlign w:val="superscript"/>
        </w:rPr>
        <w:t>th</w:t>
      </w:r>
      <w:r w:rsidRPr="000C7050">
        <w:rPr>
          <w:rFonts w:cstheme="minorHAnsi"/>
          <w:sz w:val="24"/>
          <w:szCs w:val="24"/>
        </w:rPr>
        <w:t xml:space="preserve"> February 2001.  www.timeshighereducation.co.uk/157426.article.</w:t>
      </w:r>
    </w:p>
    <w:p w:rsidR="0054404D" w:rsidRPr="000C7050" w:rsidRDefault="006F5ACF" w:rsidP="003E581D">
      <w:pPr>
        <w:spacing w:line="360" w:lineRule="auto"/>
        <w:ind w:left="426" w:hanging="426"/>
        <w:rPr>
          <w:rFonts w:cstheme="minorHAnsi"/>
          <w:sz w:val="24"/>
          <w:szCs w:val="24"/>
        </w:rPr>
      </w:pPr>
      <w:r w:rsidRPr="000C7050">
        <w:rPr>
          <w:rFonts w:cstheme="minorHAnsi"/>
          <w:sz w:val="24"/>
          <w:szCs w:val="24"/>
        </w:rPr>
        <w:t>Universities and Colleges Admissions Service. 2012.</w:t>
      </w:r>
      <w:r w:rsidR="0054404D" w:rsidRPr="000C7050">
        <w:rPr>
          <w:rFonts w:cstheme="minorHAnsi"/>
          <w:sz w:val="24"/>
          <w:szCs w:val="24"/>
        </w:rPr>
        <w:t xml:space="preserve"> </w:t>
      </w:r>
      <w:r w:rsidR="0054404D" w:rsidRPr="000C7050">
        <w:rPr>
          <w:rFonts w:cstheme="minorHAnsi"/>
          <w:i/>
          <w:sz w:val="24"/>
          <w:szCs w:val="24"/>
        </w:rPr>
        <w:t>How have applications for full-time undergraduate higher education in the UK changed in 2012?</w:t>
      </w:r>
      <w:r w:rsidR="0054404D" w:rsidRPr="000C7050">
        <w:rPr>
          <w:rFonts w:cstheme="minorHAnsi"/>
          <w:sz w:val="24"/>
          <w:szCs w:val="24"/>
        </w:rPr>
        <w:t xml:space="preserve"> </w:t>
      </w:r>
      <w:r w:rsidRPr="000C7050">
        <w:rPr>
          <w:rFonts w:cstheme="minorHAnsi"/>
          <w:sz w:val="24"/>
          <w:szCs w:val="24"/>
        </w:rPr>
        <w:t>Cheltenham: UCAS.</w:t>
      </w:r>
    </w:p>
    <w:p w:rsidR="00285C48" w:rsidRPr="000C7050" w:rsidRDefault="00285C48" w:rsidP="003E581D">
      <w:pPr>
        <w:spacing w:line="360" w:lineRule="auto"/>
        <w:ind w:left="426" w:hanging="426"/>
        <w:rPr>
          <w:rFonts w:cstheme="minorHAnsi"/>
          <w:sz w:val="24"/>
          <w:szCs w:val="24"/>
        </w:rPr>
      </w:pPr>
      <w:r w:rsidRPr="000C7050">
        <w:rPr>
          <w:rFonts w:cstheme="minorHAnsi"/>
          <w:sz w:val="24"/>
          <w:szCs w:val="24"/>
        </w:rPr>
        <w:t xml:space="preserve">University of Bristol. 2012. </w:t>
      </w:r>
      <w:r w:rsidRPr="000C7050">
        <w:rPr>
          <w:rFonts w:cstheme="minorHAnsi"/>
          <w:i/>
          <w:sz w:val="24"/>
          <w:szCs w:val="24"/>
        </w:rPr>
        <w:t>Access Agreement</w:t>
      </w:r>
      <w:r w:rsidR="00F45101" w:rsidRPr="000C7050">
        <w:rPr>
          <w:rFonts w:cstheme="minorHAnsi"/>
          <w:i/>
          <w:sz w:val="24"/>
          <w:szCs w:val="24"/>
        </w:rPr>
        <w:t>:</w:t>
      </w:r>
      <w:r w:rsidRPr="000C7050">
        <w:rPr>
          <w:rFonts w:cstheme="minorHAnsi"/>
          <w:i/>
          <w:sz w:val="24"/>
          <w:szCs w:val="24"/>
        </w:rPr>
        <w:t xml:space="preserve"> 2012</w:t>
      </w:r>
      <w:r w:rsidR="00F45101" w:rsidRPr="000C7050">
        <w:rPr>
          <w:rFonts w:cstheme="minorHAnsi"/>
          <w:i/>
          <w:sz w:val="24"/>
          <w:szCs w:val="24"/>
        </w:rPr>
        <w:t xml:space="preserve"> entry</w:t>
      </w:r>
      <w:r w:rsidRPr="000C7050">
        <w:rPr>
          <w:rFonts w:cstheme="minorHAnsi"/>
          <w:sz w:val="24"/>
          <w:szCs w:val="24"/>
        </w:rPr>
        <w:t>.  Bristol: University of Bristol.</w:t>
      </w:r>
    </w:p>
    <w:p w:rsidR="00285C48" w:rsidRPr="000C7050" w:rsidRDefault="00285C48" w:rsidP="003E581D">
      <w:pPr>
        <w:spacing w:line="360" w:lineRule="auto"/>
        <w:ind w:left="426" w:hanging="426"/>
        <w:rPr>
          <w:rFonts w:cstheme="minorHAnsi"/>
          <w:sz w:val="24"/>
          <w:szCs w:val="24"/>
        </w:rPr>
      </w:pPr>
      <w:r w:rsidRPr="000C7050">
        <w:rPr>
          <w:rFonts w:cstheme="minorHAnsi"/>
          <w:sz w:val="24"/>
          <w:szCs w:val="24"/>
        </w:rPr>
        <w:t xml:space="preserve">University of Nottingham. 2012. </w:t>
      </w:r>
      <w:r w:rsidRPr="000C7050">
        <w:rPr>
          <w:rFonts w:cstheme="minorHAnsi"/>
          <w:i/>
          <w:sz w:val="24"/>
          <w:szCs w:val="24"/>
        </w:rPr>
        <w:t xml:space="preserve">Access Agreement </w:t>
      </w:r>
      <w:r w:rsidR="00F45101" w:rsidRPr="000C7050">
        <w:rPr>
          <w:rFonts w:cstheme="minorHAnsi"/>
          <w:i/>
          <w:sz w:val="24"/>
          <w:szCs w:val="24"/>
        </w:rPr>
        <w:t xml:space="preserve">for </w:t>
      </w:r>
      <w:r w:rsidRPr="000C7050">
        <w:rPr>
          <w:rFonts w:cstheme="minorHAnsi"/>
          <w:i/>
          <w:sz w:val="24"/>
          <w:szCs w:val="24"/>
        </w:rPr>
        <w:t>2012</w:t>
      </w:r>
      <w:r w:rsidR="00F45101" w:rsidRPr="000C7050">
        <w:rPr>
          <w:rFonts w:cstheme="minorHAnsi"/>
          <w:i/>
          <w:sz w:val="24"/>
          <w:szCs w:val="24"/>
        </w:rPr>
        <w:t xml:space="preserve"> entry</w:t>
      </w:r>
      <w:r w:rsidRPr="000C7050">
        <w:rPr>
          <w:rFonts w:cstheme="minorHAnsi"/>
          <w:sz w:val="24"/>
          <w:szCs w:val="24"/>
        </w:rPr>
        <w:t>.  Nottingham: University of Nottingham.</w:t>
      </w:r>
    </w:p>
    <w:p w:rsidR="00285C48" w:rsidRPr="000C7050" w:rsidRDefault="00285C48" w:rsidP="003E581D">
      <w:pPr>
        <w:spacing w:line="360" w:lineRule="auto"/>
        <w:ind w:left="426" w:hanging="426"/>
        <w:rPr>
          <w:rFonts w:cstheme="minorHAnsi"/>
          <w:sz w:val="24"/>
          <w:szCs w:val="24"/>
        </w:rPr>
      </w:pPr>
      <w:r w:rsidRPr="000C7050">
        <w:rPr>
          <w:rFonts w:cstheme="minorHAnsi"/>
          <w:sz w:val="24"/>
          <w:szCs w:val="24"/>
        </w:rPr>
        <w:t xml:space="preserve">University of Southampton. 2012. </w:t>
      </w:r>
      <w:r w:rsidR="00F45101" w:rsidRPr="000C7050">
        <w:rPr>
          <w:rFonts w:cstheme="minorHAnsi"/>
          <w:i/>
          <w:sz w:val="24"/>
          <w:szCs w:val="24"/>
        </w:rPr>
        <w:t xml:space="preserve">2012/13 </w:t>
      </w:r>
      <w:r w:rsidRPr="000C7050">
        <w:rPr>
          <w:rFonts w:cstheme="minorHAnsi"/>
          <w:i/>
          <w:sz w:val="24"/>
          <w:szCs w:val="24"/>
        </w:rPr>
        <w:t>Access Agreement</w:t>
      </w:r>
      <w:r w:rsidRPr="000C7050">
        <w:rPr>
          <w:rFonts w:cstheme="minorHAnsi"/>
          <w:sz w:val="24"/>
          <w:szCs w:val="24"/>
        </w:rPr>
        <w:t>.  Southampton: University of Southampton.</w:t>
      </w:r>
    </w:p>
    <w:p w:rsidR="00285C48" w:rsidRPr="009C16CF" w:rsidRDefault="00285C48" w:rsidP="003E581D">
      <w:pPr>
        <w:spacing w:line="360" w:lineRule="auto"/>
        <w:ind w:left="426" w:hanging="426"/>
        <w:rPr>
          <w:rFonts w:cstheme="minorHAnsi"/>
          <w:sz w:val="24"/>
          <w:szCs w:val="24"/>
        </w:rPr>
      </w:pPr>
    </w:p>
    <w:sectPr w:rsidR="00285C48" w:rsidRPr="009C16CF" w:rsidSect="00F1364D">
      <w:footerReference w:type="default" r:id="rId8"/>
      <w:endnotePr>
        <w:numFmt w:val="decimal"/>
      </w:end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8FE" w:rsidRDefault="002328FE" w:rsidP="0098493C">
      <w:pPr>
        <w:spacing w:line="240" w:lineRule="auto"/>
      </w:pPr>
      <w:r>
        <w:separator/>
      </w:r>
    </w:p>
  </w:endnote>
  <w:endnote w:type="continuationSeparator" w:id="0">
    <w:p w:rsidR="002328FE" w:rsidRDefault="002328FE" w:rsidP="0098493C">
      <w:pPr>
        <w:spacing w:line="240" w:lineRule="auto"/>
      </w:pPr>
      <w:r>
        <w:continuationSeparator/>
      </w:r>
    </w:p>
  </w:endnote>
  <w:endnote w:id="1">
    <w:p w:rsidR="00667E8C" w:rsidRDefault="00667E8C">
      <w:pPr>
        <w:pStyle w:val="EndnoteText"/>
      </w:pPr>
      <w:r>
        <w:rPr>
          <w:rStyle w:val="EndnoteReference"/>
        </w:rPr>
        <w:endnoteRef/>
      </w:r>
      <w:r>
        <w:t xml:space="preserve"> For simplicity, the word ‘university’ is used throughout to refer to any institution offering higher education.</w:t>
      </w:r>
    </w:p>
  </w:endnote>
  <w:endnote w:id="2">
    <w:p w:rsidR="00667E8C" w:rsidRDefault="00667E8C" w:rsidP="004C21C3">
      <w:pPr>
        <w:pStyle w:val="EndnoteText"/>
      </w:pPr>
      <w:r>
        <w:rPr>
          <w:rStyle w:val="EndnoteReference"/>
        </w:rPr>
        <w:endnoteRef/>
      </w:r>
      <w:r>
        <w:t xml:space="preserve"> ‘POLAR’ will be used to refer to the methodology, with ‘POLAR1’, ‘POLAR2’ and ‘POLAR3’ referring to the three datasets released to date, from 2005, 2007 and 2012.</w:t>
      </w:r>
    </w:p>
  </w:endnote>
  <w:endnote w:id="3">
    <w:p w:rsidR="00667E8C" w:rsidRDefault="00667E8C">
      <w:pPr>
        <w:pStyle w:val="EndnoteText"/>
      </w:pPr>
      <w:r>
        <w:rPr>
          <w:rStyle w:val="EndnoteReference"/>
        </w:rPr>
        <w:endnoteRef/>
      </w:r>
      <w:r>
        <w:t xml:space="preserve"> The 2001 Census data is reported throughout as this articulates fully with the ward boundaries used in the POLAR2 and POLAR3 datasets, unlike the 2011 Census data.  Investigation of the data suggests no particular changes between 2001 and 2011 that would compromise the analysis.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abon-Roman">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AdvOT40514f85">
    <w:panose1 w:val="00000000000000000000"/>
    <w:charset w:val="00"/>
    <w:family w:val="roman"/>
    <w:notTrueType/>
    <w:pitch w:val="default"/>
    <w:sig w:usb0="00000003" w:usb1="00000000" w:usb2="00000000" w:usb3="00000000" w:csb0="00000001" w:csb1="00000000"/>
  </w:font>
  <w:font w:name="AdvOTdf4e37e1.I">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Plantin-Italic">
    <w:panose1 w:val="00000000000000000000"/>
    <w:charset w:val="00"/>
    <w:family w:val="roman"/>
    <w:notTrueType/>
    <w:pitch w:val="default"/>
    <w:sig w:usb0="00000003" w:usb1="00000000" w:usb2="00000000" w:usb3="00000000" w:csb0="00000001" w:csb1="00000000"/>
  </w:font>
  <w:font w:name="RealpagePAL3">
    <w:panose1 w:val="00000000000000000000"/>
    <w:charset w:val="00"/>
    <w:family w:val="swiss"/>
    <w:notTrueType/>
    <w:pitch w:val="default"/>
    <w:sig w:usb0="00000003" w:usb1="00000000" w:usb2="00000000" w:usb3="00000000" w:csb0="00000001" w:csb1="00000000"/>
  </w:font>
  <w:font w:name="RealpagePAL3-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2821"/>
      <w:docPartObj>
        <w:docPartGallery w:val="Page Numbers (Bottom of Page)"/>
        <w:docPartUnique/>
      </w:docPartObj>
    </w:sdtPr>
    <w:sdtEndPr>
      <w:rPr>
        <w:noProof/>
      </w:rPr>
    </w:sdtEndPr>
    <w:sdtContent>
      <w:p w:rsidR="00667E8C" w:rsidRDefault="00942B35">
        <w:pPr>
          <w:pStyle w:val="Footer"/>
          <w:jc w:val="center"/>
        </w:pPr>
        <w:fldSimple w:instr=" PAGE   \* MERGEFORMAT ">
          <w:r w:rsidR="00BB1420">
            <w:rPr>
              <w:noProof/>
            </w:rPr>
            <w:t>24</w:t>
          </w:r>
        </w:fldSimple>
      </w:p>
    </w:sdtContent>
  </w:sdt>
  <w:p w:rsidR="00667E8C" w:rsidRDefault="00667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8FE" w:rsidRDefault="002328FE" w:rsidP="0098493C">
      <w:pPr>
        <w:spacing w:line="240" w:lineRule="auto"/>
      </w:pPr>
      <w:r>
        <w:separator/>
      </w:r>
    </w:p>
  </w:footnote>
  <w:footnote w:type="continuationSeparator" w:id="0">
    <w:p w:rsidR="002328FE" w:rsidRDefault="002328FE" w:rsidP="0098493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612C"/>
    <w:multiLevelType w:val="hybridMultilevel"/>
    <w:tmpl w:val="48C63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97755"/>
    <w:multiLevelType w:val="hybridMultilevel"/>
    <w:tmpl w:val="02024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3C47BD"/>
    <w:multiLevelType w:val="hybridMultilevel"/>
    <w:tmpl w:val="CBD8C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773411"/>
    <w:multiLevelType w:val="hybridMultilevel"/>
    <w:tmpl w:val="35CEB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B75A98"/>
    <w:rsid w:val="00002941"/>
    <w:rsid w:val="00003B6E"/>
    <w:rsid w:val="00003E63"/>
    <w:rsid w:val="0000432F"/>
    <w:rsid w:val="00012DC4"/>
    <w:rsid w:val="000175D8"/>
    <w:rsid w:val="000227D2"/>
    <w:rsid w:val="00051083"/>
    <w:rsid w:val="00061979"/>
    <w:rsid w:val="00061A8F"/>
    <w:rsid w:val="000663AA"/>
    <w:rsid w:val="00074D2C"/>
    <w:rsid w:val="00082C8F"/>
    <w:rsid w:val="00084362"/>
    <w:rsid w:val="00085715"/>
    <w:rsid w:val="000862CF"/>
    <w:rsid w:val="000A2E04"/>
    <w:rsid w:val="000C3E91"/>
    <w:rsid w:val="000C7050"/>
    <w:rsid w:val="000E36BF"/>
    <w:rsid w:val="000E3F21"/>
    <w:rsid w:val="000F5B0B"/>
    <w:rsid w:val="00103ACD"/>
    <w:rsid w:val="001154A2"/>
    <w:rsid w:val="001217A9"/>
    <w:rsid w:val="00122360"/>
    <w:rsid w:val="00130CF6"/>
    <w:rsid w:val="00145F21"/>
    <w:rsid w:val="00146A49"/>
    <w:rsid w:val="00186E89"/>
    <w:rsid w:val="00187972"/>
    <w:rsid w:val="001B18FC"/>
    <w:rsid w:val="001C1741"/>
    <w:rsid w:val="001C2023"/>
    <w:rsid w:val="001C635C"/>
    <w:rsid w:val="001E7832"/>
    <w:rsid w:val="001F57C7"/>
    <w:rsid w:val="001F7076"/>
    <w:rsid w:val="00200835"/>
    <w:rsid w:val="002055F9"/>
    <w:rsid w:val="00205E4B"/>
    <w:rsid w:val="00207A1A"/>
    <w:rsid w:val="002108EC"/>
    <w:rsid w:val="00223052"/>
    <w:rsid w:val="002249A6"/>
    <w:rsid w:val="002328FE"/>
    <w:rsid w:val="00246098"/>
    <w:rsid w:val="00247F7F"/>
    <w:rsid w:val="00256F11"/>
    <w:rsid w:val="002646C5"/>
    <w:rsid w:val="00271577"/>
    <w:rsid w:val="002772BC"/>
    <w:rsid w:val="00285C48"/>
    <w:rsid w:val="00286130"/>
    <w:rsid w:val="00293033"/>
    <w:rsid w:val="002B638F"/>
    <w:rsid w:val="002C5E50"/>
    <w:rsid w:val="002E0611"/>
    <w:rsid w:val="002E3410"/>
    <w:rsid w:val="002E6BFF"/>
    <w:rsid w:val="002F5DEE"/>
    <w:rsid w:val="00304443"/>
    <w:rsid w:val="00304F02"/>
    <w:rsid w:val="00305B1B"/>
    <w:rsid w:val="00317D8A"/>
    <w:rsid w:val="00334F9E"/>
    <w:rsid w:val="00336EF5"/>
    <w:rsid w:val="00341ECA"/>
    <w:rsid w:val="00350DEE"/>
    <w:rsid w:val="003519D7"/>
    <w:rsid w:val="0035400F"/>
    <w:rsid w:val="003601C6"/>
    <w:rsid w:val="00387658"/>
    <w:rsid w:val="003913F3"/>
    <w:rsid w:val="0039393E"/>
    <w:rsid w:val="003B3B74"/>
    <w:rsid w:val="003C2DBB"/>
    <w:rsid w:val="003D1203"/>
    <w:rsid w:val="003D3C7A"/>
    <w:rsid w:val="003E2E5D"/>
    <w:rsid w:val="003E5362"/>
    <w:rsid w:val="003E581D"/>
    <w:rsid w:val="003F536D"/>
    <w:rsid w:val="00402731"/>
    <w:rsid w:val="00423566"/>
    <w:rsid w:val="004240CA"/>
    <w:rsid w:val="0043594E"/>
    <w:rsid w:val="004363C1"/>
    <w:rsid w:val="00452844"/>
    <w:rsid w:val="00456E66"/>
    <w:rsid w:val="004600CA"/>
    <w:rsid w:val="00464AE1"/>
    <w:rsid w:val="00467868"/>
    <w:rsid w:val="004846D9"/>
    <w:rsid w:val="00492CA5"/>
    <w:rsid w:val="00496DAF"/>
    <w:rsid w:val="00497DB5"/>
    <w:rsid w:val="004A25FC"/>
    <w:rsid w:val="004A309F"/>
    <w:rsid w:val="004B411B"/>
    <w:rsid w:val="004B7F39"/>
    <w:rsid w:val="004C21C3"/>
    <w:rsid w:val="004C33C0"/>
    <w:rsid w:val="004D1762"/>
    <w:rsid w:val="004F03FC"/>
    <w:rsid w:val="004F6CF7"/>
    <w:rsid w:val="00506901"/>
    <w:rsid w:val="00507CEB"/>
    <w:rsid w:val="00512118"/>
    <w:rsid w:val="00512E75"/>
    <w:rsid w:val="00514C57"/>
    <w:rsid w:val="00516FC6"/>
    <w:rsid w:val="00541464"/>
    <w:rsid w:val="0054404D"/>
    <w:rsid w:val="00545895"/>
    <w:rsid w:val="00545C97"/>
    <w:rsid w:val="00547AE4"/>
    <w:rsid w:val="0055776C"/>
    <w:rsid w:val="005615BC"/>
    <w:rsid w:val="00574742"/>
    <w:rsid w:val="00581ECB"/>
    <w:rsid w:val="005847B2"/>
    <w:rsid w:val="00587535"/>
    <w:rsid w:val="005922F0"/>
    <w:rsid w:val="00592E84"/>
    <w:rsid w:val="005A0123"/>
    <w:rsid w:val="005B0725"/>
    <w:rsid w:val="005B6BEF"/>
    <w:rsid w:val="005C39DA"/>
    <w:rsid w:val="005C561B"/>
    <w:rsid w:val="005E0B71"/>
    <w:rsid w:val="005F6DBE"/>
    <w:rsid w:val="0060473E"/>
    <w:rsid w:val="00605246"/>
    <w:rsid w:val="00606C24"/>
    <w:rsid w:val="00610A65"/>
    <w:rsid w:val="0061157E"/>
    <w:rsid w:val="0061187E"/>
    <w:rsid w:val="006121BF"/>
    <w:rsid w:val="0061710A"/>
    <w:rsid w:val="00617C30"/>
    <w:rsid w:val="006317E2"/>
    <w:rsid w:val="00654ECB"/>
    <w:rsid w:val="00655E83"/>
    <w:rsid w:val="00664D11"/>
    <w:rsid w:val="00667E8C"/>
    <w:rsid w:val="00673F20"/>
    <w:rsid w:val="00682E52"/>
    <w:rsid w:val="006A485B"/>
    <w:rsid w:val="006A5167"/>
    <w:rsid w:val="006A61C1"/>
    <w:rsid w:val="006B0829"/>
    <w:rsid w:val="006C446F"/>
    <w:rsid w:val="006D2917"/>
    <w:rsid w:val="006E032E"/>
    <w:rsid w:val="006E4A7D"/>
    <w:rsid w:val="006F5ACF"/>
    <w:rsid w:val="006F7205"/>
    <w:rsid w:val="007016F0"/>
    <w:rsid w:val="00713CE2"/>
    <w:rsid w:val="00715C3D"/>
    <w:rsid w:val="0074304C"/>
    <w:rsid w:val="00746253"/>
    <w:rsid w:val="007463A0"/>
    <w:rsid w:val="00746892"/>
    <w:rsid w:val="007508EB"/>
    <w:rsid w:val="0076261B"/>
    <w:rsid w:val="00762BBD"/>
    <w:rsid w:val="00763A05"/>
    <w:rsid w:val="007815F0"/>
    <w:rsid w:val="00783DBD"/>
    <w:rsid w:val="007974AD"/>
    <w:rsid w:val="007A49F2"/>
    <w:rsid w:val="007A606E"/>
    <w:rsid w:val="007C1BAF"/>
    <w:rsid w:val="007D276E"/>
    <w:rsid w:val="007D4C2A"/>
    <w:rsid w:val="007F0333"/>
    <w:rsid w:val="007F0B5E"/>
    <w:rsid w:val="007F3D6A"/>
    <w:rsid w:val="00800164"/>
    <w:rsid w:val="00820AA1"/>
    <w:rsid w:val="00822F52"/>
    <w:rsid w:val="00831DE6"/>
    <w:rsid w:val="00837F6D"/>
    <w:rsid w:val="008409C6"/>
    <w:rsid w:val="00846414"/>
    <w:rsid w:val="008476FD"/>
    <w:rsid w:val="00851CF2"/>
    <w:rsid w:val="00857286"/>
    <w:rsid w:val="00873126"/>
    <w:rsid w:val="0087460D"/>
    <w:rsid w:val="00875514"/>
    <w:rsid w:val="008827EE"/>
    <w:rsid w:val="00891E10"/>
    <w:rsid w:val="008A0115"/>
    <w:rsid w:val="008B5FAE"/>
    <w:rsid w:val="008B69B0"/>
    <w:rsid w:val="008C269D"/>
    <w:rsid w:val="008C2F07"/>
    <w:rsid w:val="008D09FF"/>
    <w:rsid w:val="008D1083"/>
    <w:rsid w:val="008D161D"/>
    <w:rsid w:val="008E0875"/>
    <w:rsid w:val="008E5A35"/>
    <w:rsid w:val="00917A13"/>
    <w:rsid w:val="0092243F"/>
    <w:rsid w:val="0093362C"/>
    <w:rsid w:val="00942048"/>
    <w:rsid w:val="00942B35"/>
    <w:rsid w:val="00945962"/>
    <w:rsid w:val="0095010E"/>
    <w:rsid w:val="00981C78"/>
    <w:rsid w:val="0098493C"/>
    <w:rsid w:val="009853F1"/>
    <w:rsid w:val="009B3061"/>
    <w:rsid w:val="009B5046"/>
    <w:rsid w:val="009C16CF"/>
    <w:rsid w:val="009C3B5B"/>
    <w:rsid w:val="009C4A50"/>
    <w:rsid w:val="009C6144"/>
    <w:rsid w:val="009D0756"/>
    <w:rsid w:val="009D1F4E"/>
    <w:rsid w:val="009E69E1"/>
    <w:rsid w:val="009E7976"/>
    <w:rsid w:val="009F08B4"/>
    <w:rsid w:val="009F5D51"/>
    <w:rsid w:val="009F7490"/>
    <w:rsid w:val="00A00CB9"/>
    <w:rsid w:val="00A059F8"/>
    <w:rsid w:val="00A21636"/>
    <w:rsid w:val="00A21F43"/>
    <w:rsid w:val="00A411F0"/>
    <w:rsid w:val="00A41DF1"/>
    <w:rsid w:val="00A439D0"/>
    <w:rsid w:val="00A54687"/>
    <w:rsid w:val="00A60E16"/>
    <w:rsid w:val="00A63DC0"/>
    <w:rsid w:val="00A64D4A"/>
    <w:rsid w:val="00A65835"/>
    <w:rsid w:val="00A738E1"/>
    <w:rsid w:val="00A7525F"/>
    <w:rsid w:val="00AA2889"/>
    <w:rsid w:val="00AA6619"/>
    <w:rsid w:val="00AA682A"/>
    <w:rsid w:val="00AB1D7E"/>
    <w:rsid w:val="00AC1547"/>
    <w:rsid w:val="00AC405E"/>
    <w:rsid w:val="00AC4864"/>
    <w:rsid w:val="00AC4F7C"/>
    <w:rsid w:val="00AC6FB3"/>
    <w:rsid w:val="00AD11C6"/>
    <w:rsid w:val="00AD1F96"/>
    <w:rsid w:val="00AE11F9"/>
    <w:rsid w:val="00AE4275"/>
    <w:rsid w:val="00AE471F"/>
    <w:rsid w:val="00AF2740"/>
    <w:rsid w:val="00B05457"/>
    <w:rsid w:val="00B05A1A"/>
    <w:rsid w:val="00B06F55"/>
    <w:rsid w:val="00B16C62"/>
    <w:rsid w:val="00B17EB9"/>
    <w:rsid w:val="00B22AA3"/>
    <w:rsid w:val="00B25088"/>
    <w:rsid w:val="00B449F2"/>
    <w:rsid w:val="00B75A98"/>
    <w:rsid w:val="00B95BAE"/>
    <w:rsid w:val="00B96D17"/>
    <w:rsid w:val="00BB0590"/>
    <w:rsid w:val="00BB1420"/>
    <w:rsid w:val="00BD0DD4"/>
    <w:rsid w:val="00BD30FC"/>
    <w:rsid w:val="00BD4C34"/>
    <w:rsid w:val="00BE356C"/>
    <w:rsid w:val="00BE7239"/>
    <w:rsid w:val="00BE72DA"/>
    <w:rsid w:val="00BF4EC5"/>
    <w:rsid w:val="00BF5E70"/>
    <w:rsid w:val="00BF7C27"/>
    <w:rsid w:val="00C004FB"/>
    <w:rsid w:val="00C00C00"/>
    <w:rsid w:val="00C12059"/>
    <w:rsid w:val="00C31434"/>
    <w:rsid w:val="00C34F4E"/>
    <w:rsid w:val="00C474C6"/>
    <w:rsid w:val="00C562D3"/>
    <w:rsid w:val="00C578BA"/>
    <w:rsid w:val="00C60E77"/>
    <w:rsid w:val="00C62917"/>
    <w:rsid w:val="00C62E3F"/>
    <w:rsid w:val="00C63479"/>
    <w:rsid w:val="00C724B0"/>
    <w:rsid w:val="00C923B0"/>
    <w:rsid w:val="00C96259"/>
    <w:rsid w:val="00CA04D4"/>
    <w:rsid w:val="00CD3684"/>
    <w:rsid w:val="00CE04AF"/>
    <w:rsid w:val="00CE5506"/>
    <w:rsid w:val="00CF78B8"/>
    <w:rsid w:val="00D027B3"/>
    <w:rsid w:val="00D04543"/>
    <w:rsid w:val="00D13A7E"/>
    <w:rsid w:val="00D3101E"/>
    <w:rsid w:val="00D3173A"/>
    <w:rsid w:val="00D319BC"/>
    <w:rsid w:val="00D42383"/>
    <w:rsid w:val="00D46173"/>
    <w:rsid w:val="00D62891"/>
    <w:rsid w:val="00D6572B"/>
    <w:rsid w:val="00D737DD"/>
    <w:rsid w:val="00D811D9"/>
    <w:rsid w:val="00D81BD5"/>
    <w:rsid w:val="00D93D01"/>
    <w:rsid w:val="00DA6CD2"/>
    <w:rsid w:val="00DB68FB"/>
    <w:rsid w:val="00DD462C"/>
    <w:rsid w:val="00DE0263"/>
    <w:rsid w:val="00DE2035"/>
    <w:rsid w:val="00E02690"/>
    <w:rsid w:val="00E213D6"/>
    <w:rsid w:val="00E27DDF"/>
    <w:rsid w:val="00E45343"/>
    <w:rsid w:val="00E4617C"/>
    <w:rsid w:val="00E56223"/>
    <w:rsid w:val="00E625E2"/>
    <w:rsid w:val="00E72B16"/>
    <w:rsid w:val="00E73E3A"/>
    <w:rsid w:val="00E77149"/>
    <w:rsid w:val="00E8021F"/>
    <w:rsid w:val="00EA350E"/>
    <w:rsid w:val="00EA564C"/>
    <w:rsid w:val="00EC4B22"/>
    <w:rsid w:val="00EC5984"/>
    <w:rsid w:val="00EC78A4"/>
    <w:rsid w:val="00EE6837"/>
    <w:rsid w:val="00EE7800"/>
    <w:rsid w:val="00EF1A59"/>
    <w:rsid w:val="00F01460"/>
    <w:rsid w:val="00F116B6"/>
    <w:rsid w:val="00F1364D"/>
    <w:rsid w:val="00F17788"/>
    <w:rsid w:val="00F4034C"/>
    <w:rsid w:val="00F45101"/>
    <w:rsid w:val="00F4530A"/>
    <w:rsid w:val="00F4649E"/>
    <w:rsid w:val="00F625A1"/>
    <w:rsid w:val="00F71147"/>
    <w:rsid w:val="00F75B59"/>
    <w:rsid w:val="00F77379"/>
    <w:rsid w:val="00F776B9"/>
    <w:rsid w:val="00F811BF"/>
    <w:rsid w:val="00F812EB"/>
    <w:rsid w:val="00F84E74"/>
    <w:rsid w:val="00F93257"/>
    <w:rsid w:val="00FD7BB1"/>
    <w:rsid w:val="00FE6C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6D"/>
  </w:style>
  <w:style w:type="paragraph" w:styleId="Heading1">
    <w:name w:val="heading 1"/>
    <w:basedOn w:val="Normal"/>
    <w:link w:val="Heading1Char"/>
    <w:uiPriority w:val="9"/>
    <w:qFormat/>
    <w:rsid w:val="00452844"/>
    <w:pPr>
      <w:spacing w:before="100" w:beforeAutospacing="1" w:after="100" w:afterAutospacing="1" w:line="240" w:lineRule="auto"/>
      <w:outlineLvl w:val="0"/>
    </w:pPr>
    <w:rPr>
      <w:rFonts w:ascii="Tahoma" w:eastAsia="Times New Roman" w:hAnsi="Tahoma" w:cs="Tahoma"/>
      <w:b/>
      <w:bCs/>
      <w:color w:val="007AA2"/>
      <w:kern w:val="36"/>
      <w:sz w:val="46"/>
      <w:szCs w:val="4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03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73F2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92E84"/>
    <w:pPr>
      <w:ind w:left="720"/>
      <w:contextualSpacing/>
    </w:pPr>
  </w:style>
  <w:style w:type="paragraph" w:customStyle="1" w:styleId="Default">
    <w:name w:val="Default"/>
    <w:rsid w:val="00EE7800"/>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EC4B22"/>
    <w:rPr>
      <w:color w:val="0000FF" w:themeColor="hyperlink"/>
      <w:u w:val="single"/>
    </w:rPr>
  </w:style>
  <w:style w:type="character" w:styleId="FollowedHyperlink">
    <w:name w:val="FollowedHyperlink"/>
    <w:basedOn w:val="DefaultParagraphFont"/>
    <w:uiPriority w:val="99"/>
    <w:semiHidden/>
    <w:unhideWhenUsed/>
    <w:rsid w:val="00EC4B22"/>
    <w:rPr>
      <w:color w:val="800080" w:themeColor="followedHyperlink"/>
      <w:u w:val="single"/>
    </w:rPr>
  </w:style>
  <w:style w:type="character" w:customStyle="1" w:styleId="Heading1Char">
    <w:name w:val="Heading 1 Char"/>
    <w:basedOn w:val="DefaultParagraphFont"/>
    <w:link w:val="Heading1"/>
    <w:uiPriority w:val="9"/>
    <w:rsid w:val="00452844"/>
    <w:rPr>
      <w:rFonts w:ascii="Tahoma" w:eastAsia="Times New Roman" w:hAnsi="Tahoma" w:cs="Tahoma"/>
      <w:b/>
      <w:bCs/>
      <w:color w:val="007AA2"/>
      <w:kern w:val="36"/>
      <w:sz w:val="46"/>
      <w:szCs w:val="46"/>
      <w:lang w:eastAsia="zh-CN"/>
    </w:rPr>
  </w:style>
  <w:style w:type="paragraph" w:styleId="FootnoteText">
    <w:name w:val="footnote text"/>
    <w:basedOn w:val="Normal"/>
    <w:link w:val="FootnoteTextChar"/>
    <w:semiHidden/>
    <w:unhideWhenUsed/>
    <w:rsid w:val="0098493C"/>
    <w:pPr>
      <w:spacing w:line="240" w:lineRule="auto"/>
    </w:pPr>
    <w:rPr>
      <w:rFonts w:ascii="Arial" w:eastAsiaTheme="minorEastAsia" w:hAnsi="Arial" w:cs="Arial"/>
      <w:sz w:val="20"/>
      <w:szCs w:val="20"/>
      <w:lang w:eastAsia="zh-CN"/>
    </w:rPr>
  </w:style>
  <w:style w:type="character" w:customStyle="1" w:styleId="FootnoteTextChar">
    <w:name w:val="Footnote Text Char"/>
    <w:basedOn w:val="DefaultParagraphFont"/>
    <w:link w:val="FootnoteText"/>
    <w:semiHidden/>
    <w:rsid w:val="0098493C"/>
    <w:rPr>
      <w:rFonts w:ascii="Arial" w:eastAsiaTheme="minorEastAsia" w:hAnsi="Arial" w:cs="Arial"/>
      <w:sz w:val="20"/>
      <w:szCs w:val="20"/>
      <w:lang w:eastAsia="zh-CN"/>
    </w:rPr>
  </w:style>
  <w:style w:type="character" w:styleId="FootnoteReference">
    <w:name w:val="footnote reference"/>
    <w:basedOn w:val="DefaultParagraphFont"/>
    <w:uiPriority w:val="99"/>
    <w:semiHidden/>
    <w:unhideWhenUsed/>
    <w:rsid w:val="0098493C"/>
    <w:rPr>
      <w:vertAlign w:val="superscript"/>
    </w:rPr>
  </w:style>
  <w:style w:type="paragraph" w:styleId="BalloonText">
    <w:name w:val="Balloon Text"/>
    <w:basedOn w:val="Normal"/>
    <w:link w:val="BalloonTextChar"/>
    <w:uiPriority w:val="99"/>
    <w:semiHidden/>
    <w:unhideWhenUsed/>
    <w:rsid w:val="005A01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123"/>
    <w:rPr>
      <w:rFonts w:ascii="Tahoma" w:hAnsi="Tahoma" w:cs="Tahoma"/>
      <w:sz w:val="16"/>
      <w:szCs w:val="16"/>
    </w:rPr>
  </w:style>
  <w:style w:type="paragraph" w:styleId="PlainText">
    <w:name w:val="Plain Text"/>
    <w:basedOn w:val="Normal"/>
    <w:link w:val="PlainTextChar"/>
    <w:uiPriority w:val="99"/>
    <w:semiHidden/>
    <w:unhideWhenUsed/>
    <w:rsid w:val="00891E10"/>
    <w:pPr>
      <w:spacing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semiHidden/>
    <w:rsid w:val="00891E10"/>
    <w:rPr>
      <w:rFonts w:ascii="Consolas" w:eastAsiaTheme="minorEastAsia" w:hAnsi="Consolas"/>
      <w:sz w:val="21"/>
      <w:szCs w:val="21"/>
      <w:lang w:eastAsia="zh-CN"/>
    </w:rPr>
  </w:style>
  <w:style w:type="paragraph" w:styleId="Header">
    <w:name w:val="header"/>
    <w:basedOn w:val="Normal"/>
    <w:link w:val="HeaderChar"/>
    <w:uiPriority w:val="99"/>
    <w:unhideWhenUsed/>
    <w:rsid w:val="00875514"/>
    <w:pPr>
      <w:tabs>
        <w:tab w:val="center" w:pos="4513"/>
        <w:tab w:val="right" w:pos="9026"/>
      </w:tabs>
      <w:spacing w:line="240" w:lineRule="auto"/>
    </w:pPr>
  </w:style>
  <w:style w:type="character" w:customStyle="1" w:styleId="HeaderChar">
    <w:name w:val="Header Char"/>
    <w:basedOn w:val="DefaultParagraphFont"/>
    <w:link w:val="Header"/>
    <w:uiPriority w:val="99"/>
    <w:rsid w:val="00875514"/>
  </w:style>
  <w:style w:type="paragraph" w:styleId="Footer">
    <w:name w:val="footer"/>
    <w:basedOn w:val="Normal"/>
    <w:link w:val="FooterChar"/>
    <w:uiPriority w:val="99"/>
    <w:unhideWhenUsed/>
    <w:rsid w:val="00875514"/>
    <w:pPr>
      <w:tabs>
        <w:tab w:val="center" w:pos="4513"/>
        <w:tab w:val="right" w:pos="9026"/>
      </w:tabs>
      <w:spacing w:line="240" w:lineRule="auto"/>
    </w:pPr>
  </w:style>
  <w:style w:type="character" w:customStyle="1" w:styleId="FooterChar">
    <w:name w:val="Footer Char"/>
    <w:basedOn w:val="DefaultParagraphFont"/>
    <w:link w:val="Footer"/>
    <w:uiPriority w:val="99"/>
    <w:rsid w:val="00875514"/>
  </w:style>
  <w:style w:type="paragraph" w:styleId="EndnoteText">
    <w:name w:val="endnote text"/>
    <w:basedOn w:val="Normal"/>
    <w:link w:val="EndnoteTextChar"/>
    <w:uiPriority w:val="99"/>
    <w:semiHidden/>
    <w:unhideWhenUsed/>
    <w:rsid w:val="00BF4EC5"/>
    <w:pPr>
      <w:spacing w:line="240" w:lineRule="auto"/>
    </w:pPr>
    <w:rPr>
      <w:sz w:val="20"/>
      <w:szCs w:val="20"/>
    </w:rPr>
  </w:style>
  <w:style w:type="character" w:customStyle="1" w:styleId="EndnoteTextChar">
    <w:name w:val="Endnote Text Char"/>
    <w:basedOn w:val="DefaultParagraphFont"/>
    <w:link w:val="EndnoteText"/>
    <w:uiPriority w:val="99"/>
    <w:semiHidden/>
    <w:rsid w:val="00BF4EC5"/>
    <w:rPr>
      <w:sz w:val="20"/>
      <w:szCs w:val="20"/>
    </w:rPr>
  </w:style>
  <w:style w:type="character" w:styleId="EndnoteReference">
    <w:name w:val="endnote reference"/>
    <w:basedOn w:val="DefaultParagraphFont"/>
    <w:uiPriority w:val="99"/>
    <w:semiHidden/>
    <w:unhideWhenUsed/>
    <w:rsid w:val="00BF4EC5"/>
    <w:rPr>
      <w:vertAlign w:val="superscript"/>
    </w:rPr>
  </w:style>
  <w:style w:type="character" w:styleId="CommentReference">
    <w:name w:val="annotation reference"/>
    <w:basedOn w:val="DefaultParagraphFont"/>
    <w:uiPriority w:val="99"/>
    <w:semiHidden/>
    <w:unhideWhenUsed/>
    <w:rsid w:val="0095010E"/>
    <w:rPr>
      <w:sz w:val="16"/>
      <w:szCs w:val="16"/>
    </w:rPr>
  </w:style>
  <w:style w:type="paragraph" w:styleId="CommentText">
    <w:name w:val="annotation text"/>
    <w:basedOn w:val="Normal"/>
    <w:link w:val="CommentTextChar"/>
    <w:uiPriority w:val="99"/>
    <w:semiHidden/>
    <w:unhideWhenUsed/>
    <w:rsid w:val="0095010E"/>
    <w:pPr>
      <w:spacing w:line="240" w:lineRule="auto"/>
    </w:pPr>
    <w:rPr>
      <w:sz w:val="20"/>
      <w:szCs w:val="20"/>
    </w:rPr>
  </w:style>
  <w:style w:type="character" w:customStyle="1" w:styleId="CommentTextChar">
    <w:name w:val="Comment Text Char"/>
    <w:basedOn w:val="DefaultParagraphFont"/>
    <w:link w:val="CommentText"/>
    <w:uiPriority w:val="99"/>
    <w:semiHidden/>
    <w:rsid w:val="0095010E"/>
    <w:rPr>
      <w:sz w:val="20"/>
      <w:szCs w:val="20"/>
    </w:rPr>
  </w:style>
  <w:style w:type="paragraph" w:styleId="CommentSubject">
    <w:name w:val="annotation subject"/>
    <w:basedOn w:val="CommentText"/>
    <w:next w:val="CommentText"/>
    <w:link w:val="CommentSubjectChar"/>
    <w:uiPriority w:val="99"/>
    <w:semiHidden/>
    <w:unhideWhenUsed/>
    <w:rsid w:val="0095010E"/>
    <w:rPr>
      <w:b/>
      <w:bCs/>
    </w:rPr>
  </w:style>
  <w:style w:type="character" w:customStyle="1" w:styleId="CommentSubjectChar">
    <w:name w:val="Comment Subject Char"/>
    <w:basedOn w:val="CommentTextChar"/>
    <w:link w:val="CommentSubject"/>
    <w:uiPriority w:val="99"/>
    <w:semiHidden/>
    <w:rsid w:val="009501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6D"/>
  </w:style>
  <w:style w:type="paragraph" w:styleId="Heading1">
    <w:name w:val="heading 1"/>
    <w:basedOn w:val="Normal"/>
    <w:link w:val="Heading1Char"/>
    <w:uiPriority w:val="9"/>
    <w:qFormat/>
    <w:rsid w:val="00452844"/>
    <w:pPr>
      <w:spacing w:before="100" w:beforeAutospacing="1" w:after="100" w:afterAutospacing="1" w:line="240" w:lineRule="auto"/>
      <w:outlineLvl w:val="0"/>
    </w:pPr>
    <w:rPr>
      <w:rFonts w:ascii="Tahoma" w:eastAsia="Times New Roman" w:hAnsi="Tahoma" w:cs="Tahoma"/>
      <w:b/>
      <w:bCs/>
      <w:color w:val="007AA2"/>
      <w:kern w:val="36"/>
      <w:sz w:val="46"/>
      <w:szCs w:val="4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03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73F2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92E84"/>
    <w:pPr>
      <w:ind w:left="720"/>
      <w:contextualSpacing/>
    </w:pPr>
  </w:style>
  <w:style w:type="paragraph" w:customStyle="1" w:styleId="Default">
    <w:name w:val="Default"/>
    <w:rsid w:val="00EE7800"/>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EC4B22"/>
    <w:rPr>
      <w:color w:val="0000FF" w:themeColor="hyperlink"/>
      <w:u w:val="single"/>
    </w:rPr>
  </w:style>
  <w:style w:type="character" w:styleId="FollowedHyperlink">
    <w:name w:val="FollowedHyperlink"/>
    <w:basedOn w:val="DefaultParagraphFont"/>
    <w:uiPriority w:val="99"/>
    <w:semiHidden/>
    <w:unhideWhenUsed/>
    <w:rsid w:val="00EC4B22"/>
    <w:rPr>
      <w:color w:val="800080" w:themeColor="followedHyperlink"/>
      <w:u w:val="single"/>
    </w:rPr>
  </w:style>
  <w:style w:type="character" w:customStyle="1" w:styleId="Heading1Char">
    <w:name w:val="Heading 1 Char"/>
    <w:basedOn w:val="DefaultParagraphFont"/>
    <w:link w:val="Heading1"/>
    <w:uiPriority w:val="9"/>
    <w:rsid w:val="00452844"/>
    <w:rPr>
      <w:rFonts w:ascii="Tahoma" w:eastAsia="Times New Roman" w:hAnsi="Tahoma" w:cs="Tahoma"/>
      <w:b/>
      <w:bCs/>
      <w:color w:val="007AA2"/>
      <w:kern w:val="36"/>
      <w:sz w:val="46"/>
      <w:szCs w:val="46"/>
      <w:lang w:eastAsia="zh-CN"/>
    </w:rPr>
  </w:style>
  <w:style w:type="paragraph" w:styleId="FootnoteText">
    <w:name w:val="footnote text"/>
    <w:basedOn w:val="Normal"/>
    <w:link w:val="FootnoteTextChar"/>
    <w:semiHidden/>
    <w:unhideWhenUsed/>
    <w:rsid w:val="0098493C"/>
    <w:pPr>
      <w:spacing w:line="240" w:lineRule="auto"/>
    </w:pPr>
    <w:rPr>
      <w:rFonts w:ascii="Arial" w:eastAsiaTheme="minorEastAsia" w:hAnsi="Arial" w:cs="Arial"/>
      <w:sz w:val="20"/>
      <w:szCs w:val="20"/>
      <w:lang w:eastAsia="zh-CN"/>
    </w:rPr>
  </w:style>
  <w:style w:type="character" w:customStyle="1" w:styleId="FootnoteTextChar">
    <w:name w:val="Footnote Text Char"/>
    <w:basedOn w:val="DefaultParagraphFont"/>
    <w:link w:val="FootnoteText"/>
    <w:semiHidden/>
    <w:rsid w:val="0098493C"/>
    <w:rPr>
      <w:rFonts w:ascii="Arial" w:eastAsiaTheme="minorEastAsia" w:hAnsi="Arial" w:cs="Arial"/>
      <w:sz w:val="20"/>
      <w:szCs w:val="20"/>
      <w:lang w:eastAsia="zh-CN"/>
    </w:rPr>
  </w:style>
  <w:style w:type="character" w:styleId="FootnoteReference">
    <w:name w:val="footnote reference"/>
    <w:basedOn w:val="DefaultParagraphFont"/>
    <w:uiPriority w:val="99"/>
    <w:semiHidden/>
    <w:unhideWhenUsed/>
    <w:rsid w:val="0098493C"/>
    <w:rPr>
      <w:vertAlign w:val="superscript"/>
    </w:rPr>
  </w:style>
  <w:style w:type="paragraph" w:styleId="BalloonText">
    <w:name w:val="Balloon Text"/>
    <w:basedOn w:val="Normal"/>
    <w:link w:val="BalloonTextChar"/>
    <w:uiPriority w:val="99"/>
    <w:semiHidden/>
    <w:unhideWhenUsed/>
    <w:rsid w:val="005A01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123"/>
    <w:rPr>
      <w:rFonts w:ascii="Tahoma" w:hAnsi="Tahoma" w:cs="Tahoma"/>
      <w:sz w:val="16"/>
      <w:szCs w:val="16"/>
    </w:rPr>
  </w:style>
  <w:style w:type="paragraph" w:styleId="PlainText">
    <w:name w:val="Plain Text"/>
    <w:basedOn w:val="Normal"/>
    <w:link w:val="PlainTextChar"/>
    <w:uiPriority w:val="99"/>
    <w:semiHidden/>
    <w:unhideWhenUsed/>
    <w:rsid w:val="00891E10"/>
    <w:pPr>
      <w:spacing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semiHidden/>
    <w:rsid w:val="00891E10"/>
    <w:rPr>
      <w:rFonts w:ascii="Consolas" w:eastAsiaTheme="minorEastAsia" w:hAnsi="Consolas"/>
      <w:sz w:val="21"/>
      <w:szCs w:val="21"/>
      <w:lang w:eastAsia="zh-CN"/>
    </w:rPr>
  </w:style>
  <w:style w:type="paragraph" w:styleId="Header">
    <w:name w:val="header"/>
    <w:basedOn w:val="Normal"/>
    <w:link w:val="HeaderChar"/>
    <w:uiPriority w:val="99"/>
    <w:unhideWhenUsed/>
    <w:rsid w:val="00875514"/>
    <w:pPr>
      <w:tabs>
        <w:tab w:val="center" w:pos="4513"/>
        <w:tab w:val="right" w:pos="9026"/>
      </w:tabs>
      <w:spacing w:line="240" w:lineRule="auto"/>
    </w:pPr>
  </w:style>
  <w:style w:type="character" w:customStyle="1" w:styleId="HeaderChar">
    <w:name w:val="Header Char"/>
    <w:basedOn w:val="DefaultParagraphFont"/>
    <w:link w:val="Header"/>
    <w:uiPriority w:val="99"/>
    <w:rsid w:val="00875514"/>
  </w:style>
  <w:style w:type="paragraph" w:styleId="Footer">
    <w:name w:val="footer"/>
    <w:basedOn w:val="Normal"/>
    <w:link w:val="FooterChar"/>
    <w:uiPriority w:val="99"/>
    <w:unhideWhenUsed/>
    <w:rsid w:val="00875514"/>
    <w:pPr>
      <w:tabs>
        <w:tab w:val="center" w:pos="4513"/>
        <w:tab w:val="right" w:pos="9026"/>
      </w:tabs>
      <w:spacing w:line="240" w:lineRule="auto"/>
    </w:pPr>
  </w:style>
  <w:style w:type="character" w:customStyle="1" w:styleId="FooterChar">
    <w:name w:val="Footer Char"/>
    <w:basedOn w:val="DefaultParagraphFont"/>
    <w:link w:val="Footer"/>
    <w:uiPriority w:val="99"/>
    <w:rsid w:val="00875514"/>
  </w:style>
  <w:style w:type="paragraph" w:styleId="EndnoteText">
    <w:name w:val="endnote text"/>
    <w:basedOn w:val="Normal"/>
    <w:link w:val="EndnoteTextChar"/>
    <w:uiPriority w:val="99"/>
    <w:semiHidden/>
    <w:unhideWhenUsed/>
    <w:rsid w:val="00BF4EC5"/>
    <w:pPr>
      <w:spacing w:line="240" w:lineRule="auto"/>
    </w:pPr>
    <w:rPr>
      <w:sz w:val="20"/>
      <w:szCs w:val="20"/>
    </w:rPr>
  </w:style>
  <w:style w:type="character" w:customStyle="1" w:styleId="EndnoteTextChar">
    <w:name w:val="Endnote Text Char"/>
    <w:basedOn w:val="DefaultParagraphFont"/>
    <w:link w:val="EndnoteText"/>
    <w:uiPriority w:val="99"/>
    <w:semiHidden/>
    <w:rsid w:val="00BF4EC5"/>
    <w:rPr>
      <w:sz w:val="20"/>
      <w:szCs w:val="20"/>
    </w:rPr>
  </w:style>
  <w:style w:type="character" w:styleId="EndnoteReference">
    <w:name w:val="endnote reference"/>
    <w:basedOn w:val="DefaultParagraphFont"/>
    <w:uiPriority w:val="99"/>
    <w:semiHidden/>
    <w:unhideWhenUsed/>
    <w:rsid w:val="00BF4EC5"/>
    <w:rPr>
      <w:vertAlign w:val="superscript"/>
    </w:rPr>
  </w:style>
  <w:style w:type="character" w:styleId="CommentReference">
    <w:name w:val="annotation reference"/>
    <w:basedOn w:val="DefaultParagraphFont"/>
    <w:uiPriority w:val="99"/>
    <w:semiHidden/>
    <w:unhideWhenUsed/>
    <w:rsid w:val="0095010E"/>
    <w:rPr>
      <w:sz w:val="16"/>
      <w:szCs w:val="16"/>
    </w:rPr>
  </w:style>
  <w:style w:type="paragraph" w:styleId="CommentText">
    <w:name w:val="annotation text"/>
    <w:basedOn w:val="Normal"/>
    <w:link w:val="CommentTextChar"/>
    <w:uiPriority w:val="99"/>
    <w:semiHidden/>
    <w:unhideWhenUsed/>
    <w:rsid w:val="0095010E"/>
    <w:pPr>
      <w:spacing w:line="240" w:lineRule="auto"/>
    </w:pPr>
    <w:rPr>
      <w:sz w:val="20"/>
      <w:szCs w:val="20"/>
    </w:rPr>
  </w:style>
  <w:style w:type="character" w:customStyle="1" w:styleId="CommentTextChar">
    <w:name w:val="Comment Text Char"/>
    <w:basedOn w:val="DefaultParagraphFont"/>
    <w:link w:val="CommentText"/>
    <w:uiPriority w:val="99"/>
    <w:semiHidden/>
    <w:rsid w:val="0095010E"/>
    <w:rPr>
      <w:sz w:val="20"/>
      <w:szCs w:val="20"/>
    </w:rPr>
  </w:style>
  <w:style w:type="paragraph" w:styleId="CommentSubject">
    <w:name w:val="annotation subject"/>
    <w:basedOn w:val="CommentText"/>
    <w:next w:val="CommentText"/>
    <w:link w:val="CommentSubjectChar"/>
    <w:uiPriority w:val="99"/>
    <w:semiHidden/>
    <w:unhideWhenUsed/>
    <w:rsid w:val="0095010E"/>
    <w:rPr>
      <w:b/>
      <w:bCs/>
    </w:rPr>
  </w:style>
  <w:style w:type="character" w:customStyle="1" w:styleId="CommentSubjectChar">
    <w:name w:val="Comment Subject Char"/>
    <w:basedOn w:val="CommentTextChar"/>
    <w:link w:val="CommentSubject"/>
    <w:uiPriority w:val="99"/>
    <w:semiHidden/>
    <w:rsid w:val="0095010E"/>
    <w:rPr>
      <w:b/>
      <w:bCs/>
      <w:sz w:val="20"/>
      <w:szCs w:val="20"/>
    </w:rPr>
  </w:style>
</w:styles>
</file>

<file path=word/webSettings.xml><?xml version="1.0" encoding="utf-8"?>
<w:webSettings xmlns:r="http://schemas.openxmlformats.org/officeDocument/2006/relationships" xmlns:w="http://schemas.openxmlformats.org/wordprocessingml/2006/main">
  <w:divs>
    <w:div w:id="491408443">
      <w:bodyDiv w:val="1"/>
      <w:marLeft w:val="376"/>
      <w:marRight w:val="376"/>
      <w:marTop w:val="0"/>
      <w:marBottom w:val="0"/>
      <w:divBdr>
        <w:top w:val="none" w:sz="0" w:space="0" w:color="auto"/>
        <w:left w:val="none" w:sz="0" w:space="0" w:color="auto"/>
        <w:bottom w:val="none" w:sz="0" w:space="0" w:color="auto"/>
        <w:right w:val="none" w:sz="0" w:space="0" w:color="auto"/>
      </w:divBdr>
      <w:divsChild>
        <w:div w:id="1965114320">
          <w:marLeft w:val="0"/>
          <w:marRight w:val="0"/>
          <w:marTop w:val="0"/>
          <w:marBottom w:val="0"/>
          <w:divBdr>
            <w:top w:val="none" w:sz="0" w:space="0" w:color="auto"/>
            <w:left w:val="none" w:sz="0" w:space="0" w:color="auto"/>
            <w:bottom w:val="none" w:sz="0" w:space="0" w:color="auto"/>
            <w:right w:val="none" w:sz="0" w:space="0" w:color="auto"/>
          </w:divBdr>
        </w:div>
      </w:divsChild>
    </w:div>
    <w:div w:id="744646954">
      <w:bodyDiv w:val="1"/>
      <w:marLeft w:val="0"/>
      <w:marRight w:val="0"/>
      <w:marTop w:val="0"/>
      <w:marBottom w:val="0"/>
      <w:divBdr>
        <w:top w:val="none" w:sz="0" w:space="0" w:color="auto"/>
        <w:left w:val="none" w:sz="0" w:space="0" w:color="auto"/>
        <w:bottom w:val="none" w:sz="0" w:space="0" w:color="auto"/>
        <w:right w:val="none" w:sz="0" w:space="0" w:color="auto"/>
      </w:divBdr>
    </w:div>
    <w:div w:id="1182285168">
      <w:bodyDiv w:val="1"/>
      <w:marLeft w:val="0"/>
      <w:marRight w:val="0"/>
      <w:marTop w:val="0"/>
      <w:marBottom w:val="0"/>
      <w:divBdr>
        <w:top w:val="none" w:sz="0" w:space="0" w:color="auto"/>
        <w:left w:val="none" w:sz="0" w:space="0" w:color="auto"/>
        <w:bottom w:val="none" w:sz="0" w:space="0" w:color="auto"/>
        <w:right w:val="none" w:sz="0" w:space="0" w:color="auto"/>
      </w:divBdr>
    </w:div>
    <w:div w:id="1472400142">
      <w:bodyDiv w:val="1"/>
      <w:marLeft w:val="0"/>
      <w:marRight w:val="0"/>
      <w:marTop w:val="0"/>
      <w:marBottom w:val="0"/>
      <w:divBdr>
        <w:top w:val="none" w:sz="0" w:space="0" w:color="auto"/>
        <w:left w:val="none" w:sz="0" w:space="0" w:color="auto"/>
        <w:bottom w:val="none" w:sz="0" w:space="0" w:color="auto"/>
        <w:right w:val="none" w:sz="0" w:space="0" w:color="auto"/>
      </w:divBdr>
    </w:div>
    <w:div w:id="1539318254">
      <w:bodyDiv w:val="1"/>
      <w:marLeft w:val="0"/>
      <w:marRight w:val="0"/>
      <w:marTop w:val="0"/>
      <w:marBottom w:val="0"/>
      <w:divBdr>
        <w:top w:val="none" w:sz="0" w:space="0" w:color="auto"/>
        <w:left w:val="none" w:sz="0" w:space="0" w:color="auto"/>
        <w:bottom w:val="none" w:sz="0" w:space="0" w:color="auto"/>
        <w:right w:val="none" w:sz="0" w:space="0" w:color="auto"/>
      </w:divBdr>
    </w:div>
    <w:div w:id="1567178761">
      <w:bodyDiv w:val="1"/>
      <w:marLeft w:val="0"/>
      <w:marRight w:val="0"/>
      <w:marTop w:val="0"/>
      <w:marBottom w:val="0"/>
      <w:divBdr>
        <w:top w:val="none" w:sz="0" w:space="0" w:color="auto"/>
        <w:left w:val="none" w:sz="0" w:space="0" w:color="auto"/>
        <w:bottom w:val="none" w:sz="0" w:space="0" w:color="auto"/>
        <w:right w:val="none" w:sz="0" w:space="0" w:color="auto"/>
      </w:divBdr>
      <w:divsChild>
        <w:div w:id="1595018341">
          <w:marLeft w:val="0"/>
          <w:marRight w:val="0"/>
          <w:marTop w:val="0"/>
          <w:marBottom w:val="0"/>
          <w:divBdr>
            <w:top w:val="none" w:sz="0" w:space="0" w:color="auto"/>
            <w:left w:val="none" w:sz="0" w:space="0" w:color="auto"/>
            <w:bottom w:val="none" w:sz="0" w:space="0" w:color="auto"/>
            <w:right w:val="none" w:sz="0" w:space="0" w:color="auto"/>
          </w:divBdr>
        </w:div>
        <w:div w:id="390082139">
          <w:marLeft w:val="0"/>
          <w:marRight w:val="0"/>
          <w:marTop w:val="0"/>
          <w:marBottom w:val="0"/>
          <w:divBdr>
            <w:top w:val="none" w:sz="0" w:space="0" w:color="auto"/>
            <w:left w:val="none" w:sz="0" w:space="0" w:color="auto"/>
            <w:bottom w:val="none" w:sz="0" w:space="0" w:color="auto"/>
            <w:right w:val="none" w:sz="0" w:space="0" w:color="auto"/>
          </w:divBdr>
        </w:div>
        <w:div w:id="1665275786">
          <w:marLeft w:val="0"/>
          <w:marRight w:val="0"/>
          <w:marTop w:val="0"/>
          <w:marBottom w:val="0"/>
          <w:divBdr>
            <w:top w:val="none" w:sz="0" w:space="0" w:color="auto"/>
            <w:left w:val="none" w:sz="0" w:space="0" w:color="auto"/>
            <w:bottom w:val="none" w:sz="0" w:space="0" w:color="auto"/>
            <w:right w:val="none" w:sz="0" w:space="0" w:color="auto"/>
          </w:divBdr>
        </w:div>
        <w:div w:id="638535861">
          <w:marLeft w:val="0"/>
          <w:marRight w:val="0"/>
          <w:marTop w:val="0"/>
          <w:marBottom w:val="0"/>
          <w:divBdr>
            <w:top w:val="none" w:sz="0" w:space="0" w:color="auto"/>
            <w:left w:val="none" w:sz="0" w:space="0" w:color="auto"/>
            <w:bottom w:val="none" w:sz="0" w:space="0" w:color="auto"/>
            <w:right w:val="none" w:sz="0" w:space="0" w:color="auto"/>
          </w:divBdr>
        </w:div>
        <w:div w:id="1938248436">
          <w:marLeft w:val="0"/>
          <w:marRight w:val="0"/>
          <w:marTop w:val="0"/>
          <w:marBottom w:val="0"/>
          <w:divBdr>
            <w:top w:val="none" w:sz="0" w:space="0" w:color="auto"/>
            <w:left w:val="none" w:sz="0" w:space="0" w:color="auto"/>
            <w:bottom w:val="none" w:sz="0" w:space="0" w:color="auto"/>
            <w:right w:val="none" w:sz="0" w:space="0" w:color="auto"/>
          </w:divBdr>
        </w:div>
        <w:div w:id="1783839807">
          <w:marLeft w:val="0"/>
          <w:marRight w:val="0"/>
          <w:marTop w:val="0"/>
          <w:marBottom w:val="0"/>
          <w:divBdr>
            <w:top w:val="none" w:sz="0" w:space="0" w:color="auto"/>
            <w:left w:val="none" w:sz="0" w:space="0" w:color="auto"/>
            <w:bottom w:val="none" w:sz="0" w:space="0" w:color="auto"/>
            <w:right w:val="none" w:sz="0" w:space="0" w:color="auto"/>
          </w:divBdr>
        </w:div>
      </w:divsChild>
    </w:div>
    <w:div w:id="1621183663">
      <w:bodyDiv w:val="1"/>
      <w:marLeft w:val="0"/>
      <w:marRight w:val="0"/>
      <w:marTop w:val="0"/>
      <w:marBottom w:val="0"/>
      <w:divBdr>
        <w:top w:val="none" w:sz="0" w:space="0" w:color="auto"/>
        <w:left w:val="none" w:sz="0" w:space="0" w:color="auto"/>
        <w:bottom w:val="none" w:sz="0" w:space="0" w:color="auto"/>
        <w:right w:val="none" w:sz="0" w:space="0" w:color="auto"/>
      </w:divBdr>
    </w:div>
    <w:div w:id="1648513105">
      <w:bodyDiv w:val="1"/>
      <w:marLeft w:val="0"/>
      <w:marRight w:val="0"/>
      <w:marTop w:val="0"/>
      <w:marBottom w:val="0"/>
      <w:divBdr>
        <w:top w:val="none" w:sz="0" w:space="0" w:color="auto"/>
        <w:left w:val="none" w:sz="0" w:space="0" w:color="auto"/>
        <w:bottom w:val="none" w:sz="0" w:space="0" w:color="auto"/>
        <w:right w:val="none" w:sz="0" w:space="0" w:color="auto"/>
      </w:divBdr>
      <w:divsChild>
        <w:div w:id="1824618113">
          <w:marLeft w:val="0"/>
          <w:marRight w:val="0"/>
          <w:marTop w:val="0"/>
          <w:marBottom w:val="0"/>
          <w:divBdr>
            <w:top w:val="none" w:sz="0" w:space="0" w:color="auto"/>
            <w:left w:val="none" w:sz="0" w:space="0" w:color="auto"/>
            <w:bottom w:val="none" w:sz="0" w:space="0" w:color="auto"/>
            <w:right w:val="none" w:sz="0" w:space="0" w:color="auto"/>
          </w:divBdr>
          <w:divsChild>
            <w:div w:id="1628464595">
              <w:marLeft w:val="0"/>
              <w:marRight w:val="0"/>
              <w:marTop w:val="0"/>
              <w:marBottom w:val="0"/>
              <w:divBdr>
                <w:top w:val="none" w:sz="0" w:space="0" w:color="auto"/>
                <w:left w:val="none" w:sz="0" w:space="0" w:color="auto"/>
                <w:bottom w:val="none" w:sz="0" w:space="0" w:color="auto"/>
                <w:right w:val="none" w:sz="0" w:space="0" w:color="auto"/>
              </w:divBdr>
              <w:divsChild>
                <w:div w:id="1368335929">
                  <w:marLeft w:val="0"/>
                  <w:marRight w:val="0"/>
                  <w:marTop w:val="0"/>
                  <w:marBottom w:val="0"/>
                  <w:divBdr>
                    <w:top w:val="none" w:sz="0" w:space="0" w:color="auto"/>
                    <w:left w:val="none" w:sz="0" w:space="0" w:color="auto"/>
                    <w:bottom w:val="none" w:sz="0" w:space="0" w:color="auto"/>
                    <w:right w:val="none" w:sz="0" w:space="0" w:color="auto"/>
                  </w:divBdr>
                  <w:divsChild>
                    <w:div w:id="687756906">
                      <w:marLeft w:val="0"/>
                      <w:marRight w:val="0"/>
                      <w:marTop w:val="0"/>
                      <w:marBottom w:val="0"/>
                      <w:divBdr>
                        <w:top w:val="none" w:sz="0" w:space="0" w:color="auto"/>
                        <w:left w:val="none" w:sz="0" w:space="0" w:color="auto"/>
                        <w:bottom w:val="none" w:sz="0" w:space="0" w:color="auto"/>
                        <w:right w:val="none" w:sz="0" w:space="0" w:color="auto"/>
                      </w:divBdr>
                      <w:divsChild>
                        <w:div w:id="537202984">
                          <w:marLeft w:val="0"/>
                          <w:marRight w:val="0"/>
                          <w:marTop w:val="0"/>
                          <w:marBottom w:val="0"/>
                          <w:divBdr>
                            <w:top w:val="none" w:sz="0" w:space="0" w:color="auto"/>
                            <w:left w:val="none" w:sz="0" w:space="0" w:color="auto"/>
                            <w:bottom w:val="none" w:sz="0" w:space="0" w:color="auto"/>
                            <w:right w:val="none" w:sz="0" w:space="0" w:color="auto"/>
                          </w:divBdr>
                          <w:divsChild>
                            <w:div w:id="13412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4A39-F5F3-498E-ACDA-5B17CEB9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9293</Words>
  <Characters>52971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Harrison</dc:creator>
  <cp:lastModifiedBy>Neil Harrison</cp:lastModifiedBy>
  <cp:revision>2</cp:revision>
  <cp:lastPrinted>2013-05-05T15:47:00Z</cp:lastPrinted>
  <dcterms:created xsi:type="dcterms:W3CDTF">2013-07-10T17:48:00Z</dcterms:created>
  <dcterms:modified xsi:type="dcterms:W3CDTF">2013-07-10T17:48:00Z</dcterms:modified>
</cp:coreProperties>
</file>