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79" w:rsidRPr="00EC4F02" w:rsidRDefault="00624679" w:rsidP="003E095A">
      <w:pPr>
        <w:spacing w:line="276" w:lineRule="auto"/>
        <w:rPr>
          <w:b/>
          <w:sz w:val="28"/>
          <w:lang w:val="en-GB"/>
        </w:rPr>
      </w:pPr>
      <w:r w:rsidRPr="00EC4F02">
        <w:rPr>
          <w:b/>
          <w:sz w:val="28"/>
          <w:lang w:val="en-GB"/>
        </w:rPr>
        <w:t>Don’t know what you’ve got ‘til it</w:t>
      </w:r>
      <w:r w:rsidR="005D7C2A" w:rsidRPr="00EC4F02">
        <w:rPr>
          <w:b/>
          <w:sz w:val="28"/>
          <w:lang w:val="en-GB"/>
        </w:rPr>
        <w:t>'</w:t>
      </w:r>
      <w:r w:rsidRPr="00EC4F02">
        <w:rPr>
          <w:b/>
          <w:sz w:val="28"/>
          <w:lang w:val="en-GB"/>
        </w:rPr>
        <w:t xml:space="preserve">s gone?   </w:t>
      </w:r>
      <w:r w:rsidR="00A824E2" w:rsidRPr="00EC4F02">
        <w:rPr>
          <w:b/>
          <w:sz w:val="28"/>
          <w:lang w:val="en-GB"/>
        </w:rPr>
        <w:t>S</w:t>
      </w:r>
      <w:r w:rsidRPr="00EC4F02">
        <w:rPr>
          <w:b/>
          <w:sz w:val="28"/>
          <w:lang w:val="en-GB"/>
        </w:rPr>
        <w:t>kills-</w:t>
      </w:r>
      <w:r w:rsidR="00B44F62" w:rsidRPr="00EC4F02">
        <w:rPr>
          <w:b/>
          <w:sz w:val="28"/>
          <w:lang w:val="en-GB"/>
        </w:rPr>
        <w:t>led</w:t>
      </w:r>
      <w:r w:rsidRPr="00EC4F02">
        <w:rPr>
          <w:b/>
          <w:sz w:val="28"/>
          <w:lang w:val="en-GB"/>
        </w:rPr>
        <w:t xml:space="preserve"> qualification</w:t>
      </w:r>
      <w:r w:rsidR="00A824E2" w:rsidRPr="00EC4F02">
        <w:rPr>
          <w:b/>
          <w:sz w:val="28"/>
          <w:lang w:val="en-GB"/>
        </w:rPr>
        <w:t>s,</w:t>
      </w:r>
      <w:r w:rsidRPr="00EC4F02">
        <w:rPr>
          <w:b/>
          <w:sz w:val="28"/>
          <w:lang w:val="en-GB"/>
        </w:rPr>
        <w:t xml:space="preserve"> </w:t>
      </w:r>
      <w:r w:rsidR="00BC2E8A" w:rsidRPr="00EC4F02">
        <w:rPr>
          <w:b/>
          <w:sz w:val="28"/>
          <w:lang w:val="en-GB"/>
        </w:rPr>
        <w:t xml:space="preserve">secondary </w:t>
      </w:r>
      <w:r w:rsidRPr="00EC4F02">
        <w:rPr>
          <w:b/>
          <w:sz w:val="28"/>
          <w:lang w:val="en-GB"/>
        </w:rPr>
        <w:t>school attainment</w:t>
      </w:r>
      <w:r w:rsidR="006C0984" w:rsidRPr="00EC4F02">
        <w:rPr>
          <w:b/>
          <w:sz w:val="28"/>
          <w:lang w:val="en-GB"/>
        </w:rPr>
        <w:t xml:space="preserve"> </w:t>
      </w:r>
      <w:r w:rsidR="00A824E2" w:rsidRPr="00EC4F02">
        <w:rPr>
          <w:b/>
          <w:sz w:val="28"/>
          <w:lang w:val="en-GB"/>
        </w:rPr>
        <w:t>and policy choices</w:t>
      </w:r>
    </w:p>
    <w:p w:rsidR="00624679" w:rsidRPr="008C148B" w:rsidRDefault="00624679" w:rsidP="003E095A">
      <w:pPr>
        <w:spacing w:line="276" w:lineRule="auto"/>
        <w:rPr>
          <w:b/>
          <w:lang w:val="en-GB"/>
        </w:rPr>
      </w:pPr>
    </w:p>
    <w:p w:rsidR="00A824E2" w:rsidRDefault="00A824E2" w:rsidP="003E095A">
      <w:pPr>
        <w:spacing w:line="276" w:lineRule="auto"/>
        <w:rPr>
          <w:b/>
          <w:lang w:val="en-GB"/>
        </w:rPr>
      </w:pPr>
    </w:p>
    <w:p w:rsidR="00204B91" w:rsidRPr="008C148B" w:rsidRDefault="00204B91" w:rsidP="003E095A">
      <w:pPr>
        <w:spacing w:line="276" w:lineRule="auto"/>
        <w:rPr>
          <w:b/>
          <w:lang w:val="en-GB"/>
        </w:rPr>
      </w:pPr>
    </w:p>
    <w:p w:rsidR="00EC4F02" w:rsidRDefault="00EC4F02" w:rsidP="003E095A">
      <w:pPr>
        <w:spacing w:line="276" w:lineRule="auto"/>
        <w:rPr>
          <w:b/>
          <w:lang w:val="en-GB"/>
        </w:rPr>
      </w:pPr>
      <w:r>
        <w:rPr>
          <w:b/>
          <w:lang w:val="en-GB"/>
        </w:rPr>
        <w:t>Neil Harrison</w:t>
      </w:r>
    </w:p>
    <w:p w:rsidR="00306C28" w:rsidRDefault="00EC4F02" w:rsidP="003E095A">
      <w:pPr>
        <w:spacing w:line="276" w:lineRule="auto"/>
        <w:rPr>
          <w:sz w:val="22"/>
          <w:lang w:val="en-GB"/>
        </w:rPr>
      </w:pPr>
      <w:r w:rsidRPr="00204B91">
        <w:rPr>
          <w:sz w:val="22"/>
          <w:lang w:val="en-GB"/>
        </w:rPr>
        <w:t xml:space="preserve">University of the West of England, </w:t>
      </w:r>
      <w:proofErr w:type="spellStart"/>
      <w:r w:rsidRPr="00204B91">
        <w:rPr>
          <w:sz w:val="22"/>
          <w:lang w:val="en-GB"/>
        </w:rPr>
        <w:t>Frenchay</w:t>
      </w:r>
      <w:proofErr w:type="spellEnd"/>
      <w:r w:rsidRPr="00204B91">
        <w:rPr>
          <w:sz w:val="22"/>
          <w:lang w:val="en-GB"/>
        </w:rPr>
        <w:t xml:space="preserve">, Bristol, BS16 1QY </w:t>
      </w:r>
    </w:p>
    <w:p w:rsidR="00EC4F02" w:rsidRPr="00204B91" w:rsidRDefault="00EC4F02" w:rsidP="003E095A">
      <w:pPr>
        <w:spacing w:line="276" w:lineRule="auto"/>
        <w:rPr>
          <w:sz w:val="22"/>
          <w:lang w:val="en-GB"/>
        </w:rPr>
      </w:pPr>
      <w:r w:rsidRPr="00204B91">
        <w:rPr>
          <w:sz w:val="22"/>
          <w:lang w:val="en-GB"/>
        </w:rPr>
        <w:t>(neil.harrison@uwe.ac.uk / 0117 32 84190</w:t>
      </w:r>
      <w:r w:rsidR="00204B91">
        <w:rPr>
          <w:sz w:val="22"/>
          <w:lang w:val="en-GB"/>
        </w:rPr>
        <w:t xml:space="preserve"> </w:t>
      </w:r>
      <w:r w:rsidRPr="00204B91">
        <w:rPr>
          <w:sz w:val="22"/>
          <w:lang w:val="en-GB"/>
        </w:rPr>
        <w:t>– corresponding author)</w:t>
      </w:r>
    </w:p>
    <w:p w:rsidR="00EC4F02" w:rsidRDefault="00EC4F02" w:rsidP="003E095A">
      <w:pPr>
        <w:spacing w:line="276" w:lineRule="auto"/>
        <w:rPr>
          <w:b/>
          <w:lang w:val="en-GB"/>
        </w:rPr>
      </w:pPr>
      <w:r>
        <w:rPr>
          <w:b/>
          <w:lang w:val="en-GB"/>
        </w:rPr>
        <w:t>David James</w:t>
      </w:r>
    </w:p>
    <w:p w:rsidR="00EC4F02" w:rsidRPr="00204B91" w:rsidRDefault="00EC4F02" w:rsidP="003E095A">
      <w:pPr>
        <w:spacing w:line="276" w:lineRule="auto"/>
        <w:rPr>
          <w:sz w:val="22"/>
          <w:lang w:val="en-GB"/>
        </w:rPr>
      </w:pPr>
      <w:r w:rsidRPr="00204B91">
        <w:rPr>
          <w:sz w:val="22"/>
          <w:lang w:val="en-GB"/>
        </w:rPr>
        <w:t xml:space="preserve">University of Cardiff, </w:t>
      </w:r>
      <w:proofErr w:type="spellStart"/>
      <w:r w:rsidRPr="00204B91">
        <w:rPr>
          <w:sz w:val="22"/>
        </w:rPr>
        <w:t>Glamorgan</w:t>
      </w:r>
      <w:proofErr w:type="spellEnd"/>
      <w:r w:rsidRPr="00204B91">
        <w:rPr>
          <w:sz w:val="22"/>
        </w:rPr>
        <w:t xml:space="preserve"> Building, </w:t>
      </w:r>
      <w:r w:rsidR="00204B91">
        <w:rPr>
          <w:sz w:val="22"/>
        </w:rPr>
        <w:t>King Edward VII</w:t>
      </w:r>
      <w:r w:rsidRPr="00204B91">
        <w:rPr>
          <w:sz w:val="22"/>
        </w:rPr>
        <w:t xml:space="preserve"> Avenue, Cardiff, CF10 3WT</w:t>
      </w:r>
      <w:r w:rsidRPr="00204B91">
        <w:rPr>
          <w:sz w:val="22"/>
          <w:lang w:val="en-GB"/>
        </w:rPr>
        <w:t xml:space="preserve"> (</w:t>
      </w:r>
      <w:r w:rsidRPr="00204B91">
        <w:rPr>
          <w:rStyle w:val="rwrro"/>
          <w:sz w:val="22"/>
        </w:rPr>
        <w:t xml:space="preserve">jamesdr2@cardiff.ac.uk / </w:t>
      </w:r>
      <w:r w:rsidRPr="00204B91">
        <w:rPr>
          <w:sz w:val="22"/>
          <w:szCs w:val="20"/>
        </w:rPr>
        <w:t>029 2087 0930)</w:t>
      </w:r>
    </w:p>
    <w:p w:rsidR="00EC4F02" w:rsidRDefault="00624679" w:rsidP="003E095A">
      <w:pPr>
        <w:spacing w:line="276" w:lineRule="auto"/>
        <w:rPr>
          <w:b/>
          <w:lang w:val="en-GB"/>
        </w:rPr>
      </w:pPr>
      <w:r w:rsidRPr="008C148B">
        <w:rPr>
          <w:b/>
          <w:lang w:val="en-GB"/>
        </w:rPr>
        <w:t>Kathryn Last</w:t>
      </w:r>
    </w:p>
    <w:p w:rsidR="00204B91" w:rsidRDefault="00EC4F02" w:rsidP="003E095A">
      <w:pPr>
        <w:spacing w:line="276" w:lineRule="auto"/>
        <w:rPr>
          <w:sz w:val="22"/>
          <w:lang w:val="en-GB"/>
        </w:rPr>
      </w:pPr>
      <w:r w:rsidRPr="00204B91">
        <w:rPr>
          <w:sz w:val="22"/>
          <w:lang w:val="en-GB"/>
        </w:rPr>
        <w:t xml:space="preserve">University of the West of England, </w:t>
      </w:r>
      <w:proofErr w:type="spellStart"/>
      <w:r w:rsidRPr="00204B91">
        <w:rPr>
          <w:sz w:val="22"/>
          <w:lang w:val="en-GB"/>
        </w:rPr>
        <w:t>Frenchay</w:t>
      </w:r>
      <w:proofErr w:type="spellEnd"/>
      <w:r w:rsidRPr="00204B91">
        <w:rPr>
          <w:sz w:val="22"/>
          <w:lang w:val="en-GB"/>
        </w:rPr>
        <w:t xml:space="preserve">, Bristol, BS16 1QY </w:t>
      </w:r>
    </w:p>
    <w:p w:rsidR="00EC4F02" w:rsidRPr="00204B91" w:rsidRDefault="00EC4F02" w:rsidP="003E095A">
      <w:pPr>
        <w:spacing w:line="276" w:lineRule="auto"/>
        <w:rPr>
          <w:sz w:val="22"/>
          <w:lang w:val="en-GB"/>
        </w:rPr>
      </w:pPr>
      <w:r w:rsidRPr="00204B91">
        <w:rPr>
          <w:sz w:val="22"/>
          <w:lang w:val="en-GB"/>
        </w:rPr>
        <w:t>(kathryn.last@uwe.ac.uk / 0117 32 84226)</w:t>
      </w:r>
    </w:p>
    <w:p w:rsidR="00624679" w:rsidRPr="008C148B" w:rsidRDefault="00624679" w:rsidP="003E095A">
      <w:pPr>
        <w:spacing w:line="276" w:lineRule="auto"/>
        <w:rPr>
          <w:b/>
          <w:lang w:val="en-GB"/>
        </w:rPr>
      </w:pPr>
    </w:p>
    <w:p w:rsidR="00624679" w:rsidRPr="008C148B" w:rsidRDefault="00624679" w:rsidP="003E095A">
      <w:pPr>
        <w:spacing w:line="276" w:lineRule="auto"/>
        <w:rPr>
          <w:b/>
          <w:lang w:val="en-GB"/>
        </w:rPr>
      </w:pPr>
    </w:p>
    <w:p w:rsidR="00A824E2" w:rsidRPr="008C148B" w:rsidRDefault="00A824E2" w:rsidP="003E095A">
      <w:pPr>
        <w:spacing w:line="276" w:lineRule="auto"/>
        <w:rPr>
          <w:b/>
          <w:lang w:val="en-GB"/>
        </w:rPr>
      </w:pPr>
    </w:p>
    <w:p w:rsidR="00EC4F02" w:rsidRDefault="00EC4F02" w:rsidP="003E095A">
      <w:pPr>
        <w:spacing w:line="276" w:lineRule="auto"/>
        <w:rPr>
          <w:b/>
          <w:lang w:val="en-GB"/>
        </w:rPr>
      </w:pPr>
    </w:p>
    <w:p w:rsidR="0001628D" w:rsidRDefault="0001628D" w:rsidP="003E095A">
      <w:pPr>
        <w:spacing w:line="276" w:lineRule="auto"/>
        <w:rPr>
          <w:b/>
          <w:color w:val="FF0000"/>
          <w:sz w:val="32"/>
          <w:lang w:val="en-GB"/>
        </w:rPr>
      </w:pPr>
    </w:p>
    <w:p w:rsidR="00EC4F02" w:rsidRDefault="00EC4F02" w:rsidP="003E095A">
      <w:pPr>
        <w:spacing w:line="276" w:lineRule="auto"/>
        <w:rPr>
          <w:b/>
          <w:lang w:val="en-GB"/>
        </w:rPr>
      </w:pPr>
    </w:p>
    <w:p w:rsidR="00EC4F02" w:rsidRDefault="00EC4F02" w:rsidP="003E095A">
      <w:pPr>
        <w:spacing w:line="276" w:lineRule="auto"/>
        <w:rPr>
          <w:lang w:val="en-GB"/>
        </w:rPr>
      </w:pPr>
      <w:r>
        <w:rPr>
          <w:lang w:val="en-GB"/>
        </w:rPr>
        <w:br w:type="page"/>
      </w:r>
    </w:p>
    <w:p w:rsidR="00204B91" w:rsidRPr="00EC4F02" w:rsidRDefault="00204B91" w:rsidP="003E095A">
      <w:pPr>
        <w:spacing w:line="276" w:lineRule="auto"/>
        <w:rPr>
          <w:b/>
          <w:sz w:val="28"/>
          <w:lang w:val="en-GB"/>
        </w:rPr>
      </w:pPr>
      <w:r w:rsidRPr="00EC4F02">
        <w:rPr>
          <w:b/>
          <w:sz w:val="28"/>
          <w:lang w:val="en-GB"/>
        </w:rPr>
        <w:lastRenderedPageBreak/>
        <w:t>Don’t know what you’ve got ‘til it's gone?   Skills-led qualifications, secondary school attainment and policy choices</w:t>
      </w:r>
    </w:p>
    <w:p w:rsidR="00204B91" w:rsidRDefault="00204B91" w:rsidP="003E095A">
      <w:pPr>
        <w:spacing w:line="276" w:lineRule="auto"/>
        <w:rPr>
          <w:b/>
          <w:lang w:val="en-GB"/>
        </w:rPr>
      </w:pPr>
    </w:p>
    <w:p w:rsidR="00BC2E8A" w:rsidRPr="008C148B" w:rsidRDefault="00E405E0" w:rsidP="003E095A">
      <w:pPr>
        <w:spacing w:line="276" w:lineRule="auto"/>
        <w:rPr>
          <w:i/>
          <w:lang w:val="en-GB"/>
        </w:rPr>
      </w:pPr>
      <w:r w:rsidRPr="00204B91">
        <w:rPr>
          <w:b/>
          <w:lang w:val="en-GB"/>
        </w:rPr>
        <w:t>Abstract</w:t>
      </w:r>
      <w:r w:rsidRPr="008C148B">
        <w:rPr>
          <w:lang w:val="en-GB"/>
        </w:rPr>
        <w:t xml:space="preserve">: </w:t>
      </w:r>
      <w:r w:rsidR="0040253F" w:rsidRPr="008C148B">
        <w:rPr>
          <w:i/>
          <w:lang w:val="en-GB"/>
        </w:rPr>
        <w:t>In the name of curriculum breadth and raising standards, recent government policy in England has removed a large number of non-academic qualifications from the list of those that secondary schools can count in league tables</w:t>
      </w:r>
      <w:r w:rsidR="003F7227" w:rsidRPr="008C148B">
        <w:rPr>
          <w:i/>
          <w:lang w:val="en-GB"/>
        </w:rPr>
        <w:t xml:space="preserve">, discouraging their use. </w:t>
      </w:r>
      <w:r w:rsidR="0040253F" w:rsidRPr="008C148B">
        <w:rPr>
          <w:i/>
          <w:lang w:val="en-GB"/>
        </w:rPr>
        <w:t xml:space="preserve">Most of these were vocational qualifications, but they also include skills-led qualifications. </w:t>
      </w:r>
    </w:p>
    <w:p w:rsidR="00624679" w:rsidRPr="008C148B" w:rsidRDefault="008302D1" w:rsidP="003E095A">
      <w:pPr>
        <w:spacing w:line="276" w:lineRule="auto"/>
        <w:ind w:firstLine="720"/>
        <w:rPr>
          <w:i/>
          <w:lang w:val="en-GB"/>
        </w:rPr>
      </w:pPr>
      <w:r w:rsidRPr="008C148B">
        <w:rPr>
          <w:i/>
          <w:lang w:val="en-GB"/>
        </w:rPr>
        <w:t>This paper</w:t>
      </w:r>
      <w:r w:rsidR="003A70AF" w:rsidRPr="008C148B">
        <w:rPr>
          <w:i/>
          <w:lang w:val="en-GB"/>
        </w:rPr>
        <w:t xml:space="preserve"> reports </w:t>
      </w:r>
      <w:r w:rsidRPr="008C148B">
        <w:rPr>
          <w:i/>
          <w:lang w:val="en-GB"/>
        </w:rPr>
        <w:t xml:space="preserve">mixed methods </w:t>
      </w:r>
      <w:r w:rsidR="003A70AF" w:rsidRPr="008C148B">
        <w:rPr>
          <w:i/>
          <w:lang w:val="en-GB"/>
        </w:rPr>
        <w:t xml:space="preserve">research </w:t>
      </w:r>
      <w:r w:rsidRPr="008C148B">
        <w:rPr>
          <w:i/>
          <w:lang w:val="en-GB"/>
        </w:rPr>
        <w:t>investigat</w:t>
      </w:r>
      <w:r w:rsidR="003A70AF" w:rsidRPr="008C148B">
        <w:rPr>
          <w:i/>
          <w:lang w:val="en-GB"/>
        </w:rPr>
        <w:t>ing</w:t>
      </w:r>
      <w:r w:rsidRPr="008C148B">
        <w:rPr>
          <w:i/>
          <w:lang w:val="en-GB"/>
        </w:rPr>
        <w:t xml:space="preserve"> the relationship between mainstream</w:t>
      </w:r>
      <w:r w:rsidR="00E405E0" w:rsidRPr="008C148B">
        <w:rPr>
          <w:i/>
          <w:lang w:val="en-GB"/>
        </w:rPr>
        <w:t xml:space="preserve"> secondary school</w:t>
      </w:r>
      <w:r w:rsidRPr="008C148B">
        <w:rPr>
          <w:i/>
          <w:lang w:val="en-GB"/>
        </w:rPr>
        <w:t xml:space="preserve"> qualifications in England and a</w:t>
      </w:r>
      <w:r w:rsidR="00E405E0" w:rsidRPr="008C148B">
        <w:rPr>
          <w:i/>
          <w:lang w:val="en-GB"/>
        </w:rPr>
        <w:t xml:space="preserve"> specific</w:t>
      </w:r>
      <w:r w:rsidR="00D63086" w:rsidRPr="008C148B">
        <w:rPr>
          <w:i/>
          <w:lang w:val="en-GB"/>
        </w:rPr>
        <w:t>, widely used</w:t>
      </w:r>
      <w:r w:rsidR="00E405E0" w:rsidRPr="008C148B">
        <w:rPr>
          <w:i/>
          <w:lang w:val="en-GB"/>
        </w:rPr>
        <w:t xml:space="preserve"> </w:t>
      </w:r>
      <w:r w:rsidRPr="008C148B">
        <w:rPr>
          <w:i/>
          <w:lang w:val="en-GB"/>
        </w:rPr>
        <w:t xml:space="preserve">skills-led qualification: the Certificate of Personal Effectiveness </w:t>
      </w:r>
      <w:r w:rsidR="00A824E2" w:rsidRPr="008C148B">
        <w:rPr>
          <w:i/>
          <w:lang w:val="en-GB"/>
        </w:rPr>
        <w:t>(</w:t>
      </w:r>
      <w:r w:rsidRPr="008C148B">
        <w:rPr>
          <w:i/>
          <w:lang w:val="en-GB"/>
        </w:rPr>
        <w:t>CoPE</w:t>
      </w:r>
      <w:r w:rsidR="00A824E2" w:rsidRPr="008C148B">
        <w:rPr>
          <w:i/>
          <w:lang w:val="en-GB"/>
        </w:rPr>
        <w:t>)</w:t>
      </w:r>
      <w:r w:rsidRPr="008C148B">
        <w:rPr>
          <w:i/>
          <w:lang w:val="en-GB"/>
        </w:rPr>
        <w:t>.  Neither academic nor vocational, CoPE requires learners to assemble a portfolio of evidence in response to ‘challenges’ negotiated with the teacher.  It is designed to promote a reflective learning orientation and to develop (and assess) skills that underpin learning and future employability.</w:t>
      </w:r>
    </w:p>
    <w:p w:rsidR="008302D1" w:rsidRPr="008C148B" w:rsidRDefault="00E405E0" w:rsidP="003E095A">
      <w:pPr>
        <w:spacing w:line="276" w:lineRule="auto"/>
        <w:ind w:firstLine="720"/>
        <w:rPr>
          <w:i/>
          <w:lang w:val="en-GB"/>
        </w:rPr>
      </w:pPr>
      <w:r w:rsidRPr="008C148B">
        <w:rPr>
          <w:i/>
          <w:lang w:val="en-GB"/>
        </w:rPr>
        <w:t>We use a combination of regression analysis, pseudo-experiment and qualitative case study</w:t>
      </w:r>
      <w:r w:rsidR="00D63086" w:rsidRPr="008C148B">
        <w:rPr>
          <w:i/>
          <w:lang w:val="en-GB"/>
        </w:rPr>
        <w:t>.</w:t>
      </w:r>
      <w:r w:rsidRPr="008C148B">
        <w:rPr>
          <w:i/>
          <w:lang w:val="en-GB"/>
        </w:rPr>
        <w:t xml:space="preserve"> </w:t>
      </w:r>
      <w:r w:rsidR="00A824E2" w:rsidRPr="008C148B">
        <w:rPr>
          <w:i/>
          <w:lang w:val="en-GB"/>
        </w:rPr>
        <w:t xml:space="preserve"> </w:t>
      </w:r>
      <w:r w:rsidRPr="008C148B">
        <w:rPr>
          <w:i/>
          <w:lang w:val="en-GB"/>
        </w:rPr>
        <w:t xml:space="preserve">Our research shows that CoPE is associated with improved outcomes in General </w:t>
      </w:r>
      <w:r w:rsidR="00A824E2" w:rsidRPr="008C148B">
        <w:rPr>
          <w:i/>
          <w:lang w:val="en-GB"/>
        </w:rPr>
        <w:t>Certificates of Secondary Education (GCSEs) –</w:t>
      </w:r>
      <w:r w:rsidRPr="008C148B">
        <w:rPr>
          <w:i/>
          <w:lang w:val="en-GB"/>
        </w:rPr>
        <w:t xml:space="preserve"> the ‘mainstream’ academic qualifications </w:t>
      </w:r>
      <w:r w:rsidR="003A70AF" w:rsidRPr="008C148B">
        <w:rPr>
          <w:i/>
          <w:lang w:val="en-GB"/>
        </w:rPr>
        <w:t xml:space="preserve">often </w:t>
      </w:r>
      <w:r w:rsidRPr="008C148B">
        <w:rPr>
          <w:i/>
          <w:lang w:val="en-GB"/>
        </w:rPr>
        <w:t xml:space="preserve">regarded as the benchmark </w:t>
      </w:r>
      <w:r w:rsidR="00D63086" w:rsidRPr="008C148B">
        <w:rPr>
          <w:i/>
          <w:lang w:val="en-GB"/>
        </w:rPr>
        <w:t xml:space="preserve">for the quality of schools and much of what goes on in them. </w:t>
      </w:r>
      <w:r w:rsidRPr="008C148B">
        <w:rPr>
          <w:i/>
          <w:lang w:val="en-GB"/>
        </w:rPr>
        <w:t xml:space="preserve"> </w:t>
      </w:r>
      <w:r w:rsidR="00D63086" w:rsidRPr="008C148B">
        <w:rPr>
          <w:i/>
          <w:lang w:val="en-GB"/>
        </w:rPr>
        <w:t>Thus, we argue that certain reforms designed to raise standards a</w:t>
      </w:r>
      <w:r w:rsidR="0052614A">
        <w:rPr>
          <w:i/>
          <w:lang w:val="en-GB"/>
        </w:rPr>
        <w:t>re likely to depress attainment</w:t>
      </w:r>
      <w:r w:rsidR="00D63086" w:rsidRPr="008C148B">
        <w:rPr>
          <w:i/>
          <w:lang w:val="en-GB"/>
        </w:rPr>
        <w:t xml:space="preserve"> in the very qualifications deemed as core indicators of educational standards. </w:t>
      </w:r>
      <w:r w:rsidR="008302D1" w:rsidRPr="008C148B">
        <w:rPr>
          <w:i/>
          <w:lang w:val="en-GB"/>
        </w:rPr>
        <w:t xml:space="preserve">  </w:t>
      </w:r>
    </w:p>
    <w:p w:rsidR="008302D1" w:rsidRPr="008C148B" w:rsidRDefault="008302D1" w:rsidP="003E095A">
      <w:pPr>
        <w:spacing w:line="276" w:lineRule="auto"/>
        <w:rPr>
          <w:i/>
          <w:lang w:val="en-GB"/>
        </w:rPr>
      </w:pPr>
    </w:p>
    <w:p w:rsidR="00590901" w:rsidRDefault="00590901" w:rsidP="003E095A">
      <w:pPr>
        <w:spacing w:line="276" w:lineRule="auto"/>
        <w:rPr>
          <w:b/>
          <w:lang w:val="en-GB"/>
        </w:rPr>
      </w:pPr>
    </w:p>
    <w:p w:rsidR="0087358B" w:rsidRPr="00204B91" w:rsidRDefault="00204B91" w:rsidP="003E095A">
      <w:pPr>
        <w:spacing w:line="276" w:lineRule="auto"/>
        <w:rPr>
          <w:lang w:val="en-GB"/>
        </w:rPr>
      </w:pPr>
      <w:r w:rsidRPr="00204B91">
        <w:rPr>
          <w:b/>
          <w:lang w:val="en-GB"/>
        </w:rPr>
        <w:t>Keywords:</w:t>
      </w:r>
      <w:r>
        <w:rPr>
          <w:lang w:val="en-GB"/>
        </w:rPr>
        <w:t xml:space="preserve"> </w:t>
      </w:r>
      <w:r w:rsidR="00D92100">
        <w:rPr>
          <w:lang w:val="en-GB"/>
        </w:rPr>
        <w:t xml:space="preserve">GCSEs, ASDAN, </w:t>
      </w:r>
      <w:r>
        <w:rPr>
          <w:lang w:val="en-GB"/>
        </w:rPr>
        <w:t xml:space="preserve">attainment, </w:t>
      </w:r>
      <w:r w:rsidR="00D92100">
        <w:rPr>
          <w:lang w:val="en-GB"/>
        </w:rPr>
        <w:t>learning orientations, inequality</w:t>
      </w:r>
      <w:r>
        <w:rPr>
          <w:lang w:val="en-GB"/>
        </w:rPr>
        <w:t>, standards</w:t>
      </w:r>
    </w:p>
    <w:p w:rsidR="00590901" w:rsidRDefault="00590901" w:rsidP="003E095A">
      <w:pPr>
        <w:spacing w:line="276" w:lineRule="auto"/>
        <w:rPr>
          <w:b/>
          <w:lang w:val="en-GB"/>
        </w:rPr>
      </w:pPr>
      <w:r>
        <w:rPr>
          <w:b/>
          <w:lang w:val="en-GB"/>
        </w:rPr>
        <w:br w:type="page"/>
      </w:r>
    </w:p>
    <w:p w:rsidR="00624679" w:rsidRPr="008C148B" w:rsidRDefault="00D66B7D" w:rsidP="003E095A">
      <w:pPr>
        <w:spacing w:line="276" w:lineRule="auto"/>
        <w:rPr>
          <w:b/>
          <w:lang w:val="en-GB"/>
        </w:rPr>
      </w:pPr>
      <w:r>
        <w:rPr>
          <w:b/>
          <w:lang w:val="en-GB"/>
        </w:rPr>
        <w:lastRenderedPageBreak/>
        <w:t xml:space="preserve">1. </w:t>
      </w:r>
      <w:r w:rsidR="00624679" w:rsidRPr="008C148B">
        <w:rPr>
          <w:b/>
          <w:lang w:val="en-GB"/>
        </w:rPr>
        <w:t>Introduction</w:t>
      </w:r>
    </w:p>
    <w:p w:rsidR="00624679" w:rsidRPr="008C148B" w:rsidRDefault="00624679" w:rsidP="003E095A">
      <w:pPr>
        <w:spacing w:line="276" w:lineRule="auto"/>
        <w:rPr>
          <w:b/>
          <w:lang w:val="en-GB"/>
        </w:rPr>
      </w:pPr>
    </w:p>
    <w:p w:rsidR="0087358B" w:rsidRPr="008C148B" w:rsidRDefault="0087358B" w:rsidP="003E095A">
      <w:pPr>
        <w:spacing w:line="276" w:lineRule="auto"/>
        <w:rPr>
          <w:lang w:val="en-GB"/>
        </w:rPr>
      </w:pPr>
      <w:r w:rsidRPr="008C148B">
        <w:rPr>
          <w:lang w:val="en-GB"/>
        </w:rPr>
        <w:t>In England, the principal qualification undertaken at the end of compulsory schooling is the General Certificate of Secondary Education (GCSE).  GCSEs are subject-based and academically-focused qualifications that have historically combined continuous assessment through coursework with a terminal examination at the age of 16, forming the centrepiece of learning at Key Stage 4 (KS4).  GCSEs are viewed as the mainstream pathway and a gateway both to employment and post-compulsory education or training.  They are graded on a</w:t>
      </w:r>
      <w:r w:rsidR="00CE72FA" w:rsidRPr="008C148B">
        <w:rPr>
          <w:lang w:val="en-GB"/>
        </w:rPr>
        <w:t>n</w:t>
      </w:r>
      <w:r w:rsidRPr="008C148B">
        <w:rPr>
          <w:lang w:val="en-GB"/>
        </w:rPr>
        <w:t xml:space="preserve"> eight-point scale from A*</w:t>
      </w:r>
      <w:r w:rsidR="0052614A">
        <w:rPr>
          <w:lang w:val="en-GB"/>
        </w:rPr>
        <w:t xml:space="preserve"> to G, with a ungraded fail </w:t>
      </w:r>
      <w:r w:rsidRPr="008C148B">
        <w:rPr>
          <w:lang w:val="en-GB"/>
        </w:rPr>
        <w:t>and grades A* to C generally being viewed as ‘good passes’.</w:t>
      </w:r>
      <w:r w:rsidR="00741095" w:rsidRPr="008C148B">
        <w:rPr>
          <w:lang w:val="en-GB"/>
        </w:rPr>
        <w:t xml:space="preserve"> </w:t>
      </w:r>
    </w:p>
    <w:p w:rsidR="0087358B" w:rsidRPr="008C148B" w:rsidRDefault="0087358B" w:rsidP="003E095A">
      <w:pPr>
        <w:spacing w:line="276" w:lineRule="auto"/>
        <w:rPr>
          <w:lang w:val="en-GB"/>
        </w:rPr>
      </w:pPr>
    </w:p>
    <w:p w:rsidR="00503F6C" w:rsidRPr="008C148B" w:rsidRDefault="0087358B" w:rsidP="003E095A">
      <w:pPr>
        <w:spacing w:line="276" w:lineRule="auto"/>
        <w:rPr>
          <w:bCs/>
          <w:lang w:val="en-GB"/>
        </w:rPr>
      </w:pPr>
      <w:r w:rsidRPr="008C148B">
        <w:rPr>
          <w:lang w:val="en-GB"/>
        </w:rPr>
        <w:t xml:space="preserve">However, there has long been freedom for </w:t>
      </w:r>
      <w:r w:rsidR="00741095" w:rsidRPr="008C148B">
        <w:rPr>
          <w:lang w:val="en-GB"/>
        </w:rPr>
        <w:t xml:space="preserve">schools to provide </w:t>
      </w:r>
      <w:r w:rsidRPr="008C148B">
        <w:rPr>
          <w:lang w:val="en-GB"/>
        </w:rPr>
        <w:t>other qualification</w:t>
      </w:r>
      <w:r w:rsidR="00165911" w:rsidRPr="008C148B">
        <w:rPr>
          <w:lang w:val="en-GB"/>
        </w:rPr>
        <w:t>s</w:t>
      </w:r>
      <w:r w:rsidRPr="008C148B">
        <w:rPr>
          <w:lang w:val="en-GB"/>
        </w:rPr>
        <w:t xml:space="preserve"> alongside GCSEs.  These qualifications have tended to be vocational and focused primarily on access to employment.  Among the more common are </w:t>
      </w:r>
      <w:r w:rsidR="00AC1145" w:rsidRPr="008C148B">
        <w:rPr>
          <w:lang w:val="en-GB"/>
        </w:rPr>
        <w:t xml:space="preserve">those offered by the </w:t>
      </w:r>
      <w:r w:rsidR="00AC1145" w:rsidRPr="008C148B">
        <w:rPr>
          <w:bCs/>
          <w:lang w:val="en-GB"/>
        </w:rPr>
        <w:t>Business and Technology Education Council (BTECs)</w:t>
      </w:r>
      <w:r w:rsidRPr="008C148B">
        <w:rPr>
          <w:bCs/>
          <w:lang w:val="en-GB"/>
        </w:rPr>
        <w:t xml:space="preserve">.  A mapping process </w:t>
      </w:r>
      <w:r w:rsidR="00AC1145" w:rsidRPr="008C148B">
        <w:rPr>
          <w:bCs/>
          <w:lang w:val="en-GB"/>
        </w:rPr>
        <w:t>has</w:t>
      </w:r>
      <w:r w:rsidRPr="008C148B">
        <w:rPr>
          <w:bCs/>
          <w:lang w:val="en-GB"/>
        </w:rPr>
        <w:t xml:space="preserve"> allow</w:t>
      </w:r>
      <w:r w:rsidR="00AC1145" w:rsidRPr="008C148B">
        <w:rPr>
          <w:bCs/>
          <w:lang w:val="en-GB"/>
        </w:rPr>
        <w:t>ed</w:t>
      </w:r>
      <w:r w:rsidRPr="008C148B">
        <w:rPr>
          <w:bCs/>
          <w:lang w:val="en-GB"/>
        </w:rPr>
        <w:t xml:space="preserve"> </w:t>
      </w:r>
      <w:r w:rsidR="00FA5A57" w:rsidRPr="008C148B">
        <w:rPr>
          <w:bCs/>
          <w:lang w:val="en-GB"/>
        </w:rPr>
        <w:t xml:space="preserve">many of </w:t>
      </w:r>
      <w:r w:rsidRPr="008C148B">
        <w:rPr>
          <w:bCs/>
          <w:lang w:val="en-GB"/>
        </w:rPr>
        <w:t>these qualifications to be counted, both for statistical and personal purposes, as corresponding to a given number of GCSEs at a given grade level</w:t>
      </w:r>
      <w:r w:rsidR="00AC1145" w:rsidRPr="008C148B">
        <w:rPr>
          <w:bCs/>
          <w:lang w:val="en-GB"/>
        </w:rPr>
        <w:t xml:space="preserve">, with </w:t>
      </w:r>
      <w:r w:rsidRPr="008C148B">
        <w:rPr>
          <w:bCs/>
          <w:lang w:val="en-GB"/>
        </w:rPr>
        <w:t xml:space="preserve">these qualifications </w:t>
      </w:r>
      <w:r w:rsidR="00AC1145" w:rsidRPr="008C148B">
        <w:rPr>
          <w:bCs/>
          <w:lang w:val="en-GB"/>
        </w:rPr>
        <w:t>being</w:t>
      </w:r>
      <w:r w:rsidRPr="008C148B">
        <w:rPr>
          <w:bCs/>
          <w:lang w:val="en-GB"/>
        </w:rPr>
        <w:t xml:space="preserve"> dubbed as ‘GCSE equivalents’.  </w:t>
      </w:r>
      <w:r w:rsidR="00503F6C" w:rsidRPr="008C148B">
        <w:rPr>
          <w:bCs/>
          <w:lang w:val="en-GB"/>
        </w:rPr>
        <w:t xml:space="preserve">They blossomed in number and scope from the early 2000s, with many schools offering a portfolio alongside a traditional GCSE curriculum.  </w:t>
      </w:r>
    </w:p>
    <w:p w:rsidR="0087358B" w:rsidRPr="008C148B" w:rsidRDefault="0087358B" w:rsidP="003E095A">
      <w:pPr>
        <w:spacing w:line="276" w:lineRule="auto"/>
        <w:rPr>
          <w:bCs/>
          <w:lang w:val="en-GB"/>
        </w:rPr>
      </w:pPr>
    </w:p>
    <w:p w:rsidR="00F70A00" w:rsidRPr="008C148B" w:rsidRDefault="0087358B" w:rsidP="003E095A">
      <w:pPr>
        <w:spacing w:line="276" w:lineRule="auto"/>
        <w:rPr>
          <w:bCs/>
          <w:lang w:val="en-GB"/>
        </w:rPr>
      </w:pPr>
      <w:r w:rsidRPr="008C148B">
        <w:rPr>
          <w:bCs/>
          <w:lang w:val="en-GB"/>
        </w:rPr>
        <w:t>Included among the</w:t>
      </w:r>
      <w:r w:rsidR="00AC1145" w:rsidRPr="008C148B">
        <w:rPr>
          <w:bCs/>
          <w:lang w:val="en-GB"/>
        </w:rPr>
        <w:t>se</w:t>
      </w:r>
      <w:r w:rsidRPr="008C148B">
        <w:rPr>
          <w:bCs/>
          <w:lang w:val="en-GB"/>
        </w:rPr>
        <w:t xml:space="preserve"> GCSE equivalents </w:t>
      </w:r>
      <w:r w:rsidR="00AC1145" w:rsidRPr="008C148B">
        <w:rPr>
          <w:bCs/>
          <w:lang w:val="en-GB"/>
        </w:rPr>
        <w:t>has been</w:t>
      </w:r>
      <w:r w:rsidRPr="008C148B">
        <w:rPr>
          <w:bCs/>
          <w:lang w:val="en-GB"/>
        </w:rPr>
        <w:t xml:space="preserve"> a small group of qualifications that fit neither the academic nor the vocational mould.  These offer a skills-led curriculum that seeks to provide </w:t>
      </w:r>
      <w:r w:rsidR="001870BE" w:rsidRPr="008C148B">
        <w:rPr>
          <w:bCs/>
          <w:lang w:val="en-GB"/>
        </w:rPr>
        <w:t>learners</w:t>
      </w:r>
      <w:r w:rsidRPr="008C148B">
        <w:rPr>
          <w:bCs/>
          <w:lang w:val="en-GB"/>
        </w:rPr>
        <w:t xml:space="preserve"> with a set of competencies that underpin both their current learning and future employability.  One such qualification is the Certificate of Personal Effectiveness (CoPE).</w:t>
      </w:r>
      <w:r w:rsidR="00C266BC" w:rsidRPr="008C148B">
        <w:rPr>
          <w:bCs/>
          <w:lang w:val="en-GB"/>
        </w:rPr>
        <w:t xml:space="preserve"> </w:t>
      </w:r>
      <w:r w:rsidR="00A824E2" w:rsidRPr="008C148B">
        <w:rPr>
          <w:bCs/>
          <w:lang w:val="en-GB"/>
        </w:rPr>
        <w:t xml:space="preserve"> </w:t>
      </w:r>
      <w:r w:rsidR="00503F6C" w:rsidRPr="008C148B">
        <w:rPr>
          <w:bCs/>
          <w:lang w:val="en-GB"/>
        </w:rPr>
        <w:t>However, in 201</w:t>
      </w:r>
      <w:r w:rsidR="00081286" w:rsidRPr="008C148B">
        <w:rPr>
          <w:bCs/>
          <w:lang w:val="en-GB"/>
        </w:rPr>
        <w:t>1</w:t>
      </w:r>
      <w:r w:rsidR="00503F6C" w:rsidRPr="008C148B">
        <w:rPr>
          <w:bCs/>
          <w:lang w:val="en-GB"/>
        </w:rPr>
        <w:t>, the Government announced that the number of GCSE equivalents would be radically scaled back</w:t>
      </w:r>
      <w:r w:rsidR="00F70A00" w:rsidRPr="008C148B">
        <w:rPr>
          <w:bCs/>
          <w:lang w:val="en-GB"/>
        </w:rPr>
        <w:t xml:space="preserve"> from 2014 onwards</w:t>
      </w:r>
      <w:r w:rsidR="00503F6C" w:rsidRPr="008C148B">
        <w:rPr>
          <w:bCs/>
          <w:lang w:val="en-GB"/>
        </w:rPr>
        <w:t xml:space="preserve">, with the majority (including CoPE) losing all status and others being downgraded.  </w:t>
      </w:r>
    </w:p>
    <w:p w:rsidR="00F70A00" w:rsidRPr="008C148B" w:rsidRDefault="00F70A00" w:rsidP="003E095A">
      <w:pPr>
        <w:spacing w:line="276" w:lineRule="auto"/>
        <w:rPr>
          <w:bCs/>
          <w:lang w:val="en-GB"/>
        </w:rPr>
      </w:pPr>
    </w:p>
    <w:p w:rsidR="00721909" w:rsidRPr="008C148B" w:rsidRDefault="00F70A00" w:rsidP="003E095A">
      <w:pPr>
        <w:spacing w:line="276" w:lineRule="auto"/>
        <w:rPr>
          <w:bCs/>
          <w:lang w:val="en-GB"/>
        </w:rPr>
      </w:pPr>
      <w:r w:rsidRPr="008C148B">
        <w:rPr>
          <w:bCs/>
          <w:lang w:val="en-GB"/>
        </w:rPr>
        <w:t>This paper reports the findings of a mixed-methods study blending large-scale national secondary data with qualitative data collected from learners and staff at four typical schools offering CoPE.  It explores the relationship between CoPE, learning orientations and attainment, finding evidence that the pursuit of CoPE is associated with improved G</w:t>
      </w:r>
      <w:r w:rsidR="00704828">
        <w:rPr>
          <w:bCs/>
          <w:lang w:val="en-GB"/>
        </w:rPr>
        <w:t>CS</w:t>
      </w:r>
      <w:r w:rsidRPr="008C148B">
        <w:rPr>
          <w:bCs/>
          <w:lang w:val="en-GB"/>
        </w:rPr>
        <w:t xml:space="preserve">E results.  It concludes with </w:t>
      </w:r>
      <w:r w:rsidR="008302D1" w:rsidRPr="008C148B">
        <w:rPr>
          <w:bCs/>
          <w:lang w:val="en-GB"/>
        </w:rPr>
        <w:t xml:space="preserve">a discussion of the implications </w:t>
      </w:r>
      <w:r w:rsidRPr="008C148B">
        <w:rPr>
          <w:bCs/>
          <w:lang w:val="en-GB"/>
        </w:rPr>
        <w:t>of this finding in the context of the recent policy changes</w:t>
      </w:r>
      <w:r w:rsidR="008302D1" w:rsidRPr="008C148B">
        <w:rPr>
          <w:bCs/>
          <w:lang w:val="en-GB"/>
        </w:rPr>
        <w:t>.</w:t>
      </w:r>
    </w:p>
    <w:p w:rsidR="00624679" w:rsidRPr="008C148B" w:rsidRDefault="00624679" w:rsidP="003E095A">
      <w:pPr>
        <w:spacing w:line="276" w:lineRule="auto"/>
        <w:rPr>
          <w:b/>
          <w:lang w:val="en-GB"/>
        </w:rPr>
      </w:pPr>
    </w:p>
    <w:p w:rsidR="0065094D" w:rsidRPr="008C148B" w:rsidRDefault="0065094D" w:rsidP="003E095A">
      <w:pPr>
        <w:spacing w:line="276" w:lineRule="auto"/>
        <w:rPr>
          <w:b/>
          <w:lang w:val="en-GB"/>
        </w:rPr>
      </w:pPr>
    </w:p>
    <w:p w:rsidR="0065094D" w:rsidRPr="008C148B" w:rsidRDefault="00D66B7D" w:rsidP="003E095A">
      <w:pPr>
        <w:spacing w:line="276" w:lineRule="auto"/>
        <w:rPr>
          <w:b/>
          <w:lang w:val="en-GB"/>
        </w:rPr>
      </w:pPr>
      <w:r>
        <w:rPr>
          <w:b/>
          <w:lang w:val="en-GB"/>
        </w:rPr>
        <w:t xml:space="preserve">2. </w:t>
      </w:r>
      <w:r w:rsidR="0065094D" w:rsidRPr="008C148B">
        <w:rPr>
          <w:b/>
          <w:lang w:val="en-GB"/>
        </w:rPr>
        <w:t>What is CoPE?</w:t>
      </w:r>
    </w:p>
    <w:p w:rsidR="0065094D" w:rsidRPr="008C148B" w:rsidRDefault="0065094D" w:rsidP="003E095A">
      <w:pPr>
        <w:spacing w:line="276" w:lineRule="auto"/>
        <w:rPr>
          <w:b/>
          <w:lang w:val="en-GB"/>
        </w:rPr>
      </w:pPr>
    </w:p>
    <w:p w:rsidR="0052614A" w:rsidRDefault="00181F4A" w:rsidP="003E095A">
      <w:pPr>
        <w:spacing w:line="276" w:lineRule="auto"/>
        <w:rPr>
          <w:bCs/>
          <w:lang w:val="en-GB"/>
        </w:rPr>
      </w:pPr>
      <w:r w:rsidRPr="008C148B">
        <w:rPr>
          <w:bCs/>
          <w:lang w:val="en-GB"/>
        </w:rPr>
        <w:t xml:space="preserve">CoPE was devised, and is </w:t>
      </w:r>
      <w:r w:rsidR="00C266BC" w:rsidRPr="008C148B">
        <w:rPr>
          <w:bCs/>
          <w:lang w:val="en-GB"/>
        </w:rPr>
        <w:t>overseen</w:t>
      </w:r>
      <w:r w:rsidRPr="008C148B">
        <w:rPr>
          <w:bCs/>
          <w:lang w:val="en-GB"/>
        </w:rPr>
        <w:t xml:space="preserve">, by </w:t>
      </w:r>
      <w:r w:rsidR="0065094D" w:rsidRPr="008C148B">
        <w:rPr>
          <w:bCs/>
          <w:lang w:val="en-GB"/>
        </w:rPr>
        <w:t xml:space="preserve">ASDAN (the </w:t>
      </w:r>
      <w:r w:rsidR="0065094D" w:rsidRPr="008C148B">
        <w:rPr>
          <w:rStyle w:val="st"/>
          <w:lang w:val="en-GB"/>
        </w:rPr>
        <w:t>Award Scheme Development and Accreditation Network)</w:t>
      </w:r>
      <w:r w:rsidR="0052614A">
        <w:rPr>
          <w:rStyle w:val="st"/>
          <w:lang w:val="en-GB"/>
        </w:rPr>
        <w:t xml:space="preserve"> –</w:t>
      </w:r>
      <w:r w:rsidRPr="008C148B">
        <w:rPr>
          <w:rStyle w:val="st"/>
          <w:lang w:val="en-GB"/>
        </w:rPr>
        <w:t xml:space="preserve"> </w:t>
      </w:r>
      <w:r w:rsidR="000977A3">
        <w:rPr>
          <w:bCs/>
          <w:lang w:val="en-GB"/>
        </w:rPr>
        <w:t>a charity</w:t>
      </w:r>
      <w:r w:rsidR="0052614A">
        <w:rPr>
          <w:bCs/>
          <w:lang w:val="en-GB"/>
        </w:rPr>
        <w:t xml:space="preserve"> </w:t>
      </w:r>
      <w:r w:rsidR="00C266BC" w:rsidRPr="008C148B">
        <w:rPr>
          <w:bCs/>
          <w:lang w:val="en-GB"/>
        </w:rPr>
        <w:t xml:space="preserve">with </w:t>
      </w:r>
      <w:r w:rsidR="0065094D" w:rsidRPr="008C148B">
        <w:rPr>
          <w:bCs/>
          <w:lang w:val="en-GB"/>
        </w:rPr>
        <w:t>its origins in teacher collaboration on curriculum development in the 1980s (Crombie White</w:t>
      </w:r>
      <w:r w:rsidR="00604AFA" w:rsidRPr="008C148B">
        <w:rPr>
          <w:bCs/>
          <w:lang w:val="en-GB"/>
        </w:rPr>
        <w:t>,</w:t>
      </w:r>
      <w:r w:rsidR="0065094D" w:rsidRPr="008C148B">
        <w:rPr>
          <w:bCs/>
          <w:lang w:val="en-GB"/>
        </w:rPr>
        <w:t xml:space="preserve"> </w:t>
      </w:r>
      <w:r w:rsidR="00E26294" w:rsidRPr="008C148B">
        <w:rPr>
          <w:bCs/>
          <w:lang w:val="en-GB"/>
        </w:rPr>
        <w:t>1996</w:t>
      </w:r>
      <w:r w:rsidR="0065094D" w:rsidRPr="008C148B">
        <w:rPr>
          <w:bCs/>
          <w:lang w:val="en-GB"/>
        </w:rPr>
        <w:t xml:space="preserve">).  </w:t>
      </w:r>
      <w:r w:rsidR="0052614A">
        <w:rPr>
          <w:bCs/>
          <w:lang w:val="en-GB"/>
        </w:rPr>
        <w:t>It is</w:t>
      </w:r>
      <w:r w:rsidR="0065094D" w:rsidRPr="008C148B">
        <w:rPr>
          <w:bCs/>
          <w:lang w:val="en-GB"/>
        </w:rPr>
        <w:t xml:space="preserve"> </w:t>
      </w:r>
      <w:r w:rsidR="000977A3">
        <w:rPr>
          <w:bCs/>
          <w:lang w:val="en-GB"/>
        </w:rPr>
        <w:t>now</w:t>
      </w:r>
      <w:r w:rsidR="0052614A">
        <w:rPr>
          <w:bCs/>
          <w:lang w:val="en-GB"/>
        </w:rPr>
        <w:t xml:space="preserve"> </w:t>
      </w:r>
      <w:r w:rsidR="0065094D" w:rsidRPr="008C148B">
        <w:rPr>
          <w:rStyle w:val="st"/>
          <w:lang w:val="en-GB"/>
        </w:rPr>
        <w:t>an awarding body offering a portfolio of school-level qualifications</w:t>
      </w:r>
      <w:r w:rsidR="00165911" w:rsidRPr="008C148B">
        <w:rPr>
          <w:rStyle w:val="st"/>
          <w:lang w:val="en-GB"/>
        </w:rPr>
        <w:t xml:space="preserve">, </w:t>
      </w:r>
      <w:r w:rsidR="0065094D" w:rsidRPr="008C148B">
        <w:rPr>
          <w:rStyle w:val="st"/>
          <w:lang w:val="en-GB"/>
        </w:rPr>
        <w:t xml:space="preserve">based </w:t>
      </w:r>
      <w:r w:rsidR="00165911" w:rsidRPr="008C148B">
        <w:rPr>
          <w:rStyle w:val="st"/>
          <w:lang w:val="en-GB"/>
        </w:rPr>
        <w:t xml:space="preserve">largely </w:t>
      </w:r>
      <w:r w:rsidR="0065094D" w:rsidRPr="008C148B">
        <w:rPr>
          <w:rStyle w:val="st"/>
          <w:lang w:val="en-GB"/>
        </w:rPr>
        <w:t>around transferable skills and employability.</w:t>
      </w:r>
      <w:r w:rsidR="00507660" w:rsidRPr="00507660">
        <w:rPr>
          <w:lang w:val="en-GB"/>
        </w:rPr>
        <w:t xml:space="preserve"> </w:t>
      </w:r>
      <w:r w:rsidR="007A7155">
        <w:rPr>
          <w:lang w:val="en-GB"/>
        </w:rPr>
        <w:t xml:space="preserve">To some extent, there is an </w:t>
      </w:r>
      <w:r w:rsidR="00507660">
        <w:rPr>
          <w:lang w:val="en-GB"/>
        </w:rPr>
        <w:t xml:space="preserve">ASDAN </w:t>
      </w:r>
      <w:r w:rsidR="007A7155">
        <w:rPr>
          <w:lang w:val="en-GB"/>
        </w:rPr>
        <w:t>‘approach’ with anchorage in educational theory that might be termed progressive and constructivist</w:t>
      </w:r>
      <w:r w:rsidR="000977A3">
        <w:rPr>
          <w:lang w:val="en-GB"/>
        </w:rPr>
        <w:t>, developed</w:t>
      </w:r>
      <w:r w:rsidR="007A7155">
        <w:rPr>
          <w:lang w:val="en-GB"/>
        </w:rPr>
        <w:t xml:space="preserve"> at a </w:t>
      </w:r>
      <w:r w:rsidR="007A7155">
        <w:rPr>
          <w:lang w:val="en-GB"/>
        </w:rPr>
        <w:lastRenderedPageBreak/>
        <w:t xml:space="preserve">time when a significant </w:t>
      </w:r>
      <w:r w:rsidR="00507660">
        <w:rPr>
          <w:lang w:val="en-GB"/>
        </w:rPr>
        <w:t>strand of the ‘new sociology of education’ argued that the ‘best way of producing working class success was to substitute an alternative curriculum that was closer to the experience of working class children’ (</w:t>
      </w:r>
      <w:proofErr w:type="spellStart"/>
      <w:r w:rsidR="00507660">
        <w:rPr>
          <w:lang w:val="en-GB"/>
        </w:rPr>
        <w:t>Whitty</w:t>
      </w:r>
      <w:proofErr w:type="spellEnd"/>
      <w:r w:rsidR="00507660">
        <w:rPr>
          <w:lang w:val="en-GB"/>
        </w:rPr>
        <w:t>, 2010, p</w:t>
      </w:r>
      <w:r w:rsidR="0052614A">
        <w:rPr>
          <w:lang w:val="en-GB"/>
        </w:rPr>
        <w:t>.</w:t>
      </w:r>
      <w:r w:rsidR="00507660">
        <w:rPr>
          <w:lang w:val="en-GB"/>
        </w:rPr>
        <w:t xml:space="preserve">29). </w:t>
      </w:r>
      <w:r w:rsidR="0052614A">
        <w:rPr>
          <w:bCs/>
          <w:lang w:val="en-GB"/>
        </w:rPr>
        <w:t xml:space="preserve">  Indeed, </w:t>
      </w:r>
      <w:r w:rsidR="0052614A" w:rsidRPr="008C148B">
        <w:rPr>
          <w:lang w:val="en-GB"/>
        </w:rPr>
        <w:t xml:space="preserve">ASDAN programmes </w:t>
      </w:r>
      <w:r w:rsidR="0052614A">
        <w:rPr>
          <w:lang w:val="en-GB"/>
        </w:rPr>
        <w:t>hav</w:t>
      </w:r>
      <w:r w:rsidR="0052614A" w:rsidRPr="008C148B">
        <w:rPr>
          <w:lang w:val="en-GB"/>
        </w:rPr>
        <w:t xml:space="preserve">e </w:t>
      </w:r>
      <w:r w:rsidR="0052614A">
        <w:rPr>
          <w:lang w:val="en-GB"/>
        </w:rPr>
        <w:t>been well-</w:t>
      </w:r>
      <w:r w:rsidR="0052614A" w:rsidRPr="008C148B">
        <w:rPr>
          <w:lang w:val="en-GB"/>
        </w:rPr>
        <w:t xml:space="preserve">regarded for their capacity to promote learning, engagement and achievement (James &amp; Simmons, 2007; Raphael Reed </w:t>
      </w:r>
      <w:r w:rsidR="0052614A" w:rsidRPr="008C148B">
        <w:rPr>
          <w:i/>
          <w:iCs/>
          <w:lang w:val="en-GB"/>
        </w:rPr>
        <w:t>et al</w:t>
      </w:r>
      <w:r w:rsidR="0052614A" w:rsidRPr="008C148B">
        <w:rPr>
          <w:lang w:val="en-GB"/>
        </w:rPr>
        <w:t>, 2007)</w:t>
      </w:r>
      <w:r w:rsidR="0052614A">
        <w:rPr>
          <w:lang w:val="en-GB"/>
        </w:rPr>
        <w:t>, and nationally recognised for</w:t>
      </w:r>
      <w:r w:rsidR="0052614A" w:rsidRPr="008C148B">
        <w:rPr>
          <w:lang w:val="en-GB"/>
        </w:rPr>
        <w:t xml:space="preserve"> ‘exemplary contemporary practice’ (</w:t>
      </w:r>
      <w:proofErr w:type="spellStart"/>
      <w:r w:rsidR="0052614A" w:rsidRPr="008C148B">
        <w:rPr>
          <w:lang w:val="en-GB"/>
        </w:rPr>
        <w:t>Pring</w:t>
      </w:r>
      <w:proofErr w:type="spellEnd"/>
      <w:r w:rsidR="0052614A" w:rsidRPr="008C148B">
        <w:rPr>
          <w:lang w:val="en-GB"/>
        </w:rPr>
        <w:t xml:space="preserve"> </w:t>
      </w:r>
      <w:r w:rsidR="0052614A" w:rsidRPr="008C148B">
        <w:rPr>
          <w:i/>
          <w:iCs/>
          <w:lang w:val="en-GB"/>
        </w:rPr>
        <w:t>et al</w:t>
      </w:r>
      <w:r w:rsidR="0052614A" w:rsidRPr="008C148B">
        <w:rPr>
          <w:lang w:val="en-GB"/>
        </w:rPr>
        <w:t>, 2009, p.82</w:t>
      </w:r>
      <w:r w:rsidR="0052614A">
        <w:rPr>
          <w:lang w:val="en-GB"/>
        </w:rPr>
        <w:t>; Tomlinson, 2004</w:t>
      </w:r>
      <w:r w:rsidR="0052614A" w:rsidRPr="008C148B">
        <w:rPr>
          <w:lang w:val="en-GB"/>
        </w:rPr>
        <w:t>)</w:t>
      </w:r>
      <w:r w:rsidR="0052614A">
        <w:rPr>
          <w:lang w:val="en-GB"/>
        </w:rPr>
        <w:t xml:space="preserve"> </w:t>
      </w:r>
      <w:r w:rsidR="0052614A" w:rsidRPr="008C148B">
        <w:rPr>
          <w:lang w:val="en-GB"/>
        </w:rPr>
        <w:t>in their approach to educating learners in a broad sense, including wider skills and personal qualities</w:t>
      </w:r>
      <w:r w:rsidR="0052614A">
        <w:rPr>
          <w:lang w:val="en-GB"/>
        </w:rPr>
        <w:t>.</w:t>
      </w:r>
      <w:r w:rsidR="0052614A" w:rsidRPr="008C148B">
        <w:rPr>
          <w:lang w:val="en-GB"/>
        </w:rPr>
        <w:t xml:space="preserve"> </w:t>
      </w:r>
    </w:p>
    <w:p w:rsidR="0052614A" w:rsidRPr="008C148B" w:rsidRDefault="0052614A" w:rsidP="003E095A">
      <w:pPr>
        <w:spacing w:line="276" w:lineRule="auto"/>
        <w:rPr>
          <w:bCs/>
          <w:lang w:val="en-GB"/>
        </w:rPr>
      </w:pPr>
    </w:p>
    <w:p w:rsidR="0065094D" w:rsidRPr="008C148B" w:rsidRDefault="0065094D" w:rsidP="003E095A">
      <w:pPr>
        <w:spacing w:line="276" w:lineRule="auto"/>
        <w:rPr>
          <w:bCs/>
          <w:lang w:val="en-GB"/>
        </w:rPr>
      </w:pPr>
      <w:r w:rsidRPr="008C148B">
        <w:rPr>
          <w:bCs/>
          <w:lang w:val="en-GB"/>
        </w:rPr>
        <w:t xml:space="preserve">CoPE was introduced in </w:t>
      </w:r>
      <w:r w:rsidR="00B90296" w:rsidRPr="008C148B">
        <w:rPr>
          <w:bCs/>
          <w:lang w:val="en-GB"/>
        </w:rPr>
        <w:t xml:space="preserve">2004 </w:t>
      </w:r>
      <w:r w:rsidRPr="008C148B">
        <w:rPr>
          <w:bCs/>
          <w:lang w:val="en-GB"/>
        </w:rPr>
        <w:t xml:space="preserve">and is undertaken by around 20,000 </w:t>
      </w:r>
      <w:r w:rsidR="001870BE" w:rsidRPr="008C148B">
        <w:rPr>
          <w:bCs/>
          <w:lang w:val="en-GB"/>
        </w:rPr>
        <w:t>learners</w:t>
      </w:r>
      <w:r w:rsidRPr="008C148B">
        <w:rPr>
          <w:bCs/>
          <w:lang w:val="en-GB"/>
        </w:rPr>
        <w:t xml:space="preserve"> each year.  At KS4, it is available at Level 1 (</w:t>
      </w:r>
      <w:r w:rsidR="007150D5" w:rsidRPr="008C148B">
        <w:rPr>
          <w:bCs/>
          <w:lang w:val="en-GB"/>
        </w:rPr>
        <w:t>previously</w:t>
      </w:r>
      <w:r w:rsidR="00021C00" w:rsidRPr="008C148B">
        <w:rPr>
          <w:bCs/>
          <w:lang w:val="en-GB"/>
        </w:rPr>
        <w:t xml:space="preserve"> </w:t>
      </w:r>
      <w:r w:rsidRPr="008C148B">
        <w:rPr>
          <w:bCs/>
          <w:lang w:val="en-GB"/>
        </w:rPr>
        <w:t>equivalent to a grade E at GCSE) and Level 2 (</w:t>
      </w:r>
      <w:r w:rsidR="007150D5" w:rsidRPr="008C148B">
        <w:rPr>
          <w:bCs/>
          <w:lang w:val="en-GB"/>
        </w:rPr>
        <w:t xml:space="preserve">previously </w:t>
      </w:r>
      <w:r w:rsidRPr="008C148B">
        <w:rPr>
          <w:bCs/>
          <w:lang w:val="en-GB"/>
        </w:rPr>
        <w:t xml:space="preserve">equivalent to a grade B) within the National Qualifications Framework.  Roughly equal numbers of </w:t>
      </w:r>
      <w:r w:rsidR="001870BE" w:rsidRPr="008C148B">
        <w:rPr>
          <w:bCs/>
          <w:lang w:val="en-GB"/>
        </w:rPr>
        <w:t>learners</w:t>
      </w:r>
      <w:r w:rsidRPr="008C148B">
        <w:rPr>
          <w:bCs/>
          <w:lang w:val="en-GB"/>
        </w:rPr>
        <w:t xml:space="preserve"> pursue the two variants</w:t>
      </w:r>
      <w:r w:rsidR="00C266BC" w:rsidRPr="008C148B">
        <w:rPr>
          <w:bCs/>
          <w:lang w:val="en-GB"/>
        </w:rPr>
        <w:t xml:space="preserve">, though here we concentrate on the </w:t>
      </w:r>
      <w:r w:rsidR="00A17768" w:rsidRPr="008C148B">
        <w:rPr>
          <w:bCs/>
          <w:lang w:val="en-GB"/>
        </w:rPr>
        <w:t>latter</w:t>
      </w:r>
      <w:r w:rsidR="00C266BC" w:rsidRPr="008C148B">
        <w:rPr>
          <w:bCs/>
          <w:lang w:val="en-GB"/>
        </w:rPr>
        <w:t xml:space="preserve"> and </w:t>
      </w:r>
      <w:r w:rsidRPr="008C148B">
        <w:rPr>
          <w:bCs/>
          <w:lang w:val="en-GB"/>
        </w:rPr>
        <w:t xml:space="preserve">all further references to CoPE in this paper </w:t>
      </w:r>
      <w:r w:rsidR="00A17768" w:rsidRPr="008C148B">
        <w:rPr>
          <w:bCs/>
          <w:lang w:val="en-GB"/>
        </w:rPr>
        <w:t>are</w:t>
      </w:r>
      <w:r w:rsidR="007150D5" w:rsidRPr="008C148B">
        <w:rPr>
          <w:bCs/>
          <w:lang w:val="en-GB"/>
        </w:rPr>
        <w:t xml:space="preserve"> </w:t>
      </w:r>
      <w:r w:rsidRPr="008C148B">
        <w:rPr>
          <w:bCs/>
          <w:lang w:val="en-GB"/>
        </w:rPr>
        <w:t xml:space="preserve">to </w:t>
      </w:r>
      <w:r w:rsidR="00A17768" w:rsidRPr="008C148B">
        <w:rPr>
          <w:bCs/>
          <w:lang w:val="en-GB"/>
        </w:rPr>
        <w:t>the Level 2 variant</w:t>
      </w:r>
      <w:r w:rsidRPr="008C148B">
        <w:rPr>
          <w:bCs/>
          <w:lang w:val="en-GB"/>
        </w:rPr>
        <w:t>.</w:t>
      </w:r>
    </w:p>
    <w:p w:rsidR="0065094D" w:rsidRPr="008C148B" w:rsidRDefault="0065094D" w:rsidP="003E095A">
      <w:pPr>
        <w:spacing w:line="276" w:lineRule="auto"/>
        <w:rPr>
          <w:bCs/>
          <w:lang w:val="en-GB"/>
        </w:rPr>
      </w:pPr>
    </w:p>
    <w:p w:rsidR="00BD4B51" w:rsidRPr="008C148B" w:rsidRDefault="00021C00" w:rsidP="003E095A">
      <w:pPr>
        <w:spacing w:line="276" w:lineRule="auto"/>
        <w:rPr>
          <w:rFonts w:ascii="HelveticaNeue-LightItalic" w:hAnsi="HelveticaNeue-LightItalic" w:cs="HelveticaNeue-LightItalic"/>
          <w:i/>
          <w:iCs/>
          <w:sz w:val="22"/>
          <w:szCs w:val="22"/>
          <w:lang w:val="en-GB"/>
        </w:rPr>
      </w:pPr>
      <w:r w:rsidRPr="008C148B">
        <w:rPr>
          <w:bCs/>
          <w:lang w:val="en-GB"/>
        </w:rPr>
        <w:t xml:space="preserve">As suggested by its name, the focus of CoPE is on providing learners with a structure and a process to develop a range of </w:t>
      </w:r>
      <w:r w:rsidR="0055741F" w:rsidRPr="008C148B">
        <w:rPr>
          <w:bCs/>
          <w:lang w:val="en-GB"/>
        </w:rPr>
        <w:t>values</w:t>
      </w:r>
      <w:r w:rsidRPr="008C148B">
        <w:rPr>
          <w:bCs/>
          <w:lang w:val="en-GB"/>
        </w:rPr>
        <w:t>, practices and dispositions that are intended to underpin personal success –</w:t>
      </w:r>
      <w:r w:rsidR="00D46CA6" w:rsidRPr="008C148B">
        <w:rPr>
          <w:bCs/>
          <w:lang w:val="en-GB"/>
        </w:rPr>
        <w:t xml:space="preserve"> </w:t>
      </w:r>
      <w:r w:rsidR="00737FE8" w:rsidRPr="008C148B">
        <w:rPr>
          <w:bCs/>
          <w:lang w:val="en-GB"/>
        </w:rPr>
        <w:t xml:space="preserve">both </w:t>
      </w:r>
      <w:r w:rsidRPr="008C148B">
        <w:rPr>
          <w:bCs/>
          <w:lang w:val="en-GB"/>
        </w:rPr>
        <w:t xml:space="preserve">in </w:t>
      </w:r>
      <w:r w:rsidR="00737FE8" w:rsidRPr="008C148B">
        <w:rPr>
          <w:bCs/>
          <w:lang w:val="en-GB"/>
        </w:rPr>
        <w:t>and beyond school</w:t>
      </w:r>
      <w:r w:rsidRPr="008C148B">
        <w:rPr>
          <w:bCs/>
          <w:lang w:val="en-GB"/>
        </w:rPr>
        <w:t>.  As such, it embed</w:t>
      </w:r>
      <w:r w:rsidR="0055741F" w:rsidRPr="008C148B">
        <w:rPr>
          <w:bCs/>
          <w:lang w:val="en-GB"/>
        </w:rPr>
        <w:t xml:space="preserve">s the acquisition of a collection of skills that have been variously described </w:t>
      </w:r>
      <w:r w:rsidR="00D46CA6" w:rsidRPr="008C148B">
        <w:rPr>
          <w:bCs/>
          <w:lang w:val="en-GB"/>
        </w:rPr>
        <w:t xml:space="preserve">over the last two decades </w:t>
      </w:r>
      <w:r w:rsidR="007150D5" w:rsidRPr="008C148B">
        <w:rPr>
          <w:bCs/>
          <w:lang w:val="en-GB"/>
        </w:rPr>
        <w:t xml:space="preserve">as </w:t>
      </w:r>
      <w:r w:rsidR="0055741F" w:rsidRPr="008C148B">
        <w:rPr>
          <w:bCs/>
          <w:i/>
          <w:lang w:val="en-GB"/>
        </w:rPr>
        <w:t>key</w:t>
      </w:r>
      <w:r w:rsidR="007150D5" w:rsidRPr="008C148B">
        <w:rPr>
          <w:bCs/>
          <w:lang w:val="en-GB"/>
        </w:rPr>
        <w:t xml:space="preserve">, </w:t>
      </w:r>
      <w:r w:rsidR="0055741F" w:rsidRPr="008C148B">
        <w:rPr>
          <w:bCs/>
          <w:i/>
          <w:lang w:val="en-GB"/>
        </w:rPr>
        <w:t>core</w:t>
      </w:r>
      <w:r w:rsidR="00A17768" w:rsidRPr="008C148B">
        <w:rPr>
          <w:bCs/>
          <w:i/>
          <w:lang w:val="en-GB"/>
        </w:rPr>
        <w:t>, generic</w:t>
      </w:r>
      <w:r w:rsidR="007150D5" w:rsidRPr="008C148B">
        <w:rPr>
          <w:bCs/>
          <w:lang w:val="en-GB"/>
        </w:rPr>
        <w:t xml:space="preserve"> or </w:t>
      </w:r>
      <w:r w:rsidR="0055741F" w:rsidRPr="008C148B">
        <w:rPr>
          <w:bCs/>
          <w:i/>
          <w:lang w:val="en-GB"/>
        </w:rPr>
        <w:t>transferable</w:t>
      </w:r>
      <w:r w:rsidR="0055741F" w:rsidRPr="008C148B">
        <w:rPr>
          <w:bCs/>
          <w:lang w:val="en-GB"/>
        </w:rPr>
        <w:t>, including communication, problem-solving, working with others, functional numeracy and undertaking research</w:t>
      </w:r>
      <w:r w:rsidR="00A17768" w:rsidRPr="008C148B">
        <w:rPr>
          <w:bCs/>
          <w:lang w:val="en-GB"/>
        </w:rPr>
        <w:t xml:space="preserve"> (</w:t>
      </w:r>
      <w:proofErr w:type="spellStart"/>
      <w:r w:rsidR="00A17768" w:rsidRPr="008C148B">
        <w:rPr>
          <w:bCs/>
          <w:lang w:val="en-GB"/>
        </w:rPr>
        <w:t>Unwin</w:t>
      </w:r>
      <w:proofErr w:type="spellEnd"/>
      <w:r w:rsidR="00A17768" w:rsidRPr="008C148B">
        <w:rPr>
          <w:bCs/>
          <w:lang w:val="en-GB"/>
        </w:rPr>
        <w:t>, 2010)</w:t>
      </w:r>
      <w:r w:rsidR="0055741F" w:rsidRPr="008C148B">
        <w:rPr>
          <w:bCs/>
          <w:lang w:val="en-GB"/>
        </w:rPr>
        <w:t xml:space="preserve">.  However, it also incorporates elements of </w:t>
      </w:r>
      <w:r w:rsidR="00737FE8" w:rsidRPr="008C148B">
        <w:rPr>
          <w:bCs/>
          <w:lang w:val="en-GB"/>
        </w:rPr>
        <w:t>self-reflection</w:t>
      </w:r>
      <w:r w:rsidR="0055741F" w:rsidRPr="008C148B">
        <w:rPr>
          <w:bCs/>
          <w:lang w:val="en-GB"/>
        </w:rPr>
        <w:t xml:space="preserve"> and softer attributes such as taking </w:t>
      </w:r>
      <w:r w:rsidR="00D46CA6" w:rsidRPr="008C148B">
        <w:rPr>
          <w:bCs/>
          <w:lang w:val="en-GB"/>
        </w:rPr>
        <w:t>responsibility and</w:t>
      </w:r>
      <w:r w:rsidR="0055741F" w:rsidRPr="008C148B">
        <w:rPr>
          <w:bCs/>
          <w:lang w:val="en-GB"/>
        </w:rPr>
        <w:t xml:space="preserve"> managing one’</w:t>
      </w:r>
      <w:r w:rsidR="00D46CA6" w:rsidRPr="008C148B">
        <w:rPr>
          <w:bCs/>
          <w:lang w:val="en-GB"/>
        </w:rPr>
        <w:t>s own learning</w:t>
      </w:r>
      <w:r w:rsidR="005651AA" w:rsidRPr="008C148B">
        <w:rPr>
          <w:bCs/>
          <w:lang w:val="en-GB"/>
        </w:rPr>
        <w:t xml:space="preserve">, </w:t>
      </w:r>
      <w:r w:rsidR="002C09E7" w:rsidRPr="008C148B">
        <w:rPr>
          <w:bCs/>
          <w:lang w:val="en-GB"/>
        </w:rPr>
        <w:t xml:space="preserve">therefore </w:t>
      </w:r>
      <w:r w:rsidR="005651AA" w:rsidRPr="008C148B">
        <w:rPr>
          <w:bCs/>
          <w:lang w:val="en-GB"/>
        </w:rPr>
        <w:t xml:space="preserve">articulating </w:t>
      </w:r>
      <w:r w:rsidR="007150D5" w:rsidRPr="008C148B">
        <w:rPr>
          <w:bCs/>
          <w:lang w:val="en-GB"/>
        </w:rPr>
        <w:t xml:space="preserve">closely with the </w:t>
      </w:r>
      <w:r w:rsidR="009161DE" w:rsidRPr="008C148B">
        <w:rPr>
          <w:bCs/>
          <w:lang w:val="en-GB"/>
        </w:rPr>
        <w:t>‘</w:t>
      </w:r>
      <w:r w:rsidR="002C09E7" w:rsidRPr="008C148B">
        <w:rPr>
          <w:bCs/>
          <w:lang w:val="en-GB"/>
        </w:rPr>
        <w:t>Personal, L</w:t>
      </w:r>
      <w:r w:rsidR="005651AA" w:rsidRPr="008C148B">
        <w:rPr>
          <w:bCs/>
          <w:lang w:val="en-GB"/>
        </w:rPr>
        <w:t xml:space="preserve">earning and </w:t>
      </w:r>
      <w:r w:rsidR="002C09E7" w:rsidRPr="008C148B">
        <w:rPr>
          <w:bCs/>
          <w:lang w:val="en-GB"/>
        </w:rPr>
        <w:t>T</w:t>
      </w:r>
      <w:r w:rsidR="005651AA" w:rsidRPr="008C148B">
        <w:rPr>
          <w:bCs/>
          <w:lang w:val="en-GB"/>
        </w:rPr>
        <w:t xml:space="preserve">hinking </w:t>
      </w:r>
      <w:r w:rsidR="002C09E7" w:rsidRPr="008C148B">
        <w:rPr>
          <w:bCs/>
          <w:lang w:val="en-GB"/>
        </w:rPr>
        <w:t>S</w:t>
      </w:r>
      <w:r w:rsidR="007150D5" w:rsidRPr="008C148B">
        <w:rPr>
          <w:bCs/>
          <w:lang w:val="en-GB"/>
        </w:rPr>
        <w:t>kills</w:t>
      </w:r>
      <w:r w:rsidR="009161DE" w:rsidRPr="008C148B">
        <w:rPr>
          <w:bCs/>
          <w:lang w:val="en-GB"/>
        </w:rPr>
        <w:t>’</w:t>
      </w:r>
      <w:r w:rsidR="005651AA" w:rsidRPr="008C148B">
        <w:rPr>
          <w:bCs/>
          <w:lang w:val="en-GB"/>
        </w:rPr>
        <w:t xml:space="preserve"> </w:t>
      </w:r>
      <w:r w:rsidR="007A3492" w:rsidRPr="008C148B">
        <w:rPr>
          <w:bCs/>
          <w:lang w:val="en-GB"/>
        </w:rPr>
        <w:t xml:space="preserve">as </w:t>
      </w:r>
      <w:r w:rsidR="005651AA" w:rsidRPr="008C148B">
        <w:rPr>
          <w:bCs/>
          <w:lang w:val="en-GB"/>
        </w:rPr>
        <w:t>laid out in the</w:t>
      </w:r>
      <w:r w:rsidR="007A3492" w:rsidRPr="008C148B">
        <w:rPr>
          <w:bCs/>
          <w:lang w:val="en-GB"/>
        </w:rPr>
        <w:t xml:space="preserve"> </w:t>
      </w:r>
      <w:r w:rsidR="0049145E" w:rsidRPr="008C148B">
        <w:rPr>
          <w:bCs/>
          <w:lang w:val="en-GB"/>
        </w:rPr>
        <w:t>2007</w:t>
      </w:r>
      <w:r w:rsidR="007A3492" w:rsidRPr="008C148B">
        <w:rPr>
          <w:bCs/>
          <w:lang w:val="en-GB"/>
        </w:rPr>
        <w:t xml:space="preserve"> iteration of the </w:t>
      </w:r>
      <w:r w:rsidR="002C09E7" w:rsidRPr="008C148B">
        <w:rPr>
          <w:bCs/>
          <w:lang w:val="en-GB"/>
        </w:rPr>
        <w:t xml:space="preserve">National Curriculum.  These were considered to be a vital underpinning to support </w:t>
      </w:r>
      <w:r w:rsidR="001870BE" w:rsidRPr="008C148B">
        <w:rPr>
          <w:bCs/>
          <w:lang w:val="en-GB"/>
        </w:rPr>
        <w:t>learners</w:t>
      </w:r>
      <w:r w:rsidR="002C09E7" w:rsidRPr="008C148B">
        <w:rPr>
          <w:bCs/>
          <w:lang w:val="en-GB"/>
        </w:rPr>
        <w:t xml:space="preserve"> to</w:t>
      </w:r>
      <w:r w:rsidR="00165911" w:rsidRPr="008C148B">
        <w:rPr>
          <w:bCs/>
          <w:lang w:val="en-GB"/>
        </w:rPr>
        <w:t xml:space="preserve"> ‘</w:t>
      </w:r>
      <w:r w:rsidR="002C09E7" w:rsidRPr="008C148B">
        <w:rPr>
          <w:rFonts w:cs="HelveticaNeue-LightItalic"/>
          <w:iCs/>
          <w:lang w:val="en-GB"/>
        </w:rPr>
        <w:t>become successful learners, confident indiv</w:t>
      </w:r>
      <w:r w:rsidR="00165911" w:rsidRPr="008C148B">
        <w:rPr>
          <w:rFonts w:cs="HelveticaNeue-LightItalic"/>
          <w:iCs/>
          <w:lang w:val="en-GB"/>
        </w:rPr>
        <w:t>iduals and responsible citizens’</w:t>
      </w:r>
      <w:r w:rsidR="002C09E7" w:rsidRPr="008C148B">
        <w:rPr>
          <w:rFonts w:cs="HelveticaNeue-LightItalic"/>
          <w:iCs/>
          <w:lang w:val="en-GB"/>
        </w:rPr>
        <w:t xml:space="preserve"> and </w:t>
      </w:r>
      <w:r w:rsidR="00165911" w:rsidRPr="008C148B">
        <w:rPr>
          <w:rFonts w:cs="Avenir-Light"/>
          <w:color w:val="000000" w:themeColor="text1"/>
          <w:lang w:val="en-GB"/>
        </w:rPr>
        <w:t>‘</w:t>
      </w:r>
      <w:r w:rsidR="007A3492" w:rsidRPr="008C148B">
        <w:rPr>
          <w:rFonts w:cs="Avenir-Light"/>
          <w:color w:val="000000" w:themeColor="text1"/>
          <w:lang w:val="en-GB"/>
        </w:rPr>
        <w:t>essential to suc</w:t>
      </w:r>
      <w:r w:rsidR="00165911" w:rsidRPr="008C148B">
        <w:rPr>
          <w:rFonts w:cs="Avenir-Light"/>
          <w:color w:val="000000" w:themeColor="text1"/>
          <w:lang w:val="en-GB"/>
        </w:rPr>
        <w:t>cess in learning, life and work’</w:t>
      </w:r>
      <w:r w:rsidR="005651AA" w:rsidRPr="008C148B">
        <w:rPr>
          <w:bCs/>
          <w:color w:val="000000" w:themeColor="text1"/>
          <w:lang w:val="en-GB"/>
        </w:rPr>
        <w:t xml:space="preserve"> </w:t>
      </w:r>
      <w:r w:rsidR="007A3492" w:rsidRPr="008C148B">
        <w:rPr>
          <w:bCs/>
          <w:color w:val="000000" w:themeColor="text1"/>
          <w:lang w:val="en-GB"/>
        </w:rPr>
        <w:t>(</w:t>
      </w:r>
      <w:r w:rsidR="007A3492" w:rsidRPr="008C148B">
        <w:rPr>
          <w:bCs/>
          <w:lang w:val="en-GB"/>
        </w:rPr>
        <w:t xml:space="preserve">Qualifications and Curriculum </w:t>
      </w:r>
      <w:r w:rsidR="002C09E7" w:rsidRPr="008C148B">
        <w:rPr>
          <w:bCs/>
          <w:lang w:val="en-GB"/>
        </w:rPr>
        <w:t>Authority</w:t>
      </w:r>
      <w:r w:rsidR="007A3492" w:rsidRPr="008C148B">
        <w:rPr>
          <w:bCs/>
          <w:lang w:val="en-GB"/>
        </w:rPr>
        <w:t xml:space="preserve"> </w:t>
      </w:r>
      <w:r w:rsidR="00CE72FA" w:rsidRPr="008C148B">
        <w:rPr>
          <w:bCs/>
          <w:lang w:val="en-GB"/>
        </w:rPr>
        <w:t xml:space="preserve">[QCA] </w:t>
      </w:r>
      <w:r w:rsidR="00604AFA" w:rsidRPr="008C148B">
        <w:rPr>
          <w:bCs/>
          <w:lang w:val="en-GB"/>
        </w:rPr>
        <w:t>2007, p.</w:t>
      </w:r>
      <w:r w:rsidR="007A3492" w:rsidRPr="008C148B">
        <w:rPr>
          <w:bCs/>
          <w:lang w:val="en-GB"/>
        </w:rPr>
        <w:t>1)</w:t>
      </w:r>
      <w:r w:rsidR="002C09E7" w:rsidRPr="008C148B">
        <w:rPr>
          <w:bCs/>
          <w:lang w:val="en-GB"/>
        </w:rPr>
        <w:t>.</w:t>
      </w:r>
      <w:r w:rsidR="002C09E7" w:rsidRPr="008C148B">
        <w:rPr>
          <w:rFonts w:ascii="HelveticaNeue-LightItalic" w:hAnsi="HelveticaNeue-LightItalic" w:cs="HelveticaNeue-LightItalic"/>
          <w:i/>
          <w:iCs/>
          <w:sz w:val="22"/>
          <w:szCs w:val="22"/>
          <w:lang w:val="en-GB"/>
        </w:rPr>
        <w:t xml:space="preserve">  </w:t>
      </w:r>
      <w:r w:rsidR="00737FE8" w:rsidRPr="008C148B">
        <w:rPr>
          <w:bCs/>
          <w:lang w:val="en-GB"/>
        </w:rPr>
        <w:t>CoPE</w:t>
      </w:r>
      <w:r w:rsidR="00D46CA6" w:rsidRPr="008C148B">
        <w:rPr>
          <w:bCs/>
          <w:lang w:val="en-GB"/>
        </w:rPr>
        <w:t xml:space="preserve"> therefore </w:t>
      </w:r>
      <w:r w:rsidR="00583FEA" w:rsidRPr="008C148B">
        <w:rPr>
          <w:bCs/>
          <w:lang w:val="en-GB"/>
        </w:rPr>
        <w:t>sits within</w:t>
      </w:r>
      <w:r w:rsidR="00D46CA6" w:rsidRPr="008C148B">
        <w:rPr>
          <w:bCs/>
          <w:lang w:val="en-GB"/>
        </w:rPr>
        <w:t xml:space="preserve"> the tradition of equipping </w:t>
      </w:r>
      <w:r w:rsidR="001870BE" w:rsidRPr="008C148B">
        <w:rPr>
          <w:bCs/>
          <w:lang w:val="en-GB"/>
        </w:rPr>
        <w:t>learners</w:t>
      </w:r>
      <w:r w:rsidR="00D46CA6" w:rsidRPr="008C148B">
        <w:rPr>
          <w:bCs/>
          <w:lang w:val="en-GB"/>
        </w:rPr>
        <w:t xml:space="preserve"> </w:t>
      </w:r>
      <w:r w:rsidR="00B20DD8" w:rsidRPr="008C148B">
        <w:rPr>
          <w:bCs/>
          <w:lang w:val="en-GB"/>
        </w:rPr>
        <w:t>for transition into adult life</w:t>
      </w:r>
      <w:r w:rsidR="00583FEA" w:rsidRPr="008C148B">
        <w:rPr>
          <w:bCs/>
          <w:lang w:val="en-GB"/>
        </w:rPr>
        <w:t>, although i</w:t>
      </w:r>
      <w:r w:rsidR="00B20DD8" w:rsidRPr="008C148B">
        <w:rPr>
          <w:bCs/>
          <w:lang w:val="en-GB"/>
        </w:rPr>
        <w:t xml:space="preserve">t is important to stress that </w:t>
      </w:r>
      <w:r w:rsidR="00737FE8" w:rsidRPr="008C148B">
        <w:rPr>
          <w:bCs/>
          <w:lang w:val="en-GB"/>
        </w:rPr>
        <w:t>it</w:t>
      </w:r>
      <w:r w:rsidR="00B20DD8" w:rsidRPr="008C148B">
        <w:rPr>
          <w:bCs/>
          <w:lang w:val="en-GB"/>
        </w:rPr>
        <w:t xml:space="preserve"> is not explicitly intended to provide skills for employment, but a general foundation that could equally underpin </w:t>
      </w:r>
      <w:r w:rsidR="007150D5" w:rsidRPr="008C148B">
        <w:rPr>
          <w:bCs/>
          <w:lang w:val="en-GB"/>
        </w:rPr>
        <w:t>success</w:t>
      </w:r>
      <w:r w:rsidR="00583FEA" w:rsidRPr="008C148B">
        <w:rPr>
          <w:bCs/>
          <w:lang w:val="en-GB"/>
        </w:rPr>
        <w:t xml:space="preserve"> in </w:t>
      </w:r>
      <w:r w:rsidR="00165911" w:rsidRPr="008C148B">
        <w:rPr>
          <w:bCs/>
          <w:lang w:val="en-GB"/>
        </w:rPr>
        <w:t>post-compulsory</w:t>
      </w:r>
      <w:r w:rsidR="00B20DD8" w:rsidRPr="008C148B">
        <w:rPr>
          <w:bCs/>
          <w:lang w:val="en-GB"/>
        </w:rPr>
        <w:t xml:space="preserve"> education or training.</w:t>
      </w:r>
      <w:r w:rsidR="00F54FEA" w:rsidRPr="008C148B">
        <w:rPr>
          <w:bCs/>
          <w:lang w:val="en-GB"/>
        </w:rPr>
        <w:t xml:space="preserve">  It is not, therefore, ‘vocational’ in the widely understood meaning of the word.</w:t>
      </w:r>
    </w:p>
    <w:p w:rsidR="00021C00" w:rsidRPr="008C148B" w:rsidRDefault="00021C00" w:rsidP="003E095A">
      <w:pPr>
        <w:spacing w:line="276" w:lineRule="auto"/>
        <w:rPr>
          <w:bCs/>
          <w:lang w:val="en-GB"/>
        </w:rPr>
      </w:pPr>
    </w:p>
    <w:p w:rsidR="0065094D" w:rsidRPr="008C148B" w:rsidRDefault="0065094D" w:rsidP="003E095A">
      <w:pPr>
        <w:spacing w:line="276" w:lineRule="auto"/>
        <w:rPr>
          <w:rFonts w:cs="Calibri"/>
          <w:lang w:val="en-GB"/>
        </w:rPr>
      </w:pPr>
      <w:r w:rsidRPr="008C148B">
        <w:rPr>
          <w:bCs/>
          <w:lang w:val="en-GB"/>
        </w:rPr>
        <w:t xml:space="preserve">CoPE </w:t>
      </w:r>
      <w:r w:rsidR="001711B4" w:rsidRPr="008C148B">
        <w:rPr>
          <w:bCs/>
          <w:lang w:val="en-GB"/>
        </w:rPr>
        <w:t>uses</w:t>
      </w:r>
      <w:r w:rsidRPr="008C148B">
        <w:rPr>
          <w:bCs/>
          <w:lang w:val="en-GB"/>
        </w:rPr>
        <w:t xml:space="preserve"> a modular structure with significant flexibility over content</w:t>
      </w:r>
      <w:r w:rsidR="00165911" w:rsidRPr="008C148B">
        <w:rPr>
          <w:bCs/>
          <w:lang w:val="en-GB"/>
        </w:rPr>
        <w:t xml:space="preserve"> and </w:t>
      </w:r>
      <w:r w:rsidRPr="008C148B">
        <w:rPr>
          <w:bCs/>
          <w:lang w:val="en-GB"/>
        </w:rPr>
        <w:t xml:space="preserve">is assessed through a portfolio of </w:t>
      </w:r>
      <w:r w:rsidR="00737FE8" w:rsidRPr="008C148B">
        <w:rPr>
          <w:bCs/>
          <w:lang w:val="en-GB"/>
        </w:rPr>
        <w:t>evidence</w:t>
      </w:r>
      <w:r w:rsidRPr="008C148B">
        <w:rPr>
          <w:bCs/>
          <w:lang w:val="en-GB"/>
        </w:rPr>
        <w:t xml:space="preserve"> accumulated </w:t>
      </w:r>
      <w:r w:rsidR="007150D5" w:rsidRPr="008C148B">
        <w:rPr>
          <w:bCs/>
          <w:lang w:val="en-GB"/>
        </w:rPr>
        <w:t>through</w:t>
      </w:r>
      <w:r w:rsidRPr="008C148B">
        <w:rPr>
          <w:bCs/>
          <w:lang w:val="en-GB"/>
        </w:rPr>
        <w:t xml:space="preserve"> a series of ‘challenges’ that are defined by the teacher, often in negotiation with the </w:t>
      </w:r>
      <w:r w:rsidR="00165911" w:rsidRPr="008C148B">
        <w:rPr>
          <w:bCs/>
          <w:lang w:val="en-GB"/>
        </w:rPr>
        <w:t xml:space="preserve">learner </w:t>
      </w:r>
      <w:r w:rsidRPr="008C148B">
        <w:rPr>
          <w:bCs/>
          <w:lang w:val="en-GB"/>
        </w:rPr>
        <w:t>and so</w:t>
      </w:r>
      <w:r w:rsidR="00165911" w:rsidRPr="008C148B">
        <w:rPr>
          <w:bCs/>
          <w:lang w:val="en-GB"/>
        </w:rPr>
        <w:t xml:space="preserve">metimes focused on their </w:t>
      </w:r>
      <w:r w:rsidRPr="008C148B">
        <w:rPr>
          <w:bCs/>
          <w:lang w:val="en-GB"/>
        </w:rPr>
        <w:t xml:space="preserve">interests beyond school.  </w:t>
      </w:r>
      <w:r w:rsidR="00737FE8" w:rsidRPr="008C148B">
        <w:rPr>
          <w:bCs/>
          <w:lang w:val="en-GB"/>
        </w:rPr>
        <w:t>The portfolio is externally moderated by a network of teachers</w:t>
      </w:r>
      <w:r w:rsidR="007A7155">
        <w:rPr>
          <w:bCs/>
          <w:lang w:val="en-GB"/>
        </w:rPr>
        <w:t xml:space="preserve"> who have undergone specific training</w:t>
      </w:r>
      <w:r w:rsidR="00737FE8" w:rsidRPr="008C148B">
        <w:rPr>
          <w:bCs/>
          <w:lang w:val="en-GB"/>
        </w:rPr>
        <w:t xml:space="preserve"> to ensure standards </w:t>
      </w:r>
      <w:r w:rsidR="007150D5" w:rsidRPr="008C148B">
        <w:rPr>
          <w:bCs/>
          <w:lang w:val="en-GB"/>
        </w:rPr>
        <w:t>and comparability</w:t>
      </w:r>
      <w:r w:rsidR="00737FE8" w:rsidRPr="008C148B">
        <w:rPr>
          <w:bCs/>
          <w:lang w:val="en-GB"/>
        </w:rPr>
        <w:t xml:space="preserve">.  </w:t>
      </w:r>
      <w:r w:rsidRPr="008C148B">
        <w:rPr>
          <w:bCs/>
          <w:lang w:val="en-GB"/>
        </w:rPr>
        <w:t>It is constructed around a ‘plan-do-review’ pedagogy that seeks to develop a reflexivity and awareness of personal development among learners</w:t>
      </w:r>
      <w:r w:rsidR="00165911" w:rsidRPr="008C148B">
        <w:rPr>
          <w:bCs/>
          <w:lang w:val="en-GB"/>
        </w:rPr>
        <w:t xml:space="preserve">, as well as an </w:t>
      </w:r>
      <w:r w:rsidR="005F1C64" w:rsidRPr="008C148B">
        <w:rPr>
          <w:bCs/>
          <w:lang w:val="en-GB"/>
        </w:rPr>
        <w:t>ongoing feedback loop between teacher and learner</w:t>
      </w:r>
      <w:r w:rsidR="001A6197">
        <w:rPr>
          <w:rFonts w:cs="Calibri"/>
          <w:lang w:val="en-GB"/>
        </w:rPr>
        <w:t xml:space="preserve">. </w:t>
      </w:r>
      <w:r w:rsidRPr="008C148B">
        <w:rPr>
          <w:rFonts w:cs="Calibri"/>
          <w:lang w:val="en-GB"/>
        </w:rPr>
        <w:t xml:space="preserve">The design and practice of CoPE, and in particular its reliance on </w:t>
      </w:r>
      <w:r w:rsidR="00386145" w:rsidRPr="008C148B">
        <w:rPr>
          <w:rFonts w:cs="Calibri"/>
          <w:lang w:val="en-GB"/>
        </w:rPr>
        <w:t>the</w:t>
      </w:r>
      <w:r w:rsidRPr="008C148B">
        <w:rPr>
          <w:rFonts w:cs="Calibri"/>
          <w:lang w:val="en-GB"/>
        </w:rPr>
        <w:t xml:space="preserve"> ‘</w:t>
      </w:r>
      <w:r w:rsidR="00181F4A" w:rsidRPr="008C148B">
        <w:rPr>
          <w:rFonts w:cs="Calibri"/>
          <w:lang w:val="en-GB"/>
        </w:rPr>
        <w:t>p</w:t>
      </w:r>
      <w:r w:rsidRPr="008C148B">
        <w:rPr>
          <w:rFonts w:cs="Calibri"/>
          <w:lang w:val="en-GB"/>
        </w:rPr>
        <w:t>lan-</w:t>
      </w:r>
      <w:r w:rsidR="00181F4A" w:rsidRPr="008C148B">
        <w:rPr>
          <w:rFonts w:cs="Calibri"/>
          <w:lang w:val="en-GB"/>
        </w:rPr>
        <w:t>d</w:t>
      </w:r>
      <w:r w:rsidRPr="008C148B">
        <w:rPr>
          <w:rFonts w:cs="Calibri"/>
          <w:lang w:val="en-GB"/>
        </w:rPr>
        <w:t>o-</w:t>
      </w:r>
      <w:r w:rsidR="00181F4A" w:rsidRPr="008C148B">
        <w:rPr>
          <w:rFonts w:cs="Calibri"/>
          <w:lang w:val="en-GB"/>
        </w:rPr>
        <w:t>r</w:t>
      </w:r>
      <w:r w:rsidRPr="008C148B">
        <w:rPr>
          <w:rFonts w:cs="Calibri"/>
          <w:lang w:val="en-GB"/>
        </w:rPr>
        <w:t xml:space="preserve">eview’ approach, make at least plausible its claim that it positively develops a learning orientation, which the research evidence suggests is pivotal in enhancing performance. </w:t>
      </w:r>
      <w:r w:rsidR="00A824E2" w:rsidRPr="008C148B">
        <w:rPr>
          <w:rFonts w:cs="Calibri"/>
          <w:lang w:val="en-GB"/>
        </w:rPr>
        <w:t xml:space="preserve"> </w:t>
      </w:r>
      <w:r w:rsidRPr="008C148B">
        <w:rPr>
          <w:rFonts w:cs="Calibri"/>
          <w:lang w:val="en-GB"/>
        </w:rPr>
        <w:t xml:space="preserve">As Watkins notes: </w:t>
      </w:r>
    </w:p>
    <w:p w:rsidR="0065094D" w:rsidRPr="008C148B" w:rsidRDefault="0065094D" w:rsidP="003E095A">
      <w:pPr>
        <w:widowControl w:val="0"/>
        <w:autoSpaceDE w:val="0"/>
        <w:autoSpaceDN w:val="0"/>
        <w:adjustRightInd w:val="0"/>
        <w:spacing w:line="276" w:lineRule="auto"/>
        <w:rPr>
          <w:rFonts w:cs="Times New Roman"/>
          <w:lang w:val="en-GB"/>
        </w:rPr>
      </w:pPr>
    </w:p>
    <w:p w:rsidR="0065094D" w:rsidRPr="008C148B" w:rsidRDefault="0065094D" w:rsidP="003E095A">
      <w:pPr>
        <w:spacing w:line="276" w:lineRule="auto"/>
        <w:ind w:left="720"/>
        <w:rPr>
          <w:lang w:val="en-GB"/>
        </w:rPr>
      </w:pPr>
      <w:r w:rsidRPr="008C148B">
        <w:rPr>
          <w:rFonts w:cs="Calibri"/>
          <w:iCs/>
          <w:lang w:val="en-GB"/>
        </w:rPr>
        <w:t xml:space="preserve">‘Effectiveness as a learner hinges on the ability to be versatile as a learner, to have a rich view of learning and a learning orientation which is in turn linked to the ability to plan, monitor and review one’s learning’ </w:t>
      </w:r>
      <w:r w:rsidR="00604AFA" w:rsidRPr="008C148B">
        <w:rPr>
          <w:rFonts w:cs="Calibri"/>
          <w:lang w:val="en-GB"/>
        </w:rPr>
        <w:t>(Watkins, 2010, p.</w:t>
      </w:r>
      <w:r w:rsidRPr="008C148B">
        <w:rPr>
          <w:rFonts w:cs="Calibri"/>
          <w:lang w:val="en-GB"/>
        </w:rPr>
        <w:t>7)</w:t>
      </w:r>
    </w:p>
    <w:p w:rsidR="00624679" w:rsidRPr="008C148B" w:rsidRDefault="00624679" w:rsidP="003E095A">
      <w:pPr>
        <w:spacing w:line="276" w:lineRule="auto"/>
        <w:rPr>
          <w:b/>
          <w:lang w:val="en-GB"/>
        </w:rPr>
      </w:pPr>
    </w:p>
    <w:p w:rsidR="00970AB6" w:rsidRPr="008C148B" w:rsidRDefault="00970AB6" w:rsidP="003E095A">
      <w:pPr>
        <w:spacing w:line="276" w:lineRule="auto"/>
        <w:rPr>
          <w:lang w:val="en-GB"/>
        </w:rPr>
      </w:pPr>
      <w:r w:rsidRPr="008C148B">
        <w:rPr>
          <w:lang w:val="en-GB"/>
        </w:rPr>
        <w:t>While this paper focuses specifically on CoPE, the findings and implications are likely to apply more widely to other skills-</w:t>
      </w:r>
      <w:r w:rsidR="00D40F97">
        <w:rPr>
          <w:lang w:val="en-GB"/>
        </w:rPr>
        <w:t>led</w:t>
      </w:r>
      <w:r w:rsidRPr="008C148B">
        <w:rPr>
          <w:lang w:val="en-GB"/>
        </w:rPr>
        <w:t xml:space="preserve"> qualifications at KS4.</w:t>
      </w:r>
      <w:r w:rsidR="00D40F97">
        <w:rPr>
          <w:lang w:val="en-GB"/>
        </w:rPr>
        <w:t xml:space="preserve">  For example, programmes sharing aspects with CoPE are currently offered by the EDEXCEL, OCR and AQA awarding bodies.</w:t>
      </w:r>
    </w:p>
    <w:p w:rsidR="00970AB6" w:rsidRPr="008C148B" w:rsidRDefault="00970AB6" w:rsidP="003E095A">
      <w:pPr>
        <w:spacing w:line="276" w:lineRule="auto"/>
        <w:rPr>
          <w:b/>
          <w:lang w:val="en-GB"/>
        </w:rPr>
      </w:pPr>
    </w:p>
    <w:p w:rsidR="0065094D" w:rsidRPr="008C148B" w:rsidRDefault="0065094D" w:rsidP="003E095A">
      <w:pPr>
        <w:spacing w:line="276" w:lineRule="auto"/>
        <w:rPr>
          <w:b/>
          <w:lang w:val="en-GB"/>
        </w:rPr>
      </w:pPr>
    </w:p>
    <w:p w:rsidR="00D343C7" w:rsidRPr="008C148B" w:rsidRDefault="00D66B7D" w:rsidP="003E095A">
      <w:pPr>
        <w:spacing w:line="276" w:lineRule="auto"/>
        <w:rPr>
          <w:b/>
          <w:lang w:val="en-GB"/>
        </w:rPr>
      </w:pPr>
      <w:r>
        <w:rPr>
          <w:b/>
          <w:lang w:val="en-GB"/>
        </w:rPr>
        <w:t xml:space="preserve">3. </w:t>
      </w:r>
      <w:r w:rsidR="007C6B78" w:rsidRPr="008C148B">
        <w:rPr>
          <w:b/>
          <w:lang w:val="en-GB"/>
        </w:rPr>
        <w:t xml:space="preserve">Policy </w:t>
      </w:r>
      <w:r w:rsidR="00EC47E2">
        <w:rPr>
          <w:b/>
          <w:lang w:val="en-GB"/>
        </w:rPr>
        <w:t xml:space="preserve">shifts and the ‘bonfire of the </w:t>
      </w:r>
      <w:proofErr w:type="spellStart"/>
      <w:r w:rsidR="00EC47E2">
        <w:rPr>
          <w:b/>
          <w:lang w:val="en-GB"/>
        </w:rPr>
        <w:t>vocationals</w:t>
      </w:r>
      <w:proofErr w:type="spellEnd"/>
      <w:r w:rsidR="00EC47E2">
        <w:rPr>
          <w:b/>
          <w:lang w:val="en-GB"/>
        </w:rPr>
        <w:t>’</w:t>
      </w:r>
    </w:p>
    <w:p w:rsidR="00F10C28" w:rsidRPr="008C148B" w:rsidRDefault="00F10C28" w:rsidP="003E095A">
      <w:pPr>
        <w:spacing w:line="276" w:lineRule="auto"/>
        <w:rPr>
          <w:lang w:val="en-GB"/>
        </w:rPr>
      </w:pPr>
    </w:p>
    <w:p w:rsidR="00EE2120" w:rsidRPr="008C148B" w:rsidRDefault="003B0402" w:rsidP="003E095A">
      <w:pPr>
        <w:spacing w:line="276" w:lineRule="auto"/>
        <w:rPr>
          <w:lang w:val="en-GB"/>
        </w:rPr>
      </w:pPr>
      <w:r w:rsidRPr="008C148B">
        <w:rPr>
          <w:lang w:val="en-GB"/>
        </w:rPr>
        <w:t>T</w:t>
      </w:r>
      <w:r w:rsidR="00EE2120" w:rsidRPr="008C148B">
        <w:rPr>
          <w:lang w:val="en-GB"/>
        </w:rPr>
        <w:t xml:space="preserve">wo features </w:t>
      </w:r>
      <w:r w:rsidR="00F77372" w:rsidRPr="008C148B">
        <w:rPr>
          <w:lang w:val="en-GB"/>
        </w:rPr>
        <w:t>of the policy context are of particular relevance to t</w:t>
      </w:r>
      <w:r w:rsidR="00741095" w:rsidRPr="008C148B">
        <w:rPr>
          <w:lang w:val="en-GB"/>
        </w:rPr>
        <w:t>his discussion.</w:t>
      </w:r>
      <w:r w:rsidR="00F77372" w:rsidRPr="008C148B">
        <w:rPr>
          <w:lang w:val="en-GB"/>
        </w:rPr>
        <w:t xml:space="preserve">  The first </w:t>
      </w:r>
      <w:r w:rsidR="00EE2120" w:rsidRPr="008C148B">
        <w:rPr>
          <w:lang w:val="en-GB"/>
        </w:rPr>
        <w:t xml:space="preserve">is the extent to which educational policy reflects a set of shared or collectively recognised aims or purposes, whilst the second is </w:t>
      </w:r>
      <w:r w:rsidRPr="008C148B">
        <w:rPr>
          <w:lang w:val="en-GB"/>
        </w:rPr>
        <w:t xml:space="preserve">the more specific issue of how GCSE equivalents </w:t>
      </w:r>
      <w:r w:rsidR="00EE2120" w:rsidRPr="008C148B">
        <w:rPr>
          <w:lang w:val="en-GB"/>
        </w:rPr>
        <w:t>are viewed and how their value and legitimacy has been changing.</w:t>
      </w:r>
    </w:p>
    <w:p w:rsidR="007C6B78" w:rsidRPr="008C148B" w:rsidRDefault="007C6B78" w:rsidP="003E095A">
      <w:pPr>
        <w:spacing w:line="276" w:lineRule="auto"/>
        <w:rPr>
          <w:lang w:val="en-GB"/>
        </w:rPr>
      </w:pPr>
    </w:p>
    <w:p w:rsidR="007C6B78" w:rsidRPr="008C148B" w:rsidRDefault="00D66B7D" w:rsidP="003E095A">
      <w:pPr>
        <w:spacing w:line="276" w:lineRule="auto"/>
        <w:rPr>
          <w:i/>
          <w:lang w:val="en-GB"/>
        </w:rPr>
      </w:pPr>
      <w:r>
        <w:rPr>
          <w:i/>
          <w:lang w:val="en-GB"/>
        </w:rPr>
        <w:t xml:space="preserve">3.1 </w:t>
      </w:r>
      <w:r w:rsidR="007C6B78" w:rsidRPr="008C148B">
        <w:rPr>
          <w:i/>
          <w:lang w:val="en-GB"/>
        </w:rPr>
        <w:t>Educational purposes</w:t>
      </w:r>
    </w:p>
    <w:p w:rsidR="00EE2120" w:rsidRPr="008C148B" w:rsidRDefault="00EE2120" w:rsidP="003E095A">
      <w:pPr>
        <w:spacing w:line="276" w:lineRule="auto"/>
        <w:rPr>
          <w:lang w:val="en-GB"/>
        </w:rPr>
      </w:pPr>
    </w:p>
    <w:p w:rsidR="00CB1F5B" w:rsidRPr="008C148B" w:rsidRDefault="00EA0A39" w:rsidP="003E095A">
      <w:pPr>
        <w:widowControl w:val="0"/>
        <w:autoSpaceDE w:val="0"/>
        <w:autoSpaceDN w:val="0"/>
        <w:adjustRightInd w:val="0"/>
        <w:spacing w:line="276" w:lineRule="auto"/>
        <w:rPr>
          <w:rFonts w:cs="Calibri"/>
          <w:lang w:val="en-GB"/>
        </w:rPr>
      </w:pPr>
      <w:r w:rsidRPr="008C148B">
        <w:rPr>
          <w:rFonts w:cs="Calibri"/>
          <w:lang w:val="en-GB"/>
        </w:rPr>
        <w:t>For many commentators, we have reached a point at which the purposes of education have become distorted or confused, and many of the processes of schooling are of questionable educational value</w:t>
      </w:r>
      <w:r w:rsidR="00A31388" w:rsidRPr="008C148B">
        <w:rPr>
          <w:rFonts w:cs="Calibri"/>
          <w:lang w:val="en-GB"/>
        </w:rPr>
        <w:t xml:space="preserve"> </w:t>
      </w:r>
      <w:r w:rsidR="00FE6C6F">
        <w:rPr>
          <w:rFonts w:cs="Calibri"/>
          <w:lang w:val="en-GB"/>
        </w:rPr>
        <w:t xml:space="preserve">in a democracy </w:t>
      </w:r>
      <w:r w:rsidR="00A31388" w:rsidRPr="008C148B">
        <w:rPr>
          <w:rFonts w:cs="Calibri"/>
          <w:lang w:val="en-GB"/>
        </w:rPr>
        <w:t>(</w:t>
      </w:r>
      <w:r w:rsidR="007150D5" w:rsidRPr="008C148B">
        <w:rPr>
          <w:rFonts w:cs="Calibri"/>
          <w:lang w:val="en-GB"/>
        </w:rPr>
        <w:t>e.g.</w:t>
      </w:r>
      <w:r w:rsidR="0048135E" w:rsidRPr="008C148B">
        <w:rPr>
          <w:rFonts w:cs="Calibri"/>
          <w:lang w:val="en-GB"/>
        </w:rPr>
        <w:t xml:space="preserve"> Fielding </w:t>
      </w:r>
      <w:r w:rsidR="002C174C">
        <w:rPr>
          <w:rFonts w:cs="Calibri"/>
          <w:lang w:val="en-GB"/>
        </w:rPr>
        <w:t>&amp;</w:t>
      </w:r>
      <w:r w:rsidR="0048135E" w:rsidRPr="008C148B">
        <w:rPr>
          <w:rFonts w:cs="Calibri"/>
          <w:lang w:val="en-GB"/>
        </w:rPr>
        <w:t xml:space="preserve"> Moss, 201</w:t>
      </w:r>
      <w:r w:rsidR="00B06D64" w:rsidRPr="008C148B">
        <w:rPr>
          <w:rFonts w:cs="Calibri"/>
          <w:lang w:val="en-GB"/>
        </w:rPr>
        <w:t xml:space="preserve">1; </w:t>
      </w:r>
      <w:proofErr w:type="spellStart"/>
      <w:r w:rsidR="00B06D64" w:rsidRPr="008C148B">
        <w:rPr>
          <w:rFonts w:cs="Calibri"/>
          <w:lang w:val="en-GB"/>
        </w:rPr>
        <w:t>Coffield</w:t>
      </w:r>
      <w:proofErr w:type="spellEnd"/>
      <w:r w:rsidR="00B06D64" w:rsidRPr="008C148B">
        <w:rPr>
          <w:rFonts w:cs="Calibri"/>
          <w:lang w:val="en-GB"/>
        </w:rPr>
        <w:t xml:space="preserve"> </w:t>
      </w:r>
      <w:r w:rsidR="002C174C">
        <w:rPr>
          <w:rFonts w:cs="Calibri"/>
          <w:lang w:val="en-GB"/>
        </w:rPr>
        <w:t>&amp;</w:t>
      </w:r>
      <w:r w:rsidR="00B06D64" w:rsidRPr="008C148B">
        <w:rPr>
          <w:rFonts w:cs="Calibri"/>
          <w:lang w:val="en-GB"/>
        </w:rPr>
        <w:t xml:space="preserve"> Williamson, 2012</w:t>
      </w:r>
      <w:r w:rsidR="00D34286">
        <w:rPr>
          <w:rFonts w:cs="Calibri"/>
          <w:lang w:val="en-GB"/>
        </w:rPr>
        <w:t xml:space="preserve">; </w:t>
      </w:r>
      <w:proofErr w:type="spellStart"/>
      <w:r w:rsidR="00D34286">
        <w:rPr>
          <w:rFonts w:cs="Calibri"/>
          <w:lang w:val="en-GB"/>
        </w:rPr>
        <w:t>Pring</w:t>
      </w:r>
      <w:proofErr w:type="spellEnd"/>
      <w:r w:rsidR="00D34286">
        <w:rPr>
          <w:rFonts w:cs="Calibri"/>
          <w:lang w:val="en-GB"/>
        </w:rPr>
        <w:t xml:space="preserve"> </w:t>
      </w:r>
      <w:r w:rsidR="00D34286" w:rsidRPr="002C174C">
        <w:rPr>
          <w:rFonts w:cs="Calibri"/>
          <w:i/>
          <w:lang w:val="en-GB"/>
        </w:rPr>
        <w:t>et al</w:t>
      </w:r>
      <w:r w:rsidR="002C174C">
        <w:rPr>
          <w:rFonts w:cs="Calibri"/>
          <w:lang w:val="en-GB"/>
        </w:rPr>
        <w:t>,</w:t>
      </w:r>
      <w:r w:rsidR="00D34286">
        <w:rPr>
          <w:rFonts w:cs="Calibri"/>
          <w:lang w:val="en-GB"/>
        </w:rPr>
        <w:t xml:space="preserve"> 2009</w:t>
      </w:r>
      <w:r w:rsidR="00A31388" w:rsidRPr="008C148B">
        <w:rPr>
          <w:rFonts w:cs="Calibri"/>
          <w:lang w:val="en-GB"/>
        </w:rPr>
        <w:t>)</w:t>
      </w:r>
      <w:r w:rsidRPr="008C148B">
        <w:rPr>
          <w:rFonts w:cs="Calibri"/>
          <w:lang w:val="en-GB"/>
        </w:rPr>
        <w:t xml:space="preserve">. </w:t>
      </w:r>
      <w:r w:rsidR="00D34286">
        <w:rPr>
          <w:rFonts w:cs="Calibri"/>
          <w:lang w:val="en-GB"/>
        </w:rPr>
        <w:t>A</w:t>
      </w:r>
      <w:r w:rsidRPr="008C148B">
        <w:rPr>
          <w:rFonts w:cs="Calibri"/>
          <w:lang w:val="en-GB"/>
        </w:rPr>
        <w:t xml:space="preserve"> recent meta-analysis of over 100 international classroom-based research studies</w:t>
      </w:r>
      <w:r w:rsidR="00D34286">
        <w:rPr>
          <w:rFonts w:cs="Calibri"/>
          <w:lang w:val="en-GB"/>
        </w:rPr>
        <w:t xml:space="preserve"> </w:t>
      </w:r>
      <w:r w:rsidR="003D3020" w:rsidRPr="008C148B">
        <w:rPr>
          <w:rFonts w:cs="Calibri"/>
          <w:lang w:val="en-GB"/>
        </w:rPr>
        <w:t>conclude</w:t>
      </w:r>
      <w:r w:rsidR="00D34286">
        <w:rPr>
          <w:rFonts w:cs="Calibri"/>
          <w:lang w:val="en-GB"/>
        </w:rPr>
        <w:t>d</w:t>
      </w:r>
      <w:r w:rsidRPr="008C148B">
        <w:rPr>
          <w:rFonts w:cs="Calibri"/>
          <w:lang w:val="en-GB"/>
        </w:rPr>
        <w:t xml:space="preserve"> that</w:t>
      </w:r>
    </w:p>
    <w:p w:rsidR="00EA0A39" w:rsidRPr="008C148B" w:rsidRDefault="00EA0A39" w:rsidP="003E095A">
      <w:pPr>
        <w:widowControl w:val="0"/>
        <w:autoSpaceDE w:val="0"/>
        <w:autoSpaceDN w:val="0"/>
        <w:adjustRightInd w:val="0"/>
        <w:spacing w:line="276" w:lineRule="auto"/>
        <w:rPr>
          <w:rFonts w:cs="Calibri"/>
          <w:lang w:val="en-GB"/>
        </w:rPr>
      </w:pPr>
      <w:r w:rsidRPr="008C148B">
        <w:rPr>
          <w:rFonts w:cs="Calibri"/>
          <w:lang w:val="en-GB"/>
        </w:rPr>
        <w:t xml:space="preserve"> </w:t>
      </w:r>
    </w:p>
    <w:p w:rsidR="00EA0A39" w:rsidRPr="008C148B" w:rsidRDefault="00FA5A57" w:rsidP="003E095A">
      <w:pPr>
        <w:widowControl w:val="0"/>
        <w:autoSpaceDE w:val="0"/>
        <w:autoSpaceDN w:val="0"/>
        <w:adjustRightInd w:val="0"/>
        <w:spacing w:line="276" w:lineRule="auto"/>
        <w:ind w:left="720"/>
        <w:rPr>
          <w:rFonts w:cs="Calibri"/>
          <w:lang w:val="en-GB"/>
        </w:rPr>
      </w:pPr>
      <w:r w:rsidRPr="008C148B">
        <w:rPr>
          <w:rFonts w:cs="Calibri"/>
          <w:iCs/>
          <w:lang w:val="en-GB"/>
        </w:rPr>
        <w:t>‘</w:t>
      </w:r>
      <w:r w:rsidR="00A90384" w:rsidRPr="008C148B">
        <w:rPr>
          <w:rFonts w:cs="Calibri"/>
          <w:iCs/>
          <w:lang w:val="en-GB"/>
        </w:rPr>
        <w:t>learning-centred school improvement</w:t>
      </w:r>
      <w:r w:rsidR="00D91359" w:rsidRPr="008C148B">
        <w:rPr>
          <w:rFonts w:cs="Calibri"/>
          <w:iCs/>
          <w:lang w:val="en-GB"/>
        </w:rPr>
        <w:t xml:space="preserve"> </w:t>
      </w:r>
      <w:r w:rsidR="00A90384" w:rsidRPr="008C148B">
        <w:rPr>
          <w:rFonts w:cs="Calibri"/>
          <w:iCs/>
          <w:lang w:val="en-GB"/>
        </w:rPr>
        <w:t>... remains in tension with the dominant discourse about classroom learning and with the current policy interventions in England</w:t>
      </w:r>
      <w:r w:rsidRPr="008C148B">
        <w:rPr>
          <w:rFonts w:cs="Calibri"/>
          <w:iCs/>
          <w:lang w:val="en-GB"/>
        </w:rPr>
        <w:t>’</w:t>
      </w:r>
      <w:r w:rsidR="00CB1F5B" w:rsidRPr="008C148B">
        <w:rPr>
          <w:rFonts w:cs="Calibri"/>
          <w:iCs/>
          <w:lang w:val="en-GB"/>
        </w:rPr>
        <w:t xml:space="preserve"> </w:t>
      </w:r>
      <w:r w:rsidR="00A90384" w:rsidRPr="008C148B">
        <w:rPr>
          <w:rFonts w:cs="Calibri"/>
          <w:lang w:val="en-GB"/>
        </w:rPr>
        <w:t>(Institu</w:t>
      </w:r>
      <w:r w:rsidR="00604AFA" w:rsidRPr="008C148B">
        <w:rPr>
          <w:rFonts w:cs="Calibri"/>
          <w:lang w:val="en-GB"/>
        </w:rPr>
        <w:t>te of Education [</w:t>
      </w:r>
      <w:proofErr w:type="spellStart"/>
      <w:r w:rsidR="00604AFA" w:rsidRPr="008C148B">
        <w:rPr>
          <w:rFonts w:cs="Calibri"/>
          <w:lang w:val="en-GB"/>
        </w:rPr>
        <w:t>IoE</w:t>
      </w:r>
      <w:proofErr w:type="spellEnd"/>
      <w:r w:rsidR="00604AFA" w:rsidRPr="008C148B">
        <w:rPr>
          <w:rFonts w:cs="Calibri"/>
          <w:lang w:val="en-GB"/>
        </w:rPr>
        <w:t>], 2010, p.</w:t>
      </w:r>
      <w:r w:rsidR="00A90384" w:rsidRPr="008C148B">
        <w:rPr>
          <w:rFonts w:cs="Calibri"/>
          <w:lang w:val="en-GB"/>
        </w:rPr>
        <w:t xml:space="preserve">1). </w:t>
      </w:r>
    </w:p>
    <w:p w:rsidR="00CB1F5B" w:rsidRPr="008C148B" w:rsidRDefault="00CB1F5B" w:rsidP="003E095A">
      <w:pPr>
        <w:widowControl w:val="0"/>
        <w:autoSpaceDE w:val="0"/>
        <w:autoSpaceDN w:val="0"/>
        <w:adjustRightInd w:val="0"/>
        <w:spacing w:line="276" w:lineRule="auto"/>
        <w:ind w:left="720"/>
        <w:rPr>
          <w:rFonts w:cs="Calibri"/>
          <w:lang w:val="en-GB"/>
        </w:rPr>
      </w:pPr>
    </w:p>
    <w:p w:rsidR="00EA0A39" w:rsidRPr="008C148B" w:rsidRDefault="001A6197" w:rsidP="003E095A">
      <w:pPr>
        <w:widowControl w:val="0"/>
        <w:autoSpaceDE w:val="0"/>
        <w:autoSpaceDN w:val="0"/>
        <w:adjustRightInd w:val="0"/>
        <w:spacing w:line="276" w:lineRule="auto"/>
        <w:rPr>
          <w:rFonts w:cs="Calibri"/>
          <w:lang w:val="en-GB"/>
        </w:rPr>
      </w:pPr>
      <w:r>
        <w:rPr>
          <w:rFonts w:cs="Calibri"/>
          <w:lang w:val="en-GB"/>
        </w:rPr>
        <w:t xml:space="preserve">Related work </w:t>
      </w:r>
      <w:r w:rsidR="00D34286">
        <w:rPr>
          <w:rFonts w:cs="Calibri"/>
          <w:lang w:val="en-GB"/>
        </w:rPr>
        <w:t>argue</w:t>
      </w:r>
      <w:r>
        <w:rPr>
          <w:rFonts w:cs="Calibri"/>
          <w:lang w:val="en-GB"/>
        </w:rPr>
        <w:t>s</w:t>
      </w:r>
      <w:r w:rsidR="00D34286">
        <w:rPr>
          <w:rFonts w:cs="Calibri"/>
          <w:lang w:val="en-GB"/>
        </w:rPr>
        <w:t xml:space="preserve"> </w:t>
      </w:r>
      <w:r w:rsidR="00A90384" w:rsidRPr="008C148B">
        <w:rPr>
          <w:rFonts w:cs="Calibri"/>
          <w:lang w:val="en-GB"/>
        </w:rPr>
        <w:t xml:space="preserve">that </w:t>
      </w:r>
      <w:r w:rsidR="003D3020" w:rsidRPr="008C148B">
        <w:rPr>
          <w:rFonts w:cs="Calibri"/>
          <w:lang w:val="en-GB"/>
        </w:rPr>
        <w:t xml:space="preserve">rather than being learning-oriented, </w:t>
      </w:r>
      <w:r w:rsidR="00A90384" w:rsidRPr="008C148B">
        <w:rPr>
          <w:rFonts w:cs="Calibri"/>
          <w:lang w:val="en-GB"/>
        </w:rPr>
        <w:t xml:space="preserve">schooling is increasingly performance- and goal-focused as </w:t>
      </w:r>
      <w:r w:rsidR="001870BE" w:rsidRPr="008C148B">
        <w:rPr>
          <w:rFonts w:cs="Calibri"/>
          <w:lang w:val="en-GB"/>
        </w:rPr>
        <w:t>learners</w:t>
      </w:r>
      <w:r w:rsidR="00A90384" w:rsidRPr="008C148B">
        <w:rPr>
          <w:rFonts w:cs="Calibri"/>
          <w:lang w:val="en-GB"/>
        </w:rPr>
        <w:t xml:space="preserve"> progress through the years. Furthermore: </w:t>
      </w:r>
    </w:p>
    <w:p w:rsidR="00CB1F5B" w:rsidRPr="008C148B" w:rsidRDefault="00CB1F5B" w:rsidP="003E095A">
      <w:pPr>
        <w:widowControl w:val="0"/>
        <w:autoSpaceDE w:val="0"/>
        <w:autoSpaceDN w:val="0"/>
        <w:adjustRightInd w:val="0"/>
        <w:spacing w:line="276" w:lineRule="auto"/>
        <w:rPr>
          <w:rFonts w:cs="Calibri"/>
          <w:lang w:val="en-GB"/>
        </w:rPr>
      </w:pPr>
    </w:p>
    <w:p w:rsidR="00EA0A39" w:rsidRPr="008C148B" w:rsidRDefault="00FA5A57" w:rsidP="003E095A">
      <w:pPr>
        <w:widowControl w:val="0"/>
        <w:autoSpaceDE w:val="0"/>
        <w:autoSpaceDN w:val="0"/>
        <w:adjustRightInd w:val="0"/>
        <w:spacing w:line="276" w:lineRule="auto"/>
        <w:ind w:left="720"/>
        <w:rPr>
          <w:rFonts w:cs="Calibri"/>
          <w:lang w:val="en-GB"/>
        </w:rPr>
      </w:pPr>
      <w:r w:rsidRPr="008C148B">
        <w:rPr>
          <w:rFonts w:cs="Calibri"/>
          <w:lang w:val="en-GB"/>
        </w:rPr>
        <w:t>‘</w:t>
      </w:r>
      <w:r w:rsidR="007150D5" w:rsidRPr="008C148B">
        <w:rPr>
          <w:rFonts w:cs="Calibri"/>
          <w:iCs/>
          <w:lang w:val="en-GB"/>
        </w:rPr>
        <w:t>[A</w:t>
      </w:r>
      <w:r w:rsidR="00094920" w:rsidRPr="008C148B">
        <w:rPr>
          <w:rFonts w:cs="Calibri"/>
          <w:iCs/>
          <w:lang w:val="en-GB"/>
        </w:rPr>
        <w:t>s</w:t>
      </w:r>
      <w:r w:rsidR="007150D5" w:rsidRPr="008C148B">
        <w:rPr>
          <w:rFonts w:cs="Calibri"/>
          <w:iCs/>
          <w:lang w:val="en-GB"/>
        </w:rPr>
        <w:t>]</w:t>
      </w:r>
      <w:r w:rsidR="00094920" w:rsidRPr="008C148B">
        <w:rPr>
          <w:rFonts w:cs="Calibri"/>
          <w:iCs/>
          <w:lang w:val="en-GB"/>
        </w:rPr>
        <w:t xml:space="preserve"> educational institutions become more selective and the culture becomes more performance oriented, high learning orientation remains central to achievement, but it is not supported by the classroom culture. So a more limited group of students than could be the case are those who will succeed. If performance orientation is dominant in the culture without a developed learning orientation, there is an increase in strategic behaviour rather than learning behaviour, a focus on looking good rather than learning well, and a tendency to perceive education as a process of jumping through hoops, rather than something more transferable and lasting. </w:t>
      </w:r>
      <w:r w:rsidR="007150D5" w:rsidRPr="008C148B">
        <w:rPr>
          <w:rFonts w:cs="Calibri"/>
          <w:iCs/>
          <w:lang w:val="en-GB"/>
        </w:rPr>
        <w:t xml:space="preserve"> </w:t>
      </w:r>
      <w:r w:rsidR="00094920" w:rsidRPr="008C148B">
        <w:rPr>
          <w:rFonts w:cs="Calibri"/>
          <w:iCs/>
          <w:lang w:val="en-GB"/>
        </w:rPr>
        <w:t>This is not a strategy for success</w:t>
      </w:r>
      <w:r w:rsidRPr="008C148B">
        <w:rPr>
          <w:rFonts w:cs="Calibri"/>
          <w:iCs/>
          <w:lang w:val="en-GB"/>
        </w:rPr>
        <w:t>’</w:t>
      </w:r>
      <w:r w:rsidR="00094920" w:rsidRPr="008C148B">
        <w:rPr>
          <w:rFonts w:cs="Calibri"/>
          <w:iCs/>
          <w:lang w:val="en-GB"/>
        </w:rPr>
        <w:t xml:space="preserve"> </w:t>
      </w:r>
      <w:r w:rsidR="00EA0A39" w:rsidRPr="008C148B">
        <w:rPr>
          <w:rFonts w:cs="Calibri"/>
          <w:lang w:val="en-GB"/>
        </w:rPr>
        <w:t>(Watkins, 2010,</w:t>
      </w:r>
      <w:r w:rsidR="00604AFA" w:rsidRPr="008C148B">
        <w:rPr>
          <w:rFonts w:cs="Calibri"/>
          <w:lang w:val="en-GB"/>
        </w:rPr>
        <w:t xml:space="preserve"> p.</w:t>
      </w:r>
      <w:r w:rsidR="00EA0A39" w:rsidRPr="008C148B">
        <w:rPr>
          <w:rFonts w:cs="Calibri"/>
          <w:lang w:val="en-GB"/>
        </w:rPr>
        <w:t xml:space="preserve">5). </w:t>
      </w:r>
    </w:p>
    <w:p w:rsidR="00CB1F5B" w:rsidRPr="008C148B" w:rsidRDefault="00CB1F5B" w:rsidP="003E095A">
      <w:pPr>
        <w:widowControl w:val="0"/>
        <w:autoSpaceDE w:val="0"/>
        <w:autoSpaceDN w:val="0"/>
        <w:adjustRightInd w:val="0"/>
        <w:spacing w:line="276" w:lineRule="auto"/>
        <w:ind w:left="720"/>
        <w:rPr>
          <w:rFonts w:cs="Calibri"/>
          <w:lang w:val="en-GB"/>
        </w:rPr>
      </w:pPr>
    </w:p>
    <w:p w:rsidR="00283E7E" w:rsidRDefault="00EA0A39" w:rsidP="003E095A">
      <w:pPr>
        <w:widowControl w:val="0"/>
        <w:autoSpaceDE w:val="0"/>
        <w:autoSpaceDN w:val="0"/>
        <w:adjustRightInd w:val="0"/>
        <w:spacing w:line="276" w:lineRule="auto"/>
        <w:rPr>
          <w:rFonts w:cs="Calibri"/>
          <w:lang w:val="en-GB"/>
        </w:rPr>
      </w:pPr>
      <w:r w:rsidRPr="008C148B">
        <w:rPr>
          <w:rFonts w:cs="Calibri"/>
          <w:lang w:val="en-GB"/>
        </w:rPr>
        <w:t xml:space="preserve">Watkins argues that in the current policy climate, it is increasingly difficult for schools and </w:t>
      </w:r>
      <w:r w:rsidRPr="008C148B">
        <w:rPr>
          <w:rFonts w:cs="Calibri"/>
          <w:lang w:val="en-GB"/>
        </w:rPr>
        <w:lastRenderedPageBreak/>
        <w:t xml:space="preserve">those that spend time in them </w:t>
      </w:r>
      <w:r w:rsidR="00FA5A57" w:rsidRPr="008C148B">
        <w:rPr>
          <w:rFonts w:cs="Calibri"/>
          <w:iCs/>
          <w:lang w:val="en-GB"/>
        </w:rPr>
        <w:t>‘</w:t>
      </w:r>
      <w:r w:rsidR="00094920" w:rsidRPr="008C148B">
        <w:rPr>
          <w:rFonts w:cs="Calibri"/>
          <w:iCs/>
          <w:lang w:val="en-GB"/>
        </w:rPr>
        <w:t>to recognise that passing tests is not the goal of education, but a by-product of effective learning</w:t>
      </w:r>
      <w:r w:rsidR="00FA5A57" w:rsidRPr="008C148B">
        <w:rPr>
          <w:rFonts w:cs="Calibri"/>
          <w:iCs/>
          <w:lang w:val="en-GB"/>
        </w:rPr>
        <w:t>’</w:t>
      </w:r>
      <w:r w:rsidR="00CB1F5B" w:rsidRPr="008C148B">
        <w:rPr>
          <w:rFonts w:cs="Calibri"/>
          <w:i/>
          <w:iCs/>
          <w:lang w:val="en-GB"/>
        </w:rPr>
        <w:t xml:space="preserve"> </w:t>
      </w:r>
      <w:r w:rsidR="0052759A" w:rsidRPr="008C148B">
        <w:rPr>
          <w:rFonts w:cs="Calibri"/>
          <w:lang w:val="en-GB"/>
        </w:rPr>
        <w:t>(</w:t>
      </w:r>
      <w:proofErr w:type="spellStart"/>
      <w:r w:rsidRPr="008C148B">
        <w:rPr>
          <w:rFonts w:cs="Calibri"/>
          <w:lang w:val="en-GB"/>
        </w:rPr>
        <w:t>IoE</w:t>
      </w:r>
      <w:proofErr w:type="spellEnd"/>
      <w:r w:rsidRPr="008C148B">
        <w:rPr>
          <w:rFonts w:cs="Calibri"/>
          <w:lang w:val="en-GB"/>
        </w:rPr>
        <w:t>, 2010, p</w:t>
      </w:r>
      <w:r w:rsidR="00604AFA" w:rsidRPr="008C148B">
        <w:rPr>
          <w:rFonts w:cs="Calibri"/>
          <w:lang w:val="en-GB"/>
        </w:rPr>
        <w:t>.</w:t>
      </w:r>
      <w:r w:rsidRPr="008C148B">
        <w:rPr>
          <w:rFonts w:cs="Calibri"/>
          <w:lang w:val="en-GB"/>
        </w:rPr>
        <w:t xml:space="preserve">2). </w:t>
      </w:r>
    </w:p>
    <w:p w:rsidR="003E095A" w:rsidRPr="008C148B" w:rsidRDefault="003E095A" w:rsidP="003E095A">
      <w:pPr>
        <w:widowControl w:val="0"/>
        <w:autoSpaceDE w:val="0"/>
        <w:autoSpaceDN w:val="0"/>
        <w:adjustRightInd w:val="0"/>
        <w:spacing w:line="276" w:lineRule="auto"/>
        <w:rPr>
          <w:rFonts w:cs="Calibri"/>
          <w:lang w:val="en-GB"/>
        </w:rPr>
      </w:pPr>
    </w:p>
    <w:p w:rsidR="00283E7E" w:rsidRPr="008C148B" w:rsidRDefault="00283E7E" w:rsidP="003E095A">
      <w:pPr>
        <w:widowControl w:val="0"/>
        <w:autoSpaceDE w:val="0"/>
        <w:autoSpaceDN w:val="0"/>
        <w:adjustRightInd w:val="0"/>
        <w:spacing w:line="276" w:lineRule="auto"/>
        <w:rPr>
          <w:rFonts w:cs="Calibri"/>
          <w:lang w:val="en-GB"/>
        </w:rPr>
      </w:pPr>
      <w:r w:rsidRPr="008C148B">
        <w:rPr>
          <w:rFonts w:cs="Calibri"/>
          <w:lang w:val="en-GB"/>
        </w:rPr>
        <w:t>In signalling this problem,</w:t>
      </w:r>
      <w:r w:rsidR="00C73C40">
        <w:rPr>
          <w:rFonts w:cs="Calibri"/>
          <w:lang w:val="en-GB"/>
        </w:rPr>
        <w:t xml:space="preserve"> he </w:t>
      </w:r>
      <w:r w:rsidR="00EA0A39" w:rsidRPr="008C148B">
        <w:rPr>
          <w:rFonts w:cs="Calibri"/>
          <w:lang w:val="en-GB"/>
        </w:rPr>
        <w:t>draws attention to a much broader one, namely that a narrow</w:t>
      </w:r>
      <w:r w:rsidR="00DD1D68" w:rsidRPr="008C148B">
        <w:rPr>
          <w:rFonts w:cs="Calibri"/>
          <w:lang w:val="en-GB"/>
        </w:rPr>
        <w:t>er</w:t>
      </w:r>
      <w:r w:rsidR="00EA0A39" w:rsidRPr="008C148B">
        <w:rPr>
          <w:rFonts w:cs="Calibri"/>
          <w:lang w:val="en-GB"/>
        </w:rPr>
        <w:t xml:space="preserve"> technocratic view of purpose is now widespread, and compliance with it is secured by a fear of falling (or of not being seen to climb) on the part of teachers, schools and local authorities.</w:t>
      </w:r>
      <w:r w:rsidR="00F54FEA" w:rsidRPr="008C148B">
        <w:rPr>
          <w:rFonts w:cs="Calibri"/>
          <w:lang w:val="en-GB"/>
        </w:rPr>
        <w:t xml:space="preserve">  The current climate of ‘high-stakes testing’ applies to educators as much as to learners</w:t>
      </w:r>
      <w:r w:rsidR="00F321E4">
        <w:rPr>
          <w:rFonts w:cs="Calibri"/>
          <w:lang w:val="en-GB"/>
        </w:rPr>
        <w:t>, with funding, autonomy and promotion all being predicated</w:t>
      </w:r>
      <w:r w:rsidR="00D40F97">
        <w:rPr>
          <w:rFonts w:cs="Calibri"/>
          <w:lang w:val="en-GB"/>
        </w:rPr>
        <w:t xml:space="preserve"> to a degree</w:t>
      </w:r>
      <w:r w:rsidR="00F321E4">
        <w:rPr>
          <w:rFonts w:cs="Calibri"/>
          <w:lang w:val="en-GB"/>
        </w:rPr>
        <w:t xml:space="preserve"> on school and teacher performance (West, 2010)</w:t>
      </w:r>
      <w:r w:rsidR="00F321E4" w:rsidRPr="008C148B">
        <w:rPr>
          <w:rFonts w:cs="Calibri"/>
          <w:lang w:val="en-GB"/>
        </w:rPr>
        <w:t>.</w:t>
      </w:r>
    </w:p>
    <w:p w:rsidR="00EA0A39" w:rsidRPr="008C148B" w:rsidRDefault="00EA0A39" w:rsidP="003E095A">
      <w:pPr>
        <w:widowControl w:val="0"/>
        <w:autoSpaceDE w:val="0"/>
        <w:autoSpaceDN w:val="0"/>
        <w:adjustRightInd w:val="0"/>
        <w:spacing w:line="276" w:lineRule="auto"/>
        <w:rPr>
          <w:rFonts w:cs="Calibri"/>
          <w:lang w:val="en-GB"/>
        </w:rPr>
      </w:pPr>
      <w:r w:rsidRPr="008C148B">
        <w:rPr>
          <w:rFonts w:cs="Calibri"/>
          <w:lang w:val="en-GB"/>
        </w:rPr>
        <w:t xml:space="preserve"> </w:t>
      </w:r>
    </w:p>
    <w:p w:rsidR="00C6140A" w:rsidRPr="008C148B" w:rsidRDefault="003B0402" w:rsidP="003E095A">
      <w:pPr>
        <w:widowControl w:val="0"/>
        <w:autoSpaceDE w:val="0"/>
        <w:autoSpaceDN w:val="0"/>
        <w:adjustRightInd w:val="0"/>
        <w:spacing w:line="276" w:lineRule="auto"/>
        <w:rPr>
          <w:lang w:val="en-GB"/>
        </w:rPr>
      </w:pPr>
      <w:r w:rsidRPr="008C148B">
        <w:rPr>
          <w:lang w:val="en-GB"/>
        </w:rPr>
        <w:t>T</w:t>
      </w:r>
      <w:r w:rsidR="00555130" w:rsidRPr="008C148B">
        <w:rPr>
          <w:lang w:val="en-GB"/>
        </w:rPr>
        <w:t xml:space="preserve">he measure that has come to dominate perceptions of the nature and quality of secondary schooling is the proportion of the relevant cohorts that achieve </w:t>
      </w:r>
      <w:r w:rsidR="00CB1F5B" w:rsidRPr="008C148B">
        <w:rPr>
          <w:lang w:val="en-GB"/>
        </w:rPr>
        <w:t>five</w:t>
      </w:r>
      <w:r w:rsidR="00555130" w:rsidRPr="008C148B">
        <w:rPr>
          <w:lang w:val="en-GB"/>
        </w:rPr>
        <w:t xml:space="preserve"> or more </w:t>
      </w:r>
      <w:r w:rsidR="00F321E4">
        <w:rPr>
          <w:lang w:val="en-GB"/>
        </w:rPr>
        <w:t xml:space="preserve">‘good’ </w:t>
      </w:r>
      <w:r w:rsidR="00555130" w:rsidRPr="008C148B">
        <w:rPr>
          <w:lang w:val="en-GB"/>
        </w:rPr>
        <w:t xml:space="preserve">passes at GCSE. </w:t>
      </w:r>
      <w:r w:rsidR="00A824E2" w:rsidRPr="008C148B">
        <w:rPr>
          <w:lang w:val="en-GB"/>
        </w:rPr>
        <w:t xml:space="preserve"> </w:t>
      </w:r>
      <w:r w:rsidR="00555130" w:rsidRPr="008C148B">
        <w:rPr>
          <w:lang w:val="en-GB"/>
        </w:rPr>
        <w:t xml:space="preserve">This is sometimes referred to as the </w:t>
      </w:r>
      <w:r w:rsidR="00F321E4">
        <w:rPr>
          <w:lang w:val="en-GB"/>
        </w:rPr>
        <w:t>‘</w:t>
      </w:r>
      <w:r w:rsidR="00B74CEE" w:rsidRPr="008C148B">
        <w:rPr>
          <w:lang w:val="en-GB"/>
        </w:rPr>
        <w:t xml:space="preserve">Level 2 </w:t>
      </w:r>
      <w:r w:rsidR="00555130" w:rsidRPr="008C148B">
        <w:rPr>
          <w:lang w:val="en-GB"/>
        </w:rPr>
        <w:t xml:space="preserve">threshold’. </w:t>
      </w:r>
      <w:r w:rsidR="00A824E2" w:rsidRPr="008C148B">
        <w:rPr>
          <w:lang w:val="en-GB"/>
        </w:rPr>
        <w:t xml:space="preserve"> </w:t>
      </w:r>
      <w:r w:rsidR="00555130" w:rsidRPr="008C148B">
        <w:rPr>
          <w:lang w:val="en-GB"/>
        </w:rPr>
        <w:t>This measure was augm</w:t>
      </w:r>
      <w:r w:rsidR="00CB1F5B" w:rsidRPr="008C148B">
        <w:rPr>
          <w:lang w:val="en-GB"/>
        </w:rPr>
        <w:t>ented from 2006</w:t>
      </w:r>
      <w:r w:rsidR="00A1498A" w:rsidRPr="008C148B">
        <w:rPr>
          <w:lang w:val="en-GB"/>
        </w:rPr>
        <w:t xml:space="preserve"> </w:t>
      </w:r>
      <w:r w:rsidR="00555130" w:rsidRPr="008C148B">
        <w:rPr>
          <w:lang w:val="en-GB"/>
        </w:rPr>
        <w:t>to provide a second</w:t>
      </w:r>
      <w:r w:rsidR="00BC1924" w:rsidRPr="008C148B">
        <w:rPr>
          <w:lang w:val="en-GB"/>
        </w:rPr>
        <w:t>, more restricted</w:t>
      </w:r>
      <w:r w:rsidR="00555130" w:rsidRPr="008C148B">
        <w:rPr>
          <w:lang w:val="en-GB"/>
        </w:rPr>
        <w:t xml:space="preserve"> indicator, regarded by some as h</w:t>
      </w:r>
      <w:r w:rsidR="00F321E4">
        <w:rPr>
          <w:lang w:val="en-GB"/>
        </w:rPr>
        <w:t xml:space="preserve">aving greater validity, namely </w:t>
      </w:r>
      <w:r w:rsidR="00555130" w:rsidRPr="008C148B">
        <w:rPr>
          <w:lang w:val="en-GB"/>
        </w:rPr>
        <w:t>five</w:t>
      </w:r>
      <w:r w:rsidR="00F321E4">
        <w:rPr>
          <w:lang w:val="en-GB"/>
        </w:rPr>
        <w:t xml:space="preserve"> ‘good’</w:t>
      </w:r>
      <w:r w:rsidR="00555130" w:rsidRPr="008C148B">
        <w:rPr>
          <w:lang w:val="en-GB"/>
        </w:rPr>
        <w:t xml:space="preserve"> GCSEs </w:t>
      </w:r>
      <w:r w:rsidR="00555130" w:rsidRPr="008C148B">
        <w:rPr>
          <w:i/>
          <w:lang w:val="en-GB"/>
        </w:rPr>
        <w:t xml:space="preserve">including English and </w:t>
      </w:r>
      <w:r w:rsidRPr="008C148B">
        <w:rPr>
          <w:i/>
          <w:lang w:val="en-GB"/>
        </w:rPr>
        <w:t>Mathematic</w:t>
      </w:r>
      <w:r w:rsidR="00F321E4">
        <w:rPr>
          <w:i/>
          <w:lang w:val="en-GB"/>
        </w:rPr>
        <w:t>s</w:t>
      </w:r>
      <w:r w:rsidR="00F321E4">
        <w:rPr>
          <w:lang w:val="en-GB"/>
        </w:rPr>
        <w:t xml:space="preserve"> (sometimes called the ‘Level 2+ threshold’)</w:t>
      </w:r>
      <w:r w:rsidR="00555130" w:rsidRPr="008C148B">
        <w:rPr>
          <w:lang w:val="en-GB"/>
        </w:rPr>
        <w:t xml:space="preserve">. </w:t>
      </w:r>
      <w:r w:rsidR="00881CAF" w:rsidRPr="008C148B">
        <w:rPr>
          <w:lang w:val="en-GB"/>
        </w:rPr>
        <w:t xml:space="preserve"> </w:t>
      </w:r>
      <w:r w:rsidR="00253796" w:rsidRPr="008C148B">
        <w:rPr>
          <w:lang w:val="en-GB"/>
        </w:rPr>
        <w:t>G</w:t>
      </w:r>
      <w:r w:rsidR="00555130" w:rsidRPr="008C148B">
        <w:rPr>
          <w:lang w:val="en-GB"/>
        </w:rPr>
        <w:t xml:space="preserve">iven the history of </w:t>
      </w:r>
      <w:r w:rsidR="006A53F3" w:rsidRPr="008C148B">
        <w:rPr>
          <w:lang w:val="en-GB"/>
        </w:rPr>
        <w:t xml:space="preserve">these public examinations and their forerunners, </w:t>
      </w:r>
      <w:r w:rsidR="00555130" w:rsidRPr="008C148B">
        <w:rPr>
          <w:lang w:val="en-GB"/>
        </w:rPr>
        <w:t>the use of such figures as an indicator of the quality of what a school offers</w:t>
      </w:r>
      <w:r w:rsidR="007150D5" w:rsidRPr="008C148B">
        <w:rPr>
          <w:lang w:val="en-GB"/>
        </w:rPr>
        <w:t xml:space="preserve"> </w:t>
      </w:r>
      <w:r w:rsidR="0040253F" w:rsidRPr="008C148B">
        <w:rPr>
          <w:i/>
          <w:lang w:val="en-GB"/>
        </w:rPr>
        <w:t>all</w:t>
      </w:r>
      <w:r w:rsidR="007150D5" w:rsidRPr="008C148B">
        <w:rPr>
          <w:lang w:val="en-GB"/>
        </w:rPr>
        <w:t xml:space="preserve"> its learners is</w:t>
      </w:r>
      <w:r w:rsidR="00CE656F" w:rsidRPr="008C148B">
        <w:rPr>
          <w:lang w:val="en-GB"/>
        </w:rPr>
        <w:t>, at best, naive</w:t>
      </w:r>
      <w:r w:rsidR="007150D5" w:rsidRPr="008C148B">
        <w:rPr>
          <w:lang w:val="en-GB"/>
        </w:rPr>
        <w:t xml:space="preserve"> </w:t>
      </w:r>
      <w:r w:rsidR="00CE656F" w:rsidRPr="008C148B">
        <w:rPr>
          <w:lang w:val="en-GB"/>
        </w:rPr>
        <w:t>(</w:t>
      </w:r>
      <w:r w:rsidR="00555130" w:rsidRPr="008C148B">
        <w:rPr>
          <w:lang w:val="en-GB"/>
        </w:rPr>
        <w:t>for a good, evidence-based discussion of the development of these public examinations since the 1950s and of the remarkable changes over time in assumptions about the ability ranges they encomp</w:t>
      </w:r>
      <w:r w:rsidR="007150D5" w:rsidRPr="008C148B">
        <w:rPr>
          <w:lang w:val="en-GB"/>
        </w:rPr>
        <w:t>ass, see Torrance</w:t>
      </w:r>
      <w:r w:rsidR="00CE656F" w:rsidRPr="008C148B">
        <w:rPr>
          <w:lang w:val="en-GB"/>
        </w:rPr>
        <w:t xml:space="preserve">, </w:t>
      </w:r>
      <w:r w:rsidR="007150D5" w:rsidRPr="008C148B">
        <w:rPr>
          <w:lang w:val="en-GB"/>
        </w:rPr>
        <w:t>2009).</w:t>
      </w:r>
      <w:r w:rsidR="00555130" w:rsidRPr="008C148B">
        <w:rPr>
          <w:lang w:val="en-GB"/>
        </w:rPr>
        <w:t xml:space="preserve"> </w:t>
      </w:r>
      <w:r w:rsidR="007150D5" w:rsidRPr="008C148B">
        <w:rPr>
          <w:lang w:val="en-GB"/>
        </w:rPr>
        <w:t xml:space="preserve"> </w:t>
      </w:r>
      <w:r w:rsidR="00555130" w:rsidRPr="008C148B">
        <w:rPr>
          <w:lang w:val="en-GB"/>
        </w:rPr>
        <w:t>Nevertheless, the assumption is now widespread that this indicator provides</w:t>
      </w:r>
      <w:r w:rsidR="00AE4330">
        <w:rPr>
          <w:lang w:val="en-GB"/>
        </w:rPr>
        <w:t xml:space="preserve"> </w:t>
      </w:r>
      <w:r w:rsidR="00AE4330">
        <w:rPr>
          <w:i/>
          <w:lang w:val="en-GB"/>
        </w:rPr>
        <w:t xml:space="preserve">the </w:t>
      </w:r>
      <w:r w:rsidR="006A53F3" w:rsidRPr="008C148B">
        <w:rPr>
          <w:lang w:val="en-GB"/>
        </w:rPr>
        <w:t xml:space="preserve">benchmark </w:t>
      </w:r>
      <w:r w:rsidR="00555130" w:rsidRPr="008C148B">
        <w:rPr>
          <w:lang w:val="en-GB"/>
        </w:rPr>
        <w:t xml:space="preserve">for parents and others when comparing </w:t>
      </w:r>
      <w:r w:rsidR="00AE4330">
        <w:rPr>
          <w:lang w:val="en-GB"/>
        </w:rPr>
        <w:t xml:space="preserve">secondary </w:t>
      </w:r>
      <w:r w:rsidR="00555130" w:rsidRPr="008C148B">
        <w:rPr>
          <w:lang w:val="en-GB"/>
        </w:rPr>
        <w:t>schools</w:t>
      </w:r>
      <w:r w:rsidR="00CE656F" w:rsidRPr="008C148B">
        <w:rPr>
          <w:lang w:val="en-GB"/>
        </w:rPr>
        <w:t xml:space="preserve">, </w:t>
      </w:r>
      <w:r w:rsidR="00555130" w:rsidRPr="008C148B">
        <w:rPr>
          <w:lang w:val="en-GB"/>
        </w:rPr>
        <w:t>teachers</w:t>
      </w:r>
      <w:r w:rsidR="00CE656F" w:rsidRPr="008C148B">
        <w:rPr>
          <w:lang w:val="en-GB"/>
        </w:rPr>
        <w:t xml:space="preserve">, cohorts of pupils, and the leadership qualities of </w:t>
      </w:r>
      <w:r w:rsidR="00881CAF" w:rsidRPr="008C148B">
        <w:rPr>
          <w:lang w:val="en-GB"/>
        </w:rPr>
        <w:t>headteachers</w:t>
      </w:r>
      <w:r w:rsidR="00CE656F" w:rsidRPr="008C148B">
        <w:rPr>
          <w:lang w:val="en-GB"/>
        </w:rPr>
        <w:t>,</w:t>
      </w:r>
      <w:r w:rsidR="00555130" w:rsidRPr="008C148B">
        <w:rPr>
          <w:lang w:val="en-GB"/>
        </w:rPr>
        <w:t xml:space="preserve"> though some groups of </w:t>
      </w:r>
      <w:r w:rsidR="0037753A">
        <w:rPr>
          <w:lang w:val="en-GB"/>
        </w:rPr>
        <w:t xml:space="preserve">middle class </w:t>
      </w:r>
      <w:r w:rsidR="00555130" w:rsidRPr="008C148B">
        <w:rPr>
          <w:lang w:val="en-GB"/>
        </w:rPr>
        <w:t xml:space="preserve">parents do treat it as mythical and consciously </w:t>
      </w:r>
      <w:r w:rsidR="00DD1D68" w:rsidRPr="008C148B">
        <w:rPr>
          <w:lang w:val="en-GB"/>
        </w:rPr>
        <w:t>exclude it from</w:t>
      </w:r>
      <w:r w:rsidR="00555130" w:rsidRPr="008C148B">
        <w:rPr>
          <w:lang w:val="en-GB"/>
        </w:rPr>
        <w:t xml:space="preserve"> their choice-making (see </w:t>
      </w:r>
      <w:proofErr w:type="spellStart"/>
      <w:r w:rsidR="00555130" w:rsidRPr="008C148B">
        <w:rPr>
          <w:lang w:val="en-GB"/>
        </w:rPr>
        <w:t>Reay</w:t>
      </w:r>
      <w:proofErr w:type="spellEnd"/>
      <w:r w:rsidR="00555130" w:rsidRPr="008C148B">
        <w:rPr>
          <w:lang w:val="en-GB"/>
        </w:rPr>
        <w:t xml:space="preserve">, </w:t>
      </w:r>
      <w:proofErr w:type="spellStart"/>
      <w:r w:rsidR="00555130" w:rsidRPr="008C148B">
        <w:rPr>
          <w:lang w:val="en-GB"/>
        </w:rPr>
        <w:t>Crozier</w:t>
      </w:r>
      <w:proofErr w:type="spellEnd"/>
      <w:r w:rsidR="00555130" w:rsidRPr="008C148B">
        <w:rPr>
          <w:lang w:val="en-GB"/>
        </w:rPr>
        <w:t xml:space="preserve"> </w:t>
      </w:r>
      <w:r w:rsidR="00604AFA" w:rsidRPr="008C148B">
        <w:rPr>
          <w:lang w:val="en-GB"/>
        </w:rPr>
        <w:t>&amp;</w:t>
      </w:r>
      <w:r w:rsidR="00555130" w:rsidRPr="008C148B">
        <w:rPr>
          <w:lang w:val="en-GB"/>
        </w:rPr>
        <w:t xml:space="preserve"> James, 2011). </w:t>
      </w:r>
    </w:p>
    <w:p w:rsidR="00555130" w:rsidRPr="008C148B" w:rsidRDefault="00555130" w:rsidP="003E095A">
      <w:pPr>
        <w:pStyle w:val="Default"/>
        <w:spacing w:line="276" w:lineRule="auto"/>
        <w:rPr>
          <w:rFonts w:asciiTheme="minorHAnsi" w:hAnsiTheme="minorHAnsi"/>
          <w:color w:val="auto"/>
          <w:lang w:val="en-GB"/>
        </w:rPr>
      </w:pPr>
    </w:p>
    <w:p w:rsidR="00700399" w:rsidRPr="008C148B" w:rsidRDefault="00FE6C6F" w:rsidP="003E095A">
      <w:pPr>
        <w:pStyle w:val="Default"/>
        <w:spacing w:line="276" w:lineRule="auto"/>
        <w:rPr>
          <w:rFonts w:asciiTheme="minorHAnsi" w:hAnsiTheme="minorHAnsi"/>
          <w:color w:val="auto"/>
          <w:lang w:val="en-GB"/>
        </w:rPr>
      </w:pPr>
      <w:r>
        <w:rPr>
          <w:rFonts w:asciiTheme="minorHAnsi" w:hAnsiTheme="minorHAnsi"/>
          <w:color w:val="auto"/>
          <w:lang w:val="en-GB"/>
        </w:rPr>
        <w:t xml:space="preserve">The continuing dominance of this particular measure may be due to its </w:t>
      </w:r>
      <w:r w:rsidR="007828B4" w:rsidRPr="008C148B">
        <w:rPr>
          <w:rFonts w:asciiTheme="minorHAnsi" w:hAnsiTheme="minorHAnsi"/>
          <w:color w:val="auto"/>
          <w:lang w:val="en-GB"/>
        </w:rPr>
        <w:t>utility in managing school-</w:t>
      </w:r>
      <w:r w:rsidR="00B63890" w:rsidRPr="008C148B">
        <w:rPr>
          <w:rFonts w:asciiTheme="minorHAnsi" w:hAnsiTheme="minorHAnsi"/>
          <w:color w:val="auto"/>
          <w:lang w:val="en-GB"/>
        </w:rPr>
        <w:t>level (and to some extent, head</w:t>
      </w:r>
      <w:r w:rsidR="007828B4" w:rsidRPr="008C148B">
        <w:rPr>
          <w:rFonts w:asciiTheme="minorHAnsi" w:hAnsiTheme="minorHAnsi"/>
          <w:color w:val="auto"/>
          <w:lang w:val="en-GB"/>
        </w:rPr>
        <w:t>teacher</w:t>
      </w:r>
      <w:r w:rsidR="00B63890" w:rsidRPr="008C148B">
        <w:rPr>
          <w:rFonts w:asciiTheme="minorHAnsi" w:hAnsiTheme="minorHAnsi"/>
          <w:color w:val="auto"/>
          <w:lang w:val="en-GB"/>
        </w:rPr>
        <w:t>-</w:t>
      </w:r>
      <w:r w:rsidR="007828B4" w:rsidRPr="008C148B">
        <w:rPr>
          <w:rFonts w:asciiTheme="minorHAnsi" w:hAnsiTheme="minorHAnsi"/>
          <w:color w:val="auto"/>
          <w:lang w:val="en-GB"/>
        </w:rPr>
        <w:t xml:space="preserve"> and teacher-level) performance</w:t>
      </w:r>
      <w:r w:rsidR="00253796" w:rsidRPr="008C148B">
        <w:rPr>
          <w:rFonts w:asciiTheme="minorHAnsi" w:hAnsiTheme="minorHAnsi"/>
          <w:color w:val="auto"/>
          <w:lang w:val="en-GB"/>
        </w:rPr>
        <w:t xml:space="preserve"> and its role in contributing apparently solid data to official assessments of school quality</w:t>
      </w:r>
      <w:r w:rsidR="00F321E4">
        <w:rPr>
          <w:rFonts w:asciiTheme="minorHAnsi" w:hAnsiTheme="minorHAnsi"/>
          <w:color w:val="auto"/>
          <w:lang w:val="en-GB"/>
        </w:rPr>
        <w:t xml:space="preserve"> (West, 2010);</w:t>
      </w:r>
      <w:r w:rsidR="007828B4" w:rsidRPr="008C148B">
        <w:rPr>
          <w:rFonts w:asciiTheme="minorHAnsi" w:hAnsiTheme="minorHAnsi"/>
          <w:color w:val="auto"/>
          <w:lang w:val="en-GB"/>
        </w:rPr>
        <w:t xml:space="preserve"> however, </w:t>
      </w:r>
      <w:r w:rsidR="0019204C" w:rsidRPr="008C148B">
        <w:rPr>
          <w:rFonts w:asciiTheme="minorHAnsi" w:hAnsiTheme="minorHAnsi"/>
          <w:color w:val="auto"/>
          <w:lang w:val="en-GB"/>
        </w:rPr>
        <w:t xml:space="preserve">we should also note </w:t>
      </w:r>
      <w:r w:rsidR="007828B4" w:rsidRPr="008C148B">
        <w:rPr>
          <w:rFonts w:asciiTheme="minorHAnsi" w:hAnsiTheme="minorHAnsi"/>
          <w:color w:val="auto"/>
          <w:lang w:val="en-GB"/>
        </w:rPr>
        <w:t xml:space="preserve">its affinity with the </w:t>
      </w:r>
      <w:r w:rsidR="00555130" w:rsidRPr="008C148B">
        <w:rPr>
          <w:rFonts w:asciiTheme="minorHAnsi" w:hAnsiTheme="minorHAnsi"/>
          <w:color w:val="auto"/>
          <w:lang w:val="en-GB"/>
        </w:rPr>
        <w:t>promotion of quasi-markets and competition, and its apparent fit with certain economic models and human capital theory. In short, there is a widespread assumption that the indicator is a proxy for a major part of the skills supply in ‘UK plc</w:t>
      </w:r>
      <w:r w:rsidR="00700399" w:rsidRPr="008C148B">
        <w:rPr>
          <w:rFonts w:asciiTheme="minorHAnsi" w:hAnsiTheme="minorHAnsi"/>
          <w:color w:val="auto"/>
          <w:lang w:val="en-GB"/>
        </w:rPr>
        <w:t>’</w:t>
      </w:r>
      <w:r w:rsidR="00555130" w:rsidRPr="008C148B">
        <w:rPr>
          <w:rFonts w:asciiTheme="minorHAnsi" w:hAnsiTheme="minorHAnsi"/>
          <w:color w:val="auto"/>
          <w:lang w:val="en-GB"/>
        </w:rPr>
        <w:t xml:space="preserve">, and furthermore, that it is highly causal in the economic competitiveness or productivity of ‘UK plc’. </w:t>
      </w:r>
      <w:r w:rsidR="00987A28" w:rsidRPr="008C148B">
        <w:rPr>
          <w:rFonts w:asciiTheme="minorHAnsi" w:hAnsiTheme="minorHAnsi"/>
          <w:color w:val="auto"/>
          <w:lang w:val="en-GB"/>
        </w:rPr>
        <w:t>As S</w:t>
      </w:r>
      <w:r w:rsidR="00555130" w:rsidRPr="008C148B">
        <w:rPr>
          <w:rFonts w:asciiTheme="minorHAnsi" w:hAnsiTheme="minorHAnsi"/>
          <w:color w:val="auto"/>
          <w:lang w:val="en-GB"/>
        </w:rPr>
        <w:t>tephen Ball noted in 2008</w:t>
      </w:r>
      <w:r w:rsidR="00987A28" w:rsidRPr="008C148B">
        <w:rPr>
          <w:rFonts w:asciiTheme="minorHAnsi" w:hAnsiTheme="minorHAnsi"/>
          <w:color w:val="auto"/>
          <w:lang w:val="en-GB"/>
        </w:rPr>
        <w:t>:</w:t>
      </w:r>
    </w:p>
    <w:p w:rsidR="0090341B" w:rsidRPr="008C148B" w:rsidRDefault="00700399" w:rsidP="003E095A">
      <w:pPr>
        <w:pStyle w:val="Default"/>
        <w:spacing w:line="276" w:lineRule="auto"/>
        <w:ind w:left="720" w:hanging="720"/>
        <w:rPr>
          <w:rFonts w:asciiTheme="minorHAnsi" w:hAnsiTheme="minorHAnsi"/>
          <w:color w:val="auto"/>
          <w:lang w:val="en-GB"/>
        </w:rPr>
      </w:pPr>
      <w:r w:rsidRPr="008C148B">
        <w:rPr>
          <w:rFonts w:asciiTheme="minorHAnsi" w:hAnsiTheme="minorHAnsi"/>
          <w:color w:val="auto"/>
          <w:lang w:val="en-GB"/>
        </w:rPr>
        <w:tab/>
      </w:r>
    </w:p>
    <w:p w:rsidR="00700399" w:rsidRPr="008C148B" w:rsidRDefault="00081286" w:rsidP="003E095A">
      <w:pPr>
        <w:pStyle w:val="Default"/>
        <w:spacing w:line="276" w:lineRule="auto"/>
        <w:ind w:left="720"/>
        <w:rPr>
          <w:rFonts w:asciiTheme="minorHAnsi" w:hAnsiTheme="minorHAnsi"/>
          <w:color w:val="auto"/>
          <w:lang w:val="en-GB"/>
        </w:rPr>
      </w:pPr>
      <w:r w:rsidRPr="008C148B">
        <w:rPr>
          <w:rFonts w:asciiTheme="minorHAnsi" w:hAnsiTheme="minorHAnsi"/>
          <w:color w:val="auto"/>
          <w:lang w:val="en-GB"/>
        </w:rPr>
        <w:t>‘[T</w:t>
      </w:r>
      <w:r w:rsidR="00F321E4">
        <w:rPr>
          <w:rFonts w:asciiTheme="minorHAnsi" w:hAnsiTheme="minorHAnsi"/>
          <w:color w:val="auto"/>
          <w:lang w:val="en-GB"/>
        </w:rPr>
        <w:t>]</w:t>
      </w:r>
      <w:r w:rsidR="00700399" w:rsidRPr="008C148B">
        <w:rPr>
          <w:rFonts w:asciiTheme="minorHAnsi" w:hAnsiTheme="minorHAnsi"/>
          <w:color w:val="auto"/>
          <w:lang w:val="en-GB"/>
        </w:rPr>
        <w:t>he social and economic purposes of education have been collapsed into a single, overriding emphasis on policy making for economic competitiveness and an increasing neglect of sidelining (other than rhetoric) of the social purposes of education</w:t>
      </w:r>
      <w:r w:rsidR="00881CAF" w:rsidRPr="008C148B">
        <w:rPr>
          <w:rFonts w:asciiTheme="minorHAnsi" w:hAnsiTheme="minorHAnsi"/>
          <w:color w:val="auto"/>
          <w:lang w:val="en-GB"/>
        </w:rPr>
        <w:t>’</w:t>
      </w:r>
      <w:r w:rsidR="00700399" w:rsidRPr="008C148B">
        <w:rPr>
          <w:rFonts w:asciiTheme="minorHAnsi" w:hAnsiTheme="minorHAnsi"/>
          <w:color w:val="auto"/>
          <w:lang w:val="en-GB"/>
        </w:rPr>
        <w:t xml:space="preserve"> (Ball</w:t>
      </w:r>
      <w:r w:rsidR="00604AFA" w:rsidRPr="008C148B">
        <w:rPr>
          <w:rFonts w:asciiTheme="minorHAnsi" w:hAnsiTheme="minorHAnsi"/>
          <w:color w:val="auto"/>
          <w:lang w:val="en-GB"/>
        </w:rPr>
        <w:t>,</w:t>
      </w:r>
      <w:r w:rsidR="00700399" w:rsidRPr="008C148B">
        <w:rPr>
          <w:rFonts w:asciiTheme="minorHAnsi" w:hAnsiTheme="minorHAnsi"/>
          <w:color w:val="auto"/>
          <w:lang w:val="en-GB"/>
        </w:rPr>
        <w:t xml:space="preserve"> 2008, pp</w:t>
      </w:r>
      <w:r w:rsidR="00604AFA" w:rsidRPr="008C148B">
        <w:rPr>
          <w:rFonts w:asciiTheme="minorHAnsi" w:hAnsiTheme="minorHAnsi"/>
          <w:color w:val="auto"/>
          <w:lang w:val="en-GB"/>
        </w:rPr>
        <w:t>.</w:t>
      </w:r>
      <w:r w:rsidR="00700399" w:rsidRPr="008C148B">
        <w:rPr>
          <w:rFonts w:asciiTheme="minorHAnsi" w:hAnsiTheme="minorHAnsi"/>
          <w:color w:val="auto"/>
          <w:lang w:val="en-GB"/>
        </w:rPr>
        <w:t>11-12)</w:t>
      </w:r>
      <w:r w:rsidR="00881CAF" w:rsidRPr="008C148B">
        <w:rPr>
          <w:rFonts w:asciiTheme="minorHAnsi" w:hAnsiTheme="minorHAnsi"/>
          <w:color w:val="auto"/>
          <w:lang w:val="en-GB"/>
        </w:rPr>
        <w:t>.</w:t>
      </w:r>
    </w:p>
    <w:p w:rsidR="00700399" w:rsidRPr="008C148B" w:rsidRDefault="00700399" w:rsidP="003E095A">
      <w:pPr>
        <w:pStyle w:val="Default"/>
        <w:spacing w:line="276" w:lineRule="auto"/>
        <w:rPr>
          <w:rFonts w:asciiTheme="minorHAnsi" w:hAnsiTheme="minorHAnsi"/>
          <w:color w:val="auto"/>
          <w:lang w:val="en-GB"/>
        </w:rPr>
      </w:pPr>
    </w:p>
    <w:p w:rsidR="00664161" w:rsidRPr="008C148B" w:rsidRDefault="00555130" w:rsidP="003E095A">
      <w:pPr>
        <w:spacing w:line="276" w:lineRule="auto"/>
        <w:rPr>
          <w:lang w:val="en-GB"/>
        </w:rPr>
      </w:pPr>
      <w:r w:rsidRPr="008C148B">
        <w:rPr>
          <w:lang w:val="en-GB"/>
        </w:rPr>
        <w:t xml:space="preserve">This focus </w:t>
      </w:r>
      <w:r w:rsidR="00700399" w:rsidRPr="008C148B">
        <w:rPr>
          <w:lang w:val="en-GB"/>
        </w:rPr>
        <w:t>is perhaps most apparent in the 2006</w:t>
      </w:r>
      <w:r w:rsidRPr="008C148B">
        <w:rPr>
          <w:lang w:val="en-GB"/>
        </w:rPr>
        <w:t xml:space="preserve"> Leitch Review</w:t>
      </w:r>
      <w:r w:rsidR="008D51BA" w:rsidRPr="008C148B">
        <w:rPr>
          <w:lang w:val="en-GB"/>
        </w:rPr>
        <w:t xml:space="preserve">, which argued that </w:t>
      </w:r>
      <w:r w:rsidRPr="008C148B">
        <w:rPr>
          <w:lang w:val="en-GB"/>
        </w:rPr>
        <w:t xml:space="preserve">a step-change in skill development </w:t>
      </w:r>
      <w:r w:rsidR="008D51BA" w:rsidRPr="008C148B">
        <w:rPr>
          <w:lang w:val="en-GB"/>
        </w:rPr>
        <w:t xml:space="preserve">would </w:t>
      </w:r>
      <w:r w:rsidR="00700399" w:rsidRPr="008C148B">
        <w:rPr>
          <w:lang w:val="en-GB"/>
        </w:rPr>
        <w:t xml:space="preserve">bring about a reversal in the decline of the UK economy relative to other comparable economies </w:t>
      </w:r>
      <w:r w:rsidRPr="008C148B">
        <w:rPr>
          <w:lang w:val="en-GB"/>
        </w:rPr>
        <w:t xml:space="preserve">(Leitch, 2006). </w:t>
      </w:r>
      <w:r w:rsidR="0019204C" w:rsidRPr="008C148B">
        <w:rPr>
          <w:lang w:val="en-GB"/>
        </w:rPr>
        <w:t xml:space="preserve">Nevertheless, </w:t>
      </w:r>
      <w:r w:rsidR="008D51BA" w:rsidRPr="008C148B">
        <w:rPr>
          <w:lang w:val="en-GB"/>
        </w:rPr>
        <w:t xml:space="preserve">the idea that </w:t>
      </w:r>
      <w:r w:rsidRPr="008C148B">
        <w:rPr>
          <w:lang w:val="en-GB"/>
        </w:rPr>
        <w:t>the UK can regain ground in international competition by nurturing a ‘knowledge economy’</w:t>
      </w:r>
      <w:r w:rsidR="008D51BA" w:rsidRPr="008C148B">
        <w:rPr>
          <w:lang w:val="en-GB"/>
        </w:rPr>
        <w:t xml:space="preserve"> is </w:t>
      </w:r>
      <w:r w:rsidR="008D51BA" w:rsidRPr="008C148B">
        <w:rPr>
          <w:lang w:val="en-GB"/>
        </w:rPr>
        <w:lastRenderedPageBreak/>
        <w:t>highly questionable when knowledge-work itself is increasingly global</w:t>
      </w:r>
      <w:r w:rsidRPr="008C148B">
        <w:rPr>
          <w:lang w:val="en-GB"/>
        </w:rPr>
        <w:t xml:space="preserve"> (see for example Brown, Lauder </w:t>
      </w:r>
      <w:r w:rsidR="00604AFA" w:rsidRPr="008C148B">
        <w:rPr>
          <w:lang w:val="en-GB"/>
        </w:rPr>
        <w:t>&amp;</w:t>
      </w:r>
      <w:r w:rsidRPr="008C148B">
        <w:rPr>
          <w:lang w:val="en-GB"/>
        </w:rPr>
        <w:t xml:space="preserve"> Ashton, 2011). </w:t>
      </w:r>
      <w:r w:rsidR="00F10C28" w:rsidRPr="008C148B">
        <w:rPr>
          <w:lang w:val="en-GB"/>
        </w:rPr>
        <w:t xml:space="preserve">  </w:t>
      </w:r>
    </w:p>
    <w:p w:rsidR="00664161" w:rsidRPr="008C148B" w:rsidRDefault="00664161" w:rsidP="003E095A">
      <w:pPr>
        <w:spacing w:line="276" w:lineRule="auto"/>
        <w:rPr>
          <w:lang w:val="en-GB"/>
        </w:rPr>
      </w:pPr>
    </w:p>
    <w:p w:rsidR="00870A58" w:rsidRPr="008C148B" w:rsidRDefault="004E44F3" w:rsidP="003E095A">
      <w:pPr>
        <w:spacing w:line="276" w:lineRule="auto"/>
        <w:rPr>
          <w:lang w:val="en-GB"/>
        </w:rPr>
      </w:pPr>
      <w:r w:rsidRPr="008C148B">
        <w:rPr>
          <w:lang w:val="en-GB"/>
        </w:rPr>
        <w:t>A similar view of e</w:t>
      </w:r>
      <w:r w:rsidR="00673352" w:rsidRPr="008C148B">
        <w:rPr>
          <w:lang w:val="en-GB"/>
        </w:rPr>
        <w:t xml:space="preserve">ducation for economic competitiveness </w:t>
      </w:r>
      <w:r w:rsidRPr="008C148B">
        <w:rPr>
          <w:lang w:val="en-GB"/>
        </w:rPr>
        <w:t xml:space="preserve">also underpins dominant perception </w:t>
      </w:r>
      <w:r w:rsidR="00FE6C6F">
        <w:rPr>
          <w:lang w:val="en-GB"/>
        </w:rPr>
        <w:t>and usage</w:t>
      </w:r>
      <w:r w:rsidR="0037753A">
        <w:rPr>
          <w:lang w:val="en-GB"/>
        </w:rPr>
        <w:t xml:space="preserve"> </w:t>
      </w:r>
      <w:r w:rsidRPr="008C148B">
        <w:rPr>
          <w:lang w:val="en-GB"/>
        </w:rPr>
        <w:t xml:space="preserve">of the outcomes of cross-national studies of the achievements of pupils, such as the Programme for International Student Achievement (PISA), Trends in Mathematics and Science Study (TIMSS) and Progress in International Reading Literacy Study (PIRLS). </w:t>
      </w:r>
      <w:r w:rsidR="00881CAF" w:rsidRPr="008C148B">
        <w:rPr>
          <w:lang w:val="en-GB"/>
        </w:rPr>
        <w:t xml:space="preserve"> </w:t>
      </w:r>
      <w:r w:rsidRPr="008C148B">
        <w:rPr>
          <w:lang w:val="en-GB"/>
        </w:rPr>
        <w:t xml:space="preserve">The UK is </w:t>
      </w:r>
      <w:r w:rsidR="00664161" w:rsidRPr="008C148B">
        <w:rPr>
          <w:lang w:val="en-GB"/>
        </w:rPr>
        <w:t>generally portrayed by journalists and politicians as slipping</w:t>
      </w:r>
      <w:r w:rsidR="00987A28" w:rsidRPr="008C148B">
        <w:rPr>
          <w:lang w:val="en-GB"/>
        </w:rPr>
        <w:t xml:space="preserve"> downward</w:t>
      </w:r>
      <w:r w:rsidR="00664161" w:rsidRPr="008C148B">
        <w:rPr>
          <w:lang w:val="en-GB"/>
        </w:rPr>
        <w:t xml:space="preserve"> in comparison to OECD competitors</w:t>
      </w:r>
      <w:r w:rsidR="00AF549C">
        <w:rPr>
          <w:lang w:val="en-GB"/>
        </w:rPr>
        <w:t xml:space="preserve"> (e.g. Shepherd, 2010; Garner, 2013)</w:t>
      </w:r>
      <w:r w:rsidR="00CA6B34" w:rsidRPr="008C148B">
        <w:rPr>
          <w:lang w:val="en-GB"/>
        </w:rPr>
        <w:t xml:space="preserve">, with inevitable </w:t>
      </w:r>
      <w:r w:rsidR="00881CAF" w:rsidRPr="008C148B">
        <w:rPr>
          <w:lang w:val="en-GB"/>
        </w:rPr>
        <w:t>‘moral panics’</w:t>
      </w:r>
      <w:r w:rsidR="00E470ED" w:rsidRPr="008C148B">
        <w:rPr>
          <w:lang w:val="en-GB"/>
        </w:rPr>
        <w:t xml:space="preserve"> </w:t>
      </w:r>
      <w:r w:rsidR="009B18FC">
        <w:rPr>
          <w:lang w:val="en-GB"/>
        </w:rPr>
        <w:t xml:space="preserve">(Alexander, 2012) </w:t>
      </w:r>
      <w:r w:rsidR="00881CAF" w:rsidRPr="008C148B">
        <w:rPr>
          <w:lang w:val="en-GB"/>
        </w:rPr>
        <w:t>around</w:t>
      </w:r>
      <w:r w:rsidR="00E470ED" w:rsidRPr="008C148B">
        <w:rPr>
          <w:lang w:val="en-GB"/>
        </w:rPr>
        <w:t xml:space="preserve"> national economic decline.  The remedy for this is seen as school reform</w:t>
      </w:r>
      <w:r w:rsidR="002F433C" w:rsidRPr="008C148B">
        <w:rPr>
          <w:lang w:val="en-GB"/>
        </w:rPr>
        <w:t xml:space="preserve"> based on emulating </w:t>
      </w:r>
      <w:r w:rsidR="00881CAF" w:rsidRPr="008C148B">
        <w:rPr>
          <w:lang w:val="en-GB"/>
        </w:rPr>
        <w:t xml:space="preserve">isolated </w:t>
      </w:r>
      <w:r w:rsidR="002F433C" w:rsidRPr="008C148B">
        <w:rPr>
          <w:lang w:val="en-GB"/>
        </w:rPr>
        <w:t xml:space="preserve">aspects of </w:t>
      </w:r>
      <w:r w:rsidRPr="008C148B">
        <w:rPr>
          <w:lang w:val="en-GB"/>
        </w:rPr>
        <w:t>t</w:t>
      </w:r>
      <w:r w:rsidR="002F433C" w:rsidRPr="008C148B">
        <w:rPr>
          <w:lang w:val="en-GB"/>
        </w:rPr>
        <w:t xml:space="preserve">he </w:t>
      </w:r>
      <w:r w:rsidR="009B18FC">
        <w:rPr>
          <w:lang w:val="en-GB"/>
        </w:rPr>
        <w:t xml:space="preserve">national </w:t>
      </w:r>
      <w:r w:rsidR="002F433C" w:rsidRPr="008C148B">
        <w:rPr>
          <w:lang w:val="en-GB"/>
        </w:rPr>
        <w:t xml:space="preserve">educational systems in those </w:t>
      </w:r>
      <w:r w:rsidRPr="008C148B">
        <w:rPr>
          <w:lang w:val="en-GB"/>
        </w:rPr>
        <w:t xml:space="preserve">countries with higher scores, especially </w:t>
      </w:r>
      <w:r w:rsidR="00881CAF" w:rsidRPr="008C148B">
        <w:rPr>
          <w:lang w:val="en-GB"/>
        </w:rPr>
        <w:t xml:space="preserve">Finland and </w:t>
      </w:r>
      <w:r w:rsidRPr="008C148B">
        <w:rPr>
          <w:lang w:val="en-GB"/>
        </w:rPr>
        <w:t>East Asian nations</w:t>
      </w:r>
      <w:r w:rsidR="002F433C" w:rsidRPr="008C148B">
        <w:rPr>
          <w:lang w:val="en-GB"/>
        </w:rPr>
        <w:t xml:space="preserve">.  This ‘common sense’ reading is highly </w:t>
      </w:r>
      <w:r w:rsidR="0037753A">
        <w:rPr>
          <w:lang w:val="en-GB"/>
        </w:rPr>
        <w:t>problematic</w:t>
      </w:r>
      <w:r w:rsidR="002F433C" w:rsidRPr="008C148B">
        <w:rPr>
          <w:lang w:val="en-GB"/>
        </w:rPr>
        <w:t>: for example, research on math</w:t>
      </w:r>
      <w:r w:rsidR="00881CAF" w:rsidRPr="008C148B">
        <w:rPr>
          <w:lang w:val="en-GB"/>
        </w:rPr>
        <w:t>ematic</w:t>
      </w:r>
      <w:r w:rsidR="002F433C" w:rsidRPr="008C148B">
        <w:rPr>
          <w:lang w:val="en-GB"/>
        </w:rPr>
        <w:t xml:space="preserve">s scores strongly suggests that </w:t>
      </w:r>
      <w:r w:rsidR="0037753A">
        <w:rPr>
          <w:lang w:val="en-GB"/>
        </w:rPr>
        <w:t xml:space="preserve">recent </w:t>
      </w:r>
      <w:r w:rsidR="002F433C" w:rsidRPr="008C148B">
        <w:rPr>
          <w:lang w:val="en-GB"/>
        </w:rPr>
        <w:t xml:space="preserve">reforms of UK secondary education are a misplaced response </w:t>
      </w:r>
      <w:r w:rsidR="00384C23" w:rsidRPr="008C148B">
        <w:rPr>
          <w:lang w:val="en-GB"/>
        </w:rPr>
        <w:t xml:space="preserve">and that earlier intervention </w:t>
      </w:r>
      <w:r w:rsidR="00372356" w:rsidRPr="008C148B">
        <w:rPr>
          <w:lang w:val="en-GB"/>
        </w:rPr>
        <w:t xml:space="preserve">would be </w:t>
      </w:r>
      <w:r w:rsidR="00CE656F" w:rsidRPr="008C148B">
        <w:rPr>
          <w:lang w:val="en-GB"/>
        </w:rPr>
        <w:t xml:space="preserve">much </w:t>
      </w:r>
      <w:r w:rsidR="00372356" w:rsidRPr="008C148B">
        <w:rPr>
          <w:lang w:val="en-GB"/>
        </w:rPr>
        <w:t xml:space="preserve">more productive </w:t>
      </w:r>
      <w:r w:rsidR="00673352" w:rsidRPr="008C148B">
        <w:rPr>
          <w:lang w:val="en-GB"/>
        </w:rPr>
        <w:t>(</w:t>
      </w:r>
      <w:proofErr w:type="spellStart"/>
      <w:r w:rsidR="00673352" w:rsidRPr="008C148B">
        <w:rPr>
          <w:lang w:val="en-GB"/>
        </w:rPr>
        <w:t>Jerrim</w:t>
      </w:r>
      <w:proofErr w:type="spellEnd"/>
      <w:r w:rsidR="00673352" w:rsidRPr="008C148B">
        <w:rPr>
          <w:lang w:val="en-GB"/>
        </w:rPr>
        <w:t xml:space="preserve"> and </w:t>
      </w:r>
      <w:proofErr w:type="spellStart"/>
      <w:r w:rsidR="00673352" w:rsidRPr="008C148B">
        <w:rPr>
          <w:lang w:val="en-GB"/>
        </w:rPr>
        <w:t>Choi</w:t>
      </w:r>
      <w:proofErr w:type="spellEnd"/>
      <w:r w:rsidR="00673352" w:rsidRPr="008C148B">
        <w:rPr>
          <w:lang w:val="en-GB"/>
        </w:rPr>
        <w:t>, 2014)</w:t>
      </w:r>
      <w:r w:rsidR="00CE656F" w:rsidRPr="008C148B">
        <w:rPr>
          <w:lang w:val="en-GB"/>
        </w:rPr>
        <w:t xml:space="preserve">.  Such work adds to a </w:t>
      </w:r>
      <w:r w:rsidR="00E470ED" w:rsidRPr="008C148B">
        <w:rPr>
          <w:lang w:val="en-GB"/>
        </w:rPr>
        <w:t xml:space="preserve">growing list of evidence-based </w:t>
      </w:r>
      <w:r w:rsidR="00372356" w:rsidRPr="008C148B">
        <w:rPr>
          <w:lang w:val="en-GB"/>
        </w:rPr>
        <w:t xml:space="preserve">critique of </w:t>
      </w:r>
      <w:r w:rsidR="00384C23" w:rsidRPr="008C148B">
        <w:rPr>
          <w:lang w:val="en-GB"/>
        </w:rPr>
        <w:t>PISA</w:t>
      </w:r>
      <w:r w:rsidR="00F321E4">
        <w:rPr>
          <w:lang w:val="en-GB"/>
        </w:rPr>
        <w:t>/TIMSS/PIRLS</w:t>
      </w:r>
      <w:r w:rsidR="00CE656F" w:rsidRPr="008C148B">
        <w:rPr>
          <w:lang w:val="en-GB"/>
        </w:rPr>
        <w:t xml:space="preserve">, questioning their methods and showing that </w:t>
      </w:r>
      <w:r w:rsidR="00B7521D" w:rsidRPr="008C148B">
        <w:rPr>
          <w:lang w:val="en-GB"/>
        </w:rPr>
        <w:t xml:space="preserve">their apparent significance runs well ahead of what they can support with validity </w:t>
      </w:r>
      <w:r w:rsidR="00CA6B34" w:rsidRPr="008C148B">
        <w:rPr>
          <w:lang w:val="en-GB"/>
        </w:rPr>
        <w:t>(</w:t>
      </w:r>
      <w:r w:rsidR="00FE6C6F">
        <w:rPr>
          <w:lang w:val="en-GB"/>
        </w:rPr>
        <w:t xml:space="preserve">see for example </w:t>
      </w:r>
      <w:r w:rsidR="002E270C" w:rsidRPr="008C148B">
        <w:rPr>
          <w:lang w:val="en-GB"/>
        </w:rPr>
        <w:t>Goldstein, 2004</w:t>
      </w:r>
      <w:r w:rsidR="0024249E" w:rsidRPr="008C148B">
        <w:rPr>
          <w:lang w:val="en-GB"/>
        </w:rPr>
        <w:t xml:space="preserve">; </w:t>
      </w:r>
      <w:proofErr w:type="spellStart"/>
      <w:r w:rsidR="0024249E" w:rsidRPr="008C148B">
        <w:rPr>
          <w:lang w:val="en-GB"/>
        </w:rPr>
        <w:t>Jerrim</w:t>
      </w:r>
      <w:proofErr w:type="spellEnd"/>
      <w:r w:rsidR="00881CAF" w:rsidRPr="008C148B">
        <w:rPr>
          <w:lang w:val="en-GB"/>
        </w:rPr>
        <w:t>,</w:t>
      </w:r>
      <w:r w:rsidR="0024249E" w:rsidRPr="008C148B">
        <w:rPr>
          <w:lang w:val="en-GB"/>
        </w:rPr>
        <w:t xml:space="preserve"> 2011</w:t>
      </w:r>
      <w:r w:rsidR="00F3720A" w:rsidRPr="008C148B">
        <w:rPr>
          <w:lang w:val="en-GB"/>
        </w:rPr>
        <w:t>; and see TES, 2013</w:t>
      </w:r>
      <w:r w:rsidR="00384C23" w:rsidRPr="008C148B">
        <w:rPr>
          <w:lang w:val="en-GB"/>
        </w:rPr>
        <w:t>)</w:t>
      </w:r>
      <w:r w:rsidR="00881CAF" w:rsidRPr="008C148B">
        <w:rPr>
          <w:lang w:val="en-GB"/>
        </w:rPr>
        <w:t>.</w:t>
      </w:r>
      <w:r w:rsidR="00B3204A" w:rsidRPr="008C148B">
        <w:rPr>
          <w:lang w:val="en-GB"/>
        </w:rPr>
        <w:t xml:space="preserve">  </w:t>
      </w:r>
      <w:r w:rsidR="00870A58" w:rsidRPr="008C148B">
        <w:rPr>
          <w:lang w:val="en-GB"/>
        </w:rPr>
        <w:t xml:space="preserve">Indeed, </w:t>
      </w:r>
      <w:proofErr w:type="spellStart"/>
      <w:r w:rsidR="00870A58" w:rsidRPr="008C148B">
        <w:rPr>
          <w:lang w:val="en-GB"/>
        </w:rPr>
        <w:t>Sahlberg</w:t>
      </w:r>
      <w:proofErr w:type="spellEnd"/>
      <w:r w:rsidR="00870A58" w:rsidRPr="008C148B">
        <w:rPr>
          <w:lang w:val="en-GB"/>
        </w:rPr>
        <w:t xml:space="preserve"> argues that the root of Finnish educational success is that </w:t>
      </w:r>
    </w:p>
    <w:p w:rsidR="00870A58" w:rsidRPr="008C148B" w:rsidRDefault="00870A58" w:rsidP="003E095A">
      <w:pPr>
        <w:spacing w:line="276" w:lineRule="auto"/>
        <w:rPr>
          <w:lang w:val="en-GB"/>
        </w:rPr>
      </w:pPr>
    </w:p>
    <w:p w:rsidR="00870A58" w:rsidRPr="008C148B" w:rsidRDefault="000F72BF" w:rsidP="003E095A">
      <w:pPr>
        <w:widowControl w:val="0"/>
        <w:autoSpaceDE w:val="0"/>
        <w:autoSpaceDN w:val="0"/>
        <w:adjustRightInd w:val="0"/>
        <w:spacing w:line="276" w:lineRule="auto"/>
        <w:ind w:left="720"/>
        <w:rPr>
          <w:rFonts w:cs="Times New Roman"/>
          <w:szCs w:val="21"/>
          <w:lang w:val="en-GB"/>
        </w:rPr>
      </w:pPr>
      <w:r w:rsidRPr="008C148B">
        <w:rPr>
          <w:rFonts w:cs="Times New Roman"/>
          <w:szCs w:val="21"/>
          <w:lang w:val="en-GB"/>
        </w:rPr>
        <w:t>‘[e</w:t>
      </w:r>
      <w:r w:rsidR="00F321E4">
        <w:rPr>
          <w:rFonts w:cs="Times New Roman"/>
          <w:szCs w:val="21"/>
          <w:lang w:val="en-GB"/>
        </w:rPr>
        <w:t>]</w:t>
      </w:r>
      <w:proofErr w:type="spellStart"/>
      <w:r w:rsidR="00870A58" w:rsidRPr="008C148B">
        <w:rPr>
          <w:rFonts w:cs="Times New Roman"/>
          <w:szCs w:val="21"/>
          <w:lang w:val="en-GB"/>
        </w:rPr>
        <w:t>ducation</w:t>
      </w:r>
      <w:proofErr w:type="spellEnd"/>
      <w:r w:rsidR="00870A58" w:rsidRPr="008C148B">
        <w:rPr>
          <w:rFonts w:cs="Times New Roman"/>
          <w:szCs w:val="21"/>
          <w:lang w:val="en-GB"/>
        </w:rPr>
        <w:t xml:space="preserve"> policies to raise student achievement</w:t>
      </w:r>
      <w:r w:rsidR="00F321E4">
        <w:rPr>
          <w:rFonts w:cs="Times New Roman"/>
          <w:szCs w:val="21"/>
          <w:lang w:val="en-GB"/>
        </w:rPr>
        <w:t xml:space="preserve"> </w:t>
      </w:r>
      <w:r w:rsidR="0037753A">
        <w:rPr>
          <w:rFonts w:cs="Times New Roman"/>
          <w:szCs w:val="21"/>
          <w:lang w:val="en-GB"/>
        </w:rPr>
        <w:t>…</w:t>
      </w:r>
      <w:r w:rsidR="00F321E4">
        <w:rPr>
          <w:rFonts w:cs="Times New Roman"/>
          <w:szCs w:val="21"/>
          <w:lang w:val="en-GB"/>
        </w:rPr>
        <w:t xml:space="preserve"> </w:t>
      </w:r>
      <w:r w:rsidR="00870A58" w:rsidRPr="008C148B">
        <w:rPr>
          <w:rFonts w:cs="Times New Roman"/>
          <w:szCs w:val="21"/>
          <w:lang w:val="en-GB"/>
        </w:rPr>
        <w:t>put a strong accent on teaching and learning by encouraging schools to craft optimal learning environments and establish instructional content that would best help students to reach the general goals of schooling</w:t>
      </w:r>
      <w:r w:rsidRPr="008C148B">
        <w:rPr>
          <w:rFonts w:cs="Times New Roman"/>
          <w:szCs w:val="21"/>
          <w:lang w:val="en-GB"/>
        </w:rPr>
        <w:t>’</w:t>
      </w:r>
      <w:r w:rsidR="00870A58" w:rsidRPr="008C148B">
        <w:rPr>
          <w:rFonts w:cs="Times New Roman"/>
          <w:szCs w:val="21"/>
          <w:lang w:val="en-GB"/>
        </w:rPr>
        <w:t xml:space="preserve"> (2007, p. 167).</w:t>
      </w:r>
    </w:p>
    <w:p w:rsidR="00870A58" w:rsidRPr="008C148B" w:rsidRDefault="00870A58" w:rsidP="003E095A">
      <w:pPr>
        <w:widowControl w:val="0"/>
        <w:autoSpaceDE w:val="0"/>
        <w:autoSpaceDN w:val="0"/>
        <w:adjustRightInd w:val="0"/>
        <w:spacing w:line="276" w:lineRule="auto"/>
        <w:ind w:left="720"/>
        <w:rPr>
          <w:rFonts w:cs="Times New Roman"/>
          <w:szCs w:val="21"/>
          <w:lang w:val="en-GB"/>
        </w:rPr>
      </w:pPr>
    </w:p>
    <w:p w:rsidR="007D350A" w:rsidRDefault="00870A58" w:rsidP="003E095A">
      <w:pPr>
        <w:widowControl w:val="0"/>
        <w:autoSpaceDE w:val="0"/>
        <w:autoSpaceDN w:val="0"/>
        <w:adjustRightInd w:val="0"/>
        <w:spacing w:line="276" w:lineRule="auto"/>
        <w:rPr>
          <w:rFonts w:cs="Times New Roman"/>
          <w:szCs w:val="21"/>
          <w:lang w:val="en-GB"/>
        </w:rPr>
      </w:pPr>
      <w:r w:rsidRPr="008C148B">
        <w:rPr>
          <w:rFonts w:cs="Times New Roman"/>
          <w:szCs w:val="21"/>
          <w:lang w:val="en-GB"/>
        </w:rPr>
        <w:t>Such ‘optimal learning environments’, he argues, eschew high-stakes testing</w:t>
      </w:r>
      <w:r w:rsidR="003207F7">
        <w:rPr>
          <w:rFonts w:cs="Times New Roman"/>
          <w:szCs w:val="21"/>
          <w:lang w:val="en-GB"/>
        </w:rPr>
        <w:t xml:space="preserve"> whilst</w:t>
      </w:r>
      <w:r w:rsidRPr="008C148B">
        <w:rPr>
          <w:rFonts w:cs="Times New Roman"/>
          <w:szCs w:val="21"/>
          <w:lang w:val="en-GB"/>
        </w:rPr>
        <w:t xml:space="preserve"> </w:t>
      </w:r>
      <w:r w:rsidR="00B3204A" w:rsidRPr="008C148B">
        <w:rPr>
          <w:rFonts w:cs="Times New Roman"/>
          <w:szCs w:val="21"/>
          <w:lang w:val="en-GB"/>
        </w:rPr>
        <w:t xml:space="preserve">integrating learners’ interests into school life and </w:t>
      </w:r>
      <w:r w:rsidRPr="008C148B">
        <w:rPr>
          <w:rFonts w:cs="Times New Roman"/>
          <w:szCs w:val="21"/>
          <w:lang w:val="en-GB"/>
        </w:rPr>
        <w:t xml:space="preserve">promoting </w:t>
      </w:r>
      <w:r w:rsidR="00B3204A" w:rsidRPr="008C148B">
        <w:rPr>
          <w:rFonts w:cs="Times New Roman"/>
          <w:szCs w:val="21"/>
          <w:lang w:val="en-GB"/>
        </w:rPr>
        <w:t>bottom-up developments and inter</w:t>
      </w:r>
      <w:r w:rsidR="000F72BF" w:rsidRPr="008C148B">
        <w:rPr>
          <w:rFonts w:cs="Times New Roman"/>
          <w:szCs w:val="21"/>
          <w:lang w:val="en-GB"/>
        </w:rPr>
        <w:t>school collaboration</w:t>
      </w:r>
      <w:r w:rsidR="00B3204A" w:rsidRPr="008C148B">
        <w:rPr>
          <w:rFonts w:cs="Times New Roman"/>
          <w:szCs w:val="21"/>
          <w:lang w:val="en-GB"/>
        </w:rPr>
        <w:t>s</w:t>
      </w:r>
      <w:r w:rsidRPr="008C148B">
        <w:rPr>
          <w:rFonts w:cs="Times New Roman"/>
          <w:szCs w:val="21"/>
          <w:lang w:val="en-GB"/>
        </w:rPr>
        <w:t xml:space="preserve">.  Furthermore, he extols the virtues of a wider conceptualisation of the aims of schooling in terms of the happiness of learners </w:t>
      </w:r>
      <w:r w:rsidR="0078672F">
        <w:rPr>
          <w:rFonts w:cs="Times New Roman"/>
          <w:szCs w:val="21"/>
          <w:lang w:val="en-GB"/>
        </w:rPr>
        <w:t>and</w:t>
      </w:r>
      <w:r w:rsidRPr="008C148B">
        <w:rPr>
          <w:rFonts w:cs="Times New Roman"/>
          <w:szCs w:val="21"/>
          <w:lang w:val="en-GB"/>
        </w:rPr>
        <w:t xml:space="preserve"> </w:t>
      </w:r>
      <w:r w:rsidR="000F72BF" w:rsidRPr="008C148B">
        <w:rPr>
          <w:rFonts w:cs="Times New Roman"/>
          <w:szCs w:val="21"/>
          <w:lang w:val="en-GB"/>
        </w:rPr>
        <w:t>the skills and orientations that they develop.</w:t>
      </w:r>
      <w:r w:rsidR="002C2A3C" w:rsidRPr="008C148B">
        <w:rPr>
          <w:rFonts w:cs="Times New Roman"/>
          <w:szCs w:val="21"/>
          <w:lang w:val="en-GB"/>
        </w:rPr>
        <w:t xml:space="preserve">  </w:t>
      </w:r>
      <w:r w:rsidR="007D350A">
        <w:rPr>
          <w:rFonts w:cs="Times New Roman"/>
          <w:szCs w:val="21"/>
          <w:lang w:val="en-GB"/>
        </w:rPr>
        <w:t>In his critical reflections on policy responses to PISA data, Elliot (2014) argues that it is culturally-grounded differences in academic engagement and motivation that explain international rankings, rather than national education systems</w:t>
      </w:r>
      <w:r w:rsidR="00AC79FC">
        <w:rPr>
          <w:rFonts w:cs="Times New Roman"/>
          <w:szCs w:val="21"/>
          <w:lang w:val="en-GB"/>
        </w:rPr>
        <w:t>; t</w:t>
      </w:r>
      <w:r w:rsidR="007D350A">
        <w:rPr>
          <w:rFonts w:cs="Times New Roman"/>
          <w:szCs w:val="21"/>
          <w:lang w:val="en-GB"/>
        </w:rPr>
        <w:t xml:space="preserve">his is supported by </w:t>
      </w:r>
      <w:proofErr w:type="spellStart"/>
      <w:r w:rsidR="007D350A">
        <w:rPr>
          <w:rFonts w:cs="Times New Roman"/>
          <w:szCs w:val="21"/>
          <w:lang w:val="en-GB"/>
        </w:rPr>
        <w:t>Feniger</w:t>
      </w:r>
      <w:proofErr w:type="spellEnd"/>
      <w:r w:rsidR="007D350A">
        <w:rPr>
          <w:rFonts w:cs="Times New Roman"/>
          <w:szCs w:val="21"/>
          <w:lang w:val="en-GB"/>
        </w:rPr>
        <w:t xml:space="preserve"> &amp; </w:t>
      </w:r>
      <w:proofErr w:type="spellStart"/>
      <w:r w:rsidR="007D350A">
        <w:rPr>
          <w:rFonts w:cs="Times New Roman"/>
          <w:szCs w:val="21"/>
          <w:lang w:val="en-GB"/>
        </w:rPr>
        <w:t>Lefstein’s</w:t>
      </w:r>
      <w:proofErr w:type="spellEnd"/>
      <w:r w:rsidR="007D350A">
        <w:rPr>
          <w:rFonts w:cs="Times New Roman"/>
          <w:szCs w:val="21"/>
          <w:lang w:val="en-GB"/>
        </w:rPr>
        <w:t xml:space="preserve"> (in press) analysis of migrants</w:t>
      </w:r>
      <w:r w:rsidR="0078672F">
        <w:rPr>
          <w:rFonts w:cs="Times New Roman"/>
          <w:szCs w:val="21"/>
          <w:lang w:val="en-GB"/>
        </w:rPr>
        <w:t xml:space="preserve"> between national systems</w:t>
      </w:r>
      <w:r w:rsidR="00AC79FC">
        <w:rPr>
          <w:rFonts w:cs="Times New Roman"/>
          <w:szCs w:val="21"/>
          <w:lang w:val="en-GB"/>
        </w:rPr>
        <w:t>.  More generally,</w:t>
      </w:r>
      <w:r w:rsidR="0078672F">
        <w:rPr>
          <w:rFonts w:cs="Times New Roman"/>
          <w:szCs w:val="21"/>
          <w:lang w:val="en-GB"/>
        </w:rPr>
        <w:t xml:space="preserve"> Griffiths (2012) argues for an important role </w:t>
      </w:r>
      <w:r w:rsidR="00AC79FC">
        <w:rPr>
          <w:rFonts w:cs="Times New Roman"/>
          <w:szCs w:val="21"/>
          <w:lang w:val="en-GB"/>
        </w:rPr>
        <w:t>for</w:t>
      </w:r>
      <w:r w:rsidR="0078672F">
        <w:rPr>
          <w:rFonts w:cs="Times New Roman"/>
          <w:szCs w:val="21"/>
          <w:lang w:val="en-GB"/>
        </w:rPr>
        <w:t xml:space="preserve"> joy</w:t>
      </w:r>
      <w:r w:rsidR="00AC79FC">
        <w:rPr>
          <w:rFonts w:cs="Times New Roman"/>
          <w:szCs w:val="21"/>
          <w:lang w:val="en-GB"/>
        </w:rPr>
        <w:t xml:space="preserve"> and discovery</w:t>
      </w:r>
      <w:r w:rsidR="0078672F">
        <w:rPr>
          <w:rFonts w:cs="Times New Roman"/>
          <w:szCs w:val="21"/>
          <w:lang w:val="en-GB"/>
        </w:rPr>
        <w:t xml:space="preserve"> within education</w:t>
      </w:r>
      <w:r w:rsidR="00AC79FC">
        <w:rPr>
          <w:rFonts w:cs="Times New Roman"/>
          <w:szCs w:val="21"/>
          <w:lang w:val="en-GB"/>
        </w:rPr>
        <w:t>, which may be compromised by high-stakes testing and concomitant anxiety.</w:t>
      </w:r>
    </w:p>
    <w:p w:rsidR="007D350A" w:rsidRDefault="007D350A" w:rsidP="003E095A">
      <w:pPr>
        <w:widowControl w:val="0"/>
        <w:autoSpaceDE w:val="0"/>
        <w:autoSpaceDN w:val="0"/>
        <w:adjustRightInd w:val="0"/>
        <w:spacing w:line="276" w:lineRule="auto"/>
        <w:rPr>
          <w:rFonts w:cs="Times New Roman"/>
          <w:szCs w:val="21"/>
          <w:lang w:val="en-GB"/>
        </w:rPr>
      </w:pPr>
    </w:p>
    <w:p w:rsidR="00870A58" w:rsidRDefault="00BC3FF4" w:rsidP="003E095A">
      <w:pPr>
        <w:widowControl w:val="0"/>
        <w:autoSpaceDE w:val="0"/>
        <w:autoSpaceDN w:val="0"/>
        <w:adjustRightInd w:val="0"/>
        <w:spacing w:line="276" w:lineRule="auto"/>
        <w:rPr>
          <w:rFonts w:cs="Times New Roman"/>
          <w:szCs w:val="21"/>
          <w:lang w:val="en-GB"/>
        </w:rPr>
      </w:pPr>
      <w:r>
        <w:rPr>
          <w:rFonts w:cs="Times New Roman"/>
          <w:szCs w:val="21"/>
          <w:lang w:val="en-GB"/>
        </w:rPr>
        <w:t>These analyses are</w:t>
      </w:r>
      <w:r w:rsidR="002C2A3C" w:rsidRPr="008C148B">
        <w:rPr>
          <w:rFonts w:cs="Times New Roman"/>
          <w:szCs w:val="21"/>
          <w:lang w:val="en-GB"/>
        </w:rPr>
        <w:t xml:space="preserve"> clearly at odds with </w:t>
      </w:r>
      <w:r w:rsidR="00B3204A" w:rsidRPr="008C148B">
        <w:rPr>
          <w:rFonts w:cs="Times New Roman"/>
          <w:szCs w:val="21"/>
          <w:lang w:val="en-GB"/>
        </w:rPr>
        <w:t>the dominant policy discourse in the UK, with its f</w:t>
      </w:r>
      <w:r w:rsidR="00C336E7" w:rsidRPr="008C148B">
        <w:rPr>
          <w:rFonts w:cs="Times New Roman"/>
          <w:szCs w:val="21"/>
          <w:lang w:val="en-GB"/>
        </w:rPr>
        <w:t xml:space="preserve">ocus on </w:t>
      </w:r>
      <w:r w:rsidR="0078672F">
        <w:rPr>
          <w:rFonts w:cs="Times New Roman"/>
          <w:szCs w:val="21"/>
          <w:lang w:val="en-GB"/>
        </w:rPr>
        <w:t xml:space="preserve">standards-driven testing, </w:t>
      </w:r>
      <w:r w:rsidR="00C336E7" w:rsidRPr="008C148B">
        <w:rPr>
          <w:rFonts w:cs="Times New Roman"/>
          <w:szCs w:val="21"/>
          <w:lang w:val="en-GB"/>
        </w:rPr>
        <w:t>interschool competition and</w:t>
      </w:r>
      <w:r w:rsidR="00B3204A" w:rsidRPr="008C148B">
        <w:rPr>
          <w:rFonts w:cs="Times New Roman"/>
          <w:szCs w:val="21"/>
          <w:lang w:val="en-GB"/>
        </w:rPr>
        <w:t xml:space="preserve"> </w:t>
      </w:r>
      <w:r w:rsidR="0078672F">
        <w:rPr>
          <w:rFonts w:cs="Times New Roman"/>
          <w:szCs w:val="21"/>
          <w:lang w:val="en-GB"/>
        </w:rPr>
        <w:t xml:space="preserve">a </w:t>
      </w:r>
      <w:r w:rsidR="00B3204A" w:rsidRPr="008C148B">
        <w:rPr>
          <w:rFonts w:cs="Times New Roman"/>
          <w:szCs w:val="21"/>
          <w:lang w:val="en-GB"/>
        </w:rPr>
        <w:t>top-down</w:t>
      </w:r>
      <w:r w:rsidR="0078672F">
        <w:rPr>
          <w:rFonts w:cs="Times New Roman"/>
          <w:szCs w:val="21"/>
          <w:lang w:val="en-GB"/>
        </w:rPr>
        <w:t>,</w:t>
      </w:r>
      <w:r w:rsidR="00B3204A" w:rsidRPr="008C148B">
        <w:rPr>
          <w:rFonts w:cs="Times New Roman"/>
          <w:szCs w:val="21"/>
          <w:lang w:val="en-GB"/>
        </w:rPr>
        <w:t xml:space="preserve"> </w:t>
      </w:r>
      <w:r w:rsidR="0078672F">
        <w:rPr>
          <w:rFonts w:cs="Times New Roman"/>
          <w:szCs w:val="21"/>
          <w:lang w:val="en-GB"/>
        </w:rPr>
        <w:t>highly-</w:t>
      </w:r>
      <w:r w:rsidR="00B3204A" w:rsidRPr="008C148B">
        <w:rPr>
          <w:rFonts w:cs="Times New Roman"/>
          <w:szCs w:val="21"/>
          <w:lang w:val="en-GB"/>
        </w:rPr>
        <w:t>regulat</w:t>
      </w:r>
      <w:r w:rsidR="00C336E7" w:rsidRPr="008C148B">
        <w:rPr>
          <w:rFonts w:cs="Times New Roman"/>
          <w:szCs w:val="21"/>
          <w:lang w:val="en-GB"/>
        </w:rPr>
        <w:t>ed</w:t>
      </w:r>
      <w:r w:rsidR="00B3204A" w:rsidRPr="008C148B">
        <w:rPr>
          <w:rFonts w:cs="Times New Roman"/>
          <w:szCs w:val="21"/>
          <w:lang w:val="en-GB"/>
        </w:rPr>
        <w:t xml:space="preserve"> curriculum.  </w:t>
      </w:r>
      <w:r w:rsidR="00FC0795" w:rsidRPr="008C148B">
        <w:rPr>
          <w:rFonts w:cs="Times New Roman"/>
          <w:szCs w:val="21"/>
          <w:lang w:val="en-GB"/>
        </w:rPr>
        <w:t xml:space="preserve">Lupton and </w:t>
      </w:r>
      <w:proofErr w:type="spellStart"/>
      <w:r w:rsidR="00FC0795" w:rsidRPr="008C148B">
        <w:rPr>
          <w:rFonts w:cs="Times New Roman"/>
          <w:szCs w:val="21"/>
          <w:lang w:val="en-GB"/>
        </w:rPr>
        <w:t>Hempel</w:t>
      </w:r>
      <w:proofErr w:type="spellEnd"/>
      <w:r w:rsidR="00FC0795" w:rsidRPr="008C148B">
        <w:rPr>
          <w:rFonts w:cs="Times New Roman"/>
          <w:szCs w:val="21"/>
          <w:lang w:val="en-GB"/>
        </w:rPr>
        <w:t xml:space="preserve">-Jorgensen (2012) argue that this </w:t>
      </w:r>
      <w:r w:rsidR="00FE6C6F">
        <w:rPr>
          <w:rFonts w:cs="Times New Roman"/>
          <w:szCs w:val="21"/>
          <w:lang w:val="en-GB"/>
        </w:rPr>
        <w:t xml:space="preserve">policy </w:t>
      </w:r>
      <w:r w:rsidR="00FC0795" w:rsidRPr="008C148B">
        <w:rPr>
          <w:rFonts w:cs="Times New Roman"/>
          <w:szCs w:val="21"/>
          <w:lang w:val="en-GB"/>
        </w:rPr>
        <w:t xml:space="preserve">is particularly problematic for schools serving </w:t>
      </w:r>
      <w:r w:rsidR="00C336E7" w:rsidRPr="008C148B">
        <w:rPr>
          <w:rFonts w:cs="Times New Roman"/>
          <w:szCs w:val="21"/>
          <w:lang w:val="en-GB"/>
        </w:rPr>
        <w:t>deprived</w:t>
      </w:r>
      <w:r w:rsidR="00FC0795" w:rsidRPr="008C148B">
        <w:rPr>
          <w:rFonts w:cs="Times New Roman"/>
          <w:szCs w:val="21"/>
          <w:lang w:val="en-GB"/>
        </w:rPr>
        <w:t xml:space="preserve"> areas, where the additional challenges (and concomitant costs) lead schools to default to ‘safe’ forms of pedagogy </w:t>
      </w:r>
      <w:r w:rsidR="00C336E7" w:rsidRPr="008C148B">
        <w:rPr>
          <w:rFonts w:cs="Times New Roman"/>
          <w:szCs w:val="21"/>
          <w:lang w:val="en-GB"/>
        </w:rPr>
        <w:t xml:space="preserve">and a strongly framed curriculum </w:t>
      </w:r>
      <w:r w:rsidR="00FC0795" w:rsidRPr="008C148B">
        <w:rPr>
          <w:rFonts w:cs="Times New Roman"/>
          <w:szCs w:val="21"/>
          <w:lang w:val="en-GB"/>
        </w:rPr>
        <w:t xml:space="preserve">rather than </w:t>
      </w:r>
      <w:r w:rsidR="00C336E7" w:rsidRPr="008C148B">
        <w:rPr>
          <w:rFonts w:cs="Times New Roman"/>
          <w:szCs w:val="21"/>
          <w:lang w:val="en-GB"/>
        </w:rPr>
        <w:t>more</w:t>
      </w:r>
      <w:r w:rsidR="00FC0795" w:rsidRPr="008C148B">
        <w:rPr>
          <w:rFonts w:cs="Times New Roman"/>
          <w:szCs w:val="21"/>
          <w:lang w:val="en-GB"/>
        </w:rPr>
        <w:t xml:space="preserve"> creative </w:t>
      </w:r>
      <w:r w:rsidR="00C336E7" w:rsidRPr="008C148B">
        <w:rPr>
          <w:rFonts w:cs="Times New Roman"/>
          <w:szCs w:val="21"/>
          <w:lang w:val="en-GB"/>
        </w:rPr>
        <w:t xml:space="preserve">and respectful </w:t>
      </w:r>
      <w:r w:rsidR="00FC0795" w:rsidRPr="008C148B">
        <w:rPr>
          <w:rFonts w:cs="Times New Roman"/>
          <w:szCs w:val="21"/>
          <w:lang w:val="en-GB"/>
        </w:rPr>
        <w:t>a</w:t>
      </w:r>
      <w:r w:rsidR="00C336E7" w:rsidRPr="008C148B">
        <w:rPr>
          <w:rFonts w:cs="Times New Roman"/>
          <w:szCs w:val="21"/>
          <w:lang w:val="en-GB"/>
        </w:rPr>
        <w:t xml:space="preserve">pproaches that </w:t>
      </w:r>
      <w:r w:rsidR="00C336E7" w:rsidRPr="008C148B">
        <w:rPr>
          <w:rFonts w:cs="Times New Roman"/>
          <w:szCs w:val="21"/>
          <w:lang w:val="en-GB"/>
        </w:rPr>
        <w:lastRenderedPageBreak/>
        <w:t>would benefit disadvantaged learners</w:t>
      </w:r>
      <w:r w:rsidR="00FC0795" w:rsidRPr="008C148B">
        <w:rPr>
          <w:rFonts w:cs="Times New Roman"/>
          <w:szCs w:val="21"/>
          <w:lang w:val="en-GB"/>
        </w:rPr>
        <w:t>.</w:t>
      </w:r>
      <w:r w:rsidR="007A2799">
        <w:rPr>
          <w:rFonts w:cs="Times New Roman"/>
          <w:szCs w:val="21"/>
          <w:lang w:val="en-GB"/>
        </w:rPr>
        <w:t xml:space="preserve">  Indeed, </w:t>
      </w:r>
      <w:r w:rsidR="00083634">
        <w:rPr>
          <w:rFonts w:cs="Times New Roman"/>
          <w:szCs w:val="21"/>
          <w:lang w:val="en-GB"/>
        </w:rPr>
        <w:t xml:space="preserve">a </w:t>
      </w:r>
      <w:r>
        <w:rPr>
          <w:rFonts w:cs="Times New Roman"/>
          <w:szCs w:val="21"/>
          <w:lang w:val="en-GB"/>
        </w:rPr>
        <w:t xml:space="preserve">recent </w:t>
      </w:r>
      <w:r w:rsidR="00083634">
        <w:rPr>
          <w:rFonts w:cs="Times New Roman"/>
          <w:szCs w:val="21"/>
          <w:lang w:val="en-GB"/>
        </w:rPr>
        <w:t>parliamentary report concluded</w:t>
      </w:r>
      <w:r w:rsidR="007A2799">
        <w:rPr>
          <w:rFonts w:cs="Times New Roman"/>
          <w:szCs w:val="21"/>
          <w:lang w:val="en-GB"/>
        </w:rPr>
        <w:t xml:space="preserve"> that ‘[a] variety of classroom practices aimed at improving test results has distorted the education of some children which may leave them unprepared for higher education and employment’ (UK Parliament, 2008).</w:t>
      </w:r>
      <w:r w:rsidR="007B7207">
        <w:rPr>
          <w:rFonts w:cs="Times New Roman"/>
          <w:szCs w:val="21"/>
          <w:lang w:val="en-GB"/>
        </w:rPr>
        <w:t xml:space="preserve">  West (2010) reports that English children have some of the lowest levels of school engagement and happiness.</w:t>
      </w:r>
    </w:p>
    <w:p w:rsidR="0078672F" w:rsidRDefault="0078672F" w:rsidP="003E095A">
      <w:pPr>
        <w:widowControl w:val="0"/>
        <w:autoSpaceDE w:val="0"/>
        <w:autoSpaceDN w:val="0"/>
        <w:adjustRightInd w:val="0"/>
        <w:spacing w:line="276" w:lineRule="auto"/>
        <w:rPr>
          <w:rFonts w:cs="Times New Roman"/>
          <w:szCs w:val="21"/>
          <w:lang w:val="en-GB"/>
        </w:rPr>
      </w:pPr>
    </w:p>
    <w:p w:rsidR="0078672F" w:rsidRDefault="0078672F" w:rsidP="003E095A">
      <w:pPr>
        <w:widowControl w:val="0"/>
        <w:autoSpaceDE w:val="0"/>
        <w:autoSpaceDN w:val="0"/>
        <w:adjustRightInd w:val="0"/>
        <w:spacing w:line="276" w:lineRule="auto"/>
        <w:rPr>
          <w:rFonts w:cs="Times New Roman"/>
          <w:szCs w:val="21"/>
          <w:lang w:val="en-GB"/>
        </w:rPr>
      </w:pPr>
    </w:p>
    <w:p w:rsidR="007C6B78" w:rsidRPr="008C148B" w:rsidRDefault="00D66B7D" w:rsidP="003E095A">
      <w:pPr>
        <w:spacing w:line="276" w:lineRule="auto"/>
        <w:rPr>
          <w:i/>
          <w:lang w:val="en-GB"/>
        </w:rPr>
      </w:pPr>
      <w:r>
        <w:rPr>
          <w:i/>
          <w:lang w:val="en-GB"/>
        </w:rPr>
        <w:t xml:space="preserve">3.2 </w:t>
      </w:r>
      <w:r w:rsidR="007C6B78" w:rsidRPr="008C148B">
        <w:rPr>
          <w:i/>
          <w:lang w:val="en-GB"/>
        </w:rPr>
        <w:t>The rise and fall of GCSE equivalents</w:t>
      </w:r>
    </w:p>
    <w:p w:rsidR="007C6B78" w:rsidRPr="008C148B" w:rsidRDefault="007C6B78" w:rsidP="003E095A">
      <w:pPr>
        <w:spacing w:line="276" w:lineRule="auto"/>
        <w:rPr>
          <w:lang w:val="en-GB"/>
        </w:rPr>
      </w:pPr>
    </w:p>
    <w:p w:rsidR="00AE4330" w:rsidRPr="008C148B" w:rsidRDefault="00B3204A" w:rsidP="003E095A">
      <w:pPr>
        <w:spacing w:line="276" w:lineRule="auto"/>
        <w:rPr>
          <w:lang w:val="en-GB"/>
        </w:rPr>
      </w:pPr>
      <w:r w:rsidRPr="008C148B">
        <w:rPr>
          <w:lang w:val="en-GB"/>
        </w:rPr>
        <w:t>I</w:t>
      </w:r>
      <w:r w:rsidR="004120AF" w:rsidRPr="008C148B">
        <w:rPr>
          <w:lang w:val="en-GB"/>
        </w:rPr>
        <w:t xml:space="preserve">n the early part of the </w:t>
      </w:r>
      <w:r w:rsidR="0000616B" w:rsidRPr="008C148B">
        <w:rPr>
          <w:lang w:val="en-GB"/>
        </w:rPr>
        <w:t>2000s</w:t>
      </w:r>
      <w:r w:rsidR="004120AF" w:rsidRPr="008C148B">
        <w:rPr>
          <w:lang w:val="en-GB"/>
        </w:rPr>
        <w:t>, t</w:t>
      </w:r>
      <w:r w:rsidR="006A53F3" w:rsidRPr="008C148B">
        <w:rPr>
          <w:lang w:val="en-GB"/>
        </w:rPr>
        <w:t>h</w:t>
      </w:r>
      <w:r w:rsidR="00870A58" w:rsidRPr="008C148B">
        <w:rPr>
          <w:lang w:val="en-GB"/>
        </w:rPr>
        <w:t>e</w:t>
      </w:r>
      <w:r w:rsidR="004120AF" w:rsidRPr="008C148B">
        <w:rPr>
          <w:lang w:val="en-GB"/>
        </w:rPr>
        <w:t xml:space="preserve"> drive to ‘up-skill’ (or </w:t>
      </w:r>
      <w:r w:rsidR="007E65CD" w:rsidRPr="008C148B">
        <w:rPr>
          <w:lang w:val="en-GB"/>
        </w:rPr>
        <w:t>often</w:t>
      </w:r>
      <w:r w:rsidR="00687D94" w:rsidRPr="008C148B">
        <w:rPr>
          <w:lang w:val="en-GB"/>
        </w:rPr>
        <w:t>,</w:t>
      </w:r>
      <w:r w:rsidR="007E65CD" w:rsidRPr="008C148B">
        <w:rPr>
          <w:lang w:val="en-GB"/>
        </w:rPr>
        <w:t xml:space="preserve"> </w:t>
      </w:r>
      <w:r w:rsidR="004120AF" w:rsidRPr="008C148B">
        <w:rPr>
          <w:lang w:val="en-GB"/>
        </w:rPr>
        <w:t xml:space="preserve">in </w:t>
      </w:r>
      <w:r w:rsidR="001F3770" w:rsidRPr="008C148B">
        <w:rPr>
          <w:lang w:val="en-GB"/>
        </w:rPr>
        <w:t>the sphere</w:t>
      </w:r>
      <w:r w:rsidR="00C46A69" w:rsidRPr="008C148B">
        <w:rPr>
          <w:lang w:val="en-GB"/>
        </w:rPr>
        <w:t xml:space="preserve">s of work-based learning, </w:t>
      </w:r>
      <w:r w:rsidR="001F3770" w:rsidRPr="008C148B">
        <w:rPr>
          <w:lang w:val="en-GB"/>
        </w:rPr>
        <w:t xml:space="preserve">National Vocational Qualifications, </w:t>
      </w:r>
      <w:r w:rsidR="00C46A69" w:rsidRPr="008C148B">
        <w:rPr>
          <w:lang w:val="en-GB"/>
        </w:rPr>
        <w:t xml:space="preserve">and adult literacy and numeracy, </w:t>
      </w:r>
      <w:r w:rsidR="001F3770" w:rsidRPr="008C148B">
        <w:rPr>
          <w:lang w:val="en-GB"/>
        </w:rPr>
        <w:t>merely</w:t>
      </w:r>
      <w:r w:rsidR="004120AF" w:rsidRPr="008C148B">
        <w:rPr>
          <w:lang w:val="en-GB"/>
        </w:rPr>
        <w:t xml:space="preserve"> ‘up-qualify’</w:t>
      </w:r>
      <w:r w:rsidR="0097412C" w:rsidRPr="008C148B">
        <w:rPr>
          <w:lang w:val="en-GB"/>
        </w:rPr>
        <w:t xml:space="preserve"> – see Wolf and Jenkins, </w:t>
      </w:r>
      <w:r w:rsidR="000D0690">
        <w:rPr>
          <w:lang w:val="en-GB"/>
        </w:rPr>
        <w:t>in press,</w:t>
      </w:r>
      <w:r w:rsidR="000D0690" w:rsidRPr="008C148B">
        <w:rPr>
          <w:lang w:val="en-GB"/>
        </w:rPr>
        <w:t xml:space="preserve"> </w:t>
      </w:r>
      <w:r w:rsidR="00C46A69" w:rsidRPr="008C148B">
        <w:rPr>
          <w:lang w:val="en-GB"/>
        </w:rPr>
        <w:t>in respect of the latter</w:t>
      </w:r>
      <w:r w:rsidR="004120AF" w:rsidRPr="008C148B">
        <w:rPr>
          <w:lang w:val="en-GB"/>
        </w:rPr>
        <w:t>), together with the increasing use of league tables</w:t>
      </w:r>
      <w:r w:rsidR="00253796" w:rsidRPr="008C148B">
        <w:rPr>
          <w:lang w:val="en-GB"/>
        </w:rPr>
        <w:t xml:space="preserve"> to compare schools</w:t>
      </w:r>
      <w:r w:rsidR="004120AF" w:rsidRPr="008C148B">
        <w:rPr>
          <w:lang w:val="en-GB"/>
        </w:rPr>
        <w:t xml:space="preserve">, boosted the demand for </w:t>
      </w:r>
      <w:r w:rsidR="00687D94" w:rsidRPr="008C148B">
        <w:rPr>
          <w:lang w:val="en-GB"/>
        </w:rPr>
        <w:t xml:space="preserve">flexible </w:t>
      </w:r>
      <w:r w:rsidR="004120AF" w:rsidRPr="008C148B">
        <w:rPr>
          <w:lang w:val="en-GB"/>
        </w:rPr>
        <w:t xml:space="preserve">alternatives to GCSE which could be regarded as equivalent. </w:t>
      </w:r>
      <w:r w:rsidR="0000616B" w:rsidRPr="008C148B">
        <w:rPr>
          <w:lang w:val="en-GB"/>
        </w:rPr>
        <w:t xml:space="preserve"> </w:t>
      </w:r>
      <w:r w:rsidR="004120AF" w:rsidRPr="008C148B">
        <w:rPr>
          <w:lang w:val="en-GB"/>
        </w:rPr>
        <w:t>The</w:t>
      </w:r>
      <w:r w:rsidR="00FC54CB">
        <w:rPr>
          <w:lang w:val="en-GB"/>
        </w:rPr>
        <w:t xml:space="preserve"> then Labour Government was simultaneously</w:t>
      </w:r>
      <w:r w:rsidR="006A53F3" w:rsidRPr="008C148B">
        <w:rPr>
          <w:lang w:val="en-GB"/>
        </w:rPr>
        <w:t xml:space="preserve"> promoting</w:t>
      </w:r>
      <w:r w:rsidR="004120AF" w:rsidRPr="008C148B">
        <w:rPr>
          <w:lang w:val="en-GB"/>
        </w:rPr>
        <w:t xml:space="preserve"> ‘b</w:t>
      </w:r>
      <w:r w:rsidR="0019204C" w:rsidRPr="008C148B">
        <w:rPr>
          <w:lang w:val="en-GB"/>
        </w:rPr>
        <w:t xml:space="preserve">readth through choice’ and </w:t>
      </w:r>
      <w:r w:rsidR="004120AF" w:rsidRPr="008C148B">
        <w:rPr>
          <w:lang w:val="en-GB"/>
        </w:rPr>
        <w:t>the progressive relaxation of the curriculum at KS4</w:t>
      </w:r>
      <w:r w:rsidR="008A6DE2" w:rsidRPr="008C148B">
        <w:rPr>
          <w:lang w:val="en-GB"/>
        </w:rPr>
        <w:t xml:space="preserve"> (Golden </w:t>
      </w:r>
      <w:r w:rsidR="008A6DE2" w:rsidRPr="008C148B">
        <w:rPr>
          <w:i/>
          <w:lang w:val="en-GB"/>
        </w:rPr>
        <w:t>et al</w:t>
      </w:r>
      <w:r w:rsidR="008A6DE2" w:rsidRPr="008C148B">
        <w:rPr>
          <w:lang w:val="en-GB"/>
        </w:rPr>
        <w:t>, 2006)</w:t>
      </w:r>
      <w:r w:rsidR="004120AF" w:rsidRPr="008C148B">
        <w:rPr>
          <w:lang w:val="en-GB"/>
        </w:rPr>
        <w:t>.</w:t>
      </w:r>
    </w:p>
    <w:p w:rsidR="00B63890" w:rsidRPr="008C148B" w:rsidRDefault="00B63890" w:rsidP="003E095A">
      <w:pPr>
        <w:spacing w:line="276" w:lineRule="auto"/>
        <w:rPr>
          <w:lang w:val="en-GB"/>
        </w:rPr>
      </w:pPr>
    </w:p>
    <w:p w:rsidR="00EF506C" w:rsidRPr="008C148B" w:rsidRDefault="00D27910" w:rsidP="003E095A">
      <w:pPr>
        <w:spacing w:line="276" w:lineRule="auto"/>
        <w:rPr>
          <w:lang w:val="en-GB"/>
        </w:rPr>
      </w:pPr>
      <w:r w:rsidRPr="008C148B">
        <w:rPr>
          <w:lang w:val="en-GB"/>
        </w:rPr>
        <w:t xml:space="preserve">This liberalisation of the KS4 curriculum was seized with gusto by awarding bodies, schools and learners alike.  </w:t>
      </w:r>
      <w:r w:rsidR="00FC54CB">
        <w:rPr>
          <w:lang w:val="en-GB"/>
        </w:rPr>
        <w:t>T</w:t>
      </w:r>
      <w:r w:rsidR="00465F96" w:rsidRPr="008C148B">
        <w:rPr>
          <w:lang w:val="en-GB"/>
        </w:rPr>
        <w:t>he vast majority of these new qualifications</w:t>
      </w:r>
      <w:r w:rsidR="00FC54CB">
        <w:rPr>
          <w:lang w:val="en-GB"/>
        </w:rPr>
        <w:t xml:space="preserve"> emerging</w:t>
      </w:r>
      <w:r w:rsidR="00465F96" w:rsidRPr="008C148B">
        <w:rPr>
          <w:lang w:val="en-GB"/>
        </w:rPr>
        <w:t xml:space="preserve"> were vocational in nature, with a heavy emphasis on coursework.  Many were deemed to be equivalent to multiple GCSEs, such that it was possible for learners to meet even the tighter threshold with actual GCSEs only in English and mathematics, with equivalents making up the remainder.  </w:t>
      </w:r>
      <w:r w:rsidRPr="008C148B">
        <w:rPr>
          <w:lang w:val="en-GB"/>
        </w:rPr>
        <w:t>The recognition in headline measures (and therefore, league tables) of GCSE equivalents made them very attractive to headteachers</w:t>
      </w:r>
      <w:r w:rsidR="000C41C0" w:rsidRPr="008C148B">
        <w:rPr>
          <w:lang w:val="en-GB"/>
        </w:rPr>
        <w:t>, local authorities, governors and others</w:t>
      </w:r>
      <w:r w:rsidR="00881CAF" w:rsidRPr="008C148B">
        <w:rPr>
          <w:lang w:val="en-GB"/>
        </w:rPr>
        <w:t xml:space="preserve"> who</w:t>
      </w:r>
      <w:r w:rsidRPr="008C148B">
        <w:rPr>
          <w:lang w:val="en-GB"/>
        </w:rPr>
        <w:t xml:space="preserve"> </w:t>
      </w:r>
      <w:r w:rsidR="005E58CA" w:rsidRPr="008C148B">
        <w:rPr>
          <w:lang w:val="en-GB"/>
        </w:rPr>
        <w:t>saw (and continue to see)</w:t>
      </w:r>
      <w:r w:rsidR="00895C7C" w:rsidRPr="008C148B">
        <w:rPr>
          <w:lang w:val="en-GB"/>
        </w:rPr>
        <w:t xml:space="preserve"> the</w:t>
      </w:r>
      <w:r w:rsidRPr="008C148B">
        <w:rPr>
          <w:lang w:val="en-GB"/>
        </w:rPr>
        <w:t xml:space="preserve"> maximisation of publicly-visible outcomes </w:t>
      </w:r>
      <w:r w:rsidR="00895C7C" w:rsidRPr="008C148B">
        <w:rPr>
          <w:lang w:val="en-GB"/>
        </w:rPr>
        <w:t xml:space="preserve">as </w:t>
      </w:r>
      <w:r w:rsidRPr="008C148B">
        <w:rPr>
          <w:lang w:val="en-GB"/>
        </w:rPr>
        <w:t xml:space="preserve">paramount.  </w:t>
      </w:r>
    </w:p>
    <w:p w:rsidR="00EF506C" w:rsidRPr="008C148B" w:rsidRDefault="00EF506C" w:rsidP="003E095A">
      <w:pPr>
        <w:spacing w:line="276" w:lineRule="auto"/>
        <w:rPr>
          <w:lang w:val="en-GB"/>
        </w:rPr>
      </w:pPr>
    </w:p>
    <w:p w:rsidR="00D27910" w:rsidRPr="008C148B" w:rsidRDefault="00D27910" w:rsidP="003E095A">
      <w:pPr>
        <w:spacing w:line="276" w:lineRule="auto"/>
        <w:rPr>
          <w:lang w:val="en-GB"/>
        </w:rPr>
      </w:pPr>
      <w:r w:rsidRPr="008C148B">
        <w:rPr>
          <w:lang w:val="en-GB"/>
        </w:rPr>
        <w:t xml:space="preserve">Over the 2000s, GCSE equivalents came to account for an ever greater proportion of the headline figures, as can be seen in Figure 1.  </w:t>
      </w:r>
      <w:r w:rsidR="001521A2" w:rsidRPr="008C148B">
        <w:rPr>
          <w:lang w:val="en-GB"/>
        </w:rPr>
        <w:t xml:space="preserve">In fact, while the period did see a growth in actual GCSE results, most </w:t>
      </w:r>
      <w:r w:rsidR="005E58CA" w:rsidRPr="008C148B">
        <w:rPr>
          <w:lang w:val="en-GB"/>
        </w:rPr>
        <w:t xml:space="preserve">of </w:t>
      </w:r>
      <w:r w:rsidR="008A6DE2" w:rsidRPr="008C148B">
        <w:rPr>
          <w:lang w:val="en-GB"/>
        </w:rPr>
        <w:t xml:space="preserve">the much-lauded improvements </w:t>
      </w:r>
      <w:r w:rsidR="001521A2" w:rsidRPr="008C148B">
        <w:rPr>
          <w:lang w:val="en-GB"/>
        </w:rPr>
        <w:t>actually came through equivalent qualifications</w:t>
      </w:r>
      <w:r w:rsidR="00EF506C" w:rsidRPr="008C148B">
        <w:rPr>
          <w:lang w:val="en-GB"/>
        </w:rPr>
        <w:t xml:space="preserve">. </w:t>
      </w:r>
      <w:r w:rsidR="001521A2" w:rsidRPr="008C148B">
        <w:rPr>
          <w:lang w:val="en-GB"/>
        </w:rPr>
        <w:t>In particular, a pattern emerged where GCSE equivalents were disproportionately undertaken by</w:t>
      </w:r>
      <w:r w:rsidR="008A6DE2" w:rsidRPr="008C148B">
        <w:rPr>
          <w:lang w:val="en-GB"/>
        </w:rPr>
        <w:t xml:space="preserve"> disadvantaged</w:t>
      </w:r>
      <w:r w:rsidR="001521A2" w:rsidRPr="008C148B">
        <w:rPr>
          <w:lang w:val="en-GB"/>
        </w:rPr>
        <w:t xml:space="preserve"> young people</w:t>
      </w:r>
      <w:r w:rsidR="00A42862" w:rsidRPr="008C148B">
        <w:rPr>
          <w:lang w:val="en-GB"/>
        </w:rPr>
        <w:t xml:space="preserve">, those with </w:t>
      </w:r>
      <w:r w:rsidR="00F20AF9" w:rsidRPr="008C148B">
        <w:rPr>
          <w:lang w:val="en-GB"/>
        </w:rPr>
        <w:t>lower</w:t>
      </w:r>
      <w:r w:rsidR="00A42862" w:rsidRPr="008C148B">
        <w:rPr>
          <w:lang w:val="en-GB"/>
        </w:rPr>
        <w:t xml:space="preserve"> </w:t>
      </w:r>
      <w:r w:rsidR="00F20AF9" w:rsidRPr="008C148B">
        <w:rPr>
          <w:lang w:val="en-GB"/>
        </w:rPr>
        <w:t xml:space="preserve">prior </w:t>
      </w:r>
      <w:r w:rsidR="00A42862" w:rsidRPr="008C148B">
        <w:rPr>
          <w:lang w:val="en-GB"/>
        </w:rPr>
        <w:t>attainment and</w:t>
      </w:r>
      <w:r w:rsidR="008A6DE2" w:rsidRPr="008C148B">
        <w:rPr>
          <w:lang w:val="en-GB"/>
        </w:rPr>
        <w:t xml:space="preserve"> those </w:t>
      </w:r>
      <w:r w:rsidR="001521A2" w:rsidRPr="008C148B">
        <w:rPr>
          <w:lang w:val="en-GB"/>
        </w:rPr>
        <w:t xml:space="preserve">expecting early entry into the labour market, while actual GCSEs were </w:t>
      </w:r>
      <w:r w:rsidR="009A3885" w:rsidRPr="008C148B">
        <w:rPr>
          <w:lang w:val="en-GB"/>
        </w:rPr>
        <w:t>focused on</w:t>
      </w:r>
      <w:r w:rsidR="001521A2" w:rsidRPr="008C148B">
        <w:rPr>
          <w:lang w:val="en-GB"/>
        </w:rPr>
        <w:t xml:space="preserve"> those expecting to progress into post-compulsory </w:t>
      </w:r>
      <w:r w:rsidR="00EF506C" w:rsidRPr="008C148B">
        <w:rPr>
          <w:lang w:val="en-GB"/>
        </w:rPr>
        <w:t xml:space="preserve">(and higher) </w:t>
      </w:r>
      <w:r w:rsidR="001521A2" w:rsidRPr="008C148B">
        <w:rPr>
          <w:lang w:val="en-GB"/>
        </w:rPr>
        <w:t>education</w:t>
      </w:r>
      <w:r w:rsidR="008A6DE2" w:rsidRPr="008C148B">
        <w:rPr>
          <w:lang w:val="en-GB"/>
        </w:rPr>
        <w:t xml:space="preserve"> (</w:t>
      </w:r>
      <w:r w:rsidR="00A42862" w:rsidRPr="008C148B">
        <w:rPr>
          <w:lang w:val="en-GB"/>
        </w:rPr>
        <w:t xml:space="preserve">Golden </w:t>
      </w:r>
      <w:r w:rsidR="00A42862" w:rsidRPr="008C148B">
        <w:rPr>
          <w:i/>
          <w:lang w:val="en-GB"/>
        </w:rPr>
        <w:t>et al</w:t>
      </w:r>
      <w:r w:rsidR="00A42862" w:rsidRPr="008C148B">
        <w:rPr>
          <w:lang w:val="en-GB"/>
        </w:rPr>
        <w:t xml:space="preserve">, 2006; </w:t>
      </w:r>
      <w:proofErr w:type="spellStart"/>
      <w:r w:rsidR="008A6DE2" w:rsidRPr="008C148B">
        <w:rPr>
          <w:lang w:val="en-GB"/>
        </w:rPr>
        <w:t>Gorard</w:t>
      </w:r>
      <w:proofErr w:type="spellEnd"/>
      <w:r w:rsidR="008A6DE2" w:rsidRPr="008C148B">
        <w:rPr>
          <w:lang w:val="en-GB"/>
        </w:rPr>
        <w:t xml:space="preserve">, 2012; Hodgson &amp; </w:t>
      </w:r>
      <w:proofErr w:type="spellStart"/>
      <w:r w:rsidR="008A6DE2" w:rsidRPr="008C148B">
        <w:rPr>
          <w:lang w:val="en-GB"/>
        </w:rPr>
        <w:t>Spours</w:t>
      </w:r>
      <w:proofErr w:type="spellEnd"/>
      <w:r w:rsidR="008A6DE2" w:rsidRPr="008C148B">
        <w:rPr>
          <w:lang w:val="en-GB"/>
        </w:rPr>
        <w:t>, 2014).</w:t>
      </w:r>
    </w:p>
    <w:p w:rsidR="001521A2" w:rsidRPr="008C148B" w:rsidRDefault="001521A2" w:rsidP="003E095A">
      <w:pPr>
        <w:spacing w:line="276" w:lineRule="auto"/>
        <w:rPr>
          <w:lang w:val="en-GB"/>
        </w:rPr>
      </w:pPr>
    </w:p>
    <w:p w:rsidR="00E62EB8" w:rsidRDefault="00E62EB8" w:rsidP="003E095A">
      <w:pPr>
        <w:spacing w:line="276" w:lineRule="auto"/>
      </w:pPr>
      <w:r w:rsidRPr="0007228C">
        <w:rPr>
          <w:noProof/>
          <w:lang w:val="en-GB" w:eastAsia="en-GB"/>
        </w:rPr>
        <w:lastRenderedPageBreak/>
        <w:drawing>
          <wp:inline distT="0" distB="0" distL="0" distR="0">
            <wp:extent cx="6071191"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2EB8" w:rsidRDefault="00E62EB8" w:rsidP="003E095A">
      <w:pPr>
        <w:spacing w:line="276" w:lineRule="auto"/>
      </w:pPr>
    </w:p>
    <w:p w:rsidR="00D27910" w:rsidRPr="00AD0FA2" w:rsidRDefault="00E62EB8" w:rsidP="003E095A">
      <w:pPr>
        <w:spacing w:line="276" w:lineRule="auto"/>
        <w:rPr>
          <w:i/>
          <w:lang w:val="en-GB"/>
        </w:rPr>
      </w:pPr>
      <w:r w:rsidRPr="00AD0FA2">
        <w:rPr>
          <w:i/>
        </w:rPr>
        <w:t>Figure 1: GCSE pass rate thresholds for England from 2002 to 2013 (Source: Department for Education, also see Heath et al, 2013)</w:t>
      </w:r>
    </w:p>
    <w:p w:rsidR="00E62EB8" w:rsidRDefault="00E62EB8" w:rsidP="003E095A">
      <w:pPr>
        <w:spacing w:line="276" w:lineRule="auto"/>
        <w:rPr>
          <w:lang w:val="en-GB"/>
        </w:rPr>
      </w:pPr>
    </w:p>
    <w:p w:rsidR="003E095A" w:rsidRPr="008C148B" w:rsidRDefault="003E095A" w:rsidP="003E095A">
      <w:pPr>
        <w:spacing w:line="276" w:lineRule="auto"/>
        <w:rPr>
          <w:lang w:val="en-GB"/>
        </w:rPr>
      </w:pPr>
    </w:p>
    <w:p w:rsidR="0093206E" w:rsidRPr="008C148B" w:rsidRDefault="0093206E" w:rsidP="003E095A">
      <w:pPr>
        <w:spacing w:line="276" w:lineRule="auto"/>
        <w:rPr>
          <w:lang w:val="en-GB"/>
        </w:rPr>
      </w:pPr>
      <w:r w:rsidRPr="008C148B">
        <w:rPr>
          <w:lang w:val="en-GB"/>
        </w:rPr>
        <w:t xml:space="preserve">By the </w:t>
      </w:r>
      <w:r w:rsidR="002165B9" w:rsidRPr="008C148B">
        <w:rPr>
          <w:lang w:val="en-GB"/>
        </w:rPr>
        <w:t xml:space="preserve">late </w:t>
      </w:r>
      <w:r w:rsidRPr="008C148B">
        <w:rPr>
          <w:lang w:val="en-GB"/>
        </w:rPr>
        <w:t>2000s, some commentators were beginning to question the rigour of GCSE equivalents, linking their growth to perceived issues of standards and the suggestion that schools were using them to ‘game’ league tables for their own ends, while providing children with substandard opportunities to succeed</w:t>
      </w:r>
      <w:r w:rsidR="002165B9" w:rsidRPr="008C148B">
        <w:rPr>
          <w:lang w:val="en-GB"/>
        </w:rPr>
        <w:t xml:space="preserve"> (</w:t>
      </w:r>
      <w:r w:rsidR="005B4A44" w:rsidRPr="008C148B">
        <w:rPr>
          <w:lang w:val="en-GB"/>
        </w:rPr>
        <w:t xml:space="preserve">de Waal, 2009; </w:t>
      </w:r>
      <w:r w:rsidR="002165B9" w:rsidRPr="008C148B">
        <w:rPr>
          <w:lang w:val="en-GB"/>
        </w:rPr>
        <w:t>Wrigley, 2011</w:t>
      </w:r>
      <w:r w:rsidR="005B4A44" w:rsidRPr="008C148B">
        <w:rPr>
          <w:lang w:val="en-GB"/>
        </w:rPr>
        <w:t>)</w:t>
      </w:r>
      <w:r w:rsidR="00FA75C4">
        <w:rPr>
          <w:lang w:val="en-GB"/>
        </w:rPr>
        <w:t xml:space="preserve">.  Whilst some pointed to </w:t>
      </w:r>
      <w:r w:rsidR="005B4A44" w:rsidRPr="008C148B">
        <w:rPr>
          <w:lang w:val="en-GB"/>
        </w:rPr>
        <w:t>wider value</w:t>
      </w:r>
      <w:r w:rsidR="002165B9" w:rsidRPr="008C148B">
        <w:rPr>
          <w:lang w:val="en-GB"/>
        </w:rPr>
        <w:t xml:space="preserve"> </w:t>
      </w:r>
      <w:r w:rsidR="005B4A44" w:rsidRPr="008C148B">
        <w:rPr>
          <w:lang w:val="en-GB"/>
        </w:rPr>
        <w:t xml:space="preserve">in terms of engagement and </w:t>
      </w:r>
      <w:r w:rsidR="00EF506C" w:rsidRPr="008C148B">
        <w:rPr>
          <w:lang w:val="en-GB"/>
        </w:rPr>
        <w:t>remaining in</w:t>
      </w:r>
      <w:r w:rsidR="005B4A44" w:rsidRPr="008C148B">
        <w:rPr>
          <w:lang w:val="en-GB"/>
        </w:rPr>
        <w:t xml:space="preserve"> education </w:t>
      </w:r>
      <w:r w:rsidR="005B092F" w:rsidRPr="008C148B">
        <w:rPr>
          <w:lang w:val="en-GB"/>
        </w:rPr>
        <w:t>beyond</w:t>
      </w:r>
      <w:r w:rsidR="00EF506C" w:rsidRPr="008C148B">
        <w:rPr>
          <w:lang w:val="en-GB"/>
        </w:rPr>
        <w:t xml:space="preserve"> the age of 16 </w:t>
      </w:r>
      <w:r w:rsidR="005B4A44" w:rsidRPr="008C148B">
        <w:rPr>
          <w:lang w:val="en-GB"/>
        </w:rPr>
        <w:t>(</w:t>
      </w:r>
      <w:r w:rsidR="00FC54CB">
        <w:rPr>
          <w:lang w:val="en-GB"/>
        </w:rPr>
        <w:t xml:space="preserve">Hodgson &amp; </w:t>
      </w:r>
      <w:proofErr w:type="spellStart"/>
      <w:r w:rsidR="00FC54CB">
        <w:rPr>
          <w:lang w:val="en-GB"/>
        </w:rPr>
        <w:t>Spours</w:t>
      </w:r>
      <w:proofErr w:type="spellEnd"/>
      <w:r w:rsidR="00FC54CB">
        <w:rPr>
          <w:lang w:val="en-GB"/>
        </w:rPr>
        <w:t xml:space="preserve">, </w:t>
      </w:r>
      <w:r w:rsidR="002165B9" w:rsidRPr="008C148B">
        <w:rPr>
          <w:lang w:val="en-GB"/>
        </w:rPr>
        <w:t>2014)</w:t>
      </w:r>
      <w:r w:rsidR="00FA75C4">
        <w:rPr>
          <w:lang w:val="en-GB"/>
        </w:rPr>
        <w:t xml:space="preserve">, considerable pressure had built up, leading to the </w:t>
      </w:r>
      <w:r w:rsidR="00183020" w:rsidRPr="008C148B">
        <w:rPr>
          <w:lang w:val="en-GB"/>
        </w:rPr>
        <w:t>incoming Coalition Government in 2010 commissio</w:t>
      </w:r>
      <w:r w:rsidR="00FA75C4">
        <w:rPr>
          <w:lang w:val="en-GB"/>
        </w:rPr>
        <w:t>ning</w:t>
      </w:r>
      <w:r w:rsidR="00183020" w:rsidRPr="008C148B">
        <w:rPr>
          <w:lang w:val="en-GB"/>
        </w:rPr>
        <w:t xml:space="preserve"> Alison Wolf to review vocational education</w:t>
      </w:r>
      <w:r w:rsidR="00FA75C4">
        <w:rPr>
          <w:lang w:val="en-GB"/>
        </w:rPr>
        <w:t>.</w:t>
      </w:r>
      <w:r w:rsidR="00183020" w:rsidRPr="008C148B">
        <w:rPr>
          <w:lang w:val="en-GB"/>
        </w:rPr>
        <w:t xml:space="preserve"> </w:t>
      </w:r>
      <w:r w:rsidR="00FA75C4">
        <w:rPr>
          <w:lang w:val="en-GB"/>
        </w:rPr>
        <w:t>H</w:t>
      </w:r>
      <w:r w:rsidR="00183020" w:rsidRPr="008C148B">
        <w:rPr>
          <w:lang w:val="en-GB"/>
        </w:rPr>
        <w:t>er report was damning in its conclusions</w:t>
      </w:r>
      <w:r w:rsidR="00F35512" w:rsidRPr="008C148B">
        <w:rPr>
          <w:lang w:val="en-GB"/>
        </w:rPr>
        <w:t>:</w:t>
      </w:r>
      <w:r w:rsidR="00183020" w:rsidRPr="008C148B">
        <w:rPr>
          <w:lang w:val="en-GB"/>
        </w:rPr>
        <w:t xml:space="preserve"> </w:t>
      </w:r>
    </w:p>
    <w:p w:rsidR="00183020" w:rsidRPr="008C148B" w:rsidRDefault="00183020" w:rsidP="003E095A">
      <w:pPr>
        <w:spacing w:line="276" w:lineRule="auto"/>
        <w:rPr>
          <w:lang w:val="en-GB"/>
        </w:rPr>
      </w:pPr>
    </w:p>
    <w:p w:rsidR="0093206E" w:rsidRPr="008C148B" w:rsidRDefault="00FC54CB" w:rsidP="003E095A">
      <w:pPr>
        <w:spacing w:line="276" w:lineRule="auto"/>
        <w:ind w:left="720"/>
        <w:rPr>
          <w:rFonts w:cs="Plantin"/>
          <w:b/>
          <w:bCs/>
          <w:color w:val="000000"/>
          <w:lang w:val="en-GB"/>
        </w:rPr>
      </w:pPr>
      <w:r>
        <w:rPr>
          <w:rFonts w:cs="Plantin"/>
          <w:color w:val="000000"/>
          <w:lang w:val="en-GB"/>
        </w:rPr>
        <w:t>‘[T]</w:t>
      </w:r>
      <w:r w:rsidR="00F35512" w:rsidRPr="008C148B">
        <w:rPr>
          <w:rFonts w:cs="Plantin"/>
          <w:color w:val="000000"/>
          <w:lang w:val="en-GB"/>
        </w:rPr>
        <w:t>he Review found conclusive evidence of serious problems in current provision: problems which impact directly on young people and their futures. Large numbers of young people are not on programmes which will help them to progress either educationally or in the labour market</w:t>
      </w:r>
      <w:r w:rsidR="00EF506C" w:rsidRPr="008C148B">
        <w:rPr>
          <w:rFonts w:cs="Plantin"/>
          <w:color w:val="000000"/>
          <w:lang w:val="en-GB"/>
        </w:rPr>
        <w:t>…</w:t>
      </w:r>
      <w:r w:rsidR="00F35512" w:rsidRPr="008C148B">
        <w:rPr>
          <w:rFonts w:cs="Plantin"/>
          <w:color w:val="000000"/>
          <w:lang w:val="en-GB"/>
        </w:rPr>
        <w:t xml:space="preserve"> At a time of rising youth unemployment across Europe, ever greater competitive pressures on our economy, and rising demands for formal qualifications, </w:t>
      </w:r>
      <w:r w:rsidR="00F35512" w:rsidRPr="008C148B">
        <w:rPr>
          <w:rFonts w:cs="Plantin"/>
          <w:bCs/>
          <w:i/>
          <w:color w:val="000000"/>
          <w:lang w:val="en-GB"/>
        </w:rPr>
        <w:t>too many of our young people are being short-changed.</w:t>
      </w:r>
      <w:r>
        <w:rPr>
          <w:rFonts w:cs="Plantin"/>
          <w:bCs/>
          <w:color w:val="000000"/>
          <w:lang w:val="en-GB"/>
        </w:rPr>
        <w:t>’</w:t>
      </w:r>
      <w:r w:rsidR="00F35512" w:rsidRPr="008C148B">
        <w:rPr>
          <w:rFonts w:cs="Plantin"/>
          <w:bCs/>
          <w:color w:val="000000"/>
          <w:lang w:val="en-GB"/>
        </w:rPr>
        <w:t xml:space="preserve"> (Wolf, 2011, p. 44, emphasis in original)</w:t>
      </w:r>
      <w:r>
        <w:rPr>
          <w:rFonts w:cs="Plantin"/>
          <w:bCs/>
          <w:color w:val="000000"/>
          <w:lang w:val="en-GB"/>
        </w:rPr>
        <w:t>.</w:t>
      </w:r>
    </w:p>
    <w:p w:rsidR="00F35512" w:rsidRPr="008C148B" w:rsidRDefault="00F35512" w:rsidP="003E095A">
      <w:pPr>
        <w:spacing w:line="276" w:lineRule="auto"/>
        <w:rPr>
          <w:lang w:val="en-GB"/>
        </w:rPr>
      </w:pPr>
    </w:p>
    <w:p w:rsidR="00183020" w:rsidRPr="008C148B" w:rsidRDefault="00183020" w:rsidP="003E095A">
      <w:pPr>
        <w:spacing w:line="276" w:lineRule="auto"/>
        <w:rPr>
          <w:lang w:val="en-GB"/>
        </w:rPr>
      </w:pPr>
      <w:r w:rsidRPr="008C148B">
        <w:rPr>
          <w:lang w:val="en-GB"/>
        </w:rPr>
        <w:t xml:space="preserve">In response, </w:t>
      </w:r>
      <w:r w:rsidR="00114A0E" w:rsidRPr="008C148B">
        <w:rPr>
          <w:lang w:val="en-GB"/>
        </w:rPr>
        <w:t xml:space="preserve">the </w:t>
      </w:r>
      <w:r w:rsidR="00CA77F2" w:rsidRPr="008C148B">
        <w:rPr>
          <w:lang w:val="en-GB"/>
        </w:rPr>
        <w:t>G</w:t>
      </w:r>
      <w:r w:rsidR="00114A0E" w:rsidRPr="008C148B">
        <w:rPr>
          <w:lang w:val="en-GB"/>
        </w:rPr>
        <w:t>overnment announced that</w:t>
      </w:r>
      <w:r w:rsidRPr="008C148B">
        <w:rPr>
          <w:lang w:val="en-GB"/>
        </w:rPr>
        <w:t xml:space="preserve">, </w:t>
      </w:r>
      <w:r w:rsidR="00114A0E" w:rsidRPr="008C148B">
        <w:rPr>
          <w:lang w:val="en-GB"/>
        </w:rPr>
        <w:t xml:space="preserve">from 2014, </w:t>
      </w:r>
      <w:r w:rsidRPr="008C148B">
        <w:rPr>
          <w:lang w:val="en-GB"/>
        </w:rPr>
        <w:t>the vast majority of</w:t>
      </w:r>
      <w:r w:rsidR="00EF3503" w:rsidRPr="008C148B">
        <w:rPr>
          <w:lang w:val="en-GB"/>
        </w:rPr>
        <w:t xml:space="preserve"> </w:t>
      </w:r>
      <w:r w:rsidR="00CA77F2" w:rsidRPr="008C148B">
        <w:rPr>
          <w:lang w:val="en-GB"/>
        </w:rPr>
        <w:t>GCSE</w:t>
      </w:r>
      <w:r w:rsidR="00253796" w:rsidRPr="008C148B">
        <w:rPr>
          <w:lang w:val="en-GB"/>
        </w:rPr>
        <w:t xml:space="preserve"> </w:t>
      </w:r>
      <w:r w:rsidR="00EF3503" w:rsidRPr="008C148B">
        <w:rPr>
          <w:lang w:val="en-GB"/>
        </w:rPr>
        <w:t xml:space="preserve">equivalents </w:t>
      </w:r>
      <w:r w:rsidR="00114A0E" w:rsidRPr="008C148B">
        <w:rPr>
          <w:lang w:val="en-GB"/>
        </w:rPr>
        <w:t>would no longer be included in headline performance measures</w:t>
      </w:r>
      <w:r w:rsidR="00EF3503" w:rsidRPr="008C148B">
        <w:rPr>
          <w:lang w:val="en-GB"/>
        </w:rPr>
        <w:t xml:space="preserve"> or would have their equivalency downgraded</w:t>
      </w:r>
      <w:r w:rsidR="00B63890" w:rsidRPr="008C148B">
        <w:rPr>
          <w:bCs/>
          <w:lang w:val="en-GB"/>
        </w:rPr>
        <w:t>, reducing the number of counting qualifications from 3,175 to just 125 (Department for Education</w:t>
      </w:r>
      <w:r w:rsidR="00604AFA" w:rsidRPr="008C148B">
        <w:rPr>
          <w:bCs/>
          <w:lang w:val="en-GB"/>
        </w:rPr>
        <w:t>,</w:t>
      </w:r>
      <w:r w:rsidR="00B63890" w:rsidRPr="008C148B">
        <w:rPr>
          <w:bCs/>
          <w:lang w:val="en-GB"/>
        </w:rPr>
        <w:t xml:space="preserve"> 2012).</w:t>
      </w:r>
      <w:r w:rsidR="00E2210D" w:rsidRPr="008C148B">
        <w:rPr>
          <w:bCs/>
          <w:lang w:val="en-GB"/>
        </w:rPr>
        <w:t xml:space="preserve">  </w:t>
      </w:r>
      <w:r w:rsidR="00114A0E" w:rsidRPr="008C148B">
        <w:rPr>
          <w:lang w:val="en-GB"/>
        </w:rPr>
        <w:t xml:space="preserve">This </w:t>
      </w:r>
      <w:r w:rsidRPr="008C148B">
        <w:rPr>
          <w:lang w:val="en-GB"/>
        </w:rPr>
        <w:t xml:space="preserve">‘bonfire of the </w:t>
      </w:r>
      <w:proofErr w:type="spellStart"/>
      <w:r w:rsidRPr="008C148B">
        <w:rPr>
          <w:lang w:val="en-GB"/>
        </w:rPr>
        <w:t>vocationals</w:t>
      </w:r>
      <w:proofErr w:type="spellEnd"/>
      <w:r w:rsidRPr="008C148B">
        <w:rPr>
          <w:lang w:val="en-GB"/>
        </w:rPr>
        <w:t>’</w:t>
      </w:r>
      <w:r w:rsidR="00114A0E" w:rsidRPr="008C148B">
        <w:rPr>
          <w:lang w:val="en-GB"/>
        </w:rPr>
        <w:t xml:space="preserve"> </w:t>
      </w:r>
      <w:r w:rsidRPr="008C148B">
        <w:rPr>
          <w:lang w:val="en-GB"/>
        </w:rPr>
        <w:t>was</w:t>
      </w:r>
      <w:r w:rsidR="006A53F3" w:rsidRPr="008C148B">
        <w:rPr>
          <w:lang w:val="en-GB"/>
        </w:rPr>
        <w:t xml:space="preserve"> indicative of </w:t>
      </w:r>
      <w:r w:rsidR="00114A0E" w:rsidRPr="008C148B">
        <w:rPr>
          <w:lang w:val="en-GB"/>
        </w:rPr>
        <w:t xml:space="preserve">a strong contemporary policy direction, clearly visible </w:t>
      </w:r>
      <w:r w:rsidR="00693737">
        <w:rPr>
          <w:lang w:val="en-GB"/>
        </w:rPr>
        <w:t xml:space="preserve">both in </w:t>
      </w:r>
      <w:r w:rsidR="00E2210D" w:rsidRPr="008C148B">
        <w:rPr>
          <w:lang w:val="en-GB"/>
        </w:rPr>
        <w:t xml:space="preserve">the </w:t>
      </w:r>
      <w:r w:rsidR="00402365">
        <w:rPr>
          <w:lang w:val="en-GB"/>
        </w:rPr>
        <w:t>government r</w:t>
      </w:r>
      <w:r w:rsidR="00402365" w:rsidRPr="008C148B">
        <w:rPr>
          <w:lang w:val="en-GB"/>
        </w:rPr>
        <w:t xml:space="preserve">esponse </w:t>
      </w:r>
      <w:r w:rsidR="00E2210D" w:rsidRPr="008C148B">
        <w:rPr>
          <w:lang w:val="en-GB"/>
        </w:rPr>
        <w:t>to the Wolf Review</w:t>
      </w:r>
      <w:r w:rsidR="00693737">
        <w:rPr>
          <w:lang w:val="en-GB"/>
        </w:rPr>
        <w:t xml:space="preserve"> and </w:t>
      </w:r>
      <w:r w:rsidR="00E2210D" w:rsidRPr="008C148B">
        <w:rPr>
          <w:lang w:val="en-GB"/>
        </w:rPr>
        <w:t xml:space="preserve">in the </w:t>
      </w:r>
      <w:r w:rsidR="00114A0E" w:rsidRPr="008C148B">
        <w:rPr>
          <w:lang w:val="en-GB"/>
        </w:rPr>
        <w:t xml:space="preserve">introduction of the English </w:t>
      </w:r>
      <w:r w:rsidR="00FC54CB">
        <w:rPr>
          <w:lang w:val="en-GB"/>
        </w:rPr>
        <w:lastRenderedPageBreak/>
        <w:t>Baccalaureate</w:t>
      </w:r>
      <w:r w:rsidR="001B528A">
        <w:rPr>
          <w:rStyle w:val="EndnoteReference"/>
          <w:lang w:val="en-GB"/>
        </w:rPr>
        <w:endnoteReference w:id="1"/>
      </w:r>
      <w:r w:rsidR="00114A0E" w:rsidRPr="008C148B">
        <w:rPr>
          <w:lang w:val="en-GB"/>
        </w:rPr>
        <w:t xml:space="preserve">. </w:t>
      </w:r>
      <w:r w:rsidR="005B092F" w:rsidRPr="008C148B">
        <w:rPr>
          <w:lang w:val="en-GB"/>
        </w:rPr>
        <w:t xml:space="preserve">Despite not being </w:t>
      </w:r>
      <w:r w:rsidR="00693737">
        <w:rPr>
          <w:lang w:val="en-GB"/>
        </w:rPr>
        <w:t>a ‘</w:t>
      </w:r>
      <w:r w:rsidR="005B092F" w:rsidRPr="008C148B">
        <w:rPr>
          <w:lang w:val="en-GB"/>
        </w:rPr>
        <w:t>vocational</w:t>
      </w:r>
      <w:r w:rsidR="00693737">
        <w:rPr>
          <w:lang w:val="en-GB"/>
        </w:rPr>
        <w:t xml:space="preserve">’ qualification, </w:t>
      </w:r>
      <w:r w:rsidR="005B092F" w:rsidRPr="008C148B">
        <w:rPr>
          <w:lang w:val="en-GB"/>
        </w:rPr>
        <w:t xml:space="preserve">CoPE was </w:t>
      </w:r>
      <w:r w:rsidR="00402365">
        <w:rPr>
          <w:lang w:val="en-GB"/>
        </w:rPr>
        <w:t>amongst those qualifications to be removed from headline performance measures</w:t>
      </w:r>
      <w:r w:rsidR="00FC54CB">
        <w:rPr>
          <w:lang w:val="en-GB"/>
        </w:rPr>
        <w:t>.</w:t>
      </w:r>
      <w:r w:rsidR="005B092F" w:rsidRPr="008C148B">
        <w:rPr>
          <w:lang w:val="en-GB"/>
        </w:rPr>
        <w:t xml:space="preserve">  </w:t>
      </w:r>
    </w:p>
    <w:p w:rsidR="00672A81" w:rsidRPr="008C148B" w:rsidRDefault="00672A81" w:rsidP="003E095A">
      <w:pPr>
        <w:spacing w:line="276" w:lineRule="auto"/>
        <w:rPr>
          <w:lang w:val="en-GB"/>
        </w:rPr>
      </w:pPr>
    </w:p>
    <w:p w:rsidR="009F1DD4" w:rsidRPr="008C148B" w:rsidRDefault="003F1413" w:rsidP="003E095A">
      <w:pPr>
        <w:spacing w:line="276" w:lineRule="auto"/>
        <w:rPr>
          <w:lang w:val="en-GB"/>
        </w:rPr>
      </w:pPr>
      <w:r w:rsidRPr="008C148B">
        <w:rPr>
          <w:lang w:val="en-GB"/>
        </w:rPr>
        <w:t>We have therefore see</w:t>
      </w:r>
      <w:r w:rsidR="00A66333" w:rsidRPr="008C148B">
        <w:rPr>
          <w:lang w:val="en-GB"/>
        </w:rPr>
        <w:t xml:space="preserve">n a </w:t>
      </w:r>
      <w:r w:rsidRPr="008C148B">
        <w:rPr>
          <w:lang w:val="en-GB"/>
        </w:rPr>
        <w:t xml:space="preserve">radical shift in policy in just ten years.  Firstly, in the early 2000s, there was an active encouragement for diversity of KS4 qualifications, with an increased emphasis on </w:t>
      </w:r>
      <w:r w:rsidRPr="008C148B">
        <w:rPr>
          <w:i/>
          <w:lang w:val="en-GB"/>
        </w:rPr>
        <w:t>key</w:t>
      </w:r>
      <w:r w:rsidRPr="008C148B">
        <w:rPr>
          <w:lang w:val="en-GB"/>
        </w:rPr>
        <w:t xml:space="preserve">, </w:t>
      </w:r>
      <w:r w:rsidRPr="008C148B">
        <w:rPr>
          <w:i/>
          <w:lang w:val="en-GB"/>
        </w:rPr>
        <w:t>core</w:t>
      </w:r>
      <w:r w:rsidRPr="008C148B">
        <w:rPr>
          <w:lang w:val="en-GB"/>
        </w:rPr>
        <w:t xml:space="preserve"> and </w:t>
      </w:r>
      <w:r w:rsidRPr="008C148B">
        <w:rPr>
          <w:i/>
          <w:lang w:val="en-GB"/>
        </w:rPr>
        <w:t>personal</w:t>
      </w:r>
      <w:r w:rsidRPr="008C148B">
        <w:rPr>
          <w:lang w:val="en-GB"/>
        </w:rPr>
        <w:t xml:space="preserve"> skills and on employability for global competitiveness</w:t>
      </w:r>
      <w:r w:rsidR="007C6B78" w:rsidRPr="008C148B">
        <w:rPr>
          <w:lang w:val="en-GB"/>
        </w:rPr>
        <w:t xml:space="preserve"> (</w:t>
      </w:r>
      <w:proofErr w:type="spellStart"/>
      <w:r w:rsidR="007C6B78" w:rsidRPr="008C148B">
        <w:rPr>
          <w:lang w:val="en-GB"/>
        </w:rPr>
        <w:t>Unwin</w:t>
      </w:r>
      <w:proofErr w:type="spellEnd"/>
      <w:r w:rsidR="007C6B78" w:rsidRPr="008C148B">
        <w:rPr>
          <w:lang w:val="en-GB"/>
        </w:rPr>
        <w:t>, 2012)</w:t>
      </w:r>
      <w:r w:rsidRPr="008C148B">
        <w:rPr>
          <w:lang w:val="en-GB"/>
        </w:rPr>
        <w:t xml:space="preserve">.  </w:t>
      </w:r>
      <w:r w:rsidR="009F1DD4" w:rsidRPr="008C148B">
        <w:rPr>
          <w:lang w:val="en-GB"/>
        </w:rPr>
        <w:t>Then</w:t>
      </w:r>
      <w:r w:rsidR="00A66333" w:rsidRPr="008C148B">
        <w:rPr>
          <w:lang w:val="en-GB"/>
        </w:rPr>
        <w:t>,</w:t>
      </w:r>
      <w:r w:rsidRPr="008C148B">
        <w:rPr>
          <w:lang w:val="en-GB"/>
        </w:rPr>
        <w:t xml:space="preserve"> </w:t>
      </w:r>
      <w:r w:rsidR="00A66333" w:rsidRPr="008C148B">
        <w:rPr>
          <w:lang w:val="en-GB"/>
        </w:rPr>
        <w:t>by</w:t>
      </w:r>
      <w:r w:rsidRPr="008C148B">
        <w:rPr>
          <w:lang w:val="en-GB"/>
        </w:rPr>
        <w:t xml:space="preserve"> the early 2010s, this </w:t>
      </w:r>
      <w:r w:rsidR="00A66333" w:rsidRPr="008C148B">
        <w:rPr>
          <w:lang w:val="en-GB"/>
        </w:rPr>
        <w:t xml:space="preserve">breadth </w:t>
      </w:r>
      <w:r w:rsidR="008F3E28">
        <w:rPr>
          <w:lang w:val="en-GB"/>
        </w:rPr>
        <w:t>wa</w:t>
      </w:r>
      <w:r w:rsidR="00A66333" w:rsidRPr="008C148B">
        <w:rPr>
          <w:lang w:val="en-GB"/>
        </w:rPr>
        <w:t xml:space="preserve">s itself seen as problematic and as responsible for a </w:t>
      </w:r>
      <w:r w:rsidRPr="008C148B">
        <w:rPr>
          <w:lang w:val="en-GB"/>
        </w:rPr>
        <w:t>slipping of standards</w:t>
      </w:r>
      <w:r w:rsidR="00A66333" w:rsidRPr="008C148B">
        <w:rPr>
          <w:lang w:val="en-GB"/>
        </w:rPr>
        <w:t>, with serious implications for</w:t>
      </w:r>
      <w:r w:rsidRPr="008C148B">
        <w:rPr>
          <w:lang w:val="en-GB"/>
        </w:rPr>
        <w:t xml:space="preserve"> the UK’s international standing</w:t>
      </w:r>
      <w:r w:rsidR="00A66333" w:rsidRPr="008C148B">
        <w:rPr>
          <w:lang w:val="en-GB"/>
        </w:rPr>
        <w:t>.  Accompanying this</w:t>
      </w:r>
      <w:r w:rsidR="002D7A0B">
        <w:rPr>
          <w:lang w:val="en-GB"/>
        </w:rPr>
        <w:t xml:space="preserve">, and despite </w:t>
      </w:r>
      <w:r w:rsidR="00B22540">
        <w:rPr>
          <w:lang w:val="en-GB"/>
        </w:rPr>
        <w:t>difficulties of distinction between the vocational and academic (</w:t>
      </w:r>
      <w:proofErr w:type="spellStart"/>
      <w:r w:rsidR="00B22540">
        <w:rPr>
          <w:lang w:val="en-GB"/>
        </w:rPr>
        <w:t>Pring</w:t>
      </w:r>
      <w:proofErr w:type="spellEnd"/>
      <w:r w:rsidR="00B22540">
        <w:rPr>
          <w:lang w:val="en-GB"/>
        </w:rPr>
        <w:t xml:space="preserve"> </w:t>
      </w:r>
      <w:r w:rsidR="00B22540" w:rsidRPr="00FC54CB">
        <w:rPr>
          <w:i/>
          <w:lang w:val="en-GB"/>
        </w:rPr>
        <w:t>et al</w:t>
      </w:r>
      <w:r w:rsidR="00B22540">
        <w:rPr>
          <w:lang w:val="en-GB"/>
        </w:rPr>
        <w:t>, 2009; Doyle, 2012)</w:t>
      </w:r>
      <w:r w:rsidR="00FC54CB">
        <w:rPr>
          <w:lang w:val="en-GB"/>
        </w:rPr>
        <w:t>,</w:t>
      </w:r>
      <w:r w:rsidR="00A66333" w:rsidRPr="008C148B">
        <w:rPr>
          <w:lang w:val="en-GB"/>
        </w:rPr>
        <w:t xml:space="preserve"> </w:t>
      </w:r>
      <w:r w:rsidR="008F3E28">
        <w:rPr>
          <w:lang w:val="en-GB"/>
        </w:rPr>
        <w:t>wa</w:t>
      </w:r>
      <w:r w:rsidR="00A66333" w:rsidRPr="008C148B">
        <w:rPr>
          <w:lang w:val="en-GB"/>
        </w:rPr>
        <w:t xml:space="preserve">s a re-assertion that a </w:t>
      </w:r>
      <w:r w:rsidR="00D33B04" w:rsidRPr="008C148B">
        <w:rPr>
          <w:lang w:val="en-GB"/>
        </w:rPr>
        <w:t xml:space="preserve">specified range of </w:t>
      </w:r>
      <w:r w:rsidR="00953279" w:rsidRPr="008C148B">
        <w:rPr>
          <w:lang w:val="en-GB"/>
        </w:rPr>
        <w:t xml:space="preserve">academic </w:t>
      </w:r>
      <w:r w:rsidR="00D33B04" w:rsidRPr="008C148B">
        <w:rPr>
          <w:lang w:val="en-GB"/>
        </w:rPr>
        <w:t>subject-based examinations represent</w:t>
      </w:r>
      <w:r w:rsidR="008F3E28">
        <w:rPr>
          <w:lang w:val="en-GB"/>
        </w:rPr>
        <w:t>ed</w:t>
      </w:r>
      <w:r w:rsidR="00A66333" w:rsidRPr="008C148B">
        <w:rPr>
          <w:lang w:val="en-GB"/>
        </w:rPr>
        <w:t xml:space="preserve"> </w:t>
      </w:r>
      <w:r w:rsidR="003B082D" w:rsidRPr="008C148B">
        <w:rPr>
          <w:lang w:val="en-GB"/>
        </w:rPr>
        <w:t xml:space="preserve">legitimate and </w:t>
      </w:r>
      <w:r w:rsidR="00D33B04" w:rsidRPr="008C148B">
        <w:rPr>
          <w:lang w:val="en-GB"/>
        </w:rPr>
        <w:t>hig</w:t>
      </w:r>
      <w:r w:rsidR="003B0402" w:rsidRPr="008C148B">
        <w:rPr>
          <w:lang w:val="en-GB"/>
        </w:rPr>
        <w:t>h standards</w:t>
      </w:r>
      <w:r w:rsidRPr="008C148B">
        <w:rPr>
          <w:lang w:val="en-GB"/>
        </w:rPr>
        <w:t xml:space="preserve">.  </w:t>
      </w:r>
      <w:r w:rsidR="002D7A0B">
        <w:rPr>
          <w:lang w:val="en-GB"/>
        </w:rPr>
        <w:t>The principal argument justify</w:t>
      </w:r>
      <w:r w:rsidR="00E95633">
        <w:rPr>
          <w:lang w:val="en-GB"/>
        </w:rPr>
        <w:t xml:space="preserve">ing this shift insists that </w:t>
      </w:r>
      <w:r w:rsidR="002D7A0B">
        <w:rPr>
          <w:lang w:val="en-GB"/>
        </w:rPr>
        <w:t xml:space="preserve">subject-based examinations represent a </w:t>
      </w:r>
      <w:r w:rsidR="00FB7D8A">
        <w:rPr>
          <w:lang w:val="en-GB"/>
        </w:rPr>
        <w:t>more powerful form of knowledge</w:t>
      </w:r>
      <w:r w:rsidR="00E95633">
        <w:rPr>
          <w:lang w:val="en-GB"/>
        </w:rPr>
        <w:t xml:space="preserve">, and that access to this </w:t>
      </w:r>
      <w:r w:rsidR="00277920">
        <w:rPr>
          <w:lang w:val="en-GB"/>
        </w:rPr>
        <w:t xml:space="preserve">knowledge </w:t>
      </w:r>
      <w:r w:rsidR="00E95633">
        <w:rPr>
          <w:lang w:val="en-GB"/>
        </w:rPr>
        <w:t xml:space="preserve">is crucial for working class children whose backgrounds may not </w:t>
      </w:r>
      <w:r w:rsidR="00277920">
        <w:rPr>
          <w:lang w:val="en-GB"/>
        </w:rPr>
        <w:t xml:space="preserve">provide it of their own accord (Young, 2008; and see </w:t>
      </w:r>
      <w:proofErr w:type="spellStart"/>
      <w:r w:rsidR="00277920">
        <w:rPr>
          <w:lang w:val="en-GB"/>
        </w:rPr>
        <w:t>Whitty</w:t>
      </w:r>
      <w:proofErr w:type="spellEnd"/>
      <w:r w:rsidR="00277920">
        <w:rPr>
          <w:lang w:val="en-GB"/>
        </w:rPr>
        <w:t xml:space="preserve">, 2010, for an account of this position in relation to shifts in sociological perspectives). </w:t>
      </w:r>
      <w:r w:rsidR="00FA75C4">
        <w:rPr>
          <w:lang w:val="en-GB"/>
        </w:rPr>
        <w:t>However, a</w:t>
      </w:r>
      <w:r w:rsidR="00FD4FBC" w:rsidRPr="008C148B">
        <w:rPr>
          <w:lang w:val="en-GB"/>
        </w:rPr>
        <w:t xml:space="preserve"> critical perspective might see this </w:t>
      </w:r>
      <w:r w:rsidR="00C16A0C" w:rsidRPr="008C148B">
        <w:rPr>
          <w:lang w:val="en-GB"/>
        </w:rPr>
        <w:t>shift as representing a re-establishment of an earlier form of educational differentiation, or inequality</w:t>
      </w:r>
      <w:r w:rsidR="007C6B78" w:rsidRPr="008C148B">
        <w:rPr>
          <w:lang w:val="en-GB"/>
        </w:rPr>
        <w:t xml:space="preserve"> (Hodgson &amp; </w:t>
      </w:r>
      <w:proofErr w:type="spellStart"/>
      <w:r w:rsidR="007C6B78" w:rsidRPr="008C148B">
        <w:rPr>
          <w:lang w:val="en-GB"/>
        </w:rPr>
        <w:t>Spours</w:t>
      </w:r>
      <w:proofErr w:type="spellEnd"/>
      <w:r w:rsidR="007C6B78" w:rsidRPr="008C148B">
        <w:rPr>
          <w:lang w:val="en-GB"/>
        </w:rPr>
        <w:t>, 2014)</w:t>
      </w:r>
      <w:r w:rsidR="00C16A0C" w:rsidRPr="008C148B">
        <w:rPr>
          <w:lang w:val="en-GB"/>
        </w:rPr>
        <w:t xml:space="preserve">. </w:t>
      </w:r>
      <w:r w:rsidR="006A2E59" w:rsidRPr="008C148B">
        <w:rPr>
          <w:lang w:val="en-GB"/>
        </w:rPr>
        <w:t xml:space="preserve"> </w:t>
      </w:r>
    </w:p>
    <w:p w:rsidR="003F1413" w:rsidRDefault="003F1413" w:rsidP="003E095A">
      <w:pPr>
        <w:spacing w:line="276" w:lineRule="auto"/>
        <w:rPr>
          <w:b/>
          <w:lang w:val="en-GB"/>
        </w:rPr>
      </w:pPr>
    </w:p>
    <w:p w:rsidR="00FC54CB" w:rsidRPr="008C148B" w:rsidRDefault="00FC54CB" w:rsidP="003E095A">
      <w:pPr>
        <w:spacing w:line="276" w:lineRule="auto"/>
        <w:rPr>
          <w:b/>
          <w:lang w:val="en-GB"/>
        </w:rPr>
      </w:pPr>
    </w:p>
    <w:p w:rsidR="00624679" w:rsidRPr="008C148B" w:rsidRDefault="00D66B7D" w:rsidP="003E095A">
      <w:pPr>
        <w:spacing w:line="276" w:lineRule="auto"/>
        <w:rPr>
          <w:b/>
          <w:lang w:val="en-GB"/>
        </w:rPr>
      </w:pPr>
      <w:r>
        <w:rPr>
          <w:b/>
          <w:lang w:val="en-GB"/>
        </w:rPr>
        <w:t xml:space="preserve">4. </w:t>
      </w:r>
      <w:r w:rsidR="00EF3503" w:rsidRPr="008C148B">
        <w:rPr>
          <w:b/>
          <w:lang w:val="en-GB"/>
        </w:rPr>
        <w:t>Methodology</w:t>
      </w:r>
    </w:p>
    <w:p w:rsidR="00624679" w:rsidRPr="008C148B" w:rsidRDefault="00624679" w:rsidP="003E095A">
      <w:pPr>
        <w:spacing w:line="276" w:lineRule="auto"/>
        <w:rPr>
          <w:b/>
          <w:lang w:val="en-GB"/>
        </w:rPr>
      </w:pPr>
    </w:p>
    <w:p w:rsidR="003B0402" w:rsidRPr="008C148B" w:rsidRDefault="005E75EB" w:rsidP="003E095A">
      <w:pPr>
        <w:spacing w:line="276" w:lineRule="auto"/>
        <w:rPr>
          <w:lang w:val="en-GB"/>
        </w:rPr>
      </w:pPr>
      <w:r w:rsidRPr="008C148B">
        <w:rPr>
          <w:lang w:val="en-GB"/>
        </w:rPr>
        <w:t>Given that CoPE is one of the qualifications to have seen its fortunes change in this policy landscape, t</w:t>
      </w:r>
      <w:r w:rsidR="003B0402" w:rsidRPr="008C148B">
        <w:rPr>
          <w:lang w:val="en-GB"/>
        </w:rPr>
        <w:t>his paper</w:t>
      </w:r>
      <w:r w:rsidR="00CA77F2" w:rsidRPr="008C148B">
        <w:rPr>
          <w:lang w:val="en-GB"/>
        </w:rPr>
        <w:t xml:space="preserve"> seeks to</w:t>
      </w:r>
      <w:r w:rsidR="003B0402" w:rsidRPr="008C148B">
        <w:rPr>
          <w:lang w:val="en-GB"/>
        </w:rPr>
        <w:t xml:space="preserve"> explore </w:t>
      </w:r>
      <w:r w:rsidR="00CA77F2" w:rsidRPr="008C148B">
        <w:rPr>
          <w:lang w:val="en-GB"/>
        </w:rPr>
        <w:t xml:space="preserve">the relationship between </w:t>
      </w:r>
      <w:r w:rsidR="003B0402" w:rsidRPr="008C148B">
        <w:rPr>
          <w:lang w:val="en-GB"/>
        </w:rPr>
        <w:t>CoPE</w:t>
      </w:r>
      <w:r w:rsidR="00CA77F2" w:rsidRPr="008C148B">
        <w:rPr>
          <w:lang w:val="en-GB"/>
        </w:rPr>
        <w:t xml:space="preserve"> and GCSE outcomes</w:t>
      </w:r>
      <w:r w:rsidR="003B0402" w:rsidRPr="008C148B">
        <w:rPr>
          <w:lang w:val="en-GB"/>
        </w:rPr>
        <w:t>, built around three main research questions:</w:t>
      </w:r>
    </w:p>
    <w:p w:rsidR="000D5B68" w:rsidRPr="008C148B" w:rsidRDefault="000D5B68" w:rsidP="003E095A">
      <w:pPr>
        <w:spacing w:line="276" w:lineRule="auto"/>
        <w:rPr>
          <w:lang w:val="en-GB"/>
        </w:rPr>
      </w:pPr>
    </w:p>
    <w:p w:rsidR="000D5B68" w:rsidRPr="008C148B" w:rsidRDefault="00A90384" w:rsidP="003E095A">
      <w:pPr>
        <w:pStyle w:val="ListParagraph"/>
        <w:numPr>
          <w:ilvl w:val="0"/>
          <w:numId w:val="1"/>
        </w:numPr>
        <w:spacing w:line="276" w:lineRule="auto"/>
        <w:rPr>
          <w:lang w:val="en-GB"/>
        </w:rPr>
      </w:pPr>
      <w:r w:rsidRPr="008C148B">
        <w:rPr>
          <w:bCs/>
          <w:lang w:val="en-GB"/>
        </w:rPr>
        <w:t xml:space="preserve">Is pursuing CoPE associated with significantly </w:t>
      </w:r>
      <w:r w:rsidR="003B0402" w:rsidRPr="008C148B">
        <w:rPr>
          <w:bCs/>
          <w:lang w:val="en-GB"/>
        </w:rPr>
        <w:t>different</w:t>
      </w:r>
      <w:r w:rsidRPr="008C148B">
        <w:rPr>
          <w:bCs/>
          <w:lang w:val="en-GB"/>
        </w:rPr>
        <w:t xml:space="preserve"> attainment in the GCSEs undertaken at the same time?</w:t>
      </w:r>
    </w:p>
    <w:p w:rsidR="000D5B68" w:rsidRPr="008C148B" w:rsidRDefault="00A90384" w:rsidP="003E095A">
      <w:pPr>
        <w:pStyle w:val="ListParagraph"/>
        <w:numPr>
          <w:ilvl w:val="0"/>
          <w:numId w:val="1"/>
        </w:numPr>
        <w:spacing w:line="276" w:lineRule="auto"/>
        <w:rPr>
          <w:lang w:val="en-GB"/>
        </w:rPr>
      </w:pPr>
      <w:r w:rsidRPr="008C148B">
        <w:rPr>
          <w:bCs/>
          <w:lang w:val="en-GB"/>
        </w:rPr>
        <w:t xml:space="preserve">Are there groups for which any </w:t>
      </w:r>
      <w:r w:rsidR="005E75EB" w:rsidRPr="008C148B">
        <w:rPr>
          <w:bCs/>
          <w:lang w:val="en-GB"/>
        </w:rPr>
        <w:t xml:space="preserve">such </w:t>
      </w:r>
      <w:r w:rsidRPr="008C148B">
        <w:rPr>
          <w:bCs/>
          <w:lang w:val="en-GB"/>
        </w:rPr>
        <w:t>relationship was particularly strong, absent or reversed?</w:t>
      </w:r>
    </w:p>
    <w:p w:rsidR="000D5B68" w:rsidRPr="008C148B" w:rsidRDefault="00A90384" w:rsidP="003E095A">
      <w:pPr>
        <w:pStyle w:val="ListParagraph"/>
        <w:numPr>
          <w:ilvl w:val="0"/>
          <w:numId w:val="1"/>
        </w:numPr>
        <w:spacing w:line="276" w:lineRule="auto"/>
        <w:rPr>
          <w:lang w:val="en-GB"/>
        </w:rPr>
      </w:pPr>
      <w:r w:rsidRPr="008C148B">
        <w:rPr>
          <w:bCs/>
          <w:lang w:val="en-GB"/>
        </w:rPr>
        <w:t>By what mechanisms might these relationships operate?</w:t>
      </w:r>
    </w:p>
    <w:p w:rsidR="000D5B68" w:rsidRPr="008C148B" w:rsidRDefault="000D5B68" w:rsidP="003E095A">
      <w:pPr>
        <w:spacing w:line="276" w:lineRule="auto"/>
        <w:rPr>
          <w:lang w:val="en-GB"/>
        </w:rPr>
      </w:pPr>
    </w:p>
    <w:p w:rsidR="00785629" w:rsidRPr="008C148B" w:rsidRDefault="00A90384" w:rsidP="003E095A">
      <w:pPr>
        <w:spacing w:line="276" w:lineRule="auto"/>
        <w:rPr>
          <w:lang w:val="en-GB"/>
        </w:rPr>
      </w:pPr>
      <w:r w:rsidRPr="008C148B">
        <w:rPr>
          <w:lang w:val="en-GB"/>
        </w:rPr>
        <w:t>The research approach used in this study was purposively mixed methods, which</w:t>
      </w:r>
      <w:r w:rsidR="00604AFA" w:rsidRPr="008C148B">
        <w:rPr>
          <w:lang w:val="en-GB"/>
        </w:rPr>
        <w:t xml:space="preserve"> Johnson &amp; </w:t>
      </w:r>
      <w:proofErr w:type="spellStart"/>
      <w:r w:rsidR="00604AFA" w:rsidRPr="008C148B">
        <w:rPr>
          <w:lang w:val="en-GB"/>
        </w:rPr>
        <w:t>Onwuegbuzie</w:t>
      </w:r>
      <w:proofErr w:type="spellEnd"/>
      <w:r w:rsidR="00604AFA" w:rsidRPr="008C148B">
        <w:rPr>
          <w:lang w:val="en-GB"/>
        </w:rPr>
        <w:t xml:space="preserve"> (2004, p.</w:t>
      </w:r>
      <w:r w:rsidRPr="008C148B">
        <w:rPr>
          <w:lang w:val="en-GB"/>
        </w:rPr>
        <w:t xml:space="preserve">17) define as </w:t>
      </w:r>
      <w:r w:rsidR="00CA77F2" w:rsidRPr="008C148B">
        <w:rPr>
          <w:lang w:val="en-GB"/>
        </w:rPr>
        <w:t>‘</w:t>
      </w:r>
      <w:r w:rsidRPr="008C148B">
        <w:rPr>
          <w:lang w:val="en-GB"/>
        </w:rPr>
        <w:t>where the researcher mixes or combines quantitative and qualitative research techniques, methods, approaches, concepts or l</w:t>
      </w:r>
      <w:r w:rsidR="00CA77F2" w:rsidRPr="008C148B">
        <w:rPr>
          <w:lang w:val="en-GB"/>
        </w:rPr>
        <w:t>anguage into a single study.’</w:t>
      </w:r>
      <w:r w:rsidRPr="008C148B">
        <w:rPr>
          <w:lang w:val="en-GB"/>
        </w:rPr>
        <w:t xml:space="preserve">  They argue that mixed methods research </w:t>
      </w:r>
      <w:r w:rsidR="005E75EB" w:rsidRPr="008C148B">
        <w:rPr>
          <w:lang w:val="en-GB"/>
        </w:rPr>
        <w:t>bridges a</w:t>
      </w:r>
      <w:r w:rsidRPr="008C148B">
        <w:rPr>
          <w:lang w:val="en-GB"/>
        </w:rPr>
        <w:t xml:space="preserve"> gap between positivism and interpretivism with a pragmatic approach to enquiry that makes use of the most effective blend of methods for add</w:t>
      </w:r>
      <w:r w:rsidR="00802EB1" w:rsidRPr="008C148B">
        <w:rPr>
          <w:lang w:val="en-GB"/>
        </w:rPr>
        <w:t xml:space="preserve">ressing the research questions (also see </w:t>
      </w:r>
      <w:proofErr w:type="spellStart"/>
      <w:r w:rsidR="00802EB1" w:rsidRPr="008C148B">
        <w:rPr>
          <w:lang w:val="en-GB"/>
        </w:rPr>
        <w:t>Gorard</w:t>
      </w:r>
      <w:proofErr w:type="spellEnd"/>
      <w:r w:rsidR="00802EB1" w:rsidRPr="008C148B">
        <w:rPr>
          <w:lang w:val="en-GB"/>
        </w:rPr>
        <w:t>, 2004)</w:t>
      </w:r>
      <w:r w:rsidRPr="008C148B">
        <w:rPr>
          <w:lang w:val="en-GB"/>
        </w:rPr>
        <w:t xml:space="preserve">.  Among its advantages, </w:t>
      </w:r>
      <w:r w:rsidR="001B528A" w:rsidRPr="008C148B">
        <w:rPr>
          <w:lang w:val="en-GB"/>
        </w:rPr>
        <w:t xml:space="preserve">Johnson &amp; </w:t>
      </w:r>
      <w:proofErr w:type="spellStart"/>
      <w:r w:rsidR="001B528A" w:rsidRPr="008C148B">
        <w:rPr>
          <w:lang w:val="en-GB"/>
        </w:rPr>
        <w:t>Onwuegbuzie</w:t>
      </w:r>
      <w:proofErr w:type="spellEnd"/>
      <w:r w:rsidR="001B528A" w:rsidRPr="008C148B">
        <w:rPr>
          <w:lang w:val="en-GB"/>
        </w:rPr>
        <w:t xml:space="preserve"> (2004</w:t>
      </w:r>
      <w:r w:rsidR="001B528A">
        <w:rPr>
          <w:lang w:val="en-GB"/>
        </w:rPr>
        <w:t xml:space="preserve">) </w:t>
      </w:r>
      <w:r w:rsidRPr="008C148B">
        <w:rPr>
          <w:lang w:val="en-GB"/>
        </w:rPr>
        <w:t>cite its ability to generate stronger evidence and additional insights, to overcome methodological weaknesses, and to make it easier for fi</w:t>
      </w:r>
      <w:r w:rsidR="00604AFA" w:rsidRPr="008C148B">
        <w:rPr>
          <w:lang w:val="en-GB"/>
        </w:rPr>
        <w:t>ndings to be generalised</w:t>
      </w:r>
      <w:r w:rsidRPr="008C148B">
        <w:rPr>
          <w:lang w:val="en-GB"/>
        </w:rPr>
        <w:t>.</w:t>
      </w:r>
      <w:r w:rsidR="00995693" w:rsidRPr="008C148B">
        <w:rPr>
          <w:lang w:val="en-GB"/>
        </w:rPr>
        <w:t xml:space="preserve">  There is not the space here to engage with some of the stronger claims made</w:t>
      </w:r>
      <w:r w:rsidR="00F55637" w:rsidRPr="008C148B">
        <w:rPr>
          <w:lang w:val="en-GB"/>
        </w:rPr>
        <w:t xml:space="preserve"> by advocates of mixed methods, such as the claim that it constitutes a</w:t>
      </w:r>
      <w:r w:rsidR="007C25BC" w:rsidRPr="008C148B">
        <w:rPr>
          <w:lang w:val="en-GB"/>
        </w:rPr>
        <w:t xml:space="preserve"> ‘third paradigm’ </w:t>
      </w:r>
      <w:r w:rsidR="00802EB1" w:rsidRPr="008C148B">
        <w:rPr>
          <w:lang w:val="en-GB"/>
        </w:rPr>
        <w:t>(see for example Torrance, 2011,</w:t>
      </w:r>
      <w:r w:rsidR="007C25BC" w:rsidRPr="008C148B">
        <w:rPr>
          <w:lang w:val="en-GB"/>
        </w:rPr>
        <w:t xml:space="preserve"> 2012)</w:t>
      </w:r>
      <w:r w:rsidR="00F55637" w:rsidRPr="008C148B">
        <w:rPr>
          <w:lang w:val="en-GB"/>
        </w:rPr>
        <w:t xml:space="preserve">.  Nevertheless, </w:t>
      </w:r>
      <w:r w:rsidR="007C25BC" w:rsidRPr="008C148B">
        <w:rPr>
          <w:lang w:val="en-GB"/>
        </w:rPr>
        <w:t>a</w:t>
      </w:r>
      <w:r w:rsidR="00C51C59" w:rsidRPr="008C148B">
        <w:rPr>
          <w:lang w:val="en-GB"/>
        </w:rPr>
        <w:t xml:space="preserve"> mixed methods approach</w:t>
      </w:r>
      <w:r w:rsidRPr="008C148B">
        <w:rPr>
          <w:lang w:val="en-GB"/>
        </w:rPr>
        <w:t xml:space="preserve"> was</w:t>
      </w:r>
      <w:r w:rsidR="005E75EB" w:rsidRPr="008C148B">
        <w:rPr>
          <w:lang w:val="en-GB"/>
        </w:rPr>
        <w:t xml:space="preserve"> </w:t>
      </w:r>
      <w:r w:rsidRPr="008C148B">
        <w:rPr>
          <w:lang w:val="en-GB"/>
        </w:rPr>
        <w:t xml:space="preserve">particularly attractive in the context </w:t>
      </w:r>
      <w:r w:rsidRPr="008C148B">
        <w:rPr>
          <w:lang w:val="en-GB"/>
        </w:rPr>
        <w:lastRenderedPageBreak/>
        <w:t>of this study</w:t>
      </w:r>
      <w:r w:rsidR="007C25BC" w:rsidRPr="008C148B">
        <w:rPr>
          <w:lang w:val="en-GB"/>
        </w:rPr>
        <w:t xml:space="preserve">.  With something as complex and situated as an educational process, </w:t>
      </w:r>
      <w:r w:rsidR="0047223B" w:rsidRPr="008C148B">
        <w:rPr>
          <w:lang w:val="en-GB"/>
        </w:rPr>
        <w:t xml:space="preserve">even the most comprehensive and reliable national data </w:t>
      </w:r>
      <w:r w:rsidR="005E75EB" w:rsidRPr="008C148B">
        <w:rPr>
          <w:lang w:val="en-GB"/>
        </w:rPr>
        <w:t xml:space="preserve">on outcomes or learners’ profiles </w:t>
      </w:r>
      <w:r w:rsidR="0047223B" w:rsidRPr="008C148B">
        <w:rPr>
          <w:lang w:val="en-GB"/>
        </w:rPr>
        <w:t xml:space="preserve">will only give us particular kinds of knowledge.  Similarly, more intimate qualitative data, if it has richness and depth, will be limited to </w:t>
      </w:r>
      <w:r w:rsidR="005E75EB" w:rsidRPr="008C148B">
        <w:rPr>
          <w:lang w:val="en-GB"/>
        </w:rPr>
        <w:t>relatively</w:t>
      </w:r>
      <w:r w:rsidR="0047223B" w:rsidRPr="008C148B">
        <w:rPr>
          <w:lang w:val="en-GB"/>
        </w:rPr>
        <w:t xml:space="preserve"> few sites, and whilst this does not always rule out </w:t>
      </w:r>
      <w:r w:rsidR="002609AA" w:rsidRPr="008C148B">
        <w:rPr>
          <w:lang w:val="en-GB"/>
        </w:rPr>
        <w:t xml:space="preserve">all forms of </w:t>
      </w:r>
      <w:r w:rsidR="0047223B" w:rsidRPr="008C148B">
        <w:rPr>
          <w:lang w:val="en-GB"/>
        </w:rPr>
        <w:t>generali</w:t>
      </w:r>
      <w:r w:rsidR="004112E1" w:rsidRPr="008C148B">
        <w:rPr>
          <w:lang w:val="en-GB"/>
        </w:rPr>
        <w:t>s</w:t>
      </w:r>
      <w:r w:rsidR="0047223B" w:rsidRPr="008C148B">
        <w:rPr>
          <w:lang w:val="en-GB"/>
        </w:rPr>
        <w:t>ation</w:t>
      </w:r>
      <w:r w:rsidR="00640759" w:rsidRPr="008C148B">
        <w:rPr>
          <w:lang w:val="en-GB"/>
        </w:rPr>
        <w:t xml:space="preserve"> (</w:t>
      </w:r>
      <w:r w:rsidR="002609AA" w:rsidRPr="008C148B">
        <w:rPr>
          <w:lang w:val="en-GB"/>
        </w:rPr>
        <w:t xml:space="preserve">e.g. </w:t>
      </w:r>
      <w:proofErr w:type="spellStart"/>
      <w:r w:rsidR="002609AA" w:rsidRPr="008C148B">
        <w:rPr>
          <w:lang w:val="en-GB"/>
        </w:rPr>
        <w:t>Flyvbjerg</w:t>
      </w:r>
      <w:proofErr w:type="spellEnd"/>
      <w:r w:rsidR="002609AA" w:rsidRPr="008C148B">
        <w:rPr>
          <w:lang w:val="en-GB"/>
        </w:rPr>
        <w:t xml:space="preserve">, </w:t>
      </w:r>
      <w:r w:rsidR="00A53FF5" w:rsidRPr="008C148B">
        <w:rPr>
          <w:lang w:val="en-GB"/>
        </w:rPr>
        <w:t>2006)</w:t>
      </w:r>
      <w:r w:rsidR="002609AA" w:rsidRPr="008C148B">
        <w:rPr>
          <w:lang w:val="en-GB"/>
        </w:rPr>
        <w:t xml:space="preserve"> </w:t>
      </w:r>
      <w:r w:rsidR="00640759" w:rsidRPr="008C148B">
        <w:rPr>
          <w:lang w:val="en-GB"/>
        </w:rPr>
        <w:t xml:space="preserve">or indeed </w:t>
      </w:r>
      <w:proofErr w:type="spellStart"/>
      <w:r w:rsidR="00640759" w:rsidRPr="008C148B">
        <w:rPr>
          <w:lang w:val="en-GB"/>
        </w:rPr>
        <w:t>representativity</w:t>
      </w:r>
      <w:proofErr w:type="spellEnd"/>
      <w:r w:rsidR="00640759" w:rsidRPr="008C148B">
        <w:rPr>
          <w:lang w:val="en-GB"/>
        </w:rPr>
        <w:t xml:space="preserve"> at the level of social relations </w:t>
      </w:r>
      <w:r w:rsidR="002609AA" w:rsidRPr="008C148B">
        <w:rPr>
          <w:lang w:val="en-GB"/>
        </w:rPr>
        <w:t xml:space="preserve">(e.g. </w:t>
      </w:r>
      <w:proofErr w:type="spellStart"/>
      <w:r w:rsidR="00640759" w:rsidRPr="008C148B">
        <w:rPr>
          <w:lang w:val="en-GB"/>
        </w:rPr>
        <w:t>Bertaux</w:t>
      </w:r>
      <w:proofErr w:type="spellEnd"/>
      <w:r w:rsidR="00640759" w:rsidRPr="008C148B">
        <w:rPr>
          <w:lang w:val="en-GB"/>
        </w:rPr>
        <w:t>, 1981)</w:t>
      </w:r>
      <w:r w:rsidR="0047223B" w:rsidRPr="008C148B">
        <w:rPr>
          <w:lang w:val="en-GB"/>
        </w:rPr>
        <w:t xml:space="preserve">, it often leaves question-marks over typicality.   With this study, our wish was </w:t>
      </w:r>
      <w:r w:rsidR="00640759" w:rsidRPr="008C148B">
        <w:rPr>
          <w:lang w:val="en-GB"/>
        </w:rPr>
        <w:t xml:space="preserve">firstly </w:t>
      </w:r>
      <w:r w:rsidR="0047223B" w:rsidRPr="008C148B">
        <w:rPr>
          <w:lang w:val="en-GB"/>
        </w:rPr>
        <w:t>to look</w:t>
      </w:r>
      <w:r w:rsidR="001B528A">
        <w:rPr>
          <w:lang w:val="en-GB"/>
        </w:rPr>
        <w:t xml:space="preserve"> </w:t>
      </w:r>
      <w:r w:rsidR="001B528A">
        <w:rPr>
          <w:i/>
          <w:lang w:val="en-GB"/>
        </w:rPr>
        <w:t>quantitatively</w:t>
      </w:r>
      <w:r w:rsidR="0047223B" w:rsidRPr="008C148B">
        <w:rPr>
          <w:lang w:val="en-GB"/>
        </w:rPr>
        <w:t xml:space="preserve"> at whether or not there was a </w:t>
      </w:r>
      <w:r w:rsidRPr="008C148B">
        <w:rPr>
          <w:lang w:val="en-GB"/>
        </w:rPr>
        <w:t xml:space="preserve">statistically significant link between CoPE and </w:t>
      </w:r>
      <w:r w:rsidR="003B0402" w:rsidRPr="008C148B">
        <w:rPr>
          <w:lang w:val="en-GB"/>
        </w:rPr>
        <w:t>GCSE</w:t>
      </w:r>
      <w:r w:rsidRPr="008C148B">
        <w:rPr>
          <w:lang w:val="en-GB"/>
        </w:rPr>
        <w:t xml:space="preserve"> outcomes, </w:t>
      </w:r>
      <w:r w:rsidR="0047223B" w:rsidRPr="008C148B">
        <w:rPr>
          <w:lang w:val="en-GB"/>
        </w:rPr>
        <w:t xml:space="preserve">and </w:t>
      </w:r>
      <w:r w:rsidR="00640759" w:rsidRPr="008C148B">
        <w:rPr>
          <w:lang w:val="en-GB"/>
        </w:rPr>
        <w:t>secondly</w:t>
      </w:r>
      <w:r w:rsidR="005E75EB" w:rsidRPr="008C148B">
        <w:rPr>
          <w:lang w:val="en-GB"/>
        </w:rPr>
        <w:t>, if there was such a link,</w:t>
      </w:r>
      <w:r w:rsidR="00640759" w:rsidRPr="008C148B">
        <w:rPr>
          <w:lang w:val="en-GB"/>
        </w:rPr>
        <w:t xml:space="preserve"> </w:t>
      </w:r>
      <w:r w:rsidR="0047223B" w:rsidRPr="008C148B">
        <w:rPr>
          <w:lang w:val="en-GB"/>
        </w:rPr>
        <w:t xml:space="preserve">to try to understand </w:t>
      </w:r>
      <w:r w:rsidR="001B528A">
        <w:rPr>
          <w:i/>
          <w:lang w:val="en-GB"/>
        </w:rPr>
        <w:t xml:space="preserve">qualitatively </w:t>
      </w:r>
      <w:r w:rsidR="0047223B" w:rsidRPr="008C148B">
        <w:rPr>
          <w:lang w:val="en-GB"/>
        </w:rPr>
        <w:t xml:space="preserve">the likely mechanisms </w:t>
      </w:r>
      <w:r w:rsidR="00640759" w:rsidRPr="008C148B">
        <w:rPr>
          <w:lang w:val="en-GB"/>
        </w:rPr>
        <w:t xml:space="preserve">involved.  In particular, we wanted to see if the practices and experiences we could sample were suggestive of any potentially causal relationships. </w:t>
      </w:r>
      <w:r w:rsidRPr="008C148B">
        <w:rPr>
          <w:lang w:val="en-GB"/>
        </w:rPr>
        <w:t xml:space="preserve">This form of triangulation lies at the heart of mixed methods research, </w:t>
      </w:r>
      <w:r w:rsidR="00877366" w:rsidRPr="008C148B">
        <w:rPr>
          <w:lang w:val="en-GB"/>
        </w:rPr>
        <w:t xml:space="preserve">and supports the development of a </w:t>
      </w:r>
      <w:r w:rsidR="00EF3503" w:rsidRPr="008C148B">
        <w:rPr>
          <w:lang w:val="en-GB"/>
        </w:rPr>
        <w:t>coherent</w:t>
      </w:r>
      <w:r w:rsidRPr="008C148B">
        <w:rPr>
          <w:lang w:val="en-GB"/>
        </w:rPr>
        <w:t xml:space="preserve"> claim to knowledge</w:t>
      </w:r>
      <w:r w:rsidR="00877366" w:rsidRPr="008C148B">
        <w:rPr>
          <w:lang w:val="en-GB"/>
        </w:rPr>
        <w:t>, integrating both a tested relationship and plausible routes for causality</w:t>
      </w:r>
      <w:r w:rsidRPr="008C148B">
        <w:rPr>
          <w:lang w:val="en-GB"/>
        </w:rPr>
        <w:t>.</w:t>
      </w:r>
      <w:r w:rsidR="003B0402" w:rsidRPr="008C148B">
        <w:rPr>
          <w:lang w:val="en-GB"/>
        </w:rPr>
        <w:t xml:space="preserve">  </w:t>
      </w:r>
    </w:p>
    <w:p w:rsidR="00785629" w:rsidRPr="008C148B" w:rsidRDefault="00785629" w:rsidP="003E095A">
      <w:pPr>
        <w:spacing w:line="276" w:lineRule="auto"/>
        <w:rPr>
          <w:lang w:val="en-GB"/>
        </w:rPr>
      </w:pPr>
    </w:p>
    <w:p w:rsidR="000D5B68" w:rsidRPr="008C148B" w:rsidRDefault="008F3E28" w:rsidP="003E095A">
      <w:pPr>
        <w:spacing w:line="276" w:lineRule="auto"/>
        <w:rPr>
          <w:lang w:val="en-GB"/>
        </w:rPr>
      </w:pPr>
      <w:r>
        <w:rPr>
          <w:lang w:val="en-GB"/>
        </w:rPr>
        <w:t>T</w:t>
      </w:r>
      <w:r w:rsidR="00A90384" w:rsidRPr="008C148B">
        <w:rPr>
          <w:lang w:val="en-GB"/>
        </w:rPr>
        <w:t>he quantitative and qualitative components</w:t>
      </w:r>
      <w:r>
        <w:rPr>
          <w:lang w:val="en-GB"/>
        </w:rPr>
        <w:t xml:space="preserve"> of the study were in an iterative relationship</w:t>
      </w:r>
      <w:r w:rsidR="00A90384" w:rsidRPr="008C148B">
        <w:rPr>
          <w:lang w:val="en-GB"/>
        </w:rPr>
        <w:t xml:space="preserve">, such that the early findings from one strand were able to influence further data collection and analysis within the other strand, and </w:t>
      </w:r>
      <w:r w:rsidR="00A90384" w:rsidRPr="008C148B">
        <w:rPr>
          <w:i/>
          <w:lang w:val="en-GB"/>
        </w:rPr>
        <w:t>vice versa</w:t>
      </w:r>
      <w:r w:rsidR="003B0402" w:rsidRPr="008C148B">
        <w:rPr>
          <w:lang w:val="en-GB"/>
        </w:rPr>
        <w:t xml:space="preserve"> (Leech &amp; </w:t>
      </w:r>
      <w:proofErr w:type="spellStart"/>
      <w:r w:rsidR="003B0402" w:rsidRPr="008C148B">
        <w:rPr>
          <w:lang w:val="en-GB"/>
        </w:rPr>
        <w:t>Onwuegbuzie</w:t>
      </w:r>
      <w:proofErr w:type="spellEnd"/>
      <w:r w:rsidR="003B0402" w:rsidRPr="008C148B">
        <w:rPr>
          <w:lang w:val="en-GB"/>
        </w:rPr>
        <w:t>, 2009).</w:t>
      </w:r>
      <w:r w:rsidR="00785629" w:rsidRPr="008C148B">
        <w:rPr>
          <w:lang w:val="en-GB"/>
        </w:rPr>
        <w:t xml:space="preserve"> </w:t>
      </w:r>
      <w:r w:rsidR="00A90384" w:rsidRPr="008C148B">
        <w:rPr>
          <w:lang w:val="en-GB"/>
        </w:rPr>
        <w:t>For example, early findings from the quantitative analysis were used to shape lines of questioning during the visits</w:t>
      </w:r>
      <w:r w:rsidR="00C51C59" w:rsidRPr="008C148B">
        <w:rPr>
          <w:lang w:val="en-GB"/>
        </w:rPr>
        <w:t xml:space="preserve"> to schools</w:t>
      </w:r>
      <w:r w:rsidR="000D5B68" w:rsidRPr="008C148B">
        <w:rPr>
          <w:lang w:val="en-GB"/>
        </w:rPr>
        <w:t>.  Similarly, it became readily apparent from these research visits that there were differ</w:t>
      </w:r>
      <w:r w:rsidR="00C51C59" w:rsidRPr="008C148B">
        <w:rPr>
          <w:lang w:val="en-GB"/>
        </w:rPr>
        <w:t>ing</w:t>
      </w:r>
      <w:r w:rsidR="000D5B68" w:rsidRPr="008C148B">
        <w:rPr>
          <w:lang w:val="en-GB"/>
        </w:rPr>
        <w:t xml:space="preserve"> means of implementing CoPE.  This distinction could then be represented in the quantitative analysis by means of a proxy variable, which proved to play a key role in the </w:t>
      </w:r>
      <w:r w:rsidR="00C51C59" w:rsidRPr="008C148B">
        <w:rPr>
          <w:lang w:val="en-GB"/>
        </w:rPr>
        <w:t>analysis</w:t>
      </w:r>
      <w:r w:rsidR="000D5B68" w:rsidRPr="008C148B">
        <w:rPr>
          <w:lang w:val="en-GB"/>
        </w:rPr>
        <w:t xml:space="preserve"> reported herein; this </w:t>
      </w:r>
      <w:r w:rsidR="00785629" w:rsidRPr="008C148B">
        <w:rPr>
          <w:lang w:val="en-GB"/>
        </w:rPr>
        <w:t xml:space="preserve">is </w:t>
      </w:r>
      <w:r w:rsidR="000D5B68" w:rsidRPr="008C148B">
        <w:rPr>
          <w:lang w:val="en-GB"/>
        </w:rPr>
        <w:t xml:space="preserve">explained in more detail </w:t>
      </w:r>
      <w:r w:rsidR="00785629" w:rsidRPr="008C148B">
        <w:rPr>
          <w:lang w:val="en-GB"/>
        </w:rPr>
        <w:t>below</w:t>
      </w:r>
      <w:r w:rsidR="000D5B68" w:rsidRPr="008C148B">
        <w:rPr>
          <w:lang w:val="en-GB"/>
        </w:rPr>
        <w:t xml:space="preserve">.  </w:t>
      </w:r>
    </w:p>
    <w:p w:rsidR="00287F78" w:rsidRPr="008C148B" w:rsidRDefault="00287F78" w:rsidP="003E095A">
      <w:pPr>
        <w:spacing w:line="276" w:lineRule="auto"/>
        <w:rPr>
          <w:b/>
          <w:lang w:val="en-GB"/>
        </w:rPr>
      </w:pPr>
    </w:p>
    <w:p w:rsidR="00B055CA" w:rsidRPr="008C148B" w:rsidRDefault="00B055CA" w:rsidP="003E095A">
      <w:pPr>
        <w:spacing w:line="276" w:lineRule="auto"/>
        <w:rPr>
          <w:lang w:val="en-GB"/>
        </w:rPr>
      </w:pPr>
    </w:p>
    <w:p w:rsidR="00B055CA" w:rsidRPr="008C148B" w:rsidRDefault="00B055CA" w:rsidP="003E095A">
      <w:pPr>
        <w:spacing w:line="276" w:lineRule="auto"/>
        <w:rPr>
          <w:b/>
          <w:lang w:val="en-GB"/>
        </w:rPr>
      </w:pPr>
    </w:p>
    <w:p w:rsidR="00624679" w:rsidRPr="00F67BD9" w:rsidRDefault="00F67BD9" w:rsidP="003E095A">
      <w:pPr>
        <w:spacing w:line="276" w:lineRule="auto"/>
        <w:rPr>
          <w:i/>
          <w:lang w:val="en-GB"/>
        </w:rPr>
      </w:pPr>
      <w:r w:rsidRPr="00F67BD9">
        <w:rPr>
          <w:i/>
          <w:lang w:val="en-GB"/>
        </w:rPr>
        <w:t>4.1</w:t>
      </w:r>
      <w:r w:rsidR="00D66B7D" w:rsidRPr="00F67BD9">
        <w:rPr>
          <w:i/>
          <w:lang w:val="en-GB"/>
        </w:rPr>
        <w:t xml:space="preserve"> </w:t>
      </w:r>
      <w:r w:rsidR="00624679" w:rsidRPr="00F67BD9">
        <w:rPr>
          <w:i/>
          <w:lang w:val="en-GB"/>
        </w:rPr>
        <w:t>Method and process</w:t>
      </w:r>
    </w:p>
    <w:p w:rsidR="008D0F05" w:rsidRPr="008C148B" w:rsidRDefault="008D0F05" w:rsidP="003E095A">
      <w:pPr>
        <w:spacing w:line="276" w:lineRule="auto"/>
        <w:rPr>
          <w:lang w:val="en-GB"/>
        </w:rPr>
      </w:pPr>
    </w:p>
    <w:p w:rsidR="008D0F05" w:rsidRPr="008C148B" w:rsidRDefault="008D0F05" w:rsidP="003E095A">
      <w:pPr>
        <w:spacing w:line="276" w:lineRule="auto"/>
        <w:rPr>
          <w:lang w:val="en-GB"/>
        </w:rPr>
      </w:pPr>
      <w:r w:rsidRPr="008C148B">
        <w:rPr>
          <w:lang w:val="en-GB"/>
        </w:rPr>
        <w:t xml:space="preserve">The study had three main components.  The first and largest of these was a </w:t>
      </w:r>
      <w:r w:rsidRPr="008C148B">
        <w:rPr>
          <w:bCs/>
          <w:i/>
          <w:lang w:val="en-GB"/>
        </w:rPr>
        <w:t>multi-level binary logistic regression</w:t>
      </w:r>
      <w:r w:rsidRPr="008C148B">
        <w:rPr>
          <w:bCs/>
          <w:lang w:val="en-GB"/>
        </w:rPr>
        <w:t xml:space="preserve"> </w:t>
      </w:r>
      <w:r w:rsidR="00A90384" w:rsidRPr="008C148B">
        <w:rPr>
          <w:i/>
          <w:lang w:val="en-GB"/>
        </w:rPr>
        <w:t>analysis</w:t>
      </w:r>
      <w:r w:rsidR="00410963" w:rsidRPr="008C148B">
        <w:rPr>
          <w:bCs/>
          <w:lang w:val="en-GB"/>
        </w:rPr>
        <w:t xml:space="preserve"> </w:t>
      </w:r>
      <w:r w:rsidRPr="008C148B">
        <w:rPr>
          <w:bCs/>
          <w:lang w:val="en-GB"/>
        </w:rPr>
        <w:t>(</w:t>
      </w:r>
      <w:proofErr w:type="spellStart"/>
      <w:r w:rsidRPr="008C148B">
        <w:rPr>
          <w:bCs/>
          <w:lang w:val="en-GB"/>
        </w:rPr>
        <w:t>Hox</w:t>
      </w:r>
      <w:proofErr w:type="spellEnd"/>
      <w:r w:rsidRPr="008C148B">
        <w:rPr>
          <w:bCs/>
          <w:lang w:val="en-GB"/>
        </w:rPr>
        <w:t xml:space="preserve"> 2010; Heck, Thomas </w:t>
      </w:r>
      <w:r w:rsidR="00604AFA" w:rsidRPr="008C148B">
        <w:rPr>
          <w:bCs/>
          <w:lang w:val="en-GB"/>
        </w:rPr>
        <w:t>&amp;</w:t>
      </w:r>
      <w:r w:rsidRPr="008C148B">
        <w:rPr>
          <w:bCs/>
          <w:lang w:val="en-GB"/>
        </w:rPr>
        <w:t xml:space="preserve"> </w:t>
      </w:r>
      <w:proofErr w:type="spellStart"/>
      <w:r w:rsidRPr="008C148B">
        <w:rPr>
          <w:bCs/>
          <w:lang w:val="en-GB"/>
        </w:rPr>
        <w:t>Tabata</w:t>
      </w:r>
      <w:proofErr w:type="spellEnd"/>
      <w:r w:rsidRPr="008C148B">
        <w:rPr>
          <w:bCs/>
          <w:lang w:val="en-GB"/>
        </w:rPr>
        <w:t xml:space="preserve"> 2012) </w:t>
      </w:r>
      <w:r w:rsidRPr="008C148B">
        <w:rPr>
          <w:lang w:val="en-GB"/>
        </w:rPr>
        <w:t xml:space="preserve">performed on selected variables drawn from </w:t>
      </w:r>
      <w:r w:rsidR="003F3A7B" w:rsidRPr="008C148B">
        <w:rPr>
          <w:lang w:val="en-GB"/>
        </w:rPr>
        <w:t>the cohort</w:t>
      </w:r>
      <w:r w:rsidRPr="008C148B">
        <w:rPr>
          <w:lang w:val="en-GB"/>
        </w:rPr>
        <w:t xml:space="preserve"> completing </w:t>
      </w:r>
      <w:r w:rsidR="006A356C" w:rsidRPr="008C148B">
        <w:rPr>
          <w:lang w:val="en-GB"/>
        </w:rPr>
        <w:t>KS4</w:t>
      </w:r>
      <w:r w:rsidRPr="008C148B">
        <w:rPr>
          <w:lang w:val="en-GB"/>
        </w:rPr>
        <w:t xml:space="preserve"> in 2010 within the National Pupil Database (NPD).  This is official secondary data compiled by the Department for Education, covering English schools and made available in an anonymised form to researchers on request.  </w:t>
      </w:r>
      <w:r w:rsidR="001870BE" w:rsidRPr="008C148B">
        <w:rPr>
          <w:lang w:val="en-GB"/>
        </w:rPr>
        <w:t>Learners</w:t>
      </w:r>
      <w:r w:rsidRPr="008C148B">
        <w:rPr>
          <w:lang w:val="en-GB"/>
        </w:rPr>
        <w:t xml:space="preserve"> attending independent and specialist schools were removed from the dataset, leaving 504,107 individuals with sufficiently complete records to permit analysis.  Of these, 8,896 learners had undertaken CoPE at Level 2, comprising 1.8 percent of the total and spread across 629 schools.</w:t>
      </w:r>
    </w:p>
    <w:p w:rsidR="008D0F05" w:rsidRPr="008C148B" w:rsidRDefault="008D0F05" w:rsidP="003E095A">
      <w:pPr>
        <w:spacing w:line="276" w:lineRule="auto"/>
        <w:rPr>
          <w:bCs/>
          <w:lang w:val="en-GB"/>
        </w:rPr>
      </w:pPr>
    </w:p>
    <w:p w:rsidR="008D0F05" w:rsidRPr="008C148B" w:rsidRDefault="00A90384" w:rsidP="003E095A">
      <w:pPr>
        <w:spacing w:line="276" w:lineRule="auto"/>
        <w:rPr>
          <w:lang w:val="en-GB"/>
        </w:rPr>
      </w:pPr>
      <w:r w:rsidRPr="008C148B">
        <w:rPr>
          <w:bCs/>
          <w:lang w:val="en-GB"/>
        </w:rPr>
        <w:t xml:space="preserve">This technique offers the ability to simultaneously isolate the individual effect of multiple explanatory variables on a dichotomous outcome variable.  The explanatory variables can be defined at either the individual level (i.e. relating to one </w:t>
      </w:r>
      <w:r w:rsidR="001870BE" w:rsidRPr="008C148B">
        <w:rPr>
          <w:bCs/>
          <w:lang w:val="en-GB"/>
        </w:rPr>
        <w:t>learner</w:t>
      </w:r>
      <w:r w:rsidRPr="008C148B">
        <w:rPr>
          <w:bCs/>
          <w:lang w:val="en-GB"/>
        </w:rPr>
        <w:t xml:space="preserve">) or at an aggregate level across a group of individuals; in this study, the school.  The outcome variables used in this study reflect whether an individual reached a certain threshold of attainment in their GCSE examinations and will be detailed shortly.  In other words, the regression models </w:t>
      </w:r>
      <w:r w:rsidRPr="008C148B">
        <w:rPr>
          <w:bCs/>
          <w:lang w:val="en-GB"/>
        </w:rPr>
        <w:lastRenderedPageBreak/>
        <w:t xml:space="preserve">constructed in this study reveal which </w:t>
      </w:r>
      <w:r w:rsidR="00410963" w:rsidRPr="008C148B">
        <w:rPr>
          <w:bCs/>
          <w:lang w:val="en-GB"/>
        </w:rPr>
        <w:t xml:space="preserve">of the </w:t>
      </w:r>
      <w:r w:rsidR="008D0F05" w:rsidRPr="008C148B">
        <w:rPr>
          <w:bCs/>
          <w:lang w:val="en-GB"/>
        </w:rPr>
        <w:t xml:space="preserve">factors </w:t>
      </w:r>
      <w:r w:rsidR="002654BC" w:rsidRPr="008C148B">
        <w:rPr>
          <w:bCs/>
          <w:lang w:val="en-GB"/>
        </w:rPr>
        <w:t>isolated from</w:t>
      </w:r>
      <w:r w:rsidR="00410963" w:rsidRPr="008C148B">
        <w:rPr>
          <w:bCs/>
          <w:lang w:val="en-GB"/>
        </w:rPr>
        <w:t xml:space="preserve"> the database </w:t>
      </w:r>
      <w:r w:rsidR="008D0F05" w:rsidRPr="008C148B">
        <w:rPr>
          <w:bCs/>
          <w:lang w:val="en-GB"/>
        </w:rPr>
        <w:t xml:space="preserve">have a statistically significant </w:t>
      </w:r>
      <w:r w:rsidR="0000621B" w:rsidRPr="008C148B">
        <w:rPr>
          <w:bCs/>
          <w:lang w:val="en-GB"/>
        </w:rPr>
        <w:t>relationship with</w:t>
      </w:r>
      <w:r w:rsidR="008D0F05" w:rsidRPr="008C148B">
        <w:rPr>
          <w:bCs/>
          <w:lang w:val="en-GB"/>
        </w:rPr>
        <w:t xml:space="preserve"> GCSE outcomes</w:t>
      </w:r>
      <w:r w:rsidR="001B528A">
        <w:rPr>
          <w:bCs/>
          <w:lang w:val="en-GB"/>
        </w:rPr>
        <w:t xml:space="preserve">; </w:t>
      </w:r>
      <w:r w:rsidR="00B055CA" w:rsidRPr="008C148B">
        <w:rPr>
          <w:bCs/>
          <w:lang w:val="en-GB"/>
        </w:rPr>
        <w:t>t</w:t>
      </w:r>
      <w:r w:rsidR="0068226B" w:rsidRPr="008C148B">
        <w:rPr>
          <w:bCs/>
          <w:lang w:val="en-GB"/>
        </w:rPr>
        <w:t>he 5 percent significance level was used throughout.</w:t>
      </w:r>
    </w:p>
    <w:p w:rsidR="008D0F05" w:rsidRPr="008C148B" w:rsidRDefault="008D0F05" w:rsidP="003E095A">
      <w:pPr>
        <w:spacing w:line="276" w:lineRule="auto"/>
        <w:rPr>
          <w:lang w:val="en-GB"/>
        </w:rPr>
      </w:pPr>
    </w:p>
    <w:p w:rsidR="008D0F05" w:rsidRPr="008C148B" w:rsidRDefault="008D0F05" w:rsidP="003E095A">
      <w:pPr>
        <w:spacing w:line="276" w:lineRule="auto"/>
        <w:rPr>
          <w:lang w:val="en-GB"/>
        </w:rPr>
      </w:pPr>
      <w:r w:rsidRPr="008C148B">
        <w:rPr>
          <w:lang w:val="en-GB"/>
        </w:rPr>
        <w:t xml:space="preserve">The second component comprised a </w:t>
      </w:r>
      <w:r w:rsidRPr="008C148B">
        <w:rPr>
          <w:i/>
          <w:lang w:val="en-GB"/>
        </w:rPr>
        <w:t>retrospective pseudo-experimental study</w:t>
      </w:r>
      <w:r w:rsidRPr="008C148B">
        <w:rPr>
          <w:lang w:val="en-GB"/>
        </w:rPr>
        <w:t xml:space="preserve"> constructed by </w:t>
      </w:r>
      <w:r w:rsidR="00EF212A" w:rsidRPr="008C148B">
        <w:rPr>
          <w:lang w:val="en-GB"/>
        </w:rPr>
        <w:t xml:space="preserve">randomly </w:t>
      </w:r>
      <w:r w:rsidRPr="008C148B">
        <w:rPr>
          <w:lang w:val="en-GB"/>
        </w:rPr>
        <w:t>matching 3,557</w:t>
      </w:r>
      <w:r w:rsidR="00EF212A" w:rsidRPr="008C148B">
        <w:rPr>
          <w:lang w:val="en-GB"/>
        </w:rPr>
        <w:t xml:space="preserve"> </w:t>
      </w:r>
      <w:r w:rsidR="00882BE6" w:rsidRPr="008C148B">
        <w:rPr>
          <w:lang w:val="en-GB"/>
        </w:rPr>
        <w:t xml:space="preserve">of the </w:t>
      </w:r>
      <w:r w:rsidR="001870BE" w:rsidRPr="008C148B">
        <w:rPr>
          <w:lang w:val="en-GB"/>
        </w:rPr>
        <w:t>learners</w:t>
      </w:r>
      <w:r w:rsidR="00882BE6" w:rsidRPr="008C148B">
        <w:rPr>
          <w:lang w:val="en-GB"/>
        </w:rPr>
        <w:t xml:space="preserve"> who completed CoPE </w:t>
      </w:r>
      <w:r w:rsidR="00EF212A" w:rsidRPr="008C148B">
        <w:rPr>
          <w:lang w:val="en-GB"/>
        </w:rPr>
        <w:t xml:space="preserve">with an </w:t>
      </w:r>
      <w:r w:rsidR="00410963" w:rsidRPr="008C148B">
        <w:rPr>
          <w:lang w:val="en-GB"/>
        </w:rPr>
        <w:t xml:space="preserve">equal number of </w:t>
      </w:r>
      <w:r w:rsidR="00EF212A" w:rsidRPr="008C148B">
        <w:rPr>
          <w:lang w:val="en-GB"/>
        </w:rPr>
        <w:t>individual</w:t>
      </w:r>
      <w:r w:rsidR="00410963" w:rsidRPr="008C148B">
        <w:rPr>
          <w:lang w:val="en-GB"/>
        </w:rPr>
        <w:t>s</w:t>
      </w:r>
      <w:r w:rsidR="00EF212A" w:rsidRPr="008C148B">
        <w:rPr>
          <w:lang w:val="en-GB"/>
        </w:rPr>
        <w:t xml:space="preserve"> who w</w:t>
      </w:r>
      <w:r w:rsidR="00410963" w:rsidRPr="008C148B">
        <w:rPr>
          <w:lang w:val="en-GB"/>
        </w:rPr>
        <w:t>ere</w:t>
      </w:r>
      <w:r w:rsidR="00EF212A" w:rsidRPr="008C148B">
        <w:rPr>
          <w:lang w:val="en-GB"/>
        </w:rPr>
        <w:t xml:space="preserve"> ostensibly identical to them across nine variables, but who w</w:t>
      </w:r>
      <w:r w:rsidR="00410963" w:rsidRPr="008C148B">
        <w:rPr>
          <w:lang w:val="en-GB"/>
        </w:rPr>
        <w:t>ere</w:t>
      </w:r>
      <w:r w:rsidR="00EF212A" w:rsidRPr="008C148B">
        <w:rPr>
          <w:lang w:val="en-GB"/>
        </w:rPr>
        <w:t xml:space="preserve"> in a school that did not offer CoPE.  These variables echoed those used in the regression analysis and ef</w:t>
      </w:r>
      <w:r w:rsidR="001B528A">
        <w:rPr>
          <w:lang w:val="en-GB"/>
        </w:rPr>
        <w:t>fectively created two ‘imagined</w:t>
      </w:r>
      <w:r w:rsidR="00EF212A" w:rsidRPr="008C148B">
        <w:rPr>
          <w:lang w:val="en-GB"/>
        </w:rPr>
        <w:t xml:space="preserve"> schools</w:t>
      </w:r>
      <w:r w:rsidR="001B528A">
        <w:rPr>
          <w:lang w:val="en-GB"/>
        </w:rPr>
        <w:t>’</w:t>
      </w:r>
      <w:r w:rsidR="00EF212A" w:rsidRPr="008C148B">
        <w:rPr>
          <w:lang w:val="en-GB"/>
        </w:rPr>
        <w:t xml:space="preserve"> of the same size with an identical cohort across a range of educational and social indicators, distinguished only in that all </w:t>
      </w:r>
      <w:r w:rsidR="001870BE" w:rsidRPr="008C148B">
        <w:rPr>
          <w:lang w:val="en-GB"/>
        </w:rPr>
        <w:t>learners</w:t>
      </w:r>
      <w:r w:rsidR="00EF212A" w:rsidRPr="008C148B">
        <w:rPr>
          <w:lang w:val="en-GB"/>
        </w:rPr>
        <w:t xml:space="preserve"> in one </w:t>
      </w:r>
      <w:r w:rsidR="003B0402" w:rsidRPr="008C148B">
        <w:rPr>
          <w:lang w:val="en-GB"/>
        </w:rPr>
        <w:t>‘</w:t>
      </w:r>
      <w:r w:rsidR="00EF212A" w:rsidRPr="008C148B">
        <w:rPr>
          <w:lang w:val="en-GB"/>
        </w:rPr>
        <w:t>school</w:t>
      </w:r>
      <w:r w:rsidR="003B0402" w:rsidRPr="008C148B">
        <w:rPr>
          <w:lang w:val="en-GB"/>
        </w:rPr>
        <w:t>’</w:t>
      </w:r>
      <w:r w:rsidR="00EF212A" w:rsidRPr="008C148B">
        <w:rPr>
          <w:lang w:val="en-GB"/>
        </w:rPr>
        <w:t xml:space="preserve"> undertook CoPE, but none in the other.</w:t>
      </w:r>
    </w:p>
    <w:p w:rsidR="00EF212A" w:rsidRPr="008C148B" w:rsidRDefault="00EF212A" w:rsidP="003E095A">
      <w:pPr>
        <w:spacing w:line="276" w:lineRule="auto"/>
        <w:rPr>
          <w:lang w:val="en-GB"/>
        </w:rPr>
      </w:pPr>
    </w:p>
    <w:p w:rsidR="0087256F" w:rsidRPr="008C148B" w:rsidRDefault="00EF212A" w:rsidP="003E095A">
      <w:pPr>
        <w:spacing w:line="276" w:lineRule="auto"/>
        <w:rPr>
          <w:lang w:val="en-GB"/>
        </w:rPr>
      </w:pPr>
      <w:r w:rsidRPr="008C148B">
        <w:rPr>
          <w:lang w:val="en-GB"/>
        </w:rPr>
        <w:t xml:space="preserve">This technique </w:t>
      </w:r>
      <w:r w:rsidR="0087256F" w:rsidRPr="008C148B">
        <w:rPr>
          <w:lang w:val="en-GB"/>
        </w:rPr>
        <w:t>offers</w:t>
      </w:r>
      <w:r w:rsidRPr="008C148B">
        <w:rPr>
          <w:lang w:val="en-GB"/>
        </w:rPr>
        <w:t xml:space="preserve"> a complementary quantitative approach to the regression analysis</w:t>
      </w:r>
      <w:r w:rsidR="006A356C" w:rsidRPr="008C148B">
        <w:rPr>
          <w:lang w:val="en-GB"/>
        </w:rPr>
        <w:t xml:space="preserve"> and</w:t>
      </w:r>
      <w:r w:rsidR="0087256F" w:rsidRPr="008C148B">
        <w:rPr>
          <w:lang w:val="en-GB"/>
        </w:rPr>
        <w:t xml:space="preserve"> provides </w:t>
      </w:r>
      <w:r w:rsidR="00923F70" w:rsidRPr="008C148B">
        <w:rPr>
          <w:lang w:val="en-GB"/>
        </w:rPr>
        <w:t xml:space="preserve">us with </w:t>
      </w:r>
      <w:r w:rsidR="004536D0" w:rsidRPr="008C148B">
        <w:rPr>
          <w:lang w:val="en-GB"/>
        </w:rPr>
        <w:t>an opportunity for robust comparisons of ‘control’ and ‘experimental’ groups</w:t>
      </w:r>
      <w:r w:rsidR="006A356C" w:rsidRPr="008C148B">
        <w:rPr>
          <w:lang w:val="en-GB"/>
        </w:rPr>
        <w:t>.  I</w:t>
      </w:r>
      <w:r w:rsidR="0097139E" w:rsidRPr="008C148B">
        <w:rPr>
          <w:lang w:val="en-GB"/>
        </w:rPr>
        <w:t>n our view</w:t>
      </w:r>
      <w:r w:rsidR="004536D0" w:rsidRPr="008C148B">
        <w:rPr>
          <w:lang w:val="en-GB"/>
        </w:rPr>
        <w:t xml:space="preserve">, </w:t>
      </w:r>
      <w:r w:rsidR="006A356C" w:rsidRPr="008C148B">
        <w:rPr>
          <w:lang w:val="en-GB"/>
        </w:rPr>
        <w:t xml:space="preserve">this provides </w:t>
      </w:r>
      <w:r w:rsidR="004536D0" w:rsidRPr="008C148B">
        <w:rPr>
          <w:lang w:val="en-GB"/>
        </w:rPr>
        <w:t>greater rigour than a</w:t>
      </w:r>
      <w:r w:rsidR="003A6FE7" w:rsidRPr="008C148B">
        <w:rPr>
          <w:lang w:val="en-GB"/>
        </w:rPr>
        <w:t xml:space="preserve"> </w:t>
      </w:r>
      <w:r w:rsidR="006A356C" w:rsidRPr="008C148B">
        <w:rPr>
          <w:lang w:val="en-GB"/>
        </w:rPr>
        <w:t xml:space="preserve">randomised </w:t>
      </w:r>
      <w:r w:rsidR="003A6FE7" w:rsidRPr="008C148B">
        <w:rPr>
          <w:lang w:val="en-GB"/>
        </w:rPr>
        <w:t>controlle</w:t>
      </w:r>
      <w:r w:rsidR="003B0402" w:rsidRPr="008C148B">
        <w:rPr>
          <w:lang w:val="en-GB"/>
        </w:rPr>
        <w:t xml:space="preserve">d trial could achieve, because </w:t>
      </w:r>
      <w:r w:rsidR="003A6FE7" w:rsidRPr="008C148B">
        <w:rPr>
          <w:lang w:val="en-GB"/>
        </w:rPr>
        <w:t xml:space="preserve">there </w:t>
      </w:r>
      <w:r w:rsidR="0000621B" w:rsidRPr="008C148B">
        <w:rPr>
          <w:lang w:val="en-GB"/>
        </w:rPr>
        <w:t xml:space="preserve">can be no bias derived from </w:t>
      </w:r>
      <w:r w:rsidR="003C0014" w:rsidRPr="008C148B">
        <w:rPr>
          <w:lang w:val="en-GB"/>
        </w:rPr>
        <w:t>participation in</w:t>
      </w:r>
      <w:r w:rsidR="0000621B" w:rsidRPr="008C148B">
        <w:rPr>
          <w:lang w:val="en-GB"/>
        </w:rPr>
        <w:t xml:space="preserve"> a research experiment, as the ‘participants’ were obviously ignorant of the analysis that would later be performed</w:t>
      </w:r>
      <w:r w:rsidR="003A6FE7" w:rsidRPr="008C148B">
        <w:rPr>
          <w:lang w:val="en-GB"/>
        </w:rPr>
        <w:t>.</w:t>
      </w:r>
      <w:r w:rsidR="004536D0" w:rsidRPr="008C148B">
        <w:rPr>
          <w:lang w:val="en-GB"/>
        </w:rPr>
        <w:t xml:space="preserve"> </w:t>
      </w:r>
      <w:r w:rsidR="0087256F" w:rsidRPr="008C148B">
        <w:rPr>
          <w:lang w:val="en-GB"/>
        </w:rPr>
        <w:t>Through this method, the unique contribution of CoPE can be isolated and</w:t>
      </w:r>
      <w:r w:rsidR="003B0402" w:rsidRPr="008C148B">
        <w:rPr>
          <w:lang w:val="en-GB"/>
        </w:rPr>
        <w:t xml:space="preserve"> </w:t>
      </w:r>
      <w:r w:rsidR="0087256F" w:rsidRPr="008C148B">
        <w:rPr>
          <w:lang w:val="en-GB"/>
        </w:rPr>
        <w:t>presented in a more accessible form than regression analysis</w:t>
      </w:r>
      <w:r w:rsidR="002E2CEF" w:rsidRPr="008C148B">
        <w:rPr>
          <w:lang w:val="en-GB"/>
        </w:rPr>
        <w:t xml:space="preserve">.  In particular, </w:t>
      </w:r>
      <w:r w:rsidR="003C0014" w:rsidRPr="008C148B">
        <w:rPr>
          <w:lang w:val="en-GB"/>
        </w:rPr>
        <w:t xml:space="preserve">GCSE </w:t>
      </w:r>
      <w:r w:rsidR="002E2CEF" w:rsidRPr="008C148B">
        <w:rPr>
          <w:lang w:val="en-GB"/>
        </w:rPr>
        <w:t xml:space="preserve">pass rates for the two </w:t>
      </w:r>
      <w:r w:rsidR="00676BCF" w:rsidRPr="008C148B">
        <w:rPr>
          <w:lang w:val="en-GB"/>
        </w:rPr>
        <w:t>‘</w:t>
      </w:r>
      <w:r w:rsidR="002E2CEF" w:rsidRPr="008C148B">
        <w:rPr>
          <w:lang w:val="en-GB"/>
        </w:rPr>
        <w:t>schools</w:t>
      </w:r>
      <w:r w:rsidR="00676BCF" w:rsidRPr="008C148B">
        <w:rPr>
          <w:lang w:val="en-GB"/>
        </w:rPr>
        <w:t>’</w:t>
      </w:r>
      <w:r w:rsidR="002E2CEF" w:rsidRPr="008C148B">
        <w:rPr>
          <w:lang w:val="en-GB"/>
        </w:rPr>
        <w:t xml:space="preserve"> can be calculated and compared.</w:t>
      </w:r>
    </w:p>
    <w:p w:rsidR="0087256F" w:rsidRPr="008C148B" w:rsidRDefault="0087256F" w:rsidP="003E095A">
      <w:pPr>
        <w:spacing w:line="276" w:lineRule="auto"/>
        <w:rPr>
          <w:lang w:val="en-GB"/>
        </w:rPr>
      </w:pPr>
    </w:p>
    <w:p w:rsidR="00B055CA" w:rsidRPr="008C148B" w:rsidRDefault="00B055CA" w:rsidP="003E095A">
      <w:pPr>
        <w:spacing w:line="276" w:lineRule="auto"/>
        <w:rPr>
          <w:lang w:val="en-GB"/>
        </w:rPr>
      </w:pPr>
      <w:r w:rsidRPr="008C148B">
        <w:rPr>
          <w:lang w:val="en-GB"/>
        </w:rPr>
        <w:t xml:space="preserve">The third component consisted of research visits to four example schools offering CoPE.  These were pragmatically selected on the basis of geographical spread, diversity of ability range, a well-embedded CoPE programme and willingness to participate.  They were intended to be broadly typical of schools offering CoPE, but </w:t>
      </w:r>
      <w:r w:rsidR="001B2DBA" w:rsidRPr="008C148B">
        <w:rPr>
          <w:lang w:val="en-GB"/>
        </w:rPr>
        <w:t xml:space="preserve">could </w:t>
      </w:r>
      <w:r w:rsidRPr="008C148B">
        <w:rPr>
          <w:lang w:val="en-GB"/>
        </w:rPr>
        <w:t>not</w:t>
      </w:r>
      <w:r w:rsidR="003C0014" w:rsidRPr="008C148B">
        <w:rPr>
          <w:lang w:val="en-GB"/>
        </w:rPr>
        <w:t>,</w:t>
      </w:r>
      <w:r w:rsidRPr="008C148B">
        <w:rPr>
          <w:lang w:val="en-GB"/>
        </w:rPr>
        <w:t xml:space="preserve"> </w:t>
      </w:r>
      <w:r w:rsidR="001B2DBA" w:rsidRPr="008C148B">
        <w:rPr>
          <w:lang w:val="en-GB"/>
        </w:rPr>
        <w:t>of course</w:t>
      </w:r>
      <w:r w:rsidR="003C0014" w:rsidRPr="008C148B">
        <w:rPr>
          <w:lang w:val="en-GB"/>
        </w:rPr>
        <w:t>,</w:t>
      </w:r>
      <w:r w:rsidR="001B2DBA" w:rsidRPr="008C148B">
        <w:rPr>
          <w:lang w:val="en-GB"/>
        </w:rPr>
        <w:t xml:space="preserve"> be assumed to be </w:t>
      </w:r>
      <w:r w:rsidRPr="008C148B">
        <w:rPr>
          <w:lang w:val="en-GB"/>
        </w:rPr>
        <w:t xml:space="preserve">representative.  Each visit </w:t>
      </w:r>
      <w:r w:rsidR="003B0402" w:rsidRPr="008C148B">
        <w:rPr>
          <w:lang w:val="en-GB"/>
        </w:rPr>
        <w:t>comprised</w:t>
      </w:r>
      <w:r w:rsidRPr="008C148B">
        <w:rPr>
          <w:lang w:val="en-GB"/>
        </w:rPr>
        <w:t xml:space="preserve"> meetings with learners, the teacher(s) with primary responsibility for delivering CoPE and a member of the senior management team (usually the deputy head with responsibility for the curriculum).  Data collection from learners took the form of two focus groups comprising 4 to </w:t>
      </w:r>
      <w:r w:rsidR="00697EDD" w:rsidRPr="008C148B">
        <w:rPr>
          <w:lang w:val="en-GB"/>
        </w:rPr>
        <w:t>8</w:t>
      </w:r>
      <w:r w:rsidRPr="008C148B">
        <w:rPr>
          <w:lang w:val="en-GB"/>
        </w:rPr>
        <w:t xml:space="preserve"> </w:t>
      </w:r>
      <w:r w:rsidR="001870BE" w:rsidRPr="008C148B">
        <w:rPr>
          <w:lang w:val="en-GB"/>
        </w:rPr>
        <w:t>learners</w:t>
      </w:r>
      <w:r w:rsidRPr="008C148B">
        <w:rPr>
          <w:lang w:val="en-GB"/>
        </w:rPr>
        <w:t>, one group who were undertaking CoPE and one not.  These lasted around 20-30 m</w:t>
      </w:r>
      <w:r w:rsidR="003C0014" w:rsidRPr="008C148B">
        <w:rPr>
          <w:lang w:val="en-GB"/>
        </w:rPr>
        <w:t>inutes and were audio recorded (</w:t>
      </w:r>
      <w:r w:rsidR="003B0402" w:rsidRPr="008C148B">
        <w:rPr>
          <w:lang w:val="en-GB"/>
        </w:rPr>
        <w:t xml:space="preserve">with one </w:t>
      </w:r>
      <w:r w:rsidRPr="008C148B">
        <w:rPr>
          <w:lang w:val="en-GB"/>
        </w:rPr>
        <w:t>exception where written notes were taken</w:t>
      </w:r>
      <w:r w:rsidR="003B0402" w:rsidRPr="008C148B">
        <w:rPr>
          <w:lang w:val="en-GB"/>
        </w:rPr>
        <w:t xml:space="preserve"> instead</w:t>
      </w:r>
      <w:r w:rsidR="003A12B8" w:rsidRPr="008C148B">
        <w:rPr>
          <w:lang w:val="en-GB"/>
        </w:rPr>
        <w:t>)</w:t>
      </w:r>
      <w:r w:rsidRPr="008C148B">
        <w:rPr>
          <w:lang w:val="en-GB"/>
        </w:rPr>
        <w:t>.  Data collection from staff took place in the context of individual or two-person semi-structured interviews that lasted 30-45 minutes and were audio recorded.</w:t>
      </w:r>
      <w:r w:rsidR="001B528A">
        <w:rPr>
          <w:lang w:val="en-GB"/>
        </w:rPr>
        <w:t xml:space="preserve"> </w:t>
      </w:r>
    </w:p>
    <w:p w:rsidR="008D0F05" w:rsidRPr="008C148B" w:rsidRDefault="008D0F05" w:rsidP="003E095A">
      <w:pPr>
        <w:spacing w:line="276" w:lineRule="auto"/>
        <w:rPr>
          <w:lang w:val="en-GB"/>
        </w:rPr>
      </w:pPr>
    </w:p>
    <w:p w:rsidR="008D0F05" w:rsidRPr="008C148B" w:rsidRDefault="008D0F05" w:rsidP="003E095A">
      <w:pPr>
        <w:spacing w:line="276" w:lineRule="auto"/>
        <w:rPr>
          <w:lang w:val="en-GB"/>
        </w:rPr>
      </w:pPr>
    </w:p>
    <w:p w:rsidR="0068226B" w:rsidRPr="008C4D8E" w:rsidRDefault="00F67BD9" w:rsidP="003E095A">
      <w:pPr>
        <w:spacing w:line="276" w:lineRule="auto"/>
        <w:rPr>
          <w:i/>
          <w:lang w:val="en-GB"/>
        </w:rPr>
      </w:pPr>
      <w:r>
        <w:rPr>
          <w:i/>
          <w:lang w:val="en-GB"/>
        </w:rPr>
        <w:t>4.2</w:t>
      </w:r>
      <w:r w:rsidR="008C4D8E">
        <w:rPr>
          <w:i/>
          <w:lang w:val="en-GB"/>
        </w:rPr>
        <w:t xml:space="preserve"> </w:t>
      </w:r>
      <w:r w:rsidR="0068226B" w:rsidRPr="008C4D8E">
        <w:rPr>
          <w:i/>
          <w:lang w:val="en-GB"/>
        </w:rPr>
        <w:t>Variables in the quantitative analysis</w:t>
      </w:r>
    </w:p>
    <w:p w:rsidR="008D0F05" w:rsidRPr="008C148B" w:rsidRDefault="008D0F05" w:rsidP="003E095A">
      <w:pPr>
        <w:spacing w:line="276" w:lineRule="auto"/>
        <w:rPr>
          <w:lang w:val="en-GB"/>
        </w:rPr>
      </w:pPr>
    </w:p>
    <w:p w:rsidR="0068226B" w:rsidRPr="008C148B" w:rsidRDefault="0068226B" w:rsidP="003E095A">
      <w:pPr>
        <w:spacing w:line="276" w:lineRule="auto"/>
        <w:rPr>
          <w:lang w:val="en-GB"/>
        </w:rPr>
      </w:pPr>
      <w:r w:rsidRPr="008C148B">
        <w:rPr>
          <w:lang w:val="en-GB"/>
        </w:rPr>
        <w:t>Two categorical outcome variables drawn directly from the NPD were selected as the princip</w:t>
      </w:r>
      <w:r w:rsidR="00362CB9" w:rsidRPr="008C148B">
        <w:rPr>
          <w:lang w:val="en-GB"/>
        </w:rPr>
        <w:t>al</w:t>
      </w:r>
      <w:r w:rsidRPr="008C148B">
        <w:rPr>
          <w:lang w:val="en-GB"/>
        </w:rPr>
        <w:t xml:space="preserve"> focus of the study: </w:t>
      </w:r>
    </w:p>
    <w:p w:rsidR="0068226B" w:rsidRPr="008C148B" w:rsidRDefault="0068226B" w:rsidP="003E095A">
      <w:pPr>
        <w:spacing w:line="276" w:lineRule="auto"/>
        <w:rPr>
          <w:lang w:val="en-GB"/>
        </w:rPr>
      </w:pPr>
    </w:p>
    <w:p w:rsidR="0068226B" w:rsidRPr="008C148B" w:rsidRDefault="0068226B" w:rsidP="003E095A">
      <w:pPr>
        <w:pStyle w:val="ListParagraph"/>
        <w:numPr>
          <w:ilvl w:val="0"/>
          <w:numId w:val="2"/>
        </w:numPr>
        <w:spacing w:line="276" w:lineRule="auto"/>
        <w:rPr>
          <w:lang w:val="en-GB"/>
        </w:rPr>
      </w:pPr>
      <w:r w:rsidRPr="008C148B">
        <w:rPr>
          <w:lang w:val="en-GB"/>
        </w:rPr>
        <w:t>Whether the individual passed GCSE English at grades A* to C (henceforth referred to as ‘a good pass in English’);</w:t>
      </w:r>
    </w:p>
    <w:p w:rsidR="0068226B" w:rsidRPr="008C148B" w:rsidRDefault="0068226B" w:rsidP="003E095A">
      <w:pPr>
        <w:pStyle w:val="ListParagraph"/>
        <w:numPr>
          <w:ilvl w:val="0"/>
          <w:numId w:val="2"/>
        </w:numPr>
        <w:spacing w:line="276" w:lineRule="auto"/>
        <w:rPr>
          <w:lang w:val="en-GB"/>
        </w:rPr>
      </w:pPr>
      <w:r w:rsidRPr="008C148B">
        <w:rPr>
          <w:lang w:val="en-GB"/>
        </w:rPr>
        <w:lastRenderedPageBreak/>
        <w:t xml:space="preserve">Whether the individual passed five GCSEs at grades A* to C including English and mathematics, but excluding equivalent qualifications (henceforth referred to as </w:t>
      </w:r>
      <w:r w:rsidR="0030414B" w:rsidRPr="008C148B">
        <w:rPr>
          <w:lang w:val="en-GB"/>
        </w:rPr>
        <w:t>‘</w:t>
      </w:r>
      <w:r w:rsidRPr="008C148B">
        <w:rPr>
          <w:lang w:val="en-GB"/>
        </w:rPr>
        <w:t xml:space="preserve">five </w:t>
      </w:r>
      <w:r w:rsidR="0030414B" w:rsidRPr="008C148B">
        <w:rPr>
          <w:lang w:val="en-GB"/>
        </w:rPr>
        <w:t xml:space="preserve">good </w:t>
      </w:r>
      <w:r w:rsidRPr="008C148B">
        <w:rPr>
          <w:lang w:val="en-GB"/>
        </w:rPr>
        <w:t>GCSE</w:t>
      </w:r>
      <w:r w:rsidR="0030414B" w:rsidRPr="008C148B">
        <w:rPr>
          <w:lang w:val="en-GB"/>
        </w:rPr>
        <w:t>s’</w:t>
      </w:r>
      <w:r w:rsidRPr="008C148B">
        <w:rPr>
          <w:lang w:val="en-GB"/>
        </w:rPr>
        <w:t>).</w:t>
      </w:r>
    </w:p>
    <w:p w:rsidR="0068226B" w:rsidRPr="008C148B" w:rsidRDefault="0068226B" w:rsidP="003E095A">
      <w:pPr>
        <w:spacing w:line="276" w:lineRule="auto"/>
        <w:rPr>
          <w:lang w:val="en-GB"/>
        </w:rPr>
      </w:pPr>
    </w:p>
    <w:p w:rsidR="003F3A7B" w:rsidRPr="008C148B" w:rsidRDefault="003F3A7B" w:rsidP="003E095A">
      <w:pPr>
        <w:spacing w:line="276" w:lineRule="auto"/>
        <w:rPr>
          <w:lang w:val="en-GB"/>
        </w:rPr>
      </w:pPr>
      <w:r w:rsidRPr="008C148B">
        <w:rPr>
          <w:lang w:val="en-GB"/>
        </w:rPr>
        <w:t xml:space="preserve">A particular focus on GCSE English was justified on the grounds that it is widely regarded as more important than </w:t>
      </w:r>
      <w:r w:rsidR="001B528A">
        <w:rPr>
          <w:lang w:val="en-GB"/>
        </w:rPr>
        <w:t>most</w:t>
      </w:r>
      <w:r w:rsidRPr="008C148B">
        <w:rPr>
          <w:lang w:val="en-GB"/>
        </w:rPr>
        <w:t xml:space="preserve"> other subjects.  In addition, it could be argued that if there was a connection between CoPE and mainstream subjects it would be likely to be visible in GCSE English where </w:t>
      </w:r>
      <w:r w:rsidR="001B528A">
        <w:rPr>
          <w:lang w:val="en-GB"/>
        </w:rPr>
        <w:t>the</w:t>
      </w:r>
      <w:r w:rsidRPr="008C148B">
        <w:rPr>
          <w:lang w:val="en-GB"/>
        </w:rPr>
        <w:t xml:space="preserve"> grade achieved might reflect a level of confidence with written and spoken language.  The five GCSE </w:t>
      </w:r>
      <w:r w:rsidR="00A03252" w:rsidRPr="008C148B">
        <w:rPr>
          <w:lang w:val="en-GB"/>
        </w:rPr>
        <w:t>measure</w:t>
      </w:r>
      <w:r w:rsidRPr="008C148B">
        <w:rPr>
          <w:lang w:val="en-GB"/>
        </w:rPr>
        <w:t xml:space="preserve"> was chosen due to the privileged status that it holds in terms of school league tables and perceptions of quality, as well as its strong connection to progression </w:t>
      </w:r>
      <w:r w:rsidR="006A356C" w:rsidRPr="008C148B">
        <w:rPr>
          <w:lang w:val="en-GB"/>
        </w:rPr>
        <w:t xml:space="preserve">into </w:t>
      </w:r>
      <w:r w:rsidRPr="008C148B">
        <w:rPr>
          <w:lang w:val="en-GB"/>
        </w:rPr>
        <w:t>post-compulsory education (</w:t>
      </w:r>
      <w:r w:rsidR="006A356C" w:rsidRPr="008C148B">
        <w:rPr>
          <w:lang w:val="en-GB"/>
        </w:rPr>
        <w:t xml:space="preserve">e.g. </w:t>
      </w:r>
      <w:proofErr w:type="spellStart"/>
      <w:r w:rsidRPr="008C148B">
        <w:rPr>
          <w:lang w:val="en-GB"/>
        </w:rPr>
        <w:t>Croll</w:t>
      </w:r>
      <w:proofErr w:type="spellEnd"/>
      <w:r w:rsidRPr="008C148B">
        <w:rPr>
          <w:lang w:val="en-GB"/>
        </w:rPr>
        <w:t xml:space="preserve"> 2009).</w:t>
      </w:r>
    </w:p>
    <w:p w:rsidR="008D0F05" w:rsidRPr="008C148B" w:rsidRDefault="008D0F05" w:rsidP="003E095A">
      <w:pPr>
        <w:spacing w:line="276" w:lineRule="auto"/>
        <w:rPr>
          <w:lang w:val="en-GB"/>
        </w:rPr>
      </w:pPr>
    </w:p>
    <w:p w:rsidR="0068226B" w:rsidRPr="008C148B" w:rsidRDefault="0068226B" w:rsidP="003E095A">
      <w:pPr>
        <w:spacing w:line="276" w:lineRule="auto"/>
        <w:rPr>
          <w:lang w:val="en-GB"/>
        </w:rPr>
      </w:pPr>
      <w:r w:rsidRPr="008C148B">
        <w:rPr>
          <w:lang w:val="en-GB"/>
        </w:rPr>
        <w:t>Nine potential individual-level explanatory variables were isolated from the NPD and used in one or more of the analyses:</w:t>
      </w:r>
    </w:p>
    <w:p w:rsidR="0068226B" w:rsidRPr="008C148B" w:rsidRDefault="0068226B" w:rsidP="003E095A">
      <w:pPr>
        <w:spacing w:line="276" w:lineRule="auto"/>
        <w:rPr>
          <w:lang w:val="en-GB"/>
        </w:rPr>
      </w:pPr>
    </w:p>
    <w:p w:rsidR="0068226B" w:rsidRPr="008C148B" w:rsidRDefault="0068226B" w:rsidP="003E095A">
      <w:pPr>
        <w:pStyle w:val="ListParagraph"/>
        <w:numPr>
          <w:ilvl w:val="0"/>
          <w:numId w:val="3"/>
        </w:numPr>
        <w:spacing w:line="276" w:lineRule="auto"/>
        <w:ind w:hanging="294"/>
        <w:rPr>
          <w:lang w:val="en-GB"/>
        </w:rPr>
      </w:pPr>
      <w:r w:rsidRPr="008C148B">
        <w:rPr>
          <w:lang w:val="en-GB"/>
        </w:rPr>
        <w:t>Attainment in English at Key Stage 3 [ordinal: Levels 2 (and below) to 7];</w:t>
      </w:r>
    </w:p>
    <w:p w:rsidR="0068226B" w:rsidRPr="008C148B" w:rsidRDefault="0068226B" w:rsidP="003E095A">
      <w:pPr>
        <w:pStyle w:val="ListParagraph"/>
        <w:numPr>
          <w:ilvl w:val="0"/>
          <w:numId w:val="3"/>
        </w:numPr>
        <w:spacing w:line="276" w:lineRule="auto"/>
        <w:ind w:hanging="294"/>
        <w:rPr>
          <w:lang w:val="en-GB"/>
        </w:rPr>
      </w:pPr>
      <w:r w:rsidRPr="008C148B">
        <w:rPr>
          <w:lang w:val="en-GB"/>
        </w:rPr>
        <w:t>Attainment in mathematics at Key Stage 3 [ordinal: Levels 2 (and below) to 8];</w:t>
      </w:r>
    </w:p>
    <w:p w:rsidR="0068226B" w:rsidRPr="008C148B" w:rsidRDefault="0068226B" w:rsidP="003E095A">
      <w:pPr>
        <w:pStyle w:val="ListParagraph"/>
        <w:numPr>
          <w:ilvl w:val="0"/>
          <w:numId w:val="3"/>
        </w:numPr>
        <w:spacing w:line="276" w:lineRule="auto"/>
        <w:ind w:hanging="294"/>
        <w:rPr>
          <w:lang w:val="en-GB"/>
        </w:rPr>
      </w:pPr>
      <w:r w:rsidRPr="008C148B">
        <w:rPr>
          <w:lang w:val="en-GB"/>
        </w:rPr>
        <w:t>Gender [categorical: male/female];</w:t>
      </w:r>
    </w:p>
    <w:p w:rsidR="0068226B" w:rsidRPr="008C148B" w:rsidRDefault="0068226B" w:rsidP="003E095A">
      <w:pPr>
        <w:pStyle w:val="ListParagraph"/>
        <w:numPr>
          <w:ilvl w:val="0"/>
          <w:numId w:val="3"/>
        </w:numPr>
        <w:spacing w:line="276" w:lineRule="auto"/>
        <w:ind w:hanging="294"/>
        <w:rPr>
          <w:lang w:val="en-GB"/>
        </w:rPr>
      </w:pPr>
      <w:r w:rsidRPr="008C148B">
        <w:rPr>
          <w:lang w:val="en-GB"/>
        </w:rPr>
        <w:t>Ethnicity [categorical: white/black and minority ethnic [BME] group/unknown];</w:t>
      </w:r>
    </w:p>
    <w:p w:rsidR="0068226B" w:rsidRPr="008C148B" w:rsidRDefault="0068226B" w:rsidP="003E095A">
      <w:pPr>
        <w:pStyle w:val="ListParagraph"/>
        <w:numPr>
          <w:ilvl w:val="0"/>
          <w:numId w:val="3"/>
        </w:numPr>
        <w:spacing w:line="276" w:lineRule="auto"/>
        <w:ind w:hanging="294"/>
        <w:rPr>
          <w:lang w:val="en-GB"/>
        </w:rPr>
      </w:pPr>
      <w:r w:rsidRPr="008C148B">
        <w:rPr>
          <w:lang w:val="en-GB"/>
        </w:rPr>
        <w:t>Whether the individual had special educational needs [categorical: yes/no];</w:t>
      </w:r>
    </w:p>
    <w:p w:rsidR="0068226B" w:rsidRPr="008C148B" w:rsidRDefault="0068226B" w:rsidP="003E095A">
      <w:pPr>
        <w:pStyle w:val="ListParagraph"/>
        <w:numPr>
          <w:ilvl w:val="0"/>
          <w:numId w:val="3"/>
        </w:numPr>
        <w:spacing w:line="276" w:lineRule="auto"/>
        <w:ind w:hanging="294"/>
        <w:rPr>
          <w:lang w:val="en-GB"/>
        </w:rPr>
      </w:pPr>
      <w:r w:rsidRPr="008C148B">
        <w:rPr>
          <w:lang w:val="en-GB"/>
        </w:rPr>
        <w:t>Whether the individual was in receipt of free school meals [categorical: yes/no];</w:t>
      </w:r>
    </w:p>
    <w:p w:rsidR="0068226B" w:rsidRPr="008C148B" w:rsidRDefault="0068226B" w:rsidP="003E095A">
      <w:pPr>
        <w:pStyle w:val="ListParagraph"/>
        <w:numPr>
          <w:ilvl w:val="0"/>
          <w:numId w:val="3"/>
        </w:numPr>
        <w:spacing w:line="276" w:lineRule="auto"/>
        <w:ind w:hanging="294"/>
        <w:rPr>
          <w:lang w:val="en-GB"/>
        </w:rPr>
      </w:pPr>
      <w:r w:rsidRPr="008C148B">
        <w:rPr>
          <w:lang w:val="en-GB"/>
        </w:rPr>
        <w:t xml:space="preserve">Whether the individual </w:t>
      </w:r>
      <w:r w:rsidR="003F3A7B" w:rsidRPr="008C148B">
        <w:rPr>
          <w:lang w:val="en-GB"/>
        </w:rPr>
        <w:t xml:space="preserve">had </w:t>
      </w:r>
      <w:r w:rsidRPr="008C148B">
        <w:rPr>
          <w:lang w:val="en-GB"/>
        </w:rPr>
        <w:t>English as an additional language [categorical: yes/no];</w:t>
      </w:r>
    </w:p>
    <w:p w:rsidR="008D0F05" w:rsidRPr="008C148B" w:rsidRDefault="0068226B" w:rsidP="003E095A">
      <w:pPr>
        <w:pStyle w:val="ListParagraph"/>
        <w:numPr>
          <w:ilvl w:val="0"/>
          <w:numId w:val="3"/>
        </w:numPr>
        <w:spacing w:line="276" w:lineRule="auto"/>
        <w:ind w:hanging="294"/>
        <w:rPr>
          <w:lang w:val="en-GB"/>
        </w:rPr>
      </w:pPr>
      <w:r w:rsidRPr="008C148B">
        <w:rPr>
          <w:lang w:val="en-GB"/>
        </w:rPr>
        <w:t>Whether the individual was defined as a ‘persistent absentee’ (missing more than 20 percent of classes) during Key Stage 3 [categorical: yes/no];</w:t>
      </w:r>
    </w:p>
    <w:p w:rsidR="0068226B" w:rsidRPr="008C148B" w:rsidRDefault="0068226B" w:rsidP="003E095A">
      <w:pPr>
        <w:pStyle w:val="ListParagraph"/>
        <w:numPr>
          <w:ilvl w:val="0"/>
          <w:numId w:val="3"/>
        </w:numPr>
        <w:spacing w:line="276" w:lineRule="auto"/>
        <w:ind w:hanging="294"/>
        <w:rPr>
          <w:lang w:val="en-GB"/>
        </w:rPr>
      </w:pPr>
      <w:r w:rsidRPr="008C148B">
        <w:rPr>
          <w:lang w:val="en-GB"/>
        </w:rPr>
        <w:t xml:space="preserve">Whether the individual lived in a neighbourhood in the lowest quintile of the </w:t>
      </w:r>
      <w:r w:rsidR="0030414B" w:rsidRPr="008C148B">
        <w:rPr>
          <w:lang w:val="en-GB"/>
        </w:rPr>
        <w:t xml:space="preserve">2010 </w:t>
      </w:r>
      <w:r w:rsidRPr="008C148B">
        <w:rPr>
          <w:lang w:val="en-GB"/>
        </w:rPr>
        <w:t xml:space="preserve">Income Deprivation Affecting Children Index </w:t>
      </w:r>
      <w:r w:rsidR="0030414B" w:rsidRPr="008C148B">
        <w:rPr>
          <w:lang w:val="en-GB"/>
        </w:rPr>
        <w:t xml:space="preserve">(Department for Communities and Local Government (2011) </w:t>
      </w:r>
      <w:r w:rsidRPr="008C148B">
        <w:rPr>
          <w:lang w:val="en-GB"/>
        </w:rPr>
        <w:t>[categorical: yes/no].</w:t>
      </w:r>
    </w:p>
    <w:p w:rsidR="008D0F05" w:rsidRPr="008C148B" w:rsidRDefault="008D0F05" w:rsidP="003E095A">
      <w:pPr>
        <w:spacing w:line="276" w:lineRule="auto"/>
        <w:rPr>
          <w:lang w:val="en-GB"/>
        </w:rPr>
      </w:pPr>
    </w:p>
    <w:p w:rsidR="00807854" w:rsidRPr="008C148B" w:rsidRDefault="00807854" w:rsidP="003E095A">
      <w:pPr>
        <w:spacing w:line="276" w:lineRule="auto"/>
        <w:rPr>
          <w:bCs/>
          <w:lang w:val="en-GB"/>
        </w:rPr>
      </w:pPr>
      <w:r w:rsidRPr="008C148B">
        <w:rPr>
          <w:bCs/>
          <w:lang w:val="en-GB"/>
        </w:rPr>
        <w:t xml:space="preserve">Two school-level </w:t>
      </w:r>
      <w:r w:rsidRPr="008C148B">
        <w:rPr>
          <w:lang w:val="en-GB"/>
        </w:rPr>
        <w:t xml:space="preserve">explanatory </w:t>
      </w:r>
      <w:r w:rsidRPr="008C148B">
        <w:rPr>
          <w:bCs/>
          <w:lang w:val="en-GB"/>
        </w:rPr>
        <w:t>variables were derived from the NPD, providing :</w:t>
      </w:r>
    </w:p>
    <w:p w:rsidR="00807854" w:rsidRPr="008C148B" w:rsidRDefault="00807854" w:rsidP="003E095A">
      <w:pPr>
        <w:spacing w:line="276" w:lineRule="auto"/>
        <w:rPr>
          <w:bCs/>
          <w:lang w:val="en-GB"/>
        </w:rPr>
      </w:pPr>
    </w:p>
    <w:p w:rsidR="00807854" w:rsidRPr="008C148B" w:rsidRDefault="00807854" w:rsidP="003E095A">
      <w:pPr>
        <w:pStyle w:val="ListParagraph"/>
        <w:numPr>
          <w:ilvl w:val="0"/>
          <w:numId w:val="4"/>
        </w:numPr>
        <w:spacing w:line="276" w:lineRule="auto"/>
        <w:rPr>
          <w:lang w:val="en-GB"/>
        </w:rPr>
      </w:pPr>
      <w:r w:rsidRPr="008C148B">
        <w:rPr>
          <w:lang w:val="en-GB"/>
        </w:rPr>
        <w:t xml:space="preserve">The </w:t>
      </w:r>
      <w:r w:rsidR="00B6038B" w:rsidRPr="008C148B">
        <w:rPr>
          <w:lang w:val="en-GB"/>
        </w:rPr>
        <w:t>percentage</w:t>
      </w:r>
      <w:r w:rsidRPr="008C148B">
        <w:rPr>
          <w:lang w:val="en-GB"/>
        </w:rPr>
        <w:t xml:space="preserve"> of the school cohort achieving GCSEs at grades A* to C in both English and </w:t>
      </w:r>
      <w:r w:rsidR="003B0402" w:rsidRPr="008C148B">
        <w:rPr>
          <w:lang w:val="en-GB"/>
        </w:rPr>
        <w:t>Mathematics</w:t>
      </w:r>
      <w:r w:rsidRPr="008C148B">
        <w:rPr>
          <w:lang w:val="en-GB"/>
        </w:rPr>
        <w:t xml:space="preserve"> [continuous];</w:t>
      </w:r>
    </w:p>
    <w:p w:rsidR="00807854" w:rsidRPr="008C148B" w:rsidRDefault="00807854" w:rsidP="003E095A">
      <w:pPr>
        <w:pStyle w:val="ListParagraph"/>
        <w:numPr>
          <w:ilvl w:val="0"/>
          <w:numId w:val="4"/>
        </w:numPr>
        <w:spacing w:line="276" w:lineRule="auto"/>
        <w:rPr>
          <w:lang w:val="en-GB"/>
        </w:rPr>
      </w:pPr>
      <w:r w:rsidRPr="008C148B">
        <w:rPr>
          <w:lang w:val="en-GB"/>
        </w:rPr>
        <w:t xml:space="preserve">The </w:t>
      </w:r>
      <w:r w:rsidR="00B6038B" w:rsidRPr="008C148B">
        <w:rPr>
          <w:lang w:val="en-GB"/>
        </w:rPr>
        <w:t xml:space="preserve">percentage </w:t>
      </w:r>
      <w:r w:rsidRPr="008C148B">
        <w:rPr>
          <w:lang w:val="en-GB"/>
        </w:rPr>
        <w:t>of the school cohort living in a deprived neighbourhood, as defined through the Income Deprivation Affecting Children Index [continuous].</w:t>
      </w:r>
    </w:p>
    <w:p w:rsidR="008D0F05" w:rsidRPr="008C148B" w:rsidRDefault="008D0F05" w:rsidP="003E095A">
      <w:pPr>
        <w:spacing w:line="276" w:lineRule="auto"/>
        <w:rPr>
          <w:lang w:val="en-GB"/>
        </w:rPr>
      </w:pPr>
    </w:p>
    <w:p w:rsidR="00807854" w:rsidRPr="008C148B" w:rsidRDefault="00807854" w:rsidP="003E095A">
      <w:pPr>
        <w:spacing w:line="276" w:lineRule="auto"/>
        <w:rPr>
          <w:lang w:val="en-GB"/>
        </w:rPr>
      </w:pPr>
      <w:r w:rsidRPr="008C148B">
        <w:rPr>
          <w:lang w:val="en-GB"/>
        </w:rPr>
        <w:t xml:space="preserve">The final individual-level variable </w:t>
      </w:r>
      <w:r w:rsidR="005D7882">
        <w:rPr>
          <w:lang w:val="en-GB"/>
        </w:rPr>
        <w:t xml:space="preserve">arose from the </w:t>
      </w:r>
      <w:r w:rsidRPr="008C148B">
        <w:rPr>
          <w:lang w:val="en-GB"/>
        </w:rPr>
        <w:t xml:space="preserve">qualitative data collected from the four schools that were visited.  The research team quickly appreciated that there were two broad approaches to </w:t>
      </w:r>
      <w:r w:rsidR="003F3A7B" w:rsidRPr="008C148B">
        <w:rPr>
          <w:lang w:val="en-GB"/>
        </w:rPr>
        <w:t>the provision of</w:t>
      </w:r>
      <w:r w:rsidRPr="008C148B">
        <w:rPr>
          <w:lang w:val="en-GB"/>
        </w:rPr>
        <w:t xml:space="preserve"> CoPE within schools, which were subsequently labelled as ‘thin’ and ‘wide’:</w:t>
      </w:r>
    </w:p>
    <w:p w:rsidR="00807854" w:rsidRPr="008C148B" w:rsidRDefault="00807854" w:rsidP="003E095A">
      <w:pPr>
        <w:spacing w:line="276" w:lineRule="auto"/>
        <w:rPr>
          <w:sz w:val="28"/>
          <w:lang w:val="en-GB"/>
        </w:rPr>
      </w:pPr>
    </w:p>
    <w:p w:rsidR="00807854" w:rsidRPr="008C148B" w:rsidRDefault="00807854" w:rsidP="003E095A">
      <w:pPr>
        <w:pStyle w:val="ListParagraph"/>
        <w:numPr>
          <w:ilvl w:val="0"/>
          <w:numId w:val="5"/>
        </w:numPr>
        <w:spacing w:line="276" w:lineRule="auto"/>
        <w:ind w:left="709" w:hanging="283"/>
        <w:rPr>
          <w:lang w:val="en-GB"/>
        </w:rPr>
      </w:pPr>
      <w:r w:rsidRPr="008C148B">
        <w:rPr>
          <w:b/>
          <w:bCs/>
          <w:lang w:val="en-GB"/>
        </w:rPr>
        <w:t>‘Thin’</w:t>
      </w:r>
      <w:r w:rsidR="003F3A7B" w:rsidRPr="008C148B">
        <w:rPr>
          <w:b/>
          <w:bCs/>
          <w:lang w:val="en-GB"/>
        </w:rPr>
        <w:t xml:space="preserve"> provision</w:t>
      </w:r>
      <w:r w:rsidRPr="008C148B">
        <w:rPr>
          <w:b/>
          <w:bCs/>
          <w:lang w:val="en-GB"/>
        </w:rPr>
        <w:t xml:space="preserve"> </w:t>
      </w:r>
      <w:r w:rsidRPr="008C148B">
        <w:rPr>
          <w:lang w:val="en-GB"/>
        </w:rPr>
        <w:t>–</w:t>
      </w:r>
      <w:r w:rsidR="001B528A">
        <w:rPr>
          <w:lang w:val="en-GB"/>
        </w:rPr>
        <w:t xml:space="preserve"> </w:t>
      </w:r>
      <w:r w:rsidRPr="008C148B">
        <w:rPr>
          <w:lang w:val="en-GB"/>
        </w:rPr>
        <w:t xml:space="preserve">where CoPE was used mainly as a supplement for a relatively small minority with disrupted education, particularly between KS3 and KS4 – e.g. illness, absenteeism, family problems, disengagement or behavioural issues.  In </w:t>
      </w:r>
      <w:r w:rsidRPr="008C148B">
        <w:rPr>
          <w:lang w:val="en-GB"/>
        </w:rPr>
        <w:lastRenderedPageBreak/>
        <w:t xml:space="preserve">these schools, most learners pursuing CoPE were expected to </w:t>
      </w:r>
      <w:r w:rsidR="00697EDD" w:rsidRPr="008C148B">
        <w:rPr>
          <w:lang w:val="en-GB"/>
        </w:rPr>
        <w:t>seriously</w:t>
      </w:r>
      <w:r w:rsidRPr="008C148B">
        <w:rPr>
          <w:lang w:val="en-GB"/>
        </w:rPr>
        <w:t xml:space="preserve"> underperform in their GCSEs relative to their ability as a result of the disruption they had undergone or were still undergoing.  Sixty percent of those undertaking CoPE did so in a ‘thin’ school.</w:t>
      </w:r>
    </w:p>
    <w:p w:rsidR="00807854" w:rsidRPr="008C148B" w:rsidRDefault="00807854" w:rsidP="003E095A">
      <w:pPr>
        <w:pStyle w:val="ListParagraph"/>
        <w:spacing w:line="276" w:lineRule="auto"/>
        <w:ind w:left="709"/>
        <w:rPr>
          <w:lang w:val="en-GB"/>
        </w:rPr>
      </w:pPr>
    </w:p>
    <w:p w:rsidR="00807854" w:rsidRPr="008C148B" w:rsidRDefault="00807854" w:rsidP="003E095A">
      <w:pPr>
        <w:pStyle w:val="ListParagraph"/>
        <w:numPr>
          <w:ilvl w:val="0"/>
          <w:numId w:val="5"/>
        </w:numPr>
        <w:spacing w:line="276" w:lineRule="auto"/>
        <w:ind w:left="709" w:hanging="283"/>
        <w:rPr>
          <w:lang w:val="en-GB"/>
        </w:rPr>
      </w:pPr>
      <w:r w:rsidRPr="008C148B">
        <w:rPr>
          <w:b/>
          <w:bCs/>
          <w:lang w:val="en-GB"/>
        </w:rPr>
        <w:t>‘Wide’</w:t>
      </w:r>
      <w:r w:rsidR="003F3A7B" w:rsidRPr="008C148B">
        <w:rPr>
          <w:b/>
          <w:bCs/>
          <w:lang w:val="en-GB"/>
        </w:rPr>
        <w:t xml:space="preserve"> provision</w:t>
      </w:r>
      <w:r w:rsidRPr="008C148B">
        <w:rPr>
          <w:b/>
          <w:bCs/>
          <w:lang w:val="en-GB"/>
        </w:rPr>
        <w:t xml:space="preserve"> </w:t>
      </w:r>
      <w:r w:rsidRPr="008C148B">
        <w:rPr>
          <w:lang w:val="en-GB"/>
        </w:rPr>
        <w:t>–</w:t>
      </w:r>
      <w:r w:rsidR="001B528A">
        <w:rPr>
          <w:lang w:val="en-GB"/>
        </w:rPr>
        <w:t xml:space="preserve"> </w:t>
      </w:r>
      <w:r w:rsidRPr="008C148B">
        <w:rPr>
          <w:lang w:val="en-GB"/>
        </w:rPr>
        <w:t xml:space="preserve">where CoPE was used as a more mainstream tool with a larger minority or majority of the cohort to enhance the curriculum, increase motivation or broaden opportunities for achievement.  In these schools, learners pursuing CoPE were not generally expected to underperform, although the cohort did contain some learners similar to those within </w:t>
      </w:r>
      <w:r w:rsidR="00A55C79" w:rsidRPr="008C148B">
        <w:rPr>
          <w:lang w:val="en-GB"/>
        </w:rPr>
        <w:t>‘thin’</w:t>
      </w:r>
      <w:r w:rsidRPr="008C148B">
        <w:rPr>
          <w:lang w:val="en-GB"/>
        </w:rPr>
        <w:t xml:space="preserve"> schools. Forty percent of those undertaking CoPE did so in a ‘wide’ school.</w:t>
      </w:r>
    </w:p>
    <w:p w:rsidR="00807854" w:rsidRPr="008C148B" w:rsidRDefault="00807854" w:rsidP="003E095A">
      <w:pPr>
        <w:spacing w:line="276" w:lineRule="auto"/>
        <w:rPr>
          <w:bCs/>
          <w:lang w:val="en-GB"/>
        </w:rPr>
      </w:pPr>
    </w:p>
    <w:p w:rsidR="00807854" w:rsidRPr="008C148B" w:rsidRDefault="00807854" w:rsidP="003E095A">
      <w:pPr>
        <w:spacing w:line="276" w:lineRule="auto"/>
        <w:rPr>
          <w:lang w:val="en-GB"/>
        </w:rPr>
      </w:pPr>
      <w:r w:rsidRPr="008C148B">
        <w:rPr>
          <w:lang w:val="en-GB"/>
        </w:rPr>
        <w:t xml:space="preserve">Exploration of the NPD dataset suggested that the boundary between ‘thin’ and </w:t>
      </w:r>
      <w:r w:rsidR="00A55C79" w:rsidRPr="008C148B">
        <w:rPr>
          <w:lang w:val="en-GB"/>
        </w:rPr>
        <w:t>‘wide’</w:t>
      </w:r>
      <w:r w:rsidRPr="008C148B">
        <w:rPr>
          <w:lang w:val="en-GB"/>
        </w:rPr>
        <w:t xml:space="preserve"> </w:t>
      </w:r>
      <w:r w:rsidR="00091669" w:rsidRPr="008C148B">
        <w:rPr>
          <w:lang w:val="en-GB"/>
        </w:rPr>
        <w:t xml:space="preserve">provision </w:t>
      </w:r>
      <w:r w:rsidRPr="008C148B">
        <w:rPr>
          <w:lang w:val="en-GB"/>
        </w:rPr>
        <w:t xml:space="preserve">schools was broadly defined by whether more or less than 25 percent of the cohort pursued CoPE, and this threshold was adopted as a proxy for the purposes of analysis; it is accepted that </w:t>
      </w:r>
      <w:r w:rsidR="00091669" w:rsidRPr="008C148B">
        <w:rPr>
          <w:lang w:val="en-GB"/>
        </w:rPr>
        <w:t xml:space="preserve">there are limitations to </w:t>
      </w:r>
      <w:r w:rsidRPr="008C148B">
        <w:rPr>
          <w:lang w:val="en-GB"/>
        </w:rPr>
        <w:t xml:space="preserve">this </w:t>
      </w:r>
      <w:r w:rsidR="00091669" w:rsidRPr="008C148B">
        <w:rPr>
          <w:lang w:val="en-GB"/>
        </w:rPr>
        <w:t>as</w:t>
      </w:r>
      <w:r w:rsidRPr="008C148B">
        <w:rPr>
          <w:lang w:val="en-GB"/>
        </w:rPr>
        <w:t xml:space="preserve"> a means of reflecting difference</w:t>
      </w:r>
      <w:r w:rsidR="00091669" w:rsidRPr="008C148B">
        <w:rPr>
          <w:lang w:val="en-GB"/>
        </w:rPr>
        <w:t>s</w:t>
      </w:r>
      <w:r w:rsidRPr="008C148B">
        <w:rPr>
          <w:lang w:val="en-GB"/>
        </w:rPr>
        <w:t xml:space="preserve"> in school practices.  This was then combined with the data on whether an individual had completed CoPE to produce a compound categorical variable with five possible values</w:t>
      </w:r>
      <w:r w:rsidR="00091669" w:rsidRPr="008C148B">
        <w:rPr>
          <w:lang w:val="en-GB"/>
        </w:rPr>
        <w:t xml:space="preserve">.  A </w:t>
      </w:r>
      <w:r w:rsidR="00B6038B" w:rsidRPr="008C148B">
        <w:rPr>
          <w:lang w:val="en-GB"/>
        </w:rPr>
        <w:t>learner</w:t>
      </w:r>
      <w:r w:rsidR="00091669" w:rsidRPr="008C148B">
        <w:rPr>
          <w:lang w:val="en-GB"/>
        </w:rPr>
        <w:t xml:space="preserve"> could be:</w:t>
      </w:r>
      <w:r w:rsidRPr="008C148B">
        <w:rPr>
          <w:lang w:val="en-GB"/>
        </w:rPr>
        <w:t xml:space="preserve"> </w:t>
      </w:r>
    </w:p>
    <w:p w:rsidR="00807854" w:rsidRPr="008C148B" w:rsidRDefault="00807854" w:rsidP="003E095A">
      <w:pPr>
        <w:spacing w:line="276" w:lineRule="auto"/>
        <w:rPr>
          <w:lang w:val="en-GB"/>
        </w:rPr>
      </w:pPr>
    </w:p>
    <w:p w:rsidR="00807854" w:rsidRPr="008C148B" w:rsidRDefault="00807854" w:rsidP="003E095A">
      <w:pPr>
        <w:pStyle w:val="ListParagraph"/>
        <w:numPr>
          <w:ilvl w:val="0"/>
          <w:numId w:val="6"/>
        </w:numPr>
        <w:spacing w:line="276" w:lineRule="auto"/>
        <w:ind w:hanging="294"/>
        <w:rPr>
          <w:lang w:val="en-GB"/>
        </w:rPr>
      </w:pPr>
      <w:r w:rsidRPr="008C148B">
        <w:rPr>
          <w:lang w:val="en-GB"/>
        </w:rPr>
        <w:t>In a school where CoPE was not offered;</w:t>
      </w:r>
    </w:p>
    <w:p w:rsidR="00807854" w:rsidRPr="008C148B" w:rsidRDefault="00807854" w:rsidP="003E095A">
      <w:pPr>
        <w:pStyle w:val="ListParagraph"/>
        <w:numPr>
          <w:ilvl w:val="0"/>
          <w:numId w:val="6"/>
        </w:numPr>
        <w:spacing w:line="276" w:lineRule="auto"/>
        <w:ind w:hanging="294"/>
        <w:rPr>
          <w:lang w:val="en-GB"/>
        </w:rPr>
      </w:pPr>
      <w:r w:rsidRPr="008C148B">
        <w:rPr>
          <w:lang w:val="en-GB"/>
        </w:rPr>
        <w:t>Undertaking CoPE in a ‘thin</w:t>
      </w:r>
      <w:r w:rsidR="0030415D" w:rsidRPr="008C148B">
        <w:rPr>
          <w:lang w:val="en-GB"/>
        </w:rPr>
        <w:t>’</w:t>
      </w:r>
      <w:r w:rsidRPr="008C148B">
        <w:rPr>
          <w:lang w:val="en-GB"/>
        </w:rPr>
        <w:t xml:space="preserve"> school;</w:t>
      </w:r>
    </w:p>
    <w:p w:rsidR="00807854" w:rsidRPr="008C148B" w:rsidRDefault="00807854" w:rsidP="003E095A">
      <w:pPr>
        <w:pStyle w:val="ListParagraph"/>
        <w:numPr>
          <w:ilvl w:val="0"/>
          <w:numId w:val="6"/>
        </w:numPr>
        <w:spacing w:line="276" w:lineRule="auto"/>
        <w:ind w:hanging="294"/>
        <w:rPr>
          <w:lang w:val="en-GB"/>
        </w:rPr>
      </w:pPr>
      <w:r w:rsidRPr="008C148B">
        <w:rPr>
          <w:lang w:val="en-GB"/>
        </w:rPr>
        <w:t>Not undertaking CoPE in a ‘thin</w:t>
      </w:r>
      <w:r w:rsidR="0030415D" w:rsidRPr="008C148B">
        <w:rPr>
          <w:lang w:val="en-GB"/>
        </w:rPr>
        <w:t>’</w:t>
      </w:r>
      <w:r w:rsidRPr="008C148B">
        <w:rPr>
          <w:lang w:val="en-GB"/>
        </w:rPr>
        <w:t xml:space="preserve"> school;</w:t>
      </w:r>
    </w:p>
    <w:p w:rsidR="00807854" w:rsidRPr="008C148B" w:rsidRDefault="00807854" w:rsidP="003E095A">
      <w:pPr>
        <w:pStyle w:val="ListParagraph"/>
        <w:numPr>
          <w:ilvl w:val="0"/>
          <w:numId w:val="6"/>
        </w:numPr>
        <w:spacing w:line="276" w:lineRule="auto"/>
        <w:ind w:hanging="294"/>
        <w:rPr>
          <w:lang w:val="en-GB"/>
        </w:rPr>
      </w:pPr>
      <w:r w:rsidRPr="008C148B">
        <w:rPr>
          <w:lang w:val="en-GB"/>
        </w:rPr>
        <w:t>Undertaking CoPE in a ‘wide</w:t>
      </w:r>
      <w:r w:rsidR="0030415D" w:rsidRPr="008C148B">
        <w:rPr>
          <w:lang w:val="en-GB"/>
        </w:rPr>
        <w:t xml:space="preserve">’ </w:t>
      </w:r>
      <w:r w:rsidRPr="008C148B">
        <w:rPr>
          <w:lang w:val="en-GB"/>
        </w:rPr>
        <w:t>school;</w:t>
      </w:r>
    </w:p>
    <w:p w:rsidR="00807854" w:rsidRPr="008C148B" w:rsidRDefault="00807854" w:rsidP="003E095A">
      <w:pPr>
        <w:pStyle w:val="ListParagraph"/>
        <w:numPr>
          <w:ilvl w:val="0"/>
          <w:numId w:val="6"/>
        </w:numPr>
        <w:spacing w:line="276" w:lineRule="auto"/>
        <w:ind w:hanging="294"/>
        <w:rPr>
          <w:lang w:val="en-GB"/>
        </w:rPr>
      </w:pPr>
      <w:r w:rsidRPr="008C148B">
        <w:rPr>
          <w:lang w:val="en-GB"/>
        </w:rPr>
        <w:t>Not undertaking CoPE in a ‘wide</w:t>
      </w:r>
      <w:r w:rsidR="0030415D" w:rsidRPr="008C148B">
        <w:rPr>
          <w:lang w:val="en-GB"/>
        </w:rPr>
        <w:t xml:space="preserve">’ </w:t>
      </w:r>
      <w:r w:rsidR="00697EDD" w:rsidRPr="008C148B">
        <w:rPr>
          <w:lang w:val="en-GB"/>
        </w:rPr>
        <w:t>school.</w:t>
      </w:r>
    </w:p>
    <w:p w:rsidR="008D0F05" w:rsidRPr="008C148B" w:rsidRDefault="008D0F05" w:rsidP="003E095A">
      <w:pPr>
        <w:spacing w:line="276" w:lineRule="auto"/>
        <w:rPr>
          <w:lang w:val="en-GB"/>
        </w:rPr>
      </w:pPr>
    </w:p>
    <w:p w:rsidR="00B6038B" w:rsidRPr="008C148B" w:rsidRDefault="00807854" w:rsidP="003E095A">
      <w:pPr>
        <w:spacing w:line="276" w:lineRule="auto"/>
        <w:rPr>
          <w:lang w:val="en-GB"/>
        </w:rPr>
      </w:pPr>
      <w:r w:rsidRPr="008C148B">
        <w:rPr>
          <w:lang w:val="en-GB"/>
        </w:rPr>
        <w:t xml:space="preserve">Within the </w:t>
      </w:r>
      <w:r w:rsidR="006A356C" w:rsidRPr="008C148B">
        <w:rPr>
          <w:lang w:val="en-GB"/>
        </w:rPr>
        <w:t>‘imagined schools’</w:t>
      </w:r>
      <w:r w:rsidR="00091669" w:rsidRPr="008C148B">
        <w:rPr>
          <w:lang w:val="en-GB"/>
        </w:rPr>
        <w:t xml:space="preserve"> </w:t>
      </w:r>
      <w:r w:rsidRPr="008C148B">
        <w:rPr>
          <w:lang w:val="en-GB"/>
        </w:rPr>
        <w:t>component of the study, the experimental group comprised those undertaking CoPE in a ‘wide</w:t>
      </w:r>
      <w:r w:rsidR="0030415D" w:rsidRPr="008C148B">
        <w:rPr>
          <w:lang w:val="en-GB"/>
        </w:rPr>
        <w:t xml:space="preserve">’ </w:t>
      </w:r>
      <w:r w:rsidRPr="008C148B">
        <w:rPr>
          <w:lang w:val="en-GB"/>
        </w:rPr>
        <w:t xml:space="preserve">school and the control group was randomly matched from those schools where CoPE was not offered.  </w:t>
      </w:r>
      <w:r w:rsidR="00B6038B" w:rsidRPr="008C148B">
        <w:rPr>
          <w:lang w:val="en-GB"/>
        </w:rPr>
        <w:t>The pairs were matched across nine variables: KS3 English</w:t>
      </w:r>
      <w:r w:rsidR="00495339" w:rsidRPr="008C148B">
        <w:rPr>
          <w:lang w:val="en-GB"/>
        </w:rPr>
        <w:t xml:space="preserve"> attainment</w:t>
      </w:r>
      <w:r w:rsidR="00B6038B" w:rsidRPr="008C148B">
        <w:rPr>
          <w:lang w:val="en-GB"/>
        </w:rPr>
        <w:t>, KS3 mathematics</w:t>
      </w:r>
      <w:r w:rsidR="00495339" w:rsidRPr="008C148B">
        <w:rPr>
          <w:lang w:val="en-GB"/>
        </w:rPr>
        <w:t xml:space="preserve"> attainment</w:t>
      </w:r>
      <w:r w:rsidR="00B6038B" w:rsidRPr="008C148B">
        <w:rPr>
          <w:lang w:val="en-GB"/>
        </w:rPr>
        <w:t xml:space="preserve">, gender, ethnicity, English as an additional language, special educational needs, free school meals, living in a deprived neighbourhood and persistent absenteeism in KS3.  </w:t>
      </w:r>
    </w:p>
    <w:p w:rsidR="008D0F05" w:rsidRPr="008C148B" w:rsidRDefault="008D0F05" w:rsidP="003E095A">
      <w:pPr>
        <w:spacing w:line="276" w:lineRule="auto"/>
        <w:rPr>
          <w:lang w:val="en-GB"/>
        </w:rPr>
      </w:pPr>
    </w:p>
    <w:p w:rsidR="00624679" w:rsidRPr="008C148B" w:rsidRDefault="00624679" w:rsidP="003E095A">
      <w:pPr>
        <w:spacing w:line="276" w:lineRule="auto"/>
        <w:rPr>
          <w:b/>
          <w:lang w:val="en-GB"/>
        </w:rPr>
      </w:pPr>
    </w:p>
    <w:p w:rsidR="00CC2962" w:rsidRPr="008C148B" w:rsidRDefault="00F67BD9" w:rsidP="003E095A">
      <w:pPr>
        <w:spacing w:line="276" w:lineRule="auto"/>
        <w:rPr>
          <w:b/>
          <w:lang w:val="en-GB"/>
        </w:rPr>
      </w:pPr>
      <w:r>
        <w:rPr>
          <w:b/>
          <w:lang w:val="en-GB"/>
        </w:rPr>
        <w:t>5</w:t>
      </w:r>
      <w:r w:rsidR="008C4D8E">
        <w:rPr>
          <w:b/>
          <w:lang w:val="en-GB"/>
        </w:rPr>
        <w:t xml:space="preserve">. </w:t>
      </w:r>
      <w:r w:rsidR="00624679" w:rsidRPr="008C148B">
        <w:rPr>
          <w:b/>
          <w:lang w:val="en-GB"/>
        </w:rPr>
        <w:t>Key findings</w:t>
      </w:r>
    </w:p>
    <w:p w:rsidR="00882BE6" w:rsidRPr="008C148B" w:rsidRDefault="00882BE6" w:rsidP="003E095A">
      <w:pPr>
        <w:spacing w:line="276" w:lineRule="auto"/>
        <w:rPr>
          <w:lang w:val="en-GB"/>
        </w:rPr>
      </w:pPr>
    </w:p>
    <w:p w:rsidR="00804B08" w:rsidRPr="008C4D8E" w:rsidRDefault="00F67BD9" w:rsidP="003E095A">
      <w:pPr>
        <w:spacing w:line="276" w:lineRule="auto"/>
        <w:rPr>
          <w:i/>
          <w:lang w:val="en-GB"/>
        </w:rPr>
      </w:pPr>
      <w:r>
        <w:rPr>
          <w:i/>
          <w:lang w:val="en-GB"/>
        </w:rPr>
        <w:t>5</w:t>
      </w:r>
      <w:r w:rsidR="008C4D8E" w:rsidRPr="008C4D8E">
        <w:rPr>
          <w:i/>
          <w:lang w:val="en-GB"/>
        </w:rPr>
        <w:t xml:space="preserve">.1 </w:t>
      </w:r>
      <w:r w:rsidR="00A90384" w:rsidRPr="008C4D8E">
        <w:rPr>
          <w:i/>
          <w:lang w:val="en-GB"/>
        </w:rPr>
        <w:t xml:space="preserve">The </w:t>
      </w:r>
      <w:r w:rsidR="00697EDD" w:rsidRPr="008C4D8E">
        <w:rPr>
          <w:i/>
          <w:lang w:val="en-GB"/>
        </w:rPr>
        <w:t>relationship</w:t>
      </w:r>
      <w:r w:rsidR="00A90384" w:rsidRPr="008C4D8E">
        <w:rPr>
          <w:i/>
          <w:lang w:val="en-GB"/>
        </w:rPr>
        <w:t xml:space="preserve"> </w:t>
      </w:r>
      <w:r w:rsidR="0030415D" w:rsidRPr="008C4D8E">
        <w:rPr>
          <w:i/>
          <w:lang w:val="en-GB"/>
        </w:rPr>
        <w:t>between CoPE and GCSE outcomes</w:t>
      </w:r>
    </w:p>
    <w:p w:rsidR="00882BE6" w:rsidRPr="008C148B" w:rsidRDefault="00882BE6" w:rsidP="003E095A">
      <w:pPr>
        <w:spacing w:line="276" w:lineRule="auto"/>
        <w:rPr>
          <w:lang w:val="en-GB"/>
        </w:rPr>
      </w:pPr>
    </w:p>
    <w:p w:rsidR="00D64BCD" w:rsidRPr="008C148B" w:rsidRDefault="00467B1C" w:rsidP="003E095A">
      <w:pPr>
        <w:spacing w:line="276" w:lineRule="auto"/>
        <w:rPr>
          <w:lang w:val="en-GB"/>
        </w:rPr>
      </w:pPr>
      <w:r w:rsidRPr="008C148B">
        <w:rPr>
          <w:lang w:val="en-GB"/>
        </w:rPr>
        <w:t xml:space="preserve">In </w:t>
      </w:r>
      <w:r w:rsidR="00B6038B" w:rsidRPr="008C148B">
        <w:rPr>
          <w:lang w:val="en-GB"/>
        </w:rPr>
        <w:t>addressing</w:t>
      </w:r>
      <w:r w:rsidRPr="008C148B">
        <w:rPr>
          <w:lang w:val="en-GB"/>
        </w:rPr>
        <w:t xml:space="preserve"> the </w:t>
      </w:r>
      <w:r w:rsidR="00B6038B" w:rsidRPr="008C148B">
        <w:rPr>
          <w:lang w:val="en-GB"/>
        </w:rPr>
        <w:t>first research question</w:t>
      </w:r>
      <w:r w:rsidRPr="008C148B">
        <w:rPr>
          <w:lang w:val="en-GB"/>
        </w:rPr>
        <w:t>, we turn first to the pseudo-experimental study with its 3,557 random</w:t>
      </w:r>
      <w:r w:rsidR="00091669" w:rsidRPr="008C148B">
        <w:rPr>
          <w:lang w:val="en-GB"/>
        </w:rPr>
        <w:t xml:space="preserve">ly-matched </w:t>
      </w:r>
      <w:r w:rsidRPr="008C148B">
        <w:rPr>
          <w:lang w:val="en-GB"/>
        </w:rPr>
        <w:t>pairs</w:t>
      </w:r>
      <w:r w:rsidR="00895DFA" w:rsidRPr="008C148B">
        <w:rPr>
          <w:lang w:val="en-GB"/>
        </w:rPr>
        <w:t>.  Table 1 shows the differences in pass</w:t>
      </w:r>
      <w:r w:rsidR="001B528A">
        <w:rPr>
          <w:lang w:val="en-GB"/>
        </w:rPr>
        <w:t xml:space="preserve"> rate between the two ‘imagined</w:t>
      </w:r>
      <w:r w:rsidR="00895DFA" w:rsidRPr="008C148B">
        <w:rPr>
          <w:lang w:val="en-GB"/>
        </w:rPr>
        <w:t xml:space="preserve"> schools</w:t>
      </w:r>
      <w:r w:rsidR="001B528A">
        <w:rPr>
          <w:lang w:val="en-GB"/>
        </w:rPr>
        <w:t>’</w:t>
      </w:r>
      <w:r w:rsidR="00895DFA" w:rsidRPr="008C148B">
        <w:rPr>
          <w:lang w:val="en-GB"/>
        </w:rPr>
        <w:t xml:space="preserve"> for GCSE English and Table 2 repeats this for the five </w:t>
      </w:r>
      <w:r w:rsidR="003A12B8" w:rsidRPr="008C148B">
        <w:rPr>
          <w:lang w:val="en-GB"/>
        </w:rPr>
        <w:t xml:space="preserve">good </w:t>
      </w:r>
      <w:r w:rsidR="00895DFA" w:rsidRPr="008C148B">
        <w:rPr>
          <w:lang w:val="en-GB"/>
        </w:rPr>
        <w:t>GCSE</w:t>
      </w:r>
      <w:r w:rsidR="00B6038B" w:rsidRPr="008C148B">
        <w:rPr>
          <w:lang w:val="en-GB"/>
        </w:rPr>
        <w:t>s</w:t>
      </w:r>
      <w:r w:rsidR="00895DFA" w:rsidRPr="008C148B">
        <w:rPr>
          <w:lang w:val="en-GB"/>
        </w:rPr>
        <w:t xml:space="preserve"> </w:t>
      </w:r>
      <w:r w:rsidR="003A12B8" w:rsidRPr="008C148B">
        <w:rPr>
          <w:lang w:val="en-GB"/>
        </w:rPr>
        <w:t>measure</w:t>
      </w:r>
      <w:r w:rsidR="00895DFA" w:rsidRPr="008C148B">
        <w:rPr>
          <w:lang w:val="en-GB"/>
        </w:rPr>
        <w:t>.</w:t>
      </w:r>
    </w:p>
    <w:p w:rsidR="00220CB5" w:rsidRPr="008C148B" w:rsidRDefault="00220CB5" w:rsidP="003E095A">
      <w:pPr>
        <w:spacing w:line="276" w:lineRule="auto"/>
        <w:rPr>
          <w:lang w:val="en-GB"/>
        </w:rPr>
      </w:pPr>
    </w:p>
    <w:p w:rsidR="00D64BCD" w:rsidRPr="008C148B" w:rsidRDefault="00625EBF" w:rsidP="003E095A">
      <w:pPr>
        <w:spacing w:line="276" w:lineRule="auto"/>
        <w:rPr>
          <w:lang w:val="en-GB"/>
        </w:rPr>
      </w:pPr>
      <w:r w:rsidRPr="008C148B">
        <w:rPr>
          <w:lang w:val="en-GB"/>
        </w:rPr>
        <w:lastRenderedPageBreak/>
        <w:t xml:space="preserve">As can be seen, the CoPE </w:t>
      </w:r>
      <w:r w:rsidR="001B528A">
        <w:rPr>
          <w:lang w:val="en-GB"/>
        </w:rPr>
        <w:t>‘</w:t>
      </w:r>
      <w:r w:rsidR="00392D7D" w:rsidRPr="008C148B">
        <w:rPr>
          <w:lang w:val="en-GB"/>
        </w:rPr>
        <w:t>school</w:t>
      </w:r>
      <w:r w:rsidR="00DA35A9" w:rsidRPr="008C148B">
        <w:rPr>
          <w:lang w:val="en-GB"/>
        </w:rPr>
        <w:t>’</w:t>
      </w:r>
      <w:r w:rsidRPr="008C148B">
        <w:rPr>
          <w:lang w:val="en-GB"/>
        </w:rPr>
        <w:t xml:space="preserve"> had a</w:t>
      </w:r>
      <w:r w:rsidR="00DC7C29" w:rsidRPr="008C148B">
        <w:rPr>
          <w:lang w:val="en-GB"/>
        </w:rPr>
        <w:t xml:space="preserve"> </w:t>
      </w:r>
      <w:r w:rsidRPr="008C148B">
        <w:rPr>
          <w:lang w:val="en-GB"/>
        </w:rPr>
        <w:t xml:space="preserve">higher </w:t>
      </w:r>
      <w:r w:rsidR="0030415D" w:rsidRPr="008C148B">
        <w:rPr>
          <w:lang w:val="en-GB"/>
        </w:rPr>
        <w:t xml:space="preserve">‘good’ </w:t>
      </w:r>
      <w:r w:rsidRPr="008C148B">
        <w:rPr>
          <w:lang w:val="en-GB"/>
        </w:rPr>
        <w:t xml:space="preserve">pass rate </w:t>
      </w:r>
      <w:r w:rsidR="00392D7D" w:rsidRPr="008C148B">
        <w:rPr>
          <w:lang w:val="en-GB"/>
        </w:rPr>
        <w:t xml:space="preserve">than the non-CoPE </w:t>
      </w:r>
      <w:r w:rsidR="001B528A">
        <w:rPr>
          <w:lang w:val="en-GB"/>
        </w:rPr>
        <w:t>‘</w:t>
      </w:r>
      <w:r w:rsidR="00392D7D" w:rsidRPr="008C148B">
        <w:rPr>
          <w:lang w:val="en-GB"/>
        </w:rPr>
        <w:t>school</w:t>
      </w:r>
      <w:r w:rsidR="00DA35A9" w:rsidRPr="008C148B">
        <w:rPr>
          <w:lang w:val="en-GB"/>
        </w:rPr>
        <w:t>’</w:t>
      </w:r>
      <w:r w:rsidR="00392D7D" w:rsidRPr="008C148B">
        <w:rPr>
          <w:lang w:val="en-GB"/>
        </w:rPr>
        <w:t xml:space="preserve"> </w:t>
      </w:r>
      <w:r w:rsidRPr="008C148B">
        <w:rPr>
          <w:lang w:val="en-GB"/>
        </w:rPr>
        <w:t>for both GCSE Englis</w:t>
      </w:r>
      <w:r w:rsidR="00DC7C29" w:rsidRPr="008C148B">
        <w:rPr>
          <w:lang w:val="en-GB"/>
        </w:rPr>
        <w:t>h (</w:t>
      </w:r>
      <w:r w:rsidR="00207124" w:rsidRPr="008C148B">
        <w:rPr>
          <w:lang w:val="en-GB"/>
        </w:rPr>
        <w:t xml:space="preserve">by </w:t>
      </w:r>
      <w:r w:rsidR="00DC7C29" w:rsidRPr="008C148B">
        <w:rPr>
          <w:lang w:val="en-GB"/>
        </w:rPr>
        <w:t xml:space="preserve">4.2 percent) and the five GCSE </w:t>
      </w:r>
      <w:r w:rsidR="0030415D" w:rsidRPr="008C148B">
        <w:rPr>
          <w:lang w:val="en-GB"/>
        </w:rPr>
        <w:t>measure</w:t>
      </w:r>
      <w:r w:rsidR="00DC7C29" w:rsidRPr="008C148B">
        <w:rPr>
          <w:lang w:val="en-GB"/>
        </w:rPr>
        <w:t xml:space="preserve"> (</w:t>
      </w:r>
      <w:r w:rsidR="00207124" w:rsidRPr="008C148B">
        <w:rPr>
          <w:lang w:val="en-GB"/>
        </w:rPr>
        <w:t xml:space="preserve">by </w:t>
      </w:r>
      <w:r w:rsidR="00DC7C29" w:rsidRPr="008C148B">
        <w:rPr>
          <w:lang w:val="en-GB"/>
        </w:rPr>
        <w:t>3.0 percent).  In both cases</w:t>
      </w:r>
      <w:r w:rsidR="00882BE6" w:rsidRPr="008C148B">
        <w:rPr>
          <w:lang w:val="en-GB"/>
        </w:rPr>
        <w:t>,</w:t>
      </w:r>
      <w:r w:rsidR="00DC7C29" w:rsidRPr="008C148B">
        <w:rPr>
          <w:lang w:val="en-GB"/>
        </w:rPr>
        <w:t xml:space="preserve"> the </w:t>
      </w:r>
      <w:r w:rsidR="00207124" w:rsidRPr="008C148B">
        <w:rPr>
          <w:lang w:val="en-GB"/>
        </w:rPr>
        <w:t>difference</w:t>
      </w:r>
      <w:r w:rsidR="00DC7C29" w:rsidRPr="008C148B">
        <w:rPr>
          <w:lang w:val="en-GB"/>
        </w:rPr>
        <w:t xml:space="preserve"> is statistically significant</w:t>
      </w:r>
      <w:r w:rsidR="00882BE6" w:rsidRPr="008C148B">
        <w:rPr>
          <w:lang w:val="en-GB"/>
        </w:rPr>
        <w:t xml:space="preserve"> (GCSE English:</w:t>
      </w:r>
      <w:r w:rsidR="00DC7C29" w:rsidRPr="008C148B">
        <w:rPr>
          <w:lang w:val="en-GB"/>
        </w:rPr>
        <w:t xml:space="preserve"> </w:t>
      </w:r>
      <w:r w:rsidR="0030415D" w:rsidRPr="008C148B">
        <w:rPr>
          <w:lang w:val="en-GB"/>
        </w:rPr>
        <w:t>χ</w:t>
      </w:r>
      <w:r w:rsidRPr="008C148B">
        <w:rPr>
          <w:vertAlign w:val="superscript"/>
          <w:lang w:val="en-GB"/>
        </w:rPr>
        <w:t>2</w:t>
      </w:r>
      <w:r w:rsidR="00B6038B" w:rsidRPr="008C148B">
        <w:rPr>
          <w:vertAlign w:val="subscript"/>
          <w:lang w:val="en-GB"/>
        </w:rPr>
        <w:t>1</w:t>
      </w:r>
      <w:r w:rsidRPr="008C148B">
        <w:rPr>
          <w:lang w:val="en-GB"/>
        </w:rPr>
        <w:t>=14.498, p&lt;.001</w:t>
      </w:r>
      <w:r w:rsidR="00882BE6" w:rsidRPr="008C148B">
        <w:rPr>
          <w:lang w:val="en-GB"/>
        </w:rPr>
        <w:t xml:space="preserve"> – </w:t>
      </w:r>
      <w:r w:rsidRPr="008C148B">
        <w:rPr>
          <w:lang w:val="en-GB"/>
        </w:rPr>
        <w:t xml:space="preserve">five </w:t>
      </w:r>
      <w:r w:rsidR="00B6038B" w:rsidRPr="008C148B">
        <w:rPr>
          <w:lang w:val="en-GB"/>
        </w:rPr>
        <w:t xml:space="preserve">good </w:t>
      </w:r>
      <w:r w:rsidRPr="008C148B">
        <w:rPr>
          <w:lang w:val="en-GB"/>
        </w:rPr>
        <w:t>GCSE</w:t>
      </w:r>
      <w:r w:rsidR="00B6038B" w:rsidRPr="008C148B">
        <w:rPr>
          <w:lang w:val="en-GB"/>
        </w:rPr>
        <w:t>s</w:t>
      </w:r>
      <w:r w:rsidR="00207124" w:rsidRPr="008C148B">
        <w:rPr>
          <w:lang w:val="en-GB"/>
        </w:rPr>
        <w:t>:</w:t>
      </w:r>
      <w:r w:rsidR="00DC7C29" w:rsidRPr="008C148B">
        <w:rPr>
          <w:lang w:val="en-GB"/>
        </w:rPr>
        <w:t xml:space="preserve"> </w:t>
      </w:r>
      <w:r w:rsidR="0030415D" w:rsidRPr="008C148B">
        <w:rPr>
          <w:lang w:val="en-GB"/>
        </w:rPr>
        <w:t>χ</w:t>
      </w:r>
      <w:r w:rsidR="0030415D" w:rsidRPr="008C148B">
        <w:rPr>
          <w:vertAlign w:val="superscript"/>
          <w:lang w:val="en-GB"/>
        </w:rPr>
        <w:t xml:space="preserve"> </w:t>
      </w:r>
      <w:r w:rsidRPr="008C148B">
        <w:rPr>
          <w:vertAlign w:val="superscript"/>
          <w:lang w:val="en-GB"/>
        </w:rPr>
        <w:t>2</w:t>
      </w:r>
      <w:r w:rsidR="00B6038B" w:rsidRPr="008C148B">
        <w:rPr>
          <w:vertAlign w:val="subscript"/>
          <w:lang w:val="en-GB"/>
        </w:rPr>
        <w:t>1</w:t>
      </w:r>
      <w:r w:rsidRPr="008C148B">
        <w:rPr>
          <w:lang w:val="en-GB"/>
        </w:rPr>
        <w:t>=6.136, p=.013)</w:t>
      </w:r>
      <w:r w:rsidR="00DC7C29" w:rsidRPr="008C148B">
        <w:rPr>
          <w:lang w:val="en-GB"/>
        </w:rPr>
        <w:t>.</w:t>
      </w:r>
      <w:r w:rsidR="00CE3B3A" w:rsidRPr="008C148B">
        <w:rPr>
          <w:lang w:val="en-GB"/>
        </w:rPr>
        <w:t xml:space="preserve">  Given the matching process, it would appear that differences in the GCSE outcomes can reasonably be assigned to the pursuit of CoPE as the major non-random distinguishing factor between the two ‘schools’.</w:t>
      </w:r>
    </w:p>
    <w:p w:rsidR="00D64BCD" w:rsidRPr="008C148B" w:rsidRDefault="00D64BCD" w:rsidP="003E095A">
      <w:pPr>
        <w:spacing w:line="276" w:lineRule="auto"/>
        <w:rPr>
          <w:lang w:val="en-GB"/>
        </w:rPr>
      </w:pPr>
    </w:p>
    <w:p w:rsidR="00976C7B" w:rsidRPr="008C148B" w:rsidRDefault="00392D7D" w:rsidP="003E095A">
      <w:pPr>
        <w:spacing w:line="276" w:lineRule="auto"/>
        <w:rPr>
          <w:lang w:val="en-GB"/>
        </w:rPr>
      </w:pPr>
      <w:r w:rsidRPr="008C148B">
        <w:rPr>
          <w:lang w:val="en-GB"/>
        </w:rPr>
        <w:t>This is supported by the findings of logistic regression analysis</w:t>
      </w:r>
      <w:r w:rsidR="000751A0" w:rsidRPr="008C148B">
        <w:rPr>
          <w:lang w:val="en-GB"/>
        </w:rPr>
        <w:t xml:space="preserve">, working with the full sample of 504,107 individuals.  </w:t>
      </w:r>
      <w:r w:rsidR="00976C7B" w:rsidRPr="008C148B">
        <w:rPr>
          <w:lang w:val="en-GB"/>
        </w:rPr>
        <w:t xml:space="preserve">Table 3 presents the results of the regression model for </w:t>
      </w:r>
      <w:r w:rsidR="00495339" w:rsidRPr="008C148B">
        <w:rPr>
          <w:lang w:val="en-GB"/>
        </w:rPr>
        <w:t>good</w:t>
      </w:r>
      <w:r w:rsidR="00976C7B" w:rsidRPr="008C148B">
        <w:rPr>
          <w:lang w:val="en-GB"/>
        </w:rPr>
        <w:t xml:space="preserve"> </w:t>
      </w:r>
      <w:r w:rsidR="00495339" w:rsidRPr="008C148B">
        <w:rPr>
          <w:lang w:val="en-GB"/>
        </w:rPr>
        <w:t xml:space="preserve">GCSE </w:t>
      </w:r>
      <w:r w:rsidR="00976C7B" w:rsidRPr="008C148B">
        <w:rPr>
          <w:lang w:val="en-GB"/>
        </w:rPr>
        <w:t xml:space="preserve">English </w:t>
      </w:r>
      <w:r w:rsidR="00495339" w:rsidRPr="008C148B">
        <w:rPr>
          <w:lang w:val="en-GB"/>
        </w:rPr>
        <w:t xml:space="preserve">passes </w:t>
      </w:r>
      <w:r w:rsidR="00FE59AF" w:rsidRPr="008C148B">
        <w:rPr>
          <w:lang w:val="en-GB"/>
        </w:rPr>
        <w:t>– a</w:t>
      </w:r>
      <w:r w:rsidR="00A055A3" w:rsidRPr="008C148B">
        <w:rPr>
          <w:lang w:val="en-GB"/>
        </w:rPr>
        <w:t xml:space="preserve">n outcome </w:t>
      </w:r>
      <w:r w:rsidR="00FE59AF" w:rsidRPr="008C148B">
        <w:rPr>
          <w:lang w:val="en-GB"/>
        </w:rPr>
        <w:t xml:space="preserve">achieved </w:t>
      </w:r>
      <w:r w:rsidR="00484D85" w:rsidRPr="008C148B">
        <w:rPr>
          <w:lang w:val="en-GB"/>
        </w:rPr>
        <w:t xml:space="preserve">by 69.3 percent of </w:t>
      </w:r>
      <w:r w:rsidR="001870BE" w:rsidRPr="008C148B">
        <w:rPr>
          <w:lang w:val="en-GB"/>
        </w:rPr>
        <w:t>learners</w:t>
      </w:r>
      <w:r w:rsidR="00976C7B" w:rsidRPr="008C148B">
        <w:rPr>
          <w:lang w:val="en-GB"/>
        </w:rPr>
        <w:t xml:space="preserve">.  As can be seen, all ten explanatory variables were significantly associated with the outcome variable.  </w:t>
      </w:r>
    </w:p>
    <w:p w:rsidR="00976C7B" w:rsidRPr="008C148B" w:rsidRDefault="00976C7B" w:rsidP="003E095A">
      <w:pPr>
        <w:spacing w:line="276" w:lineRule="auto"/>
        <w:rPr>
          <w:b/>
          <w:lang w:val="en-GB"/>
        </w:rPr>
      </w:pPr>
    </w:p>
    <w:p w:rsidR="00976C7B" w:rsidRPr="008C148B" w:rsidRDefault="00976C7B" w:rsidP="003E095A">
      <w:pPr>
        <w:spacing w:line="276" w:lineRule="auto"/>
        <w:rPr>
          <w:lang w:val="en-GB"/>
        </w:rPr>
      </w:pPr>
      <w:r w:rsidRPr="008C148B">
        <w:rPr>
          <w:lang w:val="en-GB"/>
        </w:rPr>
        <w:t>Most important</w:t>
      </w:r>
      <w:r w:rsidR="00DA35A9" w:rsidRPr="008C148B">
        <w:rPr>
          <w:lang w:val="en-GB"/>
        </w:rPr>
        <w:t>ly</w:t>
      </w:r>
      <w:r w:rsidRPr="008C148B">
        <w:rPr>
          <w:lang w:val="en-GB"/>
        </w:rPr>
        <w:t xml:space="preserve">, we find that there is a significant relationship between CoPE and the GCSE English outcome once the other variables have been controlled for.  Specifically, undertaking CoPE in a ‘wide’ school is associated with an odds ratio of 1.491 relative to being in a school not offering CoPE.  This translated </w:t>
      </w:r>
      <w:r w:rsidR="00484D85" w:rsidRPr="008C148B">
        <w:rPr>
          <w:lang w:val="en-GB"/>
        </w:rPr>
        <w:t xml:space="preserve">(through Zhang and Yu’s </w:t>
      </w:r>
      <w:r w:rsidR="00495339" w:rsidRPr="008C148B">
        <w:rPr>
          <w:lang w:val="en-GB"/>
        </w:rPr>
        <w:t xml:space="preserve">(1988) </w:t>
      </w:r>
      <w:r w:rsidR="00484D85" w:rsidRPr="008C148B">
        <w:rPr>
          <w:lang w:val="en-GB"/>
        </w:rPr>
        <w:t>adjustment</w:t>
      </w:r>
      <w:r w:rsidR="00495339" w:rsidRPr="008C148B">
        <w:rPr>
          <w:rStyle w:val="EndnoteReference"/>
          <w:lang w:val="en-GB"/>
        </w:rPr>
        <w:endnoteReference w:id="2"/>
      </w:r>
      <w:r w:rsidR="00484D85" w:rsidRPr="008C148B">
        <w:rPr>
          <w:lang w:val="en-GB"/>
        </w:rPr>
        <w:t xml:space="preserve">) </w:t>
      </w:r>
      <w:r w:rsidRPr="008C148B">
        <w:rPr>
          <w:lang w:val="en-GB"/>
        </w:rPr>
        <w:t xml:space="preserve">to these individuals, </w:t>
      </w:r>
      <w:r w:rsidRPr="008C148B">
        <w:rPr>
          <w:i/>
          <w:lang w:val="en-GB"/>
        </w:rPr>
        <w:t>ceteris paribus</w:t>
      </w:r>
      <w:r w:rsidRPr="008C148B">
        <w:rPr>
          <w:lang w:val="en-GB"/>
        </w:rPr>
        <w:t xml:space="preserve">, being an average of 11.2 percent more likely to achieve a good pass at GCSE English than an otherwise similar individual in a school not offering CoPE.  Conversely, those undertaking CoPE in a ‘thin’ school were only 73.7 percent as likely to reach this threshold.  We will return to this </w:t>
      </w:r>
      <w:r w:rsidR="006C749C" w:rsidRPr="008C148B">
        <w:rPr>
          <w:lang w:val="en-GB"/>
        </w:rPr>
        <w:t xml:space="preserve">apparently </w:t>
      </w:r>
      <w:r w:rsidRPr="008C148B">
        <w:rPr>
          <w:lang w:val="en-GB"/>
        </w:rPr>
        <w:t>paradoxical finding shortly.</w:t>
      </w:r>
    </w:p>
    <w:p w:rsidR="00976C7B" w:rsidRPr="008C148B" w:rsidRDefault="00976C7B" w:rsidP="003E095A">
      <w:pPr>
        <w:spacing w:line="276" w:lineRule="auto"/>
        <w:rPr>
          <w:lang w:val="en-GB"/>
        </w:rPr>
      </w:pPr>
    </w:p>
    <w:p w:rsidR="00976C7B" w:rsidRPr="008C148B" w:rsidRDefault="00976C7B" w:rsidP="003E095A">
      <w:pPr>
        <w:spacing w:line="276" w:lineRule="auto"/>
        <w:rPr>
          <w:lang w:val="en-GB"/>
        </w:rPr>
      </w:pPr>
      <w:r w:rsidRPr="008C148B">
        <w:rPr>
          <w:lang w:val="en-GB"/>
        </w:rPr>
        <w:t>We also note that</w:t>
      </w:r>
      <w:r w:rsidR="009F5C6F" w:rsidRPr="008C148B">
        <w:rPr>
          <w:lang w:val="en-GB"/>
        </w:rPr>
        <w:t xml:space="preserve"> </w:t>
      </w:r>
      <w:r w:rsidR="00A867A4" w:rsidRPr="008C148B">
        <w:rPr>
          <w:lang w:val="en-GB"/>
        </w:rPr>
        <w:t xml:space="preserve">in terms of likelihood of </w:t>
      </w:r>
      <w:r w:rsidR="000751A0" w:rsidRPr="008C148B">
        <w:rPr>
          <w:lang w:val="en-GB"/>
        </w:rPr>
        <w:t>achieving a good</w:t>
      </w:r>
      <w:r w:rsidR="00A867A4" w:rsidRPr="008C148B">
        <w:rPr>
          <w:lang w:val="en-GB"/>
        </w:rPr>
        <w:t xml:space="preserve"> English </w:t>
      </w:r>
      <w:r w:rsidR="000751A0" w:rsidRPr="008C148B">
        <w:rPr>
          <w:lang w:val="en-GB"/>
        </w:rPr>
        <w:t>pass</w:t>
      </w:r>
      <w:r w:rsidR="009F5C6F" w:rsidRPr="008C148B">
        <w:rPr>
          <w:lang w:val="en-GB"/>
        </w:rPr>
        <w:t xml:space="preserve">, </w:t>
      </w:r>
      <w:r w:rsidR="00A867A4" w:rsidRPr="008C148B">
        <w:rPr>
          <w:lang w:val="en-GB"/>
        </w:rPr>
        <w:t>it was not</w:t>
      </w:r>
      <w:r w:rsidRPr="008C148B">
        <w:rPr>
          <w:lang w:val="en-GB"/>
        </w:rPr>
        <w:t xml:space="preserve"> </w:t>
      </w:r>
      <w:r w:rsidR="00A867A4" w:rsidRPr="008C148B">
        <w:rPr>
          <w:lang w:val="en-GB"/>
        </w:rPr>
        <w:t>relevant</w:t>
      </w:r>
      <w:r w:rsidR="009F5C6F" w:rsidRPr="008C148B">
        <w:rPr>
          <w:lang w:val="en-GB"/>
        </w:rPr>
        <w:t xml:space="preserve"> </w:t>
      </w:r>
      <w:r w:rsidR="00A867A4" w:rsidRPr="008C148B">
        <w:rPr>
          <w:lang w:val="en-GB"/>
        </w:rPr>
        <w:t xml:space="preserve">whether </w:t>
      </w:r>
      <w:r w:rsidR="001870BE" w:rsidRPr="008C148B">
        <w:rPr>
          <w:lang w:val="en-GB"/>
        </w:rPr>
        <w:t>learners</w:t>
      </w:r>
      <w:r w:rsidR="00A867A4" w:rsidRPr="008C148B">
        <w:rPr>
          <w:lang w:val="en-GB"/>
        </w:rPr>
        <w:t xml:space="preserve"> </w:t>
      </w:r>
      <w:r w:rsidR="0040253F" w:rsidRPr="008C148B">
        <w:rPr>
          <w:i/>
          <w:lang w:val="en-GB"/>
        </w:rPr>
        <w:t>not</w:t>
      </w:r>
      <w:r w:rsidR="00A867A4" w:rsidRPr="008C148B">
        <w:rPr>
          <w:lang w:val="en-GB"/>
        </w:rPr>
        <w:t xml:space="preserve"> taking CoPE </w:t>
      </w:r>
      <w:r w:rsidRPr="008C148B">
        <w:rPr>
          <w:lang w:val="en-GB"/>
        </w:rPr>
        <w:t xml:space="preserve">were in a </w:t>
      </w:r>
      <w:r w:rsidR="00A55C79" w:rsidRPr="008C148B">
        <w:rPr>
          <w:lang w:val="en-GB"/>
        </w:rPr>
        <w:t>‘thi</w:t>
      </w:r>
      <w:r w:rsidR="00A055A3" w:rsidRPr="008C148B">
        <w:rPr>
          <w:lang w:val="en-GB"/>
        </w:rPr>
        <w:t>n</w:t>
      </w:r>
      <w:r w:rsidR="00A55C79" w:rsidRPr="008C148B">
        <w:rPr>
          <w:lang w:val="en-GB"/>
        </w:rPr>
        <w:t>’</w:t>
      </w:r>
      <w:r w:rsidRPr="008C148B">
        <w:rPr>
          <w:lang w:val="en-GB"/>
        </w:rPr>
        <w:t xml:space="preserve"> school, a </w:t>
      </w:r>
      <w:r w:rsidR="008220B9" w:rsidRPr="008C148B">
        <w:rPr>
          <w:lang w:val="en-GB"/>
        </w:rPr>
        <w:t>‘wide’</w:t>
      </w:r>
      <w:r w:rsidRPr="008C148B">
        <w:rPr>
          <w:lang w:val="en-GB"/>
        </w:rPr>
        <w:t xml:space="preserve"> school or a school that did not offer CoPE.  This is important </w:t>
      </w:r>
      <w:r w:rsidR="00C428CF" w:rsidRPr="008C148B">
        <w:rPr>
          <w:lang w:val="en-GB"/>
        </w:rPr>
        <w:t xml:space="preserve">because it strongly suggests </w:t>
      </w:r>
      <w:r w:rsidRPr="008C148B">
        <w:rPr>
          <w:lang w:val="en-GB"/>
        </w:rPr>
        <w:t xml:space="preserve">that the ‘wide’ and ‘thin’ labels related only to the method of delivering CoPE and not to </w:t>
      </w:r>
      <w:r w:rsidR="002502AA" w:rsidRPr="008C148B">
        <w:rPr>
          <w:lang w:val="en-GB"/>
        </w:rPr>
        <w:t>broader</w:t>
      </w:r>
      <w:r w:rsidRPr="008C148B">
        <w:rPr>
          <w:lang w:val="en-GB"/>
        </w:rPr>
        <w:t xml:space="preserve"> school attributes, once other variables had been taken into account.  Again, we will discuss the implications of this shortly.</w:t>
      </w:r>
    </w:p>
    <w:p w:rsidR="00976C7B" w:rsidRPr="008C148B" w:rsidRDefault="00976C7B" w:rsidP="003E095A">
      <w:pPr>
        <w:spacing w:line="276" w:lineRule="auto"/>
        <w:rPr>
          <w:b/>
          <w:lang w:val="en-GB"/>
        </w:rPr>
      </w:pPr>
    </w:p>
    <w:p w:rsidR="00976C7B" w:rsidRPr="008C148B" w:rsidRDefault="00976C7B" w:rsidP="003E095A">
      <w:pPr>
        <w:spacing w:line="276" w:lineRule="auto"/>
        <w:rPr>
          <w:lang w:val="en-GB"/>
        </w:rPr>
      </w:pPr>
      <w:r w:rsidRPr="008C148B">
        <w:rPr>
          <w:lang w:val="en-GB"/>
        </w:rPr>
        <w:t xml:space="preserve">More generally, the regression model shows a very strong relationship, as might be expected, between KS3 attainment in English and GCSE English outcomes.  Young women, </w:t>
      </w:r>
      <w:r w:rsidR="001870BE" w:rsidRPr="008C148B">
        <w:rPr>
          <w:lang w:val="en-GB"/>
        </w:rPr>
        <w:t>learners</w:t>
      </w:r>
      <w:r w:rsidRPr="008C148B">
        <w:rPr>
          <w:lang w:val="en-GB"/>
        </w:rPr>
        <w:t xml:space="preserve"> from black and minority ethnic communities and those with English as an additional language also had a higher likel</w:t>
      </w:r>
      <w:r w:rsidR="00495339" w:rsidRPr="008C148B">
        <w:rPr>
          <w:lang w:val="en-GB"/>
        </w:rPr>
        <w:t>ihood of a good GCSE English pass</w:t>
      </w:r>
      <w:r w:rsidRPr="008C148B">
        <w:rPr>
          <w:lang w:val="en-GB"/>
        </w:rPr>
        <w:t>.  Conversely, those individuals with special educational needs, those receiving free school meals and those who were persistently absent at KS3 had lower chances of doing so, once other variables were controlled for.</w:t>
      </w:r>
    </w:p>
    <w:p w:rsidR="00976C7B" w:rsidRPr="008C148B" w:rsidRDefault="00976C7B" w:rsidP="003E095A">
      <w:pPr>
        <w:spacing w:line="276" w:lineRule="auto"/>
        <w:rPr>
          <w:b/>
          <w:lang w:val="en-GB"/>
        </w:rPr>
      </w:pPr>
    </w:p>
    <w:p w:rsidR="00976C7B" w:rsidRPr="008C148B" w:rsidRDefault="00976C7B" w:rsidP="003E095A">
      <w:pPr>
        <w:spacing w:line="276" w:lineRule="auto"/>
        <w:rPr>
          <w:lang w:val="en-GB"/>
        </w:rPr>
      </w:pPr>
      <w:r w:rsidRPr="008C148B">
        <w:rPr>
          <w:lang w:val="en-GB"/>
        </w:rPr>
        <w:t>While the two school-level variables were statistically significant, the effect size associated with this relationship was small.  The deprivation of the area served by the school had a counter</w:t>
      </w:r>
      <w:r w:rsidR="005D7882">
        <w:rPr>
          <w:lang w:val="en-GB"/>
        </w:rPr>
        <w:t>-</w:t>
      </w:r>
      <w:r w:rsidRPr="008C148B">
        <w:rPr>
          <w:lang w:val="en-GB"/>
        </w:rPr>
        <w:t xml:space="preserve">intuitively positive effect once other variables were factored in, but this was not a major determinant of GCSE English outcomes.  Also, </w:t>
      </w:r>
      <w:r w:rsidR="001870BE" w:rsidRPr="008C148B">
        <w:rPr>
          <w:lang w:val="en-GB"/>
        </w:rPr>
        <w:t>learners</w:t>
      </w:r>
      <w:r w:rsidRPr="008C148B">
        <w:rPr>
          <w:lang w:val="en-GB"/>
        </w:rPr>
        <w:t xml:space="preserve"> in schools with good GCSE outcomes </w:t>
      </w:r>
      <w:r w:rsidR="003F3A7B" w:rsidRPr="008C148B">
        <w:rPr>
          <w:lang w:val="en-GB"/>
        </w:rPr>
        <w:t xml:space="preserve">overall </w:t>
      </w:r>
      <w:r w:rsidRPr="008C148B">
        <w:rPr>
          <w:lang w:val="en-GB"/>
        </w:rPr>
        <w:t xml:space="preserve">were more </w:t>
      </w:r>
      <w:r w:rsidR="003F3A7B" w:rsidRPr="008C148B">
        <w:rPr>
          <w:lang w:val="en-GB"/>
        </w:rPr>
        <w:t xml:space="preserve">likely </w:t>
      </w:r>
      <w:r w:rsidRPr="008C148B">
        <w:rPr>
          <w:lang w:val="en-GB"/>
        </w:rPr>
        <w:t xml:space="preserve">to achieve a good GCSE English pass.  </w:t>
      </w:r>
    </w:p>
    <w:p w:rsidR="00976C7B" w:rsidRPr="008C148B" w:rsidRDefault="00976C7B" w:rsidP="003E095A">
      <w:pPr>
        <w:spacing w:line="276" w:lineRule="auto"/>
        <w:rPr>
          <w:b/>
          <w:lang w:val="en-GB"/>
        </w:rPr>
      </w:pPr>
    </w:p>
    <w:p w:rsidR="00976C7B" w:rsidRPr="008C148B" w:rsidRDefault="00976C7B" w:rsidP="003E095A">
      <w:pPr>
        <w:spacing w:line="276" w:lineRule="auto"/>
        <w:rPr>
          <w:b/>
          <w:lang w:val="en-GB"/>
        </w:rPr>
      </w:pPr>
      <w:r w:rsidRPr="008C148B">
        <w:rPr>
          <w:lang w:val="en-GB"/>
        </w:rPr>
        <w:lastRenderedPageBreak/>
        <w:t xml:space="preserve">Table 4 presents the results of the regression model for achieving five </w:t>
      </w:r>
      <w:r w:rsidR="00495339" w:rsidRPr="008C148B">
        <w:rPr>
          <w:lang w:val="en-GB"/>
        </w:rPr>
        <w:t xml:space="preserve">good </w:t>
      </w:r>
      <w:r w:rsidRPr="008C148B">
        <w:rPr>
          <w:lang w:val="en-GB"/>
        </w:rPr>
        <w:t xml:space="preserve">GCSE passes; importantly, </w:t>
      </w:r>
      <w:r w:rsidR="00495339" w:rsidRPr="008C148B">
        <w:rPr>
          <w:lang w:val="en-GB"/>
        </w:rPr>
        <w:t xml:space="preserve">note </w:t>
      </w:r>
      <w:r w:rsidRPr="008C148B">
        <w:rPr>
          <w:lang w:val="en-GB"/>
        </w:rPr>
        <w:t>that CoPE is not i</w:t>
      </w:r>
      <w:r w:rsidR="00495339" w:rsidRPr="008C148B">
        <w:rPr>
          <w:lang w:val="en-GB"/>
        </w:rPr>
        <w:t xml:space="preserve">ncluded in the outcome measure, which was achieved by </w:t>
      </w:r>
      <w:r w:rsidRPr="008C148B">
        <w:rPr>
          <w:lang w:val="en-GB"/>
        </w:rPr>
        <w:t xml:space="preserve">57.8 percent of </w:t>
      </w:r>
      <w:r w:rsidR="00495339" w:rsidRPr="008C148B">
        <w:rPr>
          <w:lang w:val="en-GB"/>
        </w:rPr>
        <w:t>learners</w:t>
      </w:r>
      <w:r w:rsidRPr="008C148B">
        <w:rPr>
          <w:lang w:val="en-GB"/>
        </w:rPr>
        <w:t>.</w:t>
      </w:r>
    </w:p>
    <w:p w:rsidR="00976C7B" w:rsidRPr="008C148B" w:rsidRDefault="00976C7B" w:rsidP="003E095A">
      <w:pPr>
        <w:spacing w:line="276" w:lineRule="auto"/>
        <w:rPr>
          <w:lang w:val="en-GB"/>
        </w:rPr>
      </w:pPr>
    </w:p>
    <w:p w:rsidR="00976C7B" w:rsidRPr="008C148B" w:rsidRDefault="00976C7B" w:rsidP="003E095A">
      <w:pPr>
        <w:spacing w:line="276" w:lineRule="auto"/>
        <w:rPr>
          <w:lang w:val="en-GB"/>
        </w:rPr>
      </w:pPr>
      <w:r w:rsidRPr="008C148B">
        <w:rPr>
          <w:lang w:val="en-GB"/>
        </w:rPr>
        <w:t xml:space="preserve">The basic pattern of relationships is broadly similar </w:t>
      </w:r>
      <w:r w:rsidR="00DA35A9" w:rsidRPr="008C148B">
        <w:rPr>
          <w:lang w:val="en-GB"/>
        </w:rPr>
        <w:t>to that</w:t>
      </w:r>
      <w:r w:rsidRPr="008C148B">
        <w:rPr>
          <w:lang w:val="en-GB"/>
        </w:rPr>
        <w:t xml:space="preserve"> for GCSE English, with the same predictor variables </w:t>
      </w:r>
      <w:r w:rsidR="00495339" w:rsidRPr="008C148B">
        <w:rPr>
          <w:lang w:val="en-GB"/>
        </w:rPr>
        <w:t xml:space="preserve">(with the addition of KS3 mathematics attainment) </w:t>
      </w:r>
      <w:r w:rsidRPr="008C148B">
        <w:rPr>
          <w:lang w:val="en-GB"/>
        </w:rPr>
        <w:t xml:space="preserve">and direction of effect.  The lack of difference between </w:t>
      </w:r>
      <w:r w:rsidR="00A55C79" w:rsidRPr="008C148B">
        <w:rPr>
          <w:lang w:val="en-GB"/>
        </w:rPr>
        <w:t>‘thin’</w:t>
      </w:r>
      <w:r w:rsidRPr="008C148B">
        <w:rPr>
          <w:lang w:val="en-GB"/>
        </w:rPr>
        <w:t xml:space="preserve"> schools, </w:t>
      </w:r>
      <w:r w:rsidR="002F511A" w:rsidRPr="008C148B">
        <w:rPr>
          <w:lang w:val="en-GB"/>
        </w:rPr>
        <w:t xml:space="preserve">‘wide’ </w:t>
      </w:r>
      <w:r w:rsidRPr="008C148B">
        <w:rPr>
          <w:lang w:val="en-GB"/>
        </w:rPr>
        <w:t>schools and schools not offering CoPE also hold</w:t>
      </w:r>
      <w:r w:rsidR="00495339" w:rsidRPr="008C148B">
        <w:rPr>
          <w:lang w:val="en-GB"/>
        </w:rPr>
        <w:t>s</w:t>
      </w:r>
      <w:r w:rsidRPr="008C148B">
        <w:rPr>
          <w:lang w:val="en-GB"/>
        </w:rPr>
        <w:t xml:space="preserve"> true for the results in Table </w:t>
      </w:r>
      <w:r w:rsidR="00DC1F59" w:rsidRPr="008C148B">
        <w:rPr>
          <w:lang w:val="en-GB"/>
        </w:rPr>
        <w:t>4</w:t>
      </w:r>
      <w:r w:rsidRPr="008C148B">
        <w:rPr>
          <w:lang w:val="en-GB"/>
        </w:rPr>
        <w:t>.</w:t>
      </w:r>
    </w:p>
    <w:p w:rsidR="00976C7B" w:rsidRPr="008C148B" w:rsidRDefault="00976C7B" w:rsidP="003E095A">
      <w:pPr>
        <w:spacing w:line="276" w:lineRule="auto"/>
        <w:rPr>
          <w:lang w:val="en-GB"/>
        </w:rPr>
      </w:pPr>
    </w:p>
    <w:p w:rsidR="00976C7B" w:rsidRPr="008C148B" w:rsidRDefault="00976C7B" w:rsidP="003E095A">
      <w:pPr>
        <w:spacing w:line="276" w:lineRule="auto"/>
        <w:rPr>
          <w:lang w:val="en-GB"/>
        </w:rPr>
      </w:pPr>
      <w:r w:rsidRPr="008C148B">
        <w:rPr>
          <w:lang w:val="en-GB"/>
        </w:rPr>
        <w:t xml:space="preserve">Most importantly, undertaking CoPE within the context of a </w:t>
      </w:r>
      <w:r w:rsidR="002F511A" w:rsidRPr="008C148B">
        <w:rPr>
          <w:lang w:val="en-GB"/>
        </w:rPr>
        <w:t xml:space="preserve">‘wide’ </w:t>
      </w:r>
      <w:r w:rsidRPr="008C148B">
        <w:rPr>
          <w:lang w:val="en-GB"/>
        </w:rPr>
        <w:t xml:space="preserve">school was once again associated with a significantly higher likelihood of achieving the </w:t>
      </w:r>
      <w:r w:rsidR="002F511A" w:rsidRPr="008C148B">
        <w:rPr>
          <w:lang w:val="en-GB"/>
        </w:rPr>
        <w:t>five good GCSE passes</w:t>
      </w:r>
      <w:r w:rsidRPr="008C148B">
        <w:rPr>
          <w:lang w:val="en-GB"/>
        </w:rPr>
        <w:t xml:space="preserve"> compared to an otherwise similar individual in a school not offering CoPE.  In this instance, the increased likelihood is estimated at 18.6 percent, while those individuals undertaking CoPE in a </w:t>
      </w:r>
      <w:r w:rsidR="00A55C79" w:rsidRPr="008C148B">
        <w:rPr>
          <w:lang w:val="en-GB"/>
        </w:rPr>
        <w:t>‘thin’</w:t>
      </w:r>
      <w:r w:rsidRPr="008C148B">
        <w:rPr>
          <w:lang w:val="en-GB"/>
        </w:rPr>
        <w:t xml:space="preserve"> school were only 80.6 percent as likely to achieve </w:t>
      </w:r>
      <w:r w:rsidR="00302A13" w:rsidRPr="008C148B">
        <w:rPr>
          <w:lang w:val="en-GB"/>
        </w:rPr>
        <w:t>five good GCSE passes.</w:t>
      </w:r>
    </w:p>
    <w:p w:rsidR="00976C7B" w:rsidRPr="008C148B" w:rsidRDefault="00976C7B" w:rsidP="003E095A">
      <w:pPr>
        <w:spacing w:line="276" w:lineRule="auto"/>
        <w:rPr>
          <w:lang w:val="en-GB"/>
        </w:rPr>
      </w:pPr>
    </w:p>
    <w:p w:rsidR="00976C7B" w:rsidRPr="008C148B" w:rsidRDefault="00F0567A" w:rsidP="003E095A">
      <w:pPr>
        <w:spacing w:line="276" w:lineRule="auto"/>
        <w:rPr>
          <w:lang w:val="en-GB"/>
        </w:rPr>
      </w:pPr>
      <w:r w:rsidRPr="008C148B">
        <w:rPr>
          <w:lang w:val="en-GB"/>
        </w:rPr>
        <w:t>In summary</w:t>
      </w:r>
      <w:r w:rsidR="00495339" w:rsidRPr="008C148B">
        <w:rPr>
          <w:lang w:val="en-GB"/>
        </w:rPr>
        <w:t>,</w:t>
      </w:r>
      <w:r w:rsidRPr="008C148B">
        <w:rPr>
          <w:lang w:val="en-GB"/>
        </w:rPr>
        <w:t xml:space="preserve"> in relation to the first research question, we find that there is </w:t>
      </w:r>
      <w:r w:rsidR="00DC1F59" w:rsidRPr="008C148B">
        <w:rPr>
          <w:lang w:val="en-GB"/>
        </w:rPr>
        <w:t xml:space="preserve">strong evidence, triangulated across </w:t>
      </w:r>
      <w:r w:rsidRPr="008C148B">
        <w:rPr>
          <w:lang w:val="en-GB"/>
        </w:rPr>
        <w:t xml:space="preserve">two of the </w:t>
      </w:r>
      <w:r w:rsidR="00DC1F59" w:rsidRPr="008C148B">
        <w:rPr>
          <w:lang w:val="en-GB"/>
        </w:rPr>
        <w:t xml:space="preserve">components of the study, that undertaking CoPE </w:t>
      </w:r>
      <w:r w:rsidR="001B528A">
        <w:rPr>
          <w:lang w:val="en-GB"/>
        </w:rPr>
        <w:t xml:space="preserve">in a mainstreamed context </w:t>
      </w:r>
      <w:r w:rsidR="00DC1F59" w:rsidRPr="008C148B">
        <w:rPr>
          <w:lang w:val="en-GB"/>
        </w:rPr>
        <w:t>is associated with significantly improved outcomes in GCSE English and an increa</w:t>
      </w:r>
      <w:r w:rsidR="00495339" w:rsidRPr="008C148B">
        <w:rPr>
          <w:lang w:val="en-GB"/>
        </w:rPr>
        <w:t xml:space="preserve">sed likelihood of achieving </w:t>
      </w:r>
      <w:r w:rsidR="00DC1F59" w:rsidRPr="008C148B">
        <w:rPr>
          <w:lang w:val="en-GB"/>
        </w:rPr>
        <w:t xml:space="preserve">five </w:t>
      </w:r>
      <w:r w:rsidR="00302A13" w:rsidRPr="008C148B">
        <w:rPr>
          <w:lang w:val="en-GB"/>
        </w:rPr>
        <w:t xml:space="preserve">good </w:t>
      </w:r>
      <w:r w:rsidR="00DC1F59" w:rsidRPr="008C148B">
        <w:rPr>
          <w:lang w:val="en-GB"/>
        </w:rPr>
        <w:t>GCSE</w:t>
      </w:r>
      <w:r w:rsidR="00302A13" w:rsidRPr="008C148B">
        <w:rPr>
          <w:lang w:val="en-GB"/>
        </w:rPr>
        <w:t>s</w:t>
      </w:r>
      <w:r w:rsidR="00DC1F59" w:rsidRPr="008C148B">
        <w:rPr>
          <w:lang w:val="en-GB"/>
        </w:rPr>
        <w:t>.</w:t>
      </w:r>
    </w:p>
    <w:p w:rsidR="00804B08" w:rsidRPr="008C148B" w:rsidRDefault="00804B08" w:rsidP="003E095A">
      <w:pPr>
        <w:spacing w:line="276" w:lineRule="auto"/>
        <w:rPr>
          <w:lang w:val="en-GB"/>
        </w:rPr>
      </w:pPr>
    </w:p>
    <w:p w:rsidR="00167C7B" w:rsidRPr="008C148B" w:rsidRDefault="00167C7B" w:rsidP="003E095A">
      <w:pPr>
        <w:spacing w:line="276" w:lineRule="auto"/>
        <w:rPr>
          <w:lang w:val="en-GB"/>
        </w:rPr>
      </w:pPr>
    </w:p>
    <w:p w:rsidR="00C94DBA" w:rsidRPr="008C4D8E" w:rsidRDefault="00F67BD9" w:rsidP="003E095A">
      <w:pPr>
        <w:spacing w:line="276" w:lineRule="auto"/>
        <w:rPr>
          <w:i/>
          <w:lang w:val="en-GB"/>
        </w:rPr>
      </w:pPr>
      <w:r>
        <w:rPr>
          <w:i/>
          <w:lang w:val="en-GB"/>
        </w:rPr>
        <w:t>5</w:t>
      </w:r>
      <w:r w:rsidR="008C4D8E" w:rsidRPr="008C4D8E">
        <w:rPr>
          <w:i/>
          <w:lang w:val="en-GB"/>
        </w:rPr>
        <w:t xml:space="preserve">.2 </w:t>
      </w:r>
      <w:r w:rsidR="00A90384" w:rsidRPr="008C4D8E">
        <w:rPr>
          <w:i/>
          <w:lang w:val="en-GB"/>
        </w:rPr>
        <w:t xml:space="preserve">Specific groups and the strength of the CoPE/GCSE </w:t>
      </w:r>
      <w:r w:rsidR="00302A13" w:rsidRPr="008C4D8E">
        <w:rPr>
          <w:i/>
          <w:lang w:val="en-GB"/>
        </w:rPr>
        <w:t>relationship</w:t>
      </w:r>
    </w:p>
    <w:p w:rsidR="00167C7B" w:rsidRPr="008C148B" w:rsidRDefault="00167C7B" w:rsidP="003E095A">
      <w:pPr>
        <w:spacing w:line="276" w:lineRule="auto"/>
        <w:rPr>
          <w:b/>
          <w:lang w:val="en-GB"/>
        </w:rPr>
      </w:pPr>
    </w:p>
    <w:p w:rsidR="00C94DBA" w:rsidRPr="008C148B" w:rsidRDefault="00F26030" w:rsidP="003E095A">
      <w:pPr>
        <w:spacing w:line="276" w:lineRule="auto"/>
        <w:rPr>
          <w:lang w:val="en-GB"/>
        </w:rPr>
      </w:pPr>
      <w:r w:rsidRPr="008C148B">
        <w:rPr>
          <w:lang w:val="en-GB"/>
        </w:rPr>
        <w:t xml:space="preserve">Moving on to the second research question, we return to the findings from the pseudo-experimental study to examine whether there are particular groups of </w:t>
      </w:r>
      <w:r w:rsidR="001870BE" w:rsidRPr="008C148B">
        <w:rPr>
          <w:lang w:val="en-GB"/>
        </w:rPr>
        <w:t>learners</w:t>
      </w:r>
      <w:r w:rsidRPr="008C148B">
        <w:rPr>
          <w:lang w:val="en-GB"/>
        </w:rPr>
        <w:t xml:space="preserve"> for whom CoPE would appear to be particular</w:t>
      </w:r>
      <w:r w:rsidR="005F4572" w:rsidRPr="008C148B">
        <w:rPr>
          <w:lang w:val="en-GB"/>
        </w:rPr>
        <w:t>ly</w:t>
      </w:r>
      <w:r w:rsidRPr="008C148B">
        <w:rPr>
          <w:lang w:val="en-GB"/>
        </w:rPr>
        <w:t xml:space="preserve"> efficacious in improving GCSE outcomes.</w:t>
      </w:r>
    </w:p>
    <w:p w:rsidR="00C94DBA" w:rsidRPr="008C148B" w:rsidRDefault="00C94DBA" w:rsidP="003E095A">
      <w:pPr>
        <w:spacing w:line="276" w:lineRule="auto"/>
        <w:rPr>
          <w:lang w:val="en-GB"/>
        </w:rPr>
      </w:pPr>
    </w:p>
    <w:p w:rsidR="005F4572" w:rsidRPr="008C148B" w:rsidRDefault="005F4572" w:rsidP="003E095A">
      <w:pPr>
        <w:spacing w:line="276" w:lineRule="auto"/>
        <w:rPr>
          <w:lang w:val="en-GB"/>
        </w:rPr>
      </w:pPr>
      <w:r w:rsidRPr="008C148B">
        <w:rPr>
          <w:lang w:val="en-GB"/>
        </w:rPr>
        <w:t xml:space="preserve">For each of the </w:t>
      </w:r>
      <w:r w:rsidR="000A2438" w:rsidRPr="008C148B">
        <w:rPr>
          <w:lang w:val="en-GB"/>
        </w:rPr>
        <w:t xml:space="preserve">explanatory variables, a new crosstab </w:t>
      </w:r>
      <w:r w:rsidR="008F5015" w:rsidRPr="008C148B">
        <w:rPr>
          <w:lang w:val="en-GB"/>
        </w:rPr>
        <w:t>χ</w:t>
      </w:r>
      <w:r w:rsidR="000A2438" w:rsidRPr="008C148B">
        <w:rPr>
          <w:vertAlign w:val="superscript"/>
          <w:lang w:val="en-GB"/>
        </w:rPr>
        <w:t>2</w:t>
      </w:r>
      <w:r w:rsidR="000A2438" w:rsidRPr="008C148B">
        <w:rPr>
          <w:lang w:val="en-GB"/>
        </w:rPr>
        <w:t xml:space="preserve"> analysis was prepared and these are summarised in Tables 5 and</w:t>
      </w:r>
      <w:r w:rsidR="003D4E41" w:rsidRPr="008C148B">
        <w:rPr>
          <w:lang w:val="en-GB"/>
        </w:rPr>
        <w:t xml:space="preserve"> </w:t>
      </w:r>
      <w:r w:rsidR="000A2438" w:rsidRPr="008C148B">
        <w:rPr>
          <w:lang w:val="en-GB"/>
        </w:rPr>
        <w:t>6.</w:t>
      </w:r>
    </w:p>
    <w:p w:rsidR="000B692F" w:rsidRPr="008C148B" w:rsidRDefault="000B692F" w:rsidP="003E095A">
      <w:pPr>
        <w:spacing w:line="276" w:lineRule="auto"/>
        <w:rPr>
          <w:lang w:val="en-GB"/>
        </w:rPr>
      </w:pPr>
    </w:p>
    <w:p w:rsidR="000A2438" w:rsidRPr="008C148B" w:rsidRDefault="00BA6EB3" w:rsidP="003E095A">
      <w:pPr>
        <w:spacing w:line="276" w:lineRule="auto"/>
        <w:rPr>
          <w:lang w:val="en-GB"/>
        </w:rPr>
      </w:pPr>
      <w:r w:rsidRPr="008C148B">
        <w:rPr>
          <w:lang w:val="en-GB"/>
        </w:rPr>
        <w:t xml:space="preserve">Across all but one of the subgroups, the CoPE </w:t>
      </w:r>
      <w:r w:rsidR="00C62064" w:rsidRPr="008C148B">
        <w:rPr>
          <w:lang w:val="en-GB"/>
        </w:rPr>
        <w:t>‘school’</w:t>
      </w:r>
      <w:r w:rsidRPr="008C148B">
        <w:rPr>
          <w:lang w:val="en-GB"/>
        </w:rPr>
        <w:t xml:space="preserve"> had a higher pass rate than the non-CoPE </w:t>
      </w:r>
      <w:r w:rsidR="00C62064" w:rsidRPr="008C148B">
        <w:rPr>
          <w:lang w:val="en-GB"/>
        </w:rPr>
        <w:t>‘school’</w:t>
      </w:r>
      <w:r w:rsidRPr="008C148B">
        <w:rPr>
          <w:lang w:val="en-GB"/>
        </w:rPr>
        <w:t xml:space="preserve">.  In nearly all instances for a good pass in English, this was statistically significant; the picture was more mixed for the five </w:t>
      </w:r>
      <w:r w:rsidR="005B64D2" w:rsidRPr="008C148B">
        <w:rPr>
          <w:lang w:val="en-GB"/>
        </w:rPr>
        <w:t xml:space="preserve">good </w:t>
      </w:r>
      <w:r w:rsidRPr="008C148B">
        <w:rPr>
          <w:lang w:val="en-GB"/>
        </w:rPr>
        <w:t>GCSE</w:t>
      </w:r>
      <w:r w:rsidR="001B528A">
        <w:rPr>
          <w:lang w:val="en-GB"/>
        </w:rPr>
        <w:t>s</w:t>
      </w:r>
      <w:r w:rsidRPr="008C148B">
        <w:rPr>
          <w:lang w:val="en-GB"/>
        </w:rPr>
        <w:t xml:space="preserve"> </w:t>
      </w:r>
      <w:r w:rsidR="00C62064" w:rsidRPr="008C148B">
        <w:rPr>
          <w:lang w:val="en-GB"/>
        </w:rPr>
        <w:t>measure</w:t>
      </w:r>
      <w:r w:rsidRPr="008C148B">
        <w:rPr>
          <w:lang w:val="en-GB"/>
        </w:rPr>
        <w:t>, reflecting the smaller overall effect size for this outcome.</w:t>
      </w:r>
    </w:p>
    <w:p w:rsidR="00BA6EB3" w:rsidRPr="008C148B" w:rsidRDefault="00BA6EB3" w:rsidP="003E095A">
      <w:pPr>
        <w:spacing w:line="276" w:lineRule="auto"/>
        <w:rPr>
          <w:lang w:val="en-GB"/>
        </w:rPr>
      </w:pPr>
    </w:p>
    <w:p w:rsidR="00BA6EB3" w:rsidRPr="008C148B" w:rsidRDefault="00E0674E" w:rsidP="003E095A">
      <w:pPr>
        <w:spacing w:line="276" w:lineRule="auto"/>
        <w:rPr>
          <w:lang w:val="en-GB"/>
        </w:rPr>
      </w:pPr>
      <w:r w:rsidRPr="008C148B">
        <w:rPr>
          <w:lang w:val="en-GB"/>
        </w:rPr>
        <w:t>T</w:t>
      </w:r>
      <w:r w:rsidR="00BA6EB3" w:rsidRPr="008C148B">
        <w:rPr>
          <w:lang w:val="en-GB"/>
        </w:rPr>
        <w:t xml:space="preserve">here was </w:t>
      </w:r>
      <w:r w:rsidR="002233CA" w:rsidRPr="008C148B">
        <w:rPr>
          <w:lang w:val="en-GB"/>
        </w:rPr>
        <w:t xml:space="preserve">good </w:t>
      </w:r>
      <w:r w:rsidR="00BA6EB3" w:rsidRPr="008C148B">
        <w:rPr>
          <w:lang w:val="en-GB"/>
        </w:rPr>
        <w:t xml:space="preserve">evidence to suggest that the impact of CoPE was greater for </w:t>
      </w:r>
      <w:r w:rsidR="002233CA" w:rsidRPr="008C148B">
        <w:rPr>
          <w:lang w:val="en-GB"/>
        </w:rPr>
        <w:t>those from BME communities (9.5 percent</w:t>
      </w:r>
      <w:r w:rsidRPr="008C148B">
        <w:rPr>
          <w:lang w:val="en-GB"/>
        </w:rPr>
        <w:t xml:space="preserve"> difference in pass rates</w:t>
      </w:r>
      <w:r w:rsidR="002233CA" w:rsidRPr="008C148B">
        <w:rPr>
          <w:lang w:val="en-GB"/>
        </w:rPr>
        <w:t xml:space="preserve">), those with </w:t>
      </w:r>
      <w:r w:rsidR="00BA6EB3" w:rsidRPr="008C148B">
        <w:rPr>
          <w:lang w:val="en-GB"/>
        </w:rPr>
        <w:t>lower attainment at KS3</w:t>
      </w:r>
      <w:r w:rsidR="002233CA" w:rsidRPr="008C148B">
        <w:rPr>
          <w:lang w:val="en-GB"/>
        </w:rPr>
        <w:t xml:space="preserve"> (9.4 percent)</w:t>
      </w:r>
      <w:r w:rsidR="00BA6EB3" w:rsidRPr="008C148B">
        <w:rPr>
          <w:lang w:val="en-GB"/>
        </w:rPr>
        <w:t xml:space="preserve">, </w:t>
      </w:r>
      <w:r w:rsidR="002233CA" w:rsidRPr="008C148B">
        <w:rPr>
          <w:lang w:val="en-GB"/>
        </w:rPr>
        <w:t xml:space="preserve">those with English as an additional language (9.0 percent), </w:t>
      </w:r>
      <w:r w:rsidR="00BA6EB3" w:rsidRPr="008C148B">
        <w:rPr>
          <w:lang w:val="en-GB"/>
        </w:rPr>
        <w:t>those receiving free school meals</w:t>
      </w:r>
      <w:r w:rsidR="002233CA" w:rsidRPr="008C148B">
        <w:rPr>
          <w:lang w:val="en-GB"/>
        </w:rPr>
        <w:t xml:space="preserve"> (6.7 percent)</w:t>
      </w:r>
      <w:r w:rsidR="00BA6EB3" w:rsidRPr="008C148B">
        <w:rPr>
          <w:lang w:val="en-GB"/>
        </w:rPr>
        <w:t xml:space="preserve"> and </w:t>
      </w:r>
      <w:r w:rsidR="002233CA" w:rsidRPr="008C148B">
        <w:rPr>
          <w:lang w:val="en-GB"/>
        </w:rPr>
        <w:t>those with special educational needs (6.4 percent).  There was also some evidence for a higher effect size for persistent KS3 absentees, but the sample size was too small for this to achieve significance.</w:t>
      </w:r>
      <w:r w:rsidR="00C62064" w:rsidRPr="008C148B">
        <w:rPr>
          <w:lang w:val="en-GB"/>
        </w:rPr>
        <w:t xml:space="preserve">  Of particular note is the inferred effect of CoPE on those with below average attainment at KS3.  For this group, the pass rate is nearly doubled at 21.3 percent </w:t>
      </w:r>
      <w:r w:rsidR="0044272E" w:rsidRPr="008C148B">
        <w:rPr>
          <w:lang w:val="en-GB"/>
        </w:rPr>
        <w:t xml:space="preserve">for those in the CoPE ‘school’ </w:t>
      </w:r>
      <w:r w:rsidR="00C62064" w:rsidRPr="008C148B">
        <w:rPr>
          <w:lang w:val="en-GB"/>
        </w:rPr>
        <w:t>compared to 11.9 percent</w:t>
      </w:r>
      <w:r w:rsidR="0044272E" w:rsidRPr="008C148B">
        <w:rPr>
          <w:lang w:val="en-GB"/>
        </w:rPr>
        <w:t xml:space="preserve"> for those in the non-CoPE ‘school’</w:t>
      </w:r>
      <w:r w:rsidR="00C62064" w:rsidRPr="008C148B">
        <w:rPr>
          <w:lang w:val="en-GB"/>
        </w:rPr>
        <w:t>.</w:t>
      </w:r>
    </w:p>
    <w:p w:rsidR="000A2438" w:rsidRPr="008C148B" w:rsidRDefault="000A2438" w:rsidP="003E095A">
      <w:pPr>
        <w:spacing w:line="276" w:lineRule="auto"/>
        <w:rPr>
          <w:lang w:val="en-GB"/>
        </w:rPr>
      </w:pPr>
    </w:p>
    <w:p w:rsidR="000A2438" w:rsidRPr="008C148B" w:rsidRDefault="002233CA" w:rsidP="003E095A">
      <w:pPr>
        <w:spacing w:line="276" w:lineRule="auto"/>
        <w:rPr>
          <w:lang w:val="en-GB"/>
        </w:rPr>
      </w:pPr>
      <w:r w:rsidRPr="008C148B">
        <w:rPr>
          <w:lang w:val="en-GB"/>
        </w:rPr>
        <w:t xml:space="preserve">Turning to the </w:t>
      </w:r>
      <w:r w:rsidR="00C62064" w:rsidRPr="008C148B">
        <w:rPr>
          <w:lang w:val="en-GB"/>
        </w:rPr>
        <w:t xml:space="preserve">achievement of </w:t>
      </w:r>
      <w:r w:rsidRPr="008C148B">
        <w:rPr>
          <w:lang w:val="en-GB"/>
        </w:rPr>
        <w:t xml:space="preserve">five </w:t>
      </w:r>
      <w:r w:rsidR="00C62064" w:rsidRPr="008C148B">
        <w:rPr>
          <w:lang w:val="en-GB"/>
        </w:rPr>
        <w:t xml:space="preserve">good </w:t>
      </w:r>
      <w:r w:rsidRPr="008C148B">
        <w:rPr>
          <w:lang w:val="en-GB"/>
        </w:rPr>
        <w:t xml:space="preserve">GCSE </w:t>
      </w:r>
      <w:r w:rsidR="00C62064" w:rsidRPr="008C148B">
        <w:rPr>
          <w:lang w:val="en-GB"/>
        </w:rPr>
        <w:t>passes</w:t>
      </w:r>
      <w:r w:rsidRPr="008C148B">
        <w:rPr>
          <w:lang w:val="en-GB"/>
        </w:rPr>
        <w:t xml:space="preserve">, </w:t>
      </w:r>
      <w:r w:rsidR="000010D5" w:rsidRPr="008C148B">
        <w:rPr>
          <w:lang w:val="en-GB"/>
        </w:rPr>
        <w:t>similar trends e</w:t>
      </w:r>
      <w:r w:rsidR="00E0674E" w:rsidRPr="008C148B">
        <w:rPr>
          <w:lang w:val="en-GB"/>
        </w:rPr>
        <w:t>merge.  Effect sizes are larger-than-</w:t>
      </w:r>
      <w:r w:rsidR="000010D5" w:rsidRPr="008C148B">
        <w:rPr>
          <w:lang w:val="en-GB"/>
        </w:rPr>
        <w:t>average for those with English as an additional language (8.0 percent) and those receiving free school meals (5.9 percent).  Perhaps counter</w:t>
      </w:r>
      <w:r w:rsidR="005D7882">
        <w:rPr>
          <w:lang w:val="en-GB"/>
        </w:rPr>
        <w:t>-</w:t>
      </w:r>
      <w:r w:rsidR="000010D5" w:rsidRPr="008C148B">
        <w:rPr>
          <w:lang w:val="en-GB"/>
        </w:rPr>
        <w:t>intuitively, they are also larger for those with high attainment in mathematics at KS3 (5.8 percent).  There was also evidence for a higher effect size for persistent KS3 absentees and those from BME communities, but these did not achieve significance.</w:t>
      </w:r>
    </w:p>
    <w:p w:rsidR="000A2438" w:rsidRPr="008C148B" w:rsidRDefault="000A2438" w:rsidP="003E095A">
      <w:pPr>
        <w:spacing w:line="276" w:lineRule="auto"/>
        <w:rPr>
          <w:lang w:val="en-GB"/>
        </w:rPr>
      </w:pPr>
    </w:p>
    <w:p w:rsidR="000A2438" w:rsidRPr="008C148B" w:rsidRDefault="000010D5" w:rsidP="003E095A">
      <w:pPr>
        <w:spacing w:line="276" w:lineRule="auto"/>
        <w:rPr>
          <w:lang w:val="en-GB"/>
        </w:rPr>
      </w:pPr>
      <w:r w:rsidRPr="008C148B">
        <w:rPr>
          <w:lang w:val="en-GB"/>
        </w:rPr>
        <w:t>In summary</w:t>
      </w:r>
      <w:r w:rsidR="0044272E" w:rsidRPr="008C148B">
        <w:rPr>
          <w:lang w:val="en-GB"/>
        </w:rPr>
        <w:t>,</w:t>
      </w:r>
      <w:r w:rsidRPr="008C148B">
        <w:rPr>
          <w:lang w:val="en-GB"/>
        </w:rPr>
        <w:t xml:space="preserve"> in relation to the second research question, there is good evidence from the pseudo-experimental study for different impacts from pursuing CoPE among different subgroups of </w:t>
      </w:r>
      <w:r w:rsidR="001870BE" w:rsidRPr="008C148B">
        <w:rPr>
          <w:lang w:val="en-GB"/>
        </w:rPr>
        <w:t>learners</w:t>
      </w:r>
      <w:r w:rsidRPr="008C148B">
        <w:rPr>
          <w:lang w:val="en-GB"/>
        </w:rPr>
        <w:t>.  This was particularly strong for GCSE English, although similar patterns were found for the five</w:t>
      </w:r>
      <w:r w:rsidR="001C4240" w:rsidRPr="008C148B">
        <w:rPr>
          <w:lang w:val="en-GB"/>
        </w:rPr>
        <w:t xml:space="preserve"> good</w:t>
      </w:r>
      <w:r w:rsidRPr="008C148B">
        <w:rPr>
          <w:lang w:val="en-GB"/>
        </w:rPr>
        <w:t xml:space="preserve"> GCSE</w:t>
      </w:r>
      <w:r w:rsidR="001C4240" w:rsidRPr="008C148B">
        <w:rPr>
          <w:lang w:val="en-GB"/>
        </w:rPr>
        <w:t>s</w:t>
      </w:r>
      <w:r w:rsidRPr="008C148B">
        <w:rPr>
          <w:lang w:val="en-GB"/>
        </w:rPr>
        <w:t xml:space="preserve"> </w:t>
      </w:r>
      <w:r w:rsidR="001C4240" w:rsidRPr="008C148B">
        <w:rPr>
          <w:lang w:val="en-GB"/>
        </w:rPr>
        <w:t>measure</w:t>
      </w:r>
      <w:r w:rsidRPr="008C148B">
        <w:rPr>
          <w:lang w:val="en-GB"/>
        </w:rPr>
        <w:t xml:space="preserve">.  Most notably, there </w:t>
      </w:r>
      <w:r w:rsidR="00E0674E" w:rsidRPr="008C148B">
        <w:rPr>
          <w:lang w:val="en-GB"/>
        </w:rPr>
        <w:t>is</w:t>
      </w:r>
      <w:r w:rsidRPr="008C148B">
        <w:rPr>
          <w:lang w:val="en-GB"/>
        </w:rPr>
        <w:t xml:space="preserve"> a marked relationship between the impact of CoPE and groups in educational disadvantage, including those not having English as a first language, those with special educational needs and those from poorer households.</w:t>
      </w:r>
      <w:r w:rsidR="0044272E" w:rsidRPr="008C148B">
        <w:rPr>
          <w:lang w:val="en-GB"/>
        </w:rPr>
        <w:t xml:space="preserve">  However, a positive relationship </w:t>
      </w:r>
      <w:r w:rsidR="00EC080E" w:rsidRPr="008C148B">
        <w:rPr>
          <w:lang w:val="en-GB"/>
        </w:rPr>
        <w:t xml:space="preserve">also </w:t>
      </w:r>
      <w:r w:rsidR="0044272E" w:rsidRPr="008C148B">
        <w:rPr>
          <w:lang w:val="en-GB"/>
        </w:rPr>
        <w:t xml:space="preserve">exists for the higher ability ranges and for those </w:t>
      </w:r>
      <w:r w:rsidR="001870BE" w:rsidRPr="008C148B">
        <w:rPr>
          <w:lang w:val="en-GB"/>
        </w:rPr>
        <w:t>learners</w:t>
      </w:r>
      <w:r w:rsidR="0044272E" w:rsidRPr="008C148B">
        <w:rPr>
          <w:lang w:val="en-GB"/>
        </w:rPr>
        <w:t xml:space="preserve"> with other forms of relative educational advantage.</w:t>
      </w:r>
    </w:p>
    <w:p w:rsidR="00E0674E" w:rsidRPr="008C148B" w:rsidRDefault="00E0674E" w:rsidP="003E095A">
      <w:pPr>
        <w:spacing w:line="276" w:lineRule="auto"/>
        <w:rPr>
          <w:lang w:val="en-GB"/>
        </w:rPr>
      </w:pPr>
    </w:p>
    <w:p w:rsidR="00167C7B" w:rsidRPr="008C148B" w:rsidRDefault="00167C7B" w:rsidP="003E095A">
      <w:pPr>
        <w:spacing w:line="276" w:lineRule="auto"/>
        <w:rPr>
          <w:lang w:val="en-GB"/>
        </w:rPr>
      </w:pPr>
    </w:p>
    <w:p w:rsidR="00804B08" w:rsidRPr="008C4D8E" w:rsidRDefault="00F67BD9" w:rsidP="003E095A">
      <w:pPr>
        <w:spacing w:line="276" w:lineRule="auto"/>
        <w:rPr>
          <w:i/>
          <w:lang w:val="en-GB"/>
        </w:rPr>
      </w:pPr>
      <w:r>
        <w:rPr>
          <w:i/>
          <w:lang w:val="en-GB"/>
        </w:rPr>
        <w:t>5</w:t>
      </w:r>
      <w:r w:rsidR="008C4D8E" w:rsidRPr="008C4D8E">
        <w:rPr>
          <w:i/>
          <w:lang w:val="en-GB"/>
        </w:rPr>
        <w:t xml:space="preserve">.3 </w:t>
      </w:r>
      <w:r w:rsidR="00BD6AEA" w:rsidRPr="008C4D8E">
        <w:rPr>
          <w:i/>
          <w:lang w:val="en-GB"/>
        </w:rPr>
        <w:t>Plausib</w:t>
      </w:r>
      <w:r w:rsidR="00804B08" w:rsidRPr="008C4D8E">
        <w:rPr>
          <w:i/>
          <w:lang w:val="en-GB"/>
        </w:rPr>
        <w:t>le mechanisms</w:t>
      </w:r>
    </w:p>
    <w:p w:rsidR="00167C7B" w:rsidRPr="008C148B" w:rsidRDefault="00167C7B" w:rsidP="003E095A">
      <w:pPr>
        <w:spacing w:line="276" w:lineRule="auto"/>
        <w:rPr>
          <w:b/>
          <w:i/>
          <w:lang w:val="en-GB"/>
        </w:rPr>
      </w:pPr>
    </w:p>
    <w:p w:rsidR="004E4F3C" w:rsidRPr="008C148B" w:rsidRDefault="00370A51" w:rsidP="003E095A">
      <w:pPr>
        <w:spacing w:line="276" w:lineRule="auto"/>
        <w:rPr>
          <w:lang w:val="en-GB"/>
        </w:rPr>
      </w:pPr>
      <w:r w:rsidRPr="008C148B">
        <w:rPr>
          <w:lang w:val="en-GB"/>
        </w:rPr>
        <w:t>W</w:t>
      </w:r>
      <w:r w:rsidR="004E4F3C" w:rsidRPr="008C148B">
        <w:rPr>
          <w:lang w:val="en-GB"/>
        </w:rPr>
        <w:t xml:space="preserve">e turn now to </w:t>
      </w:r>
      <w:r w:rsidR="00F65A15" w:rsidRPr="008C148B">
        <w:rPr>
          <w:lang w:val="en-GB"/>
        </w:rPr>
        <w:t>the third research question</w:t>
      </w:r>
      <w:r w:rsidR="00E0674E" w:rsidRPr="008C148B">
        <w:rPr>
          <w:lang w:val="en-GB"/>
        </w:rPr>
        <w:t>, exploring</w:t>
      </w:r>
      <w:r w:rsidR="00702F1E" w:rsidRPr="008C148B">
        <w:rPr>
          <w:lang w:val="en-GB"/>
        </w:rPr>
        <w:t xml:space="preserve"> the possible </w:t>
      </w:r>
      <w:r w:rsidR="004E4F3C" w:rsidRPr="008C148B">
        <w:rPr>
          <w:lang w:val="en-GB"/>
        </w:rPr>
        <w:t xml:space="preserve">mechanisms </w:t>
      </w:r>
      <w:r w:rsidR="00E0674E" w:rsidRPr="008C148B">
        <w:rPr>
          <w:lang w:val="en-GB"/>
        </w:rPr>
        <w:t xml:space="preserve">by which </w:t>
      </w:r>
      <w:r w:rsidR="00F628FE">
        <w:rPr>
          <w:lang w:val="en-GB"/>
        </w:rPr>
        <w:t xml:space="preserve">the statistical </w:t>
      </w:r>
      <w:r w:rsidRPr="008C148B">
        <w:rPr>
          <w:lang w:val="en-GB"/>
        </w:rPr>
        <w:t xml:space="preserve">associations between CoPE and GCSE results </w:t>
      </w:r>
      <w:r w:rsidR="00E0674E" w:rsidRPr="008C148B">
        <w:rPr>
          <w:lang w:val="en-GB"/>
        </w:rPr>
        <w:t>might occur.</w:t>
      </w:r>
      <w:r w:rsidR="004E4F3C" w:rsidRPr="008C148B">
        <w:rPr>
          <w:lang w:val="en-GB"/>
        </w:rPr>
        <w:t xml:space="preserve"> </w:t>
      </w:r>
      <w:r w:rsidR="00E0674E" w:rsidRPr="008C148B">
        <w:rPr>
          <w:lang w:val="en-GB"/>
        </w:rPr>
        <w:t xml:space="preserve"> </w:t>
      </w:r>
      <w:r w:rsidR="004E4F3C" w:rsidRPr="008C148B">
        <w:rPr>
          <w:lang w:val="en-GB"/>
        </w:rPr>
        <w:t xml:space="preserve">Whilst </w:t>
      </w:r>
      <w:r w:rsidR="00F628FE">
        <w:rPr>
          <w:lang w:val="en-GB"/>
        </w:rPr>
        <w:t>these</w:t>
      </w:r>
      <w:r w:rsidR="004E4F3C" w:rsidRPr="008C148B">
        <w:rPr>
          <w:lang w:val="en-GB"/>
        </w:rPr>
        <w:t xml:space="preserve"> </w:t>
      </w:r>
      <w:r w:rsidR="00F628FE">
        <w:rPr>
          <w:lang w:val="en-GB"/>
        </w:rPr>
        <w:t xml:space="preserve">associations </w:t>
      </w:r>
      <w:r w:rsidR="004E4F3C" w:rsidRPr="008C148B">
        <w:rPr>
          <w:lang w:val="en-GB"/>
        </w:rPr>
        <w:t>do not of course provide conclusive proof</w:t>
      </w:r>
      <w:r w:rsidR="00B23425" w:rsidRPr="008C148B">
        <w:rPr>
          <w:lang w:val="en-GB"/>
        </w:rPr>
        <w:t xml:space="preserve"> of cause</w:t>
      </w:r>
      <w:r w:rsidR="00167C7B" w:rsidRPr="008C148B">
        <w:rPr>
          <w:lang w:val="en-GB"/>
        </w:rPr>
        <w:t>-</w:t>
      </w:r>
      <w:r w:rsidR="00B23425" w:rsidRPr="008C148B">
        <w:rPr>
          <w:lang w:val="en-GB"/>
        </w:rPr>
        <w:t>and</w:t>
      </w:r>
      <w:r w:rsidR="00167C7B" w:rsidRPr="008C148B">
        <w:rPr>
          <w:lang w:val="en-GB"/>
        </w:rPr>
        <w:t>-</w:t>
      </w:r>
      <w:r w:rsidR="00B23425" w:rsidRPr="008C148B">
        <w:rPr>
          <w:lang w:val="en-GB"/>
        </w:rPr>
        <w:t>effect</w:t>
      </w:r>
      <w:r w:rsidR="004E4F3C" w:rsidRPr="008C148B">
        <w:rPr>
          <w:lang w:val="en-GB"/>
        </w:rPr>
        <w:t xml:space="preserve">, </w:t>
      </w:r>
      <w:r w:rsidR="00BD6AEA" w:rsidRPr="008C148B">
        <w:rPr>
          <w:lang w:val="en-GB"/>
        </w:rPr>
        <w:t xml:space="preserve">we are not confined to mere conjecture: </w:t>
      </w:r>
      <w:r w:rsidR="004E4F3C" w:rsidRPr="008C148B">
        <w:rPr>
          <w:lang w:val="en-GB"/>
        </w:rPr>
        <w:t>our qualitative data does interact with the quantitative analysis in ways that enable us t</w:t>
      </w:r>
      <w:r w:rsidR="00BD6AEA" w:rsidRPr="008C148B">
        <w:rPr>
          <w:lang w:val="en-GB"/>
        </w:rPr>
        <w:t xml:space="preserve">o suggest plausible mechanisms. </w:t>
      </w:r>
      <w:r w:rsidR="00B23425" w:rsidRPr="008C148B">
        <w:rPr>
          <w:lang w:val="en-GB"/>
        </w:rPr>
        <w:t xml:space="preserve"> </w:t>
      </w:r>
    </w:p>
    <w:p w:rsidR="004E4F3C" w:rsidRPr="008C148B" w:rsidRDefault="004E4F3C" w:rsidP="003E095A">
      <w:pPr>
        <w:spacing w:line="276" w:lineRule="auto"/>
        <w:rPr>
          <w:lang w:val="en-GB"/>
        </w:rPr>
      </w:pPr>
    </w:p>
    <w:p w:rsidR="00A33B22" w:rsidRPr="008C148B" w:rsidRDefault="00E0674E" w:rsidP="003E095A">
      <w:pPr>
        <w:spacing w:line="276" w:lineRule="auto"/>
        <w:rPr>
          <w:lang w:val="en-GB"/>
        </w:rPr>
      </w:pPr>
      <w:r w:rsidRPr="008C148B">
        <w:rPr>
          <w:lang w:val="en-GB"/>
        </w:rPr>
        <w:t>Of course, i</w:t>
      </w:r>
      <w:r w:rsidR="00A33B22" w:rsidRPr="008C148B">
        <w:rPr>
          <w:lang w:val="en-GB"/>
        </w:rPr>
        <w:t>t is possible that the</w:t>
      </w:r>
      <w:r w:rsidR="00370A51" w:rsidRPr="008C148B">
        <w:rPr>
          <w:lang w:val="en-GB"/>
        </w:rPr>
        <w:t>se</w:t>
      </w:r>
      <w:r w:rsidR="00A33B22" w:rsidRPr="008C148B">
        <w:rPr>
          <w:lang w:val="en-GB"/>
        </w:rPr>
        <w:t xml:space="preserve"> associations are attributable to another confounding variable</w:t>
      </w:r>
      <w:r w:rsidR="00BD6AEA" w:rsidRPr="008C148B">
        <w:rPr>
          <w:lang w:val="en-GB"/>
        </w:rPr>
        <w:t xml:space="preserve"> beyond those used in the analysis</w:t>
      </w:r>
      <w:r w:rsidR="00A33B22" w:rsidRPr="008C148B">
        <w:rPr>
          <w:lang w:val="en-GB"/>
        </w:rPr>
        <w:t xml:space="preserve">.  </w:t>
      </w:r>
      <w:r w:rsidR="00EC080E" w:rsidRPr="008C148B">
        <w:rPr>
          <w:lang w:val="en-GB"/>
        </w:rPr>
        <w:t>Yet w</w:t>
      </w:r>
      <w:r w:rsidR="005E350E" w:rsidRPr="008C148B">
        <w:rPr>
          <w:lang w:val="en-GB"/>
        </w:rPr>
        <w:t>hile</w:t>
      </w:r>
      <w:r w:rsidR="00EC080E" w:rsidRPr="008C148B">
        <w:rPr>
          <w:lang w:val="en-GB"/>
        </w:rPr>
        <w:t xml:space="preserve"> </w:t>
      </w:r>
      <w:r w:rsidR="005E350E" w:rsidRPr="008C148B">
        <w:rPr>
          <w:lang w:val="en-GB"/>
        </w:rPr>
        <w:t xml:space="preserve">the school-level variables available to us can only provide a partial account of </w:t>
      </w:r>
      <w:r w:rsidR="00F628FE">
        <w:rPr>
          <w:lang w:val="en-GB"/>
        </w:rPr>
        <w:t xml:space="preserve">the </w:t>
      </w:r>
      <w:r w:rsidR="005E350E" w:rsidRPr="008C148B">
        <w:rPr>
          <w:lang w:val="en-GB"/>
        </w:rPr>
        <w:t xml:space="preserve">school </w:t>
      </w:r>
      <w:r w:rsidR="00F628FE">
        <w:rPr>
          <w:lang w:val="en-GB"/>
        </w:rPr>
        <w:t>environment</w:t>
      </w:r>
      <w:r w:rsidR="005E350E" w:rsidRPr="008C148B">
        <w:rPr>
          <w:lang w:val="en-GB"/>
        </w:rPr>
        <w:t xml:space="preserve">, they do appear to rule </w:t>
      </w:r>
      <w:r w:rsidR="003962D5" w:rsidRPr="008C148B">
        <w:rPr>
          <w:lang w:val="en-GB"/>
        </w:rPr>
        <w:t xml:space="preserve">out </w:t>
      </w:r>
      <w:r w:rsidR="005E350E" w:rsidRPr="008C148B">
        <w:rPr>
          <w:lang w:val="en-GB"/>
        </w:rPr>
        <w:t xml:space="preserve">potential explanations based on CoPE being offered by certain types of school – e.g. those </w:t>
      </w:r>
      <w:r w:rsidR="00082130" w:rsidRPr="008C148B">
        <w:rPr>
          <w:lang w:val="en-GB"/>
        </w:rPr>
        <w:t xml:space="preserve">with a culture of high </w:t>
      </w:r>
      <w:r w:rsidR="00F628FE">
        <w:rPr>
          <w:lang w:val="en-GB"/>
        </w:rPr>
        <w:t>attainment</w:t>
      </w:r>
      <w:r w:rsidR="00082130" w:rsidRPr="008C148B">
        <w:rPr>
          <w:lang w:val="en-GB"/>
        </w:rPr>
        <w:t xml:space="preserve"> or those in less deprived areas.  Nevertheless, there may be a factor that is related to, but separate from, CoPE that has remained invisible and which could account for some or all of the effects described above.</w:t>
      </w:r>
      <w:r w:rsidR="00F9216F" w:rsidRPr="008C148B">
        <w:rPr>
          <w:lang w:val="en-GB"/>
        </w:rPr>
        <w:t xml:space="preserve">  </w:t>
      </w:r>
      <w:r w:rsidR="00AD1F1D" w:rsidRPr="008C148B">
        <w:rPr>
          <w:lang w:val="en-GB"/>
        </w:rPr>
        <w:t>O</w:t>
      </w:r>
      <w:r w:rsidR="00F9519A" w:rsidRPr="008C148B">
        <w:rPr>
          <w:lang w:val="en-GB"/>
        </w:rPr>
        <w:t xml:space="preserve">ne </w:t>
      </w:r>
      <w:r w:rsidRPr="008C148B">
        <w:rPr>
          <w:lang w:val="en-GB"/>
        </w:rPr>
        <w:t xml:space="preserve">justification for this study’s </w:t>
      </w:r>
      <w:r w:rsidR="00F9519A" w:rsidRPr="008C148B">
        <w:rPr>
          <w:lang w:val="en-GB"/>
        </w:rPr>
        <w:t>mixed</w:t>
      </w:r>
      <w:r w:rsidR="00F65622" w:rsidRPr="008C148B">
        <w:rPr>
          <w:lang w:val="en-GB"/>
        </w:rPr>
        <w:t xml:space="preserve"> </w:t>
      </w:r>
      <w:r w:rsidR="00F9519A" w:rsidRPr="008C148B">
        <w:rPr>
          <w:lang w:val="en-GB"/>
        </w:rPr>
        <w:t xml:space="preserve">methods design was to see whether qualitative data on practices </w:t>
      </w:r>
      <w:r w:rsidR="00BD6AEA" w:rsidRPr="008C148B">
        <w:rPr>
          <w:lang w:val="en-GB"/>
        </w:rPr>
        <w:t xml:space="preserve">and experiences </w:t>
      </w:r>
      <w:r w:rsidR="00F9519A" w:rsidRPr="008C148B">
        <w:rPr>
          <w:lang w:val="en-GB"/>
        </w:rPr>
        <w:t xml:space="preserve">would offer </w:t>
      </w:r>
      <w:r w:rsidR="00AD1F1D" w:rsidRPr="008C148B">
        <w:rPr>
          <w:lang w:val="en-GB"/>
        </w:rPr>
        <w:t xml:space="preserve">insights about the nature of any relationships that </w:t>
      </w:r>
      <w:r w:rsidRPr="008C148B">
        <w:rPr>
          <w:lang w:val="en-GB"/>
        </w:rPr>
        <w:t>emerge from</w:t>
      </w:r>
      <w:r w:rsidR="00AD1F1D" w:rsidRPr="008C148B">
        <w:rPr>
          <w:lang w:val="en-GB"/>
        </w:rPr>
        <w:t xml:space="preserve"> the statistical analysis.</w:t>
      </w:r>
      <w:r w:rsidR="00A33B22" w:rsidRPr="008C148B">
        <w:rPr>
          <w:lang w:val="en-GB"/>
        </w:rPr>
        <w:t xml:space="preserve"> </w:t>
      </w:r>
      <w:r w:rsidR="00F9216F" w:rsidRPr="008C148B">
        <w:rPr>
          <w:lang w:val="en-GB"/>
        </w:rPr>
        <w:t xml:space="preserve"> However, these data did not suggest any </w:t>
      </w:r>
      <w:r w:rsidRPr="008C148B">
        <w:rPr>
          <w:lang w:val="en-GB"/>
        </w:rPr>
        <w:t xml:space="preserve">additional </w:t>
      </w:r>
      <w:r w:rsidR="00F9216F" w:rsidRPr="008C148B">
        <w:rPr>
          <w:lang w:val="en-GB"/>
        </w:rPr>
        <w:t>factors, aside from the difference between ‘thin’ and ‘wid</w:t>
      </w:r>
      <w:r w:rsidR="005E350E" w:rsidRPr="008C148B">
        <w:rPr>
          <w:lang w:val="en-GB"/>
        </w:rPr>
        <w:t>e’ provision, as det</w:t>
      </w:r>
      <w:r w:rsidR="006A356C" w:rsidRPr="008C148B">
        <w:rPr>
          <w:lang w:val="en-GB"/>
        </w:rPr>
        <w:t>ailed above and discussed below; three of the schools visited were ‘thin’ and one ‘wide’.</w:t>
      </w:r>
    </w:p>
    <w:p w:rsidR="00A33B22" w:rsidRPr="008C148B" w:rsidRDefault="00A33B22" w:rsidP="003E095A">
      <w:pPr>
        <w:spacing w:line="276" w:lineRule="auto"/>
        <w:rPr>
          <w:lang w:val="en-GB"/>
        </w:rPr>
      </w:pPr>
    </w:p>
    <w:p w:rsidR="00785268" w:rsidRPr="008C148B" w:rsidRDefault="004E4F3C" w:rsidP="003E095A">
      <w:pPr>
        <w:spacing w:line="276" w:lineRule="auto"/>
        <w:rPr>
          <w:lang w:val="en-GB"/>
        </w:rPr>
      </w:pPr>
      <w:r w:rsidRPr="008C148B">
        <w:rPr>
          <w:lang w:val="en-GB"/>
        </w:rPr>
        <w:t xml:space="preserve">Like many other schools, the main reason that the </w:t>
      </w:r>
      <w:r w:rsidR="00370A51" w:rsidRPr="008C148B">
        <w:rPr>
          <w:lang w:val="en-GB"/>
        </w:rPr>
        <w:t xml:space="preserve">four </w:t>
      </w:r>
      <w:r w:rsidRPr="008C148B">
        <w:rPr>
          <w:lang w:val="en-GB"/>
        </w:rPr>
        <w:t xml:space="preserve">case study schools had begun to offer CoPE was its official recognition in ‘headline’ measures of </w:t>
      </w:r>
      <w:r w:rsidR="00E0674E" w:rsidRPr="008C148B">
        <w:rPr>
          <w:lang w:val="en-GB"/>
        </w:rPr>
        <w:t>KS4</w:t>
      </w:r>
      <w:r w:rsidR="00370A51" w:rsidRPr="008C148B">
        <w:rPr>
          <w:lang w:val="en-GB"/>
        </w:rPr>
        <w:t xml:space="preserve"> </w:t>
      </w:r>
      <w:r w:rsidRPr="008C148B">
        <w:rPr>
          <w:lang w:val="en-GB"/>
        </w:rPr>
        <w:t xml:space="preserve">attainment.  This ‘extrinsic’ motivation was, however, usually preceded (and continued to be accompanied) by an ‘intrinsic’ valuing of the </w:t>
      </w:r>
      <w:r w:rsidR="00785268" w:rsidRPr="008C148B">
        <w:rPr>
          <w:lang w:val="en-GB"/>
        </w:rPr>
        <w:t xml:space="preserve">specific </w:t>
      </w:r>
      <w:r w:rsidRPr="008C148B">
        <w:rPr>
          <w:lang w:val="en-GB"/>
        </w:rPr>
        <w:t>curricular and pedagogic</w:t>
      </w:r>
      <w:r w:rsidR="00785268" w:rsidRPr="008C148B">
        <w:rPr>
          <w:lang w:val="en-GB"/>
        </w:rPr>
        <w:t xml:space="preserve"> features of </w:t>
      </w:r>
      <w:r w:rsidR="00575BF6" w:rsidRPr="008C148B">
        <w:rPr>
          <w:lang w:val="en-GB"/>
        </w:rPr>
        <w:t>CoPE</w:t>
      </w:r>
      <w:r w:rsidR="00BD6AEA" w:rsidRPr="008C148B">
        <w:rPr>
          <w:lang w:val="en-GB"/>
        </w:rPr>
        <w:t xml:space="preserve">, such as </w:t>
      </w:r>
      <w:r w:rsidR="00BD6AEA" w:rsidRPr="008C148B">
        <w:rPr>
          <w:lang w:val="en-GB"/>
        </w:rPr>
        <w:lastRenderedPageBreak/>
        <w:t>the</w:t>
      </w:r>
      <w:r w:rsidR="00785268" w:rsidRPr="008C148B">
        <w:rPr>
          <w:lang w:val="en-GB"/>
        </w:rPr>
        <w:t xml:space="preserve"> modular structure, the ‘plan-do</w:t>
      </w:r>
      <w:r w:rsidR="00BD6AEA" w:rsidRPr="008C148B">
        <w:rPr>
          <w:lang w:val="en-GB"/>
        </w:rPr>
        <w:t>-review’ sequence, the</w:t>
      </w:r>
      <w:r w:rsidR="00785268" w:rsidRPr="008C148B">
        <w:rPr>
          <w:lang w:val="en-GB"/>
        </w:rPr>
        <w:t xml:space="preserve"> harne</w:t>
      </w:r>
      <w:r w:rsidR="00BD6AEA" w:rsidRPr="008C148B">
        <w:rPr>
          <w:lang w:val="en-GB"/>
        </w:rPr>
        <w:t>ssing of pupil interests and the</w:t>
      </w:r>
      <w:r w:rsidR="00785268" w:rsidRPr="008C148B">
        <w:rPr>
          <w:lang w:val="en-GB"/>
        </w:rPr>
        <w:t xml:space="preserve"> diversity of accepted forms of recording of activity and learning</w:t>
      </w:r>
      <w:r w:rsidR="00BD6AEA" w:rsidRPr="008C148B">
        <w:rPr>
          <w:lang w:val="en-GB"/>
        </w:rPr>
        <w:t xml:space="preserve"> that </w:t>
      </w:r>
      <w:r w:rsidR="00575BF6" w:rsidRPr="008C148B">
        <w:rPr>
          <w:lang w:val="en-GB"/>
        </w:rPr>
        <w:t xml:space="preserve">it </w:t>
      </w:r>
      <w:r w:rsidR="00BD6AEA" w:rsidRPr="008C148B">
        <w:rPr>
          <w:lang w:val="en-GB"/>
        </w:rPr>
        <w:t>encompass</w:t>
      </w:r>
      <w:r w:rsidR="00575BF6" w:rsidRPr="008C148B">
        <w:rPr>
          <w:lang w:val="en-GB"/>
        </w:rPr>
        <w:t>es</w:t>
      </w:r>
      <w:r w:rsidR="00785268" w:rsidRPr="008C148B">
        <w:rPr>
          <w:lang w:val="en-GB"/>
        </w:rPr>
        <w:t>.  As one teacher, responsible for the provision, put it:</w:t>
      </w:r>
    </w:p>
    <w:p w:rsidR="008125A5" w:rsidRPr="008C148B" w:rsidRDefault="00A53FF5" w:rsidP="003E095A">
      <w:pPr>
        <w:tabs>
          <w:tab w:val="left" w:pos="5220"/>
        </w:tabs>
        <w:spacing w:line="276" w:lineRule="auto"/>
        <w:rPr>
          <w:lang w:val="en-GB"/>
        </w:rPr>
      </w:pPr>
      <w:r w:rsidRPr="008C148B">
        <w:rPr>
          <w:lang w:val="en-GB"/>
        </w:rPr>
        <w:tab/>
      </w:r>
    </w:p>
    <w:p w:rsidR="00CB1F5B" w:rsidRPr="008C148B" w:rsidRDefault="00785268" w:rsidP="003E095A">
      <w:pPr>
        <w:spacing w:line="276" w:lineRule="auto"/>
        <w:ind w:left="720" w:hanging="720"/>
        <w:rPr>
          <w:lang w:val="en-GB"/>
        </w:rPr>
      </w:pPr>
      <w:r w:rsidRPr="008C148B">
        <w:rPr>
          <w:lang w:val="en-GB"/>
        </w:rPr>
        <w:tab/>
        <w:t>‘When we started with CoPE we were just looking to increase our five A* to C, but now we are at 92% A* to C we do</w:t>
      </w:r>
      <w:r w:rsidR="00E0674E" w:rsidRPr="008C148B">
        <w:rPr>
          <w:lang w:val="en-GB"/>
        </w:rPr>
        <w:t xml:space="preserve"> it because it is a good course</w:t>
      </w:r>
      <w:r w:rsidR="00BE0D89" w:rsidRPr="008C148B">
        <w:rPr>
          <w:lang w:val="en-GB"/>
        </w:rPr>
        <w:t>.</w:t>
      </w:r>
      <w:r w:rsidR="00E0674E" w:rsidRPr="008C148B">
        <w:rPr>
          <w:lang w:val="en-GB"/>
        </w:rPr>
        <w:t>’</w:t>
      </w:r>
      <w:r w:rsidR="004E4F3C" w:rsidRPr="008C148B">
        <w:rPr>
          <w:lang w:val="en-GB"/>
        </w:rPr>
        <w:t xml:space="preserve">  </w:t>
      </w:r>
    </w:p>
    <w:p w:rsidR="00702F1E" w:rsidRPr="008C148B" w:rsidRDefault="00702F1E" w:rsidP="003E095A">
      <w:pPr>
        <w:spacing w:line="276" w:lineRule="auto"/>
        <w:rPr>
          <w:lang w:val="en-GB"/>
        </w:rPr>
      </w:pPr>
    </w:p>
    <w:p w:rsidR="00541BE7" w:rsidRPr="008C148B" w:rsidRDefault="00370A51" w:rsidP="003E095A">
      <w:pPr>
        <w:spacing w:line="276" w:lineRule="auto"/>
        <w:rPr>
          <w:lang w:val="en-GB"/>
        </w:rPr>
      </w:pPr>
      <w:r w:rsidRPr="008C148B">
        <w:rPr>
          <w:lang w:val="en-GB"/>
        </w:rPr>
        <w:t>In all four</w:t>
      </w:r>
      <w:r w:rsidR="00785268" w:rsidRPr="008C148B">
        <w:rPr>
          <w:lang w:val="en-GB"/>
        </w:rPr>
        <w:t xml:space="preserve"> schools, staff were clear th</w:t>
      </w:r>
      <w:r w:rsidR="00B23425" w:rsidRPr="008C148B">
        <w:rPr>
          <w:lang w:val="en-GB"/>
        </w:rPr>
        <w:t xml:space="preserve">at an advantage of CoPE was </w:t>
      </w:r>
      <w:r w:rsidRPr="008C148B">
        <w:rPr>
          <w:lang w:val="en-GB"/>
        </w:rPr>
        <w:t>that</w:t>
      </w:r>
      <w:r w:rsidR="00785268" w:rsidRPr="008C148B">
        <w:rPr>
          <w:lang w:val="en-GB"/>
        </w:rPr>
        <w:t xml:space="preserve"> </w:t>
      </w:r>
      <w:r w:rsidR="00EC080E" w:rsidRPr="008C148B">
        <w:rPr>
          <w:lang w:val="en-GB"/>
        </w:rPr>
        <w:t xml:space="preserve">it </w:t>
      </w:r>
      <w:r w:rsidR="00785268" w:rsidRPr="008C148B">
        <w:rPr>
          <w:lang w:val="en-GB"/>
        </w:rPr>
        <w:t>enabl</w:t>
      </w:r>
      <w:r w:rsidRPr="008C148B">
        <w:rPr>
          <w:lang w:val="en-GB"/>
        </w:rPr>
        <w:t>ed</w:t>
      </w:r>
      <w:r w:rsidR="00B23425" w:rsidRPr="008C148B">
        <w:rPr>
          <w:lang w:val="en-GB"/>
        </w:rPr>
        <w:t xml:space="preserve"> </w:t>
      </w:r>
      <w:r w:rsidR="00785268" w:rsidRPr="008C148B">
        <w:rPr>
          <w:lang w:val="en-GB"/>
        </w:rPr>
        <w:t>some students to attain</w:t>
      </w:r>
      <w:r w:rsidR="00E0674E" w:rsidRPr="008C148B">
        <w:rPr>
          <w:lang w:val="en-GB"/>
        </w:rPr>
        <w:t xml:space="preserve"> good</w:t>
      </w:r>
      <w:r w:rsidR="00785268" w:rsidRPr="008C148B">
        <w:rPr>
          <w:lang w:val="en-GB"/>
        </w:rPr>
        <w:t xml:space="preserve"> GCSE passes who would be unlikely to do so without it.  In one school, a senior manager described how they had a number of students who were predicted to attain </w:t>
      </w:r>
      <w:r w:rsidR="00DC7512" w:rsidRPr="008C148B">
        <w:rPr>
          <w:lang w:val="en-GB"/>
        </w:rPr>
        <w:t xml:space="preserve">at least a grade C in both English and </w:t>
      </w:r>
      <w:r w:rsidR="003B0402" w:rsidRPr="008C148B">
        <w:rPr>
          <w:lang w:val="en-GB"/>
        </w:rPr>
        <w:t>Mathematics</w:t>
      </w:r>
      <w:r w:rsidR="00DC7512" w:rsidRPr="008C148B">
        <w:rPr>
          <w:lang w:val="en-GB"/>
        </w:rPr>
        <w:t xml:space="preserve"> GCSE</w:t>
      </w:r>
      <w:r w:rsidR="00575BF6" w:rsidRPr="008C148B">
        <w:rPr>
          <w:lang w:val="en-GB"/>
        </w:rPr>
        <w:t>s</w:t>
      </w:r>
      <w:r w:rsidR="00DC7512" w:rsidRPr="008C148B">
        <w:rPr>
          <w:lang w:val="en-GB"/>
        </w:rPr>
        <w:t>, but who were unlikely to achieve three more passes of C and above</w:t>
      </w:r>
      <w:r w:rsidR="00541BE7" w:rsidRPr="008C148B">
        <w:rPr>
          <w:lang w:val="en-GB"/>
        </w:rPr>
        <w:t xml:space="preserve"> to make up the required five of the ‘threshold’</w:t>
      </w:r>
      <w:r w:rsidR="00DC7512" w:rsidRPr="008C148B">
        <w:rPr>
          <w:lang w:val="en-GB"/>
        </w:rPr>
        <w:t>: CoPE was the device through which the school sought to avoid what he termed this ‘dangerous situation’</w:t>
      </w:r>
      <w:r w:rsidR="00541BE7" w:rsidRPr="008C148B">
        <w:rPr>
          <w:lang w:val="en-GB"/>
        </w:rPr>
        <w:t>, and it was used here as a</w:t>
      </w:r>
      <w:r w:rsidR="00BE0D89" w:rsidRPr="008C148B">
        <w:rPr>
          <w:lang w:val="en-GB"/>
        </w:rPr>
        <w:t xml:space="preserve"> vehicle</w:t>
      </w:r>
      <w:r w:rsidR="00541BE7" w:rsidRPr="008C148B">
        <w:rPr>
          <w:lang w:val="en-GB"/>
        </w:rPr>
        <w:t xml:space="preserve"> for focused work that would yield a </w:t>
      </w:r>
      <w:r w:rsidR="00E0674E" w:rsidRPr="008C148B">
        <w:rPr>
          <w:lang w:val="en-GB"/>
        </w:rPr>
        <w:t>GCSE</w:t>
      </w:r>
      <w:r w:rsidR="00541BE7" w:rsidRPr="008C148B">
        <w:rPr>
          <w:lang w:val="en-GB"/>
        </w:rPr>
        <w:t xml:space="preserve"> equivalent in its own right whilst supporting the student across their other examined subjects. </w:t>
      </w:r>
      <w:r w:rsidR="00E46BAF" w:rsidRPr="008C148B">
        <w:rPr>
          <w:lang w:val="en-GB"/>
        </w:rPr>
        <w:t xml:space="preserve"> T</w:t>
      </w:r>
      <w:r w:rsidR="00541BE7" w:rsidRPr="008C148B">
        <w:rPr>
          <w:lang w:val="en-GB"/>
        </w:rPr>
        <w:t xml:space="preserve">he other three case study schools were less </w:t>
      </w:r>
      <w:r w:rsidR="00EC080E" w:rsidRPr="008C148B">
        <w:rPr>
          <w:lang w:val="en-GB"/>
        </w:rPr>
        <w:t xml:space="preserve">apparently </w:t>
      </w:r>
      <w:r w:rsidR="00541BE7" w:rsidRPr="008C148B">
        <w:rPr>
          <w:lang w:val="en-GB"/>
        </w:rPr>
        <w:t xml:space="preserve">instrumental </w:t>
      </w:r>
      <w:r w:rsidR="00786717" w:rsidRPr="008C148B">
        <w:rPr>
          <w:lang w:val="en-GB"/>
        </w:rPr>
        <w:t xml:space="preserve">in this sense, </w:t>
      </w:r>
      <w:r w:rsidR="00E46BAF" w:rsidRPr="008C148B">
        <w:rPr>
          <w:lang w:val="en-GB"/>
        </w:rPr>
        <w:t xml:space="preserve">but </w:t>
      </w:r>
      <w:r w:rsidR="00EC080E" w:rsidRPr="008C148B">
        <w:rPr>
          <w:lang w:val="en-GB"/>
        </w:rPr>
        <w:t xml:space="preserve">in all of them staff </w:t>
      </w:r>
      <w:r w:rsidR="00786717" w:rsidRPr="008C148B">
        <w:rPr>
          <w:lang w:val="en-GB"/>
        </w:rPr>
        <w:t>commented at length on the range of skills that students were able to develop within CoPE, and on what they saw as a positive impact on the rest of the students’ school work.  For one senior member of staff, CoPE was</w:t>
      </w:r>
      <w:r w:rsidR="004435A3" w:rsidRPr="008C148B">
        <w:rPr>
          <w:lang w:val="en-GB"/>
        </w:rPr>
        <w:t>,</w:t>
      </w:r>
      <w:r w:rsidR="00786717" w:rsidRPr="008C148B">
        <w:rPr>
          <w:lang w:val="en-GB"/>
        </w:rPr>
        <w:t xml:space="preserve"> </w:t>
      </w:r>
      <w:r w:rsidR="00BD6AEA" w:rsidRPr="008C148B">
        <w:rPr>
          <w:lang w:val="en-GB"/>
        </w:rPr>
        <w:t>in addition</w:t>
      </w:r>
      <w:r w:rsidR="004435A3" w:rsidRPr="008C148B">
        <w:rPr>
          <w:lang w:val="en-GB"/>
        </w:rPr>
        <w:t>,</w:t>
      </w:r>
      <w:r w:rsidR="00BD6AEA" w:rsidRPr="008C148B">
        <w:rPr>
          <w:lang w:val="en-GB"/>
        </w:rPr>
        <w:t xml:space="preserve"> </w:t>
      </w:r>
      <w:r w:rsidR="00786717" w:rsidRPr="008C148B">
        <w:rPr>
          <w:lang w:val="en-GB"/>
        </w:rPr>
        <w:t>vital for progression and success at the next level:</w:t>
      </w:r>
    </w:p>
    <w:p w:rsidR="008125A5" w:rsidRPr="008C148B" w:rsidRDefault="008125A5" w:rsidP="003E095A">
      <w:pPr>
        <w:spacing w:line="276" w:lineRule="auto"/>
        <w:rPr>
          <w:lang w:val="en-GB"/>
        </w:rPr>
      </w:pPr>
    </w:p>
    <w:p w:rsidR="00786717" w:rsidRPr="008C148B" w:rsidRDefault="00BE0D89" w:rsidP="003E095A">
      <w:pPr>
        <w:spacing w:line="276" w:lineRule="auto"/>
        <w:ind w:left="720" w:hanging="720"/>
        <w:rPr>
          <w:lang w:val="en-GB"/>
        </w:rPr>
      </w:pPr>
      <w:r w:rsidRPr="008C148B">
        <w:rPr>
          <w:lang w:val="en-GB"/>
        </w:rPr>
        <w:tab/>
        <w:t>‘</w:t>
      </w:r>
      <w:r w:rsidR="00786717" w:rsidRPr="008C148B">
        <w:rPr>
          <w:lang w:val="en-GB"/>
        </w:rPr>
        <w:t xml:space="preserve">We find that those that are </w:t>
      </w:r>
      <w:r w:rsidR="00ED7632" w:rsidRPr="008C148B">
        <w:rPr>
          <w:lang w:val="en-GB"/>
        </w:rPr>
        <w:t>d</w:t>
      </w:r>
      <w:r w:rsidR="00786717" w:rsidRPr="008C148B">
        <w:rPr>
          <w:lang w:val="en-GB"/>
        </w:rPr>
        <w:t>oing CoPE when they get into the sixth form are much better at researching and project work or even just better at formatting and laying out a page and making it look presentable</w:t>
      </w:r>
      <w:r w:rsidRPr="008C148B">
        <w:rPr>
          <w:lang w:val="en-GB"/>
        </w:rPr>
        <w:t>’</w:t>
      </w:r>
      <w:r w:rsidR="00786717" w:rsidRPr="008C148B">
        <w:rPr>
          <w:lang w:val="en-GB"/>
        </w:rPr>
        <w:t>.</w:t>
      </w:r>
    </w:p>
    <w:p w:rsidR="00541BE7" w:rsidRPr="008C148B" w:rsidRDefault="00541BE7" w:rsidP="003E095A">
      <w:pPr>
        <w:spacing w:line="276" w:lineRule="auto"/>
        <w:rPr>
          <w:lang w:val="en-GB"/>
        </w:rPr>
      </w:pPr>
    </w:p>
    <w:p w:rsidR="005F4572" w:rsidRPr="008C148B" w:rsidRDefault="00346B24" w:rsidP="003E095A">
      <w:pPr>
        <w:spacing w:line="276" w:lineRule="auto"/>
        <w:rPr>
          <w:lang w:val="en-GB"/>
        </w:rPr>
      </w:pPr>
      <w:r w:rsidRPr="008C148B">
        <w:rPr>
          <w:lang w:val="en-GB"/>
        </w:rPr>
        <w:t>O</w:t>
      </w:r>
      <w:r w:rsidR="00786717" w:rsidRPr="008C148B">
        <w:rPr>
          <w:lang w:val="en-GB"/>
        </w:rPr>
        <w:t>ur student interviewees were not chosen at random</w:t>
      </w:r>
      <w:r w:rsidR="00E0674E" w:rsidRPr="008C148B">
        <w:rPr>
          <w:lang w:val="en-GB"/>
        </w:rPr>
        <w:t xml:space="preserve">, with </w:t>
      </w:r>
      <w:r w:rsidR="00B23425" w:rsidRPr="008C148B">
        <w:rPr>
          <w:lang w:val="en-GB"/>
        </w:rPr>
        <w:t xml:space="preserve">school staff </w:t>
      </w:r>
      <w:r w:rsidR="00E0674E" w:rsidRPr="008C148B">
        <w:rPr>
          <w:lang w:val="en-GB"/>
        </w:rPr>
        <w:t>arranging the focus groups</w:t>
      </w:r>
      <w:r w:rsidR="00B23425" w:rsidRPr="008C148B">
        <w:rPr>
          <w:lang w:val="en-GB"/>
        </w:rPr>
        <w:t xml:space="preserve">.  With this in mind, </w:t>
      </w:r>
      <w:r w:rsidR="00786717" w:rsidRPr="008C148B">
        <w:rPr>
          <w:lang w:val="en-GB"/>
        </w:rPr>
        <w:t xml:space="preserve">we were nevertheless struck by how </w:t>
      </w:r>
      <w:r w:rsidR="00B23425" w:rsidRPr="008C148B">
        <w:rPr>
          <w:lang w:val="en-GB"/>
        </w:rPr>
        <w:t xml:space="preserve">unremittingly </w:t>
      </w:r>
      <w:r w:rsidR="00786717" w:rsidRPr="008C148B">
        <w:rPr>
          <w:lang w:val="en-GB"/>
        </w:rPr>
        <w:t xml:space="preserve">positive the </w:t>
      </w:r>
      <w:r w:rsidR="001870BE" w:rsidRPr="008C148B">
        <w:rPr>
          <w:lang w:val="en-GB"/>
        </w:rPr>
        <w:t>learners</w:t>
      </w:r>
      <w:r w:rsidR="00786717" w:rsidRPr="008C148B">
        <w:rPr>
          <w:lang w:val="en-GB"/>
        </w:rPr>
        <w:t xml:space="preserve"> were about CoPE</w:t>
      </w:r>
      <w:r w:rsidR="00BD6AEA" w:rsidRPr="008C148B">
        <w:rPr>
          <w:lang w:val="en-GB"/>
        </w:rPr>
        <w:t xml:space="preserve"> in contrast to other areas of school life</w:t>
      </w:r>
      <w:r w:rsidR="00ED7632" w:rsidRPr="008C148B">
        <w:rPr>
          <w:lang w:val="en-GB"/>
        </w:rPr>
        <w:t xml:space="preserve"> (about which they were often highly critical).</w:t>
      </w:r>
      <w:r w:rsidR="00786717" w:rsidRPr="008C148B">
        <w:rPr>
          <w:lang w:val="en-GB"/>
        </w:rPr>
        <w:t xml:space="preserve">  Amongst its most celebrated features were: its clear relevance to life beyond the school gates (a relevance many students found it hard to see in their ‘mainstream’ schooling); its developing of skills that were </w:t>
      </w:r>
      <w:r w:rsidR="008125A5" w:rsidRPr="008C148B">
        <w:rPr>
          <w:lang w:val="en-GB"/>
        </w:rPr>
        <w:t>useful in other areas of school</w:t>
      </w:r>
      <w:r w:rsidR="00786717" w:rsidRPr="008C148B">
        <w:rPr>
          <w:lang w:val="en-GB"/>
        </w:rPr>
        <w:t xml:space="preserve">work; the lack of examinations; </w:t>
      </w:r>
      <w:r w:rsidRPr="008C148B">
        <w:rPr>
          <w:lang w:val="en-GB"/>
        </w:rPr>
        <w:t>a sense of achievement and enjoyment in learning. Such views were underscored by staff experiences:</w:t>
      </w:r>
    </w:p>
    <w:p w:rsidR="008125A5" w:rsidRPr="008C148B" w:rsidRDefault="008125A5" w:rsidP="003E095A">
      <w:pPr>
        <w:spacing w:line="276" w:lineRule="auto"/>
        <w:rPr>
          <w:lang w:val="en-GB"/>
        </w:rPr>
      </w:pPr>
    </w:p>
    <w:p w:rsidR="00CB1F5B" w:rsidRPr="008C148B" w:rsidRDefault="00346B24" w:rsidP="003E095A">
      <w:pPr>
        <w:spacing w:line="276" w:lineRule="auto"/>
        <w:ind w:left="720" w:hanging="720"/>
        <w:rPr>
          <w:lang w:val="en-GB"/>
        </w:rPr>
      </w:pPr>
      <w:r w:rsidRPr="008C148B">
        <w:rPr>
          <w:lang w:val="en-GB"/>
        </w:rPr>
        <w:tab/>
        <w:t>‘We had a Year 11 parents</w:t>
      </w:r>
      <w:r w:rsidR="004726D1" w:rsidRPr="008C148B">
        <w:rPr>
          <w:lang w:val="en-GB"/>
        </w:rPr>
        <w:t>’</w:t>
      </w:r>
      <w:r w:rsidRPr="008C148B">
        <w:rPr>
          <w:lang w:val="en-GB"/>
        </w:rPr>
        <w:t xml:space="preserve"> evening quite recently, and a young man was sitting in there with his father.  His father said “When this </w:t>
      </w:r>
      <w:r w:rsidR="008125A5" w:rsidRPr="008C148B">
        <w:rPr>
          <w:lang w:val="en-GB"/>
        </w:rPr>
        <w:t>[</w:t>
      </w:r>
      <w:r w:rsidRPr="008C148B">
        <w:rPr>
          <w:lang w:val="en-GB"/>
        </w:rPr>
        <w:t>CoPE</w:t>
      </w:r>
      <w:r w:rsidR="008125A5" w:rsidRPr="008C148B">
        <w:rPr>
          <w:lang w:val="en-GB"/>
        </w:rPr>
        <w:t>]</w:t>
      </w:r>
      <w:r w:rsidRPr="008C148B">
        <w:rPr>
          <w:lang w:val="en-GB"/>
        </w:rPr>
        <w:t xml:space="preserve"> started in Year 9, I thought this is going to be a waste of time, just keeping him busy”. But he came along </w:t>
      </w:r>
      <w:r w:rsidR="008125A5" w:rsidRPr="008C148B">
        <w:rPr>
          <w:lang w:val="en-GB"/>
        </w:rPr>
        <w:t>[to the parents’ evening]</w:t>
      </w:r>
      <w:r w:rsidR="00BD6AEA" w:rsidRPr="008C148B">
        <w:rPr>
          <w:lang w:val="en-GB"/>
        </w:rPr>
        <w:t xml:space="preserve"> </w:t>
      </w:r>
      <w:r w:rsidRPr="008C148B">
        <w:rPr>
          <w:lang w:val="en-GB"/>
        </w:rPr>
        <w:t>and said “I have to apologise to you because I think this course has done a huge amount for my son in terms of confidence and the way he is progressing with other subjects in school</w:t>
      </w:r>
      <w:r w:rsidR="00F628FE">
        <w:rPr>
          <w:lang w:val="en-GB"/>
        </w:rPr>
        <w:t>.</w:t>
      </w:r>
      <w:r w:rsidRPr="008C148B">
        <w:rPr>
          <w:lang w:val="en-GB"/>
        </w:rPr>
        <w:t>”’</w:t>
      </w:r>
    </w:p>
    <w:p w:rsidR="005F4572" w:rsidRPr="008C148B" w:rsidRDefault="005F4572" w:rsidP="003E095A">
      <w:pPr>
        <w:spacing w:line="276" w:lineRule="auto"/>
        <w:rPr>
          <w:lang w:val="en-GB"/>
        </w:rPr>
      </w:pPr>
    </w:p>
    <w:p w:rsidR="009639CA" w:rsidRPr="008C148B" w:rsidRDefault="008C6D0E" w:rsidP="003E095A">
      <w:pPr>
        <w:spacing w:line="276" w:lineRule="auto"/>
        <w:rPr>
          <w:lang w:val="en-GB"/>
        </w:rPr>
      </w:pPr>
      <w:r w:rsidRPr="008C148B">
        <w:rPr>
          <w:lang w:val="en-GB"/>
        </w:rPr>
        <w:t>All staff</w:t>
      </w:r>
      <w:r w:rsidR="0087763C" w:rsidRPr="008C148B">
        <w:rPr>
          <w:lang w:val="en-GB"/>
        </w:rPr>
        <w:t xml:space="preserve"> interviewed who were closely involved in CoPE thought there was a beneficial link between the pursuit of CoPE and student engagement, attendance, motivation and confidence, and only varied slightly in how certain they were of these effects.  Several staff </w:t>
      </w:r>
      <w:r w:rsidR="0087763C" w:rsidRPr="008C148B">
        <w:rPr>
          <w:lang w:val="en-GB"/>
        </w:rPr>
        <w:lastRenderedPageBreak/>
        <w:t xml:space="preserve">gave example after example of </w:t>
      </w:r>
      <w:r w:rsidR="001870BE" w:rsidRPr="008C148B">
        <w:rPr>
          <w:lang w:val="en-GB"/>
        </w:rPr>
        <w:t>learners</w:t>
      </w:r>
      <w:r w:rsidR="0087763C" w:rsidRPr="008C148B">
        <w:rPr>
          <w:lang w:val="en-GB"/>
        </w:rPr>
        <w:t xml:space="preserve"> whose relationship to (and achievement within) school had changed after they became involved in CoPE.  </w:t>
      </w:r>
      <w:r w:rsidR="00F9519A" w:rsidRPr="008C148B">
        <w:rPr>
          <w:lang w:val="en-GB"/>
        </w:rPr>
        <w:t>Taken to</w:t>
      </w:r>
      <w:r w:rsidR="0087763C" w:rsidRPr="008C148B">
        <w:rPr>
          <w:lang w:val="en-GB"/>
        </w:rPr>
        <w:t xml:space="preserve">gether, our qualitative data </w:t>
      </w:r>
      <w:r w:rsidR="00F9519A" w:rsidRPr="008C148B">
        <w:rPr>
          <w:lang w:val="en-GB"/>
        </w:rPr>
        <w:t>strongly suggest</w:t>
      </w:r>
      <w:r w:rsidR="0087763C" w:rsidRPr="008C148B">
        <w:rPr>
          <w:lang w:val="en-GB"/>
        </w:rPr>
        <w:t>s that CoPE has an impact on GCSE outcomes in one of three ways</w:t>
      </w:r>
      <w:r w:rsidR="00FA5A28" w:rsidRPr="008C148B">
        <w:rPr>
          <w:lang w:val="en-GB"/>
        </w:rPr>
        <w:t xml:space="preserve">, </w:t>
      </w:r>
      <w:r w:rsidR="008125A5" w:rsidRPr="008C148B">
        <w:rPr>
          <w:lang w:val="en-GB"/>
        </w:rPr>
        <w:t>al</w:t>
      </w:r>
      <w:r w:rsidR="00FA5A28" w:rsidRPr="008C148B">
        <w:rPr>
          <w:lang w:val="en-GB"/>
        </w:rPr>
        <w:t>though these overlap and are not mutually exclusive</w:t>
      </w:r>
      <w:r w:rsidR="009639CA" w:rsidRPr="008C148B">
        <w:rPr>
          <w:lang w:val="en-GB"/>
        </w:rPr>
        <w:t xml:space="preserve"> (Figure </w:t>
      </w:r>
      <w:r w:rsidR="009A3885" w:rsidRPr="008C148B">
        <w:rPr>
          <w:lang w:val="en-GB"/>
        </w:rPr>
        <w:t>2</w:t>
      </w:r>
      <w:r w:rsidR="009639CA" w:rsidRPr="008C148B">
        <w:rPr>
          <w:lang w:val="en-GB"/>
        </w:rPr>
        <w:t>)</w:t>
      </w:r>
      <w:r w:rsidR="0087763C" w:rsidRPr="008C148B">
        <w:rPr>
          <w:lang w:val="en-GB"/>
        </w:rPr>
        <w:t>.</w:t>
      </w:r>
    </w:p>
    <w:p w:rsidR="00220CB5" w:rsidRPr="008C148B" w:rsidRDefault="00220CB5" w:rsidP="003E095A">
      <w:pPr>
        <w:spacing w:line="276" w:lineRule="auto"/>
        <w:rPr>
          <w:lang w:val="en-GB"/>
        </w:rPr>
      </w:pPr>
    </w:p>
    <w:p w:rsidR="00A03252" w:rsidRDefault="003E7FA6" w:rsidP="003E095A">
      <w:pPr>
        <w:spacing w:line="276" w:lineRule="auto"/>
        <w:rPr>
          <w:lang w:val="en-GB"/>
        </w:rPr>
      </w:pPr>
      <w:r>
        <w:rPr>
          <w:noProof/>
          <w:lang w:val="en-GB" w:eastAsia="en-GB"/>
        </w:rPr>
        <w:drawing>
          <wp:inline distT="0" distB="0" distL="0" distR="0">
            <wp:extent cx="5979927" cy="2381693"/>
            <wp:effectExtent l="19050" t="0" r="177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4562" t="33369" r="19930" b="20108"/>
                    <a:stretch>
                      <a:fillRect/>
                    </a:stretch>
                  </pic:blipFill>
                  <pic:spPr bwMode="auto">
                    <a:xfrm>
                      <a:off x="0" y="0"/>
                      <a:ext cx="5979927" cy="2381693"/>
                    </a:xfrm>
                    <a:prstGeom prst="rect">
                      <a:avLst/>
                    </a:prstGeom>
                    <a:noFill/>
                    <a:ln w="9525">
                      <a:noFill/>
                      <a:miter lim="800000"/>
                      <a:headEnd/>
                      <a:tailEnd/>
                    </a:ln>
                  </pic:spPr>
                </pic:pic>
              </a:graphicData>
            </a:graphic>
          </wp:inline>
        </w:drawing>
      </w:r>
    </w:p>
    <w:p w:rsidR="00E32D3A" w:rsidRPr="00AD0FA2" w:rsidRDefault="00E32D3A" w:rsidP="003E095A">
      <w:pPr>
        <w:spacing w:line="276" w:lineRule="auto"/>
        <w:rPr>
          <w:i/>
        </w:rPr>
      </w:pPr>
      <w:r w:rsidRPr="00AD0FA2">
        <w:rPr>
          <w:i/>
        </w:rPr>
        <w:t>Figure 2: Putative model for causal relationship between CoPE and GCSE outcomes</w:t>
      </w:r>
    </w:p>
    <w:p w:rsidR="003E7FA6" w:rsidRDefault="003E7FA6" w:rsidP="003E095A">
      <w:pPr>
        <w:spacing w:line="276" w:lineRule="auto"/>
        <w:rPr>
          <w:lang w:val="en-GB"/>
        </w:rPr>
      </w:pPr>
    </w:p>
    <w:p w:rsidR="00E32D3A" w:rsidRPr="008C148B" w:rsidRDefault="00E32D3A" w:rsidP="003E095A">
      <w:pPr>
        <w:spacing w:line="276" w:lineRule="auto"/>
        <w:rPr>
          <w:lang w:val="en-GB"/>
        </w:rPr>
      </w:pPr>
    </w:p>
    <w:p w:rsidR="00FB79A4" w:rsidRPr="008C148B" w:rsidRDefault="0087763C" w:rsidP="003E095A">
      <w:pPr>
        <w:spacing w:line="276" w:lineRule="auto"/>
        <w:rPr>
          <w:lang w:val="en-GB"/>
        </w:rPr>
      </w:pPr>
      <w:r w:rsidRPr="008C148B">
        <w:rPr>
          <w:lang w:val="en-GB"/>
        </w:rPr>
        <w:t xml:space="preserve">Firstly, </w:t>
      </w:r>
      <w:r w:rsidR="00FA5A28" w:rsidRPr="008C148B">
        <w:rPr>
          <w:lang w:val="en-GB"/>
        </w:rPr>
        <w:t xml:space="preserve">we heard and saw evidence that </w:t>
      </w:r>
      <w:r w:rsidR="007B4E96" w:rsidRPr="008C148B">
        <w:rPr>
          <w:lang w:val="en-GB"/>
        </w:rPr>
        <w:t xml:space="preserve">for some students, CoPE appears to </w:t>
      </w:r>
      <w:r w:rsidR="0040253F" w:rsidRPr="008C148B">
        <w:rPr>
          <w:i/>
          <w:lang w:val="en-GB"/>
        </w:rPr>
        <w:t>develop skills and practices that can readily ‘transfer’</w:t>
      </w:r>
      <w:r w:rsidR="003D2509" w:rsidRPr="008C148B">
        <w:rPr>
          <w:lang w:val="en-GB"/>
        </w:rPr>
        <w:t xml:space="preserve">, </w:t>
      </w:r>
      <w:r w:rsidR="008C6D0E" w:rsidRPr="008C148B">
        <w:rPr>
          <w:lang w:val="en-GB"/>
        </w:rPr>
        <w:t>one learner volunteering</w:t>
      </w:r>
      <w:r w:rsidR="003D2509" w:rsidRPr="008C148B">
        <w:rPr>
          <w:lang w:val="en-GB"/>
        </w:rPr>
        <w:t xml:space="preserve"> that ‘CoPE gives us skills for the rest of our GCSEs’</w:t>
      </w:r>
      <w:r w:rsidR="007B4E96" w:rsidRPr="008C148B">
        <w:rPr>
          <w:lang w:val="en-GB"/>
        </w:rPr>
        <w:t>.</w:t>
      </w:r>
      <w:r w:rsidR="00FA5A28" w:rsidRPr="008C148B">
        <w:rPr>
          <w:lang w:val="en-GB"/>
        </w:rPr>
        <w:t xml:space="preserve">  This includes (but is not limited to) written communi</w:t>
      </w:r>
      <w:r w:rsidR="004435A3" w:rsidRPr="008C148B">
        <w:rPr>
          <w:lang w:val="en-GB"/>
        </w:rPr>
        <w:t xml:space="preserve">cation, which may </w:t>
      </w:r>
      <w:r w:rsidR="00E46BAF" w:rsidRPr="008C148B">
        <w:rPr>
          <w:lang w:val="en-GB"/>
        </w:rPr>
        <w:t xml:space="preserve">help to </w:t>
      </w:r>
      <w:r w:rsidR="004435A3" w:rsidRPr="008C148B">
        <w:rPr>
          <w:lang w:val="en-GB"/>
        </w:rPr>
        <w:t xml:space="preserve">explain the strong </w:t>
      </w:r>
      <w:r w:rsidR="007017D5" w:rsidRPr="008C148B">
        <w:rPr>
          <w:lang w:val="en-GB"/>
        </w:rPr>
        <w:t xml:space="preserve">relationship between CoPE and </w:t>
      </w:r>
      <w:r w:rsidR="004435A3" w:rsidRPr="008C148B">
        <w:rPr>
          <w:lang w:val="en-GB"/>
        </w:rPr>
        <w:t xml:space="preserve">GCSE </w:t>
      </w:r>
      <w:r w:rsidR="003D2509" w:rsidRPr="008C148B">
        <w:rPr>
          <w:lang w:val="en-GB"/>
        </w:rPr>
        <w:t>English reported above</w:t>
      </w:r>
      <w:r w:rsidR="004435A3" w:rsidRPr="008C148B">
        <w:rPr>
          <w:lang w:val="en-GB"/>
        </w:rPr>
        <w:t xml:space="preserve">.  The generation of the portfolio that is used to assess CoPE requires the production of a large quantity of written work that enables learners to improve their ability to marshal information and to </w:t>
      </w:r>
      <w:r w:rsidR="003D2509" w:rsidRPr="008C148B">
        <w:rPr>
          <w:lang w:val="en-GB"/>
        </w:rPr>
        <w:t>write clearly and accurately</w:t>
      </w:r>
      <w:r w:rsidR="004435A3" w:rsidRPr="008C148B">
        <w:rPr>
          <w:lang w:val="en-GB"/>
        </w:rPr>
        <w:t xml:space="preserve">.  </w:t>
      </w:r>
      <w:r w:rsidR="003D2509" w:rsidRPr="008C148B">
        <w:rPr>
          <w:lang w:val="en-GB"/>
        </w:rPr>
        <w:t xml:space="preserve">Many </w:t>
      </w:r>
      <w:r w:rsidR="004435A3" w:rsidRPr="008C148B">
        <w:rPr>
          <w:lang w:val="en-GB"/>
        </w:rPr>
        <w:t xml:space="preserve">CoPE </w:t>
      </w:r>
      <w:r w:rsidR="003D2509" w:rsidRPr="008C148B">
        <w:rPr>
          <w:lang w:val="en-GB"/>
        </w:rPr>
        <w:t>‘</w:t>
      </w:r>
      <w:r w:rsidR="004435A3" w:rsidRPr="008C148B">
        <w:rPr>
          <w:lang w:val="en-GB"/>
        </w:rPr>
        <w:t>challenges</w:t>
      </w:r>
      <w:r w:rsidR="003D2509" w:rsidRPr="008C148B">
        <w:rPr>
          <w:lang w:val="en-GB"/>
        </w:rPr>
        <w:t>’</w:t>
      </w:r>
      <w:r w:rsidR="004435A3" w:rsidRPr="008C148B">
        <w:rPr>
          <w:lang w:val="en-GB"/>
        </w:rPr>
        <w:t xml:space="preserve"> also promote research skills </w:t>
      </w:r>
      <w:r w:rsidR="008B4011" w:rsidRPr="008C148B">
        <w:rPr>
          <w:lang w:val="en-GB"/>
        </w:rPr>
        <w:t xml:space="preserve">that </w:t>
      </w:r>
      <w:r w:rsidR="008C6D0E" w:rsidRPr="008C148B">
        <w:rPr>
          <w:lang w:val="en-GB"/>
        </w:rPr>
        <w:t>are</w:t>
      </w:r>
      <w:r w:rsidR="004435A3" w:rsidRPr="008C148B">
        <w:rPr>
          <w:lang w:val="en-GB"/>
        </w:rPr>
        <w:t xml:space="preserve"> relevan</w:t>
      </w:r>
      <w:r w:rsidR="008C6D0E" w:rsidRPr="008C148B">
        <w:rPr>
          <w:lang w:val="en-GB"/>
        </w:rPr>
        <w:t>t</w:t>
      </w:r>
      <w:r w:rsidR="004435A3" w:rsidRPr="008C148B">
        <w:rPr>
          <w:lang w:val="en-GB"/>
        </w:rPr>
        <w:t xml:space="preserve"> </w:t>
      </w:r>
      <w:r w:rsidR="008C6D0E" w:rsidRPr="008C148B">
        <w:rPr>
          <w:lang w:val="en-GB"/>
        </w:rPr>
        <w:t>to</w:t>
      </w:r>
      <w:r w:rsidR="004435A3" w:rsidRPr="008C148B">
        <w:rPr>
          <w:lang w:val="en-GB"/>
        </w:rPr>
        <w:t xml:space="preserve"> subjects such as history or geography, where </w:t>
      </w:r>
      <w:r w:rsidR="007017D5" w:rsidRPr="008C148B">
        <w:rPr>
          <w:lang w:val="en-GB"/>
        </w:rPr>
        <w:t>small-scale enquiries</w:t>
      </w:r>
      <w:r w:rsidR="004435A3" w:rsidRPr="008C148B">
        <w:rPr>
          <w:lang w:val="en-GB"/>
        </w:rPr>
        <w:t xml:space="preserve"> are common</w:t>
      </w:r>
      <w:r w:rsidR="007017D5" w:rsidRPr="008C148B">
        <w:rPr>
          <w:lang w:val="en-GB"/>
        </w:rPr>
        <w:t xml:space="preserve"> within coursework</w:t>
      </w:r>
      <w:r w:rsidR="004435A3" w:rsidRPr="008C148B">
        <w:rPr>
          <w:lang w:val="en-GB"/>
        </w:rPr>
        <w:t>.</w:t>
      </w:r>
      <w:r w:rsidR="003D2509" w:rsidRPr="008C148B">
        <w:rPr>
          <w:lang w:val="en-GB"/>
        </w:rPr>
        <w:t xml:space="preserve">  In addition, teaching staff felt that the ‘plan-do-review’ process promoted a structured approach to learning; one described how this had impacted on one learner and how that experience was filtering more widely through the school</w:t>
      </w:r>
      <w:r w:rsidR="00E46BAF" w:rsidRPr="008C148B">
        <w:rPr>
          <w:lang w:val="en-GB"/>
        </w:rPr>
        <w:t>:</w:t>
      </w:r>
    </w:p>
    <w:p w:rsidR="003D2509" w:rsidRPr="008C148B" w:rsidRDefault="003D2509" w:rsidP="003E095A">
      <w:pPr>
        <w:spacing w:line="276" w:lineRule="auto"/>
        <w:rPr>
          <w:lang w:val="en-GB"/>
        </w:rPr>
      </w:pPr>
    </w:p>
    <w:p w:rsidR="003D2509" w:rsidRPr="008C148B" w:rsidRDefault="003D2509" w:rsidP="003E095A">
      <w:pPr>
        <w:spacing w:line="276" w:lineRule="auto"/>
        <w:ind w:left="720"/>
        <w:rPr>
          <w:lang w:val="en-GB"/>
        </w:rPr>
      </w:pPr>
      <w:r w:rsidRPr="008C148B">
        <w:rPr>
          <w:lang w:val="en-GB"/>
        </w:rPr>
        <w:t xml:space="preserve">‘Because </w:t>
      </w:r>
      <w:r w:rsidR="00F628FE">
        <w:rPr>
          <w:lang w:val="en-GB"/>
        </w:rPr>
        <w:t>[a student]</w:t>
      </w:r>
      <w:r w:rsidRPr="008C148B">
        <w:rPr>
          <w:lang w:val="en-GB"/>
        </w:rPr>
        <w:t xml:space="preserve"> worked through the PDRs [plan-do-review worksheets], it gave her structure to her studies.  Now she did actually use that elsewhere, it gave her a sort of technique.   And what I am trying to do, with some encouragement from the senior staff, is to try to introduce this lower down the school.  [CoPE] has got a very effective framework for planning… if it was standardised across the school, I think that would be a very effective thing to do.’</w:t>
      </w:r>
    </w:p>
    <w:p w:rsidR="00FB79A4" w:rsidRPr="008C148B" w:rsidRDefault="00FB79A4" w:rsidP="003E095A">
      <w:pPr>
        <w:spacing w:line="276" w:lineRule="auto"/>
        <w:rPr>
          <w:lang w:val="en-GB"/>
        </w:rPr>
      </w:pPr>
    </w:p>
    <w:p w:rsidR="00FB79A4" w:rsidRPr="008C148B" w:rsidRDefault="00FA5A28" w:rsidP="003E095A">
      <w:pPr>
        <w:spacing w:line="276" w:lineRule="auto"/>
        <w:rPr>
          <w:lang w:val="en-GB"/>
        </w:rPr>
      </w:pPr>
      <w:r w:rsidRPr="008C148B">
        <w:rPr>
          <w:lang w:val="en-GB"/>
        </w:rPr>
        <w:t xml:space="preserve">Secondly, CoPE appears to provide a site for </w:t>
      </w:r>
      <w:r w:rsidR="0040253F" w:rsidRPr="008C148B">
        <w:rPr>
          <w:i/>
          <w:lang w:val="en-GB"/>
        </w:rPr>
        <w:t>enjoyment in learning and experiences of achieving success</w:t>
      </w:r>
      <w:r w:rsidRPr="008C148B">
        <w:rPr>
          <w:lang w:val="en-GB"/>
        </w:rPr>
        <w:t xml:space="preserve">, </w:t>
      </w:r>
      <w:r w:rsidR="008B4011" w:rsidRPr="008C148B">
        <w:rPr>
          <w:lang w:val="en-GB"/>
        </w:rPr>
        <w:t xml:space="preserve">both of </w:t>
      </w:r>
      <w:r w:rsidRPr="008C148B">
        <w:rPr>
          <w:lang w:val="en-GB"/>
        </w:rPr>
        <w:t xml:space="preserve">which students are likely to find motivating.  </w:t>
      </w:r>
      <w:r w:rsidR="004435A3" w:rsidRPr="008C148B">
        <w:rPr>
          <w:lang w:val="en-GB"/>
        </w:rPr>
        <w:t xml:space="preserve">The modular nature of the CoPE curriculum gives learners the opportunity to </w:t>
      </w:r>
      <w:r w:rsidR="009639CA" w:rsidRPr="008C148B">
        <w:rPr>
          <w:lang w:val="en-GB"/>
        </w:rPr>
        <w:t xml:space="preserve">achieve a series of milestones on the way to completion of the full qualification.  These small successes appear to provide a </w:t>
      </w:r>
      <w:r w:rsidR="008B3C96" w:rsidRPr="008C148B">
        <w:rPr>
          <w:lang w:val="en-GB"/>
        </w:rPr>
        <w:lastRenderedPageBreak/>
        <w:t>confidence</w:t>
      </w:r>
      <w:r w:rsidR="009639CA" w:rsidRPr="008C148B">
        <w:rPr>
          <w:lang w:val="en-GB"/>
        </w:rPr>
        <w:t xml:space="preserve"> </w:t>
      </w:r>
      <w:r w:rsidR="008B3C96" w:rsidRPr="008C148B">
        <w:rPr>
          <w:lang w:val="en-GB"/>
        </w:rPr>
        <w:t xml:space="preserve">and self-esteem </w:t>
      </w:r>
      <w:r w:rsidR="009639CA" w:rsidRPr="008C148B">
        <w:rPr>
          <w:lang w:val="en-GB"/>
        </w:rPr>
        <w:t>boost</w:t>
      </w:r>
      <w:r w:rsidR="004F7F93" w:rsidRPr="008C148B">
        <w:rPr>
          <w:lang w:val="en-GB"/>
        </w:rPr>
        <w:t>,</w:t>
      </w:r>
      <w:r w:rsidR="009639CA" w:rsidRPr="008C148B">
        <w:rPr>
          <w:lang w:val="en-GB"/>
        </w:rPr>
        <w:t xml:space="preserve"> especially those for who</w:t>
      </w:r>
      <w:r w:rsidR="004F7F93" w:rsidRPr="008C148B">
        <w:rPr>
          <w:lang w:val="en-GB"/>
        </w:rPr>
        <w:t xml:space="preserve">m educational success is rare; in one school visited, the learners were very keen to show </w:t>
      </w:r>
      <w:r w:rsidR="007017D5" w:rsidRPr="008C148B">
        <w:rPr>
          <w:lang w:val="en-GB"/>
        </w:rPr>
        <w:t xml:space="preserve">off </w:t>
      </w:r>
      <w:r w:rsidR="004F7F93" w:rsidRPr="008C148B">
        <w:rPr>
          <w:lang w:val="en-GB"/>
        </w:rPr>
        <w:t xml:space="preserve">their CoPE portfolios to the research team.  </w:t>
      </w:r>
      <w:r w:rsidR="009639CA" w:rsidRPr="008C148B">
        <w:rPr>
          <w:lang w:val="en-GB"/>
        </w:rPr>
        <w:t>It wa</w:t>
      </w:r>
      <w:r w:rsidR="008B4011" w:rsidRPr="008C148B">
        <w:rPr>
          <w:lang w:val="en-GB"/>
        </w:rPr>
        <w:t>s</w:t>
      </w:r>
      <w:r w:rsidR="009639CA" w:rsidRPr="008C148B">
        <w:rPr>
          <w:lang w:val="en-GB"/>
        </w:rPr>
        <w:t xml:space="preserve"> clear that there was significant enjoyment associated with CoPE for nearly all of the </w:t>
      </w:r>
      <w:r w:rsidR="008C6D0E" w:rsidRPr="008C148B">
        <w:rPr>
          <w:lang w:val="en-GB"/>
        </w:rPr>
        <w:t>interviewed learners</w:t>
      </w:r>
      <w:r w:rsidR="00D76590">
        <w:rPr>
          <w:lang w:val="en-GB"/>
        </w:rPr>
        <w:t xml:space="preserve">; Griffiths (2012) asserts that this form of personal revelation is vital to effective education.  The social context of learning was also important, as </w:t>
      </w:r>
      <w:r w:rsidR="004F7F93" w:rsidRPr="008C148B">
        <w:rPr>
          <w:lang w:val="en-GB"/>
        </w:rPr>
        <w:t xml:space="preserve">one </w:t>
      </w:r>
      <w:r w:rsidR="00D76590">
        <w:rPr>
          <w:lang w:val="en-GB"/>
        </w:rPr>
        <w:t xml:space="preserve">learner </w:t>
      </w:r>
      <w:r w:rsidR="004F7F93" w:rsidRPr="008C148B">
        <w:rPr>
          <w:lang w:val="en-GB"/>
        </w:rPr>
        <w:t>explained</w:t>
      </w:r>
      <w:r w:rsidR="00523322" w:rsidRPr="008C148B">
        <w:rPr>
          <w:lang w:val="en-GB"/>
        </w:rPr>
        <w:t>:</w:t>
      </w:r>
    </w:p>
    <w:p w:rsidR="004F7F93" w:rsidRPr="008C148B" w:rsidRDefault="004F7F93" w:rsidP="003E095A">
      <w:pPr>
        <w:spacing w:line="276" w:lineRule="auto"/>
        <w:rPr>
          <w:lang w:val="en-GB"/>
        </w:rPr>
      </w:pPr>
    </w:p>
    <w:p w:rsidR="004F7F93" w:rsidRPr="008C148B" w:rsidRDefault="004F7F93" w:rsidP="003E095A">
      <w:pPr>
        <w:spacing w:line="276" w:lineRule="auto"/>
        <w:ind w:left="720"/>
        <w:rPr>
          <w:lang w:val="en-GB"/>
        </w:rPr>
      </w:pPr>
      <w:r w:rsidRPr="008C148B">
        <w:rPr>
          <w:lang w:val="en-GB"/>
        </w:rPr>
        <w:t>‘I need a lot of motivation to do things and so sometimes it’s better if I’ve got someone to work with me rather than working on my own so the group work is better for me.’</w:t>
      </w:r>
    </w:p>
    <w:p w:rsidR="004F7F93" w:rsidRPr="008C148B" w:rsidRDefault="004F7F93" w:rsidP="003E095A">
      <w:pPr>
        <w:spacing w:line="276" w:lineRule="auto"/>
        <w:ind w:left="720"/>
        <w:rPr>
          <w:lang w:val="en-GB"/>
        </w:rPr>
      </w:pPr>
    </w:p>
    <w:p w:rsidR="008C6D0E" w:rsidRPr="008C148B" w:rsidRDefault="004F7F93" w:rsidP="003E095A">
      <w:pPr>
        <w:tabs>
          <w:tab w:val="left" w:pos="2961"/>
        </w:tabs>
        <w:spacing w:line="276" w:lineRule="auto"/>
        <w:rPr>
          <w:lang w:val="en-GB"/>
        </w:rPr>
      </w:pPr>
      <w:r w:rsidRPr="008C148B">
        <w:rPr>
          <w:lang w:val="en-GB"/>
        </w:rPr>
        <w:t>Others pointed to the active involvement of teachers in their day-to-day learning as engaging them in ways that did not happ</w:t>
      </w:r>
      <w:r w:rsidR="008C6D0E" w:rsidRPr="008C148B">
        <w:rPr>
          <w:lang w:val="en-GB"/>
        </w:rPr>
        <w:t xml:space="preserve">en in other classrooms.  </w:t>
      </w:r>
      <w:r w:rsidR="007017D5" w:rsidRPr="008C148B">
        <w:rPr>
          <w:lang w:val="en-GB"/>
        </w:rPr>
        <w:t>T</w:t>
      </w:r>
      <w:r w:rsidR="008C6D0E" w:rsidRPr="008C148B">
        <w:rPr>
          <w:lang w:val="en-GB"/>
        </w:rPr>
        <w:t xml:space="preserve">he portfolio of evidence </w:t>
      </w:r>
      <w:r w:rsidR="008B4011" w:rsidRPr="008C148B">
        <w:rPr>
          <w:lang w:val="en-GB"/>
        </w:rPr>
        <w:t xml:space="preserve">provides </w:t>
      </w:r>
      <w:r w:rsidR="008C6D0E" w:rsidRPr="008C148B">
        <w:rPr>
          <w:lang w:val="en-GB"/>
        </w:rPr>
        <w:t>continuous formative assessment, with an ongoing and personalised feedback loop between learner and teacher, where the former produces work through ‘challenges’ that they reflect upon and about which the latter provides their own commentary.  This focused approach is clearly time-intensive and it is worth noting that CoPE in three of the four schools visited was delivered with a significantly lower staff/student ratio than GCSE classes.</w:t>
      </w:r>
      <w:r w:rsidR="00F551E8">
        <w:rPr>
          <w:lang w:val="en-GB"/>
        </w:rPr>
        <w:t xml:space="preserve">  </w:t>
      </w:r>
    </w:p>
    <w:p w:rsidR="00FB79A4" w:rsidRPr="008C148B" w:rsidRDefault="00FB79A4" w:rsidP="003E095A">
      <w:pPr>
        <w:spacing w:line="276" w:lineRule="auto"/>
        <w:rPr>
          <w:lang w:val="en-GB"/>
        </w:rPr>
      </w:pPr>
    </w:p>
    <w:p w:rsidR="00A33B22" w:rsidRPr="008C148B" w:rsidRDefault="00FA5A28" w:rsidP="003E095A">
      <w:pPr>
        <w:spacing w:line="276" w:lineRule="auto"/>
        <w:rPr>
          <w:lang w:val="en-GB"/>
        </w:rPr>
      </w:pPr>
      <w:r w:rsidRPr="008C148B">
        <w:rPr>
          <w:lang w:val="en-GB"/>
        </w:rPr>
        <w:t xml:space="preserve">Thirdly, CoPE appears to </w:t>
      </w:r>
      <w:r w:rsidR="0040253F" w:rsidRPr="008C148B">
        <w:rPr>
          <w:i/>
          <w:lang w:val="en-GB"/>
        </w:rPr>
        <w:t>draw upon a wider base of knowledge and activity</w:t>
      </w:r>
      <w:r w:rsidRPr="008C148B">
        <w:rPr>
          <w:lang w:val="en-GB"/>
        </w:rPr>
        <w:t xml:space="preserve"> than much of the subject-based learning linked to GCSEs.  This connection with (and recognition of) things that </w:t>
      </w:r>
      <w:r w:rsidR="001870BE" w:rsidRPr="008C148B">
        <w:rPr>
          <w:lang w:val="en-GB"/>
        </w:rPr>
        <w:t>learners</w:t>
      </w:r>
      <w:r w:rsidRPr="008C148B">
        <w:rPr>
          <w:lang w:val="en-GB"/>
        </w:rPr>
        <w:t xml:space="preserve"> already know and can do</w:t>
      </w:r>
      <w:r w:rsidR="00B84563" w:rsidRPr="008C148B">
        <w:rPr>
          <w:lang w:val="en-GB"/>
        </w:rPr>
        <w:t>, or want to know more about,</w:t>
      </w:r>
      <w:r w:rsidRPr="008C148B">
        <w:rPr>
          <w:lang w:val="en-GB"/>
        </w:rPr>
        <w:t xml:space="preserve"> is likely</w:t>
      </w:r>
      <w:r w:rsidR="0077134D" w:rsidRPr="008C148B">
        <w:rPr>
          <w:lang w:val="en-GB"/>
        </w:rPr>
        <w:t xml:space="preserve"> to generate experiences of</w:t>
      </w:r>
      <w:r w:rsidRPr="008C148B">
        <w:rPr>
          <w:lang w:val="en-GB"/>
        </w:rPr>
        <w:t xml:space="preserve"> a link between school and lives outside school that is otherwise much harder to appreciate</w:t>
      </w:r>
      <w:r w:rsidR="008C6D0E" w:rsidRPr="008C148B">
        <w:rPr>
          <w:lang w:val="en-GB"/>
        </w:rPr>
        <w:t xml:space="preserve">; </w:t>
      </w:r>
      <w:r w:rsidR="00DC7599" w:rsidRPr="008C148B">
        <w:rPr>
          <w:lang w:val="en-GB"/>
        </w:rPr>
        <w:t xml:space="preserve">one learner explained, ‘I want to come to CoPE </w:t>
      </w:r>
      <w:r w:rsidR="008B4011" w:rsidRPr="008C148B">
        <w:rPr>
          <w:lang w:val="en-GB"/>
        </w:rPr>
        <w:t xml:space="preserve">[sessions] </w:t>
      </w:r>
      <w:r w:rsidR="00DC7599" w:rsidRPr="008C148B">
        <w:rPr>
          <w:lang w:val="en-GB"/>
        </w:rPr>
        <w:t>because I am learning about things that I want to know about’.</w:t>
      </w:r>
      <w:r w:rsidR="008B3C96" w:rsidRPr="008C148B">
        <w:rPr>
          <w:lang w:val="en-GB"/>
        </w:rPr>
        <w:t xml:space="preserve"> </w:t>
      </w:r>
      <w:r w:rsidR="00DC7599" w:rsidRPr="008C148B">
        <w:rPr>
          <w:lang w:val="en-GB"/>
        </w:rPr>
        <w:t xml:space="preserve"> </w:t>
      </w:r>
      <w:r w:rsidR="008B3C96" w:rsidRPr="008C148B">
        <w:rPr>
          <w:lang w:val="en-GB"/>
        </w:rPr>
        <w:t>CoPE was therefore associated for some with an increased relevance of school to ‘real life’, with a concomitant increase in engagement in school in the round</w:t>
      </w:r>
      <w:r w:rsidR="00A57FF4" w:rsidRPr="008C148B">
        <w:rPr>
          <w:lang w:val="en-GB"/>
        </w:rPr>
        <w:t xml:space="preserve">, with a linkage to work experience placements being strongly valued by some learners.  CoPE was </w:t>
      </w:r>
      <w:r w:rsidR="00DC7599" w:rsidRPr="008C148B">
        <w:rPr>
          <w:lang w:val="en-GB"/>
        </w:rPr>
        <w:t xml:space="preserve">even </w:t>
      </w:r>
      <w:r w:rsidR="00A57FF4" w:rsidRPr="008C148B">
        <w:rPr>
          <w:lang w:val="en-GB"/>
        </w:rPr>
        <w:t xml:space="preserve">reported as </w:t>
      </w:r>
      <w:r w:rsidR="00DC7599" w:rsidRPr="008C148B">
        <w:rPr>
          <w:lang w:val="en-GB"/>
        </w:rPr>
        <w:t>having a role in reducing absenteeism</w:t>
      </w:r>
      <w:r w:rsidR="00673438" w:rsidRPr="008C148B">
        <w:rPr>
          <w:lang w:val="en-GB"/>
        </w:rPr>
        <w:t>:</w:t>
      </w:r>
    </w:p>
    <w:p w:rsidR="00A57FF4" w:rsidRPr="008C148B" w:rsidRDefault="00A57FF4" w:rsidP="003E095A">
      <w:pPr>
        <w:spacing w:line="276" w:lineRule="auto"/>
        <w:rPr>
          <w:lang w:val="en-GB"/>
        </w:rPr>
      </w:pPr>
    </w:p>
    <w:p w:rsidR="00A57FF4" w:rsidRPr="008C148B" w:rsidRDefault="00A57FF4" w:rsidP="003E095A">
      <w:pPr>
        <w:spacing w:line="276" w:lineRule="auto"/>
        <w:ind w:left="720"/>
        <w:rPr>
          <w:lang w:val="en-GB"/>
        </w:rPr>
      </w:pPr>
      <w:r w:rsidRPr="008C148B">
        <w:rPr>
          <w:lang w:val="en-GB"/>
        </w:rPr>
        <w:t>‘We have some students that are truanting PE</w:t>
      </w:r>
      <w:r w:rsidR="00F65622" w:rsidRPr="008C148B">
        <w:rPr>
          <w:lang w:val="en-GB"/>
        </w:rPr>
        <w:t xml:space="preserve"> [physical education]</w:t>
      </w:r>
      <w:r w:rsidRPr="008C148B">
        <w:rPr>
          <w:lang w:val="en-GB"/>
        </w:rPr>
        <w:t xml:space="preserve"> and that means that they are likely to be missing lessons either side, so we have got them doing CoPE because it means they turn up and are then in school and don’t miss the other lessons either.’</w:t>
      </w:r>
    </w:p>
    <w:p w:rsidR="00167C7B" w:rsidRDefault="00167C7B" w:rsidP="003E095A">
      <w:pPr>
        <w:spacing w:line="276" w:lineRule="auto"/>
        <w:rPr>
          <w:lang w:val="en-GB"/>
        </w:rPr>
      </w:pPr>
    </w:p>
    <w:p w:rsidR="00D73909" w:rsidRPr="008C148B" w:rsidRDefault="00D73909" w:rsidP="003E095A">
      <w:pPr>
        <w:spacing w:line="276" w:lineRule="auto"/>
        <w:rPr>
          <w:lang w:val="en-GB"/>
        </w:rPr>
      </w:pPr>
      <w:r>
        <w:rPr>
          <w:lang w:val="en-GB"/>
        </w:rPr>
        <w:t xml:space="preserve">We saw and heard about many other examples of </w:t>
      </w:r>
      <w:r w:rsidR="0097334D">
        <w:rPr>
          <w:lang w:val="en-GB"/>
        </w:rPr>
        <w:t xml:space="preserve">learners engaged in projects which called upon interests they had developed beyond school, or which represented a fresh approach to matters located within the school.  A good example of the latter </w:t>
      </w:r>
      <w:r w:rsidR="00801EF3">
        <w:rPr>
          <w:lang w:val="en-GB"/>
        </w:rPr>
        <w:t xml:space="preserve">in our field-notes </w:t>
      </w:r>
      <w:r w:rsidR="0097334D">
        <w:rPr>
          <w:lang w:val="en-GB"/>
        </w:rPr>
        <w:t>was where a small group of students</w:t>
      </w:r>
      <w:r w:rsidR="00801EF3">
        <w:rPr>
          <w:lang w:val="en-GB"/>
        </w:rPr>
        <w:t xml:space="preserve"> had</w:t>
      </w:r>
      <w:bookmarkStart w:id="0" w:name="_GoBack"/>
      <w:bookmarkEnd w:id="0"/>
      <w:r w:rsidR="0097334D">
        <w:rPr>
          <w:lang w:val="en-GB"/>
        </w:rPr>
        <w:t xml:space="preserve"> ‘project managed’ aspects of an </w:t>
      </w:r>
      <w:proofErr w:type="spellStart"/>
      <w:r w:rsidR="0097334D">
        <w:rPr>
          <w:lang w:val="en-GB"/>
        </w:rPr>
        <w:t>Ofsted</w:t>
      </w:r>
      <w:proofErr w:type="spellEnd"/>
      <w:r w:rsidR="0097334D">
        <w:rPr>
          <w:lang w:val="en-GB"/>
        </w:rPr>
        <w:t xml:space="preserve"> visit, including </w:t>
      </w:r>
      <w:r w:rsidR="003F3B64">
        <w:rPr>
          <w:lang w:val="en-GB"/>
        </w:rPr>
        <w:t>the</w:t>
      </w:r>
      <w:r w:rsidR="0097334D">
        <w:rPr>
          <w:lang w:val="en-GB"/>
        </w:rPr>
        <w:t xml:space="preserve"> catering.</w:t>
      </w:r>
    </w:p>
    <w:p w:rsidR="008B3C96" w:rsidRDefault="008B3C96" w:rsidP="003E095A">
      <w:pPr>
        <w:spacing w:line="276" w:lineRule="auto"/>
        <w:rPr>
          <w:lang w:val="en-GB"/>
        </w:rPr>
      </w:pPr>
    </w:p>
    <w:p w:rsidR="00D76590" w:rsidRPr="008C148B" w:rsidRDefault="00D76590" w:rsidP="003E095A">
      <w:pPr>
        <w:spacing w:line="276" w:lineRule="auto"/>
        <w:rPr>
          <w:lang w:val="en-GB"/>
        </w:rPr>
      </w:pPr>
    </w:p>
    <w:p w:rsidR="00D0654E" w:rsidRPr="008C148B" w:rsidRDefault="00F67BD9" w:rsidP="003E095A">
      <w:pPr>
        <w:spacing w:line="276" w:lineRule="auto"/>
        <w:rPr>
          <w:b/>
          <w:lang w:val="en-GB"/>
        </w:rPr>
      </w:pPr>
      <w:r>
        <w:rPr>
          <w:b/>
          <w:lang w:val="en-GB"/>
        </w:rPr>
        <w:t>6</w:t>
      </w:r>
      <w:r w:rsidR="008C4D8E">
        <w:rPr>
          <w:b/>
          <w:lang w:val="en-GB"/>
        </w:rPr>
        <w:t xml:space="preserve">. </w:t>
      </w:r>
      <w:r w:rsidR="00D0654E" w:rsidRPr="008C148B">
        <w:rPr>
          <w:b/>
          <w:lang w:val="en-GB"/>
        </w:rPr>
        <w:t>Discussion</w:t>
      </w:r>
    </w:p>
    <w:p w:rsidR="00D0654E" w:rsidRPr="008C148B" w:rsidRDefault="00D0654E" w:rsidP="003E095A">
      <w:pPr>
        <w:spacing w:line="276" w:lineRule="auto"/>
        <w:rPr>
          <w:lang w:val="en-GB"/>
        </w:rPr>
      </w:pPr>
    </w:p>
    <w:p w:rsidR="00FC3578" w:rsidRPr="008C148B" w:rsidRDefault="00FC3578" w:rsidP="003E095A">
      <w:pPr>
        <w:spacing w:line="276" w:lineRule="auto"/>
        <w:rPr>
          <w:lang w:val="en-GB"/>
        </w:rPr>
      </w:pPr>
      <w:r w:rsidRPr="008C148B">
        <w:rPr>
          <w:lang w:val="en-GB"/>
        </w:rPr>
        <w:t xml:space="preserve">To summarise, </w:t>
      </w:r>
      <w:r w:rsidR="008B4011" w:rsidRPr="008C148B">
        <w:rPr>
          <w:lang w:val="en-GB"/>
        </w:rPr>
        <w:t xml:space="preserve">our </w:t>
      </w:r>
      <w:r w:rsidRPr="008C148B">
        <w:rPr>
          <w:lang w:val="en-GB"/>
        </w:rPr>
        <w:t xml:space="preserve">quantitative </w:t>
      </w:r>
      <w:r w:rsidR="008B4011" w:rsidRPr="008C148B">
        <w:rPr>
          <w:lang w:val="en-GB"/>
        </w:rPr>
        <w:t xml:space="preserve">analysis </w:t>
      </w:r>
      <w:r w:rsidRPr="008C148B">
        <w:rPr>
          <w:lang w:val="en-GB"/>
        </w:rPr>
        <w:t>strongly suggest</w:t>
      </w:r>
      <w:r w:rsidR="00F628FE">
        <w:rPr>
          <w:lang w:val="en-GB"/>
        </w:rPr>
        <w:t>s</w:t>
      </w:r>
      <w:r w:rsidRPr="008C148B">
        <w:rPr>
          <w:lang w:val="en-GB"/>
        </w:rPr>
        <w:t xml:space="preserve"> that, once a wide range of other variables is taken into account, undertaking CoPE has a significant relationship with outcomes in GCSEs and that this relationship is stronger among</w:t>
      </w:r>
      <w:r w:rsidR="008C6D0E" w:rsidRPr="008C148B">
        <w:rPr>
          <w:lang w:val="en-GB"/>
        </w:rPr>
        <w:t>st</w:t>
      </w:r>
      <w:r w:rsidRPr="008C148B">
        <w:rPr>
          <w:lang w:val="en-GB"/>
        </w:rPr>
        <w:t xml:space="preserve"> groups with the greatest educational disadvantage.  These findings were found to be consistent with the </w:t>
      </w:r>
      <w:r w:rsidR="00106760" w:rsidRPr="008C148B">
        <w:rPr>
          <w:lang w:val="en-GB"/>
        </w:rPr>
        <w:t xml:space="preserve">experiences </w:t>
      </w:r>
      <w:r w:rsidRPr="008C148B">
        <w:rPr>
          <w:lang w:val="en-GB"/>
        </w:rPr>
        <w:t xml:space="preserve">of teachers and </w:t>
      </w:r>
      <w:r w:rsidR="001870BE" w:rsidRPr="008C148B">
        <w:rPr>
          <w:lang w:val="en-GB"/>
        </w:rPr>
        <w:t>learners</w:t>
      </w:r>
      <w:r w:rsidRPr="008C148B">
        <w:rPr>
          <w:lang w:val="en-GB"/>
        </w:rPr>
        <w:t xml:space="preserve">, </w:t>
      </w:r>
      <w:r w:rsidR="00106760" w:rsidRPr="008C148B">
        <w:rPr>
          <w:lang w:val="en-GB"/>
        </w:rPr>
        <w:t xml:space="preserve">and taken together, the data </w:t>
      </w:r>
      <w:r w:rsidRPr="008C148B">
        <w:rPr>
          <w:lang w:val="en-GB"/>
        </w:rPr>
        <w:t>suggest</w:t>
      </w:r>
      <w:r w:rsidR="0097334D">
        <w:rPr>
          <w:lang w:val="en-GB"/>
        </w:rPr>
        <w:t xml:space="preserve"> </w:t>
      </w:r>
      <w:r w:rsidRPr="008C148B">
        <w:rPr>
          <w:lang w:val="en-GB"/>
        </w:rPr>
        <w:t xml:space="preserve">plausible mechanisms by which CoPE might exert a </w:t>
      </w:r>
      <w:r w:rsidR="00106760" w:rsidRPr="008C148B">
        <w:rPr>
          <w:lang w:val="en-GB"/>
        </w:rPr>
        <w:t xml:space="preserve">positive </w:t>
      </w:r>
      <w:r w:rsidRPr="008C148B">
        <w:rPr>
          <w:lang w:val="en-GB"/>
        </w:rPr>
        <w:t>ca</w:t>
      </w:r>
      <w:r w:rsidR="00106760" w:rsidRPr="008C148B">
        <w:rPr>
          <w:lang w:val="en-GB"/>
        </w:rPr>
        <w:t>u</w:t>
      </w:r>
      <w:r w:rsidRPr="008C148B">
        <w:rPr>
          <w:lang w:val="en-GB"/>
        </w:rPr>
        <w:t>sal influence on attainment</w:t>
      </w:r>
      <w:r w:rsidR="00AE22AB" w:rsidRPr="008C148B">
        <w:rPr>
          <w:lang w:val="en-GB"/>
        </w:rPr>
        <w:t xml:space="preserve"> in traditional </w:t>
      </w:r>
      <w:r w:rsidR="00F628FE">
        <w:rPr>
          <w:lang w:val="en-GB"/>
        </w:rPr>
        <w:t xml:space="preserve">GCSE </w:t>
      </w:r>
      <w:r w:rsidR="00AE22AB" w:rsidRPr="008C148B">
        <w:rPr>
          <w:lang w:val="en-GB"/>
        </w:rPr>
        <w:t>subjects</w:t>
      </w:r>
      <w:r w:rsidRPr="008C148B">
        <w:rPr>
          <w:lang w:val="en-GB"/>
        </w:rPr>
        <w:t>.</w:t>
      </w:r>
    </w:p>
    <w:p w:rsidR="00FC3578" w:rsidRPr="008C148B" w:rsidRDefault="00FC3578" w:rsidP="003E095A">
      <w:pPr>
        <w:spacing w:line="276" w:lineRule="auto"/>
        <w:rPr>
          <w:lang w:val="en-GB"/>
        </w:rPr>
      </w:pPr>
    </w:p>
    <w:p w:rsidR="00FC3578" w:rsidRPr="008C148B" w:rsidRDefault="00FC3578" w:rsidP="003E095A">
      <w:pPr>
        <w:spacing w:line="276" w:lineRule="auto"/>
        <w:rPr>
          <w:lang w:val="en-GB"/>
        </w:rPr>
      </w:pPr>
      <w:r w:rsidRPr="008C148B">
        <w:rPr>
          <w:lang w:val="en-GB"/>
        </w:rPr>
        <w:t>This relationship is strongly mediated by the context in which CoPE is delivered, being positive in ‘wide</w:t>
      </w:r>
      <w:r w:rsidR="00CE72FA" w:rsidRPr="008C148B">
        <w:rPr>
          <w:lang w:val="en-GB"/>
        </w:rPr>
        <w:t xml:space="preserve">’ </w:t>
      </w:r>
      <w:r w:rsidRPr="008C148B">
        <w:rPr>
          <w:lang w:val="en-GB"/>
        </w:rPr>
        <w:t>schools, but seemingly negative in ‘thin</w:t>
      </w:r>
      <w:r w:rsidR="00CE72FA" w:rsidRPr="008C148B">
        <w:rPr>
          <w:lang w:val="en-GB"/>
        </w:rPr>
        <w:t xml:space="preserve">’ </w:t>
      </w:r>
      <w:r w:rsidRPr="008C148B">
        <w:rPr>
          <w:lang w:val="en-GB"/>
        </w:rPr>
        <w:t>schools.</w:t>
      </w:r>
      <w:r w:rsidR="004B5BDD" w:rsidRPr="008C148B">
        <w:rPr>
          <w:lang w:val="en-GB"/>
        </w:rPr>
        <w:t xml:space="preserve">  It is important to briefly consider this apparent paradox.  </w:t>
      </w:r>
      <w:r w:rsidRPr="008C148B">
        <w:rPr>
          <w:lang w:val="en-GB"/>
        </w:rPr>
        <w:t xml:space="preserve">In ‘thin’ schools, the cohort undertaking CoPE tend to be those learners who </w:t>
      </w:r>
      <w:r w:rsidR="008C6D0E" w:rsidRPr="008C148B">
        <w:rPr>
          <w:lang w:val="en-GB"/>
        </w:rPr>
        <w:t>had</w:t>
      </w:r>
      <w:r w:rsidRPr="008C148B">
        <w:rPr>
          <w:lang w:val="en-GB"/>
        </w:rPr>
        <w:t xml:space="preserve"> suffered educational setbacks</w:t>
      </w:r>
      <w:r w:rsidR="008C6D0E" w:rsidRPr="008C148B">
        <w:rPr>
          <w:lang w:val="en-GB"/>
        </w:rPr>
        <w:t>, either due to external events or</w:t>
      </w:r>
      <w:r w:rsidRPr="008C148B">
        <w:rPr>
          <w:lang w:val="en-GB"/>
        </w:rPr>
        <w:t xml:space="preserve"> behavioural issues.  They </w:t>
      </w:r>
      <w:r w:rsidR="008C6D0E" w:rsidRPr="008C148B">
        <w:rPr>
          <w:lang w:val="en-GB"/>
        </w:rPr>
        <w:t>were</w:t>
      </w:r>
      <w:r w:rsidRPr="008C148B">
        <w:rPr>
          <w:lang w:val="en-GB"/>
        </w:rPr>
        <w:t xml:space="preserve"> selected by the school </w:t>
      </w:r>
      <w:r w:rsidR="008C6D0E" w:rsidRPr="008C148B">
        <w:rPr>
          <w:lang w:val="en-GB"/>
        </w:rPr>
        <w:t>as being</w:t>
      </w:r>
      <w:r w:rsidRPr="008C148B">
        <w:rPr>
          <w:lang w:val="en-GB"/>
        </w:rPr>
        <w:t xml:space="preserve"> likely to benefit from the learner-centred, challenge-led and portfolio-building approach of CoPE.  They </w:t>
      </w:r>
      <w:r w:rsidR="008C6D0E" w:rsidRPr="008C148B">
        <w:rPr>
          <w:lang w:val="en-GB"/>
        </w:rPr>
        <w:t>were</w:t>
      </w:r>
      <w:r w:rsidRPr="008C148B">
        <w:rPr>
          <w:lang w:val="en-GB"/>
        </w:rPr>
        <w:t xml:space="preserve"> generally expected not to be in a position to achieve their potential at KS4.  For this group, CoPE was part of a strategy of educational (re)engagement designed to bolster attendance, confidence and/or a culture of achievement.  However, this input was not generally sufficient to propel these learners on to the highest grades, even if their KS3 attainment suggested they were capable of them.  In other words, CoPE may have been able to mitigate some of the educational disadvantage and disruption for this group, but not </w:t>
      </w:r>
      <w:r w:rsidR="0097334D">
        <w:rPr>
          <w:lang w:val="en-GB"/>
        </w:rPr>
        <w:t>completely overcome it</w:t>
      </w:r>
      <w:r w:rsidRPr="008C148B">
        <w:rPr>
          <w:lang w:val="en-GB"/>
        </w:rPr>
        <w:t xml:space="preserve">.  Qualitative data supported this hypothesis, with teachers and </w:t>
      </w:r>
      <w:r w:rsidR="001870BE" w:rsidRPr="008C148B">
        <w:rPr>
          <w:lang w:val="en-GB"/>
        </w:rPr>
        <w:t>learners</w:t>
      </w:r>
      <w:r w:rsidRPr="008C148B">
        <w:rPr>
          <w:lang w:val="en-GB"/>
        </w:rPr>
        <w:t xml:space="preserve"> reporting improvements, but not sufficient to compensate for their situational disadvantages.</w:t>
      </w:r>
    </w:p>
    <w:p w:rsidR="00FC3578" w:rsidRPr="008C148B" w:rsidRDefault="00FC3578" w:rsidP="003E095A">
      <w:pPr>
        <w:spacing w:line="276" w:lineRule="auto"/>
        <w:rPr>
          <w:lang w:val="en-GB"/>
        </w:rPr>
      </w:pPr>
    </w:p>
    <w:p w:rsidR="00FC3578" w:rsidRPr="008C148B" w:rsidRDefault="00FC3578" w:rsidP="003E095A">
      <w:pPr>
        <w:spacing w:line="276" w:lineRule="auto"/>
        <w:rPr>
          <w:lang w:val="en-GB"/>
        </w:rPr>
      </w:pPr>
      <w:r w:rsidRPr="008C148B">
        <w:rPr>
          <w:lang w:val="en-GB"/>
        </w:rPr>
        <w:t>While this type of learner was also present within the CoPE cohort in the ‘wide</w:t>
      </w:r>
      <w:r w:rsidR="00CE72FA" w:rsidRPr="008C148B">
        <w:rPr>
          <w:lang w:val="en-GB"/>
        </w:rPr>
        <w:t xml:space="preserve">’ </w:t>
      </w:r>
      <w:r w:rsidRPr="008C148B">
        <w:rPr>
          <w:lang w:val="en-GB"/>
        </w:rPr>
        <w:t>schools, they were generally outnumbered by other learners with little or no particular disadvantage relative to their KS3 attainment.  In these schools, CoPE was seen as part of a mainstream educational offer, alongside GCSEs and</w:t>
      </w:r>
      <w:r w:rsidR="00D80088" w:rsidRPr="008C148B">
        <w:rPr>
          <w:lang w:val="en-GB"/>
        </w:rPr>
        <w:t>/or</w:t>
      </w:r>
      <w:r w:rsidRPr="008C148B">
        <w:rPr>
          <w:lang w:val="en-GB"/>
        </w:rPr>
        <w:t xml:space="preserve"> vocational qualifications.  </w:t>
      </w:r>
      <w:r w:rsidR="009969BB" w:rsidRPr="008C148B">
        <w:rPr>
          <w:lang w:val="en-GB"/>
        </w:rPr>
        <w:t>It was for this reason that ‘wide provision’ schools were chosen for the pseudo-experimental study; it was this group that provided the most realistic representation of CoPE</w:t>
      </w:r>
      <w:r w:rsidR="00106760" w:rsidRPr="008C148B">
        <w:rPr>
          <w:lang w:val="en-GB"/>
        </w:rPr>
        <w:t xml:space="preserve"> as provision </w:t>
      </w:r>
      <w:r w:rsidR="00106760" w:rsidRPr="008C148B">
        <w:rPr>
          <w:i/>
          <w:lang w:val="en-GB"/>
        </w:rPr>
        <w:t xml:space="preserve">alongside </w:t>
      </w:r>
      <w:r w:rsidR="00106760" w:rsidRPr="008C148B">
        <w:rPr>
          <w:lang w:val="en-GB"/>
        </w:rPr>
        <w:t>GCSEs.</w:t>
      </w:r>
    </w:p>
    <w:p w:rsidR="009969BB" w:rsidRPr="008C148B" w:rsidRDefault="009969BB" w:rsidP="003E095A">
      <w:pPr>
        <w:spacing w:line="276" w:lineRule="auto"/>
        <w:rPr>
          <w:lang w:val="en-GB"/>
        </w:rPr>
      </w:pPr>
    </w:p>
    <w:p w:rsidR="00FC3578" w:rsidRPr="008C148B" w:rsidRDefault="001D0B7B" w:rsidP="003E095A">
      <w:pPr>
        <w:spacing w:line="276" w:lineRule="auto"/>
        <w:rPr>
          <w:lang w:val="en-GB"/>
        </w:rPr>
      </w:pPr>
      <w:r w:rsidRPr="008C148B">
        <w:rPr>
          <w:lang w:val="en-GB"/>
        </w:rPr>
        <w:t>Furthermore</w:t>
      </w:r>
      <w:r w:rsidR="001A7455" w:rsidRPr="008C148B">
        <w:rPr>
          <w:lang w:val="en-GB"/>
        </w:rPr>
        <w:t>, i</w:t>
      </w:r>
      <w:r w:rsidR="00FC3578" w:rsidRPr="008C148B">
        <w:rPr>
          <w:lang w:val="en-GB"/>
        </w:rPr>
        <w:t xml:space="preserve">f </w:t>
      </w:r>
      <w:r w:rsidRPr="008C148B">
        <w:rPr>
          <w:lang w:val="en-GB"/>
        </w:rPr>
        <w:t>the</w:t>
      </w:r>
      <w:r w:rsidR="00FC3578" w:rsidRPr="008C148B">
        <w:rPr>
          <w:lang w:val="en-GB"/>
        </w:rPr>
        <w:t xml:space="preserve"> </w:t>
      </w:r>
      <w:r w:rsidRPr="008C148B">
        <w:rPr>
          <w:lang w:val="en-GB"/>
        </w:rPr>
        <w:t>regression models</w:t>
      </w:r>
      <w:r w:rsidR="0097334D">
        <w:rPr>
          <w:lang w:val="en-GB"/>
        </w:rPr>
        <w:t xml:space="preserve"> are examined </w:t>
      </w:r>
      <w:r w:rsidRPr="008C148B">
        <w:rPr>
          <w:lang w:val="en-GB"/>
        </w:rPr>
        <w:t>with respect to</w:t>
      </w:r>
      <w:r w:rsidR="00FC3578" w:rsidRPr="008C148B">
        <w:rPr>
          <w:lang w:val="en-GB"/>
        </w:rPr>
        <w:t xml:space="preserve"> individuals </w:t>
      </w:r>
      <w:r w:rsidR="00311A4F" w:rsidRPr="008C148B">
        <w:rPr>
          <w:lang w:val="en-GB"/>
        </w:rPr>
        <w:t>who did not take</w:t>
      </w:r>
      <w:r w:rsidR="00FC3578" w:rsidRPr="008C148B">
        <w:rPr>
          <w:lang w:val="en-GB"/>
        </w:rPr>
        <w:t xml:space="preserve"> CoPE, we find that there is no</w:t>
      </w:r>
      <w:r w:rsidR="004112E1" w:rsidRPr="008C148B">
        <w:rPr>
          <w:lang w:val="en-GB"/>
        </w:rPr>
        <w:t xml:space="preserve"> </w:t>
      </w:r>
      <w:r w:rsidR="00FC3578" w:rsidRPr="008C148B">
        <w:rPr>
          <w:lang w:val="en-GB"/>
        </w:rPr>
        <w:t xml:space="preserve">significant difference between the three categories of school.  In other words, </w:t>
      </w:r>
      <w:r w:rsidR="00B40D51" w:rsidRPr="008C148B">
        <w:rPr>
          <w:lang w:val="en-GB"/>
        </w:rPr>
        <w:t xml:space="preserve">if they are not themselves taking CoPE, </w:t>
      </w:r>
      <w:r w:rsidR="00FC3578" w:rsidRPr="008C148B">
        <w:rPr>
          <w:lang w:val="en-GB"/>
        </w:rPr>
        <w:t xml:space="preserve">similar </w:t>
      </w:r>
      <w:r w:rsidR="001870BE" w:rsidRPr="008C148B">
        <w:rPr>
          <w:lang w:val="en-GB"/>
        </w:rPr>
        <w:t>learners</w:t>
      </w:r>
      <w:r w:rsidR="00FC3578" w:rsidRPr="008C148B">
        <w:rPr>
          <w:lang w:val="en-GB"/>
        </w:rPr>
        <w:t xml:space="preserve"> achieve similar results regardless of whether the school </w:t>
      </w:r>
      <w:r w:rsidR="001A7455" w:rsidRPr="008C148B">
        <w:rPr>
          <w:lang w:val="en-GB"/>
        </w:rPr>
        <w:t>offers CoPE or not</w:t>
      </w:r>
      <w:r w:rsidR="00FC3578" w:rsidRPr="008C148B">
        <w:rPr>
          <w:lang w:val="en-GB"/>
        </w:rPr>
        <w:t xml:space="preserve">.  This suggests that it is not </w:t>
      </w:r>
      <w:r w:rsidR="0097334D">
        <w:rPr>
          <w:lang w:val="en-GB"/>
        </w:rPr>
        <w:t>some</w:t>
      </w:r>
      <w:r w:rsidR="001A7455" w:rsidRPr="008C148B">
        <w:rPr>
          <w:lang w:val="en-GB"/>
        </w:rPr>
        <w:t xml:space="preserve"> unknown</w:t>
      </w:r>
      <w:r w:rsidR="00FC3578" w:rsidRPr="008C148B">
        <w:rPr>
          <w:lang w:val="en-GB"/>
        </w:rPr>
        <w:t xml:space="preserve"> </w:t>
      </w:r>
      <w:r w:rsidR="001A7455" w:rsidRPr="008C148B">
        <w:rPr>
          <w:lang w:val="en-GB"/>
        </w:rPr>
        <w:t xml:space="preserve">feature of the </w:t>
      </w:r>
      <w:r w:rsidR="00FC3578" w:rsidRPr="008C148B">
        <w:rPr>
          <w:lang w:val="en-GB"/>
        </w:rPr>
        <w:t xml:space="preserve">school that is responsible for the different attainment patterns in </w:t>
      </w:r>
      <w:r w:rsidRPr="008C148B">
        <w:rPr>
          <w:lang w:val="en-GB"/>
        </w:rPr>
        <w:t xml:space="preserve">the ‘thin’ and ‘wide’ schools. </w:t>
      </w:r>
      <w:r w:rsidR="00690A89" w:rsidRPr="008C148B">
        <w:rPr>
          <w:lang w:val="en-GB"/>
        </w:rPr>
        <w:t xml:space="preserve"> </w:t>
      </w:r>
      <w:r w:rsidR="00311A4F" w:rsidRPr="008C148B">
        <w:rPr>
          <w:lang w:val="en-GB"/>
        </w:rPr>
        <w:t xml:space="preserve">We therefore argue that the estimated effect sizes for </w:t>
      </w:r>
      <w:r w:rsidR="001870BE" w:rsidRPr="008C148B">
        <w:rPr>
          <w:lang w:val="en-GB"/>
        </w:rPr>
        <w:t>learners</w:t>
      </w:r>
      <w:r w:rsidR="00311A4F" w:rsidRPr="008C148B">
        <w:rPr>
          <w:lang w:val="en-GB"/>
        </w:rPr>
        <w:t xml:space="preserve"> taking CoPE in ‘wide’ schools are a realistic appraisal of the impact of CoPE, amounting to a 11 percent increase in the likelihood of achieving a good pass </w:t>
      </w:r>
      <w:r w:rsidR="00F628FE">
        <w:rPr>
          <w:lang w:val="en-GB"/>
        </w:rPr>
        <w:t>in</w:t>
      </w:r>
      <w:r w:rsidR="00311A4F" w:rsidRPr="008C148B">
        <w:rPr>
          <w:lang w:val="en-GB"/>
        </w:rPr>
        <w:t xml:space="preserve"> English and an 19 percent increase for the five </w:t>
      </w:r>
      <w:r w:rsidR="00673438" w:rsidRPr="008C148B">
        <w:rPr>
          <w:lang w:val="en-GB"/>
        </w:rPr>
        <w:t xml:space="preserve">good </w:t>
      </w:r>
      <w:r w:rsidRPr="008C148B">
        <w:rPr>
          <w:lang w:val="en-GB"/>
        </w:rPr>
        <w:t xml:space="preserve">GCSE passes </w:t>
      </w:r>
      <w:r w:rsidR="00673438" w:rsidRPr="008C148B">
        <w:rPr>
          <w:lang w:val="en-GB"/>
        </w:rPr>
        <w:t>measure</w:t>
      </w:r>
      <w:r w:rsidR="00311A4F" w:rsidRPr="008C148B">
        <w:rPr>
          <w:lang w:val="en-GB"/>
        </w:rPr>
        <w:t>.</w:t>
      </w:r>
    </w:p>
    <w:p w:rsidR="00FC3578" w:rsidRPr="008C148B" w:rsidRDefault="00FC3578" w:rsidP="003E095A">
      <w:pPr>
        <w:spacing w:line="276" w:lineRule="auto"/>
        <w:rPr>
          <w:lang w:val="en-GB"/>
        </w:rPr>
      </w:pPr>
    </w:p>
    <w:p w:rsidR="000A5C9F" w:rsidRPr="008C148B" w:rsidRDefault="007E7761" w:rsidP="003E095A">
      <w:pPr>
        <w:spacing w:line="276" w:lineRule="auto"/>
        <w:rPr>
          <w:lang w:val="en-GB"/>
        </w:rPr>
      </w:pPr>
      <w:r w:rsidRPr="008C148B">
        <w:rPr>
          <w:lang w:val="en-GB"/>
        </w:rPr>
        <w:lastRenderedPageBreak/>
        <w:t xml:space="preserve">One particular contribution of the pseudo-experimental </w:t>
      </w:r>
      <w:r w:rsidR="008F2E67" w:rsidRPr="008C148B">
        <w:rPr>
          <w:lang w:val="en-GB"/>
        </w:rPr>
        <w:t xml:space="preserve">part of the </w:t>
      </w:r>
      <w:r w:rsidRPr="008C148B">
        <w:rPr>
          <w:lang w:val="en-GB"/>
        </w:rPr>
        <w:t xml:space="preserve">study is the finding that the impact of CoPE </w:t>
      </w:r>
      <w:r w:rsidR="00B50622" w:rsidRPr="008C148B">
        <w:rPr>
          <w:lang w:val="en-GB"/>
        </w:rPr>
        <w:t xml:space="preserve">is greater for certain groups of learners.  </w:t>
      </w:r>
      <w:r w:rsidR="001D0B7B" w:rsidRPr="008C148B">
        <w:rPr>
          <w:lang w:val="en-GB"/>
        </w:rPr>
        <w:t>W</w:t>
      </w:r>
      <w:r w:rsidR="00B50622" w:rsidRPr="008C148B">
        <w:rPr>
          <w:lang w:val="en-GB"/>
        </w:rPr>
        <w:t xml:space="preserve">e note that these groups </w:t>
      </w:r>
      <w:r w:rsidR="00B9479D" w:rsidRPr="008C148B">
        <w:rPr>
          <w:lang w:val="en-GB"/>
        </w:rPr>
        <w:t xml:space="preserve">correspond well with </w:t>
      </w:r>
      <w:r w:rsidR="00B50622" w:rsidRPr="008C148B">
        <w:rPr>
          <w:lang w:val="en-GB"/>
        </w:rPr>
        <w:t xml:space="preserve">those </w:t>
      </w:r>
      <w:r w:rsidR="00B9479D" w:rsidRPr="008C148B">
        <w:rPr>
          <w:lang w:val="en-GB"/>
        </w:rPr>
        <w:t>that may feel most distant from the m</w:t>
      </w:r>
      <w:r w:rsidR="001D0B7B" w:rsidRPr="008C148B">
        <w:rPr>
          <w:lang w:val="en-GB"/>
        </w:rPr>
        <w:t xml:space="preserve">ainstream academic curriculum.  This </w:t>
      </w:r>
      <w:r w:rsidR="00B9479D" w:rsidRPr="008C148B">
        <w:rPr>
          <w:lang w:val="en-GB"/>
        </w:rPr>
        <w:t>includ</w:t>
      </w:r>
      <w:r w:rsidR="001D0B7B" w:rsidRPr="008C148B">
        <w:rPr>
          <w:lang w:val="en-GB"/>
        </w:rPr>
        <w:t>es</w:t>
      </w:r>
      <w:r w:rsidR="00B9479D" w:rsidRPr="008C148B">
        <w:rPr>
          <w:lang w:val="en-GB"/>
        </w:rPr>
        <w:t xml:space="preserve"> those in the lower ability range, those with English as an additional language and those with special educational needs, who may find their other classrooms to be places where they do not experience success and where they may struggle to participate fully in the learning activities.</w:t>
      </w:r>
      <w:r w:rsidR="000A5C9F" w:rsidRPr="008C148B">
        <w:rPr>
          <w:lang w:val="en-GB"/>
        </w:rPr>
        <w:t xml:space="preserve">  For these learners, the portfolio-led approach that provides structured opportunities to develop learning skills and confidence in their identities as learners </w:t>
      </w:r>
      <w:r w:rsidR="001D0B7B" w:rsidRPr="008C148B">
        <w:rPr>
          <w:lang w:val="en-GB"/>
        </w:rPr>
        <w:t>is</w:t>
      </w:r>
      <w:r w:rsidR="000A5C9F" w:rsidRPr="008C148B">
        <w:rPr>
          <w:lang w:val="en-GB"/>
        </w:rPr>
        <w:t xml:space="preserve"> likely to be </w:t>
      </w:r>
      <w:r w:rsidR="001D0B7B" w:rsidRPr="008C148B">
        <w:rPr>
          <w:lang w:val="en-GB"/>
        </w:rPr>
        <w:t>of particular importance</w:t>
      </w:r>
      <w:r w:rsidR="000A5C9F" w:rsidRPr="008C148B">
        <w:rPr>
          <w:lang w:val="en-GB"/>
        </w:rPr>
        <w:t xml:space="preserve">.  Similarly, the impact is greater for those </w:t>
      </w:r>
      <w:r w:rsidR="001870BE" w:rsidRPr="008C148B">
        <w:rPr>
          <w:lang w:val="en-GB"/>
        </w:rPr>
        <w:t>learners</w:t>
      </w:r>
      <w:r w:rsidR="000A5C9F" w:rsidRPr="008C148B">
        <w:rPr>
          <w:lang w:val="en-GB"/>
        </w:rPr>
        <w:t xml:space="preserve"> from minority ethnic communities and those receiving free school meals, where the negotiation of a culturally-responsive curriculum (Ladson-Billings</w:t>
      </w:r>
      <w:r w:rsidR="00776E14">
        <w:rPr>
          <w:lang w:val="en-GB"/>
        </w:rPr>
        <w:t>,</w:t>
      </w:r>
      <w:r w:rsidR="000A5C9F" w:rsidRPr="008C148B">
        <w:rPr>
          <w:lang w:val="en-GB"/>
        </w:rPr>
        <w:t xml:space="preserve"> 1995) </w:t>
      </w:r>
      <w:r w:rsidR="00776E14">
        <w:rPr>
          <w:lang w:val="en-GB"/>
        </w:rPr>
        <w:t xml:space="preserve">and a respectful pedagogy (Lupton &amp; </w:t>
      </w:r>
      <w:proofErr w:type="spellStart"/>
      <w:r w:rsidR="00776E14" w:rsidRPr="008C148B">
        <w:rPr>
          <w:lang w:val="en-GB"/>
        </w:rPr>
        <w:t>Hempel</w:t>
      </w:r>
      <w:proofErr w:type="spellEnd"/>
      <w:r w:rsidR="00776E14" w:rsidRPr="008C148B">
        <w:rPr>
          <w:lang w:val="en-GB"/>
        </w:rPr>
        <w:t>-Jorgensen</w:t>
      </w:r>
      <w:r w:rsidR="00776E14">
        <w:rPr>
          <w:lang w:val="en-GB"/>
        </w:rPr>
        <w:t>, 2012)</w:t>
      </w:r>
      <w:r w:rsidR="00776E14" w:rsidRPr="008C148B">
        <w:rPr>
          <w:lang w:val="en-GB"/>
        </w:rPr>
        <w:t xml:space="preserve"> </w:t>
      </w:r>
      <w:r w:rsidR="0097334D">
        <w:rPr>
          <w:lang w:val="en-GB"/>
        </w:rPr>
        <w:t>may have an especially important</w:t>
      </w:r>
      <w:r w:rsidR="000A5C9F" w:rsidRPr="008C148B">
        <w:rPr>
          <w:lang w:val="en-GB"/>
        </w:rPr>
        <w:t xml:space="preserve"> role to play</w:t>
      </w:r>
      <w:r w:rsidR="00EB31C5">
        <w:rPr>
          <w:lang w:val="en-GB"/>
        </w:rPr>
        <w:t xml:space="preserve">; </w:t>
      </w:r>
      <w:proofErr w:type="spellStart"/>
      <w:r w:rsidR="00EB31C5">
        <w:rPr>
          <w:lang w:val="en-GB"/>
        </w:rPr>
        <w:t>Whitty</w:t>
      </w:r>
      <w:proofErr w:type="spellEnd"/>
      <w:r w:rsidR="00EB31C5">
        <w:rPr>
          <w:lang w:val="en-GB"/>
        </w:rPr>
        <w:t xml:space="preserve"> (2010, p.40) asserts that ‘we [educators] have an obligation to explore ways of making connections between school and non-school knowledge’ as a step towards making schools more relevant for those most likely to feel excluded from them and as part of a balanced curriculum that continue</w:t>
      </w:r>
      <w:r w:rsidR="00462E48">
        <w:rPr>
          <w:lang w:val="en-GB"/>
        </w:rPr>
        <w:t>s</w:t>
      </w:r>
      <w:r w:rsidR="00EB31C5">
        <w:rPr>
          <w:lang w:val="en-GB"/>
        </w:rPr>
        <w:t xml:space="preserve"> to include ‘powerful knowledge’ (Young, 2008).</w:t>
      </w:r>
      <w:r w:rsidR="004112E1" w:rsidRPr="008C148B">
        <w:rPr>
          <w:lang w:val="en-GB"/>
        </w:rPr>
        <w:t xml:space="preserve"> </w:t>
      </w:r>
    </w:p>
    <w:p w:rsidR="00FC3578" w:rsidRPr="008C148B" w:rsidRDefault="00FC3578" w:rsidP="003E095A">
      <w:pPr>
        <w:spacing w:line="276" w:lineRule="auto"/>
        <w:rPr>
          <w:lang w:val="en-GB"/>
        </w:rPr>
      </w:pPr>
    </w:p>
    <w:p w:rsidR="000716BB" w:rsidRDefault="00EB31C5" w:rsidP="003E095A">
      <w:pPr>
        <w:spacing w:line="276" w:lineRule="auto"/>
        <w:rPr>
          <w:rFonts w:eastAsia="Times New Roman" w:cs="Times New Roman"/>
          <w:lang w:val="en-GB" w:eastAsia="en-GB"/>
        </w:rPr>
      </w:pPr>
      <w:r>
        <w:rPr>
          <w:lang w:val="en-GB"/>
        </w:rPr>
        <w:t xml:space="preserve">Furthermore, </w:t>
      </w:r>
      <w:proofErr w:type="spellStart"/>
      <w:r w:rsidR="00277920">
        <w:rPr>
          <w:lang w:val="en-GB"/>
        </w:rPr>
        <w:t>Whitty</w:t>
      </w:r>
      <w:proofErr w:type="spellEnd"/>
      <w:r w:rsidR="00277920">
        <w:rPr>
          <w:lang w:val="en-GB"/>
        </w:rPr>
        <w:t xml:space="preserve"> (2010) points to the tendency to dichotomise ‘knowledge’ and ‘skills’</w:t>
      </w:r>
      <w:r w:rsidR="00BA5D67">
        <w:rPr>
          <w:lang w:val="en-GB"/>
        </w:rPr>
        <w:t xml:space="preserve">, but also to examples in which educational aims are framed to incorporate both in a productive model.  </w:t>
      </w:r>
      <w:r w:rsidR="00507660">
        <w:rPr>
          <w:lang w:val="en-GB"/>
        </w:rPr>
        <w:t xml:space="preserve">Our evidence </w:t>
      </w:r>
      <w:r w:rsidR="006A6AC3" w:rsidRPr="008C148B">
        <w:rPr>
          <w:lang w:val="en-GB"/>
        </w:rPr>
        <w:t>suggest</w:t>
      </w:r>
      <w:r w:rsidR="00507660">
        <w:rPr>
          <w:lang w:val="en-GB"/>
        </w:rPr>
        <w:t>s</w:t>
      </w:r>
      <w:r w:rsidR="006A6AC3" w:rsidRPr="008C148B">
        <w:rPr>
          <w:lang w:val="en-GB"/>
        </w:rPr>
        <w:t xml:space="preserve"> that it is likely that</w:t>
      </w:r>
      <w:r w:rsidR="00507660">
        <w:rPr>
          <w:lang w:val="en-GB"/>
        </w:rPr>
        <w:t xml:space="preserve"> when it is provided </w:t>
      </w:r>
      <w:r w:rsidR="00BA5D67">
        <w:rPr>
          <w:lang w:val="en-GB"/>
        </w:rPr>
        <w:t xml:space="preserve">alongside GCSEs, </w:t>
      </w:r>
      <w:r w:rsidR="00E131C6" w:rsidRPr="008C148B">
        <w:rPr>
          <w:lang w:val="en-GB"/>
        </w:rPr>
        <w:t xml:space="preserve">CoPE is </w:t>
      </w:r>
      <w:r w:rsidR="004112E1" w:rsidRPr="008C148B">
        <w:rPr>
          <w:lang w:val="en-GB"/>
        </w:rPr>
        <w:t xml:space="preserve">able </w:t>
      </w:r>
      <w:r w:rsidR="00E131C6" w:rsidRPr="008C148B">
        <w:rPr>
          <w:lang w:val="en-GB"/>
        </w:rPr>
        <w:t xml:space="preserve">to provide </w:t>
      </w:r>
      <w:r w:rsidR="00B93526" w:rsidRPr="008C148B">
        <w:rPr>
          <w:lang w:val="en-GB"/>
        </w:rPr>
        <w:t xml:space="preserve">a </w:t>
      </w:r>
      <w:r w:rsidR="00E131C6" w:rsidRPr="008C148B">
        <w:rPr>
          <w:lang w:val="en-GB"/>
        </w:rPr>
        <w:t xml:space="preserve">curriculum space which </w:t>
      </w:r>
      <w:r w:rsidR="00B93526" w:rsidRPr="008C148B">
        <w:rPr>
          <w:lang w:val="en-GB"/>
        </w:rPr>
        <w:t>offers</w:t>
      </w:r>
      <w:r w:rsidR="00E131C6" w:rsidRPr="008C148B">
        <w:rPr>
          <w:lang w:val="en-GB"/>
        </w:rPr>
        <w:t xml:space="preserve"> learners </w:t>
      </w:r>
      <w:r w:rsidR="00B93526" w:rsidRPr="008C148B">
        <w:rPr>
          <w:lang w:val="en-GB"/>
        </w:rPr>
        <w:t>the</w:t>
      </w:r>
      <w:r w:rsidR="00E131C6" w:rsidRPr="008C148B">
        <w:rPr>
          <w:lang w:val="en-GB"/>
        </w:rPr>
        <w:t xml:space="preserve"> </w:t>
      </w:r>
      <w:r w:rsidR="00B93526" w:rsidRPr="008C148B">
        <w:rPr>
          <w:lang w:val="en-GB"/>
        </w:rPr>
        <w:t xml:space="preserve">scope to develop </w:t>
      </w:r>
      <w:r w:rsidR="004112E1" w:rsidRPr="008C148B">
        <w:rPr>
          <w:lang w:val="en-GB"/>
        </w:rPr>
        <w:t>a learning orientation</w:t>
      </w:r>
      <w:r w:rsidR="004D2B62" w:rsidRPr="008C148B">
        <w:rPr>
          <w:lang w:val="en-GB"/>
        </w:rPr>
        <w:t xml:space="preserve"> of the type described by Watkins (2010)</w:t>
      </w:r>
      <w:r w:rsidR="00AE22AB" w:rsidRPr="008C148B">
        <w:rPr>
          <w:lang w:val="en-GB"/>
        </w:rPr>
        <w:t xml:space="preserve"> and </w:t>
      </w:r>
      <w:proofErr w:type="spellStart"/>
      <w:r w:rsidR="00AE22AB" w:rsidRPr="008C148B">
        <w:rPr>
          <w:lang w:val="en-GB"/>
        </w:rPr>
        <w:t>Sahlberg</w:t>
      </w:r>
      <w:proofErr w:type="spellEnd"/>
      <w:r w:rsidR="00AE22AB" w:rsidRPr="008C148B">
        <w:rPr>
          <w:lang w:val="en-GB"/>
        </w:rPr>
        <w:t xml:space="preserve"> (2007)</w:t>
      </w:r>
      <w:r w:rsidR="00B93526" w:rsidRPr="008C148B">
        <w:rPr>
          <w:lang w:val="en-GB"/>
        </w:rPr>
        <w:t xml:space="preserve">.  While the supposition is that most learners acquire these skills through the mainstream curriculum, CoPE ‘front windows’ them, with </w:t>
      </w:r>
      <w:r w:rsidR="001870BE" w:rsidRPr="008C148B">
        <w:rPr>
          <w:lang w:val="en-GB"/>
        </w:rPr>
        <w:t>learners</w:t>
      </w:r>
      <w:r w:rsidR="00B93526" w:rsidRPr="008C148B">
        <w:rPr>
          <w:lang w:val="en-GB"/>
        </w:rPr>
        <w:t xml:space="preserve"> having to demonstrate competence through a portfolio compiled at a pace and with content that respects the individual.</w:t>
      </w:r>
      <w:r w:rsidR="008115D5" w:rsidRPr="008C148B">
        <w:rPr>
          <w:lang w:val="en-GB"/>
        </w:rPr>
        <w:t xml:space="preserve">  Indeed, t</w:t>
      </w:r>
      <w:r w:rsidR="00B93526" w:rsidRPr="008C148B">
        <w:rPr>
          <w:lang w:val="en-GB"/>
        </w:rPr>
        <w:t xml:space="preserve">he skills that </w:t>
      </w:r>
      <w:r w:rsidR="006A6AC3" w:rsidRPr="008C148B">
        <w:rPr>
          <w:lang w:val="en-GB"/>
        </w:rPr>
        <w:t xml:space="preserve">are made manifest in </w:t>
      </w:r>
      <w:r w:rsidR="00B93526" w:rsidRPr="008C148B">
        <w:rPr>
          <w:lang w:val="en-GB"/>
        </w:rPr>
        <w:t xml:space="preserve">CoPE closely </w:t>
      </w:r>
      <w:r w:rsidR="006A6AC3" w:rsidRPr="008C148B">
        <w:rPr>
          <w:lang w:val="en-GB"/>
        </w:rPr>
        <w:t xml:space="preserve">mirror </w:t>
      </w:r>
      <w:r w:rsidR="00B93526" w:rsidRPr="008C148B">
        <w:rPr>
          <w:lang w:val="en-GB"/>
        </w:rPr>
        <w:t xml:space="preserve">those that have been identified over the last two decades as </w:t>
      </w:r>
      <w:r w:rsidR="008115D5" w:rsidRPr="008C148B">
        <w:rPr>
          <w:lang w:val="en-GB"/>
        </w:rPr>
        <w:t>underpinning effective learning</w:t>
      </w:r>
      <w:r w:rsidR="003A2B87" w:rsidRPr="008C148B">
        <w:rPr>
          <w:lang w:val="en-GB"/>
        </w:rPr>
        <w:t>, including through to higher education and into graduate level employment</w:t>
      </w:r>
      <w:r w:rsidR="006F2A60" w:rsidRPr="008C148B">
        <w:rPr>
          <w:lang w:val="en-GB"/>
        </w:rPr>
        <w:t xml:space="preserve">, </w:t>
      </w:r>
      <w:r w:rsidR="004D2B62" w:rsidRPr="008C148B">
        <w:rPr>
          <w:lang w:val="en-GB"/>
        </w:rPr>
        <w:t xml:space="preserve">by </w:t>
      </w:r>
      <w:r w:rsidR="006F2A60" w:rsidRPr="008C148B">
        <w:rPr>
          <w:lang w:val="en-GB"/>
        </w:rPr>
        <w:t>creating ‘</w:t>
      </w:r>
      <w:r w:rsidR="006F2A60" w:rsidRPr="008C148B">
        <w:rPr>
          <w:rFonts w:eastAsia="Times New Roman" w:cs="Times New Roman"/>
          <w:lang w:val="en-GB" w:eastAsia="en-GB"/>
        </w:rPr>
        <w:t>independent enquirers, creative thinkers, reflective learners, team workers, self-managers and effective participants’ (QCA</w:t>
      </w:r>
      <w:r w:rsidR="004F5971" w:rsidRPr="008C148B">
        <w:rPr>
          <w:rFonts w:eastAsia="Times New Roman" w:cs="Times New Roman"/>
          <w:lang w:val="en-GB" w:eastAsia="en-GB"/>
        </w:rPr>
        <w:t>,</w:t>
      </w:r>
      <w:r w:rsidR="006F2A60" w:rsidRPr="008C148B">
        <w:rPr>
          <w:rFonts w:eastAsia="Times New Roman" w:cs="Times New Roman"/>
          <w:lang w:val="en-GB" w:eastAsia="en-GB"/>
        </w:rPr>
        <w:t xml:space="preserve"> 2007</w:t>
      </w:r>
      <w:r w:rsidR="00B40D51" w:rsidRPr="008C148B">
        <w:rPr>
          <w:rFonts w:eastAsia="Times New Roman" w:cs="Times New Roman"/>
          <w:lang w:val="en-GB" w:eastAsia="en-GB"/>
        </w:rPr>
        <w:t>, p</w:t>
      </w:r>
      <w:r w:rsidR="004F5971" w:rsidRPr="008C148B">
        <w:rPr>
          <w:rFonts w:eastAsia="Times New Roman" w:cs="Times New Roman"/>
          <w:lang w:val="en-GB" w:eastAsia="en-GB"/>
        </w:rPr>
        <w:t>.</w:t>
      </w:r>
      <w:r w:rsidR="00B40D51" w:rsidRPr="008C148B">
        <w:rPr>
          <w:rFonts w:eastAsia="Times New Roman" w:cs="Times New Roman"/>
          <w:lang w:val="en-GB" w:eastAsia="en-GB"/>
        </w:rPr>
        <w:t>1</w:t>
      </w:r>
      <w:r w:rsidR="006F2A60" w:rsidRPr="008C148B">
        <w:rPr>
          <w:rFonts w:eastAsia="Times New Roman" w:cs="Times New Roman"/>
          <w:lang w:val="en-GB" w:eastAsia="en-GB"/>
        </w:rPr>
        <w:t>).</w:t>
      </w:r>
      <w:r w:rsidR="00AE22AB" w:rsidRPr="008C148B">
        <w:rPr>
          <w:rFonts w:eastAsia="Times New Roman" w:cs="Times New Roman"/>
          <w:lang w:val="en-GB" w:eastAsia="en-GB"/>
        </w:rPr>
        <w:t xml:space="preserve">  </w:t>
      </w:r>
    </w:p>
    <w:p w:rsidR="00FA1CA8" w:rsidRDefault="00FA1CA8" w:rsidP="003E095A">
      <w:pPr>
        <w:spacing w:line="276" w:lineRule="auto"/>
        <w:rPr>
          <w:rFonts w:eastAsia="Times New Roman" w:cs="Times New Roman"/>
          <w:lang w:val="en-GB" w:eastAsia="en-GB"/>
        </w:rPr>
      </w:pPr>
    </w:p>
    <w:p w:rsidR="000716BB" w:rsidRPr="008C148B" w:rsidRDefault="000716BB" w:rsidP="003E095A">
      <w:pPr>
        <w:spacing w:line="276" w:lineRule="auto"/>
        <w:rPr>
          <w:lang w:val="en-GB"/>
        </w:rPr>
      </w:pPr>
      <w:r w:rsidRPr="008C148B">
        <w:rPr>
          <w:lang w:val="en-GB"/>
        </w:rPr>
        <w:t xml:space="preserve">Of course, it </w:t>
      </w:r>
      <w:r w:rsidR="003F3B64">
        <w:rPr>
          <w:lang w:val="en-GB"/>
        </w:rPr>
        <w:t>could</w:t>
      </w:r>
      <w:r w:rsidRPr="008C148B">
        <w:rPr>
          <w:lang w:val="en-GB"/>
        </w:rPr>
        <w:t xml:space="preserve"> be argued that the provision of skills-based qualifications is not a prerequisite for developing </w:t>
      </w:r>
      <w:r w:rsidR="003F3B64">
        <w:rPr>
          <w:lang w:val="en-GB"/>
        </w:rPr>
        <w:t xml:space="preserve">such </w:t>
      </w:r>
      <w:r w:rsidRPr="008C148B">
        <w:rPr>
          <w:lang w:val="en-GB"/>
        </w:rPr>
        <w:t>skills during KS4.  There are clearly other possible models of delivery, including integration into GCSE curricula or through stand-alone sessions</w:t>
      </w:r>
      <w:r w:rsidR="00622A72">
        <w:rPr>
          <w:lang w:val="en-GB"/>
        </w:rPr>
        <w:t xml:space="preserve">, </w:t>
      </w:r>
      <w:r>
        <w:rPr>
          <w:lang w:val="en-GB"/>
        </w:rPr>
        <w:t>although schools have struggled to implement such initiatives in the past, due to resistance from subject-focused teaching staff  concerned about the squeezing of traditional content or perceived ‘initiative overload’ (Braun, Maguire &amp; Ball, 2010)</w:t>
      </w:r>
      <w:r w:rsidRPr="008C148B">
        <w:rPr>
          <w:lang w:val="en-GB"/>
        </w:rPr>
        <w:t xml:space="preserve">.  However, we argue that </w:t>
      </w:r>
      <w:r w:rsidR="00622A72">
        <w:rPr>
          <w:lang w:val="en-GB"/>
        </w:rPr>
        <w:t xml:space="preserve">the framework provided by CoPE – </w:t>
      </w:r>
      <w:r w:rsidRPr="008C148B">
        <w:rPr>
          <w:lang w:val="en-GB"/>
        </w:rPr>
        <w:t xml:space="preserve">with the ‘plan-do-review’ approach, </w:t>
      </w:r>
      <w:r>
        <w:rPr>
          <w:lang w:val="en-GB"/>
        </w:rPr>
        <w:t xml:space="preserve">dedicated curriculum space, </w:t>
      </w:r>
      <w:r w:rsidRPr="008C148B">
        <w:rPr>
          <w:lang w:val="en-GB"/>
        </w:rPr>
        <w:t>formative feedback and ut</w:t>
      </w:r>
      <w:r w:rsidR="00622A72">
        <w:rPr>
          <w:lang w:val="en-GB"/>
        </w:rPr>
        <w:t>ilisation of external interests –</w:t>
      </w:r>
      <w:r w:rsidRPr="008C148B">
        <w:rPr>
          <w:lang w:val="en-GB"/>
        </w:rPr>
        <w:t xml:space="preserve"> provides a rich enviro</w:t>
      </w:r>
      <w:r>
        <w:rPr>
          <w:lang w:val="en-GB"/>
        </w:rPr>
        <w:t>nment for this to occur.</w:t>
      </w:r>
      <w:r w:rsidR="00EB31C5">
        <w:rPr>
          <w:lang w:val="en-GB"/>
        </w:rPr>
        <w:t xml:space="preserve">  Indeed</w:t>
      </w:r>
      <w:r w:rsidR="00EB31C5" w:rsidRPr="008C148B">
        <w:rPr>
          <w:lang w:val="en-GB"/>
        </w:rPr>
        <w:t xml:space="preserve">, </w:t>
      </w:r>
      <w:r w:rsidR="00EB31C5">
        <w:rPr>
          <w:lang w:val="en-GB"/>
        </w:rPr>
        <w:t>our research finds</w:t>
      </w:r>
      <w:r w:rsidR="00EB31C5" w:rsidRPr="008C148B">
        <w:rPr>
          <w:lang w:val="en-GB"/>
        </w:rPr>
        <w:t xml:space="preserve"> a positive relationship between CoPE and GCSE outcomes even among higher ability learners.</w:t>
      </w:r>
    </w:p>
    <w:p w:rsidR="000716BB" w:rsidRPr="008C148B" w:rsidRDefault="000716BB" w:rsidP="003E095A">
      <w:pPr>
        <w:spacing w:line="276" w:lineRule="auto"/>
        <w:rPr>
          <w:rFonts w:eastAsia="Times New Roman" w:cs="Times New Roman"/>
          <w:lang w:val="en-GB" w:eastAsia="en-GB"/>
        </w:rPr>
      </w:pPr>
    </w:p>
    <w:p w:rsidR="003A2B87" w:rsidRPr="008C148B" w:rsidRDefault="006A6AC3" w:rsidP="003E095A">
      <w:pPr>
        <w:spacing w:line="276" w:lineRule="auto"/>
        <w:rPr>
          <w:rFonts w:eastAsia="Times New Roman" w:cs="Times New Roman"/>
          <w:lang w:val="en-GB" w:eastAsia="en-GB"/>
        </w:rPr>
      </w:pPr>
      <w:r w:rsidRPr="008C148B">
        <w:rPr>
          <w:lang w:val="en-GB"/>
        </w:rPr>
        <w:lastRenderedPageBreak/>
        <w:t>Whil</w:t>
      </w:r>
      <w:r w:rsidR="002505F1" w:rsidRPr="008C148B">
        <w:rPr>
          <w:lang w:val="en-GB"/>
        </w:rPr>
        <w:t xml:space="preserve">e </w:t>
      </w:r>
      <w:r w:rsidR="004A5F51">
        <w:rPr>
          <w:lang w:val="en-GB"/>
        </w:rPr>
        <w:t xml:space="preserve">the idea of </w:t>
      </w:r>
      <w:r w:rsidRPr="008C148B">
        <w:rPr>
          <w:lang w:val="en-GB"/>
        </w:rPr>
        <w:t>transfer of such sk</w:t>
      </w:r>
      <w:r w:rsidR="002505F1" w:rsidRPr="008C148B">
        <w:rPr>
          <w:lang w:val="en-GB"/>
        </w:rPr>
        <w:t>ills between different settings</w:t>
      </w:r>
      <w:r w:rsidR="004A5F51">
        <w:rPr>
          <w:lang w:val="en-GB"/>
        </w:rPr>
        <w:t xml:space="preserve"> can be challenged</w:t>
      </w:r>
      <w:r w:rsidR="00983829" w:rsidRPr="008C148B">
        <w:rPr>
          <w:lang w:val="en-GB"/>
        </w:rPr>
        <w:t xml:space="preserve"> </w:t>
      </w:r>
      <w:r w:rsidR="00E1126D" w:rsidRPr="008C148B">
        <w:rPr>
          <w:lang w:val="en-GB"/>
        </w:rPr>
        <w:t>(</w:t>
      </w:r>
      <w:r w:rsidR="00614093" w:rsidRPr="008C148B">
        <w:rPr>
          <w:lang w:val="en-GB"/>
        </w:rPr>
        <w:t xml:space="preserve">Hyland &amp; Johnson, 1998; </w:t>
      </w:r>
      <w:r w:rsidR="002D4D81" w:rsidRPr="008C148B">
        <w:rPr>
          <w:lang w:val="en-GB"/>
        </w:rPr>
        <w:t xml:space="preserve">Hager </w:t>
      </w:r>
      <w:r w:rsidR="00614093" w:rsidRPr="008C148B">
        <w:rPr>
          <w:lang w:val="en-GB"/>
        </w:rPr>
        <w:t>&amp;</w:t>
      </w:r>
      <w:r w:rsidR="002D4D81" w:rsidRPr="008C148B">
        <w:rPr>
          <w:lang w:val="en-GB"/>
        </w:rPr>
        <w:t xml:space="preserve"> </w:t>
      </w:r>
      <w:proofErr w:type="spellStart"/>
      <w:r w:rsidR="002D4D81" w:rsidRPr="008C148B">
        <w:rPr>
          <w:lang w:val="en-GB"/>
        </w:rPr>
        <w:t>Hodkinson</w:t>
      </w:r>
      <w:proofErr w:type="spellEnd"/>
      <w:r w:rsidR="00614093" w:rsidRPr="008C148B">
        <w:rPr>
          <w:lang w:val="en-GB"/>
        </w:rPr>
        <w:t>,</w:t>
      </w:r>
      <w:r w:rsidR="002D4D81" w:rsidRPr="008C148B">
        <w:rPr>
          <w:lang w:val="en-GB"/>
        </w:rPr>
        <w:t xml:space="preserve"> 2009</w:t>
      </w:r>
      <w:r w:rsidR="00E1126D" w:rsidRPr="008C148B">
        <w:rPr>
          <w:lang w:val="en-GB"/>
        </w:rPr>
        <w:t>)</w:t>
      </w:r>
      <w:r w:rsidR="00983829" w:rsidRPr="008C148B">
        <w:rPr>
          <w:lang w:val="en-GB"/>
        </w:rPr>
        <w:t xml:space="preserve">, </w:t>
      </w:r>
      <w:r w:rsidRPr="008C148B">
        <w:rPr>
          <w:lang w:val="en-GB"/>
        </w:rPr>
        <w:t xml:space="preserve">our analysis does </w:t>
      </w:r>
      <w:r w:rsidR="000A57CE" w:rsidRPr="008C148B">
        <w:rPr>
          <w:lang w:val="en-GB"/>
        </w:rPr>
        <w:t xml:space="preserve">provide a </w:t>
      </w:r>
      <w:r w:rsidR="00983829" w:rsidRPr="008C148B">
        <w:rPr>
          <w:lang w:val="en-GB"/>
        </w:rPr>
        <w:t>degree of empirical evidence of transferability</w:t>
      </w:r>
      <w:r w:rsidR="000A57CE" w:rsidRPr="008C148B">
        <w:rPr>
          <w:lang w:val="en-GB"/>
        </w:rPr>
        <w:t>,</w:t>
      </w:r>
      <w:r w:rsidR="002505F1" w:rsidRPr="008C148B">
        <w:rPr>
          <w:lang w:val="en-GB"/>
        </w:rPr>
        <w:t xml:space="preserve"> </w:t>
      </w:r>
      <w:r w:rsidR="000A57CE" w:rsidRPr="008C148B">
        <w:rPr>
          <w:lang w:val="en-GB"/>
        </w:rPr>
        <w:t>across contemporaneous elements of the KS4 curriculum, from CoPE to GCSEs.</w:t>
      </w:r>
      <w:r w:rsidR="00983829" w:rsidRPr="008C148B">
        <w:rPr>
          <w:lang w:val="en-GB"/>
        </w:rPr>
        <w:t xml:space="preserve"> </w:t>
      </w:r>
      <w:r w:rsidR="004A5F51">
        <w:rPr>
          <w:lang w:val="en-GB"/>
        </w:rPr>
        <w:t xml:space="preserve"> It may even suggest that some learners benefit from a ‘symbiosis’ between the two different approaches, along the lines suggested by Doyle (2012).  </w:t>
      </w:r>
      <w:r w:rsidR="00983829" w:rsidRPr="008C148B">
        <w:rPr>
          <w:lang w:val="en-GB"/>
        </w:rPr>
        <w:t xml:space="preserve">Indeed, if CoPE is successful in developing skills around writing, research and </w:t>
      </w:r>
      <w:r w:rsidR="00D506AC" w:rsidRPr="008C148B">
        <w:rPr>
          <w:lang w:val="en-GB"/>
        </w:rPr>
        <w:t>self-reflection</w:t>
      </w:r>
      <w:r w:rsidR="00983829" w:rsidRPr="008C148B">
        <w:rPr>
          <w:lang w:val="en-GB"/>
        </w:rPr>
        <w:t xml:space="preserve">, it is hard to see how this would not impact positively on learning and measured attainment in </w:t>
      </w:r>
      <w:r w:rsidR="004D2B62" w:rsidRPr="008C148B">
        <w:rPr>
          <w:lang w:val="en-GB"/>
        </w:rPr>
        <w:t xml:space="preserve">academic </w:t>
      </w:r>
      <w:r w:rsidR="00983829" w:rsidRPr="008C148B">
        <w:rPr>
          <w:lang w:val="en-GB"/>
        </w:rPr>
        <w:t>subject-based courses</w:t>
      </w:r>
      <w:r w:rsidR="000A57CE" w:rsidRPr="008C148B">
        <w:rPr>
          <w:lang w:val="en-GB"/>
        </w:rPr>
        <w:t xml:space="preserve"> that are pursued at the same time.</w:t>
      </w:r>
    </w:p>
    <w:p w:rsidR="00C94DBA" w:rsidRPr="008C148B" w:rsidRDefault="00C94DBA" w:rsidP="003E095A">
      <w:pPr>
        <w:spacing w:line="276" w:lineRule="auto"/>
        <w:rPr>
          <w:lang w:val="en-GB"/>
        </w:rPr>
      </w:pPr>
    </w:p>
    <w:p w:rsidR="003C1820" w:rsidRPr="008C148B" w:rsidRDefault="003A08CA" w:rsidP="003E095A">
      <w:pPr>
        <w:spacing w:line="276" w:lineRule="auto"/>
        <w:rPr>
          <w:lang w:val="en-GB"/>
        </w:rPr>
      </w:pPr>
      <w:r w:rsidRPr="008C148B">
        <w:rPr>
          <w:lang w:val="en-GB"/>
        </w:rPr>
        <w:t>It would appear, therefore, that prior to its downgrading, CoPE (and</w:t>
      </w:r>
      <w:r w:rsidR="00F94431" w:rsidRPr="008C148B">
        <w:rPr>
          <w:lang w:val="en-GB"/>
        </w:rPr>
        <w:t xml:space="preserve"> potentially </w:t>
      </w:r>
      <w:r w:rsidRPr="008C148B">
        <w:rPr>
          <w:lang w:val="en-GB"/>
        </w:rPr>
        <w:t xml:space="preserve">other skills-based qualifications) was </w:t>
      </w:r>
      <w:r w:rsidR="000A57CE" w:rsidRPr="008C148B">
        <w:rPr>
          <w:lang w:val="en-GB"/>
        </w:rPr>
        <w:t xml:space="preserve">very likely indeed to be </w:t>
      </w:r>
      <w:r w:rsidRPr="008C148B">
        <w:rPr>
          <w:lang w:val="en-GB"/>
        </w:rPr>
        <w:t xml:space="preserve">making two distinct contributions to GCSE results.  The first and obvious one is that it was offering learners an alternative means of achieving a </w:t>
      </w:r>
      <w:r w:rsidR="00C463A1">
        <w:rPr>
          <w:lang w:val="en-GB"/>
        </w:rPr>
        <w:t>‘</w:t>
      </w:r>
      <w:r w:rsidRPr="008C148B">
        <w:rPr>
          <w:lang w:val="en-GB"/>
        </w:rPr>
        <w:t>GCSE equivalent</w:t>
      </w:r>
      <w:r w:rsidR="00C463A1">
        <w:rPr>
          <w:lang w:val="en-GB"/>
        </w:rPr>
        <w:t>’</w:t>
      </w:r>
      <w:r w:rsidRPr="008C148B">
        <w:rPr>
          <w:lang w:val="en-GB"/>
        </w:rPr>
        <w:t xml:space="preserve"> pass, to both their benefit and that of the school.  However, secondly and more importantly, the skills and practices of CoPE </w:t>
      </w:r>
      <w:r w:rsidR="00C463A1">
        <w:rPr>
          <w:lang w:val="en-GB"/>
        </w:rPr>
        <w:t xml:space="preserve">seem likely to have been </w:t>
      </w:r>
      <w:r w:rsidR="002505F1" w:rsidRPr="008C148B">
        <w:rPr>
          <w:lang w:val="en-GB"/>
        </w:rPr>
        <w:t>transferring into</w:t>
      </w:r>
      <w:r w:rsidR="000A57CE" w:rsidRPr="008C148B">
        <w:rPr>
          <w:lang w:val="en-GB"/>
        </w:rPr>
        <w:t xml:space="preserve"> </w:t>
      </w:r>
      <w:r w:rsidR="00F94431" w:rsidRPr="008C148B">
        <w:rPr>
          <w:lang w:val="en-GB"/>
        </w:rPr>
        <w:t>academic (and potentially vocational) courses</w:t>
      </w:r>
      <w:r w:rsidR="00685324" w:rsidRPr="008C148B">
        <w:rPr>
          <w:lang w:val="en-GB"/>
        </w:rPr>
        <w:t xml:space="preserve"> and raising attainment therein, especially for disadvantaged learners.</w:t>
      </w:r>
    </w:p>
    <w:p w:rsidR="003C1820" w:rsidRPr="008C148B" w:rsidRDefault="003C1820" w:rsidP="003E095A">
      <w:pPr>
        <w:spacing w:line="276" w:lineRule="auto"/>
        <w:rPr>
          <w:lang w:val="en-GB"/>
        </w:rPr>
      </w:pPr>
    </w:p>
    <w:p w:rsidR="00624679" w:rsidRPr="008C148B" w:rsidRDefault="00624679" w:rsidP="003E095A">
      <w:pPr>
        <w:spacing w:line="276" w:lineRule="auto"/>
        <w:rPr>
          <w:b/>
          <w:lang w:val="en-GB"/>
        </w:rPr>
      </w:pPr>
    </w:p>
    <w:p w:rsidR="00C63F2F" w:rsidRPr="008C148B" w:rsidRDefault="00F67BD9" w:rsidP="003E095A">
      <w:pPr>
        <w:spacing w:line="276" w:lineRule="auto"/>
        <w:rPr>
          <w:b/>
          <w:lang w:val="en-GB"/>
        </w:rPr>
      </w:pPr>
      <w:r>
        <w:rPr>
          <w:b/>
          <w:lang w:val="en-GB"/>
        </w:rPr>
        <w:t>7</w:t>
      </w:r>
      <w:r w:rsidR="008C4D8E">
        <w:rPr>
          <w:b/>
          <w:lang w:val="en-GB"/>
        </w:rPr>
        <w:t xml:space="preserve">. </w:t>
      </w:r>
      <w:r w:rsidR="00C463A1">
        <w:rPr>
          <w:b/>
          <w:lang w:val="en-GB"/>
        </w:rPr>
        <w:t>Conclusions and i</w:t>
      </w:r>
      <w:r w:rsidR="00C63F2F" w:rsidRPr="008C148B">
        <w:rPr>
          <w:b/>
          <w:lang w:val="en-GB"/>
        </w:rPr>
        <w:t>mplications for policy</w:t>
      </w:r>
    </w:p>
    <w:p w:rsidR="00C63F2F" w:rsidRPr="008C148B" w:rsidRDefault="00C63F2F" w:rsidP="003E095A">
      <w:pPr>
        <w:spacing w:line="276" w:lineRule="auto"/>
        <w:rPr>
          <w:b/>
          <w:lang w:val="en-GB"/>
        </w:rPr>
      </w:pPr>
    </w:p>
    <w:p w:rsidR="00B20B12" w:rsidRPr="00B20B12" w:rsidRDefault="00C63F2F" w:rsidP="003E095A">
      <w:pPr>
        <w:spacing w:line="276" w:lineRule="auto"/>
        <w:rPr>
          <w:lang w:val="en-GB"/>
        </w:rPr>
      </w:pPr>
      <w:r w:rsidRPr="008C148B">
        <w:rPr>
          <w:lang w:val="en-GB"/>
        </w:rPr>
        <w:t xml:space="preserve">The research reported here attends directly to the </w:t>
      </w:r>
      <w:r w:rsidR="00D76590">
        <w:rPr>
          <w:lang w:val="en-GB"/>
        </w:rPr>
        <w:t>issues</w:t>
      </w:r>
      <w:r w:rsidRPr="008C148B">
        <w:rPr>
          <w:lang w:val="en-GB"/>
        </w:rPr>
        <w:t xml:space="preserve"> signalled by Wolf </w:t>
      </w:r>
      <w:r w:rsidR="00D76590">
        <w:rPr>
          <w:lang w:val="en-GB"/>
        </w:rPr>
        <w:t>(2011)</w:t>
      </w:r>
      <w:r w:rsidRPr="008C148B">
        <w:rPr>
          <w:lang w:val="en-GB"/>
        </w:rPr>
        <w:t xml:space="preserve">, in that it </w:t>
      </w:r>
      <w:r w:rsidR="00B20B12">
        <w:rPr>
          <w:lang w:val="en-GB"/>
        </w:rPr>
        <w:t xml:space="preserve">critically </w:t>
      </w:r>
      <w:r w:rsidRPr="008C148B">
        <w:rPr>
          <w:lang w:val="en-GB"/>
        </w:rPr>
        <w:t xml:space="preserve">examines the contribution </w:t>
      </w:r>
      <w:r w:rsidR="00E06FFA">
        <w:rPr>
          <w:lang w:val="en-GB"/>
        </w:rPr>
        <w:t xml:space="preserve">made by </w:t>
      </w:r>
      <w:r w:rsidR="00B20B12">
        <w:rPr>
          <w:lang w:val="en-GB"/>
        </w:rPr>
        <w:t xml:space="preserve">one particular </w:t>
      </w:r>
      <w:r w:rsidR="00E06FFA">
        <w:rPr>
          <w:lang w:val="en-GB"/>
        </w:rPr>
        <w:t xml:space="preserve">qualification </w:t>
      </w:r>
      <w:r w:rsidRPr="008C148B">
        <w:rPr>
          <w:lang w:val="en-GB"/>
        </w:rPr>
        <w:t xml:space="preserve">to </w:t>
      </w:r>
      <w:r w:rsidRPr="008C148B">
        <w:rPr>
          <w:iCs/>
          <w:lang w:val="en-GB"/>
        </w:rPr>
        <w:t>perfor</w:t>
      </w:r>
      <w:r w:rsidR="003C1820" w:rsidRPr="008C148B">
        <w:rPr>
          <w:iCs/>
          <w:lang w:val="en-GB"/>
        </w:rPr>
        <w:t>mance indicators at K</w:t>
      </w:r>
      <w:r w:rsidR="00524FBB" w:rsidRPr="008C148B">
        <w:rPr>
          <w:iCs/>
          <w:lang w:val="en-GB"/>
        </w:rPr>
        <w:t>S</w:t>
      </w:r>
      <w:r w:rsidR="003C1820" w:rsidRPr="008C148B">
        <w:rPr>
          <w:iCs/>
          <w:lang w:val="en-GB"/>
        </w:rPr>
        <w:t>4</w:t>
      </w:r>
      <w:r w:rsidRPr="008C148B">
        <w:rPr>
          <w:lang w:val="en-GB"/>
        </w:rPr>
        <w:t xml:space="preserve">. To our knowledge, </w:t>
      </w:r>
      <w:r w:rsidR="00D76590">
        <w:rPr>
          <w:lang w:val="en-GB"/>
        </w:rPr>
        <w:t>the role of skills-</w:t>
      </w:r>
      <w:r w:rsidR="00045249">
        <w:rPr>
          <w:lang w:val="en-GB"/>
        </w:rPr>
        <w:t xml:space="preserve">led </w:t>
      </w:r>
      <w:r w:rsidR="00D76590">
        <w:rPr>
          <w:lang w:val="en-GB"/>
        </w:rPr>
        <w:t xml:space="preserve">qualifications in promoting </w:t>
      </w:r>
      <w:r w:rsidR="00B20B12">
        <w:rPr>
          <w:lang w:val="en-GB"/>
        </w:rPr>
        <w:t xml:space="preserve">traditional forms of </w:t>
      </w:r>
      <w:r w:rsidR="00D76590">
        <w:rPr>
          <w:lang w:val="en-GB"/>
        </w:rPr>
        <w:t>attainment</w:t>
      </w:r>
      <w:r w:rsidRPr="008C148B">
        <w:rPr>
          <w:lang w:val="en-GB"/>
        </w:rPr>
        <w:t xml:space="preserve"> </w:t>
      </w:r>
      <w:r w:rsidR="00B20B12">
        <w:rPr>
          <w:lang w:val="en-GB"/>
        </w:rPr>
        <w:t>has</w:t>
      </w:r>
      <w:r w:rsidR="00D76590">
        <w:rPr>
          <w:lang w:val="en-GB"/>
        </w:rPr>
        <w:t xml:space="preserve"> not been examined before and w</w:t>
      </w:r>
      <w:r w:rsidRPr="008C148B">
        <w:rPr>
          <w:lang w:val="en-GB"/>
        </w:rPr>
        <w:t xml:space="preserve">e are not aware of any research evidence that would </w:t>
      </w:r>
      <w:r w:rsidRPr="00B20B12">
        <w:rPr>
          <w:lang w:val="en-GB"/>
        </w:rPr>
        <w:t xml:space="preserve">provide grounds for arguing that </w:t>
      </w:r>
      <w:r w:rsidR="00B20B12" w:rsidRPr="00B20B12">
        <w:rPr>
          <w:lang w:val="en-GB"/>
        </w:rPr>
        <w:t>such</w:t>
      </w:r>
      <w:r w:rsidR="00045249" w:rsidRPr="00B20B12">
        <w:rPr>
          <w:lang w:val="en-GB"/>
        </w:rPr>
        <w:t xml:space="preserve"> </w:t>
      </w:r>
      <w:r w:rsidR="00524FBB" w:rsidRPr="00B20B12">
        <w:rPr>
          <w:lang w:val="en-GB"/>
        </w:rPr>
        <w:t>qualification</w:t>
      </w:r>
      <w:r w:rsidR="00970AB6" w:rsidRPr="00B20B12">
        <w:rPr>
          <w:lang w:val="en-GB"/>
        </w:rPr>
        <w:t>s</w:t>
      </w:r>
      <w:r w:rsidRPr="00B20B12">
        <w:rPr>
          <w:lang w:val="en-GB"/>
        </w:rPr>
        <w:t xml:space="preserve"> do </w:t>
      </w:r>
      <w:r w:rsidRPr="00B20B12">
        <w:rPr>
          <w:i/>
          <w:iCs/>
          <w:lang w:val="en-GB"/>
        </w:rPr>
        <w:t xml:space="preserve">not </w:t>
      </w:r>
      <w:r w:rsidRPr="00B20B12">
        <w:rPr>
          <w:lang w:val="en-GB"/>
        </w:rPr>
        <w:t xml:space="preserve">contribute in a meaningful way to the </w:t>
      </w:r>
      <w:r w:rsidR="002505F1" w:rsidRPr="00B20B12">
        <w:rPr>
          <w:lang w:val="en-GB"/>
        </w:rPr>
        <w:t xml:space="preserve">general </w:t>
      </w:r>
      <w:r w:rsidRPr="00B20B12">
        <w:rPr>
          <w:lang w:val="en-GB"/>
        </w:rPr>
        <w:t>achievement of learners</w:t>
      </w:r>
      <w:r w:rsidR="005A14D2" w:rsidRPr="00B20B12">
        <w:rPr>
          <w:lang w:val="en-GB"/>
        </w:rPr>
        <w:t>.</w:t>
      </w:r>
      <w:r w:rsidR="00B20B12" w:rsidRPr="00B20B12">
        <w:rPr>
          <w:lang w:val="en-GB"/>
        </w:rPr>
        <w:t xml:space="preserve">  </w:t>
      </w:r>
      <w:r w:rsidR="00B20B12" w:rsidRPr="00B20B12">
        <w:t>We have examined this through the l</w:t>
      </w:r>
      <w:r w:rsidR="00B20B12">
        <w:t xml:space="preserve">ens of one such qualification which is both </w:t>
      </w:r>
      <w:r w:rsidR="00B20B12" w:rsidRPr="00B20B12">
        <w:t>well-established and well-regarded.  Clearly we are unable t</w:t>
      </w:r>
      <w:r w:rsidR="00B20B12">
        <w:t>o determine whether the</w:t>
      </w:r>
      <w:r w:rsidR="00B20B12" w:rsidRPr="00B20B12">
        <w:t xml:space="preserve"> </w:t>
      </w:r>
      <w:r w:rsidR="00B20B12">
        <w:t xml:space="preserve">reported </w:t>
      </w:r>
      <w:r w:rsidR="00B20B12" w:rsidRPr="00B20B12">
        <w:t xml:space="preserve">results are a feature of this particular qualification or of the wider family </w:t>
      </w:r>
      <w:r w:rsidR="00B20B12">
        <w:t>of</w:t>
      </w:r>
      <w:r w:rsidR="00B20B12" w:rsidRPr="00B20B12">
        <w:t xml:space="preserve"> </w:t>
      </w:r>
      <w:r w:rsidR="00B20B12">
        <w:t>skills-led qualifications.</w:t>
      </w:r>
    </w:p>
    <w:p w:rsidR="003C1820" w:rsidRPr="00B20B12" w:rsidRDefault="003C1820" w:rsidP="003E095A">
      <w:pPr>
        <w:spacing w:line="276" w:lineRule="auto"/>
        <w:rPr>
          <w:lang w:val="en-GB"/>
        </w:rPr>
      </w:pPr>
    </w:p>
    <w:p w:rsidR="00D91359" w:rsidRPr="008C148B" w:rsidRDefault="00C63F2F" w:rsidP="003E095A">
      <w:pPr>
        <w:spacing w:line="276" w:lineRule="auto"/>
        <w:rPr>
          <w:lang w:val="en-GB"/>
        </w:rPr>
      </w:pPr>
      <w:r w:rsidRPr="00B20B12">
        <w:rPr>
          <w:lang w:val="en-GB"/>
        </w:rPr>
        <w:t>The re</w:t>
      </w:r>
      <w:r w:rsidRPr="008C148B">
        <w:rPr>
          <w:lang w:val="en-GB"/>
        </w:rPr>
        <w:t xml:space="preserve">cent removal of </w:t>
      </w:r>
      <w:r w:rsidR="00D76590">
        <w:rPr>
          <w:lang w:val="en-GB"/>
        </w:rPr>
        <w:t>skills-</w:t>
      </w:r>
      <w:r w:rsidR="00045249">
        <w:rPr>
          <w:lang w:val="en-GB"/>
        </w:rPr>
        <w:t xml:space="preserve">led </w:t>
      </w:r>
      <w:r w:rsidR="00D76590">
        <w:rPr>
          <w:lang w:val="en-GB"/>
        </w:rPr>
        <w:t>qualifications</w:t>
      </w:r>
      <w:r w:rsidR="00D76590" w:rsidRPr="008C148B">
        <w:rPr>
          <w:lang w:val="en-GB"/>
        </w:rPr>
        <w:t xml:space="preserve"> </w:t>
      </w:r>
      <w:r w:rsidR="00045249">
        <w:rPr>
          <w:lang w:val="en-GB"/>
        </w:rPr>
        <w:t>from</w:t>
      </w:r>
      <w:r w:rsidRPr="008C148B">
        <w:rPr>
          <w:lang w:val="en-GB"/>
        </w:rPr>
        <w:t xml:space="preserve"> headline </w:t>
      </w:r>
      <w:r w:rsidR="00045249">
        <w:rPr>
          <w:lang w:val="en-GB"/>
        </w:rPr>
        <w:t xml:space="preserve">performance </w:t>
      </w:r>
      <w:r w:rsidRPr="008C148B">
        <w:rPr>
          <w:lang w:val="en-GB"/>
        </w:rPr>
        <w:t xml:space="preserve">measures is puzzling in this regard, and may be the product of a </w:t>
      </w:r>
      <w:r w:rsidR="00524FBB" w:rsidRPr="008C148B">
        <w:rPr>
          <w:lang w:val="en-GB"/>
        </w:rPr>
        <w:t>category error –</w:t>
      </w:r>
      <w:r w:rsidRPr="008C148B">
        <w:rPr>
          <w:lang w:val="en-GB"/>
        </w:rPr>
        <w:t xml:space="preserve"> a mistaken classification </w:t>
      </w:r>
      <w:r w:rsidR="00D76590">
        <w:rPr>
          <w:lang w:val="en-GB"/>
        </w:rPr>
        <w:t>as</w:t>
      </w:r>
      <w:r w:rsidRPr="008C148B">
        <w:rPr>
          <w:lang w:val="en-GB"/>
        </w:rPr>
        <w:t xml:space="preserve"> ‘vocational’ qualification</w:t>
      </w:r>
      <w:r w:rsidR="00D76590">
        <w:rPr>
          <w:lang w:val="en-GB"/>
        </w:rPr>
        <w:t>s</w:t>
      </w:r>
      <w:r w:rsidR="008C148B" w:rsidRPr="008C148B">
        <w:rPr>
          <w:lang w:val="en-GB"/>
        </w:rPr>
        <w:t xml:space="preserve"> </w:t>
      </w:r>
      <w:r w:rsidR="00BA6174">
        <w:rPr>
          <w:lang w:val="en-GB"/>
        </w:rPr>
        <w:t xml:space="preserve">and thus </w:t>
      </w:r>
      <w:r w:rsidR="008C148B" w:rsidRPr="008C148B">
        <w:rPr>
          <w:lang w:val="en-GB"/>
        </w:rPr>
        <w:t xml:space="preserve">within </w:t>
      </w:r>
      <w:r w:rsidR="00BA6174">
        <w:rPr>
          <w:lang w:val="en-GB"/>
        </w:rPr>
        <w:t xml:space="preserve">the purview of </w:t>
      </w:r>
      <w:r w:rsidR="008C148B" w:rsidRPr="008C148B">
        <w:rPr>
          <w:lang w:val="en-GB"/>
        </w:rPr>
        <w:t>the Wolf Review</w:t>
      </w:r>
      <w:r w:rsidR="00E06FFA">
        <w:rPr>
          <w:lang w:val="en-GB"/>
        </w:rPr>
        <w:t xml:space="preserve"> and equally subject to the policy decisions based upon it</w:t>
      </w:r>
      <w:r w:rsidRPr="008C148B">
        <w:rPr>
          <w:lang w:val="en-GB"/>
        </w:rPr>
        <w:t xml:space="preserve">. </w:t>
      </w:r>
      <w:r w:rsidR="00524FBB" w:rsidRPr="008C148B">
        <w:rPr>
          <w:lang w:val="en-GB"/>
        </w:rPr>
        <w:t xml:space="preserve"> </w:t>
      </w:r>
      <w:r w:rsidRPr="008C148B">
        <w:rPr>
          <w:lang w:val="en-GB"/>
        </w:rPr>
        <w:t>If this is the case it may be described</w:t>
      </w:r>
      <w:r w:rsidR="00963EBA">
        <w:rPr>
          <w:lang w:val="en-GB"/>
        </w:rPr>
        <w:t xml:space="preserve"> as both unfair and unfortunate; condemned as ‘by-catch’.  S</w:t>
      </w:r>
      <w:r w:rsidR="00D76590">
        <w:rPr>
          <w:lang w:val="en-GB"/>
        </w:rPr>
        <w:t>kills-</w:t>
      </w:r>
      <w:r w:rsidR="00045249">
        <w:rPr>
          <w:lang w:val="en-GB"/>
        </w:rPr>
        <w:t>led</w:t>
      </w:r>
      <w:r w:rsidR="00D76590">
        <w:rPr>
          <w:lang w:val="en-GB"/>
        </w:rPr>
        <w:t xml:space="preserve"> qualifications</w:t>
      </w:r>
      <w:r w:rsidR="00D76590" w:rsidRPr="008C148B">
        <w:rPr>
          <w:lang w:val="en-GB"/>
        </w:rPr>
        <w:t xml:space="preserve"> </w:t>
      </w:r>
      <w:r w:rsidR="00D76590">
        <w:rPr>
          <w:lang w:val="en-GB"/>
        </w:rPr>
        <w:t>are</w:t>
      </w:r>
      <w:r w:rsidRPr="008C148B">
        <w:rPr>
          <w:lang w:val="en-GB"/>
        </w:rPr>
        <w:t xml:space="preserve"> neither vocational nor academic in any normal characterisation of those terms: </w:t>
      </w:r>
      <w:r w:rsidR="00F064A7">
        <w:rPr>
          <w:lang w:val="en-GB"/>
        </w:rPr>
        <w:t>they are</w:t>
      </w:r>
      <w:r w:rsidRPr="008C148B">
        <w:rPr>
          <w:lang w:val="en-GB"/>
        </w:rPr>
        <w:t xml:space="preserve"> instead </w:t>
      </w:r>
      <w:r w:rsidR="00F064A7">
        <w:rPr>
          <w:lang w:val="en-GB"/>
        </w:rPr>
        <w:t>driven by a</w:t>
      </w:r>
      <w:r w:rsidRPr="008C148B">
        <w:rPr>
          <w:lang w:val="en-GB"/>
        </w:rPr>
        <w:t xml:space="preserve"> </w:t>
      </w:r>
      <w:r w:rsidR="00D76590">
        <w:rPr>
          <w:lang w:val="en-GB"/>
        </w:rPr>
        <w:t>distinct</w:t>
      </w:r>
      <w:r w:rsidRPr="008C148B">
        <w:rPr>
          <w:lang w:val="en-GB"/>
        </w:rPr>
        <w:t xml:space="preserve"> process that is compatible with either vocational or academic qualifications or combinations of the two. </w:t>
      </w:r>
      <w:r w:rsidR="00524FBB" w:rsidRPr="008C148B">
        <w:rPr>
          <w:lang w:val="en-GB"/>
        </w:rPr>
        <w:t xml:space="preserve"> </w:t>
      </w:r>
      <w:r w:rsidRPr="008C148B">
        <w:rPr>
          <w:lang w:val="en-GB"/>
        </w:rPr>
        <w:t xml:space="preserve">Given the </w:t>
      </w:r>
      <w:r w:rsidR="008C148B" w:rsidRPr="008C148B">
        <w:rPr>
          <w:lang w:val="en-GB"/>
        </w:rPr>
        <w:t xml:space="preserve">performative </w:t>
      </w:r>
      <w:r w:rsidRPr="008C148B">
        <w:rPr>
          <w:lang w:val="en-GB"/>
        </w:rPr>
        <w:t xml:space="preserve">pressures on schools, the removal of </w:t>
      </w:r>
      <w:r w:rsidR="00D76590">
        <w:rPr>
          <w:lang w:val="en-GB"/>
        </w:rPr>
        <w:t>skills-</w:t>
      </w:r>
      <w:r w:rsidR="00045249">
        <w:rPr>
          <w:lang w:val="en-GB"/>
        </w:rPr>
        <w:t>led</w:t>
      </w:r>
      <w:r w:rsidR="00D76590">
        <w:rPr>
          <w:lang w:val="en-GB"/>
        </w:rPr>
        <w:t xml:space="preserve"> qualifications</w:t>
      </w:r>
      <w:r w:rsidRPr="008C148B">
        <w:rPr>
          <w:lang w:val="en-GB"/>
        </w:rPr>
        <w:t xml:space="preserve"> </w:t>
      </w:r>
      <w:r w:rsidR="00D76590">
        <w:rPr>
          <w:lang w:val="en-GB"/>
        </w:rPr>
        <w:t>from</w:t>
      </w:r>
      <w:r w:rsidRPr="008C148B">
        <w:rPr>
          <w:lang w:val="en-GB"/>
        </w:rPr>
        <w:t xml:space="preserve"> headline </w:t>
      </w:r>
      <w:r w:rsidR="00685324" w:rsidRPr="008C148B">
        <w:rPr>
          <w:lang w:val="en-GB"/>
        </w:rPr>
        <w:t xml:space="preserve">quality </w:t>
      </w:r>
      <w:r w:rsidRPr="008C148B">
        <w:rPr>
          <w:lang w:val="en-GB"/>
        </w:rPr>
        <w:t xml:space="preserve">measures means that schools are </w:t>
      </w:r>
      <w:r w:rsidR="00E06FFA">
        <w:rPr>
          <w:lang w:val="en-GB"/>
        </w:rPr>
        <w:t xml:space="preserve">much </w:t>
      </w:r>
      <w:r w:rsidR="00D76590">
        <w:rPr>
          <w:lang w:val="en-GB"/>
        </w:rPr>
        <w:t>less likely to offer them</w:t>
      </w:r>
      <w:r w:rsidRPr="008C148B">
        <w:rPr>
          <w:lang w:val="en-GB"/>
        </w:rPr>
        <w:t>, and this may inadvertently deny t</w:t>
      </w:r>
      <w:r w:rsidR="00D76590">
        <w:rPr>
          <w:lang w:val="en-GB"/>
        </w:rPr>
        <w:t>housands of learners access to</w:t>
      </w:r>
      <w:r w:rsidRPr="008C148B">
        <w:rPr>
          <w:lang w:val="en-GB"/>
        </w:rPr>
        <w:t xml:space="preserve"> programme</w:t>
      </w:r>
      <w:r w:rsidR="00D76590">
        <w:rPr>
          <w:lang w:val="en-GB"/>
        </w:rPr>
        <w:t>s</w:t>
      </w:r>
      <w:r w:rsidRPr="008C148B">
        <w:rPr>
          <w:lang w:val="en-GB"/>
        </w:rPr>
        <w:t xml:space="preserve"> that </w:t>
      </w:r>
      <w:r w:rsidR="00D76590">
        <w:rPr>
          <w:lang w:val="en-GB"/>
        </w:rPr>
        <w:t>we believe are</w:t>
      </w:r>
      <w:r w:rsidRPr="008C148B">
        <w:rPr>
          <w:lang w:val="en-GB"/>
        </w:rPr>
        <w:t xml:space="preserve"> demonstrably supportive of their </w:t>
      </w:r>
      <w:r w:rsidR="00D91359" w:rsidRPr="008C148B">
        <w:rPr>
          <w:lang w:val="en-GB"/>
        </w:rPr>
        <w:t>development</w:t>
      </w:r>
      <w:r w:rsidRPr="008C148B">
        <w:rPr>
          <w:lang w:val="en-GB"/>
        </w:rPr>
        <w:t xml:space="preserve"> of a range of valued skills, processes and practices. </w:t>
      </w:r>
      <w:r w:rsidR="00D91359" w:rsidRPr="008C148B">
        <w:rPr>
          <w:lang w:val="en-GB"/>
        </w:rPr>
        <w:t xml:space="preserve"> As outlined earlier, Watkins (2010, p.5) uses a broad international evidence </w:t>
      </w:r>
      <w:r w:rsidR="00D91359" w:rsidRPr="008C148B">
        <w:rPr>
          <w:lang w:val="en-GB"/>
        </w:rPr>
        <w:lastRenderedPageBreak/>
        <w:t>base to argue that it is precisely this sort of learning orientation t</w:t>
      </w:r>
      <w:r w:rsidR="00D0254F">
        <w:rPr>
          <w:lang w:val="en-GB"/>
        </w:rPr>
        <w:t>hat is ‘central to achievement’.</w:t>
      </w:r>
    </w:p>
    <w:p w:rsidR="000716BB" w:rsidRPr="008C148B" w:rsidRDefault="000716BB" w:rsidP="003E095A">
      <w:pPr>
        <w:spacing w:line="276" w:lineRule="auto"/>
        <w:rPr>
          <w:lang w:val="en-GB"/>
        </w:rPr>
      </w:pPr>
    </w:p>
    <w:p w:rsidR="000716BB" w:rsidRDefault="000716BB" w:rsidP="003E095A">
      <w:pPr>
        <w:spacing w:line="276" w:lineRule="auto"/>
        <w:rPr>
          <w:lang w:val="en-GB"/>
        </w:rPr>
      </w:pPr>
      <w:r w:rsidRPr="008C148B">
        <w:rPr>
          <w:lang w:val="en-GB"/>
        </w:rPr>
        <w:t xml:space="preserve">Indeed, in a period where the clamour to import educational ideas from countries </w:t>
      </w:r>
      <w:r w:rsidR="00622A72">
        <w:rPr>
          <w:lang w:val="en-GB"/>
        </w:rPr>
        <w:t>constructed as more</w:t>
      </w:r>
      <w:r w:rsidRPr="008C148B">
        <w:rPr>
          <w:lang w:val="en-GB"/>
        </w:rPr>
        <w:t xml:space="preserve"> successful than the UK runs rife, it is </w:t>
      </w:r>
      <w:r w:rsidR="00622A72">
        <w:rPr>
          <w:lang w:val="en-GB"/>
        </w:rPr>
        <w:t>paradoxical</w:t>
      </w:r>
      <w:r w:rsidRPr="008C148B">
        <w:rPr>
          <w:lang w:val="en-GB"/>
        </w:rPr>
        <w:t xml:space="preserve"> that this very concept of learning orientation – considered vital in Finland, for example</w:t>
      </w:r>
      <w:r>
        <w:rPr>
          <w:lang w:val="en-GB"/>
        </w:rPr>
        <w:t xml:space="preserve"> (</w:t>
      </w:r>
      <w:proofErr w:type="spellStart"/>
      <w:r>
        <w:rPr>
          <w:lang w:val="en-GB"/>
        </w:rPr>
        <w:t>Sahlberg</w:t>
      </w:r>
      <w:proofErr w:type="spellEnd"/>
      <w:r>
        <w:rPr>
          <w:lang w:val="en-GB"/>
        </w:rPr>
        <w:t>, 2007)</w:t>
      </w:r>
      <w:r w:rsidRPr="008C148B">
        <w:rPr>
          <w:lang w:val="en-GB"/>
        </w:rPr>
        <w:t xml:space="preserve"> – is not one that presently holds much currency.  </w:t>
      </w:r>
      <w:r w:rsidR="00D0254F">
        <w:rPr>
          <w:lang w:val="en-GB"/>
        </w:rPr>
        <w:t xml:space="preserve">If Elliott (2014) is correct, future governments should be looking to ways of promoting engagement and motivation in order to compete internationally; areas where the UK languishes behind (West, 2010).  </w:t>
      </w:r>
      <w:r w:rsidRPr="008C148B">
        <w:rPr>
          <w:lang w:val="en-GB"/>
        </w:rPr>
        <w:t xml:space="preserve">Instead, the drive to increase ‘standards’ is most likely to see schools </w:t>
      </w:r>
      <w:r w:rsidR="00622A72">
        <w:rPr>
          <w:lang w:val="en-GB"/>
        </w:rPr>
        <w:t>focus</w:t>
      </w:r>
      <w:r w:rsidRPr="008C148B">
        <w:rPr>
          <w:lang w:val="en-GB"/>
        </w:rPr>
        <w:t xml:space="preserve"> curriculum time on academic subjects</w:t>
      </w:r>
      <w:r>
        <w:rPr>
          <w:lang w:val="en-GB"/>
        </w:rPr>
        <w:t xml:space="preserve"> (Lupton &amp; </w:t>
      </w:r>
      <w:proofErr w:type="spellStart"/>
      <w:r w:rsidRPr="008C148B">
        <w:rPr>
          <w:lang w:val="en-GB"/>
        </w:rPr>
        <w:t>Hempel</w:t>
      </w:r>
      <w:proofErr w:type="spellEnd"/>
      <w:r w:rsidRPr="008C148B">
        <w:rPr>
          <w:lang w:val="en-GB"/>
        </w:rPr>
        <w:t>-Jorgensen</w:t>
      </w:r>
      <w:r>
        <w:rPr>
          <w:lang w:val="en-GB"/>
        </w:rPr>
        <w:t>, 2012)</w:t>
      </w:r>
      <w:r w:rsidR="00622A72">
        <w:rPr>
          <w:lang w:val="en-GB"/>
        </w:rPr>
        <w:t>.</w:t>
      </w:r>
    </w:p>
    <w:p w:rsidR="000716BB" w:rsidRDefault="000716BB" w:rsidP="003E095A">
      <w:pPr>
        <w:spacing w:line="276" w:lineRule="auto"/>
        <w:rPr>
          <w:lang w:val="en-GB"/>
        </w:rPr>
      </w:pPr>
    </w:p>
    <w:p w:rsidR="00D91359" w:rsidRPr="008C148B" w:rsidRDefault="00685324" w:rsidP="003E095A">
      <w:pPr>
        <w:spacing w:line="276" w:lineRule="auto"/>
        <w:rPr>
          <w:lang w:val="en-GB"/>
        </w:rPr>
      </w:pPr>
      <w:r w:rsidRPr="008C148B">
        <w:rPr>
          <w:lang w:val="en-GB"/>
        </w:rPr>
        <w:t>We argue, therefore, that an unintended consequence of the policy change on skills-</w:t>
      </w:r>
      <w:r w:rsidR="00045249">
        <w:rPr>
          <w:lang w:val="en-GB"/>
        </w:rPr>
        <w:t>led</w:t>
      </w:r>
      <w:r w:rsidRPr="008C148B">
        <w:rPr>
          <w:lang w:val="en-GB"/>
        </w:rPr>
        <w:t xml:space="preserve"> qualifications is that learners and schools may both see </w:t>
      </w:r>
      <w:r w:rsidR="009C0241">
        <w:rPr>
          <w:lang w:val="en-GB"/>
        </w:rPr>
        <w:t xml:space="preserve">a </w:t>
      </w:r>
      <w:r w:rsidRPr="008C148B">
        <w:rPr>
          <w:lang w:val="en-GB"/>
        </w:rPr>
        <w:t xml:space="preserve">fall in their performance against accepted standards and that </w:t>
      </w:r>
      <w:r w:rsidR="00507660">
        <w:rPr>
          <w:lang w:val="en-GB"/>
        </w:rPr>
        <w:t xml:space="preserve">some of </w:t>
      </w:r>
      <w:r w:rsidRPr="008C148B">
        <w:rPr>
          <w:lang w:val="en-GB"/>
        </w:rPr>
        <w:t xml:space="preserve">the former may also move through KS4 with a less well-developed learning orientation.  </w:t>
      </w:r>
      <w:r w:rsidR="009C0241">
        <w:rPr>
          <w:lang w:val="en-GB"/>
        </w:rPr>
        <w:t>T</w:t>
      </w:r>
      <w:r w:rsidRPr="008C148B">
        <w:rPr>
          <w:lang w:val="en-GB"/>
        </w:rPr>
        <w:t>his effect is most likely to manifest for those learners with the greatest disadvantage</w:t>
      </w:r>
      <w:r w:rsidR="006008ED" w:rsidRPr="008C148B">
        <w:rPr>
          <w:lang w:val="en-GB"/>
        </w:rPr>
        <w:t xml:space="preserve">, for whom </w:t>
      </w:r>
      <w:r w:rsidR="00D76590">
        <w:rPr>
          <w:lang w:val="en-GB"/>
        </w:rPr>
        <w:t>skills-based qualifications</w:t>
      </w:r>
      <w:r w:rsidR="00E06FFA">
        <w:rPr>
          <w:lang w:val="en-GB"/>
        </w:rPr>
        <w:t xml:space="preserve"> </w:t>
      </w:r>
      <w:r w:rsidR="00D76590">
        <w:rPr>
          <w:lang w:val="en-GB"/>
        </w:rPr>
        <w:t>are</w:t>
      </w:r>
      <w:r w:rsidR="00E06FFA">
        <w:rPr>
          <w:lang w:val="en-GB"/>
        </w:rPr>
        <w:t xml:space="preserve"> </w:t>
      </w:r>
      <w:r w:rsidR="006008ED" w:rsidRPr="008C148B">
        <w:rPr>
          <w:lang w:val="en-GB"/>
        </w:rPr>
        <w:t>a means of building confidence, motivation</w:t>
      </w:r>
      <w:r w:rsidR="00B20B12">
        <w:rPr>
          <w:lang w:val="en-GB"/>
        </w:rPr>
        <w:t>, enjoyment</w:t>
      </w:r>
      <w:r w:rsidR="006008ED" w:rsidRPr="008C148B">
        <w:rPr>
          <w:lang w:val="en-GB"/>
        </w:rPr>
        <w:t xml:space="preserve"> and a positive relationship with the school.</w:t>
      </w:r>
      <w:r w:rsidR="009C0241">
        <w:rPr>
          <w:lang w:val="en-GB"/>
        </w:rPr>
        <w:t xml:space="preserve"> Given recent debates about ‘powerful knowledge’ and its capacity to enhance opportunity for disadvantaged learners, this outcome is deeply, and chillingly, ironic.  </w:t>
      </w:r>
    </w:p>
    <w:p w:rsidR="00D91359" w:rsidRPr="008C148B" w:rsidRDefault="00D91359" w:rsidP="003E095A">
      <w:pPr>
        <w:spacing w:line="276" w:lineRule="auto"/>
        <w:rPr>
          <w:lang w:val="en-GB"/>
        </w:rPr>
      </w:pPr>
    </w:p>
    <w:p w:rsidR="006E700E" w:rsidRDefault="00063C69" w:rsidP="003E095A">
      <w:pPr>
        <w:spacing w:line="276" w:lineRule="auto"/>
        <w:rPr>
          <w:lang w:val="en-GB"/>
        </w:rPr>
      </w:pPr>
      <w:r>
        <w:rPr>
          <w:lang w:val="en-GB"/>
        </w:rPr>
        <w:t xml:space="preserve">Whilst it </w:t>
      </w:r>
      <w:r w:rsidR="00676FA8">
        <w:rPr>
          <w:lang w:val="en-GB"/>
        </w:rPr>
        <w:t xml:space="preserve">is </w:t>
      </w:r>
      <w:r>
        <w:rPr>
          <w:lang w:val="en-GB"/>
        </w:rPr>
        <w:t xml:space="preserve">beyond the scope of this present paper to explore </w:t>
      </w:r>
      <w:r w:rsidR="00C71D19">
        <w:rPr>
          <w:lang w:val="en-GB"/>
        </w:rPr>
        <w:t xml:space="preserve">in detail the </w:t>
      </w:r>
      <w:r w:rsidR="00676FA8">
        <w:rPr>
          <w:lang w:val="en-GB"/>
        </w:rPr>
        <w:t xml:space="preserve">implications for current debates about </w:t>
      </w:r>
      <w:r w:rsidR="00105F74">
        <w:rPr>
          <w:lang w:val="en-GB"/>
        </w:rPr>
        <w:t>‘powerful knowledge</w:t>
      </w:r>
      <w:r w:rsidR="00811647">
        <w:rPr>
          <w:lang w:val="en-GB"/>
        </w:rPr>
        <w:t>’ (Young, 2009</w:t>
      </w:r>
      <w:r w:rsidR="00105F74">
        <w:rPr>
          <w:lang w:val="en-GB"/>
        </w:rPr>
        <w:t xml:space="preserve">) </w:t>
      </w:r>
      <w:r>
        <w:rPr>
          <w:lang w:val="en-GB"/>
        </w:rPr>
        <w:t xml:space="preserve">our research evidence on the impact of </w:t>
      </w:r>
      <w:r w:rsidR="00A56B43">
        <w:rPr>
          <w:lang w:val="en-GB"/>
        </w:rPr>
        <w:t>one skills-</w:t>
      </w:r>
      <w:r w:rsidR="00045249">
        <w:rPr>
          <w:lang w:val="en-GB"/>
        </w:rPr>
        <w:t>led</w:t>
      </w:r>
      <w:r w:rsidR="00A56B43">
        <w:rPr>
          <w:lang w:val="en-GB"/>
        </w:rPr>
        <w:t xml:space="preserve"> qualification </w:t>
      </w:r>
      <w:r w:rsidR="00676FA8">
        <w:rPr>
          <w:lang w:val="en-GB"/>
        </w:rPr>
        <w:t>on GCSE outcomes suggests</w:t>
      </w:r>
      <w:r w:rsidR="00653178">
        <w:rPr>
          <w:lang w:val="en-GB"/>
        </w:rPr>
        <w:t xml:space="preserve"> that </w:t>
      </w:r>
      <w:r w:rsidR="00105F74">
        <w:rPr>
          <w:lang w:val="en-GB"/>
        </w:rPr>
        <w:t xml:space="preserve">it is </w:t>
      </w:r>
      <w:r w:rsidR="00676FA8">
        <w:rPr>
          <w:lang w:val="en-GB"/>
        </w:rPr>
        <w:t>simplistic</w:t>
      </w:r>
      <w:r w:rsidR="00105F74">
        <w:rPr>
          <w:lang w:val="en-GB"/>
        </w:rPr>
        <w:t xml:space="preserve"> and unhelpful</w:t>
      </w:r>
      <w:r w:rsidR="00676FA8">
        <w:rPr>
          <w:lang w:val="en-GB"/>
        </w:rPr>
        <w:t xml:space="preserve"> to treat the two entities as if they were </w:t>
      </w:r>
      <w:r w:rsidR="00332EFF">
        <w:rPr>
          <w:lang w:val="en-GB"/>
        </w:rPr>
        <w:t xml:space="preserve">somehow mutually exclusive or </w:t>
      </w:r>
      <w:r w:rsidR="00811647">
        <w:rPr>
          <w:lang w:val="en-GB"/>
        </w:rPr>
        <w:t xml:space="preserve">merely </w:t>
      </w:r>
      <w:r w:rsidR="00105F74">
        <w:rPr>
          <w:lang w:val="en-GB"/>
        </w:rPr>
        <w:t xml:space="preserve">representative of </w:t>
      </w:r>
      <w:r w:rsidR="00332EFF">
        <w:rPr>
          <w:lang w:val="en-GB"/>
        </w:rPr>
        <w:t>opposite alternatives</w:t>
      </w:r>
      <w:r w:rsidR="00C71D19">
        <w:rPr>
          <w:lang w:val="en-GB"/>
        </w:rPr>
        <w:t xml:space="preserve">, a point others have made </w:t>
      </w:r>
      <w:r w:rsidR="00811647">
        <w:rPr>
          <w:lang w:val="en-GB"/>
        </w:rPr>
        <w:t xml:space="preserve">before (see </w:t>
      </w:r>
      <w:proofErr w:type="spellStart"/>
      <w:r w:rsidR="00811647">
        <w:rPr>
          <w:lang w:val="en-GB"/>
        </w:rPr>
        <w:t>Whitty</w:t>
      </w:r>
      <w:proofErr w:type="spellEnd"/>
      <w:r w:rsidR="00811647">
        <w:rPr>
          <w:lang w:val="en-GB"/>
        </w:rPr>
        <w:t>, 2010).</w:t>
      </w:r>
      <w:r w:rsidR="00676FA8">
        <w:rPr>
          <w:lang w:val="en-GB"/>
        </w:rPr>
        <w:t xml:space="preserve"> Pursuing </w:t>
      </w:r>
      <w:r w:rsidR="00A56B43">
        <w:rPr>
          <w:lang w:val="en-GB"/>
        </w:rPr>
        <w:t>skills-</w:t>
      </w:r>
      <w:r w:rsidR="00045249">
        <w:rPr>
          <w:lang w:val="en-GB"/>
        </w:rPr>
        <w:t>led</w:t>
      </w:r>
      <w:r w:rsidR="00A56B43">
        <w:rPr>
          <w:lang w:val="en-GB"/>
        </w:rPr>
        <w:t xml:space="preserve"> qualifications alongside GCSEs appear</w:t>
      </w:r>
      <w:r w:rsidR="00676FA8">
        <w:rPr>
          <w:lang w:val="en-GB"/>
        </w:rPr>
        <w:t xml:space="preserve"> to </w:t>
      </w:r>
      <w:r w:rsidR="00A56B43">
        <w:rPr>
          <w:lang w:val="en-GB"/>
        </w:rPr>
        <w:t>provide</w:t>
      </w:r>
      <w:r w:rsidR="00676FA8">
        <w:rPr>
          <w:lang w:val="en-GB"/>
        </w:rPr>
        <w:t xml:space="preserve"> a significant uplift in </w:t>
      </w:r>
      <w:r w:rsidR="00A56B43">
        <w:rPr>
          <w:lang w:val="en-GB"/>
        </w:rPr>
        <w:t>KS4 attainment</w:t>
      </w:r>
      <w:r w:rsidR="00676FA8">
        <w:rPr>
          <w:lang w:val="en-GB"/>
        </w:rPr>
        <w:t xml:space="preserve">, which strongly suggests </w:t>
      </w:r>
      <w:r w:rsidR="00A56B43">
        <w:rPr>
          <w:lang w:val="en-GB"/>
        </w:rPr>
        <w:t>they have an important</w:t>
      </w:r>
      <w:r w:rsidR="00676FA8">
        <w:rPr>
          <w:lang w:val="en-GB"/>
        </w:rPr>
        <w:t xml:space="preserve"> role in making ‘powerful knowledge’ more widely accessible.</w:t>
      </w:r>
    </w:p>
    <w:p w:rsidR="006E700E" w:rsidRDefault="006E700E" w:rsidP="003E095A">
      <w:pPr>
        <w:spacing w:line="276" w:lineRule="auto"/>
        <w:rPr>
          <w:lang w:val="en-GB"/>
        </w:rPr>
      </w:pPr>
      <w:r>
        <w:rPr>
          <w:lang w:val="en-GB"/>
        </w:rPr>
        <w:br w:type="page"/>
      </w:r>
    </w:p>
    <w:p w:rsidR="006E700E" w:rsidRPr="006E700E" w:rsidRDefault="006E700E" w:rsidP="003E095A">
      <w:pPr>
        <w:spacing w:line="276" w:lineRule="auto"/>
        <w:rPr>
          <w:i/>
        </w:rPr>
      </w:pPr>
      <w:r w:rsidRPr="006E700E">
        <w:rPr>
          <w:i/>
        </w:rPr>
        <w:lastRenderedPageBreak/>
        <w:t>Table 1: Good pass in GCSE English, by ‘imagined’ schools</w:t>
      </w:r>
    </w:p>
    <w:tbl>
      <w:tblPr>
        <w:tblStyle w:val="TableGrid"/>
        <w:tblW w:w="0" w:type="auto"/>
        <w:tblLook w:val="04A0"/>
      </w:tblPr>
      <w:tblGrid>
        <w:gridCol w:w="3510"/>
        <w:gridCol w:w="2410"/>
        <w:gridCol w:w="2410"/>
      </w:tblGrid>
      <w:tr w:rsidR="006E700E" w:rsidTr="006E700E">
        <w:trPr>
          <w:trHeight w:val="736"/>
        </w:trPr>
        <w:tc>
          <w:tcPr>
            <w:tcW w:w="3510"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 xml:space="preserve">Did not achieve good English pass </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Achieved good English pass</w:t>
            </w:r>
          </w:p>
        </w:tc>
      </w:tr>
      <w:tr w:rsidR="006E700E" w:rsidTr="006E700E">
        <w:tc>
          <w:tcPr>
            <w:tcW w:w="35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rPr>
            </w:pPr>
            <w:r>
              <w:rPr>
                <w:b/>
              </w:rPr>
              <w:t>No CoPE group (n=3,557)</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33.5% (1,190)</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66.5% (2,367)</w:t>
            </w:r>
          </w:p>
        </w:tc>
      </w:tr>
      <w:tr w:rsidR="006E700E" w:rsidTr="006E700E">
        <w:tc>
          <w:tcPr>
            <w:tcW w:w="35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rPr>
            </w:pPr>
            <w:r>
              <w:rPr>
                <w:b/>
              </w:rPr>
              <w:t>CoPE group (n=3,557)</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29.3% (1,041)</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70.7% (2,516)</w:t>
            </w:r>
          </w:p>
        </w:tc>
      </w:tr>
      <w:tr w:rsidR="006E700E" w:rsidTr="006E700E">
        <w:tc>
          <w:tcPr>
            <w:tcW w:w="35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rPr>
            </w:pPr>
            <w:r>
              <w:rPr>
                <w:b/>
              </w:rPr>
              <w:t>All (N=7,114)</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31.4% (2,231)</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68.6% (4,813)</w:t>
            </w:r>
          </w:p>
        </w:tc>
      </w:tr>
    </w:tbl>
    <w:p w:rsidR="006E700E" w:rsidRDefault="006E700E" w:rsidP="003E095A">
      <w:pPr>
        <w:spacing w:line="276" w:lineRule="auto"/>
      </w:pPr>
    </w:p>
    <w:p w:rsidR="006E700E" w:rsidRDefault="006E700E" w:rsidP="003E095A">
      <w:pPr>
        <w:spacing w:line="276" w:lineRule="auto"/>
      </w:pPr>
    </w:p>
    <w:p w:rsidR="006E700E" w:rsidRPr="006E700E" w:rsidRDefault="006E700E" w:rsidP="003E095A">
      <w:pPr>
        <w:spacing w:line="276" w:lineRule="auto"/>
        <w:rPr>
          <w:i/>
        </w:rPr>
      </w:pPr>
      <w:r w:rsidRPr="006E700E">
        <w:rPr>
          <w:i/>
        </w:rPr>
        <w:t>Table 2: Five good GCSE passes, by ‘imagined’ schools</w:t>
      </w:r>
    </w:p>
    <w:tbl>
      <w:tblPr>
        <w:tblStyle w:val="TableGrid"/>
        <w:tblW w:w="0" w:type="auto"/>
        <w:tblLook w:val="04A0"/>
      </w:tblPr>
      <w:tblGrid>
        <w:gridCol w:w="3510"/>
        <w:gridCol w:w="2410"/>
        <w:gridCol w:w="2410"/>
      </w:tblGrid>
      <w:tr w:rsidR="006E700E" w:rsidTr="006E700E">
        <w:trPr>
          <w:trHeight w:val="736"/>
        </w:trPr>
        <w:tc>
          <w:tcPr>
            <w:tcW w:w="3510"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Did not achieve 5 good GCSE passes</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Achieved 5 good GCSE passes</w:t>
            </w:r>
          </w:p>
        </w:tc>
      </w:tr>
      <w:tr w:rsidR="006E700E" w:rsidTr="006E700E">
        <w:tc>
          <w:tcPr>
            <w:tcW w:w="35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rPr>
            </w:pPr>
            <w:r>
              <w:rPr>
                <w:b/>
              </w:rPr>
              <w:t>No CoPE group (n=3,557)</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46.8% (1,663)</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53.2% (1,894)</w:t>
            </w:r>
          </w:p>
        </w:tc>
      </w:tr>
      <w:tr w:rsidR="006E700E" w:rsidTr="006E700E">
        <w:tc>
          <w:tcPr>
            <w:tcW w:w="35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rPr>
            </w:pPr>
            <w:r>
              <w:rPr>
                <w:b/>
              </w:rPr>
              <w:t>CoPE group (n=3,557)</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43.8% (1,559)</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t>56.2% (1,998)</w:t>
            </w:r>
          </w:p>
        </w:tc>
      </w:tr>
      <w:tr w:rsidR="006E700E" w:rsidTr="006E700E">
        <w:tc>
          <w:tcPr>
            <w:tcW w:w="35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rPr>
            </w:pPr>
            <w:r>
              <w:rPr>
                <w:b/>
              </w:rPr>
              <w:t>All (N=7,114)</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45.3% (3,222)</w:t>
            </w:r>
          </w:p>
        </w:tc>
        <w:tc>
          <w:tcPr>
            <w:tcW w:w="241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rPr>
            </w:pPr>
            <w:r>
              <w:rPr>
                <w:b/>
              </w:rPr>
              <w:t>54.7% (3,892)</w:t>
            </w:r>
          </w:p>
        </w:tc>
      </w:tr>
    </w:tbl>
    <w:p w:rsidR="006E700E" w:rsidRDefault="006E700E" w:rsidP="003E095A">
      <w:pPr>
        <w:spacing w:line="276" w:lineRule="auto"/>
      </w:pPr>
    </w:p>
    <w:p w:rsidR="006E700E" w:rsidRDefault="006E700E" w:rsidP="003E095A">
      <w:pPr>
        <w:spacing w:line="276" w:lineRule="auto"/>
        <w:rPr>
          <w:i/>
        </w:rPr>
      </w:pPr>
    </w:p>
    <w:p w:rsidR="006E700E" w:rsidRDefault="006E700E" w:rsidP="003E095A">
      <w:pPr>
        <w:spacing w:line="276" w:lineRule="auto"/>
        <w:rPr>
          <w:i/>
        </w:rPr>
      </w:pPr>
      <w:r>
        <w:rPr>
          <w:i/>
        </w:rPr>
        <w:br w:type="page"/>
      </w:r>
    </w:p>
    <w:p w:rsidR="006E700E" w:rsidRDefault="006E700E" w:rsidP="003E095A">
      <w:pPr>
        <w:spacing w:line="276" w:lineRule="auto"/>
        <w:rPr>
          <w:i/>
        </w:rPr>
      </w:pPr>
      <w:r>
        <w:rPr>
          <w:i/>
        </w:rPr>
        <w:lastRenderedPageBreak/>
        <w:t>Table 3: Regression model for GCSE English at grades A* to C</w:t>
      </w:r>
    </w:p>
    <w:tbl>
      <w:tblPr>
        <w:tblStyle w:val="TableGrid"/>
        <w:tblW w:w="0" w:type="auto"/>
        <w:tblInd w:w="108" w:type="dxa"/>
        <w:tblLayout w:type="fixed"/>
        <w:tblLook w:val="04A0"/>
      </w:tblPr>
      <w:tblGrid>
        <w:gridCol w:w="3039"/>
        <w:gridCol w:w="831"/>
        <w:gridCol w:w="808"/>
        <w:gridCol w:w="992"/>
        <w:gridCol w:w="851"/>
        <w:gridCol w:w="992"/>
        <w:gridCol w:w="895"/>
      </w:tblGrid>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B</w:t>
            </w:r>
          </w:p>
        </w:tc>
        <w:tc>
          <w:tcPr>
            <w:tcW w:w="808"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SE</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t</w:t>
            </w:r>
          </w:p>
        </w:tc>
        <w:tc>
          <w:tcPr>
            <w:tcW w:w="851"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p</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OR</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sz w:val="20"/>
                <w:szCs w:val="20"/>
              </w:rPr>
            </w:pPr>
            <w:r>
              <w:rPr>
                <w:b/>
                <w:sz w:val="20"/>
                <w:szCs w:val="20"/>
              </w:rPr>
              <w:t>Est. RL</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Intercept</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-.648</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.065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-9.966</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.523</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.781</w:t>
            </w:r>
          </w:p>
        </w:tc>
      </w:tr>
      <w:tr w:rsidR="006E700E" w:rsidTr="006E700E">
        <w:trPr>
          <w:trHeight w:val="170"/>
        </w:trPr>
        <w:tc>
          <w:tcPr>
            <w:tcW w:w="8408" w:type="dxa"/>
            <w:gridSpan w:val="7"/>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sz w:val="20"/>
                <w:szCs w:val="20"/>
              </w:rPr>
            </w:pPr>
            <w:r>
              <w:rPr>
                <w:b/>
                <w:sz w:val="20"/>
                <w:szCs w:val="20"/>
              </w:rPr>
              <w:t>School level variables:</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 xml:space="preserve">Pass rate for English and </w:t>
            </w:r>
            <w:proofErr w:type="spellStart"/>
            <w:r>
              <w:rPr>
                <w:sz w:val="20"/>
                <w:szCs w:val="20"/>
              </w:rPr>
              <w:t>Maths</w:t>
            </w:r>
            <w:proofErr w:type="spellEnd"/>
            <w:r>
              <w:rPr>
                <w:sz w:val="20"/>
                <w:szCs w:val="20"/>
              </w:rPr>
              <w:t xml:space="preserve"> at grades A* to C</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.030</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29.640</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1.031</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1.009</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proofErr w:type="spellStart"/>
            <w:r>
              <w:rPr>
                <w:sz w:val="20"/>
                <w:szCs w:val="20"/>
              </w:rPr>
              <w:t>Neighbourhood</w:t>
            </w:r>
            <w:proofErr w:type="spellEnd"/>
            <w:r>
              <w:rPr>
                <w:sz w:val="20"/>
                <w:szCs w:val="20"/>
              </w:rPr>
              <w:t xml:space="preserve"> deprivation rate</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.008</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12.426</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1.008</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1.002</w:t>
            </w:r>
          </w:p>
        </w:tc>
      </w:tr>
      <w:tr w:rsidR="006E700E" w:rsidTr="006E700E">
        <w:trPr>
          <w:trHeight w:val="170"/>
        </w:trPr>
        <w:tc>
          <w:tcPr>
            <w:tcW w:w="8408" w:type="dxa"/>
            <w:gridSpan w:val="7"/>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sz w:val="20"/>
                <w:szCs w:val="20"/>
              </w:rPr>
            </w:pPr>
            <w:r>
              <w:rPr>
                <w:b/>
                <w:sz w:val="20"/>
                <w:szCs w:val="20"/>
              </w:rPr>
              <w:t>Individual level variables:</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KS3 English attainment (Reference = Level 5)</w:t>
            </w:r>
          </w:p>
        </w:tc>
        <w:tc>
          <w:tcPr>
            <w:tcW w:w="83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2 and below</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-4.799</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.055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-87.959</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.008</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.026</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3</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-4.068</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.044</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-93.498</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.017</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.053</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4</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-2.400</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.013</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-189.754</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.091</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.246</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6</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2.805</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.019</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146.578</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16.527</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1.405</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7</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4.973</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.094</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52.765</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144.507</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1.439</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Gender (Reference = male)</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.237</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.009</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25.233</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1.267</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1.069</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Ethnicity (Reference = white):</w:t>
            </w:r>
          </w:p>
        </w:tc>
        <w:tc>
          <w:tcPr>
            <w:tcW w:w="83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BME</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.245</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.018</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13.265</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1.278</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1.072</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Unknown</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-.068</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.044</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-1.551</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.935</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.979</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Special educational needs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-.942</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-84.674</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.390</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.676</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Free school meals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-.459</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.013</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-33.971</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.632</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.848</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English as additional language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.332</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.022</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14.821</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1.393</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1.095</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Persistent KS3 absentee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-.915</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-37.189</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.400</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.685</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CoPE (Reference = ‘no CoPE offered in school’):</w:t>
            </w:r>
          </w:p>
        </w:tc>
        <w:tc>
          <w:tcPr>
            <w:tcW w:w="83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Did not undertake CoPE in ‘thin’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.029</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-.001</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.999</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1.000</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1.000</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Undertook CoPE in ‘thin’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-.772</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.051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-15.111</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.462</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.737</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Did not undertake CoPE in ‘wide’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.001</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.117</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.007</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.995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1.001</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1.000</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Undertook CoPE in ‘wide’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.399</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.116</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3.444</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1.491</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1.112</w:t>
            </w:r>
          </w:p>
        </w:tc>
      </w:tr>
    </w:tbl>
    <w:p w:rsidR="006E700E" w:rsidRDefault="006E700E" w:rsidP="003E095A">
      <w:pPr>
        <w:spacing w:line="276" w:lineRule="auto"/>
        <w:rPr>
          <w:i/>
        </w:rPr>
      </w:pPr>
    </w:p>
    <w:p w:rsidR="006E700E" w:rsidRDefault="006E700E" w:rsidP="003E095A">
      <w:pPr>
        <w:spacing w:line="276" w:lineRule="auto"/>
        <w:rPr>
          <w:i/>
        </w:rPr>
      </w:pPr>
      <w:r>
        <w:rPr>
          <w:i/>
        </w:rPr>
        <w:br w:type="page"/>
      </w:r>
    </w:p>
    <w:p w:rsidR="006E700E" w:rsidRDefault="006E700E" w:rsidP="003E095A">
      <w:pPr>
        <w:spacing w:line="276" w:lineRule="auto"/>
        <w:rPr>
          <w:i/>
        </w:rPr>
      </w:pPr>
      <w:r>
        <w:rPr>
          <w:i/>
        </w:rPr>
        <w:lastRenderedPageBreak/>
        <w:t xml:space="preserve">Table 4: Regression model for five GCSE passes at A* to C including English and </w:t>
      </w:r>
      <w:proofErr w:type="spellStart"/>
      <w:r>
        <w:rPr>
          <w:i/>
        </w:rPr>
        <w:t>maths</w:t>
      </w:r>
      <w:proofErr w:type="spellEnd"/>
      <w:r>
        <w:rPr>
          <w:i/>
        </w:rPr>
        <w:t>, excluding equivalent qualifications</w:t>
      </w:r>
    </w:p>
    <w:tbl>
      <w:tblPr>
        <w:tblStyle w:val="TableGrid"/>
        <w:tblW w:w="0" w:type="auto"/>
        <w:tblInd w:w="108" w:type="dxa"/>
        <w:tblLayout w:type="fixed"/>
        <w:tblLook w:val="04A0"/>
      </w:tblPr>
      <w:tblGrid>
        <w:gridCol w:w="3039"/>
        <w:gridCol w:w="831"/>
        <w:gridCol w:w="808"/>
        <w:gridCol w:w="992"/>
        <w:gridCol w:w="851"/>
        <w:gridCol w:w="992"/>
        <w:gridCol w:w="895"/>
      </w:tblGrid>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0"/>
                <w:szCs w:val="20"/>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B</w:t>
            </w:r>
          </w:p>
        </w:tc>
        <w:tc>
          <w:tcPr>
            <w:tcW w:w="808"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SE</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t</w:t>
            </w:r>
          </w:p>
        </w:tc>
        <w:tc>
          <w:tcPr>
            <w:tcW w:w="851"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p</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00E" w:rsidRDefault="006E700E" w:rsidP="003E095A">
            <w:pPr>
              <w:spacing w:line="276" w:lineRule="auto"/>
              <w:jc w:val="center"/>
              <w:rPr>
                <w:b/>
                <w:sz w:val="20"/>
                <w:szCs w:val="20"/>
              </w:rPr>
            </w:pPr>
            <w:r>
              <w:rPr>
                <w:b/>
                <w:sz w:val="20"/>
                <w:szCs w:val="20"/>
              </w:rPr>
              <w:t>OR</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b/>
                <w:sz w:val="20"/>
                <w:szCs w:val="20"/>
              </w:rPr>
            </w:pPr>
            <w:r>
              <w:rPr>
                <w:b/>
                <w:sz w:val="20"/>
                <w:szCs w:val="20"/>
              </w:rPr>
              <w:t>Est. RL</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Intercept</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-2.709</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.057</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-47.657</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.067</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.145</w:t>
            </w:r>
          </w:p>
        </w:tc>
      </w:tr>
      <w:tr w:rsidR="006E700E" w:rsidTr="006E700E">
        <w:trPr>
          <w:trHeight w:val="170"/>
        </w:trPr>
        <w:tc>
          <w:tcPr>
            <w:tcW w:w="7513" w:type="dxa"/>
            <w:gridSpan w:val="6"/>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sz w:val="20"/>
                <w:szCs w:val="20"/>
              </w:rPr>
            </w:pPr>
            <w:r>
              <w:rPr>
                <w:b/>
                <w:sz w:val="20"/>
                <w:szCs w:val="20"/>
              </w:rPr>
              <w:t>School level variables:</w:t>
            </w: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b/>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 xml:space="preserve">Pass rate for English and </w:t>
            </w:r>
            <w:proofErr w:type="spellStart"/>
            <w:r>
              <w:rPr>
                <w:sz w:val="20"/>
                <w:szCs w:val="20"/>
              </w:rPr>
              <w:t>Maths</w:t>
            </w:r>
            <w:proofErr w:type="spellEnd"/>
            <w:r>
              <w:rPr>
                <w:sz w:val="20"/>
                <w:szCs w:val="20"/>
              </w:rPr>
              <w:t xml:space="preserve"> at grades A* to C</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.026</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29.416</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1.026</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1.011</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proofErr w:type="spellStart"/>
            <w:r>
              <w:rPr>
                <w:sz w:val="20"/>
                <w:szCs w:val="20"/>
              </w:rPr>
              <w:t>Neighbourhood</w:t>
            </w:r>
            <w:proofErr w:type="spellEnd"/>
            <w:r>
              <w:rPr>
                <w:sz w:val="20"/>
                <w:szCs w:val="20"/>
              </w:rPr>
              <w:t xml:space="preserve"> deprivation rate</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.012</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21.332</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1.012</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1.005</w:t>
            </w:r>
          </w:p>
        </w:tc>
      </w:tr>
      <w:tr w:rsidR="006E700E" w:rsidTr="006E700E">
        <w:trPr>
          <w:trHeight w:val="170"/>
        </w:trPr>
        <w:tc>
          <w:tcPr>
            <w:tcW w:w="7513" w:type="dxa"/>
            <w:gridSpan w:val="6"/>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b/>
                <w:sz w:val="20"/>
                <w:szCs w:val="20"/>
              </w:rPr>
            </w:pPr>
            <w:r>
              <w:rPr>
                <w:b/>
                <w:sz w:val="20"/>
                <w:szCs w:val="20"/>
              </w:rPr>
              <w:t>Individual level variables:</w:t>
            </w: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b/>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KS3 English attainment (Reference = Level 5)</w:t>
            </w:r>
          </w:p>
        </w:tc>
        <w:tc>
          <w:tcPr>
            <w:tcW w:w="83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2 and below</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-2.660</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.083</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-31.887</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.070</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.151</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3</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-2.749</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.072</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-37.997</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.064</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.139</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4</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-1.565</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.018</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-88.469</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.209</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.385</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6</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1.227</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.012</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98.770</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3.409</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1.425</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7</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2.024</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.036</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55.644</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7.568</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1.578</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KS3 mathematics attainment (Reference = Level 5)</w:t>
            </w:r>
          </w:p>
        </w:tc>
        <w:tc>
          <w:tcPr>
            <w:tcW w:w="83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2 and below</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-1.642</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.120</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-13.686</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.194</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.363</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3</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-4.109</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.146</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-28.135</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.016</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.037</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4</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-2.166</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.027</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-81.013</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.115</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.235</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6</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1.848</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169.696</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6.349</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1.552</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7</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3.343</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.017</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198.715</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28.295</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1.687</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0"/>
              </w:numPr>
              <w:spacing w:line="276" w:lineRule="auto"/>
              <w:rPr>
                <w:sz w:val="20"/>
                <w:szCs w:val="20"/>
              </w:rPr>
            </w:pPr>
            <w:r>
              <w:rPr>
                <w:sz w:val="20"/>
                <w:szCs w:val="20"/>
              </w:rPr>
              <w:t>Level 8</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4.667</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.055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84.265</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106.390</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1.718</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Gender (Reference = male)</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.400</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38.466</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1.492</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1.162</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Ethnicity (Reference = white):</w:t>
            </w:r>
          </w:p>
        </w:tc>
        <w:tc>
          <w:tcPr>
            <w:tcW w:w="83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BME</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.286</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.019</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14.270</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1.331</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1.117</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Unknown</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-.121</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.045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-2.663</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.008</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.886</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.948</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Special educational needs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-.671</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.013</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-50.672</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.511</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.712</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Free school meals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-.441</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-.015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-28.672</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.643</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.810</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English as additional language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.558</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.024</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23.267</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1.747</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1.220</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Persistent KS3 absentee (Reference = no)</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-1.021</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.031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-33.153</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.360</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.571</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0"/>
                <w:szCs w:val="20"/>
              </w:rPr>
            </w:pPr>
            <w:r>
              <w:rPr>
                <w:sz w:val="20"/>
                <w:szCs w:val="20"/>
              </w:rPr>
              <w:t>CoPE (Reference = ‘no CoPE offered in school’):</w:t>
            </w:r>
          </w:p>
        </w:tc>
        <w:tc>
          <w:tcPr>
            <w:tcW w:w="83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jc w:val="center"/>
              <w:rPr>
                <w:sz w:val="20"/>
                <w:szCs w:val="20"/>
              </w:rPr>
            </w:pP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Did not undertake CoPE in ‘thin’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.028</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.025</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1.130</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1.028</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1.012</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Undertook CoPE in ‘thin’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-.452</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.060</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-7.470</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.637</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.806</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Did not undertake CoPE in ‘wide’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.075</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.104</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.718</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.473</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1.078</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1.031</w:t>
            </w:r>
          </w:p>
        </w:tc>
      </w:tr>
      <w:tr w:rsidR="006E700E" w:rsidTr="006E700E">
        <w:trPr>
          <w:trHeight w:val="170"/>
        </w:trPr>
        <w:tc>
          <w:tcPr>
            <w:tcW w:w="3039" w:type="dxa"/>
            <w:tcBorders>
              <w:top w:val="single" w:sz="4" w:space="0" w:color="auto"/>
              <w:left w:val="single" w:sz="4" w:space="0" w:color="auto"/>
              <w:bottom w:val="single" w:sz="4" w:space="0" w:color="auto"/>
              <w:right w:val="single" w:sz="4" w:space="0" w:color="auto"/>
            </w:tcBorders>
            <w:hideMark/>
          </w:tcPr>
          <w:p w:rsidR="006E700E" w:rsidRDefault="006E700E" w:rsidP="003E095A">
            <w:pPr>
              <w:pStyle w:val="ListParagraph"/>
              <w:numPr>
                <w:ilvl w:val="0"/>
                <w:numId w:val="11"/>
              </w:numPr>
              <w:spacing w:line="276" w:lineRule="auto"/>
              <w:rPr>
                <w:sz w:val="20"/>
                <w:szCs w:val="20"/>
              </w:rPr>
            </w:pPr>
            <w:r>
              <w:rPr>
                <w:sz w:val="20"/>
                <w:szCs w:val="20"/>
              </w:rPr>
              <w:t>Undertook CoPE in ‘wide’ school</w:t>
            </w:r>
          </w:p>
        </w:tc>
        <w:tc>
          <w:tcPr>
            <w:tcW w:w="83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.464</w:t>
            </w:r>
          </w:p>
        </w:tc>
        <w:tc>
          <w:tcPr>
            <w:tcW w:w="808"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.102</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4.537</w:t>
            </w:r>
          </w:p>
        </w:tc>
        <w:tc>
          <w:tcPr>
            <w:tcW w:w="85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&lt;.001</w:t>
            </w:r>
          </w:p>
        </w:tc>
        <w:tc>
          <w:tcPr>
            <w:tcW w:w="99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1.590</w:t>
            </w:r>
          </w:p>
        </w:tc>
        <w:tc>
          <w:tcPr>
            <w:tcW w:w="895"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jc w:val="center"/>
              <w:rPr>
                <w:sz w:val="20"/>
                <w:szCs w:val="20"/>
              </w:rPr>
            </w:pPr>
            <w:r>
              <w:rPr>
                <w:sz w:val="20"/>
                <w:szCs w:val="20"/>
              </w:rPr>
              <w:t>1.186</w:t>
            </w:r>
          </w:p>
        </w:tc>
      </w:tr>
    </w:tbl>
    <w:p w:rsidR="006E700E" w:rsidRDefault="006E700E" w:rsidP="003E095A">
      <w:pPr>
        <w:spacing w:line="276" w:lineRule="auto"/>
      </w:pPr>
    </w:p>
    <w:p w:rsidR="006E700E" w:rsidRDefault="006E700E" w:rsidP="003E095A">
      <w:pPr>
        <w:spacing w:line="276" w:lineRule="auto"/>
      </w:pPr>
    </w:p>
    <w:p w:rsidR="006E700E" w:rsidRDefault="006E700E" w:rsidP="003E095A">
      <w:pPr>
        <w:spacing w:line="276" w:lineRule="auto"/>
      </w:pPr>
    </w:p>
    <w:p w:rsidR="006E700E" w:rsidRDefault="006E700E" w:rsidP="003E095A">
      <w:pPr>
        <w:spacing w:line="276" w:lineRule="auto"/>
      </w:pPr>
    </w:p>
    <w:p w:rsidR="006E700E" w:rsidRDefault="006E700E" w:rsidP="003E095A">
      <w:pPr>
        <w:spacing w:line="276" w:lineRule="auto"/>
        <w:rPr>
          <w:i/>
        </w:rPr>
      </w:pPr>
      <w:r>
        <w:rPr>
          <w:i/>
        </w:rPr>
        <w:lastRenderedPageBreak/>
        <w:t xml:space="preserve">Table 5: Good GCSE English pass, by explanatory variables and ‘imagined school’ </w:t>
      </w:r>
    </w:p>
    <w:tbl>
      <w:tblPr>
        <w:tblStyle w:val="TableGrid"/>
        <w:tblW w:w="8516" w:type="dxa"/>
        <w:tblLook w:val="04A0"/>
      </w:tblPr>
      <w:tblGrid>
        <w:gridCol w:w="1526"/>
        <w:gridCol w:w="1559"/>
        <w:gridCol w:w="921"/>
        <w:gridCol w:w="922"/>
        <w:gridCol w:w="850"/>
        <w:gridCol w:w="942"/>
        <w:gridCol w:w="932"/>
        <w:gridCol w:w="864"/>
      </w:tblGrid>
      <w:tr w:rsidR="006E700E" w:rsidTr="006E700E">
        <w:trPr>
          <w:trHeight w:val="1479"/>
        </w:trPr>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Pass rate –  CoPE ‘school’</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Pass rate – non- CoPE ‘school’</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Diff.</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 of pairs</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X</w:t>
            </w:r>
            <w:r>
              <w:rPr>
                <w:sz w:val="22"/>
                <w:szCs w:val="22"/>
                <w:vertAlign w:val="superscript"/>
              </w:rPr>
              <w:t>2</w:t>
            </w:r>
            <w:r>
              <w:rPr>
                <w:sz w:val="22"/>
                <w:szCs w:val="22"/>
              </w:rPr>
              <w:t xml:space="preserve"> test (all 1df)</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p value</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KS3 English</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Low (&lt;L5)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21.3</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11.9</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9.4</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779</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24.678</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&lt;.001</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Average (L5)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73.4</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69.8</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3.6</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1,555</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4.784</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.029</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High (&gt;L5)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98.9</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97.1</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1.8</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1,223</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9.184</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.002</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Gender</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Male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 xml:space="preserve">62.2 </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58.0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4.2</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1,589</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5.892</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.015</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Female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77.6</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73.4</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4.2</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1,968</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9.238</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.002</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 xml:space="preserve">Ethnicity </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White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69.0</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65.7</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3.3</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2,992</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7.446</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.006</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BME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80.1</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70.6</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9.5</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523</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12.863</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&lt;.001</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Unknown</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78.6</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78.6</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42</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.000</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1.000</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SEN</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45.0</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38.6</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6.4</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977</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8.349</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.004</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80.5</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77.1</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3.4</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2,580</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8.579</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.003</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FSM</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59.2</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52.5</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6.7</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579</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5.327</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.021</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73.0</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69.3</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3.7</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2,978</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9.891</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.002</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EAL</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82.1</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73.1</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9.0</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364</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8.608</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.003</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69.4</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65.8</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3.6</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3,193</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9.623</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.002</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Absentee</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44.4</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34.4</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10.0</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90</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1.884</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.170</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71.4</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67.4</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4.0</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3,467</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13.310</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&lt;.001</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Deprived area</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62.7</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59.0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3.7</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1,010</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2.845</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.092</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73.9</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69.5</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4.4</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2,547</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12.144</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&lt;.001</w:t>
            </w:r>
          </w:p>
        </w:tc>
      </w:tr>
    </w:tbl>
    <w:p w:rsidR="006E700E" w:rsidRDefault="006E700E" w:rsidP="003E095A">
      <w:pPr>
        <w:spacing w:line="276" w:lineRule="auto"/>
      </w:pPr>
    </w:p>
    <w:p w:rsidR="003E095A" w:rsidRDefault="006E700E" w:rsidP="00306C28">
      <w:pPr>
        <w:spacing w:line="276" w:lineRule="auto"/>
        <w:rPr>
          <w:i/>
        </w:rPr>
      </w:pPr>
      <w:r>
        <w:rPr>
          <w:i/>
        </w:rPr>
        <w:br w:type="page"/>
      </w:r>
    </w:p>
    <w:p w:rsidR="006E700E" w:rsidRDefault="006E700E" w:rsidP="003E095A">
      <w:pPr>
        <w:spacing w:line="276" w:lineRule="auto"/>
        <w:rPr>
          <w:i/>
        </w:rPr>
      </w:pPr>
      <w:r>
        <w:rPr>
          <w:i/>
        </w:rPr>
        <w:lastRenderedPageBreak/>
        <w:t xml:space="preserve">Table 6: Five good GCSE passes, by explanatory variables and ‘imagined school’ </w:t>
      </w:r>
    </w:p>
    <w:tbl>
      <w:tblPr>
        <w:tblStyle w:val="TableGrid"/>
        <w:tblW w:w="8516" w:type="dxa"/>
        <w:tblLook w:val="04A0"/>
      </w:tblPr>
      <w:tblGrid>
        <w:gridCol w:w="1526"/>
        <w:gridCol w:w="1559"/>
        <w:gridCol w:w="921"/>
        <w:gridCol w:w="922"/>
        <w:gridCol w:w="850"/>
        <w:gridCol w:w="942"/>
        <w:gridCol w:w="932"/>
        <w:gridCol w:w="864"/>
      </w:tblGrid>
      <w:tr w:rsidR="006E700E" w:rsidTr="006E700E">
        <w:trPr>
          <w:trHeight w:val="1479"/>
        </w:trPr>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Pass rate – CoPE ‘school’</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Pass rate – non-CoPE ‘school’</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Diff.</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 of pairs</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X</w:t>
            </w:r>
            <w:r>
              <w:rPr>
                <w:sz w:val="22"/>
                <w:szCs w:val="22"/>
                <w:vertAlign w:val="superscript"/>
              </w:rPr>
              <w:t>2</w:t>
            </w:r>
            <w:r>
              <w:rPr>
                <w:sz w:val="22"/>
                <w:szCs w:val="22"/>
              </w:rPr>
              <w:t xml:space="preserve"> test (all 1df)</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p value</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KS3 English</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Low (&lt;L5)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9.2</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3.2</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779</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5.686</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.017</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Average (L5)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51.9</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48.0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3.9</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1,555</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4.630</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.031</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High (&gt;L5)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91.5</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89.9</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1.6</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1,223</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1.753</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.186</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 xml:space="preserve">KS3 </w:t>
            </w:r>
            <w:proofErr w:type="spellStart"/>
            <w:r>
              <w:rPr>
                <w:sz w:val="22"/>
                <w:szCs w:val="22"/>
              </w:rPr>
              <w:t>maths</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Low (&lt;L5)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3.2</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3.1</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0.1</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781</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.021</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.885</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Average (L5)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32.1</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1.1</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831</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.226</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.635</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High (&gt;L5)</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87.7</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82.9</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5.8</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1,945</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18.111</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&lt;.001</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Gender</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Male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51.1</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48.0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3.1</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1,589</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3.147</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.076</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Female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60.3</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57.5</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2.8</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1,968</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3.060</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.080</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 xml:space="preserve">Ethnicity </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White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54.4</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51.9</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2.5</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2,992</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3.775</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.052</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BME</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65.6</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60.8</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4.6</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523</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2.569</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.109</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Unknown</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64.3</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54.8</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9.5</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42</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.791</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.374</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SEN</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27.1</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24.9</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2.2</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977</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1.287</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.257</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67.2</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64.0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3.2</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2,580</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5.773</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.016</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FSM</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43.4</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37.5</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5.9</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579</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4.145</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.042</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58.7</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56.3</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2.4</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2,978</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3.366</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.067</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EAL</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69.8</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61.8</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8.0</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364</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5.133</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.023</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54.6</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52.3</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2.3</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3,193</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3.540</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.060</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Absentee</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23.3</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17.8</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5.5</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90</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.851</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.356</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57.0</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54.2</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2.8</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3,467</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5.726</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.017</w:t>
            </w:r>
          </w:p>
        </w:tc>
      </w:tr>
      <w:tr w:rsidR="006E700E" w:rsidTr="006E700E">
        <w:tc>
          <w:tcPr>
            <w:tcW w:w="1526"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Deprived area</w:t>
            </w: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Yes</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47.1</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45.0</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2.1</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1,010</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.879</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.349</w:t>
            </w:r>
          </w:p>
        </w:tc>
      </w:tr>
      <w:tr w:rsidR="006E700E" w:rsidTr="006E700E">
        <w:tc>
          <w:tcPr>
            <w:tcW w:w="1526" w:type="dxa"/>
            <w:tcBorders>
              <w:top w:val="single" w:sz="4" w:space="0" w:color="auto"/>
              <w:left w:val="single" w:sz="4" w:space="0" w:color="auto"/>
              <w:bottom w:val="single" w:sz="4" w:space="0" w:color="auto"/>
              <w:right w:val="single" w:sz="4" w:space="0" w:color="auto"/>
            </w:tcBorders>
          </w:tcPr>
          <w:p w:rsidR="006E700E" w:rsidRDefault="006E700E" w:rsidP="003E095A">
            <w:pPr>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No</w:t>
            </w:r>
          </w:p>
        </w:tc>
        <w:tc>
          <w:tcPr>
            <w:tcW w:w="921"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59.8</w:t>
            </w:r>
          </w:p>
        </w:tc>
        <w:tc>
          <w:tcPr>
            <w:tcW w:w="92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56.5</w:t>
            </w:r>
          </w:p>
        </w:tc>
        <w:tc>
          <w:tcPr>
            <w:tcW w:w="850"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3.3</w:t>
            </w:r>
          </w:p>
        </w:tc>
        <w:tc>
          <w:tcPr>
            <w:tcW w:w="94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2,547</w:t>
            </w:r>
          </w:p>
        </w:tc>
        <w:tc>
          <w:tcPr>
            <w:tcW w:w="932"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5.556</w:t>
            </w:r>
          </w:p>
        </w:tc>
        <w:tc>
          <w:tcPr>
            <w:tcW w:w="864" w:type="dxa"/>
            <w:tcBorders>
              <w:top w:val="single" w:sz="4" w:space="0" w:color="auto"/>
              <w:left w:val="single" w:sz="4" w:space="0" w:color="auto"/>
              <w:bottom w:val="single" w:sz="4" w:space="0" w:color="auto"/>
              <w:right w:val="single" w:sz="4" w:space="0" w:color="auto"/>
            </w:tcBorders>
            <w:hideMark/>
          </w:tcPr>
          <w:p w:rsidR="006E700E" w:rsidRDefault="006E700E" w:rsidP="003E095A">
            <w:pPr>
              <w:spacing w:line="276" w:lineRule="auto"/>
              <w:rPr>
                <w:sz w:val="22"/>
                <w:szCs w:val="22"/>
              </w:rPr>
            </w:pPr>
            <w:r>
              <w:rPr>
                <w:sz w:val="22"/>
                <w:szCs w:val="22"/>
              </w:rPr>
              <w:t>.018</w:t>
            </w:r>
          </w:p>
        </w:tc>
      </w:tr>
    </w:tbl>
    <w:p w:rsidR="006E700E" w:rsidRDefault="006E700E" w:rsidP="003E095A">
      <w:pPr>
        <w:spacing w:line="276" w:lineRule="auto"/>
      </w:pPr>
    </w:p>
    <w:p w:rsidR="005F2215" w:rsidRDefault="005F2215" w:rsidP="003E095A">
      <w:pPr>
        <w:spacing w:line="276" w:lineRule="auto"/>
        <w:rPr>
          <w:lang w:val="en-GB"/>
        </w:rPr>
      </w:pPr>
      <w:r w:rsidRPr="008C148B">
        <w:rPr>
          <w:lang w:val="en-GB"/>
        </w:rPr>
        <w:br w:type="page"/>
      </w:r>
    </w:p>
    <w:p w:rsidR="00EC1440" w:rsidRPr="00EC1440" w:rsidRDefault="00EC1440" w:rsidP="003E095A">
      <w:pPr>
        <w:spacing w:line="276" w:lineRule="auto"/>
        <w:rPr>
          <w:b/>
          <w:lang w:val="en-GB"/>
        </w:rPr>
      </w:pPr>
      <w:r w:rsidRPr="00EC1440">
        <w:rPr>
          <w:b/>
          <w:lang w:val="en-GB"/>
        </w:rPr>
        <w:lastRenderedPageBreak/>
        <w:t>Author biographies</w:t>
      </w:r>
    </w:p>
    <w:p w:rsidR="00EC1440" w:rsidRDefault="00EC1440" w:rsidP="003E095A">
      <w:pPr>
        <w:spacing w:line="276" w:lineRule="auto"/>
        <w:rPr>
          <w:lang w:val="en-GB"/>
        </w:rPr>
      </w:pPr>
    </w:p>
    <w:p w:rsidR="00EC1440" w:rsidRDefault="00EC1440" w:rsidP="003E095A">
      <w:pPr>
        <w:spacing w:line="276" w:lineRule="auto"/>
        <w:rPr>
          <w:lang w:val="en-GB"/>
        </w:rPr>
      </w:pPr>
      <w:r w:rsidRPr="00EC1440">
        <w:rPr>
          <w:lang w:val="en-GB"/>
        </w:rPr>
        <w:t xml:space="preserve">Neil Harrison is a senior lecturer in the </w:t>
      </w:r>
      <w:r w:rsidR="002D54CC">
        <w:rPr>
          <w:lang w:val="en-GB"/>
        </w:rPr>
        <w:t>D</w:t>
      </w:r>
      <w:r w:rsidRPr="00EC1440">
        <w:rPr>
          <w:lang w:val="en-GB"/>
        </w:rPr>
        <w:t xml:space="preserve">epartment of </w:t>
      </w:r>
      <w:r w:rsidR="002D54CC">
        <w:rPr>
          <w:lang w:val="en-GB"/>
        </w:rPr>
        <w:t>E</w:t>
      </w:r>
      <w:r w:rsidRPr="00EC1440">
        <w:rPr>
          <w:lang w:val="en-GB"/>
        </w:rPr>
        <w:t>ducation at the University of the West of England.</w:t>
      </w:r>
      <w:r w:rsidR="002D54CC">
        <w:rPr>
          <w:lang w:val="en-GB"/>
        </w:rPr>
        <w:t xml:space="preserve">  His research interests include social justice, higher education policy, social class, </w:t>
      </w:r>
      <w:proofErr w:type="spellStart"/>
      <w:r w:rsidR="002D54CC">
        <w:rPr>
          <w:lang w:val="en-GB"/>
        </w:rPr>
        <w:t>geodemographics</w:t>
      </w:r>
      <w:proofErr w:type="spellEnd"/>
      <w:r w:rsidR="002D54CC">
        <w:rPr>
          <w:lang w:val="en-GB"/>
        </w:rPr>
        <w:t>, student financial support and intercultural relations.</w:t>
      </w:r>
    </w:p>
    <w:p w:rsidR="002D54CC" w:rsidRDefault="002D54CC" w:rsidP="003E095A">
      <w:pPr>
        <w:spacing w:line="276" w:lineRule="auto"/>
        <w:rPr>
          <w:lang w:val="en-GB"/>
        </w:rPr>
      </w:pPr>
    </w:p>
    <w:p w:rsidR="002D54CC" w:rsidRPr="002D54CC" w:rsidRDefault="002D54CC" w:rsidP="003E095A">
      <w:pPr>
        <w:spacing w:line="276" w:lineRule="auto"/>
        <w:rPr>
          <w:lang w:val="en-GB"/>
        </w:rPr>
      </w:pPr>
      <w:r w:rsidRPr="002D54CC">
        <w:rPr>
          <w:lang w:val="en-GB"/>
        </w:rPr>
        <w:t>David James</w:t>
      </w:r>
      <w:r>
        <w:rPr>
          <w:lang w:val="en-GB"/>
        </w:rPr>
        <w:t xml:space="preserve"> </w:t>
      </w:r>
      <w:r w:rsidR="00E772A0">
        <w:rPr>
          <w:lang w:val="en-GB"/>
        </w:rPr>
        <w:t xml:space="preserve">is Professor in the School of Social Sciences, Cardiff University, and Director of the ESRC Wales Doctoral Training Centre. His research </w:t>
      </w:r>
      <w:r w:rsidR="00E10D5A">
        <w:rPr>
          <w:lang w:val="en-GB"/>
        </w:rPr>
        <w:t xml:space="preserve">covers curriculum, learning </w:t>
      </w:r>
      <w:r w:rsidR="00E772A0">
        <w:rPr>
          <w:lang w:val="en-GB"/>
        </w:rPr>
        <w:t>and assessment in schools, FE and HE and the relationship between educational policy/practice and social inequality.</w:t>
      </w:r>
    </w:p>
    <w:p w:rsidR="002D54CC" w:rsidRPr="002D54CC" w:rsidRDefault="002D54CC" w:rsidP="003E095A">
      <w:pPr>
        <w:spacing w:line="276" w:lineRule="auto"/>
        <w:rPr>
          <w:lang w:val="en-GB"/>
        </w:rPr>
      </w:pPr>
    </w:p>
    <w:p w:rsidR="00306C28" w:rsidRDefault="002D54CC" w:rsidP="003E095A">
      <w:pPr>
        <w:spacing w:line="276" w:lineRule="auto"/>
        <w:rPr>
          <w:lang w:val="en-GB"/>
        </w:rPr>
      </w:pPr>
      <w:r w:rsidRPr="002D54CC">
        <w:rPr>
          <w:lang w:val="en-GB"/>
        </w:rPr>
        <w:t>Kathryn Last</w:t>
      </w:r>
      <w:r>
        <w:rPr>
          <w:lang w:val="en-GB"/>
        </w:rPr>
        <w:t xml:space="preserve"> is a research fellow </w:t>
      </w:r>
      <w:r w:rsidRPr="00EC1440">
        <w:rPr>
          <w:lang w:val="en-GB"/>
        </w:rPr>
        <w:t xml:space="preserve">in the </w:t>
      </w:r>
      <w:r>
        <w:rPr>
          <w:lang w:val="en-GB"/>
        </w:rPr>
        <w:t>D</w:t>
      </w:r>
      <w:r w:rsidRPr="00EC1440">
        <w:rPr>
          <w:lang w:val="en-GB"/>
        </w:rPr>
        <w:t xml:space="preserve">epartment of </w:t>
      </w:r>
      <w:r>
        <w:rPr>
          <w:lang w:val="en-GB"/>
        </w:rPr>
        <w:t>E</w:t>
      </w:r>
      <w:r w:rsidRPr="00EC1440">
        <w:rPr>
          <w:lang w:val="en-GB"/>
        </w:rPr>
        <w:t>ducation at the University of the West of England</w:t>
      </w:r>
      <w:r>
        <w:rPr>
          <w:lang w:val="en-GB"/>
        </w:rPr>
        <w:t>.  She specialises in qualitative methods and project evaluation across education, health and public services.</w:t>
      </w:r>
      <w:r w:rsidRPr="002D54CC">
        <w:rPr>
          <w:lang w:val="en-GB"/>
        </w:rPr>
        <w:t xml:space="preserve"> </w:t>
      </w:r>
    </w:p>
    <w:p w:rsidR="00306C28" w:rsidRDefault="00306C28" w:rsidP="003E095A">
      <w:pPr>
        <w:spacing w:line="276" w:lineRule="auto"/>
        <w:rPr>
          <w:lang w:val="en-GB"/>
        </w:rPr>
      </w:pPr>
    </w:p>
    <w:p w:rsidR="00306C28" w:rsidRDefault="00306C28" w:rsidP="003E095A">
      <w:pPr>
        <w:spacing w:line="276" w:lineRule="auto"/>
        <w:rPr>
          <w:lang w:val="en-GB"/>
        </w:rPr>
      </w:pPr>
    </w:p>
    <w:p w:rsidR="00306C28" w:rsidRPr="008C148B" w:rsidRDefault="00306C28" w:rsidP="00306C28">
      <w:pPr>
        <w:spacing w:line="276" w:lineRule="auto"/>
        <w:rPr>
          <w:b/>
          <w:lang w:val="en-GB"/>
        </w:rPr>
      </w:pPr>
      <w:r w:rsidRPr="008C148B">
        <w:rPr>
          <w:b/>
          <w:lang w:val="en-GB"/>
        </w:rPr>
        <w:t>Acknowledgement</w:t>
      </w:r>
    </w:p>
    <w:p w:rsidR="00306C28" w:rsidRPr="008C148B" w:rsidRDefault="00306C28" w:rsidP="00306C28">
      <w:pPr>
        <w:spacing w:line="276" w:lineRule="auto"/>
        <w:rPr>
          <w:b/>
          <w:lang w:val="en-GB"/>
        </w:rPr>
      </w:pPr>
      <w:r>
        <w:rPr>
          <w:lang w:val="en-GB"/>
        </w:rPr>
        <w:t>T</w:t>
      </w:r>
      <w:r w:rsidRPr="008C148B">
        <w:rPr>
          <w:lang w:val="en-GB"/>
        </w:rPr>
        <w:t>he study underpinning this paper was funded by ASDAN</w:t>
      </w:r>
      <w:r>
        <w:rPr>
          <w:lang w:val="en-GB"/>
        </w:rPr>
        <w:t>.  T</w:t>
      </w:r>
      <w:r w:rsidRPr="008C148B">
        <w:rPr>
          <w:lang w:val="en-GB"/>
        </w:rPr>
        <w:t xml:space="preserve">here was no intervention from ASDAN in the research process other than providing a list of </w:t>
      </w:r>
      <w:r>
        <w:rPr>
          <w:lang w:val="en-GB"/>
        </w:rPr>
        <w:t xml:space="preserve">relevant </w:t>
      </w:r>
      <w:r w:rsidRPr="008C148B">
        <w:rPr>
          <w:lang w:val="en-GB"/>
        </w:rPr>
        <w:t>schools from which those visited were chosen.</w:t>
      </w:r>
    </w:p>
    <w:p w:rsidR="00EC1440" w:rsidRPr="002D54CC" w:rsidRDefault="00EC1440" w:rsidP="003E095A">
      <w:pPr>
        <w:spacing w:line="276" w:lineRule="auto"/>
        <w:rPr>
          <w:lang w:val="en-GB"/>
        </w:rPr>
      </w:pPr>
      <w:r w:rsidRPr="002D54CC">
        <w:rPr>
          <w:lang w:val="en-GB"/>
        </w:rPr>
        <w:br w:type="page"/>
      </w:r>
    </w:p>
    <w:p w:rsidR="006D6953" w:rsidRPr="008C148B" w:rsidRDefault="006D6953" w:rsidP="003E095A">
      <w:pPr>
        <w:spacing w:line="276" w:lineRule="auto"/>
        <w:rPr>
          <w:u w:val="single"/>
          <w:lang w:val="en-GB"/>
        </w:rPr>
      </w:pPr>
      <w:r w:rsidRPr="008C148B">
        <w:rPr>
          <w:u w:val="single"/>
          <w:lang w:val="en-GB"/>
        </w:rPr>
        <w:lastRenderedPageBreak/>
        <w:t>References:</w:t>
      </w:r>
    </w:p>
    <w:p w:rsidR="006D6953" w:rsidRPr="008C148B" w:rsidRDefault="006D6953" w:rsidP="003E095A">
      <w:pPr>
        <w:spacing w:line="276" w:lineRule="auto"/>
        <w:rPr>
          <w:lang w:val="en-GB"/>
        </w:rPr>
      </w:pPr>
    </w:p>
    <w:p w:rsidR="00343840" w:rsidRDefault="00343840" w:rsidP="003E095A">
      <w:pPr>
        <w:spacing w:line="276" w:lineRule="auto"/>
        <w:ind w:left="426" w:hanging="426"/>
      </w:pPr>
      <w:r>
        <w:rPr>
          <w:rStyle w:val="personname"/>
        </w:rPr>
        <w:t xml:space="preserve">Alexander, </w:t>
      </w:r>
      <w:r w:rsidR="00125184">
        <w:rPr>
          <w:rStyle w:val="personname"/>
        </w:rPr>
        <w:t>R.</w:t>
      </w:r>
      <w:r>
        <w:t xml:space="preserve"> (2012) </w:t>
      </w:r>
      <w:r w:rsidRPr="00125184">
        <w:rPr>
          <w:rStyle w:val="Emphasis"/>
          <w:i w:val="0"/>
        </w:rPr>
        <w:t>Moral panic, miracle cures and educational polic</w:t>
      </w:r>
      <w:r w:rsidR="00125184" w:rsidRPr="00125184">
        <w:rPr>
          <w:rStyle w:val="Emphasis"/>
          <w:i w:val="0"/>
        </w:rPr>
        <w:t>y</w:t>
      </w:r>
      <w:r w:rsidRPr="00125184">
        <w:rPr>
          <w:rStyle w:val="Emphasis"/>
          <w:i w:val="0"/>
        </w:rPr>
        <w:t>: what can we really learn from international comparison?</w:t>
      </w:r>
      <w:r>
        <w:t xml:space="preserve"> </w:t>
      </w:r>
      <w:r w:rsidRPr="00125184">
        <w:rPr>
          <w:i/>
        </w:rPr>
        <w:t>Scottish Educational Review</w:t>
      </w:r>
      <w:r w:rsidR="00125184">
        <w:t>, 44(1),</w:t>
      </w:r>
      <w:r>
        <w:t xml:space="preserve"> 4-21. </w:t>
      </w:r>
    </w:p>
    <w:p w:rsidR="00733C21" w:rsidRPr="008C148B" w:rsidRDefault="00733C21" w:rsidP="003E095A">
      <w:pPr>
        <w:spacing w:line="276" w:lineRule="auto"/>
        <w:ind w:left="426" w:hanging="426"/>
        <w:rPr>
          <w:lang w:val="en-GB"/>
        </w:rPr>
      </w:pPr>
      <w:r w:rsidRPr="008C148B">
        <w:rPr>
          <w:lang w:val="en-GB"/>
        </w:rPr>
        <w:t xml:space="preserve">Ball, S. (2008) </w:t>
      </w:r>
      <w:r w:rsidRPr="008C148B">
        <w:rPr>
          <w:i/>
          <w:iCs/>
          <w:lang w:val="en-GB"/>
        </w:rPr>
        <w:t>The education debate: policy and politics in the twenty-first century</w:t>
      </w:r>
      <w:r w:rsidRPr="008C148B">
        <w:rPr>
          <w:lang w:val="en-GB"/>
        </w:rPr>
        <w:t xml:space="preserve"> (Bristol, Policy Press).</w:t>
      </w:r>
    </w:p>
    <w:p w:rsidR="001142AC" w:rsidRPr="008C148B" w:rsidRDefault="001142AC" w:rsidP="003E095A">
      <w:pPr>
        <w:spacing w:line="276" w:lineRule="auto"/>
        <w:ind w:left="426" w:hanging="426"/>
        <w:rPr>
          <w:lang w:val="en-GB"/>
        </w:rPr>
      </w:pPr>
      <w:proofErr w:type="spellStart"/>
      <w:r w:rsidRPr="008C148B">
        <w:rPr>
          <w:lang w:val="en-GB"/>
        </w:rPr>
        <w:t>Bertaux</w:t>
      </w:r>
      <w:proofErr w:type="spellEnd"/>
      <w:r w:rsidRPr="008C148B">
        <w:rPr>
          <w:lang w:val="en-GB"/>
        </w:rPr>
        <w:t xml:space="preserve">, D. (1981) </w:t>
      </w:r>
      <w:r w:rsidRPr="008C148B">
        <w:rPr>
          <w:i/>
          <w:lang w:val="en-GB"/>
        </w:rPr>
        <w:t xml:space="preserve">Biography and society: the life-history approach in the social sciences </w:t>
      </w:r>
      <w:r w:rsidRPr="008C148B">
        <w:rPr>
          <w:lang w:val="en-GB"/>
        </w:rPr>
        <w:t>(London/Beverly Hills, Sage).</w:t>
      </w:r>
    </w:p>
    <w:p w:rsidR="009356B9" w:rsidRPr="008C148B" w:rsidRDefault="009356B9" w:rsidP="003E095A">
      <w:pPr>
        <w:spacing w:line="276" w:lineRule="auto"/>
        <w:ind w:left="426" w:hanging="426"/>
        <w:rPr>
          <w:lang w:val="en-GB"/>
        </w:rPr>
      </w:pPr>
      <w:r w:rsidRPr="008C148B">
        <w:rPr>
          <w:lang w:val="en-GB"/>
        </w:rPr>
        <w:t xml:space="preserve">Braun, A., Maguire, M. &amp; Ball, S. (2010) Policy enactments in the UK secondary school: examining policy, practice and school positioning, </w:t>
      </w:r>
      <w:r w:rsidRPr="008C148B">
        <w:rPr>
          <w:i/>
          <w:lang w:val="en-GB"/>
        </w:rPr>
        <w:t>Journal of Education Policy</w:t>
      </w:r>
      <w:r w:rsidRPr="008C148B">
        <w:rPr>
          <w:lang w:val="en-GB"/>
        </w:rPr>
        <w:t>, 25 (4), 547-560.</w:t>
      </w:r>
    </w:p>
    <w:p w:rsidR="00733C21" w:rsidRPr="008C148B" w:rsidRDefault="00733C21" w:rsidP="003E095A">
      <w:pPr>
        <w:spacing w:line="276" w:lineRule="auto"/>
        <w:ind w:left="426" w:hanging="426"/>
        <w:rPr>
          <w:lang w:val="en-GB"/>
        </w:rPr>
      </w:pPr>
      <w:r w:rsidRPr="008C148B">
        <w:rPr>
          <w:lang w:val="en-GB"/>
        </w:rPr>
        <w:t xml:space="preserve">Brown, P., Lauder, H. &amp; Ashton D. (2011) </w:t>
      </w:r>
      <w:r w:rsidRPr="008C148B">
        <w:rPr>
          <w:i/>
          <w:iCs/>
          <w:lang w:val="en-GB"/>
        </w:rPr>
        <w:t>The global auction (</w:t>
      </w:r>
      <w:r w:rsidRPr="008C148B">
        <w:rPr>
          <w:lang w:val="en-GB"/>
        </w:rPr>
        <w:t>Oxford: Oxford University Press).</w:t>
      </w:r>
    </w:p>
    <w:p w:rsidR="00D3634D" w:rsidRPr="008C148B" w:rsidRDefault="00057A63" w:rsidP="003E095A">
      <w:pPr>
        <w:spacing w:line="276" w:lineRule="auto"/>
        <w:ind w:left="426" w:hanging="426"/>
        <w:rPr>
          <w:lang w:val="en-GB"/>
        </w:rPr>
      </w:pPr>
      <w:proofErr w:type="spellStart"/>
      <w:r w:rsidRPr="008C148B">
        <w:rPr>
          <w:lang w:val="en-GB"/>
        </w:rPr>
        <w:t>Coffield</w:t>
      </w:r>
      <w:proofErr w:type="spellEnd"/>
      <w:r w:rsidRPr="008C148B">
        <w:rPr>
          <w:lang w:val="en-GB"/>
        </w:rPr>
        <w:t xml:space="preserve">, F. </w:t>
      </w:r>
      <w:r w:rsidR="00786109" w:rsidRPr="008C148B">
        <w:rPr>
          <w:lang w:val="en-GB"/>
        </w:rPr>
        <w:t>&amp;</w:t>
      </w:r>
      <w:r w:rsidRPr="008C148B">
        <w:rPr>
          <w:lang w:val="en-GB"/>
        </w:rPr>
        <w:t xml:space="preserve"> Williamson, B. (2011) </w:t>
      </w:r>
      <w:r w:rsidR="00217623" w:rsidRPr="008C148B">
        <w:rPr>
          <w:i/>
          <w:lang w:val="en-GB"/>
        </w:rPr>
        <w:t>From exam factories to communities of discovery: the democratic r</w:t>
      </w:r>
      <w:r w:rsidRPr="008C148B">
        <w:rPr>
          <w:i/>
          <w:lang w:val="en-GB"/>
        </w:rPr>
        <w:t>oute</w:t>
      </w:r>
      <w:r w:rsidRPr="008C148B">
        <w:rPr>
          <w:lang w:val="en-GB"/>
        </w:rPr>
        <w:t xml:space="preserve"> </w:t>
      </w:r>
      <w:r w:rsidR="00217623" w:rsidRPr="008C148B">
        <w:rPr>
          <w:lang w:val="en-GB"/>
        </w:rPr>
        <w:t xml:space="preserve">(London, </w:t>
      </w:r>
      <w:r w:rsidRPr="008C148B">
        <w:rPr>
          <w:lang w:val="en-GB"/>
        </w:rPr>
        <w:t>Institute of Education</w:t>
      </w:r>
      <w:r w:rsidR="00217623" w:rsidRPr="008C148B">
        <w:rPr>
          <w:lang w:val="en-GB"/>
        </w:rPr>
        <w:t>).</w:t>
      </w:r>
    </w:p>
    <w:p w:rsidR="00D3634D" w:rsidRPr="008C148B" w:rsidRDefault="00D3634D" w:rsidP="003E095A">
      <w:pPr>
        <w:spacing w:line="276" w:lineRule="auto"/>
        <w:ind w:left="426" w:hanging="426"/>
        <w:rPr>
          <w:lang w:val="en-GB"/>
        </w:rPr>
      </w:pPr>
      <w:proofErr w:type="spellStart"/>
      <w:r w:rsidRPr="008C148B">
        <w:rPr>
          <w:lang w:val="en-GB"/>
        </w:rPr>
        <w:t>Croll</w:t>
      </w:r>
      <w:proofErr w:type="spellEnd"/>
      <w:r w:rsidRPr="008C148B">
        <w:rPr>
          <w:lang w:val="en-GB"/>
        </w:rPr>
        <w:t xml:space="preserve">, P. (2009) Educational participation post-16: a longitudinal analysis of intentions and outcomes, </w:t>
      </w:r>
      <w:r w:rsidRPr="008C148B">
        <w:rPr>
          <w:i/>
          <w:lang w:val="en-GB"/>
        </w:rPr>
        <w:t>British Journal of Educational Studies,</w:t>
      </w:r>
      <w:r w:rsidRPr="008C148B">
        <w:rPr>
          <w:lang w:val="en-GB"/>
        </w:rPr>
        <w:t xml:space="preserve"> 57(4), 400-416.</w:t>
      </w:r>
    </w:p>
    <w:p w:rsidR="0030414B" w:rsidRPr="008C148B" w:rsidRDefault="00067E56" w:rsidP="003E095A">
      <w:pPr>
        <w:spacing w:line="276" w:lineRule="auto"/>
        <w:ind w:left="426" w:hanging="426"/>
        <w:rPr>
          <w:lang w:val="en-GB"/>
        </w:rPr>
      </w:pPr>
      <w:r w:rsidRPr="008C148B">
        <w:rPr>
          <w:lang w:val="en-GB"/>
        </w:rPr>
        <w:t xml:space="preserve">Crombie White, R. </w:t>
      </w:r>
      <w:r w:rsidR="00217623" w:rsidRPr="008C148B">
        <w:rPr>
          <w:lang w:val="en-GB"/>
        </w:rPr>
        <w:t>(1996)</w:t>
      </w:r>
      <w:r w:rsidRPr="008C148B">
        <w:rPr>
          <w:lang w:val="en-GB"/>
        </w:rPr>
        <w:t xml:space="preserve"> </w:t>
      </w:r>
      <w:r w:rsidRPr="008C148B">
        <w:rPr>
          <w:i/>
          <w:iCs/>
          <w:lang w:val="en-GB"/>
        </w:rPr>
        <w:t>Curriculum innovation</w:t>
      </w:r>
      <w:r w:rsidR="00217623" w:rsidRPr="008C148B">
        <w:rPr>
          <w:lang w:val="en-GB"/>
        </w:rPr>
        <w:t xml:space="preserve"> (Maidenhead,</w:t>
      </w:r>
      <w:r w:rsidRPr="008C148B">
        <w:rPr>
          <w:lang w:val="en-GB"/>
        </w:rPr>
        <w:t xml:space="preserve"> Open University Press</w:t>
      </w:r>
      <w:r w:rsidR="00217623" w:rsidRPr="008C148B">
        <w:rPr>
          <w:lang w:val="en-GB"/>
        </w:rPr>
        <w:t>)</w:t>
      </w:r>
      <w:r w:rsidRPr="008C148B">
        <w:rPr>
          <w:lang w:val="en-GB"/>
        </w:rPr>
        <w:t>.</w:t>
      </w:r>
    </w:p>
    <w:p w:rsidR="00AF7565" w:rsidRPr="008C148B" w:rsidRDefault="005B4A44" w:rsidP="003E095A">
      <w:pPr>
        <w:spacing w:line="276" w:lineRule="auto"/>
        <w:ind w:left="426" w:hanging="426"/>
        <w:rPr>
          <w:lang w:val="en-GB"/>
        </w:rPr>
      </w:pPr>
      <w:r w:rsidRPr="008C148B">
        <w:rPr>
          <w:lang w:val="en-GB"/>
        </w:rPr>
        <w:t>d</w:t>
      </w:r>
      <w:r w:rsidR="00AF7565" w:rsidRPr="008C148B">
        <w:rPr>
          <w:lang w:val="en-GB"/>
        </w:rPr>
        <w:t xml:space="preserve">e Wall, A. (2009) </w:t>
      </w:r>
      <w:r w:rsidR="00AF7565" w:rsidRPr="008C148B">
        <w:rPr>
          <w:i/>
          <w:lang w:val="en-GB"/>
        </w:rPr>
        <w:t>School improvement – or the ‘equivalent’</w:t>
      </w:r>
      <w:r w:rsidR="00AF7565" w:rsidRPr="008C148B">
        <w:rPr>
          <w:lang w:val="en-GB"/>
        </w:rPr>
        <w:t xml:space="preserve">. London: </w:t>
      </w:r>
      <w:proofErr w:type="spellStart"/>
      <w:r w:rsidR="00AF7565" w:rsidRPr="008C148B">
        <w:rPr>
          <w:lang w:val="en-GB"/>
        </w:rPr>
        <w:t>Civitas</w:t>
      </w:r>
      <w:proofErr w:type="spellEnd"/>
      <w:r w:rsidR="00AF7565" w:rsidRPr="008C148B">
        <w:rPr>
          <w:lang w:val="en-GB"/>
        </w:rPr>
        <w:t>.</w:t>
      </w:r>
    </w:p>
    <w:p w:rsidR="00057A63" w:rsidRPr="008C148B" w:rsidRDefault="0030414B" w:rsidP="003E095A">
      <w:pPr>
        <w:spacing w:line="276" w:lineRule="auto"/>
        <w:ind w:left="426" w:hanging="426"/>
        <w:rPr>
          <w:rFonts w:cs="Arial"/>
          <w:color w:val="000000"/>
          <w:lang w:val="en-GB"/>
        </w:rPr>
      </w:pPr>
      <w:r w:rsidRPr="008C148B">
        <w:rPr>
          <w:lang w:val="en-GB"/>
        </w:rPr>
        <w:t xml:space="preserve">Department for Communities and Local Government (2011) </w:t>
      </w:r>
      <w:r w:rsidRPr="008C148B">
        <w:rPr>
          <w:rFonts w:cs="Arial"/>
          <w:i/>
          <w:color w:val="000000"/>
          <w:lang w:val="en-GB"/>
        </w:rPr>
        <w:t>The English Indices of Deprivation 2010</w:t>
      </w:r>
      <w:r w:rsidR="00217623" w:rsidRPr="008C148B">
        <w:rPr>
          <w:rFonts w:cs="Arial"/>
          <w:color w:val="000000"/>
          <w:lang w:val="en-GB"/>
        </w:rPr>
        <w:t xml:space="preserve"> (London, </w:t>
      </w:r>
      <w:r w:rsidRPr="008C148B">
        <w:rPr>
          <w:rFonts w:cs="Arial"/>
          <w:color w:val="000000"/>
          <w:lang w:val="en-GB"/>
        </w:rPr>
        <w:t>DCLG</w:t>
      </w:r>
      <w:r w:rsidR="00217623" w:rsidRPr="008C148B">
        <w:rPr>
          <w:rFonts w:cs="Arial"/>
          <w:color w:val="000000"/>
          <w:lang w:val="en-GB"/>
        </w:rPr>
        <w:t>)</w:t>
      </w:r>
      <w:r w:rsidRPr="008C148B">
        <w:rPr>
          <w:rFonts w:cs="Arial"/>
          <w:color w:val="000000"/>
          <w:lang w:val="en-GB"/>
        </w:rPr>
        <w:t>.</w:t>
      </w:r>
    </w:p>
    <w:p w:rsidR="001A24E7" w:rsidRDefault="001A24E7" w:rsidP="003E095A">
      <w:pPr>
        <w:pStyle w:val="Default"/>
        <w:spacing w:line="276" w:lineRule="auto"/>
        <w:ind w:left="425" w:hanging="425"/>
        <w:rPr>
          <w:rFonts w:asciiTheme="minorHAnsi" w:hAnsiTheme="minorHAnsi"/>
          <w:lang w:val="en-GB"/>
        </w:rPr>
      </w:pPr>
      <w:r w:rsidRPr="008C148B">
        <w:rPr>
          <w:rFonts w:asciiTheme="minorHAnsi" w:hAnsiTheme="minorHAnsi"/>
          <w:lang w:val="en-GB"/>
        </w:rPr>
        <w:t xml:space="preserve">Department for Education (2012) </w:t>
      </w:r>
      <w:r w:rsidRPr="008C148B">
        <w:rPr>
          <w:rFonts w:asciiTheme="minorHAnsi" w:hAnsiTheme="minorHAnsi"/>
          <w:i/>
          <w:lang w:val="en-GB"/>
        </w:rPr>
        <w:t>Performance tables: only the highest quality qualifications to be included</w:t>
      </w:r>
      <w:r w:rsidRPr="008C148B">
        <w:rPr>
          <w:rFonts w:asciiTheme="minorHAnsi" w:hAnsiTheme="minorHAnsi"/>
          <w:lang w:val="en-GB"/>
        </w:rPr>
        <w:t>, available online at www.gov.uk/government/news/performance-tables-only-the-highest-quality-qualifications-to-be-included, last accessed on 20</w:t>
      </w:r>
      <w:r w:rsidRPr="008C148B">
        <w:rPr>
          <w:rFonts w:asciiTheme="minorHAnsi" w:hAnsiTheme="minorHAnsi"/>
          <w:vertAlign w:val="superscript"/>
          <w:lang w:val="en-GB"/>
        </w:rPr>
        <w:t>th</w:t>
      </w:r>
      <w:r w:rsidRPr="008C148B">
        <w:rPr>
          <w:rFonts w:asciiTheme="minorHAnsi" w:hAnsiTheme="minorHAnsi"/>
          <w:lang w:val="en-GB"/>
        </w:rPr>
        <w:t xml:space="preserve"> August 2013.</w:t>
      </w:r>
    </w:p>
    <w:p w:rsidR="00B22540" w:rsidRDefault="00B22540" w:rsidP="003E095A">
      <w:pPr>
        <w:pStyle w:val="Default"/>
        <w:spacing w:line="276" w:lineRule="auto"/>
        <w:ind w:left="425" w:hanging="425"/>
        <w:rPr>
          <w:rFonts w:asciiTheme="minorHAnsi" w:hAnsiTheme="minorHAnsi"/>
          <w:lang w:val="en-GB"/>
        </w:rPr>
      </w:pPr>
      <w:r>
        <w:rPr>
          <w:rFonts w:asciiTheme="minorHAnsi" w:hAnsiTheme="minorHAnsi"/>
          <w:lang w:val="en-GB"/>
        </w:rPr>
        <w:t xml:space="preserve">Doyle, L. (2012) Conceptualising a </w:t>
      </w:r>
      <w:r w:rsidR="00BC3FF4">
        <w:rPr>
          <w:rFonts w:asciiTheme="minorHAnsi" w:hAnsiTheme="minorHAnsi"/>
          <w:lang w:val="en-GB"/>
        </w:rPr>
        <w:t>t</w:t>
      </w:r>
      <w:r>
        <w:rPr>
          <w:rFonts w:asciiTheme="minorHAnsi" w:hAnsiTheme="minorHAnsi"/>
          <w:lang w:val="en-GB"/>
        </w:rPr>
        <w:t xml:space="preserve">ransition: the case of vocational and academic learning in England, Scotland and the USA, </w:t>
      </w:r>
      <w:r>
        <w:rPr>
          <w:rFonts w:asciiTheme="minorHAnsi" w:hAnsiTheme="minorHAnsi"/>
          <w:i/>
          <w:lang w:val="en-GB"/>
        </w:rPr>
        <w:t xml:space="preserve">Research in Comparative and International Education </w:t>
      </w:r>
      <w:r>
        <w:rPr>
          <w:rFonts w:asciiTheme="minorHAnsi" w:hAnsiTheme="minorHAnsi"/>
          <w:lang w:val="en-GB"/>
        </w:rPr>
        <w:t>7 (4), 446-464</w:t>
      </w:r>
      <w:r w:rsidR="00BC3FF4">
        <w:rPr>
          <w:rFonts w:asciiTheme="minorHAnsi" w:hAnsiTheme="minorHAnsi"/>
          <w:lang w:val="en-GB"/>
        </w:rPr>
        <w:t>.</w:t>
      </w:r>
    </w:p>
    <w:p w:rsidR="00FB5853" w:rsidRPr="00FB5853" w:rsidRDefault="00FB5853" w:rsidP="003E095A">
      <w:pPr>
        <w:pStyle w:val="Default"/>
        <w:spacing w:line="276" w:lineRule="auto"/>
        <w:ind w:left="425" w:hanging="425"/>
        <w:rPr>
          <w:rFonts w:asciiTheme="minorHAnsi" w:hAnsiTheme="minorHAnsi"/>
          <w:lang w:val="en-GB"/>
        </w:rPr>
      </w:pPr>
      <w:r>
        <w:rPr>
          <w:rFonts w:asciiTheme="minorHAnsi" w:hAnsiTheme="minorHAnsi"/>
          <w:lang w:val="en-GB"/>
        </w:rPr>
        <w:t xml:space="preserve">Elliott, J. (2014) Lessons from abroad: whatever happened to pedagogy? </w:t>
      </w:r>
      <w:r>
        <w:rPr>
          <w:rFonts w:asciiTheme="minorHAnsi" w:hAnsiTheme="minorHAnsi"/>
          <w:i/>
          <w:lang w:val="en-GB"/>
        </w:rPr>
        <w:t>Comparative Education</w:t>
      </w:r>
      <w:r>
        <w:rPr>
          <w:rFonts w:asciiTheme="minorHAnsi" w:hAnsiTheme="minorHAnsi"/>
          <w:lang w:val="en-GB"/>
        </w:rPr>
        <w:t>, 50(1), 27-44.</w:t>
      </w:r>
    </w:p>
    <w:p w:rsidR="00BC3FF4" w:rsidRPr="00BC3FF4" w:rsidRDefault="00BC3FF4" w:rsidP="003E095A">
      <w:pPr>
        <w:pStyle w:val="Default"/>
        <w:spacing w:line="276" w:lineRule="auto"/>
        <w:ind w:left="425" w:hanging="425"/>
        <w:rPr>
          <w:rFonts w:asciiTheme="minorHAnsi" w:hAnsiTheme="minorHAnsi"/>
          <w:lang w:val="en-GB"/>
        </w:rPr>
      </w:pPr>
      <w:proofErr w:type="spellStart"/>
      <w:r>
        <w:rPr>
          <w:rFonts w:asciiTheme="minorHAnsi" w:hAnsiTheme="minorHAnsi"/>
          <w:lang w:val="en-GB"/>
        </w:rPr>
        <w:t>Feniger</w:t>
      </w:r>
      <w:proofErr w:type="spellEnd"/>
      <w:r>
        <w:rPr>
          <w:rFonts w:asciiTheme="minorHAnsi" w:hAnsiTheme="minorHAnsi"/>
          <w:lang w:val="en-GB"/>
        </w:rPr>
        <w:t xml:space="preserve">, Y. &amp; </w:t>
      </w:r>
      <w:proofErr w:type="spellStart"/>
      <w:r>
        <w:rPr>
          <w:rFonts w:asciiTheme="minorHAnsi" w:hAnsiTheme="minorHAnsi"/>
          <w:lang w:val="en-GB"/>
        </w:rPr>
        <w:t>Lefstein</w:t>
      </w:r>
      <w:proofErr w:type="spellEnd"/>
      <w:r>
        <w:rPr>
          <w:rFonts w:asciiTheme="minorHAnsi" w:hAnsiTheme="minorHAnsi"/>
          <w:lang w:val="en-GB"/>
        </w:rPr>
        <w:t xml:space="preserve">, A. (in press) How not to reason with PISA data: an ironic investigation, awaiting publication in </w:t>
      </w:r>
      <w:r>
        <w:rPr>
          <w:rFonts w:asciiTheme="minorHAnsi" w:hAnsiTheme="minorHAnsi"/>
          <w:i/>
          <w:lang w:val="en-GB"/>
        </w:rPr>
        <w:t>Journal of Education Policy</w:t>
      </w:r>
      <w:r>
        <w:rPr>
          <w:rFonts w:asciiTheme="minorHAnsi" w:hAnsiTheme="minorHAnsi"/>
          <w:lang w:val="en-GB"/>
        </w:rPr>
        <w:t xml:space="preserve"> (</w:t>
      </w:r>
      <w:proofErr w:type="spellStart"/>
      <w:r>
        <w:rPr>
          <w:rFonts w:asciiTheme="minorHAnsi" w:hAnsiTheme="minorHAnsi"/>
          <w:lang w:val="en-GB"/>
        </w:rPr>
        <w:t>doi</w:t>
      </w:r>
      <w:proofErr w:type="spellEnd"/>
      <w:r>
        <w:rPr>
          <w:rFonts w:asciiTheme="minorHAnsi" w:hAnsiTheme="minorHAnsi"/>
          <w:lang w:val="en-GB"/>
        </w:rPr>
        <w:t xml:space="preserve">: </w:t>
      </w:r>
      <w:r>
        <w:t>10.1080/02680939.2014.892156)</w:t>
      </w:r>
    </w:p>
    <w:p w:rsidR="00E47DDD" w:rsidRPr="008C148B" w:rsidRDefault="00057A63" w:rsidP="003E095A">
      <w:pPr>
        <w:spacing w:line="276" w:lineRule="auto"/>
        <w:ind w:left="426" w:hanging="426"/>
        <w:rPr>
          <w:lang w:val="en-GB"/>
        </w:rPr>
      </w:pPr>
      <w:r w:rsidRPr="008C148B">
        <w:rPr>
          <w:lang w:val="en-GB"/>
        </w:rPr>
        <w:t xml:space="preserve">Fielding, M. </w:t>
      </w:r>
      <w:r w:rsidR="00217623" w:rsidRPr="008C148B">
        <w:rPr>
          <w:lang w:val="en-GB"/>
        </w:rPr>
        <w:t>&amp;</w:t>
      </w:r>
      <w:r w:rsidRPr="008C148B">
        <w:rPr>
          <w:lang w:val="en-GB"/>
        </w:rPr>
        <w:t xml:space="preserve"> Moss, P. (2011) </w:t>
      </w:r>
      <w:r w:rsidR="00217623" w:rsidRPr="008C148B">
        <w:rPr>
          <w:i/>
          <w:lang w:val="en-GB"/>
        </w:rPr>
        <w:t>Radical education and the common s</w:t>
      </w:r>
      <w:r w:rsidRPr="008C148B">
        <w:rPr>
          <w:i/>
          <w:lang w:val="en-GB"/>
        </w:rPr>
        <w:t>chool</w:t>
      </w:r>
      <w:r w:rsidR="00217623" w:rsidRPr="008C148B">
        <w:rPr>
          <w:i/>
          <w:lang w:val="en-GB"/>
        </w:rPr>
        <w:t xml:space="preserve"> </w:t>
      </w:r>
      <w:r w:rsidR="00217623" w:rsidRPr="008C148B">
        <w:rPr>
          <w:lang w:val="en-GB"/>
        </w:rPr>
        <w:t>(</w:t>
      </w:r>
      <w:r w:rsidRPr="008C148B">
        <w:rPr>
          <w:lang w:val="en-GB"/>
        </w:rPr>
        <w:t>London</w:t>
      </w:r>
      <w:r w:rsidR="00217623" w:rsidRPr="008C148B">
        <w:rPr>
          <w:lang w:val="en-GB"/>
        </w:rPr>
        <w:t xml:space="preserve"> and New York,</w:t>
      </w:r>
      <w:r w:rsidRPr="008C148B">
        <w:rPr>
          <w:lang w:val="en-GB"/>
        </w:rPr>
        <w:t xml:space="preserve"> </w:t>
      </w:r>
      <w:proofErr w:type="spellStart"/>
      <w:r w:rsidRPr="008C148B">
        <w:rPr>
          <w:lang w:val="en-GB"/>
        </w:rPr>
        <w:t>Routledge</w:t>
      </w:r>
      <w:proofErr w:type="spellEnd"/>
      <w:r w:rsidR="00217623" w:rsidRPr="008C148B">
        <w:rPr>
          <w:lang w:val="en-GB"/>
        </w:rPr>
        <w:t>).</w:t>
      </w:r>
    </w:p>
    <w:p w:rsidR="00AF549C" w:rsidRDefault="00E47DDD" w:rsidP="003E095A">
      <w:pPr>
        <w:spacing w:line="276" w:lineRule="auto"/>
        <w:ind w:left="426" w:hanging="426"/>
        <w:rPr>
          <w:rFonts w:eastAsia="Times New Roman" w:cs="Times New Roman"/>
          <w:lang w:val="en-GB"/>
        </w:rPr>
      </w:pPr>
      <w:proofErr w:type="spellStart"/>
      <w:r w:rsidRPr="008C148B">
        <w:rPr>
          <w:lang w:val="en-GB"/>
        </w:rPr>
        <w:t>Flyvbjerg</w:t>
      </w:r>
      <w:proofErr w:type="spellEnd"/>
      <w:r w:rsidRPr="008C148B">
        <w:rPr>
          <w:lang w:val="en-GB"/>
        </w:rPr>
        <w:t>, B.</w:t>
      </w:r>
      <w:r w:rsidR="0071362C" w:rsidRPr="008C148B">
        <w:rPr>
          <w:rFonts w:eastAsia="Times New Roman" w:cs="Times New Roman"/>
          <w:lang w:val="en-GB"/>
        </w:rPr>
        <w:t xml:space="preserve"> (2006)</w:t>
      </w:r>
      <w:r w:rsidR="00217623" w:rsidRPr="008C148B">
        <w:rPr>
          <w:rFonts w:eastAsia="Times New Roman" w:cs="Times New Roman"/>
          <w:lang w:val="en-GB"/>
        </w:rPr>
        <w:t xml:space="preserve"> Five misunderstandings about case-study research, </w:t>
      </w:r>
      <w:r w:rsidR="0071362C" w:rsidRPr="008C148B">
        <w:rPr>
          <w:rFonts w:eastAsia="Times New Roman" w:cs="Times New Roman"/>
          <w:i/>
          <w:lang w:val="en-GB"/>
        </w:rPr>
        <w:t>Qualitative Inquiry</w:t>
      </w:r>
      <w:r w:rsidR="00217623" w:rsidRPr="008C148B">
        <w:rPr>
          <w:rFonts w:eastAsia="Times New Roman" w:cs="Times New Roman"/>
          <w:lang w:val="en-GB"/>
        </w:rPr>
        <w:t>, 12 (2),</w:t>
      </w:r>
      <w:r w:rsidR="0071362C" w:rsidRPr="008C148B">
        <w:rPr>
          <w:rFonts w:eastAsia="Times New Roman" w:cs="Times New Roman"/>
          <w:lang w:val="en-GB"/>
        </w:rPr>
        <w:t xml:space="preserve"> 219-245</w:t>
      </w:r>
      <w:r w:rsidR="00217623" w:rsidRPr="008C148B">
        <w:rPr>
          <w:rFonts w:eastAsia="Times New Roman" w:cs="Times New Roman"/>
          <w:lang w:val="en-GB"/>
        </w:rPr>
        <w:t>.</w:t>
      </w:r>
    </w:p>
    <w:p w:rsidR="00AF549C" w:rsidRPr="00AF549C" w:rsidRDefault="00AF549C" w:rsidP="003E095A">
      <w:pPr>
        <w:spacing w:line="276" w:lineRule="auto"/>
        <w:ind w:left="426" w:hanging="426"/>
        <w:rPr>
          <w:rFonts w:eastAsia="Times New Roman" w:cs="Times New Roman"/>
          <w:lang w:val="en-GB"/>
        </w:rPr>
      </w:pPr>
      <w:r>
        <w:rPr>
          <w:rFonts w:eastAsia="Times New Roman" w:cs="Times New Roman"/>
          <w:lang w:val="en-GB"/>
        </w:rPr>
        <w:t xml:space="preserve">Garner, R. (2013) </w:t>
      </w:r>
      <w:r>
        <w:t xml:space="preserve">Bottom of the class: UK literacy and numeracy standards slip down international rankings, </w:t>
      </w:r>
      <w:r>
        <w:rPr>
          <w:i/>
        </w:rPr>
        <w:t>The Independent</w:t>
      </w:r>
      <w:r>
        <w:t>, 3</w:t>
      </w:r>
      <w:r w:rsidRPr="00AF549C">
        <w:rPr>
          <w:vertAlign w:val="superscript"/>
        </w:rPr>
        <w:t>rd</w:t>
      </w:r>
      <w:r>
        <w:t xml:space="preserve"> December, available at </w:t>
      </w:r>
      <w:r w:rsidRPr="00AF549C">
        <w:t>www.independent.co.uk/news/education/education-news/going-backwards-uk-literacy-and-numeracy-standards-slip-down-international-rankings-8979588.html</w:t>
      </w:r>
      <w:r>
        <w:t>, last accessed 15</w:t>
      </w:r>
      <w:r w:rsidRPr="00AF549C">
        <w:rPr>
          <w:vertAlign w:val="superscript"/>
        </w:rPr>
        <w:t>th</w:t>
      </w:r>
      <w:r>
        <w:t xml:space="preserve"> July 2014.</w:t>
      </w:r>
    </w:p>
    <w:p w:rsidR="00B74CEE" w:rsidRPr="008C148B" w:rsidRDefault="00B74CEE" w:rsidP="003E095A">
      <w:pPr>
        <w:spacing w:line="276" w:lineRule="auto"/>
        <w:ind w:left="426" w:hanging="426"/>
        <w:rPr>
          <w:rFonts w:eastAsia="Times New Roman" w:cs="Times New Roman"/>
          <w:lang w:val="en-GB"/>
        </w:rPr>
      </w:pPr>
      <w:r w:rsidRPr="008C148B">
        <w:rPr>
          <w:rFonts w:eastAsia="Times New Roman" w:cs="Times New Roman"/>
          <w:lang w:val="en-GB"/>
        </w:rPr>
        <w:lastRenderedPageBreak/>
        <w:t>Golden, S</w:t>
      </w:r>
      <w:r w:rsidR="008A6DE2" w:rsidRPr="008C148B">
        <w:rPr>
          <w:rFonts w:eastAsia="Times New Roman" w:cs="Times New Roman"/>
          <w:lang w:val="en-GB"/>
        </w:rPr>
        <w:t>.</w:t>
      </w:r>
      <w:r w:rsidRPr="008C148B">
        <w:rPr>
          <w:rFonts w:eastAsia="Times New Roman" w:cs="Times New Roman"/>
          <w:lang w:val="en-GB"/>
        </w:rPr>
        <w:t xml:space="preserve">, </w:t>
      </w:r>
      <w:r w:rsidR="008A6DE2" w:rsidRPr="008C148B">
        <w:rPr>
          <w:rFonts w:eastAsia="Times New Roman" w:cs="Times New Roman"/>
          <w:lang w:val="en-GB"/>
        </w:rPr>
        <w:t xml:space="preserve">O’Donnell, L., Benton, T. &amp; Rudd P. (2006) </w:t>
      </w:r>
      <w:r w:rsidRPr="00F67BD9">
        <w:rPr>
          <w:rFonts w:cs="FuturaT-Demi"/>
          <w:bCs/>
          <w:i/>
          <w:lang w:val="en-GB"/>
        </w:rPr>
        <w:t>Evaluation of Increased Flexibility</w:t>
      </w:r>
      <w:r w:rsidR="008A6DE2" w:rsidRPr="00F67BD9">
        <w:rPr>
          <w:rFonts w:eastAsia="Times New Roman" w:cs="Times New Roman"/>
          <w:i/>
          <w:lang w:val="en-GB"/>
        </w:rPr>
        <w:t xml:space="preserve"> </w:t>
      </w:r>
      <w:r w:rsidRPr="00F67BD9">
        <w:rPr>
          <w:rFonts w:cs="FuturaT-Demi"/>
          <w:bCs/>
          <w:i/>
          <w:lang w:val="en-GB"/>
        </w:rPr>
        <w:t>for 14 to 16 Year Olds Programme:</w:t>
      </w:r>
      <w:r w:rsidR="008A6DE2" w:rsidRPr="00F67BD9">
        <w:rPr>
          <w:rFonts w:eastAsia="Times New Roman" w:cs="Times New Roman"/>
          <w:i/>
          <w:lang w:val="en-GB"/>
        </w:rPr>
        <w:t xml:space="preserve"> </w:t>
      </w:r>
      <w:r w:rsidR="008A6DE2" w:rsidRPr="00F67BD9">
        <w:rPr>
          <w:rFonts w:cs="FuturaT-Demi"/>
          <w:bCs/>
          <w:i/>
          <w:lang w:val="en-GB"/>
        </w:rPr>
        <w:t>outcomes for the second c</w:t>
      </w:r>
      <w:r w:rsidRPr="00F67BD9">
        <w:rPr>
          <w:rFonts w:cs="FuturaT-Demi"/>
          <w:bCs/>
          <w:i/>
          <w:lang w:val="en-GB"/>
        </w:rPr>
        <w:t>ohort</w:t>
      </w:r>
      <w:r w:rsidR="008A6DE2" w:rsidRPr="00F67BD9">
        <w:rPr>
          <w:rFonts w:cs="FuturaT-Demi"/>
          <w:bCs/>
          <w:i/>
          <w:lang w:val="en-GB"/>
        </w:rPr>
        <w:t>.</w:t>
      </w:r>
      <w:r w:rsidR="008A6DE2" w:rsidRPr="008C148B">
        <w:rPr>
          <w:rFonts w:cs="FuturaT-Demi"/>
          <w:bCs/>
          <w:lang w:val="en-GB"/>
        </w:rPr>
        <w:t xml:space="preserve">  Slough: </w:t>
      </w:r>
      <w:r w:rsidRPr="008C148B">
        <w:rPr>
          <w:rFonts w:cs="FuturaT-Demi"/>
          <w:bCs/>
          <w:lang w:val="en-GB"/>
        </w:rPr>
        <w:t>National Foundation for Educational Research</w:t>
      </w:r>
      <w:r w:rsidR="008A6DE2" w:rsidRPr="008C148B">
        <w:rPr>
          <w:rFonts w:cs="FuturaT-Demi"/>
          <w:bCs/>
          <w:lang w:val="en-GB"/>
        </w:rPr>
        <w:t>.</w:t>
      </w:r>
    </w:p>
    <w:p w:rsidR="008A6DE2" w:rsidRPr="008C148B" w:rsidRDefault="002E270C" w:rsidP="003E095A">
      <w:pPr>
        <w:spacing w:line="276" w:lineRule="auto"/>
        <w:ind w:left="426" w:hanging="426"/>
        <w:rPr>
          <w:rFonts w:eastAsia="Times New Roman" w:cs="Times New Roman"/>
          <w:lang w:val="en-GB"/>
        </w:rPr>
      </w:pPr>
      <w:r w:rsidRPr="008C148B">
        <w:rPr>
          <w:rFonts w:eastAsia="Times New Roman" w:cs="Times New Roman"/>
          <w:lang w:val="en-GB"/>
        </w:rPr>
        <w:t xml:space="preserve">Goldstein, H. (2004) </w:t>
      </w:r>
      <w:r w:rsidR="00B07829" w:rsidRPr="008C148B">
        <w:rPr>
          <w:rFonts w:eastAsia="Times New Roman" w:cs="Times New Roman"/>
          <w:lang w:val="en-GB"/>
        </w:rPr>
        <w:fldChar w:fldCharType="begin"/>
      </w:r>
      <w:r w:rsidRPr="008C148B">
        <w:rPr>
          <w:rFonts w:eastAsia="Times New Roman" w:cs="Times New Roman"/>
          <w:lang w:val="en-GB"/>
        </w:rPr>
        <w:instrText xml:space="preserve"> </w:instrText>
      </w:r>
      <w:r w:rsidR="00B07829" w:rsidRPr="008C148B">
        <w:rPr>
          <w:rFonts w:eastAsia="Times New Roman" w:cs="Times New Roman"/>
          <w:lang w:val="en-GB"/>
        </w:rPr>
        <w:fldChar w:fldCharType="begin"/>
      </w:r>
      <w:r w:rsidRPr="008C148B">
        <w:rPr>
          <w:rFonts w:eastAsia="Times New Roman" w:cs="Times New Roman"/>
          <w:lang w:val="en-GB"/>
        </w:rPr>
        <w:instrText xml:space="preserve"> PRIVATE "&lt;INPUT NAME=\"doi\" VALUE=\"10.1080/0969594042000304618\" TYPE=\"checkbox\"&gt;" </w:instrText>
      </w:r>
      <w:r w:rsidR="00B07829" w:rsidRPr="008C148B">
        <w:rPr>
          <w:rFonts w:eastAsia="Times New Roman" w:cs="Times New Roman"/>
          <w:lang w:val="en-GB"/>
        </w:rPr>
        <w:fldChar w:fldCharType="end"/>
      </w:r>
      <w:r w:rsidRPr="008C148B">
        <w:rPr>
          <w:rFonts w:eastAsia="Times New Roman" w:cs="Times New Roman"/>
          <w:lang w:val="en-GB"/>
        </w:rPr>
        <w:instrText xml:space="preserve">MACROBUTTON HTMLDirect </w:instrText>
      </w:r>
      <w:r w:rsidR="00B07829" w:rsidRPr="008C148B">
        <w:rPr>
          <w:rFonts w:eastAsia="Times New Roman" w:cs="Times New Roman"/>
          <w:lang w:val="en-GB"/>
        </w:rPr>
        <w:fldChar w:fldCharType="end"/>
      </w:r>
      <w:r w:rsidRPr="008C148B">
        <w:rPr>
          <w:rFonts w:eastAsia="Times New Roman" w:cs="Times New Roman"/>
          <w:lang w:val="en-GB"/>
        </w:rPr>
        <w:t xml:space="preserve"> </w:t>
      </w:r>
      <w:r w:rsidR="0040253F" w:rsidRPr="008C148B">
        <w:rPr>
          <w:rFonts w:eastAsia="Times New Roman" w:cs="Times New Roman"/>
          <w:lang w:val="en-GB"/>
        </w:rPr>
        <w:t>International comparisons of student attainment: some issues arising from the PISA study</w:t>
      </w:r>
      <w:r w:rsidRPr="008C148B">
        <w:rPr>
          <w:rFonts w:eastAsia="Times New Roman" w:cs="Times New Roman"/>
          <w:lang w:val="en-GB"/>
        </w:rPr>
        <w:t xml:space="preserve">, </w:t>
      </w:r>
      <w:r w:rsidR="008F42C2" w:rsidRPr="008C148B">
        <w:rPr>
          <w:rFonts w:eastAsia="Times New Roman" w:cs="Times New Roman"/>
          <w:i/>
          <w:lang w:val="en-GB"/>
        </w:rPr>
        <w:t xml:space="preserve">Assessment in Education: </w:t>
      </w:r>
      <w:r w:rsidRPr="008C148B">
        <w:rPr>
          <w:rFonts w:eastAsia="Times New Roman" w:cs="Times New Roman"/>
          <w:i/>
          <w:lang w:val="en-GB"/>
        </w:rPr>
        <w:t xml:space="preserve">Principles, Policy and Practice, </w:t>
      </w:r>
      <w:r w:rsidR="008A6DE2" w:rsidRPr="008C148B">
        <w:rPr>
          <w:rFonts w:eastAsia="Times New Roman" w:cs="Times New Roman"/>
          <w:lang w:val="en-GB"/>
        </w:rPr>
        <w:t>11 (3), 319-330</w:t>
      </w:r>
      <w:r w:rsidR="00802EB1" w:rsidRPr="008C148B">
        <w:rPr>
          <w:rFonts w:eastAsia="Times New Roman" w:cs="Times New Roman"/>
          <w:lang w:val="en-GB"/>
        </w:rPr>
        <w:t>.</w:t>
      </w:r>
    </w:p>
    <w:p w:rsidR="00802EB1" w:rsidRPr="008C148B" w:rsidRDefault="00802EB1" w:rsidP="003E095A">
      <w:pPr>
        <w:spacing w:line="276" w:lineRule="auto"/>
        <w:ind w:left="426" w:hanging="426"/>
        <w:rPr>
          <w:rFonts w:eastAsia="Times New Roman" w:cs="Times New Roman"/>
          <w:lang w:val="en-GB"/>
        </w:rPr>
      </w:pPr>
      <w:proofErr w:type="spellStart"/>
      <w:r w:rsidRPr="008C148B">
        <w:rPr>
          <w:rFonts w:eastAsia="Times New Roman" w:cs="Times New Roman"/>
          <w:lang w:val="en-GB"/>
        </w:rPr>
        <w:t>Gorard</w:t>
      </w:r>
      <w:proofErr w:type="spellEnd"/>
      <w:r w:rsidRPr="008C148B">
        <w:rPr>
          <w:rFonts w:eastAsia="Times New Roman" w:cs="Times New Roman"/>
          <w:lang w:val="en-GB"/>
        </w:rPr>
        <w:t xml:space="preserve">, S. (2004) Sceptical or clerical? Theory as a barrier to the combination of research methods. </w:t>
      </w:r>
      <w:r w:rsidRPr="008C148B">
        <w:rPr>
          <w:rFonts w:eastAsia="Times New Roman" w:cs="Times New Roman"/>
          <w:i/>
          <w:lang w:val="en-GB"/>
        </w:rPr>
        <w:t>Journal of Educational Enquiry</w:t>
      </w:r>
      <w:r w:rsidRPr="008C148B">
        <w:rPr>
          <w:rFonts w:eastAsia="Times New Roman" w:cs="Times New Roman"/>
          <w:lang w:val="en-GB"/>
        </w:rPr>
        <w:t>, 5(1), 1-21.</w:t>
      </w:r>
    </w:p>
    <w:p w:rsidR="008A6DE2" w:rsidRPr="008C148B" w:rsidRDefault="008A6DE2" w:rsidP="003E095A">
      <w:pPr>
        <w:spacing w:line="276" w:lineRule="auto"/>
        <w:ind w:left="426" w:hanging="426"/>
        <w:rPr>
          <w:rFonts w:eastAsia="Times New Roman" w:cs="Times New Roman"/>
          <w:lang w:val="en-GB"/>
        </w:rPr>
      </w:pPr>
      <w:proofErr w:type="spellStart"/>
      <w:r w:rsidRPr="008C148B">
        <w:rPr>
          <w:rFonts w:eastAsia="Times New Roman" w:cs="Times New Roman"/>
          <w:lang w:val="en-GB"/>
        </w:rPr>
        <w:t>Gorard</w:t>
      </w:r>
      <w:proofErr w:type="spellEnd"/>
      <w:r w:rsidRPr="008C148B">
        <w:rPr>
          <w:rFonts w:eastAsia="Times New Roman" w:cs="Times New Roman"/>
          <w:lang w:val="en-GB"/>
        </w:rPr>
        <w:t xml:space="preserve">, S. (2012) </w:t>
      </w:r>
      <w:r w:rsidRPr="008C148B">
        <w:rPr>
          <w:lang w:val="en-GB"/>
        </w:rPr>
        <w:t>Who is eligible for free school meals? Characterising free school meals as a measure of disadvantage in England</w:t>
      </w:r>
      <w:r w:rsidRPr="008C148B">
        <w:rPr>
          <w:rFonts w:eastAsia="Times New Roman" w:cs="Times New Roman"/>
          <w:lang w:val="en-GB"/>
        </w:rPr>
        <w:t xml:space="preserve">. </w:t>
      </w:r>
      <w:r w:rsidRPr="008C148B">
        <w:rPr>
          <w:rFonts w:eastAsia="Times New Roman" w:cs="Times New Roman"/>
          <w:i/>
          <w:lang w:val="en-GB"/>
        </w:rPr>
        <w:t>British Educational Research Journal</w:t>
      </w:r>
      <w:r w:rsidRPr="008C148B">
        <w:rPr>
          <w:rFonts w:eastAsia="Times New Roman" w:cs="Times New Roman"/>
          <w:lang w:val="en-GB"/>
        </w:rPr>
        <w:t>, 38(6), 1003-1017.</w:t>
      </w:r>
    </w:p>
    <w:p w:rsidR="000F72BF" w:rsidRPr="008C148B" w:rsidRDefault="000F72BF" w:rsidP="003E095A">
      <w:pPr>
        <w:spacing w:line="276" w:lineRule="auto"/>
        <w:ind w:left="426" w:hanging="426"/>
        <w:rPr>
          <w:rFonts w:eastAsia="Times New Roman" w:cs="Times New Roman"/>
          <w:lang w:val="en-GB"/>
        </w:rPr>
      </w:pPr>
      <w:r w:rsidRPr="008C148B">
        <w:rPr>
          <w:rFonts w:eastAsia="Times New Roman" w:cs="Times New Roman"/>
          <w:lang w:val="en-GB"/>
        </w:rPr>
        <w:t xml:space="preserve">Griffiths, M. (2012) Why joy in education is an issue for socially just policies, </w:t>
      </w:r>
      <w:r w:rsidRPr="008C148B">
        <w:rPr>
          <w:rFonts w:eastAsia="Times New Roman" w:cs="Times New Roman"/>
          <w:i/>
          <w:lang w:val="en-GB"/>
        </w:rPr>
        <w:t>Journal of Education Policy</w:t>
      </w:r>
      <w:r w:rsidRPr="008C148B">
        <w:rPr>
          <w:rFonts w:eastAsia="Times New Roman" w:cs="Times New Roman"/>
          <w:lang w:val="en-GB"/>
        </w:rPr>
        <w:t>, 27(5), 655-670.</w:t>
      </w:r>
    </w:p>
    <w:p w:rsidR="00C6140A" w:rsidRDefault="002D4D81" w:rsidP="003E095A">
      <w:pPr>
        <w:spacing w:line="276" w:lineRule="auto"/>
        <w:ind w:left="720" w:hanging="720"/>
        <w:rPr>
          <w:lang w:val="en-GB"/>
        </w:rPr>
      </w:pPr>
      <w:r w:rsidRPr="008C148B">
        <w:rPr>
          <w:lang w:val="en-GB"/>
        </w:rPr>
        <w:t xml:space="preserve">Hager, P. </w:t>
      </w:r>
      <w:r w:rsidR="00217623" w:rsidRPr="008C148B">
        <w:rPr>
          <w:lang w:val="en-GB"/>
        </w:rPr>
        <w:t>&amp;</w:t>
      </w:r>
      <w:r w:rsidRPr="008C148B">
        <w:rPr>
          <w:lang w:val="en-GB"/>
        </w:rPr>
        <w:t xml:space="preserve"> </w:t>
      </w:r>
      <w:proofErr w:type="spellStart"/>
      <w:r w:rsidRPr="008C148B">
        <w:rPr>
          <w:lang w:val="en-GB"/>
        </w:rPr>
        <w:t>Hodkinson</w:t>
      </w:r>
      <w:proofErr w:type="spellEnd"/>
      <w:r w:rsidR="00217623" w:rsidRPr="008C148B">
        <w:rPr>
          <w:lang w:val="en-GB"/>
        </w:rPr>
        <w:t>, P.</w:t>
      </w:r>
      <w:r w:rsidRPr="008C148B">
        <w:rPr>
          <w:lang w:val="en-GB"/>
        </w:rPr>
        <w:t xml:space="preserve"> (2009) Moving beyond the me</w:t>
      </w:r>
      <w:r w:rsidR="00217623" w:rsidRPr="008C148B">
        <w:rPr>
          <w:lang w:val="en-GB"/>
        </w:rPr>
        <w:t>taphor of transfer of learning,</w:t>
      </w:r>
      <w:r w:rsidRPr="008C148B">
        <w:rPr>
          <w:lang w:val="en-GB"/>
        </w:rPr>
        <w:t xml:space="preserve"> </w:t>
      </w:r>
      <w:r w:rsidRPr="008C148B">
        <w:rPr>
          <w:i/>
          <w:lang w:val="en-GB"/>
        </w:rPr>
        <w:t>British Educational Research Jou</w:t>
      </w:r>
      <w:r w:rsidR="00217623" w:rsidRPr="008C148B">
        <w:rPr>
          <w:i/>
          <w:lang w:val="en-GB"/>
        </w:rPr>
        <w:t>rnal</w:t>
      </w:r>
      <w:r w:rsidR="00217623" w:rsidRPr="008C148B">
        <w:rPr>
          <w:lang w:val="en-GB"/>
        </w:rPr>
        <w:t>, 35(4),</w:t>
      </w:r>
      <w:r w:rsidRPr="008C148B">
        <w:rPr>
          <w:lang w:val="en-GB"/>
        </w:rPr>
        <w:t xml:space="preserve"> 619-638.</w:t>
      </w:r>
    </w:p>
    <w:p w:rsidR="004D5DFD" w:rsidRPr="00FA74AF" w:rsidRDefault="004D5DFD" w:rsidP="003E095A">
      <w:pPr>
        <w:spacing w:line="276" w:lineRule="auto"/>
        <w:ind w:left="720" w:hanging="720"/>
        <w:rPr>
          <w:lang w:val="en-GB"/>
        </w:rPr>
      </w:pPr>
      <w:r>
        <w:rPr>
          <w:lang w:val="en-GB"/>
        </w:rPr>
        <w:t xml:space="preserve">Heath, A., Sullivan, A., </w:t>
      </w:r>
      <w:proofErr w:type="spellStart"/>
      <w:r>
        <w:rPr>
          <w:lang w:val="en-GB"/>
        </w:rPr>
        <w:t>Boliver</w:t>
      </w:r>
      <w:proofErr w:type="spellEnd"/>
      <w:r>
        <w:rPr>
          <w:lang w:val="en-GB"/>
        </w:rPr>
        <w:t xml:space="preserve">, V. &amp; </w:t>
      </w:r>
      <w:proofErr w:type="spellStart"/>
      <w:r>
        <w:rPr>
          <w:lang w:val="en-GB"/>
        </w:rPr>
        <w:t>Zimdars</w:t>
      </w:r>
      <w:proofErr w:type="spellEnd"/>
      <w:r>
        <w:rPr>
          <w:lang w:val="en-GB"/>
        </w:rPr>
        <w:t>, A. (2013) Educat</w:t>
      </w:r>
      <w:r w:rsidR="00FA74AF">
        <w:rPr>
          <w:lang w:val="en-GB"/>
        </w:rPr>
        <w:t xml:space="preserve">ion under New Labour: 1997-2010, </w:t>
      </w:r>
      <w:r w:rsidR="00FA74AF">
        <w:rPr>
          <w:i/>
          <w:lang w:val="en-GB"/>
        </w:rPr>
        <w:t>Oxford Review of Economic Policy</w:t>
      </w:r>
      <w:r w:rsidR="00FA74AF">
        <w:rPr>
          <w:lang w:val="en-GB"/>
        </w:rPr>
        <w:t>, 29(1), 227-247.</w:t>
      </w:r>
    </w:p>
    <w:p w:rsidR="001A24E7" w:rsidRPr="008C148B" w:rsidRDefault="001A24E7" w:rsidP="003E095A">
      <w:pPr>
        <w:spacing w:line="276" w:lineRule="auto"/>
        <w:ind w:left="425" w:hanging="425"/>
        <w:rPr>
          <w:lang w:val="en-GB"/>
        </w:rPr>
      </w:pPr>
      <w:r w:rsidRPr="008C148B">
        <w:rPr>
          <w:lang w:val="en-GB"/>
        </w:rPr>
        <w:t xml:space="preserve">Heck, R., Thomas, S. &amp; </w:t>
      </w:r>
      <w:proofErr w:type="spellStart"/>
      <w:r w:rsidRPr="008C148B">
        <w:rPr>
          <w:lang w:val="en-GB"/>
        </w:rPr>
        <w:t>Tabata</w:t>
      </w:r>
      <w:proofErr w:type="spellEnd"/>
      <w:r w:rsidRPr="008C148B">
        <w:rPr>
          <w:lang w:val="en-GB"/>
        </w:rPr>
        <w:t xml:space="preserve">, L. (2012) </w:t>
      </w:r>
      <w:r w:rsidRPr="008C148B">
        <w:rPr>
          <w:i/>
          <w:lang w:val="en-GB"/>
        </w:rPr>
        <w:t xml:space="preserve">Multilevel </w:t>
      </w:r>
      <w:proofErr w:type="spellStart"/>
      <w:r w:rsidRPr="008C148B">
        <w:rPr>
          <w:i/>
          <w:lang w:val="en-GB"/>
        </w:rPr>
        <w:t>modeling</w:t>
      </w:r>
      <w:proofErr w:type="spellEnd"/>
      <w:r w:rsidRPr="008C148B">
        <w:rPr>
          <w:i/>
          <w:lang w:val="en-GB"/>
        </w:rPr>
        <w:t xml:space="preserve"> of categorical outcomes using IBM SPSS</w:t>
      </w:r>
      <w:r w:rsidRPr="008C148B">
        <w:rPr>
          <w:lang w:val="en-GB"/>
        </w:rPr>
        <w:t xml:space="preserve"> (New York/Hove, </w:t>
      </w:r>
      <w:proofErr w:type="spellStart"/>
      <w:r w:rsidRPr="008C148B">
        <w:rPr>
          <w:lang w:val="en-GB"/>
        </w:rPr>
        <w:t>Routledge</w:t>
      </w:r>
      <w:proofErr w:type="spellEnd"/>
      <w:r w:rsidRPr="008C148B">
        <w:rPr>
          <w:lang w:val="en-GB"/>
        </w:rPr>
        <w:t>).</w:t>
      </w:r>
    </w:p>
    <w:p w:rsidR="008A6DE2" w:rsidRPr="008C148B" w:rsidRDefault="008A6DE2" w:rsidP="003E095A">
      <w:pPr>
        <w:spacing w:line="276" w:lineRule="auto"/>
        <w:ind w:left="425" w:hanging="425"/>
        <w:rPr>
          <w:lang w:val="en-GB"/>
        </w:rPr>
      </w:pPr>
      <w:r w:rsidRPr="008C148B">
        <w:rPr>
          <w:lang w:val="en-GB"/>
        </w:rPr>
        <w:t xml:space="preserve">Hodgson, A. &amp; </w:t>
      </w:r>
      <w:proofErr w:type="spellStart"/>
      <w:r w:rsidRPr="008C148B">
        <w:rPr>
          <w:lang w:val="en-GB"/>
        </w:rPr>
        <w:t>Spours</w:t>
      </w:r>
      <w:proofErr w:type="spellEnd"/>
      <w:r w:rsidRPr="008C148B">
        <w:rPr>
          <w:lang w:val="en-GB"/>
        </w:rPr>
        <w:t xml:space="preserve">, K. (2014) Middle attainers and 14-19 progression in England: half-served by New Labour and now overlooked by the Coalition? </w:t>
      </w:r>
      <w:r w:rsidRPr="008C148B">
        <w:rPr>
          <w:i/>
          <w:lang w:val="en-GB"/>
        </w:rPr>
        <w:t>British Educational Research Journal</w:t>
      </w:r>
      <w:r w:rsidRPr="008C148B">
        <w:rPr>
          <w:lang w:val="en-GB"/>
        </w:rPr>
        <w:t>,</w:t>
      </w:r>
      <w:r w:rsidRPr="008C148B">
        <w:rPr>
          <w:i/>
          <w:lang w:val="en-GB"/>
        </w:rPr>
        <w:t xml:space="preserve"> </w:t>
      </w:r>
      <w:r w:rsidRPr="008C148B">
        <w:rPr>
          <w:lang w:val="en-GB"/>
        </w:rPr>
        <w:t>40(3), 467-482.</w:t>
      </w:r>
    </w:p>
    <w:p w:rsidR="00851438" w:rsidRPr="008C148B" w:rsidRDefault="001A24E7" w:rsidP="003E095A">
      <w:pPr>
        <w:spacing w:line="276" w:lineRule="auto"/>
        <w:ind w:left="425" w:hanging="425"/>
        <w:rPr>
          <w:lang w:val="en-GB"/>
        </w:rPr>
      </w:pPr>
      <w:proofErr w:type="spellStart"/>
      <w:r w:rsidRPr="008C148B">
        <w:rPr>
          <w:lang w:val="en-GB"/>
        </w:rPr>
        <w:t>Hox</w:t>
      </w:r>
      <w:proofErr w:type="spellEnd"/>
      <w:r w:rsidRPr="008C148B">
        <w:rPr>
          <w:lang w:val="en-GB"/>
        </w:rPr>
        <w:t xml:space="preserve">, J. </w:t>
      </w:r>
      <w:r w:rsidR="004A0FBB" w:rsidRPr="008C148B">
        <w:rPr>
          <w:lang w:val="en-GB"/>
        </w:rPr>
        <w:t>(2010)</w:t>
      </w:r>
      <w:r w:rsidRPr="008C148B">
        <w:rPr>
          <w:lang w:val="en-GB"/>
        </w:rPr>
        <w:t xml:space="preserve"> </w:t>
      </w:r>
      <w:r w:rsidRPr="008C148B">
        <w:rPr>
          <w:i/>
          <w:lang w:val="en-GB"/>
        </w:rPr>
        <w:t>Multilevel analysis: techniques and applications</w:t>
      </w:r>
      <w:r w:rsidRPr="008C148B">
        <w:rPr>
          <w:lang w:val="en-GB"/>
        </w:rPr>
        <w:t xml:space="preserve"> (2</w:t>
      </w:r>
      <w:r w:rsidRPr="008C148B">
        <w:rPr>
          <w:vertAlign w:val="superscript"/>
          <w:lang w:val="en-GB"/>
        </w:rPr>
        <w:t>nd</w:t>
      </w:r>
      <w:r w:rsidRPr="008C148B">
        <w:rPr>
          <w:lang w:val="en-GB"/>
        </w:rPr>
        <w:t xml:space="preserve"> edition</w:t>
      </w:r>
      <w:r w:rsidR="00851438" w:rsidRPr="008C148B">
        <w:rPr>
          <w:lang w:val="en-GB"/>
        </w:rPr>
        <w:t xml:space="preserve">) (New York/Hove, </w:t>
      </w:r>
      <w:proofErr w:type="spellStart"/>
      <w:r w:rsidR="00851438" w:rsidRPr="008C148B">
        <w:rPr>
          <w:lang w:val="en-GB"/>
        </w:rPr>
        <w:t>Routledge</w:t>
      </w:r>
      <w:proofErr w:type="spellEnd"/>
      <w:r w:rsidR="00851438" w:rsidRPr="008C148B">
        <w:rPr>
          <w:lang w:val="en-GB"/>
        </w:rPr>
        <w:t>).</w:t>
      </w:r>
    </w:p>
    <w:p w:rsidR="00851438" w:rsidRPr="008C148B" w:rsidRDefault="00851438" w:rsidP="003E095A">
      <w:pPr>
        <w:spacing w:line="276" w:lineRule="auto"/>
        <w:ind w:left="425" w:hanging="425"/>
        <w:rPr>
          <w:lang w:val="en-GB"/>
        </w:rPr>
      </w:pPr>
      <w:r w:rsidRPr="008C148B">
        <w:rPr>
          <w:lang w:val="en-GB"/>
        </w:rPr>
        <w:t xml:space="preserve">Hyland, T. &amp; Johnson, S. (1998) Of </w:t>
      </w:r>
      <w:r w:rsidRPr="008C148B">
        <w:rPr>
          <w:rStyle w:val="singlehighlightclass"/>
          <w:lang w:val="en-GB"/>
        </w:rPr>
        <w:t>cabbages</w:t>
      </w:r>
      <w:r w:rsidRPr="008C148B">
        <w:rPr>
          <w:lang w:val="en-GB"/>
        </w:rPr>
        <w:t xml:space="preserve"> and key </w:t>
      </w:r>
      <w:r w:rsidRPr="008C148B">
        <w:rPr>
          <w:rStyle w:val="singlehighlightclass"/>
          <w:lang w:val="en-GB"/>
        </w:rPr>
        <w:t>skills</w:t>
      </w:r>
      <w:r w:rsidRPr="008C148B">
        <w:rPr>
          <w:lang w:val="en-GB"/>
        </w:rPr>
        <w:t xml:space="preserve">: exploding the mythology of core transferable </w:t>
      </w:r>
      <w:r w:rsidRPr="008C148B">
        <w:rPr>
          <w:rStyle w:val="singlehighlightclass"/>
          <w:lang w:val="en-GB"/>
        </w:rPr>
        <w:t>skills</w:t>
      </w:r>
      <w:r w:rsidRPr="008C148B">
        <w:rPr>
          <w:lang w:val="en-GB"/>
        </w:rPr>
        <w:t xml:space="preserve"> in post‐school education, </w:t>
      </w:r>
      <w:r w:rsidRPr="008C148B">
        <w:rPr>
          <w:i/>
          <w:lang w:val="en-GB"/>
        </w:rPr>
        <w:t>Journal of Further and Higher Education</w:t>
      </w:r>
      <w:r w:rsidRPr="008C148B">
        <w:rPr>
          <w:lang w:val="en-GB"/>
        </w:rPr>
        <w:t>, 22(2), 163-172.</w:t>
      </w:r>
    </w:p>
    <w:p w:rsidR="009B2422" w:rsidRPr="008C148B" w:rsidRDefault="009B2422" w:rsidP="003E095A">
      <w:pPr>
        <w:spacing w:line="276" w:lineRule="auto"/>
        <w:ind w:left="426" w:hanging="426"/>
        <w:rPr>
          <w:rFonts w:eastAsia="Times New Roman" w:cs="Times New Roman"/>
          <w:lang w:val="en-GB"/>
        </w:rPr>
      </w:pPr>
      <w:r w:rsidRPr="008C148B">
        <w:rPr>
          <w:lang w:val="en-GB"/>
        </w:rPr>
        <w:t xml:space="preserve">Institute of Education (2010) </w:t>
      </w:r>
      <w:r w:rsidRPr="008C148B">
        <w:rPr>
          <w:i/>
          <w:iCs/>
          <w:lang w:val="en-GB"/>
        </w:rPr>
        <w:t>Focus on results can make children do worse, study finds</w:t>
      </w:r>
      <w:r w:rsidR="001A24E7" w:rsidRPr="008C148B">
        <w:rPr>
          <w:lang w:val="en-GB"/>
        </w:rPr>
        <w:t>, a</w:t>
      </w:r>
      <w:r w:rsidRPr="008C148B">
        <w:rPr>
          <w:lang w:val="en-GB"/>
        </w:rPr>
        <w:t xml:space="preserve">vailable online at </w:t>
      </w:r>
      <w:r w:rsidR="001A24E7" w:rsidRPr="008C148B">
        <w:rPr>
          <w:lang w:val="en-GB"/>
        </w:rPr>
        <w:t>www.ioe.ac.uk/newsEvents/43212.html, l</w:t>
      </w:r>
      <w:r w:rsidRPr="008C148B">
        <w:rPr>
          <w:lang w:val="en-GB"/>
        </w:rPr>
        <w:t>ast accessed 20th August 2013.</w:t>
      </w:r>
    </w:p>
    <w:p w:rsidR="00217623" w:rsidRPr="008C148B" w:rsidRDefault="00217623" w:rsidP="003E095A">
      <w:pPr>
        <w:spacing w:line="276" w:lineRule="auto"/>
        <w:ind w:left="426" w:hanging="426"/>
        <w:rPr>
          <w:rFonts w:eastAsia="Times New Roman" w:cs="Times New Roman"/>
          <w:lang w:val="en-GB"/>
        </w:rPr>
      </w:pPr>
      <w:r w:rsidRPr="008C148B">
        <w:rPr>
          <w:lang w:val="en-GB"/>
        </w:rPr>
        <w:t xml:space="preserve">James, D. &amp; Simmons, J. (2007) </w:t>
      </w:r>
      <w:r w:rsidR="001E6423" w:rsidRPr="008C148B">
        <w:rPr>
          <w:lang w:val="en-GB"/>
        </w:rPr>
        <w:t>A</w:t>
      </w:r>
      <w:r w:rsidRPr="008C148B">
        <w:rPr>
          <w:lang w:val="en-GB"/>
        </w:rPr>
        <w:t>lternative</w:t>
      </w:r>
      <w:r w:rsidRPr="008C148B">
        <w:rPr>
          <w:rFonts w:eastAsia="Times New Roman" w:cs="Arial"/>
          <w:bCs/>
          <w:lang w:val="en-GB"/>
        </w:rPr>
        <w:t xml:space="preserve"> assessment for learner engagement in a climate of performativity: lessons from an English case study</w:t>
      </w:r>
      <w:r w:rsidR="001E6423" w:rsidRPr="008C148B">
        <w:rPr>
          <w:rFonts w:eastAsia="Times New Roman" w:cs="Arial"/>
          <w:bCs/>
          <w:lang w:val="en-GB"/>
        </w:rPr>
        <w:t xml:space="preserve">, </w:t>
      </w:r>
      <w:r w:rsidR="001E6423" w:rsidRPr="008C148B">
        <w:rPr>
          <w:rFonts w:eastAsia="Times New Roman" w:cs="Times New Roman"/>
          <w:bCs/>
          <w:i/>
          <w:lang w:val="en-GB"/>
        </w:rPr>
        <w:t>Assessment in Education: Principles, Policy &amp; Practice</w:t>
      </w:r>
      <w:r w:rsidRPr="008C148B">
        <w:rPr>
          <w:lang w:val="en-GB"/>
        </w:rPr>
        <w:t xml:space="preserve">, 14(3), </w:t>
      </w:r>
      <w:r w:rsidR="00733C21" w:rsidRPr="008C148B">
        <w:rPr>
          <w:rFonts w:eastAsia="Times New Roman" w:cs="Times New Roman"/>
          <w:lang w:val="en-GB"/>
        </w:rPr>
        <w:t>353-371.</w:t>
      </w:r>
    </w:p>
    <w:p w:rsidR="00E470ED" w:rsidRPr="008C148B" w:rsidRDefault="00E470ED" w:rsidP="003E095A">
      <w:pPr>
        <w:spacing w:line="276" w:lineRule="auto"/>
        <w:ind w:left="426" w:hanging="426"/>
        <w:rPr>
          <w:rFonts w:eastAsia="Times New Roman" w:cs="Times New Roman"/>
          <w:lang w:val="en-GB"/>
        </w:rPr>
      </w:pPr>
      <w:proofErr w:type="spellStart"/>
      <w:r w:rsidRPr="008C148B">
        <w:rPr>
          <w:rFonts w:eastAsia="Times New Roman" w:cs="Times New Roman"/>
          <w:lang w:val="en-GB"/>
        </w:rPr>
        <w:t>Jerrim</w:t>
      </w:r>
      <w:proofErr w:type="spellEnd"/>
      <w:r w:rsidRPr="008C148B">
        <w:rPr>
          <w:rFonts w:eastAsia="Times New Roman" w:cs="Times New Roman"/>
          <w:lang w:val="en-GB"/>
        </w:rPr>
        <w:t>, J. (2011) England's “</w:t>
      </w:r>
      <w:r w:rsidR="0040253F" w:rsidRPr="008C148B">
        <w:rPr>
          <w:rFonts w:eastAsia="Times New Roman" w:cs="Times New Roman"/>
          <w:lang w:val="en-GB"/>
        </w:rPr>
        <w:t>plummeting" PISA test scores</w:t>
      </w:r>
      <w:r w:rsidRPr="008C148B">
        <w:rPr>
          <w:rFonts w:eastAsia="Times New Roman" w:cs="Times New Roman"/>
          <w:lang w:val="en-GB"/>
        </w:rPr>
        <w:t xml:space="preserve"> between 2000 and </w:t>
      </w:r>
      <w:r w:rsidR="0040253F" w:rsidRPr="008C148B">
        <w:rPr>
          <w:rFonts w:eastAsia="Times New Roman" w:cs="Times New Roman"/>
          <w:lang w:val="en-GB"/>
        </w:rPr>
        <w:t>2009: Is the</w:t>
      </w:r>
      <w:r w:rsidRPr="008C148B">
        <w:rPr>
          <w:rFonts w:eastAsia="Times New Roman" w:cs="Times New Roman"/>
          <w:lang w:val="en-GB"/>
        </w:rPr>
        <w:t xml:space="preserve"> </w:t>
      </w:r>
      <w:r w:rsidR="0040253F" w:rsidRPr="008C148B">
        <w:rPr>
          <w:rFonts w:eastAsia="Times New Roman" w:cs="Times New Roman"/>
          <w:lang w:val="en-GB"/>
        </w:rPr>
        <w:t>performance of our secondary school</w:t>
      </w:r>
      <w:r w:rsidRPr="008C148B">
        <w:rPr>
          <w:rFonts w:eastAsia="Times New Roman" w:cs="Times New Roman"/>
          <w:lang w:val="en-GB"/>
        </w:rPr>
        <w:t xml:space="preserve"> </w:t>
      </w:r>
      <w:r w:rsidR="0040253F" w:rsidRPr="008C148B">
        <w:rPr>
          <w:rFonts w:eastAsia="Times New Roman" w:cs="Times New Roman"/>
          <w:lang w:val="en-GB"/>
        </w:rPr>
        <w:t>pupils really in relative decline?</w:t>
      </w:r>
      <w:r w:rsidRPr="008C148B">
        <w:rPr>
          <w:rFonts w:eastAsia="Times New Roman" w:cs="Times New Roman"/>
          <w:lang w:val="en-GB"/>
        </w:rPr>
        <w:t xml:space="preserve"> </w:t>
      </w:r>
      <w:proofErr w:type="spellStart"/>
      <w:r w:rsidRPr="008C148B">
        <w:rPr>
          <w:rFonts w:eastAsia="Times New Roman" w:cs="Times New Roman"/>
          <w:lang w:val="en-GB"/>
        </w:rPr>
        <w:t>DoQSS</w:t>
      </w:r>
      <w:proofErr w:type="spellEnd"/>
      <w:r w:rsidRPr="008C148B">
        <w:rPr>
          <w:rFonts w:eastAsia="Times New Roman" w:cs="Times New Roman"/>
          <w:lang w:val="en-GB"/>
        </w:rPr>
        <w:t xml:space="preserve"> Working Paper No. 11-09, </w:t>
      </w:r>
      <w:r w:rsidR="008F42C2" w:rsidRPr="008C148B">
        <w:rPr>
          <w:rFonts w:eastAsia="Times New Roman" w:cs="Times New Roman"/>
          <w:lang w:val="en-GB"/>
        </w:rPr>
        <w:t xml:space="preserve">available online at </w:t>
      </w:r>
      <w:r w:rsidRPr="008C148B">
        <w:rPr>
          <w:rFonts w:eastAsia="Times New Roman" w:cs="Times New Roman"/>
          <w:lang w:val="en-GB"/>
        </w:rPr>
        <w:t>www.ioe.ac.uk/Study_Departments/J_Jerrim_qsswp1109.pdf</w:t>
      </w:r>
      <w:r w:rsidR="008F42C2" w:rsidRPr="008C148B">
        <w:rPr>
          <w:rFonts w:eastAsia="Times New Roman" w:cs="Times New Roman"/>
          <w:lang w:val="en-GB"/>
        </w:rPr>
        <w:t>, last a</w:t>
      </w:r>
      <w:r w:rsidRPr="008C148B">
        <w:rPr>
          <w:rFonts w:eastAsia="Times New Roman" w:cs="Times New Roman"/>
          <w:lang w:val="en-GB"/>
        </w:rPr>
        <w:t xml:space="preserve">ccessed </w:t>
      </w:r>
      <w:r w:rsidR="008F42C2" w:rsidRPr="008C148B">
        <w:rPr>
          <w:rFonts w:eastAsia="Times New Roman" w:cs="Times New Roman"/>
          <w:lang w:val="en-GB"/>
        </w:rPr>
        <w:t>15</w:t>
      </w:r>
      <w:r w:rsidR="008F42C2" w:rsidRPr="008C148B">
        <w:rPr>
          <w:rFonts w:eastAsia="Times New Roman" w:cs="Times New Roman"/>
          <w:vertAlign w:val="superscript"/>
          <w:lang w:val="en-GB"/>
        </w:rPr>
        <w:t>th</w:t>
      </w:r>
      <w:r w:rsidR="008F42C2" w:rsidRPr="008C148B">
        <w:rPr>
          <w:rFonts w:eastAsia="Times New Roman" w:cs="Times New Roman"/>
          <w:lang w:val="en-GB"/>
        </w:rPr>
        <w:t xml:space="preserve"> March 2014</w:t>
      </w:r>
      <w:r w:rsidRPr="008C148B">
        <w:rPr>
          <w:rFonts w:eastAsia="Times New Roman" w:cs="Times New Roman"/>
          <w:lang w:val="en-GB"/>
        </w:rPr>
        <w:t>.</w:t>
      </w:r>
    </w:p>
    <w:p w:rsidR="00CA6B34" w:rsidRPr="008C148B" w:rsidRDefault="00CA6B34" w:rsidP="003E095A">
      <w:pPr>
        <w:spacing w:line="276" w:lineRule="auto"/>
        <w:ind w:left="426" w:hanging="426"/>
        <w:rPr>
          <w:rFonts w:eastAsia="Times New Roman" w:cs="Times New Roman"/>
          <w:lang w:val="en-GB"/>
        </w:rPr>
      </w:pPr>
      <w:proofErr w:type="spellStart"/>
      <w:r w:rsidRPr="008C148B">
        <w:rPr>
          <w:rFonts w:eastAsia="Times New Roman" w:cs="Times New Roman"/>
          <w:lang w:val="en-GB"/>
        </w:rPr>
        <w:t>Jerrim</w:t>
      </w:r>
      <w:proofErr w:type="spellEnd"/>
      <w:r w:rsidRPr="008C148B">
        <w:rPr>
          <w:rFonts w:eastAsia="Times New Roman" w:cs="Times New Roman"/>
          <w:lang w:val="en-GB"/>
        </w:rPr>
        <w:t xml:space="preserve">, J. and Choi, A. (2014) The mathematics skills of school children: how does England compare to the high-performing East Asian </w:t>
      </w:r>
      <w:r w:rsidR="008F42C2" w:rsidRPr="008C148B">
        <w:rPr>
          <w:rFonts w:eastAsia="Times New Roman" w:cs="Times New Roman"/>
          <w:lang w:val="en-GB"/>
        </w:rPr>
        <w:t>jurisdictions</w:t>
      </w:r>
      <w:r w:rsidRPr="008C148B">
        <w:rPr>
          <w:rFonts w:eastAsia="Times New Roman" w:cs="Times New Roman"/>
          <w:lang w:val="en-GB"/>
        </w:rPr>
        <w:t xml:space="preserve">? </w:t>
      </w:r>
      <w:r w:rsidRPr="008C148B">
        <w:rPr>
          <w:rFonts w:eastAsia="Times New Roman" w:cs="Times New Roman"/>
          <w:i/>
          <w:lang w:val="en-GB"/>
        </w:rPr>
        <w:t xml:space="preserve">Journal of Education Policy, </w:t>
      </w:r>
      <w:r w:rsidRPr="008C148B">
        <w:rPr>
          <w:rFonts w:eastAsia="Times New Roman" w:cs="Times New Roman"/>
          <w:lang w:val="en-GB"/>
        </w:rPr>
        <w:t>29 (3), 349-376.</w:t>
      </w:r>
    </w:p>
    <w:p w:rsidR="00397253" w:rsidRPr="008C148B" w:rsidRDefault="00397253" w:rsidP="003E095A">
      <w:pPr>
        <w:spacing w:line="276" w:lineRule="auto"/>
        <w:ind w:left="426" w:hanging="426"/>
        <w:rPr>
          <w:rFonts w:eastAsia="Times New Roman" w:cs="Times New Roman"/>
          <w:lang w:val="en-GB"/>
        </w:rPr>
      </w:pPr>
      <w:r w:rsidRPr="008C148B">
        <w:rPr>
          <w:rFonts w:eastAsia="Times New Roman" w:cs="Times New Roman"/>
          <w:lang w:val="en-GB"/>
        </w:rPr>
        <w:t xml:space="preserve">Johnson, R.B. &amp; </w:t>
      </w:r>
      <w:proofErr w:type="spellStart"/>
      <w:r w:rsidRPr="008C148B">
        <w:rPr>
          <w:rFonts w:eastAsia="Times New Roman" w:cs="Times New Roman"/>
          <w:lang w:val="en-GB"/>
        </w:rPr>
        <w:t>Onwuegbuzie</w:t>
      </w:r>
      <w:proofErr w:type="spellEnd"/>
      <w:r w:rsidRPr="008C148B">
        <w:rPr>
          <w:rFonts w:eastAsia="Times New Roman" w:cs="Times New Roman"/>
          <w:lang w:val="en-GB"/>
        </w:rPr>
        <w:t xml:space="preserve">, A. (2004) Mixed methods research: a research paradigm whose time has come, </w:t>
      </w:r>
      <w:r w:rsidRPr="008C148B">
        <w:rPr>
          <w:rFonts w:eastAsia="Times New Roman" w:cs="Times New Roman"/>
          <w:i/>
          <w:lang w:val="en-GB"/>
        </w:rPr>
        <w:t>Educational Researcher</w:t>
      </w:r>
      <w:r w:rsidRPr="008C148B">
        <w:rPr>
          <w:rFonts w:eastAsia="Times New Roman" w:cs="Times New Roman"/>
          <w:lang w:val="en-GB"/>
        </w:rPr>
        <w:t>, 33(7), 14-26.</w:t>
      </w:r>
    </w:p>
    <w:p w:rsidR="00A320EF" w:rsidRPr="008C148B" w:rsidRDefault="00A320EF" w:rsidP="003E095A">
      <w:pPr>
        <w:spacing w:line="276" w:lineRule="auto"/>
        <w:ind w:left="426" w:hanging="426"/>
        <w:rPr>
          <w:lang w:val="en-GB"/>
        </w:rPr>
      </w:pPr>
      <w:r w:rsidRPr="008C148B">
        <w:rPr>
          <w:lang w:val="en-GB"/>
        </w:rPr>
        <w:lastRenderedPageBreak/>
        <w:t xml:space="preserve">Ladson-Billings, G. (1995). Toward a theory of culturally relevant pedagogy, </w:t>
      </w:r>
      <w:r w:rsidRPr="008C148B">
        <w:rPr>
          <w:i/>
          <w:lang w:val="en-GB"/>
        </w:rPr>
        <w:t>American Education Research Journal</w:t>
      </w:r>
      <w:r w:rsidRPr="008C148B">
        <w:rPr>
          <w:lang w:val="en-GB"/>
        </w:rPr>
        <w:t>, 35(3), 465-491.</w:t>
      </w:r>
    </w:p>
    <w:p w:rsidR="00397253" w:rsidRPr="008C148B" w:rsidRDefault="00397253" w:rsidP="003E095A">
      <w:pPr>
        <w:spacing w:line="276" w:lineRule="auto"/>
        <w:ind w:left="426" w:hanging="426"/>
        <w:rPr>
          <w:lang w:val="en-GB"/>
        </w:rPr>
      </w:pPr>
      <w:r w:rsidRPr="008C148B">
        <w:rPr>
          <w:lang w:val="en-GB"/>
        </w:rPr>
        <w:t xml:space="preserve">Leech, N. &amp; </w:t>
      </w:r>
      <w:proofErr w:type="spellStart"/>
      <w:r w:rsidRPr="008C148B">
        <w:rPr>
          <w:lang w:val="en-GB"/>
        </w:rPr>
        <w:t>Onwuegbuzie</w:t>
      </w:r>
      <w:proofErr w:type="spellEnd"/>
      <w:r w:rsidRPr="008C148B">
        <w:rPr>
          <w:lang w:val="en-GB"/>
        </w:rPr>
        <w:t xml:space="preserve">, A. (2009) A typology of mixed methods research design, </w:t>
      </w:r>
      <w:r w:rsidRPr="008C148B">
        <w:rPr>
          <w:i/>
          <w:lang w:val="en-GB"/>
        </w:rPr>
        <w:t>Quality and Quantity</w:t>
      </w:r>
      <w:r w:rsidRPr="008C148B">
        <w:rPr>
          <w:lang w:val="en-GB"/>
        </w:rPr>
        <w:t xml:space="preserve">, 43(2), 265-275. </w:t>
      </w:r>
    </w:p>
    <w:p w:rsidR="00733C21" w:rsidRPr="008C148B" w:rsidRDefault="00733C21" w:rsidP="003E095A">
      <w:pPr>
        <w:spacing w:line="276" w:lineRule="auto"/>
        <w:ind w:left="426" w:hanging="426"/>
        <w:rPr>
          <w:lang w:val="en-GB"/>
        </w:rPr>
      </w:pPr>
      <w:r w:rsidRPr="008C148B">
        <w:rPr>
          <w:lang w:val="en-GB"/>
        </w:rPr>
        <w:t xml:space="preserve">Leitch, S. (2006) </w:t>
      </w:r>
      <w:r w:rsidRPr="008C148B">
        <w:rPr>
          <w:i/>
          <w:iCs/>
          <w:lang w:val="en-GB"/>
        </w:rPr>
        <w:t xml:space="preserve">Prosperity for all in the global economy: world class skills </w:t>
      </w:r>
      <w:r w:rsidRPr="008C148B">
        <w:rPr>
          <w:lang w:val="en-GB"/>
        </w:rPr>
        <w:t>(London, HM Treasury).</w:t>
      </w:r>
    </w:p>
    <w:p w:rsidR="00C336E7" w:rsidRPr="008C148B" w:rsidRDefault="00C336E7" w:rsidP="003E095A">
      <w:pPr>
        <w:spacing w:line="276" w:lineRule="auto"/>
        <w:ind w:left="426" w:hanging="426"/>
        <w:rPr>
          <w:lang w:val="en-GB"/>
        </w:rPr>
      </w:pPr>
      <w:r w:rsidRPr="008C148B">
        <w:rPr>
          <w:lang w:val="en-GB"/>
        </w:rPr>
        <w:t xml:space="preserve">Lupton, R. &amp; </w:t>
      </w:r>
      <w:proofErr w:type="spellStart"/>
      <w:r w:rsidRPr="008C148B">
        <w:rPr>
          <w:lang w:val="en-GB"/>
        </w:rPr>
        <w:t>Hempel</w:t>
      </w:r>
      <w:proofErr w:type="spellEnd"/>
      <w:r w:rsidRPr="008C148B">
        <w:rPr>
          <w:lang w:val="en-GB"/>
        </w:rPr>
        <w:t xml:space="preserve">-Jorgensen, A. (2012) The importance of teaching: pedagogical constraints and possibilities in working-class school, </w:t>
      </w:r>
      <w:r w:rsidRPr="008C148B">
        <w:rPr>
          <w:i/>
          <w:lang w:val="en-GB"/>
        </w:rPr>
        <w:t>Journal of Education Policy</w:t>
      </w:r>
      <w:r w:rsidRPr="008C148B">
        <w:rPr>
          <w:lang w:val="en-GB"/>
        </w:rPr>
        <w:t>, 27(5), 601-620.</w:t>
      </w:r>
    </w:p>
    <w:p w:rsidR="001A24E7" w:rsidRPr="008C148B" w:rsidRDefault="001A24E7" w:rsidP="003E095A">
      <w:pPr>
        <w:spacing w:line="276" w:lineRule="auto"/>
        <w:ind w:left="426" w:hanging="426"/>
        <w:rPr>
          <w:rFonts w:eastAsia="Times New Roman" w:cs="Times New Roman"/>
          <w:lang w:val="en-GB"/>
        </w:rPr>
      </w:pPr>
      <w:proofErr w:type="spellStart"/>
      <w:r w:rsidRPr="008C148B">
        <w:rPr>
          <w:lang w:val="en-GB"/>
        </w:rPr>
        <w:t>Pring</w:t>
      </w:r>
      <w:proofErr w:type="spellEnd"/>
      <w:r w:rsidRPr="008C148B">
        <w:rPr>
          <w:lang w:val="en-GB"/>
        </w:rPr>
        <w:t xml:space="preserve">, R., Hayward, G., Hodgson, A., Johnson, J., Keep, E., </w:t>
      </w:r>
      <w:proofErr w:type="spellStart"/>
      <w:r w:rsidRPr="008C148B">
        <w:rPr>
          <w:lang w:val="en-GB"/>
        </w:rPr>
        <w:t>Oancea</w:t>
      </w:r>
      <w:proofErr w:type="spellEnd"/>
      <w:r w:rsidRPr="008C148B">
        <w:rPr>
          <w:lang w:val="en-GB"/>
        </w:rPr>
        <w:t xml:space="preserve">, A., Rees, G., </w:t>
      </w:r>
      <w:proofErr w:type="spellStart"/>
      <w:r w:rsidRPr="008C148B">
        <w:rPr>
          <w:lang w:val="en-GB"/>
        </w:rPr>
        <w:t>Spours</w:t>
      </w:r>
      <w:proofErr w:type="spellEnd"/>
      <w:r w:rsidRPr="008C148B">
        <w:rPr>
          <w:lang w:val="en-GB"/>
        </w:rPr>
        <w:t xml:space="preserve">, K. &amp; Wilde, S. (2009) </w:t>
      </w:r>
      <w:r w:rsidRPr="008C148B">
        <w:rPr>
          <w:i/>
          <w:iCs/>
          <w:lang w:val="en-GB"/>
        </w:rPr>
        <w:t xml:space="preserve">Education for all: the future of education and training for 14-19 year olds </w:t>
      </w:r>
      <w:r w:rsidRPr="008C148B">
        <w:rPr>
          <w:iCs/>
          <w:lang w:val="en-GB"/>
        </w:rPr>
        <w:t>(</w:t>
      </w:r>
      <w:r w:rsidRPr="008C148B">
        <w:rPr>
          <w:lang w:val="en-GB"/>
        </w:rPr>
        <w:t xml:space="preserve">Abingdon, </w:t>
      </w:r>
      <w:proofErr w:type="spellStart"/>
      <w:r w:rsidRPr="008C148B">
        <w:rPr>
          <w:lang w:val="en-GB"/>
        </w:rPr>
        <w:t>Routledge</w:t>
      </w:r>
      <w:proofErr w:type="spellEnd"/>
      <w:r w:rsidRPr="008C148B">
        <w:rPr>
          <w:lang w:val="en-GB"/>
        </w:rPr>
        <w:t>).</w:t>
      </w:r>
    </w:p>
    <w:p w:rsidR="00442A67" w:rsidRPr="008C148B" w:rsidRDefault="00442A67" w:rsidP="003E095A">
      <w:pPr>
        <w:spacing w:line="276" w:lineRule="auto"/>
        <w:ind w:left="426" w:hanging="426"/>
        <w:rPr>
          <w:rFonts w:eastAsia="Times New Roman" w:cs="Times New Roman"/>
          <w:lang w:val="en-GB"/>
        </w:rPr>
      </w:pPr>
      <w:r w:rsidRPr="008C148B">
        <w:rPr>
          <w:rFonts w:eastAsia="Times New Roman" w:cs="Times New Roman"/>
          <w:lang w:val="en-GB"/>
        </w:rPr>
        <w:t xml:space="preserve">Qualifications and Curriculum Authority (2007) </w:t>
      </w:r>
      <w:r w:rsidRPr="008C148B">
        <w:rPr>
          <w:rFonts w:eastAsia="Times New Roman" w:cs="Times New Roman"/>
          <w:i/>
          <w:lang w:val="en-GB"/>
        </w:rPr>
        <w:t>Personal, learning and thinking skills: supporting successful learners, confident individuals and responsible citizens</w:t>
      </w:r>
      <w:r w:rsidRPr="008C148B">
        <w:rPr>
          <w:rFonts w:eastAsia="Times New Roman" w:cs="Times New Roman"/>
          <w:lang w:val="en-GB"/>
        </w:rPr>
        <w:t xml:space="preserve"> (London, QCA).</w:t>
      </w:r>
    </w:p>
    <w:p w:rsidR="001A24E7" w:rsidRPr="008C148B" w:rsidRDefault="001A24E7" w:rsidP="003E095A">
      <w:pPr>
        <w:spacing w:line="276" w:lineRule="auto"/>
        <w:ind w:left="426" w:hanging="426"/>
        <w:rPr>
          <w:rFonts w:eastAsia="Times New Roman" w:cs="Times New Roman"/>
          <w:lang w:val="en-GB"/>
        </w:rPr>
      </w:pPr>
      <w:r w:rsidRPr="008C148B">
        <w:rPr>
          <w:lang w:val="en-GB"/>
        </w:rPr>
        <w:t xml:space="preserve">Raphael Reed, L., </w:t>
      </w:r>
      <w:proofErr w:type="spellStart"/>
      <w:r w:rsidRPr="008C148B">
        <w:rPr>
          <w:lang w:val="en-GB"/>
        </w:rPr>
        <w:t>Croudace</w:t>
      </w:r>
      <w:proofErr w:type="spellEnd"/>
      <w:r w:rsidRPr="008C148B">
        <w:rPr>
          <w:lang w:val="en-GB"/>
        </w:rPr>
        <w:t xml:space="preserve">, C., Harrison, N., Baxter, A. &amp; Last, K. (2007) </w:t>
      </w:r>
      <w:r w:rsidRPr="008C148B">
        <w:rPr>
          <w:i/>
          <w:iCs/>
          <w:lang w:val="en-GB"/>
        </w:rPr>
        <w:t>A sociocultural study of educational engagement in Bristol South parliamentary constituency</w:t>
      </w:r>
      <w:r w:rsidRPr="008C148B">
        <w:rPr>
          <w:lang w:val="en-GB"/>
        </w:rPr>
        <w:t xml:space="preserve"> (Bristol, UWE/HEFCE).</w:t>
      </w:r>
    </w:p>
    <w:p w:rsidR="00733C21" w:rsidRPr="008C148B" w:rsidRDefault="00733C21" w:rsidP="003E095A">
      <w:pPr>
        <w:spacing w:line="276" w:lineRule="auto"/>
        <w:ind w:left="426" w:hanging="426"/>
        <w:rPr>
          <w:lang w:val="en-GB"/>
        </w:rPr>
      </w:pPr>
      <w:proofErr w:type="spellStart"/>
      <w:r w:rsidRPr="008C148B">
        <w:rPr>
          <w:lang w:val="en-GB"/>
        </w:rPr>
        <w:t>Reay</w:t>
      </w:r>
      <w:proofErr w:type="spellEnd"/>
      <w:r w:rsidRPr="008C148B">
        <w:rPr>
          <w:lang w:val="en-GB"/>
        </w:rPr>
        <w:t xml:space="preserve">, D., Crozier, G. </w:t>
      </w:r>
      <w:r w:rsidR="00031CC4" w:rsidRPr="008C148B">
        <w:rPr>
          <w:lang w:val="en-GB"/>
        </w:rPr>
        <w:t>&amp;</w:t>
      </w:r>
      <w:r w:rsidRPr="008C148B">
        <w:rPr>
          <w:lang w:val="en-GB"/>
        </w:rPr>
        <w:t xml:space="preserve"> James, D. (2011) </w:t>
      </w:r>
      <w:r w:rsidRPr="008C148B">
        <w:rPr>
          <w:i/>
          <w:iCs/>
          <w:lang w:val="en-GB"/>
        </w:rPr>
        <w:t xml:space="preserve">White middle class identities and urban schooling </w:t>
      </w:r>
      <w:r w:rsidRPr="008C148B">
        <w:rPr>
          <w:iCs/>
          <w:lang w:val="en-GB"/>
        </w:rPr>
        <w:t>(</w:t>
      </w:r>
      <w:r w:rsidRPr="008C148B">
        <w:rPr>
          <w:lang w:val="en-GB"/>
        </w:rPr>
        <w:t>Basingstoke/New York, Palgrave Macmillan).</w:t>
      </w:r>
    </w:p>
    <w:p w:rsidR="00CC5CB9" w:rsidRDefault="00CC5CB9" w:rsidP="003E095A">
      <w:pPr>
        <w:spacing w:line="276" w:lineRule="auto"/>
        <w:ind w:left="426" w:hanging="426"/>
        <w:rPr>
          <w:lang w:val="en-GB"/>
        </w:rPr>
      </w:pPr>
      <w:proofErr w:type="spellStart"/>
      <w:r w:rsidRPr="008C148B">
        <w:rPr>
          <w:lang w:val="en-GB"/>
        </w:rPr>
        <w:t>Sahlberg</w:t>
      </w:r>
      <w:proofErr w:type="spellEnd"/>
      <w:r w:rsidRPr="008C148B">
        <w:rPr>
          <w:lang w:val="en-GB"/>
        </w:rPr>
        <w:t xml:space="preserve">, P. (2007) Education policies for raising student learning: the Finnish approach. </w:t>
      </w:r>
      <w:r w:rsidRPr="008C148B">
        <w:rPr>
          <w:i/>
          <w:lang w:val="en-GB"/>
        </w:rPr>
        <w:t xml:space="preserve">Journal of Education Policy </w:t>
      </w:r>
      <w:r w:rsidRPr="008C148B">
        <w:rPr>
          <w:lang w:val="en-GB"/>
        </w:rPr>
        <w:t>22 (2),  147-171.</w:t>
      </w:r>
    </w:p>
    <w:p w:rsidR="00AF549C" w:rsidRPr="00AF549C" w:rsidRDefault="00AF549C" w:rsidP="003E095A">
      <w:pPr>
        <w:spacing w:line="276" w:lineRule="auto"/>
        <w:ind w:left="426" w:hanging="426"/>
        <w:rPr>
          <w:lang w:val="en-GB"/>
        </w:rPr>
      </w:pPr>
      <w:r>
        <w:rPr>
          <w:lang w:val="en-GB"/>
        </w:rPr>
        <w:t xml:space="preserve">Shepherd, J. (2010) UK schools slip down world rankings, </w:t>
      </w:r>
      <w:r>
        <w:rPr>
          <w:i/>
          <w:lang w:val="en-GB"/>
        </w:rPr>
        <w:t>The Guardian</w:t>
      </w:r>
      <w:r>
        <w:rPr>
          <w:lang w:val="en-GB"/>
        </w:rPr>
        <w:t>, 7</w:t>
      </w:r>
      <w:r w:rsidRPr="00AF549C">
        <w:rPr>
          <w:vertAlign w:val="superscript"/>
          <w:lang w:val="en-GB"/>
        </w:rPr>
        <w:t>th</w:t>
      </w:r>
      <w:r>
        <w:rPr>
          <w:lang w:val="en-GB"/>
        </w:rPr>
        <w:t xml:space="preserve"> December, available at </w:t>
      </w:r>
      <w:hyperlink r:id="rId10" w:history="1">
        <w:r w:rsidRPr="00AF549C">
          <w:rPr>
            <w:lang w:val="en-GB"/>
          </w:rPr>
          <w:t>www.theguardian.com/education/2010/dec/07/uk-schools-slip-world-rankings</w:t>
        </w:r>
      </w:hyperlink>
      <w:r>
        <w:rPr>
          <w:lang w:val="en-GB"/>
        </w:rPr>
        <w:t>, last accessed 15</w:t>
      </w:r>
      <w:r w:rsidRPr="00AF549C">
        <w:rPr>
          <w:vertAlign w:val="superscript"/>
          <w:lang w:val="en-GB"/>
        </w:rPr>
        <w:t>th</w:t>
      </w:r>
      <w:r>
        <w:rPr>
          <w:lang w:val="en-GB"/>
        </w:rPr>
        <w:t xml:space="preserve"> July 2014.</w:t>
      </w:r>
    </w:p>
    <w:p w:rsidR="00372356" w:rsidRPr="008C148B" w:rsidRDefault="008F42C2" w:rsidP="003E095A">
      <w:pPr>
        <w:spacing w:line="276" w:lineRule="auto"/>
        <w:ind w:left="426" w:hanging="426"/>
        <w:rPr>
          <w:lang w:val="en-GB"/>
        </w:rPr>
      </w:pPr>
      <w:r w:rsidRPr="008C148B">
        <w:rPr>
          <w:lang w:val="en-GB"/>
        </w:rPr>
        <w:t>Times Education Supplement</w:t>
      </w:r>
      <w:r w:rsidR="00372356" w:rsidRPr="008C148B">
        <w:rPr>
          <w:lang w:val="en-GB"/>
        </w:rPr>
        <w:t xml:space="preserve"> (2013) </w:t>
      </w:r>
      <w:r w:rsidR="00E470ED" w:rsidRPr="008C148B">
        <w:rPr>
          <w:i/>
          <w:lang w:val="en-GB"/>
        </w:rPr>
        <w:t>Is PISA fundamentally flawed?</w:t>
      </w:r>
      <w:r w:rsidR="00E470ED" w:rsidRPr="008C148B">
        <w:rPr>
          <w:lang w:val="en-GB"/>
        </w:rPr>
        <w:t xml:space="preserve"> Available at </w:t>
      </w:r>
      <w:r w:rsidRPr="008C148B">
        <w:rPr>
          <w:lang w:val="en-GB"/>
        </w:rPr>
        <w:t>www.tes.co.uk/article.aspx?storycode=6344672, last a</w:t>
      </w:r>
      <w:r w:rsidR="00E470ED" w:rsidRPr="008C148B">
        <w:rPr>
          <w:lang w:val="en-GB"/>
        </w:rPr>
        <w:t xml:space="preserve">ccessed </w:t>
      </w:r>
      <w:r w:rsidRPr="008C148B">
        <w:rPr>
          <w:lang w:val="en-GB"/>
        </w:rPr>
        <w:t>15</w:t>
      </w:r>
      <w:r w:rsidRPr="008C148B">
        <w:rPr>
          <w:vertAlign w:val="superscript"/>
          <w:lang w:val="en-GB"/>
        </w:rPr>
        <w:t>th</w:t>
      </w:r>
      <w:r w:rsidRPr="008C148B">
        <w:rPr>
          <w:lang w:val="en-GB"/>
        </w:rPr>
        <w:t xml:space="preserve"> March 2014</w:t>
      </w:r>
      <w:r w:rsidR="00E470ED" w:rsidRPr="008C148B">
        <w:rPr>
          <w:lang w:val="en-GB"/>
        </w:rPr>
        <w:t>.</w:t>
      </w:r>
    </w:p>
    <w:p w:rsidR="001A24E7" w:rsidRPr="008C148B" w:rsidRDefault="001A24E7" w:rsidP="003E095A">
      <w:pPr>
        <w:spacing w:line="276" w:lineRule="auto"/>
        <w:ind w:left="426" w:hanging="426"/>
        <w:rPr>
          <w:rFonts w:eastAsia="Times New Roman" w:cs="Times New Roman"/>
          <w:lang w:val="en-GB"/>
        </w:rPr>
      </w:pPr>
      <w:r w:rsidRPr="008C148B">
        <w:rPr>
          <w:lang w:val="en-GB"/>
        </w:rPr>
        <w:t xml:space="preserve">Tomlinson, M. (2004) </w:t>
      </w:r>
      <w:r w:rsidRPr="008C148B">
        <w:rPr>
          <w:i/>
          <w:iCs/>
          <w:lang w:val="en-GB"/>
        </w:rPr>
        <w:t xml:space="preserve">14-19 curriculum and qualifications reform – final report of the working group on 14-19 reform </w:t>
      </w:r>
      <w:r w:rsidRPr="008C148B">
        <w:rPr>
          <w:iCs/>
          <w:lang w:val="en-GB"/>
        </w:rPr>
        <w:t>(</w:t>
      </w:r>
      <w:proofErr w:type="spellStart"/>
      <w:r w:rsidRPr="008C148B">
        <w:rPr>
          <w:lang w:val="en-GB"/>
        </w:rPr>
        <w:t>Annesley</w:t>
      </w:r>
      <w:proofErr w:type="spellEnd"/>
      <w:r w:rsidRPr="008C148B">
        <w:rPr>
          <w:lang w:val="en-GB"/>
        </w:rPr>
        <w:t>, DfES Publications).</w:t>
      </w:r>
    </w:p>
    <w:p w:rsidR="00733C21" w:rsidRPr="008C148B" w:rsidRDefault="00733C21" w:rsidP="003E095A">
      <w:pPr>
        <w:spacing w:line="276" w:lineRule="auto"/>
        <w:ind w:left="426" w:hanging="426"/>
        <w:rPr>
          <w:rFonts w:eastAsia="Times New Roman" w:cs="Arial"/>
          <w:bCs/>
          <w:lang w:val="en-GB"/>
        </w:rPr>
      </w:pPr>
      <w:r w:rsidRPr="008C148B">
        <w:rPr>
          <w:lang w:val="en-GB"/>
        </w:rPr>
        <w:t>Torrance, H. (2009) Using assessment in education reform – policy, practice and future possibilities, in: H. Daniels, H. Lauder &amp; J. Porter (</w:t>
      </w:r>
      <w:proofErr w:type="spellStart"/>
      <w:r w:rsidRPr="008C148B">
        <w:rPr>
          <w:lang w:val="en-GB"/>
        </w:rPr>
        <w:t>Eds</w:t>
      </w:r>
      <w:proofErr w:type="spellEnd"/>
      <w:r w:rsidRPr="008C148B">
        <w:rPr>
          <w:lang w:val="en-GB"/>
        </w:rPr>
        <w:t xml:space="preserve">) </w:t>
      </w:r>
      <w:r w:rsidRPr="008C148B">
        <w:rPr>
          <w:i/>
          <w:iCs/>
          <w:lang w:val="en-GB"/>
        </w:rPr>
        <w:t>Knowledge, values and educational policy – a critical perspective</w:t>
      </w:r>
      <w:r w:rsidRPr="008C148B">
        <w:rPr>
          <w:lang w:val="en-GB"/>
        </w:rPr>
        <w:t xml:space="preserve"> (London/New York: </w:t>
      </w:r>
      <w:proofErr w:type="spellStart"/>
      <w:r w:rsidRPr="008C148B">
        <w:rPr>
          <w:lang w:val="en-GB"/>
        </w:rPr>
        <w:t>Routledge</w:t>
      </w:r>
      <w:proofErr w:type="spellEnd"/>
      <w:r w:rsidRPr="008C148B">
        <w:rPr>
          <w:lang w:val="en-GB"/>
        </w:rPr>
        <w:t>), 218-236.</w:t>
      </w:r>
    </w:p>
    <w:p w:rsidR="00341848" w:rsidRPr="008C148B" w:rsidRDefault="00217623" w:rsidP="003E095A">
      <w:pPr>
        <w:widowControl w:val="0"/>
        <w:autoSpaceDE w:val="0"/>
        <w:autoSpaceDN w:val="0"/>
        <w:adjustRightInd w:val="0"/>
        <w:spacing w:line="276" w:lineRule="auto"/>
        <w:ind w:left="426" w:hanging="426"/>
        <w:rPr>
          <w:rFonts w:cs="Times New Roman"/>
          <w:lang w:val="en-GB"/>
        </w:rPr>
      </w:pPr>
      <w:r w:rsidRPr="008C148B">
        <w:rPr>
          <w:rFonts w:cs="Times New Roman"/>
          <w:lang w:val="en-GB"/>
        </w:rPr>
        <w:t xml:space="preserve">Torrance, H. (2011) </w:t>
      </w:r>
      <w:r w:rsidR="00A46708" w:rsidRPr="008C148B">
        <w:rPr>
          <w:rFonts w:cs="Times New Roman"/>
          <w:lang w:val="en-GB"/>
        </w:rPr>
        <w:t>Qualitative res</w:t>
      </w:r>
      <w:r w:rsidRPr="008C148B">
        <w:rPr>
          <w:rFonts w:cs="Times New Roman"/>
          <w:lang w:val="en-GB"/>
        </w:rPr>
        <w:t>earch, science and government: e</w:t>
      </w:r>
      <w:r w:rsidR="00A46708" w:rsidRPr="008C148B">
        <w:rPr>
          <w:rFonts w:cs="Times New Roman"/>
          <w:lang w:val="en-GB"/>
        </w:rPr>
        <w:t>vidence, criteria, policy and politics</w:t>
      </w:r>
      <w:r w:rsidRPr="008C148B">
        <w:rPr>
          <w:rFonts w:cs="Times New Roman"/>
          <w:lang w:val="en-GB"/>
        </w:rPr>
        <w:t xml:space="preserve">, in: N. </w:t>
      </w:r>
      <w:proofErr w:type="spellStart"/>
      <w:r w:rsidRPr="008C148B">
        <w:rPr>
          <w:rFonts w:cs="Times New Roman"/>
          <w:lang w:val="en-GB"/>
        </w:rPr>
        <w:t>Denzin</w:t>
      </w:r>
      <w:proofErr w:type="spellEnd"/>
      <w:r w:rsidRPr="008C148B">
        <w:rPr>
          <w:rFonts w:cs="Times New Roman"/>
          <w:lang w:val="en-GB"/>
        </w:rPr>
        <w:t xml:space="preserve"> &amp; Y. Lincoln (</w:t>
      </w:r>
      <w:proofErr w:type="spellStart"/>
      <w:r w:rsidRPr="008C148B">
        <w:rPr>
          <w:rFonts w:cs="Times New Roman"/>
          <w:lang w:val="en-GB"/>
        </w:rPr>
        <w:t>Eds</w:t>
      </w:r>
      <w:proofErr w:type="spellEnd"/>
      <w:r w:rsidR="00733C21" w:rsidRPr="008C148B">
        <w:rPr>
          <w:rFonts w:cs="Times New Roman"/>
          <w:lang w:val="en-GB"/>
        </w:rPr>
        <w:t>)</w:t>
      </w:r>
      <w:r w:rsidR="00A46708" w:rsidRPr="008C148B">
        <w:rPr>
          <w:rFonts w:cs="Times New Roman"/>
          <w:lang w:val="en-GB"/>
        </w:rPr>
        <w:t xml:space="preserve"> </w:t>
      </w:r>
      <w:r w:rsidR="00A46708" w:rsidRPr="008C148B">
        <w:rPr>
          <w:rFonts w:cs="Times New Roman"/>
          <w:i/>
          <w:lang w:val="en-GB"/>
        </w:rPr>
        <w:t>Handbook of qualitative research</w:t>
      </w:r>
      <w:r w:rsidR="00A46708" w:rsidRPr="008C148B">
        <w:rPr>
          <w:rFonts w:cs="Times New Roman"/>
          <w:lang w:val="en-GB"/>
        </w:rPr>
        <w:t xml:space="preserve"> (4th ed</w:t>
      </w:r>
      <w:r w:rsidR="0066340A" w:rsidRPr="008C148B">
        <w:rPr>
          <w:rFonts w:cs="Times New Roman"/>
          <w:lang w:val="en-GB"/>
        </w:rPr>
        <w:t>.) (</w:t>
      </w:r>
      <w:r w:rsidR="00A46708" w:rsidRPr="008C148B">
        <w:rPr>
          <w:rFonts w:cs="Times New Roman"/>
          <w:lang w:val="en-GB"/>
        </w:rPr>
        <w:t>Thousand</w:t>
      </w:r>
      <w:r w:rsidR="00F15D88" w:rsidRPr="008C148B">
        <w:rPr>
          <w:rFonts w:cs="Times New Roman"/>
          <w:lang w:val="en-GB"/>
        </w:rPr>
        <w:t xml:space="preserve"> </w:t>
      </w:r>
      <w:r w:rsidR="0066340A" w:rsidRPr="008C148B">
        <w:rPr>
          <w:rFonts w:cs="Times New Roman"/>
          <w:lang w:val="en-GB"/>
        </w:rPr>
        <w:t>Oaks,</w:t>
      </w:r>
      <w:r w:rsidR="00A46708" w:rsidRPr="008C148B">
        <w:rPr>
          <w:rFonts w:cs="Times New Roman"/>
          <w:lang w:val="en-GB"/>
        </w:rPr>
        <w:t xml:space="preserve"> </w:t>
      </w:r>
      <w:r w:rsidR="0066340A" w:rsidRPr="008C148B">
        <w:rPr>
          <w:rFonts w:cs="Times New Roman"/>
          <w:lang w:val="en-GB"/>
        </w:rPr>
        <w:t>Sage), 569-580.</w:t>
      </w:r>
    </w:p>
    <w:p w:rsidR="00341848" w:rsidRDefault="00217623" w:rsidP="003E095A">
      <w:pPr>
        <w:widowControl w:val="0"/>
        <w:autoSpaceDE w:val="0"/>
        <w:autoSpaceDN w:val="0"/>
        <w:adjustRightInd w:val="0"/>
        <w:spacing w:line="276" w:lineRule="auto"/>
        <w:ind w:left="426" w:hanging="426"/>
        <w:rPr>
          <w:rFonts w:cs="Times New Roman"/>
          <w:lang w:val="en-GB"/>
        </w:rPr>
      </w:pPr>
      <w:r w:rsidRPr="008C148B">
        <w:rPr>
          <w:rFonts w:cs="Times New Roman"/>
          <w:lang w:val="en-GB"/>
        </w:rPr>
        <w:t>Torrance, H. (2012) Triangulation, respondent v</w:t>
      </w:r>
      <w:r w:rsidR="00341848" w:rsidRPr="008C148B">
        <w:rPr>
          <w:rFonts w:cs="Times New Roman"/>
          <w:lang w:val="en-GB"/>
        </w:rPr>
        <w:t>ali</w:t>
      </w:r>
      <w:r w:rsidRPr="008C148B">
        <w:rPr>
          <w:rFonts w:cs="Times New Roman"/>
          <w:lang w:val="en-GB"/>
        </w:rPr>
        <w:t>dation, and democratic p</w:t>
      </w:r>
      <w:r w:rsidR="00341848" w:rsidRPr="008C148B">
        <w:rPr>
          <w:rFonts w:cs="Times New Roman"/>
          <w:lang w:val="en-GB"/>
        </w:rPr>
        <w:t xml:space="preserve">articipation </w:t>
      </w:r>
      <w:r w:rsidRPr="008C148B">
        <w:rPr>
          <w:rFonts w:cs="Times New Roman"/>
          <w:lang w:val="en-GB"/>
        </w:rPr>
        <w:t>in mixed methods research,</w:t>
      </w:r>
      <w:r w:rsidR="008F2E67" w:rsidRPr="008C148B">
        <w:rPr>
          <w:rFonts w:cs="Times New Roman"/>
          <w:lang w:val="en-GB"/>
        </w:rPr>
        <w:t xml:space="preserve"> </w:t>
      </w:r>
      <w:r w:rsidR="00341848" w:rsidRPr="008C148B">
        <w:rPr>
          <w:rFonts w:cs="Times New Roman"/>
          <w:i/>
          <w:lang w:val="en-GB"/>
        </w:rPr>
        <w:t>Journal of Mixed Methods Research</w:t>
      </w:r>
      <w:r w:rsidR="00393FAA" w:rsidRPr="008C148B">
        <w:rPr>
          <w:rFonts w:cs="Times New Roman"/>
          <w:lang w:val="en-GB"/>
        </w:rPr>
        <w:t xml:space="preserve">, </w:t>
      </w:r>
      <w:r w:rsidR="00341848" w:rsidRPr="008C148B">
        <w:rPr>
          <w:rFonts w:cs="Times New Roman"/>
          <w:lang w:val="en-GB"/>
        </w:rPr>
        <w:t>6(2)</w:t>
      </w:r>
      <w:r w:rsidRPr="008C148B">
        <w:rPr>
          <w:rFonts w:cs="Times New Roman"/>
          <w:lang w:val="en-GB"/>
        </w:rPr>
        <w:t>,</w:t>
      </w:r>
      <w:r w:rsidR="00341848" w:rsidRPr="008C148B">
        <w:rPr>
          <w:rFonts w:cs="Times New Roman"/>
          <w:lang w:val="en-GB"/>
        </w:rPr>
        <w:t xml:space="preserve"> 111–123</w:t>
      </w:r>
      <w:r w:rsidRPr="008C148B">
        <w:rPr>
          <w:rFonts w:cs="Times New Roman"/>
          <w:lang w:val="en-GB"/>
        </w:rPr>
        <w:t>.</w:t>
      </w:r>
    </w:p>
    <w:p w:rsidR="00C607D6" w:rsidRPr="00C607D6" w:rsidRDefault="00C607D6" w:rsidP="003E095A">
      <w:pPr>
        <w:widowControl w:val="0"/>
        <w:autoSpaceDE w:val="0"/>
        <w:autoSpaceDN w:val="0"/>
        <w:adjustRightInd w:val="0"/>
        <w:spacing w:line="276" w:lineRule="auto"/>
        <w:ind w:left="426" w:hanging="426"/>
        <w:rPr>
          <w:rFonts w:cs="Times New Roman"/>
          <w:lang w:val="en-GB"/>
        </w:rPr>
      </w:pPr>
      <w:r>
        <w:rPr>
          <w:rFonts w:cs="Times New Roman"/>
          <w:lang w:val="en-GB"/>
        </w:rPr>
        <w:t xml:space="preserve">UK Parliament (2008) </w:t>
      </w:r>
      <w:r>
        <w:rPr>
          <w:rFonts w:cs="Times New Roman"/>
          <w:i/>
          <w:lang w:val="en-GB"/>
        </w:rPr>
        <w:t>Children, Schools and Families Committee – third report: testing and assessment</w:t>
      </w:r>
      <w:r>
        <w:rPr>
          <w:rFonts w:cs="Times New Roman"/>
          <w:lang w:val="en-GB"/>
        </w:rPr>
        <w:t xml:space="preserve"> (London, The Stationery Office).</w:t>
      </w:r>
    </w:p>
    <w:p w:rsidR="00442A67" w:rsidRPr="008C148B" w:rsidRDefault="0066340A" w:rsidP="003E095A">
      <w:pPr>
        <w:spacing w:line="276" w:lineRule="auto"/>
        <w:ind w:left="426" w:hanging="426"/>
        <w:rPr>
          <w:rFonts w:eastAsia="Times New Roman" w:cs="Arial"/>
          <w:bCs/>
          <w:lang w:val="en-GB"/>
        </w:rPr>
      </w:pPr>
      <w:r w:rsidRPr="008C148B">
        <w:rPr>
          <w:lang w:val="en-GB"/>
        </w:rPr>
        <w:t xml:space="preserve">UK Parliament (2011) </w:t>
      </w:r>
      <w:r w:rsidRPr="008C148B">
        <w:rPr>
          <w:i/>
          <w:lang w:val="en-GB"/>
        </w:rPr>
        <w:t>Education Committee - fifth r</w:t>
      </w:r>
      <w:r w:rsidR="009059D6" w:rsidRPr="008C148B">
        <w:rPr>
          <w:i/>
          <w:lang w:val="en-GB"/>
        </w:rPr>
        <w:t>eport</w:t>
      </w:r>
      <w:r w:rsidRPr="008C148B">
        <w:rPr>
          <w:i/>
          <w:lang w:val="en-GB"/>
        </w:rPr>
        <w:t>: the English Baccalaureate</w:t>
      </w:r>
      <w:r w:rsidRPr="008C148B">
        <w:rPr>
          <w:lang w:val="en-GB"/>
        </w:rPr>
        <w:t xml:space="preserve"> (</w:t>
      </w:r>
      <w:r w:rsidR="00C607D6">
        <w:rPr>
          <w:rFonts w:cs="Times New Roman"/>
          <w:lang w:val="en-GB"/>
        </w:rPr>
        <w:t>London, The Stationery Office</w:t>
      </w:r>
      <w:r w:rsidRPr="008C148B">
        <w:rPr>
          <w:lang w:val="en-GB"/>
        </w:rPr>
        <w:t>)</w:t>
      </w:r>
      <w:r w:rsidRPr="008C148B">
        <w:rPr>
          <w:rFonts w:eastAsia="Times New Roman" w:cs="Arial"/>
          <w:bCs/>
          <w:lang w:val="en-GB"/>
        </w:rPr>
        <w:t>.</w:t>
      </w:r>
    </w:p>
    <w:p w:rsidR="00A17768" w:rsidRPr="008C148B" w:rsidRDefault="00A17768" w:rsidP="003E095A">
      <w:pPr>
        <w:spacing w:line="276" w:lineRule="auto"/>
        <w:ind w:left="426" w:hanging="426"/>
        <w:rPr>
          <w:rFonts w:eastAsia="Times New Roman" w:cs="Arial"/>
          <w:bCs/>
          <w:lang w:val="en-GB"/>
        </w:rPr>
      </w:pPr>
      <w:proofErr w:type="spellStart"/>
      <w:r w:rsidRPr="008C148B">
        <w:rPr>
          <w:lang w:val="en-GB"/>
        </w:rPr>
        <w:t>Unwin</w:t>
      </w:r>
      <w:proofErr w:type="spellEnd"/>
      <w:r w:rsidRPr="008C148B">
        <w:rPr>
          <w:lang w:val="en-GB"/>
        </w:rPr>
        <w:t>, L</w:t>
      </w:r>
      <w:r w:rsidRPr="008C148B">
        <w:rPr>
          <w:rFonts w:eastAsia="Times New Roman" w:cs="Arial"/>
          <w:bCs/>
          <w:lang w:val="en-GB"/>
        </w:rPr>
        <w:t xml:space="preserve">. (2010) Learning and working from the MSC to New Labour: young people, skills and employment, </w:t>
      </w:r>
      <w:r w:rsidRPr="008C148B">
        <w:rPr>
          <w:rFonts w:eastAsia="Times New Roman" w:cs="Arial"/>
          <w:bCs/>
          <w:i/>
          <w:lang w:val="en-GB"/>
        </w:rPr>
        <w:t>National Institute Economic Review,</w:t>
      </w:r>
      <w:r w:rsidRPr="008C148B">
        <w:rPr>
          <w:rFonts w:eastAsia="Times New Roman" w:cs="Arial"/>
          <w:bCs/>
          <w:lang w:val="en-GB"/>
        </w:rPr>
        <w:t xml:space="preserve"> 212, R49-R60. </w:t>
      </w:r>
    </w:p>
    <w:p w:rsidR="00442A67" w:rsidRDefault="00442A67" w:rsidP="003E095A">
      <w:pPr>
        <w:spacing w:line="276" w:lineRule="auto"/>
        <w:ind w:left="426" w:hanging="426"/>
        <w:rPr>
          <w:lang w:val="en-GB"/>
        </w:rPr>
      </w:pPr>
      <w:r w:rsidRPr="008C148B">
        <w:rPr>
          <w:lang w:val="en-GB"/>
        </w:rPr>
        <w:lastRenderedPageBreak/>
        <w:t xml:space="preserve">Watkins, C. (2010) </w:t>
      </w:r>
      <w:r w:rsidRPr="008C148B">
        <w:rPr>
          <w:i/>
          <w:lang w:val="en-GB"/>
        </w:rPr>
        <w:t>Learning, performance and improvement</w:t>
      </w:r>
      <w:r w:rsidRPr="008C148B">
        <w:rPr>
          <w:lang w:val="en-GB"/>
        </w:rPr>
        <w:t xml:space="preserve"> (</w:t>
      </w:r>
      <w:r w:rsidRPr="008C148B">
        <w:rPr>
          <w:iCs/>
          <w:lang w:val="en-GB"/>
        </w:rPr>
        <w:t xml:space="preserve">INSI Research Matters </w:t>
      </w:r>
      <w:r w:rsidRPr="008C148B">
        <w:rPr>
          <w:lang w:val="en-GB"/>
        </w:rPr>
        <w:t>No. 34) (London, London Centre for Leadership in Learning, Institute of Education).</w:t>
      </w:r>
    </w:p>
    <w:p w:rsidR="002C174C" w:rsidRPr="002C174C" w:rsidRDefault="002C174C" w:rsidP="003E095A">
      <w:pPr>
        <w:spacing w:line="276" w:lineRule="auto"/>
        <w:ind w:left="426" w:hanging="426"/>
        <w:rPr>
          <w:lang w:val="en-GB"/>
        </w:rPr>
      </w:pPr>
      <w:r>
        <w:rPr>
          <w:lang w:val="en-GB"/>
        </w:rPr>
        <w:t xml:space="preserve">West, A. (2010) High stakes testing, accountability, incentives and consequences in English school, </w:t>
      </w:r>
      <w:r>
        <w:rPr>
          <w:i/>
          <w:lang w:val="en-GB"/>
        </w:rPr>
        <w:t>Policy &amp; Politics</w:t>
      </w:r>
      <w:r>
        <w:rPr>
          <w:lang w:val="en-GB"/>
        </w:rPr>
        <w:t>, 38(1), 23-39.</w:t>
      </w:r>
    </w:p>
    <w:p w:rsidR="00C71D19" w:rsidRPr="00C71D19" w:rsidRDefault="00601265" w:rsidP="003E095A">
      <w:pPr>
        <w:spacing w:line="276" w:lineRule="auto"/>
        <w:ind w:left="426" w:hanging="426"/>
        <w:rPr>
          <w:lang w:val="en-GB"/>
        </w:rPr>
      </w:pPr>
      <w:proofErr w:type="spellStart"/>
      <w:r>
        <w:rPr>
          <w:lang w:val="en-GB"/>
        </w:rPr>
        <w:t>Whitty</w:t>
      </w:r>
      <w:proofErr w:type="spellEnd"/>
      <w:r>
        <w:rPr>
          <w:lang w:val="en-GB"/>
        </w:rPr>
        <w:t>, G. (2010) Revisiting school k</w:t>
      </w:r>
      <w:r w:rsidR="00C71D19">
        <w:rPr>
          <w:lang w:val="en-GB"/>
        </w:rPr>
        <w:t xml:space="preserve">nowledge: some sociological perspectives on new school curricula, </w:t>
      </w:r>
      <w:r w:rsidR="00C71D19">
        <w:rPr>
          <w:i/>
          <w:lang w:val="en-GB"/>
        </w:rPr>
        <w:t xml:space="preserve">European Journal of Education, </w:t>
      </w:r>
      <w:r w:rsidR="00C71D19">
        <w:rPr>
          <w:lang w:val="en-GB"/>
        </w:rPr>
        <w:t>45 (1)</w:t>
      </w:r>
      <w:r w:rsidR="002C174C">
        <w:rPr>
          <w:lang w:val="en-GB"/>
        </w:rPr>
        <w:t>,</w:t>
      </w:r>
      <w:r w:rsidR="00C71D19">
        <w:rPr>
          <w:lang w:val="en-GB"/>
        </w:rPr>
        <w:t xml:space="preserve"> 28-45</w:t>
      </w:r>
      <w:r>
        <w:rPr>
          <w:lang w:val="en-GB"/>
        </w:rPr>
        <w:t>.</w:t>
      </w:r>
    </w:p>
    <w:p w:rsidR="001142AC" w:rsidRPr="008C148B" w:rsidRDefault="001142AC" w:rsidP="003E095A">
      <w:pPr>
        <w:spacing w:line="276" w:lineRule="auto"/>
        <w:ind w:left="425" w:hanging="425"/>
        <w:rPr>
          <w:lang w:val="en-GB"/>
        </w:rPr>
      </w:pPr>
      <w:r w:rsidRPr="008C148B">
        <w:rPr>
          <w:lang w:val="en-GB"/>
        </w:rPr>
        <w:t xml:space="preserve">Wolf, A. (2011) </w:t>
      </w:r>
      <w:r w:rsidRPr="008C148B">
        <w:rPr>
          <w:i/>
          <w:lang w:val="en-GB"/>
        </w:rPr>
        <w:t xml:space="preserve">Review of vocational education – the Wolf report </w:t>
      </w:r>
      <w:r w:rsidRPr="008C148B">
        <w:rPr>
          <w:lang w:val="en-GB"/>
        </w:rPr>
        <w:t>(London, Department for Education).</w:t>
      </w:r>
    </w:p>
    <w:p w:rsidR="0097412C" w:rsidRPr="008C148B" w:rsidRDefault="008F42C2" w:rsidP="003E095A">
      <w:pPr>
        <w:spacing w:line="276" w:lineRule="auto"/>
        <w:ind w:left="425" w:hanging="425"/>
        <w:rPr>
          <w:rFonts w:eastAsia="Times New Roman" w:cs="Times New Roman"/>
          <w:lang w:val="en-GB"/>
        </w:rPr>
      </w:pPr>
      <w:r w:rsidRPr="008C148B">
        <w:rPr>
          <w:rFonts w:eastAsia="Times New Roman" w:cs="Times New Roman"/>
          <w:lang w:val="en-GB"/>
        </w:rPr>
        <w:t>Wolf, A. and Jenkins, A. (</w:t>
      </w:r>
      <w:r w:rsidR="000D0690">
        <w:rPr>
          <w:rFonts w:eastAsia="Times New Roman" w:cs="Times New Roman"/>
          <w:lang w:val="en-GB"/>
        </w:rPr>
        <w:t>in press</w:t>
      </w:r>
      <w:r w:rsidRPr="008C148B">
        <w:rPr>
          <w:rFonts w:eastAsia="Times New Roman" w:cs="Times New Roman"/>
          <w:lang w:val="en-GB"/>
        </w:rPr>
        <w:t>)</w:t>
      </w:r>
      <w:r w:rsidR="0097412C" w:rsidRPr="008C148B">
        <w:rPr>
          <w:rFonts w:eastAsia="Times New Roman" w:cs="Times New Roman"/>
          <w:lang w:val="en-GB"/>
        </w:rPr>
        <w:t xml:space="preserve"> Do ‘learners’ always learn? The impact of workplace adult literacy courses on participants’ literacy skills. </w:t>
      </w:r>
      <w:r w:rsidRPr="008C148B">
        <w:rPr>
          <w:rFonts w:eastAsia="Times New Roman" w:cs="Times New Roman"/>
          <w:lang w:val="en-GB"/>
        </w:rPr>
        <w:t xml:space="preserve"> Awaiting publication in </w:t>
      </w:r>
      <w:r w:rsidR="0040253F" w:rsidRPr="008C148B">
        <w:rPr>
          <w:rFonts w:eastAsia="Times New Roman" w:cs="Times New Roman"/>
          <w:i/>
          <w:lang w:val="en-GB"/>
        </w:rPr>
        <w:t>British Educational Research Journal</w:t>
      </w:r>
      <w:r w:rsidRPr="008C148B">
        <w:rPr>
          <w:rFonts w:eastAsia="Times New Roman" w:cs="Times New Roman"/>
          <w:lang w:val="en-GB"/>
        </w:rPr>
        <w:t xml:space="preserve"> (</w:t>
      </w:r>
      <w:proofErr w:type="spellStart"/>
      <w:r w:rsidR="0097412C" w:rsidRPr="008C148B">
        <w:rPr>
          <w:rFonts w:eastAsia="Times New Roman" w:cs="Times New Roman"/>
          <w:lang w:val="en-GB"/>
        </w:rPr>
        <w:t>doi</w:t>
      </w:r>
      <w:proofErr w:type="spellEnd"/>
      <w:r w:rsidR="0097412C" w:rsidRPr="008C148B">
        <w:rPr>
          <w:rFonts w:eastAsia="Times New Roman" w:cs="Times New Roman"/>
          <w:lang w:val="en-GB"/>
        </w:rPr>
        <w:t>: 10.1002/berj.3110</w:t>
      </w:r>
      <w:r w:rsidRPr="008C148B">
        <w:rPr>
          <w:rFonts w:eastAsia="Times New Roman" w:cs="Times New Roman"/>
          <w:lang w:val="en-GB"/>
        </w:rPr>
        <w:t>).</w:t>
      </w:r>
    </w:p>
    <w:p w:rsidR="002165B9" w:rsidRDefault="002165B9" w:rsidP="003E095A">
      <w:pPr>
        <w:spacing w:line="276" w:lineRule="auto"/>
        <w:ind w:left="425" w:hanging="425"/>
        <w:rPr>
          <w:rFonts w:eastAsia="Times New Roman" w:cs="Times New Roman"/>
          <w:lang w:val="en-GB"/>
        </w:rPr>
      </w:pPr>
      <w:r w:rsidRPr="008C148B">
        <w:rPr>
          <w:rFonts w:eastAsia="Times New Roman" w:cs="Times New Roman"/>
          <w:lang w:val="en-GB"/>
        </w:rPr>
        <w:t xml:space="preserve">Wrigley, T. (2011) ‘Rapidly improving results’: penetrating the hype of policy-based evidence, in: H. Gunter (Ed) </w:t>
      </w:r>
      <w:r w:rsidRPr="008C148B">
        <w:rPr>
          <w:rFonts w:eastAsia="Times New Roman" w:cs="Times New Roman"/>
          <w:i/>
          <w:lang w:val="en-GB"/>
        </w:rPr>
        <w:t>The state and education policy: the academies programme</w:t>
      </w:r>
      <w:r w:rsidRPr="008C148B">
        <w:rPr>
          <w:rFonts w:eastAsia="Times New Roman" w:cs="Times New Roman"/>
          <w:lang w:val="en-GB"/>
        </w:rPr>
        <w:t xml:space="preserve"> (London: Continuum), 133-145.</w:t>
      </w:r>
    </w:p>
    <w:p w:rsidR="00C71D19" w:rsidRDefault="00C71D19" w:rsidP="003E095A">
      <w:pPr>
        <w:spacing w:line="276" w:lineRule="auto"/>
        <w:ind w:left="425" w:hanging="425"/>
        <w:rPr>
          <w:rFonts w:eastAsia="Times New Roman" w:cs="Times New Roman"/>
          <w:lang w:val="en-GB"/>
        </w:rPr>
      </w:pPr>
      <w:r>
        <w:rPr>
          <w:rFonts w:eastAsia="Times New Roman" w:cs="Times New Roman"/>
          <w:lang w:val="en-GB"/>
        </w:rPr>
        <w:t xml:space="preserve">Young, M. (2008) </w:t>
      </w:r>
      <w:r w:rsidR="00601265">
        <w:rPr>
          <w:rFonts w:eastAsia="Times New Roman" w:cs="Times New Roman"/>
          <w:i/>
          <w:lang w:val="en-GB"/>
        </w:rPr>
        <w:t>Bringing knowledge back i</w:t>
      </w:r>
      <w:r>
        <w:rPr>
          <w:rFonts w:eastAsia="Times New Roman" w:cs="Times New Roman"/>
          <w:i/>
          <w:lang w:val="en-GB"/>
        </w:rPr>
        <w:t xml:space="preserve">n: from social constructivism to social realism in the sociology of education </w:t>
      </w:r>
      <w:r w:rsidR="00601265">
        <w:rPr>
          <w:rFonts w:eastAsia="Times New Roman" w:cs="Times New Roman"/>
          <w:lang w:val="en-GB"/>
        </w:rPr>
        <w:t>(</w:t>
      </w:r>
      <w:r>
        <w:rPr>
          <w:rFonts w:eastAsia="Times New Roman" w:cs="Times New Roman"/>
          <w:lang w:val="en-GB"/>
        </w:rPr>
        <w:t xml:space="preserve">London, </w:t>
      </w:r>
      <w:proofErr w:type="spellStart"/>
      <w:r>
        <w:rPr>
          <w:rFonts w:eastAsia="Times New Roman" w:cs="Times New Roman"/>
          <w:lang w:val="en-GB"/>
        </w:rPr>
        <w:t>Routledge</w:t>
      </w:r>
      <w:proofErr w:type="spellEnd"/>
      <w:r w:rsidR="00601265">
        <w:rPr>
          <w:rFonts w:eastAsia="Times New Roman" w:cs="Times New Roman"/>
          <w:lang w:val="en-GB"/>
        </w:rPr>
        <w:t>)</w:t>
      </w:r>
      <w:r>
        <w:rPr>
          <w:rFonts w:eastAsia="Times New Roman" w:cs="Times New Roman"/>
          <w:lang w:val="en-GB"/>
        </w:rPr>
        <w:t xml:space="preserve">. </w:t>
      </w:r>
    </w:p>
    <w:p w:rsidR="00C71D19" w:rsidRPr="00C71D19" w:rsidRDefault="00C71D19" w:rsidP="003E095A">
      <w:pPr>
        <w:spacing w:line="276" w:lineRule="auto"/>
        <w:ind w:left="425" w:hanging="425"/>
        <w:rPr>
          <w:lang w:val="en-GB"/>
        </w:rPr>
      </w:pPr>
      <w:r>
        <w:rPr>
          <w:rFonts w:eastAsia="Times New Roman" w:cs="Times New Roman"/>
          <w:lang w:val="en-GB"/>
        </w:rPr>
        <w:t xml:space="preserve">Young, M. (2009) What are </w:t>
      </w:r>
      <w:r w:rsidR="00601265">
        <w:rPr>
          <w:rFonts w:eastAsia="Times New Roman" w:cs="Times New Roman"/>
          <w:lang w:val="en-GB"/>
        </w:rPr>
        <w:t>schools f</w:t>
      </w:r>
      <w:r>
        <w:rPr>
          <w:rFonts w:eastAsia="Times New Roman" w:cs="Times New Roman"/>
          <w:lang w:val="en-GB"/>
        </w:rPr>
        <w:t>or?, in</w:t>
      </w:r>
      <w:r w:rsidR="00601265">
        <w:rPr>
          <w:rFonts w:eastAsia="Times New Roman" w:cs="Times New Roman"/>
          <w:lang w:val="en-GB"/>
        </w:rPr>
        <w:t>:</w:t>
      </w:r>
      <w:r>
        <w:rPr>
          <w:rFonts w:eastAsia="Times New Roman" w:cs="Times New Roman"/>
          <w:lang w:val="en-GB"/>
        </w:rPr>
        <w:t xml:space="preserve"> H. Daniels, H. Lauder &amp; J. Porter (</w:t>
      </w:r>
      <w:proofErr w:type="spellStart"/>
      <w:r>
        <w:rPr>
          <w:rFonts w:eastAsia="Times New Roman" w:cs="Times New Roman"/>
          <w:lang w:val="en-GB"/>
        </w:rPr>
        <w:t>Eds</w:t>
      </w:r>
      <w:proofErr w:type="spellEnd"/>
      <w:r>
        <w:rPr>
          <w:rFonts w:eastAsia="Times New Roman" w:cs="Times New Roman"/>
          <w:lang w:val="en-GB"/>
        </w:rPr>
        <w:t xml:space="preserve">) </w:t>
      </w:r>
      <w:r w:rsidR="00601265">
        <w:rPr>
          <w:rFonts w:eastAsia="Times New Roman" w:cs="Times New Roman"/>
          <w:i/>
          <w:lang w:val="en-GB"/>
        </w:rPr>
        <w:t>Knowledge, values and educational policy: a</w:t>
      </w:r>
      <w:r>
        <w:rPr>
          <w:rFonts w:eastAsia="Times New Roman" w:cs="Times New Roman"/>
          <w:i/>
          <w:lang w:val="en-GB"/>
        </w:rPr>
        <w:t xml:space="preserve"> critical perspective</w:t>
      </w:r>
      <w:r>
        <w:rPr>
          <w:rFonts w:eastAsia="Times New Roman" w:cs="Times New Roman"/>
          <w:lang w:val="en-GB"/>
        </w:rPr>
        <w:t xml:space="preserve"> </w:t>
      </w:r>
      <w:r w:rsidR="00601265">
        <w:rPr>
          <w:rFonts w:eastAsia="Times New Roman" w:cs="Times New Roman"/>
          <w:lang w:val="en-GB"/>
        </w:rPr>
        <w:t>(</w:t>
      </w:r>
      <w:r>
        <w:rPr>
          <w:rFonts w:eastAsia="Times New Roman" w:cs="Times New Roman"/>
          <w:lang w:val="en-GB"/>
        </w:rPr>
        <w:t xml:space="preserve">London, </w:t>
      </w:r>
      <w:proofErr w:type="spellStart"/>
      <w:r>
        <w:rPr>
          <w:rFonts w:eastAsia="Times New Roman" w:cs="Times New Roman"/>
          <w:lang w:val="en-GB"/>
        </w:rPr>
        <w:t>Routledge</w:t>
      </w:r>
      <w:proofErr w:type="spellEnd"/>
      <w:r w:rsidR="00601265">
        <w:rPr>
          <w:rFonts w:eastAsia="Times New Roman" w:cs="Times New Roman"/>
          <w:lang w:val="en-GB"/>
        </w:rPr>
        <w:t>)</w:t>
      </w:r>
      <w:r w:rsidR="00AF361B">
        <w:rPr>
          <w:rFonts w:eastAsia="Times New Roman" w:cs="Times New Roman"/>
          <w:lang w:val="en-GB"/>
        </w:rPr>
        <w:t>.</w:t>
      </w:r>
    </w:p>
    <w:p w:rsidR="001142AC" w:rsidRPr="008C148B" w:rsidRDefault="001142AC" w:rsidP="003E095A">
      <w:pPr>
        <w:spacing w:line="276" w:lineRule="auto"/>
        <w:ind w:left="425" w:hanging="425"/>
        <w:rPr>
          <w:lang w:val="en-GB"/>
        </w:rPr>
      </w:pPr>
      <w:r w:rsidRPr="008C148B">
        <w:rPr>
          <w:lang w:val="en-GB"/>
        </w:rPr>
        <w:t xml:space="preserve">Zhang, J. &amp; Yu, K. (1998) What’s the relative risk? A method of correcting the odds ratio in cohort studies of common outcomes, </w:t>
      </w:r>
      <w:r w:rsidRPr="008C148B">
        <w:rPr>
          <w:i/>
          <w:iCs/>
          <w:lang w:val="en-GB"/>
        </w:rPr>
        <w:t>Journal of the American Medical Association</w:t>
      </w:r>
      <w:r w:rsidRPr="008C148B">
        <w:rPr>
          <w:iCs/>
          <w:lang w:val="en-GB"/>
        </w:rPr>
        <w:t>,</w:t>
      </w:r>
      <w:r w:rsidRPr="008C148B">
        <w:rPr>
          <w:i/>
          <w:iCs/>
          <w:lang w:val="en-GB"/>
        </w:rPr>
        <w:t xml:space="preserve"> </w:t>
      </w:r>
      <w:r w:rsidRPr="008C148B">
        <w:rPr>
          <w:lang w:val="en-GB"/>
        </w:rPr>
        <w:t>280</w:t>
      </w:r>
      <w:r w:rsidR="00031CC4" w:rsidRPr="008C148B">
        <w:rPr>
          <w:lang w:val="en-GB"/>
        </w:rPr>
        <w:t>(19)</w:t>
      </w:r>
      <w:r w:rsidRPr="008C148B">
        <w:rPr>
          <w:lang w:val="en-GB"/>
        </w:rPr>
        <w:t>, 1690-1691.</w:t>
      </w:r>
    </w:p>
    <w:p w:rsidR="00AC1DE8" w:rsidRPr="008C148B" w:rsidRDefault="00AC1DE8" w:rsidP="003E095A">
      <w:pPr>
        <w:spacing w:line="276" w:lineRule="auto"/>
        <w:ind w:left="425" w:hanging="425"/>
        <w:rPr>
          <w:lang w:val="en-GB"/>
        </w:rPr>
      </w:pPr>
    </w:p>
    <w:p w:rsidR="00AC1DE8" w:rsidRPr="008C148B" w:rsidRDefault="00AC1DE8" w:rsidP="003E095A">
      <w:pPr>
        <w:spacing w:line="276" w:lineRule="auto"/>
        <w:ind w:left="425" w:hanging="425"/>
        <w:rPr>
          <w:lang w:val="en-GB"/>
        </w:rPr>
      </w:pPr>
    </w:p>
    <w:sectPr w:rsidR="00AC1DE8" w:rsidRPr="008C148B" w:rsidSect="0059090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0" w:h="16840"/>
      <w:pgMar w:top="1304"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60" w:rsidRDefault="00EA6B60" w:rsidP="00057634">
      <w:r>
        <w:separator/>
      </w:r>
    </w:p>
  </w:endnote>
  <w:endnote w:type="continuationSeparator" w:id="0">
    <w:p w:rsidR="00EA6B60" w:rsidRDefault="00EA6B60" w:rsidP="00057634">
      <w:r>
        <w:continuationSeparator/>
      </w:r>
    </w:p>
  </w:endnote>
  <w:endnote w:id="1">
    <w:p w:rsidR="006E700E" w:rsidRPr="00DF1C47" w:rsidRDefault="006E700E" w:rsidP="001B528A">
      <w:pPr>
        <w:rPr>
          <w:sz w:val="20"/>
          <w:szCs w:val="20"/>
          <w:lang w:val="en-GB"/>
        </w:rPr>
      </w:pPr>
      <w:r>
        <w:rPr>
          <w:rStyle w:val="EndnoteReference"/>
          <w:sz w:val="20"/>
          <w:szCs w:val="20"/>
        </w:rPr>
        <w:endnoteRef/>
      </w:r>
      <w:r w:rsidRPr="00DF1C47">
        <w:rPr>
          <w:sz w:val="20"/>
          <w:szCs w:val="20"/>
        </w:rPr>
        <w:t xml:space="preserve"> </w:t>
      </w:r>
      <w:r w:rsidRPr="00DF1C47">
        <w:rPr>
          <w:sz w:val="20"/>
          <w:szCs w:val="20"/>
          <w:lang w:val="en-GB"/>
        </w:rPr>
        <w:t xml:space="preserve">The English Baccalaureate </w:t>
      </w:r>
      <w:r>
        <w:rPr>
          <w:sz w:val="20"/>
          <w:szCs w:val="20"/>
          <w:lang w:val="en-GB"/>
        </w:rPr>
        <w:t xml:space="preserve">(EB) </w:t>
      </w:r>
      <w:r w:rsidRPr="00DF1C47">
        <w:rPr>
          <w:sz w:val="20"/>
          <w:szCs w:val="20"/>
          <w:lang w:val="en-GB"/>
        </w:rPr>
        <w:t>is not a distinct curriculum entity in the sense of the International Baccalaureate, but rather a further narrowing of th</w:t>
      </w:r>
      <w:r w:rsidRPr="00EC47E2">
        <w:rPr>
          <w:sz w:val="20"/>
          <w:szCs w:val="20"/>
          <w:lang w:val="en-GB"/>
        </w:rPr>
        <w:t>e ‘threshold’ measure already mentioned in this paper</w:t>
      </w:r>
      <w:r w:rsidRPr="00DF1C47">
        <w:rPr>
          <w:sz w:val="20"/>
          <w:szCs w:val="20"/>
          <w:lang w:val="en-GB"/>
        </w:rPr>
        <w:t xml:space="preserve">: the measure of note would henceforth include five GCSE A* to C passes comprising English, mathematics, science, a language and a humanities subject.  </w:t>
      </w:r>
      <w:r w:rsidRPr="00EC47E2">
        <w:rPr>
          <w:sz w:val="20"/>
          <w:szCs w:val="20"/>
          <w:lang w:val="en-GB"/>
        </w:rPr>
        <w:t>The EB</w:t>
      </w:r>
      <w:r w:rsidRPr="00DF1C47">
        <w:rPr>
          <w:sz w:val="20"/>
          <w:szCs w:val="20"/>
          <w:lang w:val="en-GB"/>
        </w:rPr>
        <w:t xml:space="preserve"> was presented by the Government as defending breadth and as a way of addressing a perceived decline in standards, though for some commentators it promised the exact opposite of both of these things: a parliamentary Education Select Committee came to the view that it had been introduced with inadequate consultation and insufficient research, and that a contemporary review of the National Curriculum should have been used to inform so fundamental a policy change (UK Parliament, 2011). Many of the organisations giving evidence to the Select Committee had concerns that the English Baccalaureate would effectively narrow the curriculum and would have a detrimental effect on the standards of education for the many learners who do not respond well to academic subjects, curricula or assessment regimes. </w:t>
      </w:r>
    </w:p>
    <w:p w:rsidR="006E700E" w:rsidRDefault="006E700E" w:rsidP="001B528A">
      <w:pPr>
        <w:pStyle w:val="EndnoteText"/>
      </w:pPr>
    </w:p>
  </w:endnote>
  <w:endnote w:id="2">
    <w:p w:rsidR="006E700E" w:rsidRPr="00495339" w:rsidRDefault="006E700E" w:rsidP="00495339">
      <w:pPr>
        <w:rPr>
          <w:sz w:val="20"/>
          <w:szCs w:val="20"/>
          <w:lang w:val="en-GB"/>
        </w:rPr>
      </w:pPr>
      <w:r>
        <w:rPr>
          <w:rStyle w:val="EndnoteReference"/>
        </w:rPr>
        <w:endnoteRef/>
      </w:r>
      <w:r>
        <w:t xml:space="preserve"> </w:t>
      </w:r>
      <w:r w:rsidRPr="00495339">
        <w:rPr>
          <w:sz w:val="20"/>
          <w:szCs w:val="20"/>
          <w:lang w:val="en-GB"/>
        </w:rPr>
        <w:t>In logistic regression models, the ‘odds ratio’ is often used as a readily-understood measure of effect size, being related to the relative likelihood of a positive outcome (i.e. achieving a good pass) given a certain value of the explanatory variable, when compared to a reference category.  Indeed, when the outcome of interest is rare (i.e. achieved by fewer than 10 percent of the sample), the odds ratio can be used directly as an estimate for the relative likelihood. However, both the outcome variables in this study are relatively common (i.e. there are high pass rates).  In this situation, the odds ratio ceases to be a good estimate for the relative likelihood, and so Zhang &amp; Yu’s (1998) adjustment is used to provide a more accurate estimate:</w:t>
      </w:r>
    </w:p>
    <w:p w:rsidR="006E700E" w:rsidRPr="00495339" w:rsidRDefault="006E700E" w:rsidP="00495339">
      <w:pPr>
        <w:rPr>
          <w:sz w:val="20"/>
          <w:szCs w:val="20"/>
          <w:lang w:val="en-GB"/>
        </w:rPr>
      </w:pPr>
    </w:p>
    <w:p w:rsidR="006E700E" w:rsidRPr="00495339" w:rsidRDefault="006E700E" w:rsidP="00495339">
      <w:pPr>
        <w:ind w:left="720"/>
        <w:rPr>
          <w:sz w:val="20"/>
          <w:szCs w:val="20"/>
          <w:lang w:val="en-GB"/>
        </w:rPr>
      </w:pPr>
      <w:r w:rsidRPr="00495339">
        <w:rPr>
          <w:sz w:val="20"/>
          <w:szCs w:val="20"/>
          <w:lang w:val="en-GB"/>
        </w:rPr>
        <w:t xml:space="preserve">Estimated RL = </w:t>
      </w:r>
      <m:oMath>
        <m:f>
          <m:fPr>
            <m:ctrlPr>
              <w:rPr>
                <w:rFonts w:ascii="Cambria Math" w:hAnsi="Cambria Math"/>
                <w:i/>
                <w:sz w:val="20"/>
                <w:szCs w:val="20"/>
                <w:lang w:val="en-GB"/>
              </w:rPr>
            </m:ctrlPr>
          </m:fPr>
          <m:num>
            <m:r>
              <w:rPr>
                <w:rFonts w:ascii="Cambria Math" w:hAnsi="Cambria Math"/>
                <w:sz w:val="20"/>
                <w:szCs w:val="20"/>
                <w:lang w:val="en-GB"/>
              </w:rPr>
              <m:t>OR</m:t>
            </m:r>
          </m:num>
          <m:den>
            <m:d>
              <m:dPr>
                <m:ctrlPr>
                  <w:rPr>
                    <w:rFonts w:ascii="Cambria Math" w:hAnsi="Cambria Math"/>
                    <w:i/>
                    <w:sz w:val="20"/>
                    <w:szCs w:val="20"/>
                    <w:lang w:val="en-GB"/>
                  </w:rPr>
                </m:ctrlPr>
              </m:dPr>
              <m:e>
                <m:r>
                  <w:rPr>
                    <w:rFonts w:ascii="Cambria Math"/>
                    <w:sz w:val="20"/>
                    <w:szCs w:val="20"/>
                    <w:lang w:val="en-GB"/>
                  </w:rPr>
                  <m:t>1</m:t>
                </m:r>
                <m:r>
                  <w:rPr>
                    <w:rFonts w:ascii="Cambria Math"/>
                    <w:sz w:val="20"/>
                    <w:szCs w:val="20"/>
                    <w:lang w:val="en-GB"/>
                  </w:rPr>
                  <m:t>-</m:t>
                </m:r>
                <m:r>
                  <w:rPr>
                    <w:rFonts w:ascii="Cambria Math" w:hAnsi="Cambria Math"/>
                    <w:sz w:val="20"/>
                    <w:szCs w:val="20"/>
                    <w:lang w:val="en-GB"/>
                  </w:rPr>
                  <m:t>P</m:t>
                </m:r>
              </m:e>
            </m:d>
            <m:d>
              <m:dPr>
                <m:ctrlPr>
                  <w:rPr>
                    <w:rFonts w:ascii="Cambria Math" w:hAnsi="Cambria Math"/>
                    <w:i/>
                    <w:sz w:val="20"/>
                    <w:szCs w:val="20"/>
                    <w:lang w:val="en-GB"/>
                  </w:rPr>
                </m:ctrlPr>
              </m:dPr>
              <m:e>
                <m:r>
                  <w:rPr>
                    <w:rFonts w:ascii="Cambria Math" w:hAnsi="Cambria Math"/>
                    <w:sz w:val="20"/>
                    <w:szCs w:val="20"/>
                    <w:lang w:val="en-GB"/>
                  </w:rPr>
                  <m:t>P∙OR</m:t>
                </m:r>
              </m:e>
            </m:d>
          </m:den>
        </m:f>
      </m:oMath>
      <w:r w:rsidRPr="00495339">
        <w:rPr>
          <w:sz w:val="20"/>
          <w:szCs w:val="20"/>
          <w:lang w:val="en-GB"/>
        </w:rPr>
        <w:t xml:space="preserve">       </w:t>
      </w:r>
    </w:p>
    <w:p w:rsidR="006E700E" w:rsidRPr="00495339" w:rsidRDefault="006E700E" w:rsidP="00495339">
      <w:pPr>
        <w:ind w:left="720"/>
        <w:rPr>
          <w:sz w:val="20"/>
          <w:szCs w:val="20"/>
          <w:lang w:val="en-GB"/>
        </w:rPr>
      </w:pPr>
    </w:p>
    <w:p w:rsidR="006E700E" w:rsidRPr="00495339" w:rsidRDefault="006E700E" w:rsidP="00495339">
      <w:pPr>
        <w:ind w:left="720"/>
        <w:rPr>
          <w:sz w:val="20"/>
          <w:szCs w:val="20"/>
          <w:lang w:val="en-GB"/>
        </w:rPr>
      </w:pPr>
      <w:r w:rsidRPr="00495339">
        <w:rPr>
          <w:sz w:val="20"/>
          <w:szCs w:val="20"/>
          <w:lang w:val="en-GB"/>
        </w:rPr>
        <w:t>(where RL is the relative likelihood, OR is the odds ratio and P is proportion of individuals in the group of interest – i.e. the overall pass rate)</w:t>
      </w:r>
    </w:p>
    <w:p w:rsidR="006E700E" w:rsidRPr="00495339" w:rsidRDefault="006E700E" w:rsidP="00DD1D68">
      <w:pPr>
        <w:pStyle w:val="EndnoteText"/>
        <w:rPr>
          <w:lang w:val="en-GB"/>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Neue-LightItalic">
    <w:altName w:val="Helvetica Neue Light"/>
    <w:panose1 w:val="00000000000000000000"/>
    <w:charset w:val="00"/>
    <w:family w:val="auto"/>
    <w:notTrueType/>
    <w:pitch w:val="default"/>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FuturaT-Dem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0E" w:rsidRDefault="00B07829" w:rsidP="001904F9">
    <w:pPr>
      <w:pStyle w:val="Footer"/>
      <w:framePr w:wrap="around" w:vAnchor="text" w:hAnchor="margin" w:xAlign="right" w:y="1"/>
      <w:rPr>
        <w:rStyle w:val="PageNumber"/>
      </w:rPr>
    </w:pPr>
    <w:r>
      <w:rPr>
        <w:rStyle w:val="PageNumber"/>
      </w:rPr>
      <w:fldChar w:fldCharType="begin"/>
    </w:r>
    <w:r w:rsidR="006E700E">
      <w:rPr>
        <w:rStyle w:val="PageNumber"/>
      </w:rPr>
      <w:instrText xml:space="preserve">PAGE  </w:instrText>
    </w:r>
    <w:r>
      <w:rPr>
        <w:rStyle w:val="PageNumber"/>
      </w:rPr>
      <w:fldChar w:fldCharType="end"/>
    </w:r>
  </w:p>
  <w:p w:rsidR="006E700E" w:rsidRDefault="006E700E" w:rsidP="000576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0E" w:rsidRDefault="00B07829" w:rsidP="001904F9">
    <w:pPr>
      <w:pStyle w:val="Footer"/>
      <w:framePr w:wrap="around" w:vAnchor="text" w:hAnchor="margin" w:xAlign="right" w:y="1"/>
      <w:rPr>
        <w:rStyle w:val="PageNumber"/>
      </w:rPr>
    </w:pPr>
    <w:r>
      <w:rPr>
        <w:rStyle w:val="PageNumber"/>
      </w:rPr>
      <w:fldChar w:fldCharType="begin"/>
    </w:r>
    <w:r w:rsidR="006E700E">
      <w:rPr>
        <w:rStyle w:val="PageNumber"/>
      </w:rPr>
      <w:instrText xml:space="preserve">PAGE  </w:instrText>
    </w:r>
    <w:r>
      <w:rPr>
        <w:rStyle w:val="PageNumber"/>
      </w:rPr>
      <w:fldChar w:fldCharType="separate"/>
    </w:r>
    <w:r w:rsidR="00E96F54">
      <w:rPr>
        <w:rStyle w:val="PageNumber"/>
        <w:noProof/>
      </w:rPr>
      <w:t>1</w:t>
    </w:r>
    <w:r>
      <w:rPr>
        <w:rStyle w:val="PageNumber"/>
      </w:rPr>
      <w:fldChar w:fldCharType="end"/>
    </w:r>
  </w:p>
  <w:p w:rsidR="006E700E" w:rsidRDefault="006E700E" w:rsidP="0005763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8D" w:rsidRDefault="00016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60" w:rsidRDefault="00EA6B60" w:rsidP="00057634">
      <w:r>
        <w:separator/>
      </w:r>
    </w:p>
  </w:footnote>
  <w:footnote w:type="continuationSeparator" w:id="0">
    <w:p w:rsidR="00EA6B60" w:rsidRDefault="00EA6B60" w:rsidP="00057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8D" w:rsidRDefault="00B07829">
    <w:pPr>
      <w:pStyle w:val="Header"/>
    </w:pPr>
    <w:r w:rsidRPr="00B078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8830" o:spid="_x0000_s4098" type="#_x0000_t136" style="position:absolute;margin-left:0;margin-top:0;width:561.4pt;height:93.55pt;rotation:315;z-index:-251654144;mso-position-horizontal:center;mso-position-horizontal-relative:margin;mso-position-vertical:center;mso-position-vertical-relative:margin" o:allowincell="f" fillcolor="silver" stroked="f">
          <v:fill opacity=".5"/>
          <v:textpath style="font-family:&quot;Cambria&quot;;font-size:1pt" string="UND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8D" w:rsidRDefault="00B07829">
    <w:pPr>
      <w:pStyle w:val="Header"/>
    </w:pPr>
    <w:r w:rsidRPr="00B078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8831" o:spid="_x0000_s4099" type="#_x0000_t136" style="position:absolute;margin-left:0;margin-top:0;width:561.4pt;height:93.55pt;rotation:315;z-index:-251652096;mso-position-horizontal:center;mso-position-horizontal-relative:margin;mso-position-vertical:center;mso-position-vertical-relative:margin" o:allowincell="f" fillcolor="silver" stroked="f">
          <v:fill opacity=".5"/>
          <v:textpath style="font-family:&quot;Cambria&quot;;font-size:1pt" string="UND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8D" w:rsidRDefault="00B07829">
    <w:pPr>
      <w:pStyle w:val="Header"/>
    </w:pPr>
    <w:r w:rsidRPr="00B078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8829" o:spid="_x0000_s4097" type="#_x0000_t136" style="position:absolute;margin-left:0;margin-top:0;width:561.4pt;height:93.55pt;rotation:315;z-index:-251656192;mso-position-horizontal:center;mso-position-horizontal-relative:margin;mso-position-vertical:center;mso-position-vertical-relative:margin" o:allowincell="f" fillcolor="silver" stroked="f">
          <v:fill opacity=".5"/>
          <v:textpath style="font-family:&quot;Cambria&quot;;font-size:1pt" string="UND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E79"/>
    <w:multiLevelType w:val="hybridMultilevel"/>
    <w:tmpl w:val="22E4F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617D7"/>
    <w:multiLevelType w:val="hybridMultilevel"/>
    <w:tmpl w:val="1A967300"/>
    <w:lvl w:ilvl="0" w:tplc="C6960F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E7FAC"/>
    <w:multiLevelType w:val="hybridMultilevel"/>
    <w:tmpl w:val="EB5A7800"/>
    <w:lvl w:ilvl="0" w:tplc="3822FD46">
      <w:start w:val="1"/>
      <w:numFmt w:val="bullet"/>
      <w:lvlText w:val=""/>
      <w:lvlJc w:val="left"/>
      <w:pPr>
        <w:tabs>
          <w:tab w:val="num" w:pos="720"/>
        </w:tabs>
        <w:ind w:left="720" w:hanging="360"/>
      </w:pPr>
      <w:rPr>
        <w:rFonts w:ascii="Wingdings" w:hAnsi="Wingdings" w:hint="default"/>
      </w:rPr>
    </w:lvl>
    <w:lvl w:ilvl="1" w:tplc="323A2EAA">
      <w:numFmt w:val="none"/>
      <w:lvlText w:val=""/>
      <w:lvlJc w:val="left"/>
      <w:pPr>
        <w:tabs>
          <w:tab w:val="num" w:pos="360"/>
        </w:tabs>
      </w:pPr>
    </w:lvl>
    <w:lvl w:ilvl="2" w:tplc="84CE584A" w:tentative="1">
      <w:start w:val="1"/>
      <w:numFmt w:val="bullet"/>
      <w:lvlText w:val=""/>
      <w:lvlJc w:val="left"/>
      <w:pPr>
        <w:tabs>
          <w:tab w:val="num" w:pos="2160"/>
        </w:tabs>
        <w:ind w:left="2160" w:hanging="360"/>
      </w:pPr>
      <w:rPr>
        <w:rFonts w:ascii="Wingdings" w:hAnsi="Wingdings" w:hint="default"/>
      </w:rPr>
    </w:lvl>
    <w:lvl w:ilvl="3" w:tplc="6E0C58B6" w:tentative="1">
      <w:start w:val="1"/>
      <w:numFmt w:val="bullet"/>
      <w:lvlText w:val=""/>
      <w:lvlJc w:val="left"/>
      <w:pPr>
        <w:tabs>
          <w:tab w:val="num" w:pos="2880"/>
        </w:tabs>
        <w:ind w:left="2880" w:hanging="360"/>
      </w:pPr>
      <w:rPr>
        <w:rFonts w:ascii="Wingdings" w:hAnsi="Wingdings" w:hint="default"/>
      </w:rPr>
    </w:lvl>
    <w:lvl w:ilvl="4" w:tplc="AD1473BC" w:tentative="1">
      <w:start w:val="1"/>
      <w:numFmt w:val="bullet"/>
      <w:lvlText w:val=""/>
      <w:lvlJc w:val="left"/>
      <w:pPr>
        <w:tabs>
          <w:tab w:val="num" w:pos="3600"/>
        </w:tabs>
        <w:ind w:left="3600" w:hanging="360"/>
      </w:pPr>
      <w:rPr>
        <w:rFonts w:ascii="Wingdings" w:hAnsi="Wingdings" w:hint="default"/>
      </w:rPr>
    </w:lvl>
    <w:lvl w:ilvl="5" w:tplc="95D6D308" w:tentative="1">
      <w:start w:val="1"/>
      <w:numFmt w:val="bullet"/>
      <w:lvlText w:val=""/>
      <w:lvlJc w:val="left"/>
      <w:pPr>
        <w:tabs>
          <w:tab w:val="num" w:pos="4320"/>
        </w:tabs>
        <w:ind w:left="4320" w:hanging="360"/>
      </w:pPr>
      <w:rPr>
        <w:rFonts w:ascii="Wingdings" w:hAnsi="Wingdings" w:hint="default"/>
      </w:rPr>
    </w:lvl>
    <w:lvl w:ilvl="6" w:tplc="5F56DD8A" w:tentative="1">
      <w:start w:val="1"/>
      <w:numFmt w:val="bullet"/>
      <w:lvlText w:val=""/>
      <w:lvlJc w:val="left"/>
      <w:pPr>
        <w:tabs>
          <w:tab w:val="num" w:pos="5040"/>
        </w:tabs>
        <w:ind w:left="5040" w:hanging="360"/>
      </w:pPr>
      <w:rPr>
        <w:rFonts w:ascii="Wingdings" w:hAnsi="Wingdings" w:hint="default"/>
      </w:rPr>
    </w:lvl>
    <w:lvl w:ilvl="7" w:tplc="B49C7852" w:tentative="1">
      <w:start w:val="1"/>
      <w:numFmt w:val="bullet"/>
      <w:lvlText w:val=""/>
      <w:lvlJc w:val="left"/>
      <w:pPr>
        <w:tabs>
          <w:tab w:val="num" w:pos="5760"/>
        </w:tabs>
        <w:ind w:left="5760" w:hanging="360"/>
      </w:pPr>
      <w:rPr>
        <w:rFonts w:ascii="Wingdings" w:hAnsi="Wingdings" w:hint="default"/>
      </w:rPr>
    </w:lvl>
    <w:lvl w:ilvl="8" w:tplc="5A6E808A" w:tentative="1">
      <w:start w:val="1"/>
      <w:numFmt w:val="bullet"/>
      <w:lvlText w:val=""/>
      <w:lvlJc w:val="left"/>
      <w:pPr>
        <w:tabs>
          <w:tab w:val="num" w:pos="6480"/>
        </w:tabs>
        <w:ind w:left="6480" w:hanging="360"/>
      </w:pPr>
      <w:rPr>
        <w:rFonts w:ascii="Wingdings" w:hAnsi="Wingdings" w:hint="default"/>
      </w:rPr>
    </w:lvl>
  </w:abstractNum>
  <w:abstractNum w:abstractNumId="3">
    <w:nsid w:val="0CB65AEC"/>
    <w:multiLevelType w:val="hybridMultilevel"/>
    <w:tmpl w:val="9C6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2865B5"/>
    <w:multiLevelType w:val="hybridMultilevel"/>
    <w:tmpl w:val="EA4277C0"/>
    <w:lvl w:ilvl="0" w:tplc="09AA31C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EC153D"/>
    <w:multiLevelType w:val="hybridMultilevel"/>
    <w:tmpl w:val="E770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725902"/>
    <w:multiLevelType w:val="hybridMultilevel"/>
    <w:tmpl w:val="B16047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CC15A1"/>
    <w:multiLevelType w:val="hybridMultilevel"/>
    <w:tmpl w:val="F502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4C4DF7"/>
    <w:multiLevelType w:val="hybridMultilevel"/>
    <w:tmpl w:val="8FAA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8"/>
  </w:num>
  <w:num w:numId="6">
    <w:abstractNumId w:val="3"/>
  </w:num>
  <w:num w:numId="7">
    <w:abstractNumId w:val="1"/>
  </w:num>
  <w:num w:numId="8">
    <w:abstractNumId w:val="4"/>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rawingGridVerticalSpacing w:val="181"/>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numFmt w:val="decimal"/>
    <w:endnote w:id="-1"/>
    <w:endnote w:id="0"/>
  </w:endnotePr>
  <w:compat>
    <w:useFELayout/>
  </w:compat>
  <w:rsids>
    <w:rsidRoot w:val="00F10C28"/>
    <w:rsid w:val="000010D5"/>
    <w:rsid w:val="00004C4E"/>
    <w:rsid w:val="0000616B"/>
    <w:rsid w:val="0000621B"/>
    <w:rsid w:val="0001628D"/>
    <w:rsid w:val="00021C00"/>
    <w:rsid w:val="00031CC4"/>
    <w:rsid w:val="00045249"/>
    <w:rsid w:val="00057634"/>
    <w:rsid w:val="00057A63"/>
    <w:rsid w:val="00063C69"/>
    <w:rsid w:val="00067E56"/>
    <w:rsid w:val="000716BB"/>
    <w:rsid w:val="00071E53"/>
    <w:rsid w:val="000751A0"/>
    <w:rsid w:val="00081286"/>
    <w:rsid w:val="00082130"/>
    <w:rsid w:val="00083634"/>
    <w:rsid w:val="00091669"/>
    <w:rsid w:val="00094920"/>
    <w:rsid w:val="000977A3"/>
    <w:rsid w:val="000A2438"/>
    <w:rsid w:val="000A57CE"/>
    <w:rsid w:val="000A5C9F"/>
    <w:rsid w:val="000B692F"/>
    <w:rsid w:val="000C0D8E"/>
    <w:rsid w:val="000C14DA"/>
    <w:rsid w:val="000C41C0"/>
    <w:rsid w:val="000C4CE7"/>
    <w:rsid w:val="000D0690"/>
    <w:rsid w:val="000D5B68"/>
    <w:rsid w:val="000D7ABD"/>
    <w:rsid w:val="000E5308"/>
    <w:rsid w:val="000F1E99"/>
    <w:rsid w:val="000F72BF"/>
    <w:rsid w:val="001025AA"/>
    <w:rsid w:val="00105F74"/>
    <w:rsid w:val="00106760"/>
    <w:rsid w:val="001142AC"/>
    <w:rsid w:val="00114A0E"/>
    <w:rsid w:val="00125184"/>
    <w:rsid w:val="001261D2"/>
    <w:rsid w:val="00134C57"/>
    <w:rsid w:val="001351D2"/>
    <w:rsid w:val="001521A2"/>
    <w:rsid w:val="00165911"/>
    <w:rsid w:val="00167C7B"/>
    <w:rsid w:val="00170DA3"/>
    <w:rsid w:val="001711B4"/>
    <w:rsid w:val="0017603F"/>
    <w:rsid w:val="00181F4A"/>
    <w:rsid w:val="00183020"/>
    <w:rsid w:val="00184E46"/>
    <w:rsid w:val="001870BE"/>
    <w:rsid w:val="001904F9"/>
    <w:rsid w:val="0019204C"/>
    <w:rsid w:val="001A24E7"/>
    <w:rsid w:val="001A6197"/>
    <w:rsid w:val="001A7455"/>
    <w:rsid w:val="001B2DBA"/>
    <w:rsid w:val="001B528A"/>
    <w:rsid w:val="001C4240"/>
    <w:rsid w:val="001D0B7B"/>
    <w:rsid w:val="001E400C"/>
    <w:rsid w:val="001E43BF"/>
    <w:rsid w:val="001E6423"/>
    <w:rsid w:val="001F011E"/>
    <w:rsid w:val="001F3770"/>
    <w:rsid w:val="00203E12"/>
    <w:rsid w:val="00204B91"/>
    <w:rsid w:val="00207124"/>
    <w:rsid w:val="002165B9"/>
    <w:rsid w:val="00217623"/>
    <w:rsid w:val="00220CB5"/>
    <w:rsid w:val="002233CA"/>
    <w:rsid w:val="00226DEC"/>
    <w:rsid w:val="0024249E"/>
    <w:rsid w:val="002502AA"/>
    <w:rsid w:val="002503B5"/>
    <w:rsid w:val="002505F1"/>
    <w:rsid w:val="0025347E"/>
    <w:rsid w:val="00253796"/>
    <w:rsid w:val="002609AA"/>
    <w:rsid w:val="002654BC"/>
    <w:rsid w:val="00277920"/>
    <w:rsid w:val="00283E7E"/>
    <w:rsid w:val="002867D4"/>
    <w:rsid w:val="00287F78"/>
    <w:rsid w:val="00293FB6"/>
    <w:rsid w:val="002C09E7"/>
    <w:rsid w:val="002C174C"/>
    <w:rsid w:val="002C2A3C"/>
    <w:rsid w:val="002C76C0"/>
    <w:rsid w:val="002D0D41"/>
    <w:rsid w:val="002D1BD8"/>
    <w:rsid w:val="002D4D81"/>
    <w:rsid w:val="002D54CC"/>
    <w:rsid w:val="002D7A0B"/>
    <w:rsid w:val="002E22EB"/>
    <w:rsid w:val="002E270C"/>
    <w:rsid w:val="002E2CEF"/>
    <w:rsid w:val="002E4967"/>
    <w:rsid w:val="002E6CB9"/>
    <w:rsid w:val="002F433C"/>
    <w:rsid w:val="002F511A"/>
    <w:rsid w:val="0030262C"/>
    <w:rsid w:val="00302A13"/>
    <w:rsid w:val="0030414B"/>
    <w:rsid w:val="0030415D"/>
    <w:rsid w:val="00306C28"/>
    <w:rsid w:val="00311A4F"/>
    <w:rsid w:val="003207F7"/>
    <w:rsid w:val="00326E41"/>
    <w:rsid w:val="00332EFF"/>
    <w:rsid w:val="00341848"/>
    <w:rsid w:val="00343840"/>
    <w:rsid w:val="00344463"/>
    <w:rsid w:val="00346B24"/>
    <w:rsid w:val="003518CD"/>
    <w:rsid w:val="00362CB9"/>
    <w:rsid w:val="0036643F"/>
    <w:rsid w:val="003673E8"/>
    <w:rsid w:val="00370A51"/>
    <w:rsid w:val="00372356"/>
    <w:rsid w:val="003725F0"/>
    <w:rsid w:val="0037753A"/>
    <w:rsid w:val="00384C23"/>
    <w:rsid w:val="00386145"/>
    <w:rsid w:val="00392D7D"/>
    <w:rsid w:val="00393FAA"/>
    <w:rsid w:val="003962D5"/>
    <w:rsid w:val="003964D4"/>
    <w:rsid w:val="00397253"/>
    <w:rsid w:val="003A08CA"/>
    <w:rsid w:val="003A12B8"/>
    <w:rsid w:val="003A25DA"/>
    <w:rsid w:val="003A2B87"/>
    <w:rsid w:val="003A6FE7"/>
    <w:rsid w:val="003A70AF"/>
    <w:rsid w:val="003B0402"/>
    <w:rsid w:val="003B082D"/>
    <w:rsid w:val="003B7E5A"/>
    <w:rsid w:val="003C0014"/>
    <w:rsid w:val="003C010F"/>
    <w:rsid w:val="003C1820"/>
    <w:rsid w:val="003C1DDA"/>
    <w:rsid w:val="003D2509"/>
    <w:rsid w:val="003D3020"/>
    <w:rsid w:val="003D4E41"/>
    <w:rsid w:val="003E095A"/>
    <w:rsid w:val="003E54CF"/>
    <w:rsid w:val="003E7FA6"/>
    <w:rsid w:val="003F1413"/>
    <w:rsid w:val="003F3A7B"/>
    <w:rsid w:val="003F3B64"/>
    <w:rsid w:val="003F62E1"/>
    <w:rsid w:val="003F7227"/>
    <w:rsid w:val="00402365"/>
    <w:rsid w:val="0040253F"/>
    <w:rsid w:val="00410963"/>
    <w:rsid w:val="004112E1"/>
    <w:rsid w:val="004120AF"/>
    <w:rsid w:val="00421388"/>
    <w:rsid w:val="00424251"/>
    <w:rsid w:val="00427D38"/>
    <w:rsid w:val="00440844"/>
    <w:rsid w:val="0044272E"/>
    <w:rsid w:val="00442A67"/>
    <w:rsid w:val="004435A3"/>
    <w:rsid w:val="004445D2"/>
    <w:rsid w:val="004536D0"/>
    <w:rsid w:val="00461345"/>
    <w:rsid w:val="00462E48"/>
    <w:rsid w:val="00465F96"/>
    <w:rsid w:val="00467B1C"/>
    <w:rsid w:val="0047223B"/>
    <w:rsid w:val="004726D1"/>
    <w:rsid w:val="0048135E"/>
    <w:rsid w:val="00481383"/>
    <w:rsid w:val="00484D85"/>
    <w:rsid w:val="0049145E"/>
    <w:rsid w:val="0049280D"/>
    <w:rsid w:val="00495339"/>
    <w:rsid w:val="004A0FBB"/>
    <w:rsid w:val="004A4F48"/>
    <w:rsid w:val="004A5F51"/>
    <w:rsid w:val="004B3EF3"/>
    <w:rsid w:val="004B50E3"/>
    <w:rsid w:val="004B5BDD"/>
    <w:rsid w:val="004D2B62"/>
    <w:rsid w:val="004D5DFD"/>
    <w:rsid w:val="004E44F3"/>
    <w:rsid w:val="004E4F3C"/>
    <w:rsid w:val="004F4DF3"/>
    <w:rsid w:val="004F5971"/>
    <w:rsid w:val="004F7F93"/>
    <w:rsid w:val="00503F6C"/>
    <w:rsid w:val="00507660"/>
    <w:rsid w:val="00514CFB"/>
    <w:rsid w:val="00523322"/>
    <w:rsid w:val="00523CE4"/>
    <w:rsid w:val="00524FBB"/>
    <w:rsid w:val="0052614A"/>
    <w:rsid w:val="0052759A"/>
    <w:rsid w:val="00530997"/>
    <w:rsid w:val="00535B80"/>
    <w:rsid w:val="00536940"/>
    <w:rsid w:val="00537A5F"/>
    <w:rsid w:val="00541BE7"/>
    <w:rsid w:val="0055295F"/>
    <w:rsid w:val="00555130"/>
    <w:rsid w:val="0055741F"/>
    <w:rsid w:val="005651AA"/>
    <w:rsid w:val="00571A21"/>
    <w:rsid w:val="00575BF6"/>
    <w:rsid w:val="00580603"/>
    <w:rsid w:val="00583FEA"/>
    <w:rsid w:val="00590901"/>
    <w:rsid w:val="005A14D2"/>
    <w:rsid w:val="005A7A71"/>
    <w:rsid w:val="005B092F"/>
    <w:rsid w:val="005B2831"/>
    <w:rsid w:val="005B4A44"/>
    <w:rsid w:val="005B5532"/>
    <w:rsid w:val="005B64D2"/>
    <w:rsid w:val="005B78E9"/>
    <w:rsid w:val="005C7C84"/>
    <w:rsid w:val="005D52B1"/>
    <w:rsid w:val="005D7882"/>
    <w:rsid w:val="005D7C2A"/>
    <w:rsid w:val="005E350E"/>
    <w:rsid w:val="005E58CA"/>
    <w:rsid w:val="005E75EB"/>
    <w:rsid w:val="005F1C64"/>
    <w:rsid w:val="005F2215"/>
    <w:rsid w:val="005F4572"/>
    <w:rsid w:val="005F6AB8"/>
    <w:rsid w:val="006008ED"/>
    <w:rsid w:val="00601265"/>
    <w:rsid w:val="00604AFA"/>
    <w:rsid w:val="00614093"/>
    <w:rsid w:val="00622A72"/>
    <w:rsid w:val="00624679"/>
    <w:rsid w:val="00625EBF"/>
    <w:rsid w:val="00640759"/>
    <w:rsid w:val="00644A84"/>
    <w:rsid w:val="0065094D"/>
    <w:rsid w:val="00653178"/>
    <w:rsid w:val="0066340A"/>
    <w:rsid w:val="00664161"/>
    <w:rsid w:val="00672A81"/>
    <w:rsid w:val="006731A2"/>
    <w:rsid w:val="00673352"/>
    <w:rsid w:val="00673438"/>
    <w:rsid w:val="00675A10"/>
    <w:rsid w:val="00676BCF"/>
    <w:rsid w:val="00676FA8"/>
    <w:rsid w:val="00680A9D"/>
    <w:rsid w:val="0068226B"/>
    <w:rsid w:val="006837FA"/>
    <w:rsid w:val="00683B7F"/>
    <w:rsid w:val="00685324"/>
    <w:rsid w:val="006869E9"/>
    <w:rsid w:val="00687D94"/>
    <w:rsid w:val="00690A89"/>
    <w:rsid w:val="00691620"/>
    <w:rsid w:val="00693737"/>
    <w:rsid w:val="00693D0B"/>
    <w:rsid w:val="00697EDD"/>
    <w:rsid w:val="006A2E59"/>
    <w:rsid w:val="006A356C"/>
    <w:rsid w:val="006A53F3"/>
    <w:rsid w:val="006A6AC3"/>
    <w:rsid w:val="006C045E"/>
    <w:rsid w:val="006C0984"/>
    <w:rsid w:val="006C749C"/>
    <w:rsid w:val="006D11AF"/>
    <w:rsid w:val="006D684C"/>
    <w:rsid w:val="006D6953"/>
    <w:rsid w:val="006E4C71"/>
    <w:rsid w:val="006E700E"/>
    <w:rsid w:val="006F005D"/>
    <w:rsid w:val="006F2A60"/>
    <w:rsid w:val="00700399"/>
    <w:rsid w:val="007017D5"/>
    <w:rsid w:val="00702F1E"/>
    <w:rsid w:val="00704828"/>
    <w:rsid w:val="00711079"/>
    <w:rsid w:val="0071362C"/>
    <w:rsid w:val="007150D5"/>
    <w:rsid w:val="00720E2D"/>
    <w:rsid w:val="00721909"/>
    <w:rsid w:val="0073024A"/>
    <w:rsid w:val="00733C21"/>
    <w:rsid w:val="00737FE8"/>
    <w:rsid w:val="00741095"/>
    <w:rsid w:val="00746C6D"/>
    <w:rsid w:val="0077134D"/>
    <w:rsid w:val="0077484F"/>
    <w:rsid w:val="00776E14"/>
    <w:rsid w:val="007828B4"/>
    <w:rsid w:val="007846FD"/>
    <w:rsid w:val="00785268"/>
    <w:rsid w:val="00785629"/>
    <w:rsid w:val="00786109"/>
    <w:rsid w:val="00786717"/>
    <w:rsid w:val="0078672F"/>
    <w:rsid w:val="007A12F1"/>
    <w:rsid w:val="007A2799"/>
    <w:rsid w:val="007A3492"/>
    <w:rsid w:val="007A7155"/>
    <w:rsid w:val="007B3CCE"/>
    <w:rsid w:val="007B4E96"/>
    <w:rsid w:val="007B7207"/>
    <w:rsid w:val="007C0545"/>
    <w:rsid w:val="007C25BC"/>
    <w:rsid w:val="007C268B"/>
    <w:rsid w:val="007C6B78"/>
    <w:rsid w:val="007D2593"/>
    <w:rsid w:val="007D350A"/>
    <w:rsid w:val="007E12F2"/>
    <w:rsid w:val="007E65CD"/>
    <w:rsid w:val="007E7761"/>
    <w:rsid w:val="00801AF1"/>
    <w:rsid w:val="00801EF3"/>
    <w:rsid w:val="00802EB1"/>
    <w:rsid w:val="00804B08"/>
    <w:rsid w:val="00807854"/>
    <w:rsid w:val="008115D5"/>
    <w:rsid w:val="00811647"/>
    <w:rsid w:val="008125A5"/>
    <w:rsid w:val="008220B9"/>
    <w:rsid w:val="008251B9"/>
    <w:rsid w:val="008302D1"/>
    <w:rsid w:val="00851438"/>
    <w:rsid w:val="00865C6D"/>
    <w:rsid w:val="00870A58"/>
    <w:rsid w:val="0087256F"/>
    <w:rsid w:val="0087358B"/>
    <w:rsid w:val="00877366"/>
    <w:rsid w:val="0087763C"/>
    <w:rsid w:val="00881CAF"/>
    <w:rsid w:val="00882BE6"/>
    <w:rsid w:val="00884A20"/>
    <w:rsid w:val="00895C7C"/>
    <w:rsid w:val="00895DFA"/>
    <w:rsid w:val="008A6885"/>
    <w:rsid w:val="008A6DE2"/>
    <w:rsid w:val="008B3C96"/>
    <w:rsid w:val="008B4011"/>
    <w:rsid w:val="008B4B36"/>
    <w:rsid w:val="008C148B"/>
    <w:rsid w:val="008C4D8E"/>
    <w:rsid w:val="008C6D0E"/>
    <w:rsid w:val="008D0F05"/>
    <w:rsid w:val="008D51BA"/>
    <w:rsid w:val="008E0805"/>
    <w:rsid w:val="008F2E67"/>
    <w:rsid w:val="008F3E28"/>
    <w:rsid w:val="008F42C2"/>
    <w:rsid w:val="008F5015"/>
    <w:rsid w:val="0090341B"/>
    <w:rsid w:val="009059D6"/>
    <w:rsid w:val="009105CA"/>
    <w:rsid w:val="009161DE"/>
    <w:rsid w:val="00921743"/>
    <w:rsid w:val="00923EDB"/>
    <w:rsid w:val="00923F70"/>
    <w:rsid w:val="009241EE"/>
    <w:rsid w:val="009273FC"/>
    <w:rsid w:val="0093206E"/>
    <w:rsid w:val="009356B9"/>
    <w:rsid w:val="00950506"/>
    <w:rsid w:val="00953279"/>
    <w:rsid w:val="009545A2"/>
    <w:rsid w:val="00957FD4"/>
    <w:rsid w:val="009639CA"/>
    <w:rsid w:val="00963EBA"/>
    <w:rsid w:val="0096761F"/>
    <w:rsid w:val="00970AB6"/>
    <w:rsid w:val="0097139E"/>
    <w:rsid w:val="0097334D"/>
    <w:rsid w:val="00973DF1"/>
    <w:rsid w:val="0097412C"/>
    <w:rsid w:val="00976C7B"/>
    <w:rsid w:val="00983829"/>
    <w:rsid w:val="009860E3"/>
    <w:rsid w:val="00987A28"/>
    <w:rsid w:val="00995693"/>
    <w:rsid w:val="009969BB"/>
    <w:rsid w:val="009A3885"/>
    <w:rsid w:val="009B18FC"/>
    <w:rsid w:val="009B2422"/>
    <w:rsid w:val="009B7E94"/>
    <w:rsid w:val="009C0241"/>
    <w:rsid w:val="009D4227"/>
    <w:rsid w:val="009F1DD4"/>
    <w:rsid w:val="009F5C6F"/>
    <w:rsid w:val="009F72A9"/>
    <w:rsid w:val="009F7966"/>
    <w:rsid w:val="00A0254C"/>
    <w:rsid w:val="00A03252"/>
    <w:rsid w:val="00A055A3"/>
    <w:rsid w:val="00A1263F"/>
    <w:rsid w:val="00A1498A"/>
    <w:rsid w:val="00A15694"/>
    <w:rsid w:val="00A17768"/>
    <w:rsid w:val="00A31388"/>
    <w:rsid w:val="00A320EF"/>
    <w:rsid w:val="00A33B22"/>
    <w:rsid w:val="00A42862"/>
    <w:rsid w:val="00A42C36"/>
    <w:rsid w:val="00A45E15"/>
    <w:rsid w:val="00A46708"/>
    <w:rsid w:val="00A53FF5"/>
    <w:rsid w:val="00A55C79"/>
    <w:rsid w:val="00A56B43"/>
    <w:rsid w:val="00A57FF4"/>
    <w:rsid w:val="00A64C9F"/>
    <w:rsid w:val="00A66333"/>
    <w:rsid w:val="00A700C6"/>
    <w:rsid w:val="00A742F2"/>
    <w:rsid w:val="00A77004"/>
    <w:rsid w:val="00A824E2"/>
    <w:rsid w:val="00A867A4"/>
    <w:rsid w:val="00A86D4B"/>
    <w:rsid w:val="00A90384"/>
    <w:rsid w:val="00A91F8C"/>
    <w:rsid w:val="00A93BE7"/>
    <w:rsid w:val="00A977C7"/>
    <w:rsid w:val="00AA1265"/>
    <w:rsid w:val="00AA6570"/>
    <w:rsid w:val="00AB2A7D"/>
    <w:rsid w:val="00AB4576"/>
    <w:rsid w:val="00AB64AF"/>
    <w:rsid w:val="00AC1145"/>
    <w:rsid w:val="00AC1DE8"/>
    <w:rsid w:val="00AC6EBE"/>
    <w:rsid w:val="00AC79FC"/>
    <w:rsid w:val="00AD0FA2"/>
    <w:rsid w:val="00AD1F1D"/>
    <w:rsid w:val="00AD27DF"/>
    <w:rsid w:val="00AE22AB"/>
    <w:rsid w:val="00AE41A2"/>
    <w:rsid w:val="00AE4330"/>
    <w:rsid w:val="00AE5D79"/>
    <w:rsid w:val="00AF361B"/>
    <w:rsid w:val="00AF549C"/>
    <w:rsid w:val="00AF7565"/>
    <w:rsid w:val="00AF7F9C"/>
    <w:rsid w:val="00AF7FD8"/>
    <w:rsid w:val="00B055CA"/>
    <w:rsid w:val="00B06D64"/>
    <w:rsid w:val="00B07829"/>
    <w:rsid w:val="00B11D73"/>
    <w:rsid w:val="00B20B12"/>
    <w:rsid w:val="00B20DD8"/>
    <w:rsid w:val="00B22540"/>
    <w:rsid w:val="00B23425"/>
    <w:rsid w:val="00B25797"/>
    <w:rsid w:val="00B25991"/>
    <w:rsid w:val="00B2663C"/>
    <w:rsid w:val="00B3022B"/>
    <w:rsid w:val="00B3204A"/>
    <w:rsid w:val="00B40D51"/>
    <w:rsid w:val="00B44F62"/>
    <w:rsid w:val="00B50622"/>
    <w:rsid w:val="00B51943"/>
    <w:rsid w:val="00B6038B"/>
    <w:rsid w:val="00B63890"/>
    <w:rsid w:val="00B66E81"/>
    <w:rsid w:val="00B74CEE"/>
    <w:rsid w:val="00B7521D"/>
    <w:rsid w:val="00B75257"/>
    <w:rsid w:val="00B81592"/>
    <w:rsid w:val="00B84563"/>
    <w:rsid w:val="00B90296"/>
    <w:rsid w:val="00B93526"/>
    <w:rsid w:val="00B9479D"/>
    <w:rsid w:val="00B97280"/>
    <w:rsid w:val="00BA093C"/>
    <w:rsid w:val="00BA54D3"/>
    <w:rsid w:val="00BA5CAA"/>
    <w:rsid w:val="00BA5D67"/>
    <w:rsid w:val="00BA6174"/>
    <w:rsid w:val="00BA67A3"/>
    <w:rsid w:val="00BA6EB3"/>
    <w:rsid w:val="00BC1924"/>
    <w:rsid w:val="00BC2E8A"/>
    <w:rsid w:val="00BC3FF4"/>
    <w:rsid w:val="00BC61BA"/>
    <w:rsid w:val="00BD2883"/>
    <w:rsid w:val="00BD4B51"/>
    <w:rsid w:val="00BD6AEA"/>
    <w:rsid w:val="00BE0D89"/>
    <w:rsid w:val="00BF163D"/>
    <w:rsid w:val="00C16A0C"/>
    <w:rsid w:val="00C176DB"/>
    <w:rsid w:val="00C266BC"/>
    <w:rsid w:val="00C336E7"/>
    <w:rsid w:val="00C33BE8"/>
    <w:rsid w:val="00C34660"/>
    <w:rsid w:val="00C37396"/>
    <w:rsid w:val="00C428CF"/>
    <w:rsid w:val="00C463A1"/>
    <w:rsid w:val="00C46A69"/>
    <w:rsid w:val="00C4745F"/>
    <w:rsid w:val="00C51C59"/>
    <w:rsid w:val="00C607D6"/>
    <w:rsid w:val="00C6140A"/>
    <w:rsid w:val="00C62064"/>
    <w:rsid w:val="00C63F2F"/>
    <w:rsid w:val="00C66E14"/>
    <w:rsid w:val="00C71D19"/>
    <w:rsid w:val="00C73C40"/>
    <w:rsid w:val="00C83669"/>
    <w:rsid w:val="00C94DBA"/>
    <w:rsid w:val="00CA6B34"/>
    <w:rsid w:val="00CA77F2"/>
    <w:rsid w:val="00CB1F5B"/>
    <w:rsid w:val="00CC2962"/>
    <w:rsid w:val="00CC5CB9"/>
    <w:rsid w:val="00CD3CBC"/>
    <w:rsid w:val="00CE184D"/>
    <w:rsid w:val="00CE3B3A"/>
    <w:rsid w:val="00CE656F"/>
    <w:rsid w:val="00CE6BD2"/>
    <w:rsid w:val="00CE72FA"/>
    <w:rsid w:val="00D0254F"/>
    <w:rsid w:val="00D04AF0"/>
    <w:rsid w:val="00D0654E"/>
    <w:rsid w:val="00D077F4"/>
    <w:rsid w:val="00D07A61"/>
    <w:rsid w:val="00D17634"/>
    <w:rsid w:val="00D222C1"/>
    <w:rsid w:val="00D23238"/>
    <w:rsid w:val="00D25A67"/>
    <w:rsid w:val="00D27910"/>
    <w:rsid w:val="00D33B04"/>
    <w:rsid w:val="00D34286"/>
    <w:rsid w:val="00D343C7"/>
    <w:rsid w:val="00D3634D"/>
    <w:rsid w:val="00D40F97"/>
    <w:rsid w:val="00D46CA6"/>
    <w:rsid w:val="00D479CB"/>
    <w:rsid w:val="00D506AC"/>
    <w:rsid w:val="00D63086"/>
    <w:rsid w:val="00D64BCD"/>
    <w:rsid w:val="00D66B7D"/>
    <w:rsid w:val="00D73909"/>
    <w:rsid w:val="00D76590"/>
    <w:rsid w:val="00D80088"/>
    <w:rsid w:val="00D80653"/>
    <w:rsid w:val="00D84288"/>
    <w:rsid w:val="00D852F7"/>
    <w:rsid w:val="00D869B3"/>
    <w:rsid w:val="00D91359"/>
    <w:rsid w:val="00D92100"/>
    <w:rsid w:val="00DA1C2A"/>
    <w:rsid w:val="00DA3110"/>
    <w:rsid w:val="00DA35A9"/>
    <w:rsid w:val="00DA3756"/>
    <w:rsid w:val="00DA6A43"/>
    <w:rsid w:val="00DC1F59"/>
    <w:rsid w:val="00DC7512"/>
    <w:rsid w:val="00DC7599"/>
    <w:rsid w:val="00DC7C29"/>
    <w:rsid w:val="00DD1D68"/>
    <w:rsid w:val="00DD3B1E"/>
    <w:rsid w:val="00DF1C47"/>
    <w:rsid w:val="00DF2D9B"/>
    <w:rsid w:val="00E0674E"/>
    <w:rsid w:val="00E06FFA"/>
    <w:rsid w:val="00E10D5A"/>
    <w:rsid w:val="00E1126D"/>
    <w:rsid w:val="00E131C6"/>
    <w:rsid w:val="00E20B89"/>
    <w:rsid w:val="00E2210D"/>
    <w:rsid w:val="00E26294"/>
    <w:rsid w:val="00E32D3A"/>
    <w:rsid w:val="00E35130"/>
    <w:rsid w:val="00E40356"/>
    <w:rsid w:val="00E405E0"/>
    <w:rsid w:val="00E45BD7"/>
    <w:rsid w:val="00E46BAF"/>
    <w:rsid w:val="00E470ED"/>
    <w:rsid w:val="00E47DDD"/>
    <w:rsid w:val="00E62EAC"/>
    <w:rsid w:val="00E62EB8"/>
    <w:rsid w:val="00E66D62"/>
    <w:rsid w:val="00E772A0"/>
    <w:rsid w:val="00E9480C"/>
    <w:rsid w:val="00E94D46"/>
    <w:rsid w:val="00E95633"/>
    <w:rsid w:val="00E96F54"/>
    <w:rsid w:val="00E96FC6"/>
    <w:rsid w:val="00EA0A39"/>
    <w:rsid w:val="00EA0FBE"/>
    <w:rsid w:val="00EA31F3"/>
    <w:rsid w:val="00EA5CCA"/>
    <w:rsid w:val="00EA6B60"/>
    <w:rsid w:val="00EB31C5"/>
    <w:rsid w:val="00EB5357"/>
    <w:rsid w:val="00EC080E"/>
    <w:rsid w:val="00EC1440"/>
    <w:rsid w:val="00EC47E2"/>
    <w:rsid w:val="00EC4F02"/>
    <w:rsid w:val="00EC57E3"/>
    <w:rsid w:val="00EC631C"/>
    <w:rsid w:val="00ED7632"/>
    <w:rsid w:val="00EE2120"/>
    <w:rsid w:val="00EF212A"/>
    <w:rsid w:val="00EF3503"/>
    <w:rsid w:val="00EF506C"/>
    <w:rsid w:val="00EF68C3"/>
    <w:rsid w:val="00F0567A"/>
    <w:rsid w:val="00F064A7"/>
    <w:rsid w:val="00F07FE4"/>
    <w:rsid w:val="00F10C28"/>
    <w:rsid w:val="00F113D0"/>
    <w:rsid w:val="00F1355A"/>
    <w:rsid w:val="00F15D88"/>
    <w:rsid w:val="00F20AF9"/>
    <w:rsid w:val="00F26030"/>
    <w:rsid w:val="00F30126"/>
    <w:rsid w:val="00F321E4"/>
    <w:rsid w:val="00F32A3F"/>
    <w:rsid w:val="00F35512"/>
    <w:rsid w:val="00F3720A"/>
    <w:rsid w:val="00F4071E"/>
    <w:rsid w:val="00F50041"/>
    <w:rsid w:val="00F54FEA"/>
    <w:rsid w:val="00F551E8"/>
    <w:rsid w:val="00F551FC"/>
    <w:rsid w:val="00F55637"/>
    <w:rsid w:val="00F628FE"/>
    <w:rsid w:val="00F65622"/>
    <w:rsid w:val="00F65A15"/>
    <w:rsid w:val="00F67BD9"/>
    <w:rsid w:val="00F70A00"/>
    <w:rsid w:val="00F77372"/>
    <w:rsid w:val="00F9216F"/>
    <w:rsid w:val="00F94431"/>
    <w:rsid w:val="00F9519A"/>
    <w:rsid w:val="00FA1CA8"/>
    <w:rsid w:val="00FA25EB"/>
    <w:rsid w:val="00FA5A28"/>
    <w:rsid w:val="00FA5A57"/>
    <w:rsid w:val="00FA6F44"/>
    <w:rsid w:val="00FA74AF"/>
    <w:rsid w:val="00FA75C4"/>
    <w:rsid w:val="00FB54F7"/>
    <w:rsid w:val="00FB5853"/>
    <w:rsid w:val="00FB79A4"/>
    <w:rsid w:val="00FB7D8A"/>
    <w:rsid w:val="00FC0795"/>
    <w:rsid w:val="00FC3578"/>
    <w:rsid w:val="00FC54CB"/>
    <w:rsid w:val="00FD4FBC"/>
    <w:rsid w:val="00FD4FD1"/>
    <w:rsid w:val="00FE59AF"/>
    <w:rsid w:val="00FE6C6F"/>
    <w:rsid w:val="00FF48E2"/>
    <w:rsid w:val="00FF79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D4"/>
  </w:style>
  <w:style w:type="paragraph" w:styleId="Heading1">
    <w:name w:val="heading 1"/>
    <w:basedOn w:val="Normal"/>
    <w:next w:val="Normal"/>
    <w:link w:val="Heading1Char"/>
    <w:uiPriority w:val="9"/>
    <w:qFormat/>
    <w:rsid w:val="002D4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E6423"/>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130"/>
    <w:pPr>
      <w:widowControl w:val="0"/>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057634"/>
    <w:pPr>
      <w:tabs>
        <w:tab w:val="center" w:pos="4320"/>
        <w:tab w:val="right" w:pos="8640"/>
      </w:tabs>
    </w:pPr>
  </w:style>
  <w:style w:type="character" w:customStyle="1" w:styleId="FooterChar">
    <w:name w:val="Footer Char"/>
    <w:basedOn w:val="DefaultParagraphFont"/>
    <w:link w:val="Footer"/>
    <w:uiPriority w:val="99"/>
    <w:rsid w:val="00057634"/>
  </w:style>
  <w:style w:type="character" w:styleId="PageNumber">
    <w:name w:val="page number"/>
    <w:basedOn w:val="DefaultParagraphFont"/>
    <w:uiPriority w:val="99"/>
    <w:semiHidden/>
    <w:unhideWhenUsed/>
    <w:rsid w:val="00057634"/>
  </w:style>
  <w:style w:type="paragraph" w:styleId="ListParagraph">
    <w:name w:val="List Paragraph"/>
    <w:basedOn w:val="Normal"/>
    <w:uiPriority w:val="34"/>
    <w:qFormat/>
    <w:rsid w:val="00287F78"/>
    <w:pPr>
      <w:ind w:left="720"/>
      <w:contextualSpacing/>
    </w:pPr>
  </w:style>
  <w:style w:type="character" w:customStyle="1" w:styleId="st">
    <w:name w:val="st"/>
    <w:basedOn w:val="DefaultParagraphFont"/>
    <w:rsid w:val="000D5B68"/>
  </w:style>
  <w:style w:type="table" w:styleId="TableGrid">
    <w:name w:val="Table Grid"/>
    <w:basedOn w:val="TableNormal"/>
    <w:uiPriority w:val="59"/>
    <w:rsid w:val="00895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9AF"/>
    <w:rPr>
      <w:rFonts w:ascii="Tahoma" w:hAnsi="Tahoma" w:cs="Tahoma"/>
      <w:sz w:val="16"/>
      <w:szCs w:val="16"/>
    </w:rPr>
  </w:style>
  <w:style w:type="character" w:customStyle="1" w:styleId="BalloonTextChar">
    <w:name w:val="Balloon Text Char"/>
    <w:basedOn w:val="DefaultParagraphFont"/>
    <w:link w:val="BalloonText"/>
    <w:uiPriority w:val="99"/>
    <w:semiHidden/>
    <w:rsid w:val="00FE59AF"/>
    <w:rPr>
      <w:rFonts w:ascii="Tahoma" w:hAnsi="Tahoma" w:cs="Tahoma"/>
      <w:sz w:val="16"/>
      <w:szCs w:val="16"/>
    </w:rPr>
  </w:style>
  <w:style w:type="character" w:styleId="PlaceholderText">
    <w:name w:val="Placeholder Text"/>
    <w:basedOn w:val="DefaultParagraphFont"/>
    <w:uiPriority w:val="99"/>
    <w:semiHidden/>
    <w:rsid w:val="00FE59AF"/>
    <w:rPr>
      <w:color w:val="808080"/>
    </w:rPr>
  </w:style>
  <w:style w:type="character" w:styleId="CommentReference">
    <w:name w:val="annotation reference"/>
    <w:basedOn w:val="DefaultParagraphFont"/>
    <w:uiPriority w:val="99"/>
    <w:semiHidden/>
    <w:unhideWhenUsed/>
    <w:rsid w:val="00C51C59"/>
    <w:rPr>
      <w:sz w:val="18"/>
      <w:szCs w:val="18"/>
    </w:rPr>
  </w:style>
  <w:style w:type="paragraph" w:styleId="CommentText">
    <w:name w:val="annotation text"/>
    <w:basedOn w:val="Normal"/>
    <w:link w:val="CommentTextChar"/>
    <w:uiPriority w:val="99"/>
    <w:semiHidden/>
    <w:unhideWhenUsed/>
    <w:rsid w:val="00C51C59"/>
  </w:style>
  <w:style w:type="character" w:customStyle="1" w:styleId="CommentTextChar">
    <w:name w:val="Comment Text Char"/>
    <w:basedOn w:val="DefaultParagraphFont"/>
    <w:link w:val="CommentText"/>
    <w:uiPriority w:val="99"/>
    <w:semiHidden/>
    <w:rsid w:val="00C51C59"/>
  </w:style>
  <w:style w:type="paragraph" w:styleId="CommentSubject">
    <w:name w:val="annotation subject"/>
    <w:basedOn w:val="CommentText"/>
    <w:next w:val="CommentText"/>
    <w:link w:val="CommentSubjectChar"/>
    <w:uiPriority w:val="99"/>
    <w:semiHidden/>
    <w:unhideWhenUsed/>
    <w:rsid w:val="00C51C59"/>
    <w:rPr>
      <w:b/>
      <w:bCs/>
      <w:sz w:val="20"/>
      <w:szCs w:val="20"/>
    </w:rPr>
  </w:style>
  <w:style w:type="character" w:customStyle="1" w:styleId="CommentSubjectChar">
    <w:name w:val="Comment Subject Char"/>
    <w:basedOn w:val="CommentTextChar"/>
    <w:link w:val="CommentSubject"/>
    <w:uiPriority w:val="99"/>
    <w:semiHidden/>
    <w:rsid w:val="00C51C59"/>
    <w:rPr>
      <w:b/>
      <w:bCs/>
      <w:sz w:val="20"/>
      <w:szCs w:val="20"/>
    </w:rPr>
  </w:style>
  <w:style w:type="paragraph" w:styleId="Revision">
    <w:name w:val="Revision"/>
    <w:hidden/>
    <w:uiPriority w:val="99"/>
    <w:semiHidden/>
    <w:rsid w:val="009B7E94"/>
  </w:style>
  <w:style w:type="character" w:customStyle="1" w:styleId="Heading2Char">
    <w:name w:val="Heading 2 Char"/>
    <w:basedOn w:val="DefaultParagraphFont"/>
    <w:link w:val="Heading2"/>
    <w:uiPriority w:val="9"/>
    <w:rsid w:val="001E6423"/>
    <w:rPr>
      <w:rFonts w:ascii="Times" w:hAnsi="Times"/>
      <w:b/>
      <w:bCs/>
      <w:sz w:val="36"/>
      <w:szCs w:val="36"/>
      <w:lang w:val="en-GB"/>
    </w:rPr>
  </w:style>
  <w:style w:type="character" w:customStyle="1" w:styleId="titleauthoretc">
    <w:name w:val="titleauthoretc"/>
    <w:basedOn w:val="DefaultParagraphFont"/>
    <w:rsid w:val="001E6423"/>
  </w:style>
  <w:style w:type="character" w:styleId="Hyperlink">
    <w:name w:val="Hyperlink"/>
    <w:basedOn w:val="DefaultParagraphFont"/>
    <w:uiPriority w:val="99"/>
    <w:unhideWhenUsed/>
    <w:rsid w:val="001E6423"/>
    <w:rPr>
      <w:color w:val="0000FF"/>
      <w:u w:val="single"/>
    </w:rPr>
  </w:style>
  <w:style w:type="character" w:styleId="Strong">
    <w:name w:val="Strong"/>
    <w:basedOn w:val="DefaultParagraphFont"/>
    <w:uiPriority w:val="22"/>
    <w:qFormat/>
    <w:rsid w:val="001E6423"/>
    <w:rPr>
      <w:b/>
      <w:bCs/>
    </w:rPr>
  </w:style>
  <w:style w:type="character" w:customStyle="1" w:styleId="Heading1Char">
    <w:name w:val="Heading 1 Char"/>
    <w:basedOn w:val="DefaultParagraphFont"/>
    <w:link w:val="Heading1"/>
    <w:uiPriority w:val="9"/>
    <w:rsid w:val="002D4D8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A24E7"/>
    <w:rPr>
      <w:color w:val="800080" w:themeColor="followedHyperlink"/>
      <w:u w:val="single"/>
    </w:rPr>
  </w:style>
  <w:style w:type="character" w:customStyle="1" w:styleId="singlehighlightclass">
    <w:name w:val="single_highlight_class"/>
    <w:basedOn w:val="DefaultParagraphFont"/>
    <w:rsid w:val="00851438"/>
  </w:style>
  <w:style w:type="paragraph" w:styleId="EndnoteText">
    <w:name w:val="endnote text"/>
    <w:basedOn w:val="Normal"/>
    <w:link w:val="EndnoteTextChar"/>
    <w:uiPriority w:val="99"/>
    <w:unhideWhenUsed/>
    <w:rsid w:val="00495339"/>
    <w:rPr>
      <w:sz w:val="20"/>
      <w:szCs w:val="20"/>
    </w:rPr>
  </w:style>
  <w:style w:type="character" w:customStyle="1" w:styleId="EndnoteTextChar">
    <w:name w:val="Endnote Text Char"/>
    <w:basedOn w:val="DefaultParagraphFont"/>
    <w:link w:val="EndnoteText"/>
    <w:uiPriority w:val="99"/>
    <w:rsid w:val="00495339"/>
    <w:rPr>
      <w:sz w:val="20"/>
      <w:szCs w:val="20"/>
    </w:rPr>
  </w:style>
  <w:style w:type="character" w:styleId="EndnoteReference">
    <w:name w:val="endnote reference"/>
    <w:basedOn w:val="DefaultParagraphFont"/>
    <w:uiPriority w:val="99"/>
    <w:unhideWhenUsed/>
    <w:rsid w:val="00495339"/>
    <w:rPr>
      <w:vertAlign w:val="superscript"/>
    </w:rPr>
  </w:style>
  <w:style w:type="character" w:customStyle="1" w:styleId="personname">
    <w:name w:val="person_name"/>
    <w:basedOn w:val="DefaultParagraphFont"/>
    <w:rsid w:val="00343840"/>
  </w:style>
  <w:style w:type="character" w:styleId="Emphasis">
    <w:name w:val="Emphasis"/>
    <w:basedOn w:val="DefaultParagraphFont"/>
    <w:uiPriority w:val="20"/>
    <w:qFormat/>
    <w:rsid w:val="00343840"/>
    <w:rPr>
      <w:i/>
      <w:iCs/>
    </w:rPr>
  </w:style>
  <w:style w:type="paragraph" w:styleId="PlainText">
    <w:name w:val="Plain Text"/>
    <w:basedOn w:val="Normal"/>
    <w:link w:val="PlainTextChar"/>
    <w:uiPriority w:val="99"/>
    <w:unhideWhenUsed/>
    <w:rsid w:val="00B20B12"/>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B20B12"/>
    <w:rPr>
      <w:rFonts w:ascii="Consolas" w:eastAsiaTheme="minorHAnsi" w:hAnsi="Consolas" w:cs="Consolas"/>
      <w:sz w:val="21"/>
      <w:szCs w:val="21"/>
      <w:lang w:val="en-GB"/>
    </w:rPr>
  </w:style>
  <w:style w:type="character" w:customStyle="1" w:styleId="rwrro">
    <w:name w:val="rwrro"/>
    <w:basedOn w:val="DefaultParagraphFont"/>
    <w:rsid w:val="00EC4F02"/>
  </w:style>
  <w:style w:type="paragraph" w:styleId="Header">
    <w:name w:val="header"/>
    <w:basedOn w:val="Normal"/>
    <w:link w:val="HeaderChar"/>
    <w:uiPriority w:val="99"/>
    <w:semiHidden/>
    <w:unhideWhenUsed/>
    <w:rsid w:val="0001628D"/>
    <w:pPr>
      <w:tabs>
        <w:tab w:val="center" w:pos="4513"/>
        <w:tab w:val="right" w:pos="9026"/>
      </w:tabs>
    </w:pPr>
  </w:style>
  <w:style w:type="character" w:customStyle="1" w:styleId="HeaderChar">
    <w:name w:val="Header Char"/>
    <w:basedOn w:val="DefaultParagraphFont"/>
    <w:link w:val="Header"/>
    <w:uiPriority w:val="99"/>
    <w:semiHidden/>
    <w:rsid w:val="000162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D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E6423"/>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130"/>
    <w:pPr>
      <w:widowControl w:val="0"/>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057634"/>
    <w:pPr>
      <w:tabs>
        <w:tab w:val="center" w:pos="4320"/>
        <w:tab w:val="right" w:pos="8640"/>
      </w:tabs>
    </w:pPr>
  </w:style>
  <w:style w:type="character" w:customStyle="1" w:styleId="FooterChar">
    <w:name w:val="Footer Char"/>
    <w:basedOn w:val="DefaultParagraphFont"/>
    <w:link w:val="Footer"/>
    <w:uiPriority w:val="99"/>
    <w:rsid w:val="00057634"/>
  </w:style>
  <w:style w:type="character" w:styleId="PageNumber">
    <w:name w:val="page number"/>
    <w:basedOn w:val="DefaultParagraphFont"/>
    <w:uiPriority w:val="99"/>
    <w:semiHidden/>
    <w:unhideWhenUsed/>
    <w:rsid w:val="00057634"/>
  </w:style>
  <w:style w:type="paragraph" w:styleId="ListParagraph">
    <w:name w:val="List Paragraph"/>
    <w:basedOn w:val="Normal"/>
    <w:uiPriority w:val="34"/>
    <w:qFormat/>
    <w:rsid w:val="00287F78"/>
    <w:pPr>
      <w:ind w:left="720"/>
      <w:contextualSpacing/>
    </w:pPr>
  </w:style>
  <w:style w:type="character" w:customStyle="1" w:styleId="st">
    <w:name w:val="st"/>
    <w:basedOn w:val="DefaultParagraphFont"/>
    <w:rsid w:val="000D5B68"/>
  </w:style>
  <w:style w:type="table" w:styleId="TableGrid">
    <w:name w:val="Table Grid"/>
    <w:basedOn w:val="TableNormal"/>
    <w:uiPriority w:val="59"/>
    <w:rsid w:val="00895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9AF"/>
    <w:rPr>
      <w:rFonts w:ascii="Tahoma" w:hAnsi="Tahoma" w:cs="Tahoma"/>
      <w:sz w:val="16"/>
      <w:szCs w:val="16"/>
    </w:rPr>
  </w:style>
  <w:style w:type="character" w:customStyle="1" w:styleId="BalloonTextChar">
    <w:name w:val="Balloon Text Char"/>
    <w:basedOn w:val="DefaultParagraphFont"/>
    <w:link w:val="BalloonText"/>
    <w:uiPriority w:val="99"/>
    <w:semiHidden/>
    <w:rsid w:val="00FE59AF"/>
    <w:rPr>
      <w:rFonts w:ascii="Tahoma" w:hAnsi="Tahoma" w:cs="Tahoma"/>
      <w:sz w:val="16"/>
      <w:szCs w:val="16"/>
    </w:rPr>
  </w:style>
  <w:style w:type="character" w:styleId="PlaceholderText">
    <w:name w:val="Placeholder Text"/>
    <w:basedOn w:val="DefaultParagraphFont"/>
    <w:uiPriority w:val="99"/>
    <w:semiHidden/>
    <w:rsid w:val="00FE59AF"/>
    <w:rPr>
      <w:color w:val="808080"/>
    </w:rPr>
  </w:style>
  <w:style w:type="character" w:styleId="CommentReference">
    <w:name w:val="annotation reference"/>
    <w:basedOn w:val="DefaultParagraphFont"/>
    <w:uiPriority w:val="99"/>
    <w:semiHidden/>
    <w:unhideWhenUsed/>
    <w:rsid w:val="00C51C59"/>
    <w:rPr>
      <w:sz w:val="18"/>
      <w:szCs w:val="18"/>
    </w:rPr>
  </w:style>
  <w:style w:type="paragraph" w:styleId="CommentText">
    <w:name w:val="annotation text"/>
    <w:basedOn w:val="Normal"/>
    <w:link w:val="CommentTextChar"/>
    <w:uiPriority w:val="99"/>
    <w:semiHidden/>
    <w:unhideWhenUsed/>
    <w:rsid w:val="00C51C59"/>
  </w:style>
  <w:style w:type="character" w:customStyle="1" w:styleId="CommentTextChar">
    <w:name w:val="Comment Text Char"/>
    <w:basedOn w:val="DefaultParagraphFont"/>
    <w:link w:val="CommentText"/>
    <w:uiPriority w:val="99"/>
    <w:semiHidden/>
    <w:rsid w:val="00C51C59"/>
  </w:style>
  <w:style w:type="paragraph" w:styleId="CommentSubject">
    <w:name w:val="annotation subject"/>
    <w:basedOn w:val="CommentText"/>
    <w:next w:val="CommentText"/>
    <w:link w:val="CommentSubjectChar"/>
    <w:uiPriority w:val="99"/>
    <w:semiHidden/>
    <w:unhideWhenUsed/>
    <w:rsid w:val="00C51C59"/>
    <w:rPr>
      <w:b/>
      <w:bCs/>
      <w:sz w:val="20"/>
      <w:szCs w:val="20"/>
    </w:rPr>
  </w:style>
  <w:style w:type="character" w:customStyle="1" w:styleId="CommentSubjectChar">
    <w:name w:val="Comment Subject Char"/>
    <w:basedOn w:val="CommentTextChar"/>
    <w:link w:val="CommentSubject"/>
    <w:uiPriority w:val="99"/>
    <w:semiHidden/>
    <w:rsid w:val="00C51C59"/>
    <w:rPr>
      <w:b/>
      <w:bCs/>
      <w:sz w:val="20"/>
      <w:szCs w:val="20"/>
    </w:rPr>
  </w:style>
  <w:style w:type="paragraph" w:styleId="Revision">
    <w:name w:val="Revision"/>
    <w:hidden/>
    <w:uiPriority w:val="99"/>
    <w:semiHidden/>
    <w:rsid w:val="009B7E94"/>
  </w:style>
  <w:style w:type="character" w:customStyle="1" w:styleId="Heading2Char">
    <w:name w:val="Heading 2 Char"/>
    <w:basedOn w:val="DefaultParagraphFont"/>
    <w:link w:val="Heading2"/>
    <w:uiPriority w:val="9"/>
    <w:rsid w:val="001E6423"/>
    <w:rPr>
      <w:rFonts w:ascii="Times" w:hAnsi="Times"/>
      <w:b/>
      <w:bCs/>
      <w:sz w:val="36"/>
      <w:szCs w:val="36"/>
      <w:lang w:val="en-GB"/>
    </w:rPr>
  </w:style>
  <w:style w:type="character" w:customStyle="1" w:styleId="titleauthoretc">
    <w:name w:val="titleauthoretc"/>
    <w:basedOn w:val="DefaultParagraphFont"/>
    <w:rsid w:val="001E6423"/>
  </w:style>
  <w:style w:type="character" w:styleId="Hyperlink">
    <w:name w:val="Hyperlink"/>
    <w:basedOn w:val="DefaultParagraphFont"/>
    <w:uiPriority w:val="99"/>
    <w:unhideWhenUsed/>
    <w:rsid w:val="001E6423"/>
    <w:rPr>
      <w:color w:val="0000FF"/>
      <w:u w:val="single"/>
    </w:rPr>
  </w:style>
  <w:style w:type="character" w:styleId="Strong">
    <w:name w:val="Strong"/>
    <w:basedOn w:val="DefaultParagraphFont"/>
    <w:uiPriority w:val="22"/>
    <w:qFormat/>
    <w:rsid w:val="001E6423"/>
    <w:rPr>
      <w:b/>
      <w:bCs/>
    </w:rPr>
  </w:style>
  <w:style w:type="character" w:customStyle="1" w:styleId="Heading1Char">
    <w:name w:val="Heading 1 Char"/>
    <w:basedOn w:val="DefaultParagraphFont"/>
    <w:link w:val="Heading1"/>
    <w:uiPriority w:val="9"/>
    <w:rsid w:val="002D4D8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A24E7"/>
    <w:rPr>
      <w:color w:val="800080" w:themeColor="followedHyperlink"/>
      <w:u w:val="single"/>
    </w:rPr>
  </w:style>
  <w:style w:type="character" w:customStyle="1" w:styleId="singlehighlightclass">
    <w:name w:val="single_highlight_class"/>
    <w:basedOn w:val="DefaultParagraphFont"/>
    <w:rsid w:val="00851438"/>
  </w:style>
  <w:style w:type="paragraph" w:styleId="EndnoteText">
    <w:name w:val="endnote text"/>
    <w:basedOn w:val="Normal"/>
    <w:link w:val="EndnoteTextChar"/>
    <w:uiPriority w:val="99"/>
    <w:unhideWhenUsed/>
    <w:rsid w:val="00495339"/>
    <w:rPr>
      <w:sz w:val="20"/>
      <w:szCs w:val="20"/>
    </w:rPr>
  </w:style>
  <w:style w:type="character" w:customStyle="1" w:styleId="EndnoteTextChar">
    <w:name w:val="Endnote Text Char"/>
    <w:basedOn w:val="DefaultParagraphFont"/>
    <w:link w:val="EndnoteText"/>
    <w:uiPriority w:val="99"/>
    <w:rsid w:val="00495339"/>
    <w:rPr>
      <w:sz w:val="20"/>
      <w:szCs w:val="20"/>
    </w:rPr>
  </w:style>
  <w:style w:type="character" w:styleId="EndnoteReference">
    <w:name w:val="endnote reference"/>
    <w:basedOn w:val="DefaultParagraphFont"/>
    <w:uiPriority w:val="99"/>
    <w:unhideWhenUsed/>
    <w:rsid w:val="00495339"/>
    <w:rPr>
      <w:vertAlign w:val="superscript"/>
    </w:rPr>
  </w:style>
  <w:style w:type="character" w:customStyle="1" w:styleId="personname">
    <w:name w:val="person_name"/>
    <w:basedOn w:val="DefaultParagraphFont"/>
    <w:rsid w:val="00343840"/>
  </w:style>
  <w:style w:type="character" w:styleId="Emphasis">
    <w:name w:val="Emphasis"/>
    <w:basedOn w:val="DefaultParagraphFont"/>
    <w:uiPriority w:val="20"/>
    <w:qFormat/>
    <w:rsid w:val="00343840"/>
    <w:rPr>
      <w:i/>
      <w:iCs/>
    </w:rPr>
  </w:style>
  <w:style w:type="paragraph" w:styleId="PlainText">
    <w:name w:val="Plain Text"/>
    <w:basedOn w:val="Normal"/>
    <w:link w:val="PlainTextChar"/>
    <w:uiPriority w:val="99"/>
    <w:unhideWhenUsed/>
    <w:rsid w:val="00B20B12"/>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B20B12"/>
    <w:rPr>
      <w:rFonts w:ascii="Consolas" w:eastAsiaTheme="minorHAnsi" w:hAnsi="Consolas" w:cs="Consolas"/>
      <w:sz w:val="21"/>
      <w:szCs w:val="21"/>
      <w:lang w:val="en-GB"/>
    </w:rPr>
  </w:style>
  <w:style w:type="character" w:customStyle="1" w:styleId="rwrro">
    <w:name w:val="rwrro"/>
    <w:basedOn w:val="DefaultParagraphFont"/>
    <w:rsid w:val="00EC4F02"/>
  </w:style>
</w:styles>
</file>

<file path=word/webSettings.xml><?xml version="1.0" encoding="utf-8"?>
<w:webSettings xmlns:r="http://schemas.openxmlformats.org/officeDocument/2006/relationships" xmlns:w="http://schemas.openxmlformats.org/wordprocessingml/2006/main">
  <w:divs>
    <w:div w:id="489175252">
      <w:bodyDiv w:val="1"/>
      <w:marLeft w:val="0"/>
      <w:marRight w:val="0"/>
      <w:marTop w:val="0"/>
      <w:marBottom w:val="0"/>
      <w:divBdr>
        <w:top w:val="none" w:sz="0" w:space="0" w:color="auto"/>
        <w:left w:val="none" w:sz="0" w:space="0" w:color="auto"/>
        <w:bottom w:val="none" w:sz="0" w:space="0" w:color="auto"/>
        <w:right w:val="none" w:sz="0" w:space="0" w:color="auto"/>
      </w:divBdr>
    </w:div>
    <w:div w:id="582303693">
      <w:bodyDiv w:val="1"/>
      <w:marLeft w:val="0"/>
      <w:marRight w:val="0"/>
      <w:marTop w:val="0"/>
      <w:marBottom w:val="0"/>
      <w:divBdr>
        <w:top w:val="none" w:sz="0" w:space="0" w:color="auto"/>
        <w:left w:val="none" w:sz="0" w:space="0" w:color="auto"/>
        <w:bottom w:val="none" w:sz="0" w:space="0" w:color="auto"/>
        <w:right w:val="none" w:sz="0" w:space="0" w:color="auto"/>
      </w:divBdr>
    </w:div>
    <w:div w:id="800421190">
      <w:bodyDiv w:val="1"/>
      <w:marLeft w:val="0"/>
      <w:marRight w:val="0"/>
      <w:marTop w:val="0"/>
      <w:marBottom w:val="0"/>
      <w:divBdr>
        <w:top w:val="none" w:sz="0" w:space="0" w:color="auto"/>
        <w:left w:val="none" w:sz="0" w:space="0" w:color="auto"/>
        <w:bottom w:val="none" w:sz="0" w:space="0" w:color="auto"/>
        <w:right w:val="none" w:sz="0" w:space="0" w:color="auto"/>
      </w:divBdr>
    </w:div>
    <w:div w:id="960960742">
      <w:bodyDiv w:val="1"/>
      <w:marLeft w:val="0"/>
      <w:marRight w:val="0"/>
      <w:marTop w:val="0"/>
      <w:marBottom w:val="0"/>
      <w:divBdr>
        <w:top w:val="none" w:sz="0" w:space="0" w:color="auto"/>
        <w:left w:val="none" w:sz="0" w:space="0" w:color="auto"/>
        <w:bottom w:val="none" w:sz="0" w:space="0" w:color="auto"/>
        <w:right w:val="none" w:sz="0" w:space="0" w:color="auto"/>
      </w:divBdr>
      <w:divsChild>
        <w:div w:id="1462190094">
          <w:marLeft w:val="0"/>
          <w:marRight w:val="0"/>
          <w:marTop w:val="0"/>
          <w:marBottom w:val="0"/>
          <w:divBdr>
            <w:top w:val="none" w:sz="0" w:space="0" w:color="auto"/>
            <w:left w:val="none" w:sz="0" w:space="0" w:color="auto"/>
            <w:bottom w:val="none" w:sz="0" w:space="0" w:color="auto"/>
            <w:right w:val="none" w:sz="0" w:space="0" w:color="auto"/>
          </w:divBdr>
        </w:div>
        <w:div w:id="1658726984">
          <w:marLeft w:val="0"/>
          <w:marRight w:val="0"/>
          <w:marTop w:val="0"/>
          <w:marBottom w:val="0"/>
          <w:divBdr>
            <w:top w:val="none" w:sz="0" w:space="0" w:color="auto"/>
            <w:left w:val="none" w:sz="0" w:space="0" w:color="auto"/>
            <w:bottom w:val="none" w:sz="0" w:space="0" w:color="auto"/>
            <w:right w:val="none" w:sz="0" w:space="0" w:color="auto"/>
          </w:divBdr>
        </w:div>
        <w:div w:id="852377889">
          <w:marLeft w:val="0"/>
          <w:marRight w:val="0"/>
          <w:marTop w:val="0"/>
          <w:marBottom w:val="0"/>
          <w:divBdr>
            <w:top w:val="none" w:sz="0" w:space="0" w:color="auto"/>
            <w:left w:val="none" w:sz="0" w:space="0" w:color="auto"/>
            <w:bottom w:val="none" w:sz="0" w:space="0" w:color="auto"/>
            <w:right w:val="none" w:sz="0" w:space="0" w:color="auto"/>
          </w:divBdr>
        </w:div>
        <w:div w:id="587617561">
          <w:marLeft w:val="0"/>
          <w:marRight w:val="0"/>
          <w:marTop w:val="0"/>
          <w:marBottom w:val="0"/>
          <w:divBdr>
            <w:top w:val="none" w:sz="0" w:space="0" w:color="auto"/>
            <w:left w:val="none" w:sz="0" w:space="0" w:color="auto"/>
            <w:bottom w:val="none" w:sz="0" w:space="0" w:color="auto"/>
            <w:right w:val="none" w:sz="0" w:space="0" w:color="auto"/>
          </w:divBdr>
        </w:div>
      </w:divsChild>
    </w:div>
    <w:div w:id="978419501">
      <w:bodyDiv w:val="1"/>
      <w:marLeft w:val="0"/>
      <w:marRight w:val="0"/>
      <w:marTop w:val="0"/>
      <w:marBottom w:val="0"/>
      <w:divBdr>
        <w:top w:val="none" w:sz="0" w:space="0" w:color="auto"/>
        <w:left w:val="none" w:sz="0" w:space="0" w:color="auto"/>
        <w:bottom w:val="none" w:sz="0" w:space="0" w:color="auto"/>
        <w:right w:val="none" w:sz="0" w:space="0" w:color="auto"/>
      </w:divBdr>
    </w:div>
    <w:div w:id="1039280575">
      <w:bodyDiv w:val="1"/>
      <w:marLeft w:val="0"/>
      <w:marRight w:val="0"/>
      <w:marTop w:val="0"/>
      <w:marBottom w:val="0"/>
      <w:divBdr>
        <w:top w:val="none" w:sz="0" w:space="0" w:color="auto"/>
        <w:left w:val="none" w:sz="0" w:space="0" w:color="auto"/>
        <w:bottom w:val="none" w:sz="0" w:space="0" w:color="auto"/>
        <w:right w:val="none" w:sz="0" w:space="0" w:color="auto"/>
      </w:divBdr>
      <w:divsChild>
        <w:div w:id="1345672721">
          <w:marLeft w:val="0"/>
          <w:marRight w:val="0"/>
          <w:marTop w:val="0"/>
          <w:marBottom w:val="0"/>
          <w:divBdr>
            <w:top w:val="none" w:sz="0" w:space="0" w:color="auto"/>
            <w:left w:val="none" w:sz="0" w:space="0" w:color="auto"/>
            <w:bottom w:val="none" w:sz="0" w:space="0" w:color="auto"/>
            <w:right w:val="none" w:sz="0" w:space="0" w:color="auto"/>
          </w:divBdr>
        </w:div>
        <w:div w:id="2091810293">
          <w:marLeft w:val="0"/>
          <w:marRight w:val="0"/>
          <w:marTop w:val="0"/>
          <w:marBottom w:val="0"/>
          <w:divBdr>
            <w:top w:val="none" w:sz="0" w:space="0" w:color="auto"/>
            <w:left w:val="none" w:sz="0" w:space="0" w:color="auto"/>
            <w:bottom w:val="none" w:sz="0" w:space="0" w:color="auto"/>
            <w:right w:val="none" w:sz="0" w:space="0" w:color="auto"/>
          </w:divBdr>
        </w:div>
        <w:div w:id="1516069247">
          <w:marLeft w:val="0"/>
          <w:marRight w:val="0"/>
          <w:marTop w:val="0"/>
          <w:marBottom w:val="0"/>
          <w:divBdr>
            <w:top w:val="none" w:sz="0" w:space="0" w:color="auto"/>
            <w:left w:val="none" w:sz="0" w:space="0" w:color="auto"/>
            <w:bottom w:val="none" w:sz="0" w:space="0" w:color="auto"/>
            <w:right w:val="none" w:sz="0" w:space="0" w:color="auto"/>
          </w:divBdr>
        </w:div>
        <w:div w:id="1524443674">
          <w:marLeft w:val="0"/>
          <w:marRight w:val="0"/>
          <w:marTop w:val="0"/>
          <w:marBottom w:val="0"/>
          <w:divBdr>
            <w:top w:val="none" w:sz="0" w:space="0" w:color="auto"/>
            <w:left w:val="none" w:sz="0" w:space="0" w:color="auto"/>
            <w:bottom w:val="none" w:sz="0" w:space="0" w:color="auto"/>
            <w:right w:val="none" w:sz="0" w:space="0" w:color="auto"/>
          </w:divBdr>
        </w:div>
        <w:div w:id="1241480289">
          <w:marLeft w:val="0"/>
          <w:marRight w:val="0"/>
          <w:marTop w:val="0"/>
          <w:marBottom w:val="0"/>
          <w:divBdr>
            <w:top w:val="none" w:sz="0" w:space="0" w:color="auto"/>
            <w:left w:val="none" w:sz="0" w:space="0" w:color="auto"/>
            <w:bottom w:val="none" w:sz="0" w:space="0" w:color="auto"/>
            <w:right w:val="none" w:sz="0" w:space="0" w:color="auto"/>
          </w:divBdr>
        </w:div>
        <w:div w:id="1216237760">
          <w:marLeft w:val="0"/>
          <w:marRight w:val="0"/>
          <w:marTop w:val="0"/>
          <w:marBottom w:val="0"/>
          <w:divBdr>
            <w:top w:val="none" w:sz="0" w:space="0" w:color="auto"/>
            <w:left w:val="none" w:sz="0" w:space="0" w:color="auto"/>
            <w:bottom w:val="none" w:sz="0" w:space="0" w:color="auto"/>
            <w:right w:val="none" w:sz="0" w:space="0" w:color="auto"/>
          </w:divBdr>
        </w:div>
        <w:div w:id="1728071848">
          <w:marLeft w:val="0"/>
          <w:marRight w:val="0"/>
          <w:marTop w:val="0"/>
          <w:marBottom w:val="0"/>
          <w:divBdr>
            <w:top w:val="none" w:sz="0" w:space="0" w:color="auto"/>
            <w:left w:val="none" w:sz="0" w:space="0" w:color="auto"/>
            <w:bottom w:val="none" w:sz="0" w:space="0" w:color="auto"/>
            <w:right w:val="none" w:sz="0" w:space="0" w:color="auto"/>
          </w:divBdr>
        </w:div>
        <w:div w:id="2049912887">
          <w:marLeft w:val="0"/>
          <w:marRight w:val="0"/>
          <w:marTop w:val="0"/>
          <w:marBottom w:val="0"/>
          <w:divBdr>
            <w:top w:val="none" w:sz="0" w:space="0" w:color="auto"/>
            <w:left w:val="none" w:sz="0" w:space="0" w:color="auto"/>
            <w:bottom w:val="none" w:sz="0" w:space="0" w:color="auto"/>
            <w:right w:val="none" w:sz="0" w:space="0" w:color="auto"/>
          </w:divBdr>
        </w:div>
        <w:div w:id="929506732">
          <w:marLeft w:val="0"/>
          <w:marRight w:val="0"/>
          <w:marTop w:val="0"/>
          <w:marBottom w:val="0"/>
          <w:divBdr>
            <w:top w:val="none" w:sz="0" w:space="0" w:color="auto"/>
            <w:left w:val="none" w:sz="0" w:space="0" w:color="auto"/>
            <w:bottom w:val="none" w:sz="0" w:space="0" w:color="auto"/>
            <w:right w:val="none" w:sz="0" w:space="0" w:color="auto"/>
          </w:divBdr>
        </w:div>
        <w:div w:id="1436711980">
          <w:marLeft w:val="0"/>
          <w:marRight w:val="0"/>
          <w:marTop w:val="0"/>
          <w:marBottom w:val="0"/>
          <w:divBdr>
            <w:top w:val="none" w:sz="0" w:space="0" w:color="auto"/>
            <w:left w:val="none" w:sz="0" w:space="0" w:color="auto"/>
            <w:bottom w:val="none" w:sz="0" w:space="0" w:color="auto"/>
            <w:right w:val="none" w:sz="0" w:space="0" w:color="auto"/>
          </w:divBdr>
        </w:div>
        <w:div w:id="1425607099">
          <w:marLeft w:val="0"/>
          <w:marRight w:val="0"/>
          <w:marTop w:val="0"/>
          <w:marBottom w:val="0"/>
          <w:divBdr>
            <w:top w:val="none" w:sz="0" w:space="0" w:color="auto"/>
            <w:left w:val="none" w:sz="0" w:space="0" w:color="auto"/>
            <w:bottom w:val="none" w:sz="0" w:space="0" w:color="auto"/>
            <w:right w:val="none" w:sz="0" w:space="0" w:color="auto"/>
          </w:divBdr>
        </w:div>
        <w:div w:id="1224290979">
          <w:marLeft w:val="0"/>
          <w:marRight w:val="0"/>
          <w:marTop w:val="0"/>
          <w:marBottom w:val="0"/>
          <w:divBdr>
            <w:top w:val="none" w:sz="0" w:space="0" w:color="auto"/>
            <w:left w:val="none" w:sz="0" w:space="0" w:color="auto"/>
            <w:bottom w:val="none" w:sz="0" w:space="0" w:color="auto"/>
            <w:right w:val="none" w:sz="0" w:space="0" w:color="auto"/>
          </w:divBdr>
        </w:div>
      </w:divsChild>
    </w:div>
    <w:div w:id="1045834143">
      <w:bodyDiv w:val="1"/>
      <w:marLeft w:val="0"/>
      <w:marRight w:val="0"/>
      <w:marTop w:val="0"/>
      <w:marBottom w:val="0"/>
      <w:divBdr>
        <w:top w:val="none" w:sz="0" w:space="0" w:color="auto"/>
        <w:left w:val="none" w:sz="0" w:space="0" w:color="auto"/>
        <w:bottom w:val="none" w:sz="0" w:space="0" w:color="auto"/>
        <w:right w:val="none" w:sz="0" w:space="0" w:color="auto"/>
      </w:divBdr>
    </w:div>
    <w:div w:id="1248005366">
      <w:bodyDiv w:val="1"/>
      <w:marLeft w:val="0"/>
      <w:marRight w:val="0"/>
      <w:marTop w:val="0"/>
      <w:marBottom w:val="0"/>
      <w:divBdr>
        <w:top w:val="none" w:sz="0" w:space="0" w:color="auto"/>
        <w:left w:val="none" w:sz="0" w:space="0" w:color="auto"/>
        <w:bottom w:val="none" w:sz="0" w:space="0" w:color="auto"/>
        <w:right w:val="none" w:sz="0" w:space="0" w:color="auto"/>
      </w:divBdr>
      <w:divsChild>
        <w:div w:id="174392174">
          <w:marLeft w:val="0"/>
          <w:marRight w:val="0"/>
          <w:marTop w:val="0"/>
          <w:marBottom w:val="0"/>
          <w:divBdr>
            <w:top w:val="none" w:sz="0" w:space="0" w:color="auto"/>
            <w:left w:val="none" w:sz="0" w:space="0" w:color="auto"/>
            <w:bottom w:val="none" w:sz="0" w:space="0" w:color="auto"/>
            <w:right w:val="none" w:sz="0" w:space="0" w:color="auto"/>
          </w:divBdr>
        </w:div>
        <w:div w:id="262148910">
          <w:marLeft w:val="0"/>
          <w:marRight w:val="0"/>
          <w:marTop w:val="0"/>
          <w:marBottom w:val="0"/>
          <w:divBdr>
            <w:top w:val="none" w:sz="0" w:space="0" w:color="auto"/>
            <w:left w:val="none" w:sz="0" w:space="0" w:color="auto"/>
            <w:bottom w:val="none" w:sz="0" w:space="0" w:color="auto"/>
            <w:right w:val="none" w:sz="0" w:space="0" w:color="auto"/>
          </w:divBdr>
        </w:div>
      </w:divsChild>
    </w:div>
    <w:div w:id="1695957883">
      <w:bodyDiv w:val="1"/>
      <w:marLeft w:val="0"/>
      <w:marRight w:val="0"/>
      <w:marTop w:val="0"/>
      <w:marBottom w:val="0"/>
      <w:divBdr>
        <w:top w:val="none" w:sz="0" w:space="0" w:color="auto"/>
        <w:left w:val="none" w:sz="0" w:space="0" w:color="auto"/>
        <w:bottom w:val="none" w:sz="0" w:space="0" w:color="auto"/>
        <w:right w:val="none" w:sz="0" w:space="0" w:color="auto"/>
      </w:divBdr>
    </w:div>
    <w:div w:id="1749887143">
      <w:bodyDiv w:val="1"/>
      <w:marLeft w:val="0"/>
      <w:marRight w:val="0"/>
      <w:marTop w:val="0"/>
      <w:marBottom w:val="0"/>
      <w:divBdr>
        <w:top w:val="none" w:sz="0" w:space="0" w:color="auto"/>
        <w:left w:val="none" w:sz="0" w:space="0" w:color="auto"/>
        <w:bottom w:val="none" w:sz="0" w:space="0" w:color="auto"/>
        <w:right w:val="none" w:sz="0" w:space="0" w:color="auto"/>
      </w:divBdr>
    </w:div>
    <w:div w:id="1755474875">
      <w:bodyDiv w:val="1"/>
      <w:marLeft w:val="0"/>
      <w:marRight w:val="0"/>
      <w:marTop w:val="0"/>
      <w:marBottom w:val="0"/>
      <w:divBdr>
        <w:top w:val="none" w:sz="0" w:space="0" w:color="auto"/>
        <w:left w:val="none" w:sz="0" w:space="0" w:color="auto"/>
        <w:bottom w:val="none" w:sz="0" w:space="0" w:color="auto"/>
        <w:right w:val="none" w:sz="0" w:space="0" w:color="auto"/>
      </w:divBdr>
      <w:divsChild>
        <w:div w:id="1537695707">
          <w:marLeft w:val="0"/>
          <w:marRight w:val="0"/>
          <w:marTop w:val="0"/>
          <w:marBottom w:val="0"/>
          <w:divBdr>
            <w:top w:val="none" w:sz="0" w:space="0" w:color="auto"/>
            <w:left w:val="none" w:sz="0" w:space="0" w:color="auto"/>
            <w:bottom w:val="none" w:sz="0" w:space="0" w:color="auto"/>
            <w:right w:val="none" w:sz="0" w:space="0" w:color="auto"/>
          </w:divBdr>
          <w:divsChild>
            <w:div w:id="1819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6034">
      <w:bodyDiv w:val="1"/>
      <w:marLeft w:val="0"/>
      <w:marRight w:val="0"/>
      <w:marTop w:val="0"/>
      <w:marBottom w:val="0"/>
      <w:divBdr>
        <w:top w:val="none" w:sz="0" w:space="0" w:color="auto"/>
        <w:left w:val="none" w:sz="0" w:space="0" w:color="auto"/>
        <w:bottom w:val="none" w:sz="0" w:space="0" w:color="auto"/>
        <w:right w:val="none" w:sz="0" w:space="0" w:color="auto"/>
      </w:divBdr>
      <w:divsChild>
        <w:div w:id="310867422">
          <w:marLeft w:val="504"/>
          <w:marRight w:val="0"/>
          <w:marTop w:val="140"/>
          <w:marBottom w:val="0"/>
          <w:divBdr>
            <w:top w:val="none" w:sz="0" w:space="0" w:color="auto"/>
            <w:left w:val="none" w:sz="0" w:space="0" w:color="auto"/>
            <w:bottom w:val="none" w:sz="0" w:space="0" w:color="auto"/>
            <w:right w:val="none" w:sz="0" w:space="0" w:color="auto"/>
          </w:divBdr>
        </w:div>
        <w:div w:id="1106148568">
          <w:marLeft w:val="1008"/>
          <w:marRight w:val="0"/>
          <w:marTop w:val="110"/>
          <w:marBottom w:val="0"/>
          <w:divBdr>
            <w:top w:val="none" w:sz="0" w:space="0" w:color="auto"/>
            <w:left w:val="none" w:sz="0" w:space="0" w:color="auto"/>
            <w:bottom w:val="none" w:sz="0" w:space="0" w:color="auto"/>
            <w:right w:val="none" w:sz="0" w:space="0" w:color="auto"/>
          </w:divBdr>
        </w:div>
        <w:div w:id="645402344">
          <w:marLeft w:val="1008"/>
          <w:marRight w:val="0"/>
          <w:marTop w:val="110"/>
          <w:marBottom w:val="0"/>
          <w:divBdr>
            <w:top w:val="none" w:sz="0" w:space="0" w:color="auto"/>
            <w:left w:val="none" w:sz="0" w:space="0" w:color="auto"/>
            <w:bottom w:val="none" w:sz="0" w:space="0" w:color="auto"/>
            <w:right w:val="none" w:sz="0" w:space="0" w:color="auto"/>
          </w:divBdr>
        </w:div>
      </w:divsChild>
    </w:div>
    <w:div w:id="205646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guardian.com/education/2010/dec/07/uk-schools-slip-world-ranking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neil%20harrison\CoPE\Equival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6.9168635939801854E-2"/>
          <c:y val="4.4057617797775381E-2"/>
          <c:w val="0.62260024433426664"/>
          <c:h val="0.80067804024496969"/>
        </c:manualLayout>
      </c:layout>
      <c:lineChart>
        <c:grouping val="standard"/>
        <c:ser>
          <c:idx val="0"/>
          <c:order val="0"/>
          <c:tx>
            <c:strRef>
              <c:f>Sheet1!$B$1</c:f>
              <c:strCache>
                <c:ptCount val="1"/>
                <c:pt idx="0">
                  <c:v>Five GCSEs at A* to C including English and mathematics (excluding equivalents)</c:v>
                </c:pt>
              </c:strCache>
            </c:strRef>
          </c:tx>
          <c:spPr>
            <a:ln>
              <a:solidFill>
                <a:schemeClr val="bg1">
                  <a:lumMod val="75000"/>
                </a:schemeClr>
              </a:solidFill>
            </a:ln>
          </c:spPr>
          <c:marker>
            <c:symbol val="none"/>
          </c:marker>
          <c:cat>
            <c:numRef>
              <c:f>Sheet1!$A$2:$A$13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Sheet1!$B$2:$B$13</c:f>
              <c:numCache>
                <c:formatCode>0.00%</c:formatCode>
                <c:ptCount val="12"/>
                <c:pt idx="0">
                  <c:v>0.41800000000000032</c:v>
                </c:pt>
                <c:pt idx="1">
                  <c:v>0.41500000000000031</c:v>
                </c:pt>
                <c:pt idx="2">
                  <c:v>0.42200000000000032</c:v>
                </c:pt>
                <c:pt idx="3">
                  <c:v>0.4390000000000005</c:v>
                </c:pt>
                <c:pt idx="4">
                  <c:v>0.44500000000000012</c:v>
                </c:pt>
                <c:pt idx="5">
                  <c:v>0.4370000000000005</c:v>
                </c:pt>
                <c:pt idx="6">
                  <c:v>0.45200000000000001</c:v>
                </c:pt>
                <c:pt idx="7">
                  <c:v>0.47300000000000031</c:v>
                </c:pt>
                <c:pt idx="8">
                  <c:v>0.49200000000000038</c:v>
                </c:pt>
                <c:pt idx="9">
                  <c:v>0.53700000000000003</c:v>
                </c:pt>
                <c:pt idx="10">
                  <c:v>0.53200000000000003</c:v>
                </c:pt>
                <c:pt idx="11">
                  <c:v>0.52900000000000003</c:v>
                </c:pt>
              </c:numCache>
            </c:numRef>
          </c:val>
        </c:ser>
        <c:ser>
          <c:idx val="1"/>
          <c:order val="1"/>
          <c:tx>
            <c:strRef>
              <c:f>Sheet1!$C$1</c:f>
              <c:strCache>
                <c:ptCount val="1"/>
                <c:pt idx="0">
                  <c:v>Five GCSEs at A* to C including English and mathmatics (including equivalents)                                                     </c:v>
                </c:pt>
              </c:strCache>
            </c:strRef>
          </c:tx>
          <c:spPr>
            <a:ln>
              <a:solidFill>
                <a:schemeClr val="tx1">
                  <a:lumMod val="50000"/>
                  <a:lumOff val="50000"/>
                </a:schemeClr>
              </a:solidFill>
              <a:prstDash val="sysDash"/>
            </a:ln>
          </c:spPr>
          <c:marker>
            <c:symbol val="none"/>
          </c:marker>
          <c:cat>
            <c:numRef>
              <c:f>Sheet1!$A$2:$A$13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Sheet1!$C$2:$C$13</c:f>
              <c:numCache>
                <c:formatCode>0.00%</c:formatCode>
                <c:ptCount val="12"/>
                <c:pt idx="1">
                  <c:v>0.41900000000000032</c:v>
                </c:pt>
                <c:pt idx="2">
                  <c:v>0.42600000000000032</c:v>
                </c:pt>
                <c:pt idx="3">
                  <c:v>0.44300000000000012</c:v>
                </c:pt>
                <c:pt idx="4">
                  <c:v>0.45600000000000002</c:v>
                </c:pt>
                <c:pt idx="5">
                  <c:v>0.46300000000000002</c:v>
                </c:pt>
                <c:pt idx="6">
                  <c:v>0.47600000000000031</c:v>
                </c:pt>
                <c:pt idx="7">
                  <c:v>0.4980000000000005</c:v>
                </c:pt>
                <c:pt idx="8">
                  <c:v>0.53500000000000003</c:v>
                </c:pt>
                <c:pt idx="9">
                  <c:v>0.59000000000000019</c:v>
                </c:pt>
                <c:pt idx="10">
                  <c:v>0.59400000000000019</c:v>
                </c:pt>
                <c:pt idx="11">
                  <c:v>0.5920000000000003</c:v>
                </c:pt>
              </c:numCache>
            </c:numRef>
          </c:val>
        </c:ser>
        <c:ser>
          <c:idx val="2"/>
          <c:order val="2"/>
          <c:tx>
            <c:strRef>
              <c:f>Sheet1!$D$1</c:f>
              <c:strCache>
                <c:ptCount val="1"/>
                <c:pt idx="0">
                  <c:v>Five GCSEs at A* to C (including equivalents)</c:v>
                </c:pt>
              </c:strCache>
            </c:strRef>
          </c:tx>
          <c:spPr>
            <a:ln>
              <a:solidFill>
                <a:schemeClr val="tx1"/>
              </a:solidFill>
              <a:prstDash val="sysDot"/>
            </a:ln>
          </c:spPr>
          <c:marker>
            <c:symbol val="none"/>
          </c:marker>
          <c:cat>
            <c:numRef>
              <c:f>Sheet1!$A$2:$A$13</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Sheet1!$D$2:$D$13</c:f>
              <c:numCache>
                <c:formatCode>0.00%</c:formatCode>
                <c:ptCount val="12"/>
                <c:pt idx="0">
                  <c:v>0.51600000000000001</c:v>
                </c:pt>
                <c:pt idx="1">
                  <c:v>0.52900000000000003</c:v>
                </c:pt>
                <c:pt idx="2">
                  <c:v>0.53700000000000003</c:v>
                </c:pt>
                <c:pt idx="3">
                  <c:v>0.56299999999999994</c:v>
                </c:pt>
                <c:pt idx="4">
                  <c:v>0.58500000000000019</c:v>
                </c:pt>
                <c:pt idx="5">
                  <c:v>0.60900000000000065</c:v>
                </c:pt>
                <c:pt idx="6">
                  <c:v>0.64800000000000113</c:v>
                </c:pt>
                <c:pt idx="7">
                  <c:v>0.70000000000000062</c:v>
                </c:pt>
                <c:pt idx="8">
                  <c:v>0.75400000000000111</c:v>
                </c:pt>
                <c:pt idx="9">
                  <c:v>0.79600000000000004</c:v>
                </c:pt>
                <c:pt idx="10">
                  <c:v>0.81900000000000062</c:v>
                </c:pt>
                <c:pt idx="11">
                  <c:v>0.81799999999999995</c:v>
                </c:pt>
              </c:numCache>
            </c:numRef>
          </c:val>
        </c:ser>
        <c:marker val="1"/>
        <c:axId val="107724800"/>
        <c:axId val="107726336"/>
      </c:lineChart>
      <c:catAx>
        <c:axId val="107724800"/>
        <c:scaling>
          <c:orientation val="minMax"/>
        </c:scaling>
        <c:axPos val="b"/>
        <c:numFmt formatCode="General" sourceLinked="1"/>
        <c:tickLblPos val="nextTo"/>
        <c:txPr>
          <a:bodyPr rot="-5400000" vert="horz"/>
          <a:lstStyle/>
          <a:p>
            <a:pPr>
              <a:defRPr b="0"/>
            </a:pPr>
            <a:endParaRPr lang="en-US"/>
          </a:p>
        </c:txPr>
        <c:crossAx val="107726336"/>
        <c:crosses val="autoZero"/>
        <c:auto val="1"/>
        <c:lblAlgn val="ctr"/>
        <c:lblOffset val="100"/>
      </c:catAx>
      <c:valAx>
        <c:axId val="107726336"/>
        <c:scaling>
          <c:orientation val="minMax"/>
        </c:scaling>
        <c:axPos val="l"/>
        <c:numFmt formatCode="0%" sourceLinked="0"/>
        <c:tickLblPos val="nextTo"/>
        <c:crossAx val="107724800"/>
        <c:crosses val="autoZero"/>
        <c:crossBetween val="between"/>
      </c:valAx>
    </c:plotArea>
    <c:legend>
      <c:legendPos val="r"/>
      <c:layout>
        <c:manualLayout>
          <c:xMode val="edge"/>
          <c:yMode val="edge"/>
          <c:x val="0.73988135112204512"/>
          <c:y val="6.994781902262219E-2"/>
          <c:w val="0.24756756952630904"/>
          <c:h val="0.84423103362079943"/>
        </c:manualLayout>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ABB5-EF11-468C-9943-5AA22EC1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12179</Words>
  <Characters>69422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James</dc:creator>
  <cp:lastModifiedBy>Neil Harrison</cp:lastModifiedBy>
  <cp:revision>4</cp:revision>
  <cp:lastPrinted>2014-04-05T10:12:00Z</cp:lastPrinted>
  <dcterms:created xsi:type="dcterms:W3CDTF">2014-08-14T15:40:00Z</dcterms:created>
  <dcterms:modified xsi:type="dcterms:W3CDTF">2015-01-29T11:28:00Z</dcterms:modified>
</cp:coreProperties>
</file>