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73" w:rsidRDefault="00797473" w:rsidP="00FB2A31">
      <w:pPr>
        <w:jc w:val="center"/>
        <w:rPr>
          <w:b/>
          <w:sz w:val="28"/>
          <w:szCs w:val="28"/>
        </w:rPr>
      </w:pPr>
    </w:p>
    <w:p w:rsidR="00797473" w:rsidRDefault="00797473" w:rsidP="00FB2A31">
      <w:pPr>
        <w:jc w:val="center"/>
        <w:rPr>
          <w:b/>
          <w:sz w:val="28"/>
          <w:szCs w:val="28"/>
        </w:rPr>
      </w:pPr>
    </w:p>
    <w:p w:rsidR="00797473" w:rsidRPr="006B5915" w:rsidRDefault="00797473" w:rsidP="00FB2A31">
      <w:pPr>
        <w:spacing w:line="480" w:lineRule="auto"/>
        <w:jc w:val="center"/>
        <w:rPr>
          <w:b/>
          <w:sz w:val="28"/>
          <w:szCs w:val="28"/>
        </w:rPr>
      </w:pPr>
      <w:r w:rsidRPr="006B5915">
        <w:rPr>
          <w:rFonts w:ascii="Verdana" w:hAnsi="Verdana"/>
          <w:b/>
          <w:sz w:val="28"/>
          <w:szCs w:val="28"/>
        </w:rPr>
        <w:t>Risk and protective factors for falls from furniture in young children: multicentre case-control study</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Denise Kendrick, DM</w:t>
      </w:r>
      <w:r w:rsidRPr="006B5915">
        <w:rPr>
          <w:rFonts w:ascii="Verdana" w:hAnsi="Verdana"/>
          <w:sz w:val="20"/>
          <w:szCs w:val="20"/>
          <w:vertAlign w:val="superscript"/>
        </w:rPr>
        <w:t>1</w:t>
      </w:r>
      <w:r w:rsidRPr="006B5915">
        <w:rPr>
          <w:rFonts w:ascii="Verdana" w:hAnsi="Verdana"/>
          <w:sz w:val="20"/>
          <w:szCs w:val="20"/>
        </w:rPr>
        <w:t xml:space="preserve">; </w:t>
      </w:r>
      <w:proofErr w:type="spellStart"/>
      <w:r w:rsidRPr="006B5915">
        <w:rPr>
          <w:rFonts w:ascii="Verdana" w:hAnsi="Verdana"/>
          <w:sz w:val="20"/>
          <w:szCs w:val="20"/>
        </w:rPr>
        <w:t>Asiya</w:t>
      </w:r>
      <w:proofErr w:type="spellEnd"/>
      <w:r w:rsidRPr="006B5915">
        <w:rPr>
          <w:rFonts w:ascii="Verdana" w:hAnsi="Verdana"/>
          <w:sz w:val="20"/>
          <w:szCs w:val="20"/>
        </w:rPr>
        <w:t xml:space="preserve"> </w:t>
      </w:r>
      <w:proofErr w:type="spellStart"/>
      <w:r w:rsidRPr="006B5915">
        <w:rPr>
          <w:rFonts w:ascii="Verdana" w:hAnsi="Verdana"/>
          <w:sz w:val="20"/>
          <w:szCs w:val="20"/>
        </w:rPr>
        <w:t>Maula</w:t>
      </w:r>
      <w:proofErr w:type="spellEnd"/>
      <w:r w:rsidRPr="006B5915">
        <w:rPr>
          <w:rFonts w:ascii="Verdana" w:hAnsi="Verdana"/>
          <w:sz w:val="20"/>
          <w:szCs w:val="20"/>
        </w:rPr>
        <w:t>, MPH</w:t>
      </w:r>
      <w:r w:rsidRPr="006B5915">
        <w:rPr>
          <w:rFonts w:ascii="Verdana" w:hAnsi="Verdana"/>
          <w:sz w:val="20"/>
          <w:szCs w:val="20"/>
          <w:vertAlign w:val="superscript"/>
        </w:rPr>
        <w:t>2</w:t>
      </w:r>
      <w:r w:rsidRPr="006B5915">
        <w:rPr>
          <w:rFonts w:ascii="Verdana" w:hAnsi="Verdana"/>
          <w:sz w:val="20"/>
          <w:szCs w:val="20"/>
        </w:rPr>
        <w:t>; Richard Reading, MD</w:t>
      </w:r>
      <w:r w:rsidRPr="006B5915">
        <w:rPr>
          <w:rFonts w:ascii="Verdana" w:hAnsi="Verdana"/>
          <w:sz w:val="20"/>
          <w:szCs w:val="20"/>
          <w:vertAlign w:val="superscript"/>
        </w:rPr>
        <w:t>3</w:t>
      </w:r>
      <w:r w:rsidRPr="006B5915">
        <w:rPr>
          <w:rFonts w:ascii="Verdana" w:hAnsi="Verdana"/>
          <w:sz w:val="20"/>
          <w:szCs w:val="20"/>
        </w:rPr>
        <w:t xml:space="preserve">; Paul </w:t>
      </w:r>
      <w:proofErr w:type="spellStart"/>
      <w:r w:rsidRPr="006B5915">
        <w:rPr>
          <w:rFonts w:ascii="Verdana" w:hAnsi="Verdana"/>
          <w:sz w:val="20"/>
          <w:szCs w:val="20"/>
        </w:rPr>
        <w:t>Hindmarch</w:t>
      </w:r>
      <w:proofErr w:type="spellEnd"/>
      <w:r w:rsidRPr="006B5915">
        <w:rPr>
          <w:rFonts w:ascii="Verdana" w:hAnsi="Verdana"/>
          <w:sz w:val="20"/>
          <w:szCs w:val="20"/>
        </w:rPr>
        <w:t>, MA</w:t>
      </w:r>
      <w:r w:rsidRPr="006B5915">
        <w:rPr>
          <w:rFonts w:ascii="Verdana" w:hAnsi="Verdana"/>
          <w:sz w:val="20"/>
          <w:szCs w:val="20"/>
          <w:vertAlign w:val="superscript"/>
        </w:rPr>
        <w:t>4</w:t>
      </w:r>
      <w:r w:rsidRPr="006B5915">
        <w:rPr>
          <w:rFonts w:ascii="Verdana" w:hAnsi="Verdana"/>
          <w:sz w:val="20"/>
          <w:szCs w:val="20"/>
        </w:rPr>
        <w:t>; Carol Coupland, PhD</w:t>
      </w:r>
      <w:r w:rsidRPr="006B5915">
        <w:rPr>
          <w:rFonts w:ascii="Verdana" w:hAnsi="Verdana"/>
          <w:sz w:val="20"/>
          <w:szCs w:val="20"/>
          <w:vertAlign w:val="superscript"/>
        </w:rPr>
        <w:t>5</w:t>
      </w:r>
      <w:r w:rsidRPr="006B5915">
        <w:rPr>
          <w:rFonts w:ascii="Verdana" w:hAnsi="Verdana"/>
          <w:sz w:val="20"/>
          <w:szCs w:val="20"/>
        </w:rPr>
        <w:t>; Michael Watson, PhD</w:t>
      </w:r>
      <w:r w:rsidRPr="006B5915">
        <w:rPr>
          <w:rFonts w:ascii="Verdana" w:hAnsi="Verdana"/>
          <w:sz w:val="20"/>
          <w:szCs w:val="20"/>
          <w:vertAlign w:val="superscript"/>
        </w:rPr>
        <w:t>6</w:t>
      </w:r>
      <w:r w:rsidRPr="006B5915">
        <w:rPr>
          <w:rFonts w:ascii="Verdana" w:hAnsi="Verdana"/>
          <w:sz w:val="20"/>
          <w:szCs w:val="20"/>
        </w:rPr>
        <w:t>; Mike Hayes, PhD</w:t>
      </w:r>
      <w:r w:rsidRPr="006B5915">
        <w:rPr>
          <w:rFonts w:ascii="Verdana" w:hAnsi="Verdana"/>
          <w:sz w:val="20"/>
          <w:szCs w:val="20"/>
          <w:vertAlign w:val="superscript"/>
        </w:rPr>
        <w:t>7</w:t>
      </w:r>
      <w:r w:rsidRPr="006B5915">
        <w:rPr>
          <w:rFonts w:ascii="Verdana" w:hAnsi="Verdana"/>
          <w:sz w:val="20"/>
          <w:szCs w:val="20"/>
        </w:rPr>
        <w:t>; Toity Deave, PhD</w:t>
      </w:r>
      <w:r w:rsidRPr="006B5915">
        <w:rPr>
          <w:rFonts w:ascii="Verdana" w:hAnsi="Verdana"/>
          <w:sz w:val="20"/>
          <w:szCs w:val="20"/>
          <w:vertAlign w:val="superscript"/>
        </w:rPr>
        <w:t>8</w:t>
      </w:r>
      <w:r w:rsidRPr="006B5915">
        <w:rPr>
          <w:rFonts w:ascii="Verdana" w:hAnsi="Verdana"/>
          <w:sz w:val="20"/>
          <w:szCs w:val="20"/>
        </w:rPr>
        <w:t xml:space="preserve"> </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vertAlign w:val="superscript"/>
        </w:rPr>
        <w:t>1</w:t>
      </w:r>
      <w:r w:rsidRPr="006B5915">
        <w:rPr>
          <w:rFonts w:ascii="Verdana" w:hAnsi="Verdana"/>
          <w:sz w:val="20"/>
          <w:szCs w:val="20"/>
        </w:rPr>
        <w:t xml:space="preserve"> Professor of Primary Care Research, School of Medicine, Division of Primary Care, Tower Building, University Park, Nottingham NG7 2RD, UK</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vertAlign w:val="superscript"/>
        </w:rPr>
        <w:t>2</w:t>
      </w:r>
      <w:r w:rsidRPr="006B5915">
        <w:rPr>
          <w:rFonts w:ascii="Verdana" w:hAnsi="Verdana"/>
          <w:sz w:val="20"/>
          <w:szCs w:val="20"/>
        </w:rPr>
        <w:t>Academic Clinical Fellow, School of Medicine, Division of Primary Care, Tower Building, University Park, Nottingham NG7 2RD, UK</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vertAlign w:val="superscript"/>
        </w:rPr>
        <w:t>3</w:t>
      </w:r>
      <w:r w:rsidRPr="006B5915">
        <w:rPr>
          <w:rFonts w:ascii="Verdana" w:hAnsi="Verdana"/>
          <w:sz w:val="20"/>
          <w:szCs w:val="20"/>
        </w:rPr>
        <w:t xml:space="preserve"> </w:t>
      </w:r>
      <w:r w:rsidRPr="006B5915">
        <w:rPr>
          <w:rFonts w:ascii="Verdana" w:hAnsi="Verdana" w:cs="Arial"/>
          <w:sz w:val="20"/>
          <w:szCs w:val="20"/>
        </w:rPr>
        <w:t xml:space="preserve">Consultant Community Paediatrician, </w:t>
      </w:r>
      <w:r w:rsidRPr="006B5915">
        <w:rPr>
          <w:rFonts w:ascii="Verdana" w:hAnsi="Verdana"/>
          <w:sz w:val="20"/>
          <w:szCs w:val="20"/>
        </w:rPr>
        <w:t xml:space="preserve">Norfolk and Norwich University Hospital, Norwich Norfolk and Norwich University Hospitals NHS Foundation Trust, </w:t>
      </w:r>
      <w:proofErr w:type="spellStart"/>
      <w:r w:rsidRPr="006B5915">
        <w:rPr>
          <w:rFonts w:ascii="Verdana" w:hAnsi="Verdana"/>
          <w:sz w:val="20"/>
          <w:szCs w:val="20"/>
        </w:rPr>
        <w:t>Colney</w:t>
      </w:r>
      <w:proofErr w:type="spellEnd"/>
      <w:r w:rsidRPr="006B5915">
        <w:rPr>
          <w:rFonts w:ascii="Verdana" w:hAnsi="Verdana"/>
          <w:sz w:val="20"/>
          <w:szCs w:val="20"/>
        </w:rPr>
        <w:t xml:space="preserve"> Lane, Norwich NR4 7TJ, UK</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vertAlign w:val="superscript"/>
        </w:rPr>
        <w:t>4</w:t>
      </w:r>
      <w:r w:rsidRPr="006B5915">
        <w:rPr>
          <w:rFonts w:ascii="Verdana" w:hAnsi="Verdana"/>
          <w:sz w:val="20"/>
          <w:szCs w:val="20"/>
        </w:rPr>
        <w:t xml:space="preserve"> Institute of Health &amp; Society, </w:t>
      </w:r>
      <w:proofErr w:type="spellStart"/>
      <w:r w:rsidRPr="006B5915">
        <w:rPr>
          <w:rFonts w:ascii="Verdana" w:hAnsi="Verdana"/>
          <w:sz w:val="20"/>
          <w:szCs w:val="20"/>
        </w:rPr>
        <w:t>Baddiley</w:t>
      </w:r>
      <w:proofErr w:type="spellEnd"/>
      <w:r w:rsidRPr="006B5915">
        <w:rPr>
          <w:rFonts w:ascii="Verdana" w:hAnsi="Verdana"/>
          <w:sz w:val="20"/>
          <w:szCs w:val="20"/>
        </w:rPr>
        <w:t>-Clark Building, Newcastle University, Richardson Road, Newcastle upon Tyne, NE2 4AX, UK</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vertAlign w:val="superscript"/>
        </w:rPr>
        <w:t>5</w:t>
      </w:r>
      <w:r w:rsidRPr="006B5915">
        <w:rPr>
          <w:rFonts w:ascii="Verdana" w:hAnsi="Verdana"/>
          <w:sz w:val="20"/>
          <w:szCs w:val="20"/>
        </w:rPr>
        <w:t>Associate Professor and Reader in Medical Statistics, School of Medicine, Division of Primary Care, Tower Building, University Park, Nottingham NG7 2RD, UK</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vertAlign w:val="superscript"/>
        </w:rPr>
        <w:t>6</w:t>
      </w:r>
      <w:r w:rsidRPr="006B5915">
        <w:rPr>
          <w:rFonts w:ascii="Verdana" w:hAnsi="Verdana"/>
          <w:sz w:val="20"/>
          <w:szCs w:val="20"/>
        </w:rPr>
        <w:t xml:space="preserve"> Associate Professor in Public Health, School of Health Sciences, University of Nottingham, D86, Queen's Medical Centre, Nottingham, NG7 2HA, UK</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vertAlign w:val="superscript"/>
        </w:rPr>
        <w:t>7</w:t>
      </w:r>
      <w:r w:rsidRPr="006B5915">
        <w:rPr>
          <w:rFonts w:ascii="Verdana" w:hAnsi="Verdana"/>
          <w:sz w:val="20"/>
          <w:szCs w:val="20"/>
        </w:rPr>
        <w:t xml:space="preserve"> Principal </w:t>
      </w:r>
      <w:proofErr w:type="gramStart"/>
      <w:r w:rsidRPr="006B5915">
        <w:rPr>
          <w:rFonts w:ascii="Verdana" w:hAnsi="Verdana"/>
          <w:sz w:val="20"/>
          <w:szCs w:val="20"/>
        </w:rPr>
        <w:t>Consultant</w:t>
      </w:r>
      <w:proofErr w:type="gramEnd"/>
      <w:r w:rsidRPr="006B5915">
        <w:rPr>
          <w:rFonts w:ascii="Verdana" w:hAnsi="Verdana"/>
          <w:sz w:val="20"/>
          <w:szCs w:val="20"/>
        </w:rPr>
        <w:t>, Child Accident Prevention Trust, Canterbury Court (1.09), 1-3 Brixton Road, London, SW9 6DE, UK</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vertAlign w:val="superscript"/>
        </w:rPr>
        <w:t>8</w:t>
      </w:r>
      <w:r w:rsidRPr="006B5915">
        <w:rPr>
          <w:rFonts w:ascii="Verdana" w:hAnsi="Verdana"/>
          <w:sz w:val="20"/>
          <w:szCs w:val="20"/>
        </w:rPr>
        <w:t xml:space="preserve"> Associate Professor for Family and Child Health, Centre for Child &amp; Adolescent Health, Health and Life Sciences, University of the West of England, Bristol, Oakfield House, Oakfield Grove, Bristol BS8 2BN, UK</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 xml:space="preserve">Correspondence to: </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lastRenderedPageBreak/>
        <w:t xml:space="preserve">Professor Denise Kendrick, Division of Primary Care, Tower Building, University Park, Nottingham NG7 2RD UK.  E mail: </w:t>
      </w:r>
      <w:hyperlink r:id="rId8" w:history="1">
        <w:r w:rsidRPr="006B5915">
          <w:rPr>
            <w:rStyle w:val="Hyperlink"/>
            <w:rFonts w:ascii="Verdana" w:hAnsi="Verdana"/>
            <w:sz w:val="20"/>
            <w:szCs w:val="20"/>
          </w:rPr>
          <w:t>denise.kendrick@nottingham.ac.uk</w:t>
        </w:r>
      </w:hyperlink>
      <w:r w:rsidRPr="006B5915">
        <w:rPr>
          <w:rStyle w:val="Hyperlink"/>
          <w:rFonts w:ascii="Verdana" w:hAnsi="Verdana"/>
          <w:sz w:val="20"/>
          <w:szCs w:val="20"/>
        </w:rPr>
        <w:t xml:space="preserve"> </w:t>
      </w:r>
      <w:r w:rsidRPr="006B5915">
        <w:rPr>
          <w:rFonts w:ascii="Verdana" w:hAnsi="Verdana"/>
          <w:sz w:val="20"/>
          <w:szCs w:val="20"/>
        </w:rPr>
        <w:t>Tel: 0115 8466914 Fax: 0115 8466904</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Abstract word count: 25</w:t>
      </w:r>
      <w:r w:rsidR="00FB2A31" w:rsidRPr="006B5915">
        <w:rPr>
          <w:rFonts w:ascii="Verdana" w:hAnsi="Verdana"/>
          <w:sz w:val="20"/>
          <w:szCs w:val="20"/>
        </w:rPr>
        <w:t>5</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Paper word count, excluding tables and references: 3173</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pStyle w:val="NormalWeb"/>
        <w:spacing w:before="0" w:beforeAutospacing="0" w:after="0" w:afterAutospacing="0" w:line="480" w:lineRule="auto"/>
        <w:textAlignment w:val="baseline"/>
        <w:rPr>
          <w:rFonts w:ascii="Verdana" w:hAnsi="Verdana" w:cs="Arial"/>
          <w:color w:val="333333"/>
          <w:sz w:val="20"/>
          <w:szCs w:val="20"/>
        </w:rPr>
      </w:pPr>
      <w:r w:rsidRPr="006B5915">
        <w:rPr>
          <w:rFonts w:ascii="Verdana" w:hAnsi="Verdana"/>
          <w:sz w:val="20"/>
          <w:szCs w:val="20"/>
        </w:rPr>
        <w:t xml:space="preserve">All </w:t>
      </w:r>
      <w:r w:rsidRPr="006B5915">
        <w:rPr>
          <w:rFonts w:ascii="Verdana" w:hAnsi="Verdana" w:cs="Arial"/>
          <w:color w:val="333333"/>
          <w:sz w:val="20"/>
          <w:szCs w:val="20"/>
        </w:rPr>
        <w:t>authors declare no financial relationships with any organisations that might have an interest in the submitted work in the previous three years and no other relationships or activities that could appear to have influenced the submitted work.</w:t>
      </w:r>
    </w:p>
    <w:p w:rsidR="00797473" w:rsidRPr="006B5915" w:rsidRDefault="00797473">
      <w:pPr>
        <w:spacing w:after="0" w:line="240" w:lineRule="auto"/>
        <w:rPr>
          <w:rFonts w:ascii="Verdana" w:eastAsia="Times New Roman" w:hAnsi="Verdana" w:cs="Arial"/>
          <w:color w:val="333333"/>
          <w:sz w:val="20"/>
          <w:szCs w:val="20"/>
          <w:lang w:eastAsia="en-GB"/>
        </w:rPr>
      </w:pPr>
      <w:r w:rsidRPr="006B5915">
        <w:rPr>
          <w:rFonts w:ascii="Verdana" w:hAnsi="Verdana" w:cs="Arial"/>
          <w:color w:val="333333"/>
          <w:sz w:val="20"/>
          <w:szCs w:val="20"/>
        </w:rPr>
        <w:br w:type="page"/>
      </w:r>
    </w:p>
    <w:p w:rsidR="00797473" w:rsidRPr="006B5915" w:rsidRDefault="00797473" w:rsidP="00FB2A31">
      <w:pPr>
        <w:pStyle w:val="NormalWeb"/>
        <w:spacing w:before="0" w:beforeAutospacing="0" w:after="0" w:afterAutospacing="0" w:line="480" w:lineRule="auto"/>
        <w:textAlignment w:val="baseline"/>
        <w:rPr>
          <w:rFonts w:ascii="Verdana" w:hAnsi="Verdana" w:cs="Arial"/>
          <w:color w:val="333333"/>
          <w:sz w:val="20"/>
          <w:szCs w:val="20"/>
        </w:rPr>
      </w:pPr>
    </w:p>
    <w:p w:rsidR="00797473" w:rsidRPr="006B5915" w:rsidRDefault="00797473" w:rsidP="00FB2A31">
      <w:pPr>
        <w:spacing w:after="0" w:line="360" w:lineRule="auto"/>
        <w:rPr>
          <w:rFonts w:ascii="Verdana" w:hAnsi="Verdana"/>
          <w:sz w:val="20"/>
          <w:szCs w:val="20"/>
        </w:rPr>
      </w:pPr>
    </w:p>
    <w:p w:rsidR="00797473" w:rsidRPr="006B5915" w:rsidRDefault="00797473" w:rsidP="00FB2A31">
      <w:pPr>
        <w:spacing w:after="0" w:line="360" w:lineRule="auto"/>
        <w:rPr>
          <w:rFonts w:ascii="Verdana" w:hAnsi="Verdana"/>
          <w:b/>
          <w:sz w:val="20"/>
          <w:szCs w:val="20"/>
        </w:rPr>
      </w:pPr>
      <w:r w:rsidRPr="006B5915">
        <w:rPr>
          <w:rFonts w:ascii="Verdana" w:hAnsi="Verdana"/>
          <w:b/>
          <w:sz w:val="20"/>
          <w:szCs w:val="20"/>
        </w:rPr>
        <w:t xml:space="preserve">Abstract  </w:t>
      </w:r>
    </w:p>
    <w:p w:rsidR="00797473" w:rsidRPr="006B5915" w:rsidRDefault="00797473" w:rsidP="00FB2A31">
      <w:pPr>
        <w:tabs>
          <w:tab w:val="left" w:pos="7077"/>
        </w:tabs>
        <w:spacing w:after="0" w:line="360" w:lineRule="auto"/>
        <w:rPr>
          <w:rFonts w:ascii="Verdana" w:hAnsi="Verdana"/>
          <w:b/>
          <w:sz w:val="20"/>
          <w:szCs w:val="20"/>
        </w:rPr>
      </w:pPr>
      <w:r w:rsidRPr="006B5915">
        <w:rPr>
          <w:rFonts w:ascii="Verdana" w:hAnsi="Verdana"/>
          <w:b/>
          <w:sz w:val="20"/>
          <w:szCs w:val="20"/>
        </w:rPr>
        <w:tab/>
      </w:r>
    </w:p>
    <w:p w:rsidR="00797473" w:rsidRPr="006B5915" w:rsidRDefault="00797473" w:rsidP="00FB2A31">
      <w:pPr>
        <w:spacing w:after="120" w:line="480" w:lineRule="auto"/>
        <w:rPr>
          <w:rFonts w:ascii="Verdana" w:hAnsi="Verdana"/>
          <w:sz w:val="20"/>
          <w:szCs w:val="20"/>
        </w:rPr>
      </w:pPr>
      <w:r w:rsidRPr="006B5915">
        <w:rPr>
          <w:rFonts w:ascii="Verdana" w:hAnsi="Verdana"/>
          <w:b/>
          <w:sz w:val="20"/>
          <w:szCs w:val="20"/>
        </w:rPr>
        <w:t xml:space="preserve">Importance: </w:t>
      </w:r>
      <w:r w:rsidRPr="006B5915">
        <w:rPr>
          <w:rFonts w:ascii="Verdana" w:hAnsi="Verdana"/>
          <w:sz w:val="20"/>
          <w:szCs w:val="20"/>
        </w:rPr>
        <w:t>Falls from furniture are common in young children presenting to emergency departments, but there is little evidence on protective factors for these falls.</w:t>
      </w:r>
    </w:p>
    <w:p w:rsidR="00797473" w:rsidRPr="006B5915" w:rsidRDefault="00797473" w:rsidP="00FB2A31">
      <w:pPr>
        <w:spacing w:after="120" w:line="480" w:lineRule="auto"/>
        <w:rPr>
          <w:rFonts w:ascii="Verdana" w:hAnsi="Verdana"/>
          <w:sz w:val="20"/>
          <w:szCs w:val="20"/>
        </w:rPr>
      </w:pPr>
      <w:r w:rsidRPr="006B5915">
        <w:rPr>
          <w:rFonts w:ascii="Verdana" w:hAnsi="Verdana"/>
          <w:b/>
          <w:sz w:val="20"/>
          <w:szCs w:val="20"/>
        </w:rPr>
        <w:t>Objective</w:t>
      </w:r>
      <w:r w:rsidRPr="006B5915">
        <w:rPr>
          <w:rFonts w:ascii="Verdana" w:hAnsi="Verdana"/>
          <w:sz w:val="20"/>
          <w:szCs w:val="20"/>
        </w:rPr>
        <w:t xml:space="preserve">: To estimate associations for risk and protective </w:t>
      </w:r>
      <w:r w:rsidR="00FB2A31" w:rsidRPr="006B5915">
        <w:rPr>
          <w:rFonts w:ascii="Verdana" w:hAnsi="Verdana"/>
          <w:sz w:val="20"/>
          <w:szCs w:val="20"/>
        </w:rPr>
        <w:t xml:space="preserve">factors for </w:t>
      </w:r>
      <w:r w:rsidRPr="006B5915">
        <w:rPr>
          <w:rFonts w:ascii="Verdana" w:hAnsi="Verdana"/>
          <w:sz w:val="20"/>
          <w:szCs w:val="20"/>
        </w:rPr>
        <w:t xml:space="preserve">falls from furniture in children aged 0-4 years. </w:t>
      </w:r>
    </w:p>
    <w:p w:rsidR="00797473" w:rsidRPr="006B5915" w:rsidRDefault="00797473" w:rsidP="00FB2A31">
      <w:pPr>
        <w:spacing w:after="120" w:line="480" w:lineRule="auto"/>
        <w:rPr>
          <w:rFonts w:ascii="Verdana" w:hAnsi="Verdana"/>
          <w:sz w:val="20"/>
          <w:szCs w:val="20"/>
        </w:rPr>
      </w:pPr>
      <w:r w:rsidRPr="006B5915">
        <w:rPr>
          <w:rFonts w:ascii="Verdana" w:hAnsi="Verdana"/>
          <w:b/>
          <w:sz w:val="20"/>
          <w:szCs w:val="20"/>
        </w:rPr>
        <w:t>Design</w:t>
      </w:r>
      <w:r w:rsidRPr="006B5915">
        <w:rPr>
          <w:rFonts w:ascii="Verdana" w:hAnsi="Verdana"/>
          <w:sz w:val="20"/>
          <w:szCs w:val="20"/>
        </w:rPr>
        <w:t>: Multicentre case-control study.</w:t>
      </w:r>
    </w:p>
    <w:p w:rsidR="00797473" w:rsidRPr="006B5915" w:rsidRDefault="00797473" w:rsidP="00FB2A31">
      <w:pPr>
        <w:spacing w:after="120" w:line="480" w:lineRule="auto"/>
        <w:rPr>
          <w:rFonts w:ascii="Verdana" w:hAnsi="Verdana"/>
          <w:sz w:val="20"/>
          <w:szCs w:val="20"/>
        </w:rPr>
      </w:pPr>
      <w:r w:rsidRPr="006B5915">
        <w:rPr>
          <w:rFonts w:ascii="Verdana" w:hAnsi="Verdana"/>
          <w:b/>
          <w:sz w:val="20"/>
          <w:szCs w:val="20"/>
        </w:rPr>
        <w:t>Setting</w:t>
      </w:r>
      <w:r w:rsidRPr="006B5915">
        <w:rPr>
          <w:rFonts w:ascii="Verdana" w:hAnsi="Verdana"/>
          <w:sz w:val="20"/>
          <w:szCs w:val="20"/>
        </w:rPr>
        <w:t>: Hospitals, minor injury units and general practices in, and around four UK study centres.</w:t>
      </w:r>
    </w:p>
    <w:p w:rsidR="00797473" w:rsidRPr="006B5915" w:rsidRDefault="00797473" w:rsidP="00FB2A31">
      <w:pPr>
        <w:spacing w:after="120" w:line="480" w:lineRule="auto"/>
        <w:rPr>
          <w:rFonts w:ascii="Verdana" w:hAnsi="Verdana"/>
          <w:sz w:val="20"/>
          <w:szCs w:val="20"/>
        </w:rPr>
      </w:pPr>
      <w:r w:rsidRPr="006B5915">
        <w:rPr>
          <w:rFonts w:ascii="Verdana" w:hAnsi="Verdana"/>
          <w:b/>
          <w:sz w:val="20"/>
          <w:szCs w:val="20"/>
        </w:rPr>
        <w:t>Participants</w:t>
      </w:r>
      <w:r w:rsidRPr="006B5915">
        <w:rPr>
          <w:rFonts w:ascii="Verdana" w:hAnsi="Verdana"/>
          <w:sz w:val="20"/>
          <w:szCs w:val="20"/>
        </w:rPr>
        <w:t xml:space="preserve">: 672 children with a secondary care attended fall from furniture and 2648 matched controls. </w:t>
      </w:r>
    </w:p>
    <w:p w:rsidR="00797473" w:rsidRPr="006B5915" w:rsidRDefault="00797473" w:rsidP="00FB2A31">
      <w:pPr>
        <w:spacing w:after="120" w:line="480" w:lineRule="auto"/>
        <w:rPr>
          <w:rFonts w:ascii="Verdana" w:hAnsi="Verdana"/>
          <w:sz w:val="20"/>
          <w:szCs w:val="20"/>
        </w:rPr>
      </w:pPr>
      <w:r w:rsidRPr="006B5915">
        <w:rPr>
          <w:rFonts w:ascii="Verdana" w:hAnsi="Verdana"/>
          <w:b/>
          <w:sz w:val="20"/>
          <w:szCs w:val="20"/>
        </w:rPr>
        <w:t>Exposures</w:t>
      </w:r>
      <w:r w:rsidRPr="006B5915">
        <w:rPr>
          <w:rFonts w:ascii="Verdana" w:hAnsi="Verdana"/>
          <w:sz w:val="20"/>
          <w:szCs w:val="20"/>
        </w:rPr>
        <w:t>: Safety practices, safety equipment use and home hazards</w:t>
      </w:r>
    </w:p>
    <w:p w:rsidR="00797473" w:rsidRPr="006B5915" w:rsidRDefault="00797473" w:rsidP="00FB2A31">
      <w:pPr>
        <w:spacing w:after="120" w:line="480" w:lineRule="auto"/>
        <w:rPr>
          <w:rFonts w:ascii="Verdana" w:hAnsi="Verdana"/>
          <w:sz w:val="20"/>
          <w:szCs w:val="20"/>
        </w:rPr>
      </w:pPr>
      <w:r w:rsidRPr="006B5915">
        <w:rPr>
          <w:rFonts w:ascii="Verdana" w:hAnsi="Verdana"/>
          <w:b/>
          <w:sz w:val="20"/>
          <w:szCs w:val="20"/>
        </w:rPr>
        <w:t>Main outcome measure</w:t>
      </w:r>
      <w:r w:rsidRPr="006B5915">
        <w:rPr>
          <w:rFonts w:ascii="Verdana" w:hAnsi="Verdana"/>
          <w:sz w:val="20"/>
          <w:szCs w:val="20"/>
        </w:rPr>
        <w:t>: Fall from furniture.</w:t>
      </w:r>
    </w:p>
    <w:p w:rsidR="00797473" w:rsidRPr="006B5915" w:rsidRDefault="00797473" w:rsidP="00FB2A31">
      <w:pPr>
        <w:spacing w:after="120" w:line="480" w:lineRule="auto"/>
        <w:rPr>
          <w:rFonts w:ascii="Verdana" w:hAnsi="Verdana"/>
          <w:sz w:val="20"/>
          <w:szCs w:val="20"/>
        </w:rPr>
      </w:pPr>
      <w:r w:rsidRPr="006B5915">
        <w:rPr>
          <w:rFonts w:ascii="Verdana" w:hAnsi="Verdana"/>
          <w:b/>
          <w:sz w:val="20"/>
          <w:szCs w:val="20"/>
        </w:rPr>
        <w:t>Results</w:t>
      </w:r>
      <w:r w:rsidRPr="006B5915">
        <w:rPr>
          <w:rFonts w:ascii="Verdana" w:hAnsi="Verdana"/>
          <w:sz w:val="20"/>
          <w:szCs w:val="20"/>
        </w:rPr>
        <w:t>:</w:t>
      </w:r>
      <w:r w:rsidR="00B51502">
        <w:rPr>
          <w:rFonts w:ascii="Verdana" w:hAnsi="Verdana"/>
          <w:sz w:val="20"/>
          <w:szCs w:val="20"/>
        </w:rPr>
        <w:t xml:space="preserve"> </w:t>
      </w:r>
      <w:r w:rsidRPr="006B5915">
        <w:rPr>
          <w:rFonts w:ascii="Verdana" w:hAnsi="Verdana"/>
          <w:sz w:val="20"/>
          <w:szCs w:val="20"/>
        </w:rPr>
        <w:t>Compared to controls, parents of cases were significantly more likely not to use safety gates in the home (adjusted odds ratio (AOR) 1.65, 95%CI 1.29, 2.12) and not to have taught their children rules about climbing on kitchen objects (AOR 1.58, 95% CI 1.16, 2.15). Cases aged 0-12 months were significantly more likely to have been left on raised surfaces (AOR 5.62, 95% CI 3.62, 8.72), had nappies changed on  raised surfaces (AOR 1.89, 95%CI 1.24, 2.88) and been put in car or bouncing seats on raised surfaces (AOR 2.05, 95%CI 1.29, 3.27). Cases aged 3 years and over were significantly more likely to have played or climbed on furniture (AOR 9.25, 95%CI 1.22, 70.07). Cases were significantly less likely to have played or climbed on garden furniture (AOR 0.74, 95% CI 0.56, 0.97).</w:t>
      </w:r>
    </w:p>
    <w:p w:rsidR="00797473" w:rsidRPr="006B5915" w:rsidRDefault="00797473" w:rsidP="00FB2A31">
      <w:pPr>
        <w:spacing w:after="0" w:line="480" w:lineRule="auto"/>
        <w:rPr>
          <w:rFonts w:ascii="Verdana" w:hAnsi="Verdana"/>
          <w:sz w:val="20"/>
          <w:szCs w:val="20"/>
        </w:rPr>
      </w:pPr>
      <w:r w:rsidRPr="006B5915">
        <w:rPr>
          <w:rFonts w:ascii="Verdana" w:hAnsi="Verdana"/>
          <w:b/>
          <w:sz w:val="20"/>
          <w:szCs w:val="20"/>
        </w:rPr>
        <w:lastRenderedPageBreak/>
        <w:t>Conclusions</w:t>
      </w:r>
      <w:r w:rsidRPr="006B5915">
        <w:rPr>
          <w:rFonts w:ascii="Verdana" w:hAnsi="Verdana"/>
          <w:sz w:val="20"/>
          <w:szCs w:val="20"/>
        </w:rPr>
        <w:t>: If estimated associations are causal, some falls from furniture may be prevented by incorporating falls prevention advice into child health contacts, personal child health records and home safety assessments.</w:t>
      </w:r>
    </w:p>
    <w:p w:rsidR="00797473" w:rsidRPr="006B5915" w:rsidRDefault="00797473">
      <w:pPr>
        <w:spacing w:after="0" w:line="240" w:lineRule="auto"/>
        <w:rPr>
          <w:rFonts w:ascii="Verdana" w:hAnsi="Verdana"/>
          <w:sz w:val="20"/>
          <w:szCs w:val="20"/>
        </w:rPr>
      </w:pPr>
      <w:r w:rsidRPr="006B5915">
        <w:rPr>
          <w:rFonts w:ascii="Verdana" w:hAnsi="Verdana"/>
          <w:sz w:val="20"/>
          <w:szCs w:val="20"/>
        </w:rPr>
        <w:br w:type="page"/>
      </w:r>
    </w:p>
    <w:p w:rsidR="00797473" w:rsidRPr="006B5915" w:rsidRDefault="00797473" w:rsidP="00FB2A31">
      <w:pPr>
        <w:spacing w:after="0" w:line="480" w:lineRule="auto"/>
        <w:jc w:val="both"/>
        <w:rPr>
          <w:rFonts w:ascii="Verdana" w:hAnsi="Verdana"/>
          <w:b/>
          <w:sz w:val="20"/>
          <w:szCs w:val="20"/>
        </w:rPr>
      </w:pPr>
      <w:r w:rsidRPr="006B5915">
        <w:rPr>
          <w:rFonts w:ascii="Verdana" w:hAnsi="Verdana"/>
          <w:b/>
          <w:sz w:val="20"/>
          <w:szCs w:val="20"/>
        </w:rPr>
        <w:lastRenderedPageBreak/>
        <w:t>Introduction</w:t>
      </w:r>
    </w:p>
    <w:p w:rsidR="00797473" w:rsidRPr="006B5915" w:rsidRDefault="00797473" w:rsidP="00FB2A31">
      <w:pPr>
        <w:spacing w:after="0" w:line="480" w:lineRule="auto"/>
        <w:jc w:val="both"/>
        <w:rPr>
          <w:rFonts w:ascii="Verdana" w:hAnsi="Verdana"/>
          <w:sz w:val="20"/>
          <w:szCs w:val="20"/>
        </w:rPr>
      </w:pPr>
      <w:r w:rsidRPr="006B5915">
        <w:rPr>
          <w:rFonts w:ascii="Verdana" w:hAnsi="Verdana" w:cs="Calibri"/>
          <w:sz w:val="20"/>
          <w:szCs w:val="20"/>
        </w:rPr>
        <w:t xml:space="preserve">More </w:t>
      </w:r>
      <w:r w:rsidR="00FB2A31" w:rsidRPr="006B5915">
        <w:rPr>
          <w:rFonts w:ascii="Verdana" w:hAnsi="Verdana" w:cs="Calibri"/>
          <w:sz w:val="20"/>
          <w:szCs w:val="20"/>
        </w:rPr>
        <w:t>than 1</w:t>
      </w:r>
      <w:r w:rsidRPr="006B5915">
        <w:rPr>
          <w:rFonts w:ascii="Verdana" w:hAnsi="Verdana" w:cs="Calibri"/>
          <w:sz w:val="20"/>
          <w:szCs w:val="20"/>
        </w:rPr>
        <w:t xml:space="preserve"> million US and more than 200,000 UK children aged 0-4 years attend emergency departments (EDs) following a fall each year</w:t>
      </w:r>
      <w:r w:rsidRPr="006B5915">
        <w:rPr>
          <w:rFonts w:ascii="Verdana" w:hAnsi="Verdana" w:cs="Calibri"/>
          <w:noProof/>
          <w:sz w:val="20"/>
          <w:szCs w:val="20"/>
          <w:vertAlign w:val="superscript"/>
        </w:rPr>
        <w:t>1</w:t>
      </w:r>
      <w:r w:rsidRPr="006B5915">
        <w:rPr>
          <w:rFonts w:ascii="Verdana" w:hAnsi="Verdana" w:cs="Calibri"/>
          <w:sz w:val="20"/>
          <w:szCs w:val="20"/>
        </w:rPr>
        <w:t xml:space="preserve"> </w:t>
      </w:r>
      <w:r w:rsidRPr="006B5915">
        <w:rPr>
          <w:rFonts w:ascii="Verdana" w:hAnsi="Verdana" w:cs="Calibri"/>
          <w:noProof/>
          <w:sz w:val="20"/>
          <w:szCs w:val="20"/>
          <w:vertAlign w:val="superscript"/>
        </w:rPr>
        <w:t>2</w:t>
      </w:r>
      <w:r w:rsidRPr="006B5915">
        <w:rPr>
          <w:rFonts w:ascii="Verdana" w:hAnsi="Verdana" w:cs="Calibri"/>
          <w:sz w:val="20"/>
          <w:szCs w:val="20"/>
        </w:rPr>
        <w:t>. Falls account for approximately half the injury related ED attendances in this age group</w:t>
      </w:r>
      <w:proofErr w:type="gramStart"/>
      <w:r w:rsidRPr="006B5915">
        <w:rPr>
          <w:rFonts w:ascii="Verdana" w:hAnsi="Verdana" w:cs="Calibri"/>
          <w:sz w:val="20"/>
          <w:szCs w:val="20"/>
        </w:rPr>
        <w:t>,</w:t>
      </w:r>
      <w:r w:rsidRPr="006B5915">
        <w:rPr>
          <w:rFonts w:ascii="Verdana" w:hAnsi="Verdana" w:cs="Calibri"/>
          <w:noProof/>
          <w:sz w:val="20"/>
          <w:szCs w:val="20"/>
          <w:vertAlign w:val="superscript"/>
        </w:rPr>
        <w:t>3</w:t>
      </w:r>
      <w:proofErr w:type="gramEnd"/>
      <w:r w:rsidRPr="006B5915">
        <w:rPr>
          <w:rFonts w:ascii="Verdana" w:hAnsi="Verdana" w:cs="Calibri"/>
          <w:sz w:val="20"/>
          <w:szCs w:val="20"/>
        </w:rPr>
        <w:t xml:space="preserve">  with falls from furniture being the most </w:t>
      </w:r>
      <w:r w:rsidR="00FB2A31" w:rsidRPr="006B5915">
        <w:rPr>
          <w:rFonts w:ascii="Verdana" w:hAnsi="Verdana" w:cs="Calibri"/>
          <w:sz w:val="20"/>
          <w:szCs w:val="20"/>
        </w:rPr>
        <w:t xml:space="preserve">common </w:t>
      </w:r>
      <w:r w:rsidRPr="006B5915">
        <w:rPr>
          <w:rFonts w:ascii="Verdana" w:hAnsi="Verdana" w:cs="Calibri"/>
          <w:sz w:val="20"/>
          <w:szCs w:val="20"/>
        </w:rPr>
        <w:t xml:space="preserve">mechanism. </w:t>
      </w:r>
      <w:r w:rsidRPr="006B5915">
        <w:rPr>
          <w:rFonts w:ascii="Verdana" w:hAnsi="Verdana" w:cs="Calibri"/>
          <w:noProof/>
          <w:sz w:val="20"/>
          <w:szCs w:val="20"/>
          <w:vertAlign w:val="superscript"/>
        </w:rPr>
        <w:t>4</w:t>
      </w:r>
      <w:r w:rsidRPr="006B5915">
        <w:rPr>
          <w:rFonts w:ascii="Verdana" w:hAnsi="Verdana" w:cs="Calibri"/>
          <w:sz w:val="20"/>
          <w:szCs w:val="20"/>
        </w:rPr>
        <w:t xml:space="preserve"> Most of these falls involve beds, </w:t>
      </w:r>
      <w:proofErr w:type="gramStart"/>
      <w:r w:rsidRPr="006B5915">
        <w:rPr>
          <w:rFonts w:ascii="Verdana" w:hAnsi="Verdana" w:cs="Calibri"/>
          <w:sz w:val="20"/>
          <w:szCs w:val="20"/>
        </w:rPr>
        <w:t>chairs ,</w:t>
      </w:r>
      <w:r w:rsidRPr="006B5915">
        <w:rPr>
          <w:rFonts w:ascii="Verdana" w:hAnsi="Verdana" w:cs="Calibri"/>
          <w:noProof/>
          <w:sz w:val="20"/>
          <w:szCs w:val="20"/>
          <w:vertAlign w:val="superscript"/>
        </w:rPr>
        <w:t>4</w:t>
      </w:r>
      <w:proofErr w:type="gramEnd"/>
      <w:r w:rsidRPr="006B5915">
        <w:rPr>
          <w:rFonts w:ascii="Verdana" w:hAnsi="Verdana" w:cs="Calibri"/>
          <w:noProof/>
          <w:sz w:val="20"/>
          <w:szCs w:val="20"/>
          <w:vertAlign w:val="superscript"/>
        </w:rPr>
        <w:t xml:space="preserve"> 5</w:t>
      </w:r>
      <w:r w:rsidRPr="006B5915">
        <w:rPr>
          <w:rFonts w:ascii="Verdana" w:hAnsi="Verdana" w:cs="Calibri"/>
          <w:sz w:val="20"/>
          <w:szCs w:val="20"/>
        </w:rPr>
        <w:t xml:space="preserve"> baby walkers, bouncers, changing tables and high chairs.</w:t>
      </w:r>
      <w:r w:rsidRPr="006B5915">
        <w:rPr>
          <w:rFonts w:ascii="Verdana" w:hAnsi="Verdana" w:cs="Calibri"/>
          <w:noProof/>
          <w:sz w:val="20"/>
          <w:szCs w:val="20"/>
          <w:vertAlign w:val="superscript"/>
        </w:rPr>
        <w:t>6 7</w:t>
      </w:r>
      <w:r w:rsidRPr="006B5915">
        <w:rPr>
          <w:rFonts w:ascii="Verdana" w:hAnsi="Verdana" w:cs="Calibri"/>
          <w:sz w:val="20"/>
          <w:szCs w:val="20"/>
        </w:rPr>
        <w:t xml:space="preserve"> US costs for falls were estimated at $439 million for hospitalised children</w:t>
      </w:r>
      <w:r w:rsidRPr="006B5915">
        <w:rPr>
          <w:rFonts w:ascii="Verdana" w:hAnsi="Verdana" w:cs="Calibri"/>
          <w:noProof/>
          <w:sz w:val="20"/>
          <w:szCs w:val="20"/>
          <w:vertAlign w:val="superscript"/>
        </w:rPr>
        <w:t>8</w:t>
      </w:r>
      <w:r w:rsidRPr="006B5915">
        <w:rPr>
          <w:rFonts w:ascii="Verdana" w:hAnsi="Verdana" w:cs="Calibri"/>
          <w:sz w:val="20"/>
          <w:szCs w:val="20"/>
        </w:rPr>
        <w:t xml:space="preserve"> and $643 million for  ED</w:t>
      </w:r>
      <w:r w:rsidRPr="006B5915">
        <w:rPr>
          <w:rFonts w:ascii="Verdana" w:hAnsi="Verdana" w:cs="Calibri"/>
          <w:noProof/>
          <w:sz w:val="20"/>
          <w:szCs w:val="20"/>
          <w:vertAlign w:val="superscript"/>
        </w:rPr>
        <w:t>9</w:t>
      </w:r>
      <w:r w:rsidRPr="006B5915">
        <w:rPr>
          <w:rFonts w:ascii="Verdana" w:hAnsi="Verdana" w:cs="Calibri"/>
          <w:sz w:val="20"/>
          <w:szCs w:val="20"/>
        </w:rPr>
        <w:t xml:space="preserve"> attendances in 2005. </w:t>
      </w:r>
      <w:r w:rsidRPr="006B5915">
        <w:rPr>
          <w:rFonts w:ascii="Verdana" w:hAnsi="Verdana"/>
          <w:sz w:val="20"/>
          <w:szCs w:val="20"/>
        </w:rPr>
        <w:t xml:space="preserve">A recent systematic overview found that interventions can increase safety gate use and reduce baby walker use, but little evidence about other falls prevention practices or that prevention practices reduced falls or fall-related injuries. </w:t>
      </w:r>
      <w:r w:rsidRPr="006B5915">
        <w:rPr>
          <w:rFonts w:ascii="Verdana" w:hAnsi="Verdana"/>
          <w:noProof/>
          <w:sz w:val="20"/>
          <w:szCs w:val="20"/>
          <w:vertAlign w:val="superscript"/>
        </w:rPr>
        <w:t>10</w:t>
      </w:r>
      <w:r w:rsidRPr="006B5915">
        <w:rPr>
          <w:rFonts w:ascii="Verdana" w:hAnsi="Verdana"/>
          <w:sz w:val="20"/>
          <w:szCs w:val="20"/>
        </w:rPr>
        <w:t xml:space="preserve"> We have therefore undertaken this study to quantify associations between modifiable risk factors and falls from furniture in young children.</w:t>
      </w:r>
    </w:p>
    <w:p w:rsidR="00797473" w:rsidRPr="006B5915" w:rsidRDefault="00797473" w:rsidP="00FB2A31">
      <w:pPr>
        <w:spacing w:after="0" w:line="480" w:lineRule="auto"/>
        <w:jc w:val="both"/>
        <w:rPr>
          <w:rFonts w:ascii="Verdana" w:hAnsi="Verdana"/>
          <w:sz w:val="20"/>
          <w:szCs w:val="20"/>
        </w:rPr>
      </w:pPr>
    </w:p>
    <w:p w:rsidR="00797473" w:rsidRPr="006B5915" w:rsidRDefault="00797473" w:rsidP="00FB2A31">
      <w:pPr>
        <w:spacing w:after="0" w:line="480" w:lineRule="auto"/>
        <w:rPr>
          <w:rFonts w:ascii="Verdana" w:hAnsi="Verdana"/>
          <w:b/>
          <w:sz w:val="20"/>
          <w:szCs w:val="20"/>
        </w:rPr>
      </w:pPr>
      <w:r w:rsidRPr="006B5915">
        <w:rPr>
          <w:rFonts w:ascii="Verdana" w:hAnsi="Verdana"/>
          <w:b/>
          <w:sz w:val="20"/>
          <w:szCs w:val="20"/>
        </w:rPr>
        <w:t>Methods</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Full details of the methods are described in the published protocol.</w:t>
      </w:r>
      <w:r w:rsidRPr="006B5915">
        <w:rPr>
          <w:rFonts w:ascii="Verdana" w:hAnsi="Verdana"/>
          <w:noProof/>
          <w:sz w:val="20"/>
          <w:szCs w:val="20"/>
          <w:vertAlign w:val="superscript"/>
        </w:rPr>
        <w:t>11</w:t>
      </w:r>
      <w:r w:rsidRPr="006B5915" w:rsidDel="00A665DE">
        <w:rPr>
          <w:rFonts w:ascii="Verdana" w:hAnsi="Verdana"/>
          <w:sz w:val="20"/>
          <w:szCs w:val="20"/>
        </w:rPr>
        <w:t xml:space="preserve"> </w:t>
      </w:r>
    </w:p>
    <w:p w:rsidR="00797473" w:rsidRPr="006B5915" w:rsidRDefault="00797473" w:rsidP="00FB2A31">
      <w:pPr>
        <w:spacing w:after="0" w:line="480" w:lineRule="auto"/>
        <w:rPr>
          <w:rFonts w:ascii="Verdana" w:hAnsi="Verdana"/>
          <w:i/>
          <w:sz w:val="20"/>
          <w:szCs w:val="20"/>
        </w:rPr>
      </w:pPr>
    </w:p>
    <w:p w:rsidR="00797473" w:rsidRPr="006B5915" w:rsidRDefault="00797473" w:rsidP="00FB2A31">
      <w:pPr>
        <w:spacing w:after="0" w:line="480" w:lineRule="auto"/>
        <w:rPr>
          <w:rFonts w:ascii="Verdana" w:hAnsi="Verdana"/>
          <w:i/>
          <w:sz w:val="20"/>
          <w:szCs w:val="20"/>
        </w:rPr>
      </w:pPr>
      <w:r w:rsidRPr="006B5915">
        <w:rPr>
          <w:rFonts w:ascii="Verdana" w:hAnsi="Verdana"/>
          <w:i/>
          <w:sz w:val="20"/>
          <w:szCs w:val="20"/>
        </w:rPr>
        <w:t>Study design and setting</w:t>
      </w:r>
    </w:p>
    <w:p w:rsidR="00797473" w:rsidRPr="006B5915" w:rsidRDefault="00797473" w:rsidP="00FB2A31">
      <w:pPr>
        <w:spacing w:after="0" w:line="480" w:lineRule="auto"/>
        <w:rPr>
          <w:rFonts w:ascii="Verdana" w:hAnsi="Verdana"/>
          <w:i/>
          <w:sz w:val="20"/>
          <w:szCs w:val="20"/>
        </w:rPr>
      </w:pPr>
      <w:r w:rsidRPr="006B5915">
        <w:rPr>
          <w:rFonts w:ascii="Verdana" w:hAnsi="Verdana"/>
          <w:sz w:val="20"/>
          <w:szCs w:val="20"/>
        </w:rPr>
        <w:t xml:space="preserve">We undertook a multicentre case-control study </w:t>
      </w:r>
      <w:proofErr w:type="gramStart"/>
      <w:r w:rsidRPr="006B5915">
        <w:rPr>
          <w:rFonts w:ascii="Verdana" w:hAnsi="Verdana"/>
          <w:sz w:val="20"/>
          <w:szCs w:val="20"/>
        </w:rPr>
        <w:t>in  EDs</w:t>
      </w:r>
      <w:proofErr w:type="gramEnd"/>
      <w:r w:rsidRPr="006B5915">
        <w:rPr>
          <w:rFonts w:ascii="Verdana" w:hAnsi="Verdana"/>
          <w:sz w:val="20"/>
          <w:szCs w:val="20"/>
        </w:rPr>
        <w:t>, in-patient wards and minor injury units (</w:t>
      </w:r>
      <w:r w:rsidRPr="006B5915">
        <w:rPr>
          <w:rFonts w:ascii="Verdana" w:hAnsi="Verdana"/>
          <w:color w:val="000000"/>
          <w:spacing w:val="-4"/>
          <w:w w:val="105"/>
          <w:sz w:val="20"/>
          <w:szCs w:val="20"/>
        </w:rPr>
        <w:t>services treating a limited range of non-serious injuries which are not set in acute hospitals.</w:t>
      </w:r>
      <w:r w:rsidRPr="006B5915">
        <w:rPr>
          <w:rFonts w:ascii="Verdana" w:hAnsi="Verdana"/>
          <w:sz w:val="20"/>
          <w:szCs w:val="20"/>
        </w:rPr>
        <w:t xml:space="preserve">) in NHS hospitals in Nottingham, Bristol, Newcastle-upon-Tyne, Norwich, Gateshead, Derby and Great Yarmouth, UK. This was one of five concurrent case-control studies each recruiting children with one type of injury (falls from furniture, falls on one level, stair falls, poisoning or scalds) from these hospitals.  Recruitment of cases commenced on June 14, 2010 and ended on November 15, 2011. Recruitment of controls commenced with recruitment of the first case and ended on April 27, 2012.  </w:t>
      </w:r>
    </w:p>
    <w:p w:rsidR="00797473" w:rsidRPr="006B5915" w:rsidRDefault="00797473" w:rsidP="00FB2A31">
      <w:pPr>
        <w:spacing w:after="0" w:line="480" w:lineRule="auto"/>
        <w:rPr>
          <w:rFonts w:ascii="Verdana" w:hAnsi="Verdana"/>
          <w:i/>
          <w:sz w:val="20"/>
          <w:szCs w:val="20"/>
        </w:rPr>
      </w:pPr>
    </w:p>
    <w:p w:rsidR="00797473" w:rsidRPr="006B5915" w:rsidRDefault="00797473" w:rsidP="00FB2A31">
      <w:pPr>
        <w:spacing w:after="0" w:line="480" w:lineRule="auto"/>
        <w:rPr>
          <w:rFonts w:ascii="Verdana" w:hAnsi="Verdana"/>
          <w:i/>
          <w:sz w:val="20"/>
          <w:szCs w:val="20"/>
        </w:rPr>
      </w:pPr>
      <w:r w:rsidRPr="006B5915">
        <w:rPr>
          <w:rFonts w:ascii="Verdana" w:hAnsi="Verdana"/>
          <w:i/>
          <w:sz w:val="20"/>
          <w:szCs w:val="20"/>
        </w:rPr>
        <w:t>Participants</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 xml:space="preserve">Cases were children aged 0-4 years with a fall from furniture attending an ED or minor injury unit or admitted to hospital. Children with intentional or fatal injuries or living in </w:t>
      </w:r>
      <w:r w:rsidRPr="006B5915">
        <w:rPr>
          <w:rFonts w:ascii="Verdana" w:hAnsi="Verdana"/>
          <w:sz w:val="20"/>
          <w:szCs w:val="20"/>
        </w:rPr>
        <w:lastRenderedPageBreak/>
        <w:t>children’s homes were excluded. Cases were only eligible to be recruited once to the study. Controls were children aged 0-4 years without a medically attended fall from furniture on the date of the case’s injury. We aimed to recruit an average of four per case, individually matched on age (within 4 months of age of case), sex and calendar time (within four months of case injury). Controls were recruited from the case’s general practice or a neighbouring practice, all of which were within the same study centre as the cases. Controls were eligible to be recruited a second time to the study as a case or further control after at least 12 months from first recruitment.</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 xml:space="preserve">To increase power and make most efficient use of controls, where fewer than four controls were recruited per case, we used controls from cases with more than four controls, controls who were no longer matched to cases (e.g. the case had subsequently been excluded) and controls from the other on-going case-control studies (falls on one level, stair falls, poisoning or scalds) as extra controls. These were matched on age (within 4 months of case of age), sex, calendar time (within 4 months of case’s injury) and study centre and were only used once as an extra matched control. </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 xml:space="preserve">Potentially eligible cases were invited to participate during their medical attendance or by telephone or post within 72 hours of attendance. Ten controls were invited to participate by post, from the practice register for each case. General practice or Primary Care Trust staff searched practice registers for children of the same sex as the case and within 4 months of the cases date of birth. Where more than 10 met inclusion criteria, the 10 with the date of birth closet to that of the case were chosen.  Postal study invites for cases and controls included a </w:t>
      </w:r>
      <w:r w:rsidRPr="006B5915">
        <w:rPr>
          <w:rFonts w:ascii="Verdana" w:hAnsi="Verdana"/>
          <w:color w:val="000000"/>
          <w:spacing w:val="-4"/>
          <w:w w:val="105"/>
          <w:sz w:val="20"/>
          <w:szCs w:val="20"/>
        </w:rPr>
        <w:t xml:space="preserve">£5 voucher, a second questionnaire reminder, </w:t>
      </w:r>
      <w:proofErr w:type="gramStart"/>
      <w:r w:rsidRPr="006B5915">
        <w:rPr>
          <w:rFonts w:ascii="Verdana" w:hAnsi="Verdana"/>
          <w:color w:val="000000"/>
          <w:spacing w:val="-4"/>
          <w:w w:val="105"/>
          <w:sz w:val="20"/>
          <w:szCs w:val="20"/>
        </w:rPr>
        <w:t>University</w:t>
      </w:r>
      <w:proofErr w:type="gramEnd"/>
      <w:r w:rsidRPr="006B5915">
        <w:rPr>
          <w:rFonts w:ascii="Verdana" w:hAnsi="Verdana"/>
          <w:color w:val="000000"/>
          <w:spacing w:val="-4"/>
          <w:w w:val="105"/>
          <w:sz w:val="20"/>
          <w:szCs w:val="20"/>
        </w:rPr>
        <w:t xml:space="preserve"> logos on study information, personalised invite letters and first class mailing. </w:t>
      </w:r>
      <w:r w:rsidRPr="006B5915">
        <w:rPr>
          <w:rFonts w:ascii="Verdana" w:hAnsi="Verdana"/>
          <w:noProof/>
          <w:sz w:val="20"/>
          <w:szCs w:val="20"/>
          <w:vertAlign w:val="superscript"/>
        </w:rPr>
        <w:t>12 13</w:t>
      </w:r>
      <w:r w:rsidRPr="006B5915">
        <w:rPr>
          <w:rFonts w:ascii="Verdana" w:hAnsi="Verdana"/>
          <w:sz w:val="20"/>
          <w:szCs w:val="20"/>
        </w:rPr>
        <w:t xml:space="preserve"> </w:t>
      </w:r>
    </w:p>
    <w:p w:rsidR="00B51502" w:rsidRDefault="00B51502" w:rsidP="00FB2A31">
      <w:pPr>
        <w:spacing w:after="0" w:line="480" w:lineRule="auto"/>
        <w:rPr>
          <w:rFonts w:ascii="Verdana" w:hAnsi="Verdana"/>
          <w:i/>
          <w:sz w:val="20"/>
          <w:szCs w:val="20"/>
        </w:rPr>
      </w:pPr>
    </w:p>
    <w:p w:rsidR="00B51502" w:rsidRDefault="00B51502" w:rsidP="00FB2A31">
      <w:pPr>
        <w:spacing w:after="0" w:line="480" w:lineRule="auto"/>
        <w:rPr>
          <w:rFonts w:ascii="Verdana" w:hAnsi="Verdana"/>
          <w:i/>
          <w:sz w:val="20"/>
          <w:szCs w:val="20"/>
        </w:rPr>
      </w:pPr>
    </w:p>
    <w:p w:rsidR="00B51502" w:rsidRDefault="00B51502" w:rsidP="00FB2A31">
      <w:pPr>
        <w:spacing w:after="0" w:line="480" w:lineRule="auto"/>
        <w:rPr>
          <w:rFonts w:ascii="Verdana" w:hAnsi="Verdana"/>
          <w:i/>
          <w:sz w:val="20"/>
          <w:szCs w:val="20"/>
        </w:rPr>
      </w:pPr>
    </w:p>
    <w:p w:rsidR="00797473" w:rsidRPr="006B5915" w:rsidRDefault="00797473" w:rsidP="00FB2A31">
      <w:pPr>
        <w:spacing w:after="0" w:line="480" w:lineRule="auto"/>
        <w:rPr>
          <w:rFonts w:ascii="Verdana" w:hAnsi="Verdana"/>
          <w:i/>
          <w:sz w:val="20"/>
          <w:szCs w:val="20"/>
        </w:rPr>
      </w:pPr>
      <w:r w:rsidRPr="006B5915">
        <w:rPr>
          <w:rFonts w:ascii="Verdana" w:hAnsi="Verdana"/>
          <w:i/>
          <w:sz w:val="20"/>
          <w:szCs w:val="20"/>
        </w:rPr>
        <w:lastRenderedPageBreak/>
        <w:t xml:space="preserve">Definition and measurement of outcomes, exposures and confounding variables </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 xml:space="preserve">The outcome of interest was a fall from furniture in the child’s home or garden (including yard) resulting in hospital admission, ED or minor injury unit attendance. Falls from play equipment (e.g. trampolines, climbing frames, </w:t>
      </w:r>
      <w:proofErr w:type="gramStart"/>
      <w:r w:rsidRPr="006B5915">
        <w:rPr>
          <w:rFonts w:ascii="Verdana" w:hAnsi="Verdana"/>
          <w:sz w:val="20"/>
          <w:szCs w:val="20"/>
        </w:rPr>
        <w:t>slides</w:t>
      </w:r>
      <w:proofErr w:type="gramEnd"/>
      <w:r w:rsidRPr="006B5915">
        <w:rPr>
          <w:rFonts w:ascii="Verdana" w:hAnsi="Verdana"/>
          <w:sz w:val="20"/>
          <w:szCs w:val="20"/>
        </w:rPr>
        <w:t>) were excluded.</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The exposures of interest were safety behaviours, safety equipment and home hazards. These included binary exposures measured in the 24 hours prior to the fall for cases or prior to questionnaire completion for controls, with yes/no response options:</w:t>
      </w:r>
    </w:p>
    <w:p w:rsidR="00797473" w:rsidRPr="006B5915" w:rsidRDefault="00797473" w:rsidP="00FB2A31">
      <w:pPr>
        <w:pStyle w:val="ListParagraph"/>
        <w:numPr>
          <w:ilvl w:val="0"/>
          <w:numId w:val="7"/>
        </w:numPr>
        <w:spacing w:after="0" w:line="480" w:lineRule="auto"/>
        <w:rPr>
          <w:rFonts w:ascii="Verdana" w:hAnsi="Verdana"/>
          <w:sz w:val="20"/>
          <w:szCs w:val="20"/>
        </w:rPr>
      </w:pPr>
      <w:r w:rsidRPr="006B5915">
        <w:rPr>
          <w:rFonts w:ascii="Verdana" w:hAnsi="Verdana"/>
          <w:sz w:val="20"/>
          <w:szCs w:val="20"/>
        </w:rPr>
        <w:t>use of stair/safety gates anywhere in the home,*</w:t>
      </w:r>
    </w:p>
    <w:p w:rsidR="00797473" w:rsidRPr="006B5915" w:rsidRDefault="00797473" w:rsidP="00FB2A31">
      <w:pPr>
        <w:pStyle w:val="ListParagraph"/>
        <w:numPr>
          <w:ilvl w:val="0"/>
          <w:numId w:val="7"/>
        </w:numPr>
        <w:spacing w:after="0" w:line="480" w:lineRule="auto"/>
        <w:rPr>
          <w:rFonts w:ascii="Verdana" w:hAnsi="Verdana"/>
          <w:sz w:val="20"/>
          <w:szCs w:val="20"/>
        </w:rPr>
      </w:pPr>
      <w:r w:rsidRPr="006B5915">
        <w:rPr>
          <w:rFonts w:ascii="Verdana" w:hAnsi="Verdana"/>
          <w:sz w:val="20"/>
          <w:szCs w:val="20"/>
        </w:rPr>
        <w:t>use of baby walkers (ages 0-36 months only)*</w:t>
      </w:r>
    </w:p>
    <w:p w:rsidR="00797473" w:rsidRPr="006B5915" w:rsidRDefault="00797473" w:rsidP="00FB2A31">
      <w:pPr>
        <w:pStyle w:val="ListParagraph"/>
        <w:numPr>
          <w:ilvl w:val="0"/>
          <w:numId w:val="7"/>
        </w:numPr>
        <w:spacing w:after="0" w:line="480" w:lineRule="auto"/>
        <w:rPr>
          <w:rFonts w:ascii="Verdana" w:hAnsi="Verdana"/>
          <w:sz w:val="20"/>
          <w:szCs w:val="20"/>
        </w:rPr>
      </w:pPr>
      <w:r w:rsidRPr="006B5915">
        <w:rPr>
          <w:rFonts w:ascii="Verdana" w:hAnsi="Verdana"/>
          <w:sz w:val="20"/>
          <w:szCs w:val="20"/>
        </w:rPr>
        <w:t>use of playpens/ travel cots (ages 0-36 months only)*</w:t>
      </w:r>
    </w:p>
    <w:p w:rsidR="00797473" w:rsidRPr="006B5915" w:rsidRDefault="00797473" w:rsidP="00FB2A31">
      <w:pPr>
        <w:pStyle w:val="ListParagraph"/>
        <w:numPr>
          <w:ilvl w:val="0"/>
          <w:numId w:val="7"/>
        </w:numPr>
        <w:spacing w:after="0" w:line="480" w:lineRule="auto"/>
        <w:rPr>
          <w:rFonts w:ascii="Verdana" w:hAnsi="Verdana"/>
          <w:sz w:val="20"/>
          <w:szCs w:val="20"/>
        </w:rPr>
      </w:pPr>
      <w:r w:rsidRPr="006B5915">
        <w:rPr>
          <w:rFonts w:ascii="Verdana" w:hAnsi="Verdana"/>
          <w:sz w:val="20"/>
          <w:szCs w:val="20"/>
        </w:rPr>
        <w:t xml:space="preserve">use of stationary activity centres (ages 0-36 months only)* and </w:t>
      </w:r>
    </w:p>
    <w:p w:rsidR="00797473" w:rsidRPr="006B5915" w:rsidRDefault="00797473" w:rsidP="00FB2A31">
      <w:pPr>
        <w:pStyle w:val="ListParagraph"/>
        <w:numPr>
          <w:ilvl w:val="0"/>
          <w:numId w:val="7"/>
        </w:numPr>
        <w:spacing w:after="0" w:line="480" w:lineRule="auto"/>
        <w:rPr>
          <w:rFonts w:ascii="Verdana" w:hAnsi="Verdana"/>
          <w:sz w:val="20"/>
          <w:szCs w:val="20"/>
        </w:rPr>
      </w:pPr>
      <w:proofErr w:type="gramStart"/>
      <w:r w:rsidRPr="006B5915">
        <w:rPr>
          <w:rFonts w:ascii="Verdana" w:hAnsi="Verdana"/>
          <w:sz w:val="20"/>
          <w:szCs w:val="20"/>
        </w:rPr>
        <w:t>presence</w:t>
      </w:r>
      <w:proofErr w:type="gramEnd"/>
      <w:r w:rsidRPr="006B5915">
        <w:rPr>
          <w:rFonts w:ascii="Verdana" w:hAnsi="Verdana"/>
          <w:sz w:val="20"/>
          <w:szCs w:val="20"/>
        </w:rPr>
        <w:t xml:space="preserve"> of things child could climb on to reach high surfaces*. </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 xml:space="preserve">Ordinal exposures measured in the week prior to the fall for cases or prior to completing questionnaires for controls, had response options every/ most/some days/never/not applicable. Responses were grouped into at least some days vs. never. Analyses excluded not applicable responses: </w:t>
      </w:r>
    </w:p>
    <w:p w:rsidR="00797473" w:rsidRPr="006B5915" w:rsidRDefault="00797473" w:rsidP="00FB2A31">
      <w:pPr>
        <w:pStyle w:val="ListParagraph"/>
        <w:numPr>
          <w:ilvl w:val="0"/>
          <w:numId w:val="7"/>
        </w:numPr>
        <w:spacing w:after="0" w:line="480" w:lineRule="auto"/>
        <w:rPr>
          <w:rFonts w:ascii="Verdana" w:hAnsi="Verdana"/>
          <w:sz w:val="20"/>
          <w:szCs w:val="20"/>
        </w:rPr>
      </w:pPr>
      <w:r w:rsidRPr="006B5915">
        <w:rPr>
          <w:rFonts w:ascii="Verdana" w:hAnsi="Verdana"/>
          <w:sz w:val="20"/>
          <w:szCs w:val="20"/>
        </w:rPr>
        <w:t>leaving children on raised surfaces,</w:t>
      </w:r>
    </w:p>
    <w:p w:rsidR="00797473" w:rsidRPr="006B5915" w:rsidRDefault="00797473" w:rsidP="00FB2A31">
      <w:pPr>
        <w:pStyle w:val="ListParagraph"/>
        <w:numPr>
          <w:ilvl w:val="0"/>
          <w:numId w:val="7"/>
        </w:numPr>
        <w:spacing w:after="0" w:line="480" w:lineRule="auto"/>
        <w:rPr>
          <w:rFonts w:ascii="Verdana" w:hAnsi="Verdana"/>
          <w:sz w:val="20"/>
          <w:szCs w:val="20"/>
        </w:rPr>
      </w:pPr>
      <w:r w:rsidRPr="006B5915">
        <w:rPr>
          <w:rFonts w:ascii="Verdana" w:hAnsi="Verdana"/>
          <w:sz w:val="20"/>
          <w:szCs w:val="20"/>
        </w:rPr>
        <w:t>changing nappies on raised surfaces,</w:t>
      </w:r>
    </w:p>
    <w:p w:rsidR="00797473" w:rsidRPr="006B5915" w:rsidRDefault="00797473" w:rsidP="00FB2A31">
      <w:pPr>
        <w:pStyle w:val="ListParagraph"/>
        <w:numPr>
          <w:ilvl w:val="0"/>
          <w:numId w:val="7"/>
        </w:numPr>
        <w:spacing w:after="0" w:line="480" w:lineRule="auto"/>
        <w:rPr>
          <w:rFonts w:ascii="Verdana" w:hAnsi="Verdana"/>
          <w:sz w:val="20"/>
          <w:szCs w:val="20"/>
        </w:rPr>
      </w:pPr>
      <w:r w:rsidRPr="006B5915">
        <w:rPr>
          <w:rFonts w:ascii="Verdana" w:hAnsi="Verdana"/>
          <w:sz w:val="20"/>
          <w:szCs w:val="20"/>
        </w:rPr>
        <w:t xml:space="preserve">putting children in car/bouncing seats on raised  surfaces, </w:t>
      </w:r>
    </w:p>
    <w:p w:rsidR="00797473" w:rsidRPr="006B5915" w:rsidRDefault="00797473" w:rsidP="00FB2A31">
      <w:pPr>
        <w:pStyle w:val="ListParagraph"/>
        <w:numPr>
          <w:ilvl w:val="0"/>
          <w:numId w:val="7"/>
        </w:numPr>
        <w:spacing w:after="0" w:line="480" w:lineRule="auto"/>
        <w:rPr>
          <w:rFonts w:ascii="Verdana" w:hAnsi="Verdana"/>
          <w:sz w:val="20"/>
          <w:szCs w:val="20"/>
        </w:rPr>
      </w:pPr>
      <w:r w:rsidRPr="006B5915">
        <w:rPr>
          <w:rFonts w:ascii="Verdana" w:hAnsi="Verdana"/>
          <w:sz w:val="20"/>
          <w:szCs w:val="20"/>
        </w:rPr>
        <w:t xml:space="preserve">using high chairs without harnesses, </w:t>
      </w:r>
    </w:p>
    <w:p w:rsidR="00797473" w:rsidRPr="006B5915" w:rsidRDefault="00797473" w:rsidP="00FB2A31">
      <w:pPr>
        <w:pStyle w:val="ListParagraph"/>
        <w:numPr>
          <w:ilvl w:val="0"/>
          <w:numId w:val="7"/>
        </w:numPr>
        <w:spacing w:after="0" w:line="480" w:lineRule="auto"/>
        <w:rPr>
          <w:rFonts w:ascii="Verdana" w:hAnsi="Verdana"/>
          <w:sz w:val="20"/>
          <w:szCs w:val="20"/>
        </w:rPr>
      </w:pPr>
      <w:r w:rsidRPr="006B5915">
        <w:rPr>
          <w:rFonts w:ascii="Verdana" w:hAnsi="Verdana"/>
          <w:sz w:val="20"/>
          <w:szCs w:val="20"/>
        </w:rPr>
        <w:t>children climbing or playing on furniture</w:t>
      </w:r>
    </w:p>
    <w:p w:rsidR="00797473" w:rsidRPr="006B5915" w:rsidRDefault="00797473" w:rsidP="00FB2A31">
      <w:pPr>
        <w:pStyle w:val="ListParagraph"/>
        <w:numPr>
          <w:ilvl w:val="0"/>
          <w:numId w:val="7"/>
        </w:numPr>
        <w:spacing w:after="0" w:line="480" w:lineRule="auto"/>
        <w:rPr>
          <w:rFonts w:ascii="Verdana" w:hAnsi="Verdana"/>
          <w:sz w:val="20"/>
          <w:szCs w:val="20"/>
        </w:rPr>
      </w:pPr>
      <w:r w:rsidRPr="006B5915">
        <w:rPr>
          <w:rFonts w:ascii="Verdana" w:hAnsi="Verdana"/>
          <w:sz w:val="20"/>
          <w:szCs w:val="20"/>
        </w:rPr>
        <w:t>children climbing or playing on garden furniture</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Two binary exposures measured whether parents had ever taught children safety rules with yes/no response options:</w:t>
      </w:r>
    </w:p>
    <w:p w:rsidR="00797473" w:rsidRPr="006B5915" w:rsidRDefault="00797473" w:rsidP="00FB2A31">
      <w:pPr>
        <w:pStyle w:val="ListParagraph"/>
        <w:numPr>
          <w:ilvl w:val="0"/>
          <w:numId w:val="7"/>
        </w:numPr>
        <w:spacing w:after="0" w:line="480" w:lineRule="auto"/>
        <w:rPr>
          <w:rFonts w:ascii="Verdana" w:hAnsi="Verdana"/>
          <w:sz w:val="20"/>
          <w:szCs w:val="20"/>
        </w:rPr>
      </w:pPr>
      <w:r w:rsidRPr="006B5915">
        <w:rPr>
          <w:rFonts w:ascii="Verdana" w:hAnsi="Verdana"/>
          <w:sz w:val="20"/>
          <w:szCs w:val="20"/>
        </w:rPr>
        <w:t xml:space="preserve">rules about not climbing on objects* </w:t>
      </w:r>
    </w:p>
    <w:p w:rsidR="00797473" w:rsidRPr="006B5915" w:rsidRDefault="00797473" w:rsidP="00FB2A31">
      <w:pPr>
        <w:pStyle w:val="ListParagraph"/>
        <w:numPr>
          <w:ilvl w:val="0"/>
          <w:numId w:val="7"/>
        </w:numPr>
        <w:spacing w:after="0" w:line="480" w:lineRule="auto"/>
        <w:rPr>
          <w:rFonts w:ascii="Verdana" w:hAnsi="Verdana"/>
          <w:sz w:val="20"/>
          <w:szCs w:val="20"/>
        </w:rPr>
      </w:pPr>
      <w:r w:rsidRPr="006B5915">
        <w:rPr>
          <w:rFonts w:ascii="Verdana" w:hAnsi="Verdana"/>
          <w:sz w:val="20"/>
          <w:szCs w:val="20"/>
        </w:rPr>
        <w:t xml:space="preserve">rules about not jumping on furniture* </w:t>
      </w:r>
    </w:p>
    <w:p w:rsidR="00797473" w:rsidRPr="006B5915" w:rsidRDefault="00797473" w:rsidP="00FB2A31">
      <w:pPr>
        <w:spacing w:after="0" w:line="480" w:lineRule="auto"/>
        <w:ind w:left="360"/>
        <w:rPr>
          <w:rFonts w:ascii="Verdana" w:hAnsi="Verdana"/>
          <w:sz w:val="20"/>
          <w:szCs w:val="20"/>
        </w:rPr>
      </w:pP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Three confounding variables were dealt with by matching and conditional logistic regression: 1) age (within 4 months), 2) child sex, 3) calendar time (within 4 months of case injury date). Despite matching, some control general practices came from very different neighbourhoods than case practices and extra controls were not matched on practice, so all odds ratios were adjusted for neighbourhood deprivation using the Index of Multiple Deprivation (IMD)</w:t>
      </w:r>
      <w:r w:rsidRPr="006B5915">
        <w:rPr>
          <w:rFonts w:ascii="Verdana" w:hAnsi="Verdana"/>
          <w:noProof/>
          <w:sz w:val="20"/>
          <w:szCs w:val="20"/>
          <w:vertAlign w:val="superscript"/>
        </w:rPr>
        <w:t>14</w:t>
      </w:r>
      <w:r w:rsidRPr="006B5915">
        <w:rPr>
          <w:rFonts w:ascii="Verdana" w:hAnsi="Verdana"/>
          <w:sz w:val="20"/>
          <w:szCs w:val="20"/>
        </w:rPr>
        <w:t xml:space="preserve"> (linear term) and distance between residence and hospital</w:t>
      </w:r>
      <w:r w:rsidRPr="006B5915">
        <w:rPr>
          <w:rFonts w:ascii="Verdana" w:hAnsi="Verdana"/>
          <w:noProof/>
          <w:sz w:val="20"/>
          <w:szCs w:val="20"/>
          <w:vertAlign w:val="superscript"/>
        </w:rPr>
        <w:t>15</w:t>
      </w:r>
      <w:r w:rsidRPr="006B5915">
        <w:rPr>
          <w:rFonts w:ascii="Verdana" w:hAnsi="Verdana"/>
          <w:sz w:val="20"/>
          <w:szCs w:val="20"/>
        </w:rPr>
        <w:t xml:space="preserve"> (quintiles of km:</w:t>
      </w:r>
      <w:r w:rsidRPr="006B5915">
        <w:t xml:space="preserve"> ≤2, </w:t>
      </w:r>
      <w:r w:rsidRPr="006B5915">
        <w:rPr>
          <w:rFonts w:ascii="Verdana" w:hAnsi="Verdana"/>
          <w:sz w:val="20"/>
          <w:szCs w:val="20"/>
        </w:rPr>
        <w:t xml:space="preserve">2.1-3.2, 3.3-4.6, 4.7-8.2, &gt;8.2). The IMD is a small (400-1200 households) area-based measure of multiple </w:t>
      </w:r>
      <w:proofErr w:type="gramStart"/>
      <w:r w:rsidRPr="006B5915">
        <w:rPr>
          <w:rFonts w:ascii="Verdana" w:hAnsi="Verdana"/>
          <w:sz w:val="20"/>
          <w:szCs w:val="20"/>
        </w:rPr>
        <w:t>deprivation</w:t>
      </w:r>
      <w:proofErr w:type="gramEnd"/>
      <w:r w:rsidRPr="006B5915">
        <w:rPr>
          <w:rFonts w:ascii="Verdana" w:hAnsi="Verdana"/>
          <w:sz w:val="20"/>
          <w:szCs w:val="20"/>
        </w:rPr>
        <w:t xml:space="preserve">, containing seven domains (income deprivation, employment deprivation, health deprivation and disability, education skills and training deprivation, barriers to housing and services, living environment deprivation and crime). </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Directed acyclic graphs (DAGs) were used to identify the minimal adjustment set for each multivariable model.</w:t>
      </w:r>
      <w:r w:rsidRPr="006B5915">
        <w:rPr>
          <w:rFonts w:ascii="Verdana" w:hAnsi="Verdana"/>
          <w:noProof/>
          <w:sz w:val="20"/>
          <w:szCs w:val="20"/>
          <w:vertAlign w:val="superscript"/>
        </w:rPr>
        <w:t>16-18</w:t>
      </w:r>
      <w:r w:rsidRPr="006B5915">
        <w:rPr>
          <w:rFonts w:ascii="Verdana" w:hAnsi="Verdana"/>
          <w:sz w:val="20"/>
          <w:szCs w:val="20"/>
        </w:rPr>
        <w:t xml:space="preserve"> DAGs included age, sex, IMD and distance from hospital as adjusted variables and potential confounding variables (table 1) which were number of children in family, ethnic group (white/other), single adult household (yes/no), plus those identified as confounders and used for adjustment of some associations. These were 1) child behaviour questionnaire score (activity and high intensity pleasure sub scales)</w:t>
      </w:r>
      <w:r w:rsidRPr="006B5915">
        <w:rPr>
          <w:rFonts w:ascii="Verdana" w:hAnsi="Verdana"/>
          <w:noProof/>
          <w:sz w:val="20"/>
          <w:szCs w:val="20"/>
          <w:vertAlign w:val="superscript"/>
        </w:rPr>
        <w:t>19-21</w:t>
      </w:r>
      <w:hyperlink w:anchor="_ENREF_19" w:tooltip="Putnam, 2006 #4807" w:history="1"/>
      <w:r w:rsidRPr="006B5915">
        <w:rPr>
          <w:rFonts w:ascii="Verdana" w:hAnsi="Verdana"/>
          <w:sz w:val="20"/>
          <w:szCs w:val="20"/>
        </w:rPr>
        <w:t xml:space="preserve"> (linear term), 2) hospital anxiety and depression scale</w:t>
      </w:r>
      <w:r w:rsidRPr="006B5915">
        <w:rPr>
          <w:rFonts w:ascii="Verdana" w:hAnsi="Verdana"/>
          <w:noProof/>
          <w:sz w:val="20"/>
          <w:szCs w:val="20"/>
          <w:vertAlign w:val="superscript"/>
        </w:rPr>
        <w:t>22</w:t>
      </w:r>
      <w:r w:rsidRPr="006B5915">
        <w:rPr>
          <w:rFonts w:ascii="Verdana" w:hAnsi="Verdana"/>
          <w:sz w:val="20"/>
          <w:szCs w:val="20"/>
        </w:rPr>
        <w:t xml:space="preserve"> (linear term), 3) parenting daily hassles scale (parenting tasks subscale)</w:t>
      </w:r>
      <w:r w:rsidRPr="006B5915">
        <w:rPr>
          <w:rFonts w:ascii="Verdana" w:hAnsi="Verdana"/>
          <w:noProof/>
          <w:sz w:val="20"/>
          <w:szCs w:val="20"/>
          <w:vertAlign w:val="superscript"/>
        </w:rPr>
        <w:t>23 24</w:t>
      </w:r>
      <w:r w:rsidRPr="006B5915">
        <w:rPr>
          <w:rFonts w:ascii="Verdana" w:hAnsi="Verdana"/>
          <w:sz w:val="20"/>
          <w:szCs w:val="20"/>
        </w:rPr>
        <w:t xml:space="preserve"> (linear term), 4) hours of out of home child care per week (linear term), 5) ability to climb measured using eight questions, with 3-point Likert scale responses from “not likely” to “very likely” (grouped as all 8 responses not likely, at least one quite likely but none very likely, at least one very likely),  6) first child (yes/no) and the starred exposures listed above. Unemployment, receipt of benefits, non-owner occupation, overcrowding, child health and quality of life were not included in DAGs as the IMD contains unemployment, income, housing and health domains. Not having a car was not included in DAGs because analyses were adjusted for IMD and distance from hospital. </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Data on exposures, potential confounding variables, socio-demographic, child health and quality of life (</w:t>
      </w:r>
      <w:proofErr w:type="spellStart"/>
      <w:r w:rsidRPr="006B5915">
        <w:rPr>
          <w:rFonts w:ascii="Verdana" w:hAnsi="Verdana"/>
          <w:sz w:val="20"/>
          <w:szCs w:val="20"/>
        </w:rPr>
        <w:t>PedsQL</w:t>
      </w:r>
      <w:proofErr w:type="spellEnd"/>
      <w:proofErr w:type="gramStart"/>
      <w:r w:rsidRPr="006B5915">
        <w:rPr>
          <w:rFonts w:ascii="Verdana" w:hAnsi="Verdana"/>
          <w:sz w:val="20"/>
          <w:szCs w:val="20"/>
        </w:rPr>
        <w:t>)</w:t>
      </w:r>
      <w:r w:rsidRPr="006B5915">
        <w:rPr>
          <w:rFonts w:ascii="Verdana" w:hAnsi="Verdana"/>
          <w:noProof/>
          <w:sz w:val="20"/>
          <w:szCs w:val="20"/>
          <w:vertAlign w:val="superscript"/>
        </w:rPr>
        <w:t>25</w:t>
      </w:r>
      <w:proofErr w:type="gramEnd"/>
      <w:r w:rsidRPr="006B5915">
        <w:rPr>
          <w:rFonts w:ascii="Verdana" w:hAnsi="Verdana"/>
          <w:sz w:val="20"/>
          <w:szCs w:val="20"/>
        </w:rPr>
        <w:t xml:space="preserve"> (listed in table 1), injuries and treatment received was ascertained from age-specific parent completed questionnaires (0-12 months, 13-36 months, ≥37 months). Some exposures (table 2) were validated with home observations in a sample of 162 cases and controls as previously reported.</w:t>
      </w:r>
      <w:r w:rsidRPr="006B5915">
        <w:rPr>
          <w:rFonts w:ascii="Verdana" w:hAnsi="Verdana"/>
          <w:noProof/>
          <w:sz w:val="20"/>
          <w:szCs w:val="20"/>
          <w:vertAlign w:val="superscript"/>
        </w:rPr>
        <w:t>26</w:t>
      </w:r>
      <w:r w:rsidRPr="006B5915">
        <w:rPr>
          <w:rFonts w:ascii="Verdana" w:hAnsi="Verdana"/>
          <w:sz w:val="20"/>
          <w:szCs w:val="20"/>
        </w:rPr>
        <w:t xml:space="preserve"> </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 xml:space="preserve"> </w:t>
      </w:r>
    </w:p>
    <w:p w:rsidR="00797473" w:rsidRPr="006B5915" w:rsidRDefault="00797473" w:rsidP="00FB2A31">
      <w:pPr>
        <w:spacing w:after="0" w:line="480" w:lineRule="auto"/>
        <w:rPr>
          <w:rFonts w:ascii="Verdana" w:hAnsi="Verdana"/>
          <w:i/>
          <w:sz w:val="20"/>
          <w:szCs w:val="20"/>
        </w:rPr>
      </w:pPr>
    </w:p>
    <w:p w:rsidR="00797473" w:rsidRPr="006B5915" w:rsidRDefault="00797473" w:rsidP="00FB2A31">
      <w:pPr>
        <w:spacing w:after="0" w:line="480" w:lineRule="auto"/>
        <w:rPr>
          <w:rFonts w:ascii="Verdana" w:hAnsi="Verdana"/>
          <w:i/>
          <w:sz w:val="20"/>
          <w:szCs w:val="20"/>
        </w:rPr>
      </w:pPr>
      <w:r w:rsidRPr="006B5915">
        <w:rPr>
          <w:rFonts w:ascii="Verdana" w:hAnsi="Verdana"/>
          <w:i/>
          <w:sz w:val="20"/>
          <w:szCs w:val="20"/>
        </w:rPr>
        <w:t>Study size</w:t>
      </w:r>
    </w:p>
    <w:p w:rsidR="00797473" w:rsidRPr="006B5915" w:rsidRDefault="00797473" w:rsidP="00FB2A31">
      <w:pPr>
        <w:spacing w:after="0" w:line="480" w:lineRule="auto"/>
        <w:rPr>
          <w:rFonts w:ascii="Verdana" w:hAnsi="Verdana"/>
          <w:i/>
          <w:sz w:val="20"/>
          <w:szCs w:val="20"/>
        </w:rPr>
      </w:pPr>
      <w:r w:rsidRPr="006B5915">
        <w:rPr>
          <w:rFonts w:ascii="Verdana" w:hAnsi="Verdana"/>
          <w:sz w:val="20"/>
          <w:szCs w:val="20"/>
        </w:rPr>
        <w:t xml:space="preserve">To detect an odds ratio of 1.43, with β ≤ 0.2, α=0.5, correlation between exposures in cases and controls of 0.1 and 4 controls per case required 496 cases and 1984 controls, based on exposure </w:t>
      </w:r>
      <w:proofErr w:type="spellStart"/>
      <w:r w:rsidRPr="006B5915">
        <w:rPr>
          <w:rFonts w:ascii="Verdana" w:hAnsi="Verdana"/>
          <w:sz w:val="20"/>
          <w:szCs w:val="20"/>
        </w:rPr>
        <w:t>prevalences</w:t>
      </w:r>
      <w:proofErr w:type="spellEnd"/>
      <w:r w:rsidRPr="006B5915">
        <w:rPr>
          <w:rFonts w:ascii="Verdana" w:hAnsi="Verdana"/>
          <w:sz w:val="20"/>
          <w:szCs w:val="20"/>
        </w:rPr>
        <w:t xml:space="preserve"> ranging from to 35% (child left on raised surface) to 76% (no stationary activity centre).</w:t>
      </w:r>
      <w:r w:rsidRPr="006B5915">
        <w:rPr>
          <w:rFonts w:ascii="Verdana" w:hAnsi="Verdana"/>
          <w:noProof/>
          <w:sz w:val="20"/>
          <w:szCs w:val="20"/>
          <w:vertAlign w:val="superscript"/>
        </w:rPr>
        <w:t>27 28</w:t>
      </w:r>
      <w:r w:rsidRPr="006B5915">
        <w:rPr>
          <w:rFonts w:ascii="Verdana" w:hAnsi="Verdana"/>
          <w:sz w:val="20"/>
          <w:szCs w:val="20"/>
        </w:rPr>
        <w:t xml:space="preserve"> </w:t>
      </w:r>
    </w:p>
    <w:p w:rsidR="00797473" w:rsidRPr="006B5915" w:rsidRDefault="00797473" w:rsidP="00FB2A31">
      <w:pPr>
        <w:spacing w:after="0" w:line="480" w:lineRule="auto"/>
        <w:rPr>
          <w:rFonts w:ascii="Verdana" w:hAnsi="Verdana"/>
          <w:i/>
          <w:sz w:val="20"/>
          <w:szCs w:val="20"/>
        </w:rPr>
      </w:pPr>
      <w:r w:rsidRPr="006B5915">
        <w:rPr>
          <w:rFonts w:ascii="Verdana" w:hAnsi="Verdana"/>
          <w:i/>
          <w:sz w:val="20"/>
          <w:szCs w:val="20"/>
        </w:rPr>
        <w:t>Statistical methods</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 xml:space="preserve">Odds ratios (ORs) and 95% confidence intervals (CIs) were estimated using conditional logistic regression, adjusted for neighbourhood deprivation, distance from hospital and confounders identified from DAGs. We assessed linearity of relationships between continuous confounders and case/control status by adding higher order terms to regression models and categorised where there was evidence of non-linearity. We used interaction terms to study whether associations varied by age, gender, ethnicity, single parenthood, non-owner occupied housing and unemployment, with a likelihood ratio test p value of &lt;0.01 taken as significant. </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i/>
          <w:sz w:val="20"/>
          <w:szCs w:val="20"/>
        </w:rPr>
      </w:pPr>
      <w:r w:rsidRPr="006B5915">
        <w:rPr>
          <w:rFonts w:ascii="Verdana" w:hAnsi="Verdana"/>
          <w:sz w:val="20"/>
          <w:szCs w:val="20"/>
        </w:rPr>
        <w:t xml:space="preserve">For the </w:t>
      </w:r>
      <w:proofErr w:type="spellStart"/>
      <w:r w:rsidRPr="006B5915">
        <w:rPr>
          <w:rFonts w:ascii="Verdana" w:hAnsi="Verdana"/>
          <w:sz w:val="20"/>
          <w:szCs w:val="20"/>
        </w:rPr>
        <w:t>PedsQL</w:t>
      </w:r>
      <w:proofErr w:type="spellEnd"/>
      <w:r w:rsidRPr="006B5915">
        <w:rPr>
          <w:rFonts w:ascii="Verdana" w:hAnsi="Verdana"/>
          <w:sz w:val="20"/>
          <w:szCs w:val="20"/>
        </w:rPr>
        <w:t>, mean scale scores were computed by summing items and dividing by number of items answered. Means were not computed where ≥50% items were missing.</w:t>
      </w:r>
      <w:r w:rsidRPr="006B5915">
        <w:rPr>
          <w:rFonts w:ascii="Verdana" w:hAnsi="Verdana"/>
          <w:noProof/>
          <w:sz w:val="20"/>
          <w:szCs w:val="20"/>
          <w:vertAlign w:val="superscript"/>
        </w:rPr>
        <w:t>29</w:t>
      </w:r>
      <w:r w:rsidRPr="006B5915">
        <w:rPr>
          <w:rFonts w:ascii="Verdana" w:hAnsi="Verdana"/>
          <w:sz w:val="20"/>
          <w:szCs w:val="20"/>
        </w:rPr>
        <w:t xml:space="preserve"> Four percent of observations had missing data on &lt;50% of items. We imputed single missing item values for subscales of the HADS using the mean of the remaining 6 items. This applied to 3% of observations. Where more than one item was missing, </w:t>
      </w:r>
      <w:r w:rsidRPr="006B5915">
        <w:rPr>
          <w:rFonts w:ascii="Verdana" w:hAnsi="Verdana"/>
          <w:sz w:val="20"/>
          <w:szCs w:val="20"/>
        </w:rPr>
        <w:lastRenderedPageBreak/>
        <w:t>subscale scores were not computed.</w:t>
      </w:r>
      <w:r w:rsidRPr="006B5915">
        <w:rPr>
          <w:rFonts w:ascii="Verdana" w:hAnsi="Verdana"/>
          <w:noProof/>
          <w:sz w:val="20"/>
          <w:szCs w:val="20"/>
          <w:vertAlign w:val="superscript"/>
        </w:rPr>
        <w:t>22</w:t>
      </w:r>
      <w:r w:rsidRPr="006B5915">
        <w:rPr>
          <w:rFonts w:ascii="Verdana" w:hAnsi="Verdana"/>
          <w:sz w:val="20"/>
          <w:szCs w:val="20"/>
        </w:rPr>
        <w:t xml:space="preserve"> The IBQ, ECBQ and CBQ allowed missing values and were scored as the total score divided by the number of questions answered. Missing values represent those with missing data on all scale </w:t>
      </w:r>
      <w:proofErr w:type="gramStart"/>
      <w:r w:rsidRPr="006B5915">
        <w:rPr>
          <w:rFonts w:ascii="Verdana" w:hAnsi="Verdana"/>
          <w:sz w:val="20"/>
          <w:szCs w:val="20"/>
        </w:rPr>
        <w:t>items.</w:t>
      </w:r>
      <w:r w:rsidRPr="006B5915">
        <w:rPr>
          <w:rFonts w:ascii="Verdana" w:hAnsi="Verdana"/>
          <w:noProof/>
          <w:sz w:val="20"/>
          <w:szCs w:val="20"/>
          <w:vertAlign w:val="superscript"/>
        </w:rPr>
        <w:t>30</w:t>
      </w:r>
      <w:r w:rsidRPr="006B5915">
        <w:rPr>
          <w:rFonts w:ascii="Verdana" w:hAnsi="Verdana"/>
          <w:sz w:val="20"/>
          <w:szCs w:val="20"/>
        </w:rPr>
        <w:t xml:space="preserve">  We</w:t>
      </w:r>
      <w:proofErr w:type="gramEnd"/>
      <w:r w:rsidRPr="006B5915">
        <w:rPr>
          <w:rFonts w:ascii="Verdana" w:hAnsi="Verdana"/>
          <w:sz w:val="20"/>
          <w:szCs w:val="20"/>
        </w:rPr>
        <w:t xml:space="preserve"> were unable to find missing data guidance for the Parenting Daily Hassles Scale so we used the approach used for the HADS. Fifteen percent of observations had a single missing item. The main analyses are complete case analyses, including the single imputed values for the </w:t>
      </w:r>
      <w:proofErr w:type="spellStart"/>
      <w:r w:rsidRPr="006B5915">
        <w:rPr>
          <w:rFonts w:ascii="Verdana" w:hAnsi="Verdana"/>
          <w:sz w:val="20"/>
          <w:szCs w:val="20"/>
        </w:rPr>
        <w:t>PedsQL</w:t>
      </w:r>
      <w:proofErr w:type="spellEnd"/>
      <w:r w:rsidRPr="006B5915">
        <w:rPr>
          <w:rFonts w:ascii="Verdana" w:hAnsi="Verdana"/>
          <w:sz w:val="20"/>
          <w:szCs w:val="20"/>
        </w:rPr>
        <w:t>, HADS and Parenting Daily Hassles Scale. The percentage of observations excluded from multivariable analyses due to missing data ranged from 15% to 25%. We imputed missing data based on all exposure and potential confounding variables (including single imputed values for scales described above) and case/control status, to create 20 imputed datasets. These were combined using Rubin’s rules.</w:t>
      </w:r>
      <w:r w:rsidRPr="006B5915">
        <w:rPr>
          <w:rFonts w:ascii="Verdana" w:hAnsi="Verdana"/>
          <w:noProof/>
          <w:sz w:val="20"/>
          <w:szCs w:val="20"/>
          <w:vertAlign w:val="superscript"/>
        </w:rPr>
        <w:t>31</w:t>
      </w:r>
      <w:r w:rsidRPr="006B5915">
        <w:rPr>
          <w:rFonts w:ascii="Verdana" w:hAnsi="Verdana"/>
          <w:sz w:val="20"/>
          <w:szCs w:val="20"/>
        </w:rPr>
        <w:t xml:space="preserve"> </w:t>
      </w:r>
    </w:p>
    <w:p w:rsidR="00797473" w:rsidRPr="006B5915" w:rsidRDefault="00797473" w:rsidP="00FB2A31">
      <w:pPr>
        <w:spacing w:after="0" w:line="480" w:lineRule="auto"/>
        <w:rPr>
          <w:rFonts w:ascii="Verdana" w:hAnsi="Verdana"/>
          <w:i/>
          <w:sz w:val="20"/>
          <w:szCs w:val="20"/>
        </w:rPr>
      </w:pPr>
      <w:r w:rsidRPr="006B5915">
        <w:rPr>
          <w:rFonts w:ascii="Verdana" w:hAnsi="Verdana"/>
          <w:i/>
          <w:sz w:val="20"/>
          <w:szCs w:val="20"/>
        </w:rPr>
        <w:t>Ethics</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 xml:space="preserve">Approval was granted by Nottinghamshire Research Ethics Committee 1 </w:t>
      </w:r>
      <w:proofErr w:type="gramStart"/>
      <w:r w:rsidRPr="006B5915">
        <w:rPr>
          <w:rFonts w:ascii="Verdana" w:hAnsi="Verdana"/>
          <w:sz w:val="20"/>
          <w:szCs w:val="20"/>
        </w:rPr>
        <w:t>( 09</w:t>
      </w:r>
      <w:proofErr w:type="gramEnd"/>
      <w:r w:rsidRPr="006B5915">
        <w:rPr>
          <w:rFonts w:ascii="Verdana" w:hAnsi="Verdana"/>
          <w:sz w:val="20"/>
          <w:szCs w:val="20"/>
        </w:rPr>
        <w:t xml:space="preserve">/ H0407/14). Consent to participate was assumed by return of study questionnaires.   </w:t>
      </w:r>
    </w:p>
    <w:p w:rsidR="00797473" w:rsidRPr="006B5915" w:rsidRDefault="00797473" w:rsidP="00FB2A31">
      <w:pPr>
        <w:spacing w:after="0" w:line="480" w:lineRule="auto"/>
        <w:rPr>
          <w:rFonts w:ascii="Verdana" w:hAnsi="Verdana"/>
          <w:sz w:val="20"/>
          <w:szCs w:val="20"/>
        </w:rPr>
      </w:pPr>
    </w:p>
    <w:p w:rsidR="00797473" w:rsidRPr="006B5915" w:rsidRDefault="00797473" w:rsidP="00FB2A31">
      <w:pPr>
        <w:spacing w:after="0" w:line="480" w:lineRule="auto"/>
        <w:rPr>
          <w:rFonts w:ascii="Verdana" w:hAnsi="Verdana"/>
          <w:b/>
          <w:sz w:val="20"/>
          <w:szCs w:val="20"/>
        </w:rPr>
      </w:pPr>
      <w:r w:rsidRPr="006B5915">
        <w:rPr>
          <w:rFonts w:ascii="Verdana" w:hAnsi="Verdana"/>
          <w:b/>
          <w:sz w:val="20"/>
          <w:szCs w:val="20"/>
        </w:rPr>
        <w:t>Results</w:t>
      </w:r>
    </w:p>
    <w:p w:rsidR="00797473" w:rsidRPr="006B5915" w:rsidRDefault="00797473" w:rsidP="00FB2A31">
      <w:pPr>
        <w:spacing w:after="0" w:line="480" w:lineRule="auto"/>
        <w:rPr>
          <w:rFonts w:ascii="Verdana" w:hAnsi="Verdana"/>
          <w:sz w:val="20"/>
          <w:szCs w:val="20"/>
        </w:rPr>
      </w:pPr>
      <w:r w:rsidRPr="006B5915">
        <w:rPr>
          <w:rFonts w:ascii="Verdana" w:hAnsi="Verdana"/>
          <w:sz w:val="20"/>
          <w:szCs w:val="20"/>
        </w:rPr>
        <w:t xml:space="preserve">In total 672 cases and 2648 controls (582 of </w:t>
      </w:r>
      <w:proofErr w:type="gramStart"/>
      <w:r w:rsidRPr="006B5915">
        <w:rPr>
          <w:rFonts w:ascii="Verdana" w:hAnsi="Verdana"/>
          <w:sz w:val="20"/>
          <w:szCs w:val="20"/>
        </w:rPr>
        <w:t>whom</w:t>
      </w:r>
      <w:proofErr w:type="gramEnd"/>
      <w:r w:rsidRPr="006B5915">
        <w:rPr>
          <w:rFonts w:ascii="Verdana" w:hAnsi="Verdana"/>
          <w:sz w:val="20"/>
          <w:szCs w:val="20"/>
        </w:rPr>
        <w:t xml:space="preserve"> were extra matched controls)</w:t>
      </w:r>
      <w:r w:rsidR="00B51502">
        <w:rPr>
          <w:rFonts w:ascii="Verdana" w:hAnsi="Verdana"/>
          <w:sz w:val="20"/>
          <w:szCs w:val="20"/>
        </w:rPr>
        <w:t xml:space="preserve"> </w:t>
      </w:r>
      <w:r w:rsidRPr="006B5915">
        <w:rPr>
          <w:rFonts w:ascii="Verdana" w:hAnsi="Verdana"/>
          <w:sz w:val="20"/>
          <w:szCs w:val="20"/>
        </w:rPr>
        <w:t xml:space="preserve">participated (figure 1). 35% of cases and 33% of controls agreed to participate. Age group and sex were similar among case participants and non-participants (0-12 months: 34% vs. 31%; 13-36 months: 44% vs. 49%; ≥37 months 23% vs. 21% respectively; 54% male in both groups).. The mean number of controls per case was 3.94.  </w:t>
      </w:r>
      <w:proofErr w:type="gramStart"/>
      <w:r w:rsidRPr="006B5915">
        <w:rPr>
          <w:rFonts w:ascii="Verdana" w:hAnsi="Verdana"/>
          <w:sz w:val="20"/>
          <w:szCs w:val="20"/>
        </w:rPr>
        <w:t>Median days from date of injury to questionnaire completion was</w:t>
      </w:r>
      <w:proofErr w:type="gramEnd"/>
      <w:r w:rsidRPr="006B5915">
        <w:rPr>
          <w:rFonts w:ascii="Verdana" w:hAnsi="Verdana"/>
          <w:sz w:val="20"/>
          <w:szCs w:val="20"/>
        </w:rPr>
        <w:t xml:space="preserve"> 10 (IQR 6, 20). Most cases sustained single injuries (86%); most commonly bangs on the head (59%), cuts/grazes not requiring stitches (19%) and fractures (14%). Most cases (60%) were seen and examined but did not require treatment, 29% were treated in ED and 4% were admitted to hospital. </w:t>
      </w:r>
    </w:p>
    <w:p w:rsidR="00797473" w:rsidRPr="006B5915" w:rsidRDefault="00797473" w:rsidP="00FB2A31">
      <w:pPr>
        <w:spacing w:after="0" w:line="480" w:lineRule="auto"/>
        <w:outlineLvl w:val="4"/>
        <w:rPr>
          <w:rFonts w:ascii="Verdana" w:hAnsi="Verdana" w:cs="Calibri"/>
          <w:bCs/>
          <w:color w:val="333333"/>
          <w:sz w:val="20"/>
          <w:szCs w:val="20"/>
          <w:lang w:eastAsia="en-GB"/>
        </w:rPr>
      </w:pPr>
    </w:p>
    <w:p w:rsidR="00797473" w:rsidRPr="006B5915" w:rsidRDefault="00797473" w:rsidP="00FB2A31">
      <w:pPr>
        <w:spacing w:after="0" w:line="480" w:lineRule="auto"/>
        <w:outlineLvl w:val="4"/>
        <w:rPr>
          <w:rFonts w:ascii="Verdana" w:hAnsi="Verdana" w:cs="Calibri"/>
          <w:bCs/>
          <w:color w:val="333333"/>
          <w:sz w:val="20"/>
          <w:szCs w:val="20"/>
          <w:lang w:eastAsia="en-GB"/>
        </w:rPr>
      </w:pPr>
      <w:r w:rsidRPr="006B5915">
        <w:rPr>
          <w:rFonts w:ascii="Verdana" w:hAnsi="Verdana" w:cs="Calibri"/>
          <w:bCs/>
          <w:color w:val="333333"/>
          <w:sz w:val="20"/>
          <w:szCs w:val="20"/>
          <w:lang w:eastAsia="en-GB"/>
        </w:rPr>
        <w:t>[</w:t>
      </w:r>
      <w:proofErr w:type="gramStart"/>
      <w:r w:rsidRPr="006B5915">
        <w:rPr>
          <w:rFonts w:ascii="Verdana" w:hAnsi="Verdana" w:cs="Calibri"/>
          <w:bCs/>
          <w:color w:val="333333"/>
          <w:sz w:val="20"/>
          <w:szCs w:val="20"/>
          <w:lang w:eastAsia="en-GB"/>
        </w:rPr>
        <w:t>insert</w:t>
      </w:r>
      <w:proofErr w:type="gramEnd"/>
      <w:r w:rsidRPr="006B5915">
        <w:rPr>
          <w:rFonts w:ascii="Verdana" w:hAnsi="Verdana" w:cs="Calibri"/>
          <w:bCs/>
          <w:color w:val="333333"/>
          <w:sz w:val="20"/>
          <w:szCs w:val="20"/>
          <w:lang w:eastAsia="en-GB"/>
        </w:rPr>
        <w:t xml:space="preserve"> figure 1 here]</w:t>
      </w:r>
    </w:p>
    <w:p w:rsidR="00797473" w:rsidRPr="006B5915" w:rsidRDefault="00797473" w:rsidP="00FB2A31">
      <w:pPr>
        <w:spacing w:after="0" w:line="480" w:lineRule="auto"/>
        <w:outlineLvl w:val="4"/>
        <w:rPr>
          <w:rFonts w:ascii="Verdana" w:hAnsi="Verdana" w:cs="Calibri"/>
          <w:bCs/>
          <w:color w:val="333333"/>
          <w:sz w:val="20"/>
          <w:szCs w:val="20"/>
          <w:lang w:eastAsia="en-GB"/>
        </w:rPr>
      </w:pPr>
    </w:p>
    <w:p w:rsidR="00797473" w:rsidRPr="006B5915" w:rsidRDefault="00797473" w:rsidP="00FB2A31">
      <w:pPr>
        <w:spacing w:after="0" w:line="480" w:lineRule="auto"/>
        <w:outlineLvl w:val="4"/>
        <w:rPr>
          <w:rFonts w:ascii="Verdana" w:hAnsi="Verdana" w:cs="Calibri"/>
          <w:bCs/>
          <w:color w:val="333333"/>
          <w:sz w:val="20"/>
          <w:szCs w:val="20"/>
          <w:lang w:eastAsia="en-GB"/>
        </w:rPr>
      </w:pPr>
      <w:r w:rsidRPr="006B5915">
        <w:rPr>
          <w:rFonts w:ascii="Verdana" w:hAnsi="Verdana" w:cs="Calibri"/>
          <w:bCs/>
          <w:color w:val="333333"/>
          <w:sz w:val="20"/>
          <w:szCs w:val="20"/>
          <w:lang w:eastAsia="en-GB"/>
        </w:rPr>
        <w:lastRenderedPageBreak/>
        <w:t>Cases were slightly younger than controls (1.74 vs. 1.91 years), had fewer hours of out-of-home child care per week (7.5 vs. 12), more of their parents were out of work (51% had at least 1 unemployed parent vs. 43%), receiving state benefits (43% vs. 36%), living in non-owner occupied housing (40% vs. 32%) and in neighbourhoods with higher deprivation scores (</w:t>
      </w:r>
      <w:r w:rsidR="00FB2A31" w:rsidRPr="006B5915">
        <w:rPr>
          <w:rFonts w:ascii="Verdana" w:hAnsi="Verdana" w:cs="Calibri"/>
          <w:bCs/>
          <w:color w:val="333333"/>
          <w:sz w:val="20"/>
          <w:szCs w:val="20"/>
          <w:lang w:eastAsia="en-GB"/>
        </w:rPr>
        <w:t xml:space="preserve">mean </w:t>
      </w:r>
      <w:r w:rsidRPr="006B5915">
        <w:rPr>
          <w:rFonts w:ascii="Verdana" w:hAnsi="Verdana" w:cs="Calibri"/>
          <w:bCs/>
          <w:color w:val="333333"/>
          <w:sz w:val="20"/>
          <w:szCs w:val="20"/>
          <w:lang w:eastAsia="en-GB"/>
        </w:rPr>
        <w:t>16.8 vs. 14.9). Fewer parents of cases than controls thought their children were very likely to climb in at least one of eight scenarios (62% vs. 70%) (</w:t>
      </w:r>
      <w:proofErr w:type="gramStart"/>
      <w:r w:rsidRPr="006B5915">
        <w:rPr>
          <w:rFonts w:ascii="Verdana" w:hAnsi="Verdana" w:cs="Calibri"/>
          <w:bCs/>
          <w:color w:val="333333"/>
          <w:sz w:val="20"/>
          <w:szCs w:val="20"/>
          <w:lang w:eastAsia="en-GB"/>
        </w:rPr>
        <w:t>table</w:t>
      </w:r>
      <w:proofErr w:type="gramEnd"/>
      <w:r w:rsidRPr="006B5915">
        <w:rPr>
          <w:rFonts w:ascii="Verdana" w:hAnsi="Verdana" w:cs="Calibri"/>
          <w:bCs/>
          <w:color w:val="333333"/>
          <w:sz w:val="20"/>
          <w:szCs w:val="20"/>
          <w:lang w:eastAsia="en-GB"/>
        </w:rPr>
        <w:t xml:space="preserve"> 1). </w:t>
      </w:r>
    </w:p>
    <w:p w:rsidR="00797473" w:rsidRPr="006B5915" w:rsidRDefault="00797473" w:rsidP="00FB2A31">
      <w:pPr>
        <w:spacing w:after="0" w:line="480" w:lineRule="auto"/>
        <w:outlineLvl w:val="4"/>
        <w:rPr>
          <w:rFonts w:ascii="Verdana" w:hAnsi="Verdana" w:cs="Calibri"/>
          <w:bCs/>
          <w:color w:val="333333"/>
          <w:sz w:val="20"/>
          <w:szCs w:val="20"/>
          <w:lang w:eastAsia="en-GB"/>
        </w:rPr>
      </w:pPr>
      <w:r w:rsidRPr="006B5915">
        <w:rPr>
          <w:rFonts w:ascii="Verdana" w:hAnsi="Verdana" w:cs="Calibri"/>
          <w:bCs/>
          <w:color w:val="333333"/>
          <w:sz w:val="20"/>
          <w:szCs w:val="20"/>
          <w:lang w:eastAsia="en-GB"/>
        </w:rPr>
        <w:t>[</w:t>
      </w:r>
      <w:proofErr w:type="gramStart"/>
      <w:r w:rsidRPr="006B5915">
        <w:rPr>
          <w:rFonts w:ascii="Verdana" w:hAnsi="Verdana" w:cs="Calibri"/>
          <w:bCs/>
          <w:color w:val="333333"/>
          <w:sz w:val="20"/>
          <w:szCs w:val="20"/>
          <w:lang w:eastAsia="en-GB"/>
        </w:rPr>
        <w:t>insert</w:t>
      </w:r>
      <w:proofErr w:type="gramEnd"/>
      <w:r w:rsidRPr="006B5915">
        <w:rPr>
          <w:rFonts w:ascii="Verdana" w:hAnsi="Verdana" w:cs="Calibri"/>
          <w:bCs/>
          <w:color w:val="333333"/>
          <w:sz w:val="20"/>
          <w:szCs w:val="20"/>
          <w:lang w:eastAsia="en-GB"/>
        </w:rPr>
        <w:t xml:space="preserve"> table 1 here]</w:t>
      </w:r>
    </w:p>
    <w:p w:rsidR="00797473" w:rsidRPr="006B5915" w:rsidRDefault="00797473" w:rsidP="00FB2A31">
      <w:pPr>
        <w:spacing w:after="0" w:line="480" w:lineRule="auto"/>
        <w:outlineLvl w:val="4"/>
        <w:rPr>
          <w:rFonts w:ascii="Verdana" w:hAnsi="Verdana" w:cs="Calibri"/>
          <w:bCs/>
          <w:color w:val="333333"/>
          <w:sz w:val="20"/>
          <w:szCs w:val="20"/>
          <w:lang w:eastAsia="en-GB"/>
        </w:rPr>
      </w:pPr>
    </w:p>
    <w:p w:rsidR="00797473" w:rsidRPr="006B5915" w:rsidRDefault="00797473" w:rsidP="00FB2A31">
      <w:pPr>
        <w:spacing w:after="0" w:line="480" w:lineRule="auto"/>
        <w:outlineLvl w:val="4"/>
      </w:pPr>
      <w:r w:rsidRPr="006B5915">
        <w:rPr>
          <w:rFonts w:ascii="Verdana" w:hAnsi="Verdana" w:cs="Calibri"/>
          <w:bCs/>
          <w:color w:val="333333"/>
          <w:sz w:val="20"/>
          <w:szCs w:val="20"/>
          <w:lang w:eastAsia="en-GB"/>
        </w:rPr>
        <w:t>The sensitivity, specificity and predictive values for exposures validated by home observations are shown in table 2. . Specificities were high (&gt;70%) for all 7 items of safety or nursery equipment in cases and controls. Sensitivity was only high for 4 items in cases, and 2 in controls. NPVs were high for all 7 items in cases and for all except 1 item in controls. PPVs were only high for 3 items (all safety gate exposures) in cases and controls. The only items with high values for both sensitivity and specificity were safety gates at top and bottom of stairs.</w:t>
      </w:r>
      <w:r w:rsidRPr="006B5915">
        <w:t xml:space="preserve"> </w:t>
      </w:r>
    </w:p>
    <w:p w:rsidR="00797473" w:rsidRPr="006B5915" w:rsidRDefault="00797473" w:rsidP="00FB2A31">
      <w:pPr>
        <w:spacing w:after="0" w:line="480" w:lineRule="auto"/>
        <w:outlineLvl w:val="4"/>
        <w:rPr>
          <w:rFonts w:ascii="Verdana" w:hAnsi="Verdana" w:cs="Calibri"/>
          <w:bCs/>
          <w:color w:val="333333"/>
          <w:sz w:val="20"/>
          <w:szCs w:val="20"/>
          <w:lang w:eastAsia="en-GB"/>
        </w:rPr>
      </w:pPr>
      <w:r w:rsidRPr="006B5915">
        <w:rPr>
          <w:rFonts w:ascii="Verdana" w:hAnsi="Verdana" w:cs="Calibri"/>
          <w:bCs/>
          <w:color w:val="333333"/>
          <w:sz w:val="20"/>
          <w:szCs w:val="20"/>
          <w:lang w:eastAsia="en-GB"/>
        </w:rPr>
        <w:t>[</w:t>
      </w:r>
      <w:proofErr w:type="gramStart"/>
      <w:r w:rsidRPr="006B5915">
        <w:rPr>
          <w:rFonts w:ascii="Verdana" w:hAnsi="Verdana" w:cs="Calibri"/>
          <w:bCs/>
          <w:color w:val="333333"/>
          <w:sz w:val="20"/>
          <w:szCs w:val="20"/>
          <w:lang w:eastAsia="en-GB"/>
        </w:rPr>
        <w:t>insert</w:t>
      </w:r>
      <w:proofErr w:type="gramEnd"/>
      <w:r w:rsidRPr="006B5915">
        <w:rPr>
          <w:rFonts w:ascii="Verdana" w:hAnsi="Verdana" w:cs="Calibri"/>
          <w:bCs/>
          <w:color w:val="333333"/>
          <w:sz w:val="20"/>
          <w:szCs w:val="20"/>
          <w:lang w:eastAsia="en-GB"/>
        </w:rPr>
        <w:t xml:space="preserve"> table 2 here]</w:t>
      </w:r>
    </w:p>
    <w:p w:rsidR="00797473" w:rsidRPr="006B5915" w:rsidRDefault="00797473" w:rsidP="00FB2A31">
      <w:pPr>
        <w:spacing w:after="0" w:line="480" w:lineRule="auto"/>
        <w:outlineLvl w:val="4"/>
        <w:rPr>
          <w:rFonts w:ascii="Verdana" w:hAnsi="Verdana" w:cs="Calibri"/>
          <w:bCs/>
          <w:color w:val="333333"/>
          <w:sz w:val="20"/>
          <w:szCs w:val="20"/>
          <w:lang w:eastAsia="en-GB"/>
        </w:rPr>
      </w:pPr>
      <w:r w:rsidRPr="006B5915">
        <w:rPr>
          <w:rFonts w:ascii="Verdana" w:hAnsi="Verdana" w:cs="Calibri"/>
          <w:bCs/>
          <w:color w:val="333333"/>
          <w:sz w:val="20"/>
          <w:szCs w:val="20"/>
          <w:lang w:eastAsia="en-GB"/>
        </w:rPr>
        <w:t xml:space="preserve">Table 3 shows the frequency of exposures and odds ratios for the complete case and multiple imputation analyses, adjusted for the confounders listed in table 3 Parents of cases were significantly more likely not to use safety gates (adjusted odds ratio (AOR) 1.65, 95%CI 1.29, 2.12) and not to have taught children rules about climbing on objects in the kitchen (AOR 1.58, 95% CI 1.16, 2.15) than parents of controls. Cases were significantly more likely to </w:t>
      </w:r>
      <w:proofErr w:type="gramStart"/>
      <w:r w:rsidRPr="006B5915">
        <w:rPr>
          <w:rFonts w:ascii="Verdana" w:hAnsi="Verdana" w:cs="Calibri"/>
          <w:bCs/>
          <w:color w:val="333333"/>
          <w:sz w:val="20"/>
          <w:szCs w:val="20"/>
          <w:lang w:eastAsia="en-GB"/>
        </w:rPr>
        <w:t>have  been</w:t>
      </w:r>
      <w:proofErr w:type="gramEnd"/>
      <w:r w:rsidRPr="006B5915">
        <w:rPr>
          <w:rFonts w:ascii="Verdana" w:hAnsi="Verdana" w:cs="Calibri"/>
          <w:bCs/>
          <w:color w:val="333333"/>
          <w:sz w:val="20"/>
          <w:szCs w:val="20"/>
          <w:lang w:eastAsia="en-GB"/>
        </w:rPr>
        <w:t xml:space="preserve"> left  on raised surfaces (AOR 1.66, 95% CI 1.34, 2.06), and cases were significantly less likely to have climbed or played on garden furniture (AOR 0.74, 95% CI 0.56, 0.97) than controls.</w:t>
      </w:r>
      <w:r w:rsidRPr="006B5915">
        <w:rPr>
          <w:rFonts w:ascii="Verdana" w:hAnsi="Verdana"/>
          <w:sz w:val="20"/>
          <w:szCs w:val="20"/>
        </w:rPr>
        <w:t xml:space="preserve"> </w:t>
      </w:r>
      <w:r w:rsidRPr="006B5915">
        <w:rPr>
          <w:rFonts w:ascii="Verdana" w:hAnsi="Verdana" w:cs="Calibri"/>
          <w:bCs/>
          <w:color w:val="333333"/>
          <w:sz w:val="20"/>
          <w:szCs w:val="20"/>
          <w:lang w:eastAsia="en-GB"/>
        </w:rPr>
        <w:t xml:space="preserve">Odds ratios from the complete case and multiple imputation analyses did not differ by more than 10%. </w:t>
      </w:r>
    </w:p>
    <w:p w:rsidR="00797473" w:rsidRPr="006B5915" w:rsidRDefault="00797473" w:rsidP="00FB2A31">
      <w:pPr>
        <w:spacing w:after="0" w:line="480" w:lineRule="auto"/>
        <w:outlineLvl w:val="4"/>
        <w:rPr>
          <w:rFonts w:ascii="Verdana" w:hAnsi="Verdana" w:cs="Calibri"/>
          <w:bCs/>
          <w:color w:val="333333"/>
          <w:sz w:val="20"/>
          <w:szCs w:val="20"/>
          <w:lang w:eastAsia="en-GB"/>
        </w:rPr>
      </w:pPr>
    </w:p>
    <w:p w:rsidR="00797473" w:rsidRPr="006B5915" w:rsidRDefault="00797473" w:rsidP="00FB2A31">
      <w:pPr>
        <w:spacing w:after="0" w:line="480" w:lineRule="auto"/>
        <w:rPr>
          <w:rFonts w:ascii="Verdana" w:hAnsi="Verdana" w:cs="Calibri"/>
          <w:bCs/>
          <w:color w:val="333333"/>
          <w:sz w:val="20"/>
          <w:szCs w:val="20"/>
          <w:lang w:eastAsia="en-GB"/>
        </w:rPr>
      </w:pPr>
      <w:r w:rsidRPr="006B5915" w:rsidDel="0013367B">
        <w:rPr>
          <w:rFonts w:ascii="Verdana" w:hAnsi="Verdana" w:cs="Calibri"/>
          <w:bCs/>
          <w:color w:val="333333"/>
          <w:sz w:val="20"/>
          <w:szCs w:val="20"/>
          <w:lang w:eastAsia="en-GB"/>
        </w:rPr>
        <w:t xml:space="preserve"> </w:t>
      </w:r>
      <w:r w:rsidRPr="006B5915">
        <w:rPr>
          <w:rFonts w:ascii="Verdana" w:hAnsi="Verdana" w:cs="Calibri"/>
          <w:bCs/>
          <w:color w:val="333333"/>
          <w:sz w:val="20"/>
          <w:szCs w:val="20"/>
          <w:lang w:eastAsia="en-GB"/>
        </w:rPr>
        <w:t>[</w:t>
      </w:r>
      <w:proofErr w:type="gramStart"/>
      <w:r w:rsidRPr="006B5915">
        <w:rPr>
          <w:rFonts w:ascii="Verdana" w:hAnsi="Verdana" w:cs="Calibri"/>
          <w:bCs/>
          <w:color w:val="333333"/>
          <w:sz w:val="20"/>
          <w:szCs w:val="20"/>
          <w:lang w:eastAsia="en-GB"/>
        </w:rPr>
        <w:t>insert</w:t>
      </w:r>
      <w:proofErr w:type="gramEnd"/>
      <w:r w:rsidRPr="006B5915">
        <w:rPr>
          <w:rFonts w:ascii="Verdana" w:hAnsi="Verdana" w:cs="Calibri"/>
          <w:bCs/>
          <w:color w:val="333333"/>
          <w:sz w:val="20"/>
          <w:szCs w:val="20"/>
          <w:lang w:eastAsia="en-GB"/>
        </w:rPr>
        <w:t xml:space="preserve"> table 3 here]</w:t>
      </w:r>
    </w:p>
    <w:p w:rsidR="00797473" w:rsidRPr="006B5915" w:rsidRDefault="00797473" w:rsidP="00FB2A31">
      <w:pPr>
        <w:spacing w:after="0" w:line="480" w:lineRule="auto"/>
        <w:rPr>
          <w:rFonts w:ascii="Verdana" w:hAnsi="Verdana" w:cs="Calibri"/>
          <w:bCs/>
          <w:color w:val="333333"/>
          <w:sz w:val="20"/>
          <w:szCs w:val="20"/>
          <w:lang w:eastAsia="en-GB"/>
        </w:rPr>
      </w:pP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lastRenderedPageBreak/>
        <w:t>The only significant interactions were between child age and four exposures. (</w:t>
      </w:r>
      <w:proofErr w:type="gramStart"/>
      <w:r w:rsidRPr="006B5915">
        <w:rPr>
          <w:rFonts w:ascii="Verdana" w:hAnsi="Verdana" w:cs="Calibri"/>
          <w:bCs/>
          <w:color w:val="333333"/>
          <w:sz w:val="20"/>
          <w:szCs w:val="20"/>
          <w:lang w:eastAsia="en-GB"/>
        </w:rPr>
        <w:t>table</w:t>
      </w:r>
      <w:proofErr w:type="gramEnd"/>
      <w:r w:rsidRPr="006B5915">
        <w:rPr>
          <w:rFonts w:ascii="Verdana" w:hAnsi="Verdana" w:cs="Calibri"/>
          <w:bCs/>
          <w:color w:val="333333"/>
          <w:sz w:val="20"/>
          <w:szCs w:val="20"/>
          <w:lang w:eastAsia="en-GB"/>
        </w:rPr>
        <w:t xml:space="preserve"> 4). Cases aged 0-12 were significantly more likely to have been left on raised surfaces (AOR 5.62, 95% CI 3.62, 8.72), had nappies changed on raised surfaces (AOR 1.89, 95% CI 1.24, 2.88) and been put  in car/bouncing seats on raised surfaces (AOR 2.05, 95% CI 1.29, 3.27) than controls. Cases aged 13-36 months were significantly less likely to have been put in car/bouncing seats on raised surfaces (AOR 0.22, 95% CI 0.05, 0.94) than controls. Cases aged 3 years and older were significantly more likely to have climbed or played on furniture (AOR 9.25, 95% CI 1.22, 70.07) than controls. Five of the odds ratios from complete case and multiple imputation analyses differed by more than 10%. </w:t>
      </w:r>
    </w:p>
    <w:p w:rsidR="00797473" w:rsidRPr="006B5915" w:rsidRDefault="00797473" w:rsidP="00FB2A31">
      <w:pPr>
        <w:spacing w:after="0" w:line="480" w:lineRule="auto"/>
        <w:rPr>
          <w:rFonts w:ascii="Verdana" w:hAnsi="Verdana" w:cs="Calibri"/>
          <w:bCs/>
          <w:color w:val="333333"/>
          <w:sz w:val="20"/>
          <w:szCs w:val="20"/>
          <w:lang w:eastAsia="en-GB"/>
        </w:rPr>
      </w:pPr>
    </w:p>
    <w:p w:rsidR="00797473" w:rsidRPr="006B5915" w:rsidRDefault="00797473" w:rsidP="00FB2A31">
      <w:pPr>
        <w:spacing w:after="0" w:line="480" w:lineRule="auto"/>
        <w:rPr>
          <w:rFonts w:ascii="Verdana" w:hAnsi="Verdana" w:cs="Calibri"/>
          <w:bCs/>
          <w:color w:val="333333"/>
          <w:sz w:val="20"/>
          <w:szCs w:val="20"/>
          <w:lang w:eastAsia="en-GB"/>
        </w:rPr>
      </w:pP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w:t>
      </w:r>
      <w:proofErr w:type="gramStart"/>
      <w:r w:rsidRPr="006B5915">
        <w:rPr>
          <w:rFonts w:ascii="Verdana" w:hAnsi="Verdana" w:cs="Calibri"/>
          <w:bCs/>
          <w:color w:val="333333"/>
          <w:sz w:val="20"/>
          <w:szCs w:val="20"/>
          <w:lang w:eastAsia="en-GB"/>
        </w:rPr>
        <w:t>insert</w:t>
      </w:r>
      <w:proofErr w:type="gramEnd"/>
      <w:r w:rsidRPr="006B5915">
        <w:rPr>
          <w:rFonts w:ascii="Verdana" w:hAnsi="Verdana" w:cs="Calibri"/>
          <w:bCs/>
          <w:color w:val="333333"/>
          <w:sz w:val="20"/>
          <w:szCs w:val="20"/>
          <w:lang w:eastAsia="en-GB"/>
        </w:rPr>
        <w:t xml:space="preserve"> table 4 here]</w:t>
      </w:r>
    </w:p>
    <w:p w:rsidR="00797473" w:rsidRPr="006B5915" w:rsidRDefault="00797473" w:rsidP="00FB2A31">
      <w:pPr>
        <w:spacing w:after="0" w:line="480" w:lineRule="auto"/>
        <w:rPr>
          <w:rFonts w:ascii="Verdana" w:hAnsi="Verdana" w:cs="Calibri"/>
          <w:bCs/>
          <w:color w:val="333333"/>
          <w:sz w:val="20"/>
          <w:szCs w:val="20"/>
          <w:lang w:eastAsia="en-GB"/>
        </w:rPr>
      </w:pPr>
    </w:p>
    <w:p w:rsidR="00797473" w:rsidRPr="006B5915" w:rsidRDefault="00797473" w:rsidP="00FB2A31">
      <w:pPr>
        <w:spacing w:after="0" w:line="480" w:lineRule="auto"/>
        <w:rPr>
          <w:rFonts w:ascii="Verdana" w:hAnsi="Verdana" w:cs="Calibri"/>
          <w:bCs/>
          <w:color w:val="333333"/>
          <w:sz w:val="20"/>
          <w:szCs w:val="20"/>
          <w:lang w:eastAsia="en-GB"/>
        </w:rPr>
      </w:pPr>
    </w:p>
    <w:p w:rsidR="00797473" w:rsidRPr="006B5915" w:rsidRDefault="00797473" w:rsidP="00FB2A31">
      <w:pPr>
        <w:spacing w:after="0" w:line="480" w:lineRule="auto"/>
        <w:rPr>
          <w:rFonts w:ascii="Verdana" w:hAnsi="Verdana" w:cs="Calibri"/>
          <w:b/>
          <w:bCs/>
          <w:color w:val="333333"/>
          <w:sz w:val="20"/>
          <w:szCs w:val="20"/>
          <w:lang w:eastAsia="en-GB"/>
        </w:rPr>
      </w:pPr>
      <w:r w:rsidRPr="006B5915">
        <w:rPr>
          <w:rFonts w:ascii="Verdana" w:hAnsi="Verdana" w:cs="Calibri"/>
          <w:b/>
          <w:bCs/>
          <w:color w:val="333333"/>
          <w:sz w:val="20"/>
          <w:szCs w:val="20"/>
          <w:lang w:eastAsia="en-GB"/>
        </w:rPr>
        <w:t>Discussion</w:t>
      </w:r>
    </w:p>
    <w:p w:rsidR="00797473" w:rsidRPr="006B5915" w:rsidRDefault="00797473" w:rsidP="00FB2A31">
      <w:pPr>
        <w:spacing w:after="0" w:line="480" w:lineRule="auto"/>
        <w:rPr>
          <w:rFonts w:ascii="Verdana" w:hAnsi="Verdana" w:cs="Calibri"/>
          <w:bCs/>
          <w:i/>
          <w:color w:val="333333"/>
          <w:sz w:val="20"/>
          <w:szCs w:val="20"/>
          <w:lang w:eastAsia="en-GB"/>
        </w:rPr>
      </w:pPr>
      <w:r w:rsidRPr="006B5915">
        <w:rPr>
          <w:rFonts w:ascii="Verdana" w:hAnsi="Verdana" w:cs="Calibri"/>
          <w:bCs/>
          <w:i/>
          <w:color w:val="333333"/>
          <w:sz w:val="20"/>
          <w:szCs w:val="20"/>
          <w:lang w:eastAsia="en-GB"/>
        </w:rPr>
        <w:t xml:space="preserve">Main findings </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 xml:space="preserve">A range of modifiable factors were associated with secondary care attended falls from furniture in children aged 0-4 years. Not using safety gates anywhere in the home, leaving children on raised surfaces, changing nappies on raised surfaces, putting car/bouncing seats on raised surfaces, children climbing or playing on furniture and not teaching children rules about things they should not climb on in the kitchen were all associated with increased odds of a fall. </w:t>
      </w:r>
    </w:p>
    <w:p w:rsidR="00797473" w:rsidRPr="006B5915" w:rsidRDefault="00797473" w:rsidP="00FB2A31">
      <w:pPr>
        <w:spacing w:after="0" w:line="480" w:lineRule="auto"/>
        <w:rPr>
          <w:rFonts w:ascii="Verdana" w:hAnsi="Verdana" w:cs="Calibri"/>
          <w:bCs/>
          <w:i/>
          <w:color w:val="333333"/>
          <w:sz w:val="20"/>
          <w:szCs w:val="20"/>
          <w:lang w:eastAsia="en-GB"/>
        </w:rPr>
      </w:pPr>
      <w:r w:rsidRPr="006B5915">
        <w:rPr>
          <w:rFonts w:ascii="Verdana" w:hAnsi="Verdana" w:cs="Calibri"/>
          <w:bCs/>
          <w:i/>
          <w:color w:val="333333"/>
          <w:sz w:val="20"/>
          <w:szCs w:val="20"/>
          <w:lang w:eastAsia="en-GB"/>
        </w:rPr>
        <w:t>Strengths and limitations</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 xml:space="preserve">This is the largest published case-control study to date exploring modifiable factors for falls from furniture. The study was conducted in NHS hospitals across England, including urban and rural areas. Adjustment was made for a wide range of potential confounding factors using directed acyclic graphs. None of the AORs differed by more than 10% between analyses using complete cases and those using multiple </w:t>
      </w:r>
      <w:proofErr w:type="gramStart"/>
      <w:r w:rsidRPr="006B5915">
        <w:rPr>
          <w:rFonts w:ascii="Verdana" w:hAnsi="Verdana" w:cs="Calibri"/>
          <w:bCs/>
          <w:color w:val="333333"/>
          <w:sz w:val="20"/>
          <w:szCs w:val="20"/>
          <w:lang w:eastAsia="en-GB"/>
        </w:rPr>
        <w:t>imputation</w:t>
      </w:r>
      <w:proofErr w:type="gramEnd"/>
      <w:r w:rsidRPr="006B5915">
        <w:rPr>
          <w:rFonts w:ascii="Verdana" w:hAnsi="Verdana" w:cs="Calibri"/>
          <w:bCs/>
          <w:color w:val="333333"/>
          <w:sz w:val="20"/>
          <w:szCs w:val="20"/>
          <w:lang w:eastAsia="en-GB"/>
        </w:rPr>
        <w:t xml:space="preserve"> for the main </w:t>
      </w:r>
      <w:r w:rsidRPr="006B5915">
        <w:rPr>
          <w:rFonts w:ascii="Verdana" w:hAnsi="Verdana" w:cs="Calibri"/>
          <w:bCs/>
          <w:color w:val="333333"/>
          <w:sz w:val="20"/>
          <w:szCs w:val="20"/>
          <w:lang w:eastAsia="en-GB"/>
        </w:rPr>
        <w:lastRenderedPageBreak/>
        <w:t>analyses, but there were differences of more than 10% in AORs for five interaction analyses.</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We validated measures for exposures where possible and found high (&gt;70%) specificities and NPVs for six items of safety or nursery equipment, but high (&gt;70%) sensitivities and PPVs for only three items. There is therefore likely to be some misclassification of exposures. This may result in odds ratios tending towards unity, but this does not always occur.</w:t>
      </w:r>
      <w:r w:rsidRPr="006B5915">
        <w:rPr>
          <w:rFonts w:ascii="Verdana" w:hAnsi="Verdana" w:cs="Calibri"/>
          <w:bCs/>
          <w:noProof/>
          <w:color w:val="333333"/>
          <w:sz w:val="20"/>
          <w:szCs w:val="20"/>
          <w:vertAlign w:val="superscript"/>
          <w:lang w:eastAsia="en-GB"/>
        </w:rPr>
        <w:t>32</w:t>
      </w:r>
      <w:r w:rsidRPr="006B5915">
        <w:rPr>
          <w:rFonts w:ascii="Verdana" w:hAnsi="Verdana" w:cs="Calibri"/>
          <w:bCs/>
          <w:color w:val="333333"/>
          <w:sz w:val="20"/>
          <w:szCs w:val="20"/>
          <w:lang w:eastAsia="en-GB"/>
        </w:rPr>
        <w:t xml:space="preserve"> </w:t>
      </w:r>
      <w:proofErr w:type="gramStart"/>
      <w:r w:rsidRPr="006B5915">
        <w:rPr>
          <w:rFonts w:ascii="Verdana" w:hAnsi="Verdana" w:cs="Calibri"/>
          <w:bCs/>
          <w:color w:val="333333"/>
          <w:sz w:val="20"/>
          <w:szCs w:val="20"/>
          <w:lang w:eastAsia="en-GB"/>
        </w:rPr>
        <w:t>We</w:t>
      </w:r>
      <w:proofErr w:type="gramEnd"/>
      <w:r w:rsidRPr="006B5915">
        <w:rPr>
          <w:rFonts w:ascii="Verdana" w:hAnsi="Verdana" w:cs="Calibri"/>
          <w:bCs/>
          <w:color w:val="333333"/>
          <w:sz w:val="20"/>
          <w:szCs w:val="20"/>
          <w:lang w:eastAsia="en-GB"/>
        </w:rPr>
        <w:t xml:space="preserve"> did not collect data on whether and when safety gates were left open. We cannot therefore assume our OR would be the same for gates that had been closed throughout the 24 hours prior to the case injury.  </w:t>
      </w:r>
    </w:p>
    <w:p w:rsidR="00797473" w:rsidRPr="006B5915" w:rsidRDefault="00797473" w:rsidP="00FB2A31">
      <w:pPr>
        <w:spacing w:after="0" w:line="480" w:lineRule="auto"/>
        <w:rPr>
          <w:rFonts w:ascii="Verdana" w:hAnsi="Verdana" w:cs="Calibri"/>
          <w:bCs/>
          <w:color w:val="333333"/>
          <w:sz w:val="20"/>
          <w:szCs w:val="20"/>
          <w:lang w:eastAsia="en-GB"/>
        </w:rPr>
      </w:pP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 xml:space="preserve">The participation rates for cases (35%) and controls (33%) were similar, but low. If reasons for participation are associated with the exposure or outcome of interest, selection bias may have occurred. Our participation rates do not show large differences by case/control status, age and sex, but we were not able to assess prevalence of exposures in participants and non-participants. Most injuries in our study were minor and if parents seeking medical attention for minor injuries were also more likely to have exposures of interest, our ORs would be overestimated. As our exposures were self-reported, recall and social desirability bias may have occurred, potentially impacting on our ORs in different directions. </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 xml:space="preserve">Residual confounding is a potential explanation for some of our findings. Families with gardens and garden furniture may be more advantaged than those without, and their children may therefore be at lower risk of </w:t>
      </w:r>
      <w:proofErr w:type="spellStart"/>
      <w:r w:rsidRPr="006B5915">
        <w:rPr>
          <w:rFonts w:ascii="Verdana" w:hAnsi="Verdana" w:cs="Calibri"/>
          <w:bCs/>
          <w:color w:val="333333"/>
          <w:sz w:val="20"/>
          <w:szCs w:val="20"/>
          <w:lang w:eastAsia="en-GB"/>
        </w:rPr>
        <w:t>falls.Children</w:t>
      </w:r>
      <w:proofErr w:type="spellEnd"/>
      <w:r w:rsidRPr="006B5915">
        <w:rPr>
          <w:rFonts w:ascii="Verdana" w:hAnsi="Verdana" w:cs="Calibri"/>
          <w:bCs/>
          <w:color w:val="333333"/>
          <w:sz w:val="20"/>
          <w:szCs w:val="20"/>
          <w:lang w:eastAsia="en-GB"/>
        </w:rPr>
        <w:t xml:space="preserve"> aged 13-36 months placed in car/bouncing seats on raised </w:t>
      </w:r>
      <w:proofErr w:type="spellStart"/>
      <w:r w:rsidRPr="006B5915">
        <w:rPr>
          <w:rFonts w:ascii="Verdana" w:hAnsi="Verdana" w:cs="Calibri"/>
          <w:bCs/>
          <w:color w:val="333333"/>
          <w:sz w:val="20"/>
          <w:szCs w:val="20"/>
          <w:lang w:eastAsia="en-GB"/>
        </w:rPr>
        <w:t>surfacesmay</w:t>
      </w:r>
      <w:proofErr w:type="spellEnd"/>
      <w:r w:rsidRPr="006B5915">
        <w:rPr>
          <w:rFonts w:ascii="Verdana" w:hAnsi="Verdana" w:cs="Calibri"/>
          <w:bCs/>
          <w:color w:val="333333"/>
          <w:sz w:val="20"/>
          <w:szCs w:val="20"/>
          <w:lang w:eastAsia="en-GB"/>
        </w:rPr>
        <w:t xml:space="preserve"> be less likely to be crawling or walking, and therefore at lower risk of falls than same aged children who do not use car/bouncing seats. This finding should also be interpreted with caution; it is based on a small amount of data (95%CI width 0.05-0.94) and ORs varied in the complete case and multiple imputation analyses (OR 0.22 vs. 0.59).  The many exposures in our study resulted in multiple significance </w:t>
      </w:r>
      <w:proofErr w:type="gramStart"/>
      <w:r w:rsidRPr="006B5915">
        <w:rPr>
          <w:rFonts w:ascii="Verdana" w:hAnsi="Verdana" w:cs="Calibri"/>
          <w:bCs/>
          <w:color w:val="333333"/>
          <w:sz w:val="20"/>
          <w:szCs w:val="20"/>
          <w:lang w:eastAsia="en-GB"/>
        </w:rPr>
        <w:t>testing,</w:t>
      </w:r>
      <w:proofErr w:type="gramEnd"/>
      <w:r w:rsidRPr="006B5915">
        <w:rPr>
          <w:rFonts w:ascii="Verdana" w:hAnsi="Verdana" w:cs="Calibri"/>
          <w:bCs/>
          <w:color w:val="333333"/>
          <w:sz w:val="20"/>
          <w:szCs w:val="20"/>
          <w:lang w:eastAsia="en-GB"/>
        </w:rPr>
        <w:t xml:space="preserve"> hence some associations may have been significant by chance alone. Our estimates of associations for some items of nursery equipment were </w:t>
      </w:r>
      <w:r w:rsidRPr="006B5915">
        <w:rPr>
          <w:rFonts w:ascii="Verdana" w:hAnsi="Verdana" w:cs="Calibri"/>
          <w:bCs/>
          <w:color w:val="333333"/>
          <w:sz w:val="20"/>
          <w:szCs w:val="20"/>
          <w:lang w:eastAsia="en-GB"/>
        </w:rPr>
        <w:lastRenderedPageBreak/>
        <w:t xml:space="preserve">imprecise due to a lower prevalence of exposures than expected.  Finally, bunk bed </w:t>
      </w:r>
      <w:proofErr w:type="gramStart"/>
      <w:r w:rsidRPr="006B5915">
        <w:rPr>
          <w:rFonts w:ascii="Verdana" w:hAnsi="Verdana" w:cs="Calibri"/>
          <w:bCs/>
          <w:color w:val="333333"/>
          <w:sz w:val="20"/>
          <w:szCs w:val="20"/>
          <w:lang w:eastAsia="en-GB"/>
        </w:rPr>
        <w:t>falls  account</w:t>
      </w:r>
      <w:proofErr w:type="gramEnd"/>
      <w:r w:rsidRPr="006B5915">
        <w:rPr>
          <w:rFonts w:ascii="Verdana" w:hAnsi="Verdana" w:cs="Calibri"/>
          <w:bCs/>
          <w:color w:val="333333"/>
          <w:sz w:val="20"/>
          <w:szCs w:val="20"/>
          <w:lang w:eastAsia="en-GB"/>
        </w:rPr>
        <w:t xml:space="preserve"> for only 10% of falls from beds and with an annual incidence rate of 0.3/1000 children years,</w:t>
      </w:r>
      <w:r w:rsidRPr="006B5915">
        <w:rPr>
          <w:rFonts w:ascii="Verdana" w:hAnsi="Verdana" w:cs="Calibri"/>
          <w:bCs/>
          <w:noProof/>
          <w:color w:val="333333"/>
          <w:sz w:val="20"/>
          <w:szCs w:val="20"/>
          <w:vertAlign w:val="superscript"/>
          <w:lang w:eastAsia="en-GB"/>
        </w:rPr>
        <w:t>6 33-36</w:t>
      </w:r>
      <w:r w:rsidRPr="006B5915" w:rsidDel="00A51D1B">
        <w:rPr>
          <w:rFonts w:ascii="Verdana" w:hAnsi="Verdana" w:cs="Calibri"/>
          <w:bCs/>
          <w:color w:val="333333"/>
          <w:sz w:val="20"/>
          <w:szCs w:val="20"/>
          <w:lang w:val="de-DE" w:eastAsia="en-GB"/>
        </w:rPr>
        <w:t xml:space="preserve"> </w:t>
      </w:r>
      <w:r w:rsidRPr="006B5915">
        <w:rPr>
          <w:rFonts w:ascii="Verdana" w:hAnsi="Verdana" w:cs="Calibri"/>
          <w:bCs/>
          <w:color w:val="333333"/>
          <w:sz w:val="20"/>
          <w:szCs w:val="20"/>
          <w:lang w:val="de-DE" w:eastAsia="en-GB"/>
        </w:rPr>
        <w:t xml:space="preserve"> so we did not include these as exposures in our study.</w:t>
      </w:r>
      <w:r w:rsidRPr="006B5915">
        <w:rPr>
          <w:rFonts w:ascii="Verdana" w:hAnsi="Verdana" w:cs="Calibri"/>
          <w:bCs/>
          <w:color w:val="333333"/>
          <w:sz w:val="20"/>
          <w:szCs w:val="20"/>
          <w:lang w:eastAsia="en-GB"/>
        </w:rPr>
        <w:t xml:space="preserve">. </w:t>
      </w:r>
    </w:p>
    <w:p w:rsidR="00797473" w:rsidRPr="006B5915" w:rsidRDefault="00797473" w:rsidP="00FB2A31">
      <w:pPr>
        <w:spacing w:after="0" w:line="480" w:lineRule="auto"/>
        <w:rPr>
          <w:rFonts w:ascii="Verdana" w:hAnsi="Verdana" w:cs="Calibri"/>
          <w:bCs/>
          <w:color w:val="333333"/>
          <w:sz w:val="20"/>
          <w:szCs w:val="20"/>
          <w:lang w:eastAsia="en-GB"/>
        </w:rPr>
      </w:pPr>
    </w:p>
    <w:p w:rsidR="00797473" w:rsidRPr="006B5915" w:rsidRDefault="00797473" w:rsidP="00FB2A31">
      <w:pPr>
        <w:spacing w:after="0" w:line="480" w:lineRule="auto"/>
        <w:rPr>
          <w:rFonts w:ascii="Verdana" w:hAnsi="Verdana" w:cs="Calibri"/>
          <w:bCs/>
          <w:i/>
          <w:color w:val="333333"/>
          <w:sz w:val="20"/>
          <w:szCs w:val="20"/>
          <w:lang w:eastAsia="en-GB"/>
        </w:rPr>
      </w:pPr>
      <w:r w:rsidRPr="006B5915">
        <w:rPr>
          <w:rFonts w:ascii="Verdana" w:hAnsi="Verdana" w:cs="Calibri"/>
          <w:bCs/>
          <w:i/>
          <w:color w:val="333333"/>
          <w:sz w:val="20"/>
          <w:szCs w:val="20"/>
          <w:lang w:eastAsia="en-GB"/>
        </w:rPr>
        <w:t xml:space="preserve">Comparisons with existing literature </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 xml:space="preserve">We found only one Australian case-control study of infants with head or face trauma </w:t>
      </w:r>
      <w:hyperlink w:anchor="_ENREF_33" w:tooltip="Elkington, 1999 #4618" w:history="1"/>
      <w:r w:rsidRPr="006B5915">
        <w:rPr>
          <w:rFonts w:ascii="Verdana" w:hAnsi="Verdana" w:cs="Calibri"/>
          <w:bCs/>
          <w:noProof/>
          <w:color w:val="333333"/>
          <w:sz w:val="20"/>
          <w:szCs w:val="20"/>
          <w:vertAlign w:val="superscript"/>
          <w:lang w:eastAsia="en-GB"/>
        </w:rPr>
        <w:t>37</w:t>
      </w:r>
      <w:r w:rsidRPr="006B5915">
        <w:rPr>
          <w:rFonts w:ascii="Verdana" w:hAnsi="Verdana" w:cs="Calibri"/>
          <w:bCs/>
          <w:color w:val="333333"/>
          <w:sz w:val="20"/>
          <w:szCs w:val="20"/>
          <w:lang w:eastAsia="en-GB"/>
        </w:rPr>
        <w:t xml:space="preserve"> with which to compare our findings. Findings were consistent with ours for changing nappies on high surfaces (OR 1.77, 95%CI 1.07, 2.92) and use of high chairs</w:t>
      </w:r>
      <w:r w:rsidRPr="006B5915">
        <w:t xml:space="preserve"> </w:t>
      </w:r>
      <w:r w:rsidRPr="006B5915">
        <w:rPr>
          <w:rFonts w:ascii="Verdana" w:hAnsi="Verdana"/>
          <w:sz w:val="20"/>
          <w:szCs w:val="20"/>
        </w:rPr>
        <w:t xml:space="preserve">without harnesses (OR 1.47, 95%CI 0.73, 2.98). We found a slightly raised odds of a fall in children who had not used walker (OR 1.22, 95%CI 0.90, 1.65), consistent with the Australian study (OR for ever using baby walker 0.83, 95%CI 0.50–1.38). However, this was inconsistent with an increased odds of a head injury in those using a walker most days (OR 2.47, 95%CI 0.97, 6.48) found by the same study. </w:t>
      </w:r>
    </w:p>
    <w:p w:rsidR="00797473" w:rsidRPr="006B5915" w:rsidRDefault="00797473" w:rsidP="00FB2A31">
      <w:pPr>
        <w:spacing w:after="0" w:line="480" w:lineRule="auto"/>
        <w:rPr>
          <w:rFonts w:ascii="Verdana" w:hAnsi="Verdana" w:cs="Calibri"/>
          <w:bCs/>
          <w:i/>
          <w:color w:val="333333"/>
          <w:sz w:val="20"/>
          <w:szCs w:val="20"/>
          <w:lang w:eastAsia="en-GB"/>
        </w:rPr>
      </w:pPr>
      <w:r w:rsidRPr="006B5915">
        <w:rPr>
          <w:rFonts w:ascii="Verdana" w:hAnsi="Verdana" w:cs="Calibri"/>
          <w:bCs/>
          <w:i/>
          <w:color w:val="333333"/>
          <w:sz w:val="20"/>
          <w:szCs w:val="20"/>
          <w:lang w:eastAsia="en-GB"/>
        </w:rPr>
        <w:t xml:space="preserve">Implications for </w:t>
      </w:r>
      <w:proofErr w:type="gramStart"/>
      <w:r w:rsidRPr="006B5915">
        <w:rPr>
          <w:rFonts w:ascii="Verdana" w:hAnsi="Verdana" w:cs="Calibri"/>
          <w:bCs/>
          <w:i/>
          <w:color w:val="333333"/>
          <w:sz w:val="20"/>
          <w:szCs w:val="20"/>
          <w:lang w:eastAsia="en-GB"/>
        </w:rPr>
        <w:t>policy,</w:t>
      </w:r>
      <w:proofErr w:type="gramEnd"/>
      <w:r w:rsidRPr="006B5915">
        <w:rPr>
          <w:rFonts w:ascii="Verdana" w:hAnsi="Verdana" w:cs="Calibri"/>
          <w:bCs/>
          <w:i/>
          <w:color w:val="333333"/>
          <w:sz w:val="20"/>
          <w:szCs w:val="20"/>
          <w:lang w:eastAsia="en-GB"/>
        </w:rPr>
        <w:t xml:space="preserve"> practice and research</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sz w:val="20"/>
          <w:szCs w:val="20"/>
        </w:rPr>
        <w:t xml:space="preserve">If our estimated associations are causal, some falls from furniture may be prevented by incorporating falls prevention advice into child health surveillance programmes, personal child health records, home safety assessments and other child health contacts. </w:t>
      </w:r>
      <w:r w:rsidRPr="006B5915">
        <w:rPr>
          <w:rFonts w:ascii="Verdana" w:hAnsi="Verdana" w:cs="Calibri"/>
          <w:bCs/>
          <w:color w:val="333333"/>
          <w:sz w:val="20"/>
          <w:szCs w:val="20"/>
          <w:lang w:eastAsia="en-GB"/>
        </w:rPr>
        <w:t xml:space="preserve">Larger studies are required to assess associations between use of bunk beds, baby walkers, playpens and stationary activity centres and falls. </w:t>
      </w:r>
    </w:p>
    <w:p w:rsidR="00797473" w:rsidRPr="006B5915" w:rsidRDefault="00797473" w:rsidP="00FB2A31">
      <w:pPr>
        <w:spacing w:after="0" w:line="360" w:lineRule="auto"/>
        <w:rPr>
          <w:rFonts w:ascii="Verdana" w:hAnsi="Verdana" w:cs="Calibri"/>
          <w:bCs/>
          <w:color w:val="333333"/>
          <w:sz w:val="20"/>
          <w:szCs w:val="20"/>
          <w:lang w:eastAsia="en-GB"/>
        </w:rPr>
      </w:pPr>
    </w:p>
    <w:p w:rsidR="00797473" w:rsidRPr="006B5915" w:rsidRDefault="00797473">
      <w:pPr>
        <w:spacing w:after="0" w:line="24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br w:type="page"/>
      </w:r>
    </w:p>
    <w:p w:rsidR="00797473" w:rsidRPr="006B5915" w:rsidRDefault="00797473" w:rsidP="00FB2A31">
      <w:pPr>
        <w:spacing w:after="0" w:line="360" w:lineRule="auto"/>
        <w:rPr>
          <w:rFonts w:ascii="Verdana" w:hAnsi="Verdana" w:cs="Calibri"/>
          <w:bCs/>
          <w:color w:val="333333"/>
          <w:sz w:val="20"/>
          <w:szCs w:val="20"/>
          <w:lang w:eastAsia="en-GB"/>
        </w:rPr>
      </w:pPr>
    </w:p>
    <w:p w:rsidR="00797473" w:rsidRPr="006B5915" w:rsidRDefault="00797473" w:rsidP="00FB2A31">
      <w:pPr>
        <w:spacing w:after="0" w:line="480" w:lineRule="auto"/>
        <w:rPr>
          <w:rFonts w:ascii="Verdana" w:hAnsi="Verdana" w:cs="Calibri"/>
          <w:b/>
          <w:bCs/>
          <w:color w:val="333333"/>
          <w:sz w:val="20"/>
          <w:szCs w:val="20"/>
          <w:lang w:eastAsia="en-GB"/>
        </w:rPr>
      </w:pPr>
      <w:r w:rsidRPr="006B5915">
        <w:rPr>
          <w:rFonts w:ascii="Verdana" w:hAnsi="Verdana" w:cs="Calibri"/>
          <w:b/>
          <w:bCs/>
          <w:color w:val="333333"/>
          <w:sz w:val="20"/>
          <w:szCs w:val="20"/>
          <w:lang w:eastAsia="en-GB"/>
        </w:rPr>
        <w:t>Acknowledgements</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 xml:space="preserve">We wish to thank the parents who participated in the study. We would also like to thank the Principal Investigators, liaison health visitors, research nurses and other staff from the emergency departments and minor injury units who assisted with recruiting participants from Nottingham University Hospitals NHS Trust, Derby Hospitals NHS Foundation Trust,  Norfolk and Norwich University Hospitals NHS Foundation Trust, James Paget University Hospitals NHS Foundation Trust, University Hospitals Bristol NHS Foundation Trust, North Bristol Healthcare Trust, Newcastle Upon Tyne Hospitals NHS Foundation Trust, Gateshead NHS Foundation Trust and Northumbria Healthcare NHS Foundation Trust. We gratefully acknowledge the support provided for recruitment by the Primary Care Research Networks for East Midlands and South Yorkshire, Leicestershire, Northamptonshire and Rutland, East of England, Northern and Yorkshire and from South West and Trent, Norfolk &amp; Suffolk, Northumberland Tyne and Wear and Western Comprehensive Local Research Networks. Written permission has been obtained and we thank Joanne Ablewhite, Penny Benford, Clare Timblin, Philip Miller, Jane Stewart, Persephone Wynn and Ben Young from the University of Nottingham; </w:t>
      </w:r>
      <w:proofErr w:type="spellStart"/>
      <w:r w:rsidRPr="006B5915">
        <w:rPr>
          <w:rFonts w:ascii="Verdana" w:hAnsi="Verdana" w:cs="Calibri"/>
          <w:bCs/>
          <w:color w:val="333333"/>
          <w:sz w:val="20"/>
          <w:szCs w:val="20"/>
          <w:lang w:eastAsia="en-GB"/>
        </w:rPr>
        <w:t>Gosia</w:t>
      </w:r>
      <w:proofErr w:type="spellEnd"/>
      <w:r w:rsidRPr="006B5915">
        <w:rPr>
          <w:rFonts w:ascii="Verdana" w:hAnsi="Verdana" w:cs="Calibri"/>
          <w:bCs/>
          <w:color w:val="333333"/>
          <w:sz w:val="20"/>
          <w:szCs w:val="20"/>
          <w:lang w:eastAsia="en-GB"/>
        </w:rPr>
        <w:t xml:space="preserve"> </w:t>
      </w:r>
      <w:proofErr w:type="spellStart"/>
      <w:r w:rsidRPr="006B5915">
        <w:rPr>
          <w:rFonts w:ascii="Verdana" w:hAnsi="Verdana" w:cs="Calibri"/>
          <w:bCs/>
          <w:color w:val="333333"/>
          <w:sz w:val="20"/>
          <w:szCs w:val="20"/>
          <w:lang w:eastAsia="en-GB"/>
        </w:rPr>
        <w:t>Majsak</w:t>
      </w:r>
      <w:proofErr w:type="spellEnd"/>
      <w:r w:rsidRPr="006B5915">
        <w:rPr>
          <w:rFonts w:ascii="Verdana" w:hAnsi="Verdana" w:cs="Calibri"/>
          <w:bCs/>
          <w:color w:val="333333"/>
          <w:sz w:val="20"/>
          <w:szCs w:val="20"/>
          <w:lang w:eastAsia="en-GB"/>
        </w:rPr>
        <w:t xml:space="preserve">-Newman, Lisa McDaid, Clare Ferns and  Nathalie Horncastle from the Norfolk and Norwich University Hospitals NHS Foundation Trust;  Trudy </w:t>
      </w:r>
      <w:proofErr w:type="spellStart"/>
      <w:r w:rsidRPr="006B5915">
        <w:rPr>
          <w:rFonts w:ascii="Verdana" w:hAnsi="Verdana" w:cs="Calibri"/>
          <w:bCs/>
          <w:color w:val="333333"/>
          <w:sz w:val="20"/>
          <w:szCs w:val="20"/>
          <w:lang w:eastAsia="en-GB"/>
        </w:rPr>
        <w:t>Goodenough</w:t>
      </w:r>
      <w:proofErr w:type="spellEnd"/>
      <w:r w:rsidRPr="006B5915">
        <w:rPr>
          <w:rFonts w:ascii="Verdana" w:hAnsi="Verdana" w:cs="Calibri"/>
          <w:bCs/>
          <w:color w:val="333333"/>
          <w:sz w:val="20"/>
          <w:szCs w:val="20"/>
          <w:lang w:eastAsia="en-GB"/>
        </w:rPr>
        <w:t xml:space="preserve">, </w:t>
      </w:r>
      <w:proofErr w:type="spellStart"/>
      <w:r w:rsidRPr="006B5915">
        <w:rPr>
          <w:rFonts w:ascii="Verdana" w:hAnsi="Verdana" w:cs="Calibri"/>
          <w:bCs/>
          <w:color w:val="333333"/>
          <w:sz w:val="20"/>
          <w:szCs w:val="20"/>
          <w:lang w:eastAsia="en-GB"/>
        </w:rPr>
        <w:t>Pilar</w:t>
      </w:r>
      <w:proofErr w:type="spellEnd"/>
      <w:r w:rsidRPr="006B5915">
        <w:rPr>
          <w:rFonts w:ascii="Verdana" w:hAnsi="Verdana" w:cs="Calibri"/>
          <w:bCs/>
          <w:color w:val="333333"/>
          <w:sz w:val="20"/>
          <w:szCs w:val="20"/>
          <w:lang w:eastAsia="en-GB"/>
        </w:rPr>
        <w:t xml:space="preserve"> Munoz and Benita Laird-Hopkins from the University of the West of England, Adrian Hawkins</w:t>
      </w:r>
      <w:r w:rsidRPr="006B5915">
        <w:rPr>
          <w:rFonts w:ascii="Verdana" w:hAnsi="Verdana" w:cs="Calibri"/>
          <w:bCs/>
          <w:sz w:val="20"/>
          <w:szCs w:val="20"/>
          <w:lang w:eastAsia="en-GB"/>
        </w:rPr>
        <w:t xml:space="preserve">, </w:t>
      </w:r>
      <w:r w:rsidRPr="006B5915">
        <w:rPr>
          <w:rFonts w:ascii="Verdana" w:hAnsi="Verdana" w:cs="Calibri"/>
          <w:bCs/>
          <w:color w:val="333333"/>
          <w:sz w:val="20"/>
          <w:szCs w:val="20"/>
          <w:lang w:eastAsia="en-GB"/>
        </w:rPr>
        <w:t xml:space="preserve">Emma Davison and Laura  Simms from the Great North Children’s Hospital, Newcastle upon Tyne and Bryony Kay from the Bristol Royal Hospital for Children who helped with recruitment, data collection, prepared data for analysis or commented on drafts of papers. We would like to acknowledge the following Principal Investigators who contributed to obtaining funding, study design, project management in their centres and to interpretation of analyses and commented on drafts of papers: Elizabeth Towner (University of the West of England), Elaine McColl, (Newcastle University), Alex J Sutton and Nicola </w:t>
      </w:r>
      <w:proofErr w:type="gramStart"/>
      <w:r w:rsidRPr="006B5915">
        <w:rPr>
          <w:rFonts w:ascii="Verdana" w:hAnsi="Verdana" w:cs="Calibri"/>
          <w:bCs/>
          <w:color w:val="333333"/>
          <w:sz w:val="20"/>
          <w:szCs w:val="20"/>
          <w:lang w:eastAsia="en-GB"/>
        </w:rPr>
        <w:t>Cooper(</w:t>
      </w:r>
      <w:proofErr w:type="gramEnd"/>
      <w:r w:rsidRPr="006B5915">
        <w:rPr>
          <w:rFonts w:ascii="Verdana" w:hAnsi="Verdana" w:cs="Calibri"/>
          <w:bCs/>
          <w:color w:val="333333"/>
          <w:sz w:val="20"/>
          <w:szCs w:val="20"/>
          <w:lang w:eastAsia="en-GB"/>
        </w:rPr>
        <w:t xml:space="preserve">University of Leicester) and Frank Coffey (Nottingham University Hospitals NHS Trust). We are also very grateful to Rose </w:t>
      </w:r>
      <w:proofErr w:type="spellStart"/>
      <w:r w:rsidRPr="006B5915">
        <w:rPr>
          <w:rFonts w:ascii="Verdana" w:hAnsi="Verdana" w:cs="Calibri"/>
          <w:bCs/>
          <w:color w:val="333333"/>
          <w:sz w:val="20"/>
          <w:szCs w:val="20"/>
          <w:lang w:eastAsia="en-GB"/>
        </w:rPr>
        <w:t>Clacy</w:t>
      </w:r>
      <w:proofErr w:type="spellEnd"/>
      <w:r w:rsidRPr="006B5915">
        <w:rPr>
          <w:rFonts w:ascii="Verdana" w:hAnsi="Verdana" w:cs="Calibri"/>
          <w:bCs/>
          <w:color w:val="333333"/>
          <w:sz w:val="20"/>
          <w:szCs w:val="20"/>
          <w:lang w:eastAsia="en-GB"/>
        </w:rPr>
        <w:t xml:space="preserve">, lay research adviser, who </w:t>
      </w:r>
      <w:r w:rsidRPr="006B5915">
        <w:rPr>
          <w:rFonts w:ascii="Verdana" w:hAnsi="Verdana" w:cs="Calibri"/>
          <w:bCs/>
          <w:color w:val="333333"/>
          <w:sz w:val="20"/>
          <w:szCs w:val="20"/>
          <w:lang w:eastAsia="en-GB"/>
        </w:rPr>
        <w:lastRenderedPageBreak/>
        <w:t xml:space="preserve">attended project management meetings, helped draft and pilot study documentation, advised on recruitment strategies and commented on drafts of the paper.  </w:t>
      </w:r>
    </w:p>
    <w:p w:rsidR="00797473" w:rsidRPr="006B5915" w:rsidRDefault="00797473" w:rsidP="00FB2A31">
      <w:pPr>
        <w:spacing w:after="0" w:line="480" w:lineRule="auto"/>
        <w:rPr>
          <w:rFonts w:ascii="Verdana" w:hAnsi="Verdana" w:cs="Calibri"/>
          <w:bCs/>
          <w:color w:val="333333"/>
          <w:sz w:val="20"/>
          <w:szCs w:val="20"/>
          <w:lang w:eastAsia="en-GB"/>
        </w:rPr>
      </w:pP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
          <w:bCs/>
          <w:color w:val="333333"/>
          <w:sz w:val="20"/>
          <w:szCs w:val="20"/>
          <w:lang w:eastAsia="en-GB"/>
        </w:rPr>
        <w:t>Authors’ specific contributions</w:t>
      </w:r>
      <w:r w:rsidRPr="006B5915">
        <w:rPr>
          <w:rFonts w:ascii="Verdana" w:hAnsi="Verdana" w:cs="Calibri"/>
          <w:bCs/>
          <w:color w:val="333333"/>
          <w:sz w:val="20"/>
          <w:szCs w:val="20"/>
          <w:lang w:eastAsia="en-GB"/>
        </w:rPr>
        <w:t>:</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Study concept and design: DK, RR, CC, MW, MH, TD</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Acquisition of data: AM, PH, TD</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Analysis and interpretation of data: DK, AM, CC, PH</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 xml:space="preserve">Drafting of the manuscript: </w:t>
      </w:r>
      <w:proofErr w:type="gramStart"/>
      <w:r w:rsidRPr="006B5915">
        <w:rPr>
          <w:rFonts w:ascii="Verdana" w:hAnsi="Verdana" w:cs="Calibri"/>
          <w:bCs/>
          <w:color w:val="333333"/>
          <w:sz w:val="20"/>
          <w:szCs w:val="20"/>
          <w:lang w:eastAsia="en-GB"/>
        </w:rPr>
        <w:t>DK,</w:t>
      </w:r>
      <w:proofErr w:type="gramEnd"/>
      <w:r w:rsidRPr="006B5915">
        <w:rPr>
          <w:rFonts w:ascii="Verdana" w:hAnsi="Verdana" w:cs="Calibri"/>
          <w:bCs/>
          <w:color w:val="333333"/>
          <w:sz w:val="20"/>
          <w:szCs w:val="20"/>
          <w:lang w:eastAsia="en-GB"/>
        </w:rPr>
        <w:t xml:space="preserve"> AM</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Critical revision of the manuscript for important intellectual content: All authors</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Statistical analysis: DK, AM, CC</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Study supervision: DK, RR, TD</w:t>
      </w:r>
    </w:p>
    <w:p w:rsidR="00797473" w:rsidRPr="006B5915" w:rsidRDefault="00797473" w:rsidP="00FB2A31">
      <w:pPr>
        <w:spacing w:after="0" w:line="480" w:lineRule="auto"/>
        <w:rPr>
          <w:rFonts w:ascii="Verdana" w:hAnsi="Verdana" w:cs="Calibri"/>
          <w:bCs/>
          <w:color w:val="333333"/>
          <w:sz w:val="20"/>
          <w:szCs w:val="20"/>
          <w:lang w:eastAsia="en-GB"/>
        </w:rPr>
      </w:pP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sz w:val="20"/>
          <w:szCs w:val="20"/>
        </w:rPr>
        <w:t>DK had full access to all the data in the study and takes responsibility for the integrity of the data and the accuracy of the data analysis.</w:t>
      </w:r>
    </w:p>
    <w:p w:rsidR="00797473" w:rsidRPr="006B5915" w:rsidRDefault="00797473" w:rsidP="00FB2A31">
      <w:pPr>
        <w:spacing w:after="0" w:line="480" w:lineRule="auto"/>
        <w:rPr>
          <w:rFonts w:ascii="Verdana" w:hAnsi="Verdana" w:cs="Calibri"/>
          <w:b/>
          <w:bCs/>
          <w:color w:val="333333"/>
          <w:sz w:val="20"/>
          <w:szCs w:val="20"/>
          <w:lang w:eastAsia="en-GB"/>
        </w:rPr>
      </w:pPr>
    </w:p>
    <w:p w:rsidR="00797473" w:rsidRPr="006B5915" w:rsidRDefault="00797473" w:rsidP="00FB2A31">
      <w:pPr>
        <w:spacing w:after="0" w:line="480" w:lineRule="auto"/>
        <w:rPr>
          <w:rFonts w:ascii="Verdana" w:hAnsi="Verdana" w:cs="Calibri"/>
          <w:b/>
          <w:bCs/>
          <w:sz w:val="20"/>
          <w:szCs w:val="20"/>
          <w:lang w:eastAsia="en-GB"/>
        </w:rPr>
      </w:pPr>
      <w:r w:rsidRPr="006B5915">
        <w:rPr>
          <w:rFonts w:ascii="Verdana" w:hAnsi="Verdana" w:cs="Calibri"/>
          <w:b/>
          <w:bCs/>
          <w:sz w:val="20"/>
          <w:szCs w:val="20"/>
          <w:lang w:eastAsia="en-GB"/>
        </w:rPr>
        <w:t>Funding acknowledgement</w:t>
      </w: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Cs/>
          <w:color w:val="333333"/>
          <w:sz w:val="20"/>
          <w:szCs w:val="20"/>
          <w:lang w:eastAsia="en-GB"/>
        </w:rPr>
        <w:t>This paper presents independent research funded by the National Institute for Health Research (NIHR) under its Programme Grants for Applied Research Programme (RP-PG-0407-10231). The views expressed in this article are those of the authors and not necessarily those of the NHS, the NIHR or the Department of Health.</w:t>
      </w:r>
    </w:p>
    <w:p w:rsidR="00797473" w:rsidRPr="006B5915" w:rsidRDefault="00797473" w:rsidP="00FB2A31">
      <w:pPr>
        <w:spacing w:after="0" w:line="480" w:lineRule="auto"/>
        <w:rPr>
          <w:rFonts w:ascii="Verdana" w:hAnsi="Verdana" w:cs="Calibri"/>
          <w:bCs/>
          <w:color w:val="333333"/>
          <w:sz w:val="20"/>
          <w:szCs w:val="20"/>
          <w:lang w:eastAsia="en-GB"/>
        </w:rPr>
      </w:pPr>
    </w:p>
    <w:p w:rsidR="00797473" w:rsidRPr="006B5915" w:rsidRDefault="00797473" w:rsidP="00FB2A31">
      <w:pPr>
        <w:spacing w:after="0" w:line="480" w:lineRule="auto"/>
        <w:rPr>
          <w:rFonts w:ascii="Verdana" w:hAnsi="Verdana" w:cs="Calibri"/>
          <w:b/>
          <w:bCs/>
          <w:sz w:val="20"/>
          <w:szCs w:val="20"/>
          <w:lang w:eastAsia="en-GB"/>
        </w:rPr>
      </w:pPr>
      <w:r w:rsidRPr="006B5915">
        <w:rPr>
          <w:rFonts w:ascii="Verdana" w:hAnsi="Verdana" w:cs="Calibri"/>
          <w:b/>
          <w:bCs/>
          <w:sz w:val="20"/>
          <w:szCs w:val="20"/>
          <w:lang w:eastAsia="en-GB"/>
        </w:rPr>
        <w:t xml:space="preserve">Role of Sponsor: </w:t>
      </w:r>
      <w:r w:rsidRPr="006B5915">
        <w:rPr>
          <w:rFonts w:ascii="Verdana" w:hAnsi="Verdana"/>
          <w:sz w:val="20"/>
          <w:szCs w:val="20"/>
        </w:rPr>
        <w:t>The study sponsor and funder played no role in study design or conduct of the study; the collection, management, analysis, and interpretation of data; preparation, review or approval of the manuscript; and the decision to submit the article for publication.</w:t>
      </w:r>
    </w:p>
    <w:p w:rsidR="00797473" w:rsidRPr="006B5915" w:rsidRDefault="00797473" w:rsidP="00FB2A31">
      <w:pPr>
        <w:spacing w:after="0" w:line="480" w:lineRule="auto"/>
        <w:rPr>
          <w:rFonts w:ascii="Verdana" w:hAnsi="Verdana" w:cs="Calibri"/>
          <w:bCs/>
          <w:color w:val="333333"/>
          <w:sz w:val="20"/>
          <w:szCs w:val="20"/>
          <w:lang w:eastAsia="en-GB"/>
        </w:rPr>
      </w:pPr>
    </w:p>
    <w:p w:rsidR="00797473" w:rsidRPr="006B5915" w:rsidRDefault="00797473" w:rsidP="00FB2A31">
      <w:pPr>
        <w:pStyle w:val="NormalWeb"/>
        <w:spacing w:before="0" w:beforeAutospacing="0" w:after="0" w:afterAutospacing="0" w:line="480" w:lineRule="auto"/>
        <w:textAlignment w:val="baseline"/>
        <w:rPr>
          <w:rFonts w:ascii="Verdana" w:hAnsi="Verdana" w:cs="Arial"/>
          <w:color w:val="333333"/>
          <w:sz w:val="20"/>
          <w:szCs w:val="20"/>
        </w:rPr>
      </w:pPr>
      <w:r w:rsidRPr="006B5915">
        <w:rPr>
          <w:rFonts w:ascii="Verdana" w:hAnsi="Verdana" w:cs="Calibri"/>
          <w:b/>
          <w:bCs/>
          <w:sz w:val="20"/>
          <w:szCs w:val="20"/>
        </w:rPr>
        <w:t>Conflict of Interest Disclosures</w:t>
      </w:r>
      <w:r w:rsidRPr="006B5915">
        <w:rPr>
          <w:rFonts w:ascii="Verdana" w:hAnsi="Verdana" w:cs="Calibri"/>
          <w:bCs/>
          <w:sz w:val="20"/>
          <w:szCs w:val="20"/>
        </w:rPr>
        <w:t xml:space="preserve">: </w:t>
      </w:r>
      <w:r w:rsidRPr="006B5915">
        <w:rPr>
          <w:rFonts w:ascii="Verdana" w:hAnsi="Verdana" w:cs="Arial"/>
          <w:color w:val="333333"/>
          <w:sz w:val="20"/>
          <w:szCs w:val="20"/>
        </w:rPr>
        <w:t xml:space="preserve">None reported.  Funding was received for the study as described in the funding acknowledgement section.  The authors declare no financial relationships with any organisations that might have an interest in the submitted work in </w:t>
      </w:r>
      <w:r w:rsidRPr="006B5915">
        <w:rPr>
          <w:rFonts w:ascii="Verdana" w:hAnsi="Verdana" w:cs="Arial"/>
          <w:color w:val="333333"/>
          <w:sz w:val="20"/>
          <w:szCs w:val="20"/>
        </w:rPr>
        <w:lastRenderedPageBreak/>
        <w:t>the previous three years; no other relationships or activities that could appear to have influenced the submitted work.</w:t>
      </w:r>
    </w:p>
    <w:p w:rsidR="00797473" w:rsidRPr="006B5915" w:rsidRDefault="00797473" w:rsidP="00FB2A31">
      <w:pPr>
        <w:spacing w:after="0" w:line="480" w:lineRule="auto"/>
        <w:rPr>
          <w:rFonts w:ascii="Verdana" w:hAnsi="Verdana" w:cs="Calibri"/>
          <w:bCs/>
          <w:sz w:val="20"/>
          <w:szCs w:val="20"/>
          <w:lang w:eastAsia="en-GB"/>
        </w:rPr>
      </w:pPr>
    </w:p>
    <w:p w:rsidR="00797473" w:rsidRPr="006B5915" w:rsidRDefault="00797473" w:rsidP="00FB2A31">
      <w:pPr>
        <w:spacing w:after="0" w:line="480" w:lineRule="auto"/>
        <w:rPr>
          <w:rFonts w:ascii="Verdana" w:hAnsi="Verdana" w:cs="Calibri"/>
          <w:bCs/>
          <w:color w:val="333333"/>
          <w:sz w:val="20"/>
          <w:szCs w:val="20"/>
          <w:lang w:eastAsia="en-GB"/>
        </w:rPr>
      </w:pPr>
      <w:r w:rsidRPr="006B5915">
        <w:rPr>
          <w:rFonts w:ascii="Verdana" w:hAnsi="Verdana" w:cs="Calibri"/>
          <w:b/>
          <w:bCs/>
          <w:color w:val="333333"/>
          <w:sz w:val="20"/>
          <w:szCs w:val="20"/>
          <w:lang w:eastAsia="en-GB"/>
        </w:rPr>
        <w:t>Contributors</w:t>
      </w:r>
      <w:r w:rsidRPr="006B5915">
        <w:rPr>
          <w:rFonts w:ascii="Verdana" w:hAnsi="Verdana" w:cs="Calibri"/>
          <w:bCs/>
          <w:color w:val="333333"/>
          <w:sz w:val="20"/>
          <w:szCs w:val="20"/>
          <w:lang w:eastAsia="en-GB"/>
        </w:rPr>
        <w:t xml:space="preserve">: </w:t>
      </w:r>
      <w:r w:rsidRPr="006B5915">
        <w:rPr>
          <w:rFonts w:ascii="Verdana" w:hAnsi="Verdana"/>
          <w:sz w:val="20"/>
          <w:szCs w:val="20"/>
        </w:rPr>
        <w:t xml:space="preserve">DK had the original idea for the study, designed the study, supervised data collection, contributed to writing the data analysis plan, undertook analyses, drafted sections of the paper and is the guarantor for this paper. AM contributed to writing the analysis plan, undertook analyses, contributed to the interpretation of the data and drafted sections of the paper. RR contributed to the design of the study, to supervising data collection, to interpretation of the data and to drafting the paper. PH collected data, contributed to interpretation of the data and to drafting the paper. CC contributed to the design of the study, writing the analysis plan, advised on analyses and on interpretation of data and contributed to drafting the paper. MW contributed to the study design, to interpretation of the data and drafted sections of the paper. MH contributed to the study design, to interpretation of the data and to drafting the paper. TD contributed to the study design, collected data, contributed to interpretation of the data and to drafting the paper. All authors agreed the final version of the paper and certify that the manuscript represents valid work and that neither this manuscript nor one with substantially similar content under their authorship has been published or is being considered for publication elsewhere. All researchers were independent of the funders.  </w:t>
      </w:r>
    </w:p>
    <w:p w:rsidR="00797473" w:rsidRPr="006B5915" w:rsidRDefault="00797473" w:rsidP="00FB2A31">
      <w:pPr>
        <w:spacing w:line="480" w:lineRule="auto"/>
        <w:rPr>
          <w:rFonts w:ascii="Verdana" w:hAnsi="Verdana"/>
          <w:sz w:val="20"/>
          <w:szCs w:val="20"/>
        </w:rPr>
      </w:pPr>
    </w:p>
    <w:p w:rsidR="00797473" w:rsidRPr="006B5915" w:rsidRDefault="00797473" w:rsidP="00FB2A31">
      <w:pPr>
        <w:spacing w:after="0" w:line="240" w:lineRule="auto"/>
      </w:pPr>
      <w:r w:rsidRPr="006B5915">
        <w:rPr>
          <w:rFonts w:ascii="Verdana" w:hAnsi="Verdana"/>
          <w:b/>
          <w:sz w:val="20"/>
          <w:szCs w:val="20"/>
        </w:rPr>
        <w:t>References</w:t>
      </w:r>
    </w:p>
    <w:p w:rsidR="00797473" w:rsidRPr="006B5915" w:rsidRDefault="00797473" w:rsidP="00FB2A31">
      <w:pPr>
        <w:spacing w:after="0" w:line="360" w:lineRule="auto"/>
        <w:rPr>
          <w:rFonts w:ascii="Verdana" w:hAnsi="Verdana"/>
          <w:sz w:val="20"/>
          <w:szCs w:val="20"/>
        </w:rPr>
      </w:pPr>
    </w:p>
    <w:p w:rsidR="00797473" w:rsidRPr="006B5915" w:rsidRDefault="00797473" w:rsidP="00B130E5">
      <w:pPr>
        <w:spacing w:after="0" w:line="480" w:lineRule="auto"/>
        <w:ind w:left="720" w:hanging="720"/>
        <w:rPr>
          <w:rFonts w:ascii="Verdana" w:hAnsi="Verdana"/>
          <w:noProof/>
          <w:sz w:val="20"/>
          <w:szCs w:val="20"/>
        </w:rPr>
      </w:pPr>
      <w:bookmarkStart w:id="0" w:name="_ENREF_1"/>
      <w:r w:rsidRPr="006B5915">
        <w:rPr>
          <w:rFonts w:ascii="Verdana" w:hAnsi="Verdana"/>
          <w:noProof/>
          <w:sz w:val="20"/>
          <w:szCs w:val="20"/>
        </w:rPr>
        <w:t>1. National Center for Injury Prevention and Control. Unintentional Fall Nonfatal Injuries and Rates per 100,000. WISQARS data. http://webappa.cdc.gov/sasweb/ncipc/nfirates2001.html. [accessed 01/12/2013].</w:t>
      </w:r>
      <w:bookmarkEnd w:id="0"/>
    </w:p>
    <w:p w:rsidR="00797473" w:rsidRPr="006B5915" w:rsidRDefault="00797473" w:rsidP="00B130E5">
      <w:pPr>
        <w:spacing w:after="0" w:line="480" w:lineRule="auto"/>
        <w:ind w:left="720" w:hanging="720"/>
        <w:rPr>
          <w:rFonts w:ascii="Verdana" w:hAnsi="Verdana"/>
          <w:noProof/>
          <w:sz w:val="20"/>
          <w:szCs w:val="20"/>
        </w:rPr>
      </w:pPr>
      <w:bookmarkStart w:id="1" w:name="_ENREF_2"/>
      <w:r w:rsidRPr="006B5915">
        <w:rPr>
          <w:rFonts w:ascii="Verdana" w:hAnsi="Verdana"/>
          <w:noProof/>
          <w:sz w:val="20"/>
          <w:szCs w:val="20"/>
        </w:rPr>
        <w:t>2. The Royal Society for the Prevention of Accidents. HASS and LASS. Home &amp; Leisure Accident Surveillance System. http://www.hassandlass.org.uk/reports/2002data.pdf [accessed 01/11/2013].</w:t>
      </w:r>
      <w:bookmarkEnd w:id="1"/>
    </w:p>
    <w:p w:rsidR="00797473" w:rsidRPr="006B5915" w:rsidRDefault="00797473" w:rsidP="00B130E5">
      <w:pPr>
        <w:spacing w:after="0" w:line="480" w:lineRule="auto"/>
        <w:ind w:left="720" w:hanging="720"/>
        <w:rPr>
          <w:rFonts w:ascii="Verdana" w:hAnsi="Verdana"/>
          <w:noProof/>
          <w:sz w:val="20"/>
          <w:szCs w:val="20"/>
        </w:rPr>
      </w:pPr>
      <w:bookmarkStart w:id="2" w:name="_ENREF_3"/>
      <w:r w:rsidRPr="006B5915">
        <w:rPr>
          <w:rFonts w:ascii="Verdana" w:hAnsi="Verdana"/>
          <w:noProof/>
          <w:sz w:val="20"/>
          <w:szCs w:val="20"/>
        </w:rPr>
        <w:lastRenderedPageBreak/>
        <w:t>3. Centers for Disease Control and Prevention. Protect the Ones You Love: Child Injuries are Preventable. http://www.cdc.gov/safechild/NAP/background.html#burden [accessed 01/11/2013].</w:t>
      </w:r>
      <w:bookmarkEnd w:id="2"/>
    </w:p>
    <w:p w:rsidR="00797473" w:rsidRPr="006B5915" w:rsidRDefault="00797473" w:rsidP="00B130E5">
      <w:pPr>
        <w:spacing w:after="0" w:line="480" w:lineRule="auto"/>
        <w:ind w:left="720" w:hanging="720"/>
        <w:rPr>
          <w:rFonts w:ascii="Verdana" w:hAnsi="Verdana"/>
          <w:noProof/>
          <w:sz w:val="20"/>
          <w:szCs w:val="20"/>
        </w:rPr>
      </w:pPr>
      <w:bookmarkStart w:id="3" w:name="_ENREF_4"/>
      <w:r w:rsidRPr="006B5915">
        <w:rPr>
          <w:rFonts w:ascii="Verdana" w:hAnsi="Verdana"/>
          <w:noProof/>
          <w:sz w:val="20"/>
          <w:szCs w:val="20"/>
        </w:rPr>
        <w:t>4. Health and Social Care Information Centre. Hospital Episode Statistics, Admitted Patient Care, England - 2012-13: External Causes. http://www.hscic.gov.uk/catalogue/PUB12566. [Accessed 27/1/14].</w:t>
      </w:r>
      <w:bookmarkEnd w:id="3"/>
    </w:p>
    <w:p w:rsidR="00797473" w:rsidRPr="006B5915" w:rsidRDefault="00797473" w:rsidP="00B130E5">
      <w:pPr>
        <w:spacing w:after="0" w:line="480" w:lineRule="auto"/>
        <w:ind w:left="720" w:hanging="720"/>
        <w:rPr>
          <w:rFonts w:ascii="Verdana" w:hAnsi="Verdana"/>
          <w:noProof/>
          <w:sz w:val="20"/>
          <w:szCs w:val="20"/>
        </w:rPr>
      </w:pPr>
      <w:bookmarkStart w:id="4" w:name="_ENREF_5"/>
      <w:r w:rsidRPr="006B5915">
        <w:rPr>
          <w:rFonts w:ascii="Verdana" w:hAnsi="Verdana"/>
          <w:noProof/>
          <w:sz w:val="20"/>
          <w:szCs w:val="20"/>
        </w:rPr>
        <w:t xml:space="preserve">5. Pitone ML, Attia MW. Patterns of Injury Associated With Routine Childhood Falls. </w:t>
      </w:r>
      <w:r w:rsidRPr="006B5915">
        <w:rPr>
          <w:rFonts w:ascii="Verdana" w:hAnsi="Verdana"/>
          <w:i/>
          <w:noProof/>
          <w:sz w:val="20"/>
          <w:szCs w:val="20"/>
        </w:rPr>
        <w:t>Pediatr Emerg Care</w:t>
      </w:r>
      <w:r w:rsidRPr="006B5915">
        <w:rPr>
          <w:rFonts w:ascii="Verdana" w:hAnsi="Verdana"/>
          <w:noProof/>
          <w:sz w:val="20"/>
          <w:szCs w:val="20"/>
        </w:rPr>
        <w:t xml:space="preserve"> 2006;22(7):470-74 </w:t>
      </w:r>
      <w:bookmarkEnd w:id="4"/>
    </w:p>
    <w:p w:rsidR="00797473" w:rsidRPr="006B5915" w:rsidRDefault="00797473" w:rsidP="00B130E5">
      <w:pPr>
        <w:spacing w:after="0" w:line="480" w:lineRule="auto"/>
        <w:ind w:left="720" w:hanging="720"/>
        <w:rPr>
          <w:rFonts w:ascii="Verdana" w:hAnsi="Verdana"/>
          <w:noProof/>
          <w:sz w:val="20"/>
          <w:szCs w:val="20"/>
        </w:rPr>
      </w:pPr>
      <w:bookmarkStart w:id="5" w:name="_ENREF_6"/>
      <w:r w:rsidRPr="006B5915">
        <w:rPr>
          <w:rFonts w:ascii="Verdana" w:hAnsi="Verdana"/>
          <w:noProof/>
          <w:sz w:val="20"/>
          <w:szCs w:val="20"/>
        </w:rPr>
        <w:t>6. Watson W, Ozanne-Smith J, Begg S, et al. Injuries Associated with Nursery Furniture and Bunk Beds. Australia: Monash University Accident Research Centre, 1997.</w:t>
      </w:r>
      <w:bookmarkEnd w:id="5"/>
    </w:p>
    <w:p w:rsidR="00797473" w:rsidRPr="006B5915" w:rsidRDefault="00797473" w:rsidP="00B130E5">
      <w:pPr>
        <w:spacing w:after="0" w:line="480" w:lineRule="auto"/>
        <w:ind w:left="720" w:hanging="720"/>
        <w:rPr>
          <w:rFonts w:ascii="Verdana" w:hAnsi="Verdana"/>
          <w:noProof/>
          <w:sz w:val="20"/>
          <w:szCs w:val="20"/>
        </w:rPr>
      </w:pPr>
      <w:bookmarkStart w:id="6" w:name="_ENREF_7"/>
      <w:r w:rsidRPr="006B5915">
        <w:rPr>
          <w:rFonts w:ascii="Verdana" w:hAnsi="Verdana"/>
          <w:noProof/>
          <w:sz w:val="20"/>
          <w:szCs w:val="20"/>
        </w:rPr>
        <w:t xml:space="preserve">7. Dedoukou X, Spyridopoulos T, Kedikoglou S, et al. Incidence and risk factors of fall injuries among infants: a study in Greece. </w:t>
      </w:r>
      <w:r w:rsidRPr="006B5915">
        <w:rPr>
          <w:rFonts w:ascii="Verdana" w:hAnsi="Verdana"/>
          <w:i/>
          <w:noProof/>
          <w:sz w:val="20"/>
          <w:szCs w:val="20"/>
        </w:rPr>
        <w:t>Arch Pediatr Adolesc Med</w:t>
      </w:r>
      <w:r w:rsidRPr="006B5915">
        <w:rPr>
          <w:rFonts w:ascii="Verdana" w:hAnsi="Verdana"/>
          <w:noProof/>
          <w:sz w:val="20"/>
          <w:szCs w:val="20"/>
        </w:rPr>
        <w:t xml:space="preserve"> 2004;158:1002-06.</w:t>
      </w:r>
      <w:bookmarkEnd w:id="6"/>
    </w:p>
    <w:p w:rsidR="00797473" w:rsidRPr="006B5915" w:rsidRDefault="00797473" w:rsidP="00B130E5">
      <w:pPr>
        <w:spacing w:after="0" w:line="480" w:lineRule="auto"/>
        <w:ind w:left="720" w:hanging="720"/>
        <w:rPr>
          <w:rFonts w:ascii="Verdana" w:hAnsi="Verdana"/>
          <w:noProof/>
          <w:sz w:val="20"/>
          <w:szCs w:val="20"/>
        </w:rPr>
      </w:pPr>
      <w:bookmarkStart w:id="7" w:name="_ENREF_8"/>
      <w:r w:rsidRPr="006B5915">
        <w:rPr>
          <w:rFonts w:ascii="Verdana" w:hAnsi="Verdana"/>
          <w:noProof/>
          <w:sz w:val="20"/>
          <w:szCs w:val="20"/>
        </w:rPr>
        <w:t>8. Centers for Disease Control and Prevention. Data &amp; Statistics (WISQARS™): Cost of Injury Reports. Nonfatal Hospitalized Injuries, Both Sexes, Ages 0 to 4, United States, 2005. Intent: Unintentional. Mechanism: Fall. http://wisqars.cdc.gov:8080/costT/. [accessed 20/12/2013].</w:t>
      </w:r>
      <w:bookmarkEnd w:id="7"/>
    </w:p>
    <w:p w:rsidR="00797473" w:rsidRPr="006B5915" w:rsidRDefault="00797473" w:rsidP="00B130E5">
      <w:pPr>
        <w:spacing w:after="0" w:line="480" w:lineRule="auto"/>
        <w:ind w:left="720" w:hanging="720"/>
        <w:rPr>
          <w:rFonts w:ascii="Verdana" w:hAnsi="Verdana"/>
          <w:noProof/>
          <w:sz w:val="20"/>
          <w:szCs w:val="20"/>
        </w:rPr>
      </w:pPr>
      <w:bookmarkStart w:id="8" w:name="_ENREF_9"/>
      <w:r w:rsidRPr="006B5915">
        <w:rPr>
          <w:rFonts w:ascii="Verdana" w:hAnsi="Verdana"/>
          <w:noProof/>
          <w:sz w:val="20"/>
          <w:szCs w:val="20"/>
        </w:rPr>
        <w:t>9. Centers for Disease Control and Prevention. Data &amp; Statistics (WISQARS™): Cost of Injury Reports. Nonfatal Emergency Department Treated and Released Injuries, Both Sexes, Ages 0 to 4, United States, 2005. Intent: Unintentional. Mechanism: Fall. http://wisqars.cdc.gov:8080/costT/. [accessed 20/12/2013].</w:t>
      </w:r>
      <w:bookmarkEnd w:id="8"/>
    </w:p>
    <w:p w:rsidR="00797473" w:rsidRPr="006B5915" w:rsidRDefault="00797473" w:rsidP="00B130E5">
      <w:pPr>
        <w:spacing w:after="0" w:line="480" w:lineRule="auto"/>
        <w:ind w:left="720" w:hanging="720"/>
        <w:rPr>
          <w:rFonts w:ascii="Verdana" w:hAnsi="Verdana"/>
          <w:noProof/>
          <w:sz w:val="20"/>
          <w:szCs w:val="20"/>
        </w:rPr>
      </w:pPr>
      <w:bookmarkStart w:id="9" w:name="_ENREF_10"/>
      <w:r w:rsidRPr="006B5915">
        <w:rPr>
          <w:rFonts w:ascii="Verdana" w:hAnsi="Verdana"/>
          <w:noProof/>
          <w:sz w:val="20"/>
          <w:szCs w:val="20"/>
        </w:rPr>
        <w:t xml:space="preserve">10. Young B, Wynn PM, He Z, Kendrck D. Preventing childhood falls within the home: Overview of systematic reviews and a systematic review of primary studies. </w:t>
      </w:r>
      <w:r w:rsidRPr="006B5915">
        <w:rPr>
          <w:rFonts w:ascii="Verdana" w:hAnsi="Verdana"/>
          <w:i/>
          <w:noProof/>
          <w:sz w:val="20"/>
          <w:szCs w:val="20"/>
        </w:rPr>
        <w:t>Accident Analysis &amp; Prevention</w:t>
      </w:r>
      <w:r w:rsidRPr="006B5915">
        <w:rPr>
          <w:rFonts w:ascii="Verdana" w:hAnsi="Verdana"/>
          <w:noProof/>
          <w:sz w:val="20"/>
          <w:szCs w:val="20"/>
        </w:rPr>
        <w:t xml:space="preserve"> 2013;60(0):158-71.</w:t>
      </w:r>
      <w:bookmarkEnd w:id="9"/>
    </w:p>
    <w:p w:rsidR="00797473" w:rsidRPr="006B5915" w:rsidRDefault="00797473" w:rsidP="00B130E5">
      <w:pPr>
        <w:spacing w:after="0" w:line="480" w:lineRule="auto"/>
        <w:ind w:left="720" w:hanging="720"/>
        <w:rPr>
          <w:rFonts w:ascii="Verdana" w:hAnsi="Verdana"/>
          <w:noProof/>
          <w:sz w:val="20"/>
          <w:szCs w:val="20"/>
        </w:rPr>
      </w:pPr>
      <w:bookmarkStart w:id="10" w:name="_ENREF_11"/>
      <w:r w:rsidRPr="006B5915">
        <w:rPr>
          <w:rFonts w:ascii="Verdana" w:hAnsi="Verdana"/>
          <w:noProof/>
          <w:sz w:val="20"/>
          <w:szCs w:val="20"/>
        </w:rPr>
        <w:t xml:space="preserve">11. Kendrick D, Maula A, Stewart J, et al. Keeping children safe at home: protocol for three matched case–control studies of modifiable risk factors for falls. </w:t>
      </w:r>
      <w:r w:rsidRPr="006B5915">
        <w:rPr>
          <w:rFonts w:ascii="Verdana" w:hAnsi="Verdana"/>
          <w:i/>
          <w:noProof/>
          <w:sz w:val="20"/>
          <w:szCs w:val="20"/>
        </w:rPr>
        <w:t>Inj Prev</w:t>
      </w:r>
      <w:r w:rsidRPr="006B5915">
        <w:rPr>
          <w:rFonts w:ascii="Verdana" w:hAnsi="Verdana"/>
          <w:noProof/>
          <w:sz w:val="20"/>
          <w:szCs w:val="20"/>
        </w:rPr>
        <w:t xml:space="preserve"> 2012;18(3):e3.</w:t>
      </w:r>
      <w:bookmarkEnd w:id="10"/>
    </w:p>
    <w:p w:rsidR="00797473" w:rsidRPr="006B5915" w:rsidRDefault="00797473" w:rsidP="00B130E5">
      <w:pPr>
        <w:spacing w:after="0" w:line="480" w:lineRule="auto"/>
        <w:ind w:left="720" w:hanging="720"/>
        <w:rPr>
          <w:rFonts w:ascii="Verdana" w:hAnsi="Verdana"/>
          <w:noProof/>
          <w:sz w:val="20"/>
          <w:szCs w:val="20"/>
        </w:rPr>
      </w:pPr>
      <w:bookmarkStart w:id="11" w:name="_ENREF_12"/>
      <w:r w:rsidRPr="006B5915">
        <w:rPr>
          <w:rFonts w:ascii="Verdana" w:hAnsi="Verdana"/>
          <w:noProof/>
          <w:sz w:val="20"/>
          <w:szCs w:val="20"/>
        </w:rPr>
        <w:lastRenderedPageBreak/>
        <w:t xml:space="preserve">12. Edwards PJ, Roberts, I., Clarke, M.J., DiGuiseppi, C., Wentz, R., Kwan, I., Cooper, R., Felix, L.M., Pratap, S. Methods to increase response to postal and electronic questionnaires (Review). </w:t>
      </w:r>
      <w:r w:rsidRPr="006B5915">
        <w:rPr>
          <w:rFonts w:ascii="Verdana" w:hAnsi="Verdana"/>
          <w:i/>
          <w:noProof/>
          <w:sz w:val="20"/>
          <w:szCs w:val="20"/>
        </w:rPr>
        <w:t>Cochrane Database of Systematic Reviews</w:t>
      </w:r>
      <w:r w:rsidRPr="006B5915">
        <w:rPr>
          <w:rFonts w:ascii="Verdana" w:hAnsi="Verdana"/>
          <w:noProof/>
          <w:sz w:val="20"/>
          <w:szCs w:val="20"/>
        </w:rPr>
        <w:t xml:space="preserve"> 2009;3(1).</w:t>
      </w:r>
      <w:bookmarkEnd w:id="11"/>
    </w:p>
    <w:p w:rsidR="00797473" w:rsidRPr="006B5915" w:rsidRDefault="00797473" w:rsidP="00B130E5">
      <w:pPr>
        <w:spacing w:after="0" w:line="480" w:lineRule="auto"/>
        <w:ind w:left="720" w:hanging="720"/>
        <w:rPr>
          <w:rFonts w:ascii="Verdana" w:hAnsi="Verdana"/>
          <w:noProof/>
          <w:sz w:val="20"/>
          <w:szCs w:val="20"/>
        </w:rPr>
      </w:pPr>
      <w:bookmarkStart w:id="12" w:name="_ENREF_13"/>
      <w:r w:rsidRPr="006B5915">
        <w:rPr>
          <w:rFonts w:ascii="Verdana" w:hAnsi="Verdana"/>
          <w:noProof/>
          <w:sz w:val="20"/>
          <w:szCs w:val="20"/>
        </w:rPr>
        <w:t xml:space="preserve">13. McColl E, Jacoby A, Thomas L, et al. Design and Use of Questionnaires: a review of best practice applicable to surveys of health service staff and patients. </w:t>
      </w:r>
      <w:r w:rsidRPr="006B5915">
        <w:rPr>
          <w:rFonts w:ascii="Verdana" w:hAnsi="Verdana"/>
          <w:i/>
          <w:noProof/>
          <w:sz w:val="20"/>
          <w:szCs w:val="20"/>
        </w:rPr>
        <w:t>Health Technology Assessment,</w:t>
      </w:r>
      <w:r w:rsidRPr="006B5915">
        <w:rPr>
          <w:rFonts w:ascii="Verdana" w:hAnsi="Verdana"/>
          <w:noProof/>
          <w:sz w:val="20"/>
          <w:szCs w:val="20"/>
        </w:rPr>
        <w:t xml:space="preserve"> 2001;5(31):1-256.</w:t>
      </w:r>
      <w:bookmarkEnd w:id="12"/>
    </w:p>
    <w:p w:rsidR="00797473" w:rsidRPr="006B5915" w:rsidRDefault="00797473" w:rsidP="00B130E5">
      <w:pPr>
        <w:spacing w:after="0" w:line="480" w:lineRule="auto"/>
        <w:ind w:left="720" w:hanging="720"/>
        <w:rPr>
          <w:rFonts w:ascii="Verdana" w:hAnsi="Verdana"/>
          <w:noProof/>
          <w:sz w:val="20"/>
          <w:szCs w:val="20"/>
        </w:rPr>
      </w:pPr>
      <w:bookmarkStart w:id="13" w:name="_ENREF_14"/>
      <w:r w:rsidRPr="006B5915">
        <w:rPr>
          <w:rFonts w:ascii="Verdana" w:hAnsi="Verdana"/>
          <w:noProof/>
          <w:sz w:val="20"/>
          <w:szCs w:val="20"/>
        </w:rPr>
        <w:t>14. Department for Communities and Local Government. English Indices of Deprivation 2010. https://www.gov.uk/government/publications/english-indices-of-deprivation-2010 [accessed 3/2/14].</w:t>
      </w:r>
      <w:bookmarkEnd w:id="13"/>
    </w:p>
    <w:p w:rsidR="00797473" w:rsidRPr="006B5915" w:rsidRDefault="00797473" w:rsidP="00B130E5">
      <w:pPr>
        <w:spacing w:after="0" w:line="480" w:lineRule="auto"/>
        <w:ind w:left="720" w:hanging="720"/>
        <w:rPr>
          <w:rFonts w:ascii="Verdana" w:hAnsi="Verdana"/>
          <w:noProof/>
          <w:sz w:val="20"/>
          <w:szCs w:val="20"/>
        </w:rPr>
      </w:pPr>
      <w:bookmarkStart w:id="14" w:name="_ENREF_15"/>
      <w:r w:rsidRPr="006B5915">
        <w:rPr>
          <w:rFonts w:ascii="Verdana" w:hAnsi="Verdana"/>
          <w:noProof/>
          <w:sz w:val="20"/>
          <w:szCs w:val="20"/>
        </w:rPr>
        <w:t>15. Department for Education. Education and skills in your area. Postcode distances. http://www.education.gov.uk/cgi-bin/inyourarea/distance.pl [accessed 3/2/2014].</w:t>
      </w:r>
      <w:bookmarkEnd w:id="14"/>
    </w:p>
    <w:p w:rsidR="00797473" w:rsidRPr="006B5915" w:rsidRDefault="00797473" w:rsidP="00B130E5">
      <w:pPr>
        <w:spacing w:after="0" w:line="480" w:lineRule="auto"/>
        <w:ind w:left="720" w:hanging="720"/>
        <w:rPr>
          <w:rFonts w:ascii="Verdana" w:hAnsi="Verdana"/>
          <w:noProof/>
          <w:sz w:val="20"/>
          <w:szCs w:val="20"/>
        </w:rPr>
      </w:pPr>
      <w:bookmarkStart w:id="15" w:name="_ENREF_16"/>
      <w:r w:rsidRPr="006B5915">
        <w:rPr>
          <w:rFonts w:ascii="Verdana" w:hAnsi="Verdana"/>
          <w:noProof/>
          <w:sz w:val="20"/>
          <w:szCs w:val="20"/>
        </w:rPr>
        <w:t xml:space="preserve">16. Greenland S, Pearl J, Robins JM. Causal Diagrams for Epidemiologic Research. </w:t>
      </w:r>
      <w:r w:rsidRPr="006B5915">
        <w:rPr>
          <w:rFonts w:ascii="Verdana" w:hAnsi="Verdana"/>
          <w:i/>
          <w:noProof/>
          <w:sz w:val="20"/>
          <w:szCs w:val="20"/>
        </w:rPr>
        <w:t>Epidemiology</w:t>
      </w:r>
      <w:r w:rsidRPr="006B5915">
        <w:rPr>
          <w:rFonts w:ascii="Verdana" w:hAnsi="Verdana"/>
          <w:noProof/>
          <w:sz w:val="20"/>
          <w:szCs w:val="20"/>
        </w:rPr>
        <w:t xml:space="preserve"> 1999;10(1):37-48.</w:t>
      </w:r>
      <w:bookmarkEnd w:id="15"/>
    </w:p>
    <w:p w:rsidR="00797473" w:rsidRPr="006B5915" w:rsidRDefault="00797473" w:rsidP="00B130E5">
      <w:pPr>
        <w:spacing w:after="0" w:line="480" w:lineRule="auto"/>
        <w:ind w:left="720" w:hanging="720"/>
        <w:rPr>
          <w:rFonts w:ascii="Verdana" w:hAnsi="Verdana"/>
          <w:noProof/>
          <w:sz w:val="20"/>
          <w:szCs w:val="20"/>
        </w:rPr>
      </w:pPr>
      <w:bookmarkStart w:id="16" w:name="_ENREF_17"/>
      <w:r w:rsidRPr="006B5915">
        <w:rPr>
          <w:rFonts w:ascii="Verdana" w:hAnsi="Verdana"/>
          <w:noProof/>
          <w:sz w:val="20"/>
          <w:szCs w:val="20"/>
        </w:rPr>
        <w:t xml:space="preserve">17. Greenland S, Brumback B. An overview of relations among causal modelling methods. </w:t>
      </w:r>
      <w:r w:rsidRPr="006B5915">
        <w:rPr>
          <w:rFonts w:ascii="Verdana" w:hAnsi="Verdana"/>
          <w:i/>
          <w:noProof/>
          <w:sz w:val="20"/>
          <w:szCs w:val="20"/>
        </w:rPr>
        <w:t>Int J Epidemiol</w:t>
      </w:r>
      <w:r w:rsidRPr="006B5915">
        <w:rPr>
          <w:rFonts w:ascii="Verdana" w:hAnsi="Verdana"/>
          <w:noProof/>
          <w:sz w:val="20"/>
          <w:szCs w:val="20"/>
        </w:rPr>
        <w:t xml:space="preserve"> 2002;31(5):1030-37.</w:t>
      </w:r>
      <w:bookmarkEnd w:id="16"/>
    </w:p>
    <w:p w:rsidR="00797473" w:rsidRPr="006B5915" w:rsidRDefault="00797473" w:rsidP="00B130E5">
      <w:pPr>
        <w:spacing w:after="0" w:line="480" w:lineRule="auto"/>
        <w:ind w:left="720" w:hanging="720"/>
        <w:rPr>
          <w:rFonts w:ascii="Verdana" w:hAnsi="Verdana"/>
          <w:noProof/>
          <w:sz w:val="20"/>
          <w:szCs w:val="20"/>
        </w:rPr>
      </w:pPr>
      <w:bookmarkStart w:id="17" w:name="_ENREF_18"/>
      <w:r w:rsidRPr="006B5915">
        <w:rPr>
          <w:rFonts w:ascii="Verdana" w:hAnsi="Verdana"/>
          <w:noProof/>
          <w:sz w:val="20"/>
          <w:szCs w:val="20"/>
        </w:rPr>
        <w:t xml:space="preserve">18. Shrier I, Platt R. Reducing bias through directed acyclic graphs. </w:t>
      </w:r>
      <w:r w:rsidRPr="006B5915">
        <w:rPr>
          <w:rFonts w:ascii="Verdana" w:hAnsi="Verdana"/>
          <w:i/>
          <w:noProof/>
          <w:sz w:val="20"/>
          <w:szCs w:val="20"/>
        </w:rPr>
        <w:t>BMC Me Res Methodol</w:t>
      </w:r>
      <w:r w:rsidRPr="006B5915">
        <w:rPr>
          <w:rFonts w:ascii="Verdana" w:hAnsi="Verdana"/>
          <w:noProof/>
          <w:sz w:val="20"/>
          <w:szCs w:val="20"/>
        </w:rPr>
        <w:t xml:space="preserve"> 2008;8(1):1-15.</w:t>
      </w:r>
      <w:bookmarkEnd w:id="17"/>
    </w:p>
    <w:p w:rsidR="00797473" w:rsidRPr="006B5915" w:rsidRDefault="00797473" w:rsidP="00B130E5">
      <w:pPr>
        <w:spacing w:after="0" w:line="480" w:lineRule="auto"/>
        <w:ind w:left="720" w:hanging="720"/>
        <w:rPr>
          <w:rFonts w:ascii="Verdana" w:hAnsi="Verdana"/>
          <w:noProof/>
          <w:sz w:val="20"/>
          <w:szCs w:val="20"/>
        </w:rPr>
      </w:pPr>
      <w:bookmarkStart w:id="18" w:name="_ENREF_19"/>
      <w:r w:rsidRPr="006B5915">
        <w:rPr>
          <w:rFonts w:ascii="Verdana" w:hAnsi="Verdana"/>
          <w:noProof/>
          <w:sz w:val="20"/>
          <w:szCs w:val="20"/>
        </w:rPr>
        <w:t xml:space="preserve">19. Putnam SP, Gartstein MA, Rothbart MK. Measurement of fine-grained aspects of toddler temperament: The Early Childhood Behavior Questionnaire. </w:t>
      </w:r>
      <w:r w:rsidRPr="006B5915">
        <w:rPr>
          <w:rFonts w:ascii="Verdana" w:hAnsi="Verdana"/>
          <w:i/>
          <w:noProof/>
          <w:sz w:val="20"/>
          <w:szCs w:val="20"/>
        </w:rPr>
        <w:t>Infant Behavior and Development</w:t>
      </w:r>
      <w:r w:rsidRPr="006B5915">
        <w:rPr>
          <w:rFonts w:ascii="Verdana" w:hAnsi="Verdana"/>
          <w:noProof/>
          <w:sz w:val="20"/>
          <w:szCs w:val="20"/>
        </w:rPr>
        <w:t xml:space="preserve"> 2006;29(3):386-401.</w:t>
      </w:r>
      <w:bookmarkEnd w:id="18"/>
    </w:p>
    <w:p w:rsidR="00797473" w:rsidRPr="006B5915" w:rsidRDefault="00797473" w:rsidP="00B130E5">
      <w:pPr>
        <w:spacing w:after="0" w:line="480" w:lineRule="auto"/>
        <w:ind w:left="720" w:hanging="720"/>
        <w:rPr>
          <w:rFonts w:ascii="Verdana" w:hAnsi="Verdana"/>
          <w:noProof/>
          <w:sz w:val="20"/>
          <w:szCs w:val="20"/>
        </w:rPr>
      </w:pPr>
      <w:bookmarkStart w:id="19" w:name="_ENREF_20"/>
      <w:r w:rsidRPr="006B5915">
        <w:rPr>
          <w:rFonts w:ascii="Verdana" w:hAnsi="Verdana"/>
          <w:noProof/>
          <w:sz w:val="20"/>
          <w:szCs w:val="20"/>
        </w:rPr>
        <w:t xml:space="preserve">20. Putnam SP, Rothbart MK. Development of Short and Very Short Forms of the Children's Behavior Questionnaire. </w:t>
      </w:r>
      <w:r w:rsidRPr="006B5915">
        <w:rPr>
          <w:rFonts w:ascii="Verdana" w:hAnsi="Verdana"/>
          <w:i/>
          <w:noProof/>
          <w:sz w:val="20"/>
          <w:szCs w:val="20"/>
        </w:rPr>
        <w:t>Journal of Personality Assessment</w:t>
      </w:r>
      <w:r w:rsidRPr="006B5915">
        <w:rPr>
          <w:rFonts w:ascii="Verdana" w:hAnsi="Verdana"/>
          <w:noProof/>
          <w:sz w:val="20"/>
          <w:szCs w:val="20"/>
        </w:rPr>
        <w:t xml:space="preserve"> 2006;87(1):102-12.</w:t>
      </w:r>
      <w:bookmarkEnd w:id="19"/>
    </w:p>
    <w:p w:rsidR="00797473" w:rsidRPr="006B5915" w:rsidRDefault="00797473" w:rsidP="00B130E5">
      <w:pPr>
        <w:spacing w:after="0" w:line="480" w:lineRule="auto"/>
        <w:ind w:left="720" w:hanging="720"/>
        <w:rPr>
          <w:rFonts w:ascii="Verdana" w:hAnsi="Verdana"/>
          <w:noProof/>
          <w:sz w:val="20"/>
          <w:szCs w:val="20"/>
        </w:rPr>
      </w:pPr>
      <w:bookmarkStart w:id="20" w:name="_ENREF_21"/>
      <w:r w:rsidRPr="006B5915">
        <w:rPr>
          <w:rFonts w:ascii="Verdana" w:hAnsi="Verdana"/>
          <w:noProof/>
          <w:sz w:val="20"/>
          <w:szCs w:val="20"/>
        </w:rPr>
        <w:t xml:space="preserve">21. Gartstein MA, Rothbart MK. Studying infant temperament via the Revised Infant Behavior Questionnaire. </w:t>
      </w:r>
      <w:r w:rsidRPr="006B5915">
        <w:rPr>
          <w:rFonts w:ascii="Verdana" w:hAnsi="Verdana"/>
          <w:i/>
          <w:noProof/>
          <w:sz w:val="20"/>
          <w:szCs w:val="20"/>
        </w:rPr>
        <w:t>Infant Behavior and Development</w:t>
      </w:r>
      <w:r w:rsidRPr="006B5915">
        <w:rPr>
          <w:rFonts w:ascii="Verdana" w:hAnsi="Verdana"/>
          <w:noProof/>
          <w:sz w:val="20"/>
          <w:szCs w:val="20"/>
        </w:rPr>
        <w:t xml:space="preserve"> 2003;26(1):64-86.</w:t>
      </w:r>
      <w:bookmarkEnd w:id="20"/>
    </w:p>
    <w:p w:rsidR="00797473" w:rsidRPr="006B5915" w:rsidRDefault="00797473" w:rsidP="00B130E5">
      <w:pPr>
        <w:spacing w:after="0" w:line="480" w:lineRule="auto"/>
        <w:ind w:left="720" w:hanging="720"/>
        <w:rPr>
          <w:rFonts w:ascii="Verdana" w:hAnsi="Verdana"/>
          <w:noProof/>
          <w:sz w:val="20"/>
          <w:szCs w:val="20"/>
        </w:rPr>
      </w:pPr>
      <w:bookmarkStart w:id="21" w:name="_ENREF_22"/>
      <w:r w:rsidRPr="006B5915">
        <w:rPr>
          <w:rFonts w:ascii="Verdana" w:hAnsi="Verdana"/>
          <w:noProof/>
          <w:sz w:val="20"/>
          <w:szCs w:val="20"/>
        </w:rPr>
        <w:t>22. GL Assessment. The Hospital Anxiety and Depression Scale. Frequently asked questions. How should missing data be treated?http://www.gl-</w:t>
      </w:r>
      <w:r w:rsidRPr="006B5915">
        <w:rPr>
          <w:rFonts w:ascii="Verdana" w:hAnsi="Verdana"/>
          <w:noProof/>
          <w:sz w:val="20"/>
          <w:szCs w:val="20"/>
        </w:rPr>
        <w:lastRenderedPageBreak/>
        <w:t>assessment.co.uk/products/hospital-anxiety-and-depression-scale/hospital-anxiety-and-depression-scale-faqs [accessed 8/10/13].</w:t>
      </w:r>
      <w:bookmarkEnd w:id="21"/>
    </w:p>
    <w:p w:rsidR="00797473" w:rsidRPr="006B5915" w:rsidRDefault="00797473" w:rsidP="00B130E5">
      <w:pPr>
        <w:spacing w:after="0" w:line="480" w:lineRule="auto"/>
        <w:ind w:left="720" w:hanging="720"/>
        <w:rPr>
          <w:rFonts w:ascii="Verdana" w:hAnsi="Verdana"/>
          <w:noProof/>
          <w:sz w:val="20"/>
          <w:szCs w:val="20"/>
        </w:rPr>
      </w:pPr>
      <w:bookmarkStart w:id="22" w:name="_ENREF_23"/>
      <w:r w:rsidRPr="006B5915">
        <w:rPr>
          <w:rFonts w:ascii="Verdana" w:hAnsi="Verdana"/>
          <w:noProof/>
          <w:sz w:val="20"/>
          <w:szCs w:val="20"/>
        </w:rPr>
        <w:t xml:space="preserve">23. Crnic KA, Greenberg MT. Minor parenting stresses with young children. </w:t>
      </w:r>
      <w:r w:rsidRPr="006B5915">
        <w:rPr>
          <w:rFonts w:ascii="Verdana" w:hAnsi="Verdana"/>
          <w:i/>
          <w:noProof/>
          <w:sz w:val="20"/>
          <w:szCs w:val="20"/>
        </w:rPr>
        <w:t>Child Devl</w:t>
      </w:r>
      <w:r w:rsidRPr="006B5915">
        <w:rPr>
          <w:rFonts w:ascii="Verdana" w:hAnsi="Verdana"/>
          <w:noProof/>
          <w:sz w:val="20"/>
          <w:szCs w:val="20"/>
        </w:rPr>
        <w:t xml:space="preserve"> 1990;61(5):1628-37.</w:t>
      </w:r>
      <w:bookmarkEnd w:id="22"/>
    </w:p>
    <w:p w:rsidR="00797473" w:rsidRPr="006B5915" w:rsidRDefault="00797473" w:rsidP="00B130E5">
      <w:pPr>
        <w:spacing w:after="0" w:line="480" w:lineRule="auto"/>
        <w:ind w:left="720" w:hanging="720"/>
        <w:rPr>
          <w:rFonts w:ascii="Verdana" w:hAnsi="Verdana"/>
          <w:noProof/>
          <w:sz w:val="20"/>
          <w:szCs w:val="20"/>
        </w:rPr>
      </w:pPr>
      <w:bookmarkStart w:id="23" w:name="_ENREF_24"/>
      <w:r w:rsidRPr="006B5915">
        <w:rPr>
          <w:rFonts w:ascii="Verdana" w:hAnsi="Verdana"/>
          <w:noProof/>
          <w:sz w:val="20"/>
          <w:szCs w:val="20"/>
        </w:rPr>
        <w:t xml:space="preserve">24. Crnic KA, Booth CL. Mothers’ and fathers’ perceptions of daily hassles of parenting across early childhood. </w:t>
      </w:r>
      <w:r w:rsidRPr="006B5915">
        <w:rPr>
          <w:rFonts w:ascii="Verdana" w:hAnsi="Verdana"/>
          <w:i/>
          <w:noProof/>
          <w:sz w:val="20"/>
          <w:szCs w:val="20"/>
        </w:rPr>
        <w:t>Journal of Marriage and the Family</w:t>
      </w:r>
      <w:r w:rsidRPr="006B5915">
        <w:rPr>
          <w:rFonts w:ascii="Verdana" w:hAnsi="Verdana"/>
          <w:noProof/>
          <w:sz w:val="20"/>
          <w:szCs w:val="20"/>
        </w:rPr>
        <w:t xml:space="preserve"> 1991;53:1043-50.</w:t>
      </w:r>
      <w:bookmarkEnd w:id="23"/>
    </w:p>
    <w:p w:rsidR="00797473" w:rsidRPr="006B5915" w:rsidRDefault="00797473" w:rsidP="00B130E5">
      <w:pPr>
        <w:spacing w:after="0" w:line="480" w:lineRule="auto"/>
        <w:ind w:left="720" w:hanging="720"/>
        <w:rPr>
          <w:rFonts w:ascii="Verdana" w:hAnsi="Verdana"/>
          <w:noProof/>
          <w:sz w:val="20"/>
          <w:szCs w:val="20"/>
        </w:rPr>
      </w:pPr>
      <w:bookmarkStart w:id="24" w:name="_ENREF_25"/>
      <w:r w:rsidRPr="006B5915">
        <w:rPr>
          <w:rFonts w:ascii="Verdana" w:hAnsi="Verdana"/>
          <w:noProof/>
          <w:sz w:val="20"/>
          <w:szCs w:val="20"/>
        </w:rPr>
        <w:t xml:space="preserve">25. Varni JW, Seid M, Kurtin PS. PedsQL(TM) 4.0: reliability and validity of the Pediatric Quality of Life Inventory version 4.0 generic core scales in healthy and patient populations. </w:t>
      </w:r>
      <w:r w:rsidRPr="006B5915">
        <w:rPr>
          <w:rFonts w:ascii="Verdana" w:hAnsi="Verdana"/>
          <w:i/>
          <w:noProof/>
          <w:sz w:val="20"/>
          <w:szCs w:val="20"/>
        </w:rPr>
        <w:t>Medical Care</w:t>
      </w:r>
      <w:r w:rsidRPr="006B5915">
        <w:rPr>
          <w:rFonts w:ascii="Verdana" w:hAnsi="Verdana"/>
          <w:noProof/>
          <w:sz w:val="20"/>
          <w:szCs w:val="20"/>
        </w:rPr>
        <w:t xml:space="preserve"> 2001;39(8):800-12.</w:t>
      </w:r>
      <w:bookmarkEnd w:id="24"/>
    </w:p>
    <w:p w:rsidR="00797473" w:rsidRPr="006B5915" w:rsidRDefault="00797473" w:rsidP="00B130E5">
      <w:pPr>
        <w:spacing w:after="0" w:line="480" w:lineRule="auto"/>
        <w:ind w:left="720" w:hanging="720"/>
        <w:rPr>
          <w:rFonts w:ascii="Verdana" w:hAnsi="Verdana"/>
          <w:noProof/>
          <w:sz w:val="20"/>
          <w:szCs w:val="20"/>
        </w:rPr>
      </w:pPr>
      <w:bookmarkStart w:id="25" w:name="_ENREF_26"/>
      <w:r w:rsidRPr="006B5915">
        <w:rPr>
          <w:rFonts w:ascii="Verdana" w:hAnsi="Verdana"/>
          <w:noProof/>
          <w:sz w:val="20"/>
          <w:szCs w:val="20"/>
        </w:rPr>
        <w:t xml:space="preserve">26. Watson  MC, Benford P, Coupland CA, et al. Validation of a home safety questionnaire used in a series of case control studies. </w:t>
      </w:r>
      <w:r w:rsidRPr="006B5915">
        <w:rPr>
          <w:rFonts w:ascii="Verdana" w:hAnsi="Verdana"/>
          <w:i/>
          <w:noProof/>
          <w:sz w:val="20"/>
          <w:szCs w:val="20"/>
        </w:rPr>
        <w:t>Inj Prev Published Online First: 3 March 2014  doi:10.1136/injuryprev-2013-041006</w:t>
      </w:r>
      <w:r w:rsidRPr="006B5915">
        <w:rPr>
          <w:rFonts w:ascii="Verdana" w:hAnsi="Verdana"/>
          <w:noProof/>
          <w:sz w:val="20"/>
          <w:szCs w:val="20"/>
        </w:rPr>
        <w:t xml:space="preserve"> 2014.</w:t>
      </w:r>
      <w:bookmarkEnd w:id="25"/>
    </w:p>
    <w:p w:rsidR="00797473" w:rsidRPr="006B5915" w:rsidRDefault="00797473" w:rsidP="00B130E5">
      <w:pPr>
        <w:spacing w:after="0" w:line="480" w:lineRule="auto"/>
        <w:ind w:left="720" w:hanging="720"/>
        <w:rPr>
          <w:rFonts w:ascii="Verdana" w:hAnsi="Verdana"/>
          <w:noProof/>
          <w:sz w:val="20"/>
          <w:szCs w:val="20"/>
        </w:rPr>
      </w:pPr>
      <w:bookmarkStart w:id="26" w:name="_ENREF_27"/>
      <w:r w:rsidRPr="006B5915">
        <w:rPr>
          <w:rFonts w:ascii="Verdana" w:hAnsi="Verdana"/>
          <w:noProof/>
          <w:sz w:val="20"/>
          <w:szCs w:val="20"/>
        </w:rPr>
        <w:t xml:space="preserve">27. Clamp M, Kendrick D. A randomised controlled trial of general practitioner safety advice for families with children under 5 years. </w:t>
      </w:r>
      <w:r w:rsidRPr="006B5915">
        <w:rPr>
          <w:rFonts w:ascii="Verdana" w:hAnsi="Verdana"/>
          <w:i/>
          <w:noProof/>
          <w:sz w:val="20"/>
          <w:szCs w:val="20"/>
        </w:rPr>
        <w:t>BMJ</w:t>
      </w:r>
      <w:r w:rsidRPr="006B5915">
        <w:rPr>
          <w:rFonts w:ascii="Verdana" w:hAnsi="Verdana"/>
          <w:noProof/>
          <w:sz w:val="20"/>
          <w:szCs w:val="20"/>
        </w:rPr>
        <w:t xml:space="preserve"> 1998;316(7144):1576-9.</w:t>
      </w:r>
      <w:bookmarkEnd w:id="26"/>
    </w:p>
    <w:p w:rsidR="00797473" w:rsidRPr="006B5915" w:rsidRDefault="00797473" w:rsidP="00B130E5">
      <w:pPr>
        <w:spacing w:after="0" w:line="480" w:lineRule="auto"/>
        <w:ind w:left="720" w:hanging="720"/>
        <w:rPr>
          <w:rFonts w:ascii="Verdana" w:hAnsi="Verdana"/>
          <w:noProof/>
          <w:sz w:val="20"/>
          <w:szCs w:val="20"/>
        </w:rPr>
      </w:pPr>
      <w:bookmarkStart w:id="27" w:name="_ENREF_28"/>
      <w:r w:rsidRPr="006B5915">
        <w:rPr>
          <w:rFonts w:ascii="Verdana" w:hAnsi="Verdana"/>
          <w:noProof/>
          <w:sz w:val="20"/>
          <w:szCs w:val="20"/>
        </w:rPr>
        <w:t xml:space="preserve">28. Watson M, Kendrick D, Coupland C, et al. Providing child safety equipment to prevent injuries: randomised controlled trial. </w:t>
      </w:r>
      <w:r w:rsidRPr="006B5915">
        <w:rPr>
          <w:rFonts w:ascii="Verdana" w:hAnsi="Verdana"/>
          <w:i/>
          <w:noProof/>
          <w:sz w:val="20"/>
          <w:szCs w:val="20"/>
        </w:rPr>
        <w:t>BMJ</w:t>
      </w:r>
      <w:r w:rsidRPr="006B5915">
        <w:rPr>
          <w:rFonts w:ascii="Verdana" w:hAnsi="Verdana"/>
          <w:noProof/>
          <w:sz w:val="20"/>
          <w:szCs w:val="20"/>
        </w:rPr>
        <w:t xml:space="preserve"> 2005;330(7484):178-81.</w:t>
      </w:r>
      <w:bookmarkEnd w:id="27"/>
    </w:p>
    <w:p w:rsidR="00797473" w:rsidRPr="006B5915" w:rsidRDefault="00797473" w:rsidP="00B130E5">
      <w:pPr>
        <w:spacing w:after="0" w:line="480" w:lineRule="auto"/>
        <w:ind w:left="720" w:hanging="720"/>
        <w:rPr>
          <w:rFonts w:ascii="Verdana" w:hAnsi="Verdana"/>
          <w:noProof/>
          <w:sz w:val="20"/>
          <w:szCs w:val="20"/>
        </w:rPr>
      </w:pPr>
      <w:bookmarkStart w:id="28" w:name="_ENREF_29"/>
      <w:r w:rsidRPr="006B5915">
        <w:rPr>
          <w:rFonts w:ascii="Verdana" w:hAnsi="Verdana"/>
          <w:noProof/>
          <w:sz w:val="20"/>
          <w:szCs w:val="20"/>
        </w:rPr>
        <w:t>29. Varni JW. The PedsQL Scoring Algorithm http://www.pedsql.org/score.html [accessed 21/07/2012], 2006.</w:t>
      </w:r>
      <w:bookmarkEnd w:id="28"/>
    </w:p>
    <w:p w:rsidR="00797473" w:rsidRPr="006B5915" w:rsidRDefault="00797473" w:rsidP="00B130E5">
      <w:pPr>
        <w:spacing w:after="0" w:line="480" w:lineRule="auto"/>
        <w:ind w:left="720" w:hanging="720"/>
        <w:rPr>
          <w:rFonts w:ascii="Verdana" w:hAnsi="Verdana"/>
          <w:noProof/>
          <w:sz w:val="20"/>
          <w:szCs w:val="20"/>
        </w:rPr>
      </w:pPr>
      <w:bookmarkStart w:id="29" w:name="_ENREF_30"/>
      <w:r w:rsidRPr="006B5915">
        <w:rPr>
          <w:rFonts w:ascii="Verdana" w:hAnsi="Verdana"/>
          <w:noProof/>
          <w:sz w:val="20"/>
          <w:szCs w:val="20"/>
        </w:rPr>
        <w:t>30. Rothbart M. Frequently Asked Questions. http://www.bowdoin.edu/~sputnam/rothbart-temperament-questionnaires/faq/. [accessed 15/09/2012].</w:t>
      </w:r>
      <w:bookmarkEnd w:id="29"/>
    </w:p>
    <w:p w:rsidR="00797473" w:rsidRPr="006B5915" w:rsidRDefault="00797473" w:rsidP="00B130E5">
      <w:pPr>
        <w:spacing w:after="0" w:line="480" w:lineRule="auto"/>
        <w:ind w:left="720" w:hanging="720"/>
        <w:rPr>
          <w:rFonts w:ascii="Verdana" w:hAnsi="Verdana"/>
          <w:noProof/>
          <w:sz w:val="20"/>
          <w:szCs w:val="20"/>
        </w:rPr>
      </w:pPr>
      <w:bookmarkStart w:id="30" w:name="_ENREF_31"/>
      <w:r w:rsidRPr="006B5915">
        <w:rPr>
          <w:rFonts w:ascii="Verdana" w:hAnsi="Verdana"/>
          <w:noProof/>
          <w:sz w:val="20"/>
          <w:szCs w:val="20"/>
        </w:rPr>
        <w:t xml:space="preserve">31. Rubin DB. </w:t>
      </w:r>
      <w:r w:rsidRPr="006B5915">
        <w:rPr>
          <w:rFonts w:ascii="Verdana" w:hAnsi="Verdana"/>
          <w:i/>
          <w:noProof/>
          <w:sz w:val="20"/>
          <w:szCs w:val="20"/>
        </w:rPr>
        <w:t>Multiple Imputation for Nonresponse in Surveys</w:t>
      </w:r>
      <w:r w:rsidRPr="006B5915">
        <w:rPr>
          <w:rFonts w:ascii="Verdana" w:hAnsi="Verdana"/>
          <w:noProof/>
          <w:sz w:val="20"/>
          <w:szCs w:val="20"/>
        </w:rPr>
        <w:t>. New York: John Wiley &amp; Sons, 1987.</w:t>
      </w:r>
      <w:bookmarkEnd w:id="30"/>
    </w:p>
    <w:p w:rsidR="00797473" w:rsidRPr="006B5915" w:rsidRDefault="00797473" w:rsidP="00B130E5">
      <w:pPr>
        <w:spacing w:after="0" w:line="480" w:lineRule="auto"/>
        <w:ind w:left="720" w:hanging="720"/>
        <w:rPr>
          <w:rFonts w:ascii="Verdana" w:hAnsi="Verdana"/>
          <w:noProof/>
          <w:sz w:val="20"/>
          <w:szCs w:val="20"/>
        </w:rPr>
      </w:pPr>
      <w:bookmarkStart w:id="31" w:name="_ENREF_32"/>
      <w:r w:rsidRPr="006B5915">
        <w:rPr>
          <w:rFonts w:ascii="Verdana" w:hAnsi="Verdana"/>
          <w:noProof/>
          <w:sz w:val="20"/>
          <w:szCs w:val="20"/>
        </w:rPr>
        <w:t xml:space="preserve">32. Jurek AM, Greenland S, Maldonado G, Church TR. Proper interpretation of non-differential misclassification effects: expectations vs observations. </w:t>
      </w:r>
      <w:r w:rsidRPr="006B5915">
        <w:rPr>
          <w:rFonts w:ascii="Verdana" w:hAnsi="Verdana"/>
          <w:i/>
          <w:noProof/>
          <w:sz w:val="20"/>
          <w:szCs w:val="20"/>
        </w:rPr>
        <w:t>Int J Epidemiol</w:t>
      </w:r>
      <w:r w:rsidRPr="006B5915">
        <w:rPr>
          <w:rFonts w:ascii="Verdana" w:hAnsi="Verdana"/>
          <w:noProof/>
          <w:sz w:val="20"/>
          <w:szCs w:val="20"/>
        </w:rPr>
        <w:t xml:space="preserve"> 2005;34(3):680-87.</w:t>
      </w:r>
      <w:bookmarkEnd w:id="31"/>
    </w:p>
    <w:p w:rsidR="00797473" w:rsidRPr="006B5915" w:rsidRDefault="00797473" w:rsidP="00B130E5">
      <w:pPr>
        <w:spacing w:after="0" w:line="480" w:lineRule="auto"/>
        <w:ind w:left="720" w:hanging="720"/>
        <w:rPr>
          <w:rFonts w:ascii="Verdana" w:hAnsi="Verdana"/>
          <w:noProof/>
          <w:sz w:val="20"/>
          <w:szCs w:val="20"/>
        </w:rPr>
      </w:pPr>
      <w:bookmarkStart w:id="32" w:name="_ENREF_33"/>
      <w:r w:rsidRPr="006B5915">
        <w:rPr>
          <w:rFonts w:ascii="Verdana" w:hAnsi="Verdana"/>
          <w:noProof/>
          <w:sz w:val="20"/>
          <w:szCs w:val="20"/>
        </w:rPr>
        <w:t xml:space="preserve">33. Belechri M, Petridou E, Trichopoulos D. Bunk versus conventional beds: a comparative assessment of fall injury risk. </w:t>
      </w:r>
      <w:r w:rsidRPr="006B5915">
        <w:rPr>
          <w:rFonts w:ascii="Verdana" w:hAnsi="Verdana"/>
          <w:i/>
          <w:noProof/>
          <w:sz w:val="20"/>
          <w:szCs w:val="20"/>
        </w:rPr>
        <w:t>J Epidemiol Community Health</w:t>
      </w:r>
      <w:r w:rsidRPr="006B5915">
        <w:rPr>
          <w:rFonts w:ascii="Verdana" w:hAnsi="Verdana"/>
          <w:noProof/>
          <w:sz w:val="20"/>
          <w:szCs w:val="20"/>
        </w:rPr>
        <w:t xml:space="preserve"> 2002;56:413-17.</w:t>
      </w:r>
      <w:bookmarkEnd w:id="32"/>
    </w:p>
    <w:p w:rsidR="00797473" w:rsidRPr="006B5915" w:rsidRDefault="00797473" w:rsidP="00B130E5">
      <w:pPr>
        <w:spacing w:after="0" w:line="480" w:lineRule="auto"/>
        <w:ind w:left="720" w:hanging="720"/>
        <w:rPr>
          <w:rFonts w:ascii="Verdana" w:hAnsi="Verdana"/>
          <w:noProof/>
          <w:sz w:val="20"/>
          <w:szCs w:val="20"/>
        </w:rPr>
      </w:pPr>
      <w:bookmarkStart w:id="33" w:name="_ENREF_34"/>
      <w:r w:rsidRPr="006B5915">
        <w:rPr>
          <w:rFonts w:ascii="Verdana" w:hAnsi="Verdana"/>
          <w:noProof/>
          <w:sz w:val="20"/>
          <w:szCs w:val="20"/>
        </w:rPr>
        <w:lastRenderedPageBreak/>
        <w:t xml:space="preserve">34. D'Souza AL, Smith GA, McKenzie LB. Bunk Bed–Related Injuries Among Children and Adolescents Treated in Emergency Departments in the United States, 1990–2005. </w:t>
      </w:r>
      <w:r w:rsidRPr="006B5915">
        <w:rPr>
          <w:rFonts w:ascii="Verdana" w:hAnsi="Verdana"/>
          <w:i/>
          <w:noProof/>
          <w:sz w:val="20"/>
          <w:szCs w:val="20"/>
        </w:rPr>
        <w:t>Pediatrics</w:t>
      </w:r>
      <w:r w:rsidRPr="006B5915">
        <w:rPr>
          <w:rFonts w:ascii="Verdana" w:hAnsi="Verdana"/>
          <w:noProof/>
          <w:sz w:val="20"/>
          <w:szCs w:val="20"/>
        </w:rPr>
        <w:t xml:space="preserve"> 2008;121(6):e1696-e702.</w:t>
      </w:r>
      <w:bookmarkEnd w:id="33"/>
    </w:p>
    <w:p w:rsidR="00797473" w:rsidRPr="006B5915" w:rsidRDefault="00797473" w:rsidP="00B130E5">
      <w:pPr>
        <w:spacing w:after="0" w:line="480" w:lineRule="auto"/>
        <w:ind w:left="720" w:hanging="720"/>
        <w:rPr>
          <w:rFonts w:ascii="Verdana" w:hAnsi="Verdana"/>
          <w:noProof/>
          <w:sz w:val="20"/>
          <w:szCs w:val="20"/>
        </w:rPr>
      </w:pPr>
      <w:bookmarkStart w:id="34" w:name="_ENREF_35"/>
      <w:r w:rsidRPr="006B5915">
        <w:rPr>
          <w:rFonts w:ascii="Verdana" w:hAnsi="Verdana"/>
          <w:noProof/>
          <w:sz w:val="20"/>
          <w:szCs w:val="20"/>
        </w:rPr>
        <w:t xml:space="preserve">35. Macgregor DM. Injuries associated with falls from beds. </w:t>
      </w:r>
      <w:r w:rsidRPr="006B5915">
        <w:rPr>
          <w:rFonts w:ascii="Verdana" w:hAnsi="Verdana"/>
          <w:i/>
          <w:noProof/>
          <w:sz w:val="20"/>
          <w:szCs w:val="20"/>
        </w:rPr>
        <w:t>Inj Prev</w:t>
      </w:r>
      <w:r w:rsidRPr="006B5915">
        <w:rPr>
          <w:rFonts w:ascii="Verdana" w:hAnsi="Verdana"/>
          <w:noProof/>
          <w:sz w:val="20"/>
          <w:szCs w:val="20"/>
        </w:rPr>
        <w:t xml:space="preserve"> 2000;6(4):291-92.</w:t>
      </w:r>
      <w:bookmarkEnd w:id="34"/>
    </w:p>
    <w:p w:rsidR="00797473" w:rsidRPr="006B5915" w:rsidRDefault="00797473" w:rsidP="00B130E5">
      <w:pPr>
        <w:spacing w:after="0" w:line="480" w:lineRule="auto"/>
        <w:ind w:left="720" w:hanging="720"/>
        <w:rPr>
          <w:rFonts w:ascii="Verdana" w:hAnsi="Verdana"/>
          <w:noProof/>
          <w:sz w:val="20"/>
          <w:szCs w:val="20"/>
        </w:rPr>
      </w:pPr>
      <w:bookmarkStart w:id="35" w:name="_ENREF_36"/>
      <w:r w:rsidRPr="006B5915">
        <w:rPr>
          <w:rFonts w:ascii="Verdana" w:hAnsi="Verdana"/>
          <w:noProof/>
          <w:sz w:val="20"/>
          <w:szCs w:val="20"/>
        </w:rPr>
        <w:t xml:space="preserve">36. Selbst S, Baker M, Shames M. Bunk bed injuries. </w:t>
      </w:r>
      <w:r w:rsidRPr="006B5915">
        <w:rPr>
          <w:rFonts w:ascii="Verdana" w:hAnsi="Verdana"/>
          <w:i/>
          <w:noProof/>
          <w:sz w:val="20"/>
          <w:szCs w:val="20"/>
        </w:rPr>
        <w:t>Amer J Dis Child</w:t>
      </w:r>
      <w:r w:rsidRPr="006B5915">
        <w:rPr>
          <w:rFonts w:ascii="Verdana" w:hAnsi="Verdana"/>
          <w:noProof/>
          <w:sz w:val="20"/>
          <w:szCs w:val="20"/>
        </w:rPr>
        <w:t xml:space="preserve"> 1990;144(6):721-3.</w:t>
      </w:r>
      <w:bookmarkEnd w:id="35"/>
    </w:p>
    <w:p w:rsidR="00797473" w:rsidRPr="006B5915" w:rsidRDefault="00797473" w:rsidP="00B130E5">
      <w:pPr>
        <w:spacing w:line="480" w:lineRule="auto"/>
        <w:ind w:left="720" w:hanging="720"/>
        <w:rPr>
          <w:rFonts w:ascii="Verdana" w:hAnsi="Verdana"/>
          <w:noProof/>
          <w:sz w:val="20"/>
          <w:szCs w:val="20"/>
        </w:rPr>
      </w:pPr>
      <w:bookmarkStart w:id="36" w:name="_ENREF_37"/>
      <w:r w:rsidRPr="006B5915">
        <w:rPr>
          <w:rFonts w:ascii="Verdana" w:hAnsi="Verdana"/>
          <w:noProof/>
          <w:sz w:val="20"/>
          <w:szCs w:val="20"/>
        </w:rPr>
        <w:t xml:space="preserve">37. Elkington J, Blogg S, Kelly J, Carey V. Head injuries in infants: A closer look at baby-walkers, stairs and nursery furniture. </w:t>
      </w:r>
      <w:r w:rsidRPr="006B5915">
        <w:rPr>
          <w:rFonts w:ascii="Verdana" w:hAnsi="Verdana"/>
          <w:i/>
          <w:noProof/>
          <w:sz w:val="20"/>
          <w:szCs w:val="20"/>
        </w:rPr>
        <w:t>New South Wales Public Health Bulletin</w:t>
      </w:r>
      <w:r w:rsidRPr="006B5915">
        <w:rPr>
          <w:rFonts w:ascii="Verdana" w:hAnsi="Verdana"/>
          <w:noProof/>
          <w:sz w:val="20"/>
          <w:szCs w:val="20"/>
        </w:rPr>
        <w:t xml:space="preserve"> 1999;10(7):82-83.</w:t>
      </w:r>
      <w:bookmarkEnd w:id="36"/>
    </w:p>
    <w:p w:rsidR="00797473" w:rsidRPr="006B5915" w:rsidRDefault="00797473" w:rsidP="00FB2A31">
      <w:pPr>
        <w:spacing w:line="240" w:lineRule="auto"/>
        <w:rPr>
          <w:noProof/>
          <w:szCs w:val="20"/>
        </w:rPr>
      </w:pPr>
    </w:p>
    <w:p w:rsidR="00426243" w:rsidRPr="006B5915" w:rsidRDefault="00426243" w:rsidP="00FB2A31">
      <w:pPr>
        <w:spacing w:line="240" w:lineRule="auto"/>
        <w:rPr>
          <w:noProof/>
          <w:szCs w:val="20"/>
        </w:rPr>
      </w:pPr>
    </w:p>
    <w:p w:rsidR="00426243" w:rsidRPr="006B5915" w:rsidRDefault="00426243" w:rsidP="00FB2A31">
      <w:pPr>
        <w:spacing w:line="240" w:lineRule="auto"/>
        <w:rPr>
          <w:rFonts w:ascii="Verdana" w:hAnsi="Verdana"/>
          <w:noProof/>
          <w:sz w:val="20"/>
          <w:szCs w:val="20"/>
        </w:rPr>
      </w:pPr>
      <w:r w:rsidRPr="006B5915">
        <w:rPr>
          <w:rFonts w:ascii="Verdana" w:hAnsi="Verdana"/>
          <w:noProof/>
          <w:sz w:val="20"/>
          <w:szCs w:val="20"/>
        </w:rPr>
        <w:t xml:space="preserve">Figure 1: </w:t>
      </w:r>
      <w:r w:rsidRPr="006B5915">
        <w:rPr>
          <w:rFonts w:ascii="Verdana" w:hAnsi="Verdana"/>
          <w:sz w:val="20"/>
          <w:szCs w:val="20"/>
        </w:rPr>
        <w:t>Selection of cases and controls and flow of participants through study</w:t>
      </w:r>
    </w:p>
    <w:p w:rsidR="00797473" w:rsidRPr="006B5915" w:rsidRDefault="00797473" w:rsidP="00FB2A31">
      <w:pPr>
        <w:spacing w:after="0" w:line="240" w:lineRule="auto"/>
        <w:rPr>
          <w:rFonts w:ascii="Verdana" w:hAnsi="Verdana"/>
          <w:sz w:val="20"/>
          <w:szCs w:val="20"/>
        </w:rPr>
      </w:pPr>
    </w:p>
    <w:p w:rsidR="00610C31" w:rsidRPr="006B5915" w:rsidRDefault="00610C31">
      <w:r w:rsidRPr="006B5915">
        <w:br w:type="page"/>
      </w:r>
    </w:p>
    <w:p w:rsidR="00426243" w:rsidRPr="006B5915" w:rsidRDefault="00426243"/>
    <w:p w:rsidR="00610C31" w:rsidRPr="006B5915" w:rsidRDefault="00610C31" w:rsidP="00610C31">
      <w:pPr>
        <w:spacing w:after="0" w:line="240" w:lineRule="auto"/>
        <w:rPr>
          <w:rFonts w:ascii="Verdana" w:hAnsi="Verdana" w:cs="Calibri"/>
          <w:bCs/>
          <w:color w:val="333333"/>
          <w:sz w:val="18"/>
          <w:szCs w:val="18"/>
          <w:lang w:eastAsia="en-GB"/>
        </w:rPr>
      </w:pPr>
      <w:proofErr w:type="gramStart"/>
      <w:r w:rsidRPr="006B5915">
        <w:rPr>
          <w:rFonts w:ascii="Verdana" w:hAnsi="Verdana" w:cs="Calibri"/>
          <w:bCs/>
          <w:color w:val="333333"/>
          <w:sz w:val="18"/>
          <w:szCs w:val="18"/>
          <w:lang w:eastAsia="en-GB"/>
        </w:rPr>
        <w:t>Table 1.</w:t>
      </w:r>
      <w:proofErr w:type="gramEnd"/>
      <w:r w:rsidRPr="006B5915">
        <w:rPr>
          <w:rFonts w:ascii="Verdana" w:hAnsi="Verdana" w:cs="Calibri"/>
          <w:bCs/>
          <w:color w:val="333333"/>
          <w:sz w:val="18"/>
          <w:szCs w:val="18"/>
          <w:lang w:eastAsia="en-GB"/>
        </w:rPr>
        <w:t xml:space="preserve"> Characteristics of cases and controls (percentage, unless stated otherwise)</w:t>
      </w:r>
      <w:r w:rsidRPr="006B5915">
        <w:t xml:space="preserve"> </w:t>
      </w:r>
      <w:r w:rsidRPr="006B5915">
        <w:rPr>
          <w:rFonts w:ascii="Verdana" w:hAnsi="Verdana" w:cs="Calibri"/>
          <w:bCs/>
          <w:color w:val="333333"/>
          <w:sz w:val="18"/>
          <w:szCs w:val="18"/>
          <w:lang w:eastAsia="en-GB"/>
        </w:rPr>
        <w:t xml:space="preserve">[missing values].   </w:t>
      </w:r>
    </w:p>
    <w:p w:rsidR="00610C31" w:rsidRPr="006B5915" w:rsidRDefault="00610C31" w:rsidP="00610C31">
      <w:pPr>
        <w:spacing w:after="0" w:line="240" w:lineRule="auto"/>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3"/>
        <w:gridCol w:w="2140"/>
        <w:gridCol w:w="2469"/>
      </w:tblGrid>
      <w:tr w:rsidR="00610C31" w:rsidRPr="006B5915" w:rsidTr="00FB2A31">
        <w:trPr>
          <w:trHeight w:val="543"/>
        </w:trPr>
        <w:tc>
          <w:tcPr>
            <w:tcW w:w="2506" w:type="pct"/>
          </w:tcPr>
          <w:p w:rsidR="00610C31" w:rsidRPr="006B5915" w:rsidRDefault="00610C31" w:rsidP="00FB2A31">
            <w:pPr>
              <w:spacing w:after="0" w:line="480" w:lineRule="auto"/>
              <w:rPr>
                <w:rFonts w:ascii="Verdana" w:hAnsi="Verdana"/>
                <w:sz w:val="18"/>
                <w:szCs w:val="18"/>
              </w:rPr>
            </w:pPr>
            <w:r w:rsidRPr="006B5915">
              <w:rPr>
                <w:rFonts w:ascii="Verdana" w:hAnsi="Verdana"/>
                <w:sz w:val="18"/>
                <w:szCs w:val="18"/>
              </w:rPr>
              <w:t>Characteristics</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Cases</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n=672</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Controls</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n=2648</w:t>
            </w:r>
          </w:p>
        </w:tc>
      </w:tr>
      <w:tr w:rsidR="00610C31" w:rsidRPr="006B5915" w:rsidTr="00FB2A31">
        <w:trPr>
          <w:trHeight w:val="1104"/>
        </w:trPr>
        <w:tc>
          <w:tcPr>
            <w:tcW w:w="2506" w:type="pct"/>
          </w:tcPr>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Study centre</w:t>
            </w:r>
          </w:p>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Nottingham</w:t>
            </w:r>
          </w:p>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Bristol</w:t>
            </w:r>
          </w:p>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Norwich</w:t>
            </w:r>
          </w:p>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Newcastle</w:t>
            </w:r>
          </w:p>
        </w:tc>
        <w:tc>
          <w:tcPr>
            <w:tcW w:w="1158" w:type="pct"/>
          </w:tcPr>
          <w:p w:rsidR="00610C31" w:rsidRPr="006B5915" w:rsidRDefault="00610C31" w:rsidP="00FB2A31">
            <w:pPr>
              <w:spacing w:after="0" w:line="480" w:lineRule="auto"/>
              <w:jc w:val="center"/>
              <w:rPr>
                <w:rFonts w:ascii="Verdana" w:hAnsi="Verdana"/>
                <w:sz w:val="18"/>
                <w:szCs w:val="18"/>
              </w:rPr>
            </w:pP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246 (36.6)</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215 (32.0)</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146 (21.7)</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65 (9.7)</w:t>
            </w:r>
          </w:p>
        </w:tc>
        <w:tc>
          <w:tcPr>
            <w:tcW w:w="1336" w:type="pct"/>
          </w:tcPr>
          <w:p w:rsidR="00610C31" w:rsidRPr="006B5915" w:rsidRDefault="00610C31" w:rsidP="00FB2A31">
            <w:pPr>
              <w:spacing w:after="0" w:line="480" w:lineRule="auto"/>
              <w:jc w:val="center"/>
              <w:rPr>
                <w:rFonts w:ascii="Verdana" w:hAnsi="Verdana"/>
                <w:sz w:val="18"/>
                <w:szCs w:val="18"/>
              </w:rPr>
            </w:pP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966 (36.5)</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832 (31.4)</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644 (24.3)</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206 (7.8)</w:t>
            </w:r>
          </w:p>
        </w:tc>
      </w:tr>
      <w:tr w:rsidR="00610C31" w:rsidRPr="006B5915" w:rsidTr="00FB2A31">
        <w:trPr>
          <w:trHeight w:val="946"/>
        </w:trPr>
        <w:tc>
          <w:tcPr>
            <w:tcW w:w="2506" w:type="pct"/>
          </w:tcPr>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Age group:*</w:t>
            </w:r>
          </w:p>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0-12 months</w:t>
            </w:r>
          </w:p>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13-36 months</w:t>
            </w:r>
          </w:p>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 xml:space="preserve">37-62 months </w:t>
            </w:r>
          </w:p>
        </w:tc>
        <w:tc>
          <w:tcPr>
            <w:tcW w:w="1158" w:type="pct"/>
          </w:tcPr>
          <w:p w:rsidR="00610C31" w:rsidRPr="006B5915" w:rsidRDefault="00610C31" w:rsidP="00FB2A31">
            <w:pPr>
              <w:spacing w:after="0" w:line="480" w:lineRule="auto"/>
              <w:jc w:val="center"/>
              <w:rPr>
                <w:rFonts w:ascii="Verdana" w:hAnsi="Verdana"/>
                <w:sz w:val="18"/>
                <w:szCs w:val="18"/>
              </w:rPr>
            </w:pP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223 (33.2)</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296 (44.1)</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153 (22.8)</w:t>
            </w:r>
          </w:p>
        </w:tc>
        <w:tc>
          <w:tcPr>
            <w:tcW w:w="1336" w:type="pct"/>
          </w:tcPr>
          <w:p w:rsidR="00610C31" w:rsidRPr="006B5915" w:rsidRDefault="00610C31" w:rsidP="00FB2A31">
            <w:pPr>
              <w:spacing w:after="0" w:line="480" w:lineRule="auto"/>
              <w:jc w:val="center"/>
              <w:rPr>
                <w:rFonts w:ascii="Verdana" w:hAnsi="Verdana"/>
                <w:sz w:val="18"/>
                <w:szCs w:val="18"/>
              </w:rPr>
            </w:pP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741 (28.0)</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1270 (48.0)</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637 (24.1)</w:t>
            </w:r>
          </w:p>
        </w:tc>
      </w:tr>
      <w:tr w:rsidR="00610C31" w:rsidRPr="006B5915" w:rsidTr="00FB2A31">
        <w:trPr>
          <w:trHeight w:val="244"/>
        </w:trPr>
        <w:tc>
          <w:tcPr>
            <w:tcW w:w="2506" w:type="pct"/>
          </w:tcPr>
          <w:p w:rsidR="00610C31" w:rsidRPr="006B5915" w:rsidRDefault="00610C31" w:rsidP="00FB2A31">
            <w:pPr>
              <w:spacing w:after="0" w:line="480" w:lineRule="auto"/>
              <w:rPr>
                <w:rFonts w:ascii="Verdana" w:hAnsi="Verdana"/>
                <w:sz w:val="18"/>
                <w:szCs w:val="18"/>
              </w:rPr>
            </w:pPr>
            <w:r w:rsidRPr="006B5915">
              <w:rPr>
                <w:rFonts w:ascii="Verdana" w:hAnsi="Verdana"/>
                <w:bCs/>
                <w:sz w:val="18"/>
                <w:szCs w:val="18"/>
              </w:rPr>
              <w:t>Male</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365 (54.3)</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1478 (55.8)</w:t>
            </w:r>
          </w:p>
        </w:tc>
      </w:tr>
      <w:tr w:rsidR="00610C31" w:rsidRPr="006B5915" w:rsidTr="00FB2A31">
        <w:trPr>
          <w:trHeight w:val="292"/>
        </w:trPr>
        <w:tc>
          <w:tcPr>
            <w:tcW w:w="2506" w:type="pct"/>
          </w:tcPr>
          <w:p w:rsidR="00610C31" w:rsidRPr="006B5915" w:rsidRDefault="00610C31" w:rsidP="00FB2A31">
            <w:pPr>
              <w:spacing w:after="0" w:line="480" w:lineRule="auto"/>
              <w:rPr>
                <w:rFonts w:ascii="Verdana" w:hAnsi="Verdana"/>
                <w:sz w:val="18"/>
                <w:szCs w:val="18"/>
              </w:rPr>
            </w:pPr>
            <w:r w:rsidRPr="006B5915">
              <w:rPr>
                <w:rFonts w:ascii="Verdana" w:hAnsi="Verdana"/>
                <w:bCs/>
                <w:sz w:val="18"/>
                <w:szCs w:val="18"/>
              </w:rPr>
              <w:t>Ethnic group: white</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583 (88.9) </w:t>
            </w:r>
            <w:r w:rsidRPr="006B5915">
              <w:rPr>
                <w:rFonts w:ascii="Verdana" w:hAnsi="Verdana"/>
                <w:sz w:val="16"/>
                <w:szCs w:val="16"/>
              </w:rPr>
              <w:t>[16]</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2403 (92.2) </w:t>
            </w:r>
            <w:r w:rsidRPr="006B5915">
              <w:rPr>
                <w:rFonts w:ascii="Verdana" w:hAnsi="Verdana"/>
                <w:sz w:val="16"/>
                <w:szCs w:val="16"/>
              </w:rPr>
              <w:t>[41]</w:t>
            </w:r>
          </w:p>
        </w:tc>
      </w:tr>
      <w:tr w:rsidR="00610C31" w:rsidRPr="006B5915" w:rsidTr="00FB2A31">
        <w:trPr>
          <w:trHeight w:val="605"/>
        </w:trPr>
        <w:tc>
          <w:tcPr>
            <w:tcW w:w="2506" w:type="pct"/>
          </w:tcPr>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Children aged 0-4 years  in family</w:t>
            </w:r>
          </w:p>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0</w:t>
            </w:r>
          </w:p>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1</w:t>
            </w:r>
          </w:p>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2</w:t>
            </w:r>
          </w:p>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≥3</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[6]</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9 (1.4)</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391 (58.7)</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231 (34.7)</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35 (5.3)</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[40]</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20 (0.8)</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1563 (59.9)</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927 (35.5)</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98 (3.8)</w:t>
            </w:r>
          </w:p>
        </w:tc>
      </w:tr>
      <w:tr w:rsidR="00610C31" w:rsidRPr="006B5915" w:rsidTr="00FB2A31">
        <w:trPr>
          <w:trHeight w:val="282"/>
        </w:trPr>
        <w:tc>
          <w:tcPr>
            <w:tcW w:w="2506" w:type="pct"/>
          </w:tcPr>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 xml:space="preserve">First child </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285 (45.4) </w:t>
            </w:r>
            <w:r w:rsidRPr="006B5915">
              <w:rPr>
                <w:rFonts w:ascii="Verdana" w:hAnsi="Verdana"/>
                <w:sz w:val="16"/>
                <w:szCs w:val="16"/>
              </w:rPr>
              <w:t>[44]</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1093 (44.9) </w:t>
            </w:r>
            <w:r w:rsidRPr="006B5915">
              <w:rPr>
                <w:rFonts w:ascii="Verdana" w:hAnsi="Verdana"/>
                <w:sz w:val="16"/>
                <w:szCs w:val="16"/>
              </w:rPr>
              <w:t>[212]</w:t>
            </w:r>
          </w:p>
        </w:tc>
      </w:tr>
      <w:tr w:rsidR="00610C31" w:rsidRPr="006B5915" w:rsidTr="00FB2A31">
        <w:trPr>
          <w:trHeight w:val="260"/>
        </w:trPr>
        <w:tc>
          <w:tcPr>
            <w:tcW w:w="2506" w:type="pct"/>
          </w:tcPr>
          <w:p w:rsidR="00610C31" w:rsidRPr="006B5915" w:rsidRDefault="00610C31" w:rsidP="00FB2A31">
            <w:pPr>
              <w:spacing w:after="0" w:line="480" w:lineRule="auto"/>
              <w:rPr>
                <w:rFonts w:ascii="Verdana" w:hAnsi="Verdana"/>
                <w:sz w:val="18"/>
                <w:szCs w:val="18"/>
              </w:rPr>
            </w:pPr>
            <w:r w:rsidRPr="006B5915">
              <w:rPr>
                <w:rFonts w:ascii="Verdana" w:hAnsi="Verdana"/>
                <w:bCs/>
                <w:sz w:val="18"/>
                <w:szCs w:val="18"/>
              </w:rPr>
              <w:t>Maternal age ≤19 at birth of first child**</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77  (12.5) </w:t>
            </w:r>
            <w:r w:rsidRPr="006B5915">
              <w:rPr>
                <w:rFonts w:ascii="Verdana" w:hAnsi="Verdana"/>
                <w:sz w:val="16"/>
                <w:szCs w:val="16"/>
              </w:rPr>
              <w:t>[4]</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219  (9.0) </w:t>
            </w:r>
            <w:r w:rsidRPr="006B5915">
              <w:rPr>
                <w:rFonts w:ascii="Verdana" w:hAnsi="Verdana"/>
                <w:sz w:val="16"/>
                <w:szCs w:val="16"/>
              </w:rPr>
              <w:t>[19]</w:t>
            </w:r>
          </w:p>
        </w:tc>
      </w:tr>
      <w:tr w:rsidR="00610C31" w:rsidRPr="006B5915" w:rsidTr="00FB2A31">
        <w:trPr>
          <w:trHeight w:val="238"/>
        </w:trPr>
        <w:tc>
          <w:tcPr>
            <w:tcW w:w="2506" w:type="pct"/>
          </w:tcPr>
          <w:p w:rsidR="00610C31" w:rsidRPr="006B5915" w:rsidRDefault="00610C31" w:rsidP="00FB2A31">
            <w:pPr>
              <w:spacing w:after="0" w:line="480" w:lineRule="auto"/>
              <w:rPr>
                <w:rFonts w:ascii="Verdana" w:hAnsi="Verdana"/>
                <w:sz w:val="18"/>
                <w:szCs w:val="18"/>
              </w:rPr>
            </w:pPr>
            <w:r w:rsidRPr="006B5915">
              <w:rPr>
                <w:rFonts w:ascii="Verdana" w:hAnsi="Verdana"/>
                <w:bCs/>
                <w:sz w:val="18"/>
                <w:szCs w:val="18"/>
              </w:rPr>
              <w:t>Single adult household</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95  (14.5) </w:t>
            </w:r>
            <w:r w:rsidRPr="006B5915">
              <w:rPr>
                <w:rFonts w:ascii="Verdana" w:hAnsi="Verdana"/>
                <w:sz w:val="16"/>
                <w:szCs w:val="16"/>
              </w:rPr>
              <w:t>[15]</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263  (10.2) </w:t>
            </w:r>
            <w:r w:rsidRPr="006B5915">
              <w:rPr>
                <w:rFonts w:ascii="Verdana" w:hAnsi="Verdana"/>
                <w:sz w:val="16"/>
                <w:szCs w:val="16"/>
              </w:rPr>
              <w:t>[61]</w:t>
            </w:r>
          </w:p>
        </w:tc>
      </w:tr>
      <w:tr w:rsidR="00610C31" w:rsidRPr="006B5915" w:rsidTr="00FB2A31">
        <w:trPr>
          <w:trHeight w:val="343"/>
        </w:trPr>
        <w:tc>
          <w:tcPr>
            <w:tcW w:w="2506" w:type="pct"/>
          </w:tcPr>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 xml:space="preserve"> Hours out-of-home child care (Median, IQR)</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7.5 (0, 18.0) </w:t>
            </w:r>
            <w:r w:rsidRPr="006B5915">
              <w:rPr>
                <w:rFonts w:ascii="Verdana" w:hAnsi="Verdana"/>
                <w:sz w:val="16"/>
                <w:szCs w:val="16"/>
              </w:rPr>
              <w:t>[46]</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12.0  (1.0, 22.0) </w:t>
            </w:r>
            <w:r w:rsidRPr="006B5915">
              <w:rPr>
                <w:rFonts w:ascii="Verdana" w:hAnsi="Verdana"/>
                <w:sz w:val="16"/>
                <w:szCs w:val="16"/>
              </w:rPr>
              <w:t>[179]</w:t>
            </w:r>
          </w:p>
        </w:tc>
      </w:tr>
      <w:tr w:rsidR="00610C31" w:rsidRPr="006B5915" w:rsidTr="00FB2A31">
        <w:trPr>
          <w:trHeight w:val="660"/>
        </w:trPr>
        <w:tc>
          <w:tcPr>
            <w:tcW w:w="2506" w:type="pct"/>
          </w:tcPr>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 xml:space="preserve">Adults out of work  </w:t>
            </w:r>
          </w:p>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0</w:t>
            </w:r>
          </w:p>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1</w:t>
            </w:r>
          </w:p>
          <w:p w:rsidR="00610C31" w:rsidRPr="006B5915" w:rsidRDefault="00610C31" w:rsidP="00FB2A31">
            <w:pPr>
              <w:spacing w:after="0" w:line="480" w:lineRule="auto"/>
              <w:rPr>
                <w:rFonts w:ascii="Verdana" w:hAnsi="Verdana"/>
                <w:bCs/>
                <w:sz w:val="18"/>
                <w:szCs w:val="18"/>
              </w:rPr>
            </w:pPr>
            <w:r w:rsidRPr="006B5915">
              <w:rPr>
                <w:rFonts w:ascii="Verdana" w:hAnsi="Verdana" w:cs="Calibri"/>
                <w:color w:val="000000"/>
                <w:sz w:val="18"/>
                <w:szCs w:val="18"/>
              </w:rPr>
              <w:t xml:space="preserve">≥ 2 </w:t>
            </w:r>
          </w:p>
        </w:tc>
        <w:tc>
          <w:tcPr>
            <w:tcW w:w="1158" w:type="pct"/>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[16]</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319 (48.6)</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221 (33.7)</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116 (17.7)</w:t>
            </w:r>
          </w:p>
        </w:tc>
        <w:tc>
          <w:tcPr>
            <w:tcW w:w="1336" w:type="pct"/>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[45]</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1481  (56.9)</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795  (30.5)</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327 (12.6)</w:t>
            </w:r>
          </w:p>
        </w:tc>
      </w:tr>
      <w:tr w:rsidR="00610C31" w:rsidRPr="006B5915" w:rsidTr="00FB2A31">
        <w:trPr>
          <w:trHeight w:val="328"/>
        </w:trPr>
        <w:tc>
          <w:tcPr>
            <w:tcW w:w="2506" w:type="pct"/>
          </w:tcPr>
          <w:p w:rsidR="00610C31" w:rsidRPr="006B5915" w:rsidRDefault="00610C31" w:rsidP="00FB2A31">
            <w:pPr>
              <w:spacing w:after="0" w:line="480" w:lineRule="auto"/>
              <w:rPr>
                <w:rFonts w:ascii="Verdana" w:hAnsi="Verdana"/>
                <w:sz w:val="18"/>
                <w:szCs w:val="18"/>
              </w:rPr>
            </w:pPr>
            <w:r w:rsidRPr="006B5915">
              <w:rPr>
                <w:rFonts w:ascii="Verdana" w:hAnsi="Verdana"/>
                <w:bCs/>
                <w:sz w:val="18"/>
                <w:szCs w:val="18"/>
              </w:rPr>
              <w:t xml:space="preserve">Receives state benefits </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280 (43.0) </w:t>
            </w:r>
            <w:r w:rsidRPr="006B5915">
              <w:rPr>
                <w:rFonts w:ascii="Verdana" w:hAnsi="Verdana"/>
                <w:sz w:val="16"/>
                <w:szCs w:val="16"/>
              </w:rPr>
              <w:t>[21]</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928  (35.9) </w:t>
            </w:r>
            <w:r w:rsidRPr="006B5915">
              <w:rPr>
                <w:rFonts w:ascii="Verdana" w:hAnsi="Verdana"/>
                <w:sz w:val="16"/>
                <w:szCs w:val="16"/>
              </w:rPr>
              <w:t>[65]</w:t>
            </w:r>
          </w:p>
        </w:tc>
      </w:tr>
      <w:tr w:rsidR="00610C31" w:rsidRPr="006B5915" w:rsidTr="00FB2A31">
        <w:trPr>
          <w:trHeight w:val="262"/>
        </w:trPr>
        <w:tc>
          <w:tcPr>
            <w:tcW w:w="2506" w:type="pct"/>
          </w:tcPr>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Overcrowding (&gt;1 person per room)</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56 (8.8) </w:t>
            </w:r>
            <w:r w:rsidRPr="006B5915">
              <w:rPr>
                <w:rFonts w:ascii="Verdana" w:hAnsi="Verdana"/>
                <w:sz w:val="16"/>
                <w:szCs w:val="16"/>
              </w:rPr>
              <w:t>[32]</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173 (6.9) </w:t>
            </w:r>
            <w:r w:rsidRPr="006B5915">
              <w:rPr>
                <w:rFonts w:ascii="Verdana" w:hAnsi="Verdana"/>
                <w:sz w:val="16"/>
                <w:szCs w:val="16"/>
              </w:rPr>
              <w:t>[146]</w:t>
            </w:r>
          </w:p>
        </w:tc>
      </w:tr>
      <w:tr w:rsidR="00610C31" w:rsidRPr="006B5915" w:rsidTr="00FB2A31">
        <w:trPr>
          <w:trHeight w:val="280"/>
        </w:trPr>
        <w:tc>
          <w:tcPr>
            <w:tcW w:w="2506" w:type="pct"/>
          </w:tcPr>
          <w:p w:rsidR="00610C31" w:rsidRPr="006B5915" w:rsidRDefault="00610C31" w:rsidP="00FB2A31">
            <w:pPr>
              <w:spacing w:after="0" w:line="480" w:lineRule="auto"/>
              <w:rPr>
                <w:rFonts w:ascii="Verdana" w:hAnsi="Verdana"/>
                <w:bCs/>
                <w:sz w:val="18"/>
                <w:szCs w:val="18"/>
              </w:rPr>
            </w:pPr>
            <w:r w:rsidRPr="006B5915">
              <w:rPr>
                <w:rFonts w:ascii="Verdana" w:hAnsi="Verdana"/>
                <w:sz w:val="18"/>
                <w:szCs w:val="18"/>
              </w:rPr>
              <w:lastRenderedPageBreak/>
              <w:t>Non-owner occupier</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262 (39.5)</w:t>
            </w:r>
            <w:r w:rsidRPr="006B5915">
              <w:t xml:space="preserve"> </w:t>
            </w:r>
            <w:r w:rsidRPr="006B5915">
              <w:rPr>
                <w:rFonts w:ascii="Verdana" w:hAnsi="Verdana"/>
                <w:sz w:val="16"/>
                <w:szCs w:val="16"/>
              </w:rPr>
              <w:t>[9]</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838 (32.2)</w:t>
            </w:r>
            <w:r w:rsidRPr="006B5915">
              <w:t xml:space="preserve"> </w:t>
            </w:r>
            <w:r w:rsidRPr="006B5915">
              <w:rPr>
                <w:rFonts w:ascii="Verdana" w:hAnsi="Verdana"/>
                <w:sz w:val="16"/>
                <w:szCs w:val="16"/>
              </w:rPr>
              <w:t>[49]</w:t>
            </w:r>
          </w:p>
        </w:tc>
      </w:tr>
      <w:tr w:rsidR="00610C31" w:rsidRPr="006B5915" w:rsidTr="00FB2A31">
        <w:trPr>
          <w:trHeight w:val="271"/>
        </w:trPr>
        <w:tc>
          <w:tcPr>
            <w:tcW w:w="2506" w:type="pct"/>
          </w:tcPr>
          <w:p w:rsidR="00610C31" w:rsidRPr="006B5915" w:rsidRDefault="00610C31" w:rsidP="00FB2A31">
            <w:pPr>
              <w:spacing w:after="0" w:line="480" w:lineRule="auto"/>
              <w:rPr>
                <w:rFonts w:ascii="Verdana" w:hAnsi="Verdana"/>
                <w:bCs/>
                <w:sz w:val="18"/>
                <w:szCs w:val="18"/>
              </w:rPr>
            </w:pPr>
            <w:r w:rsidRPr="006B5915">
              <w:rPr>
                <w:rFonts w:ascii="Verdana" w:hAnsi="Verdana"/>
                <w:bCs/>
                <w:sz w:val="18"/>
                <w:szCs w:val="18"/>
              </w:rPr>
              <w:t>Household has no car</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95 (14.4) </w:t>
            </w:r>
            <w:r w:rsidRPr="006B5915">
              <w:rPr>
                <w:rFonts w:ascii="Verdana" w:hAnsi="Verdana"/>
                <w:sz w:val="16"/>
                <w:szCs w:val="16"/>
              </w:rPr>
              <w:t>[10]</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288 (11.0) </w:t>
            </w:r>
            <w:r w:rsidRPr="006B5915">
              <w:rPr>
                <w:rFonts w:ascii="Verdana" w:hAnsi="Verdana"/>
                <w:sz w:val="16"/>
                <w:szCs w:val="16"/>
              </w:rPr>
              <w:t>[40]</w:t>
            </w:r>
          </w:p>
        </w:tc>
      </w:tr>
      <w:tr w:rsidR="00610C31" w:rsidRPr="006B5915" w:rsidTr="00FB2A31">
        <w:trPr>
          <w:trHeight w:val="274"/>
        </w:trPr>
        <w:tc>
          <w:tcPr>
            <w:tcW w:w="2506" w:type="pct"/>
          </w:tcPr>
          <w:p w:rsidR="00610C31" w:rsidRPr="006B5915" w:rsidRDefault="00610C31" w:rsidP="00FB2A31">
            <w:pPr>
              <w:spacing w:after="0" w:line="480" w:lineRule="auto"/>
              <w:rPr>
                <w:rFonts w:ascii="Verdana" w:hAnsi="Verdana"/>
                <w:sz w:val="18"/>
                <w:szCs w:val="18"/>
              </w:rPr>
            </w:pPr>
            <w:r w:rsidRPr="006B5915">
              <w:rPr>
                <w:rFonts w:ascii="Verdana" w:hAnsi="Verdana"/>
                <w:sz w:val="18"/>
                <w:szCs w:val="18"/>
              </w:rPr>
              <w:t>Index of multiple deprivation score (IMD) score (Median, IQR)</w:t>
            </w:r>
          </w:p>
        </w:tc>
        <w:tc>
          <w:tcPr>
            <w:tcW w:w="1158"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16.8 (10.0, 31.9)</w:t>
            </w:r>
          </w:p>
        </w:tc>
        <w:tc>
          <w:tcPr>
            <w:tcW w:w="1336"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 xml:space="preserve">14.9 (9.0, 26.8) </w:t>
            </w:r>
            <w:r w:rsidRPr="006B5915">
              <w:rPr>
                <w:rFonts w:ascii="Verdana" w:hAnsi="Verdana" w:cs="Calibri"/>
                <w:sz w:val="16"/>
                <w:szCs w:val="16"/>
              </w:rPr>
              <w:t>[28]</w:t>
            </w:r>
          </w:p>
        </w:tc>
      </w:tr>
      <w:tr w:rsidR="00610C31" w:rsidRPr="006B5915" w:rsidTr="00FB2A31">
        <w:trPr>
          <w:trHeight w:val="278"/>
        </w:trPr>
        <w:tc>
          <w:tcPr>
            <w:tcW w:w="2506" w:type="pct"/>
          </w:tcPr>
          <w:p w:rsidR="00610C31" w:rsidRPr="006B5915" w:rsidRDefault="00610C31" w:rsidP="00FB2A31">
            <w:pPr>
              <w:spacing w:after="0" w:line="480" w:lineRule="auto"/>
              <w:rPr>
                <w:rFonts w:ascii="Verdana" w:hAnsi="Verdana"/>
                <w:sz w:val="18"/>
                <w:szCs w:val="18"/>
              </w:rPr>
            </w:pPr>
            <w:r w:rsidRPr="006B5915">
              <w:rPr>
                <w:rFonts w:ascii="Verdana" w:hAnsi="Verdana"/>
                <w:sz w:val="18"/>
                <w:szCs w:val="18"/>
              </w:rPr>
              <w:t>Distance (km) from hospital (Median, IQR)</w:t>
            </w:r>
          </w:p>
        </w:tc>
        <w:tc>
          <w:tcPr>
            <w:tcW w:w="1158"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3.4 (1.9, 5.4)</w:t>
            </w:r>
          </w:p>
        </w:tc>
        <w:tc>
          <w:tcPr>
            <w:tcW w:w="1336"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3.9 (2.4, 7.4)</w:t>
            </w:r>
            <w:r w:rsidRPr="006B5915">
              <w:t xml:space="preserve"> </w:t>
            </w:r>
            <w:r w:rsidRPr="006B5915">
              <w:rPr>
                <w:rFonts w:ascii="Verdana" w:hAnsi="Verdana" w:cs="Calibri"/>
                <w:sz w:val="18"/>
                <w:szCs w:val="18"/>
              </w:rPr>
              <w:t>[29]</w:t>
            </w:r>
          </w:p>
        </w:tc>
      </w:tr>
      <w:tr w:rsidR="00610C31" w:rsidRPr="006B5915" w:rsidTr="00FB2A31">
        <w:tc>
          <w:tcPr>
            <w:tcW w:w="2506" w:type="pct"/>
          </w:tcPr>
          <w:p w:rsidR="00610C31" w:rsidRPr="006B5915" w:rsidRDefault="00610C31" w:rsidP="00FB2A31">
            <w:pPr>
              <w:spacing w:after="0" w:line="480" w:lineRule="auto"/>
              <w:rPr>
                <w:rFonts w:ascii="Verdana" w:hAnsi="Verdana"/>
                <w:sz w:val="18"/>
                <w:szCs w:val="18"/>
              </w:rPr>
            </w:pPr>
            <w:r w:rsidRPr="006B5915">
              <w:rPr>
                <w:rFonts w:ascii="Verdana" w:hAnsi="Verdana"/>
                <w:sz w:val="18"/>
                <w:szCs w:val="18"/>
              </w:rPr>
              <w:t>Child behaviour questionnaire (CBQ) score (Mean, SD)</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4.68 (0.92) </w:t>
            </w:r>
            <w:r w:rsidRPr="006B5915">
              <w:rPr>
                <w:rFonts w:ascii="Verdana" w:hAnsi="Verdana"/>
                <w:sz w:val="16"/>
                <w:szCs w:val="16"/>
              </w:rPr>
              <w:t>[45]</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4.67 (0.88)</w:t>
            </w:r>
            <w:r w:rsidRPr="006B5915">
              <w:t xml:space="preserve"> </w:t>
            </w:r>
            <w:r w:rsidRPr="006B5915">
              <w:rPr>
                <w:rFonts w:ascii="Verdana" w:hAnsi="Verdana"/>
                <w:sz w:val="16"/>
                <w:szCs w:val="16"/>
              </w:rPr>
              <w:t>[234]</w:t>
            </w:r>
          </w:p>
        </w:tc>
      </w:tr>
      <w:tr w:rsidR="00610C31" w:rsidRPr="006B5915" w:rsidTr="00FB2A31">
        <w:trPr>
          <w:trHeight w:val="187"/>
        </w:trPr>
        <w:tc>
          <w:tcPr>
            <w:tcW w:w="2506" w:type="pct"/>
          </w:tcPr>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Long term health condition</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60 (9.0) </w:t>
            </w:r>
            <w:r w:rsidRPr="006B5915">
              <w:rPr>
                <w:rFonts w:ascii="Verdana" w:hAnsi="Verdana"/>
                <w:sz w:val="16"/>
                <w:szCs w:val="16"/>
              </w:rPr>
              <w:t>[5]</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185 (7.0) </w:t>
            </w:r>
            <w:r w:rsidRPr="006B5915">
              <w:rPr>
                <w:rFonts w:ascii="Verdana" w:hAnsi="Verdana"/>
                <w:sz w:val="16"/>
                <w:szCs w:val="16"/>
              </w:rPr>
              <w:t>[14]</w:t>
            </w:r>
          </w:p>
        </w:tc>
      </w:tr>
      <w:tr w:rsidR="00610C31" w:rsidRPr="006B5915" w:rsidTr="00FB2A31">
        <w:trPr>
          <w:trHeight w:val="145"/>
        </w:trPr>
        <w:tc>
          <w:tcPr>
            <w:tcW w:w="2506" w:type="pct"/>
          </w:tcPr>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 xml:space="preserve">Child health visual analogue scale </w:t>
            </w:r>
          </w:p>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(range 0-10) (median (IQR))</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9.9 (9.3, 10.0) </w:t>
            </w:r>
            <w:r w:rsidRPr="006B5915">
              <w:rPr>
                <w:rFonts w:ascii="Verdana" w:hAnsi="Verdana"/>
                <w:sz w:val="16"/>
                <w:szCs w:val="16"/>
              </w:rPr>
              <w:t>[6]</w:t>
            </w:r>
          </w:p>
        </w:tc>
        <w:tc>
          <w:tcPr>
            <w:tcW w:w="1336"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9.7 (8.5, 10.0)</w:t>
            </w:r>
            <w:r w:rsidRPr="006B5915">
              <w:t xml:space="preserve"> </w:t>
            </w:r>
            <w:r w:rsidRPr="006B5915">
              <w:rPr>
                <w:rFonts w:ascii="Verdana" w:hAnsi="Verdana"/>
                <w:sz w:val="16"/>
                <w:szCs w:val="16"/>
              </w:rPr>
              <w:t>[22]</w:t>
            </w:r>
          </w:p>
        </w:tc>
      </w:tr>
      <w:tr w:rsidR="00610C31" w:rsidRPr="006B5915" w:rsidTr="00FB2A31">
        <w:trPr>
          <w:trHeight w:val="508"/>
        </w:trPr>
        <w:tc>
          <w:tcPr>
            <w:tcW w:w="2506" w:type="pct"/>
          </w:tcPr>
          <w:p w:rsidR="00610C31" w:rsidRPr="006B5915" w:rsidRDefault="00610C31" w:rsidP="00FB2A31">
            <w:pPr>
              <w:spacing w:after="0" w:line="480" w:lineRule="auto"/>
              <w:rPr>
                <w:rFonts w:ascii="Verdana" w:hAnsi="Verdana" w:cs="Calibri"/>
                <w:sz w:val="18"/>
                <w:szCs w:val="18"/>
              </w:rPr>
            </w:pPr>
            <w:r w:rsidRPr="006B5915">
              <w:rPr>
                <w:rFonts w:ascii="Verdana" w:hAnsi="Verdana" w:cs="Calibri"/>
                <w:sz w:val="18"/>
                <w:szCs w:val="18"/>
              </w:rPr>
              <w:t>Health related quality of life in children aged 2 years and over (PedsQL)(Median, IQR)***</w:t>
            </w:r>
          </w:p>
        </w:tc>
        <w:tc>
          <w:tcPr>
            <w:tcW w:w="1158"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 xml:space="preserve">n=287 </w:t>
            </w:r>
            <w:r w:rsidRPr="006B5915">
              <w:rPr>
                <w:rFonts w:ascii="Verdana" w:hAnsi="Verdana"/>
                <w:sz w:val="16"/>
                <w:szCs w:val="16"/>
              </w:rPr>
              <w:t>[4]</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93.1 (86.9,97.6)</w:t>
            </w:r>
          </w:p>
        </w:tc>
        <w:tc>
          <w:tcPr>
            <w:tcW w:w="1336" w:type="pct"/>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8"/>
                <w:szCs w:val="18"/>
              </w:rPr>
              <w:t xml:space="preserve">n=1270 </w:t>
            </w:r>
            <w:r w:rsidRPr="006B5915">
              <w:rPr>
                <w:rFonts w:ascii="Verdana" w:hAnsi="Verdana"/>
                <w:sz w:val="16"/>
                <w:szCs w:val="16"/>
              </w:rPr>
              <w:t>[21]</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90.0 (82.9, 94.4)</w:t>
            </w:r>
          </w:p>
        </w:tc>
      </w:tr>
      <w:tr w:rsidR="00610C31" w:rsidRPr="006B5915" w:rsidTr="00FB2A31">
        <w:trPr>
          <w:trHeight w:val="416"/>
        </w:trPr>
        <w:tc>
          <w:tcPr>
            <w:tcW w:w="2506" w:type="pct"/>
          </w:tcPr>
          <w:p w:rsidR="00610C31" w:rsidRPr="006B5915" w:rsidRDefault="00610C31" w:rsidP="00FB2A31">
            <w:pPr>
              <w:spacing w:after="0" w:line="480" w:lineRule="auto"/>
              <w:rPr>
                <w:rFonts w:ascii="Verdana" w:hAnsi="Verdana" w:cs="Calibri"/>
                <w:sz w:val="18"/>
                <w:szCs w:val="18"/>
              </w:rPr>
            </w:pPr>
            <w:r w:rsidRPr="006B5915">
              <w:rPr>
                <w:rFonts w:ascii="Verdana" w:hAnsi="Verdana"/>
                <w:sz w:val="18"/>
                <w:szCs w:val="18"/>
              </w:rPr>
              <w:t xml:space="preserve">Parental assessment of child’s ability to climb </w:t>
            </w:r>
          </w:p>
          <w:p w:rsidR="00610C31" w:rsidRPr="006B5915" w:rsidRDefault="00610C31" w:rsidP="00FB2A31">
            <w:pPr>
              <w:spacing w:after="0" w:line="480" w:lineRule="auto"/>
              <w:rPr>
                <w:rFonts w:ascii="Verdana" w:hAnsi="Verdana" w:cs="Calibri"/>
                <w:sz w:val="18"/>
                <w:szCs w:val="18"/>
              </w:rPr>
            </w:pPr>
            <w:r w:rsidRPr="006B5915">
              <w:rPr>
                <w:rFonts w:ascii="Verdana" w:hAnsi="Verdana" w:cs="Calibri"/>
                <w:sz w:val="18"/>
                <w:szCs w:val="18"/>
              </w:rPr>
              <w:t xml:space="preserve">All scenarios ‘not likely’ </w:t>
            </w:r>
          </w:p>
          <w:p w:rsidR="00610C31" w:rsidRPr="006B5915" w:rsidRDefault="00610C31" w:rsidP="00FB2A31">
            <w:pPr>
              <w:spacing w:after="0" w:line="480" w:lineRule="auto"/>
              <w:rPr>
                <w:rFonts w:ascii="Verdana" w:hAnsi="Verdana" w:cs="Calibri"/>
                <w:sz w:val="18"/>
                <w:szCs w:val="18"/>
              </w:rPr>
            </w:pPr>
            <w:r w:rsidRPr="006B5915">
              <w:rPr>
                <w:rFonts w:ascii="Verdana" w:hAnsi="Verdana" w:cs="Calibri"/>
                <w:sz w:val="18"/>
                <w:szCs w:val="18"/>
              </w:rPr>
              <w:t xml:space="preserve">≥ 1 scenario ‘quite likely’ and none ‘very likely’ </w:t>
            </w:r>
          </w:p>
          <w:p w:rsidR="00610C31" w:rsidRPr="006B5915" w:rsidRDefault="00610C31" w:rsidP="00FB2A31">
            <w:pPr>
              <w:spacing w:after="0" w:line="480" w:lineRule="auto"/>
              <w:rPr>
                <w:rFonts w:ascii="Verdana" w:hAnsi="Verdana" w:cs="Calibri"/>
                <w:sz w:val="18"/>
                <w:szCs w:val="18"/>
              </w:rPr>
            </w:pPr>
            <w:r w:rsidRPr="006B5915">
              <w:rPr>
                <w:rFonts w:ascii="Verdana" w:hAnsi="Verdana" w:cs="Calibri"/>
                <w:sz w:val="18"/>
                <w:szCs w:val="18"/>
              </w:rPr>
              <w:t xml:space="preserve">≥ 1 scenario ‘very likely’ </w:t>
            </w:r>
          </w:p>
        </w:tc>
        <w:tc>
          <w:tcPr>
            <w:tcW w:w="1158" w:type="pct"/>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[18]</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166 (25.4)</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85 (13.0)</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403 (61.6)</w:t>
            </w:r>
          </w:p>
        </w:tc>
        <w:tc>
          <w:tcPr>
            <w:tcW w:w="1336" w:type="pct"/>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[57]</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536 (20.7)</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235 (9.1)</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1820 (70.2)</w:t>
            </w:r>
          </w:p>
        </w:tc>
      </w:tr>
      <w:tr w:rsidR="00610C31" w:rsidRPr="006B5915" w:rsidTr="00FB2A31">
        <w:trPr>
          <w:trHeight w:val="519"/>
        </w:trPr>
        <w:tc>
          <w:tcPr>
            <w:tcW w:w="2506" w:type="pct"/>
          </w:tcPr>
          <w:p w:rsidR="00610C31" w:rsidRPr="006B5915" w:rsidRDefault="00610C31" w:rsidP="00FB2A31">
            <w:pPr>
              <w:spacing w:after="0" w:line="480" w:lineRule="auto"/>
              <w:rPr>
                <w:rFonts w:ascii="Verdana" w:hAnsi="Verdana"/>
                <w:sz w:val="18"/>
                <w:szCs w:val="18"/>
              </w:rPr>
            </w:pPr>
            <w:r w:rsidRPr="006B5915">
              <w:rPr>
                <w:rFonts w:ascii="Verdana" w:hAnsi="Verdana"/>
                <w:sz w:val="18"/>
                <w:szCs w:val="18"/>
              </w:rPr>
              <w:t>Parenting daily hassles (PDH) tasks subscale (Median, IQR)****</w:t>
            </w:r>
          </w:p>
        </w:tc>
        <w:tc>
          <w:tcPr>
            <w:tcW w:w="1158"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 xml:space="preserve">13  (10, 17) </w:t>
            </w:r>
            <w:r w:rsidRPr="006B5915">
              <w:rPr>
                <w:rFonts w:ascii="Verdana" w:hAnsi="Verdana" w:cs="Calibri"/>
                <w:sz w:val="16"/>
                <w:szCs w:val="16"/>
              </w:rPr>
              <w:t>[65]</w:t>
            </w:r>
          </w:p>
        </w:tc>
        <w:tc>
          <w:tcPr>
            <w:tcW w:w="1336"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 xml:space="preserve">14 (11, 18) </w:t>
            </w:r>
            <w:r w:rsidRPr="006B5915">
              <w:rPr>
                <w:rFonts w:ascii="Verdana" w:hAnsi="Verdana" w:cs="Calibri"/>
                <w:sz w:val="16"/>
                <w:szCs w:val="16"/>
              </w:rPr>
              <w:t>[168]</w:t>
            </w:r>
          </w:p>
        </w:tc>
      </w:tr>
      <w:tr w:rsidR="00610C31" w:rsidRPr="006B5915" w:rsidTr="00FB2A31">
        <w:trPr>
          <w:trHeight w:val="266"/>
        </w:trPr>
        <w:tc>
          <w:tcPr>
            <w:tcW w:w="2506" w:type="pct"/>
          </w:tcPr>
          <w:p w:rsidR="00610C31" w:rsidRPr="006B5915" w:rsidRDefault="00610C31" w:rsidP="00FB2A31">
            <w:pPr>
              <w:spacing w:after="0" w:line="480" w:lineRule="auto"/>
              <w:rPr>
                <w:rFonts w:ascii="Verdana" w:hAnsi="Verdana" w:cs="Calibri"/>
                <w:sz w:val="18"/>
                <w:szCs w:val="18"/>
              </w:rPr>
            </w:pPr>
            <w:r w:rsidRPr="006B5915">
              <w:rPr>
                <w:rFonts w:ascii="Verdana" w:hAnsi="Verdana" w:cs="Calibri"/>
                <w:sz w:val="18"/>
                <w:szCs w:val="18"/>
              </w:rPr>
              <w:t>Hospital anxiety and depression scale (HADS) (Mean, SD)****</w:t>
            </w:r>
          </w:p>
        </w:tc>
        <w:tc>
          <w:tcPr>
            <w:tcW w:w="1158"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 xml:space="preserve">10.7 (6.0) </w:t>
            </w:r>
            <w:r w:rsidRPr="006B5915">
              <w:rPr>
                <w:rFonts w:ascii="Verdana" w:hAnsi="Verdana" w:cs="Calibri"/>
                <w:sz w:val="16"/>
                <w:szCs w:val="16"/>
              </w:rPr>
              <w:t>[8]</w:t>
            </w:r>
          </w:p>
        </w:tc>
        <w:tc>
          <w:tcPr>
            <w:tcW w:w="1336"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 xml:space="preserve">10.8 (6.0)  </w:t>
            </w:r>
            <w:r w:rsidRPr="006B5915">
              <w:rPr>
                <w:rFonts w:ascii="Verdana" w:hAnsi="Verdana" w:cs="Calibri"/>
                <w:sz w:val="16"/>
                <w:szCs w:val="16"/>
              </w:rPr>
              <w:t>[39]</w:t>
            </w:r>
          </w:p>
        </w:tc>
      </w:tr>
    </w:tbl>
    <w:p w:rsidR="00610C31" w:rsidRPr="006B5915" w:rsidRDefault="00610C31" w:rsidP="00610C31">
      <w:pPr>
        <w:spacing w:after="0" w:line="240" w:lineRule="auto"/>
        <w:contextualSpacing/>
        <w:outlineLvl w:val="4"/>
        <w:rPr>
          <w:rFonts w:ascii="Verdana" w:hAnsi="Verdana" w:cs="Calibri"/>
          <w:bCs/>
          <w:color w:val="333333"/>
          <w:sz w:val="16"/>
          <w:szCs w:val="16"/>
          <w:lang w:eastAsia="en-GB"/>
        </w:rPr>
      </w:pPr>
      <w:r w:rsidRPr="006B5915">
        <w:rPr>
          <w:rFonts w:ascii="Verdana" w:hAnsi="Verdana" w:cs="Calibri"/>
          <w:bCs/>
          <w:color w:val="333333"/>
          <w:sz w:val="16"/>
          <w:szCs w:val="16"/>
          <w:lang w:eastAsia="en-GB"/>
        </w:rPr>
        <w:t xml:space="preserve">Percentages may add up to more than 100 due to rounding. * </w:t>
      </w:r>
      <w:proofErr w:type="gramStart"/>
      <w:r w:rsidRPr="006B5915">
        <w:rPr>
          <w:rFonts w:ascii="Verdana" w:hAnsi="Verdana" w:cs="Calibri"/>
          <w:bCs/>
          <w:color w:val="333333"/>
          <w:sz w:val="16"/>
          <w:szCs w:val="16"/>
          <w:lang w:eastAsia="en-GB"/>
        </w:rPr>
        <w:t>age</w:t>
      </w:r>
      <w:proofErr w:type="gramEnd"/>
      <w:r w:rsidRPr="006B5915">
        <w:rPr>
          <w:rFonts w:ascii="Verdana" w:hAnsi="Verdana" w:cs="Calibri"/>
          <w:bCs/>
          <w:color w:val="333333"/>
          <w:sz w:val="16"/>
          <w:szCs w:val="16"/>
          <w:lang w:eastAsia="en-GB"/>
        </w:rPr>
        <w:t xml:space="preserve"> when questionnaire completed. </w:t>
      </w:r>
      <w:proofErr w:type="gramStart"/>
      <w:r w:rsidRPr="006B5915">
        <w:rPr>
          <w:rFonts w:ascii="Verdana" w:hAnsi="Verdana" w:cs="Calibri"/>
          <w:bCs/>
          <w:color w:val="333333"/>
          <w:sz w:val="16"/>
          <w:szCs w:val="16"/>
          <w:lang w:eastAsia="en-GB"/>
        </w:rPr>
        <w:t>**only applicable where mothers completed questionnaire.</w:t>
      </w:r>
      <w:proofErr w:type="gramEnd"/>
      <w:r w:rsidRPr="006B5915">
        <w:rPr>
          <w:rFonts w:ascii="Verdana" w:hAnsi="Verdana" w:cs="Calibri"/>
          <w:bCs/>
          <w:color w:val="333333"/>
          <w:sz w:val="16"/>
          <w:szCs w:val="16"/>
          <w:lang w:eastAsia="en-GB"/>
        </w:rPr>
        <w:t xml:space="preserve"> IMD:  higher score indicates greater deprivation. CBQ: higher score indicates more active and more intense behaviour. PDH: higher score indicates more hassle. HADS: higher score indicates greater symptoms of anxiety/depression. Child health visual analogue scale: higher score indicates better health. PedsQL: higher score indicates better quality of life. </w:t>
      </w:r>
    </w:p>
    <w:p w:rsidR="00610C31" w:rsidRPr="006B5915" w:rsidRDefault="00610C31" w:rsidP="00610C31">
      <w:pPr>
        <w:rPr>
          <w:rFonts w:ascii="Verdana" w:hAnsi="Verdana" w:cs="Calibri"/>
          <w:bCs/>
          <w:color w:val="333333"/>
          <w:sz w:val="16"/>
          <w:szCs w:val="16"/>
          <w:lang w:eastAsia="en-GB"/>
        </w:rPr>
        <w:sectPr w:rsidR="00610C31" w:rsidRPr="006B5915" w:rsidSect="00797473">
          <w:footerReference w:type="default" r:id="rId9"/>
          <w:pgSz w:w="11906" w:h="16838"/>
          <w:pgMar w:top="1440" w:right="1440" w:bottom="1440" w:left="1440" w:header="708" w:footer="708" w:gutter="0"/>
          <w:cols w:space="708"/>
          <w:docGrid w:linePitch="360"/>
        </w:sectPr>
      </w:pPr>
      <w:r w:rsidRPr="006B5915">
        <w:rPr>
          <w:rFonts w:ascii="Verdana" w:hAnsi="Verdana" w:cs="Calibri"/>
          <w:bCs/>
          <w:color w:val="333333"/>
          <w:sz w:val="16"/>
          <w:szCs w:val="16"/>
          <w:lang w:eastAsia="en-GB"/>
        </w:rPr>
        <w:t xml:space="preserve">*** </w:t>
      </w:r>
      <w:proofErr w:type="gramStart"/>
      <w:r w:rsidRPr="006B5915">
        <w:rPr>
          <w:rFonts w:ascii="Verdana" w:hAnsi="Verdana" w:cs="Calibri"/>
          <w:bCs/>
          <w:color w:val="333333"/>
          <w:sz w:val="16"/>
          <w:szCs w:val="16"/>
          <w:lang w:eastAsia="en-GB"/>
        </w:rPr>
        <w:t>missing</w:t>
      </w:r>
      <w:proofErr w:type="gramEnd"/>
      <w:r w:rsidRPr="006B5915">
        <w:rPr>
          <w:rFonts w:ascii="Verdana" w:hAnsi="Verdana" w:cs="Calibri"/>
          <w:bCs/>
          <w:color w:val="333333"/>
          <w:sz w:val="16"/>
          <w:szCs w:val="16"/>
          <w:lang w:eastAsia="en-GB"/>
        </w:rPr>
        <w:t xml:space="preserve"> values refer to those with ≥ 50% items on any scale missing. **** </w:t>
      </w:r>
      <w:proofErr w:type="gramStart"/>
      <w:r w:rsidRPr="006B5915">
        <w:rPr>
          <w:rFonts w:ascii="Verdana" w:hAnsi="Verdana" w:cs="Calibri"/>
          <w:bCs/>
          <w:color w:val="333333"/>
          <w:sz w:val="16"/>
          <w:szCs w:val="16"/>
          <w:lang w:eastAsia="en-GB"/>
        </w:rPr>
        <w:t>missing</w:t>
      </w:r>
      <w:proofErr w:type="gramEnd"/>
      <w:r w:rsidRPr="006B5915">
        <w:rPr>
          <w:rFonts w:ascii="Verdana" w:hAnsi="Verdana" w:cs="Calibri"/>
          <w:bCs/>
          <w:color w:val="333333"/>
          <w:sz w:val="16"/>
          <w:szCs w:val="16"/>
          <w:lang w:eastAsia="en-GB"/>
        </w:rPr>
        <w:t xml:space="preserve"> values refer to those with more than one item missing</w:t>
      </w:r>
    </w:p>
    <w:p w:rsidR="00610C31" w:rsidRPr="006B5915" w:rsidRDefault="00610C31" w:rsidP="00610C31">
      <w:pPr>
        <w:pStyle w:val="ListParagraph"/>
        <w:spacing w:after="0" w:line="240" w:lineRule="auto"/>
        <w:ind w:left="0"/>
        <w:rPr>
          <w:rFonts w:ascii="Verdana" w:hAnsi="Verdana"/>
          <w:sz w:val="18"/>
          <w:szCs w:val="18"/>
        </w:rPr>
      </w:pPr>
      <w:proofErr w:type="gramStart"/>
      <w:r w:rsidRPr="006B5915">
        <w:rPr>
          <w:rFonts w:ascii="Verdana" w:hAnsi="Verdana"/>
          <w:sz w:val="18"/>
          <w:szCs w:val="18"/>
        </w:rPr>
        <w:lastRenderedPageBreak/>
        <w:t>Table 2.</w:t>
      </w:r>
      <w:proofErr w:type="gramEnd"/>
      <w:r w:rsidRPr="006B5915">
        <w:rPr>
          <w:rFonts w:ascii="Verdana" w:hAnsi="Verdana"/>
          <w:sz w:val="18"/>
          <w:szCs w:val="18"/>
        </w:rPr>
        <w:t xml:space="preserve"> Sensitivity, specificity and predictive values for self-reported exposures compared to observed exposures for cases and controls (95% confidence intervals) [missing values]</w:t>
      </w:r>
    </w:p>
    <w:p w:rsidR="00610C31" w:rsidRPr="006B5915" w:rsidRDefault="00610C31" w:rsidP="00610C31">
      <w:pPr>
        <w:spacing w:after="0" w:line="240" w:lineRule="auto"/>
        <w:rPr>
          <w:rFonts w:ascii="Times New Roman" w:hAnsi="Times New Roman"/>
          <w:szCs w:val="20"/>
        </w:rPr>
      </w:pPr>
    </w:p>
    <w:tbl>
      <w:tblPr>
        <w:tblpPr w:leftFromText="180" w:rightFromText="180" w:vertAnchor="text" w:tblpY="1"/>
        <w:tblOverlap w:val="neve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788"/>
        <w:gridCol w:w="913"/>
        <w:gridCol w:w="916"/>
        <w:gridCol w:w="913"/>
        <w:gridCol w:w="796"/>
        <w:gridCol w:w="1699"/>
        <w:gridCol w:w="1822"/>
        <w:gridCol w:w="1363"/>
        <w:gridCol w:w="1363"/>
        <w:gridCol w:w="1363"/>
        <w:gridCol w:w="1138"/>
      </w:tblGrid>
      <w:tr w:rsidR="00610C31" w:rsidRPr="006B5915" w:rsidTr="00FB2A31">
        <w:trPr>
          <w:trHeight w:val="570"/>
        </w:trPr>
        <w:tc>
          <w:tcPr>
            <w:tcW w:w="1016" w:type="pct"/>
            <w:gridSpan w:val="2"/>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Reported exposure</w:t>
            </w:r>
          </w:p>
        </w:tc>
        <w:tc>
          <w:tcPr>
            <w:tcW w:w="593" w:type="pct"/>
            <w:gridSpan w:val="2"/>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Yes</w:t>
            </w:r>
          </w:p>
        </w:tc>
        <w:tc>
          <w:tcPr>
            <w:tcW w:w="553" w:type="pct"/>
            <w:gridSpan w:val="2"/>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No</w:t>
            </w:r>
          </w:p>
        </w:tc>
        <w:tc>
          <w:tcPr>
            <w:tcW w:w="551"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Sensitivity</w:t>
            </w:r>
          </w:p>
          <w:p w:rsidR="00610C31" w:rsidRPr="006B5915" w:rsidRDefault="00610C31" w:rsidP="00FB2A31">
            <w:pPr>
              <w:spacing w:after="0" w:line="480" w:lineRule="auto"/>
              <w:jc w:val="center"/>
              <w:rPr>
                <w:rFonts w:ascii="Verdana" w:hAnsi="Verdana"/>
                <w:sz w:val="16"/>
                <w:szCs w:val="16"/>
              </w:rPr>
            </w:pPr>
          </w:p>
        </w:tc>
        <w:tc>
          <w:tcPr>
            <w:tcW w:w="591"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Specificity</w:t>
            </w:r>
          </w:p>
          <w:p w:rsidR="00610C31" w:rsidRPr="006B5915" w:rsidRDefault="00610C31" w:rsidP="00FB2A31">
            <w:pPr>
              <w:spacing w:after="0" w:line="480" w:lineRule="auto"/>
              <w:jc w:val="center"/>
              <w:rPr>
                <w:rFonts w:ascii="Verdana" w:hAnsi="Verdana"/>
                <w:sz w:val="16"/>
                <w:szCs w:val="16"/>
              </w:rPr>
            </w:pPr>
          </w:p>
        </w:tc>
        <w:tc>
          <w:tcPr>
            <w:tcW w:w="442"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PPV </w:t>
            </w:r>
          </w:p>
        </w:tc>
        <w:tc>
          <w:tcPr>
            <w:tcW w:w="442"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NPV </w:t>
            </w:r>
          </w:p>
        </w:tc>
        <w:tc>
          <w:tcPr>
            <w:tcW w:w="442"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Kappa value </w:t>
            </w:r>
          </w:p>
        </w:tc>
        <w:tc>
          <w:tcPr>
            <w:tcW w:w="371"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vertAlign w:val="superscript"/>
              </w:rPr>
            </w:pPr>
            <w:r w:rsidRPr="006B5915">
              <w:rPr>
                <w:rFonts w:ascii="Verdana" w:hAnsi="Verdana"/>
                <w:sz w:val="16"/>
                <w:szCs w:val="16"/>
              </w:rPr>
              <w:t>Χ</w:t>
            </w:r>
            <w:r w:rsidRPr="006B5915">
              <w:rPr>
                <w:rFonts w:ascii="Verdana" w:hAnsi="Verdana"/>
                <w:sz w:val="16"/>
                <w:szCs w:val="16"/>
                <w:vertAlign w:val="superscript"/>
              </w:rPr>
              <w:t xml:space="preserve">2  </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(p)</w:t>
            </w:r>
          </w:p>
        </w:tc>
      </w:tr>
      <w:tr w:rsidR="00610C31" w:rsidRPr="006B5915" w:rsidTr="00FB2A31">
        <w:trPr>
          <w:trHeight w:val="404"/>
        </w:trPr>
        <w:tc>
          <w:tcPr>
            <w:tcW w:w="1016" w:type="pct"/>
            <w:gridSpan w:val="2"/>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Observed exposure</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Yes</w:t>
            </w:r>
          </w:p>
        </w:tc>
        <w:tc>
          <w:tcPr>
            <w:tcW w:w="297"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No</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Yes</w:t>
            </w:r>
          </w:p>
        </w:tc>
        <w:tc>
          <w:tcPr>
            <w:tcW w:w="258"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No</w:t>
            </w:r>
          </w:p>
        </w:tc>
        <w:tc>
          <w:tcPr>
            <w:tcW w:w="551" w:type="pct"/>
            <w:vMerge/>
            <w:tcBorders>
              <w:bottom w:val="single" w:sz="4" w:space="0" w:color="auto"/>
            </w:tcBorders>
            <w:shd w:val="clear" w:color="auto" w:fill="auto"/>
          </w:tcPr>
          <w:p w:rsidR="00610C31" w:rsidRPr="006B5915" w:rsidRDefault="00610C31" w:rsidP="00FB2A31">
            <w:pPr>
              <w:spacing w:after="0" w:line="480" w:lineRule="auto"/>
              <w:rPr>
                <w:rFonts w:ascii="Verdana" w:hAnsi="Verdana"/>
                <w:sz w:val="16"/>
                <w:szCs w:val="16"/>
              </w:rPr>
            </w:pPr>
          </w:p>
        </w:tc>
        <w:tc>
          <w:tcPr>
            <w:tcW w:w="591" w:type="pct"/>
            <w:vMerge/>
            <w:tcBorders>
              <w:bottom w:val="single" w:sz="4" w:space="0" w:color="auto"/>
            </w:tcBorders>
            <w:shd w:val="clear" w:color="auto" w:fill="auto"/>
          </w:tcPr>
          <w:p w:rsidR="00610C31" w:rsidRPr="006B5915" w:rsidRDefault="00610C31" w:rsidP="00FB2A31">
            <w:pPr>
              <w:spacing w:after="0" w:line="480" w:lineRule="auto"/>
              <w:rPr>
                <w:rFonts w:ascii="Verdana" w:hAnsi="Verdana"/>
                <w:sz w:val="16"/>
                <w:szCs w:val="16"/>
              </w:rPr>
            </w:pPr>
          </w:p>
        </w:tc>
        <w:tc>
          <w:tcPr>
            <w:tcW w:w="442" w:type="pct"/>
            <w:vMerge/>
            <w:tcBorders>
              <w:bottom w:val="single" w:sz="4" w:space="0" w:color="auto"/>
            </w:tcBorders>
            <w:shd w:val="clear" w:color="auto" w:fill="auto"/>
          </w:tcPr>
          <w:p w:rsidR="00610C31" w:rsidRPr="006B5915" w:rsidRDefault="00610C31" w:rsidP="00FB2A31">
            <w:pPr>
              <w:spacing w:after="0" w:line="480" w:lineRule="auto"/>
              <w:rPr>
                <w:rFonts w:ascii="Verdana" w:hAnsi="Verdana"/>
                <w:sz w:val="16"/>
                <w:szCs w:val="16"/>
              </w:rPr>
            </w:pPr>
          </w:p>
        </w:tc>
        <w:tc>
          <w:tcPr>
            <w:tcW w:w="442" w:type="pct"/>
            <w:vMerge/>
            <w:tcBorders>
              <w:bottom w:val="single" w:sz="4" w:space="0" w:color="auto"/>
            </w:tcBorders>
            <w:shd w:val="clear" w:color="auto" w:fill="auto"/>
          </w:tcPr>
          <w:p w:rsidR="00610C31" w:rsidRPr="006B5915" w:rsidRDefault="00610C31" w:rsidP="00FB2A31">
            <w:pPr>
              <w:spacing w:after="0" w:line="480" w:lineRule="auto"/>
              <w:rPr>
                <w:rFonts w:ascii="Verdana" w:hAnsi="Verdana"/>
                <w:sz w:val="16"/>
                <w:szCs w:val="16"/>
              </w:rPr>
            </w:pPr>
          </w:p>
        </w:tc>
        <w:tc>
          <w:tcPr>
            <w:tcW w:w="442" w:type="pct"/>
            <w:vMerge/>
            <w:tcBorders>
              <w:bottom w:val="single" w:sz="4" w:space="0" w:color="auto"/>
            </w:tcBorders>
            <w:shd w:val="clear" w:color="auto" w:fill="auto"/>
          </w:tcPr>
          <w:p w:rsidR="00610C31" w:rsidRPr="006B5915" w:rsidRDefault="00610C31" w:rsidP="00FB2A31">
            <w:pPr>
              <w:spacing w:after="0" w:line="480" w:lineRule="auto"/>
              <w:rPr>
                <w:rFonts w:ascii="Verdana" w:hAnsi="Verdana"/>
                <w:sz w:val="16"/>
                <w:szCs w:val="16"/>
              </w:rPr>
            </w:pPr>
          </w:p>
        </w:tc>
        <w:tc>
          <w:tcPr>
            <w:tcW w:w="371" w:type="pct"/>
            <w:vMerge/>
            <w:tcBorders>
              <w:bottom w:val="single" w:sz="4" w:space="0" w:color="auto"/>
            </w:tcBorders>
            <w:shd w:val="clear" w:color="auto" w:fill="auto"/>
          </w:tcPr>
          <w:p w:rsidR="00610C31" w:rsidRPr="006B5915" w:rsidRDefault="00610C31" w:rsidP="00FB2A31">
            <w:pPr>
              <w:spacing w:after="0" w:line="480" w:lineRule="auto"/>
              <w:rPr>
                <w:rFonts w:ascii="Verdana" w:hAnsi="Verdana"/>
                <w:sz w:val="16"/>
                <w:szCs w:val="16"/>
              </w:rPr>
            </w:pPr>
          </w:p>
        </w:tc>
      </w:tr>
      <w:tr w:rsidR="00610C31" w:rsidRPr="006B5915" w:rsidTr="00FB2A31">
        <w:tc>
          <w:tcPr>
            <w:tcW w:w="436" w:type="pct"/>
            <w:vMerge w:val="restart"/>
            <w:shd w:val="clear" w:color="auto" w:fill="auto"/>
            <w:vAlign w:val="center"/>
          </w:tcPr>
          <w:p w:rsidR="00610C31" w:rsidRPr="006B5915" w:rsidRDefault="00610C31" w:rsidP="00FB2A31">
            <w:pPr>
              <w:spacing w:after="0" w:line="480" w:lineRule="auto"/>
              <w:rPr>
                <w:rFonts w:ascii="Verdana" w:hAnsi="Verdana"/>
                <w:b/>
                <w:sz w:val="16"/>
                <w:szCs w:val="16"/>
              </w:rPr>
            </w:pPr>
            <w:r w:rsidRPr="006B5915">
              <w:rPr>
                <w:rFonts w:ascii="Verdana" w:hAnsi="Verdana"/>
                <w:sz w:val="16"/>
                <w:szCs w:val="16"/>
              </w:rPr>
              <w:t>Safety gate at top of stairs</w:t>
            </w:r>
            <w:r w:rsidRPr="006B5915">
              <w:rPr>
                <w:rFonts w:ascii="Verdana" w:hAnsi="Verdana"/>
                <w:sz w:val="16"/>
                <w:szCs w:val="16"/>
                <w:vertAlign w:val="superscript"/>
              </w:rPr>
              <w:t>1</w:t>
            </w:r>
          </w:p>
        </w:tc>
        <w:tc>
          <w:tcPr>
            <w:tcW w:w="580"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cases </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34 </w:t>
            </w:r>
          </w:p>
        </w:tc>
        <w:tc>
          <w:tcPr>
            <w:tcW w:w="297"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w:t>
            </w:r>
          </w:p>
        </w:tc>
        <w:tc>
          <w:tcPr>
            <w:tcW w:w="258"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28</w:t>
            </w:r>
          </w:p>
        </w:tc>
        <w:tc>
          <w:tcPr>
            <w:tcW w:w="55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87.2</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(72.6, 95.7)</w:t>
            </w:r>
          </w:p>
        </w:tc>
        <w:tc>
          <w:tcPr>
            <w:tcW w:w="59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75.7</w:t>
            </w:r>
          </w:p>
          <w:p w:rsidR="00610C31" w:rsidRPr="006B5915" w:rsidRDefault="00610C31" w:rsidP="00FB2A31">
            <w:pPr>
              <w:tabs>
                <w:tab w:val="decimal" w:pos="454"/>
              </w:tabs>
              <w:spacing w:after="0" w:line="480" w:lineRule="auto"/>
              <w:jc w:val="center"/>
              <w:rPr>
                <w:rFonts w:ascii="Verdana" w:hAnsi="Verdana"/>
                <w:sz w:val="16"/>
                <w:szCs w:val="16"/>
              </w:rPr>
            </w:pPr>
            <w:r w:rsidRPr="006B5915">
              <w:rPr>
                <w:rFonts w:ascii="Verdana" w:hAnsi="Verdana"/>
                <w:sz w:val="16"/>
                <w:szCs w:val="16"/>
              </w:rPr>
              <w:t>(58.8, 88.2)</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79.1</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(64.0, 90.0)</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84.8</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(68.1, 94.9)</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0.63</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(0.46, 0.80)</w:t>
            </w:r>
          </w:p>
        </w:tc>
        <w:tc>
          <w:tcPr>
            <w:tcW w:w="371"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0.14 (0.71)</w:t>
            </w:r>
          </w:p>
        </w:tc>
      </w:tr>
      <w:tr w:rsidR="00610C31" w:rsidRPr="006B5915" w:rsidTr="00FB2A31">
        <w:tc>
          <w:tcPr>
            <w:tcW w:w="436" w:type="pct"/>
            <w:vMerge/>
            <w:shd w:val="clear" w:color="auto" w:fill="auto"/>
          </w:tcPr>
          <w:p w:rsidR="00610C31" w:rsidRPr="006B5915" w:rsidRDefault="00610C31" w:rsidP="00FB2A31">
            <w:pPr>
              <w:spacing w:after="0" w:line="480" w:lineRule="auto"/>
              <w:rPr>
                <w:rFonts w:ascii="Verdana" w:hAnsi="Verdana"/>
                <w:sz w:val="16"/>
                <w:szCs w:val="16"/>
              </w:rPr>
            </w:pPr>
          </w:p>
        </w:tc>
        <w:tc>
          <w:tcPr>
            <w:tcW w:w="580"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controls [2]</w:t>
            </w:r>
          </w:p>
        </w:tc>
        <w:tc>
          <w:tcPr>
            <w:tcW w:w="296"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41 </w:t>
            </w:r>
          </w:p>
        </w:tc>
        <w:tc>
          <w:tcPr>
            <w:tcW w:w="297"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w:t>
            </w:r>
          </w:p>
        </w:tc>
        <w:tc>
          <w:tcPr>
            <w:tcW w:w="296"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3 </w:t>
            </w:r>
          </w:p>
        </w:tc>
        <w:tc>
          <w:tcPr>
            <w:tcW w:w="258"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20 </w:t>
            </w:r>
          </w:p>
        </w:tc>
        <w:tc>
          <w:tcPr>
            <w:tcW w:w="551"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93.2</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(81.3, 98.6)</w:t>
            </w:r>
          </w:p>
        </w:tc>
        <w:tc>
          <w:tcPr>
            <w:tcW w:w="591"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71.4</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(51.3, 86.8)</w:t>
            </w:r>
          </w:p>
        </w:tc>
        <w:tc>
          <w:tcPr>
            <w:tcW w:w="442"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83.7</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(70.3, 92.7)</w:t>
            </w:r>
          </w:p>
        </w:tc>
        <w:tc>
          <w:tcPr>
            <w:tcW w:w="442"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87.0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(66.4, 97.2)</w:t>
            </w:r>
          </w:p>
        </w:tc>
        <w:tc>
          <w:tcPr>
            <w:tcW w:w="442"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0.67</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(0.49, 0.85)</w:t>
            </w:r>
          </w:p>
        </w:tc>
        <w:tc>
          <w:tcPr>
            <w:tcW w:w="371" w:type="pct"/>
            <w:vMerge/>
            <w:shd w:val="clear" w:color="auto" w:fill="auto"/>
            <w:vAlign w:val="center"/>
          </w:tcPr>
          <w:p w:rsidR="00610C31" w:rsidRPr="006B5915" w:rsidRDefault="00610C31" w:rsidP="00FB2A31">
            <w:pPr>
              <w:tabs>
                <w:tab w:val="decimal" w:pos="454"/>
              </w:tabs>
              <w:spacing w:after="0" w:line="480" w:lineRule="auto"/>
              <w:jc w:val="center"/>
              <w:rPr>
                <w:rFonts w:ascii="Verdana" w:hAnsi="Verdana"/>
                <w:sz w:val="16"/>
                <w:szCs w:val="16"/>
              </w:rPr>
            </w:pPr>
          </w:p>
        </w:tc>
      </w:tr>
      <w:tr w:rsidR="00610C31" w:rsidRPr="006B5915" w:rsidTr="00FB2A31">
        <w:tc>
          <w:tcPr>
            <w:tcW w:w="436" w:type="pct"/>
            <w:vMerge w:val="restart"/>
            <w:shd w:val="clear" w:color="auto" w:fill="auto"/>
            <w:vAlign w:val="center"/>
          </w:tcPr>
          <w:p w:rsidR="00610C31" w:rsidRPr="006B5915" w:rsidRDefault="00610C31" w:rsidP="00FB2A31">
            <w:pPr>
              <w:spacing w:after="0" w:line="480" w:lineRule="auto"/>
              <w:rPr>
                <w:rFonts w:ascii="Verdana" w:hAnsi="Verdana"/>
                <w:sz w:val="16"/>
                <w:szCs w:val="16"/>
              </w:rPr>
            </w:pPr>
            <w:r w:rsidRPr="006B5915">
              <w:rPr>
                <w:rFonts w:ascii="Verdana" w:hAnsi="Verdana"/>
                <w:sz w:val="16"/>
                <w:szCs w:val="16"/>
              </w:rPr>
              <w:t>Safety gate at bottom of stairs</w:t>
            </w:r>
            <w:r w:rsidRPr="006B5915">
              <w:rPr>
                <w:rFonts w:ascii="Verdana" w:hAnsi="Verdana"/>
                <w:b/>
                <w:sz w:val="16"/>
                <w:szCs w:val="16"/>
                <w:vertAlign w:val="superscript"/>
              </w:rPr>
              <w:t>1</w:t>
            </w:r>
          </w:p>
        </w:tc>
        <w:tc>
          <w:tcPr>
            <w:tcW w:w="580"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cases </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25</w:t>
            </w:r>
          </w:p>
        </w:tc>
        <w:tc>
          <w:tcPr>
            <w:tcW w:w="297"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3</w:t>
            </w:r>
          </w:p>
        </w:tc>
        <w:tc>
          <w:tcPr>
            <w:tcW w:w="258"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41</w:t>
            </w:r>
          </w:p>
        </w:tc>
        <w:tc>
          <w:tcPr>
            <w:tcW w:w="55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89.3</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(71.8, 97.7)</w:t>
            </w:r>
          </w:p>
        </w:tc>
        <w:tc>
          <w:tcPr>
            <w:tcW w:w="59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85.4</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(72.2, 93.9</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78.1</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(60.0, 90.7)</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93.2</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(81.3, 98.6)</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0.73</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(0.57, 0.88)</w:t>
            </w:r>
          </w:p>
        </w:tc>
        <w:tc>
          <w:tcPr>
            <w:tcW w:w="371"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0.00 (0.95)</w:t>
            </w:r>
          </w:p>
        </w:tc>
      </w:tr>
      <w:tr w:rsidR="00610C31" w:rsidRPr="006B5915" w:rsidTr="00FB2A31">
        <w:tc>
          <w:tcPr>
            <w:tcW w:w="436" w:type="pct"/>
            <w:vMerge/>
            <w:tcBorders>
              <w:bottom w:val="single" w:sz="4" w:space="0" w:color="auto"/>
            </w:tcBorders>
            <w:shd w:val="clear" w:color="auto" w:fill="auto"/>
          </w:tcPr>
          <w:p w:rsidR="00610C31" w:rsidRPr="006B5915" w:rsidRDefault="00610C31" w:rsidP="00FB2A31">
            <w:pPr>
              <w:spacing w:after="0" w:line="480" w:lineRule="auto"/>
              <w:rPr>
                <w:rFonts w:ascii="Verdana" w:hAnsi="Verdana"/>
                <w:sz w:val="16"/>
                <w:szCs w:val="16"/>
              </w:rPr>
            </w:pPr>
          </w:p>
        </w:tc>
        <w:tc>
          <w:tcPr>
            <w:tcW w:w="580"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controls [5]</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29</w:t>
            </w:r>
          </w:p>
        </w:tc>
        <w:tc>
          <w:tcPr>
            <w:tcW w:w="297"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w:t>
            </w:r>
          </w:p>
        </w:tc>
        <w:tc>
          <w:tcPr>
            <w:tcW w:w="258"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30</w:t>
            </w:r>
          </w:p>
        </w:tc>
        <w:tc>
          <w:tcPr>
            <w:tcW w:w="55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93.5</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(78.6, 99.2)</w:t>
            </w:r>
          </w:p>
        </w:tc>
        <w:tc>
          <w:tcPr>
            <w:tcW w:w="59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78.9</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(62.7, 90.4)</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78.4</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(61.8, 90.2)</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93.8</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(79.2, 99.2)</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0.71</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(0.55, 0.88)</w:t>
            </w:r>
          </w:p>
        </w:tc>
        <w:tc>
          <w:tcPr>
            <w:tcW w:w="371" w:type="pct"/>
            <w:vMerge/>
            <w:tcBorders>
              <w:bottom w:val="single" w:sz="4" w:space="0" w:color="auto"/>
            </w:tcBorders>
            <w:shd w:val="clear" w:color="auto" w:fill="auto"/>
            <w:vAlign w:val="center"/>
          </w:tcPr>
          <w:p w:rsidR="00610C31" w:rsidRPr="006B5915" w:rsidRDefault="00610C31" w:rsidP="00FB2A31">
            <w:pPr>
              <w:tabs>
                <w:tab w:val="decimal" w:pos="454"/>
              </w:tabs>
              <w:spacing w:after="0" w:line="480" w:lineRule="auto"/>
              <w:jc w:val="center"/>
              <w:rPr>
                <w:rFonts w:ascii="Verdana" w:hAnsi="Verdana"/>
                <w:sz w:val="16"/>
                <w:szCs w:val="16"/>
              </w:rPr>
            </w:pPr>
          </w:p>
        </w:tc>
      </w:tr>
      <w:tr w:rsidR="00610C31" w:rsidRPr="006B5915" w:rsidTr="00FB2A31">
        <w:tc>
          <w:tcPr>
            <w:tcW w:w="436" w:type="pct"/>
            <w:vMerge w:val="restart"/>
            <w:shd w:val="clear" w:color="auto" w:fill="auto"/>
          </w:tcPr>
          <w:p w:rsidR="00610C31" w:rsidRPr="006B5915" w:rsidRDefault="00610C31" w:rsidP="00FB2A31">
            <w:pPr>
              <w:spacing w:after="0" w:line="480" w:lineRule="auto"/>
              <w:rPr>
                <w:rFonts w:ascii="Verdana" w:hAnsi="Verdana"/>
                <w:sz w:val="16"/>
                <w:szCs w:val="16"/>
              </w:rPr>
            </w:pPr>
            <w:r w:rsidRPr="006B5915">
              <w:rPr>
                <w:rFonts w:ascii="Verdana" w:hAnsi="Verdana"/>
                <w:sz w:val="16"/>
                <w:szCs w:val="16"/>
              </w:rPr>
              <w:t>Other safety gates in the house</w:t>
            </w:r>
            <w:r w:rsidRPr="006B5915">
              <w:rPr>
                <w:rFonts w:ascii="Verdana" w:hAnsi="Verdana"/>
                <w:b/>
                <w:sz w:val="16"/>
                <w:szCs w:val="16"/>
                <w:vertAlign w:val="superscript"/>
              </w:rPr>
              <w:t>1</w:t>
            </w:r>
          </w:p>
        </w:tc>
        <w:tc>
          <w:tcPr>
            <w:tcW w:w="580"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cases</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w:t>
            </w:r>
          </w:p>
        </w:tc>
        <w:tc>
          <w:tcPr>
            <w:tcW w:w="297"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11</w:t>
            </w:r>
          </w:p>
        </w:tc>
        <w:tc>
          <w:tcPr>
            <w:tcW w:w="258"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56</w:t>
            </w:r>
          </w:p>
        </w:tc>
        <w:tc>
          <w:tcPr>
            <w:tcW w:w="55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45.0 </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(23.1, 68.5)</w:t>
            </w:r>
          </w:p>
        </w:tc>
        <w:tc>
          <w:tcPr>
            <w:tcW w:w="59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98.2</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(90.6, 100)</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(55.5, 99.7)</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83.6</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(72.5, 91.5)</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0.52</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(0.29, 0.74)</w:t>
            </w:r>
          </w:p>
        </w:tc>
        <w:tc>
          <w:tcPr>
            <w:tcW w:w="371"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1.49 (0.22)</w:t>
            </w:r>
          </w:p>
        </w:tc>
      </w:tr>
      <w:tr w:rsidR="00610C31" w:rsidRPr="006B5915" w:rsidTr="00FB2A31">
        <w:tc>
          <w:tcPr>
            <w:tcW w:w="436" w:type="pct"/>
            <w:vMerge/>
            <w:shd w:val="clear" w:color="auto" w:fill="auto"/>
          </w:tcPr>
          <w:p w:rsidR="00610C31" w:rsidRPr="006B5915" w:rsidRDefault="00610C31" w:rsidP="00FB2A31">
            <w:pPr>
              <w:spacing w:after="0" w:line="480" w:lineRule="auto"/>
              <w:rPr>
                <w:rFonts w:ascii="Verdana" w:hAnsi="Verdana"/>
                <w:sz w:val="16"/>
                <w:szCs w:val="16"/>
              </w:rPr>
            </w:pPr>
          </w:p>
        </w:tc>
        <w:tc>
          <w:tcPr>
            <w:tcW w:w="580"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controls [0]</w:t>
            </w:r>
          </w:p>
        </w:tc>
        <w:tc>
          <w:tcPr>
            <w:tcW w:w="296"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15</w:t>
            </w:r>
          </w:p>
        </w:tc>
        <w:tc>
          <w:tcPr>
            <w:tcW w:w="297"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3</w:t>
            </w:r>
          </w:p>
        </w:tc>
        <w:tc>
          <w:tcPr>
            <w:tcW w:w="296"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22</w:t>
            </w:r>
          </w:p>
        </w:tc>
        <w:tc>
          <w:tcPr>
            <w:tcW w:w="258"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34</w:t>
            </w:r>
          </w:p>
        </w:tc>
        <w:tc>
          <w:tcPr>
            <w:tcW w:w="551"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40.5</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(24.8, 57.9)</w:t>
            </w:r>
          </w:p>
        </w:tc>
        <w:tc>
          <w:tcPr>
            <w:tcW w:w="591"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91.9</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(78.1, 98.3)</w:t>
            </w:r>
          </w:p>
        </w:tc>
        <w:tc>
          <w:tcPr>
            <w:tcW w:w="442"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83.3</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(58.6, 96.4)</w:t>
            </w:r>
          </w:p>
        </w:tc>
        <w:tc>
          <w:tcPr>
            <w:tcW w:w="442"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60.7</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(46.8, 73.5)</w:t>
            </w:r>
          </w:p>
        </w:tc>
        <w:tc>
          <w:tcPr>
            <w:tcW w:w="442"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0.32</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(0.14, 0.51)</w:t>
            </w:r>
          </w:p>
        </w:tc>
        <w:tc>
          <w:tcPr>
            <w:tcW w:w="371" w:type="pct"/>
            <w:vMerge/>
            <w:shd w:val="clear" w:color="auto" w:fill="auto"/>
            <w:vAlign w:val="center"/>
          </w:tcPr>
          <w:p w:rsidR="00610C31" w:rsidRPr="006B5915" w:rsidRDefault="00610C31" w:rsidP="00FB2A31">
            <w:pPr>
              <w:spacing w:after="0" w:line="480" w:lineRule="auto"/>
              <w:jc w:val="center"/>
              <w:rPr>
                <w:rFonts w:ascii="Verdana" w:hAnsi="Verdana"/>
                <w:sz w:val="16"/>
                <w:szCs w:val="16"/>
              </w:rPr>
            </w:pPr>
          </w:p>
        </w:tc>
      </w:tr>
      <w:tr w:rsidR="00610C31" w:rsidRPr="006B5915" w:rsidTr="00FB2A31">
        <w:tc>
          <w:tcPr>
            <w:tcW w:w="436" w:type="pct"/>
            <w:vMerge w:val="restart"/>
            <w:shd w:val="clear" w:color="auto" w:fill="auto"/>
            <w:vAlign w:val="center"/>
          </w:tcPr>
          <w:p w:rsidR="00610C31" w:rsidRPr="006B5915" w:rsidRDefault="00610C31" w:rsidP="00FB2A31">
            <w:pPr>
              <w:pStyle w:val="ListParagraph"/>
              <w:spacing w:after="0" w:line="480" w:lineRule="auto"/>
              <w:ind w:left="0"/>
              <w:rPr>
                <w:rFonts w:ascii="Verdana" w:hAnsi="Verdana"/>
                <w:sz w:val="16"/>
                <w:szCs w:val="16"/>
              </w:rPr>
            </w:pPr>
            <w:r w:rsidRPr="006B5915">
              <w:rPr>
                <w:rFonts w:ascii="Verdana" w:hAnsi="Verdana"/>
                <w:sz w:val="16"/>
                <w:szCs w:val="16"/>
              </w:rPr>
              <w:t>Has  baby walker</w:t>
            </w:r>
            <w:r w:rsidRPr="006B5915">
              <w:rPr>
                <w:rFonts w:ascii="Verdana" w:hAnsi="Verdana"/>
                <w:b/>
                <w:sz w:val="16"/>
                <w:szCs w:val="16"/>
                <w:vertAlign w:val="superscript"/>
              </w:rPr>
              <w:t>2</w:t>
            </w:r>
          </w:p>
        </w:tc>
        <w:tc>
          <w:tcPr>
            <w:tcW w:w="580"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cases </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w:t>
            </w:r>
          </w:p>
        </w:tc>
        <w:tc>
          <w:tcPr>
            <w:tcW w:w="297"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14</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w:t>
            </w:r>
          </w:p>
        </w:tc>
        <w:tc>
          <w:tcPr>
            <w:tcW w:w="258"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40</w:t>
            </w:r>
          </w:p>
        </w:tc>
        <w:tc>
          <w:tcPr>
            <w:tcW w:w="55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(6.8, 93.2)</w:t>
            </w:r>
          </w:p>
        </w:tc>
        <w:tc>
          <w:tcPr>
            <w:tcW w:w="59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74.1</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(60.3, 85.0)</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12.5</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(1.6, 38.3)</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95.2</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(83.8, 99.4)</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0.10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(-0.12, 0.33)</w:t>
            </w:r>
          </w:p>
        </w:tc>
        <w:tc>
          <w:tcPr>
            <w:tcW w:w="371"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0.24 (0.62)</w:t>
            </w:r>
          </w:p>
        </w:tc>
      </w:tr>
      <w:tr w:rsidR="00610C31" w:rsidRPr="006B5915" w:rsidTr="00FB2A31">
        <w:tc>
          <w:tcPr>
            <w:tcW w:w="436" w:type="pct"/>
            <w:vMerge/>
            <w:tcBorders>
              <w:bottom w:val="single" w:sz="4" w:space="0" w:color="auto"/>
            </w:tcBorders>
            <w:shd w:val="clear" w:color="auto" w:fill="auto"/>
            <w:vAlign w:val="center"/>
          </w:tcPr>
          <w:p w:rsidR="00610C31" w:rsidRPr="006B5915" w:rsidRDefault="00610C31" w:rsidP="00FB2A31">
            <w:pPr>
              <w:pStyle w:val="ListParagraph"/>
              <w:spacing w:after="0" w:line="480" w:lineRule="auto"/>
              <w:ind w:left="0"/>
              <w:rPr>
                <w:rFonts w:ascii="Verdana" w:hAnsi="Verdana"/>
                <w:sz w:val="16"/>
                <w:szCs w:val="16"/>
              </w:rPr>
            </w:pPr>
          </w:p>
        </w:tc>
        <w:tc>
          <w:tcPr>
            <w:tcW w:w="580"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controls</w:t>
            </w:r>
            <w:r w:rsidRPr="006B5915">
              <w:rPr>
                <w:rFonts w:ascii="Verdana" w:hAnsi="Verdana"/>
                <w:b/>
                <w:sz w:val="16"/>
                <w:szCs w:val="16"/>
              </w:rPr>
              <w:t xml:space="preserve"> </w:t>
            </w:r>
            <w:r w:rsidRPr="006B5915">
              <w:rPr>
                <w:rFonts w:ascii="Verdana" w:hAnsi="Verdana"/>
                <w:sz w:val="16"/>
                <w:szCs w:val="16"/>
              </w:rPr>
              <w:t>[0]</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w:t>
            </w:r>
          </w:p>
        </w:tc>
        <w:tc>
          <w:tcPr>
            <w:tcW w:w="297"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13</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w:t>
            </w:r>
          </w:p>
        </w:tc>
        <w:tc>
          <w:tcPr>
            <w:tcW w:w="258"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47</w:t>
            </w:r>
          </w:p>
        </w:tc>
        <w:tc>
          <w:tcPr>
            <w:tcW w:w="551" w:type="pct"/>
            <w:tcBorders>
              <w:bottom w:val="single" w:sz="4" w:space="0" w:color="auto"/>
            </w:tcBorders>
            <w:shd w:val="clear" w:color="auto" w:fill="auto"/>
          </w:tcPr>
          <w:p w:rsidR="00610C31" w:rsidRPr="006B5915" w:rsidRDefault="00610C31" w:rsidP="00FB2A31">
            <w:pPr>
              <w:tabs>
                <w:tab w:val="left" w:pos="300"/>
                <w:tab w:val="center" w:pos="529"/>
              </w:tabs>
              <w:spacing w:after="0" w:line="480" w:lineRule="auto"/>
              <w:rPr>
                <w:rFonts w:ascii="Verdana" w:hAnsi="Verdana"/>
                <w:sz w:val="16"/>
                <w:szCs w:val="16"/>
              </w:rPr>
            </w:pPr>
            <w:r w:rsidRPr="006B5915">
              <w:rPr>
                <w:rFonts w:ascii="Verdana" w:hAnsi="Verdana"/>
                <w:sz w:val="16"/>
                <w:szCs w:val="16"/>
              </w:rPr>
              <w:tab/>
            </w:r>
            <w:r w:rsidRPr="006B5915">
              <w:rPr>
                <w:rFonts w:ascii="Verdana" w:hAnsi="Verdana"/>
                <w:sz w:val="16"/>
                <w:szCs w:val="16"/>
              </w:rPr>
              <w:tab/>
              <w:t>60.0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(26.2, 87.8)</w:t>
            </w:r>
          </w:p>
        </w:tc>
        <w:tc>
          <w:tcPr>
            <w:tcW w:w="591"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78.3</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(65.8, 87.9)</w:t>
            </w:r>
          </w:p>
        </w:tc>
        <w:tc>
          <w:tcPr>
            <w:tcW w:w="442"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31.6</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(12.6, 56.6)</w:t>
            </w:r>
          </w:p>
        </w:tc>
        <w:tc>
          <w:tcPr>
            <w:tcW w:w="442"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92.2</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(81.1, 97.8)</w:t>
            </w:r>
          </w:p>
        </w:tc>
        <w:tc>
          <w:tcPr>
            <w:tcW w:w="442"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0.28</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(0.03, 0.53)</w:t>
            </w:r>
          </w:p>
        </w:tc>
        <w:tc>
          <w:tcPr>
            <w:tcW w:w="371" w:type="pct"/>
            <w:vMerge/>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p>
        </w:tc>
      </w:tr>
      <w:tr w:rsidR="00610C31" w:rsidRPr="006B5915" w:rsidTr="00FB2A31">
        <w:tc>
          <w:tcPr>
            <w:tcW w:w="436" w:type="pct"/>
            <w:vMerge w:val="restart"/>
            <w:shd w:val="clear" w:color="auto" w:fill="auto"/>
            <w:vAlign w:val="center"/>
          </w:tcPr>
          <w:p w:rsidR="00610C31" w:rsidRPr="006B5915" w:rsidRDefault="00610C31" w:rsidP="00FB2A31">
            <w:pPr>
              <w:pStyle w:val="ListParagraph"/>
              <w:spacing w:after="0" w:line="480" w:lineRule="auto"/>
              <w:ind w:left="0"/>
              <w:rPr>
                <w:rFonts w:ascii="Verdana" w:hAnsi="Verdana"/>
                <w:sz w:val="16"/>
                <w:szCs w:val="16"/>
              </w:rPr>
            </w:pPr>
            <w:r w:rsidRPr="006B5915">
              <w:rPr>
                <w:rFonts w:ascii="Verdana" w:hAnsi="Verdana"/>
                <w:sz w:val="16"/>
                <w:szCs w:val="16"/>
              </w:rPr>
              <w:t>Has static play centre</w:t>
            </w:r>
            <w:r w:rsidRPr="006B5915">
              <w:rPr>
                <w:rFonts w:ascii="Verdana" w:hAnsi="Verdana"/>
                <w:b/>
                <w:sz w:val="16"/>
                <w:szCs w:val="16"/>
                <w:vertAlign w:val="superscript"/>
              </w:rPr>
              <w:t>2</w:t>
            </w:r>
          </w:p>
        </w:tc>
        <w:tc>
          <w:tcPr>
            <w:tcW w:w="580"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cases </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w:t>
            </w:r>
          </w:p>
        </w:tc>
        <w:tc>
          <w:tcPr>
            <w:tcW w:w="297"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w:t>
            </w:r>
          </w:p>
        </w:tc>
        <w:tc>
          <w:tcPr>
            <w:tcW w:w="258"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45</w:t>
            </w:r>
          </w:p>
        </w:tc>
        <w:tc>
          <w:tcPr>
            <w:tcW w:w="55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83.3</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(35.9, 99.6)</w:t>
            </w:r>
          </w:p>
        </w:tc>
        <w:tc>
          <w:tcPr>
            <w:tcW w:w="59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88.2</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(76.1, 95.6)</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45.5</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(16.7, 76.6)</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97.8</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(88.5, 99.9)</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0.52</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(0.22, 0.82)</w:t>
            </w:r>
          </w:p>
        </w:tc>
        <w:tc>
          <w:tcPr>
            <w:tcW w:w="371"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3.36 (0.07)</w:t>
            </w:r>
          </w:p>
        </w:tc>
      </w:tr>
      <w:tr w:rsidR="00610C31" w:rsidRPr="006B5915" w:rsidTr="00FB2A31">
        <w:tc>
          <w:tcPr>
            <w:tcW w:w="436" w:type="pct"/>
            <w:vMerge/>
            <w:shd w:val="clear" w:color="auto" w:fill="auto"/>
            <w:vAlign w:val="center"/>
          </w:tcPr>
          <w:p w:rsidR="00610C31" w:rsidRPr="006B5915" w:rsidRDefault="00610C31" w:rsidP="00FB2A31">
            <w:pPr>
              <w:pStyle w:val="ListParagraph"/>
              <w:spacing w:after="0" w:line="480" w:lineRule="auto"/>
              <w:ind w:left="0"/>
              <w:rPr>
                <w:rFonts w:ascii="Verdana" w:hAnsi="Verdana"/>
                <w:sz w:val="16"/>
                <w:szCs w:val="16"/>
              </w:rPr>
            </w:pPr>
          </w:p>
        </w:tc>
        <w:tc>
          <w:tcPr>
            <w:tcW w:w="580"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controls [0]</w:t>
            </w:r>
          </w:p>
        </w:tc>
        <w:tc>
          <w:tcPr>
            <w:tcW w:w="296"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w:t>
            </w:r>
          </w:p>
        </w:tc>
        <w:tc>
          <w:tcPr>
            <w:tcW w:w="297"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14</w:t>
            </w:r>
          </w:p>
        </w:tc>
        <w:tc>
          <w:tcPr>
            <w:tcW w:w="296"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w:t>
            </w:r>
          </w:p>
        </w:tc>
        <w:tc>
          <w:tcPr>
            <w:tcW w:w="258"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47</w:t>
            </w:r>
          </w:p>
        </w:tc>
        <w:tc>
          <w:tcPr>
            <w:tcW w:w="551"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44.4</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(13.7, 78.8)</w:t>
            </w:r>
          </w:p>
        </w:tc>
        <w:tc>
          <w:tcPr>
            <w:tcW w:w="591"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77.0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(64.5, 86.8)</w:t>
            </w:r>
          </w:p>
        </w:tc>
        <w:tc>
          <w:tcPr>
            <w:tcW w:w="442"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22.2</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(6.4, 47.6)</w:t>
            </w:r>
          </w:p>
        </w:tc>
        <w:tc>
          <w:tcPr>
            <w:tcW w:w="442"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90.4</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(79.0, 96.8)</w:t>
            </w:r>
          </w:p>
        </w:tc>
        <w:tc>
          <w:tcPr>
            <w:tcW w:w="442"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0.15 </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(-0.09, 0.40)</w:t>
            </w:r>
          </w:p>
        </w:tc>
        <w:tc>
          <w:tcPr>
            <w:tcW w:w="371" w:type="pct"/>
            <w:vMerge/>
            <w:shd w:val="clear" w:color="auto" w:fill="auto"/>
            <w:vAlign w:val="center"/>
          </w:tcPr>
          <w:p w:rsidR="00610C31" w:rsidRPr="006B5915" w:rsidRDefault="00610C31" w:rsidP="00FB2A31">
            <w:pPr>
              <w:spacing w:after="0" w:line="480" w:lineRule="auto"/>
              <w:jc w:val="center"/>
              <w:rPr>
                <w:rFonts w:ascii="Verdana" w:hAnsi="Verdana"/>
                <w:sz w:val="16"/>
                <w:szCs w:val="16"/>
              </w:rPr>
            </w:pPr>
          </w:p>
        </w:tc>
      </w:tr>
      <w:tr w:rsidR="00610C31" w:rsidRPr="006B5915" w:rsidTr="00FB2A31">
        <w:tc>
          <w:tcPr>
            <w:tcW w:w="436" w:type="pct"/>
            <w:vMerge w:val="restart"/>
            <w:shd w:val="clear" w:color="auto" w:fill="auto"/>
            <w:vAlign w:val="center"/>
          </w:tcPr>
          <w:p w:rsidR="00610C31" w:rsidRPr="006B5915" w:rsidRDefault="00610C31" w:rsidP="00FB2A31">
            <w:pPr>
              <w:pStyle w:val="ListParagraph"/>
              <w:spacing w:after="0" w:line="480" w:lineRule="auto"/>
              <w:ind w:left="0"/>
              <w:rPr>
                <w:rFonts w:ascii="Verdana" w:hAnsi="Verdana"/>
                <w:sz w:val="16"/>
                <w:szCs w:val="16"/>
              </w:rPr>
            </w:pPr>
            <w:r w:rsidRPr="006B5915">
              <w:rPr>
                <w:rFonts w:ascii="Verdana" w:hAnsi="Verdana"/>
                <w:sz w:val="16"/>
                <w:szCs w:val="16"/>
              </w:rPr>
              <w:lastRenderedPageBreak/>
              <w:t>Has playpen</w:t>
            </w:r>
            <w:r w:rsidRPr="006B5915">
              <w:rPr>
                <w:rFonts w:ascii="Verdana" w:hAnsi="Verdana"/>
                <w:b/>
                <w:sz w:val="16"/>
                <w:szCs w:val="16"/>
                <w:vertAlign w:val="superscript"/>
              </w:rPr>
              <w:t>2</w:t>
            </w:r>
          </w:p>
        </w:tc>
        <w:tc>
          <w:tcPr>
            <w:tcW w:w="580"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cases </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w:t>
            </w:r>
          </w:p>
        </w:tc>
        <w:tc>
          <w:tcPr>
            <w:tcW w:w="297"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w:t>
            </w:r>
          </w:p>
        </w:tc>
        <w:tc>
          <w:tcPr>
            <w:tcW w:w="258"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54</w:t>
            </w:r>
          </w:p>
        </w:tc>
        <w:tc>
          <w:tcPr>
            <w:tcW w:w="55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(15.8,  100)</w:t>
            </w:r>
          </w:p>
        </w:tc>
        <w:tc>
          <w:tcPr>
            <w:tcW w:w="59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96.4</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(87.7, 99.6)</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(6.8, 93.2)</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(93.4, 100)</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0.65</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(0.21, 1.00)</w:t>
            </w:r>
          </w:p>
        </w:tc>
        <w:tc>
          <w:tcPr>
            <w:tcW w:w="371"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0.53 (0.47)</w:t>
            </w:r>
          </w:p>
        </w:tc>
      </w:tr>
      <w:tr w:rsidR="00610C31" w:rsidRPr="006B5915" w:rsidTr="00FB2A31">
        <w:tc>
          <w:tcPr>
            <w:tcW w:w="436" w:type="pct"/>
            <w:vMerge/>
            <w:tcBorders>
              <w:bottom w:val="single" w:sz="4" w:space="0" w:color="auto"/>
            </w:tcBorders>
            <w:shd w:val="clear" w:color="auto" w:fill="auto"/>
            <w:vAlign w:val="center"/>
          </w:tcPr>
          <w:p w:rsidR="00610C31" w:rsidRPr="006B5915" w:rsidRDefault="00610C31" w:rsidP="00FB2A31">
            <w:pPr>
              <w:pStyle w:val="ListParagraph"/>
              <w:spacing w:after="0" w:line="480" w:lineRule="auto"/>
              <w:ind w:left="0"/>
              <w:rPr>
                <w:rFonts w:ascii="Verdana" w:hAnsi="Verdana"/>
                <w:sz w:val="16"/>
                <w:szCs w:val="16"/>
              </w:rPr>
            </w:pPr>
          </w:p>
        </w:tc>
        <w:tc>
          <w:tcPr>
            <w:tcW w:w="580"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controls [1]</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w:t>
            </w:r>
          </w:p>
        </w:tc>
        <w:tc>
          <w:tcPr>
            <w:tcW w:w="297"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3</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w:t>
            </w:r>
          </w:p>
        </w:tc>
        <w:tc>
          <w:tcPr>
            <w:tcW w:w="258"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63</w:t>
            </w:r>
          </w:p>
        </w:tc>
        <w:tc>
          <w:tcPr>
            <w:tcW w:w="551"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66.7</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(9.4, 99.2)</w:t>
            </w:r>
          </w:p>
        </w:tc>
        <w:tc>
          <w:tcPr>
            <w:tcW w:w="591"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95.5</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(87.3, 99.1)</w:t>
            </w:r>
          </w:p>
        </w:tc>
        <w:tc>
          <w:tcPr>
            <w:tcW w:w="442"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(5.3, 85.3)</w:t>
            </w:r>
          </w:p>
        </w:tc>
        <w:tc>
          <w:tcPr>
            <w:tcW w:w="442"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98.4</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(91.6, 100)</w:t>
            </w:r>
          </w:p>
        </w:tc>
        <w:tc>
          <w:tcPr>
            <w:tcW w:w="442"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0.47 </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(0.03, 0.91)</w:t>
            </w:r>
          </w:p>
        </w:tc>
        <w:tc>
          <w:tcPr>
            <w:tcW w:w="371" w:type="pct"/>
            <w:vMerge/>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p>
        </w:tc>
      </w:tr>
      <w:tr w:rsidR="00610C31" w:rsidRPr="006B5915" w:rsidTr="00FB2A31">
        <w:tc>
          <w:tcPr>
            <w:tcW w:w="436" w:type="pct"/>
            <w:vMerge w:val="restart"/>
            <w:shd w:val="clear" w:color="auto" w:fill="auto"/>
            <w:vAlign w:val="center"/>
          </w:tcPr>
          <w:p w:rsidR="00610C31" w:rsidRPr="006B5915" w:rsidRDefault="00610C31" w:rsidP="00FB2A31">
            <w:pPr>
              <w:pStyle w:val="ListParagraph"/>
              <w:spacing w:after="0" w:line="480" w:lineRule="auto"/>
              <w:ind w:left="0"/>
              <w:rPr>
                <w:rFonts w:ascii="Verdana" w:hAnsi="Verdana"/>
                <w:sz w:val="16"/>
                <w:szCs w:val="16"/>
              </w:rPr>
            </w:pPr>
            <w:r w:rsidRPr="006B5915">
              <w:rPr>
                <w:rFonts w:ascii="Verdana" w:hAnsi="Verdana"/>
                <w:sz w:val="16"/>
                <w:szCs w:val="16"/>
              </w:rPr>
              <w:t>Has travel cot instead of a playpen</w:t>
            </w:r>
            <w:r w:rsidRPr="006B5915">
              <w:rPr>
                <w:rFonts w:ascii="Verdana" w:hAnsi="Verdana"/>
                <w:b/>
                <w:sz w:val="16"/>
                <w:szCs w:val="16"/>
                <w:vertAlign w:val="superscript"/>
              </w:rPr>
              <w:t>2</w:t>
            </w:r>
          </w:p>
        </w:tc>
        <w:tc>
          <w:tcPr>
            <w:tcW w:w="580" w:type="pct"/>
            <w:tcBorders>
              <w:bottom w:val="single" w:sz="4" w:space="0" w:color="auto"/>
            </w:tcBorders>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cases</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 [1]</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w:t>
            </w:r>
          </w:p>
        </w:tc>
        <w:tc>
          <w:tcPr>
            <w:tcW w:w="297"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w:t>
            </w:r>
          </w:p>
        </w:tc>
        <w:tc>
          <w:tcPr>
            <w:tcW w:w="296"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3</w:t>
            </w:r>
          </w:p>
        </w:tc>
        <w:tc>
          <w:tcPr>
            <w:tcW w:w="258"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47</w:t>
            </w:r>
          </w:p>
        </w:tc>
        <w:tc>
          <w:tcPr>
            <w:tcW w:w="55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57.1</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(18.4, 90.1)</w:t>
            </w:r>
          </w:p>
        </w:tc>
        <w:tc>
          <w:tcPr>
            <w:tcW w:w="591"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92.2</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(81.1, 97.8)</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50.0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(15.7, 84.3)</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94.0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(83.5, 98.7)</w:t>
            </w:r>
          </w:p>
        </w:tc>
        <w:tc>
          <w:tcPr>
            <w:tcW w:w="442" w:type="pct"/>
            <w:tcBorders>
              <w:bottom w:val="single" w:sz="4" w:space="0" w:color="auto"/>
            </w:tcBorders>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0.46</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(0.13, 0.80)</w:t>
            </w:r>
          </w:p>
        </w:tc>
        <w:tc>
          <w:tcPr>
            <w:tcW w:w="371" w:type="pct"/>
            <w:vMerge w:val="restar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0.17 (0.68)</w:t>
            </w:r>
          </w:p>
        </w:tc>
      </w:tr>
      <w:tr w:rsidR="00610C31" w:rsidRPr="006B5915" w:rsidTr="00FB2A31">
        <w:tc>
          <w:tcPr>
            <w:tcW w:w="436" w:type="pct"/>
            <w:vMerge/>
            <w:shd w:val="clear" w:color="auto" w:fill="auto"/>
          </w:tcPr>
          <w:p w:rsidR="00610C31" w:rsidRPr="006B5915" w:rsidRDefault="00610C31" w:rsidP="00FB2A31">
            <w:pPr>
              <w:pStyle w:val="ListParagraph"/>
              <w:spacing w:after="0" w:line="480" w:lineRule="auto"/>
              <w:ind w:left="0"/>
              <w:rPr>
                <w:rFonts w:ascii="Verdana" w:hAnsi="Verdana"/>
                <w:sz w:val="16"/>
                <w:szCs w:val="16"/>
              </w:rPr>
            </w:pPr>
          </w:p>
        </w:tc>
        <w:tc>
          <w:tcPr>
            <w:tcW w:w="580"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controls</w:t>
            </w:r>
            <w:r w:rsidRPr="006B5915">
              <w:rPr>
                <w:rFonts w:ascii="Verdana" w:hAnsi="Verdana"/>
                <w:b/>
                <w:sz w:val="16"/>
                <w:szCs w:val="16"/>
              </w:rPr>
              <w:t xml:space="preserve"> </w:t>
            </w:r>
            <w:r w:rsidRPr="006B5915">
              <w:rPr>
                <w:rFonts w:ascii="Verdana" w:hAnsi="Verdana"/>
                <w:sz w:val="16"/>
                <w:szCs w:val="16"/>
              </w:rPr>
              <w:t>[0]</w:t>
            </w:r>
          </w:p>
        </w:tc>
        <w:tc>
          <w:tcPr>
            <w:tcW w:w="296"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1</w:t>
            </w:r>
          </w:p>
        </w:tc>
        <w:tc>
          <w:tcPr>
            <w:tcW w:w="297"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4</w:t>
            </w:r>
          </w:p>
        </w:tc>
        <w:tc>
          <w:tcPr>
            <w:tcW w:w="296"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w:t>
            </w:r>
          </w:p>
        </w:tc>
        <w:tc>
          <w:tcPr>
            <w:tcW w:w="258" w:type="pct"/>
            <w:shd w:val="clear" w:color="auto" w:fill="auto"/>
            <w:vAlign w:val="center"/>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63</w:t>
            </w:r>
          </w:p>
        </w:tc>
        <w:tc>
          <w:tcPr>
            <w:tcW w:w="551"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33.3</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(0.8, 90.6)</w:t>
            </w:r>
          </w:p>
        </w:tc>
        <w:tc>
          <w:tcPr>
            <w:tcW w:w="591"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94.0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(85.4, 98.3)</w:t>
            </w:r>
          </w:p>
        </w:tc>
        <w:tc>
          <w:tcPr>
            <w:tcW w:w="442"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20.0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(0.5, 71.6)</w:t>
            </w:r>
          </w:p>
        </w:tc>
        <w:tc>
          <w:tcPr>
            <w:tcW w:w="442"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96.9</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(89.3, 99.6)</w:t>
            </w:r>
          </w:p>
        </w:tc>
        <w:tc>
          <w:tcPr>
            <w:tcW w:w="442" w:type="pct"/>
            <w:shd w:val="clear" w:color="auto" w:fill="auto"/>
          </w:tcPr>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 xml:space="preserve">0.21 </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6"/>
                <w:szCs w:val="16"/>
              </w:rPr>
              <w:t>(-0.20, 0.62)</w:t>
            </w:r>
          </w:p>
        </w:tc>
        <w:tc>
          <w:tcPr>
            <w:tcW w:w="371" w:type="pct"/>
            <w:vMerge/>
            <w:shd w:val="clear" w:color="auto" w:fill="auto"/>
          </w:tcPr>
          <w:p w:rsidR="00610C31" w:rsidRPr="006B5915" w:rsidRDefault="00610C31" w:rsidP="00FB2A31">
            <w:pPr>
              <w:tabs>
                <w:tab w:val="decimal" w:pos="454"/>
              </w:tabs>
              <w:spacing w:after="0" w:line="480" w:lineRule="auto"/>
              <w:jc w:val="center"/>
              <w:rPr>
                <w:rFonts w:ascii="Verdana" w:hAnsi="Verdana"/>
                <w:sz w:val="16"/>
                <w:szCs w:val="16"/>
              </w:rPr>
            </w:pPr>
          </w:p>
        </w:tc>
      </w:tr>
    </w:tbl>
    <w:p w:rsidR="00610C31" w:rsidRPr="006B5915" w:rsidRDefault="00610C31" w:rsidP="00610C31">
      <w:pPr>
        <w:spacing w:after="0"/>
        <w:rPr>
          <w:rFonts w:ascii="Verdana" w:hAnsi="Verdana"/>
          <w:sz w:val="16"/>
          <w:szCs w:val="16"/>
        </w:rPr>
      </w:pPr>
    </w:p>
    <w:p w:rsidR="00610C31" w:rsidRPr="006B5915" w:rsidRDefault="00610C31" w:rsidP="00610C31">
      <w:pPr>
        <w:spacing w:after="0" w:line="240" w:lineRule="auto"/>
        <w:rPr>
          <w:rFonts w:ascii="Verdana" w:hAnsi="Verdana" w:cs="Calibri"/>
          <w:bCs/>
          <w:color w:val="333333"/>
          <w:sz w:val="18"/>
          <w:szCs w:val="18"/>
          <w:lang w:eastAsia="en-GB"/>
        </w:rPr>
      </w:pPr>
      <w:proofErr w:type="gramStart"/>
      <w:r w:rsidRPr="006B5915">
        <w:rPr>
          <w:rFonts w:ascii="Verdana" w:hAnsi="Verdana" w:cs="Calibri"/>
          <w:bCs/>
          <w:color w:val="333333"/>
          <w:sz w:val="16"/>
          <w:szCs w:val="16"/>
          <w:lang w:eastAsia="en-GB"/>
        </w:rPr>
        <w:t>Χ</w:t>
      </w:r>
      <w:r w:rsidRPr="006B5915">
        <w:rPr>
          <w:rFonts w:ascii="Verdana" w:hAnsi="Verdana" w:cs="Calibri"/>
          <w:bCs/>
          <w:color w:val="333333"/>
          <w:sz w:val="16"/>
          <w:szCs w:val="16"/>
          <w:vertAlign w:val="superscript"/>
          <w:lang w:eastAsia="en-GB"/>
        </w:rPr>
        <w:t>2</w:t>
      </w:r>
      <w:r w:rsidRPr="006B5915">
        <w:rPr>
          <w:rFonts w:ascii="Verdana" w:hAnsi="Verdana" w:cs="Calibri"/>
          <w:bCs/>
          <w:color w:val="333333"/>
          <w:sz w:val="16"/>
          <w:szCs w:val="16"/>
          <w:lang w:eastAsia="en-GB"/>
        </w:rPr>
        <w:t xml:space="preserve"> test for homogeneity.</w:t>
      </w:r>
      <w:proofErr w:type="gramEnd"/>
      <w:r w:rsidRPr="006B5915">
        <w:rPr>
          <w:rFonts w:ascii="Verdana" w:hAnsi="Verdana" w:cs="Calibri"/>
          <w:bCs/>
          <w:color w:val="333333"/>
          <w:sz w:val="16"/>
          <w:szCs w:val="16"/>
          <w:lang w:eastAsia="en-GB"/>
        </w:rPr>
        <w:t xml:space="preserve"> PPV = positive predictive value, NPV= negative predictive value. </w:t>
      </w:r>
    </w:p>
    <w:p w:rsidR="00610C31" w:rsidRPr="006B5915" w:rsidRDefault="00610C31" w:rsidP="00610C31">
      <w:pPr>
        <w:spacing w:after="0" w:line="240" w:lineRule="auto"/>
        <w:rPr>
          <w:rFonts w:ascii="Verdana" w:hAnsi="Verdana" w:cs="Calibri"/>
          <w:bCs/>
          <w:color w:val="333333"/>
          <w:sz w:val="16"/>
          <w:szCs w:val="16"/>
          <w:lang w:eastAsia="en-GB"/>
        </w:rPr>
      </w:pPr>
      <w:r w:rsidRPr="006B5915">
        <w:rPr>
          <w:rFonts w:ascii="Verdana" w:hAnsi="Verdana" w:cs="Calibri"/>
          <w:bCs/>
          <w:color w:val="333333"/>
          <w:sz w:val="16"/>
          <w:szCs w:val="16"/>
          <w:lang w:eastAsia="en-GB"/>
        </w:rPr>
        <w:t xml:space="preserve">Sensitivity = exposure reported and observed /total observed to have exposure. Specificity = exposure not reported and not observed /total not observed to have exposure </w:t>
      </w:r>
    </w:p>
    <w:p w:rsidR="00610C31" w:rsidRPr="006B5915" w:rsidRDefault="00610C31" w:rsidP="00610C31">
      <w:pPr>
        <w:spacing w:after="0" w:line="240" w:lineRule="auto"/>
        <w:rPr>
          <w:rFonts w:ascii="Verdana" w:hAnsi="Verdana" w:cs="Calibri"/>
          <w:bCs/>
          <w:color w:val="333333"/>
          <w:sz w:val="16"/>
          <w:szCs w:val="16"/>
          <w:lang w:eastAsia="en-GB"/>
        </w:rPr>
      </w:pPr>
      <w:r w:rsidRPr="006B5915">
        <w:rPr>
          <w:rFonts w:ascii="Verdana" w:hAnsi="Verdana" w:cs="Calibri"/>
          <w:bCs/>
          <w:color w:val="333333"/>
          <w:sz w:val="16"/>
          <w:szCs w:val="16"/>
          <w:lang w:eastAsia="en-GB"/>
        </w:rPr>
        <w:t xml:space="preserve">PPV = exposure reported and observed /total who reported exposure. NPV = exposure not reported and not observed /total not reporting exposure. </w:t>
      </w:r>
    </w:p>
    <w:p w:rsidR="00610C31" w:rsidRPr="006B5915" w:rsidRDefault="00610C31" w:rsidP="00610C31">
      <w:pPr>
        <w:spacing w:after="0" w:line="240" w:lineRule="auto"/>
        <w:rPr>
          <w:rFonts w:ascii="Verdana" w:hAnsi="Verdana" w:cs="Calibri"/>
          <w:bCs/>
          <w:color w:val="333333"/>
          <w:sz w:val="16"/>
          <w:szCs w:val="16"/>
          <w:lang w:eastAsia="en-GB"/>
        </w:rPr>
      </w:pPr>
      <w:r w:rsidRPr="006B5915">
        <w:rPr>
          <w:rFonts w:ascii="Verdana" w:hAnsi="Verdana" w:cs="Calibri"/>
          <w:bCs/>
          <w:color w:val="333333"/>
          <w:sz w:val="16"/>
          <w:szCs w:val="16"/>
          <w:vertAlign w:val="superscript"/>
          <w:lang w:eastAsia="en-GB"/>
        </w:rPr>
        <w:t>1</w:t>
      </w:r>
      <w:r w:rsidRPr="006B5915">
        <w:rPr>
          <w:rFonts w:ascii="Verdana" w:hAnsi="Verdana" w:cs="Calibri"/>
          <w:bCs/>
          <w:color w:val="333333"/>
          <w:sz w:val="16"/>
          <w:szCs w:val="16"/>
          <w:lang w:eastAsia="en-GB"/>
        </w:rPr>
        <w:t xml:space="preserve"> Only includes those with stairs (cases: n=77; controls: n=74). </w:t>
      </w:r>
      <w:r w:rsidRPr="006B5915">
        <w:rPr>
          <w:rFonts w:ascii="Verdana" w:hAnsi="Verdana" w:cs="Calibri"/>
          <w:bCs/>
          <w:color w:val="333333"/>
          <w:sz w:val="16"/>
          <w:szCs w:val="16"/>
          <w:vertAlign w:val="superscript"/>
          <w:lang w:eastAsia="en-GB"/>
        </w:rPr>
        <w:t>2</w:t>
      </w:r>
      <w:r w:rsidRPr="006B5915">
        <w:rPr>
          <w:rFonts w:ascii="Verdana" w:hAnsi="Verdana" w:cs="Calibri"/>
          <w:bCs/>
          <w:color w:val="333333"/>
          <w:sz w:val="16"/>
          <w:szCs w:val="16"/>
          <w:lang w:eastAsia="en-GB"/>
        </w:rPr>
        <w:t xml:space="preserve"> Questions only asked for children aged 0-36 months (cases: n=59; controls: n=70) </w:t>
      </w:r>
    </w:p>
    <w:p w:rsidR="00610C31" w:rsidRPr="006B5915" w:rsidRDefault="00610C31" w:rsidP="00610C31">
      <w:pPr>
        <w:spacing w:after="0" w:line="240" w:lineRule="auto"/>
        <w:rPr>
          <w:rFonts w:ascii="Verdana" w:hAnsi="Verdana" w:cs="Calibri"/>
          <w:bCs/>
          <w:color w:val="333333"/>
          <w:sz w:val="18"/>
          <w:szCs w:val="18"/>
          <w:lang w:eastAsia="en-GB"/>
        </w:rPr>
      </w:pPr>
      <w:r w:rsidRPr="006B5915">
        <w:rPr>
          <w:rFonts w:ascii="Verdana" w:hAnsi="Verdana" w:cs="Calibri"/>
          <w:bCs/>
          <w:color w:val="333333"/>
          <w:sz w:val="18"/>
          <w:szCs w:val="18"/>
          <w:lang w:eastAsia="en-GB"/>
        </w:rPr>
        <w:t> </w:t>
      </w:r>
    </w:p>
    <w:p w:rsidR="00610C31" w:rsidRPr="006B5915" w:rsidRDefault="00610C31" w:rsidP="00610C31">
      <w:pPr>
        <w:spacing w:after="0" w:line="240" w:lineRule="auto"/>
        <w:rPr>
          <w:rFonts w:ascii="Verdana" w:hAnsi="Verdana" w:cs="Calibri"/>
          <w:bCs/>
          <w:color w:val="333333"/>
          <w:sz w:val="18"/>
          <w:szCs w:val="18"/>
          <w:lang w:eastAsia="en-GB"/>
        </w:rPr>
      </w:pPr>
      <w:r w:rsidRPr="006B5915">
        <w:rPr>
          <w:rFonts w:ascii="Verdana" w:hAnsi="Verdana" w:cs="Calibri"/>
          <w:bCs/>
          <w:color w:val="333333"/>
          <w:sz w:val="18"/>
          <w:szCs w:val="18"/>
          <w:lang w:eastAsia="en-GB"/>
        </w:rPr>
        <w:br w:type="page"/>
      </w:r>
    </w:p>
    <w:p w:rsidR="00610C31" w:rsidRPr="006B5915" w:rsidRDefault="00610C31" w:rsidP="00610C31">
      <w:pPr>
        <w:spacing w:after="0" w:line="240" w:lineRule="auto"/>
        <w:rPr>
          <w:rFonts w:ascii="Verdana" w:hAnsi="Verdana" w:cs="Calibri"/>
          <w:bCs/>
          <w:color w:val="333333"/>
          <w:sz w:val="18"/>
          <w:szCs w:val="18"/>
          <w:lang w:eastAsia="en-GB"/>
        </w:rPr>
      </w:pPr>
    </w:p>
    <w:p w:rsidR="00610C31" w:rsidRPr="006B5915" w:rsidRDefault="00610C31" w:rsidP="00610C31">
      <w:pPr>
        <w:spacing w:after="0" w:line="240" w:lineRule="auto"/>
        <w:rPr>
          <w:rFonts w:ascii="Verdana" w:hAnsi="Verdana" w:cs="Calibri"/>
          <w:bCs/>
          <w:color w:val="333333"/>
          <w:sz w:val="18"/>
          <w:szCs w:val="18"/>
          <w:lang w:eastAsia="en-GB"/>
        </w:rPr>
      </w:pPr>
    </w:p>
    <w:p w:rsidR="00610C31" w:rsidRPr="006B5915" w:rsidRDefault="00610C31" w:rsidP="00610C31">
      <w:pPr>
        <w:spacing w:after="0" w:line="240" w:lineRule="auto"/>
        <w:rPr>
          <w:rFonts w:ascii="Verdana" w:hAnsi="Verdana" w:cs="Calibri"/>
          <w:bCs/>
          <w:color w:val="333333"/>
          <w:sz w:val="18"/>
          <w:szCs w:val="18"/>
          <w:lang w:eastAsia="en-GB"/>
        </w:rPr>
      </w:pPr>
      <w:proofErr w:type="gramStart"/>
      <w:r w:rsidRPr="006B5915">
        <w:rPr>
          <w:rFonts w:ascii="Verdana" w:hAnsi="Verdana" w:cs="Calibri"/>
          <w:bCs/>
          <w:color w:val="333333"/>
          <w:sz w:val="18"/>
          <w:szCs w:val="18"/>
          <w:lang w:eastAsia="en-GB"/>
        </w:rPr>
        <w:t>Table 3.</w:t>
      </w:r>
      <w:proofErr w:type="gramEnd"/>
      <w:r w:rsidRPr="006B5915">
        <w:rPr>
          <w:rFonts w:ascii="Verdana" w:hAnsi="Verdana" w:cs="Calibri"/>
          <w:bCs/>
          <w:color w:val="333333"/>
          <w:sz w:val="18"/>
          <w:szCs w:val="18"/>
          <w:lang w:eastAsia="en-GB"/>
        </w:rPr>
        <w:t xml:space="preserve"> Frequency of exposures in cases and controls and adjusted odds ratios</w:t>
      </w:r>
      <w:r w:rsidR="00DE46F6" w:rsidRPr="006B5915">
        <w:rPr>
          <w:rFonts w:ascii="Verdana" w:hAnsi="Verdana" w:cs="Calibri"/>
          <w:bCs/>
          <w:color w:val="333333"/>
          <w:sz w:val="18"/>
          <w:szCs w:val="18"/>
          <w:lang w:eastAsia="en-GB"/>
        </w:rPr>
        <w:t xml:space="preserve"> from complete case and multiple imputation analyses</w:t>
      </w:r>
      <w:r w:rsidRPr="006B5915">
        <w:rPr>
          <w:rFonts w:ascii="Verdana" w:hAnsi="Verdana" w:cs="Calibri"/>
          <w:bCs/>
          <w:color w:val="333333"/>
          <w:sz w:val="18"/>
          <w:szCs w:val="18"/>
          <w:lang w:eastAsia="en-GB"/>
        </w:rPr>
        <w:t xml:space="preserve"> [missing values] {not applicable responses}   </w:t>
      </w:r>
    </w:p>
    <w:p w:rsidR="00610C31" w:rsidRPr="006B5915" w:rsidRDefault="00610C31" w:rsidP="00610C31">
      <w:pPr>
        <w:spacing w:after="0" w:line="240" w:lineRule="auto"/>
        <w:rPr>
          <w:rFonts w:ascii="Verdana" w:hAnsi="Verdana" w:cs="Calibri"/>
          <w:bCs/>
          <w:color w:val="333333"/>
          <w:sz w:val="18"/>
          <w:szCs w:val="18"/>
          <w:lang w:eastAsia="en-GB"/>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6"/>
        <w:gridCol w:w="1760"/>
        <w:gridCol w:w="1888"/>
        <w:gridCol w:w="2612"/>
        <w:gridCol w:w="2609"/>
        <w:gridCol w:w="2609"/>
      </w:tblGrid>
      <w:tr w:rsidR="00610C31" w:rsidRPr="006B5915" w:rsidTr="00FB2A31">
        <w:trPr>
          <w:trHeight w:val="979"/>
        </w:trPr>
        <w:tc>
          <w:tcPr>
            <w:tcW w:w="1286" w:type="pct"/>
          </w:tcPr>
          <w:p w:rsidR="00610C31" w:rsidRPr="006B5915" w:rsidRDefault="00610C31" w:rsidP="00FB2A31">
            <w:pPr>
              <w:spacing w:after="0" w:line="480" w:lineRule="auto"/>
              <w:rPr>
                <w:rFonts w:ascii="Verdana" w:hAnsi="Verdana" w:cs="Calibri"/>
                <w:sz w:val="18"/>
                <w:szCs w:val="18"/>
              </w:rPr>
            </w:pPr>
            <w:r w:rsidRPr="006B5915">
              <w:rPr>
                <w:rFonts w:ascii="Verdana" w:hAnsi="Verdana" w:cs="Calibri"/>
                <w:sz w:val="18"/>
                <w:szCs w:val="18"/>
              </w:rPr>
              <w:t xml:space="preserve">Exposures </w:t>
            </w:r>
          </w:p>
        </w:tc>
        <w:tc>
          <w:tcPr>
            <w:tcW w:w="569"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Cases</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n=672 (%)</w:t>
            </w:r>
          </w:p>
          <w:p w:rsidR="00610C31" w:rsidRPr="006B5915" w:rsidRDefault="00610C31" w:rsidP="00FB2A31">
            <w:pPr>
              <w:spacing w:after="0" w:line="480" w:lineRule="auto"/>
              <w:jc w:val="center"/>
              <w:rPr>
                <w:rFonts w:ascii="Verdana" w:hAnsi="Verdana" w:cs="Calibri"/>
                <w:sz w:val="18"/>
                <w:szCs w:val="18"/>
              </w:rPr>
            </w:pPr>
          </w:p>
        </w:tc>
        <w:tc>
          <w:tcPr>
            <w:tcW w:w="611"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sz w:val="18"/>
                <w:szCs w:val="18"/>
              </w:rPr>
              <w:t>C</w:t>
            </w:r>
            <w:r w:rsidRPr="006B5915">
              <w:rPr>
                <w:rFonts w:ascii="Verdana" w:hAnsi="Verdana" w:cs="Calibri"/>
                <w:sz w:val="18"/>
                <w:szCs w:val="18"/>
              </w:rPr>
              <w:t>ontrols</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n=2648 (%)</w:t>
            </w:r>
          </w:p>
          <w:p w:rsidR="00610C31" w:rsidRPr="006B5915" w:rsidRDefault="00610C31" w:rsidP="00FB2A31">
            <w:pPr>
              <w:spacing w:after="0" w:line="480" w:lineRule="auto"/>
              <w:jc w:val="center"/>
              <w:rPr>
                <w:rFonts w:ascii="Verdana" w:hAnsi="Verdana" w:cs="Calibri"/>
                <w:sz w:val="18"/>
                <w:szCs w:val="18"/>
              </w:rPr>
            </w:pPr>
          </w:p>
        </w:tc>
        <w:tc>
          <w:tcPr>
            <w:tcW w:w="845"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Adjusted OR</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(95% CI)</w:t>
            </w:r>
          </w:p>
          <w:p w:rsidR="00610C31" w:rsidRPr="006B5915" w:rsidDel="00A518D4"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Complete case analysis†</w:t>
            </w: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Adjusted OR</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(95% CI)</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Multiple imputation  analysis</w:t>
            </w:r>
          </w:p>
        </w:tc>
        <w:tc>
          <w:tcPr>
            <w:tcW w:w="844" w:type="pct"/>
          </w:tcPr>
          <w:p w:rsidR="00610C31" w:rsidRPr="006B5915" w:rsidDel="00A518D4"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Confounders adjusted for</w:t>
            </w:r>
            <w:r w:rsidRPr="006B5915">
              <w:rPr>
                <w:rFonts w:ascii="Verdana" w:hAnsi="Verdana" w:cs="Calibri"/>
                <w:sz w:val="18"/>
                <w:szCs w:val="18"/>
                <w:vertAlign w:val="superscript"/>
              </w:rPr>
              <w:t>∫</w:t>
            </w:r>
          </w:p>
        </w:tc>
      </w:tr>
      <w:tr w:rsidR="00610C31" w:rsidRPr="006B5915" w:rsidTr="00FB2A31">
        <w:trPr>
          <w:trHeight w:val="220"/>
        </w:trPr>
        <w:tc>
          <w:tcPr>
            <w:tcW w:w="1286" w:type="pct"/>
          </w:tcPr>
          <w:p w:rsidR="00610C31" w:rsidRPr="006B5915" w:rsidRDefault="00610C31" w:rsidP="00FB2A31">
            <w:pPr>
              <w:spacing w:after="0" w:line="480" w:lineRule="auto"/>
              <w:rPr>
                <w:rFonts w:ascii="Verdana" w:hAnsi="Verdana" w:cs="Calibri"/>
                <w:sz w:val="18"/>
                <w:szCs w:val="18"/>
              </w:rPr>
            </w:pPr>
            <w:r w:rsidRPr="006B5915">
              <w:rPr>
                <w:rFonts w:ascii="Verdana" w:hAnsi="Verdana" w:cs="Calibri"/>
                <w:sz w:val="18"/>
                <w:szCs w:val="18"/>
              </w:rPr>
              <w:t>Used safety gates*</w:t>
            </w:r>
          </w:p>
          <w:p w:rsidR="00610C31" w:rsidRPr="006B5915" w:rsidRDefault="00610C31" w:rsidP="00FB2A31">
            <w:pPr>
              <w:spacing w:after="0" w:line="480" w:lineRule="auto"/>
              <w:rPr>
                <w:rFonts w:ascii="Verdana" w:hAnsi="Verdana" w:cs="Calibri"/>
                <w:sz w:val="18"/>
                <w:szCs w:val="18"/>
              </w:rPr>
            </w:pPr>
            <w:r w:rsidRPr="006B5915">
              <w:rPr>
                <w:rFonts w:ascii="Verdana" w:hAnsi="Verdana" w:cs="Calibri"/>
                <w:sz w:val="18"/>
                <w:szCs w:val="18"/>
              </w:rPr>
              <w:t>Did not use any safety gates</w:t>
            </w:r>
          </w:p>
        </w:tc>
        <w:tc>
          <w:tcPr>
            <w:tcW w:w="569"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389 (63.2)</w:t>
            </w:r>
          </w:p>
          <w:p w:rsidR="00610C31" w:rsidRPr="006B5915" w:rsidRDefault="00610C31" w:rsidP="00FB2A31">
            <w:pPr>
              <w:spacing w:after="0" w:line="480" w:lineRule="auto"/>
              <w:jc w:val="center"/>
            </w:pPr>
            <w:r w:rsidRPr="006B5915">
              <w:rPr>
                <w:rFonts w:ascii="Verdana" w:hAnsi="Verdana" w:cs="Calibri"/>
                <w:sz w:val="18"/>
                <w:szCs w:val="18"/>
              </w:rPr>
              <w:t>227 (36.9)</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[56]</w:t>
            </w:r>
          </w:p>
        </w:tc>
        <w:tc>
          <w:tcPr>
            <w:tcW w:w="611"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1800 (72.4)</w:t>
            </w:r>
          </w:p>
          <w:p w:rsidR="00610C31" w:rsidRPr="006B5915" w:rsidRDefault="00610C31" w:rsidP="00FB2A31">
            <w:pPr>
              <w:spacing w:after="0" w:line="480" w:lineRule="auto"/>
              <w:jc w:val="center"/>
            </w:pPr>
            <w:r w:rsidRPr="006B5915">
              <w:rPr>
                <w:rFonts w:ascii="Verdana" w:hAnsi="Verdana" w:cs="Calibri"/>
                <w:sz w:val="18"/>
                <w:szCs w:val="18"/>
              </w:rPr>
              <w:t>688 (27.6)</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[160]</w:t>
            </w:r>
          </w:p>
        </w:tc>
        <w:tc>
          <w:tcPr>
            <w:tcW w:w="845"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1.65 (1.29, 2.12)</w:t>
            </w:r>
          </w:p>
          <w:p w:rsidR="00610C31" w:rsidRPr="006B5915" w:rsidRDefault="00610C31" w:rsidP="00FB2A31">
            <w:pPr>
              <w:spacing w:after="0" w:line="480" w:lineRule="auto"/>
              <w:jc w:val="center"/>
              <w:rPr>
                <w:rFonts w:ascii="Verdana" w:hAnsi="Verdana" w:cs="Calibri"/>
                <w:sz w:val="18"/>
                <w:szCs w:val="18"/>
              </w:rPr>
            </w:pP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6"/>
                <w:szCs w:val="16"/>
              </w:rPr>
            </w:pPr>
            <w:r w:rsidRPr="006B5915">
              <w:rPr>
                <w:rFonts w:ascii="Verdana" w:hAnsi="Verdana" w:cs="Calibri"/>
                <w:sz w:val="18"/>
                <w:szCs w:val="18"/>
              </w:rPr>
              <w:t>1.62 (1.25, 2.10)</w:t>
            </w: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 xml:space="preserve">PDH, HADS, hours out-of-home care, ability to climb, first child </w:t>
            </w:r>
          </w:p>
        </w:tc>
      </w:tr>
      <w:tr w:rsidR="00610C31" w:rsidRPr="006B5915" w:rsidTr="00FB2A31">
        <w:trPr>
          <w:trHeight w:val="412"/>
        </w:trPr>
        <w:tc>
          <w:tcPr>
            <w:tcW w:w="1286" w:type="pct"/>
          </w:tcPr>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Did not use high chair without harness**</w:t>
            </w:r>
          </w:p>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Used high chair without harness</w:t>
            </w:r>
          </w:p>
          <w:p w:rsidR="00610C31" w:rsidRPr="006B5915" w:rsidRDefault="00610C31" w:rsidP="00FB2A31">
            <w:pPr>
              <w:spacing w:after="0" w:line="480" w:lineRule="auto"/>
              <w:rPr>
                <w:rFonts w:ascii="Verdana" w:hAnsi="Verdana" w:cs="Calibri"/>
                <w:sz w:val="18"/>
                <w:szCs w:val="18"/>
              </w:rPr>
            </w:pPr>
          </w:p>
        </w:tc>
        <w:tc>
          <w:tcPr>
            <w:tcW w:w="569"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330 (73.7)</w:t>
            </w:r>
          </w:p>
          <w:p w:rsidR="00610C31" w:rsidRPr="006B5915" w:rsidRDefault="00610C31" w:rsidP="00FB2A31">
            <w:pPr>
              <w:spacing w:after="0" w:line="480" w:lineRule="auto"/>
              <w:jc w:val="center"/>
            </w:pPr>
            <w:r w:rsidRPr="006B5915">
              <w:rPr>
                <w:rFonts w:ascii="Verdana" w:hAnsi="Verdana" w:cs="Calibri"/>
                <w:sz w:val="18"/>
                <w:szCs w:val="18"/>
              </w:rPr>
              <w:t>118 (26.3)</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[11] {213}</w:t>
            </w:r>
          </w:p>
        </w:tc>
        <w:tc>
          <w:tcPr>
            <w:tcW w:w="611"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1239 (70.4)</w:t>
            </w:r>
          </w:p>
          <w:p w:rsidR="00610C31" w:rsidRPr="006B5915" w:rsidRDefault="00610C31" w:rsidP="00FB2A31">
            <w:pPr>
              <w:spacing w:after="0" w:line="480" w:lineRule="auto"/>
              <w:jc w:val="center"/>
            </w:pPr>
            <w:r w:rsidRPr="006B5915">
              <w:rPr>
                <w:rFonts w:ascii="Verdana" w:hAnsi="Verdana" w:cs="Calibri"/>
                <w:sz w:val="18"/>
                <w:szCs w:val="18"/>
              </w:rPr>
              <w:t>522 (29.6)</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[34] {853}</w:t>
            </w:r>
          </w:p>
        </w:tc>
        <w:tc>
          <w:tcPr>
            <w:tcW w:w="845"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0.77 (0.57, 1.03)</w:t>
            </w:r>
          </w:p>
          <w:p w:rsidR="00610C31" w:rsidRPr="006B5915" w:rsidRDefault="00610C31" w:rsidP="00FB2A31">
            <w:pPr>
              <w:spacing w:after="0" w:line="480" w:lineRule="auto"/>
              <w:jc w:val="center"/>
              <w:rPr>
                <w:rFonts w:ascii="Verdana" w:hAnsi="Verdana" w:cs="Calibri"/>
                <w:sz w:val="18"/>
                <w:szCs w:val="18"/>
              </w:rPr>
            </w:pP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6"/>
                <w:szCs w:val="16"/>
              </w:rPr>
            </w:pPr>
            <w:r w:rsidRPr="006B5915">
              <w:rPr>
                <w:rFonts w:ascii="Verdana" w:hAnsi="Verdana" w:cs="Calibri"/>
                <w:sz w:val="18"/>
                <w:szCs w:val="18"/>
              </w:rPr>
              <w:t>0.81 (0.63, 1.04)</w:t>
            </w: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CBQ, hours out-of-home care</w:t>
            </w:r>
          </w:p>
        </w:tc>
      </w:tr>
      <w:tr w:rsidR="00610C31" w:rsidRPr="006B5915" w:rsidTr="00FB2A31">
        <w:trPr>
          <w:trHeight w:val="390"/>
        </w:trPr>
        <w:tc>
          <w:tcPr>
            <w:tcW w:w="1286" w:type="pct"/>
          </w:tcPr>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Did not have things child could climb on to reach high surfaces*</w:t>
            </w:r>
          </w:p>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Had things child could climb on to reach high surfaces</w:t>
            </w:r>
          </w:p>
        </w:tc>
        <w:tc>
          <w:tcPr>
            <w:tcW w:w="569"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412 (62.4)</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pPr>
            <w:r w:rsidRPr="006B5915">
              <w:rPr>
                <w:rFonts w:ascii="Verdana" w:hAnsi="Verdana" w:cs="Calibri"/>
                <w:sz w:val="18"/>
                <w:szCs w:val="18"/>
              </w:rPr>
              <w:t>248 (37.6)</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[12]</w:t>
            </w:r>
          </w:p>
        </w:tc>
        <w:tc>
          <w:tcPr>
            <w:tcW w:w="611"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1551 (59.1)</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pPr>
            <w:r w:rsidRPr="006B5915">
              <w:rPr>
                <w:rFonts w:ascii="Verdana" w:hAnsi="Verdana" w:cs="Calibri"/>
                <w:sz w:val="18"/>
                <w:szCs w:val="18"/>
              </w:rPr>
              <w:t>1075 (40.9)</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[22]</w:t>
            </w:r>
          </w:p>
        </w:tc>
        <w:tc>
          <w:tcPr>
            <w:tcW w:w="845"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rPr>
                <w:rFonts w:ascii="Verdana" w:hAnsi="Verdana"/>
                <w:sz w:val="18"/>
                <w:szCs w:val="18"/>
              </w:rPr>
            </w:pPr>
            <w:r w:rsidRPr="006B5915">
              <w:rPr>
                <w:rFonts w:ascii="Verdana" w:hAnsi="Verdana" w:cs="Calibri"/>
                <w:sz w:val="18"/>
                <w:szCs w:val="18"/>
              </w:rPr>
              <w:t>0.96 (0.75, 1.24)</w:t>
            </w:r>
          </w:p>
          <w:p w:rsidR="00610C31" w:rsidRPr="006B5915" w:rsidRDefault="00610C31" w:rsidP="00FB2A31">
            <w:pPr>
              <w:spacing w:after="0" w:line="480" w:lineRule="auto"/>
              <w:jc w:val="center"/>
              <w:rPr>
                <w:rFonts w:ascii="Verdana" w:hAnsi="Verdana" w:cs="Calibri"/>
                <w:sz w:val="18"/>
                <w:szCs w:val="18"/>
              </w:rPr>
            </w:pP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rPr>
                <w:rFonts w:ascii="Verdana" w:hAnsi="Verdana"/>
                <w:sz w:val="16"/>
                <w:szCs w:val="16"/>
              </w:rPr>
            </w:pPr>
            <w:r w:rsidRPr="006B5915">
              <w:rPr>
                <w:rFonts w:ascii="Verdana" w:hAnsi="Verdana" w:cs="Calibri"/>
                <w:sz w:val="18"/>
                <w:szCs w:val="18"/>
              </w:rPr>
              <w:t>0.88 (0.68, 1.13)</w:t>
            </w: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sz w:val="16"/>
                <w:szCs w:val="16"/>
              </w:rPr>
              <w:t>Hours out-of-home care, ability to climb, first child, safety gate,  safety rules about climbing in kitchen and jumping on furniture</w:t>
            </w:r>
          </w:p>
        </w:tc>
      </w:tr>
      <w:tr w:rsidR="00610C31" w:rsidRPr="006B5915" w:rsidTr="00FB2A31">
        <w:trPr>
          <w:trHeight w:val="382"/>
        </w:trPr>
        <w:tc>
          <w:tcPr>
            <w:tcW w:w="1286" w:type="pct"/>
          </w:tcPr>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Had not left child on a raised surface**</w:t>
            </w:r>
          </w:p>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Left child on a raised surface</w:t>
            </w:r>
            <w:r w:rsidRPr="006B5915">
              <w:rPr>
                <w:rFonts w:ascii="Verdana" w:hAnsi="Verdana" w:cs="Calibri"/>
                <w:sz w:val="18"/>
                <w:szCs w:val="18"/>
              </w:rPr>
              <w:t xml:space="preserve"> </w:t>
            </w:r>
          </w:p>
        </w:tc>
        <w:tc>
          <w:tcPr>
            <w:tcW w:w="569"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262 (42.3)</w:t>
            </w:r>
          </w:p>
          <w:p w:rsidR="00610C31" w:rsidRPr="006B5915" w:rsidRDefault="00610C31" w:rsidP="00FB2A31">
            <w:pPr>
              <w:spacing w:after="0" w:line="480" w:lineRule="auto"/>
              <w:jc w:val="center"/>
            </w:pPr>
            <w:r w:rsidRPr="006B5915">
              <w:rPr>
                <w:rFonts w:ascii="Verdana" w:hAnsi="Verdana" w:cs="Calibri"/>
                <w:sz w:val="18"/>
                <w:szCs w:val="18"/>
              </w:rPr>
              <w:t>357 (57.7)</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[13] {40}</w:t>
            </w:r>
          </w:p>
        </w:tc>
        <w:tc>
          <w:tcPr>
            <w:tcW w:w="611"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1273 (51.0)</w:t>
            </w:r>
          </w:p>
          <w:p w:rsidR="00610C31" w:rsidRPr="006B5915" w:rsidRDefault="00610C31" w:rsidP="00FB2A31">
            <w:pPr>
              <w:spacing w:after="0" w:line="480" w:lineRule="auto"/>
              <w:jc w:val="center"/>
            </w:pPr>
            <w:r w:rsidRPr="006B5915">
              <w:rPr>
                <w:rFonts w:ascii="Verdana" w:hAnsi="Verdana" w:cs="Calibri"/>
                <w:sz w:val="18"/>
                <w:szCs w:val="18"/>
              </w:rPr>
              <w:t>1221 (49.0)</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[33] {121}</w:t>
            </w:r>
          </w:p>
        </w:tc>
        <w:tc>
          <w:tcPr>
            <w:tcW w:w="845"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1.66 (1.34, 2.06)†</w:t>
            </w:r>
          </w:p>
          <w:p w:rsidR="00610C31" w:rsidRPr="006B5915" w:rsidRDefault="00610C31" w:rsidP="00FB2A31">
            <w:pPr>
              <w:spacing w:after="0" w:line="480" w:lineRule="auto"/>
              <w:jc w:val="center"/>
              <w:rPr>
                <w:rFonts w:ascii="Verdana" w:hAnsi="Verdana" w:cs="Calibri"/>
                <w:sz w:val="18"/>
                <w:szCs w:val="18"/>
              </w:rPr>
            </w:pP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6"/>
                <w:szCs w:val="16"/>
              </w:rPr>
            </w:pPr>
            <w:r w:rsidRPr="006B5915">
              <w:rPr>
                <w:rFonts w:ascii="Verdana" w:hAnsi="Verdana" w:cs="Calibri"/>
                <w:sz w:val="18"/>
                <w:szCs w:val="18"/>
              </w:rPr>
              <w:t>1.68 (1.37, 2.05)</w:t>
            </w: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CBQ, hours out-of-home care</w:t>
            </w:r>
          </w:p>
        </w:tc>
      </w:tr>
      <w:tr w:rsidR="00610C31" w:rsidRPr="006B5915" w:rsidTr="00FB2A31">
        <w:trPr>
          <w:trHeight w:val="360"/>
        </w:trPr>
        <w:tc>
          <w:tcPr>
            <w:tcW w:w="1286" w:type="pct"/>
          </w:tcPr>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Had not changed nappy on raised surface**</w:t>
            </w:r>
          </w:p>
          <w:p w:rsidR="00610C31" w:rsidRPr="006B5915" w:rsidRDefault="00610C31" w:rsidP="00FB2A31">
            <w:pPr>
              <w:spacing w:after="0" w:line="480" w:lineRule="auto"/>
              <w:rPr>
                <w:rFonts w:ascii="Verdana" w:hAnsi="Verdana" w:cs="Calibri"/>
                <w:sz w:val="18"/>
                <w:szCs w:val="18"/>
              </w:rPr>
            </w:pPr>
            <w:r w:rsidRPr="006B5915">
              <w:rPr>
                <w:rFonts w:ascii="Verdana" w:hAnsi="Verdana" w:cs="Calibri"/>
                <w:color w:val="000000"/>
                <w:sz w:val="18"/>
                <w:szCs w:val="18"/>
              </w:rPr>
              <w:lastRenderedPageBreak/>
              <w:t>Changed nappy on raised surface</w:t>
            </w:r>
          </w:p>
        </w:tc>
        <w:tc>
          <w:tcPr>
            <w:tcW w:w="569"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lastRenderedPageBreak/>
              <w:t>233 (44.0)</w:t>
            </w:r>
          </w:p>
          <w:p w:rsidR="00610C31" w:rsidRPr="006B5915" w:rsidRDefault="00610C31" w:rsidP="00FB2A31">
            <w:pPr>
              <w:spacing w:after="0" w:line="480" w:lineRule="auto"/>
              <w:jc w:val="center"/>
            </w:pPr>
            <w:r w:rsidRPr="006B5915">
              <w:rPr>
                <w:rFonts w:ascii="Verdana" w:hAnsi="Verdana" w:cs="Calibri"/>
                <w:sz w:val="18"/>
                <w:szCs w:val="18"/>
              </w:rPr>
              <w:t>297 (56.0)</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lastRenderedPageBreak/>
              <w:t>[10] {132}</w:t>
            </w:r>
          </w:p>
        </w:tc>
        <w:tc>
          <w:tcPr>
            <w:tcW w:w="611"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lastRenderedPageBreak/>
              <w:t>947 (46.1)</w:t>
            </w:r>
          </w:p>
          <w:p w:rsidR="00610C31" w:rsidRPr="006B5915" w:rsidRDefault="00610C31" w:rsidP="00FB2A31">
            <w:pPr>
              <w:spacing w:after="0" w:line="480" w:lineRule="auto"/>
              <w:jc w:val="center"/>
            </w:pPr>
            <w:r w:rsidRPr="006B5915">
              <w:rPr>
                <w:rFonts w:ascii="Verdana" w:hAnsi="Verdana" w:cs="Calibri"/>
                <w:sz w:val="18"/>
                <w:szCs w:val="18"/>
              </w:rPr>
              <w:t>1106 (53.9)</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lastRenderedPageBreak/>
              <w:t>[30] {565}</w:t>
            </w:r>
          </w:p>
        </w:tc>
        <w:tc>
          <w:tcPr>
            <w:tcW w:w="845"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lastRenderedPageBreak/>
              <w:t>1.00</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1.10 (0.87, 1.40)</w:t>
            </w:r>
            <w:r w:rsidRPr="006B5915">
              <w:rPr>
                <w:rFonts w:ascii="Verdana" w:hAnsi="Verdana"/>
                <w:sz w:val="18"/>
                <w:szCs w:val="18"/>
              </w:rPr>
              <w:t xml:space="preserve"> </w:t>
            </w:r>
            <w:r w:rsidRPr="006B5915">
              <w:rPr>
                <w:rFonts w:ascii="Verdana" w:hAnsi="Verdana" w:cs="Calibri"/>
                <w:sz w:val="18"/>
                <w:szCs w:val="18"/>
              </w:rPr>
              <w:t>†</w:t>
            </w:r>
          </w:p>
          <w:p w:rsidR="00610C31" w:rsidRPr="006B5915" w:rsidRDefault="00610C31" w:rsidP="00FB2A31">
            <w:pPr>
              <w:spacing w:after="0" w:line="480" w:lineRule="auto"/>
              <w:jc w:val="center"/>
              <w:rPr>
                <w:rFonts w:ascii="Verdana" w:hAnsi="Verdana" w:cs="Calibri"/>
                <w:sz w:val="18"/>
                <w:szCs w:val="18"/>
              </w:rPr>
            </w:pP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lastRenderedPageBreak/>
              <w:t>1.00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cs="Calibri"/>
                <w:sz w:val="18"/>
                <w:szCs w:val="18"/>
              </w:rPr>
              <w:t>1.13 (0.93, 1.38)</w:t>
            </w: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sz w:val="16"/>
                <w:szCs w:val="16"/>
              </w:rPr>
              <w:t>CBQ, hours out-of-home care</w:t>
            </w:r>
          </w:p>
        </w:tc>
      </w:tr>
      <w:tr w:rsidR="00610C31" w:rsidRPr="006B5915" w:rsidTr="00FB2A31">
        <w:trPr>
          <w:trHeight w:val="409"/>
        </w:trPr>
        <w:tc>
          <w:tcPr>
            <w:tcW w:w="1286" w:type="pct"/>
          </w:tcPr>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lastRenderedPageBreak/>
              <w:t>Had not put child in car or bouncing seat on raised surface **</w:t>
            </w:r>
          </w:p>
          <w:p w:rsidR="00610C31" w:rsidRPr="006B5915" w:rsidRDefault="00610C31" w:rsidP="00FB2A31">
            <w:pPr>
              <w:spacing w:after="0" w:line="480" w:lineRule="auto"/>
              <w:rPr>
                <w:rFonts w:ascii="Verdana" w:hAnsi="Verdana" w:cs="Calibri"/>
                <w:sz w:val="18"/>
                <w:szCs w:val="18"/>
              </w:rPr>
            </w:pPr>
            <w:r w:rsidRPr="006B5915">
              <w:rPr>
                <w:rFonts w:ascii="Verdana" w:hAnsi="Verdana" w:cs="Calibri"/>
                <w:color w:val="000000"/>
                <w:sz w:val="18"/>
                <w:szCs w:val="18"/>
              </w:rPr>
              <w:t xml:space="preserve">Put child in car or bouncing seat on raised surface </w:t>
            </w:r>
          </w:p>
        </w:tc>
        <w:tc>
          <w:tcPr>
            <w:tcW w:w="569"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460 (88.6)</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pPr>
            <w:r w:rsidRPr="006B5915">
              <w:rPr>
                <w:rFonts w:ascii="Verdana" w:hAnsi="Verdana" w:cs="Calibri"/>
                <w:sz w:val="18"/>
                <w:szCs w:val="18"/>
              </w:rPr>
              <w:t>59 (11.4)</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[11] {142}</w:t>
            </w:r>
          </w:p>
        </w:tc>
        <w:tc>
          <w:tcPr>
            <w:tcW w:w="611"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1816 (91.2)</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pPr>
            <w:r w:rsidRPr="006B5915">
              <w:rPr>
                <w:rFonts w:ascii="Verdana" w:hAnsi="Verdana" w:cs="Calibri"/>
                <w:sz w:val="18"/>
                <w:szCs w:val="18"/>
              </w:rPr>
              <w:t>176 (8.8)</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[30] {626}</w:t>
            </w:r>
          </w:p>
        </w:tc>
        <w:tc>
          <w:tcPr>
            <w:tcW w:w="845"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1.35 (0.91, 2.01)</w:t>
            </w:r>
            <w:r w:rsidRPr="006B5915">
              <w:rPr>
                <w:rFonts w:ascii="Verdana" w:hAnsi="Verdana"/>
                <w:sz w:val="18"/>
                <w:szCs w:val="18"/>
              </w:rPr>
              <w:t xml:space="preserve"> </w:t>
            </w:r>
            <w:r w:rsidRPr="006B5915">
              <w:rPr>
                <w:rFonts w:ascii="Verdana" w:hAnsi="Verdana" w:cs="Calibri"/>
                <w:sz w:val="18"/>
                <w:szCs w:val="18"/>
              </w:rPr>
              <w:t>†</w:t>
            </w:r>
          </w:p>
          <w:p w:rsidR="00610C31" w:rsidRPr="006B5915" w:rsidRDefault="00610C31" w:rsidP="00FB2A31">
            <w:pPr>
              <w:spacing w:after="0" w:line="480" w:lineRule="auto"/>
              <w:jc w:val="center"/>
              <w:rPr>
                <w:rFonts w:ascii="Verdana" w:hAnsi="Verdana" w:cs="Calibri"/>
                <w:sz w:val="18"/>
                <w:szCs w:val="18"/>
              </w:rPr>
            </w:pP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rPr>
                <w:rFonts w:ascii="Verdana" w:hAnsi="Verdana"/>
                <w:sz w:val="16"/>
                <w:szCs w:val="16"/>
              </w:rPr>
            </w:pPr>
            <w:r w:rsidRPr="006B5915">
              <w:rPr>
                <w:rFonts w:ascii="Verdana" w:hAnsi="Verdana" w:cs="Calibri"/>
                <w:sz w:val="18"/>
                <w:szCs w:val="18"/>
              </w:rPr>
              <w:t>1.24 (0.87, 1.77)</w:t>
            </w: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sz w:val="16"/>
                <w:szCs w:val="16"/>
              </w:rPr>
              <w:t>CBQ, hours out-of-home care</w:t>
            </w:r>
          </w:p>
        </w:tc>
      </w:tr>
      <w:tr w:rsidR="00610C31" w:rsidRPr="006B5915" w:rsidTr="00FB2A31">
        <w:trPr>
          <w:trHeight w:val="388"/>
        </w:trPr>
        <w:tc>
          <w:tcPr>
            <w:tcW w:w="1286" w:type="pct"/>
          </w:tcPr>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Child had not climbed or played on furniture**</w:t>
            </w:r>
          </w:p>
          <w:p w:rsidR="00610C31" w:rsidRPr="006B5915" w:rsidRDefault="00610C31" w:rsidP="00FB2A31">
            <w:pPr>
              <w:spacing w:after="0" w:line="480" w:lineRule="auto"/>
              <w:rPr>
                <w:rFonts w:ascii="Verdana" w:hAnsi="Verdana" w:cs="Calibri"/>
                <w:sz w:val="18"/>
                <w:szCs w:val="18"/>
              </w:rPr>
            </w:pPr>
            <w:r w:rsidRPr="006B5915">
              <w:rPr>
                <w:rFonts w:ascii="Verdana" w:hAnsi="Verdana" w:cs="Calibri"/>
                <w:color w:val="000000"/>
                <w:sz w:val="18"/>
                <w:szCs w:val="18"/>
              </w:rPr>
              <w:t xml:space="preserve">Child climbed or played on furniture </w:t>
            </w:r>
          </w:p>
        </w:tc>
        <w:tc>
          <w:tcPr>
            <w:tcW w:w="569"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132 (21.9)</w:t>
            </w:r>
          </w:p>
          <w:p w:rsidR="00610C31" w:rsidRPr="006B5915" w:rsidRDefault="00610C31" w:rsidP="00FB2A31">
            <w:pPr>
              <w:spacing w:after="0" w:line="480" w:lineRule="auto"/>
              <w:jc w:val="center"/>
            </w:pPr>
            <w:r w:rsidRPr="006B5915">
              <w:rPr>
                <w:rFonts w:ascii="Verdana" w:hAnsi="Verdana" w:cs="Calibri"/>
                <w:sz w:val="18"/>
                <w:szCs w:val="18"/>
              </w:rPr>
              <w:t>472 (78.2)</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[7] {61}</w:t>
            </w:r>
          </w:p>
        </w:tc>
        <w:tc>
          <w:tcPr>
            <w:tcW w:w="611"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543 (22.2)</w:t>
            </w:r>
          </w:p>
          <w:p w:rsidR="00610C31" w:rsidRPr="006B5915" w:rsidRDefault="00610C31" w:rsidP="00FB2A31">
            <w:pPr>
              <w:spacing w:after="0" w:line="480" w:lineRule="auto"/>
              <w:jc w:val="center"/>
            </w:pPr>
            <w:r w:rsidRPr="006B5915">
              <w:rPr>
                <w:rFonts w:ascii="Verdana" w:hAnsi="Verdana" w:cs="Calibri"/>
                <w:sz w:val="18"/>
                <w:szCs w:val="18"/>
              </w:rPr>
              <w:t>1909 (77.9)</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[27] {169}</w:t>
            </w:r>
          </w:p>
        </w:tc>
        <w:tc>
          <w:tcPr>
            <w:tcW w:w="845"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1.03 (0.73, 1.44)</w:t>
            </w:r>
            <w:r w:rsidRPr="006B5915">
              <w:rPr>
                <w:rFonts w:ascii="Verdana" w:hAnsi="Verdana"/>
                <w:sz w:val="18"/>
                <w:szCs w:val="18"/>
              </w:rPr>
              <w:t xml:space="preserve"> </w:t>
            </w:r>
            <w:r w:rsidRPr="006B5915">
              <w:rPr>
                <w:rFonts w:ascii="Verdana" w:hAnsi="Verdana" w:cs="Calibri"/>
                <w:sz w:val="18"/>
                <w:szCs w:val="18"/>
              </w:rPr>
              <w:t>†</w:t>
            </w:r>
          </w:p>
          <w:p w:rsidR="00610C31" w:rsidRPr="006B5915" w:rsidRDefault="00610C31" w:rsidP="00FB2A31">
            <w:pPr>
              <w:spacing w:after="0" w:line="480" w:lineRule="auto"/>
              <w:jc w:val="center"/>
              <w:rPr>
                <w:rFonts w:ascii="Verdana" w:hAnsi="Verdana" w:cs="Calibri"/>
                <w:sz w:val="18"/>
                <w:szCs w:val="18"/>
              </w:rPr>
            </w:pP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6"/>
                <w:szCs w:val="16"/>
              </w:rPr>
            </w:pPr>
            <w:r w:rsidRPr="006B5915">
              <w:rPr>
                <w:rFonts w:ascii="Verdana" w:hAnsi="Verdana" w:cs="Calibri"/>
                <w:sz w:val="18"/>
                <w:szCs w:val="18"/>
              </w:rPr>
              <w:t>1.04 (0.77, 1.42)</w:t>
            </w: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CBQ, hours out-of-home care, things child could climb on to reach high surfaces</w:t>
            </w:r>
          </w:p>
        </w:tc>
      </w:tr>
      <w:tr w:rsidR="00610C31" w:rsidRPr="006B5915" w:rsidTr="00FB2A31">
        <w:trPr>
          <w:trHeight w:val="366"/>
        </w:trPr>
        <w:tc>
          <w:tcPr>
            <w:tcW w:w="1286" w:type="pct"/>
          </w:tcPr>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Child had not climbed or played on garden furniture**</w:t>
            </w:r>
          </w:p>
          <w:p w:rsidR="00610C31" w:rsidRPr="006B5915" w:rsidRDefault="00610C31" w:rsidP="00FB2A31">
            <w:pPr>
              <w:spacing w:after="0" w:line="480" w:lineRule="auto"/>
              <w:rPr>
                <w:rFonts w:ascii="Verdana" w:hAnsi="Verdana" w:cs="Calibri"/>
                <w:sz w:val="18"/>
                <w:szCs w:val="18"/>
              </w:rPr>
            </w:pPr>
            <w:r w:rsidRPr="006B5915">
              <w:rPr>
                <w:rFonts w:ascii="Verdana" w:hAnsi="Verdana" w:cs="Calibri"/>
                <w:color w:val="000000"/>
                <w:sz w:val="18"/>
                <w:szCs w:val="18"/>
              </w:rPr>
              <w:t xml:space="preserve">Child climbed or played on garden furniture </w:t>
            </w:r>
          </w:p>
        </w:tc>
        <w:tc>
          <w:tcPr>
            <w:tcW w:w="569"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345 (65.6)</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pPr>
            <w:r w:rsidRPr="006B5915">
              <w:rPr>
                <w:rFonts w:ascii="Verdana" w:hAnsi="Verdana" w:cs="Calibri"/>
                <w:sz w:val="18"/>
                <w:szCs w:val="18"/>
              </w:rPr>
              <w:t>181 (34.4)</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[10] {136}</w:t>
            </w:r>
          </w:p>
        </w:tc>
        <w:tc>
          <w:tcPr>
            <w:tcW w:w="611"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1272 (60.9)</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pPr>
            <w:r w:rsidRPr="006B5915">
              <w:rPr>
                <w:rFonts w:ascii="Verdana" w:hAnsi="Verdana" w:cs="Calibri"/>
                <w:sz w:val="18"/>
                <w:szCs w:val="18"/>
              </w:rPr>
              <w:t>816 (39.1)</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[28] {532}</w:t>
            </w:r>
          </w:p>
        </w:tc>
        <w:tc>
          <w:tcPr>
            <w:tcW w:w="845"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0.74 (0.56, 0.97)</w:t>
            </w:r>
          </w:p>
          <w:p w:rsidR="00610C31" w:rsidRPr="006B5915" w:rsidRDefault="00610C31" w:rsidP="00FB2A31">
            <w:pPr>
              <w:spacing w:after="0" w:line="480" w:lineRule="auto"/>
              <w:jc w:val="center"/>
              <w:rPr>
                <w:rFonts w:ascii="Verdana" w:hAnsi="Verdana" w:cs="Calibri"/>
                <w:sz w:val="18"/>
                <w:szCs w:val="18"/>
              </w:rPr>
            </w:pP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rPr>
                <w:rFonts w:ascii="Verdana" w:hAnsi="Verdana" w:cs="Calibri"/>
                <w:sz w:val="16"/>
                <w:szCs w:val="16"/>
              </w:rPr>
            </w:pPr>
            <w:r w:rsidRPr="006B5915">
              <w:rPr>
                <w:rFonts w:ascii="Verdana" w:hAnsi="Verdana" w:cs="Calibri"/>
                <w:sz w:val="18"/>
                <w:szCs w:val="18"/>
              </w:rPr>
              <w:t>0.75 (0.59, 0.95).</w:t>
            </w: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CBQ, hours out-of-home care, things child could climb on to reach high surfaces</w:t>
            </w:r>
          </w:p>
        </w:tc>
      </w:tr>
      <w:tr w:rsidR="00610C31" w:rsidRPr="006B5915" w:rsidTr="00FB2A31">
        <w:trPr>
          <w:trHeight w:val="412"/>
        </w:trPr>
        <w:tc>
          <w:tcPr>
            <w:tcW w:w="1286" w:type="pct"/>
          </w:tcPr>
          <w:p w:rsidR="00610C31" w:rsidRPr="006B5915" w:rsidRDefault="00610C31" w:rsidP="00FB2A31">
            <w:pPr>
              <w:spacing w:after="0" w:line="480" w:lineRule="auto"/>
              <w:rPr>
                <w:rFonts w:ascii="Verdana" w:hAnsi="Verdana" w:cs="Calibri"/>
                <w:sz w:val="18"/>
                <w:szCs w:val="18"/>
              </w:rPr>
            </w:pPr>
            <w:r w:rsidRPr="006B5915">
              <w:rPr>
                <w:rFonts w:ascii="Verdana" w:hAnsi="Verdana" w:cs="Calibri"/>
                <w:sz w:val="18"/>
                <w:szCs w:val="18"/>
              </w:rPr>
              <w:t>Had taught child rules about climbing in kitchen</w:t>
            </w:r>
          </w:p>
          <w:p w:rsidR="00610C31" w:rsidRPr="006B5915" w:rsidRDefault="00610C31" w:rsidP="00FB2A31">
            <w:pPr>
              <w:spacing w:after="0" w:line="480" w:lineRule="auto"/>
              <w:rPr>
                <w:rFonts w:ascii="Verdana" w:hAnsi="Verdana" w:cs="Calibri"/>
                <w:sz w:val="18"/>
                <w:szCs w:val="18"/>
              </w:rPr>
            </w:pPr>
            <w:r w:rsidRPr="006B5915">
              <w:rPr>
                <w:rFonts w:ascii="Verdana" w:hAnsi="Verdana" w:cs="Calibri"/>
                <w:sz w:val="18"/>
                <w:szCs w:val="18"/>
              </w:rPr>
              <w:t>Not taught child rules about climbing in kitchen</w:t>
            </w:r>
          </w:p>
        </w:tc>
        <w:tc>
          <w:tcPr>
            <w:tcW w:w="569"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351 (55.5)</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pPr>
            <w:r w:rsidRPr="006B5915">
              <w:rPr>
                <w:rFonts w:ascii="Verdana" w:hAnsi="Verdana" w:cs="Calibri"/>
                <w:sz w:val="18"/>
                <w:szCs w:val="18"/>
              </w:rPr>
              <w:t>282 (44.5)</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[39]</w:t>
            </w:r>
          </w:p>
        </w:tc>
        <w:tc>
          <w:tcPr>
            <w:tcW w:w="611"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1540 (60.0)</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pPr>
            <w:r w:rsidRPr="006B5915">
              <w:rPr>
                <w:rFonts w:ascii="Verdana" w:hAnsi="Verdana" w:cs="Calibri"/>
                <w:sz w:val="18"/>
                <w:szCs w:val="18"/>
              </w:rPr>
              <w:t>1026 (40.0)</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[82]</w:t>
            </w:r>
          </w:p>
        </w:tc>
        <w:tc>
          <w:tcPr>
            <w:tcW w:w="845"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rPr>
                <w:rFonts w:ascii="Verdana" w:hAnsi="Verdana"/>
                <w:sz w:val="18"/>
                <w:szCs w:val="18"/>
              </w:rPr>
            </w:pPr>
            <w:r w:rsidRPr="006B5915">
              <w:rPr>
                <w:rFonts w:ascii="Verdana" w:hAnsi="Verdana" w:cs="Calibri"/>
                <w:sz w:val="18"/>
                <w:szCs w:val="18"/>
              </w:rPr>
              <w:t>1.58 (1.16, 2.15)</w:t>
            </w:r>
          </w:p>
          <w:p w:rsidR="00610C31" w:rsidRPr="006B5915" w:rsidRDefault="00610C31" w:rsidP="00FB2A31">
            <w:pPr>
              <w:spacing w:after="0" w:line="480" w:lineRule="auto"/>
              <w:jc w:val="center"/>
              <w:rPr>
                <w:rFonts w:ascii="Verdana" w:hAnsi="Verdana" w:cs="Calibri"/>
                <w:sz w:val="18"/>
                <w:szCs w:val="18"/>
              </w:rPr>
            </w:pP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rPr>
                <w:rFonts w:ascii="Verdana" w:hAnsi="Verdana" w:cs="Calibri"/>
                <w:sz w:val="16"/>
                <w:szCs w:val="16"/>
              </w:rPr>
            </w:pPr>
            <w:r w:rsidRPr="006B5915">
              <w:rPr>
                <w:rFonts w:ascii="Verdana" w:hAnsi="Verdana" w:cs="Calibri"/>
                <w:sz w:val="18"/>
                <w:szCs w:val="18"/>
              </w:rPr>
              <w:t>1.46 (1.11, 1.93)</w:t>
            </w: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 xml:space="preserve">HADS, PDH, first child, things child could climb on to reach high surfaces </w:t>
            </w:r>
          </w:p>
        </w:tc>
      </w:tr>
      <w:tr w:rsidR="00610C31" w:rsidRPr="006B5915" w:rsidTr="00FB2A31">
        <w:trPr>
          <w:trHeight w:val="394"/>
        </w:trPr>
        <w:tc>
          <w:tcPr>
            <w:tcW w:w="1286" w:type="pct"/>
          </w:tcPr>
          <w:p w:rsidR="00610C31" w:rsidRPr="006B5915" w:rsidRDefault="00610C31" w:rsidP="00FB2A31">
            <w:pPr>
              <w:spacing w:after="0" w:line="480" w:lineRule="auto"/>
              <w:rPr>
                <w:rFonts w:ascii="Verdana" w:hAnsi="Verdana" w:cs="Calibri"/>
                <w:sz w:val="18"/>
                <w:szCs w:val="18"/>
              </w:rPr>
            </w:pPr>
            <w:r w:rsidRPr="006B5915">
              <w:rPr>
                <w:rFonts w:ascii="Verdana" w:hAnsi="Verdana" w:cs="Calibri"/>
                <w:sz w:val="18"/>
                <w:szCs w:val="18"/>
              </w:rPr>
              <w:t>Had taught child rules about jumping on bed or furniture</w:t>
            </w:r>
          </w:p>
          <w:p w:rsidR="00610C31" w:rsidRPr="006B5915" w:rsidRDefault="00610C31" w:rsidP="00FB2A31">
            <w:pPr>
              <w:spacing w:after="0" w:line="480" w:lineRule="auto"/>
              <w:rPr>
                <w:rFonts w:ascii="Verdana" w:hAnsi="Verdana" w:cs="Calibri"/>
                <w:sz w:val="18"/>
                <w:szCs w:val="18"/>
              </w:rPr>
            </w:pPr>
            <w:r w:rsidRPr="006B5915">
              <w:rPr>
                <w:rFonts w:ascii="Verdana" w:hAnsi="Verdana" w:cs="Calibri"/>
                <w:sz w:val="18"/>
                <w:szCs w:val="18"/>
              </w:rPr>
              <w:t>Not taught child rules about jumping on bed or furniture</w:t>
            </w:r>
          </w:p>
        </w:tc>
        <w:tc>
          <w:tcPr>
            <w:tcW w:w="569"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353 (55.5)</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pPr>
            <w:r w:rsidRPr="006B5915">
              <w:rPr>
                <w:rFonts w:ascii="Verdana" w:hAnsi="Verdana" w:cs="Calibri"/>
                <w:sz w:val="18"/>
                <w:szCs w:val="18"/>
              </w:rPr>
              <w:t>283 (44.5)</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[36]</w:t>
            </w:r>
          </w:p>
        </w:tc>
        <w:tc>
          <w:tcPr>
            <w:tcW w:w="611"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1489 (58.0)</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pPr>
            <w:r w:rsidRPr="006B5915">
              <w:rPr>
                <w:rFonts w:ascii="Verdana" w:hAnsi="Verdana" w:cs="Calibri"/>
                <w:sz w:val="18"/>
                <w:szCs w:val="18"/>
              </w:rPr>
              <w:t>1079 (42.0)</w:t>
            </w:r>
            <w:r w:rsidRPr="006B5915">
              <w:t xml:space="preserve"> </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[80]</w:t>
            </w:r>
          </w:p>
        </w:tc>
        <w:tc>
          <w:tcPr>
            <w:tcW w:w="845"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1.21 (0.87, 1.68)</w:t>
            </w:r>
          </w:p>
          <w:p w:rsidR="00610C31" w:rsidRPr="006B5915" w:rsidRDefault="00610C31" w:rsidP="00FB2A31">
            <w:pPr>
              <w:spacing w:after="0" w:line="480" w:lineRule="auto"/>
              <w:jc w:val="center"/>
              <w:rPr>
                <w:rFonts w:ascii="Verdana" w:hAnsi="Verdana" w:cs="Calibri"/>
                <w:sz w:val="18"/>
                <w:szCs w:val="18"/>
              </w:rPr>
            </w:pP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1.00</w:t>
            </w:r>
          </w:p>
          <w:p w:rsidR="00610C31" w:rsidRPr="006B5915" w:rsidRDefault="00610C31" w:rsidP="00FB2A31">
            <w:pPr>
              <w:spacing w:after="0" w:line="480" w:lineRule="auto"/>
              <w:jc w:val="center"/>
              <w:rPr>
                <w:rFonts w:ascii="Verdana" w:hAnsi="Verdana" w:cs="Calibri"/>
                <w:sz w:val="18"/>
                <w:szCs w:val="18"/>
              </w:rPr>
            </w:pPr>
          </w:p>
          <w:p w:rsidR="00610C31" w:rsidRPr="006B5915" w:rsidRDefault="00610C31" w:rsidP="00FB2A31">
            <w:pPr>
              <w:spacing w:after="0" w:line="480" w:lineRule="auto"/>
              <w:jc w:val="center"/>
              <w:rPr>
                <w:rFonts w:ascii="Verdana" w:hAnsi="Verdana" w:cs="Calibri"/>
                <w:sz w:val="16"/>
                <w:szCs w:val="16"/>
              </w:rPr>
            </w:pPr>
            <w:r w:rsidRPr="006B5915">
              <w:rPr>
                <w:rFonts w:ascii="Verdana" w:hAnsi="Verdana" w:cs="Calibri"/>
                <w:sz w:val="18"/>
                <w:szCs w:val="18"/>
              </w:rPr>
              <w:t>1.22 (0.91, 1.63)</w:t>
            </w: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6"/>
                <w:szCs w:val="16"/>
              </w:rPr>
              <w:t>HADS, PDH, first child, things child could climb on to reach high surfaces</w:t>
            </w:r>
          </w:p>
        </w:tc>
      </w:tr>
      <w:tr w:rsidR="00610C31" w:rsidRPr="006B5915" w:rsidTr="00FB2A31">
        <w:trPr>
          <w:trHeight w:val="366"/>
        </w:trPr>
        <w:tc>
          <w:tcPr>
            <w:tcW w:w="1286" w:type="pct"/>
          </w:tcPr>
          <w:p w:rsidR="00610C31" w:rsidRPr="006B5915" w:rsidRDefault="00610C31" w:rsidP="00FB2A31">
            <w:pPr>
              <w:spacing w:after="0" w:line="480" w:lineRule="auto"/>
              <w:rPr>
                <w:rFonts w:ascii="Verdana" w:hAnsi="Verdana"/>
                <w:sz w:val="18"/>
                <w:szCs w:val="18"/>
              </w:rPr>
            </w:pPr>
            <w:r w:rsidRPr="006B5915">
              <w:rPr>
                <w:rFonts w:ascii="Verdana" w:hAnsi="Verdana"/>
                <w:sz w:val="18"/>
                <w:szCs w:val="18"/>
              </w:rPr>
              <w:t>Safety practices measured only in children aged 0-36 months</w:t>
            </w:r>
          </w:p>
        </w:tc>
        <w:tc>
          <w:tcPr>
            <w:tcW w:w="569"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Cases</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n=519</w:t>
            </w:r>
          </w:p>
        </w:tc>
        <w:tc>
          <w:tcPr>
            <w:tcW w:w="611"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Controls</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n=2011</w:t>
            </w:r>
          </w:p>
        </w:tc>
        <w:tc>
          <w:tcPr>
            <w:tcW w:w="845"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Adjusted OR</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(95% CI)</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lastRenderedPageBreak/>
              <w:t>Complete case analysis</w:t>
            </w:r>
          </w:p>
        </w:tc>
        <w:tc>
          <w:tcPr>
            <w:tcW w:w="844" w:type="pct"/>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lastRenderedPageBreak/>
              <w:t>Adjusted OR</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(95% CI)</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lastRenderedPageBreak/>
              <w:t>Multiple imputation  analysis</w:t>
            </w:r>
          </w:p>
        </w:tc>
        <w:tc>
          <w:tcPr>
            <w:tcW w:w="844" w:type="pct"/>
          </w:tcPr>
          <w:p w:rsidR="00610C31" w:rsidRPr="006B5915" w:rsidRDefault="00610C31" w:rsidP="00FB2A31">
            <w:pPr>
              <w:spacing w:after="0" w:line="480" w:lineRule="auto"/>
              <w:jc w:val="center"/>
              <w:rPr>
                <w:rFonts w:ascii="Verdana" w:hAnsi="Verdana" w:cs="Calibri"/>
                <w:sz w:val="18"/>
                <w:szCs w:val="18"/>
              </w:rPr>
            </w:pPr>
          </w:p>
        </w:tc>
      </w:tr>
      <w:tr w:rsidR="00610C31" w:rsidRPr="006B5915" w:rsidTr="00FB2A31">
        <w:trPr>
          <w:trHeight w:val="203"/>
        </w:trPr>
        <w:tc>
          <w:tcPr>
            <w:tcW w:w="1286" w:type="pct"/>
          </w:tcPr>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lastRenderedPageBreak/>
              <w:t>Used baby walker*</w:t>
            </w:r>
          </w:p>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Did not use baby walker</w:t>
            </w:r>
          </w:p>
        </w:tc>
        <w:tc>
          <w:tcPr>
            <w:tcW w:w="569"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134 (26.5)</w:t>
            </w:r>
          </w:p>
          <w:p w:rsidR="00610C31" w:rsidRPr="006B5915" w:rsidRDefault="00610C31" w:rsidP="00FB2A31">
            <w:pPr>
              <w:spacing w:after="0" w:line="480" w:lineRule="auto"/>
              <w:jc w:val="center"/>
            </w:pPr>
            <w:r w:rsidRPr="006B5915">
              <w:rPr>
                <w:rFonts w:ascii="Verdana" w:hAnsi="Verdana"/>
                <w:sz w:val="18"/>
                <w:szCs w:val="18"/>
              </w:rPr>
              <w:t>372 (73.5)</w:t>
            </w:r>
            <w:r w:rsidRPr="006B5915">
              <w:t xml:space="preserve"> </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6"/>
                <w:szCs w:val="16"/>
              </w:rPr>
              <w:t>[13]</w:t>
            </w:r>
          </w:p>
        </w:tc>
        <w:tc>
          <w:tcPr>
            <w:tcW w:w="611"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616 (31.2)</w:t>
            </w:r>
          </w:p>
          <w:p w:rsidR="00610C31" w:rsidRPr="006B5915" w:rsidRDefault="00610C31" w:rsidP="00FB2A31">
            <w:pPr>
              <w:spacing w:after="0" w:line="480" w:lineRule="auto"/>
              <w:jc w:val="center"/>
            </w:pPr>
            <w:r w:rsidRPr="006B5915">
              <w:rPr>
                <w:rFonts w:ascii="Verdana" w:hAnsi="Verdana"/>
                <w:sz w:val="18"/>
                <w:szCs w:val="18"/>
              </w:rPr>
              <w:t>1359 (68.8)</w:t>
            </w:r>
            <w:r w:rsidRPr="006B5915">
              <w:t xml:space="preserve"> </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6"/>
                <w:szCs w:val="16"/>
              </w:rPr>
              <w:t>[36]</w:t>
            </w:r>
          </w:p>
        </w:tc>
        <w:tc>
          <w:tcPr>
            <w:tcW w:w="845"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1.00</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1.22 (0.90, 1.65)</w:t>
            </w:r>
          </w:p>
        </w:tc>
        <w:tc>
          <w:tcPr>
            <w:tcW w:w="844"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8"/>
                <w:szCs w:val="18"/>
              </w:rPr>
              <w:t>1.36 (1.06, 1.74)</w:t>
            </w:r>
          </w:p>
        </w:tc>
        <w:tc>
          <w:tcPr>
            <w:tcW w:w="844"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6"/>
                <w:szCs w:val="16"/>
              </w:rPr>
              <w:t>HADS, PDH, hours out-of-home care, ability to climb, first child, safety gate, playpen/travel cot, activity centre</w:t>
            </w:r>
          </w:p>
        </w:tc>
      </w:tr>
      <w:tr w:rsidR="00610C31" w:rsidRPr="006B5915" w:rsidTr="00FB2A31">
        <w:trPr>
          <w:trHeight w:val="262"/>
        </w:trPr>
        <w:tc>
          <w:tcPr>
            <w:tcW w:w="1286" w:type="pct"/>
          </w:tcPr>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Used playpen or travel cot*</w:t>
            </w:r>
          </w:p>
          <w:p w:rsidR="00610C31" w:rsidRPr="006B5915" w:rsidRDefault="00610C31" w:rsidP="00FB2A31">
            <w:pPr>
              <w:spacing w:after="0" w:line="480" w:lineRule="auto"/>
              <w:rPr>
                <w:rFonts w:ascii="Verdana" w:hAnsi="Verdana"/>
                <w:color w:val="000000"/>
                <w:sz w:val="18"/>
                <w:szCs w:val="18"/>
              </w:rPr>
            </w:pPr>
            <w:r w:rsidRPr="006B5915">
              <w:rPr>
                <w:rFonts w:ascii="Verdana" w:hAnsi="Verdana" w:cs="Calibri"/>
                <w:color w:val="000000"/>
                <w:sz w:val="18"/>
                <w:szCs w:val="18"/>
              </w:rPr>
              <w:t>Did not use playpen or travel cot</w:t>
            </w:r>
          </w:p>
        </w:tc>
        <w:tc>
          <w:tcPr>
            <w:tcW w:w="569"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91 (18.1)</w:t>
            </w:r>
          </w:p>
          <w:p w:rsidR="00610C31" w:rsidRPr="006B5915" w:rsidRDefault="00610C31" w:rsidP="00FB2A31">
            <w:pPr>
              <w:spacing w:after="0" w:line="480" w:lineRule="auto"/>
              <w:jc w:val="center"/>
            </w:pPr>
            <w:r w:rsidRPr="006B5915">
              <w:rPr>
                <w:rFonts w:ascii="Verdana" w:hAnsi="Verdana"/>
                <w:sz w:val="18"/>
                <w:szCs w:val="18"/>
              </w:rPr>
              <w:t>411 (81.9)</w:t>
            </w:r>
            <w:r w:rsidRPr="006B5915">
              <w:t xml:space="preserve"> </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6"/>
                <w:szCs w:val="16"/>
              </w:rPr>
              <w:t>[17]</w:t>
            </w:r>
          </w:p>
        </w:tc>
        <w:tc>
          <w:tcPr>
            <w:tcW w:w="611"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342 (17.4)</w:t>
            </w:r>
          </w:p>
          <w:p w:rsidR="00610C31" w:rsidRPr="006B5915" w:rsidRDefault="00610C31" w:rsidP="00FB2A31">
            <w:pPr>
              <w:spacing w:after="0" w:line="480" w:lineRule="auto"/>
              <w:jc w:val="center"/>
            </w:pPr>
            <w:r w:rsidRPr="006B5915">
              <w:rPr>
                <w:rFonts w:ascii="Verdana" w:hAnsi="Verdana"/>
                <w:sz w:val="18"/>
                <w:szCs w:val="18"/>
              </w:rPr>
              <w:t>1628 (82.6)</w:t>
            </w:r>
            <w:r w:rsidRPr="006B5915">
              <w:t xml:space="preserve"> </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6"/>
                <w:szCs w:val="16"/>
              </w:rPr>
              <w:t>[41]</w:t>
            </w:r>
          </w:p>
        </w:tc>
        <w:tc>
          <w:tcPr>
            <w:tcW w:w="845"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1.00</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1.01 (0.71, 1.46)</w:t>
            </w:r>
          </w:p>
          <w:p w:rsidR="00610C31" w:rsidRPr="006B5915" w:rsidRDefault="00610C31" w:rsidP="00FB2A31">
            <w:pPr>
              <w:spacing w:after="0" w:line="480" w:lineRule="auto"/>
              <w:jc w:val="center"/>
              <w:rPr>
                <w:rFonts w:ascii="Verdana" w:hAnsi="Verdana"/>
                <w:sz w:val="18"/>
                <w:szCs w:val="18"/>
              </w:rPr>
            </w:pPr>
          </w:p>
        </w:tc>
        <w:tc>
          <w:tcPr>
            <w:tcW w:w="844"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8"/>
                <w:szCs w:val="18"/>
              </w:rPr>
              <w:t>0.94 (0.70, 1.23)</w:t>
            </w:r>
          </w:p>
        </w:tc>
        <w:tc>
          <w:tcPr>
            <w:tcW w:w="844"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6"/>
                <w:szCs w:val="16"/>
              </w:rPr>
              <w:t>HADS, PDH, hours out-of-home care, ability to climb, first child, baby walker, safety gate, activity centre</w:t>
            </w:r>
          </w:p>
        </w:tc>
      </w:tr>
      <w:tr w:rsidR="00610C31" w:rsidRPr="006B5915" w:rsidTr="00FB2A31">
        <w:trPr>
          <w:trHeight w:val="253"/>
        </w:trPr>
        <w:tc>
          <w:tcPr>
            <w:tcW w:w="1286" w:type="pct"/>
          </w:tcPr>
          <w:p w:rsidR="00610C31" w:rsidRPr="006B5915" w:rsidRDefault="00610C31" w:rsidP="00FB2A31">
            <w:pPr>
              <w:spacing w:after="0" w:line="480" w:lineRule="auto"/>
              <w:rPr>
                <w:rFonts w:ascii="Verdana" w:hAnsi="Verdana" w:cs="Calibri"/>
                <w:color w:val="000000"/>
                <w:sz w:val="18"/>
                <w:szCs w:val="18"/>
              </w:rPr>
            </w:pPr>
            <w:r w:rsidRPr="006B5915">
              <w:rPr>
                <w:rFonts w:ascii="Verdana" w:hAnsi="Verdana" w:cs="Calibri"/>
                <w:color w:val="000000"/>
                <w:sz w:val="18"/>
                <w:szCs w:val="18"/>
              </w:rPr>
              <w:t>Used stationary activity centre*</w:t>
            </w:r>
          </w:p>
          <w:p w:rsidR="00610C31" w:rsidRPr="006B5915" w:rsidRDefault="00610C31" w:rsidP="00FB2A31">
            <w:pPr>
              <w:spacing w:after="0" w:line="480" w:lineRule="auto"/>
              <w:rPr>
                <w:rFonts w:ascii="Verdana" w:hAnsi="Verdana"/>
                <w:color w:val="000000"/>
                <w:sz w:val="18"/>
                <w:szCs w:val="18"/>
              </w:rPr>
            </w:pPr>
            <w:r w:rsidRPr="006B5915">
              <w:rPr>
                <w:rFonts w:ascii="Verdana" w:hAnsi="Verdana" w:cs="Calibri"/>
                <w:color w:val="000000"/>
                <w:sz w:val="18"/>
                <w:szCs w:val="18"/>
              </w:rPr>
              <w:t>Did not use stationary activity centre</w:t>
            </w:r>
          </w:p>
        </w:tc>
        <w:tc>
          <w:tcPr>
            <w:tcW w:w="569"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128 (25.5)</w:t>
            </w:r>
          </w:p>
          <w:p w:rsidR="00610C31" w:rsidRPr="006B5915" w:rsidRDefault="00610C31" w:rsidP="00FB2A31">
            <w:pPr>
              <w:spacing w:after="0" w:line="480" w:lineRule="auto"/>
              <w:jc w:val="center"/>
            </w:pPr>
            <w:r w:rsidRPr="006B5915">
              <w:rPr>
                <w:rFonts w:ascii="Verdana" w:hAnsi="Verdana"/>
                <w:sz w:val="18"/>
                <w:szCs w:val="18"/>
              </w:rPr>
              <w:t>375 (74.6)</w:t>
            </w:r>
            <w:r w:rsidRPr="006B5915">
              <w:t xml:space="preserve"> </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6"/>
                <w:szCs w:val="16"/>
              </w:rPr>
              <w:t>[16]</w:t>
            </w:r>
          </w:p>
        </w:tc>
        <w:tc>
          <w:tcPr>
            <w:tcW w:w="611"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503 (25.5)</w:t>
            </w:r>
          </w:p>
          <w:p w:rsidR="00610C31" w:rsidRPr="006B5915" w:rsidRDefault="00610C31" w:rsidP="00FB2A31">
            <w:pPr>
              <w:spacing w:after="0" w:line="480" w:lineRule="auto"/>
              <w:jc w:val="center"/>
            </w:pPr>
            <w:r w:rsidRPr="006B5915">
              <w:rPr>
                <w:rFonts w:ascii="Verdana" w:hAnsi="Verdana"/>
                <w:sz w:val="18"/>
                <w:szCs w:val="18"/>
              </w:rPr>
              <w:t>1469 (74.5)</w:t>
            </w:r>
            <w:r w:rsidRPr="006B5915">
              <w:t xml:space="preserve"> </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6"/>
                <w:szCs w:val="16"/>
              </w:rPr>
              <w:t>[39]</w:t>
            </w:r>
          </w:p>
        </w:tc>
        <w:tc>
          <w:tcPr>
            <w:tcW w:w="845"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1.00</w:t>
            </w:r>
          </w:p>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0.94 (0.69, 1.27)</w:t>
            </w:r>
          </w:p>
          <w:p w:rsidR="00610C31" w:rsidRPr="006B5915" w:rsidRDefault="00610C31" w:rsidP="00FB2A31">
            <w:pPr>
              <w:spacing w:after="0" w:line="480" w:lineRule="auto"/>
              <w:jc w:val="center"/>
              <w:rPr>
                <w:rFonts w:ascii="Verdana" w:hAnsi="Verdana"/>
                <w:sz w:val="18"/>
                <w:szCs w:val="18"/>
              </w:rPr>
            </w:pPr>
          </w:p>
        </w:tc>
        <w:tc>
          <w:tcPr>
            <w:tcW w:w="844"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8"/>
                <w:szCs w:val="18"/>
              </w:rPr>
              <w:t>1.00</w:t>
            </w:r>
          </w:p>
          <w:p w:rsidR="00610C31" w:rsidRPr="006B5915" w:rsidRDefault="00610C31" w:rsidP="00FB2A31">
            <w:pPr>
              <w:spacing w:after="0" w:line="480" w:lineRule="auto"/>
              <w:jc w:val="center"/>
              <w:rPr>
                <w:rFonts w:ascii="Verdana" w:hAnsi="Verdana"/>
                <w:sz w:val="16"/>
                <w:szCs w:val="16"/>
              </w:rPr>
            </w:pPr>
            <w:r w:rsidRPr="006B5915">
              <w:rPr>
                <w:rFonts w:ascii="Verdana" w:hAnsi="Verdana"/>
                <w:sz w:val="18"/>
                <w:szCs w:val="18"/>
              </w:rPr>
              <w:t>0.92 (0.71, 1.19)</w:t>
            </w:r>
          </w:p>
        </w:tc>
        <w:tc>
          <w:tcPr>
            <w:tcW w:w="844" w:type="pct"/>
          </w:tcPr>
          <w:p w:rsidR="00610C31" w:rsidRPr="006B5915" w:rsidRDefault="00610C31" w:rsidP="00FB2A31">
            <w:pPr>
              <w:spacing w:after="0" w:line="480" w:lineRule="auto"/>
              <w:jc w:val="center"/>
              <w:rPr>
                <w:rFonts w:ascii="Verdana" w:hAnsi="Verdana"/>
                <w:sz w:val="18"/>
                <w:szCs w:val="18"/>
              </w:rPr>
            </w:pPr>
            <w:r w:rsidRPr="006B5915">
              <w:rPr>
                <w:rFonts w:ascii="Verdana" w:hAnsi="Verdana"/>
                <w:sz w:val="16"/>
                <w:szCs w:val="16"/>
              </w:rPr>
              <w:t>HADS, PDH, hours out-of-home care, ability to climb, first child, baby walker, playpen/travel cot, safety gate</w:t>
            </w:r>
          </w:p>
        </w:tc>
      </w:tr>
    </w:tbl>
    <w:p w:rsidR="00610C31" w:rsidRPr="006B5915" w:rsidRDefault="00610C31" w:rsidP="00610C31">
      <w:pPr>
        <w:rPr>
          <w:rFonts w:ascii="Verdana" w:hAnsi="Verdana" w:cs="Calibri"/>
          <w:bCs/>
          <w:color w:val="333333"/>
          <w:sz w:val="16"/>
          <w:szCs w:val="16"/>
          <w:lang w:eastAsia="en-GB"/>
        </w:rPr>
      </w:pPr>
      <w:r w:rsidRPr="006B5915">
        <w:rPr>
          <w:rFonts w:ascii="Verdana" w:hAnsi="Verdana" w:cs="Calibri"/>
          <w:bCs/>
          <w:color w:val="333333"/>
          <w:sz w:val="16"/>
          <w:szCs w:val="16"/>
          <w:lang w:eastAsia="en-GB"/>
        </w:rPr>
        <w:t xml:space="preserve">Percentages may not add up to 100% due to rounding. * </w:t>
      </w:r>
      <w:proofErr w:type="gramStart"/>
      <w:r w:rsidRPr="006B5915">
        <w:rPr>
          <w:rFonts w:ascii="Verdana" w:hAnsi="Verdana" w:cs="Calibri"/>
          <w:bCs/>
          <w:color w:val="333333"/>
          <w:sz w:val="16"/>
          <w:szCs w:val="16"/>
          <w:lang w:eastAsia="en-GB"/>
        </w:rPr>
        <w:t>in</w:t>
      </w:r>
      <w:proofErr w:type="gramEnd"/>
      <w:r w:rsidRPr="006B5915">
        <w:rPr>
          <w:rFonts w:ascii="Verdana" w:hAnsi="Verdana" w:cs="Calibri"/>
          <w:bCs/>
          <w:color w:val="333333"/>
          <w:sz w:val="16"/>
          <w:szCs w:val="16"/>
          <w:lang w:eastAsia="en-GB"/>
        </w:rPr>
        <w:t xml:space="preserve"> the last 24 hours ** at least some days in the last week. †Complete case analysis includes single imputed values for PedsQL, Hospital anxiety and depression scale, Parenting daily hassles scale as described in methods All adjusted models adjusted for index of Multiple Deprivation and distance from hospital in addition to listed confounders. CBQ = Child behaviour questionnaire, PDH = Parenting daily hassles scale. HADS= Hospital anxiety and depression scale.</w:t>
      </w:r>
    </w:p>
    <w:p w:rsidR="00610C31" w:rsidRPr="006B5915" w:rsidRDefault="00610C31">
      <w:pPr>
        <w:rPr>
          <w:rFonts w:ascii="Verdana" w:hAnsi="Verdana" w:cs="Calibri"/>
          <w:bCs/>
          <w:color w:val="333333"/>
          <w:sz w:val="16"/>
          <w:szCs w:val="16"/>
          <w:lang w:eastAsia="en-GB"/>
        </w:rPr>
      </w:pPr>
      <w:r w:rsidRPr="006B5915">
        <w:rPr>
          <w:rFonts w:ascii="Verdana" w:hAnsi="Verdana" w:cs="Calibri"/>
          <w:bCs/>
          <w:color w:val="333333"/>
          <w:sz w:val="16"/>
          <w:szCs w:val="16"/>
          <w:lang w:eastAsia="en-GB"/>
        </w:rPr>
        <w:br w:type="page"/>
      </w:r>
    </w:p>
    <w:p w:rsidR="00610C31" w:rsidRPr="006B5915" w:rsidRDefault="00610C31" w:rsidP="00610C31">
      <w:pPr>
        <w:rPr>
          <w:rFonts w:ascii="Verdana" w:hAnsi="Verdana" w:cs="Calibri"/>
          <w:bCs/>
          <w:color w:val="333333"/>
          <w:sz w:val="18"/>
          <w:szCs w:val="18"/>
          <w:lang w:eastAsia="en-GB"/>
        </w:rPr>
      </w:pPr>
      <w:r w:rsidRPr="006B5915">
        <w:rPr>
          <w:rFonts w:ascii="Verdana" w:hAnsi="Verdana" w:cs="Calibri"/>
          <w:bCs/>
          <w:color w:val="333333"/>
          <w:sz w:val="16"/>
          <w:szCs w:val="16"/>
          <w:lang w:eastAsia="en-GB"/>
        </w:rPr>
        <w:lastRenderedPageBreak/>
        <w:t xml:space="preserve"> </w:t>
      </w:r>
      <w:proofErr w:type="gramStart"/>
      <w:r w:rsidRPr="006B5915">
        <w:rPr>
          <w:rFonts w:ascii="Verdana" w:hAnsi="Verdana" w:cs="Calibri"/>
          <w:bCs/>
          <w:color w:val="333333"/>
          <w:sz w:val="18"/>
          <w:szCs w:val="18"/>
          <w:lang w:eastAsia="en-GB"/>
        </w:rPr>
        <w:t>Table 4.</w:t>
      </w:r>
      <w:proofErr w:type="gramEnd"/>
      <w:r w:rsidRPr="006B5915">
        <w:rPr>
          <w:rFonts w:ascii="Verdana" w:hAnsi="Verdana" w:cs="Calibri"/>
          <w:bCs/>
          <w:color w:val="333333"/>
          <w:sz w:val="18"/>
          <w:szCs w:val="18"/>
          <w:lang w:eastAsia="en-GB"/>
        </w:rPr>
        <w:t xml:space="preserve"> Comparison between complete case analysis and analysis using multiple </w:t>
      </w:r>
      <w:proofErr w:type="gramStart"/>
      <w:r w:rsidRPr="006B5915">
        <w:rPr>
          <w:rFonts w:ascii="Verdana" w:hAnsi="Verdana" w:cs="Calibri"/>
          <w:bCs/>
          <w:color w:val="333333"/>
          <w:sz w:val="18"/>
          <w:szCs w:val="18"/>
          <w:lang w:eastAsia="en-GB"/>
        </w:rPr>
        <w:t>imputation</w:t>
      </w:r>
      <w:proofErr w:type="gramEnd"/>
      <w:r w:rsidRPr="006B5915">
        <w:rPr>
          <w:rFonts w:ascii="Verdana" w:hAnsi="Verdana" w:cs="Calibri"/>
          <w:bCs/>
          <w:color w:val="333333"/>
          <w:sz w:val="18"/>
          <w:szCs w:val="18"/>
          <w:lang w:eastAsia="en-GB"/>
        </w:rPr>
        <w:t xml:space="preserve"> where significant interactions were found in the complete case analysis </w:t>
      </w:r>
    </w:p>
    <w:p w:rsidR="00610C31" w:rsidRPr="006B5915" w:rsidRDefault="00610C31" w:rsidP="00610C31">
      <w:pPr>
        <w:spacing w:after="0" w:line="240" w:lineRule="auto"/>
        <w:outlineLvl w:val="4"/>
        <w:rPr>
          <w:rFonts w:ascii="Verdana" w:hAnsi="Verdana" w:cs="Calibri"/>
          <w:bCs/>
          <w:color w:val="333333"/>
          <w:sz w:val="20"/>
          <w:szCs w:val="20"/>
          <w:lang w:eastAsia="en-G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1843"/>
        <w:gridCol w:w="1843"/>
        <w:gridCol w:w="1842"/>
        <w:gridCol w:w="2127"/>
        <w:gridCol w:w="1984"/>
        <w:gridCol w:w="1276"/>
      </w:tblGrid>
      <w:tr w:rsidR="00610C31" w:rsidRPr="006B5915" w:rsidTr="00FB2A31">
        <w:tc>
          <w:tcPr>
            <w:tcW w:w="1809" w:type="dxa"/>
            <w:vMerge w:val="restart"/>
          </w:tcPr>
          <w:p w:rsidR="00610C31" w:rsidRPr="006B5915" w:rsidRDefault="00610C31" w:rsidP="00FB2A31">
            <w:pPr>
              <w:spacing w:after="0" w:line="480" w:lineRule="auto"/>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 xml:space="preserve">Exposures </w:t>
            </w:r>
          </w:p>
        </w:tc>
        <w:tc>
          <w:tcPr>
            <w:tcW w:w="3686" w:type="dxa"/>
            <w:gridSpan w:val="2"/>
          </w:tcPr>
          <w:p w:rsidR="00610C31" w:rsidRPr="006B5915" w:rsidDel="00225F4D" w:rsidRDefault="00610C31" w:rsidP="00FB2A31">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0-12 months</w:t>
            </w:r>
          </w:p>
        </w:tc>
        <w:tc>
          <w:tcPr>
            <w:tcW w:w="3685" w:type="dxa"/>
            <w:gridSpan w:val="2"/>
          </w:tcPr>
          <w:p w:rsidR="00610C31" w:rsidRPr="006B5915" w:rsidRDefault="00610C31" w:rsidP="00FB2A31">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13-36 months</w:t>
            </w:r>
          </w:p>
        </w:tc>
        <w:tc>
          <w:tcPr>
            <w:tcW w:w="4111" w:type="dxa"/>
            <w:gridSpan w:val="2"/>
          </w:tcPr>
          <w:p w:rsidR="00610C31" w:rsidRPr="006B5915" w:rsidRDefault="00610C31" w:rsidP="00FB2A31">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≥37 months</w:t>
            </w:r>
          </w:p>
        </w:tc>
        <w:tc>
          <w:tcPr>
            <w:tcW w:w="1276" w:type="dxa"/>
            <w:vMerge w:val="restart"/>
          </w:tcPr>
          <w:p w:rsidR="00610C31" w:rsidRPr="006B5915" w:rsidRDefault="00610C31" w:rsidP="00FB2A31">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 xml:space="preserve">Test for interaction </w:t>
            </w:r>
          </w:p>
        </w:tc>
      </w:tr>
      <w:tr w:rsidR="00610C31" w:rsidRPr="006B5915" w:rsidTr="00FB2A31">
        <w:tc>
          <w:tcPr>
            <w:tcW w:w="1809" w:type="dxa"/>
            <w:vMerge/>
          </w:tcPr>
          <w:p w:rsidR="00610C31" w:rsidRPr="006B5915" w:rsidRDefault="00610C31" w:rsidP="00FB2A31">
            <w:pPr>
              <w:spacing w:after="0" w:line="480" w:lineRule="auto"/>
              <w:outlineLvl w:val="4"/>
              <w:rPr>
                <w:rFonts w:ascii="Verdana" w:hAnsi="Verdana" w:cs="Calibri"/>
                <w:bCs/>
                <w:color w:val="333333"/>
                <w:sz w:val="18"/>
                <w:szCs w:val="18"/>
                <w:lang w:eastAsia="en-GB"/>
              </w:rPr>
            </w:pPr>
          </w:p>
        </w:tc>
        <w:tc>
          <w:tcPr>
            <w:tcW w:w="1843" w:type="dxa"/>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Complete case analysis</w:t>
            </w:r>
            <w:r w:rsidRPr="006B5915">
              <w:rPr>
                <w:rFonts w:ascii="Verdana" w:hAnsi="Verdana" w:cs="Calibri"/>
                <w:bCs/>
                <w:color w:val="333333"/>
                <w:sz w:val="18"/>
                <w:szCs w:val="18"/>
                <w:lang w:eastAsia="en-GB"/>
              </w:rPr>
              <w:t>†</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Adjusted  OR</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(95% CI)</w:t>
            </w:r>
          </w:p>
        </w:tc>
        <w:tc>
          <w:tcPr>
            <w:tcW w:w="1843" w:type="dxa"/>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Multiple imputation analysis</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Adjusted OR</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(95% CI)</w:t>
            </w:r>
          </w:p>
        </w:tc>
        <w:tc>
          <w:tcPr>
            <w:tcW w:w="1843" w:type="dxa"/>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Complete case analysis</w:t>
            </w:r>
            <w:r w:rsidRPr="006B5915">
              <w:rPr>
                <w:rFonts w:ascii="Verdana" w:hAnsi="Verdana" w:cs="Calibri"/>
                <w:bCs/>
                <w:color w:val="333333"/>
                <w:sz w:val="18"/>
                <w:szCs w:val="18"/>
                <w:lang w:eastAsia="en-GB"/>
              </w:rPr>
              <w:t>†</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Adjusted  OR</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(95% CI)</w:t>
            </w:r>
          </w:p>
        </w:tc>
        <w:tc>
          <w:tcPr>
            <w:tcW w:w="1842" w:type="dxa"/>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Multiple imputation analysis</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Adjusted OR</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(95% CI)</w:t>
            </w:r>
          </w:p>
        </w:tc>
        <w:tc>
          <w:tcPr>
            <w:tcW w:w="2127" w:type="dxa"/>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Complete case analysis</w:t>
            </w:r>
            <w:r w:rsidRPr="006B5915">
              <w:rPr>
                <w:rFonts w:ascii="Verdana" w:hAnsi="Verdana" w:cs="Calibri"/>
                <w:bCs/>
                <w:color w:val="333333"/>
                <w:sz w:val="18"/>
                <w:szCs w:val="18"/>
                <w:lang w:eastAsia="en-GB"/>
              </w:rPr>
              <w:t>†</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Adjusted  OR</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(95% CI)</w:t>
            </w:r>
          </w:p>
        </w:tc>
        <w:tc>
          <w:tcPr>
            <w:tcW w:w="1984" w:type="dxa"/>
          </w:tcPr>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Multiple imputation analysis</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Adjusted OR</w:t>
            </w:r>
          </w:p>
          <w:p w:rsidR="00610C31" w:rsidRPr="006B5915" w:rsidRDefault="00610C31" w:rsidP="00FB2A31">
            <w:pPr>
              <w:spacing w:after="0" w:line="480" w:lineRule="auto"/>
              <w:jc w:val="center"/>
              <w:rPr>
                <w:rFonts w:ascii="Verdana" w:hAnsi="Verdana" w:cs="Calibri"/>
                <w:sz w:val="18"/>
                <w:szCs w:val="18"/>
              </w:rPr>
            </w:pPr>
            <w:r w:rsidRPr="006B5915">
              <w:rPr>
                <w:rFonts w:ascii="Verdana" w:hAnsi="Verdana" w:cs="Calibri"/>
                <w:sz w:val="18"/>
                <w:szCs w:val="18"/>
              </w:rPr>
              <w:t>(95% CI)</w:t>
            </w:r>
          </w:p>
        </w:tc>
        <w:tc>
          <w:tcPr>
            <w:tcW w:w="1276" w:type="dxa"/>
            <w:vMerge/>
          </w:tcPr>
          <w:p w:rsidR="00610C31" w:rsidRPr="006B5915" w:rsidRDefault="00610C31" w:rsidP="00FB2A31">
            <w:pPr>
              <w:spacing w:after="0" w:line="480" w:lineRule="auto"/>
              <w:jc w:val="center"/>
              <w:outlineLvl w:val="4"/>
              <w:rPr>
                <w:rFonts w:ascii="Verdana" w:hAnsi="Verdana" w:cs="Calibri"/>
                <w:bCs/>
                <w:color w:val="333333"/>
                <w:sz w:val="18"/>
                <w:szCs w:val="18"/>
                <w:lang w:eastAsia="en-GB"/>
              </w:rPr>
            </w:pPr>
          </w:p>
        </w:tc>
      </w:tr>
      <w:tr w:rsidR="00610C31" w:rsidRPr="006B5915" w:rsidTr="00FB2A31">
        <w:tc>
          <w:tcPr>
            <w:tcW w:w="1809" w:type="dxa"/>
          </w:tcPr>
          <w:p w:rsidR="00DE46F6" w:rsidRPr="006B5915" w:rsidRDefault="00DE46F6" w:rsidP="00FB2A31">
            <w:pPr>
              <w:spacing w:after="0" w:line="480" w:lineRule="auto"/>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Had not left child on raised surface*</w:t>
            </w:r>
          </w:p>
          <w:p w:rsidR="00610C31" w:rsidRPr="006B5915" w:rsidRDefault="00610C31" w:rsidP="00DE46F6">
            <w:pPr>
              <w:spacing w:after="0" w:line="480" w:lineRule="auto"/>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 xml:space="preserve">Left child on raised surface </w:t>
            </w:r>
          </w:p>
        </w:tc>
        <w:tc>
          <w:tcPr>
            <w:tcW w:w="1843" w:type="dxa"/>
          </w:tcPr>
          <w:p w:rsidR="00DE46F6" w:rsidRPr="006B5915" w:rsidRDefault="00DE46F6" w:rsidP="00DE46F6">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1.00</w:t>
            </w:r>
          </w:p>
          <w:p w:rsidR="00DE46F6" w:rsidRPr="006B5915" w:rsidRDefault="00DE46F6" w:rsidP="00DE46F6">
            <w:pPr>
              <w:spacing w:after="0" w:line="480" w:lineRule="auto"/>
              <w:jc w:val="center"/>
              <w:outlineLvl w:val="4"/>
              <w:rPr>
                <w:rFonts w:ascii="Verdana" w:hAnsi="Verdana" w:cs="Calibri"/>
                <w:bCs/>
                <w:color w:val="333333"/>
                <w:sz w:val="18"/>
                <w:szCs w:val="18"/>
                <w:lang w:eastAsia="en-GB"/>
              </w:rPr>
            </w:pPr>
          </w:p>
          <w:p w:rsidR="00DE46F6" w:rsidRPr="006B5915" w:rsidRDefault="00DE46F6" w:rsidP="00DE46F6">
            <w:pPr>
              <w:spacing w:after="0" w:line="480" w:lineRule="auto"/>
              <w:jc w:val="center"/>
              <w:outlineLvl w:val="4"/>
              <w:rPr>
                <w:rFonts w:ascii="Verdana" w:hAnsi="Verdana" w:cs="Calibri"/>
                <w:bCs/>
                <w:color w:val="333333"/>
                <w:sz w:val="18"/>
                <w:szCs w:val="18"/>
                <w:lang w:eastAsia="en-GB"/>
              </w:rPr>
            </w:pPr>
          </w:p>
          <w:p w:rsidR="00610C31" w:rsidRPr="006B5915" w:rsidRDefault="00610C31" w:rsidP="00DE46F6">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5.62 (3.62, 8.72)</w:t>
            </w:r>
          </w:p>
          <w:p w:rsidR="00610C31" w:rsidRPr="006B5915" w:rsidRDefault="00610C31" w:rsidP="00DE46F6">
            <w:pPr>
              <w:spacing w:after="0" w:line="480" w:lineRule="auto"/>
              <w:jc w:val="center"/>
              <w:outlineLvl w:val="4"/>
              <w:rPr>
                <w:rFonts w:ascii="Verdana" w:hAnsi="Verdana" w:cs="Calibri"/>
                <w:bCs/>
                <w:color w:val="333333"/>
                <w:sz w:val="18"/>
                <w:szCs w:val="18"/>
                <w:lang w:eastAsia="en-GB"/>
              </w:rPr>
            </w:pPr>
          </w:p>
        </w:tc>
        <w:tc>
          <w:tcPr>
            <w:tcW w:w="1843" w:type="dxa"/>
          </w:tcPr>
          <w:p w:rsidR="00DE46F6" w:rsidRPr="006B5915" w:rsidRDefault="00DE46F6" w:rsidP="00DE46F6">
            <w:pPr>
              <w:spacing w:after="0" w:line="480" w:lineRule="auto"/>
              <w:jc w:val="center"/>
              <w:rPr>
                <w:rFonts w:ascii="Verdana" w:hAnsi="Verdana"/>
                <w:sz w:val="18"/>
                <w:szCs w:val="18"/>
              </w:rPr>
            </w:pPr>
            <w:r w:rsidRPr="006B5915">
              <w:rPr>
                <w:rFonts w:ascii="Verdana" w:hAnsi="Verdana"/>
                <w:sz w:val="18"/>
                <w:szCs w:val="18"/>
              </w:rPr>
              <w:t>1.00</w:t>
            </w:r>
          </w:p>
          <w:p w:rsidR="00DE46F6" w:rsidRPr="006B5915" w:rsidRDefault="00DE46F6" w:rsidP="00DE46F6">
            <w:pPr>
              <w:spacing w:after="0" w:line="480" w:lineRule="auto"/>
              <w:jc w:val="center"/>
              <w:rPr>
                <w:rFonts w:ascii="Verdana" w:hAnsi="Verdana"/>
                <w:sz w:val="18"/>
                <w:szCs w:val="18"/>
              </w:rPr>
            </w:pPr>
          </w:p>
          <w:p w:rsidR="00DE46F6" w:rsidRPr="006B5915" w:rsidRDefault="00DE46F6" w:rsidP="00DE46F6">
            <w:pPr>
              <w:spacing w:after="0" w:line="480" w:lineRule="auto"/>
              <w:rPr>
                <w:rFonts w:ascii="Verdana" w:hAnsi="Verdana"/>
                <w:sz w:val="18"/>
                <w:szCs w:val="18"/>
              </w:rPr>
            </w:pPr>
          </w:p>
          <w:p w:rsidR="00610C31" w:rsidRPr="006B5915" w:rsidRDefault="00610C31" w:rsidP="00DE46F6">
            <w:pPr>
              <w:spacing w:after="0" w:line="480" w:lineRule="auto"/>
              <w:rPr>
                <w:rFonts w:ascii="Verdana" w:hAnsi="Verdana"/>
                <w:sz w:val="18"/>
                <w:szCs w:val="18"/>
              </w:rPr>
            </w:pPr>
            <w:r w:rsidRPr="006B5915">
              <w:rPr>
                <w:rFonts w:ascii="Verdana" w:hAnsi="Verdana"/>
                <w:sz w:val="18"/>
                <w:szCs w:val="18"/>
              </w:rPr>
              <w:t>4.46 (3.08, 6.48)</w:t>
            </w:r>
          </w:p>
        </w:tc>
        <w:tc>
          <w:tcPr>
            <w:tcW w:w="1843" w:type="dxa"/>
          </w:tcPr>
          <w:p w:rsidR="00DE46F6" w:rsidRPr="006B5915" w:rsidRDefault="00DE46F6" w:rsidP="00DE46F6">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1.00</w:t>
            </w:r>
          </w:p>
          <w:p w:rsidR="00DE46F6" w:rsidRPr="006B5915" w:rsidRDefault="00DE46F6" w:rsidP="00DE46F6">
            <w:pPr>
              <w:spacing w:after="0" w:line="480" w:lineRule="auto"/>
              <w:jc w:val="center"/>
              <w:outlineLvl w:val="4"/>
              <w:rPr>
                <w:rFonts w:ascii="Verdana" w:hAnsi="Verdana" w:cs="Calibri"/>
                <w:bCs/>
                <w:color w:val="333333"/>
                <w:sz w:val="18"/>
                <w:szCs w:val="18"/>
                <w:lang w:eastAsia="en-GB"/>
              </w:rPr>
            </w:pPr>
          </w:p>
          <w:p w:rsidR="00DE46F6" w:rsidRPr="006B5915" w:rsidRDefault="00DE46F6" w:rsidP="00DE46F6">
            <w:pPr>
              <w:spacing w:after="0" w:line="480" w:lineRule="auto"/>
              <w:jc w:val="center"/>
              <w:outlineLvl w:val="4"/>
              <w:rPr>
                <w:rFonts w:ascii="Verdana" w:hAnsi="Verdana" w:cs="Calibri"/>
                <w:bCs/>
                <w:color w:val="333333"/>
                <w:sz w:val="18"/>
                <w:szCs w:val="18"/>
                <w:lang w:eastAsia="en-GB"/>
              </w:rPr>
            </w:pPr>
          </w:p>
          <w:p w:rsidR="00610C31" w:rsidRPr="006B5915" w:rsidRDefault="00610C31" w:rsidP="00DE46F6">
            <w:pPr>
              <w:spacing w:after="0" w:line="480" w:lineRule="auto"/>
              <w:outlineLvl w:val="4"/>
              <w:rPr>
                <w:rFonts w:ascii="Verdana" w:hAnsi="Verdana"/>
                <w:sz w:val="18"/>
                <w:szCs w:val="18"/>
              </w:rPr>
            </w:pPr>
            <w:r w:rsidRPr="006B5915">
              <w:rPr>
                <w:rFonts w:ascii="Verdana" w:hAnsi="Verdana" w:cs="Calibri"/>
                <w:bCs/>
                <w:color w:val="333333"/>
                <w:sz w:val="18"/>
                <w:szCs w:val="18"/>
                <w:lang w:eastAsia="en-GB"/>
              </w:rPr>
              <w:t>1.05 (0.77, 1.44)</w:t>
            </w:r>
          </w:p>
          <w:p w:rsidR="00610C31" w:rsidRPr="006B5915" w:rsidRDefault="00610C31" w:rsidP="00DE46F6">
            <w:pPr>
              <w:spacing w:after="0" w:line="480" w:lineRule="auto"/>
              <w:jc w:val="center"/>
              <w:outlineLvl w:val="4"/>
              <w:rPr>
                <w:rFonts w:ascii="Verdana" w:hAnsi="Verdana" w:cs="Calibri"/>
                <w:bCs/>
                <w:color w:val="333333"/>
                <w:sz w:val="18"/>
                <w:szCs w:val="18"/>
                <w:lang w:eastAsia="en-GB"/>
              </w:rPr>
            </w:pPr>
          </w:p>
        </w:tc>
        <w:tc>
          <w:tcPr>
            <w:tcW w:w="1842" w:type="dxa"/>
          </w:tcPr>
          <w:p w:rsidR="00DE46F6" w:rsidRPr="006B5915" w:rsidRDefault="00DE46F6" w:rsidP="00DE46F6">
            <w:pPr>
              <w:spacing w:after="0" w:line="480" w:lineRule="auto"/>
              <w:jc w:val="center"/>
              <w:rPr>
                <w:rFonts w:ascii="Verdana" w:hAnsi="Verdana"/>
                <w:sz w:val="18"/>
                <w:szCs w:val="18"/>
              </w:rPr>
            </w:pPr>
            <w:r w:rsidRPr="006B5915">
              <w:rPr>
                <w:rFonts w:ascii="Verdana" w:hAnsi="Verdana"/>
                <w:sz w:val="18"/>
                <w:szCs w:val="18"/>
              </w:rPr>
              <w:t>1.00</w:t>
            </w:r>
          </w:p>
          <w:p w:rsidR="00DE46F6" w:rsidRPr="006B5915" w:rsidRDefault="00DE46F6" w:rsidP="00DE46F6">
            <w:pPr>
              <w:spacing w:after="0" w:line="480" w:lineRule="auto"/>
              <w:jc w:val="center"/>
              <w:rPr>
                <w:rFonts w:ascii="Verdana" w:hAnsi="Verdana"/>
                <w:sz w:val="18"/>
                <w:szCs w:val="18"/>
              </w:rPr>
            </w:pPr>
          </w:p>
          <w:p w:rsidR="00DE46F6" w:rsidRPr="006B5915" w:rsidRDefault="00DE46F6" w:rsidP="00DE46F6">
            <w:pPr>
              <w:spacing w:after="0" w:line="480" w:lineRule="auto"/>
              <w:jc w:val="center"/>
              <w:rPr>
                <w:rFonts w:ascii="Verdana" w:hAnsi="Verdana"/>
                <w:sz w:val="18"/>
                <w:szCs w:val="18"/>
              </w:rPr>
            </w:pPr>
          </w:p>
          <w:p w:rsidR="00610C31" w:rsidRPr="006B5915" w:rsidRDefault="00610C31" w:rsidP="00DE46F6">
            <w:pPr>
              <w:spacing w:after="0" w:line="480" w:lineRule="auto"/>
              <w:jc w:val="center"/>
              <w:rPr>
                <w:rFonts w:ascii="Verdana" w:hAnsi="Verdana"/>
                <w:sz w:val="18"/>
                <w:szCs w:val="18"/>
              </w:rPr>
            </w:pPr>
            <w:r w:rsidRPr="006B5915">
              <w:rPr>
                <w:rFonts w:ascii="Verdana" w:hAnsi="Verdana"/>
                <w:sz w:val="18"/>
                <w:szCs w:val="18"/>
              </w:rPr>
              <w:t>1.17 (0.88, 1.57)</w:t>
            </w:r>
          </w:p>
        </w:tc>
        <w:tc>
          <w:tcPr>
            <w:tcW w:w="2127" w:type="dxa"/>
          </w:tcPr>
          <w:p w:rsidR="00DE46F6" w:rsidRPr="006B5915" w:rsidRDefault="00DE46F6" w:rsidP="00DE46F6">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1.00</w:t>
            </w:r>
          </w:p>
          <w:p w:rsidR="00DE46F6" w:rsidRPr="006B5915" w:rsidRDefault="00DE46F6" w:rsidP="00DE46F6">
            <w:pPr>
              <w:spacing w:after="0" w:line="480" w:lineRule="auto"/>
              <w:jc w:val="center"/>
              <w:outlineLvl w:val="4"/>
              <w:rPr>
                <w:rFonts w:ascii="Verdana" w:hAnsi="Verdana" w:cs="Calibri"/>
                <w:bCs/>
                <w:color w:val="333333"/>
                <w:sz w:val="18"/>
                <w:szCs w:val="18"/>
                <w:lang w:eastAsia="en-GB"/>
              </w:rPr>
            </w:pPr>
          </w:p>
          <w:p w:rsidR="00DE46F6" w:rsidRPr="006B5915" w:rsidRDefault="00DE46F6" w:rsidP="00DE46F6">
            <w:pPr>
              <w:spacing w:after="0" w:line="480" w:lineRule="auto"/>
              <w:jc w:val="center"/>
              <w:outlineLvl w:val="4"/>
              <w:rPr>
                <w:rFonts w:ascii="Verdana" w:hAnsi="Verdana" w:cs="Calibri"/>
                <w:bCs/>
                <w:color w:val="333333"/>
                <w:sz w:val="18"/>
                <w:szCs w:val="18"/>
                <w:lang w:eastAsia="en-GB"/>
              </w:rPr>
            </w:pPr>
          </w:p>
          <w:p w:rsidR="00610C31" w:rsidRPr="006B5915" w:rsidRDefault="00610C31" w:rsidP="00DE46F6">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1.00 (0.64, 1.57)</w:t>
            </w:r>
          </w:p>
          <w:p w:rsidR="00610C31" w:rsidRPr="006B5915" w:rsidRDefault="00610C31" w:rsidP="00DE46F6">
            <w:pPr>
              <w:spacing w:after="0" w:line="480" w:lineRule="auto"/>
              <w:jc w:val="center"/>
              <w:outlineLvl w:val="4"/>
              <w:rPr>
                <w:rFonts w:ascii="Verdana" w:hAnsi="Verdana" w:cs="Calibri"/>
                <w:bCs/>
                <w:color w:val="333333"/>
                <w:sz w:val="18"/>
                <w:szCs w:val="18"/>
                <w:lang w:eastAsia="en-GB"/>
              </w:rPr>
            </w:pPr>
          </w:p>
        </w:tc>
        <w:tc>
          <w:tcPr>
            <w:tcW w:w="1984" w:type="dxa"/>
          </w:tcPr>
          <w:p w:rsidR="00DE46F6" w:rsidRPr="006B5915" w:rsidRDefault="00DE46F6" w:rsidP="00DE46F6">
            <w:pPr>
              <w:spacing w:after="0" w:line="480" w:lineRule="auto"/>
              <w:jc w:val="center"/>
              <w:rPr>
                <w:rFonts w:ascii="Verdana" w:hAnsi="Verdana"/>
                <w:sz w:val="18"/>
                <w:szCs w:val="18"/>
              </w:rPr>
            </w:pPr>
            <w:r w:rsidRPr="006B5915">
              <w:rPr>
                <w:rFonts w:ascii="Verdana" w:hAnsi="Verdana"/>
                <w:sz w:val="18"/>
                <w:szCs w:val="18"/>
              </w:rPr>
              <w:t>1.00</w:t>
            </w:r>
          </w:p>
          <w:p w:rsidR="00DE46F6" w:rsidRPr="006B5915" w:rsidRDefault="00DE46F6" w:rsidP="00DE46F6">
            <w:pPr>
              <w:spacing w:after="0" w:line="480" w:lineRule="auto"/>
              <w:jc w:val="center"/>
              <w:rPr>
                <w:rFonts w:ascii="Verdana" w:hAnsi="Verdana"/>
                <w:sz w:val="18"/>
                <w:szCs w:val="18"/>
              </w:rPr>
            </w:pPr>
          </w:p>
          <w:p w:rsidR="00DE46F6" w:rsidRPr="006B5915" w:rsidRDefault="00DE46F6" w:rsidP="00DE46F6">
            <w:pPr>
              <w:spacing w:after="0" w:line="480" w:lineRule="auto"/>
              <w:jc w:val="center"/>
              <w:rPr>
                <w:rFonts w:ascii="Verdana" w:hAnsi="Verdana"/>
                <w:sz w:val="18"/>
                <w:szCs w:val="18"/>
              </w:rPr>
            </w:pPr>
          </w:p>
          <w:p w:rsidR="00610C31" w:rsidRPr="006B5915" w:rsidRDefault="00610C31" w:rsidP="00DE46F6">
            <w:pPr>
              <w:spacing w:after="0" w:line="480" w:lineRule="auto"/>
              <w:jc w:val="center"/>
              <w:rPr>
                <w:rFonts w:ascii="Verdana" w:hAnsi="Verdana"/>
                <w:sz w:val="18"/>
                <w:szCs w:val="18"/>
              </w:rPr>
            </w:pPr>
            <w:r w:rsidRPr="006B5915">
              <w:rPr>
                <w:rFonts w:ascii="Verdana" w:hAnsi="Verdana"/>
                <w:sz w:val="18"/>
                <w:szCs w:val="18"/>
              </w:rPr>
              <w:t>0.99 (0.67, 1.48)</w:t>
            </w:r>
          </w:p>
        </w:tc>
        <w:tc>
          <w:tcPr>
            <w:tcW w:w="1276" w:type="dxa"/>
          </w:tcPr>
          <w:p w:rsidR="00610C31" w:rsidRPr="006B5915" w:rsidRDefault="00610C31" w:rsidP="00FB2A31">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P</w:t>
            </w:r>
            <w:r w:rsidRPr="006B5915">
              <w:rPr>
                <w:rFonts w:ascii="Verdana" w:hAnsi="Verdana" w:cs="Calibri"/>
                <w:bCs/>
                <w:color w:val="333333"/>
                <w:sz w:val="18"/>
                <w:szCs w:val="18"/>
                <w:vertAlign w:val="subscript"/>
                <w:lang w:eastAsia="en-GB"/>
              </w:rPr>
              <w:t>CC</w:t>
            </w:r>
            <w:r w:rsidRPr="006B5915">
              <w:rPr>
                <w:rFonts w:ascii="Verdana" w:hAnsi="Verdana" w:cs="Calibri"/>
                <w:bCs/>
                <w:color w:val="333333"/>
                <w:sz w:val="18"/>
                <w:szCs w:val="18"/>
                <w:lang w:eastAsia="en-GB"/>
              </w:rPr>
              <w:t>&lt;0.001</w:t>
            </w:r>
          </w:p>
          <w:p w:rsidR="00610C31" w:rsidRPr="006B5915" w:rsidRDefault="00610C31" w:rsidP="00FB2A31">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P</w:t>
            </w:r>
            <w:r w:rsidRPr="006B5915">
              <w:rPr>
                <w:rFonts w:ascii="Verdana" w:hAnsi="Verdana" w:cs="Calibri"/>
                <w:bCs/>
                <w:color w:val="333333"/>
                <w:sz w:val="18"/>
                <w:szCs w:val="18"/>
                <w:vertAlign w:val="subscript"/>
                <w:lang w:eastAsia="en-GB"/>
              </w:rPr>
              <w:t>MI</w:t>
            </w:r>
            <w:r w:rsidRPr="006B5915">
              <w:rPr>
                <w:rFonts w:ascii="Verdana" w:hAnsi="Verdana" w:cs="Calibri"/>
                <w:bCs/>
                <w:color w:val="333333"/>
                <w:sz w:val="18"/>
                <w:szCs w:val="18"/>
                <w:lang w:eastAsia="en-GB"/>
              </w:rPr>
              <w:t>&lt;0.001</w:t>
            </w:r>
          </w:p>
        </w:tc>
      </w:tr>
      <w:tr w:rsidR="00610C31" w:rsidRPr="006B5915" w:rsidTr="00FB2A31">
        <w:tc>
          <w:tcPr>
            <w:tcW w:w="1809" w:type="dxa"/>
          </w:tcPr>
          <w:p w:rsidR="00DE46F6" w:rsidRPr="006B5915" w:rsidRDefault="00DE46F6" w:rsidP="00DE46F6">
            <w:pPr>
              <w:spacing w:after="0" w:line="480" w:lineRule="auto"/>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Had not changed nappy on raised surface*</w:t>
            </w:r>
          </w:p>
          <w:p w:rsidR="00610C31" w:rsidRPr="006B5915" w:rsidRDefault="00610C31" w:rsidP="00DE46F6">
            <w:pPr>
              <w:spacing w:after="0" w:line="480" w:lineRule="auto"/>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Nappy changed on raised surface</w:t>
            </w:r>
          </w:p>
        </w:tc>
        <w:tc>
          <w:tcPr>
            <w:tcW w:w="1843" w:type="dxa"/>
          </w:tcPr>
          <w:p w:rsidR="00D41E32" w:rsidRPr="006B5915" w:rsidRDefault="00D41E32" w:rsidP="00DE46F6">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1.00</w:t>
            </w:r>
          </w:p>
          <w:p w:rsidR="00D41E32" w:rsidRPr="006B5915" w:rsidRDefault="00D41E32" w:rsidP="00DE46F6">
            <w:pPr>
              <w:spacing w:after="0" w:line="480" w:lineRule="auto"/>
              <w:jc w:val="center"/>
              <w:outlineLvl w:val="4"/>
              <w:rPr>
                <w:rFonts w:ascii="Verdana" w:hAnsi="Verdana" w:cs="Calibri"/>
                <w:bCs/>
                <w:color w:val="333333"/>
                <w:sz w:val="18"/>
                <w:szCs w:val="18"/>
                <w:lang w:eastAsia="en-GB"/>
              </w:rPr>
            </w:pPr>
          </w:p>
          <w:p w:rsidR="00D41E32" w:rsidRPr="006B5915" w:rsidRDefault="00D41E32" w:rsidP="00DE46F6">
            <w:pPr>
              <w:spacing w:after="0" w:line="480" w:lineRule="auto"/>
              <w:jc w:val="center"/>
              <w:outlineLvl w:val="4"/>
              <w:rPr>
                <w:rFonts w:ascii="Verdana" w:hAnsi="Verdana" w:cs="Calibri"/>
                <w:bCs/>
                <w:color w:val="333333"/>
                <w:sz w:val="18"/>
                <w:szCs w:val="18"/>
                <w:lang w:eastAsia="en-GB"/>
              </w:rPr>
            </w:pPr>
          </w:p>
          <w:p w:rsidR="00610C31" w:rsidRPr="006B5915" w:rsidRDefault="00610C31" w:rsidP="00DE46F6">
            <w:pPr>
              <w:spacing w:after="0" w:line="480" w:lineRule="auto"/>
              <w:jc w:val="center"/>
              <w:outlineLvl w:val="4"/>
              <w:rPr>
                <w:rFonts w:ascii="Verdana" w:hAnsi="Verdana"/>
                <w:sz w:val="18"/>
                <w:szCs w:val="18"/>
              </w:rPr>
            </w:pPr>
            <w:r w:rsidRPr="006B5915">
              <w:rPr>
                <w:rFonts w:ascii="Verdana" w:hAnsi="Verdana" w:cs="Calibri"/>
                <w:bCs/>
                <w:color w:val="333333"/>
                <w:sz w:val="18"/>
                <w:szCs w:val="18"/>
                <w:lang w:eastAsia="en-GB"/>
              </w:rPr>
              <w:t>1.89 (1.24, 2.88)</w:t>
            </w:r>
          </w:p>
          <w:p w:rsidR="00610C31" w:rsidRPr="006B5915" w:rsidRDefault="00610C31" w:rsidP="00DE46F6">
            <w:pPr>
              <w:spacing w:after="0" w:line="480" w:lineRule="auto"/>
              <w:jc w:val="center"/>
              <w:outlineLvl w:val="4"/>
              <w:rPr>
                <w:rFonts w:ascii="Verdana" w:hAnsi="Verdana" w:cs="Calibri"/>
                <w:bCs/>
                <w:color w:val="333333"/>
                <w:sz w:val="18"/>
                <w:szCs w:val="18"/>
                <w:lang w:eastAsia="en-GB"/>
              </w:rPr>
            </w:pPr>
          </w:p>
        </w:tc>
        <w:tc>
          <w:tcPr>
            <w:tcW w:w="1843" w:type="dxa"/>
          </w:tcPr>
          <w:p w:rsidR="00D41E32" w:rsidRPr="006B5915" w:rsidRDefault="00D41E32" w:rsidP="00DE46F6">
            <w:pPr>
              <w:spacing w:after="0" w:line="480" w:lineRule="auto"/>
              <w:jc w:val="center"/>
              <w:rPr>
                <w:rFonts w:ascii="Verdana" w:hAnsi="Verdana"/>
                <w:sz w:val="18"/>
                <w:szCs w:val="18"/>
              </w:rPr>
            </w:pPr>
            <w:r w:rsidRPr="006B5915">
              <w:rPr>
                <w:rFonts w:ascii="Verdana" w:hAnsi="Verdana"/>
                <w:sz w:val="18"/>
                <w:szCs w:val="18"/>
              </w:rPr>
              <w:t>1.00</w:t>
            </w:r>
          </w:p>
          <w:p w:rsidR="00D41E32" w:rsidRPr="006B5915" w:rsidRDefault="00D41E32" w:rsidP="00DE46F6">
            <w:pPr>
              <w:spacing w:after="0" w:line="480" w:lineRule="auto"/>
              <w:jc w:val="center"/>
              <w:rPr>
                <w:rFonts w:ascii="Verdana" w:hAnsi="Verdana"/>
                <w:sz w:val="18"/>
                <w:szCs w:val="18"/>
              </w:rPr>
            </w:pPr>
          </w:p>
          <w:p w:rsidR="00D41E32" w:rsidRPr="006B5915" w:rsidRDefault="00D41E32" w:rsidP="00DE46F6">
            <w:pPr>
              <w:spacing w:after="0" w:line="480" w:lineRule="auto"/>
              <w:jc w:val="center"/>
              <w:rPr>
                <w:rFonts w:ascii="Verdana" w:hAnsi="Verdana"/>
                <w:sz w:val="18"/>
                <w:szCs w:val="18"/>
              </w:rPr>
            </w:pPr>
          </w:p>
          <w:p w:rsidR="00610C31" w:rsidRPr="006B5915" w:rsidRDefault="00610C31" w:rsidP="00DE46F6">
            <w:pPr>
              <w:spacing w:after="0" w:line="480" w:lineRule="auto"/>
              <w:jc w:val="center"/>
              <w:rPr>
                <w:rFonts w:ascii="Verdana" w:hAnsi="Verdana"/>
                <w:sz w:val="18"/>
                <w:szCs w:val="18"/>
              </w:rPr>
            </w:pPr>
            <w:r w:rsidRPr="006B5915">
              <w:rPr>
                <w:rFonts w:ascii="Verdana" w:hAnsi="Verdana"/>
                <w:sz w:val="18"/>
                <w:szCs w:val="18"/>
              </w:rPr>
              <w:t>1.82 (1.27, 2.62)</w:t>
            </w:r>
          </w:p>
        </w:tc>
        <w:tc>
          <w:tcPr>
            <w:tcW w:w="1843" w:type="dxa"/>
          </w:tcPr>
          <w:p w:rsidR="00D41E32" w:rsidRPr="006B5915" w:rsidRDefault="00D41E32" w:rsidP="00DE46F6">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1.00</w:t>
            </w:r>
          </w:p>
          <w:p w:rsidR="00D41E32" w:rsidRPr="006B5915" w:rsidRDefault="00D41E32" w:rsidP="00DE46F6">
            <w:pPr>
              <w:spacing w:after="0" w:line="480" w:lineRule="auto"/>
              <w:jc w:val="center"/>
              <w:outlineLvl w:val="4"/>
              <w:rPr>
                <w:rFonts w:ascii="Verdana" w:hAnsi="Verdana" w:cs="Calibri"/>
                <w:bCs/>
                <w:color w:val="333333"/>
                <w:sz w:val="18"/>
                <w:szCs w:val="18"/>
                <w:lang w:eastAsia="en-GB"/>
              </w:rPr>
            </w:pPr>
          </w:p>
          <w:p w:rsidR="00D41E32" w:rsidRPr="006B5915" w:rsidRDefault="00D41E32" w:rsidP="00DE46F6">
            <w:pPr>
              <w:spacing w:after="0" w:line="480" w:lineRule="auto"/>
              <w:jc w:val="center"/>
              <w:outlineLvl w:val="4"/>
              <w:rPr>
                <w:rFonts w:ascii="Verdana" w:hAnsi="Verdana" w:cs="Calibri"/>
                <w:bCs/>
                <w:color w:val="333333"/>
                <w:sz w:val="18"/>
                <w:szCs w:val="18"/>
                <w:lang w:eastAsia="en-GB"/>
              </w:rPr>
            </w:pPr>
          </w:p>
          <w:p w:rsidR="00610C31" w:rsidRPr="006B5915" w:rsidRDefault="00610C31" w:rsidP="00DE46F6">
            <w:pPr>
              <w:spacing w:after="0" w:line="480" w:lineRule="auto"/>
              <w:jc w:val="center"/>
              <w:outlineLvl w:val="4"/>
              <w:rPr>
                <w:rFonts w:ascii="Verdana" w:hAnsi="Verdana"/>
                <w:sz w:val="18"/>
                <w:szCs w:val="18"/>
              </w:rPr>
            </w:pPr>
            <w:r w:rsidRPr="006B5915">
              <w:rPr>
                <w:rFonts w:ascii="Verdana" w:hAnsi="Verdana" w:cs="Calibri"/>
                <w:bCs/>
                <w:color w:val="333333"/>
                <w:sz w:val="18"/>
                <w:szCs w:val="18"/>
                <w:lang w:eastAsia="en-GB"/>
              </w:rPr>
              <w:t>0.81 (0.59, 1.11)</w:t>
            </w:r>
          </w:p>
          <w:p w:rsidR="00610C31" w:rsidRPr="006B5915" w:rsidRDefault="00610C31" w:rsidP="00DE46F6">
            <w:pPr>
              <w:spacing w:after="0" w:line="480" w:lineRule="auto"/>
              <w:jc w:val="center"/>
              <w:outlineLvl w:val="4"/>
              <w:rPr>
                <w:rFonts w:ascii="Verdana" w:hAnsi="Verdana" w:cs="Calibri"/>
                <w:bCs/>
                <w:color w:val="333333"/>
                <w:sz w:val="18"/>
                <w:szCs w:val="18"/>
                <w:lang w:eastAsia="en-GB"/>
              </w:rPr>
            </w:pPr>
          </w:p>
        </w:tc>
        <w:tc>
          <w:tcPr>
            <w:tcW w:w="1842" w:type="dxa"/>
          </w:tcPr>
          <w:p w:rsidR="00D41E32" w:rsidRPr="006B5915" w:rsidRDefault="00D41E32" w:rsidP="00DE46F6">
            <w:pPr>
              <w:spacing w:after="0" w:line="480" w:lineRule="auto"/>
              <w:jc w:val="center"/>
              <w:rPr>
                <w:rFonts w:ascii="Verdana" w:hAnsi="Verdana"/>
                <w:sz w:val="18"/>
                <w:szCs w:val="18"/>
              </w:rPr>
            </w:pPr>
            <w:r w:rsidRPr="006B5915">
              <w:rPr>
                <w:rFonts w:ascii="Verdana" w:hAnsi="Verdana"/>
                <w:sz w:val="18"/>
                <w:szCs w:val="18"/>
              </w:rPr>
              <w:t>1.00</w:t>
            </w:r>
          </w:p>
          <w:p w:rsidR="00D41E32" w:rsidRPr="006B5915" w:rsidRDefault="00D41E32" w:rsidP="00DE46F6">
            <w:pPr>
              <w:spacing w:after="0" w:line="480" w:lineRule="auto"/>
              <w:jc w:val="center"/>
              <w:rPr>
                <w:rFonts w:ascii="Verdana" w:hAnsi="Verdana"/>
                <w:sz w:val="18"/>
                <w:szCs w:val="18"/>
              </w:rPr>
            </w:pPr>
          </w:p>
          <w:p w:rsidR="00D41E32" w:rsidRPr="006B5915" w:rsidRDefault="00D41E32" w:rsidP="00DE46F6">
            <w:pPr>
              <w:spacing w:after="0" w:line="480" w:lineRule="auto"/>
              <w:jc w:val="center"/>
              <w:rPr>
                <w:rFonts w:ascii="Verdana" w:hAnsi="Verdana"/>
                <w:sz w:val="18"/>
                <w:szCs w:val="18"/>
              </w:rPr>
            </w:pPr>
          </w:p>
          <w:p w:rsidR="00610C31" w:rsidRPr="006B5915" w:rsidRDefault="00610C31" w:rsidP="00DE46F6">
            <w:pPr>
              <w:spacing w:after="0" w:line="480" w:lineRule="auto"/>
              <w:jc w:val="center"/>
              <w:rPr>
                <w:rFonts w:ascii="Verdana" w:hAnsi="Verdana"/>
                <w:sz w:val="18"/>
                <w:szCs w:val="18"/>
              </w:rPr>
            </w:pPr>
            <w:r w:rsidRPr="006B5915">
              <w:rPr>
                <w:rFonts w:ascii="Verdana" w:hAnsi="Verdana"/>
                <w:sz w:val="18"/>
                <w:szCs w:val="18"/>
              </w:rPr>
              <w:t>0.92 (0.69, 1.22)</w:t>
            </w:r>
          </w:p>
        </w:tc>
        <w:tc>
          <w:tcPr>
            <w:tcW w:w="2127" w:type="dxa"/>
          </w:tcPr>
          <w:p w:rsidR="00D41E32" w:rsidRPr="006B5915" w:rsidRDefault="00D41E32" w:rsidP="00DE46F6">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1.00</w:t>
            </w:r>
          </w:p>
          <w:p w:rsidR="00D41E32" w:rsidRPr="006B5915" w:rsidRDefault="00D41E32" w:rsidP="00DE46F6">
            <w:pPr>
              <w:spacing w:after="0" w:line="480" w:lineRule="auto"/>
              <w:jc w:val="center"/>
              <w:outlineLvl w:val="4"/>
              <w:rPr>
                <w:rFonts w:ascii="Verdana" w:hAnsi="Verdana" w:cs="Calibri"/>
                <w:bCs/>
                <w:color w:val="333333"/>
                <w:sz w:val="18"/>
                <w:szCs w:val="18"/>
                <w:lang w:eastAsia="en-GB"/>
              </w:rPr>
            </w:pPr>
          </w:p>
          <w:p w:rsidR="00D41E32" w:rsidRPr="006B5915" w:rsidRDefault="00D41E32" w:rsidP="00DE46F6">
            <w:pPr>
              <w:spacing w:after="0" w:line="480" w:lineRule="auto"/>
              <w:jc w:val="center"/>
              <w:outlineLvl w:val="4"/>
              <w:rPr>
                <w:rFonts w:ascii="Verdana" w:hAnsi="Verdana" w:cs="Calibri"/>
                <w:bCs/>
                <w:color w:val="333333"/>
                <w:sz w:val="18"/>
                <w:szCs w:val="18"/>
                <w:lang w:eastAsia="en-GB"/>
              </w:rPr>
            </w:pPr>
          </w:p>
          <w:p w:rsidR="00610C31" w:rsidRPr="006B5915" w:rsidRDefault="00610C31" w:rsidP="00DE46F6">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0.76 (0.31, 1.92)</w:t>
            </w:r>
          </w:p>
        </w:tc>
        <w:tc>
          <w:tcPr>
            <w:tcW w:w="1984" w:type="dxa"/>
          </w:tcPr>
          <w:p w:rsidR="00D41E32" w:rsidRPr="006B5915" w:rsidRDefault="00D41E32" w:rsidP="00DE46F6">
            <w:pPr>
              <w:spacing w:after="0" w:line="480" w:lineRule="auto"/>
              <w:jc w:val="center"/>
              <w:rPr>
                <w:rFonts w:ascii="Verdana" w:hAnsi="Verdana"/>
                <w:sz w:val="18"/>
                <w:szCs w:val="18"/>
              </w:rPr>
            </w:pPr>
            <w:r w:rsidRPr="006B5915">
              <w:rPr>
                <w:rFonts w:ascii="Verdana" w:hAnsi="Verdana"/>
                <w:sz w:val="18"/>
                <w:szCs w:val="18"/>
              </w:rPr>
              <w:t>1.0</w:t>
            </w:r>
          </w:p>
          <w:p w:rsidR="00D41E32" w:rsidRPr="006B5915" w:rsidRDefault="00D41E32" w:rsidP="00DE46F6">
            <w:pPr>
              <w:spacing w:after="0" w:line="480" w:lineRule="auto"/>
              <w:jc w:val="center"/>
              <w:rPr>
                <w:rFonts w:ascii="Verdana" w:hAnsi="Verdana"/>
                <w:sz w:val="18"/>
                <w:szCs w:val="18"/>
              </w:rPr>
            </w:pPr>
          </w:p>
          <w:p w:rsidR="00D41E32" w:rsidRPr="006B5915" w:rsidRDefault="00D41E32" w:rsidP="00DE46F6">
            <w:pPr>
              <w:spacing w:after="0" w:line="480" w:lineRule="auto"/>
              <w:jc w:val="center"/>
              <w:rPr>
                <w:rFonts w:ascii="Verdana" w:hAnsi="Verdana"/>
                <w:sz w:val="18"/>
                <w:szCs w:val="18"/>
              </w:rPr>
            </w:pPr>
          </w:p>
          <w:p w:rsidR="00610C31" w:rsidRPr="006B5915" w:rsidRDefault="00610C31" w:rsidP="00DE46F6">
            <w:pPr>
              <w:spacing w:after="0" w:line="480" w:lineRule="auto"/>
              <w:jc w:val="center"/>
              <w:rPr>
                <w:rFonts w:ascii="Verdana" w:hAnsi="Verdana"/>
                <w:sz w:val="18"/>
                <w:szCs w:val="18"/>
              </w:rPr>
            </w:pPr>
            <w:r w:rsidRPr="006B5915">
              <w:rPr>
                <w:rFonts w:ascii="Verdana" w:hAnsi="Verdana"/>
                <w:sz w:val="18"/>
                <w:szCs w:val="18"/>
              </w:rPr>
              <w:t>0.95 (0.58, 1.53)</w:t>
            </w:r>
          </w:p>
        </w:tc>
        <w:tc>
          <w:tcPr>
            <w:tcW w:w="1276" w:type="dxa"/>
          </w:tcPr>
          <w:p w:rsidR="00610C31" w:rsidRPr="006B5915" w:rsidRDefault="00610C31" w:rsidP="00FB2A31">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P</w:t>
            </w:r>
            <w:r w:rsidRPr="006B5915">
              <w:rPr>
                <w:rFonts w:ascii="Verdana" w:hAnsi="Verdana" w:cs="Calibri"/>
                <w:bCs/>
                <w:color w:val="333333"/>
                <w:sz w:val="18"/>
                <w:szCs w:val="18"/>
                <w:vertAlign w:val="subscript"/>
                <w:lang w:eastAsia="en-GB"/>
              </w:rPr>
              <w:t>CC</w:t>
            </w:r>
            <w:r w:rsidRPr="006B5915">
              <w:rPr>
                <w:rFonts w:ascii="Verdana" w:hAnsi="Verdana" w:cs="Calibri"/>
                <w:bCs/>
                <w:color w:val="333333"/>
                <w:sz w:val="18"/>
                <w:szCs w:val="18"/>
                <w:lang w:eastAsia="en-GB"/>
              </w:rPr>
              <w:t>=0.004</w:t>
            </w:r>
          </w:p>
          <w:p w:rsidR="00610C31" w:rsidRPr="006B5915" w:rsidRDefault="00610C31" w:rsidP="00FB2A31">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P</w:t>
            </w:r>
            <w:r w:rsidRPr="006B5915">
              <w:rPr>
                <w:rFonts w:ascii="Verdana" w:hAnsi="Verdana" w:cs="Calibri"/>
                <w:bCs/>
                <w:color w:val="333333"/>
                <w:sz w:val="18"/>
                <w:szCs w:val="18"/>
                <w:vertAlign w:val="subscript"/>
                <w:lang w:eastAsia="en-GB"/>
              </w:rPr>
              <w:t>MI</w:t>
            </w:r>
            <w:r w:rsidRPr="006B5915">
              <w:rPr>
                <w:rFonts w:ascii="Verdana" w:hAnsi="Verdana" w:cs="Calibri"/>
                <w:bCs/>
                <w:color w:val="333333"/>
                <w:sz w:val="18"/>
                <w:szCs w:val="18"/>
                <w:lang w:eastAsia="en-GB"/>
              </w:rPr>
              <w:t>=0.02</w:t>
            </w:r>
          </w:p>
        </w:tc>
      </w:tr>
      <w:tr w:rsidR="00610C31" w:rsidRPr="006B5915" w:rsidTr="00FB2A31">
        <w:tc>
          <w:tcPr>
            <w:tcW w:w="1809" w:type="dxa"/>
          </w:tcPr>
          <w:p w:rsidR="00D41E32" w:rsidRPr="006B5915" w:rsidRDefault="00D41E32" w:rsidP="00FB2A31">
            <w:pPr>
              <w:spacing w:after="0" w:line="480" w:lineRule="auto"/>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Had not put child in car/bouncing seat on raised surface*</w:t>
            </w:r>
          </w:p>
          <w:p w:rsidR="00610C31" w:rsidRPr="006B5915" w:rsidRDefault="00610C31" w:rsidP="00D41E32">
            <w:pPr>
              <w:spacing w:after="0" w:line="480" w:lineRule="auto"/>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lastRenderedPageBreak/>
              <w:t>Put child in car/bouncing seat on raised</w:t>
            </w:r>
            <w:r w:rsidRPr="006B5915">
              <w:rPr>
                <w:rFonts w:ascii="Verdana" w:hAnsi="Verdana"/>
                <w:sz w:val="18"/>
                <w:szCs w:val="18"/>
              </w:rPr>
              <w:t xml:space="preserve"> surface </w:t>
            </w:r>
          </w:p>
        </w:tc>
        <w:tc>
          <w:tcPr>
            <w:tcW w:w="1843" w:type="dxa"/>
          </w:tcPr>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lastRenderedPageBreak/>
              <w:t>1.00</w:t>
            </w: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610C31" w:rsidRPr="006B5915" w:rsidRDefault="00610C31" w:rsidP="00D41E32">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lastRenderedPageBreak/>
              <w:t>2.05 (1.29, 3.27)</w:t>
            </w:r>
          </w:p>
          <w:p w:rsidR="00610C31" w:rsidRPr="006B5915" w:rsidRDefault="00610C31" w:rsidP="00D41E32">
            <w:pPr>
              <w:spacing w:after="0" w:line="480" w:lineRule="auto"/>
              <w:jc w:val="center"/>
              <w:outlineLvl w:val="4"/>
              <w:rPr>
                <w:rFonts w:ascii="Verdana" w:hAnsi="Verdana" w:cs="Calibri"/>
                <w:bCs/>
                <w:color w:val="333333"/>
                <w:sz w:val="18"/>
                <w:szCs w:val="18"/>
                <w:lang w:eastAsia="en-GB"/>
              </w:rPr>
            </w:pPr>
          </w:p>
        </w:tc>
        <w:tc>
          <w:tcPr>
            <w:tcW w:w="1843" w:type="dxa"/>
          </w:tcPr>
          <w:p w:rsidR="00D41E32" w:rsidRPr="006B5915" w:rsidRDefault="00D41E32" w:rsidP="00D41E32">
            <w:pPr>
              <w:spacing w:after="0" w:line="480" w:lineRule="auto"/>
              <w:jc w:val="center"/>
              <w:rPr>
                <w:rFonts w:ascii="Verdana" w:hAnsi="Verdana"/>
                <w:sz w:val="18"/>
                <w:szCs w:val="18"/>
              </w:rPr>
            </w:pPr>
            <w:r w:rsidRPr="006B5915">
              <w:rPr>
                <w:rFonts w:ascii="Verdana" w:hAnsi="Verdana"/>
                <w:sz w:val="18"/>
                <w:szCs w:val="18"/>
              </w:rPr>
              <w:lastRenderedPageBreak/>
              <w:t>1.00</w:t>
            </w:r>
          </w:p>
          <w:p w:rsidR="00D41E32" w:rsidRPr="006B5915" w:rsidRDefault="00D41E32" w:rsidP="00D41E32">
            <w:pPr>
              <w:spacing w:after="0" w:line="480" w:lineRule="auto"/>
              <w:jc w:val="center"/>
              <w:rPr>
                <w:rFonts w:ascii="Verdana" w:hAnsi="Verdana"/>
                <w:sz w:val="18"/>
                <w:szCs w:val="18"/>
              </w:rPr>
            </w:pPr>
          </w:p>
          <w:p w:rsidR="00D41E32" w:rsidRPr="006B5915" w:rsidRDefault="00D41E32" w:rsidP="00D41E32">
            <w:pPr>
              <w:spacing w:after="0" w:line="480" w:lineRule="auto"/>
              <w:jc w:val="center"/>
              <w:rPr>
                <w:rFonts w:ascii="Verdana" w:hAnsi="Verdana"/>
                <w:sz w:val="18"/>
                <w:szCs w:val="18"/>
              </w:rPr>
            </w:pPr>
          </w:p>
          <w:p w:rsidR="00D41E32" w:rsidRPr="006B5915" w:rsidRDefault="00D41E32" w:rsidP="00D41E32">
            <w:pPr>
              <w:spacing w:after="0" w:line="480" w:lineRule="auto"/>
              <w:jc w:val="center"/>
              <w:rPr>
                <w:rFonts w:ascii="Verdana" w:hAnsi="Verdana"/>
                <w:sz w:val="18"/>
                <w:szCs w:val="18"/>
              </w:rPr>
            </w:pPr>
          </w:p>
          <w:p w:rsidR="00610C31" w:rsidRPr="006B5915" w:rsidRDefault="00610C31" w:rsidP="00D41E32">
            <w:pPr>
              <w:spacing w:after="0" w:line="480" w:lineRule="auto"/>
              <w:jc w:val="center"/>
              <w:rPr>
                <w:rFonts w:ascii="Verdana" w:hAnsi="Verdana"/>
                <w:sz w:val="18"/>
                <w:szCs w:val="18"/>
              </w:rPr>
            </w:pPr>
            <w:r w:rsidRPr="006B5915">
              <w:rPr>
                <w:rFonts w:ascii="Verdana" w:hAnsi="Verdana"/>
                <w:sz w:val="18"/>
                <w:szCs w:val="18"/>
              </w:rPr>
              <w:lastRenderedPageBreak/>
              <w:t>2.02 (1.33, 3.06)</w:t>
            </w:r>
          </w:p>
        </w:tc>
        <w:tc>
          <w:tcPr>
            <w:tcW w:w="1843" w:type="dxa"/>
          </w:tcPr>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lastRenderedPageBreak/>
              <w:t>1.00</w:t>
            </w: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610C31" w:rsidRPr="006B5915" w:rsidRDefault="00610C31" w:rsidP="00D41E32">
            <w:pPr>
              <w:spacing w:after="0" w:line="480" w:lineRule="auto"/>
              <w:jc w:val="center"/>
              <w:outlineLvl w:val="4"/>
              <w:rPr>
                <w:rFonts w:ascii="Verdana" w:hAnsi="Verdana"/>
                <w:sz w:val="18"/>
                <w:szCs w:val="18"/>
              </w:rPr>
            </w:pPr>
            <w:r w:rsidRPr="006B5915">
              <w:rPr>
                <w:rFonts w:ascii="Verdana" w:hAnsi="Verdana" w:cs="Calibri"/>
                <w:bCs/>
                <w:color w:val="333333"/>
                <w:sz w:val="18"/>
                <w:szCs w:val="18"/>
                <w:lang w:eastAsia="en-GB"/>
              </w:rPr>
              <w:lastRenderedPageBreak/>
              <w:t>0.22 (0.05, 0.94)</w:t>
            </w:r>
          </w:p>
          <w:p w:rsidR="00610C31" w:rsidRPr="006B5915" w:rsidRDefault="00610C31" w:rsidP="00D41E32">
            <w:pPr>
              <w:spacing w:after="0" w:line="480" w:lineRule="auto"/>
              <w:jc w:val="center"/>
              <w:outlineLvl w:val="4"/>
              <w:rPr>
                <w:rFonts w:ascii="Verdana" w:hAnsi="Verdana" w:cs="Calibri"/>
                <w:bCs/>
                <w:color w:val="333333"/>
                <w:sz w:val="18"/>
                <w:szCs w:val="18"/>
                <w:lang w:eastAsia="en-GB"/>
              </w:rPr>
            </w:pPr>
          </w:p>
        </w:tc>
        <w:tc>
          <w:tcPr>
            <w:tcW w:w="1842" w:type="dxa"/>
          </w:tcPr>
          <w:p w:rsidR="00D41E32" w:rsidRPr="006B5915" w:rsidRDefault="00D41E32" w:rsidP="00D41E32">
            <w:pPr>
              <w:spacing w:after="0" w:line="480" w:lineRule="auto"/>
              <w:jc w:val="center"/>
              <w:rPr>
                <w:rFonts w:ascii="Verdana" w:hAnsi="Verdana"/>
                <w:sz w:val="18"/>
                <w:szCs w:val="18"/>
              </w:rPr>
            </w:pPr>
            <w:r w:rsidRPr="006B5915">
              <w:rPr>
                <w:rFonts w:ascii="Verdana" w:hAnsi="Verdana"/>
                <w:sz w:val="18"/>
                <w:szCs w:val="18"/>
              </w:rPr>
              <w:lastRenderedPageBreak/>
              <w:t>1.00</w:t>
            </w:r>
          </w:p>
          <w:p w:rsidR="00D41E32" w:rsidRPr="006B5915" w:rsidRDefault="00D41E32" w:rsidP="00D41E32">
            <w:pPr>
              <w:spacing w:after="0" w:line="480" w:lineRule="auto"/>
              <w:jc w:val="center"/>
              <w:rPr>
                <w:rFonts w:ascii="Verdana" w:hAnsi="Verdana"/>
                <w:sz w:val="18"/>
                <w:szCs w:val="18"/>
              </w:rPr>
            </w:pPr>
          </w:p>
          <w:p w:rsidR="00D41E32" w:rsidRPr="006B5915" w:rsidRDefault="00D41E32" w:rsidP="00D41E32">
            <w:pPr>
              <w:spacing w:after="0" w:line="480" w:lineRule="auto"/>
              <w:jc w:val="center"/>
              <w:rPr>
                <w:rFonts w:ascii="Verdana" w:hAnsi="Verdana"/>
                <w:sz w:val="18"/>
                <w:szCs w:val="18"/>
              </w:rPr>
            </w:pPr>
          </w:p>
          <w:p w:rsidR="00D41E32" w:rsidRPr="006B5915" w:rsidRDefault="00D41E32" w:rsidP="00D41E32">
            <w:pPr>
              <w:spacing w:after="0" w:line="480" w:lineRule="auto"/>
              <w:jc w:val="center"/>
              <w:rPr>
                <w:rFonts w:ascii="Verdana" w:hAnsi="Verdana"/>
                <w:sz w:val="18"/>
                <w:szCs w:val="18"/>
              </w:rPr>
            </w:pPr>
          </w:p>
          <w:p w:rsidR="00610C31" w:rsidRPr="006B5915" w:rsidRDefault="00610C31" w:rsidP="00D41E32">
            <w:pPr>
              <w:spacing w:after="0" w:line="480" w:lineRule="auto"/>
              <w:jc w:val="center"/>
              <w:rPr>
                <w:rFonts w:ascii="Verdana" w:hAnsi="Verdana"/>
                <w:sz w:val="18"/>
                <w:szCs w:val="18"/>
              </w:rPr>
            </w:pPr>
            <w:r w:rsidRPr="006B5915">
              <w:rPr>
                <w:rFonts w:ascii="Verdana" w:hAnsi="Verdana"/>
                <w:sz w:val="18"/>
                <w:szCs w:val="18"/>
              </w:rPr>
              <w:lastRenderedPageBreak/>
              <w:t>0.59 (0.24, 1.45)</w:t>
            </w:r>
          </w:p>
        </w:tc>
        <w:tc>
          <w:tcPr>
            <w:tcW w:w="2127" w:type="dxa"/>
          </w:tcPr>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lastRenderedPageBreak/>
              <w:t>1.00</w:t>
            </w: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610C31" w:rsidRPr="006B5915" w:rsidRDefault="00610C31" w:rsidP="00D41E32">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lastRenderedPageBreak/>
              <w:t>0.72 (0.13, 3.87)</w:t>
            </w:r>
          </w:p>
        </w:tc>
        <w:tc>
          <w:tcPr>
            <w:tcW w:w="1984" w:type="dxa"/>
          </w:tcPr>
          <w:p w:rsidR="00D41E32" w:rsidRPr="006B5915" w:rsidRDefault="00D41E32" w:rsidP="00D41E32">
            <w:pPr>
              <w:spacing w:after="0" w:line="480" w:lineRule="auto"/>
              <w:jc w:val="center"/>
              <w:rPr>
                <w:rFonts w:ascii="Verdana" w:hAnsi="Verdana"/>
                <w:sz w:val="18"/>
                <w:szCs w:val="18"/>
              </w:rPr>
            </w:pPr>
            <w:r w:rsidRPr="006B5915">
              <w:rPr>
                <w:rFonts w:ascii="Verdana" w:hAnsi="Verdana"/>
                <w:sz w:val="18"/>
                <w:szCs w:val="18"/>
              </w:rPr>
              <w:lastRenderedPageBreak/>
              <w:t>1.00</w:t>
            </w:r>
          </w:p>
          <w:p w:rsidR="00D41E32" w:rsidRPr="006B5915" w:rsidRDefault="00D41E32" w:rsidP="00D41E32">
            <w:pPr>
              <w:spacing w:after="0" w:line="480" w:lineRule="auto"/>
              <w:jc w:val="center"/>
              <w:rPr>
                <w:rFonts w:ascii="Verdana" w:hAnsi="Verdana"/>
                <w:sz w:val="18"/>
                <w:szCs w:val="18"/>
              </w:rPr>
            </w:pPr>
          </w:p>
          <w:p w:rsidR="00D41E32" w:rsidRPr="006B5915" w:rsidRDefault="00D41E32" w:rsidP="00D41E32">
            <w:pPr>
              <w:spacing w:after="0" w:line="480" w:lineRule="auto"/>
              <w:jc w:val="center"/>
              <w:rPr>
                <w:rFonts w:ascii="Verdana" w:hAnsi="Verdana"/>
                <w:sz w:val="18"/>
                <w:szCs w:val="18"/>
              </w:rPr>
            </w:pPr>
          </w:p>
          <w:p w:rsidR="00D41E32" w:rsidRPr="006B5915" w:rsidRDefault="00D41E32" w:rsidP="00D41E32">
            <w:pPr>
              <w:spacing w:after="0" w:line="480" w:lineRule="auto"/>
              <w:jc w:val="center"/>
              <w:rPr>
                <w:rFonts w:ascii="Verdana" w:hAnsi="Verdana"/>
                <w:sz w:val="18"/>
                <w:szCs w:val="18"/>
              </w:rPr>
            </w:pPr>
          </w:p>
          <w:p w:rsidR="00610C31" w:rsidRPr="006B5915" w:rsidRDefault="00610C31" w:rsidP="00D41E32">
            <w:pPr>
              <w:spacing w:after="0" w:line="480" w:lineRule="auto"/>
              <w:jc w:val="center"/>
              <w:rPr>
                <w:rFonts w:ascii="Verdana" w:hAnsi="Verdana"/>
                <w:sz w:val="18"/>
                <w:szCs w:val="18"/>
              </w:rPr>
            </w:pPr>
            <w:r w:rsidRPr="006B5915">
              <w:rPr>
                <w:rFonts w:ascii="Verdana" w:hAnsi="Verdana"/>
                <w:sz w:val="18"/>
                <w:szCs w:val="18"/>
              </w:rPr>
              <w:lastRenderedPageBreak/>
              <w:t>0.69 (0.22, 2.13)</w:t>
            </w:r>
          </w:p>
        </w:tc>
        <w:tc>
          <w:tcPr>
            <w:tcW w:w="1276" w:type="dxa"/>
          </w:tcPr>
          <w:p w:rsidR="00610C31" w:rsidRPr="006B5915" w:rsidRDefault="00610C31" w:rsidP="00FB2A31">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lastRenderedPageBreak/>
              <w:t>P</w:t>
            </w:r>
            <w:r w:rsidRPr="006B5915">
              <w:rPr>
                <w:rFonts w:ascii="Verdana" w:hAnsi="Verdana" w:cs="Calibri"/>
                <w:bCs/>
                <w:color w:val="333333"/>
                <w:sz w:val="18"/>
                <w:szCs w:val="18"/>
                <w:vertAlign w:val="subscript"/>
                <w:lang w:eastAsia="en-GB"/>
              </w:rPr>
              <w:t>CC</w:t>
            </w:r>
            <w:r w:rsidRPr="006B5915">
              <w:rPr>
                <w:rFonts w:ascii="Verdana" w:hAnsi="Verdana" w:cs="Calibri"/>
                <w:bCs/>
                <w:color w:val="333333"/>
                <w:sz w:val="18"/>
                <w:szCs w:val="18"/>
                <w:lang w:eastAsia="en-GB"/>
              </w:rPr>
              <w:t>=0.001</w:t>
            </w:r>
          </w:p>
          <w:p w:rsidR="00610C31" w:rsidRPr="006B5915" w:rsidRDefault="00610C31" w:rsidP="00FB2A31">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P</w:t>
            </w:r>
            <w:r w:rsidRPr="006B5915">
              <w:rPr>
                <w:rFonts w:ascii="Verdana" w:hAnsi="Verdana" w:cs="Calibri"/>
                <w:bCs/>
                <w:color w:val="333333"/>
                <w:sz w:val="18"/>
                <w:szCs w:val="18"/>
                <w:vertAlign w:val="subscript"/>
                <w:lang w:eastAsia="en-GB"/>
              </w:rPr>
              <w:t>MI</w:t>
            </w:r>
            <w:r w:rsidRPr="006B5915">
              <w:rPr>
                <w:rFonts w:ascii="Verdana" w:hAnsi="Verdana" w:cs="Calibri"/>
                <w:bCs/>
                <w:color w:val="333333"/>
                <w:sz w:val="18"/>
                <w:szCs w:val="18"/>
                <w:lang w:eastAsia="en-GB"/>
              </w:rPr>
              <w:t>= 0.03</w:t>
            </w:r>
          </w:p>
        </w:tc>
      </w:tr>
      <w:tr w:rsidR="00610C31" w:rsidRPr="006B5915" w:rsidTr="00FB2A31">
        <w:tc>
          <w:tcPr>
            <w:tcW w:w="1809" w:type="dxa"/>
          </w:tcPr>
          <w:p w:rsidR="00D41E32" w:rsidRPr="006B5915" w:rsidRDefault="00D41E32" w:rsidP="00D41E32">
            <w:pPr>
              <w:spacing w:after="0" w:line="480" w:lineRule="auto"/>
              <w:rPr>
                <w:rFonts w:ascii="Verdana" w:hAnsi="Verdana" w:cs="Calibri"/>
                <w:color w:val="000000"/>
                <w:sz w:val="18"/>
                <w:szCs w:val="18"/>
              </w:rPr>
            </w:pPr>
            <w:r w:rsidRPr="006B5915">
              <w:rPr>
                <w:rFonts w:ascii="Verdana" w:hAnsi="Verdana" w:cs="Calibri"/>
                <w:color w:val="000000"/>
                <w:sz w:val="18"/>
                <w:szCs w:val="18"/>
              </w:rPr>
              <w:lastRenderedPageBreak/>
              <w:t>Child had not climbed or played on furniture*</w:t>
            </w:r>
          </w:p>
          <w:p w:rsidR="00610C31" w:rsidRPr="006B5915" w:rsidRDefault="00D41E32" w:rsidP="00D41E32">
            <w:pPr>
              <w:spacing w:after="0" w:line="480" w:lineRule="auto"/>
              <w:outlineLvl w:val="4"/>
              <w:rPr>
                <w:rFonts w:ascii="Verdana" w:hAnsi="Verdana" w:cs="Calibri"/>
                <w:bCs/>
                <w:color w:val="333333"/>
                <w:sz w:val="18"/>
                <w:szCs w:val="18"/>
                <w:lang w:eastAsia="en-GB"/>
              </w:rPr>
            </w:pPr>
            <w:r w:rsidRPr="006B5915">
              <w:rPr>
                <w:rFonts w:ascii="Verdana" w:hAnsi="Verdana" w:cs="Calibri"/>
                <w:color w:val="000000"/>
                <w:sz w:val="18"/>
                <w:szCs w:val="18"/>
              </w:rPr>
              <w:t>Child climbed or played on furniture</w:t>
            </w:r>
          </w:p>
        </w:tc>
        <w:tc>
          <w:tcPr>
            <w:tcW w:w="1843" w:type="dxa"/>
          </w:tcPr>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1.00</w:t>
            </w: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610C31" w:rsidRPr="006B5915" w:rsidRDefault="00610C31" w:rsidP="00D41E32">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0.96 (0.60, 1.52)</w:t>
            </w:r>
          </w:p>
          <w:p w:rsidR="00610C31" w:rsidRPr="006B5915" w:rsidRDefault="00610C31" w:rsidP="00D41E32">
            <w:pPr>
              <w:spacing w:after="0" w:line="480" w:lineRule="auto"/>
              <w:jc w:val="center"/>
              <w:outlineLvl w:val="4"/>
              <w:rPr>
                <w:rFonts w:ascii="Verdana" w:hAnsi="Verdana" w:cs="Calibri"/>
                <w:bCs/>
                <w:color w:val="333333"/>
                <w:sz w:val="18"/>
                <w:szCs w:val="18"/>
                <w:lang w:eastAsia="en-GB"/>
              </w:rPr>
            </w:pPr>
          </w:p>
        </w:tc>
        <w:tc>
          <w:tcPr>
            <w:tcW w:w="1843" w:type="dxa"/>
          </w:tcPr>
          <w:p w:rsidR="00D41E32" w:rsidRPr="006B5915" w:rsidRDefault="00D41E32" w:rsidP="00D41E32">
            <w:pPr>
              <w:spacing w:after="0" w:line="480" w:lineRule="auto"/>
              <w:jc w:val="center"/>
              <w:rPr>
                <w:rFonts w:ascii="Verdana" w:hAnsi="Verdana"/>
                <w:sz w:val="18"/>
                <w:szCs w:val="18"/>
              </w:rPr>
            </w:pPr>
            <w:r w:rsidRPr="006B5915">
              <w:rPr>
                <w:rFonts w:ascii="Verdana" w:hAnsi="Verdana"/>
                <w:sz w:val="18"/>
                <w:szCs w:val="18"/>
              </w:rPr>
              <w:t>1.00</w:t>
            </w:r>
          </w:p>
          <w:p w:rsidR="00D41E32" w:rsidRPr="006B5915" w:rsidRDefault="00D41E32" w:rsidP="00D41E32">
            <w:pPr>
              <w:spacing w:after="0" w:line="480" w:lineRule="auto"/>
              <w:jc w:val="center"/>
              <w:rPr>
                <w:rFonts w:ascii="Verdana" w:hAnsi="Verdana"/>
                <w:sz w:val="18"/>
                <w:szCs w:val="18"/>
              </w:rPr>
            </w:pPr>
          </w:p>
          <w:p w:rsidR="00D41E32" w:rsidRPr="006B5915" w:rsidRDefault="00D41E32" w:rsidP="00D41E32">
            <w:pPr>
              <w:spacing w:after="0" w:line="480" w:lineRule="auto"/>
              <w:jc w:val="center"/>
              <w:rPr>
                <w:rFonts w:ascii="Verdana" w:hAnsi="Verdana"/>
                <w:sz w:val="18"/>
                <w:szCs w:val="18"/>
              </w:rPr>
            </w:pPr>
          </w:p>
          <w:p w:rsidR="00D41E32" w:rsidRPr="006B5915" w:rsidRDefault="00D41E32" w:rsidP="00D41E32">
            <w:pPr>
              <w:spacing w:after="0" w:line="480" w:lineRule="auto"/>
              <w:jc w:val="center"/>
              <w:rPr>
                <w:rFonts w:ascii="Verdana" w:hAnsi="Verdana"/>
                <w:sz w:val="18"/>
                <w:szCs w:val="18"/>
              </w:rPr>
            </w:pPr>
          </w:p>
          <w:p w:rsidR="00610C31" w:rsidRPr="006B5915" w:rsidRDefault="00610C31" w:rsidP="00D41E32">
            <w:pPr>
              <w:spacing w:after="0" w:line="480" w:lineRule="auto"/>
              <w:jc w:val="center"/>
              <w:rPr>
                <w:rFonts w:ascii="Verdana" w:hAnsi="Verdana"/>
                <w:sz w:val="18"/>
                <w:szCs w:val="18"/>
              </w:rPr>
            </w:pPr>
            <w:r w:rsidRPr="006B5915">
              <w:rPr>
                <w:rFonts w:ascii="Verdana" w:hAnsi="Verdana"/>
                <w:sz w:val="18"/>
                <w:szCs w:val="18"/>
              </w:rPr>
              <w:t>0.99 (0.66, 1.50)</w:t>
            </w:r>
          </w:p>
        </w:tc>
        <w:tc>
          <w:tcPr>
            <w:tcW w:w="1843" w:type="dxa"/>
          </w:tcPr>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1.00</w:t>
            </w: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610C31" w:rsidRPr="006B5915" w:rsidRDefault="00610C31" w:rsidP="00D41E32">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0.75 (0.41, 1.34)</w:t>
            </w:r>
          </w:p>
          <w:p w:rsidR="00610C31" w:rsidRPr="006B5915" w:rsidRDefault="00610C31" w:rsidP="00D41E32">
            <w:pPr>
              <w:spacing w:after="0" w:line="480" w:lineRule="auto"/>
              <w:jc w:val="center"/>
              <w:outlineLvl w:val="4"/>
              <w:rPr>
                <w:rFonts w:ascii="Verdana" w:hAnsi="Verdana" w:cs="Calibri"/>
                <w:bCs/>
                <w:color w:val="333333"/>
                <w:sz w:val="18"/>
                <w:szCs w:val="18"/>
                <w:lang w:eastAsia="en-GB"/>
              </w:rPr>
            </w:pPr>
          </w:p>
        </w:tc>
        <w:tc>
          <w:tcPr>
            <w:tcW w:w="1842" w:type="dxa"/>
          </w:tcPr>
          <w:p w:rsidR="00D41E32" w:rsidRPr="006B5915" w:rsidRDefault="00D41E32" w:rsidP="00D41E32">
            <w:pPr>
              <w:spacing w:after="0" w:line="480" w:lineRule="auto"/>
              <w:jc w:val="center"/>
              <w:rPr>
                <w:rFonts w:ascii="Verdana" w:hAnsi="Verdana"/>
                <w:sz w:val="18"/>
                <w:szCs w:val="18"/>
              </w:rPr>
            </w:pPr>
            <w:r w:rsidRPr="006B5915">
              <w:rPr>
                <w:rFonts w:ascii="Verdana" w:hAnsi="Verdana"/>
                <w:sz w:val="18"/>
                <w:szCs w:val="18"/>
              </w:rPr>
              <w:t>1.00</w:t>
            </w:r>
          </w:p>
          <w:p w:rsidR="00D41E32" w:rsidRPr="006B5915" w:rsidRDefault="00D41E32" w:rsidP="00D41E32">
            <w:pPr>
              <w:spacing w:after="0" w:line="480" w:lineRule="auto"/>
              <w:jc w:val="center"/>
              <w:rPr>
                <w:rFonts w:ascii="Verdana" w:hAnsi="Verdana"/>
                <w:sz w:val="18"/>
                <w:szCs w:val="18"/>
              </w:rPr>
            </w:pPr>
          </w:p>
          <w:p w:rsidR="00D41E32" w:rsidRPr="006B5915" w:rsidRDefault="00D41E32" w:rsidP="00D41E32">
            <w:pPr>
              <w:spacing w:after="0" w:line="480" w:lineRule="auto"/>
              <w:jc w:val="center"/>
              <w:rPr>
                <w:rFonts w:ascii="Verdana" w:hAnsi="Verdana"/>
                <w:sz w:val="18"/>
                <w:szCs w:val="18"/>
              </w:rPr>
            </w:pPr>
          </w:p>
          <w:p w:rsidR="00D41E32" w:rsidRPr="006B5915" w:rsidRDefault="00D41E32" w:rsidP="00D41E32">
            <w:pPr>
              <w:spacing w:after="0" w:line="480" w:lineRule="auto"/>
              <w:jc w:val="center"/>
              <w:rPr>
                <w:rFonts w:ascii="Verdana" w:hAnsi="Verdana"/>
                <w:sz w:val="18"/>
                <w:szCs w:val="18"/>
              </w:rPr>
            </w:pPr>
          </w:p>
          <w:p w:rsidR="00610C31" w:rsidRPr="006B5915" w:rsidRDefault="00610C31" w:rsidP="00D41E32">
            <w:pPr>
              <w:spacing w:after="0" w:line="480" w:lineRule="auto"/>
              <w:jc w:val="center"/>
              <w:rPr>
                <w:rFonts w:ascii="Verdana" w:hAnsi="Verdana"/>
                <w:sz w:val="18"/>
                <w:szCs w:val="18"/>
              </w:rPr>
            </w:pPr>
            <w:r w:rsidRPr="006B5915">
              <w:rPr>
                <w:rFonts w:ascii="Verdana" w:hAnsi="Verdana"/>
                <w:sz w:val="18"/>
                <w:szCs w:val="18"/>
              </w:rPr>
              <w:t>0.75 (0.46, 1.21)</w:t>
            </w:r>
          </w:p>
        </w:tc>
        <w:tc>
          <w:tcPr>
            <w:tcW w:w="2127" w:type="dxa"/>
          </w:tcPr>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1.00</w:t>
            </w: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D41E32" w:rsidRPr="006B5915" w:rsidRDefault="00D41E32" w:rsidP="00D41E32">
            <w:pPr>
              <w:spacing w:after="0" w:line="480" w:lineRule="auto"/>
              <w:jc w:val="center"/>
              <w:outlineLvl w:val="4"/>
              <w:rPr>
                <w:rFonts w:ascii="Verdana" w:hAnsi="Verdana" w:cs="Calibri"/>
                <w:bCs/>
                <w:color w:val="333333"/>
                <w:sz w:val="18"/>
                <w:szCs w:val="18"/>
                <w:lang w:eastAsia="en-GB"/>
              </w:rPr>
            </w:pPr>
          </w:p>
          <w:p w:rsidR="00610C31" w:rsidRPr="006B5915" w:rsidRDefault="00610C31" w:rsidP="00D41E32">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9.25 (1.22, 70.07)</w:t>
            </w:r>
          </w:p>
          <w:p w:rsidR="00610C31" w:rsidRPr="006B5915" w:rsidRDefault="00610C31" w:rsidP="00D41E32">
            <w:pPr>
              <w:spacing w:after="0" w:line="480" w:lineRule="auto"/>
              <w:jc w:val="center"/>
              <w:outlineLvl w:val="4"/>
              <w:rPr>
                <w:rFonts w:ascii="Verdana" w:hAnsi="Verdana" w:cs="Calibri"/>
                <w:bCs/>
                <w:color w:val="333333"/>
                <w:sz w:val="18"/>
                <w:szCs w:val="18"/>
                <w:lang w:eastAsia="en-GB"/>
              </w:rPr>
            </w:pPr>
          </w:p>
        </w:tc>
        <w:tc>
          <w:tcPr>
            <w:tcW w:w="1984" w:type="dxa"/>
          </w:tcPr>
          <w:p w:rsidR="00D41E32" w:rsidRPr="006B5915" w:rsidRDefault="00D41E32" w:rsidP="00D41E32">
            <w:pPr>
              <w:spacing w:after="0" w:line="480" w:lineRule="auto"/>
              <w:jc w:val="center"/>
              <w:rPr>
                <w:rFonts w:ascii="Verdana" w:hAnsi="Verdana"/>
                <w:sz w:val="18"/>
                <w:szCs w:val="18"/>
              </w:rPr>
            </w:pPr>
            <w:r w:rsidRPr="006B5915">
              <w:rPr>
                <w:rFonts w:ascii="Verdana" w:hAnsi="Verdana"/>
                <w:sz w:val="18"/>
                <w:szCs w:val="18"/>
              </w:rPr>
              <w:t>1.00</w:t>
            </w:r>
          </w:p>
          <w:p w:rsidR="00D41E32" w:rsidRPr="006B5915" w:rsidRDefault="00D41E32" w:rsidP="00D41E32">
            <w:pPr>
              <w:spacing w:after="0" w:line="480" w:lineRule="auto"/>
              <w:jc w:val="center"/>
              <w:rPr>
                <w:rFonts w:ascii="Verdana" w:hAnsi="Verdana"/>
                <w:sz w:val="18"/>
                <w:szCs w:val="18"/>
              </w:rPr>
            </w:pPr>
          </w:p>
          <w:p w:rsidR="00D41E32" w:rsidRPr="006B5915" w:rsidRDefault="00D41E32" w:rsidP="00D41E32">
            <w:pPr>
              <w:spacing w:after="0" w:line="480" w:lineRule="auto"/>
              <w:jc w:val="center"/>
              <w:rPr>
                <w:rFonts w:ascii="Verdana" w:hAnsi="Verdana"/>
                <w:sz w:val="18"/>
                <w:szCs w:val="18"/>
              </w:rPr>
            </w:pPr>
          </w:p>
          <w:p w:rsidR="00D41E32" w:rsidRPr="006B5915" w:rsidRDefault="00D41E32" w:rsidP="00D41E32">
            <w:pPr>
              <w:spacing w:after="0" w:line="480" w:lineRule="auto"/>
              <w:jc w:val="center"/>
              <w:rPr>
                <w:rFonts w:ascii="Verdana" w:hAnsi="Verdana"/>
                <w:sz w:val="18"/>
                <w:szCs w:val="18"/>
              </w:rPr>
            </w:pPr>
          </w:p>
          <w:p w:rsidR="00610C31" w:rsidRPr="006B5915" w:rsidRDefault="00610C31" w:rsidP="00D41E32">
            <w:pPr>
              <w:spacing w:after="0" w:line="480" w:lineRule="auto"/>
              <w:jc w:val="center"/>
              <w:rPr>
                <w:rFonts w:ascii="Verdana" w:hAnsi="Verdana"/>
                <w:sz w:val="18"/>
                <w:szCs w:val="18"/>
              </w:rPr>
            </w:pPr>
            <w:r w:rsidRPr="006B5915">
              <w:rPr>
                <w:rFonts w:ascii="Verdana" w:hAnsi="Verdana"/>
                <w:sz w:val="18"/>
                <w:szCs w:val="18"/>
              </w:rPr>
              <w:t>5.59 (1.31, 23.89)</w:t>
            </w:r>
          </w:p>
        </w:tc>
        <w:tc>
          <w:tcPr>
            <w:tcW w:w="1276" w:type="dxa"/>
          </w:tcPr>
          <w:p w:rsidR="00610C31" w:rsidRPr="006B5915" w:rsidRDefault="00610C31" w:rsidP="00FB2A31">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P</w:t>
            </w:r>
            <w:r w:rsidRPr="006B5915">
              <w:rPr>
                <w:rFonts w:ascii="Verdana" w:hAnsi="Verdana" w:cs="Calibri"/>
                <w:bCs/>
                <w:color w:val="333333"/>
                <w:sz w:val="18"/>
                <w:szCs w:val="18"/>
                <w:vertAlign w:val="subscript"/>
                <w:lang w:eastAsia="en-GB"/>
              </w:rPr>
              <w:t>CC</w:t>
            </w:r>
            <w:r w:rsidRPr="006B5915">
              <w:rPr>
                <w:rFonts w:ascii="Verdana" w:hAnsi="Verdana" w:cs="Calibri"/>
                <w:bCs/>
                <w:color w:val="333333"/>
                <w:sz w:val="18"/>
                <w:szCs w:val="18"/>
                <w:lang w:eastAsia="en-GB"/>
              </w:rPr>
              <w:t>=0.007</w:t>
            </w:r>
          </w:p>
          <w:p w:rsidR="00610C31" w:rsidRPr="006B5915" w:rsidRDefault="00610C31" w:rsidP="00FB2A31">
            <w:pPr>
              <w:spacing w:after="0" w:line="480" w:lineRule="auto"/>
              <w:jc w:val="center"/>
              <w:outlineLvl w:val="4"/>
              <w:rPr>
                <w:rFonts w:ascii="Verdana" w:hAnsi="Verdana" w:cs="Calibri"/>
                <w:bCs/>
                <w:color w:val="333333"/>
                <w:sz w:val="18"/>
                <w:szCs w:val="18"/>
                <w:lang w:eastAsia="en-GB"/>
              </w:rPr>
            </w:pPr>
            <w:r w:rsidRPr="006B5915">
              <w:rPr>
                <w:rFonts w:ascii="Verdana" w:hAnsi="Verdana" w:cs="Calibri"/>
                <w:bCs/>
                <w:color w:val="333333"/>
                <w:sz w:val="18"/>
                <w:szCs w:val="18"/>
                <w:lang w:eastAsia="en-GB"/>
              </w:rPr>
              <w:t>P</w:t>
            </w:r>
            <w:r w:rsidRPr="006B5915">
              <w:rPr>
                <w:rFonts w:ascii="Verdana" w:hAnsi="Verdana" w:cs="Calibri"/>
                <w:bCs/>
                <w:color w:val="333333"/>
                <w:sz w:val="18"/>
                <w:szCs w:val="18"/>
                <w:vertAlign w:val="subscript"/>
                <w:lang w:eastAsia="en-GB"/>
              </w:rPr>
              <w:t>MI</w:t>
            </w:r>
            <w:r w:rsidRPr="006B5915">
              <w:rPr>
                <w:rFonts w:ascii="Verdana" w:hAnsi="Verdana" w:cs="Calibri"/>
                <w:bCs/>
                <w:color w:val="333333"/>
                <w:sz w:val="18"/>
                <w:szCs w:val="18"/>
                <w:lang w:eastAsia="en-GB"/>
              </w:rPr>
              <w:t>= 0.03</w:t>
            </w:r>
          </w:p>
        </w:tc>
      </w:tr>
    </w:tbl>
    <w:p w:rsidR="00610C31" w:rsidRPr="006B5915" w:rsidRDefault="00610C31" w:rsidP="00610C31">
      <w:pPr>
        <w:spacing w:after="0" w:line="240" w:lineRule="auto"/>
        <w:contextualSpacing/>
        <w:rPr>
          <w:rFonts w:ascii="Verdana" w:hAnsi="Verdana" w:cs="Calibri"/>
          <w:bCs/>
          <w:color w:val="333333"/>
          <w:sz w:val="16"/>
          <w:szCs w:val="16"/>
          <w:lang w:eastAsia="en-GB"/>
        </w:rPr>
      </w:pPr>
      <w:proofErr w:type="gramStart"/>
      <w:r w:rsidRPr="006B5915">
        <w:rPr>
          <w:rFonts w:ascii="Verdana" w:eastAsia="Times New Roman" w:hAnsi="Verdana" w:cs="Calibri"/>
          <w:bCs/>
          <w:color w:val="333333"/>
          <w:sz w:val="16"/>
          <w:szCs w:val="16"/>
          <w:lang w:eastAsia="en-GB"/>
        </w:rPr>
        <w:t xml:space="preserve">Adjusted </w:t>
      </w:r>
      <w:bookmarkStart w:id="37" w:name="_GoBack"/>
      <w:bookmarkEnd w:id="37"/>
      <w:r w:rsidRPr="006B5915">
        <w:rPr>
          <w:rFonts w:ascii="Verdana" w:eastAsia="Times New Roman" w:hAnsi="Verdana" w:cs="Calibri"/>
          <w:bCs/>
          <w:color w:val="333333"/>
          <w:sz w:val="16"/>
          <w:szCs w:val="16"/>
          <w:lang w:eastAsia="en-GB"/>
        </w:rPr>
        <w:t>for confounders as in table 3.</w:t>
      </w:r>
      <w:proofErr w:type="gramEnd"/>
      <w:r w:rsidRPr="006B5915">
        <w:rPr>
          <w:sz w:val="16"/>
          <w:szCs w:val="16"/>
        </w:rPr>
        <w:t xml:space="preserve"> </w:t>
      </w:r>
      <w:r w:rsidRPr="006B5915">
        <w:rPr>
          <w:rFonts w:ascii="Verdana" w:eastAsia="Times New Roman" w:hAnsi="Verdana" w:cs="Calibri"/>
          <w:bCs/>
          <w:color w:val="333333"/>
          <w:sz w:val="16"/>
          <w:szCs w:val="16"/>
          <w:lang w:eastAsia="en-GB"/>
        </w:rPr>
        <w:t xml:space="preserve">* at least some days in the last week. † Complete case analysis includes single imputed values for PedsQL, Hospital anxiety and depression scale, Parenting daily hassles scale as described in methods * in the last 24 hours ** at least some days in the last week. </w:t>
      </w:r>
      <w:r w:rsidRPr="006B5915">
        <w:rPr>
          <w:rFonts w:ascii="Verdana" w:hAnsi="Verdana" w:cs="Calibri"/>
          <w:bCs/>
          <w:color w:val="333333"/>
          <w:sz w:val="16"/>
          <w:szCs w:val="16"/>
          <w:lang w:eastAsia="en-GB"/>
        </w:rPr>
        <w:t>P</w:t>
      </w:r>
      <w:r w:rsidRPr="006B5915">
        <w:rPr>
          <w:rFonts w:ascii="Verdana" w:hAnsi="Verdana" w:cs="Calibri"/>
          <w:bCs/>
          <w:color w:val="333333"/>
          <w:sz w:val="16"/>
          <w:szCs w:val="16"/>
          <w:vertAlign w:val="subscript"/>
          <w:lang w:eastAsia="en-GB"/>
        </w:rPr>
        <w:t>CC</w:t>
      </w:r>
      <w:r w:rsidRPr="006B5915">
        <w:rPr>
          <w:rFonts w:ascii="Verdana" w:hAnsi="Verdana" w:cs="Calibri"/>
          <w:bCs/>
          <w:color w:val="333333"/>
          <w:sz w:val="16"/>
          <w:szCs w:val="16"/>
          <w:lang w:eastAsia="en-GB"/>
        </w:rPr>
        <w:t xml:space="preserve">= P value from complete case analysis. </w:t>
      </w:r>
    </w:p>
    <w:p w:rsidR="00610C31" w:rsidRPr="00477D6D" w:rsidRDefault="00610C31" w:rsidP="00610C31">
      <w:pPr>
        <w:spacing w:after="0" w:line="240" w:lineRule="auto"/>
        <w:contextualSpacing/>
        <w:rPr>
          <w:rFonts w:ascii="Verdana" w:eastAsia="Times New Roman" w:hAnsi="Verdana" w:cs="Calibri"/>
          <w:bCs/>
          <w:color w:val="333333"/>
          <w:sz w:val="16"/>
          <w:szCs w:val="16"/>
          <w:lang w:eastAsia="en-GB"/>
        </w:rPr>
      </w:pPr>
      <w:r w:rsidRPr="006B5915">
        <w:rPr>
          <w:rFonts w:ascii="Verdana" w:hAnsi="Verdana" w:cs="Calibri"/>
          <w:bCs/>
          <w:color w:val="333333"/>
          <w:sz w:val="16"/>
          <w:szCs w:val="16"/>
          <w:lang w:eastAsia="en-GB"/>
        </w:rPr>
        <w:t>P</w:t>
      </w:r>
      <w:r w:rsidRPr="006B5915">
        <w:rPr>
          <w:rFonts w:ascii="Verdana" w:hAnsi="Verdana" w:cs="Calibri"/>
          <w:bCs/>
          <w:color w:val="333333"/>
          <w:sz w:val="16"/>
          <w:szCs w:val="16"/>
          <w:vertAlign w:val="subscript"/>
          <w:lang w:eastAsia="en-GB"/>
        </w:rPr>
        <w:t>MI</w:t>
      </w:r>
      <w:r w:rsidRPr="006B5915">
        <w:rPr>
          <w:rFonts w:ascii="Verdana" w:hAnsi="Verdana" w:cs="Calibri"/>
          <w:bCs/>
          <w:color w:val="333333"/>
          <w:sz w:val="16"/>
          <w:szCs w:val="16"/>
          <w:lang w:eastAsia="en-GB"/>
        </w:rPr>
        <w:t>=P value from multiple imputation analysis</w:t>
      </w:r>
    </w:p>
    <w:p w:rsidR="00610C31" w:rsidRDefault="00610C31" w:rsidP="00610C31">
      <w:pPr>
        <w:spacing w:after="0" w:line="360" w:lineRule="auto"/>
        <w:contextualSpacing/>
        <w:rPr>
          <w:rFonts w:ascii="Verdana" w:eastAsia="Times New Roman" w:hAnsi="Verdana" w:cs="Calibri"/>
          <w:bCs/>
          <w:color w:val="333333"/>
          <w:sz w:val="16"/>
          <w:szCs w:val="16"/>
          <w:lang w:eastAsia="en-GB"/>
        </w:rPr>
      </w:pPr>
    </w:p>
    <w:p w:rsidR="00FB2A31" w:rsidRDefault="00FB2A31" w:rsidP="00610C31"/>
    <w:sectPr w:rsidR="00FB2A31" w:rsidSect="00FB2A31">
      <w:pgSz w:w="16838" w:h="11906" w:orient="landscape"/>
      <w:pgMar w:top="720" w:right="771"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D39" w:rsidRDefault="00E00D39">
      <w:pPr>
        <w:spacing w:after="0" w:line="240" w:lineRule="auto"/>
      </w:pPr>
      <w:r>
        <w:separator/>
      </w:r>
    </w:p>
  </w:endnote>
  <w:endnote w:type="continuationSeparator" w:id="0">
    <w:p w:rsidR="00E00D39" w:rsidRDefault="00E0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656196"/>
      <w:docPartObj>
        <w:docPartGallery w:val="Page Numbers (Bottom of Page)"/>
        <w:docPartUnique/>
      </w:docPartObj>
    </w:sdtPr>
    <w:sdtEndPr>
      <w:rPr>
        <w:noProof/>
      </w:rPr>
    </w:sdtEndPr>
    <w:sdtContent>
      <w:p w:rsidR="00FB2A31" w:rsidRDefault="00FB2A31">
        <w:pPr>
          <w:pStyle w:val="Footer"/>
          <w:jc w:val="center"/>
        </w:pPr>
        <w:r>
          <w:fldChar w:fldCharType="begin"/>
        </w:r>
        <w:r>
          <w:instrText xml:space="preserve"> PAGE   \* MERGEFORMAT </w:instrText>
        </w:r>
        <w:r>
          <w:fldChar w:fldCharType="separate"/>
        </w:r>
        <w:r w:rsidR="00B51502">
          <w:rPr>
            <w:noProof/>
          </w:rPr>
          <w:t>30</w:t>
        </w:r>
        <w:r>
          <w:rPr>
            <w:noProof/>
          </w:rPr>
          <w:fldChar w:fldCharType="end"/>
        </w:r>
      </w:p>
    </w:sdtContent>
  </w:sdt>
  <w:p w:rsidR="00FB2A31" w:rsidRDefault="00FB2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D39" w:rsidRDefault="00E00D39">
      <w:pPr>
        <w:spacing w:after="0" w:line="240" w:lineRule="auto"/>
      </w:pPr>
      <w:r>
        <w:separator/>
      </w:r>
    </w:p>
  </w:footnote>
  <w:footnote w:type="continuationSeparator" w:id="0">
    <w:p w:rsidR="00E00D39" w:rsidRDefault="00E00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50E"/>
    <w:multiLevelType w:val="multilevel"/>
    <w:tmpl w:val="1F4C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653AF"/>
    <w:multiLevelType w:val="hybridMultilevel"/>
    <w:tmpl w:val="6430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C26EA9"/>
    <w:multiLevelType w:val="hybridMultilevel"/>
    <w:tmpl w:val="F4088A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CF5DD0"/>
    <w:multiLevelType w:val="hybridMultilevel"/>
    <w:tmpl w:val="B0C61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DC40C3"/>
    <w:multiLevelType w:val="hybridMultilevel"/>
    <w:tmpl w:val="9B42B2E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69216B33"/>
    <w:multiLevelType w:val="hybridMultilevel"/>
    <w:tmpl w:val="A63E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A34908"/>
    <w:multiLevelType w:val="hybridMultilevel"/>
    <w:tmpl w:val="B0C61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97473"/>
    <w:rsid w:val="00403057"/>
    <w:rsid w:val="00426243"/>
    <w:rsid w:val="005E7FB6"/>
    <w:rsid w:val="00610C31"/>
    <w:rsid w:val="006B5915"/>
    <w:rsid w:val="00797473"/>
    <w:rsid w:val="007B2A84"/>
    <w:rsid w:val="008C2963"/>
    <w:rsid w:val="00AA5013"/>
    <w:rsid w:val="00B130E5"/>
    <w:rsid w:val="00B27A45"/>
    <w:rsid w:val="00B45560"/>
    <w:rsid w:val="00B51502"/>
    <w:rsid w:val="00CD246C"/>
    <w:rsid w:val="00D41E32"/>
    <w:rsid w:val="00DE46F6"/>
    <w:rsid w:val="00E00D39"/>
    <w:rsid w:val="00FB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473"/>
    <w:pPr>
      <w:ind w:left="720"/>
      <w:contextualSpacing/>
    </w:pPr>
    <w:rPr>
      <w:rFonts w:eastAsia="Times New Roman"/>
    </w:rPr>
  </w:style>
  <w:style w:type="character" w:styleId="CommentReference">
    <w:name w:val="annotation reference"/>
    <w:uiPriority w:val="99"/>
    <w:rsid w:val="00797473"/>
    <w:rPr>
      <w:rFonts w:cs="Times New Roman"/>
      <w:sz w:val="16"/>
      <w:szCs w:val="16"/>
    </w:rPr>
  </w:style>
  <w:style w:type="paragraph" w:styleId="CommentText">
    <w:name w:val="annotation text"/>
    <w:basedOn w:val="Normal"/>
    <w:link w:val="CommentTextChar"/>
    <w:uiPriority w:val="99"/>
    <w:rsid w:val="00797473"/>
    <w:pPr>
      <w:spacing w:line="240" w:lineRule="auto"/>
    </w:pPr>
    <w:rPr>
      <w:rFonts w:eastAsia="Times New Roman"/>
    </w:rPr>
  </w:style>
  <w:style w:type="character" w:customStyle="1" w:styleId="CommentTextChar">
    <w:name w:val="Comment Text Char"/>
    <w:link w:val="CommentText"/>
    <w:uiPriority w:val="99"/>
    <w:rsid w:val="00797473"/>
    <w:rPr>
      <w:rFonts w:ascii="Calibri" w:eastAsia="Times New Roman" w:hAnsi="Calibri" w:cs="Times New Roman"/>
    </w:rPr>
  </w:style>
  <w:style w:type="paragraph" w:styleId="BalloonText">
    <w:name w:val="Balloon Text"/>
    <w:basedOn w:val="Normal"/>
    <w:link w:val="BalloonTextChar"/>
    <w:uiPriority w:val="99"/>
    <w:semiHidden/>
    <w:rsid w:val="007974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473"/>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rsid w:val="00797473"/>
    <w:rPr>
      <w:rFonts w:eastAsia="Calibri"/>
      <w:b/>
      <w:bCs/>
      <w:sz w:val="20"/>
      <w:szCs w:val="20"/>
    </w:rPr>
  </w:style>
  <w:style w:type="character" w:customStyle="1" w:styleId="CommentSubjectChar">
    <w:name w:val="Comment Subject Char"/>
    <w:link w:val="CommentSubject"/>
    <w:uiPriority w:val="99"/>
    <w:semiHidden/>
    <w:rsid w:val="00797473"/>
    <w:rPr>
      <w:rFonts w:ascii="Calibri" w:eastAsia="Calibri" w:hAnsi="Calibri" w:cs="Times New Roman"/>
      <w:b/>
      <w:bCs/>
      <w:sz w:val="20"/>
      <w:szCs w:val="20"/>
    </w:rPr>
  </w:style>
  <w:style w:type="character" w:styleId="Hyperlink">
    <w:name w:val="Hyperlink"/>
    <w:uiPriority w:val="99"/>
    <w:rsid w:val="00797473"/>
    <w:rPr>
      <w:rFonts w:cs="Times New Roman"/>
      <w:color w:val="0000FF"/>
      <w:u w:val="single"/>
    </w:rPr>
  </w:style>
  <w:style w:type="paragraph" w:styleId="NormalWeb">
    <w:name w:val="Normal (Web)"/>
    <w:basedOn w:val="Normal"/>
    <w:uiPriority w:val="99"/>
    <w:unhideWhenUsed/>
    <w:rsid w:val="00797473"/>
    <w:pPr>
      <w:spacing w:before="100" w:beforeAutospacing="1" w:after="100" w:afterAutospacing="1" w:line="240" w:lineRule="auto"/>
    </w:pPr>
    <w:rPr>
      <w:rFonts w:ascii="Times New Roman" w:eastAsia="Times New Roman" w:hAnsi="Times New Roman"/>
      <w:color w:val="000000"/>
      <w:sz w:val="24"/>
      <w:szCs w:val="24"/>
      <w:lang w:eastAsia="en-GB"/>
    </w:rPr>
  </w:style>
  <w:style w:type="character" w:styleId="Emphasis">
    <w:name w:val="Emphasis"/>
    <w:basedOn w:val="DefaultParagraphFont"/>
    <w:uiPriority w:val="20"/>
    <w:qFormat/>
    <w:rsid w:val="00797473"/>
    <w:rPr>
      <w:i/>
      <w:iCs/>
    </w:rPr>
  </w:style>
  <w:style w:type="character" w:styleId="FollowedHyperlink">
    <w:name w:val="FollowedHyperlink"/>
    <w:basedOn w:val="DefaultParagraphFont"/>
    <w:uiPriority w:val="99"/>
    <w:semiHidden/>
    <w:unhideWhenUsed/>
    <w:rsid w:val="00797473"/>
    <w:rPr>
      <w:color w:val="800080" w:themeColor="followedHyperlink"/>
      <w:u w:val="single"/>
    </w:rPr>
  </w:style>
  <w:style w:type="paragraph" w:styleId="Revision">
    <w:name w:val="Revision"/>
    <w:hidden/>
    <w:uiPriority w:val="99"/>
    <w:semiHidden/>
    <w:rsid w:val="0079747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9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473"/>
    <w:rPr>
      <w:rFonts w:ascii="Calibri" w:eastAsia="Calibri" w:hAnsi="Calibri" w:cs="Times New Roman"/>
    </w:rPr>
  </w:style>
  <w:style w:type="paragraph" w:styleId="Footer">
    <w:name w:val="footer"/>
    <w:basedOn w:val="Normal"/>
    <w:link w:val="FooterChar"/>
    <w:uiPriority w:val="99"/>
    <w:unhideWhenUsed/>
    <w:rsid w:val="0079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473"/>
    <w:rPr>
      <w:rFonts w:ascii="Calibri" w:eastAsia="Calibri" w:hAnsi="Calibri" w:cs="Times New Roman"/>
    </w:rPr>
  </w:style>
  <w:style w:type="character" w:customStyle="1" w:styleId="apple-converted-space">
    <w:name w:val="apple-converted-space"/>
    <w:basedOn w:val="DefaultParagraphFont"/>
    <w:rsid w:val="00797473"/>
  </w:style>
  <w:style w:type="paragraph" w:styleId="PlainText">
    <w:name w:val="Plain Text"/>
    <w:basedOn w:val="Normal"/>
    <w:link w:val="PlainTextChar"/>
    <w:uiPriority w:val="99"/>
    <w:semiHidden/>
    <w:unhideWhenUsed/>
    <w:rsid w:val="00797473"/>
    <w:pPr>
      <w:spacing w:after="0" w:line="240" w:lineRule="auto"/>
    </w:pPr>
    <w:rPr>
      <w:rFonts w:eastAsiaTheme="minorHAnsi"/>
    </w:rPr>
  </w:style>
  <w:style w:type="character" w:customStyle="1" w:styleId="PlainTextChar">
    <w:name w:val="Plain Text Char"/>
    <w:basedOn w:val="DefaultParagraphFont"/>
    <w:link w:val="PlainText"/>
    <w:uiPriority w:val="99"/>
    <w:semiHidden/>
    <w:rsid w:val="00797473"/>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473"/>
    <w:pPr>
      <w:ind w:left="720"/>
      <w:contextualSpacing/>
    </w:pPr>
    <w:rPr>
      <w:rFonts w:eastAsia="Times New Roman"/>
    </w:rPr>
  </w:style>
  <w:style w:type="character" w:styleId="CommentReference">
    <w:name w:val="annotation reference"/>
    <w:uiPriority w:val="99"/>
    <w:rsid w:val="00797473"/>
    <w:rPr>
      <w:rFonts w:cs="Times New Roman"/>
      <w:sz w:val="16"/>
      <w:szCs w:val="16"/>
    </w:rPr>
  </w:style>
  <w:style w:type="paragraph" w:styleId="CommentText">
    <w:name w:val="annotation text"/>
    <w:basedOn w:val="Normal"/>
    <w:link w:val="CommentTextChar"/>
    <w:uiPriority w:val="99"/>
    <w:rsid w:val="00797473"/>
    <w:pPr>
      <w:spacing w:line="240" w:lineRule="auto"/>
    </w:pPr>
    <w:rPr>
      <w:rFonts w:eastAsia="Times New Roman"/>
    </w:rPr>
  </w:style>
  <w:style w:type="character" w:customStyle="1" w:styleId="CommentTextChar">
    <w:name w:val="Comment Text Char"/>
    <w:link w:val="CommentText"/>
    <w:uiPriority w:val="99"/>
    <w:rsid w:val="00797473"/>
    <w:rPr>
      <w:rFonts w:ascii="Calibri" w:eastAsia="Times New Roman" w:hAnsi="Calibri" w:cs="Times New Roman"/>
    </w:rPr>
  </w:style>
  <w:style w:type="paragraph" w:styleId="BalloonText">
    <w:name w:val="Balloon Text"/>
    <w:basedOn w:val="Normal"/>
    <w:link w:val="BalloonTextChar"/>
    <w:uiPriority w:val="99"/>
    <w:semiHidden/>
    <w:rsid w:val="007974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473"/>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rsid w:val="00797473"/>
    <w:rPr>
      <w:rFonts w:eastAsia="Calibri"/>
      <w:b/>
      <w:bCs/>
      <w:sz w:val="20"/>
      <w:szCs w:val="20"/>
    </w:rPr>
  </w:style>
  <w:style w:type="character" w:customStyle="1" w:styleId="CommentSubjectChar">
    <w:name w:val="Comment Subject Char"/>
    <w:link w:val="CommentSubject"/>
    <w:uiPriority w:val="99"/>
    <w:semiHidden/>
    <w:rsid w:val="00797473"/>
    <w:rPr>
      <w:rFonts w:ascii="Calibri" w:eastAsia="Calibri" w:hAnsi="Calibri" w:cs="Times New Roman"/>
      <w:b/>
      <w:bCs/>
      <w:sz w:val="20"/>
      <w:szCs w:val="20"/>
    </w:rPr>
  </w:style>
  <w:style w:type="character" w:styleId="Hyperlink">
    <w:name w:val="Hyperlink"/>
    <w:uiPriority w:val="99"/>
    <w:rsid w:val="00797473"/>
    <w:rPr>
      <w:rFonts w:cs="Times New Roman"/>
      <w:color w:val="0000FF"/>
      <w:u w:val="single"/>
    </w:rPr>
  </w:style>
  <w:style w:type="paragraph" w:styleId="NormalWeb">
    <w:name w:val="Normal (Web)"/>
    <w:basedOn w:val="Normal"/>
    <w:uiPriority w:val="99"/>
    <w:unhideWhenUsed/>
    <w:rsid w:val="00797473"/>
    <w:pPr>
      <w:spacing w:before="100" w:beforeAutospacing="1" w:after="100" w:afterAutospacing="1" w:line="240" w:lineRule="auto"/>
    </w:pPr>
    <w:rPr>
      <w:rFonts w:ascii="Times New Roman" w:eastAsia="Times New Roman" w:hAnsi="Times New Roman"/>
      <w:color w:val="000000"/>
      <w:sz w:val="24"/>
      <w:szCs w:val="24"/>
      <w:lang w:eastAsia="en-GB"/>
    </w:rPr>
  </w:style>
  <w:style w:type="character" w:styleId="Emphasis">
    <w:name w:val="Emphasis"/>
    <w:basedOn w:val="DefaultParagraphFont"/>
    <w:uiPriority w:val="20"/>
    <w:qFormat/>
    <w:rsid w:val="00797473"/>
    <w:rPr>
      <w:i/>
      <w:iCs/>
    </w:rPr>
  </w:style>
  <w:style w:type="character" w:styleId="FollowedHyperlink">
    <w:name w:val="FollowedHyperlink"/>
    <w:basedOn w:val="DefaultParagraphFont"/>
    <w:uiPriority w:val="99"/>
    <w:semiHidden/>
    <w:unhideWhenUsed/>
    <w:rsid w:val="00797473"/>
    <w:rPr>
      <w:color w:val="800080" w:themeColor="followedHyperlink"/>
      <w:u w:val="single"/>
    </w:rPr>
  </w:style>
  <w:style w:type="paragraph" w:styleId="Revision">
    <w:name w:val="Revision"/>
    <w:hidden/>
    <w:uiPriority w:val="99"/>
    <w:semiHidden/>
    <w:rsid w:val="0079747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9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473"/>
    <w:rPr>
      <w:rFonts w:ascii="Calibri" w:eastAsia="Calibri" w:hAnsi="Calibri" w:cs="Times New Roman"/>
    </w:rPr>
  </w:style>
  <w:style w:type="paragraph" w:styleId="Footer">
    <w:name w:val="footer"/>
    <w:basedOn w:val="Normal"/>
    <w:link w:val="FooterChar"/>
    <w:uiPriority w:val="99"/>
    <w:unhideWhenUsed/>
    <w:rsid w:val="0079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473"/>
    <w:rPr>
      <w:rFonts w:ascii="Calibri" w:eastAsia="Calibri" w:hAnsi="Calibri" w:cs="Times New Roman"/>
    </w:rPr>
  </w:style>
  <w:style w:type="character" w:customStyle="1" w:styleId="apple-converted-space">
    <w:name w:val="apple-converted-space"/>
    <w:basedOn w:val="DefaultParagraphFont"/>
    <w:rsid w:val="00797473"/>
  </w:style>
  <w:style w:type="paragraph" w:styleId="PlainText">
    <w:name w:val="Plain Text"/>
    <w:basedOn w:val="Normal"/>
    <w:link w:val="PlainTextChar"/>
    <w:uiPriority w:val="99"/>
    <w:semiHidden/>
    <w:unhideWhenUsed/>
    <w:rsid w:val="00797473"/>
    <w:pPr>
      <w:spacing w:after="0" w:line="240" w:lineRule="auto"/>
    </w:pPr>
    <w:rPr>
      <w:rFonts w:eastAsiaTheme="minorHAnsi"/>
    </w:rPr>
  </w:style>
  <w:style w:type="character" w:customStyle="1" w:styleId="PlainTextChar">
    <w:name w:val="Plain Text Char"/>
    <w:basedOn w:val="DefaultParagraphFont"/>
    <w:link w:val="PlainText"/>
    <w:uiPriority w:val="99"/>
    <w:semiHidden/>
    <w:rsid w:val="0079747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kendrick@nottingham.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30</Pages>
  <Words>6945</Words>
  <Characters>39588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Pepper Pamela</dc:creator>
  <cp:lastModifiedBy>Pepper Pamela</cp:lastModifiedBy>
  <cp:revision>4</cp:revision>
  <dcterms:created xsi:type="dcterms:W3CDTF">2015-02-10T09:24:00Z</dcterms:created>
  <dcterms:modified xsi:type="dcterms:W3CDTF">2015-02-10T10:28:00Z</dcterms:modified>
</cp:coreProperties>
</file>