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E961" w14:textId="7D726502" w:rsidR="00192C8C" w:rsidRPr="00192C8C" w:rsidRDefault="00D87A4E" w:rsidP="000D461F">
      <w:pPr>
        <w:pStyle w:val="Heading2"/>
        <w:jc w:val="center"/>
      </w:pPr>
      <w:r>
        <w:t>P</w:t>
      </w:r>
      <w:r w:rsidR="00192C8C" w:rsidRPr="00192C8C">
        <w:t>lurali</w:t>
      </w:r>
      <w:r w:rsidR="00192C8C">
        <w:t>stic therapy for depression: A</w:t>
      </w:r>
      <w:r>
        <w:t xml:space="preserve">cceptability, outcomes and helpful </w:t>
      </w:r>
      <w:r w:rsidR="0066316D">
        <w:t xml:space="preserve">aspects </w:t>
      </w:r>
      <w:r>
        <w:t xml:space="preserve">in a </w:t>
      </w:r>
      <w:r w:rsidR="00192C8C">
        <w:t xml:space="preserve">multisite </w:t>
      </w:r>
      <w:r w:rsidR="00192C8C" w:rsidRPr="00192C8C">
        <w:t>open-label trial</w:t>
      </w:r>
    </w:p>
    <w:p w14:paraId="574C5BB4" w14:textId="77777777" w:rsidR="00192C8C" w:rsidRPr="00192C8C" w:rsidRDefault="00192C8C" w:rsidP="000D461F">
      <w:pPr>
        <w:pStyle w:val="NoSpacing"/>
        <w:tabs>
          <w:tab w:val="left" w:pos="851"/>
        </w:tabs>
        <w:spacing w:line="480" w:lineRule="auto"/>
        <w:rPr>
          <w:rFonts w:ascii="Times New Roman" w:hAnsi="Times New Roman" w:cs="Times New Roman"/>
          <w:sz w:val="24"/>
          <w:szCs w:val="24"/>
        </w:rPr>
      </w:pPr>
    </w:p>
    <w:p w14:paraId="3DDDF387" w14:textId="644B815E" w:rsidR="00463899" w:rsidRDefault="00192C8C" w:rsidP="000D461F">
      <w:pPr>
        <w:pStyle w:val="NoSpacing"/>
        <w:tabs>
          <w:tab w:val="left" w:pos="851"/>
        </w:tabs>
        <w:spacing w:line="480" w:lineRule="auto"/>
        <w:rPr>
          <w:rFonts w:ascii="Times New Roman" w:hAnsi="Times New Roman" w:cs="Times New Roman"/>
          <w:sz w:val="24"/>
          <w:szCs w:val="24"/>
        </w:rPr>
      </w:pPr>
      <w:r w:rsidRPr="00192C8C">
        <w:rPr>
          <w:rFonts w:ascii="Times New Roman" w:hAnsi="Times New Roman" w:cs="Times New Roman"/>
          <w:sz w:val="24"/>
          <w:szCs w:val="24"/>
        </w:rPr>
        <w:t>Mick Cooper</w:t>
      </w:r>
      <w:r w:rsidRPr="00192C8C">
        <w:rPr>
          <w:rFonts w:ascii="Times New Roman" w:hAnsi="Times New Roman" w:cs="Times New Roman"/>
          <w:sz w:val="24"/>
          <w:szCs w:val="24"/>
          <w:vertAlign w:val="superscript"/>
        </w:rPr>
        <w:t>1</w:t>
      </w:r>
      <w:r w:rsidRPr="00192C8C">
        <w:rPr>
          <w:rFonts w:ascii="Times New Roman" w:hAnsi="Times New Roman" w:cs="Times New Roman"/>
          <w:sz w:val="24"/>
          <w:szCs w:val="24"/>
        </w:rPr>
        <w:t>, Ciara Wild</w:t>
      </w:r>
      <w:r w:rsidR="00DC7FE4">
        <w:rPr>
          <w:rFonts w:ascii="Times New Roman" w:hAnsi="Times New Roman" w:cs="Times New Roman"/>
          <w:sz w:val="24"/>
          <w:szCs w:val="24"/>
          <w:vertAlign w:val="superscript"/>
        </w:rPr>
        <w:t>2</w:t>
      </w:r>
      <w:r w:rsidR="00DC7FE4">
        <w:rPr>
          <w:rFonts w:ascii="Times New Roman" w:hAnsi="Times New Roman" w:cs="Times New Roman"/>
          <w:sz w:val="24"/>
          <w:szCs w:val="24"/>
        </w:rPr>
        <w:t>, B</w:t>
      </w:r>
      <w:r w:rsidRPr="00192C8C">
        <w:rPr>
          <w:rFonts w:ascii="Times New Roman" w:hAnsi="Times New Roman" w:cs="Times New Roman"/>
          <w:sz w:val="24"/>
          <w:szCs w:val="24"/>
        </w:rPr>
        <w:t>iljana van Rijn</w:t>
      </w:r>
      <w:r w:rsidRPr="00192C8C">
        <w:rPr>
          <w:rFonts w:ascii="Times New Roman" w:hAnsi="Times New Roman" w:cs="Times New Roman"/>
          <w:sz w:val="24"/>
          <w:szCs w:val="24"/>
          <w:vertAlign w:val="superscript"/>
        </w:rPr>
        <w:t>2</w:t>
      </w:r>
      <w:r w:rsidRPr="00192C8C">
        <w:rPr>
          <w:rFonts w:ascii="Times New Roman" w:hAnsi="Times New Roman" w:cs="Times New Roman"/>
          <w:sz w:val="24"/>
          <w:szCs w:val="24"/>
        </w:rPr>
        <w:t>, Tony Ward</w:t>
      </w:r>
      <w:r w:rsidRPr="00192C8C">
        <w:rPr>
          <w:rFonts w:ascii="Times New Roman" w:hAnsi="Times New Roman" w:cs="Times New Roman"/>
          <w:sz w:val="24"/>
          <w:szCs w:val="24"/>
          <w:vertAlign w:val="superscript"/>
        </w:rPr>
        <w:t>3</w:t>
      </w:r>
      <w:r w:rsidRPr="00192C8C">
        <w:rPr>
          <w:rFonts w:ascii="Times New Roman" w:hAnsi="Times New Roman" w:cs="Times New Roman"/>
          <w:sz w:val="24"/>
          <w:szCs w:val="24"/>
        </w:rPr>
        <w:t>, John McLeod</w:t>
      </w:r>
      <w:r w:rsidRPr="00192C8C">
        <w:rPr>
          <w:rFonts w:ascii="Times New Roman" w:hAnsi="Times New Roman" w:cs="Times New Roman"/>
          <w:sz w:val="24"/>
          <w:szCs w:val="24"/>
          <w:vertAlign w:val="superscript"/>
        </w:rPr>
        <w:t>4</w:t>
      </w:r>
      <w:r w:rsidRPr="00192C8C">
        <w:rPr>
          <w:rFonts w:ascii="Times New Roman" w:hAnsi="Times New Roman" w:cs="Times New Roman"/>
          <w:sz w:val="24"/>
          <w:szCs w:val="24"/>
        </w:rPr>
        <w:t>, Simon Cassar</w:t>
      </w:r>
      <w:r w:rsidRPr="00192C8C">
        <w:rPr>
          <w:rFonts w:ascii="Times New Roman" w:hAnsi="Times New Roman" w:cs="Times New Roman"/>
          <w:sz w:val="24"/>
          <w:szCs w:val="24"/>
          <w:vertAlign w:val="superscript"/>
        </w:rPr>
        <w:t>5</w:t>
      </w:r>
      <w:r w:rsidR="00463899">
        <w:rPr>
          <w:rFonts w:ascii="Times New Roman" w:hAnsi="Times New Roman" w:cs="Times New Roman"/>
          <w:sz w:val="24"/>
          <w:szCs w:val="24"/>
        </w:rPr>
        <w:t>, Pavlina Antoniou</w:t>
      </w:r>
      <w:r w:rsidR="00463899" w:rsidRPr="00192C8C">
        <w:rPr>
          <w:rFonts w:ascii="Times New Roman" w:hAnsi="Times New Roman" w:cs="Times New Roman"/>
          <w:sz w:val="24"/>
          <w:szCs w:val="24"/>
          <w:vertAlign w:val="superscript"/>
        </w:rPr>
        <w:t>1</w:t>
      </w:r>
      <w:r w:rsidR="00463899">
        <w:rPr>
          <w:rFonts w:ascii="Times New Roman" w:hAnsi="Times New Roman" w:cs="Times New Roman"/>
          <w:sz w:val="24"/>
          <w:szCs w:val="24"/>
        </w:rPr>
        <w:t>, Christina Michael</w:t>
      </w:r>
      <w:r w:rsidR="00463899" w:rsidRPr="00192C8C">
        <w:rPr>
          <w:rFonts w:ascii="Times New Roman" w:hAnsi="Times New Roman" w:cs="Times New Roman"/>
          <w:sz w:val="24"/>
          <w:szCs w:val="24"/>
          <w:vertAlign w:val="superscript"/>
        </w:rPr>
        <w:t>1</w:t>
      </w:r>
      <w:r w:rsidR="00463899" w:rsidRPr="00C02A4E">
        <w:rPr>
          <w:rFonts w:ascii="Times New Roman" w:hAnsi="Times New Roman" w:cs="Times New Roman"/>
          <w:sz w:val="24"/>
          <w:szCs w:val="24"/>
        </w:rPr>
        <w:t xml:space="preserve">, </w:t>
      </w:r>
      <w:r w:rsidR="00C02A4E" w:rsidRPr="00C02A4E">
        <w:rPr>
          <w:rFonts w:ascii="Times New Roman" w:hAnsi="Times New Roman" w:cs="Times New Roman"/>
          <w:sz w:val="24"/>
          <w:szCs w:val="24"/>
        </w:rPr>
        <w:t>Maria Michalitsi</w:t>
      </w:r>
      <w:r w:rsidR="00C02A4E" w:rsidRPr="00192C8C">
        <w:rPr>
          <w:rFonts w:ascii="Times New Roman" w:hAnsi="Times New Roman" w:cs="Times New Roman"/>
          <w:sz w:val="24"/>
          <w:szCs w:val="24"/>
          <w:vertAlign w:val="superscript"/>
        </w:rPr>
        <w:t>1</w:t>
      </w:r>
      <w:r w:rsidR="00C02A4E" w:rsidRPr="00C02A4E">
        <w:rPr>
          <w:rFonts w:ascii="Times New Roman" w:hAnsi="Times New Roman" w:cs="Times New Roman"/>
          <w:sz w:val="24"/>
          <w:szCs w:val="24"/>
        </w:rPr>
        <w:t xml:space="preserve">, </w:t>
      </w:r>
      <w:r w:rsidR="00463899">
        <w:rPr>
          <w:rFonts w:ascii="Times New Roman" w:hAnsi="Times New Roman" w:cs="Times New Roman"/>
          <w:sz w:val="24"/>
          <w:szCs w:val="24"/>
        </w:rPr>
        <w:t>Shilpa Sreenath</w:t>
      </w:r>
      <w:r w:rsidR="00463899" w:rsidRPr="00192C8C">
        <w:rPr>
          <w:rFonts w:ascii="Times New Roman" w:hAnsi="Times New Roman" w:cs="Times New Roman"/>
          <w:sz w:val="24"/>
          <w:szCs w:val="24"/>
          <w:vertAlign w:val="superscript"/>
        </w:rPr>
        <w:t>1</w:t>
      </w:r>
    </w:p>
    <w:p w14:paraId="2533E9B9" w14:textId="77777777" w:rsidR="00463899" w:rsidRPr="00192C8C" w:rsidRDefault="00463899" w:rsidP="000D461F">
      <w:pPr>
        <w:pStyle w:val="NoSpacing"/>
        <w:tabs>
          <w:tab w:val="left" w:pos="851"/>
        </w:tabs>
        <w:spacing w:line="480" w:lineRule="auto"/>
        <w:rPr>
          <w:rFonts w:ascii="Times New Roman" w:hAnsi="Times New Roman" w:cs="Times New Roman"/>
          <w:sz w:val="24"/>
          <w:szCs w:val="24"/>
        </w:rPr>
      </w:pPr>
    </w:p>
    <w:p w14:paraId="4113E745" w14:textId="0FAB68BE" w:rsidR="00192C8C" w:rsidRPr="00192C8C" w:rsidRDefault="00192C8C" w:rsidP="000D461F">
      <w:pPr>
        <w:pStyle w:val="NoSpacing"/>
        <w:tabs>
          <w:tab w:val="left" w:pos="851"/>
        </w:tabs>
        <w:spacing w:line="480" w:lineRule="auto"/>
        <w:rPr>
          <w:rFonts w:ascii="Times New Roman" w:hAnsi="Times New Roman" w:cs="Times New Roman"/>
          <w:sz w:val="24"/>
          <w:szCs w:val="24"/>
        </w:rPr>
      </w:pPr>
      <w:r w:rsidRPr="00192C8C">
        <w:rPr>
          <w:rFonts w:ascii="Times New Roman" w:hAnsi="Times New Roman" w:cs="Times New Roman"/>
          <w:sz w:val="24"/>
          <w:szCs w:val="24"/>
          <w:vertAlign w:val="superscript"/>
        </w:rPr>
        <w:t>1</w:t>
      </w:r>
      <w:r w:rsidRPr="00192C8C">
        <w:rPr>
          <w:rFonts w:ascii="Times New Roman" w:hAnsi="Times New Roman" w:cs="Times New Roman"/>
          <w:sz w:val="24"/>
          <w:szCs w:val="24"/>
        </w:rPr>
        <w:t xml:space="preserve">University of </w:t>
      </w:r>
      <w:r w:rsidR="00463899">
        <w:rPr>
          <w:rFonts w:ascii="Times New Roman" w:hAnsi="Times New Roman" w:cs="Times New Roman"/>
          <w:sz w:val="24"/>
          <w:szCs w:val="24"/>
        </w:rPr>
        <w:t>Strathclyde</w:t>
      </w:r>
      <w:r w:rsidRPr="00192C8C">
        <w:rPr>
          <w:rFonts w:ascii="Times New Roman" w:hAnsi="Times New Roman" w:cs="Times New Roman"/>
          <w:sz w:val="24"/>
          <w:szCs w:val="24"/>
        </w:rPr>
        <w:t xml:space="preserve">, </w:t>
      </w:r>
      <w:r w:rsidR="00463899">
        <w:rPr>
          <w:rFonts w:ascii="Times New Roman" w:hAnsi="Times New Roman" w:cs="Times New Roman"/>
          <w:sz w:val="24"/>
          <w:szCs w:val="24"/>
        </w:rPr>
        <w:t>Glasgow</w:t>
      </w:r>
    </w:p>
    <w:p w14:paraId="36435004" w14:textId="05CDD09A" w:rsidR="00192C8C" w:rsidRPr="00192C8C" w:rsidRDefault="00192C8C" w:rsidP="000D461F">
      <w:pPr>
        <w:pStyle w:val="NoSpacing"/>
        <w:tabs>
          <w:tab w:val="left" w:pos="851"/>
        </w:tabs>
        <w:spacing w:line="480" w:lineRule="auto"/>
        <w:rPr>
          <w:rFonts w:ascii="Times New Roman" w:hAnsi="Times New Roman" w:cs="Times New Roman"/>
          <w:sz w:val="24"/>
          <w:szCs w:val="24"/>
        </w:rPr>
      </w:pPr>
      <w:r w:rsidRPr="00192C8C">
        <w:rPr>
          <w:rFonts w:ascii="Times New Roman" w:hAnsi="Times New Roman" w:cs="Times New Roman"/>
          <w:sz w:val="24"/>
          <w:szCs w:val="24"/>
          <w:vertAlign w:val="superscript"/>
        </w:rPr>
        <w:t>2</w:t>
      </w:r>
      <w:r w:rsidRPr="00192C8C">
        <w:rPr>
          <w:rFonts w:ascii="Times New Roman" w:hAnsi="Times New Roman" w:cs="Times New Roman"/>
          <w:sz w:val="24"/>
          <w:szCs w:val="24"/>
        </w:rPr>
        <w:t>Metanoia Institute, London</w:t>
      </w:r>
    </w:p>
    <w:p w14:paraId="4F61870A" w14:textId="676512D2" w:rsidR="00192C8C" w:rsidRPr="00192C8C" w:rsidRDefault="00192C8C" w:rsidP="000D461F">
      <w:pPr>
        <w:pStyle w:val="NoSpacing"/>
        <w:tabs>
          <w:tab w:val="left" w:pos="851"/>
        </w:tabs>
        <w:spacing w:line="480" w:lineRule="auto"/>
        <w:rPr>
          <w:rFonts w:ascii="Times New Roman" w:hAnsi="Times New Roman" w:cs="Times New Roman"/>
          <w:sz w:val="24"/>
          <w:szCs w:val="24"/>
        </w:rPr>
      </w:pPr>
      <w:r w:rsidRPr="00192C8C">
        <w:rPr>
          <w:rFonts w:ascii="Times New Roman" w:hAnsi="Times New Roman" w:cs="Times New Roman"/>
          <w:sz w:val="24"/>
          <w:szCs w:val="24"/>
          <w:vertAlign w:val="superscript"/>
        </w:rPr>
        <w:t>3</w:t>
      </w:r>
      <w:r w:rsidRPr="00192C8C">
        <w:rPr>
          <w:rFonts w:ascii="Times New Roman" w:hAnsi="Times New Roman" w:cs="Times New Roman"/>
          <w:sz w:val="24"/>
          <w:szCs w:val="24"/>
        </w:rPr>
        <w:t>University of West of England, Bristol</w:t>
      </w:r>
    </w:p>
    <w:p w14:paraId="60583A5C" w14:textId="222B7E64" w:rsidR="00192C8C" w:rsidRPr="00192C8C" w:rsidRDefault="00192C8C" w:rsidP="000D461F">
      <w:pPr>
        <w:pStyle w:val="NoSpacing"/>
        <w:tabs>
          <w:tab w:val="left" w:pos="851"/>
        </w:tabs>
        <w:spacing w:line="480" w:lineRule="auto"/>
        <w:rPr>
          <w:rFonts w:ascii="Times New Roman" w:hAnsi="Times New Roman" w:cs="Times New Roman"/>
          <w:sz w:val="24"/>
          <w:szCs w:val="24"/>
        </w:rPr>
      </w:pPr>
      <w:r w:rsidRPr="00192C8C">
        <w:rPr>
          <w:rFonts w:ascii="Times New Roman" w:hAnsi="Times New Roman" w:cs="Times New Roman"/>
          <w:sz w:val="24"/>
          <w:szCs w:val="24"/>
          <w:vertAlign w:val="superscript"/>
        </w:rPr>
        <w:t>4</w:t>
      </w:r>
      <w:r w:rsidRPr="00192C8C">
        <w:rPr>
          <w:rFonts w:ascii="Times New Roman" w:hAnsi="Times New Roman" w:cs="Times New Roman"/>
          <w:sz w:val="24"/>
          <w:szCs w:val="24"/>
        </w:rPr>
        <w:t>University of Abertay, Dundee</w:t>
      </w:r>
    </w:p>
    <w:p w14:paraId="6F4F83FC" w14:textId="6E613497" w:rsidR="00192C8C" w:rsidRPr="00192C8C" w:rsidRDefault="00192C8C" w:rsidP="000D461F">
      <w:pPr>
        <w:pStyle w:val="NoSpacing"/>
        <w:tabs>
          <w:tab w:val="left" w:pos="851"/>
        </w:tabs>
        <w:spacing w:line="480" w:lineRule="auto"/>
        <w:rPr>
          <w:rFonts w:ascii="Times New Roman" w:hAnsi="Times New Roman" w:cs="Times New Roman"/>
          <w:sz w:val="24"/>
          <w:szCs w:val="24"/>
        </w:rPr>
      </w:pPr>
      <w:r w:rsidRPr="00192C8C">
        <w:rPr>
          <w:rFonts w:ascii="Times New Roman" w:hAnsi="Times New Roman" w:cs="Times New Roman"/>
          <w:sz w:val="24"/>
          <w:szCs w:val="24"/>
          <w:vertAlign w:val="superscript"/>
        </w:rPr>
        <w:t>5</w:t>
      </w:r>
      <w:r w:rsidRPr="00192C8C">
        <w:rPr>
          <w:rFonts w:ascii="Times New Roman" w:hAnsi="Times New Roman" w:cs="Times New Roman"/>
          <w:sz w:val="24"/>
          <w:szCs w:val="24"/>
        </w:rPr>
        <w:t>University of Glasgow, Glasgow</w:t>
      </w:r>
    </w:p>
    <w:p w14:paraId="6B865F73" w14:textId="77777777" w:rsidR="00192C8C" w:rsidRPr="00192C8C" w:rsidRDefault="00192C8C" w:rsidP="000D461F">
      <w:pPr>
        <w:pStyle w:val="NoSpacing"/>
        <w:tabs>
          <w:tab w:val="left" w:pos="851"/>
        </w:tabs>
        <w:spacing w:line="480" w:lineRule="auto"/>
        <w:rPr>
          <w:rFonts w:ascii="Times New Roman" w:hAnsi="Times New Roman" w:cs="Times New Roman"/>
          <w:sz w:val="24"/>
          <w:szCs w:val="24"/>
        </w:rPr>
      </w:pPr>
    </w:p>
    <w:p w14:paraId="2615EA0B" w14:textId="31A0CF00" w:rsidR="00192C8C" w:rsidRPr="00192C8C" w:rsidRDefault="00192C8C" w:rsidP="000D461F">
      <w:pPr>
        <w:rPr>
          <w:rFonts w:eastAsiaTheme="minorEastAsia"/>
          <w:noProof/>
          <w:color w:val="000000"/>
          <w:lang w:eastAsia="en-GB"/>
        </w:rPr>
      </w:pPr>
      <w:r w:rsidRPr="00192C8C">
        <w:rPr>
          <w:rFonts w:eastAsiaTheme="minorEastAsia"/>
          <w:noProof/>
          <w:color w:val="000000"/>
          <w:lang w:eastAsia="en-GB"/>
        </w:rPr>
        <w:t xml:space="preserve">Mick Cooper, Department of Psychology, University of Roehampton, Holybourne Avenue, London SW15 4JD, </w:t>
      </w:r>
      <w:hyperlink r:id="rId9" w:history="1">
        <w:r w:rsidRPr="00192C8C">
          <w:rPr>
            <w:rStyle w:val="Hyperlink"/>
            <w:rFonts w:eastAsiaTheme="minorEastAsia"/>
            <w:noProof/>
            <w:lang w:eastAsia="en-GB"/>
          </w:rPr>
          <w:t>mick.cooper@roehampton.ac.uk</w:t>
        </w:r>
      </w:hyperlink>
      <w:r w:rsidRPr="00192C8C">
        <w:rPr>
          <w:rFonts w:eastAsiaTheme="minorEastAsia"/>
          <w:noProof/>
          <w:color w:val="000000"/>
          <w:lang w:eastAsia="en-GB"/>
        </w:rPr>
        <w:t xml:space="preserve"> , 0208 392 3741</w:t>
      </w:r>
    </w:p>
    <w:p w14:paraId="05F24863" w14:textId="77777777" w:rsidR="00192C8C" w:rsidRPr="00192C8C" w:rsidRDefault="00192C8C" w:rsidP="000D461F">
      <w:pPr>
        <w:pStyle w:val="NoSpacing"/>
        <w:tabs>
          <w:tab w:val="left" w:pos="851"/>
        </w:tabs>
        <w:spacing w:line="480" w:lineRule="auto"/>
        <w:rPr>
          <w:rFonts w:ascii="Times New Roman" w:hAnsi="Times New Roman" w:cs="Times New Roman"/>
          <w:sz w:val="24"/>
          <w:szCs w:val="24"/>
        </w:rPr>
      </w:pPr>
    </w:p>
    <w:p w14:paraId="71600E47" w14:textId="2C0800FF" w:rsidR="00192C8C" w:rsidRDefault="00192C8C" w:rsidP="000D461F">
      <w:pPr>
        <w:tabs>
          <w:tab w:val="left" w:pos="851"/>
        </w:tabs>
      </w:pPr>
      <w:r w:rsidRPr="00192C8C">
        <w:rPr>
          <w:b/>
        </w:rPr>
        <w:t>Acknowledgements.</w:t>
      </w:r>
      <w:r w:rsidRPr="00192C8C">
        <w:t xml:space="preserve"> </w:t>
      </w:r>
    </w:p>
    <w:p w14:paraId="0D109C41" w14:textId="0B434169" w:rsidR="00192C8C" w:rsidRPr="002D338A" w:rsidRDefault="002D338A" w:rsidP="000D461F">
      <w:pPr>
        <w:tabs>
          <w:tab w:val="left" w:pos="851"/>
        </w:tabs>
      </w:pPr>
      <w:r>
        <w:t xml:space="preserve">Supervision for this study was funded by a grant from the Division of Counselling Psychology, British Psychological Society.  Thanks to Terry Hanley for his support.  We are very grateful </w:t>
      </w:r>
      <w:r w:rsidRPr="002D338A">
        <w:t xml:space="preserve">to all </w:t>
      </w:r>
      <w:r>
        <w:t xml:space="preserve">the study </w:t>
      </w:r>
      <w:r w:rsidRPr="002D338A">
        <w:t>participants</w:t>
      </w:r>
      <w:r w:rsidR="00FB629C">
        <w:t>,</w:t>
      </w:r>
      <w:r>
        <w:t xml:space="preserve"> </w:t>
      </w:r>
      <w:r w:rsidRPr="002D338A">
        <w:t xml:space="preserve">and to </w:t>
      </w:r>
      <w:r>
        <w:t xml:space="preserve">the </w:t>
      </w:r>
      <w:r w:rsidRPr="002D338A">
        <w:t>practitioners and researchers</w:t>
      </w:r>
      <w:r>
        <w:t xml:space="preserve"> involved in this study</w:t>
      </w:r>
      <w:r w:rsidRPr="002D338A">
        <w:t xml:space="preserve">: Suzan Ayse Aylindar, Sunny </w:t>
      </w:r>
      <w:r>
        <w:t>Barnes</w:t>
      </w:r>
      <w:r w:rsidRPr="002D338A">
        <w:t>, Eleanor Brown, Jacky diCroce, Lia Foa, Carole Francis-Smith, John McAteer, Charlotte Mcevoy, Stratis Padeskis, Fani Papayianni</w:t>
      </w:r>
      <w:r>
        <w:t xml:space="preserve"> and </w:t>
      </w:r>
      <w:r w:rsidRPr="002D338A">
        <w:t>Adrian Tempier</w:t>
      </w:r>
      <w:r>
        <w:t>.</w:t>
      </w:r>
    </w:p>
    <w:p w14:paraId="514710A6" w14:textId="77777777" w:rsidR="00192C8C" w:rsidRPr="002D338A" w:rsidRDefault="00192C8C" w:rsidP="000D461F">
      <w:pPr>
        <w:tabs>
          <w:tab w:val="left" w:pos="851"/>
        </w:tabs>
        <w:rPr>
          <w:b/>
          <w:bCs/>
        </w:rPr>
      </w:pPr>
    </w:p>
    <w:p w14:paraId="2E56A27F" w14:textId="77777777" w:rsidR="00192C8C" w:rsidRPr="002D338A" w:rsidRDefault="00192C8C" w:rsidP="000D461F">
      <w:pPr>
        <w:tabs>
          <w:tab w:val="left" w:pos="851"/>
        </w:tabs>
        <w:rPr>
          <w:b/>
          <w:bCs/>
        </w:rPr>
      </w:pPr>
    </w:p>
    <w:p w14:paraId="5D0C283A" w14:textId="77777777" w:rsidR="00192C8C" w:rsidRDefault="00192C8C" w:rsidP="000D461F">
      <w:pPr>
        <w:spacing w:after="200"/>
        <w:ind w:firstLine="0"/>
        <w:rPr>
          <w:rFonts w:eastAsia="Times New Roman"/>
          <w:b/>
          <w:bCs/>
          <w:kern w:val="36"/>
          <w:lang w:eastAsia="tr-TR"/>
        </w:rPr>
      </w:pPr>
      <w:r>
        <w:br w:type="page"/>
      </w:r>
    </w:p>
    <w:p w14:paraId="3509B155" w14:textId="3770D97F" w:rsidR="00AD381E" w:rsidRDefault="00F87A78" w:rsidP="000D461F">
      <w:pPr>
        <w:pStyle w:val="Heading2"/>
        <w:jc w:val="center"/>
      </w:pPr>
      <w:r>
        <w:lastRenderedPageBreak/>
        <w:t>P</w:t>
      </w:r>
      <w:r w:rsidRPr="00192C8C">
        <w:t>lurali</w:t>
      </w:r>
      <w:r>
        <w:t xml:space="preserve">stic therapy for depression: Acceptability, outcomes and helpful </w:t>
      </w:r>
      <w:r w:rsidR="0066316D">
        <w:t>aspects</w:t>
      </w:r>
      <w:r>
        <w:t xml:space="preserve"> in a multisite </w:t>
      </w:r>
      <w:r w:rsidRPr="00192C8C">
        <w:t>open-label trial</w:t>
      </w:r>
    </w:p>
    <w:p w14:paraId="60B5BB07" w14:textId="77777777" w:rsidR="005B53B1" w:rsidRPr="00AD381E" w:rsidRDefault="008A41F3" w:rsidP="000D461F">
      <w:pPr>
        <w:pStyle w:val="Heading1"/>
      </w:pPr>
      <w:r w:rsidRPr="00531FA1">
        <w:t>Abstract</w:t>
      </w:r>
    </w:p>
    <w:p w14:paraId="3338F097" w14:textId="56BC5D01" w:rsidR="00326394" w:rsidRDefault="00062BE4" w:rsidP="0066316D">
      <w:r w:rsidRPr="0066316D">
        <w:rPr>
          <w:i/>
          <w:lang w:eastAsia="tr-TR"/>
        </w:rPr>
        <w:t>Objectives</w:t>
      </w:r>
      <w:r w:rsidR="005B53B1" w:rsidRPr="0066316D">
        <w:rPr>
          <w:i/>
          <w:lang w:eastAsia="tr-TR"/>
        </w:rPr>
        <w:t>:</w:t>
      </w:r>
      <w:r w:rsidR="00E31E11" w:rsidRPr="0066316D">
        <w:rPr>
          <w:i/>
          <w:lang w:eastAsia="tr-TR"/>
        </w:rPr>
        <w:t xml:space="preserve"> </w:t>
      </w:r>
      <w:r w:rsidR="00474187" w:rsidRPr="0066316D">
        <w:rPr>
          <w:lang w:eastAsia="tr-TR"/>
        </w:rPr>
        <w:t xml:space="preserve">The aim of this open-label trial was to assess </w:t>
      </w:r>
      <w:r w:rsidR="0066316D" w:rsidRPr="0066316D">
        <w:rPr>
          <w:lang w:eastAsia="tr-TR"/>
        </w:rPr>
        <w:t xml:space="preserve">the </w:t>
      </w:r>
      <w:r w:rsidR="00812D44" w:rsidRPr="0066316D">
        <w:rPr>
          <w:lang w:eastAsia="tr-TR"/>
        </w:rPr>
        <w:t>outcomes</w:t>
      </w:r>
      <w:r w:rsidR="0066316D" w:rsidRPr="0066316D">
        <w:rPr>
          <w:lang w:eastAsia="tr-TR"/>
        </w:rPr>
        <w:t>, acceptability and helpful aspects</w:t>
      </w:r>
      <w:r w:rsidR="00812D44" w:rsidRPr="0066316D">
        <w:rPr>
          <w:lang w:eastAsia="tr-TR"/>
        </w:rPr>
        <w:t xml:space="preserve"> </w:t>
      </w:r>
      <w:r w:rsidR="00474187" w:rsidRPr="0066316D">
        <w:rPr>
          <w:lang w:eastAsia="tr-TR"/>
        </w:rPr>
        <w:t xml:space="preserve">of a pluralistic therapeutic intervention for depression.  </w:t>
      </w:r>
      <w:r w:rsidRPr="0066316D">
        <w:rPr>
          <w:i/>
          <w:lang w:eastAsia="tr-TR"/>
        </w:rPr>
        <w:t>Design</w:t>
      </w:r>
      <w:r w:rsidRPr="0066316D">
        <w:rPr>
          <w:lang w:eastAsia="tr-TR"/>
        </w:rPr>
        <w:t xml:space="preserve">: </w:t>
      </w:r>
      <w:r w:rsidR="00FB629C" w:rsidRPr="0066316D">
        <w:rPr>
          <w:lang w:eastAsia="tr-TR"/>
        </w:rPr>
        <w:t xml:space="preserve">The study adopted a multisite, </w:t>
      </w:r>
      <w:r w:rsidR="00474187" w:rsidRPr="0066316D">
        <w:rPr>
          <w:lang w:eastAsia="tr-TR"/>
        </w:rPr>
        <w:t>non-randomised</w:t>
      </w:r>
      <w:r w:rsidR="00AD26EB" w:rsidRPr="0066316D">
        <w:rPr>
          <w:lang w:eastAsia="tr-TR"/>
        </w:rPr>
        <w:t xml:space="preserve">, </w:t>
      </w:r>
      <w:r w:rsidR="00474187" w:rsidRPr="0066316D">
        <w:rPr>
          <w:lang w:eastAsia="tr-TR"/>
        </w:rPr>
        <w:t xml:space="preserve">pre-/post-intervention </w:t>
      </w:r>
      <w:r w:rsidR="00FB629C" w:rsidRPr="0066316D">
        <w:rPr>
          <w:lang w:eastAsia="tr-TR"/>
        </w:rPr>
        <w:t>design</w:t>
      </w:r>
      <w:r w:rsidR="00474187" w:rsidRPr="0066316D">
        <w:rPr>
          <w:lang w:eastAsia="tr-TR"/>
        </w:rPr>
        <w:t xml:space="preserve">.  </w:t>
      </w:r>
      <w:r w:rsidR="00451BE6" w:rsidRPr="0066316D">
        <w:rPr>
          <w:i/>
          <w:lang w:eastAsia="tr-TR"/>
        </w:rPr>
        <w:t>Methods:</w:t>
      </w:r>
      <w:r w:rsidR="00E733D4" w:rsidRPr="0066316D">
        <w:rPr>
          <w:i/>
          <w:lang w:eastAsia="tr-TR"/>
        </w:rPr>
        <w:t xml:space="preserve"> </w:t>
      </w:r>
      <w:r w:rsidR="00192C8C" w:rsidRPr="0066316D">
        <w:rPr>
          <w:lang w:eastAsia="tr-TR"/>
        </w:rPr>
        <w:t>Participants experiencing moderate or more severe levels of depression (as assessed by a score of 10 or greater on the Patient Health Questionnaire</w:t>
      </w:r>
      <w:r w:rsidR="00812D44" w:rsidRPr="0066316D">
        <w:rPr>
          <w:lang w:eastAsia="tr-TR"/>
        </w:rPr>
        <w:t xml:space="preserve"> depression scale, PHQ-9</w:t>
      </w:r>
      <w:r w:rsidR="00192C8C" w:rsidRPr="0066316D">
        <w:rPr>
          <w:lang w:eastAsia="tr-TR"/>
        </w:rPr>
        <w:t>) were offered up to 24 weeks of pluralistic therapy for depression</w:t>
      </w:r>
      <w:r w:rsidR="009876E0">
        <w:rPr>
          <w:lang w:eastAsia="tr-TR"/>
        </w:rPr>
        <w:t>.  This is</w:t>
      </w:r>
      <w:r w:rsidR="00812D44" w:rsidRPr="0066316D">
        <w:rPr>
          <w:lang w:eastAsia="tr-TR"/>
        </w:rPr>
        <w:t xml:space="preserve"> </w:t>
      </w:r>
      <w:r w:rsidR="00AD26EB" w:rsidRPr="0066316D">
        <w:rPr>
          <w:lang w:eastAsia="tr-TR"/>
        </w:rPr>
        <w:t xml:space="preserve">a collaborative integrative </w:t>
      </w:r>
      <w:r w:rsidR="00812D44" w:rsidRPr="0066316D">
        <w:rPr>
          <w:lang w:eastAsia="tr-TR"/>
        </w:rPr>
        <w:t xml:space="preserve">practice oriented around </w:t>
      </w:r>
      <w:r w:rsidR="00AD26EB" w:rsidRPr="0066316D">
        <w:rPr>
          <w:lang w:eastAsia="tr-TR"/>
        </w:rPr>
        <w:t xml:space="preserve">shared decision making on the goals and methods of therapy.  </w:t>
      </w:r>
      <w:r w:rsidR="00812D44" w:rsidRPr="0066316D">
        <w:rPr>
          <w:lang w:eastAsia="tr-TR"/>
        </w:rPr>
        <w:t xml:space="preserve">Of the 42 participants assessed, 39 (92.9%) completed two or more sessions.  Participants were </w:t>
      </w:r>
      <w:r w:rsidR="00812D44" w:rsidRPr="0066316D">
        <w:t>predominantly female (</w:t>
      </w:r>
      <w:r w:rsidR="00812D44" w:rsidRPr="0066316D">
        <w:rPr>
          <w:i/>
        </w:rPr>
        <w:t>n</w:t>
      </w:r>
      <w:r w:rsidR="00812D44" w:rsidRPr="0066316D">
        <w:t xml:space="preserve"> = 28, 71.8%) and white (</w:t>
      </w:r>
      <w:r w:rsidR="00812D44" w:rsidRPr="0066316D">
        <w:rPr>
          <w:i/>
        </w:rPr>
        <w:t>n</w:t>
      </w:r>
      <w:r w:rsidR="00812D44" w:rsidRPr="0066316D">
        <w:t xml:space="preserve"> = 30, 76.9%), with a mean age of 30.9.  </w:t>
      </w:r>
      <w:r w:rsidR="00812D44" w:rsidRPr="0066316D">
        <w:rPr>
          <w:lang w:eastAsia="tr-TR"/>
        </w:rPr>
        <w:t xml:space="preserve">The principal outcome indicator was improvement and recovery on the PHQ-9 and Generalized Anxiety Disorder 7-item (GAD-7) scale.  </w:t>
      </w:r>
      <w:r w:rsidR="005B53B1" w:rsidRPr="0066316D">
        <w:rPr>
          <w:i/>
          <w:lang w:eastAsia="tr-TR"/>
        </w:rPr>
        <w:t>Results</w:t>
      </w:r>
      <w:r w:rsidR="000B7A20" w:rsidRPr="0066316D">
        <w:rPr>
          <w:i/>
          <w:lang w:eastAsia="tr-TR"/>
        </w:rPr>
        <w:t>:</w:t>
      </w:r>
      <w:r w:rsidR="00E31E11" w:rsidRPr="0066316D">
        <w:rPr>
          <w:lang w:eastAsia="tr-TR"/>
        </w:rPr>
        <w:t xml:space="preserve"> </w:t>
      </w:r>
      <w:r w:rsidR="00812D44" w:rsidRPr="0066316D">
        <w:rPr>
          <w:lang w:eastAsia="tr-TR"/>
        </w:rPr>
        <w:t>Of the completer sample, 7</w:t>
      </w:r>
      <w:r w:rsidR="00DC1DCC" w:rsidRPr="0066316D">
        <w:rPr>
          <w:lang w:eastAsia="tr-TR"/>
        </w:rPr>
        <w:t>1</w:t>
      </w:r>
      <w:r w:rsidR="00812D44" w:rsidRPr="0066316D">
        <w:rPr>
          <w:lang w:eastAsia="tr-TR"/>
        </w:rPr>
        <w:t>.</w:t>
      </w:r>
      <w:r w:rsidR="00DC1DCC" w:rsidRPr="0066316D">
        <w:rPr>
          <w:lang w:eastAsia="tr-TR"/>
        </w:rPr>
        <w:t>8</w:t>
      </w:r>
      <w:r w:rsidR="00812D44" w:rsidRPr="0066316D">
        <w:rPr>
          <w:lang w:eastAsia="tr-TR"/>
        </w:rPr>
        <w:t>% of clients (</w:t>
      </w:r>
      <w:r w:rsidR="00812D44" w:rsidRPr="0066316D">
        <w:rPr>
          <w:i/>
          <w:lang w:eastAsia="tr-TR"/>
        </w:rPr>
        <w:t xml:space="preserve">n </w:t>
      </w:r>
      <w:r w:rsidR="00812D44" w:rsidRPr="0066316D">
        <w:rPr>
          <w:lang w:eastAsia="tr-TR"/>
        </w:rPr>
        <w:t xml:space="preserve">= </w:t>
      </w:r>
      <w:r w:rsidR="00DC1DCC" w:rsidRPr="0066316D">
        <w:rPr>
          <w:lang w:eastAsia="tr-TR"/>
        </w:rPr>
        <w:t>28</w:t>
      </w:r>
      <w:r w:rsidR="00812D44" w:rsidRPr="0066316D">
        <w:rPr>
          <w:lang w:eastAsia="tr-TR"/>
        </w:rPr>
        <w:t>) showed reliable improvement</w:t>
      </w:r>
      <w:r w:rsidR="00DC1DCC" w:rsidRPr="0066316D">
        <w:rPr>
          <w:lang w:eastAsia="tr-TR"/>
        </w:rPr>
        <w:t xml:space="preserve"> and </w:t>
      </w:r>
      <w:r w:rsidR="00812D44" w:rsidRPr="0066316D">
        <w:rPr>
          <w:lang w:eastAsia="tr-TR"/>
        </w:rPr>
        <w:t>4</w:t>
      </w:r>
      <w:r w:rsidR="00DC1DCC" w:rsidRPr="0066316D">
        <w:rPr>
          <w:lang w:eastAsia="tr-TR"/>
        </w:rPr>
        <w:t>3</w:t>
      </w:r>
      <w:r w:rsidR="00812D44" w:rsidRPr="0066316D">
        <w:rPr>
          <w:lang w:eastAsia="tr-TR"/>
        </w:rPr>
        <w:t>.</w:t>
      </w:r>
      <w:r w:rsidR="00DC1DCC" w:rsidRPr="0066316D">
        <w:rPr>
          <w:lang w:eastAsia="tr-TR"/>
        </w:rPr>
        <w:t>6</w:t>
      </w:r>
      <w:r w:rsidR="00812D44" w:rsidRPr="0066316D">
        <w:rPr>
          <w:lang w:eastAsia="tr-TR"/>
        </w:rPr>
        <w:t>% (</w:t>
      </w:r>
      <w:r w:rsidR="00812D44" w:rsidRPr="0066316D">
        <w:rPr>
          <w:i/>
          <w:lang w:eastAsia="tr-TR"/>
        </w:rPr>
        <w:t xml:space="preserve">n </w:t>
      </w:r>
      <w:r w:rsidR="00812D44" w:rsidRPr="0066316D">
        <w:rPr>
          <w:lang w:eastAsia="tr-TR"/>
        </w:rPr>
        <w:t xml:space="preserve">= </w:t>
      </w:r>
      <w:r w:rsidR="00DC1DCC" w:rsidRPr="0066316D">
        <w:rPr>
          <w:lang w:eastAsia="tr-TR"/>
        </w:rPr>
        <w:t>17</w:t>
      </w:r>
      <w:r w:rsidR="00812D44" w:rsidRPr="0066316D">
        <w:rPr>
          <w:lang w:eastAsia="tr-TR"/>
        </w:rPr>
        <w:t xml:space="preserve">) showed reliable recovery.  Effect sizes (Cohen’s </w:t>
      </w:r>
      <w:r w:rsidR="00812D44" w:rsidRPr="0066316D">
        <w:rPr>
          <w:i/>
          <w:lang w:eastAsia="tr-TR"/>
        </w:rPr>
        <w:t>d</w:t>
      </w:r>
      <w:r w:rsidR="00812D44" w:rsidRPr="0066316D">
        <w:rPr>
          <w:lang w:eastAsia="tr-TR"/>
        </w:rPr>
        <w:t>) from baseline to endpoint were 1.8</w:t>
      </w:r>
      <w:r w:rsidR="005875A3" w:rsidRPr="0066316D">
        <w:rPr>
          <w:lang w:eastAsia="tr-TR"/>
        </w:rPr>
        <w:t>3</w:t>
      </w:r>
      <w:r w:rsidR="00812D44" w:rsidRPr="0066316D">
        <w:rPr>
          <w:lang w:eastAsia="tr-TR"/>
        </w:rPr>
        <w:t xml:space="preserve"> for the PHQ-9 and 1.1</w:t>
      </w:r>
      <w:r w:rsidR="005875A3" w:rsidRPr="0066316D">
        <w:rPr>
          <w:lang w:eastAsia="tr-TR"/>
        </w:rPr>
        <w:t>6</w:t>
      </w:r>
      <w:r w:rsidR="00812D44" w:rsidRPr="0066316D">
        <w:rPr>
          <w:lang w:eastAsia="tr-TR"/>
        </w:rPr>
        <w:t xml:space="preserve"> for the GAD-7.  </w:t>
      </w:r>
      <w:r w:rsidR="0066316D">
        <w:t xml:space="preserve">On average, the clients found the PfD sessions helpful and experienced their therapists as flexible and practising in a collaborative manner.  Clients felt that change had been brought about by their own active engagement in therapy and through the therapist’s relational qualities, as well as their use of techniques.  </w:t>
      </w:r>
      <w:r w:rsidRPr="0066316D">
        <w:rPr>
          <w:i/>
          <w:lang w:eastAsia="tr-TR"/>
        </w:rPr>
        <w:t>Conclusions</w:t>
      </w:r>
      <w:r w:rsidR="00F45DCB" w:rsidRPr="0066316D">
        <w:rPr>
          <w:i/>
          <w:lang w:eastAsia="tr-TR"/>
        </w:rPr>
        <w:t>:</w:t>
      </w:r>
      <w:r w:rsidR="00192C8C" w:rsidRPr="0066316D">
        <w:t xml:space="preserve"> </w:t>
      </w:r>
      <w:r w:rsidR="00B649C1" w:rsidRPr="0066316D">
        <w:t xml:space="preserve">Initial indications suggest that pluralistic therapy for depression has </w:t>
      </w:r>
      <w:r w:rsidR="00FB629C" w:rsidRPr="0066316D">
        <w:t xml:space="preserve">adequate </w:t>
      </w:r>
      <w:r w:rsidR="00B649C1" w:rsidRPr="0066316D">
        <w:t>outcomes</w:t>
      </w:r>
      <w:r w:rsidR="00FB629C" w:rsidRPr="0066316D">
        <w:t>, retention rates,</w:t>
      </w:r>
      <w:r w:rsidR="00B649C1" w:rsidRPr="0066316D">
        <w:t xml:space="preserve"> and levels of acceptability.  Refinement and further testing of the approach is recommended.</w:t>
      </w:r>
      <w:r w:rsidR="00B649C1">
        <w:t xml:space="preserve"> </w:t>
      </w:r>
    </w:p>
    <w:p w14:paraId="6B727138" w14:textId="77777777" w:rsidR="00B649C1" w:rsidRDefault="00B649C1" w:rsidP="000D461F">
      <w:pPr>
        <w:ind w:firstLine="0"/>
      </w:pPr>
    </w:p>
    <w:p w14:paraId="0C170392" w14:textId="4A3D6FBF" w:rsidR="008610A7" w:rsidRPr="00E733D4" w:rsidRDefault="00D15096" w:rsidP="000D461F">
      <w:pPr>
        <w:ind w:firstLine="0"/>
        <w:rPr>
          <w:lang w:eastAsia="tr-TR"/>
        </w:rPr>
      </w:pPr>
      <w:r w:rsidRPr="00D84307">
        <w:rPr>
          <w:i/>
          <w:lang w:eastAsia="tr-TR"/>
        </w:rPr>
        <w:t>Key words</w:t>
      </w:r>
      <w:r w:rsidRPr="00E733D4">
        <w:rPr>
          <w:lang w:eastAsia="tr-TR"/>
        </w:rPr>
        <w:t xml:space="preserve">: </w:t>
      </w:r>
      <w:r w:rsidR="00B5748C">
        <w:rPr>
          <w:lang w:eastAsia="tr-TR"/>
        </w:rPr>
        <w:t>integrative psychotherapy</w:t>
      </w:r>
      <w:r w:rsidR="0066316D">
        <w:rPr>
          <w:lang w:eastAsia="tr-TR"/>
        </w:rPr>
        <w:t>, depression, pluralism, therapeutic outcomes</w:t>
      </w:r>
    </w:p>
    <w:p w14:paraId="623A67D7" w14:textId="77777777" w:rsidR="00326394" w:rsidRDefault="00326394" w:rsidP="000D461F">
      <w:r>
        <w:lastRenderedPageBreak/>
        <w:br w:type="page"/>
      </w:r>
    </w:p>
    <w:p w14:paraId="1582934F" w14:textId="77777777" w:rsidR="0066316D" w:rsidRDefault="0066316D" w:rsidP="0066316D">
      <w:pPr>
        <w:pStyle w:val="Heading2"/>
        <w:jc w:val="center"/>
      </w:pPr>
      <w:r>
        <w:lastRenderedPageBreak/>
        <w:t>P</w:t>
      </w:r>
      <w:r w:rsidRPr="00192C8C">
        <w:t>lurali</w:t>
      </w:r>
      <w:r>
        <w:t xml:space="preserve">stic therapy for depression: Acceptability, outcomes and helpful aspects in a multisite </w:t>
      </w:r>
      <w:r w:rsidRPr="00192C8C">
        <w:t>open-label trial</w:t>
      </w:r>
    </w:p>
    <w:p w14:paraId="0D0E533C" w14:textId="77777777" w:rsidR="004C533C" w:rsidRDefault="004C533C" w:rsidP="000D461F">
      <w:pPr>
        <w:ind w:firstLine="0"/>
      </w:pPr>
    </w:p>
    <w:p w14:paraId="126DED93" w14:textId="0D099FCD" w:rsidR="008952E1" w:rsidRDefault="008952E1" w:rsidP="000D461F">
      <w:r w:rsidRPr="00F87A78">
        <w:t xml:space="preserve">Depression refers to a wide range of mental health problems characterised by the absence of a positive affect and low mood </w:t>
      </w:r>
      <w:r w:rsidR="0094717B" w:rsidRPr="00F87A78">
        <w:fldChar w:fldCharType="begin"/>
      </w:r>
      <w:r w:rsidR="0094717B" w:rsidRPr="00F87A78">
        <w:instrText xml:space="preserve"> ADDIN EN.CITE &lt;EndNote&gt;&lt;Cite&gt;&lt;Author&gt;National Collaborating Centre for Mental Health&lt;/Author&gt;&lt;Year&gt;2010&lt;/Year&gt;&lt;RecNum&gt;3173&lt;/RecNum&gt;&lt;DisplayText&gt;(National Collaborating Centre for Mental Health, 2010)&lt;/DisplayText&gt;&lt;record&gt;&lt;rec-number&gt;3173&lt;/rec-number&gt;&lt;foreign-keys&gt;&lt;key app="EN" db-id="0swazwvvzv2zzfe0fs75dwsza2wreftvrrpv" timestamp="0"&gt;3173&lt;/key&gt;&lt;/foreign-keys&gt;&lt;ref-type name="Report"&gt;27&lt;/ref-type&gt;&lt;contributors&gt;&lt;authors&gt;&lt;author&gt;National Collaborating Centre for Mental Health&lt;/author&gt;&lt;/authors&gt;&lt;/contributors&gt;&lt;titles&gt;&lt;title&gt;Depression: The NICE guidelines on the treatment and management of depression in adults&lt;/title&gt;&lt;secondary-title&gt;Clinical Guideline CG90&lt;/secondary-title&gt;&lt;/titles&gt;&lt;edition&gt;Updated&lt;/edition&gt;&lt;keywords&gt;&lt;keyword&gt;3 client groups: depression: MDD&lt;/keyword&gt;&lt;/keywords&gt;&lt;dates&gt;&lt;year&gt;2010&lt;/year&gt;&lt;/dates&gt;&lt;pub-location&gt;London&lt;/pub-location&gt;&lt;publisher&gt;National Institute for Health and Clinical Excellence&lt;/publisher&gt;&lt;urls&gt;&lt;/urls&gt;&lt;/record&gt;&lt;/Cite&gt;&lt;/EndNote&gt;</w:instrText>
      </w:r>
      <w:r w:rsidR="0094717B" w:rsidRPr="00F87A78">
        <w:fldChar w:fldCharType="separate"/>
      </w:r>
      <w:r w:rsidR="0094717B" w:rsidRPr="00F87A78">
        <w:rPr>
          <w:noProof/>
        </w:rPr>
        <w:t>(National Collaborating Centre for Mental Health, 2010)</w:t>
      </w:r>
      <w:r w:rsidR="0094717B" w:rsidRPr="00F87A78">
        <w:fldChar w:fldCharType="end"/>
      </w:r>
      <w:r w:rsidRPr="00F87A78">
        <w:t xml:space="preserve">.  Diagnostic criteria from the DSM-V include decreased interest or pleasure, fatigue or loss of energy, feelings of guilt and worthlessness, and suicidality.  It is the most common mental disorder in community settings </w:t>
      </w:r>
      <w:r w:rsidR="0094717B" w:rsidRPr="00F87A78">
        <w:fldChar w:fldCharType="begin"/>
      </w:r>
      <w:r w:rsidR="000D1C1E">
        <w:instrText xml:space="preserve"> ADDIN EN.CITE &lt;EndNote&gt;&lt;Cite&gt;&lt;Author&gt;National Collaborating Centre for Mental Health&lt;/Author&gt;&lt;Year&gt;2010&lt;/Year&gt;&lt;RecNum&gt;3173&lt;/RecNum&gt;&lt;DisplayText&gt;(National Collaborating Centre for Mental Health, 2010)&lt;/DisplayText&gt;&lt;record&gt;&lt;rec-number&gt;3173&lt;/rec-number&gt;&lt;foreign-keys&gt;&lt;key app="EN" db-id="0swazwvvzv2zzfe0fs75dwsza2wreftvrrpv" timestamp="0"&gt;3173&lt;/key&gt;&lt;/foreign-keys&gt;&lt;ref-type name="Report"&gt;27&lt;/ref-type&gt;&lt;contributors&gt;&lt;authors&gt;&lt;author&gt;National Collaborating Centre for Mental Health&lt;/author&gt;&lt;/authors&gt;&lt;/contributors&gt;&lt;titles&gt;&lt;title&gt;Depression: The NICE guidelines on the treatment and management of depression in adults&lt;/title&gt;&lt;secondary-title&gt;Clinical Guideline CG90&lt;/secondary-title&gt;&lt;/titles&gt;&lt;edition&gt;Updated&lt;/edition&gt;&lt;keywords&gt;&lt;keyword&gt;3 client groups: depression: MDD&lt;/keyword&gt;&lt;/keywords&gt;&lt;dates&gt;&lt;year&gt;2010&lt;/year&gt;&lt;/dates&gt;&lt;pub-location&gt;London&lt;/pub-location&gt;&lt;publisher&gt;National Institute for Health and Clinical Excellence&lt;/publisher&gt;&lt;urls&gt;&lt;/urls&gt;&lt;/record&gt;&lt;/Cite&gt;&lt;/EndNote&gt;</w:instrText>
      </w:r>
      <w:r w:rsidR="0094717B" w:rsidRPr="00F87A78">
        <w:fldChar w:fldCharType="separate"/>
      </w:r>
      <w:r w:rsidR="000D1C1E">
        <w:rPr>
          <w:noProof/>
        </w:rPr>
        <w:t>(National Collaborating Centre for Mental Health, 2010)</w:t>
      </w:r>
      <w:r w:rsidR="0094717B" w:rsidRPr="00F87A78">
        <w:fldChar w:fldCharType="end"/>
      </w:r>
      <w:r w:rsidRPr="00F87A78">
        <w:t xml:space="preserve"> and the fourth most common cause of disability-adjusted life years </w:t>
      </w:r>
      <w:r w:rsidR="0094717B" w:rsidRPr="00F87A78">
        <w:fldChar w:fldCharType="begin"/>
      </w:r>
      <w:r w:rsidR="000D1C1E">
        <w:instrText xml:space="preserve"> ADDIN EN.CITE &lt;EndNote&gt;&lt;Cite&gt;&lt;Author&gt;World Health Organization&lt;/Author&gt;&lt;Year&gt;2001&lt;/Year&gt;&lt;RecNum&gt;3377&lt;/RecNum&gt;&lt;DisplayText&gt;(World Health Organization, 2001)&lt;/DisplayText&gt;&lt;record&gt;&lt;rec-number&gt;3377&lt;/rec-number&gt;&lt;foreign-keys&gt;&lt;key app="EN" db-id="0swazwvvzv2zzfe0fs75dwsza2wreftvrrpv" timestamp="0"&gt;3377&lt;/key&gt;&lt;/foreign-keys&gt;&lt;ref-type name="Report"&gt;27&lt;/ref-type&gt;&lt;contributors&gt;&lt;authors&gt;&lt;author&gt;World Health Organization&lt;/author&gt;&lt;/authors&gt;&lt;/contributors&gt;&lt;titles&gt;&lt;title&gt;World Health Report 2001: Mental health: new understanding, new hope&lt;/title&gt;&lt;/titles&gt;&lt;dates&gt;&lt;year&gt;2001&lt;/year&gt;&lt;/dates&gt;&lt;pub-location&gt;Geneva&lt;/pub-location&gt;&lt;publisher&gt;World Health Organization&lt;/publisher&gt;&lt;urls&gt;&lt;/urls&gt;&lt;/record&gt;&lt;/Cite&gt;&lt;/EndNote&gt;</w:instrText>
      </w:r>
      <w:r w:rsidR="0094717B" w:rsidRPr="00F87A78">
        <w:fldChar w:fldCharType="separate"/>
      </w:r>
      <w:r w:rsidR="000D1C1E">
        <w:rPr>
          <w:noProof/>
        </w:rPr>
        <w:t>(World Health Organization, 2001)</w:t>
      </w:r>
      <w:r w:rsidR="0094717B" w:rsidRPr="00F87A78">
        <w:fldChar w:fldCharType="end"/>
      </w:r>
      <w:r w:rsidRPr="00F87A78">
        <w:t>.  It is estimated that between 4 and 10% of adults are likely to experience major depression in their lifetime</w:t>
      </w:r>
      <w:r w:rsidR="005D0DB2" w:rsidRPr="00F87A78">
        <w:t xml:space="preserve"> </w:t>
      </w:r>
      <w:r w:rsidR="0094717B" w:rsidRPr="00F87A78">
        <w:fldChar w:fldCharType="begin"/>
      </w:r>
      <w:r w:rsidR="000D1C1E">
        <w:instrText xml:space="preserve"> ADDIN EN.CITE &lt;EndNote&gt;&lt;Cite&gt;&lt;Author&gt;National Collaborating Centre for Mental Health&lt;/Author&gt;&lt;Year&gt;2010&lt;/Year&gt;&lt;RecNum&gt;3173&lt;/RecNum&gt;&lt;DisplayText&gt;(National Collaborating Centre for Mental Health, 2010)&lt;/DisplayText&gt;&lt;record&gt;&lt;rec-number&gt;3173&lt;/rec-number&gt;&lt;foreign-keys&gt;&lt;key app="EN" db-id="0swazwvvzv2zzfe0fs75dwsza2wreftvrrpv" timestamp="0"&gt;3173&lt;/key&gt;&lt;/foreign-keys&gt;&lt;ref-type name="Report"&gt;27&lt;/ref-type&gt;&lt;contributors&gt;&lt;authors&gt;&lt;author&gt;National Collaborating Centre for Mental Health&lt;/author&gt;&lt;/authors&gt;&lt;/contributors&gt;&lt;titles&gt;&lt;title&gt;Depression: The NICE guidelines on the treatment and management of depression in adults&lt;/title&gt;&lt;secondary-title&gt;Clinical Guideline CG90&lt;/secondary-title&gt;&lt;/titles&gt;&lt;edition&gt;Updated&lt;/edition&gt;&lt;keywords&gt;&lt;keyword&gt;3 client groups: depression: MDD&lt;/keyword&gt;&lt;/keywords&gt;&lt;dates&gt;&lt;year&gt;2010&lt;/year&gt;&lt;/dates&gt;&lt;pub-location&gt;London&lt;/pub-location&gt;&lt;publisher&gt;National Institute for Health and Clinical Excellence&lt;/publisher&gt;&lt;urls&gt;&lt;/urls&gt;&lt;/record&gt;&lt;/Cite&gt;&lt;/EndNote&gt;</w:instrText>
      </w:r>
      <w:r w:rsidR="0094717B" w:rsidRPr="00F87A78">
        <w:fldChar w:fldCharType="separate"/>
      </w:r>
      <w:r w:rsidR="000D1C1E">
        <w:rPr>
          <w:noProof/>
        </w:rPr>
        <w:t>(National Collaborating Centre for Mental Health, 2010)</w:t>
      </w:r>
      <w:r w:rsidR="0094717B" w:rsidRPr="00F87A78">
        <w:fldChar w:fldCharType="end"/>
      </w:r>
      <w:r w:rsidRPr="00F87A78">
        <w:t>.</w:t>
      </w:r>
    </w:p>
    <w:p w14:paraId="0F3A2904" w14:textId="16DC35B7" w:rsidR="005D0DB2" w:rsidRDefault="00636220" w:rsidP="005D0DB2">
      <w:r w:rsidRPr="00F87A78">
        <w:t xml:space="preserve">For people with moderate or severe depression, </w:t>
      </w:r>
      <w:r w:rsidR="005D0DB2" w:rsidRPr="00F87A78">
        <w:t>evidence-based guidelines from the UK’s National Institute of Health and Clinical Excellence (NICE) recommend</w:t>
      </w:r>
      <w:r w:rsidR="005D0DB2" w:rsidRPr="00F87A78">
        <w:rPr>
          <w:rStyle w:val="CommentReference"/>
        </w:rPr>
        <w:t xml:space="preserve"> </w:t>
      </w:r>
      <w:r w:rsidRPr="00F87A78">
        <w:t>a combination of antidepressants and a high intensity intervention</w:t>
      </w:r>
      <w:r w:rsidR="00B32549" w:rsidRPr="00F87A78">
        <w:t>, comprising either</w:t>
      </w:r>
      <w:r w:rsidRPr="00F87A78">
        <w:t xml:space="preserve"> </w:t>
      </w:r>
      <w:r w:rsidR="000D418D">
        <w:t>cognitive behavioural therapy (</w:t>
      </w:r>
      <w:r w:rsidRPr="00F87A78">
        <w:t>CBT</w:t>
      </w:r>
      <w:r w:rsidR="000D418D">
        <w:t>)</w:t>
      </w:r>
      <w:r w:rsidRPr="00F87A78">
        <w:t xml:space="preserve"> or interpersonal therapy (IPT)</w:t>
      </w:r>
      <w:r w:rsidR="005D0DB2" w:rsidRPr="00F87A78">
        <w:t xml:space="preserve"> </w:t>
      </w:r>
      <w:r w:rsidR="005D0DB2" w:rsidRPr="00F87A78">
        <w:fldChar w:fldCharType="begin"/>
      </w:r>
      <w:r w:rsidR="000D1C1E">
        <w:instrText xml:space="preserve"> ADDIN EN.CITE &lt;EndNote&gt;&lt;Cite&gt;&lt;Author&gt;National Collaborating Centre for Mental Health&lt;/Author&gt;&lt;Year&gt;2010&lt;/Year&gt;&lt;RecNum&gt;3173&lt;/RecNum&gt;&lt;DisplayText&gt;(National Collaborating Centre for Mental Health, 2010)&lt;/DisplayText&gt;&lt;record&gt;&lt;rec-number&gt;3173&lt;/rec-number&gt;&lt;foreign-keys&gt;&lt;key app="EN" db-id="0swazwvvzv2zzfe0fs75dwsza2wreftvrrpv" timestamp="0"&gt;3173&lt;/key&gt;&lt;/foreign-keys&gt;&lt;ref-type name="Report"&gt;27&lt;/ref-type&gt;&lt;contributors&gt;&lt;authors&gt;&lt;author&gt;National Collaborating Centre for Mental Health&lt;/author&gt;&lt;/authors&gt;&lt;/contributors&gt;&lt;titles&gt;&lt;title&gt;Depression: The NICE guidelines on the treatment and management of depression in adults&lt;/title&gt;&lt;secondary-title&gt;Clinical Guideline CG90&lt;/secondary-title&gt;&lt;/titles&gt;&lt;edition&gt;Updated&lt;/edition&gt;&lt;keywords&gt;&lt;keyword&gt;3 client groups: depression: MDD&lt;/keyword&gt;&lt;/keywords&gt;&lt;dates&gt;&lt;year&gt;2010&lt;/year&gt;&lt;/dates&gt;&lt;pub-location&gt;London&lt;/pub-location&gt;&lt;publisher&gt;National Institute for Health and Clinical Excellence&lt;/publisher&gt;&lt;urls&gt;&lt;/urls&gt;&lt;/record&gt;&lt;/Cite&gt;&lt;/EndNote&gt;</w:instrText>
      </w:r>
      <w:r w:rsidR="005D0DB2" w:rsidRPr="00F87A78">
        <w:fldChar w:fldCharType="separate"/>
      </w:r>
      <w:r w:rsidR="000D1C1E">
        <w:rPr>
          <w:noProof/>
        </w:rPr>
        <w:t>(National Collaborating Centre for Mental Health, 2010)</w:t>
      </w:r>
      <w:r w:rsidR="005D0DB2" w:rsidRPr="00F87A78">
        <w:fldChar w:fldCharType="end"/>
      </w:r>
      <w:r w:rsidRPr="00F87A78">
        <w:t xml:space="preserve">.  If these treatments are declined, </w:t>
      </w:r>
      <w:r w:rsidR="005D0DB2" w:rsidRPr="00F87A78">
        <w:t xml:space="preserve">it is </w:t>
      </w:r>
      <w:r w:rsidRPr="00F87A78">
        <w:t>recommend</w:t>
      </w:r>
      <w:r w:rsidR="005D0DB2" w:rsidRPr="00F87A78">
        <w:t>ed</w:t>
      </w:r>
      <w:r w:rsidRPr="00F87A78">
        <w:t xml:space="preserve"> that counselling or short-term psychodynamic psychotherapy should be considered.</w:t>
      </w:r>
      <w:r>
        <w:t xml:space="preserve"> </w:t>
      </w:r>
      <w:r w:rsidR="005D0DB2">
        <w:t xml:space="preserve"> </w:t>
      </w:r>
    </w:p>
    <w:p w14:paraId="74534397" w14:textId="409B16C9" w:rsidR="00FB629C" w:rsidRDefault="008D592A" w:rsidP="005D0DB2">
      <w:pPr>
        <w:rPr>
          <w:lang w:eastAsia="tr-TR"/>
        </w:rPr>
      </w:pPr>
      <w:r>
        <w:t xml:space="preserve">NICE guidelines </w:t>
      </w:r>
      <w:r w:rsidR="005D0DB2">
        <w:t xml:space="preserve">also </w:t>
      </w:r>
      <w:r>
        <w:t xml:space="preserve">recommend a </w:t>
      </w:r>
      <w:r w:rsidRPr="008D592A">
        <w:rPr>
          <w:i/>
        </w:rPr>
        <w:t>person-centred</w:t>
      </w:r>
      <w:r>
        <w:t xml:space="preserve"> approach, in which </w:t>
      </w:r>
      <w:r w:rsidR="000D1C1E">
        <w:t>‘</w:t>
      </w:r>
      <w:r w:rsidR="008952E1">
        <w:rPr>
          <w:lang w:eastAsia="tr-TR"/>
        </w:rPr>
        <w:t xml:space="preserve">Treatment and care should take into account patients’ needs and </w:t>
      </w:r>
      <w:r>
        <w:rPr>
          <w:lang w:eastAsia="tr-TR"/>
        </w:rPr>
        <w:t>preferences</w:t>
      </w:r>
      <w:r w:rsidR="008952E1">
        <w:rPr>
          <w:lang w:eastAsia="tr-TR"/>
        </w:rPr>
        <w:t>.  People with depression should have the opportunity to make informed decisions and their care and treatment, in partnership with their practitioners</w:t>
      </w:r>
      <w:r w:rsidR="000D1C1E">
        <w:rPr>
          <w:lang w:eastAsia="tr-TR"/>
        </w:rPr>
        <w:t>’</w:t>
      </w:r>
      <w:r w:rsidR="008952E1">
        <w:rPr>
          <w:lang w:eastAsia="tr-TR"/>
        </w:rPr>
        <w:t xml:space="preserve"> </w:t>
      </w:r>
      <w:r w:rsidR="0094717B">
        <w:rPr>
          <w:lang w:eastAsia="tr-TR"/>
        </w:rPr>
        <w:fldChar w:fldCharType="begin"/>
      </w:r>
      <w:r w:rsidR="0094717B">
        <w:rPr>
          <w:lang w:eastAsia="tr-TR"/>
        </w:rPr>
        <w:instrText xml:space="preserve"> ADDIN EN.CITE &lt;EndNote&gt;&lt;Cite&gt;&lt;Author&gt;National Institute for Health and Clinical Excellence&lt;/Author&gt;&lt;Year&gt;2009&lt;/Year&gt;&lt;RecNum&gt;2892&lt;/RecNum&gt;&lt;Pages&gt;90&lt;/Pages&gt;&lt;DisplayText&gt;(National Institute for Health and Clinical Excellence, 2009, p. 90)&lt;/DisplayText&gt;&lt;record&gt;&lt;rec-number&gt;2892&lt;/rec-number&gt;&lt;foreign-keys&gt;&lt;key app="EN" db-id="0swazwvvzv2zzfe0fs75dwsza2wreftvrrpv" timestamp="0"&gt;2892&lt;/key&gt;&lt;/foreign-keys&gt;&lt;ref-type name="Report"&gt;27&lt;/ref-type&gt;&lt;contributors&gt;&lt;authors&gt;&lt;author&gt;National Institute for Health and Clinical Excellence&lt;/author&gt;&lt;/authors&gt;&lt;/contributors&gt;&lt;titles&gt;&lt;title&gt;Depression: The treatment and management of depression in adults (update)&lt;/title&gt;&lt;secondary-title&gt;Clinical Guideline CG90&lt;/secondary-title&gt;&lt;/titles&gt;&lt;keywords&gt;&lt;keyword&gt;3 client groups: depression: MDD&lt;/keyword&gt;&lt;/keywords&gt;&lt;dates&gt;&lt;year&gt;2009&lt;/year&gt;&lt;/dates&gt;&lt;pub-location&gt;London&lt;/pub-location&gt;&lt;publisher&gt;National Institute for Health and Clinical Excellence&lt;/publisher&gt;&lt;urls&gt;&lt;/urls&gt;&lt;/record&gt;&lt;/Cite&gt;&lt;/EndNote&gt;</w:instrText>
      </w:r>
      <w:r w:rsidR="0094717B">
        <w:rPr>
          <w:lang w:eastAsia="tr-TR"/>
        </w:rPr>
        <w:fldChar w:fldCharType="separate"/>
      </w:r>
      <w:r w:rsidR="0094717B">
        <w:rPr>
          <w:noProof/>
          <w:lang w:eastAsia="tr-TR"/>
        </w:rPr>
        <w:t>(National Institute for Health and Clinical Excellence, 2009, p. 90)</w:t>
      </w:r>
      <w:r w:rsidR="0094717B">
        <w:rPr>
          <w:lang w:eastAsia="tr-TR"/>
        </w:rPr>
        <w:fldChar w:fldCharType="end"/>
      </w:r>
      <w:r>
        <w:rPr>
          <w:lang w:eastAsia="tr-TR"/>
        </w:rPr>
        <w:t xml:space="preserve">.  </w:t>
      </w:r>
      <w:r w:rsidR="005D0DB2">
        <w:t xml:space="preserve">However, </w:t>
      </w:r>
      <w:r w:rsidR="00B85692">
        <w:rPr>
          <w:lang w:eastAsia="tr-TR"/>
        </w:rPr>
        <w:t xml:space="preserve">there is an absence of guidance on how </w:t>
      </w:r>
      <w:r w:rsidR="00A57706">
        <w:rPr>
          <w:lang w:eastAsia="tr-TR"/>
        </w:rPr>
        <w:t xml:space="preserve">these </w:t>
      </w:r>
      <w:r w:rsidR="00FB629C">
        <w:rPr>
          <w:lang w:eastAsia="tr-TR"/>
        </w:rPr>
        <w:t xml:space="preserve">preferences </w:t>
      </w:r>
      <w:r w:rsidR="009876E0">
        <w:rPr>
          <w:lang w:eastAsia="tr-TR"/>
        </w:rPr>
        <w:t xml:space="preserve">can </w:t>
      </w:r>
      <w:r w:rsidR="00B85692">
        <w:rPr>
          <w:lang w:eastAsia="tr-TR"/>
        </w:rPr>
        <w:t>be identified</w:t>
      </w:r>
      <w:r w:rsidR="00A57706">
        <w:rPr>
          <w:lang w:eastAsia="tr-TR"/>
        </w:rPr>
        <w:t xml:space="preserve">, </w:t>
      </w:r>
      <w:r w:rsidR="00B85692">
        <w:rPr>
          <w:lang w:eastAsia="tr-TR"/>
        </w:rPr>
        <w:t xml:space="preserve">or </w:t>
      </w:r>
      <w:r w:rsidR="00A57706">
        <w:rPr>
          <w:lang w:eastAsia="tr-TR"/>
        </w:rPr>
        <w:t xml:space="preserve">how they should </w:t>
      </w:r>
      <w:r w:rsidR="00B85692">
        <w:rPr>
          <w:lang w:eastAsia="tr-TR"/>
        </w:rPr>
        <w:t xml:space="preserve">inform the clinical decision-making process.  </w:t>
      </w:r>
      <w:r w:rsidR="00A57706">
        <w:rPr>
          <w:lang w:eastAsia="tr-TR"/>
        </w:rPr>
        <w:t xml:space="preserve">Within NICE </w:t>
      </w:r>
      <w:r w:rsidR="00A57706">
        <w:rPr>
          <w:lang w:eastAsia="tr-TR"/>
        </w:rPr>
        <w:lastRenderedPageBreak/>
        <w:t xml:space="preserve">recommendations, choice is also limited to macro-level decisions about treatment </w:t>
      </w:r>
      <w:r w:rsidR="00F962EB">
        <w:rPr>
          <w:lang w:eastAsia="tr-TR"/>
        </w:rPr>
        <w:t xml:space="preserve">programmes, with no role for patient choice at the micro-level of particular treatment </w:t>
      </w:r>
      <w:r w:rsidR="00FB629C">
        <w:rPr>
          <w:lang w:eastAsia="tr-TR"/>
        </w:rPr>
        <w:t>component</w:t>
      </w:r>
      <w:r w:rsidR="00F962EB">
        <w:rPr>
          <w:lang w:eastAsia="tr-TR"/>
        </w:rPr>
        <w:t xml:space="preserve">.  </w:t>
      </w:r>
    </w:p>
    <w:p w14:paraId="21FE68E2" w14:textId="3D40BFC9" w:rsidR="005D0DB2" w:rsidRDefault="00206850" w:rsidP="00920EF9">
      <w:pPr>
        <w:ind w:firstLine="0"/>
        <w:rPr>
          <w:lang w:eastAsia="tr-TR"/>
        </w:rPr>
      </w:pPr>
      <w:r>
        <w:rPr>
          <w:lang w:eastAsia="tr-TR"/>
        </w:rPr>
        <w:tab/>
      </w:r>
      <w:r w:rsidR="000D1C1E">
        <w:rPr>
          <w:lang w:eastAsia="tr-TR"/>
        </w:rPr>
        <w:t xml:space="preserve">Pluralistic therapy is a collaborative </w:t>
      </w:r>
      <w:r w:rsidR="00B32549">
        <w:rPr>
          <w:lang w:eastAsia="tr-TR"/>
        </w:rPr>
        <w:t>integrative model of</w:t>
      </w:r>
      <w:r>
        <w:rPr>
          <w:lang w:eastAsia="tr-TR"/>
        </w:rPr>
        <w:t xml:space="preserve"> psychological </w:t>
      </w:r>
      <w:r w:rsidR="000D1C1E">
        <w:rPr>
          <w:lang w:eastAsia="tr-TR"/>
        </w:rPr>
        <w:t xml:space="preserve">therapy </w:t>
      </w:r>
      <w:r>
        <w:rPr>
          <w:lang w:eastAsia="tr-TR"/>
        </w:rPr>
        <w:t xml:space="preserve">that attempts to address some of </w:t>
      </w:r>
      <w:r w:rsidR="002D73D1">
        <w:rPr>
          <w:lang w:eastAsia="tr-TR"/>
        </w:rPr>
        <w:t xml:space="preserve">the </w:t>
      </w:r>
      <w:r>
        <w:rPr>
          <w:lang w:eastAsia="tr-TR"/>
        </w:rPr>
        <w:t xml:space="preserve">limitations of an empirically-supported treatments </w:t>
      </w:r>
      <w:r w:rsidR="00B623A4">
        <w:rPr>
          <w:lang w:eastAsia="tr-TR"/>
        </w:rPr>
        <w:t>paradigm</w:t>
      </w:r>
      <w:r>
        <w:rPr>
          <w:lang w:eastAsia="tr-TR"/>
        </w:rPr>
        <w:t xml:space="preserve">.  </w:t>
      </w:r>
      <w:r w:rsidR="00B5748C">
        <w:rPr>
          <w:lang w:eastAsia="tr-TR"/>
        </w:rPr>
        <w:t>Articulated</w:t>
      </w:r>
      <w:r>
        <w:rPr>
          <w:lang w:eastAsia="tr-TR"/>
        </w:rPr>
        <w:t xml:space="preserve"> by Cooper and McLeod </w:t>
      </w:r>
      <w:r w:rsidR="0094717B">
        <w:rPr>
          <w:lang w:eastAsia="tr-TR"/>
        </w:rPr>
        <w:fldChar w:fldCharType="begin"/>
      </w:r>
      <w:r w:rsidR="000D1C1E">
        <w:rPr>
          <w:lang w:eastAsia="tr-TR"/>
        </w:rPr>
        <w:instrText xml:space="preserve"> ADDIN EN.CITE &lt;EndNote&gt;&lt;Cite ExcludeAuth="1"&gt;&lt;Author&gt;Cooper&lt;/Author&gt;&lt;Year&gt;2007&lt;/Year&gt;&lt;RecNum&gt;1741&lt;/RecNum&gt;&lt;DisplayText&gt;(2007, 2011)&lt;/DisplayText&gt;&lt;record&gt;&lt;rec-number&gt;1741&lt;/rec-number&gt;&lt;foreign-keys&gt;&lt;key app="EN" db-id="0swazwvvzv2zzfe0fs75dwsza2wreftvrrpv" timestamp="0"&gt;1741&lt;/key&gt;&lt;/foreign-keys&gt;&lt;ref-type name="Journal Article"&gt;17&lt;/ref-type&gt;&lt;contributors&gt;&lt;authors&gt;&lt;author&gt;Cooper, Mick&lt;/author&gt;&lt;author&gt;McLeod, John&lt;/author&gt;&lt;/authors&gt;&lt;/contributors&gt;&lt;titles&gt;&lt;title&gt;A pluralistic framework for counselling and psychotherapy: Implications for research&lt;/title&gt;&lt;secondary-title&gt;Counselling and Psychotherapy Research&lt;/secondary-title&gt;&lt;/titles&gt;&lt;periodical&gt;&lt;full-title&gt;Counselling and Psychotherapy Research&lt;/full-title&gt;&lt;/periodical&gt;&lt;pages&gt;135-143&lt;/pages&gt;&lt;volume&gt;7&lt;/volume&gt;&lt;number&gt;3&lt;/number&gt;&lt;keywords&gt;&lt;keyword&gt;pluralistic framework: 0 general&lt;/keyword&gt;&lt;/keywords&gt;&lt;dates&gt;&lt;year&gt;2007&lt;/year&gt;&lt;/dates&gt;&lt;urls&gt;&lt;/urls&gt;&lt;/record&gt;&lt;/Cite&gt;&lt;Cite ExcludeAuth="1"&gt;&lt;Author&gt;Cooper&lt;/Author&gt;&lt;Year&gt;2011&lt;/Year&gt;&lt;RecNum&gt;2748&lt;/RecNum&gt;&lt;record&gt;&lt;rec-number&gt;2748&lt;/rec-number&gt;&lt;foreign-keys&gt;&lt;key app="EN" db-id="0swazwvvzv2zzfe0fs75dwsza2wreftvrrpv" timestamp="0"&gt;2748&lt;/key&gt;&lt;/foreign-keys&gt;&lt;ref-type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general&lt;/keyword&gt;&lt;/keywords&gt;&lt;dates&gt;&lt;year&gt;2011&lt;/year&gt;&lt;/dates&gt;&lt;pub-location&gt;London&lt;/pub-location&gt;&lt;publisher&gt;Sage&lt;/publisher&gt;&lt;urls&gt;&lt;/urls&gt;&lt;/record&gt;&lt;/Cite&gt;&lt;/EndNote&gt;</w:instrText>
      </w:r>
      <w:r w:rsidR="0094717B">
        <w:rPr>
          <w:lang w:eastAsia="tr-TR"/>
        </w:rPr>
        <w:fldChar w:fldCharType="separate"/>
      </w:r>
      <w:r w:rsidR="000D1C1E">
        <w:rPr>
          <w:noProof/>
          <w:lang w:eastAsia="tr-TR"/>
        </w:rPr>
        <w:t>(2007, 2011)</w:t>
      </w:r>
      <w:r w:rsidR="0094717B">
        <w:rPr>
          <w:lang w:eastAsia="tr-TR"/>
        </w:rPr>
        <w:fldChar w:fldCharType="end"/>
      </w:r>
      <w:r>
        <w:rPr>
          <w:lang w:eastAsia="tr-TR"/>
        </w:rPr>
        <w:t xml:space="preserve">, it has evoked considerable interest, debate and research in the British counselling psychology fields </w:t>
      </w:r>
      <w:r w:rsidR="000D1C1E">
        <w:rPr>
          <w:lang w:eastAsia="tr-TR"/>
        </w:rPr>
        <w:fldChar w:fldCharType="begin">
          <w:fldData xml:space="preserve">PEVuZE5vdGU+PENpdGU+PEF1dGhvcj5NaWx0b248L0F1dGhvcj48WWVhcj4yMDEwPC9ZZWFyPjxS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</w:fldData>
        </w:fldChar>
      </w:r>
      <w:r w:rsidR="00D0293A">
        <w:rPr>
          <w:lang w:eastAsia="tr-TR"/>
        </w:rPr>
        <w:instrText xml:space="preserve"> ADDIN EN.CITE </w:instrText>
      </w:r>
      <w:r w:rsidR="00D0293A">
        <w:rPr>
          <w:lang w:eastAsia="tr-TR"/>
        </w:rPr>
        <w:fldChar w:fldCharType="begin">
          <w:fldData xml:space="preserve">PEVuZE5vdGU+PENpdGU+PEF1dGhvcj5NaWx0b248L0F1dGhvcj48WWVhcj4yMDEwPC9ZZWFyPjxS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</w:fldData>
        </w:fldChar>
      </w:r>
      <w:r w:rsidR="00D0293A">
        <w:rPr>
          <w:lang w:eastAsia="tr-TR"/>
        </w:rPr>
        <w:instrText xml:space="preserve"> ADDIN EN.CITE.DATA </w:instrText>
      </w:r>
      <w:r w:rsidR="00D0293A">
        <w:rPr>
          <w:lang w:eastAsia="tr-TR"/>
        </w:rPr>
      </w:r>
      <w:r w:rsidR="00D0293A">
        <w:rPr>
          <w:lang w:eastAsia="tr-TR"/>
        </w:rPr>
        <w:fldChar w:fldCharType="end"/>
      </w:r>
      <w:r w:rsidR="000D1C1E">
        <w:rPr>
          <w:lang w:eastAsia="tr-TR"/>
        </w:rPr>
      </w:r>
      <w:r w:rsidR="000D1C1E">
        <w:rPr>
          <w:lang w:eastAsia="tr-TR"/>
        </w:rPr>
        <w:fldChar w:fldCharType="separate"/>
      </w:r>
      <w:r w:rsidR="000D1C1E">
        <w:rPr>
          <w:noProof/>
          <w:lang w:eastAsia="tr-TR"/>
        </w:rPr>
        <w:t>(e.g., Hanley, Williams, &amp; Sefi, 2012; Milton, 2010; Scott, 2014)</w:t>
      </w:r>
      <w:r w:rsidR="000D1C1E">
        <w:rPr>
          <w:lang w:eastAsia="tr-TR"/>
        </w:rPr>
        <w:fldChar w:fldCharType="end"/>
      </w:r>
      <w:r w:rsidR="000D1C1E">
        <w:rPr>
          <w:lang w:eastAsia="tr-TR"/>
        </w:rPr>
        <w:t xml:space="preserve">.  </w:t>
      </w:r>
      <w:r w:rsidR="00B623A4">
        <w:rPr>
          <w:lang w:eastAsia="tr-TR"/>
        </w:rPr>
        <w:t xml:space="preserve">The basic assumptions of the pluralistic approach are that a wide range of different </w:t>
      </w:r>
      <w:r w:rsidR="00B32549">
        <w:rPr>
          <w:lang w:eastAsia="tr-TR"/>
        </w:rPr>
        <w:t>treatment methods and strategies that</w:t>
      </w:r>
      <w:r w:rsidR="00B623A4">
        <w:rPr>
          <w:lang w:eastAsia="tr-TR"/>
        </w:rPr>
        <w:t xml:space="preserve"> can be helpful for different clients, and that therapists should work closely with their clients to help them identify the treatment approach that most suits their therapeutic goals and preferences.  </w:t>
      </w:r>
      <w:r w:rsidR="004D29BC">
        <w:rPr>
          <w:lang w:eastAsia="tr-TR"/>
        </w:rPr>
        <w:t>Therapist</w:t>
      </w:r>
      <w:r w:rsidR="000D1C1E">
        <w:rPr>
          <w:lang w:eastAsia="tr-TR"/>
        </w:rPr>
        <w:noBreakHyphen/>
      </w:r>
      <w:r w:rsidR="004D29BC">
        <w:rPr>
          <w:lang w:eastAsia="tr-TR"/>
        </w:rPr>
        <w:t>client collaborative action i</w:t>
      </w:r>
      <w:r w:rsidR="00B5748C">
        <w:rPr>
          <w:lang w:eastAsia="tr-TR"/>
        </w:rPr>
        <w:t xml:space="preserve">s </w:t>
      </w:r>
      <w:r w:rsidR="004D29BC">
        <w:rPr>
          <w:lang w:eastAsia="tr-TR"/>
        </w:rPr>
        <w:t xml:space="preserve">facilitated </w:t>
      </w:r>
      <w:r w:rsidR="00B5748C">
        <w:rPr>
          <w:lang w:eastAsia="tr-TR"/>
        </w:rPr>
        <w:t xml:space="preserve">both through formal </w:t>
      </w:r>
      <w:r w:rsidR="00920EF9">
        <w:rPr>
          <w:lang w:eastAsia="tr-TR"/>
        </w:rPr>
        <w:t xml:space="preserve">feedback tools </w:t>
      </w:r>
      <w:r w:rsidR="0094717B">
        <w:rPr>
          <w:lang w:eastAsia="tr-TR"/>
        </w:rPr>
        <w:fldChar w:fldCharType="begin"/>
      </w:r>
      <w:r w:rsidR="00920EF9">
        <w:rPr>
          <w:lang w:eastAsia="tr-TR"/>
        </w:rPr>
        <w:instrText xml:space="preserve"> ADDIN EN.CITE &lt;EndNote&gt;&lt;Cite&gt;&lt;Author&gt;Bowen&lt;/Author&gt;&lt;Year&gt;2012&lt;/Year&gt;&lt;RecNum&gt;3406&lt;/RecNum&gt;&lt;Prefix&gt;e.g.`, the Therapy Personalisation Form`, &lt;/Prefix&gt;&lt;DisplayText&gt;(e.g., the Therapy Personalisation Form, Bowen &amp;amp; Cooper, 2012)&lt;/DisplayText&gt;&lt;record&gt;&lt;rec-number&gt;3406&lt;/rec-number&gt;&lt;foreign-keys&gt;&lt;key app="EN" db-id="0swazwvvzv2zzfe0fs75dwsza2wreftvrrpv" timestamp="0"&gt;3406&lt;/key&gt;&lt;/foreign-keys&gt;&lt;ref-type name="Journal Article"&gt;17&lt;/ref-type&gt;&lt;contributors&gt;&lt;authors&gt;&lt;author&gt;Bowen, M&lt;/author&gt;&lt;author&gt;Cooper, Mick&lt;/author&gt;&lt;/authors&gt;&lt;/contributors&gt;&lt;titles&gt;&lt;title&gt;Development of a client feedback tool: a qualitative study of therapists’ experiences of using the Therapy Personalisation Forms&lt;/title&gt;&lt;secondary-title&gt;European Journal of Psychotherapy and Counselling&lt;/secondary-title&gt;&lt;/titles&gt;&lt;pages&gt;47-62&lt;/pages&gt;&lt;volume&gt;14&lt;/volume&gt;&lt;dates&gt;&lt;year&gt;2012&lt;/year&gt;&lt;/dates&gt;&lt;urls&gt;&lt;/urls&gt;&lt;/record&gt;&lt;/Cite&gt;&lt;/EndNote&gt;</w:instrText>
      </w:r>
      <w:r w:rsidR="0094717B">
        <w:rPr>
          <w:lang w:eastAsia="tr-TR"/>
        </w:rPr>
        <w:fldChar w:fldCharType="separate"/>
      </w:r>
      <w:r w:rsidR="00920EF9">
        <w:rPr>
          <w:noProof/>
          <w:lang w:eastAsia="tr-TR"/>
        </w:rPr>
        <w:t>(e.g., the Therapy Personalisation Form, Bowen &amp; Cooper, 2012)</w:t>
      </w:r>
      <w:r w:rsidR="0094717B">
        <w:rPr>
          <w:lang w:eastAsia="tr-TR"/>
        </w:rPr>
        <w:fldChar w:fldCharType="end"/>
      </w:r>
      <w:r w:rsidR="00B5748C">
        <w:rPr>
          <w:lang w:eastAsia="tr-TR"/>
        </w:rPr>
        <w:t xml:space="preserve">, and through ongoing </w:t>
      </w:r>
      <w:r w:rsidR="00B5748C" w:rsidRPr="00B5748C">
        <w:rPr>
          <w:i/>
          <w:lang w:eastAsia="tr-TR"/>
        </w:rPr>
        <w:t>meta</w:t>
      </w:r>
      <w:r w:rsidR="000D1C1E">
        <w:rPr>
          <w:i/>
          <w:lang w:eastAsia="tr-TR"/>
        </w:rPr>
        <w:t>-</w:t>
      </w:r>
      <w:r w:rsidR="00B5748C" w:rsidRPr="00B5748C">
        <w:rPr>
          <w:i/>
          <w:lang w:eastAsia="tr-TR"/>
        </w:rPr>
        <w:t>therapeutic dialogue</w:t>
      </w:r>
      <w:r w:rsidR="00B5748C">
        <w:rPr>
          <w:lang w:eastAsia="tr-TR"/>
        </w:rPr>
        <w:t xml:space="preserve"> </w:t>
      </w:r>
      <w:r w:rsidR="0094717B">
        <w:rPr>
          <w:lang w:eastAsia="tr-TR"/>
        </w:rPr>
        <w:fldChar w:fldCharType="begin"/>
      </w:r>
      <w:r w:rsidR="0094717B">
        <w:rPr>
          <w:lang w:eastAsia="tr-TR"/>
        </w:rPr>
        <w:instrText xml:space="preserve"> ADDIN EN.CITE &lt;EndNote&gt;&lt;Cite&gt;&lt;Author&gt;Cooper&lt;/Author&gt;&lt;Year&gt;2012&lt;/Year&gt;&lt;RecNum&gt;3404&lt;/RecNum&gt;&lt;DisplayText&gt;(Cooper &amp;amp; McLeod, 2012)&lt;/DisplayText&gt;&lt;record&gt;&lt;rec-number&gt;3404&lt;/rec-number&gt;&lt;foreign-keys&gt;&lt;key app="EN" db-id="0swazwvvzv2zzfe0fs75dwsza2wreftvrrpv" timestamp="0"&gt;3404&lt;/key&gt;&lt;/foreign-keys&gt;&lt;ref-type name="Journal Article"&gt;17&lt;/ref-type&gt;&lt;contributors&gt;&lt;authors&gt;&lt;author&gt;Cooper, Mick&lt;/author&gt;&lt;author&gt;McLeod, John&lt;/author&gt;&lt;/authors&gt;&lt;/contributors&gt;&lt;titles&gt;&lt;title&gt;From either/or to both/and: Developing a pluralistic approach to counselling and psychotherapy&lt;/title&gt;&lt;secondary-title&gt;European Journal of Psychotherapy and Counselling&lt;/secondary-title&gt;&lt;/titles&gt;&lt;pages&gt;5-18&lt;/pages&gt;&lt;volume&gt;14&lt;/volume&gt;&lt;number&gt;1&lt;/number&gt;&lt;dates&gt;&lt;year&gt;2012&lt;/year&gt;&lt;/dates&gt;&lt;urls&gt;&lt;/urls&gt;&lt;/record&gt;&lt;/Cite&gt;&lt;/EndNote&gt;</w:instrText>
      </w:r>
      <w:r w:rsidR="0094717B">
        <w:rPr>
          <w:lang w:eastAsia="tr-TR"/>
        </w:rPr>
        <w:fldChar w:fldCharType="separate"/>
      </w:r>
      <w:r w:rsidR="0094717B">
        <w:rPr>
          <w:noProof/>
          <w:lang w:eastAsia="tr-TR"/>
        </w:rPr>
        <w:t>(Cooper &amp; McLeod, 2012)</w:t>
      </w:r>
      <w:r w:rsidR="0094717B">
        <w:rPr>
          <w:lang w:eastAsia="tr-TR"/>
        </w:rPr>
        <w:fldChar w:fldCharType="end"/>
      </w:r>
      <w:r w:rsidR="00040E9C">
        <w:rPr>
          <w:lang w:eastAsia="tr-TR"/>
        </w:rPr>
        <w:t xml:space="preserve"> </w:t>
      </w:r>
      <w:r w:rsidR="00B5748C">
        <w:rPr>
          <w:lang w:eastAsia="tr-TR"/>
        </w:rPr>
        <w:t xml:space="preserve">regarding the goals and methods of therapy.  </w:t>
      </w:r>
      <w:r w:rsidR="003615A3">
        <w:rPr>
          <w:lang w:eastAsia="tr-TR"/>
        </w:rPr>
        <w:t>A preliminary open-label trial of pluralistic therapy at a university research clini</w:t>
      </w:r>
      <w:r w:rsidR="000D1C1E">
        <w:rPr>
          <w:lang w:eastAsia="tr-TR"/>
        </w:rPr>
        <w:t>c found acceptable levels of clinical and/or reliable improvement (76.9%)</w:t>
      </w:r>
      <w:r w:rsidR="004215A9">
        <w:rPr>
          <w:lang w:eastAsia="tr-TR"/>
        </w:rPr>
        <w:t xml:space="preserve">; with one client (6%) showing clinical and reliable deterioration </w:t>
      </w:r>
      <w:r w:rsidR="00920EF9">
        <w:rPr>
          <w:lang w:eastAsia="tr-TR"/>
        </w:rPr>
        <w:fldChar w:fldCharType="begin"/>
      </w:r>
      <w:r w:rsidR="00920EF9">
        <w:rPr>
          <w:lang w:eastAsia="tr-TR"/>
        </w:rPr>
        <w:instrText xml:space="preserve"> ADDIN EN.CITE &lt;EndNote&gt;&lt;Cite&gt;&lt;Author&gt;Cooper&lt;/Author&gt;&lt;Year&gt;2014&lt;/Year&gt;&lt;RecNum&gt;4011&lt;/RecNum&gt;&lt;DisplayText&gt;(Cooper, 2014)&lt;/DisplayText&gt;&lt;record&gt;&lt;rec-number&gt;4011&lt;/rec-number&gt;&lt;foreign-keys&gt;&lt;key app="EN" db-id="0swazwvvzv2zzfe0fs75dwsza2wreftvrrpv" timestamp="1401952798"&gt;4011&lt;/key&gt;&lt;/foreign-keys&gt;&lt;ref-type name="Report"&gt;27&lt;/ref-type&gt;&lt;contributors&gt;&lt;authors&gt;&lt;author&gt;Cooper, Mick&lt;/author&gt;&lt;/authors&gt;&lt;/contributors&gt;&lt;titles&gt;&lt;title&gt;Strathclyde pluralistic protocol&lt;/title&gt;&lt;/titles&gt;&lt;keywords&gt;&lt;keyword&gt;pluralistic therapy&lt;/keyword&gt;&lt;/keywords&gt;&lt;dates&gt;&lt;year&gt;2014&lt;/year&gt;&lt;/dates&gt;&lt;pub-location&gt;London&lt;/pub-location&gt;&lt;publisher&gt;University of Roehampton&lt;/publisher&gt;&lt;urls&gt;&lt;/urls&gt;&lt;/record&gt;&lt;/Cite&gt;&lt;/EndNote&gt;</w:instrText>
      </w:r>
      <w:r w:rsidR="00920EF9">
        <w:rPr>
          <w:lang w:eastAsia="tr-TR"/>
        </w:rPr>
        <w:fldChar w:fldCharType="separate"/>
      </w:r>
      <w:r w:rsidR="00920EF9">
        <w:rPr>
          <w:noProof/>
          <w:lang w:eastAsia="tr-TR"/>
        </w:rPr>
        <w:t>(Cooper, 2014)</w:t>
      </w:r>
      <w:r w:rsidR="00920EF9">
        <w:rPr>
          <w:lang w:eastAsia="tr-TR"/>
        </w:rPr>
        <w:fldChar w:fldCharType="end"/>
      </w:r>
      <w:r w:rsidR="004215A9">
        <w:rPr>
          <w:lang w:eastAsia="tr-TR"/>
        </w:rPr>
        <w:t xml:space="preserve">.  All clients engaged for at least three sessions of therapy, and 78% had a planned ending.  </w:t>
      </w:r>
    </w:p>
    <w:p w14:paraId="5BA2FE5F" w14:textId="625DFF02" w:rsidR="00663306" w:rsidRDefault="00CC26EC" w:rsidP="000D461F">
      <w:pPr>
        <w:ind w:firstLine="0"/>
      </w:pPr>
      <w:r>
        <w:rPr>
          <w:lang w:eastAsia="tr-TR"/>
        </w:rPr>
        <w:tab/>
      </w:r>
      <w:r w:rsidR="00920EF9">
        <w:rPr>
          <w:lang w:eastAsia="tr-TR"/>
        </w:rPr>
        <w:t xml:space="preserve">A pluralistic approach to therapy is supported by several </w:t>
      </w:r>
      <w:r w:rsidR="00383C44">
        <w:rPr>
          <w:lang w:eastAsia="tr-TR"/>
        </w:rPr>
        <w:t xml:space="preserve">further </w:t>
      </w:r>
      <w:r w:rsidR="00920EF9">
        <w:rPr>
          <w:lang w:eastAsia="tr-TR"/>
        </w:rPr>
        <w:t xml:space="preserve">strands of </w:t>
      </w:r>
      <w:r w:rsidR="00383C44">
        <w:rPr>
          <w:lang w:eastAsia="tr-TR"/>
        </w:rPr>
        <w:t xml:space="preserve">evidence </w:t>
      </w:r>
      <w:r w:rsidR="00920EF9">
        <w:rPr>
          <w:lang w:eastAsia="tr-TR"/>
        </w:rPr>
        <w:t xml:space="preserve">in the psychotherapy research field.  First, </w:t>
      </w:r>
      <w:r w:rsidR="002A686D">
        <w:rPr>
          <w:lang w:eastAsia="tr-TR"/>
        </w:rPr>
        <w:t xml:space="preserve">clients’ preferences for treatment have been identified as a ‘demonstrably effective’ factor in determining their clinical outcomes </w:t>
      </w:r>
      <w:r w:rsidR="00D157DE">
        <w:rPr>
          <w:lang w:eastAsia="tr-TR"/>
        </w:rPr>
        <w:fldChar w:fldCharType="begin"/>
      </w:r>
      <w:r w:rsidR="009876E0">
        <w:rPr>
          <w:lang w:eastAsia="tr-TR"/>
        </w:rPr>
        <w:instrText xml:space="preserve"> ADDIN EN.CITE &lt;EndNote&gt;&lt;Cite&gt;&lt;Author&gt;Swift&lt;/Author&gt;&lt;Year&gt;2011&lt;/Year&gt;&lt;RecNum&gt;4102&lt;/RecNum&gt;&lt;DisplayText&gt;(Swift, Callahan, &amp;amp; Vollmer, 2011)&lt;/DisplayText&gt;&lt;record&gt;&lt;rec-number&gt;4102&lt;/rec-number&gt;&lt;foreign-keys&gt;&lt;key app="EN" db-id="0swazwvvzv2zzfe0fs75dwsza2wreftvrrpv" timestamp="1411802904"&gt;4102&lt;/key&gt;&lt;/foreign-keys&gt;&lt;ref-type name="Book Section"&gt;5&lt;/ref-type&gt;&lt;contributors&gt;&lt;authors&gt;&lt;author&gt;Swift, Joshua K.&lt;/author&gt;&lt;author&gt;Callahan, Jennifer L.&lt;/author&gt;&lt;author&gt;Vollmer, Barbara M.&lt;/author&gt;&lt;/authors&gt;&lt;secondary-authors&gt;&lt;author&gt;Norcross, J C&lt;/author&gt;&lt;/secondary-authors&gt;&lt;/contributors&gt;&lt;auth-address&gt;Swift, Joshua K., Department of Psychology, University of Alaska Anchorage 3211 Providence Drive SSB214, Anchorage, AK, US, 99508, Joshua.Keith.Swift@gmail.com&lt;/auth-address&gt;&lt;titles&gt;&lt;title&gt;Preferences&lt;/title&gt;&lt;secondary-title&gt;Psychotherapy relationships that work&lt;/secondary-title&gt;&lt;/titles&gt;&lt;pages&gt;301-315&lt;/pages&gt;&lt;edition&gt;2nd&lt;/edition&gt;&lt;keywords&gt;&lt;keyword&gt;client preferences&lt;/keyword&gt;&lt;keyword&gt;evidence based practice&lt;/keyword&gt;&lt;keyword&gt;therapeutic practices&lt;/keyword&gt;&lt;keyword&gt;Client Attitudes&lt;/keyword&gt;&lt;keyword&gt;Preferences&lt;/keyword&gt;&lt;keyword&gt;Therapeutic Processes&lt;/keyword&gt;&lt;/keywords&gt;&lt;dates&gt;&lt;year&gt;2011&lt;/year&gt;&lt;/dates&gt;&lt;pub-location&gt;NY&lt;/pub-location&gt;&lt;publisher&gt;Oxford University&lt;/publisher&gt;&lt;urls&gt;&lt;/urls&gt;&lt;remote-database-name&gt;psyh&lt;/remote-database-name&gt;&lt;remote-database-provider&gt;EBSCOhost&lt;/remote-database-provider&gt;&lt;/record&gt;&lt;/Cite&gt;&lt;/EndNote&gt;</w:instrText>
      </w:r>
      <w:r w:rsidR="00D157DE">
        <w:rPr>
          <w:lang w:eastAsia="tr-TR"/>
        </w:rPr>
        <w:fldChar w:fldCharType="separate"/>
      </w:r>
      <w:r w:rsidR="009876E0">
        <w:rPr>
          <w:noProof/>
          <w:lang w:eastAsia="tr-TR"/>
        </w:rPr>
        <w:t>(Swift, Callahan, &amp; Vollmer, 2011)</w:t>
      </w:r>
      <w:r w:rsidR="00D157DE">
        <w:rPr>
          <w:lang w:eastAsia="tr-TR"/>
        </w:rPr>
        <w:fldChar w:fldCharType="end"/>
      </w:r>
      <w:r w:rsidR="002A686D">
        <w:rPr>
          <w:lang w:eastAsia="tr-TR"/>
        </w:rPr>
        <w:t xml:space="preserve">.  Clients who receive a preferred intervention are ‘between a half and a third less likely to drop out of therapy prematurely compared with clients who did not receive their preferred therapy conditions’ </w:t>
      </w:r>
      <w:r w:rsidR="00D157DE">
        <w:rPr>
          <w:lang w:eastAsia="tr-TR"/>
        </w:rPr>
        <w:fldChar w:fldCharType="begin"/>
      </w:r>
      <w:r w:rsidR="009876E0">
        <w:rPr>
          <w:lang w:eastAsia="tr-TR"/>
        </w:rPr>
        <w:instrText xml:space="preserve"> ADDIN EN.CITE &lt;EndNote&gt;&lt;Cite&gt;&lt;Author&gt;Swift&lt;/Author&gt;&lt;Year&gt;2011&lt;/Year&gt;&lt;RecNum&gt;4102&lt;/RecNum&gt;&lt;Pages&gt;307&lt;/Pages&gt;&lt;DisplayText&gt;(Swift et al., 2011, p. 307)&lt;/DisplayText&gt;&lt;record&gt;&lt;rec-number&gt;4102&lt;/rec-number&gt;&lt;foreign-keys&gt;&lt;key app="EN" db-id="0swazwvvzv2zzfe0fs75dwsza2wreftvrrpv" timestamp="1411802904"&gt;4102&lt;/key&gt;&lt;/foreign-keys&gt;&lt;ref-type name="Book Section"&gt;5&lt;/ref-type&gt;&lt;contributors&gt;&lt;authors&gt;&lt;author&gt;Swift, Joshua K.&lt;/author&gt;&lt;author&gt;Callahan, Jennifer L.&lt;/author&gt;&lt;author&gt;Vollmer, Barbara M.&lt;/author&gt;&lt;/authors&gt;&lt;secondary-authors&gt;&lt;author&gt;Norcross, J C&lt;/author&gt;&lt;/secondary-authors&gt;&lt;/contributors&gt;&lt;auth-address&gt;Swift, Joshua K., Department of Psychology, University of Alaska Anchorage 3211 Providence Drive SSB214, Anchorage, AK, US, 99508, Joshua.Keith.Swift@gmail.com&lt;/auth-address&gt;&lt;titles&gt;&lt;title&gt;Preferences&lt;/title&gt;&lt;secondary-title&gt;Psychotherapy relationships that work&lt;/secondary-title&gt;&lt;/titles&gt;&lt;pages&gt;301-315&lt;/pages&gt;&lt;edition&gt;2nd&lt;/edition&gt;&lt;keywords&gt;&lt;keyword&gt;client preferences&lt;/keyword&gt;&lt;keyword&gt;evidence based practice&lt;/keyword&gt;&lt;keyword&gt;therapeutic practices&lt;/keyword&gt;&lt;keyword&gt;Client Attitudes&lt;/keyword&gt;&lt;keyword&gt;Preferences&lt;/keyword&gt;&lt;keyword&gt;Therapeutic Processes&lt;/keyword&gt;&lt;/keywords&gt;&lt;dates&gt;&lt;year&gt;2011&lt;/year&gt;&lt;/dates&gt;&lt;pub-location&gt;NY&lt;/pub-location&gt;&lt;publisher&gt;Oxford University&lt;/publisher&gt;&lt;urls&gt;&lt;/urls&gt;&lt;remote-database-name&gt;psyh&lt;/remote-database-name&gt;&lt;remote-database-provider&gt;EBSCOhost&lt;/remote-database-provider&gt;&lt;/record&gt;&lt;/Cite&gt;&lt;/EndNote&gt;</w:instrText>
      </w:r>
      <w:r w:rsidR="00D157DE">
        <w:rPr>
          <w:lang w:eastAsia="tr-TR"/>
        </w:rPr>
        <w:fldChar w:fldCharType="separate"/>
      </w:r>
      <w:r w:rsidR="009876E0">
        <w:rPr>
          <w:noProof/>
          <w:lang w:eastAsia="tr-TR"/>
        </w:rPr>
        <w:t>(Swift et al., 2011, p. 307)</w:t>
      </w:r>
      <w:r w:rsidR="00D157DE">
        <w:rPr>
          <w:lang w:eastAsia="tr-TR"/>
        </w:rPr>
        <w:fldChar w:fldCharType="end"/>
      </w:r>
      <w:r w:rsidR="002A686D">
        <w:rPr>
          <w:lang w:eastAsia="tr-TR"/>
        </w:rPr>
        <w:t>; and also show a small but significant increase in outcomes (</w:t>
      </w:r>
      <w:r w:rsidR="002A686D" w:rsidRPr="002A686D">
        <w:rPr>
          <w:i/>
          <w:lang w:eastAsia="tr-TR"/>
        </w:rPr>
        <w:t xml:space="preserve">d </w:t>
      </w:r>
      <w:r w:rsidR="002A686D">
        <w:rPr>
          <w:lang w:eastAsia="tr-TR"/>
        </w:rPr>
        <w:t xml:space="preserve">= 0.31).  Second, alliance research suggests that </w:t>
      </w:r>
      <w:r w:rsidR="002A686D">
        <w:rPr>
          <w:lang w:eastAsia="tr-TR"/>
        </w:rPr>
        <w:lastRenderedPageBreak/>
        <w:t>client</w:t>
      </w:r>
      <w:r w:rsidR="002A686D">
        <w:rPr>
          <w:lang w:eastAsia="tr-TR"/>
        </w:rPr>
        <w:noBreakHyphen/>
        <w:t xml:space="preserve">therapist agreement on the tasks of therapy, as well as the goals, are amongst the strongest predictors of therapeutic outcomes </w:t>
      </w:r>
      <w:r w:rsidR="002A686D">
        <w:rPr>
          <w:lang w:eastAsia="tr-TR"/>
        </w:rPr>
        <w:fldChar w:fldCharType="begin">
          <w:fldData xml:space="preserve">PEVuZE5vdGU+PENpdGU+PEF1dGhvcj5Ib3J2YXRoPC9BdXRob3I+PFllYXI+MjAxMjwvWWVhcj48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</w:fldData>
        </w:fldChar>
      </w:r>
      <w:r w:rsidR="00D157DE">
        <w:rPr>
          <w:lang w:eastAsia="tr-TR"/>
        </w:rPr>
        <w:instrText xml:space="preserve"> ADDIN EN.CITE </w:instrText>
      </w:r>
      <w:r w:rsidR="00D157DE">
        <w:rPr>
          <w:lang w:eastAsia="tr-TR"/>
        </w:rPr>
        <w:fldChar w:fldCharType="begin">
          <w:fldData xml:space="preserve">PEVuZE5vdGU+PENpdGU+PEF1dGhvcj5Ib3J2YXRoPC9BdXRob3I+PFllYXI+MjAxMjwvWWVhcj48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</w:fldData>
        </w:fldChar>
      </w:r>
      <w:r w:rsidR="00D157DE">
        <w:rPr>
          <w:lang w:eastAsia="tr-TR"/>
        </w:rPr>
        <w:instrText xml:space="preserve"> ADDIN EN.CITE.DATA </w:instrText>
      </w:r>
      <w:r w:rsidR="00D157DE">
        <w:rPr>
          <w:lang w:eastAsia="tr-TR"/>
        </w:rPr>
      </w:r>
      <w:r w:rsidR="00D157DE">
        <w:rPr>
          <w:lang w:eastAsia="tr-TR"/>
        </w:rPr>
        <w:fldChar w:fldCharType="end"/>
      </w:r>
      <w:r w:rsidR="002A686D">
        <w:rPr>
          <w:lang w:eastAsia="tr-TR"/>
        </w:rPr>
      </w:r>
      <w:r w:rsidR="002A686D">
        <w:rPr>
          <w:lang w:eastAsia="tr-TR"/>
        </w:rPr>
        <w:fldChar w:fldCharType="separate"/>
      </w:r>
      <w:r w:rsidR="00D157DE">
        <w:rPr>
          <w:noProof/>
          <w:lang w:eastAsia="tr-TR"/>
        </w:rPr>
        <w:t>(Horvath, Del Re, Fluckinger, &amp; Symonds, 2012; Tryon &amp; Winograd, 2012)</w:t>
      </w:r>
      <w:r w:rsidR="002A686D">
        <w:rPr>
          <w:lang w:eastAsia="tr-TR"/>
        </w:rPr>
        <w:fldChar w:fldCharType="end"/>
      </w:r>
      <w:r w:rsidR="002A686D">
        <w:rPr>
          <w:lang w:eastAsia="tr-TR"/>
        </w:rPr>
        <w:t xml:space="preserve">.  Third, there is research to suggest that flexible practice, tailored the needs of individual clients, can lead to improved outcomes and greater engagement with therapy </w:t>
      </w:r>
      <w:r w:rsidR="002A686D">
        <w:fldChar w:fldCharType="begin">
          <w:fldData xml:space="preserve">PEVuZE5vdGU+PENpdGU+PFllYXI+MTk4OTwvWWVhcj48UmVjTnVtPjI5Njc8L1JlY051bT48RGlz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</w:fldData>
        </w:fldChar>
      </w:r>
      <w:r w:rsidR="002A686D">
        <w:instrText xml:space="preserve"> ADDIN EN.CITE </w:instrText>
      </w:r>
      <w:r w:rsidR="002A686D">
        <w:fldChar w:fldCharType="begin">
          <w:fldData xml:space="preserve">PEVuZE5vdGU+PENpdGU+PFllYXI+MTk4OTwvWWVhcj48UmVjTnVtPjI5Njc8L1JlY051bT48RGlz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</w:fldData>
        </w:fldChar>
      </w:r>
      <w:r w:rsidR="002A686D">
        <w:instrText xml:space="preserve"> ADDIN EN.CITE.DATA </w:instrText>
      </w:r>
      <w:r w:rsidR="002A686D">
        <w:fldChar w:fldCharType="end"/>
      </w:r>
      <w:r w:rsidR="002A686D">
        <w:fldChar w:fldCharType="separate"/>
      </w:r>
      <w:r w:rsidR="002A686D">
        <w:rPr>
          <w:noProof/>
        </w:rPr>
        <w:t>(Chu &amp; Kendall, 2009; Ghaderi, 2006; Jacobson et al., 1989)</w:t>
      </w:r>
      <w:r w:rsidR="002A686D">
        <w:fldChar w:fldCharType="end"/>
      </w:r>
      <w:r w:rsidR="002A686D">
        <w:t xml:space="preserve">.  This is supported by qualitative interview evidence which suggests that clients experience therapist flexibility as helpful and important to the relationship </w:t>
      </w:r>
      <w:r w:rsidR="002A686D">
        <w:fldChar w:fldCharType="begin"/>
      </w:r>
      <w:r w:rsidR="00D0293A">
        <w:instrText xml:space="preserve"> ADDIN EN.CITE &lt;EndNote&gt;&lt;Cite&gt;&lt;Author&gt;Perren&lt;/Author&gt;&lt;Year&gt;2009&lt;/Year&gt;&lt;RecNum&gt;2966&lt;/RecNum&gt;&lt;DisplayText&gt;(Perren, Godfrey, &amp;amp; Rowland, 2009)&lt;/DisplayText&gt;&lt;record&gt;&lt;rec-number&gt;2966&lt;/rec-number&gt;&lt;foreign-keys&gt;&lt;key app="EN" db-id="0swazwvvzv2zzfe0fs75dwsza2wreftvrrpv" timestamp="0"&gt;2966&lt;/key&gt;&lt;/foreign-keys&gt;&lt;ref-type name="Journal Article"&gt;17&lt;/ref-type&gt;&lt;contributors&gt;&lt;authors&gt;&lt;author&gt;Perren, Sara&lt;/author&gt;&lt;author&gt;Godfrey, Mary&lt;/author&gt;&lt;author&gt;Rowland, Nancy&lt;/author&gt;&lt;/authors&gt;&lt;/contributors&gt;&lt;titles&gt;&lt;title&gt;The long-term effects of counselling: The process and mechanisms that contribute to ongoing change from a user perspective&lt;/title&gt;&lt;secondary-title&gt;Counselling and Psychotherapy Research&lt;/secondary-title&gt;&lt;/titles&gt;&lt;periodical&gt;&lt;full-title&gt;Counselling and Psychotherapy Research&lt;/full-title&gt;&lt;/periodical&gt;&lt;pages&gt;241 - 249&lt;/pages&gt;&lt;volume&gt;9&lt;/volume&gt;&lt;number&gt;4&lt;/number&gt;&lt;keywords&gt;&lt;keyword&gt;2 outcome: helpful factors&lt;/keyword&gt;&lt;/keywords&gt;&lt;dates&gt;&lt;year&gt;2009&lt;/year&gt;&lt;/dates&gt;&lt;isbn&gt;1473-3145&lt;/isbn&gt;&lt;urls&gt;&lt;related-urls&gt;&lt;url&gt;http://www.informaworld.com/10.1080/14733140903150745&lt;/url&gt;&lt;/related-urls&gt;&lt;/urls&gt;&lt;access-date&gt;February 25, 2010&lt;/access-date&gt;&lt;/record&gt;&lt;/Cite&gt;&lt;/EndNote&gt;</w:instrText>
      </w:r>
      <w:r w:rsidR="002A686D">
        <w:fldChar w:fldCharType="separate"/>
      </w:r>
      <w:r w:rsidR="002A686D">
        <w:rPr>
          <w:noProof/>
        </w:rPr>
        <w:t>(Perren, Godfrey, &amp; Rowland, 2009)</w:t>
      </w:r>
      <w:r w:rsidR="002A686D">
        <w:fldChar w:fldCharType="end"/>
      </w:r>
      <w:r w:rsidR="002A686D">
        <w:t>.  Fourth, r</w:t>
      </w:r>
      <w:r w:rsidR="00B5748C">
        <w:rPr>
          <w:lang w:eastAsia="tr-TR"/>
        </w:rPr>
        <w:t xml:space="preserve">andomised controlled studies indicate that the use of systematic client feedback can significantly enhance </w:t>
      </w:r>
      <w:r w:rsidR="00663306">
        <w:rPr>
          <w:lang w:eastAsia="tr-TR"/>
        </w:rPr>
        <w:t xml:space="preserve">therapeutic outcomes </w:t>
      </w:r>
      <w:r w:rsidR="0094717B">
        <w:rPr>
          <w:lang w:eastAsia="tr-TR"/>
        </w:rPr>
        <w:fldChar w:fldCharType="begin"/>
      </w:r>
      <w:r w:rsidR="00D157DE">
        <w:rPr>
          <w:lang w:eastAsia="tr-TR"/>
        </w:rPr>
        <w:instrText xml:space="preserve"> ADDIN EN.CITE &lt;EndNote&gt;&lt;Cite&gt;&lt;Author&gt;Schuman&lt;/Author&gt;&lt;Year&gt;2014&lt;/Year&gt;&lt;RecNum&gt;3746&lt;/RecNum&gt;&lt;DisplayText&gt;(Lambert &amp;amp; Shimokawa, 2011; Schuman, Slone, Reese, &amp;amp; Duncan, 2014)&lt;/DisplayText&gt;&lt;record&gt;&lt;rec-number&gt;3746&lt;/rec-number&gt;&lt;foreign-keys&gt;&lt;key app="EN" db-id="0swazwvvzv2zzfe0fs75dwsza2wreftvrrpv" timestamp="1397225890"&gt;3746&lt;/key&gt;&lt;/foreign-keys&gt;&lt;ref-type name="Journal Article"&gt;17&lt;/ref-type&gt;&lt;contributors&gt;&lt;authors&gt;&lt;author&gt;Schuman, Donald L.&lt;/author&gt;&lt;author&gt;Slone, Norah C.&lt;/author&gt;&lt;author&gt;Reese, Robert J.&lt;/author&gt;&lt;author&gt;Duncan, Barry&lt;/author&gt;&lt;/authors&gt;&lt;/contributors&gt;&lt;titles&gt;&lt;title&gt;Efficacy of client feedback in group psychotherapy with soldiers referred for substance abuse treatment&lt;/title&gt;&lt;secondary-title&gt;Psychotherapy Research&lt;/secondary-title&gt;&lt;/titles&gt;&lt;periodical&gt;&lt;full-title&gt;Psychotherapy Research&lt;/full-title&gt;&lt;/periodical&gt;&lt;pages&gt;1-12&lt;/pages&gt;&lt;dates&gt;&lt;year&gt;2014&lt;/year&gt;&lt;/dates&gt;&lt;publisher&gt;Routledge&lt;/publisher&gt;&lt;isbn&gt;1050-3307&lt;/isbn&gt;&lt;urls&gt;&lt;related-urls&gt;&lt;url&gt;http://dx.doi.org/10.1080/10503307.2014.900875&lt;/url&gt;&lt;/related-urls&gt;&lt;/urls&gt;&lt;electronic-resource-num&gt;10.1080/10503307.2014.900875&lt;/electronic-resource-num&gt;&lt;access-date&gt;2014/04/11&lt;/access-date&gt;&lt;/record&gt;&lt;/Cite&gt;&lt;Cite&gt;&lt;Author&gt;Lambert&lt;/Author&gt;&lt;Year&gt;2011&lt;/Year&gt;&lt;RecNum&gt;3306&lt;/RecNum&gt;&lt;record&gt;&lt;rec-number&gt;3306&lt;/rec-number&gt;&lt;foreign-keys&gt;&lt;key app="EN" db-id="0swazwvvzv2zzfe0fs75dwsza2wreftvrrpv" timestamp="0"&gt;3306&lt;/key&gt;&lt;/foreign-keys&gt;&lt;ref-type name="Book Section"&gt;5&lt;/ref-type&gt;&lt;contributors&gt;&lt;authors&gt;&lt;author&gt;Lambert, M. J.&lt;/author&gt;&lt;author&gt;Shimokawa, K.&lt;/author&gt;&lt;/authors&gt;&lt;secondary-authors&gt;&lt;author&gt;Norcross, J C&lt;/author&gt;&lt;/secondary-authors&gt;&lt;/contributors&gt;&lt;titles&gt;&lt;title&gt;Collecting client feedback&lt;/title&gt;&lt;secondary-title&gt;Psychotherapy relationships that work: Evidence-based responsiveness&lt;/secondary-title&gt;&lt;/titles&gt;&lt;pages&gt;203-223&lt;/pages&gt;&lt;edition&gt;2nd&lt;/edition&gt;&lt;dates&gt;&lt;year&gt;2011&lt;/year&gt;&lt;/dates&gt;&lt;pub-location&gt;New York&lt;/pub-location&gt;&lt;publisher&gt;Oxford University&lt;/publisher&gt;&lt;urls&gt;&lt;/urls&gt;&lt;/record&gt;&lt;/Cite&gt;&lt;/EndNote&gt;</w:instrText>
      </w:r>
      <w:r w:rsidR="0094717B">
        <w:rPr>
          <w:lang w:eastAsia="tr-TR"/>
        </w:rPr>
        <w:fldChar w:fldCharType="separate"/>
      </w:r>
      <w:r w:rsidR="00D157DE">
        <w:rPr>
          <w:noProof/>
          <w:lang w:eastAsia="tr-TR"/>
        </w:rPr>
        <w:t>(Lambert &amp; Shimokawa, 2011; Schuman, Slone, Reese, &amp; Duncan, 2014)</w:t>
      </w:r>
      <w:r w:rsidR="0094717B">
        <w:rPr>
          <w:lang w:eastAsia="tr-TR"/>
        </w:rPr>
        <w:fldChar w:fldCharType="end"/>
      </w:r>
      <w:r w:rsidR="00B5748C">
        <w:rPr>
          <w:lang w:eastAsia="tr-TR"/>
        </w:rPr>
        <w:t xml:space="preserve">, with feedback-informed treatment recognised as an evidence-based program by the US government’s Substance Abuse and Mental Health Services Administration (SAMHSA).  </w:t>
      </w:r>
    </w:p>
    <w:p w14:paraId="3E58A136" w14:textId="027E6C71" w:rsidR="0056591A" w:rsidRDefault="0056591A" w:rsidP="000D461F">
      <w:r>
        <w:t>As a plurali</w:t>
      </w:r>
      <w:r w:rsidR="005A375B">
        <w:t>stic intervention for depressed clients</w:t>
      </w:r>
      <w:r>
        <w:t xml:space="preserve"> has yet to be tested, the aims </w:t>
      </w:r>
      <w:r w:rsidR="003112AC" w:rsidRPr="0056591A">
        <w:t xml:space="preserve">of </w:t>
      </w:r>
      <w:r w:rsidR="003219CB" w:rsidRPr="0056591A">
        <w:t xml:space="preserve">the present </w:t>
      </w:r>
      <w:r w:rsidR="003112AC" w:rsidRPr="0056591A">
        <w:t xml:space="preserve">study </w:t>
      </w:r>
      <w:r w:rsidR="003219CB" w:rsidRPr="0056591A">
        <w:t xml:space="preserve">were </w:t>
      </w:r>
      <w:r w:rsidR="003112AC" w:rsidRPr="0056591A">
        <w:t>to evaluate the outcomes</w:t>
      </w:r>
      <w:r>
        <w:t xml:space="preserve"> of this therapy, its acceptability to clients, and the pathways by which it might bring about therapeutic change.  </w:t>
      </w:r>
    </w:p>
    <w:p w14:paraId="5027A053" w14:textId="77777777" w:rsidR="00DC1DCC" w:rsidRDefault="00DC1DCC" w:rsidP="000D461F"/>
    <w:p w14:paraId="5CBA5E46" w14:textId="19393664" w:rsidR="004F4B52" w:rsidRPr="00E733D4" w:rsidRDefault="004F4B52" w:rsidP="000D461F">
      <w:pPr>
        <w:pStyle w:val="Heading1"/>
      </w:pPr>
      <w:r w:rsidRPr="00E733D4">
        <w:t>Method</w:t>
      </w:r>
    </w:p>
    <w:p w14:paraId="6092B15D" w14:textId="082F75A7" w:rsidR="00192C8C" w:rsidRDefault="00192C8C" w:rsidP="000D461F">
      <w:pPr>
        <w:pStyle w:val="Heading2"/>
      </w:pPr>
      <w:r>
        <w:t>Design</w:t>
      </w:r>
    </w:p>
    <w:p w14:paraId="329BEAF0" w14:textId="2328C756" w:rsidR="002D1449" w:rsidRDefault="00192C8C" w:rsidP="000D461F">
      <w:pPr>
        <w:rPr>
          <w:lang w:eastAsia="tr-TR"/>
        </w:rPr>
      </w:pPr>
      <w:r>
        <w:rPr>
          <w:lang w:eastAsia="tr-TR"/>
        </w:rPr>
        <w:t xml:space="preserve">An open-label, non-randomised trial design was adopted, in which all participants were offered up to 24 weeks of pluralistic therapy for depression.  </w:t>
      </w:r>
      <w:r w:rsidR="002D1449">
        <w:rPr>
          <w:lang w:eastAsia="tr-TR"/>
        </w:rPr>
        <w:t xml:space="preserve">Clinical outcomes were assessed by comparing scores on psychological measures at baseline and endpoint.  Process measures were used to assess the acceptability of the intervention, and qualitative data was used to identify the helpful aspects of the therapy. </w:t>
      </w:r>
    </w:p>
    <w:p w14:paraId="4B77D2C7" w14:textId="77777777" w:rsidR="00192C8C" w:rsidRDefault="00192C8C" w:rsidP="000D461F">
      <w:pPr>
        <w:rPr>
          <w:lang w:eastAsia="tr-TR"/>
        </w:rPr>
      </w:pPr>
    </w:p>
    <w:p w14:paraId="74BF87FB" w14:textId="76F193E8" w:rsidR="007F13DE" w:rsidRPr="006D2074" w:rsidRDefault="007F13DE" w:rsidP="000D461F">
      <w:pPr>
        <w:pStyle w:val="Heading2"/>
      </w:pPr>
      <w:r w:rsidRPr="00392ADE">
        <w:lastRenderedPageBreak/>
        <w:t>Participants</w:t>
      </w:r>
    </w:p>
    <w:p w14:paraId="6F717F2F" w14:textId="27774BFA" w:rsidR="00192C8C" w:rsidRDefault="00192C8C" w:rsidP="000D461F">
      <w:pPr>
        <w:ind w:firstLine="0"/>
      </w:pPr>
      <w:r>
        <w:tab/>
        <w:t xml:space="preserve">Participants were accepted into the study if they scored </w:t>
      </w:r>
      <w:r w:rsidR="00EC1E52">
        <w:t xml:space="preserve">ten </w:t>
      </w:r>
      <w:r>
        <w:t>or more on the Patient Health Questionnaire-9 (PHQ-9) at assessment</w:t>
      </w:r>
      <w:r w:rsidR="00EC1E52">
        <w:t xml:space="preserve">, </w:t>
      </w:r>
      <w:r>
        <w:t xml:space="preserve">indicating moderate or more severe levels of depression.  Participants were excluded if their primary presenting problem was assessed as being psychosis, personality disorder(s), or drug use.  </w:t>
      </w:r>
    </w:p>
    <w:p w14:paraId="1F673A9D" w14:textId="7AA549BC" w:rsidR="00192C8C" w:rsidRDefault="00192C8C" w:rsidP="000D461F">
      <w:r>
        <w:t xml:space="preserve">In total, 48 individuals were assessed for participation in the study: 16 at Site A, 13 at Site B, ten at Site C, and nine at Site D.  Of these, four (8.3%) were excluded from the study because they scored nine or less on the PHQ-9.  </w:t>
      </w:r>
      <w:r w:rsidR="00DB38C6">
        <w:t>No demographic data were</w:t>
      </w:r>
      <w:r w:rsidR="00EC1E52">
        <w:t xml:space="preserve"> retained on these participants.  </w:t>
      </w:r>
      <w:r>
        <w:t>A further two participants were accepted into the study, but their data w</w:t>
      </w:r>
      <w:r w:rsidR="00DB38C6">
        <w:t>ere</w:t>
      </w:r>
      <w:r>
        <w:t xml:space="preserve"> subsequently excluded as they had been wrongly accepted into the study with a PHQ-9 score of 9.  </w:t>
      </w:r>
      <w:r w:rsidR="00EC1E52">
        <w:t xml:space="preserve">Three participants (7.1% of those correctly accepted into the study) dropped out after the assessment session, all at site D.  As no endpoint data were available for these participants, they were </w:t>
      </w:r>
      <w:r w:rsidR="002125C3">
        <w:t>dropped from further analysis.</w:t>
      </w:r>
    </w:p>
    <w:p w14:paraId="7F4DA7E2" w14:textId="0DB2E0F4" w:rsidR="002125C3" w:rsidRDefault="002125C3" w:rsidP="000D461F">
      <w:r>
        <w:t xml:space="preserve">Of the 39 participants </w:t>
      </w:r>
      <w:r w:rsidR="002D1449">
        <w:t xml:space="preserve">who engaged in the intervention and </w:t>
      </w:r>
      <w:r>
        <w:t>for whom outcome data were available</w:t>
      </w:r>
      <w:r w:rsidR="00EC66A6">
        <w:t xml:space="preserve"> (‘</w:t>
      </w:r>
      <w:r w:rsidR="002D1449">
        <w:t>treatment</w:t>
      </w:r>
      <w:r w:rsidR="00EC66A6">
        <w:t xml:space="preserve"> sample’)</w:t>
      </w:r>
      <w:r>
        <w:t>, 24 had planned endings (61.5%) and 15 had unplanned endings (38.5%).  The mean number of sessions was 14.4 (</w:t>
      </w:r>
      <w:r w:rsidRPr="002125C3">
        <w:rPr>
          <w:i/>
        </w:rPr>
        <w:t>SD</w:t>
      </w:r>
      <w:r>
        <w:t xml:space="preserve"> = 7.7</w:t>
      </w:r>
      <w:r w:rsidR="005A375B">
        <w:t>, 562 sessions in total</w:t>
      </w:r>
      <w:r>
        <w:t xml:space="preserve">), with a range of 3 </w:t>
      </w:r>
      <w:r w:rsidR="002D1449">
        <w:noBreakHyphen/>
      </w:r>
      <w:r>
        <w:t xml:space="preserve"> 25 sessions (one client was inadvertently offered an additional session), and a median of 13 sessions.  Ten of the participants (25.7%) took the maximum number of sessions available.  </w:t>
      </w:r>
    </w:p>
    <w:p w14:paraId="26AA6E8B" w14:textId="61424B8D" w:rsidR="00EC1E52" w:rsidRDefault="00EC66A6" w:rsidP="000D461F">
      <w:r>
        <w:t xml:space="preserve">The mean age </w:t>
      </w:r>
      <w:r w:rsidR="00644B4F">
        <w:t xml:space="preserve">of the 39 participants in the treatment sample </w:t>
      </w:r>
      <w:r>
        <w:t>was 30.9 (</w:t>
      </w:r>
      <w:r w:rsidRPr="00EC66A6">
        <w:rPr>
          <w:i/>
        </w:rPr>
        <w:t>SD</w:t>
      </w:r>
      <w:r>
        <w:t xml:space="preserve"> = 11.8), with a range of 18</w:t>
      </w:r>
      <w:r w:rsidR="00040E9C">
        <w:t xml:space="preserve"> </w:t>
      </w:r>
      <w:r w:rsidR="00F42451">
        <w:noBreakHyphen/>
      </w:r>
      <w:r w:rsidR="00040E9C">
        <w:t xml:space="preserve"> </w:t>
      </w:r>
      <w:r>
        <w:t>58</w:t>
      </w:r>
      <w:r w:rsidR="00644B4F">
        <w:t xml:space="preserve"> (see Table 1)</w:t>
      </w:r>
      <w:r>
        <w:t>.  The sample was predominantly female (</w:t>
      </w:r>
      <w:r w:rsidRPr="00EC66A6">
        <w:rPr>
          <w:i/>
        </w:rPr>
        <w:t>n</w:t>
      </w:r>
      <w:r>
        <w:t xml:space="preserve"> = 28, 71.8%), of a white European ethnic origin (</w:t>
      </w:r>
      <w:r w:rsidRPr="00EC66A6">
        <w:rPr>
          <w:i/>
        </w:rPr>
        <w:t>n</w:t>
      </w:r>
      <w:r>
        <w:t xml:space="preserve"> = 30, 76.9%), and non-disabled (</w:t>
      </w:r>
      <w:r w:rsidRPr="00EC66A6">
        <w:rPr>
          <w:i/>
        </w:rPr>
        <w:t>n</w:t>
      </w:r>
      <w:r>
        <w:t xml:space="preserve"> = 35, 89.7%).  </w:t>
      </w:r>
      <w:r w:rsidR="005429DD">
        <w:t>Approximately half of the participants were in full-time education (</w:t>
      </w:r>
      <w:r w:rsidR="005429DD" w:rsidRPr="005429DD">
        <w:rPr>
          <w:i/>
        </w:rPr>
        <w:t>n</w:t>
      </w:r>
      <w:r w:rsidR="005429DD">
        <w:t xml:space="preserve"> = 20, 51.3%) and half were not (</w:t>
      </w:r>
      <w:r w:rsidR="005429DD" w:rsidRPr="005429DD">
        <w:rPr>
          <w:i/>
        </w:rPr>
        <w:t>n</w:t>
      </w:r>
      <w:r w:rsidR="005429DD">
        <w:t xml:space="preserve"> = 19, 48.7%).  </w:t>
      </w:r>
      <w:r>
        <w:t>Almost half of the sample (46.1%) met PHQ-9 criteria for severe depression at baseline (PHQ-9 score ≥ 20), with a mean score of 18.4 (</w:t>
      </w:r>
      <w:r w:rsidRPr="00EC66A6">
        <w:rPr>
          <w:i/>
        </w:rPr>
        <w:t>SD</w:t>
      </w:r>
      <w:r>
        <w:t xml:space="preserve"> = 4.3).  Similarly, </w:t>
      </w:r>
      <w:r>
        <w:lastRenderedPageBreak/>
        <w:t xml:space="preserve">approximately half of the participants (48.7%) met GAD-7 criteria for severe anxiety (GAD-7 score ≥ 15), </w:t>
      </w:r>
      <w:r w:rsidR="00F5096A">
        <w:t xml:space="preserve">and 35 (89.7%) were above the clinical cut off for an anxiety disorder (GAD-7 ≥ 8), </w:t>
      </w:r>
      <w:r>
        <w:t>with a mean score of 14.5 (</w:t>
      </w:r>
      <w:r w:rsidRPr="00EC66A6">
        <w:rPr>
          <w:i/>
        </w:rPr>
        <w:t>SD</w:t>
      </w:r>
      <w:r>
        <w:t xml:space="preserve"> = 4.7).  </w:t>
      </w:r>
    </w:p>
    <w:p w14:paraId="0BB26C4C" w14:textId="7651DF67" w:rsidR="002D1449" w:rsidRDefault="002D1449" w:rsidP="002D1449">
      <w:pPr>
        <w:ind w:firstLine="0"/>
      </w:pPr>
      <w:r>
        <w:tab/>
        <w:t xml:space="preserve">All </w:t>
      </w:r>
      <w:r w:rsidR="00F42451">
        <w:t xml:space="preserve">participants </w:t>
      </w:r>
      <w:r>
        <w:t xml:space="preserve">were invited to take part in an end of therapy </w:t>
      </w:r>
      <w:r w:rsidR="00E12402">
        <w:rPr>
          <w:i/>
        </w:rPr>
        <w:t>Change I</w:t>
      </w:r>
      <w:r w:rsidRPr="002D1449">
        <w:rPr>
          <w:i/>
        </w:rPr>
        <w:t>nterview</w:t>
      </w:r>
      <w:r>
        <w:t xml:space="preserve">, and 18 </w:t>
      </w:r>
      <w:r w:rsidR="00F42451">
        <w:t xml:space="preserve">consented to do so </w:t>
      </w:r>
      <w:r>
        <w:t>(4</w:t>
      </w:r>
      <w:r w:rsidR="00F42451">
        <w:t>2</w:t>
      </w:r>
      <w:r>
        <w:t>.</w:t>
      </w:r>
      <w:r w:rsidR="00F42451">
        <w:t>9</w:t>
      </w:r>
      <w:r>
        <w:t xml:space="preserve">% of the </w:t>
      </w:r>
      <w:r w:rsidR="00F42451">
        <w:t xml:space="preserve">full </w:t>
      </w:r>
      <w:r>
        <w:t>sample).  The participants who were interviewed did not differ significantly from non-interviewees by gender, e</w:t>
      </w:r>
      <w:r w:rsidR="003720F1">
        <w:t xml:space="preserve">thnicity, </w:t>
      </w:r>
      <w:r>
        <w:t>disability status</w:t>
      </w:r>
      <w:r w:rsidR="003720F1">
        <w:t xml:space="preserve"> or baseline levels of distress</w:t>
      </w:r>
      <w:r>
        <w:t xml:space="preserve">; but were </w:t>
      </w:r>
      <w:r w:rsidR="00F42451">
        <w:t>more likely to be older (</w:t>
      </w:r>
      <w:r w:rsidR="00F42451" w:rsidRPr="002D1449">
        <w:rPr>
          <w:i/>
        </w:rPr>
        <w:t>F</w:t>
      </w:r>
      <w:r w:rsidR="00F42451">
        <w:t xml:space="preserve"> = 7.7, </w:t>
      </w:r>
      <w:r w:rsidR="00F42451">
        <w:rPr>
          <w:i/>
        </w:rPr>
        <w:t>p</w:t>
      </w:r>
      <w:r w:rsidR="00F42451">
        <w:t xml:space="preserve"> = .001) and </w:t>
      </w:r>
      <w:r>
        <w:t xml:space="preserve">less likely to be in full-time education (Chi-squared = 5.0, </w:t>
      </w:r>
      <w:r>
        <w:rPr>
          <w:i/>
        </w:rPr>
        <w:t>p</w:t>
      </w:r>
      <w:r>
        <w:t xml:space="preserve"> = .03).  In addition, they </w:t>
      </w:r>
      <w:r w:rsidR="00F42451">
        <w:t>had a significantly greater number of sessions (Mean</w:t>
      </w:r>
      <w:r w:rsidR="00F42451">
        <w:rPr>
          <w:vertAlign w:val="subscript"/>
        </w:rPr>
        <w:t>interviewees</w:t>
      </w:r>
      <w:r w:rsidR="00F42451">
        <w:t xml:space="preserve"> = 20.1, Mean</w:t>
      </w:r>
      <w:r w:rsidR="00F42451">
        <w:rPr>
          <w:vertAlign w:val="subscript"/>
        </w:rPr>
        <w:t>non-interviewees</w:t>
      </w:r>
      <w:r w:rsidR="00F42451">
        <w:t xml:space="preserve"> = 9.5) and </w:t>
      </w:r>
      <w:r>
        <w:t xml:space="preserve">were more likely to have had a planned treatment ending (Chi-squared = 15.3, </w:t>
      </w:r>
      <w:r>
        <w:rPr>
          <w:i/>
        </w:rPr>
        <w:t>p</w:t>
      </w:r>
      <w:r>
        <w:t xml:space="preserve"> &lt; .001)</w:t>
      </w:r>
      <w:r w:rsidR="00F42451">
        <w:t>.</w:t>
      </w:r>
    </w:p>
    <w:p w14:paraId="5464D500" w14:textId="164AB484" w:rsidR="003720F1" w:rsidRDefault="003720F1" w:rsidP="003720F1">
      <w:pPr>
        <w:ind w:firstLine="0"/>
      </w:pPr>
      <w:r>
        <w:tab/>
        <w:t>Analysis of data from the Helpful Aspects of Therapy (HAT) form was conducted for 22 participants at two of the four sites: B and C.  These participants did not differ significantly from the non-HAT participants by gender, ethnicity, disability status, levels of baseline distress, number of sessions, or planned/unplanned ending.  However, they were significantly younger (</w:t>
      </w:r>
      <w:r w:rsidRPr="003720F1">
        <w:rPr>
          <w:i/>
        </w:rPr>
        <w:t>t</w:t>
      </w:r>
      <w:r>
        <w:t xml:space="preserve"> = 4.5, </w:t>
      </w:r>
      <w:r>
        <w:rPr>
          <w:i/>
        </w:rPr>
        <w:t>p</w:t>
      </w:r>
      <w:r>
        <w:t xml:space="preserve"> &lt; .001), and more likely to be in full-time education (Chi-squared = 28.6, </w:t>
      </w:r>
      <w:r>
        <w:rPr>
          <w:i/>
        </w:rPr>
        <w:t>p</w:t>
      </w:r>
      <w:r>
        <w:t xml:space="preserve"> &gt; .001).  In total, data from 253 HAT forms were analysed.  </w:t>
      </w:r>
    </w:p>
    <w:p w14:paraId="01D40257" w14:textId="77777777" w:rsidR="00347CD9" w:rsidRDefault="00347CD9" w:rsidP="000D461F">
      <w:pPr>
        <w:ind w:firstLine="0"/>
      </w:pPr>
    </w:p>
    <w:p w14:paraId="62A21C6D" w14:textId="77777777" w:rsidR="00B13A9F" w:rsidRDefault="00B13A9F" w:rsidP="000D461F">
      <w:pPr>
        <w:pStyle w:val="Heading2"/>
      </w:pPr>
      <w:r w:rsidRPr="00E733D4">
        <w:t>Materials</w:t>
      </w:r>
    </w:p>
    <w:p w14:paraId="7EF1168F" w14:textId="501BEAAA" w:rsidR="00A52424" w:rsidRDefault="00A52424" w:rsidP="000D461F">
      <w:pPr>
        <w:pStyle w:val="Heading3"/>
        <w:rPr>
          <w:lang w:eastAsia="tr-TR"/>
        </w:rPr>
      </w:pPr>
      <w:r>
        <w:rPr>
          <w:lang w:eastAsia="tr-TR"/>
        </w:rPr>
        <w:t xml:space="preserve">Demographics form. </w:t>
      </w:r>
    </w:p>
    <w:p w14:paraId="01FB5E12" w14:textId="3BDA2CF0" w:rsidR="00A52424" w:rsidRDefault="00040E9C" w:rsidP="000D461F">
      <w:pPr>
        <w:rPr>
          <w:lang w:eastAsia="tr-TR"/>
        </w:rPr>
      </w:pPr>
      <w:r>
        <w:rPr>
          <w:lang w:eastAsia="tr-TR"/>
        </w:rPr>
        <w:t xml:space="preserve">A simple demographic form recorded participant gender, age, </w:t>
      </w:r>
      <w:r w:rsidR="006820C7">
        <w:rPr>
          <w:lang w:eastAsia="tr-TR"/>
        </w:rPr>
        <w:t xml:space="preserve">occupation, </w:t>
      </w:r>
      <w:r>
        <w:rPr>
          <w:lang w:eastAsia="tr-TR"/>
        </w:rPr>
        <w:t>ethnicity (open response format)</w:t>
      </w:r>
      <w:r w:rsidR="00644B4F">
        <w:rPr>
          <w:lang w:eastAsia="tr-TR"/>
        </w:rPr>
        <w:t>,</w:t>
      </w:r>
      <w:r>
        <w:rPr>
          <w:lang w:eastAsia="tr-TR"/>
        </w:rPr>
        <w:t xml:space="preserve"> and presence of a disability.  </w:t>
      </w:r>
    </w:p>
    <w:p w14:paraId="032F0A7E" w14:textId="0C3DD991" w:rsidR="00571573" w:rsidRPr="004527CB" w:rsidRDefault="00463899" w:rsidP="000D461F">
      <w:pPr>
        <w:pStyle w:val="Heading3"/>
        <w:rPr>
          <w:lang w:val="fr-FR"/>
        </w:rPr>
      </w:pPr>
      <w:r w:rsidRPr="004527CB">
        <w:rPr>
          <w:lang w:val="fr-FR"/>
        </w:rPr>
        <w:t>Patient Health Questionnaire depression (PHQ-9) scale.</w:t>
      </w:r>
    </w:p>
    <w:p w14:paraId="1BDB84AB" w14:textId="10C3F45B" w:rsidR="005A617B" w:rsidRPr="00EE297F" w:rsidRDefault="005A617B" w:rsidP="000D461F">
      <w:pPr>
        <w:rPr>
          <w:highlight w:val="yellow"/>
        </w:rPr>
      </w:pPr>
      <w:r w:rsidRPr="00EE297F">
        <w:t xml:space="preserve">The PHQ-9 </w:t>
      </w:r>
      <w:r>
        <w:t xml:space="preserve">is a brief self-report measure for </w:t>
      </w:r>
      <w:r w:rsidRPr="00EE297F">
        <w:t>detect</w:t>
      </w:r>
      <w:r>
        <w:t>ing</w:t>
      </w:r>
      <w:r w:rsidRPr="00EE297F">
        <w:t xml:space="preserve"> severity of depression symptoms in a general population. </w:t>
      </w:r>
      <w:r>
        <w:t xml:space="preserve"> Respondents are asked to rate how bothered they have been by a range of problems over the last two weeks, such as ‘Feeling down, depressed, or </w:t>
      </w:r>
      <w:r>
        <w:lastRenderedPageBreak/>
        <w:t xml:space="preserve">hopeless.’  There are nine items, and responses are given </w:t>
      </w:r>
      <w:r w:rsidRPr="00EE297F">
        <w:t xml:space="preserve">on a 4 point Likert Scale from </w:t>
      </w:r>
      <w:r w:rsidRPr="00B32457">
        <w:rPr>
          <w:i/>
        </w:rPr>
        <w:t>Not at all</w:t>
      </w:r>
      <w:r>
        <w:t xml:space="preserve"> </w:t>
      </w:r>
      <w:r w:rsidRPr="00EE297F">
        <w:t xml:space="preserve">(0) to </w:t>
      </w:r>
      <w:r w:rsidRPr="00B32457">
        <w:rPr>
          <w:i/>
        </w:rPr>
        <w:t>Nearly every day</w:t>
      </w:r>
      <w:r w:rsidRPr="00EE297F">
        <w:t xml:space="preserve"> (3).  </w:t>
      </w:r>
      <w:r>
        <w:t>Scores are totalled, and s</w:t>
      </w:r>
      <w:r w:rsidRPr="00EE297F">
        <w:t>everity of depression is rated as none (0-4),</w:t>
      </w:r>
      <w:r>
        <w:t xml:space="preserve"> </w:t>
      </w:r>
      <w:r w:rsidRPr="00EE297F">
        <w:t>mild (5-9),</w:t>
      </w:r>
      <w:r>
        <w:t xml:space="preserve"> </w:t>
      </w:r>
      <w:r w:rsidRPr="00EE297F">
        <w:t>moderately severe (15-19)</w:t>
      </w:r>
      <w:r>
        <w:t xml:space="preserve"> or </w:t>
      </w:r>
      <w:r w:rsidRPr="00EE297F">
        <w:t xml:space="preserve">severe (20-27). </w:t>
      </w:r>
      <w:r>
        <w:t xml:space="preserve"> T</w:t>
      </w:r>
      <w:r w:rsidRPr="00EE297F">
        <w:t xml:space="preserve">he PHQ-9 </w:t>
      </w:r>
      <w:r>
        <w:t xml:space="preserve">has </w:t>
      </w:r>
      <w:r w:rsidRPr="00EE297F">
        <w:t>high internal consistency (Cronbach’s α-0.89)</w:t>
      </w:r>
      <w:r>
        <w:t xml:space="preserve">, good </w:t>
      </w:r>
      <w:r w:rsidRPr="00EE297F">
        <w:t>test-retest reliability (</w:t>
      </w:r>
      <w:r>
        <w:rPr>
          <w:i/>
        </w:rPr>
        <w:t xml:space="preserve">r </w:t>
      </w:r>
      <w:r>
        <w:t xml:space="preserve">= </w:t>
      </w:r>
      <w:r w:rsidRPr="00EE297F">
        <w:t>.84)</w:t>
      </w:r>
      <w:r w:rsidR="009876E0">
        <w:t xml:space="preserve"> </w:t>
      </w:r>
      <w:r w:rsidR="009876E0">
        <w:fldChar w:fldCharType="begin"/>
      </w:r>
      <w:r w:rsidR="009876E0">
        <w:instrText xml:space="preserve"> ADDIN EN.CITE &lt;EndNote&gt;&lt;Cite&gt;&lt;Author&gt;Kroenke&lt;/Author&gt;&lt;Year&gt;2001&lt;/Year&gt;&lt;RecNum&gt;4164&lt;/RecNum&gt;&lt;DisplayText&gt;(Kroenke, Spitzer, &amp;amp; Williams, 2001)&lt;/DisplayText&gt;&lt;record&gt;&lt;rec-number&gt;4164&lt;/rec-number&gt;&lt;foreign-keys&gt;&lt;key app="EN" db-id="0swazwvvzv2zzfe0fs75dwsza2wreftvrrpv" timestamp="1413541185"&gt;4164&lt;/key&gt;&lt;/foreign-keys&gt;&lt;ref-type name="Journal Article"&gt;17&lt;/ref-type&gt;&lt;contributors&gt;&lt;authors&gt;&lt;author&gt;Kroenke, Kurt&lt;/author&gt;&lt;author&gt;Spitzer, Robert L&lt;/author&gt;&lt;author&gt;Williams, Janet BW&lt;/author&gt;&lt;/authors&gt;&lt;/contributors&gt;&lt;titles&gt;&lt;title&gt;The Phq</w:instrText>
      </w:r>
      <w:r w:rsidR="009876E0">
        <w:rPr>
          <w:rFonts w:ascii="Cambria Math" w:hAnsi="Cambria Math" w:cs="Cambria Math"/>
        </w:rPr>
        <w:instrText>‐</w:instrText>
      </w:r>
      <w:r w:rsidR="009876E0">
        <w:instrText>9&lt;/title&gt;&lt;secondary-title&gt;Journal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isbn&gt;1525-1497&lt;/isbn&gt;&lt;urls&gt;&lt;/urls&gt;&lt;/record&gt;&lt;/Cite&gt;&lt;/EndNote&gt;</w:instrText>
      </w:r>
      <w:r w:rsidR="009876E0">
        <w:fldChar w:fldCharType="separate"/>
      </w:r>
      <w:r w:rsidR="009876E0">
        <w:rPr>
          <w:noProof/>
        </w:rPr>
        <w:t>(Kroenke, Spitzer, &amp; Williams, 2001)</w:t>
      </w:r>
      <w:r w:rsidR="009876E0">
        <w:fldChar w:fldCharType="end"/>
      </w:r>
      <w:r>
        <w:t xml:space="preserve">, and </w:t>
      </w:r>
      <w:r w:rsidRPr="00EE297F">
        <w:t xml:space="preserve">good </w:t>
      </w:r>
      <w:r w:rsidR="009876E0">
        <w:t>convergent</w:t>
      </w:r>
      <w:r w:rsidRPr="00EE297F">
        <w:t xml:space="preserve"> validity when correlated with the SF-20 mental health subscale (</w:t>
      </w:r>
      <w:r w:rsidRPr="00B32457">
        <w:rPr>
          <w:i/>
        </w:rPr>
        <w:t xml:space="preserve">r </w:t>
      </w:r>
      <w:r>
        <w:t xml:space="preserve">= </w:t>
      </w:r>
      <w:r w:rsidRPr="00EE297F">
        <w:t xml:space="preserve">.73).  </w:t>
      </w:r>
    </w:p>
    <w:p w14:paraId="768316A3" w14:textId="3BD04972" w:rsidR="00463899" w:rsidRPr="00644B4F" w:rsidRDefault="00463899" w:rsidP="000D461F">
      <w:pPr>
        <w:pStyle w:val="Heading3"/>
      </w:pPr>
      <w:r w:rsidRPr="00644B4F">
        <w:t>Generalized Anxiety Disorder 7-item (GAD-7) scale.</w:t>
      </w:r>
    </w:p>
    <w:p w14:paraId="4CA424CD" w14:textId="4592E71A" w:rsidR="005A617B" w:rsidRPr="00EE297F" w:rsidRDefault="005A617B" w:rsidP="000D461F">
      <w:r w:rsidRPr="00644B4F">
        <w:t>The GAD-7 is a brief self-report measure to assess symptom severity of general anxiety disorder.  As with the PHQ-9, respondents are asked to rate how bothered they have been by a range of problems over the last two weeks, such as ‘Feeling nervous, anxious or on edge.’  There are seven items</w:t>
      </w:r>
      <w:r w:rsidR="00644B4F">
        <w:t xml:space="preserve"> </w:t>
      </w:r>
      <w:r w:rsidRPr="00644B4F">
        <w:t>and</w:t>
      </w:r>
      <w:r w:rsidR="00644B4F">
        <w:t>, as with the PHQ-9,</w:t>
      </w:r>
      <w:r w:rsidRPr="00644B4F">
        <w:t xml:space="preserve"> responses are on a 4 point Likert Scale from </w:t>
      </w:r>
      <w:r w:rsidRPr="00644B4F">
        <w:rPr>
          <w:i/>
        </w:rPr>
        <w:t>Not at all</w:t>
      </w:r>
      <w:r w:rsidRPr="00644B4F">
        <w:t xml:space="preserve"> (0) to </w:t>
      </w:r>
      <w:r w:rsidRPr="00644B4F">
        <w:rPr>
          <w:i/>
        </w:rPr>
        <w:t>Nearly every day</w:t>
      </w:r>
      <w:r w:rsidRPr="00644B4F">
        <w:t xml:space="preserve"> (3).  The scale has high internal consistency (Cronbach’s α = .92), high test-restest reliability (</w:t>
      </w:r>
      <w:r w:rsidRPr="00644B4F">
        <w:rPr>
          <w:i/>
        </w:rPr>
        <w:t xml:space="preserve">r </w:t>
      </w:r>
      <w:r w:rsidRPr="00644B4F">
        <w:t xml:space="preserve">= .83), and good </w:t>
      </w:r>
      <w:r w:rsidR="009876E0">
        <w:t xml:space="preserve">convergent </w:t>
      </w:r>
      <w:r w:rsidRPr="00644B4F">
        <w:t>validity against the Beck Anxiety Inventory (</w:t>
      </w:r>
      <w:r w:rsidRPr="00644B4F">
        <w:rPr>
          <w:i/>
        </w:rPr>
        <w:t>r</w:t>
      </w:r>
      <w:r w:rsidRPr="00644B4F">
        <w:t xml:space="preserve"> = .72)</w:t>
      </w:r>
      <w:r w:rsidR="009876E0">
        <w:t xml:space="preserve"> </w:t>
      </w:r>
      <w:r w:rsidR="009876E0">
        <w:fldChar w:fldCharType="begin"/>
      </w:r>
      <w:r w:rsidR="009876E0">
        <w:instrText xml:space="preserve"> ADDIN EN.CITE &lt;EndNote&gt;&lt;Cite&gt;&lt;Author&gt;Spitzer&lt;/Author&gt;&lt;Year&gt;2006&lt;/Year&gt;&lt;RecNum&gt;4163&lt;/RecNum&gt;&lt;DisplayText&gt;(Spitzer, Kroenke, Williams, &amp;amp; Löwe, 2006)&lt;/DisplayText&gt;&lt;record&gt;&lt;rec-number&gt;4163&lt;/rec-number&gt;&lt;foreign-keys&gt;&lt;key app="EN" db-id="0swazwvvzv2zzfe0fs75dwsza2wreftvrrpv" timestamp="1413541121"&gt;4163&lt;/key&gt;&lt;/foreign-keys&gt;&lt;ref-type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009876E0">
        <w:fldChar w:fldCharType="separate"/>
      </w:r>
      <w:r w:rsidR="009876E0">
        <w:rPr>
          <w:noProof/>
        </w:rPr>
        <w:t>(Spitzer, Kroenke, Williams, &amp; Löwe, 2006)</w:t>
      </w:r>
      <w:r w:rsidR="009876E0">
        <w:fldChar w:fldCharType="end"/>
      </w:r>
      <w:r w:rsidRPr="00644B4F">
        <w:t>.</w:t>
      </w:r>
      <w:r w:rsidRPr="00EE297F">
        <w:t xml:space="preserve">   </w:t>
      </w:r>
    </w:p>
    <w:p w14:paraId="0A26CAE7" w14:textId="5453E58A" w:rsidR="00463899" w:rsidRDefault="003F4319" w:rsidP="000D461F">
      <w:pPr>
        <w:pStyle w:val="Heading3"/>
      </w:pPr>
      <w:r>
        <w:t xml:space="preserve">Goals </w:t>
      </w:r>
      <w:r w:rsidR="00463899">
        <w:t>Form.</w:t>
      </w:r>
    </w:p>
    <w:p w14:paraId="57C736C8" w14:textId="55DF4CAF" w:rsidR="000D418D" w:rsidRDefault="000D418D" w:rsidP="000D418D">
      <w:r w:rsidRPr="00B87AF7">
        <w:t>The</w:t>
      </w:r>
      <w:r>
        <w:t xml:space="preserve"> Goals Form </w:t>
      </w:r>
      <w:r w:rsidRPr="00B87AF7">
        <w:t xml:space="preserve">is an individualised </w:t>
      </w:r>
      <w:r>
        <w:t xml:space="preserve">outcome </w:t>
      </w:r>
      <w:r w:rsidRPr="00B87AF7">
        <w:t xml:space="preserve">measure used </w:t>
      </w:r>
      <w:r>
        <w:t>to assess attainment of personal objectives for therapy.  It was developed for an initial open-label trial of pluralistic therapy for depression (Cooper, 2014), and showed good inter-item reliability (α = .93)</w:t>
      </w:r>
      <w:r w:rsidR="0099195C">
        <w:t>,</w:t>
      </w:r>
      <w:r>
        <w:t xml:space="preserve"> and convergent validity (</w:t>
      </w:r>
      <w:r w:rsidRPr="000D418D">
        <w:t>r</w:t>
      </w:r>
      <w:r>
        <w:t xml:space="preserve"> = -.61) </w:t>
      </w:r>
      <w:r w:rsidRPr="000D418D">
        <w:t>with</w:t>
      </w:r>
      <w:r>
        <w:t xml:space="preserve"> the CORE-OM </w:t>
      </w:r>
      <w:r w:rsidR="009876E0">
        <w:fldChar w:fldCharType="begin"/>
      </w:r>
      <w:r w:rsidR="009876E0">
        <w:instrText xml:space="preserve"> ADDIN EN.CITE &lt;EndNote&gt;&lt;Cite&gt;&lt;Author&gt;Barkham&lt;/Author&gt;&lt;Year&gt;2001&lt;/Year&gt;&lt;RecNum&gt;577&lt;/RecNum&gt;&lt;DisplayText&gt;(Barkham et al., 2001)&lt;/DisplayText&gt;&lt;record&gt;&lt;rec-number&gt;577&lt;/rec-number&gt;&lt;foreign-keys&gt;&lt;key app="EN" db-id="0swazwvvzv2zzfe0fs75dwsza2wreftvrrpv" timestamp="0"&gt;577&lt;/key&gt;&lt;/foreign-keys&gt;&lt;ref-type name="Journal Article"&gt;17&lt;/ref-type&gt;&lt;contributors&gt;&lt;authors&gt;&lt;author&gt;Barkham, M.&lt;/author&gt;&lt;author&gt;Margison, F.&lt;/author&gt;&lt;author&gt;Leach, C.&lt;/author&gt;&lt;author&gt;Lucock, M.&lt;/author&gt;&lt;author&gt;Mellor-Clark, J.&lt;/author&gt;&lt;author&gt;Evans, C.&lt;/author&gt;&lt;author&gt;Benson, L.&lt;/author&gt;&lt;author&gt;Connell, J.&lt;/author&gt;&lt;author&gt;Audin, K.&lt;/author&gt;&lt;author&gt;McGrath, G.&lt;/author&gt;&lt;/authors&gt;&lt;/contributors&gt;&lt;titles&gt;&lt;title&gt;Service profiling and outcomes benchmarking using the CORE-OM: Toward practice-based evidence in the psychological therapies&lt;/title&gt;&lt;secondary-title&gt;Journal of Consulting and Clinical Psychology&lt;/secondary-title&gt;&lt;alt-title&gt;J. Consult. Clin. Psychol.&lt;/alt-title&gt;&lt;/titles&gt;&lt;periodical&gt;&lt;full-title&gt;Journal of Consulting and Clinical Psychology&lt;/full-title&gt;&lt;/periodical&gt;&lt;pages&gt;184-196&lt;/pages&gt;&lt;volume&gt;69&lt;/volume&gt;&lt;number&gt;2&lt;/number&gt;&lt;keywords&gt;&lt;keyword&gt;research: 5 measures: CORE&lt;/keyword&gt;&lt;keyword&gt;interpersonal problems&lt;/keyword&gt;&lt;keyword&gt;clinical-significance&lt;/keyword&gt;&lt;keyword&gt;psychotherapy&lt;/keyword&gt;&lt;keyword&gt;inventory&lt;/keyword&gt;&lt;keyword&gt;patient&lt;/keyword&gt;&lt;keyword&gt;models&lt;/keyword&gt;&lt;/keywords&gt;&lt;dates&gt;&lt;year&gt;2001&lt;/year&gt;&lt;pub-dates&gt;&lt;date&gt;Apr&lt;/date&gt;&lt;/pub-dates&gt;&lt;/dates&gt;&lt;accession-num&gt;ISI:000170876500005&lt;/accession-num&gt;&lt;urls&gt;&lt;related-urls&gt;&lt;url&gt;&amp;lt;Go to ISI&amp;gt;://000170876500005&lt;/url&gt;&lt;/related-urls&gt;&lt;/urls&gt;&lt;custom3&gt;MSc&lt;/custom3&gt;&lt;custom5&gt;Main 132.075 Serial&lt;/custom5&gt;&lt;/record&gt;&lt;/Cite&gt;&lt;/EndNote&gt;</w:instrText>
      </w:r>
      <w:r w:rsidR="009876E0">
        <w:fldChar w:fldCharType="separate"/>
      </w:r>
      <w:r w:rsidR="009876E0">
        <w:rPr>
          <w:noProof/>
        </w:rPr>
        <w:t>(Barkham et al., 2001)</w:t>
      </w:r>
      <w:r w:rsidR="009876E0">
        <w:fldChar w:fldCharType="end"/>
      </w:r>
      <w:r w:rsidR="009876E0">
        <w:t xml:space="preserve"> </w:t>
      </w:r>
      <w:r w:rsidR="00D0293A">
        <w:fldChar w:fldCharType="begin"/>
      </w:r>
      <w:r w:rsidR="00D0293A">
        <w:instrText xml:space="preserve"> ADDIN EN.CITE &lt;EndNote&gt;&lt;Cite&gt;&lt;Author&gt;Michael&lt;/Author&gt;&lt;Year&gt;2014&lt;/Year&gt;&lt;RecNum&gt;4160&lt;/RecNum&gt;&lt;DisplayText&gt;(Michael &amp;amp; Cooper, 2014)&lt;/DisplayText&gt;&lt;record&gt;&lt;rec-number&gt;4160&lt;/rec-number&gt;&lt;foreign-keys&gt;&lt;key app="EN" db-id="0swazwvvzv2zzfe0fs75dwsza2wreftvrrpv" timestamp="1413535787"&gt;4160&lt;/key&gt;&lt;/foreign-keys&gt;&lt;ref-type name="Unpublished Work"&gt;34&lt;/ref-type&gt;&lt;contributors&gt;&lt;authors&gt;&lt;author&gt;Michael, C&lt;/author&gt;&lt;author&gt;Cooper, Mick&lt;/author&gt;&lt;/authors&gt;&lt;/contributors&gt;&lt;titles&gt;&lt;title&gt;The Goals Form: validating an individualised goals measure for evaluating clinical change&lt;/title&gt;&lt;/titles&gt;&lt;dates&gt;&lt;year&gt;2014&lt;/year&gt;&lt;/dates&gt;&lt;pub-location&gt;Glasgow&lt;/pub-location&gt;&lt;publisher&gt;University of Strathclyde&lt;/publisher&gt;&lt;work-type&gt;Unpublished dissertation&lt;/work-type&gt;&lt;urls&gt;&lt;/urls&gt;&lt;/record&gt;&lt;/Cite&gt;&lt;/EndNote&gt;</w:instrText>
      </w:r>
      <w:r w:rsidR="00D0293A">
        <w:fldChar w:fldCharType="separate"/>
      </w:r>
      <w:r w:rsidR="00D0293A">
        <w:rPr>
          <w:noProof/>
        </w:rPr>
        <w:t>(Michael &amp; Cooper, 2014)</w:t>
      </w:r>
      <w:r w:rsidR="00D0293A">
        <w:fldChar w:fldCharType="end"/>
      </w:r>
      <w:r>
        <w:t>.</w:t>
      </w:r>
    </w:p>
    <w:p w14:paraId="15112691" w14:textId="170F0BC5" w:rsidR="00F126CD" w:rsidRDefault="00200561" w:rsidP="000D461F">
      <w:r>
        <w:t xml:space="preserve">The </w:t>
      </w:r>
      <w:r w:rsidR="00F126CD">
        <w:t xml:space="preserve">Goals Form </w:t>
      </w:r>
      <w:r>
        <w:t>invites clients</w:t>
      </w:r>
      <w:r w:rsidR="00F126CD">
        <w:t>, in collaboration with their therapist, to identify up to seven goals for therapy</w:t>
      </w:r>
      <w:r w:rsidR="0099195C">
        <w:t xml:space="preserve"> </w:t>
      </w:r>
      <w:r w:rsidR="0099195C">
        <w:noBreakHyphen/>
        <w:t xml:space="preserve"> </w:t>
      </w:r>
      <w:r w:rsidR="00F126CD">
        <w:t>typically at a first assessment session</w:t>
      </w:r>
      <w:r w:rsidR="0099195C">
        <w:t xml:space="preserve"> </w:t>
      </w:r>
      <w:r w:rsidR="0099195C">
        <w:noBreakHyphen/>
        <w:t xml:space="preserve"> </w:t>
      </w:r>
      <w:r w:rsidR="00F126CD" w:rsidRPr="0099195C">
        <w:t>and</w:t>
      </w:r>
      <w:r w:rsidR="00F126CD">
        <w:t xml:space="preserve"> then to rate them on a 1</w:t>
      </w:r>
      <w:r w:rsidR="0099195C">
        <w:noBreakHyphen/>
      </w:r>
      <w:r w:rsidR="00F126CD">
        <w:t xml:space="preserve">7 Likert scale, </w:t>
      </w:r>
      <w:r w:rsidRPr="00B87AF7">
        <w:t xml:space="preserve">with 1 being </w:t>
      </w:r>
      <w:r w:rsidRPr="00644B4F">
        <w:rPr>
          <w:i/>
        </w:rPr>
        <w:t>not at all achieved</w:t>
      </w:r>
      <w:r w:rsidRPr="00B87AF7">
        <w:t xml:space="preserve"> and 7 being </w:t>
      </w:r>
      <w:r w:rsidRPr="00644B4F">
        <w:rPr>
          <w:i/>
        </w:rPr>
        <w:t>completely achieved</w:t>
      </w:r>
      <w:r w:rsidRPr="00B87AF7">
        <w:t xml:space="preserve"> (Cooper, 2012). </w:t>
      </w:r>
      <w:r w:rsidR="00F126CD">
        <w:t xml:space="preserve"> </w:t>
      </w:r>
      <w:r w:rsidR="0099195C">
        <w:t xml:space="preserve">The agreed goals are then </w:t>
      </w:r>
      <w:r w:rsidR="00F126CD">
        <w:t xml:space="preserve">typed onto </w:t>
      </w:r>
      <w:r w:rsidR="009876E0">
        <w:t>a digital copy of the</w:t>
      </w:r>
      <w:r w:rsidR="00F126CD">
        <w:t xml:space="preserve"> form and </w:t>
      </w:r>
      <w:r w:rsidR="009876E0">
        <w:t>printed off</w:t>
      </w:r>
      <w:r w:rsidR="00F126CD">
        <w:t xml:space="preserve">, such </w:t>
      </w:r>
      <w:r w:rsidR="00F126CD">
        <w:lastRenderedPageBreak/>
        <w:t xml:space="preserve">that the client is able to rate the same goals at regular intervals.  Procedures for the form allow for the addition, modification or deletion of goals.  </w:t>
      </w:r>
    </w:p>
    <w:p w14:paraId="2AFD45EC" w14:textId="77777777" w:rsidR="009876E0" w:rsidRDefault="009876E0" w:rsidP="009876E0">
      <w:pPr>
        <w:pStyle w:val="Heading3"/>
      </w:pPr>
      <w:r>
        <w:t xml:space="preserve">Session Effectiveness Scale (SES). </w:t>
      </w:r>
    </w:p>
    <w:p w14:paraId="51704A4C" w14:textId="77777777" w:rsidR="009876E0" w:rsidRPr="00944804" w:rsidRDefault="009876E0" w:rsidP="009876E0">
      <w:r>
        <w:t xml:space="preserve">The SES is a four item measure of session effectiveness </w:t>
      </w:r>
      <w:r>
        <w:fldChar w:fldCharType="begin"/>
      </w:r>
      <w:r>
        <w:instrText xml:space="preserve"> ADDIN EN.CITE &lt;EndNote&gt;&lt;Cite&gt;&lt;Author&gt;Elliott&lt;/Author&gt;&lt;Year&gt;2000&lt;/Year&gt;&lt;RecNum&gt;4159&lt;/RecNum&gt;&lt;DisplayText&gt;(Elliott, 2000)&lt;/DisplayText&gt;&lt;record&gt;&lt;rec-number&gt;4159&lt;/rec-number&gt;&lt;foreign-keys&gt;&lt;key app="EN" db-id="0swazwvvzv2zzfe0fs75dwsza2wreftvrrpv" timestamp="1413534715"&gt;4159&lt;/key&gt;&lt;/foreign-keys&gt;&lt;ref-type name="Unpublished Work"&gt;34&lt;/ref-type&gt;&lt;contributors&gt;&lt;authors&gt;&lt;author&gt;Elliott, R&lt;/author&gt;&lt;/authors&gt;&lt;/contributors&gt;&lt;titles&gt;&lt;title&gt;The Session Effectiveness Scale&lt;/title&gt;&lt;/titles&gt;&lt;dates&gt;&lt;year&gt;2000&lt;/year&gt;&lt;/dates&gt;&lt;pub-location&gt;Toledo, OH&lt;/pub-location&gt;&lt;publisher&gt;University of Toledo&lt;/publisher&gt;&lt;work-type&gt;Unpublished questionnaire&lt;/work-type&gt;&lt;urls&gt;&lt;/urls&gt;&lt;/record&gt;&lt;/Cite&gt;&lt;/EndNote&gt;</w:instrText>
      </w:r>
      <w:r>
        <w:fldChar w:fldCharType="separate"/>
      </w:r>
      <w:r>
        <w:rPr>
          <w:noProof/>
        </w:rPr>
        <w:t>(Elliott, 2000)</w:t>
      </w:r>
      <w:r>
        <w:fldChar w:fldCharType="end"/>
      </w:r>
      <w:r>
        <w:t xml:space="preserve">.  Clients are asked to rate on a 1 </w:t>
      </w:r>
      <w:r>
        <w:noBreakHyphen/>
        <w:t xml:space="preserve"> 7 scale how they feel about the session just completed (</w:t>
      </w:r>
      <w:r>
        <w:rPr>
          <w:i/>
        </w:rPr>
        <w:t>P</w:t>
      </w:r>
      <w:r w:rsidRPr="00944804">
        <w:rPr>
          <w:i/>
        </w:rPr>
        <w:t>erfect</w:t>
      </w:r>
      <w:r>
        <w:rPr>
          <w:i/>
        </w:rPr>
        <w:t xml:space="preserve"> </w:t>
      </w:r>
      <w:r>
        <w:t xml:space="preserve">to </w:t>
      </w:r>
      <w:r>
        <w:rPr>
          <w:i/>
        </w:rPr>
        <w:t>V</w:t>
      </w:r>
      <w:r w:rsidRPr="00944804">
        <w:rPr>
          <w:i/>
        </w:rPr>
        <w:t>ery poor</w:t>
      </w:r>
      <w:r>
        <w:t>), how much progress they feel they are making (</w:t>
      </w:r>
      <w:r>
        <w:rPr>
          <w:i/>
        </w:rPr>
        <w:t>A</w:t>
      </w:r>
      <w:r w:rsidRPr="00944804">
        <w:rPr>
          <w:i/>
        </w:rPr>
        <w:t xml:space="preserve"> great deal</w:t>
      </w:r>
      <w:r>
        <w:t xml:space="preserve"> to </w:t>
      </w:r>
      <w:r>
        <w:rPr>
          <w:i/>
        </w:rPr>
        <w:t>M</w:t>
      </w:r>
      <w:r w:rsidRPr="00944804">
        <w:rPr>
          <w:i/>
        </w:rPr>
        <w:t>y problems have gotten worse</w:t>
      </w:r>
      <w:r>
        <w:t>), whether something shifted (</w:t>
      </w:r>
      <w:r w:rsidRPr="00944804">
        <w:rPr>
          <w:i/>
        </w:rPr>
        <w:t>Not at all</w:t>
      </w:r>
      <w:r>
        <w:t xml:space="preserve"> to </w:t>
      </w:r>
      <w:r w:rsidRPr="00944804">
        <w:rPr>
          <w:i/>
        </w:rPr>
        <w:t>Very much</w:t>
      </w:r>
      <w:r>
        <w:t xml:space="preserve">); and on a 1 </w:t>
      </w:r>
      <w:r>
        <w:noBreakHyphen/>
        <w:t xml:space="preserve"> 9 scale how helpful or hindering the session was overall (</w:t>
      </w:r>
      <w:r w:rsidRPr="00944804">
        <w:rPr>
          <w:i/>
        </w:rPr>
        <w:t>Extremely hindering</w:t>
      </w:r>
      <w:r>
        <w:t xml:space="preserve"> to </w:t>
      </w:r>
      <w:r w:rsidRPr="00944804">
        <w:rPr>
          <w:i/>
        </w:rPr>
        <w:t>Extremely helpful</w:t>
      </w:r>
      <w:r>
        <w:t>).  Inter-item reliability in the current sample was acceptable (</w:t>
      </w:r>
      <w:r w:rsidRPr="001465B2">
        <w:t>Cronbach’s α</w:t>
      </w:r>
      <w:r>
        <w:t xml:space="preserve"> = .76).</w:t>
      </w:r>
    </w:p>
    <w:p w14:paraId="77CC7985" w14:textId="2A2CF3EC" w:rsidR="00463899" w:rsidRDefault="00463899" w:rsidP="000D461F">
      <w:pPr>
        <w:pStyle w:val="Heading3"/>
      </w:pPr>
      <w:r>
        <w:t xml:space="preserve">Helpful aspects of Therapy </w:t>
      </w:r>
      <w:r w:rsidR="0044411F">
        <w:t xml:space="preserve">(HAT) </w:t>
      </w:r>
      <w:r>
        <w:t>Form.</w:t>
      </w:r>
    </w:p>
    <w:p w14:paraId="2DDF7E5D" w14:textId="04530C96" w:rsidR="0044411F" w:rsidRPr="00AE43C4" w:rsidRDefault="0044411F" w:rsidP="0044411F">
      <w:pPr>
        <w:rPr>
          <w:lang w:val="en-US"/>
        </w:rPr>
      </w:pPr>
      <w:r>
        <w:rPr>
          <w:lang w:val="en-US"/>
        </w:rPr>
        <w:t>The HA</w:t>
      </w:r>
      <w:r w:rsidRPr="005A375B">
        <w:rPr>
          <w:lang w:val="en-US"/>
        </w:rPr>
        <w:t xml:space="preserve">T form is a post-session self-report instrument developed by Llewelyn </w:t>
      </w:r>
      <w:r w:rsidR="005A375B">
        <w:rPr>
          <w:lang w:val="en-US"/>
        </w:rPr>
        <w:fldChar w:fldCharType="begin"/>
      </w:r>
      <w:r w:rsidR="005A375B">
        <w:rPr>
          <w:lang w:val="en-US"/>
        </w:rPr>
        <w:instrText xml:space="preserve"> ADDIN EN.CITE &lt;EndNote&gt;&lt;Cite ExcludeAuth="1"&gt;&lt;Author&gt;Llewelyn&lt;/Author&gt;&lt;Year&gt;1988&lt;/Year&gt;&lt;RecNum&gt;2685&lt;/RecNum&gt;&lt;DisplayText&gt;(1988)&lt;/DisplayText&gt;&lt;record&gt;&lt;rec-number&gt;2685&lt;/rec-number&gt;&lt;foreign-keys&gt;&lt;key app="EN" db-id="0swazwvvzv2zzfe0fs75dwsza2wreftvrrpv" timestamp="0"&gt;2685&lt;/key&gt;&lt;/foreign-keys&gt;&lt;ref-type name="Journal Article"&gt;17&lt;/ref-type&gt;&lt;contributors&gt;&lt;authors&gt;&lt;author&gt;Llewelyn, S.&lt;/author&gt;&lt;/authors&gt;&lt;/contributors&gt;&lt;titles&gt;&lt;title&gt;Psychological therapy as viewed by clients and therapists&lt;/title&gt;&lt;secondary-title&gt;British Journal of Clinical Psychology&lt;/secondary-title&gt;&lt;/titles&gt;&lt;pages&gt;223-238&lt;/pages&gt;&lt;volume&gt;27&lt;/volume&gt;&lt;keywords&gt;&lt;keyword&gt;research: 2 methodology: 0 general&lt;/keyword&gt;&lt;/keywords&gt;&lt;dates&gt;&lt;year&gt;1988&lt;/year&gt;&lt;/dates&gt;&lt;urls&gt;&lt;/urls&gt;&lt;/record&gt;&lt;/Cite&gt;&lt;/EndNote&gt;</w:instrText>
      </w:r>
      <w:r w:rsidR="005A375B">
        <w:rPr>
          <w:lang w:val="en-US"/>
        </w:rPr>
        <w:fldChar w:fldCharType="separate"/>
      </w:r>
      <w:r w:rsidR="005A375B">
        <w:rPr>
          <w:noProof/>
          <w:lang w:val="en-US"/>
        </w:rPr>
        <w:t>(1988)</w:t>
      </w:r>
      <w:r w:rsidR="005A375B">
        <w:rPr>
          <w:lang w:val="en-US"/>
        </w:rPr>
        <w:fldChar w:fldCharType="end"/>
      </w:r>
      <w:r>
        <w:rPr>
          <w:lang w:val="en-US"/>
        </w:rPr>
        <w:t xml:space="preserve"> that gathers information about the client’s perception of helpful and hindering events in psychotherapy.  The form contains seven questions, though only data from the first two questions were analyzed for the present study.  These were, </w:t>
      </w:r>
      <w:r w:rsidR="009876E0">
        <w:rPr>
          <w:lang w:val="en-US"/>
        </w:rPr>
        <w:t>‘</w:t>
      </w:r>
      <w:r>
        <w:rPr>
          <w:lang w:val="en-US"/>
        </w:rPr>
        <w:t>Of the events which occurred in this session, which one do you feel was the most helpful of important for you personally? (By event we mean something that happened in the session. It might be something you said or did, or something your therapist said or did);</w:t>
      </w:r>
      <w:r w:rsidR="009876E0">
        <w:rPr>
          <w:lang w:val="en-US"/>
        </w:rPr>
        <w:t>’</w:t>
      </w:r>
      <w:r>
        <w:rPr>
          <w:lang w:val="en-US"/>
        </w:rPr>
        <w:t xml:space="preserve"> and </w:t>
      </w:r>
      <w:r w:rsidR="009876E0">
        <w:rPr>
          <w:lang w:val="en-US"/>
        </w:rPr>
        <w:t>‘</w:t>
      </w:r>
      <w:r>
        <w:rPr>
          <w:lang w:val="en-US"/>
        </w:rPr>
        <w:t>Please describe what made this event helpful/important and what you got out of it</w:t>
      </w:r>
      <w:r w:rsidR="009876E0">
        <w:rPr>
          <w:lang w:val="en-US"/>
        </w:rPr>
        <w:t>’</w:t>
      </w:r>
      <w:r>
        <w:rPr>
          <w:lang w:val="en-US"/>
        </w:rPr>
        <w:t xml:space="preserve">.  Participants were also asked to rate how helpful or hindering the particular event was on a 1 to 9 Likert Scale with 1 being </w:t>
      </w:r>
      <w:r w:rsidRPr="0044411F">
        <w:rPr>
          <w:i/>
          <w:lang w:val="en-US"/>
        </w:rPr>
        <w:t>extremely hindering</w:t>
      </w:r>
      <w:r>
        <w:rPr>
          <w:lang w:val="en-US"/>
        </w:rPr>
        <w:t xml:space="preserve"> and 9 being </w:t>
      </w:r>
      <w:r w:rsidRPr="0044411F">
        <w:rPr>
          <w:i/>
          <w:lang w:val="en-US"/>
        </w:rPr>
        <w:t>extremely helpful</w:t>
      </w:r>
      <w:r>
        <w:rPr>
          <w:lang w:val="en-US"/>
        </w:rPr>
        <w:t xml:space="preserve">. </w:t>
      </w:r>
    </w:p>
    <w:p w14:paraId="43D0F190" w14:textId="49D90DA2" w:rsidR="00463899" w:rsidRDefault="00463899" w:rsidP="000D461F">
      <w:pPr>
        <w:pStyle w:val="Heading3"/>
      </w:pPr>
      <w:r>
        <w:t>Change Interview</w:t>
      </w:r>
      <w:r w:rsidR="009E2AD7">
        <w:t>.</w:t>
      </w:r>
    </w:p>
    <w:p w14:paraId="5D5586A4" w14:textId="5BDF1E19" w:rsidR="00EE297F" w:rsidRDefault="00EE297F" w:rsidP="0044411F">
      <w:r w:rsidRPr="005A375B">
        <w:t>Th</w:t>
      </w:r>
      <w:r w:rsidR="001D6758" w:rsidRPr="005A375B">
        <w:t xml:space="preserve">e Change Interview </w:t>
      </w:r>
      <w:r w:rsidRPr="005A375B">
        <w:t xml:space="preserve">is </w:t>
      </w:r>
      <w:r w:rsidR="001D6758" w:rsidRPr="005A375B">
        <w:t xml:space="preserve">a </w:t>
      </w:r>
      <w:r w:rsidRPr="005A375B">
        <w:t xml:space="preserve">semi-structured qualitative </w:t>
      </w:r>
      <w:r w:rsidR="006820C7" w:rsidRPr="005A375B">
        <w:t>instrument</w:t>
      </w:r>
      <w:r w:rsidR="001D6758" w:rsidRPr="005A375B">
        <w:t xml:space="preserve">, </w:t>
      </w:r>
      <w:r w:rsidRPr="005A375B">
        <w:t>developed by Elliott</w:t>
      </w:r>
      <w:r w:rsidR="006820C7" w:rsidRPr="005A375B">
        <w:t>, Slatick and Urman</w:t>
      </w:r>
      <w:r w:rsidR="005A375B" w:rsidRPr="005A375B">
        <w:t xml:space="preserve"> </w:t>
      </w:r>
      <w:r w:rsidR="00D0293A">
        <w:fldChar w:fldCharType="begin"/>
      </w:r>
      <w:r w:rsidR="00D0293A">
        <w:instrText xml:space="preserve"> ADDIN EN.CITE &lt;EndNote&gt;&lt;Cite ExcludeAuth="1"&gt;&lt;Author&gt;Elliott&lt;/Author&gt;&lt;Year&gt;2001&lt;/Year&gt;&lt;RecNum&gt;4103&lt;/RecNum&gt;&lt;DisplayText&gt;(2001)&lt;/DisplayText&gt;&lt;record&gt;&lt;rec-number&gt;4103&lt;/rec-number&gt;&lt;foreign-keys&gt;&lt;key app="EN" db-id="0swazwvvzv2zzfe0fs75dwsza2wreftvrrpv" timestamp="1411805034"&gt;4103&lt;/key&gt;&lt;/foreign-keys&gt;&lt;ref-type name="Journal Article"&gt;17&lt;/ref-type&gt;&lt;contributors&gt;&lt;authors&gt;&lt;author&gt;Elliott, Robert&lt;/author&gt;&lt;author&gt;Slatick, Emil&lt;/author&gt;&lt;author&gt;Urman, Michelle&lt;/author&gt;&lt;/authors&gt;&lt;/contributors&gt;&lt;titles&gt;&lt;title&gt;Qualitative change process research on psychotherapy: Alternative strategies&lt;/title&gt;&lt;secondary-title&gt;Psychologische Beiträge&lt;/secondary-title&gt;&lt;/titles&gt;&lt;periodical&gt;&lt;full-title&gt;Psychologische Beiträge&lt;/full-title&gt;&lt;/periodical&gt;&lt;pages&gt;69&lt;/pages&gt;&lt;volume&gt;43&lt;/volume&gt;&lt;number&gt;3&lt;/number&gt;&lt;dates&gt;&lt;year&gt;2001&lt;/year&gt;&lt;/dates&gt;&lt;isbn&gt;0033-3018&lt;/isbn&gt;&lt;urls&gt;&lt;/urls&gt;&lt;/record&gt;&lt;/Cite&gt;&lt;/EndNote&gt;</w:instrText>
      </w:r>
      <w:r w:rsidR="00D0293A">
        <w:fldChar w:fldCharType="separate"/>
      </w:r>
      <w:r w:rsidR="00D0293A">
        <w:rPr>
          <w:noProof/>
        </w:rPr>
        <w:t>(2001)</w:t>
      </w:r>
      <w:r w:rsidR="00D0293A">
        <w:fldChar w:fldCharType="end"/>
      </w:r>
      <w:r w:rsidR="005A375B" w:rsidRPr="005A375B">
        <w:t xml:space="preserve"> </w:t>
      </w:r>
      <w:r w:rsidRPr="005A375B">
        <w:t xml:space="preserve">with the aim of eliciting the clients’ </w:t>
      </w:r>
      <w:r w:rsidR="001D6758" w:rsidRPr="005A375B">
        <w:t xml:space="preserve">personal </w:t>
      </w:r>
      <w:r w:rsidRPr="005A375B">
        <w:t>overvie</w:t>
      </w:r>
      <w:r>
        <w:t xml:space="preserve">w </w:t>
      </w:r>
      <w:r w:rsidR="001D6758">
        <w:t xml:space="preserve">and evaluation </w:t>
      </w:r>
      <w:r>
        <w:t xml:space="preserve">of their therapeutic experience.  </w:t>
      </w:r>
      <w:r w:rsidR="001D6758">
        <w:t xml:space="preserve">For the purposes of </w:t>
      </w:r>
      <w:r>
        <w:t xml:space="preserve">the </w:t>
      </w:r>
      <w:r w:rsidR="001D6758">
        <w:t xml:space="preserve">present </w:t>
      </w:r>
      <w:r>
        <w:t xml:space="preserve">study, </w:t>
      </w:r>
      <w:r w:rsidR="001D6758">
        <w:t>a modified form of the Change Interview was implemented</w:t>
      </w:r>
      <w:r w:rsidR="007C4B0B">
        <w:t xml:space="preserve">.  This consisted of ten questions and was </w:t>
      </w:r>
      <w:r w:rsidR="007C4B0B">
        <w:lastRenderedPageBreak/>
        <w:t xml:space="preserve">focused </w:t>
      </w:r>
      <w:r w:rsidR="001D6758">
        <w:t xml:space="preserve">on </w:t>
      </w:r>
      <w:r>
        <w:t>client</w:t>
      </w:r>
      <w:r w:rsidR="00CE6214">
        <w:t>s’</w:t>
      </w:r>
      <w:r>
        <w:t xml:space="preserve"> descriptions regarding (a) any changes during treatment</w:t>
      </w:r>
      <w:r w:rsidR="0044411F">
        <w:t>,</w:t>
      </w:r>
      <w:r>
        <w:t xml:space="preserve"> (b) the possible reasons behind them</w:t>
      </w:r>
      <w:r w:rsidR="0044411F">
        <w:t>,</w:t>
      </w:r>
      <w:r>
        <w:t xml:space="preserve"> and (c) aspects of therapy</w:t>
      </w:r>
      <w:r w:rsidR="00CE6214">
        <w:t xml:space="preserve"> that may have helped or hindered these change processes</w:t>
      </w:r>
      <w:r>
        <w:t xml:space="preserve">.   </w:t>
      </w:r>
      <w:r w:rsidR="00CE6214">
        <w:t xml:space="preserve">In addition, clients were asked to rate how helpful they have found each of the outcome and process measured used in the study on a 1 </w:t>
      </w:r>
      <w:r w:rsidR="00CE6214">
        <w:noBreakHyphen/>
        <w:t xml:space="preserve"> 5 scale, </w:t>
      </w:r>
      <w:r w:rsidR="007C4B0B">
        <w:t xml:space="preserve">where 1 = </w:t>
      </w:r>
      <w:r w:rsidR="007C4B0B" w:rsidRPr="007C4B0B">
        <w:rPr>
          <w:i/>
        </w:rPr>
        <w:t>very unhelpful</w:t>
      </w:r>
      <w:r w:rsidR="007C4B0B">
        <w:t xml:space="preserve"> and 5 = </w:t>
      </w:r>
      <w:r w:rsidR="007C4B0B" w:rsidRPr="007C4B0B">
        <w:rPr>
          <w:i/>
        </w:rPr>
        <w:t>very helpful</w:t>
      </w:r>
      <w:r w:rsidR="007C4B0B">
        <w:t xml:space="preserve">.  </w:t>
      </w:r>
      <w:r w:rsidR="001D6758">
        <w:t>I</w:t>
      </w:r>
      <w:r>
        <w:t>nterview last</w:t>
      </w:r>
      <w:r w:rsidR="001D6758">
        <w:t>ed</w:t>
      </w:r>
      <w:r>
        <w:t xml:space="preserve"> for approximately 30 – 90 minutes. </w:t>
      </w:r>
    </w:p>
    <w:p w14:paraId="16DF3499" w14:textId="5AA5AE8C" w:rsidR="00DC1DCC" w:rsidRDefault="00DC1DCC" w:rsidP="000D461F">
      <w:pPr>
        <w:pStyle w:val="Heading3"/>
      </w:pPr>
      <w:r>
        <w:t xml:space="preserve">Session </w:t>
      </w:r>
      <w:r w:rsidR="00950588">
        <w:t>R</w:t>
      </w:r>
      <w:r>
        <w:t xml:space="preserve">ating </w:t>
      </w:r>
      <w:r w:rsidR="00950588">
        <w:t>S</w:t>
      </w:r>
      <w:r>
        <w:t>cale.</w:t>
      </w:r>
    </w:p>
    <w:p w14:paraId="58E5A982" w14:textId="41FDD227" w:rsidR="00EE297F" w:rsidRPr="00223071" w:rsidRDefault="00F26A27" w:rsidP="00F26A27">
      <w:r>
        <w:t xml:space="preserve">The </w:t>
      </w:r>
      <w:r w:rsidR="00F17AA4">
        <w:t>S</w:t>
      </w:r>
      <w:r w:rsidR="00EE297F">
        <w:t xml:space="preserve">ession </w:t>
      </w:r>
      <w:r w:rsidR="00F17AA4">
        <w:t>R</w:t>
      </w:r>
      <w:r w:rsidR="00EE297F">
        <w:t xml:space="preserve">ating </w:t>
      </w:r>
      <w:r w:rsidR="00F17AA4">
        <w:t>S</w:t>
      </w:r>
      <w:r w:rsidR="00EE297F">
        <w:t>cale</w:t>
      </w:r>
      <w:r w:rsidR="00F17AA4">
        <w:t xml:space="preserve"> (SRS)</w:t>
      </w:r>
      <w:r>
        <w:t xml:space="preserve"> is an ultra-brief post-session measure of the therapeutic alliance </w:t>
      </w:r>
      <w:r w:rsidR="00577DB2">
        <w:fldChar w:fldCharType="begin"/>
      </w:r>
      <w:r w:rsidR="00577DB2">
        <w:instrText xml:space="preserve"> ADDIN EN.CITE &lt;EndNote&gt;&lt;Cite&gt;&lt;Author&gt;Duncan&lt;/Author&gt;&lt;Year&gt;2003&lt;/Year&gt;&lt;RecNum&gt;3327&lt;/RecNum&gt;&lt;DisplayText&gt;(Duncan, Miller, Sparks, &amp;amp; Claud, 2003)&lt;/DisplayText&gt;&lt;record&gt;&lt;rec-number&gt;3327&lt;/rec-number&gt;&lt;foreign-keys&gt;&lt;key app="EN" db-id="0swazwvvzv2zzfe0fs75dwsza2wreftvrrpv" timestamp="0"&gt;3327&lt;/key&gt;&lt;/foreign-keys&gt;&lt;ref-type name="Journal Article"&gt;17&lt;/ref-type&gt;&lt;contributors&gt;&lt;authors&gt;&lt;author&gt;Duncan, B. L.&lt;/author&gt;&lt;author&gt;Miller, S. D.&lt;/author&gt;&lt;author&gt;Sparks, J A&lt;/author&gt;&lt;author&gt;Claud, D A&lt;/author&gt;&lt;/authors&gt;&lt;/contributors&gt;&lt;titles&gt;&lt;title&gt;The Session Rating Scale: Preliminary psychometric properties of a “working&amp;quot; alliance measure&lt;/title&gt;&lt;secondary-title&gt;Journal of Brief Therapy&lt;/secondary-title&gt;&lt;/titles&gt;&lt;periodical&gt;&lt;full-title&gt;Journal of Brief Therapy&lt;/full-title&gt;&lt;/periodical&gt;&lt;pages&gt;3-12&lt;/pages&gt;&lt;volume&gt;3&lt;/volume&gt;&lt;number&gt;1&lt;/number&gt;&lt;dates&gt;&lt;year&gt;2003&lt;/year&gt;&lt;/dates&gt;&lt;urls&gt;&lt;/urls&gt;&lt;/record&gt;&lt;/Cite&gt;&lt;/EndNote&gt;</w:instrText>
      </w:r>
      <w:r w:rsidR="00577DB2">
        <w:fldChar w:fldCharType="separate"/>
      </w:r>
      <w:r w:rsidR="00577DB2">
        <w:rPr>
          <w:noProof/>
        </w:rPr>
        <w:t>(Duncan, Miller, Sparks, &amp; Claud, 2003)</w:t>
      </w:r>
      <w:r w:rsidR="00577DB2">
        <w:fldChar w:fldCharType="end"/>
      </w:r>
      <w:r>
        <w:t xml:space="preserve">.  Clients are asked to indicate on four lines the extent to which they feel their therapists understand them, are working towards similar goals, are a good fit, and the quality of the session overall.  Scoring ranges from 0 </w:t>
      </w:r>
      <w:r>
        <w:noBreakHyphen/>
        <w:t xml:space="preserve"> 10 on each item giving a maximum of 40.  The measure has adequate inter-item consistency (</w:t>
      </w:r>
      <w:r w:rsidR="00EE297F" w:rsidRPr="001465B2">
        <w:t>Cronbach’s α</w:t>
      </w:r>
      <w:r>
        <w:t xml:space="preserve"> = .88), </w:t>
      </w:r>
      <w:r w:rsidR="00EE297F">
        <w:t xml:space="preserve">test-retest </w:t>
      </w:r>
      <w:r>
        <w:t>reliability (</w:t>
      </w:r>
      <w:r w:rsidR="00EE297F" w:rsidRPr="00223071">
        <w:rPr>
          <w:i/>
        </w:rPr>
        <w:t>r</w:t>
      </w:r>
      <w:r>
        <w:rPr>
          <w:i/>
        </w:rPr>
        <w:t xml:space="preserve"> </w:t>
      </w:r>
      <w:r w:rsidR="00EE297F">
        <w:t>=</w:t>
      </w:r>
      <w:r>
        <w:t xml:space="preserve"> </w:t>
      </w:r>
      <w:r w:rsidR="00EE297F">
        <w:t>.63</w:t>
      </w:r>
      <w:r>
        <w:t>), and concurrent validity against the</w:t>
      </w:r>
      <w:r w:rsidR="009876E0">
        <w:t xml:space="preserve"> revised Helpful Alliance Questionnaire</w:t>
      </w:r>
      <w:r>
        <w:t xml:space="preserve"> </w:t>
      </w:r>
      <w:r w:rsidR="009876E0">
        <w:t>(</w:t>
      </w:r>
      <w:r w:rsidR="00EE297F">
        <w:t>HAQ-II</w:t>
      </w:r>
      <w:r w:rsidR="009876E0">
        <w:t xml:space="preserve">, </w:t>
      </w:r>
      <w:r w:rsidRPr="00F26A27">
        <w:rPr>
          <w:i/>
        </w:rPr>
        <w:t xml:space="preserve">r </w:t>
      </w:r>
      <w:r>
        <w:t xml:space="preserve">= .48, </w:t>
      </w:r>
      <w:r w:rsidR="00EE297F" w:rsidRPr="006F4CC6">
        <w:rPr>
          <w:i/>
        </w:rPr>
        <w:t>p</w:t>
      </w:r>
      <w:r w:rsidR="00EE297F">
        <w:t xml:space="preserve"> &lt; 0.01)</w:t>
      </w:r>
      <w:r>
        <w:t>.</w:t>
      </w:r>
    </w:p>
    <w:p w14:paraId="24DDAFAC" w14:textId="15B03DD6" w:rsidR="00463899" w:rsidRDefault="00463899" w:rsidP="000D461F">
      <w:pPr>
        <w:pStyle w:val="Heading3"/>
      </w:pPr>
      <w:r>
        <w:t>Working Alliance Inventory</w:t>
      </w:r>
      <w:r w:rsidR="00FA067C">
        <w:t xml:space="preserve"> </w:t>
      </w:r>
      <w:r w:rsidR="00FA067C">
        <w:noBreakHyphen/>
        <w:t xml:space="preserve"> Short Form (WAI</w:t>
      </w:r>
      <w:r w:rsidR="00FA067C">
        <w:noBreakHyphen/>
        <w:t>S)</w:t>
      </w:r>
      <w:r>
        <w:t>.</w:t>
      </w:r>
    </w:p>
    <w:p w14:paraId="36CD29F5" w14:textId="5FFB30D7" w:rsidR="00EE297F" w:rsidRDefault="00EE297F" w:rsidP="00FA067C">
      <w:pPr>
        <w:rPr>
          <w:color w:val="000000"/>
        </w:rPr>
      </w:pPr>
      <w:r w:rsidRPr="00FA067C">
        <w:t xml:space="preserve">The </w:t>
      </w:r>
      <w:r w:rsidR="00FA067C">
        <w:t xml:space="preserve">client-completed version of the </w:t>
      </w:r>
      <w:r w:rsidR="00FA067C" w:rsidRPr="00FA067C">
        <w:t>WAI</w:t>
      </w:r>
      <w:r w:rsidR="00FA067C" w:rsidRPr="00FA067C">
        <w:noBreakHyphen/>
        <w:t>S is a 12-item measure of the quality of the therapeutic alliance</w:t>
      </w:r>
      <w:r w:rsidR="00296EA7">
        <w:t xml:space="preserve"> </w:t>
      </w:r>
      <w:r w:rsidR="009876E0">
        <w:fldChar w:fldCharType="begin"/>
      </w:r>
      <w:r w:rsidR="009876E0">
        <w:instrText xml:space="preserve"> ADDIN EN.CITE &lt;EndNote&gt;&lt;Cite&gt;&lt;Author&gt;Tracey&lt;/Author&gt;&lt;Year&gt;1989&lt;/Year&gt;&lt;RecNum&gt;4101&lt;/RecNum&gt;&lt;DisplayText&gt;(Tracey &amp;amp; Kokotovic, 1989)&lt;/DisplayText&gt;&lt;record&gt;&lt;rec-number&gt;4101&lt;/rec-number&gt;&lt;foreign-keys&gt;&lt;key app="EN" db-id="0swazwvvzv2zzfe0fs75dwsza2wreftvrrpv" timestamp="1411749486"&gt;4101&lt;/key&gt;&lt;/foreign-keys&gt;&lt;ref-type name="Journal Article"&gt;17&lt;/ref-type&gt;&lt;contributors&gt;&lt;authors&gt;&lt;author&gt;Tracey, Terence J.&lt;/author&gt;&lt;author&gt;Kokotovic, Anna M.&lt;/author&gt;&lt;/authors&gt;&lt;/contributors&gt;&lt;titles&gt;&lt;title&gt;Factor structure of the Working Alliance Inventory&lt;/title&gt;&lt;secondary-title&gt;Psychological Assessment: A Journal of Consulting and Clinical Psychology&lt;/secondary-title&gt;&lt;/titles&gt;&lt;periodical&gt;&lt;full-title&gt;Psychological Assessment: A Journal of Consulting and Clinical Psychology&lt;/full-title&gt;&lt;/periodical&gt;&lt;pages&gt;207-210&lt;/pages&gt;&lt;volume&gt;1&lt;/volume&gt;&lt;number&gt;3&lt;/number&gt;&lt;keywords&gt;&lt;keyword&gt;*Factor Structure&lt;/keyword&gt;&lt;keyword&gt;*Inventories&lt;/keyword&gt;&lt;keyword&gt;*Psychotherapeutic Processes&lt;/keyword&gt;&lt;keyword&gt;*Statistical Validity&lt;/keyword&gt;&lt;keyword&gt;Clients&lt;/keyword&gt;&lt;keyword&gt;Dyads&lt;/keyword&gt;&lt;keyword&gt;Therapists&lt;/keyword&gt;&lt;/keywords&gt;&lt;dates&gt;&lt;year&gt;1989&lt;/year&gt;&lt;/dates&gt;&lt;pub-location&gt;US&lt;/pub-location&gt;&lt;publisher&gt;American Psychological Association&lt;/publisher&gt;&lt;isbn&gt;1939-134X(Electronic);1040-3590(Print)&lt;/isbn&gt;&lt;urls&gt;&lt;/urls&gt;&lt;electronic-resource-num&gt;10.1037/1040-3590.1.3.207&lt;/electronic-resource-num&gt;&lt;/record&gt;&lt;/Cite&gt;&lt;/EndNote&gt;</w:instrText>
      </w:r>
      <w:r w:rsidR="009876E0">
        <w:fldChar w:fldCharType="separate"/>
      </w:r>
      <w:r w:rsidR="009876E0">
        <w:rPr>
          <w:noProof/>
        </w:rPr>
        <w:t>(Tracey &amp; Kokotovic, 1989)</w:t>
      </w:r>
      <w:r w:rsidR="009876E0">
        <w:fldChar w:fldCharType="end"/>
      </w:r>
      <w:r w:rsidR="00296EA7">
        <w:t xml:space="preserve">.  </w:t>
      </w:r>
      <w:r w:rsidR="00FA067C" w:rsidRPr="00FA067C">
        <w:t>Items, such as ‘</w:t>
      </w:r>
      <w:r w:rsidR="00FA067C" w:rsidRPr="00FA067C">
        <w:rPr>
          <w:color w:val="000000"/>
        </w:rPr>
        <w:t>We agree on what is important for me to work on’</w:t>
      </w:r>
      <w:r w:rsidR="00296EA7">
        <w:rPr>
          <w:color w:val="000000"/>
        </w:rPr>
        <w:t>,</w:t>
      </w:r>
      <w:r w:rsidR="00FA067C" w:rsidRPr="00FA067C">
        <w:rPr>
          <w:color w:val="000000"/>
        </w:rPr>
        <w:t xml:space="preserve"> are rated by clients on a 1 (</w:t>
      </w:r>
      <w:r w:rsidR="00FA067C" w:rsidRPr="00FA067C">
        <w:rPr>
          <w:i/>
          <w:color w:val="000000"/>
        </w:rPr>
        <w:t>Never</w:t>
      </w:r>
      <w:r w:rsidR="00FA067C" w:rsidRPr="00FA067C">
        <w:rPr>
          <w:color w:val="000000"/>
        </w:rPr>
        <w:t>) to 7 (</w:t>
      </w:r>
      <w:r w:rsidR="00FA067C" w:rsidRPr="00FA067C">
        <w:rPr>
          <w:i/>
          <w:color w:val="000000"/>
        </w:rPr>
        <w:t>Always</w:t>
      </w:r>
      <w:r w:rsidR="00FA067C" w:rsidRPr="00FA067C">
        <w:rPr>
          <w:color w:val="000000"/>
        </w:rPr>
        <w:t>) scale, giving a total score that ranges from 12 to 84</w:t>
      </w:r>
      <w:r w:rsidR="00296EA7">
        <w:rPr>
          <w:color w:val="000000"/>
        </w:rPr>
        <w:t xml:space="preserve">.  </w:t>
      </w:r>
      <w:r w:rsidR="00296EA7">
        <w:t>The WAI-S is a widely used measure and has high levels of internal consistency</w:t>
      </w:r>
      <w:r w:rsidR="009876E0">
        <w:t xml:space="preserve"> </w:t>
      </w:r>
      <w:r w:rsidR="009876E0">
        <w:fldChar w:fldCharType="begin"/>
      </w:r>
      <w:r w:rsidR="009876E0">
        <w:instrText xml:space="preserve"> ADDIN EN.CITE &lt;EndNote&gt;&lt;Cite&gt;&lt;Author&gt;Hanson&lt;/Author&gt;&lt;Year&gt;2002&lt;/Year&gt;&lt;RecNum&gt;4162&lt;/RecNum&gt;&lt;DisplayText&gt;(Hanson, Curry, &amp;amp; Bandalos, 2002)&lt;/DisplayText&gt;&lt;record&gt;&lt;rec-number&gt;4162&lt;/rec-number&gt;&lt;foreign-keys&gt;&lt;key app="EN" db-id="0swazwvvzv2zzfe0fs75dwsza2wreftvrrpv" timestamp="1413538378"&gt;4162&lt;/key&gt;&lt;/foreign-keys&gt;&lt;ref-type name="Journal Article"&gt;17&lt;/ref-type&gt;&lt;contributors&gt;&lt;authors&gt;&lt;author&gt;Hanson, William E&lt;/author&gt;&lt;author&gt;Curry, Kyle T&lt;/author&gt;&lt;author&gt;Bandalos, Deborah L&lt;/author&gt;&lt;/authors&gt;&lt;/contributors&gt;&lt;titles&gt;&lt;title&gt;Reliability generalization of working alliance inventory scale scores&lt;/title&gt;&lt;secondary-title&gt;Educational and Psychological Measurement&lt;/secondary-title&gt;&lt;/titles&gt;&lt;periodical&gt;&lt;full-title&gt;Educational and Psychological Measurement&lt;/full-title&gt;&lt;/periodical&gt;&lt;pages&gt;659-673&lt;/pages&gt;&lt;volume&gt;62&lt;/volume&gt;&lt;number&gt;4&lt;/number&gt;&lt;dates&gt;&lt;year&gt;2002&lt;/year&gt;&lt;/dates&gt;&lt;isbn&gt;0013-1644&lt;/isbn&gt;&lt;urls&gt;&lt;/urls&gt;&lt;/record&gt;&lt;/Cite&gt;&lt;/EndNote&gt;</w:instrText>
      </w:r>
      <w:r w:rsidR="009876E0">
        <w:fldChar w:fldCharType="separate"/>
      </w:r>
      <w:r w:rsidR="009876E0">
        <w:rPr>
          <w:noProof/>
        </w:rPr>
        <w:t>(Hanson, Curry, &amp; Bandalos, 2002)</w:t>
      </w:r>
      <w:r w:rsidR="009876E0">
        <w:fldChar w:fldCharType="end"/>
      </w:r>
      <w:r w:rsidR="00296EA7" w:rsidRPr="00FA067C">
        <w:t xml:space="preserve">.  </w:t>
      </w:r>
    </w:p>
    <w:p w14:paraId="60B86D9C" w14:textId="5C4F8A73" w:rsidR="00463899" w:rsidRDefault="00463899" w:rsidP="000D461F">
      <w:pPr>
        <w:pStyle w:val="Heading3"/>
      </w:pPr>
      <w:r>
        <w:t>Alliance Negotiation Scale</w:t>
      </w:r>
      <w:r w:rsidR="00197FB0">
        <w:t xml:space="preserve"> (ANS)</w:t>
      </w:r>
      <w:r w:rsidR="009E2AD7">
        <w:t>.</w:t>
      </w:r>
    </w:p>
    <w:p w14:paraId="6A1FD136" w14:textId="183B5B12" w:rsidR="00EE297F" w:rsidRDefault="00197FB0" w:rsidP="00CA5571">
      <w:r w:rsidRPr="00CA5571">
        <w:t xml:space="preserve">The client-completed </w:t>
      </w:r>
      <w:r w:rsidR="00CA5571">
        <w:t xml:space="preserve">version of the </w:t>
      </w:r>
      <w:r w:rsidRPr="00CA5571">
        <w:t xml:space="preserve">ANS </w:t>
      </w:r>
      <w:r w:rsidR="00EE297F" w:rsidRPr="00CA5571">
        <w:t>is a 12</w:t>
      </w:r>
      <w:r w:rsidRPr="00CA5571">
        <w:t>-</w:t>
      </w:r>
      <w:r w:rsidR="00EE297F" w:rsidRPr="00CA5571">
        <w:t xml:space="preserve">item measure </w:t>
      </w:r>
      <w:r w:rsidRPr="00CA5571">
        <w:t>of the extent to which clients feel that they can constructively negotiate disagreements about tasks and goals with their therapists</w:t>
      </w:r>
      <w:r w:rsidR="00CA5571">
        <w:t xml:space="preserve"> </w:t>
      </w:r>
      <w:r w:rsidR="00577DB2">
        <w:fldChar w:fldCharType="begin"/>
      </w:r>
      <w:r w:rsidR="00577DB2">
        <w:instrText xml:space="preserve"> ADDIN EN.CITE &lt;EndNote&gt;&lt;Cite&gt;&lt;Author&gt;Doran&lt;/Author&gt;&lt;Year&gt;2012&lt;/Year&gt;&lt;RecNum&gt;4104&lt;/RecNum&gt;&lt;DisplayText&gt;(Doran, Safran, Waizmann, Bolger, &amp;amp; Muran, 2012)&lt;/DisplayText&gt;&lt;record&gt;&lt;rec-number&gt;4104&lt;/rec-number&gt;&lt;foreign-keys&gt;&lt;key app="EN" db-id="0swazwvvzv2zzfe0fs75dwsza2wreftvrrpv" timestamp="1411805182"&gt;4104&lt;/key&gt;&lt;/foreign-keys&gt;&lt;ref-type name="Journal Article"&gt;17&lt;/ref-type&gt;&lt;contributors&gt;&lt;authors&gt;&lt;author&gt;Doran, Jennifer M&lt;/author&gt;&lt;author&gt;Safran, Jeremy D&lt;/author&gt;&lt;author&gt;Waizmann, Vanina&lt;/author&gt;&lt;author&gt;Bolger, Kelly&lt;/author&gt;&lt;author&gt;Muran, J Christopher&lt;/author&gt;&lt;/authors&gt;&lt;/contributors&gt;&lt;titles&gt;&lt;title&gt;The Alliance Negotiation Scale: psychometric construction and preliminary reliability and validity analysis&lt;/title&gt;&lt;secondary-title&gt;Psychotherapy Research&lt;/secondary-title&gt;&lt;/titles&gt;&lt;periodical&gt;&lt;full-title&gt;Psychotherapy Research&lt;/full-title&gt;&lt;/periodical&gt;&lt;pages&gt;710-719&lt;/pages&gt;&lt;volume&gt;22&lt;/volume&gt;&lt;number&gt;6&lt;/number&gt;&lt;dates&gt;&lt;year&gt;2012&lt;/year&gt;&lt;/dates&gt;&lt;isbn&gt;1050-3307&lt;/isbn&gt;&lt;urls&gt;&lt;/urls&gt;&lt;/record&gt;&lt;/Cite&gt;&lt;/EndNote&gt;</w:instrText>
      </w:r>
      <w:r w:rsidR="00577DB2">
        <w:fldChar w:fldCharType="separate"/>
      </w:r>
      <w:r w:rsidR="00577DB2">
        <w:rPr>
          <w:noProof/>
        </w:rPr>
        <w:t>(Doran, Safran, Waizmann, Bolger, &amp; Muran, 2012)</w:t>
      </w:r>
      <w:r w:rsidR="00577DB2">
        <w:fldChar w:fldCharType="end"/>
      </w:r>
      <w:r w:rsidRPr="00CA5571">
        <w:t xml:space="preserve">.  As with the WAI-S, clients are asked to rate items such as ‘My therapist encourages me to express any concerns I have with our progress’ </w:t>
      </w:r>
      <w:r w:rsidR="00CA5571">
        <w:t>o</w:t>
      </w:r>
      <w:r w:rsidRPr="00CA5571">
        <w:rPr>
          <w:color w:val="000000"/>
        </w:rPr>
        <w:t>n a 1 (</w:t>
      </w:r>
      <w:r w:rsidRPr="00CA5571">
        <w:rPr>
          <w:i/>
          <w:color w:val="000000"/>
        </w:rPr>
        <w:t>Never</w:t>
      </w:r>
      <w:r w:rsidRPr="00CA5571">
        <w:rPr>
          <w:color w:val="000000"/>
        </w:rPr>
        <w:t>) to 7 (</w:t>
      </w:r>
      <w:r w:rsidRPr="00CA5571">
        <w:rPr>
          <w:i/>
          <w:color w:val="000000"/>
        </w:rPr>
        <w:t>Always</w:t>
      </w:r>
      <w:r w:rsidRPr="00CA5571">
        <w:rPr>
          <w:color w:val="000000"/>
        </w:rPr>
        <w:t xml:space="preserve">) scale, with scores on half of the items </w:t>
      </w:r>
      <w:r w:rsidR="00CA5571">
        <w:rPr>
          <w:color w:val="000000"/>
        </w:rPr>
        <w:lastRenderedPageBreak/>
        <w:t xml:space="preserve">reversed to give a total alliance negotiation score from 12 to 84.  </w:t>
      </w:r>
      <w:r w:rsidR="00CA5571">
        <w:t>The measure has adequate inter-item consistency (</w:t>
      </w:r>
      <w:r w:rsidR="00CA5571" w:rsidRPr="001465B2">
        <w:t>Cronbach’s α</w:t>
      </w:r>
      <w:r w:rsidR="00CA5571">
        <w:t xml:space="preserve"> = .84) and </w:t>
      </w:r>
      <w:r w:rsidR="00296EA7">
        <w:t>convergent</w:t>
      </w:r>
      <w:r w:rsidR="00CA5571">
        <w:t xml:space="preserve"> validity against the WAI </w:t>
      </w:r>
      <w:r w:rsidR="00EE297F">
        <w:t>(</w:t>
      </w:r>
      <w:r w:rsidR="00EE297F" w:rsidRPr="00462D4E">
        <w:rPr>
          <w:i/>
        </w:rPr>
        <w:t>r</w:t>
      </w:r>
      <w:r w:rsidR="00EE297F">
        <w:t xml:space="preserve"> = .75, p &lt; .001).  </w:t>
      </w:r>
    </w:p>
    <w:p w14:paraId="5B721BAC" w14:textId="77777777" w:rsidR="00CA5571" w:rsidRDefault="00CA5571" w:rsidP="000D461F">
      <w:pPr>
        <w:ind w:firstLine="0"/>
      </w:pPr>
    </w:p>
    <w:p w14:paraId="51969BF7" w14:textId="77777777" w:rsidR="00B13A9F" w:rsidRPr="00E733D4" w:rsidRDefault="001575F7" w:rsidP="000D461F">
      <w:pPr>
        <w:pStyle w:val="Heading2"/>
      </w:pPr>
      <w:r w:rsidRPr="00E733D4">
        <w:t>Procedure</w:t>
      </w:r>
    </w:p>
    <w:p w14:paraId="220CC457" w14:textId="2EBDBB6D" w:rsidR="00A52424" w:rsidRDefault="00A52424" w:rsidP="000D461F">
      <w:pPr>
        <w:pStyle w:val="Heading3"/>
      </w:pPr>
      <w:r>
        <w:t>Recruitment.</w:t>
      </w:r>
    </w:p>
    <w:p w14:paraId="3FCC1944" w14:textId="0E066BED" w:rsidR="00A52424" w:rsidRDefault="006D74A7" w:rsidP="000D461F">
      <w:r w:rsidRPr="00A842A7">
        <w:rPr>
          <w:color w:val="000000" w:themeColor="text1"/>
        </w:rPr>
        <w:t>At site</w:t>
      </w:r>
      <w:r w:rsidR="00A842A7">
        <w:rPr>
          <w:color w:val="000000" w:themeColor="text1"/>
        </w:rPr>
        <w:t>s</w:t>
      </w:r>
      <w:r w:rsidRPr="00A842A7">
        <w:rPr>
          <w:color w:val="000000" w:themeColor="text1"/>
        </w:rPr>
        <w:t xml:space="preserve"> A</w:t>
      </w:r>
      <w:r w:rsidR="00A842A7">
        <w:rPr>
          <w:color w:val="000000" w:themeColor="text1"/>
        </w:rPr>
        <w:t xml:space="preserve"> and D, participants were recruited through information distributed at local public health centres.  At site B, participants were recruited through an internet notice and through the University’s established counselling service.  </w:t>
      </w:r>
      <w:r w:rsidR="00A52424" w:rsidRPr="00A842A7">
        <w:rPr>
          <w:color w:val="000000" w:themeColor="text1"/>
        </w:rPr>
        <w:t xml:space="preserve">At Site C, participants on the waiting list for the established University counselling service were contacted, and asked if they would like to participate in the trial.  </w:t>
      </w:r>
    </w:p>
    <w:p w14:paraId="13F22949" w14:textId="1187ABA3" w:rsidR="00A52424" w:rsidRDefault="00A52424" w:rsidP="000D461F">
      <w:pPr>
        <w:pStyle w:val="Heading3"/>
      </w:pPr>
      <w:r>
        <w:t>Assessment</w:t>
      </w:r>
      <w:r w:rsidR="00A842A7">
        <w:t>.</w:t>
      </w:r>
    </w:p>
    <w:p w14:paraId="2E3ADA5A" w14:textId="11A5BF89" w:rsidR="00A52424" w:rsidRDefault="00A52424" w:rsidP="000D461F">
      <w:r>
        <w:t xml:space="preserve">Participants who expressed an interest in the study were sent an information sheet.  If they subsequently contacted the site to indicate that they </w:t>
      </w:r>
      <w:r w:rsidR="003F4319">
        <w:t>were interested in participating</w:t>
      </w:r>
      <w:r>
        <w:t xml:space="preserve">, they were invited to an assessment interview.  </w:t>
      </w:r>
      <w:r w:rsidR="003F4319">
        <w:t>P</w:t>
      </w:r>
      <w:r>
        <w:t xml:space="preserve">articipants were </w:t>
      </w:r>
      <w:r w:rsidR="003F4319">
        <w:t xml:space="preserve">sent copies of the </w:t>
      </w:r>
      <w:r>
        <w:t>PHQ-9, GAD-7 and the Demographics Form</w:t>
      </w:r>
      <w:r w:rsidR="003F4319">
        <w:t xml:space="preserve"> and asked to bring them completed to the assessment</w:t>
      </w:r>
      <w:r>
        <w:t xml:space="preserve">.  </w:t>
      </w:r>
    </w:p>
    <w:p w14:paraId="75D0A173" w14:textId="4C6B1749" w:rsidR="003F4319" w:rsidRDefault="003F4319" w:rsidP="000D461F">
      <w:r>
        <w:t xml:space="preserve">The assessment interviews were conducted by the therapists in the trial.  </w:t>
      </w:r>
      <w:r w:rsidR="00A52424">
        <w:t>At the commencement of the assessment session, the assessor went over the information sheet, answered any questions</w:t>
      </w:r>
      <w:r>
        <w:t>,</w:t>
      </w:r>
      <w:r w:rsidR="00A52424">
        <w:t xml:space="preserve"> and then invited the prospective participant to sign the consent form.  </w:t>
      </w:r>
      <w:r>
        <w:t xml:space="preserve">They were then asked to submit, or complete if they had not already done so, the PHQ-9, GAD-7, Demographics Form, and a brief client identity form to record their personal contact details.  If participants’ PHQ-9 scores were nine or less, they were informed that, unfortunately, they were ineligible for participation in the trial, and alternative sources of support were discussed with them.  </w:t>
      </w:r>
    </w:p>
    <w:p w14:paraId="7715E03D" w14:textId="77777777" w:rsidR="00A842A7" w:rsidRDefault="003F4319" w:rsidP="000D461F">
      <w:r>
        <w:lastRenderedPageBreak/>
        <w:t xml:space="preserve">If participants’ PHQ-9 scores were ten or greater, the assessor went on to explore with them their reasons for seeking therapy, their background and history, and the personal goals that they were hoping to achieve in therapy.  Once wording for these goals were agreed, these were recorded, and scored, on the Goals Form.  </w:t>
      </w:r>
    </w:p>
    <w:p w14:paraId="4F9C3FD9" w14:textId="2D7FF0D7" w:rsidR="00A842A7" w:rsidRPr="00A842A7" w:rsidRDefault="003F4319" w:rsidP="000D461F">
      <w:r>
        <w:t xml:space="preserve">Participants were then invited to complete the </w:t>
      </w:r>
      <w:r w:rsidR="00A842A7">
        <w:t xml:space="preserve">Therapy Personalisation Form </w:t>
      </w:r>
      <w:r w:rsidR="00A842A7">
        <w:noBreakHyphen/>
        <w:t xml:space="preserve"> Assessment (</w:t>
      </w:r>
      <w:r>
        <w:t>TPF-A</w:t>
      </w:r>
      <w:r w:rsidR="00A842A7">
        <w:t xml:space="preserve">).  This is a tool developed within the pluralistic paradigm to help personalise therapy to the individual client’s particular preferences </w:t>
      </w:r>
      <w:r w:rsidR="000D1C1E">
        <w:fldChar w:fldCharType="begin"/>
      </w:r>
      <w:r w:rsidR="009876E0">
        <w:instrText xml:space="preserve"> ADDIN EN.CITE &lt;EndNote&gt;&lt;Cite&gt;&lt;Author&gt;Bowen&lt;/Author&gt;&lt;Year&gt;2012&lt;/Year&gt;&lt;RecNum&gt;3406&lt;/RecNum&gt;&lt;DisplayText&gt;(Bowen &amp;amp; Cooper, 2012)&lt;/DisplayText&gt;&lt;record&gt;&lt;rec-number&gt;3406&lt;/rec-number&gt;&lt;foreign-keys&gt;&lt;key app="EN" db-id="0swazwvvzv2zzfe0fs75dwsza2wreftvrrpv" timestamp="0"&gt;3406&lt;/key&gt;&lt;/foreign-keys&gt;&lt;ref-type name="Journal Article"&gt;17&lt;/ref-type&gt;&lt;contributors&gt;&lt;authors&gt;&lt;author&gt;Bowen, M&lt;/author&gt;&lt;author&gt;Cooper, Mick&lt;/author&gt;&lt;/authors&gt;&lt;/contributors&gt;&lt;titles&gt;&lt;title&gt;Development of a client feedback tool: a qualitative study of therapists’ experiences of using the Therapy Personalisation Forms&lt;/title&gt;&lt;secondary-title&gt;European Journal of Psychotherapy and Counselling&lt;/secondary-title&gt;&lt;/titles&gt;&lt;pages&gt;47-62&lt;/pages&gt;&lt;volume&gt;14&lt;/volume&gt;&lt;dates&gt;&lt;year&gt;2012&lt;/year&gt;&lt;/dates&gt;&lt;urls&gt;&lt;/urls&gt;&lt;/record&gt;&lt;/Cite&gt;&lt;/EndNote&gt;</w:instrText>
      </w:r>
      <w:r w:rsidR="000D1C1E">
        <w:fldChar w:fldCharType="separate"/>
      </w:r>
      <w:r w:rsidR="009876E0">
        <w:rPr>
          <w:noProof/>
        </w:rPr>
        <w:t>(Bowen &amp; Cooper, 2012)</w:t>
      </w:r>
      <w:r w:rsidR="000D1C1E">
        <w:fldChar w:fldCharType="end"/>
      </w:r>
      <w:r w:rsidR="00A842A7">
        <w:t xml:space="preserve">.  Clients are asked to indicate how they would like their therapist to be on 20, 11-point dimension: for instance, </w:t>
      </w:r>
      <w:r w:rsidR="00A842A7">
        <w:rPr>
          <w:i/>
        </w:rPr>
        <w:t xml:space="preserve">Be challenging </w:t>
      </w:r>
      <w:r w:rsidR="00A842A7">
        <w:rPr>
          <w:i/>
        </w:rPr>
        <w:noBreakHyphen/>
        <w:t xml:space="preserve"> Be gentle</w:t>
      </w:r>
      <w:r w:rsidR="00A842A7">
        <w:t xml:space="preserve">.  This is then used as the basis for meta-therapeutic dialogue on the clients’ particular therapeutic wants.  </w:t>
      </w:r>
    </w:p>
    <w:p w14:paraId="5124F3AB" w14:textId="31936FA3" w:rsidR="003F4319" w:rsidRDefault="003F4319" w:rsidP="000D461F">
      <w:pPr>
        <w:pStyle w:val="Heading3"/>
      </w:pPr>
      <w:r>
        <w:t>Sessions.</w:t>
      </w:r>
    </w:p>
    <w:p w14:paraId="4B0CBE75" w14:textId="7A75BAAE" w:rsidR="005D7999" w:rsidRDefault="003F4319" w:rsidP="000D461F">
      <w:r>
        <w:t xml:space="preserve">Participants were offered </w:t>
      </w:r>
      <w:r w:rsidR="005D7999">
        <w:t xml:space="preserve">up to 24 </w:t>
      </w:r>
      <w:r>
        <w:t>weekly sessions of pluralistic therapy for depression.</w:t>
      </w:r>
      <w:r w:rsidR="00A842A7">
        <w:t xml:space="preserve">  This was conducted by the therapist that had conducted their assessment.</w:t>
      </w:r>
      <w:r>
        <w:t xml:space="preserve">  At the start of each session, participants were invited to complete the PHQ-9, GAD-7 and their personalised Goals Form.  At the end of each session, they were invited to complete the HAT form and the SRS.  </w:t>
      </w:r>
      <w:r w:rsidR="005D7999">
        <w:t>All sessions were electronically recorded.</w:t>
      </w:r>
    </w:p>
    <w:p w14:paraId="00BF8264" w14:textId="6BDFE4D8" w:rsidR="003F4319" w:rsidRDefault="003F4319" w:rsidP="000D461F">
      <w:pPr>
        <w:pStyle w:val="Heading3"/>
      </w:pPr>
      <w:r>
        <w:t>Review sessions.</w:t>
      </w:r>
    </w:p>
    <w:p w14:paraId="4DF9D456" w14:textId="5882B147" w:rsidR="003F4319" w:rsidRDefault="003F4319" w:rsidP="000D461F">
      <w:r>
        <w:t xml:space="preserve">A review of the therapeutic work was conducted at approximately session four and session ten.  Participants were asked to complete the TPF, WAI and ANS, and their experience of the therapeutic work was discussed.  They were also asked to review their goals and, where appropriate, the Goals Form was modified. </w:t>
      </w:r>
    </w:p>
    <w:p w14:paraId="75798702" w14:textId="1CD03A73" w:rsidR="005D7999" w:rsidRDefault="003606A4" w:rsidP="000D461F">
      <w:pPr>
        <w:pStyle w:val="Heading3"/>
      </w:pPr>
      <w:r>
        <w:t>Follow-up</w:t>
      </w:r>
      <w:r w:rsidR="005D7999">
        <w:t xml:space="preserve"> interview.</w:t>
      </w:r>
    </w:p>
    <w:p w14:paraId="125C2EBB" w14:textId="441A64A9" w:rsidR="005D7999" w:rsidRDefault="005D7999" w:rsidP="000D461F">
      <w:r>
        <w:t xml:space="preserve">At the end of therapy, participants were invited back to meet with an independent researcher to take part in </w:t>
      </w:r>
      <w:r w:rsidR="00A842A7">
        <w:t xml:space="preserve">the </w:t>
      </w:r>
      <w:r>
        <w:t xml:space="preserve">Change Interview.  They were also asked to complete </w:t>
      </w:r>
      <w:r w:rsidR="0018117F">
        <w:t xml:space="preserve">an endpoint </w:t>
      </w:r>
      <w:r>
        <w:t>PHQ-9, GAD</w:t>
      </w:r>
      <w:r w:rsidR="0018117F">
        <w:t>-</w:t>
      </w:r>
      <w:r>
        <w:t xml:space="preserve">7 and GAF. </w:t>
      </w:r>
    </w:p>
    <w:p w14:paraId="0658A0D5" w14:textId="53F53418" w:rsidR="003F4319" w:rsidRDefault="003F4319" w:rsidP="000D461F">
      <w:pPr>
        <w:pStyle w:val="Heading3"/>
      </w:pPr>
      <w:r>
        <w:lastRenderedPageBreak/>
        <w:t>Therapists.</w:t>
      </w:r>
    </w:p>
    <w:p w14:paraId="158C1EB0" w14:textId="1FD03B66" w:rsidR="003149F6" w:rsidRDefault="005429DD" w:rsidP="000D461F">
      <w:r>
        <w:t xml:space="preserve">The 39 completer participants were seen by 12 therapists (mean = 3.3 participants per therapist, range = 1 </w:t>
      </w:r>
      <w:r w:rsidR="0018117F">
        <w:noBreakHyphen/>
      </w:r>
      <w:r>
        <w:t xml:space="preserve"> 8 participants per therapist).  Five of the therapists were male (41.7%) and seven were female (58.3%).  </w:t>
      </w:r>
      <w:r w:rsidR="00507D5B">
        <w:t>Two of the practitioners (13.3%) were qualified counselling psychologists with a mean of approximately 20 years’ experience as clinicians.  Ten of the practitioners (86.7%) were trainees on a three year doctorate in counselling psychology programme</w:t>
      </w:r>
      <w:r w:rsidR="000314E2">
        <w:t>, in the final or penultimate year of their studies</w:t>
      </w:r>
      <w:r w:rsidR="00507D5B">
        <w:t xml:space="preserve">.  </w:t>
      </w:r>
      <w:r w:rsidR="003149F6">
        <w:t>All practitioners had received training in person-centred/humanistic practice, along with varying levels of training in cognitive-behavioural and psychodynamic therapy.  In addition, all participants had received input or training on a pluralistic</w:t>
      </w:r>
      <w:r w:rsidR="0018117F">
        <w:t xml:space="preserve"> </w:t>
      </w:r>
      <w:r w:rsidR="003149F6">
        <w:t>approach to therapy, and were committed to working in a pluralistic way</w:t>
      </w:r>
      <w:r w:rsidR="0018117F">
        <w:t xml:space="preserve"> for the purposes of the trial. </w:t>
      </w:r>
    </w:p>
    <w:p w14:paraId="5F7F286B" w14:textId="12837294" w:rsidR="006E2A78" w:rsidRPr="00D87A4E" w:rsidRDefault="00216302" w:rsidP="000D461F">
      <w:pPr>
        <w:pStyle w:val="Heading3"/>
      </w:pPr>
      <w:r w:rsidRPr="00D87A4E">
        <w:t>Pluralistic therapy for depression</w:t>
      </w:r>
      <w:r w:rsidR="0018117F">
        <w:t>.</w:t>
      </w:r>
    </w:p>
    <w:p w14:paraId="6C7FD0BC" w14:textId="16460F08" w:rsidR="00523327" w:rsidRDefault="00523327" w:rsidP="00D87A4E">
      <w:pPr>
        <w:rPr>
          <w:color w:val="000000"/>
        </w:rPr>
      </w:pPr>
      <w:r w:rsidRPr="009209A7">
        <w:rPr>
          <w:color w:val="000000"/>
        </w:rPr>
        <w:t xml:space="preserve">Pluralistic therapy </w:t>
      </w:r>
      <w:r>
        <w:rPr>
          <w:color w:val="000000"/>
        </w:rPr>
        <w:t>was delivered in accordance with a treatment manual (McLeod and Cooper, 2012</w:t>
      </w:r>
      <w:r w:rsidR="000604D5">
        <w:rPr>
          <w:color w:val="000000"/>
        </w:rPr>
        <w:t>b</w:t>
      </w:r>
      <w:r>
        <w:rPr>
          <w:color w:val="000000"/>
        </w:rPr>
        <w:t>) that specified four general phases of therapy</w:t>
      </w:r>
      <w:r w:rsidR="0018117F">
        <w:rPr>
          <w:color w:val="000000"/>
        </w:rPr>
        <w:t>.  Phase</w:t>
      </w:r>
      <w:r>
        <w:rPr>
          <w:color w:val="000000"/>
        </w:rPr>
        <w:t xml:space="preserve"> </w:t>
      </w:r>
      <w:r w:rsidR="0018117F">
        <w:rPr>
          <w:color w:val="000000"/>
        </w:rPr>
        <w:t>one consisted of d</w:t>
      </w:r>
      <w:r>
        <w:rPr>
          <w:color w:val="000000"/>
        </w:rPr>
        <w:t>eveloping a collaborative relationship, eliciting the client’s story, identifying client strengths and resources, and agreeing a set of therapeutic goals</w:t>
      </w:r>
      <w:r w:rsidR="0018117F">
        <w:rPr>
          <w:color w:val="000000"/>
        </w:rPr>
        <w:t>.  Phase two involved e</w:t>
      </w:r>
      <w:r>
        <w:rPr>
          <w:color w:val="000000"/>
        </w:rPr>
        <w:t xml:space="preserve">stablishing a collaborative case formulation and </w:t>
      </w:r>
      <w:r w:rsidR="0018117F">
        <w:rPr>
          <w:color w:val="000000"/>
        </w:rPr>
        <w:t xml:space="preserve">a </w:t>
      </w:r>
      <w:r>
        <w:rPr>
          <w:color w:val="000000"/>
        </w:rPr>
        <w:t>plan of work</w:t>
      </w:r>
      <w:r w:rsidR="0018117F">
        <w:rPr>
          <w:color w:val="000000"/>
        </w:rPr>
        <w:t>.  Phase three consisted of e</w:t>
      </w:r>
      <w:r>
        <w:rPr>
          <w:color w:val="000000"/>
        </w:rPr>
        <w:t>ngaging in activities that client and therapist have identified as likely to facilitate change in the direction of the client’s goals</w:t>
      </w:r>
      <w:r w:rsidR="0018117F">
        <w:rPr>
          <w:color w:val="000000"/>
        </w:rPr>
        <w:t xml:space="preserve">.  Phase four consisted of bringing the </w:t>
      </w:r>
      <w:r w:rsidR="000604D5">
        <w:rPr>
          <w:color w:val="000000"/>
        </w:rPr>
        <w:t>therapy to an end:</w:t>
      </w:r>
      <w:r>
        <w:rPr>
          <w:color w:val="000000"/>
        </w:rPr>
        <w:t xml:space="preserve"> reviewing and consolidating progress, </w:t>
      </w:r>
      <w:r w:rsidR="0018117F">
        <w:rPr>
          <w:color w:val="000000"/>
        </w:rPr>
        <w:t xml:space="preserve">and </w:t>
      </w:r>
      <w:r>
        <w:rPr>
          <w:color w:val="000000"/>
        </w:rPr>
        <w:t>anticipating and preventing relapse.</w:t>
      </w:r>
      <w:r w:rsidR="000604D5">
        <w:rPr>
          <w:color w:val="000000"/>
        </w:rPr>
        <w:t xml:space="preserve"> </w:t>
      </w:r>
      <w:r w:rsidR="00D87A4E">
        <w:rPr>
          <w:color w:val="000000"/>
        </w:rPr>
        <w:t xml:space="preserve"> </w:t>
      </w:r>
      <w:r w:rsidR="000604D5">
        <w:rPr>
          <w:color w:val="000000"/>
        </w:rPr>
        <w:t>Within each session, on-going meta-</w:t>
      </w:r>
      <w:r w:rsidR="0018117F">
        <w:rPr>
          <w:color w:val="000000"/>
        </w:rPr>
        <w:t xml:space="preserve">therapeutic </w:t>
      </w:r>
      <w:r w:rsidR="000604D5">
        <w:rPr>
          <w:color w:val="000000"/>
        </w:rPr>
        <w:t>communication and discussion of client process and outcome ratings</w:t>
      </w:r>
      <w:r w:rsidR="00D87A4E">
        <w:rPr>
          <w:color w:val="000000"/>
        </w:rPr>
        <w:t xml:space="preserve"> </w:t>
      </w:r>
      <w:r w:rsidR="000604D5">
        <w:rPr>
          <w:color w:val="000000"/>
        </w:rPr>
        <w:t xml:space="preserve">were used to ensure collaborative alignment with client goals and tasks. </w:t>
      </w:r>
    </w:p>
    <w:p w14:paraId="0277A1AD" w14:textId="10C2DD86" w:rsidR="006E2A78" w:rsidRDefault="000604D5" w:rsidP="000D461F">
      <w:pPr>
        <w:rPr>
          <w:color w:val="000000"/>
        </w:rPr>
      </w:pPr>
      <w:r>
        <w:rPr>
          <w:color w:val="000000"/>
        </w:rPr>
        <w:t>Therapists were encouraged to draw</w:t>
      </w:r>
      <w:r w:rsidR="009876E0">
        <w:rPr>
          <w:color w:val="000000"/>
        </w:rPr>
        <w:t xml:space="preserve"> on, from within their competencies,</w:t>
      </w:r>
      <w:r>
        <w:rPr>
          <w:color w:val="000000"/>
        </w:rPr>
        <w:t xml:space="preserve"> </w:t>
      </w:r>
      <w:r w:rsidR="009876E0">
        <w:rPr>
          <w:color w:val="000000"/>
        </w:rPr>
        <w:t xml:space="preserve">a wide range </w:t>
      </w:r>
      <w:r w:rsidR="006E2A78">
        <w:rPr>
          <w:color w:val="000000"/>
        </w:rPr>
        <w:t xml:space="preserve">of change processes </w:t>
      </w:r>
      <w:r>
        <w:rPr>
          <w:color w:val="000000"/>
        </w:rPr>
        <w:t>of potential relevance to</w:t>
      </w:r>
      <w:r w:rsidR="006E2A78">
        <w:rPr>
          <w:color w:val="000000"/>
        </w:rPr>
        <w:t xml:space="preserve"> the efforts </w:t>
      </w:r>
      <w:r>
        <w:rPr>
          <w:color w:val="000000"/>
        </w:rPr>
        <w:t xml:space="preserve">of the client to overcome </w:t>
      </w:r>
      <w:r w:rsidR="006E2A78" w:rsidRPr="00483AD5">
        <w:rPr>
          <w:color w:val="000000"/>
        </w:rPr>
        <w:t>depress</w:t>
      </w:r>
      <w:r w:rsidR="006E2A78">
        <w:rPr>
          <w:color w:val="000000"/>
        </w:rPr>
        <w:t>ion</w:t>
      </w:r>
      <w:r w:rsidR="009876E0">
        <w:rPr>
          <w:color w:val="000000"/>
        </w:rPr>
        <w:t>.  These included</w:t>
      </w:r>
      <w:r w:rsidR="006E2A78" w:rsidRPr="00483AD5">
        <w:rPr>
          <w:color w:val="000000"/>
        </w:rPr>
        <w:t>:</w:t>
      </w:r>
    </w:p>
    <w:p w14:paraId="672FCCF6" w14:textId="77777777" w:rsidR="0018117F" w:rsidRPr="00483AD5" w:rsidRDefault="0018117F" w:rsidP="000D461F">
      <w:pPr>
        <w:rPr>
          <w:color w:val="000000"/>
        </w:rPr>
      </w:pPr>
    </w:p>
    <w:p w14:paraId="42822232" w14:textId="77777777" w:rsidR="006E2A78" w:rsidRDefault="006E2A78" w:rsidP="00D87A4E">
      <w:pPr>
        <w:numPr>
          <w:ilvl w:val="0"/>
          <w:numId w:val="16"/>
        </w:numPr>
        <w:rPr>
          <w:color w:val="000000"/>
        </w:rPr>
      </w:pPr>
      <w:r>
        <w:rPr>
          <w:color w:val="000000"/>
        </w:rPr>
        <w:t>cognitive interventions (e.g., challenging irrational thoughts);</w:t>
      </w:r>
    </w:p>
    <w:p w14:paraId="1566A26C" w14:textId="524598E0" w:rsidR="006E2A78" w:rsidRDefault="00D87A4E" w:rsidP="00D87A4E">
      <w:pPr>
        <w:numPr>
          <w:ilvl w:val="0"/>
          <w:numId w:val="16"/>
        </w:numPr>
        <w:rPr>
          <w:color w:val="000000"/>
        </w:rPr>
      </w:pPr>
      <w:r>
        <w:rPr>
          <w:color w:val="000000"/>
        </w:rPr>
        <w:t>w</w:t>
      </w:r>
      <w:r w:rsidR="006E2A78">
        <w:rPr>
          <w:color w:val="000000"/>
        </w:rPr>
        <w:t>orking with feelings</w:t>
      </w:r>
      <w:r w:rsidR="0018117F">
        <w:rPr>
          <w:color w:val="000000"/>
        </w:rPr>
        <w:t xml:space="preserve"> (e.g., helping clients express and be</w:t>
      </w:r>
      <w:r w:rsidR="006E2A78">
        <w:rPr>
          <w:color w:val="000000"/>
        </w:rPr>
        <w:t xml:space="preserve"> aware of feelings and emotions</w:t>
      </w:r>
      <w:r w:rsidR="0018117F">
        <w:rPr>
          <w:color w:val="000000"/>
        </w:rPr>
        <w:t>)</w:t>
      </w:r>
      <w:r w:rsidR="006E2A78">
        <w:rPr>
          <w:color w:val="000000"/>
        </w:rPr>
        <w:t>;</w:t>
      </w:r>
    </w:p>
    <w:p w14:paraId="1D71D3F1" w14:textId="1C4F7328" w:rsidR="006E2A78" w:rsidRDefault="0018117F" w:rsidP="00D87A4E">
      <w:pPr>
        <w:numPr>
          <w:ilvl w:val="0"/>
          <w:numId w:val="16"/>
        </w:numPr>
        <w:rPr>
          <w:color w:val="000000"/>
        </w:rPr>
      </w:pPr>
      <w:r>
        <w:rPr>
          <w:color w:val="000000"/>
        </w:rPr>
        <w:t>helping clients develop</w:t>
      </w:r>
      <w:r w:rsidR="006E2A78">
        <w:rPr>
          <w:color w:val="000000"/>
        </w:rPr>
        <w:t xml:space="preserve"> a coherent narrative/explanatory model that makes links between current difficulties, underl</w:t>
      </w:r>
      <w:r>
        <w:rPr>
          <w:color w:val="000000"/>
        </w:rPr>
        <w:t>y</w:t>
      </w:r>
      <w:r w:rsidR="006E2A78">
        <w:rPr>
          <w:color w:val="000000"/>
        </w:rPr>
        <w:t>ing reasons, and possibilities for change;</w:t>
      </w:r>
    </w:p>
    <w:p w14:paraId="32DC7BB3" w14:textId="2AF93093" w:rsidR="006E2A78" w:rsidRDefault="006E2A78" w:rsidP="00D87A4E">
      <w:pPr>
        <w:numPr>
          <w:ilvl w:val="0"/>
          <w:numId w:val="16"/>
        </w:numPr>
        <w:rPr>
          <w:color w:val="000000"/>
        </w:rPr>
      </w:pPr>
      <w:r>
        <w:rPr>
          <w:color w:val="000000"/>
        </w:rPr>
        <w:t xml:space="preserve">exploring and </w:t>
      </w:r>
      <w:r w:rsidR="000604D5">
        <w:rPr>
          <w:color w:val="000000"/>
        </w:rPr>
        <w:t xml:space="preserve">initiating </w:t>
      </w:r>
      <w:r>
        <w:rPr>
          <w:color w:val="000000"/>
        </w:rPr>
        <w:t>chang</w:t>
      </w:r>
      <w:r w:rsidR="0018117F">
        <w:rPr>
          <w:color w:val="000000"/>
        </w:rPr>
        <w:t>e</w:t>
      </w:r>
      <w:r>
        <w:rPr>
          <w:color w:val="000000"/>
        </w:rPr>
        <w:t xml:space="preserve"> </w:t>
      </w:r>
      <w:r w:rsidR="000604D5">
        <w:rPr>
          <w:color w:val="000000"/>
        </w:rPr>
        <w:t xml:space="preserve">within </w:t>
      </w:r>
      <w:r>
        <w:rPr>
          <w:color w:val="000000"/>
        </w:rPr>
        <w:t xml:space="preserve">patterns of </w:t>
      </w:r>
      <w:r w:rsidR="0018117F">
        <w:rPr>
          <w:color w:val="000000"/>
        </w:rPr>
        <w:t>interpersonal relating</w:t>
      </w:r>
      <w:r>
        <w:rPr>
          <w:color w:val="000000"/>
        </w:rPr>
        <w:t>;</w:t>
      </w:r>
    </w:p>
    <w:p w14:paraId="4F824FE1" w14:textId="34C93E49" w:rsidR="006E2A78" w:rsidRDefault="006E2A78" w:rsidP="00D87A4E">
      <w:pPr>
        <w:numPr>
          <w:ilvl w:val="0"/>
          <w:numId w:val="16"/>
        </w:numPr>
        <w:rPr>
          <w:color w:val="000000"/>
        </w:rPr>
      </w:pPr>
      <w:r>
        <w:rPr>
          <w:color w:val="000000"/>
        </w:rPr>
        <w:t>planned behaviour change (e.g., homework tasks</w:t>
      </w:r>
      <w:r w:rsidR="000604D5">
        <w:rPr>
          <w:color w:val="000000"/>
        </w:rPr>
        <w:t xml:space="preserve"> to enable various forms of behavioural activation</w:t>
      </w:r>
      <w:r>
        <w:rPr>
          <w:color w:val="000000"/>
        </w:rPr>
        <w:t>);</w:t>
      </w:r>
    </w:p>
    <w:p w14:paraId="553F3A03" w14:textId="4E729490" w:rsidR="006E2A78" w:rsidRDefault="006E2A78" w:rsidP="00D87A4E">
      <w:pPr>
        <w:numPr>
          <w:ilvl w:val="0"/>
          <w:numId w:val="16"/>
        </w:numPr>
        <w:rPr>
          <w:color w:val="000000"/>
        </w:rPr>
      </w:pPr>
      <w:r w:rsidRPr="00E92E23">
        <w:rPr>
          <w:color w:val="000000"/>
        </w:rPr>
        <w:t>use of self-help reading</w:t>
      </w:r>
      <w:r w:rsidR="000604D5">
        <w:rPr>
          <w:color w:val="000000"/>
        </w:rPr>
        <w:t>;</w:t>
      </w:r>
    </w:p>
    <w:p w14:paraId="75A165AB" w14:textId="66D3FFFD" w:rsidR="006E2A78" w:rsidRDefault="006E2A78" w:rsidP="00D87A4E">
      <w:pPr>
        <w:numPr>
          <w:ilvl w:val="0"/>
          <w:numId w:val="16"/>
        </w:numPr>
        <w:rPr>
          <w:color w:val="000000"/>
        </w:rPr>
      </w:pPr>
      <w:r w:rsidRPr="00E92E23">
        <w:rPr>
          <w:color w:val="000000"/>
        </w:rPr>
        <w:t>information-giving (e</w:t>
      </w:r>
      <w:r>
        <w:rPr>
          <w:color w:val="000000"/>
        </w:rPr>
        <w:t>.</w:t>
      </w:r>
      <w:r w:rsidRPr="00E92E23">
        <w:rPr>
          <w:color w:val="000000"/>
        </w:rPr>
        <w:t>g</w:t>
      </w:r>
      <w:r>
        <w:rPr>
          <w:color w:val="000000"/>
        </w:rPr>
        <w:t>.,</w:t>
      </w:r>
      <w:r w:rsidR="000604D5">
        <w:rPr>
          <w:color w:val="000000"/>
        </w:rPr>
        <w:t xml:space="preserve"> explaining relevant </w:t>
      </w:r>
      <w:r>
        <w:rPr>
          <w:color w:val="000000"/>
        </w:rPr>
        <w:t xml:space="preserve">psychological </w:t>
      </w:r>
      <w:r w:rsidR="000604D5">
        <w:rPr>
          <w:color w:val="000000"/>
        </w:rPr>
        <w:t>concepts</w:t>
      </w:r>
      <w:r w:rsidRPr="00E92E23">
        <w:rPr>
          <w:color w:val="000000"/>
        </w:rPr>
        <w:t>)</w:t>
      </w:r>
      <w:r>
        <w:rPr>
          <w:color w:val="000000"/>
        </w:rPr>
        <w:t>;</w:t>
      </w:r>
    </w:p>
    <w:p w14:paraId="4BC6567E" w14:textId="77777777" w:rsidR="006E2A78" w:rsidRDefault="006E2A78" w:rsidP="00D87A4E">
      <w:pPr>
        <w:numPr>
          <w:ilvl w:val="0"/>
          <w:numId w:val="16"/>
        </w:numPr>
        <w:rPr>
          <w:color w:val="000000"/>
        </w:rPr>
      </w:pPr>
      <w:r w:rsidRPr="00E92E23">
        <w:rPr>
          <w:color w:val="000000"/>
        </w:rPr>
        <w:t>identifying client strengths and how they can be applied</w:t>
      </w:r>
      <w:r>
        <w:rPr>
          <w:color w:val="000000"/>
        </w:rPr>
        <w:t>;</w:t>
      </w:r>
    </w:p>
    <w:p w14:paraId="12F105E7" w14:textId="44A475E9" w:rsidR="006E2A78" w:rsidRPr="00E92E23" w:rsidRDefault="006E2A78" w:rsidP="00D87A4E">
      <w:pPr>
        <w:numPr>
          <w:ilvl w:val="0"/>
          <w:numId w:val="16"/>
        </w:numPr>
        <w:rPr>
          <w:color w:val="000000"/>
        </w:rPr>
      </w:pPr>
      <w:r>
        <w:rPr>
          <w:color w:val="000000"/>
        </w:rPr>
        <w:t xml:space="preserve"> </w:t>
      </w:r>
      <w:r w:rsidRPr="00E92E23">
        <w:rPr>
          <w:color w:val="000000"/>
        </w:rPr>
        <w:t>identifying c</w:t>
      </w:r>
      <w:r>
        <w:rPr>
          <w:color w:val="000000"/>
        </w:rPr>
        <w:t>ultural resources</w:t>
      </w:r>
      <w:r w:rsidRPr="00E92E23">
        <w:rPr>
          <w:color w:val="000000"/>
        </w:rPr>
        <w:t xml:space="preserve"> </w:t>
      </w:r>
      <w:r>
        <w:rPr>
          <w:color w:val="000000"/>
        </w:rPr>
        <w:t>(e.g., friendships</w:t>
      </w:r>
      <w:r w:rsidR="000604D5">
        <w:rPr>
          <w:color w:val="000000"/>
        </w:rPr>
        <w:t>)</w:t>
      </w:r>
      <w:r w:rsidR="0018117F">
        <w:rPr>
          <w:color w:val="000000"/>
        </w:rPr>
        <w:t>;</w:t>
      </w:r>
    </w:p>
    <w:p w14:paraId="437C387F" w14:textId="408B7637" w:rsidR="006E2A78" w:rsidRDefault="006E2A78" w:rsidP="00D87A4E">
      <w:pPr>
        <w:numPr>
          <w:ilvl w:val="0"/>
          <w:numId w:val="16"/>
        </w:numPr>
        <w:rPr>
          <w:color w:val="000000"/>
        </w:rPr>
      </w:pPr>
      <w:r>
        <w:rPr>
          <w:color w:val="000000"/>
        </w:rPr>
        <w:t xml:space="preserve">enabling </w:t>
      </w:r>
      <w:r w:rsidR="00D87A4E">
        <w:rPr>
          <w:color w:val="000000"/>
        </w:rPr>
        <w:t>client</w:t>
      </w:r>
      <w:r w:rsidR="0018117F">
        <w:rPr>
          <w:color w:val="000000"/>
        </w:rPr>
        <w:t>s</w:t>
      </w:r>
      <w:r w:rsidR="00D87A4E">
        <w:rPr>
          <w:color w:val="000000"/>
        </w:rPr>
        <w:t xml:space="preserve"> </w:t>
      </w:r>
      <w:r>
        <w:rPr>
          <w:color w:val="000000"/>
        </w:rPr>
        <w:t xml:space="preserve">to understand the significance of their </w:t>
      </w:r>
      <w:r w:rsidRPr="00E92E23">
        <w:rPr>
          <w:color w:val="000000"/>
        </w:rPr>
        <w:t>family system</w:t>
      </w:r>
      <w:r>
        <w:rPr>
          <w:color w:val="000000"/>
        </w:rPr>
        <w:t>;</w:t>
      </w:r>
    </w:p>
    <w:p w14:paraId="0F904837" w14:textId="4698BBAC" w:rsidR="006E2A78" w:rsidRDefault="006E2A78" w:rsidP="00D87A4E">
      <w:pPr>
        <w:numPr>
          <w:ilvl w:val="0"/>
          <w:numId w:val="16"/>
        </w:numPr>
        <w:rPr>
          <w:color w:val="000000"/>
        </w:rPr>
      </w:pPr>
      <w:r>
        <w:rPr>
          <w:color w:val="000000"/>
        </w:rPr>
        <w:t xml:space="preserve">enabling </w:t>
      </w:r>
      <w:r w:rsidR="00D87A4E">
        <w:rPr>
          <w:color w:val="000000"/>
        </w:rPr>
        <w:t>client</w:t>
      </w:r>
      <w:r w:rsidR="0018117F">
        <w:rPr>
          <w:color w:val="000000"/>
        </w:rPr>
        <w:t>s</w:t>
      </w:r>
      <w:r w:rsidR="00D87A4E">
        <w:rPr>
          <w:color w:val="000000"/>
        </w:rPr>
        <w:t xml:space="preserve"> </w:t>
      </w:r>
      <w:r>
        <w:rPr>
          <w:color w:val="000000"/>
        </w:rPr>
        <w:t xml:space="preserve">to appreciate the significance of cultural-political factors in their </w:t>
      </w:r>
      <w:r w:rsidR="0018117F">
        <w:rPr>
          <w:color w:val="000000"/>
        </w:rPr>
        <w:t xml:space="preserve">lives </w:t>
      </w:r>
      <w:r>
        <w:rPr>
          <w:color w:val="000000"/>
        </w:rPr>
        <w:t xml:space="preserve">(e.g., racism, domestic violence); </w:t>
      </w:r>
    </w:p>
    <w:p w14:paraId="2D2F24EC" w14:textId="13975333" w:rsidR="006E2A78" w:rsidRDefault="006E2A78" w:rsidP="00D87A4E">
      <w:pPr>
        <w:numPr>
          <w:ilvl w:val="0"/>
          <w:numId w:val="16"/>
        </w:numPr>
        <w:rPr>
          <w:color w:val="000000"/>
        </w:rPr>
      </w:pPr>
      <w:r w:rsidRPr="00E92E23">
        <w:rPr>
          <w:color w:val="000000"/>
        </w:rPr>
        <w:t xml:space="preserve">expressive </w:t>
      </w:r>
      <w:r>
        <w:rPr>
          <w:color w:val="000000"/>
        </w:rPr>
        <w:t>art-making;</w:t>
      </w:r>
    </w:p>
    <w:p w14:paraId="04A83B65" w14:textId="32FF0C21" w:rsidR="006E2A78" w:rsidRDefault="006E2A78" w:rsidP="00D87A4E">
      <w:pPr>
        <w:numPr>
          <w:ilvl w:val="0"/>
          <w:numId w:val="16"/>
        </w:numPr>
        <w:rPr>
          <w:color w:val="000000"/>
        </w:rPr>
      </w:pPr>
      <w:r w:rsidRPr="00E92E23">
        <w:rPr>
          <w:color w:val="000000"/>
        </w:rPr>
        <w:t>coming to terms with circumstances that stifle</w:t>
      </w:r>
      <w:r w:rsidR="000604D5">
        <w:rPr>
          <w:color w:val="000000"/>
        </w:rPr>
        <w:t>d</w:t>
      </w:r>
      <w:r w:rsidRPr="00E92E23">
        <w:rPr>
          <w:color w:val="000000"/>
        </w:rPr>
        <w:t xml:space="preserve"> hope</w:t>
      </w:r>
      <w:r w:rsidR="00D87A4E">
        <w:rPr>
          <w:color w:val="000000"/>
        </w:rPr>
        <w:t xml:space="preserve"> </w:t>
      </w:r>
      <w:r w:rsidR="00D87A4E" w:rsidRPr="00E92E23">
        <w:rPr>
          <w:color w:val="000000"/>
        </w:rPr>
        <w:t>(e</w:t>
      </w:r>
      <w:r w:rsidR="00D87A4E">
        <w:rPr>
          <w:color w:val="000000"/>
        </w:rPr>
        <w:t>.</w:t>
      </w:r>
      <w:r w:rsidR="00D87A4E" w:rsidRPr="00E92E23">
        <w:rPr>
          <w:color w:val="000000"/>
        </w:rPr>
        <w:t>g</w:t>
      </w:r>
      <w:r w:rsidR="00D87A4E">
        <w:rPr>
          <w:color w:val="000000"/>
        </w:rPr>
        <w:t>.,</w:t>
      </w:r>
      <w:r w:rsidR="00D87A4E" w:rsidRPr="00E92E23">
        <w:rPr>
          <w:color w:val="000000"/>
        </w:rPr>
        <w:t xml:space="preserve"> physical illness)</w:t>
      </w:r>
      <w:r>
        <w:rPr>
          <w:color w:val="000000"/>
        </w:rPr>
        <w:t>;</w:t>
      </w:r>
    </w:p>
    <w:p w14:paraId="695B2BB7" w14:textId="5AC2D126" w:rsidR="000604D5" w:rsidRPr="00AC1B43" w:rsidRDefault="006E2A78" w:rsidP="00D87A4E">
      <w:pPr>
        <w:numPr>
          <w:ilvl w:val="0"/>
          <w:numId w:val="16"/>
        </w:numPr>
        <w:rPr>
          <w:color w:val="000000"/>
        </w:rPr>
      </w:pPr>
      <w:r w:rsidRPr="00AC1B43">
        <w:rPr>
          <w:color w:val="000000"/>
        </w:rPr>
        <w:t>identifying and making use of physical interventions to alleviate depression (e.g., antidepressant medication, herbal remedies</w:t>
      </w:r>
      <w:r w:rsidR="000604D5" w:rsidRPr="00AC1B43">
        <w:rPr>
          <w:color w:val="000000"/>
        </w:rPr>
        <w:t>)</w:t>
      </w:r>
      <w:r w:rsidRPr="00AC1B43">
        <w:rPr>
          <w:color w:val="000000"/>
        </w:rPr>
        <w:t>.</w:t>
      </w:r>
    </w:p>
    <w:p w14:paraId="6D15B6B2" w14:textId="064AC15D" w:rsidR="00C037AA" w:rsidRDefault="00C037AA" w:rsidP="000D461F">
      <w:pPr>
        <w:pStyle w:val="Heading3"/>
      </w:pPr>
      <w:r>
        <w:t>Adherence</w:t>
      </w:r>
      <w:r w:rsidR="0018117F">
        <w:t>.</w:t>
      </w:r>
    </w:p>
    <w:p w14:paraId="5DF9DF29" w14:textId="0B54D3F1" w:rsidR="00C037AA" w:rsidRPr="00D87A4E" w:rsidRDefault="000604D5" w:rsidP="0018117F">
      <w:pPr>
        <w:widowControl w:val="0"/>
        <w:autoSpaceDE w:val="0"/>
        <w:autoSpaceDN w:val="0"/>
        <w:adjustRightInd w:val="0"/>
        <w:spacing w:after="240"/>
        <w:rPr>
          <w:rFonts w:ascii="Times" w:hAnsi="Times" w:cs="Times"/>
          <w:lang w:val="en-US"/>
        </w:rPr>
      </w:pPr>
      <w:r w:rsidRPr="00D87A4E">
        <w:rPr>
          <w:rFonts w:ascii="Times" w:hAnsi="Times" w:cs="Times"/>
          <w:lang w:val="en-US"/>
        </w:rPr>
        <w:t>All therapists received monthly</w:t>
      </w:r>
      <w:r w:rsidR="006E2A78" w:rsidRPr="00D87A4E">
        <w:rPr>
          <w:rFonts w:ascii="Times" w:hAnsi="Times" w:cs="Times"/>
          <w:lang w:val="en-US"/>
        </w:rPr>
        <w:t xml:space="preserve"> </w:t>
      </w:r>
      <w:r w:rsidRPr="00D87A4E">
        <w:rPr>
          <w:rFonts w:ascii="Times" w:hAnsi="Times" w:cs="Times"/>
          <w:lang w:val="en-US"/>
        </w:rPr>
        <w:t xml:space="preserve">individual </w:t>
      </w:r>
      <w:r w:rsidR="006E2A78" w:rsidRPr="00D87A4E">
        <w:rPr>
          <w:rFonts w:ascii="Times" w:hAnsi="Times" w:cs="Times"/>
          <w:lang w:val="en-US"/>
        </w:rPr>
        <w:t xml:space="preserve">supervision </w:t>
      </w:r>
      <w:r w:rsidR="0018117F">
        <w:rPr>
          <w:rFonts w:ascii="Times" w:hAnsi="Times" w:cs="Times"/>
          <w:lang w:val="en-US"/>
        </w:rPr>
        <w:t xml:space="preserve">from </w:t>
      </w:r>
      <w:r w:rsidRPr="00D87A4E">
        <w:rPr>
          <w:rFonts w:ascii="Times" w:hAnsi="Times" w:cs="Times"/>
          <w:lang w:val="en-US"/>
        </w:rPr>
        <w:t>one of the founders of the pluralistic approach to therapy</w:t>
      </w:r>
      <w:r w:rsidR="0018117F">
        <w:rPr>
          <w:rFonts w:ascii="Times" w:hAnsi="Times" w:cs="Times"/>
          <w:lang w:val="en-US"/>
        </w:rPr>
        <w:t xml:space="preserve">.  </w:t>
      </w:r>
      <w:r w:rsidR="005A375B">
        <w:rPr>
          <w:rFonts w:ascii="Times" w:hAnsi="Times" w:cs="Times"/>
          <w:lang w:val="en-US"/>
        </w:rPr>
        <w:t xml:space="preserve">This </w:t>
      </w:r>
      <w:r w:rsidR="0018117F">
        <w:rPr>
          <w:rFonts w:ascii="Times" w:hAnsi="Times" w:cs="Times"/>
          <w:lang w:val="en-US"/>
        </w:rPr>
        <w:t xml:space="preserve">supervisor checked the practitioners’ </w:t>
      </w:r>
      <w:r w:rsidR="006E2A78" w:rsidRPr="00D87A4E">
        <w:rPr>
          <w:rFonts w:ascii="Times" w:hAnsi="Times" w:cs="Times"/>
          <w:lang w:val="en-US"/>
        </w:rPr>
        <w:t xml:space="preserve">adherence </w:t>
      </w:r>
      <w:r w:rsidR="0018117F">
        <w:rPr>
          <w:rFonts w:ascii="Times" w:hAnsi="Times" w:cs="Times"/>
          <w:lang w:val="en-US"/>
        </w:rPr>
        <w:t xml:space="preserve">to protocol </w:t>
      </w:r>
      <w:r w:rsidR="0018117F" w:rsidRPr="00D87A4E">
        <w:t>using a pilot version of a pluralistic therapy adherence scale (McLeod and Cooper, 2012c)</w:t>
      </w:r>
      <w:r w:rsidR="0018117F">
        <w:t xml:space="preserve">.  </w:t>
      </w:r>
      <w:r w:rsidR="0018117F" w:rsidRPr="00D87A4E">
        <w:t xml:space="preserve">All therapists who contributed completed cases to the study were deemed to have </w:t>
      </w:r>
      <w:r w:rsidR="0018117F" w:rsidRPr="00D87A4E">
        <w:lastRenderedPageBreak/>
        <w:t>been practising according to the pluralistic therapy for depression guidelines.  One therapist whose practice was not in accordance with the protocol withdrew from the study on health grounds following six sessions of their first case.  This case was transferred to another therapist, who completed work with the client.</w:t>
      </w:r>
      <w:r w:rsidR="0018117F">
        <w:t xml:space="preserve">  Therapists’ also self-assessed their adherence to pluralistic practice using a </w:t>
      </w:r>
      <w:r w:rsidR="00A01F4B" w:rsidRPr="00D87A4E">
        <w:t>structured note form, completed after the end of each session of therapy.</w:t>
      </w:r>
      <w:r w:rsidR="0062038D" w:rsidRPr="00D87A4E">
        <w:t xml:space="preserve"> </w:t>
      </w:r>
    </w:p>
    <w:p w14:paraId="0671FCBF" w14:textId="77777777" w:rsidR="00C037AA" w:rsidRPr="00E733D4" w:rsidRDefault="00C037AA" w:rsidP="000D461F"/>
    <w:p w14:paraId="71F102DC" w14:textId="77777777" w:rsidR="00AA06ED" w:rsidRPr="00E733D4" w:rsidRDefault="007F13DE" w:rsidP="000D461F">
      <w:pPr>
        <w:pStyle w:val="Heading2"/>
      </w:pPr>
      <w:r w:rsidRPr="00E733D4">
        <w:t>Analysis</w:t>
      </w:r>
    </w:p>
    <w:p w14:paraId="0337ADAB" w14:textId="019E4A4C" w:rsidR="00216302" w:rsidRDefault="00216302" w:rsidP="000D461F">
      <w:pPr>
        <w:ind w:firstLine="0"/>
      </w:pPr>
      <w:r>
        <w:tab/>
        <w:t xml:space="preserve">Baseline scores were taken from measures completed at initial assessment.  Endpoint scores were taken from measures completed at post-therapy change interview or, where not attended, the last completed measure.  </w:t>
      </w:r>
    </w:p>
    <w:p w14:paraId="0BF0F276" w14:textId="584D573A" w:rsidR="00216302" w:rsidRDefault="00216302" w:rsidP="000D461F">
      <w:r>
        <w:t xml:space="preserve">To assess rates of clinical improvement, we used the formulae provided by Gyani et al </w:t>
      </w:r>
      <w:r w:rsidR="0033645D">
        <w:fldChar w:fldCharType="begin"/>
      </w:r>
      <w:r w:rsidR="0033645D">
        <w:instrText xml:space="preserve"> ADDIN EN.CITE &lt;EndNote&gt;&lt;Cite ExcludeAuth="1"&gt;&lt;Author&gt;Gyani&lt;/Author&gt;&lt;Year&gt;2013&lt;/Year&gt;&lt;RecNum&gt;3749&lt;/RecNum&gt;&lt;DisplayText&gt;(2013)&lt;/DisplayText&gt;&lt;record&gt;&lt;rec-number&gt;3749&lt;/rec-number&gt;&lt;foreign-keys&gt;&lt;key app="EN" db-id="0swazwvvzv2zzfe0fs75dwsza2wreftvrrpv" timestamp="1397461822"&gt;3749&lt;/key&gt;&lt;/foreign-keys&gt;&lt;ref-type name="Journal Article"&gt;17&lt;/ref-type&gt;&lt;contributors&gt;&lt;authors&gt;&lt;author&gt;Gyani, A&lt;/author&gt;&lt;author&gt;Shafran, R&lt;/author&gt;&lt;author&gt;Layard, R&lt;/author&gt;&lt;author&gt;Clark, D M&lt;/author&gt;&lt;/authors&gt;&lt;/contributors&gt;&lt;titles&gt;&lt;title&gt;Enhancing recovery rates: Lessons from year one of IAPT&lt;/title&gt;&lt;secondary-title&gt;Behaviour Research and Therapy&lt;/secondary-title&gt;&lt;/titles&gt;&lt;periodical&gt;&lt;full-title&gt;Behaviour Research and Therapy&lt;/full-title&gt;&lt;/periodical&gt;&lt;pages&gt;597-606&lt;/pages&gt;&lt;volume&gt;51&lt;/volume&gt;&lt;number&gt;9&lt;/number&gt;&lt;dates&gt;&lt;year&gt;2013&lt;/year&gt;&lt;/dates&gt;&lt;urls&gt;&lt;/urls&gt;&lt;electronic-resource-num&gt;10.1016/j.brat.2013.06.004&lt;/electronic-resource-num&gt;&lt;/record&gt;&lt;/Cite&gt;&lt;/EndNote&gt;</w:instrText>
      </w:r>
      <w:r w:rsidR="0033645D">
        <w:fldChar w:fldCharType="separate"/>
      </w:r>
      <w:r w:rsidR="0033645D">
        <w:rPr>
          <w:noProof/>
        </w:rPr>
        <w:t>(2013)</w:t>
      </w:r>
      <w:r w:rsidR="0033645D">
        <w:fldChar w:fldCharType="end"/>
      </w:r>
      <w:r>
        <w:t xml:space="preserve"> in their analysis of IAPT data.  </w:t>
      </w:r>
      <w:r>
        <w:rPr>
          <w:lang w:val="en"/>
        </w:rPr>
        <w:t xml:space="preserve">Clients were deemed to have </w:t>
      </w:r>
      <w:r w:rsidRPr="00216302">
        <w:rPr>
          <w:i/>
          <w:lang w:val="en"/>
        </w:rPr>
        <w:t>reliably recovered</w:t>
      </w:r>
      <w:r>
        <w:rPr>
          <w:lang w:val="en"/>
        </w:rPr>
        <w:t xml:space="preserve"> if they showed reliable improvement during treatment </w:t>
      </w:r>
      <w:r w:rsidR="0033645D">
        <w:rPr>
          <w:lang w:val="en"/>
        </w:rPr>
        <w:fldChar w:fldCharType="begin"/>
      </w:r>
      <w:r w:rsidR="0033645D">
        <w:rPr>
          <w:lang w:val="en"/>
        </w:rPr>
        <w:instrText xml:space="preserve"> ADDIN EN.CITE &lt;EndNote&gt;&lt;Cite&gt;&lt;Author&gt;Gyani&lt;/Author&gt;&lt;Year&gt;2013&lt;/Year&gt;&lt;RecNum&gt;3749&lt;/RecNum&gt;&lt;Prefix&gt;improvement on PHQ-9 &amp;gt; 5.2`, improvement on GAD-7 &amp;gt; 3.53`, &lt;/Prefix&gt;&lt;DisplayText&gt;(improvement on PHQ-9 &amp;gt; 5.2, improvement on GAD-7 &amp;gt; 3.53, Gyani et al., 2013)&lt;/DisplayText&gt;&lt;record&gt;&lt;rec-number&gt;3749&lt;/rec-number&gt;&lt;foreign-keys&gt;&lt;key app="EN" db-id="0swazwvvzv2zzfe0fs75dwsza2wreftvrrpv" timestamp="1397461822"&gt;3749&lt;/key&gt;&lt;/foreign-keys&gt;&lt;ref-type name="Journal Article"&gt;17&lt;/ref-type&gt;&lt;contributors&gt;&lt;authors&gt;&lt;author&gt;Gyani, A&lt;/author&gt;&lt;author&gt;Shafran, R&lt;/author&gt;&lt;author&gt;Layard, R&lt;/author&gt;&lt;author&gt;Clark, D M&lt;/author&gt;&lt;/authors&gt;&lt;/contributors&gt;&lt;titles&gt;&lt;title&gt;Enhancing recovery rates: Lessons from year one of IAPT&lt;/title&gt;&lt;secondary-title&gt;Behaviour Research and Therapy&lt;/secondary-title&gt;&lt;/titles&gt;&lt;periodical&gt;&lt;full-title&gt;Behaviour Research and Therapy&lt;/full-title&gt;&lt;/periodical&gt;&lt;pages&gt;597-606&lt;/pages&gt;&lt;volume&gt;51&lt;/volume&gt;&lt;number&gt;9&lt;/number&gt;&lt;dates&gt;&lt;year&gt;2013&lt;/year&gt;&lt;/dates&gt;&lt;urls&gt;&lt;/urls&gt;&lt;electronic-resource-num&gt;10.1016/j.brat.2013.06.004&lt;/electronic-resource-num&gt;&lt;/record&gt;&lt;/Cite&gt;&lt;/EndNote&gt;</w:instrText>
      </w:r>
      <w:r w:rsidR="0033645D">
        <w:rPr>
          <w:lang w:val="en"/>
        </w:rPr>
        <w:fldChar w:fldCharType="separate"/>
      </w:r>
      <w:r w:rsidR="0033645D">
        <w:rPr>
          <w:noProof/>
          <w:lang w:val="en"/>
        </w:rPr>
        <w:t>(improvement on PHQ-9 &gt; 5.2, improvement on GAD-7 &gt; 3.53, Gyani et al., 2013)</w:t>
      </w:r>
      <w:r w:rsidR="0033645D">
        <w:rPr>
          <w:lang w:val="en"/>
        </w:rPr>
        <w:fldChar w:fldCharType="end"/>
      </w:r>
      <w:r>
        <w:t xml:space="preserve">, and scored </w:t>
      </w:r>
      <w:r>
        <w:rPr>
          <w:lang w:val="en"/>
        </w:rPr>
        <w:t xml:space="preserve">below the clinical cut-offs on </w:t>
      </w:r>
      <w:r w:rsidRPr="00216302">
        <w:rPr>
          <w:rStyle w:val="Emphasis"/>
          <w:i w:val="0"/>
          <w:lang w:val="en"/>
        </w:rPr>
        <w:t>both</w:t>
      </w:r>
      <w:r>
        <w:rPr>
          <w:lang w:val="en"/>
        </w:rPr>
        <w:t xml:space="preserve"> the PHQ-9 (&lt; 10) and the GAD-7 (&lt; 8) at endpoint.  Clients were deemed to have </w:t>
      </w:r>
      <w:r w:rsidRPr="00216302">
        <w:rPr>
          <w:i/>
          <w:lang w:val="en"/>
        </w:rPr>
        <w:t xml:space="preserve">reliably </w:t>
      </w:r>
      <w:r>
        <w:rPr>
          <w:i/>
          <w:lang w:val="en"/>
        </w:rPr>
        <w:t xml:space="preserve">improved </w:t>
      </w:r>
      <w:r>
        <w:rPr>
          <w:lang w:val="en"/>
        </w:rPr>
        <w:t xml:space="preserve">if their PHQ-9 or GAD-7 showed reliable improvement and their score for the other measure did not reliably deteriorate.  Clients were deemed to have </w:t>
      </w:r>
      <w:r w:rsidRPr="00216302">
        <w:rPr>
          <w:i/>
          <w:lang w:val="en"/>
        </w:rPr>
        <w:t xml:space="preserve">reliably </w:t>
      </w:r>
      <w:r>
        <w:rPr>
          <w:i/>
          <w:lang w:val="en"/>
        </w:rPr>
        <w:t xml:space="preserve">deteriorated </w:t>
      </w:r>
      <w:r>
        <w:rPr>
          <w:lang w:val="en"/>
        </w:rPr>
        <w:t>if their PHQ-9 or GAD-7 score worsened to a reliable extent, and the score for the other measure did not reliably improve.</w:t>
      </w:r>
    </w:p>
    <w:p w14:paraId="6583521E" w14:textId="1BF1F858" w:rsidR="00216302" w:rsidRDefault="00216302" w:rsidP="000D461F">
      <w:pPr>
        <w:ind w:firstLine="0"/>
      </w:pPr>
      <w:r>
        <w:tab/>
        <w:t xml:space="preserve">To calculate baseline-to-endpoint effect sizes on the PHQ-9, GAD-7 and Goals </w:t>
      </w:r>
      <w:r w:rsidR="009876E0">
        <w:t>Form</w:t>
      </w:r>
      <w:r>
        <w:t xml:space="preserve">, we used the formulae for Cohen’s </w:t>
      </w:r>
      <w:r w:rsidRPr="00216302">
        <w:rPr>
          <w:i/>
        </w:rPr>
        <w:t>d</w:t>
      </w:r>
      <w:r>
        <w:t xml:space="preserve"> adopted by Stiles et al. </w:t>
      </w:r>
      <w:r w:rsidR="0033645D">
        <w:fldChar w:fldCharType="begin"/>
      </w:r>
      <w:r w:rsidR="0033645D">
        <w:instrText xml:space="preserve"> ADDIN EN.CITE &lt;EndNote&gt;&lt;Cite ExcludeAuth="1"&gt;&lt;Author&gt;Stiles&lt;/Author&gt;&lt;Year&gt;2008&lt;/Year&gt;&lt;RecNum&gt;2330&lt;/RecNum&gt;&lt;DisplayText&gt;(2008)&lt;/DisplayText&gt;&lt;record&gt;&lt;rec-number&gt;2330&lt;/rec-number&gt;&lt;foreign-keys&gt;&lt;key app="EN" db-id="0swazwvvzv2zzfe0fs75dwsza2wreftvrrpv" timestamp="0"&gt;2330&lt;/key&gt;&lt;/foreign-keys&gt;&lt;ref-type name="Journal Article"&gt;17&lt;/ref-type&gt;&lt;contributors&gt;&lt;authors&gt;&lt;author&gt;Stiles, W. B.&lt;/author&gt;&lt;author&gt;Barkham, M.&lt;/author&gt;&lt;author&gt;Mellor-Clark, J.&lt;/author&gt;&lt;author&gt;Connell, J.&lt;/author&gt;&lt;/authors&gt;&lt;/contributors&gt;&lt;titles&gt;&lt;title&gt;Effectiveness of cognitive-behavioural, person-centred, and psychodynamic therapies in UK primary-care routine practice: replication in a larger sample&lt;/title&gt;&lt;secondary-title&gt;Psychological Medicine&lt;/secondary-title&gt;&lt;/titles&gt;&lt;pages&gt;677-688&lt;/pages&gt;&lt;volume&gt;38&lt;/volume&gt;&lt;number&gt;5&lt;/number&gt;&lt;keywords&gt;&lt;keyword&gt;7 practice: 0 general&lt;/keyword&gt;&lt;keyword&gt;7 practice: humanistic: PCA&lt;/keyword&gt;&lt;keyword&gt;PCA: research&lt;/keyword&gt;&lt;/keywords&gt;&lt;dates&gt;&lt;year&gt;2008&lt;/year&gt;&lt;/dates&gt;&lt;urls&gt;&lt;/urls&gt;&lt;/record&gt;&lt;/Cite&gt;&lt;/EndNote&gt;</w:instrText>
      </w:r>
      <w:r w:rsidR="0033645D">
        <w:fldChar w:fldCharType="separate"/>
      </w:r>
      <w:r w:rsidR="0033645D">
        <w:rPr>
          <w:noProof/>
        </w:rPr>
        <w:t>(2008)</w:t>
      </w:r>
      <w:r w:rsidR="0033645D">
        <w:fldChar w:fldCharType="end"/>
      </w:r>
      <w:r w:rsidR="005A375B">
        <w:t xml:space="preserve">: the mean baseline to </w:t>
      </w:r>
      <w:r>
        <w:t xml:space="preserve">endpoint difference divided by the baseline standard deviation. </w:t>
      </w:r>
    </w:p>
    <w:p w14:paraId="0E6AD91E" w14:textId="7E695CCA" w:rsidR="007C7186" w:rsidRDefault="007C7186" w:rsidP="000D461F">
      <w:r>
        <w:lastRenderedPageBreak/>
        <w:t xml:space="preserve">We used ANOVA tests to evaluate whether the amount of change on the PHQ-9 and GAD-7 was related to site, gender, ethnicity, student status and disability status; and correlational tests to evaluate whether it was associated with number of sessions and age.  To adjust for the possibility of type II errors, we used a Bonferroni-corrected alpha of .007 (α = .05 for seven tests).  </w:t>
      </w:r>
    </w:p>
    <w:p w14:paraId="73C78A74" w14:textId="2E4A98B0" w:rsidR="00EE5A66" w:rsidRDefault="00EE5A66" w:rsidP="000D461F">
      <w:r>
        <w:t xml:space="preserve">For the Goals Form, we compared the mean first ratings of clients on their goals against their mean last rating.  As goals may have been added or deleted during the course of therapy, these first and last ratings did not necessarily correspond to ratings at baseline and endpoint sessions.  Modified goals were treated as new goals.  </w:t>
      </w:r>
      <w:r w:rsidR="0099195C">
        <w:t xml:space="preserve">Participants were only included in this analysis if they had at least one goal that was present for three sessions or more. </w:t>
      </w:r>
    </w:p>
    <w:p w14:paraId="4A07C5B9" w14:textId="4CECD031" w:rsidR="00730068" w:rsidRDefault="005D29D5" w:rsidP="000D461F">
      <w:r>
        <w:t xml:space="preserve">Data from the Change Interviews and HAT forms were analysed </w:t>
      </w:r>
      <w:r w:rsidR="00730068">
        <w:t xml:space="preserve">independently, using </w:t>
      </w:r>
      <w:r>
        <w:t>t</w:t>
      </w:r>
      <w:r w:rsidR="00730068">
        <w:t xml:space="preserve">hematic analysis </w:t>
      </w:r>
      <w:r w:rsidR="00D157DE">
        <w:fldChar w:fldCharType="begin"/>
      </w:r>
      <w:r w:rsidR="00D157DE">
        <w:instrText xml:space="preserve"> ADDIN EN.CITE &lt;EndNote&gt;&lt;Cite&gt;&lt;Author&gt;Braun&lt;/Author&gt;&lt;Year&gt;2006&lt;/Year&gt;&lt;RecNum&gt;4069&lt;/RecNum&gt;&lt;DisplayText&gt;(Braun &amp;amp; Clarke, 2006)&lt;/DisplayText&gt;&lt;record&gt;&lt;rec-number&gt;4069&lt;/rec-number&gt;&lt;foreign-keys&gt;&lt;key app="EN" db-id="0swazwvvzv2zzfe0fs75dwsza2wreftvrrpv" timestamp="1409150246"&gt;4069&lt;/key&gt;&lt;/foreign-keys&gt;&lt;ref-type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00D157DE">
        <w:fldChar w:fldCharType="separate"/>
      </w:r>
      <w:r w:rsidR="00D157DE">
        <w:rPr>
          <w:noProof/>
        </w:rPr>
        <w:t>(Braun &amp; Clarke, 2006)</w:t>
      </w:r>
      <w:r w:rsidR="00D157DE">
        <w:fldChar w:fldCharType="end"/>
      </w:r>
      <w:r>
        <w:t>.  Text relating to helpful factors was organised into themes and sub-themes</w:t>
      </w:r>
      <w:r w:rsidR="00730068">
        <w:t xml:space="preserve">, and then organised into three </w:t>
      </w:r>
      <w:r w:rsidR="00730068" w:rsidRPr="00730068">
        <w:rPr>
          <w:i/>
        </w:rPr>
        <w:t>a priori</w:t>
      </w:r>
      <w:r w:rsidR="00730068">
        <w:t xml:space="preserve"> domains: client activities, therapist activities, and helpful outcomes.  Text selections in both studies could be coded into more than one theme/sub-theme, where appropriate.  For the HAT data, we counted the number of helpful events that had been coded into each theme or subtheme, and the mean rating of helpfulness for events within that theme or subtheme.  For the Change Interviews, we counted the number of participants who had one or more selection of text coded within that theme or subtheme. </w:t>
      </w:r>
    </w:p>
    <w:p w14:paraId="3C3F45BD" w14:textId="2F8CD283" w:rsidR="009E2AD7" w:rsidRDefault="00950588" w:rsidP="000D461F">
      <w:r>
        <w:t xml:space="preserve">For the </w:t>
      </w:r>
      <w:r w:rsidR="00D03660">
        <w:t>Session Effectiveness Scale</w:t>
      </w:r>
      <w:r>
        <w:t>, we calculated a standardised mean score of helpfulness for each session that could range from 1 (</w:t>
      </w:r>
      <w:r w:rsidRPr="009876E0">
        <w:rPr>
          <w:i/>
        </w:rPr>
        <w:t>extremely unhelpful</w:t>
      </w:r>
      <w:r>
        <w:t>) to 10 (</w:t>
      </w:r>
      <w:r w:rsidRPr="009876E0">
        <w:rPr>
          <w:i/>
        </w:rPr>
        <w:t>extremely helpful</w:t>
      </w:r>
      <w:r>
        <w:t>).  To achieve this, we reversed score</w:t>
      </w:r>
      <w:r w:rsidR="00D03660">
        <w:t xml:space="preserve">d </w:t>
      </w:r>
      <w:r>
        <w:t xml:space="preserve">items 2 and 3, divided </w:t>
      </w:r>
      <w:r w:rsidR="00D03660">
        <w:t xml:space="preserve">all </w:t>
      </w:r>
      <w:r>
        <w:t xml:space="preserve">scores by </w:t>
      </w:r>
      <w:r w:rsidR="00D03660">
        <w:t xml:space="preserve">the </w:t>
      </w:r>
      <w:r>
        <w:t xml:space="preserve">scale length, </w:t>
      </w:r>
      <w:r w:rsidR="00D03660">
        <w:t>averaged the scores</w:t>
      </w:r>
      <w:r>
        <w:t xml:space="preserve">, and then multiplied by 10.  </w:t>
      </w:r>
    </w:p>
    <w:p w14:paraId="0982D8D6" w14:textId="77777777" w:rsidR="00944804" w:rsidRDefault="00944804" w:rsidP="000D461F"/>
    <w:p w14:paraId="400B3EF9" w14:textId="77777777" w:rsidR="00C8381F" w:rsidRDefault="00D15096" w:rsidP="000D461F">
      <w:pPr>
        <w:pStyle w:val="Heading1"/>
      </w:pPr>
      <w:r w:rsidRPr="00E733D4">
        <w:lastRenderedPageBreak/>
        <w:t>Results</w:t>
      </w:r>
    </w:p>
    <w:p w14:paraId="62D8DF6D" w14:textId="1F7978A9" w:rsidR="00F5096A" w:rsidRDefault="003B7E0E" w:rsidP="003B7E0E">
      <w:pPr>
        <w:pStyle w:val="Heading2"/>
      </w:pPr>
      <w:r>
        <w:t>Reliable and clinical change</w:t>
      </w:r>
    </w:p>
    <w:p w14:paraId="340082F3" w14:textId="7CEE5A39" w:rsidR="00F5096A" w:rsidRPr="00F5096A" w:rsidRDefault="00F5096A" w:rsidP="000D461F">
      <w:r>
        <w:t>Based on combined data from the PHQ-9 and GAD-7, 2</w:t>
      </w:r>
      <w:r w:rsidR="00DC1DCC">
        <w:t>8</w:t>
      </w:r>
      <w:r>
        <w:t xml:space="preserve"> participants showed reliable improvement (7</w:t>
      </w:r>
      <w:r w:rsidR="00DC1DCC">
        <w:t>1</w:t>
      </w:r>
      <w:r>
        <w:t>.</w:t>
      </w:r>
      <w:r w:rsidR="00DC1DCC">
        <w:t>8</w:t>
      </w:r>
      <w:r>
        <w:t>% of completers, 6</w:t>
      </w:r>
      <w:r w:rsidR="00DC1DCC">
        <w:t>6.6</w:t>
      </w:r>
      <w:r>
        <w:t>% of all assessed), 1</w:t>
      </w:r>
      <w:r w:rsidR="00DC1DCC">
        <w:t>7</w:t>
      </w:r>
      <w:r>
        <w:t xml:space="preserve"> showed reliable recovery (4</w:t>
      </w:r>
      <w:r w:rsidR="00DC1DCC">
        <w:t>3</w:t>
      </w:r>
      <w:r>
        <w:t>.</w:t>
      </w:r>
      <w:r w:rsidR="00DC1DCC">
        <w:t>6</w:t>
      </w:r>
      <w:r>
        <w:t>% of completers, 4</w:t>
      </w:r>
      <w:r w:rsidR="00DC1DCC">
        <w:t>0</w:t>
      </w:r>
      <w:r>
        <w:t>.</w:t>
      </w:r>
      <w:r w:rsidR="00DC1DCC">
        <w:t>4</w:t>
      </w:r>
      <w:r>
        <w:t xml:space="preserve">% of all assessed), four showed reliable deterioration (10.3% of completers, 9.5% of all assessed), and </w:t>
      </w:r>
      <w:r w:rsidR="00DC1DCC">
        <w:t>seven</w:t>
      </w:r>
      <w:r>
        <w:t xml:space="preserve"> (1</w:t>
      </w:r>
      <w:r w:rsidR="00DC1DCC">
        <w:t>7</w:t>
      </w:r>
      <w:r>
        <w:t>.</w:t>
      </w:r>
      <w:r w:rsidR="00DC1DCC">
        <w:t>9</w:t>
      </w:r>
      <w:r>
        <w:t>% of completers, 1</w:t>
      </w:r>
      <w:r w:rsidR="00DC1DCC">
        <w:t>6</w:t>
      </w:r>
      <w:r>
        <w:t>.</w:t>
      </w:r>
      <w:r w:rsidR="00DC1DCC">
        <w:t>7</w:t>
      </w:r>
      <w:r>
        <w:t xml:space="preserve">% of all assessed) showed no change in their clinical status.  </w:t>
      </w:r>
    </w:p>
    <w:p w14:paraId="12AC7A4C" w14:textId="77777777" w:rsidR="00F5096A" w:rsidRPr="00F5096A" w:rsidRDefault="00F5096A" w:rsidP="000D461F"/>
    <w:p w14:paraId="60FDB81C" w14:textId="085B2861" w:rsidR="00463899" w:rsidRDefault="003B7E0E" w:rsidP="003B7E0E">
      <w:pPr>
        <w:pStyle w:val="Heading2"/>
      </w:pPr>
      <w:r>
        <w:t>Depression</w:t>
      </w:r>
    </w:p>
    <w:p w14:paraId="07ECFE4C" w14:textId="1F956EB4" w:rsidR="00DC1DCC" w:rsidRDefault="00250BD7" w:rsidP="000D461F">
      <w:r>
        <w:t xml:space="preserve">The mean PHQ-9 score for the 39 </w:t>
      </w:r>
      <w:r w:rsidR="00DC1DCC">
        <w:t xml:space="preserve">completer participants </w:t>
      </w:r>
      <w:r>
        <w:t>at endpoint was 10.6 (</w:t>
      </w:r>
      <w:r w:rsidRPr="00250BD7">
        <w:rPr>
          <w:i/>
        </w:rPr>
        <w:t>SD</w:t>
      </w:r>
      <w:r>
        <w:t xml:space="preserve"> = 7.1)</w:t>
      </w:r>
      <w:r w:rsidR="003B7E0E">
        <w:t xml:space="preserve"> (Table 2)</w:t>
      </w:r>
      <w:r>
        <w:t xml:space="preserve">.  This indicates a mean reduction of 7.8 points </w:t>
      </w:r>
      <w:r w:rsidR="00F5096A">
        <w:t>(range</w:t>
      </w:r>
      <w:r w:rsidR="006D3220">
        <w:t xml:space="preserve"> = </w:t>
      </w:r>
      <w:r w:rsidR="00F5096A">
        <w:t xml:space="preserve">-4 </w:t>
      </w:r>
      <w:r w:rsidR="001205AA">
        <w:noBreakHyphen/>
      </w:r>
      <w:r w:rsidR="006D3220">
        <w:t xml:space="preserve"> </w:t>
      </w:r>
      <w:r w:rsidR="00F5096A">
        <w:t>22)</w:t>
      </w:r>
      <w:r w:rsidR="00DC1DCC">
        <w:t xml:space="preserve">: </w:t>
      </w:r>
      <w:r>
        <w:t xml:space="preserve">an effect size (Cohen’s </w:t>
      </w:r>
      <w:r w:rsidRPr="00250BD7">
        <w:rPr>
          <w:i/>
        </w:rPr>
        <w:t>d</w:t>
      </w:r>
      <w:r>
        <w:t xml:space="preserve">) from baseline to endpoint of 1.81.  </w:t>
      </w:r>
      <w:r w:rsidR="00B70057">
        <w:t xml:space="preserve">By </w:t>
      </w:r>
      <w:r>
        <w:t xml:space="preserve">endpoint, </w:t>
      </w:r>
      <w:r w:rsidR="00DC1DCC">
        <w:t>18 participants (</w:t>
      </w:r>
      <w:r>
        <w:t>46.2%</w:t>
      </w:r>
      <w:r w:rsidR="00DC1DCC">
        <w:t>)</w:t>
      </w:r>
      <w:r>
        <w:t xml:space="preserve"> </w:t>
      </w:r>
      <w:r w:rsidR="00DC1DCC">
        <w:t xml:space="preserve">showed clinical improvement on the </w:t>
      </w:r>
      <w:r w:rsidR="00B70057">
        <w:t xml:space="preserve">depression measure, </w:t>
      </w:r>
      <w:r w:rsidR="00DC1DCC">
        <w:t>29 (66.6%) showed reliable improvement</w:t>
      </w:r>
      <w:r w:rsidR="00B70057">
        <w:t xml:space="preserve">, and none showed reliable deterioration.  </w:t>
      </w:r>
      <w:r w:rsidR="007C7186">
        <w:t xml:space="preserve">Change from baseline to endpoint on the PHQ-9 was not significantly related to any of the predictor variables.  </w:t>
      </w:r>
    </w:p>
    <w:p w14:paraId="4E47F23F" w14:textId="77777777" w:rsidR="00F5096A" w:rsidRDefault="00F5096A" w:rsidP="000D461F"/>
    <w:p w14:paraId="76CA801A" w14:textId="70EFEE9B" w:rsidR="00463899" w:rsidRDefault="003B7E0E" w:rsidP="003B7E0E">
      <w:pPr>
        <w:pStyle w:val="Heading2"/>
      </w:pPr>
      <w:r>
        <w:t>Anxiety</w:t>
      </w:r>
    </w:p>
    <w:p w14:paraId="421520DA" w14:textId="0D556890" w:rsidR="003B5CB1" w:rsidRDefault="003B5CB1" w:rsidP="000D461F">
      <w:r>
        <w:t xml:space="preserve">The mean </w:t>
      </w:r>
      <w:r w:rsidR="00F5096A">
        <w:t>GAD-7</w:t>
      </w:r>
      <w:r>
        <w:t xml:space="preserve"> score for the 39 participants at endpoint was </w:t>
      </w:r>
      <w:r w:rsidR="00F5096A">
        <w:t>9.1</w:t>
      </w:r>
      <w:r>
        <w:t xml:space="preserve"> (</w:t>
      </w:r>
      <w:r w:rsidRPr="00250BD7">
        <w:rPr>
          <w:i/>
        </w:rPr>
        <w:t>SD</w:t>
      </w:r>
      <w:r>
        <w:t xml:space="preserve"> = </w:t>
      </w:r>
      <w:r w:rsidR="00F5096A">
        <w:t>6.1</w:t>
      </w:r>
      <w:r>
        <w:t xml:space="preserve">).  This indicates a mean reduction of </w:t>
      </w:r>
      <w:r w:rsidR="00F5096A">
        <w:t>5.4</w:t>
      </w:r>
      <w:r>
        <w:t xml:space="preserve"> points</w:t>
      </w:r>
      <w:r w:rsidR="006D3220">
        <w:t xml:space="preserve"> (range = -10 </w:t>
      </w:r>
      <w:r w:rsidR="001205AA">
        <w:noBreakHyphen/>
      </w:r>
      <w:r w:rsidR="006D3220">
        <w:t xml:space="preserve"> 17)</w:t>
      </w:r>
      <w:r w:rsidR="007C7186">
        <w:t xml:space="preserve">: </w:t>
      </w:r>
      <w:r>
        <w:t xml:space="preserve">an effect size (Cohen’s </w:t>
      </w:r>
      <w:r w:rsidRPr="00250BD7">
        <w:rPr>
          <w:i/>
        </w:rPr>
        <w:t>d</w:t>
      </w:r>
      <w:r>
        <w:t>) from baseline to endpoint of 1.</w:t>
      </w:r>
      <w:r w:rsidR="00F5096A">
        <w:t>14</w:t>
      </w:r>
      <w:r>
        <w:t xml:space="preserve">.  </w:t>
      </w:r>
      <w:r w:rsidR="00F5096A">
        <w:t xml:space="preserve">Of the 35 participants who met criteria for an anxiety disorder at assessment, 14 (40%) </w:t>
      </w:r>
      <w:r w:rsidR="00DC1DCC">
        <w:t>showed clinical improvement</w:t>
      </w:r>
      <w:r w:rsidR="00B70057">
        <w:t xml:space="preserve"> and 23 (65.7%) showed reliable improvement.  Four of the 39 participants (10.3%) showed reliable deterioration in levels of anxiety.  </w:t>
      </w:r>
      <w:r w:rsidR="007C7186">
        <w:t xml:space="preserve">Change from baseline to endpoint on the GAD-7 was not significantly related to any of the predictor variables.  </w:t>
      </w:r>
    </w:p>
    <w:p w14:paraId="43F57CB8" w14:textId="77777777" w:rsidR="00463899" w:rsidRDefault="00463899" w:rsidP="000D461F"/>
    <w:p w14:paraId="3BBE79CF" w14:textId="311F69A1" w:rsidR="00463899" w:rsidRDefault="0099195C" w:rsidP="003B7E0E">
      <w:pPr>
        <w:pStyle w:val="Heading2"/>
      </w:pPr>
      <w:r>
        <w:t>Personal g</w:t>
      </w:r>
      <w:r w:rsidR="003B7E0E">
        <w:t>oals</w:t>
      </w:r>
    </w:p>
    <w:p w14:paraId="1D242519" w14:textId="3F7DE2AD" w:rsidR="0099195C" w:rsidRDefault="0099195C" w:rsidP="0099195C">
      <w:r>
        <w:t xml:space="preserve">Data on the Goals Form was not available for three participants.  In addition, for five participants, the procedure for the Goals Forms had not been followed correctly, and clients had been asked to re-set goals at the start of each session.  </w:t>
      </w:r>
    </w:p>
    <w:p w14:paraId="70661609" w14:textId="0BB2FFA9" w:rsidR="0099195C" w:rsidRDefault="0099195C" w:rsidP="0099195C">
      <w:r>
        <w:t xml:space="preserve">For the 31 participants for whom appropriate data were available, the mean rating of goal attainment at first measurement was </w:t>
      </w:r>
      <w:r w:rsidRPr="0027349A">
        <w:t>2.5</w:t>
      </w:r>
      <w:r>
        <w:rPr>
          <w:rFonts w:ascii="Arial" w:hAnsi="Arial" w:cs="Arial"/>
          <w:sz w:val="20"/>
          <w:szCs w:val="20"/>
        </w:rPr>
        <w:t xml:space="preserve"> </w:t>
      </w:r>
      <w:r w:rsidRPr="0027349A">
        <w:t>(</w:t>
      </w:r>
      <w:r w:rsidRPr="0027349A">
        <w:rPr>
          <w:i/>
        </w:rPr>
        <w:t>SD</w:t>
      </w:r>
      <w:r w:rsidRPr="0027349A">
        <w:t xml:space="preserve"> =</w:t>
      </w:r>
      <w:r>
        <w:t xml:space="preserve"> 1.1), and this increased to </w:t>
      </w:r>
      <w:r w:rsidRPr="0027349A">
        <w:t>4.2 (</w:t>
      </w:r>
      <w:r w:rsidRPr="0027349A">
        <w:rPr>
          <w:i/>
        </w:rPr>
        <w:t>SD</w:t>
      </w:r>
      <w:r w:rsidRPr="0027349A">
        <w:t xml:space="preserve"> = 1.3)</w:t>
      </w:r>
      <w:r>
        <w:t xml:space="preserve"> at last measurement</w:t>
      </w:r>
      <w:r w:rsidRPr="0027349A">
        <w:t xml:space="preserve">. This </w:t>
      </w:r>
      <w:r>
        <w:t xml:space="preserve">was a significant increase (p &lt; .001) of 1.7 points, with an effect size </w:t>
      </w:r>
      <w:r w:rsidRPr="0027349A">
        <w:rPr>
          <w:rFonts w:eastAsia="Times New Roman"/>
          <w:bCs/>
          <w:iCs/>
          <w:lang w:eastAsia="en-GB"/>
        </w:rPr>
        <w:t xml:space="preserve">(Cohen's </w:t>
      </w:r>
      <w:r w:rsidRPr="0027349A">
        <w:rPr>
          <w:rFonts w:eastAsia="Times New Roman"/>
          <w:bCs/>
          <w:i/>
          <w:iCs/>
          <w:lang w:eastAsia="en-GB"/>
        </w:rPr>
        <w:t>d</w:t>
      </w:r>
      <w:r w:rsidRPr="0027349A">
        <w:rPr>
          <w:rFonts w:eastAsia="Times New Roman"/>
          <w:bCs/>
          <w:iCs/>
          <w:lang w:eastAsia="en-GB"/>
        </w:rPr>
        <w:t>)</w:t>
      </w:r>
      <w:r w:rsidRPr="0027349A">
        <w:rPr>
          <w:rFonts w:eastAsia="Times New Roman"/>
          <w:b/>
          <w:bCs/>
          <w:i/>
          <w:iCs/>
          <w:lang w:eastAsia="en-GB"/>
        </w:rPr>
        <w:t xml:space="preserve"> </w:t>
      </w:r>
      <w:r>
        <w:t>of 1.55</w:t>
      </w:r>
      <w:r w:rsidRPr="0027349A">
        <w:t>.</w:t>
      </w:r>
    </w:p>
    <w:p w14:paraId="5180B88B" w14:textId="77777777" w:rsidR="009E2AD7" w:rsidRDefault="009E2AD7" w:rsidP="000D461F"/>
    <w:p w14:paraId="27B8A998" w14:textId="6767B53A" w:rsidR="009E2AD7" w:rsidRDefault="009E2AD7" w:rsidP="003B7E0E">
      <w:pPr>
        <w:pStyle w:val="Heading2"/>
      </w:pPr>
      <w:r>
        <w:t>Process measu</w:t>
      </w:r>
      <w:r w:rsidR="003B7E0E">
        <w:t>res</w:t>
      </w:r>
    </w:p>
    <w:p w14:paraId="325F2E62" w14:textId="49208820" w:rsidR="00812D44" w:rsidRDefault="002E76D2" w:rsidP="000D461F">
      <w:r>
        <w:t>Ratings of session effectiveness on the SES</w:t>
      </w:r>
      <w:r w:rsidR="005A375B">
        <w:t xml:space="preserve"> </w:t>
      </w:r>
      <w:r w:rsidR="009876E0">
        <w:t xml:space="preserve">(range: 1 </w:t>
      </w:r>
      <w:r w:rsidR="009876E0">
        <w:noBreakHyphen/>
        <w:t xml:space="preserve"> 10) </w:t>
      </w:r>
      <w:r w:rsidR="005A375B">
        <w:t xml:space="preserve">were available for 527 of the 562 sessions (93.8%).  The mean </w:t>
      </w:r>
      <w:r w:rsidR="009E2AD7">
        <w:t xml:space="preserve">was </w:t>
      </w:r>
      <w:r w:rsidR="007814C6">
        <w:t xml:space="preserve">7.4 </w:t>
      </w:r>
      <w:r w:rsidR="009E2AD7">
        <w:t>(</w:t>
      </w:r>
      <w:r w:rsidR="009E2AD7" w:rsidRPr="009E2AD7">
        <w:rPr>
          <w:i/>
        </w:rPr>
        <w:t>SD</w:t>
      </w:r>
      <w:r w:rsidR="009E2AD7">
        <w:t xml:space="preserve"> = </w:t>
      </w:r>
      <w:r w:rsidR="007814C6">
        <w:t>1.5</w:t>
      </w:r>
      <w:r w:rsidR="009E2AD7">
        <w:t xml:space="preserve">, Table 3).  </w:t>
      </w:r>
      <w:r w:rsidR="007814C6">
        <w:t>In terms of raw PSQ scores, the mean rating on the first, helpful</w:t>
      </w:r>
      <w:r w:rsidR="007814C6">
        <w:noBreakHyphen/>
        <w:t xml:space="preserve">hindering item </w:t>
      </w:r>
      <w:r w:rsidR="009876E0">
        <w:t xml:space="preserve">(range 1 </w:t>
      </w:r>
      <w:r w:rsidR="009876E0">
        <w:noBreakHyphen/>
        <w:t xml:space="preserve"> 9) </w:t>
      </w:r>
      <w:r w:rsidR="007814C6">
        <w:t>was 7.6 (</w:t>
      </w:r>
      <w:r w:rsidR="007814C6" w:rsidRPr="007814C6">
        <w:rPr>
          <w:i/>
        </w:rPr>
        <w:t>SD</w:t>
      </w:r>
      <w:r w:rsidR="007814C6">
        <w:t xml:space="preserve"> = 1.3, between </w:t>
      </w:r>
      <w:r w:rsidR="007814C6" w:rsidRPr="007814C6">
        <w:rPr>
          <w:i/>
        </w:rPr>
        <w:t>Moderately helpful</w:t>
      </w:r>
      <w:r w:rsidR="007814C6">
        <w:t xml:space="preserve"> and </w:t>
      </w:r>
      <w:r w:rsidR="007814C6" w:rsidRPr="007814C6">
        <w:rPr>
          <w:i/>
        </w:rPr>
        <w:t>Greatly helpful</w:t>
      </w:r>
      <w:r w:rsidR="007814C6">
        <w:t>), with a median rating of 8 (</w:t>
      </w:r>
      <w:r w:rsidR="007814C6" w:rsidRPr="007814C6">
        <w:rPr>
          <w:i/>
        </w:rPr>
        <w:t>Greatly helpful</w:t>
      </w:r>
      <w:r w:rsidR="007814C6" w:rsidRPr="007814C6">
        <w:t>)</w:t>
      </w:r>
      <w:r w:rsidR="007814C6">
        <w:t xml:space="preserve">.  </w:t>
      </w:r>
      <w:r>
        <w:t xml:space="preserve">Ratings of the therapeutic relationship on the SRS </w:t>
      </w:r>
      <w:r w:rsidR="009876E0">
        <w:t xml:space="preserve">(range: 0 </w:t>
      </w:r>
      <w:r w:rsidR="009876E0">
        <w:noBreakHyphen/>
        <w:t xml:space="preserve"> 40) </w:t>
      </w:r>
      <w:r>
        <w:t xml:space="preserve">were </w:t>
      </w:r>
      <w:r w:rsidR="005A375B">
        <w:t xml:space="preserve">available for 524 of the 562 sessions (93.2%), and the mean rating </w:t>
      </w:r>
      <w:r w:rsidR="009E2AD7">
        <w:t xml:space="preserve">across all sessions </w:t>
      </w:r>
      <w:r w:rsidR="00EE297F" w:rsidRPr="00995A52">
        <w:t>was 3</w:t>
      </w:r>
      <w:r w:rsidR="009E2AD7">
        <w:t>7</w:t>
      </w:r>
      <w:r w:rsidR="00EE297F" w:rsidRPr="00995A52">
        <w:t>.</w:t>
      </w:r>
      <w:r w:rsidR="009E2AD7">
        <w:t>3</w:t>
      </w:r>
      <w:r w:rsidR="00EE297F" w:rsidRPr="00995A52">
        <w:t xml:space="preserve"> (</w:t>
      </w:r>
      <w:r w:rsidR="009E2AD7" w:rsidRPr="009E2AD7">
        <w:rPr>
          <w:i/>
        </w:rPr>
        <w:t>n</w:t>
      </w:r>
      <w:r w:rsidR="009E2AD7">
        <w:t xml:space="preserve"> = 524 observations, </w:t>
      </w:r>
      <w:r w:rsidR="00EE297F" w:rsidRPr="00995A52">
        <w:rPr>
          <w:i/>
        </w:rPr>
        <w:t>SD</w:t>
      </w:r>
      <w:r w:rsidR="00EE297F" w:rsidRPr="00995A52">
        <w:t xml:space="preserve"> = </w:t>
      </w:r>
      <w:r w:rsidR="009E2AD7">
        <w:t>4.3</w:t>
      </w:r>
      <w:r w:rsidR="00EE297F" w:rsidRPr="00995A52">
        <w:t>)</w:t>
      </w:r>
      <w:r w:rsidR="009E2AD7">
        <w:t>, with 43% of sessions given the maximum rating of 40.</w:t>
      </w:r>
      <w:r w:rsidR="00EE297F" w:rsidRPr="00995A52">
        <w:t xml:space="preserve"> </w:t>
      </w:r>
      <w:r w:rsidR="009E2AD7" w:rsidRPr="009E2AD7">
        <w:t xml:space="preserve"> </w:t>
      </w:r>
      <w:r w:rsidR="009876E0">
        <w:t xml:space="preserve">At </w:t>
      </w:r>
      <w:r w:rsidR="009E2AD7" w:rsidRPr="00EE5758">
        <w:t>session 4</w:t>
      </w:r>
      <w:r w:rsidR="009876E0">
        <w:t>, the WAI-S</w:t>
      </w:r>
      <w:r w:rsidR="009E2AD7" w:rsidRPr="00EE5758">
        <w:t xml:space="preserve"> </w:t>
      </w:r>
      <w:r w:rsidR="009876E0">
        <w:t xml:space="preserve">(range 12 </w:t>
      </w:r>
      <w:r w:rsidR="009876E0">
        <w:noBreakHyphen/>
        <w:t xml:space="preserve"> 84) </w:t>
      </w:r>
      <w:r w:rsidR="009E2AD7" w:rsidRPr="00EE5758">
        <w:t>had a mean of 6</w:t>
      </w:r>
      <w:r w:rsidR="009E2AD7">
        <w:t>7</w:t>
      </w:r>
      <w:r w:rsidR="009E2AD7" w:rsidRPr="00EE5758">
        <w:t>.</w:t>
      </w:r>
      <w:r w:rsidR="009E2AD7">
        <w:t>1</w:t>
      </w:r>
      <w:r w:rsidR="009E2AD7" w:rsidRPr="00EE5758">
        <w:t xml:space="preserve"> (</w:t>
      </w:r>
      <w:r w:rsidR="009E2AD7" w:rsidRPr="00EE5758">
        <w:rPr>
          <w:i/>
        </w:rPr>
        <w:t>SD</w:t>
      </w:r>
      <w:r w:rsidR="009E2AD7" w:rsidRPr="00EE5758">
        <w:t xml:space="preserve"> = </w:t>
      </w:r>
      <w:r w:rsidR="009E2AD7">
        <w:t>11.4</w:t>
      </w:r>
      <w:r w:rsidR="009E2AD7" w:rsidRPr="00EE5758">
        <w:t>)</w:t>
      </w:r>
      <w:r w:rsidR="009876E0">
        <w:t xml:space="preserve"> on the</w:t>
      </w:r>
      <w:r w:rsidR="009E2AD7">
        <w:t>,</w:t>
      </w:r>
      <w:r w:rsidR="009E2AD7" w:rsidRPr="00EE5758">
        <w:t xml:space="preserve"> and at session 10 of 70.</w:t>
      </w:r>
      <w:r w:rsidR="007814C6">
        <w:t>1</w:t>
      </w:r>
      <w:r w:rsidR="009E2AD7" w:rsidRPr="00EE5758">
        <w:t xml:space="preserve"> (</w:t>
      </w:r>
      <w:r w:rsidR="009E2AD7" w:rsidRPr="00EE5758">
        <w:rPr>
          <w:i/>
        </w:rPr>
        <w:t>SD</w:t>
      </w:r>
      <w:r w:rsidR="009E2AD7" w:rsidRPr="00EE5758">
        <w:t xml:space="preserve"> = </w:t>
      </w:r>
      <w:r w:rsidR="007814C6">
        <w:t>10</w:t>
      </w:r>
      <w:r w:rsidR="009E2AD7">
        <w:t>.</w:t>
      </w:r>
      <w:r w:rsidR="007814C6">
        <w:t>1</w:t>
      </w:r>
      <w:r w:rsidR="009E2AD7" w:rsidRPr="00EE5758">
        <w:t>).</w:t>
      </w:r>
      <w:r w:rsidR="009E2AD7">
        <w:t xml:space="preserve">  </w:t>
      </w:r>
      <w:r w:rsidR="00EE297F" w:rsidRPr="00EE5758">
        <w:t xml:space="preserve">The </w:t>
      </w:r>
      <w:r w:rsidR="009E2AD7">
        <w:t>A</w:t>
      </w:r>
      <w:r w:rsidR="00EE297F" w:rsidRPr="00EE5758">
        <w:t xml:space="preserve">lliance </w:t>
      </w:r>
      <w:r w:rsidR="009E2AD7">
        <w:t>N</w:t>
      </w:r>
      <w:r w:rsidR="00EE297F" w:rsidRPr="00EE5758">
        <w:t xml:space="preserve">egotiation </w:t>
      </w:r>
      <w:r w:rsidR="009E2AD7">
        <w:t>S</w:t>
      </w:r>
      <w:r w:rsidR="00EE297F" w:rsidRPr="00EE5758">
        <w:t xml:space="preserve">cale </w:t>
      </w:r>
      <w:r w:rsidR="009876E0">
        <w:t xml:space="preserve">(range 12 </w:t>
      </w:r>
      <w:r w:rsidR="009876E0">
        <w:noBreakHyphen/>
        <w:t xml:space="preserve"> 84) </w:t>
      </w:r>
      <w:r w:rsidR="00EE297F" w:rsidRPr="00EE5758">
        <w:t>at session 4 had a mean of 66.</w:t>
      </w:r>
      <w:r w:rsidR="009E2AD7">
        <w:t>4</w:t>
      </w:r>
      <w:r w:rsidR="00EE297F" w:rsidRPr="00EE5758">
        <w:t xml:space="preserve"> (</w:t>
      </w:r>
      <w:r w:rsidR="00EE297F" w:rsidRPr="00EE5758">
        <w:rPr>
          <w:i/>
        </w:rPr>
        <w:t>SD</w:t>
      </w:r>
      <w:r w:rsidR="00EE297F" w:rsidRPr="00EE5758">
        <w:t xml:space="preserve"> = 1</w:t>
      </w:r>
      <w:r w:rsidR="009E2AD7">
        <w:t>2</w:t>
      </w:r>
      <w:r w:rsidR="00EE297F" w:rsidRPr="00EE5758">
        <w:t>.</w:t>
      </w:r>
      <w:r w:rsidR="009E2AD7">
        <w:t>0</w:t>
      </w:r>
      <w:r w:rsidR="00EE297F" w:rsidRPr="00EE5758">
        <w:t>) and at session 10 of 70.9 (</w:t>
      </w:r>
      <w:r w:rsidR="00EE297F" w:rsidRPr="00EE5758">
        <w:rPr>
          <w:i/>
        </w:rPr>
        <w:t>SD</w:t>
      </w:r>
      <w:r w:rsidR="00EE297F" w:rsidRPr="00EE5758">
        <w:t xml:space="preserve"> = 9.6).  </w:t>
      </w:r>
    </w:p>
    <w:p w14:paraId="6D3DC1A2" w14:textId="77777777" w:rsidR="006841F2" w:rsidRDefault="006841F2" w:rsidP="000D461F">
      <w:pPr>
        <w:ind w:firstLine="0"/>
      </w:pPr>
    </w:p>
    <w:p w14:paraId="2782E676" w14:textId="414CD508" w:rsidR="005A617B" w:rsidRDefault="000D461F" w:rsidP="003B7E0E">
      <w:pPr>
        <w:pStyle w:val="Heading2"/>
      </w:pPr>
      <w:r>
        <w:t>Helpful aspects of therapy</w:t>
      </w:r>
    </w:p>
    <w:p w14:paraId="63CFF4EA" w14:textId="4170F2BB" w:rsidR="005A617B" w:rsidRDefault="000D461F" w:rsidP="000D461F">
      <w:pPr>
        <w:ind w:firstLine="0"/>
        <w:rPr>
          <w:i/>
        </w:rPr>
      </w:pPr>
      <w:r>
        <w:lastRenderedPageBreak/>
        <w:tab/>
        <w:t xml:space="preserve">In terms of client activities, 11 clients (61.1% of respondents) indicated in the Change Interview that their own </w:t>
      </w:r>
      <w:r w:rsidRPr="000D461F">
        <w:rPr>
          <w:i/>
        </w:rPr>
        <w:t>active engagement with therapy</w:t>
      </w:r>
      <w:r>
        <w:t xml:space="preserve"> had been a helpful factor.  From the post-session HAT forms, the most frequently coded client activity was </w:t>
      </w:r>
      <w:r w:rsidRPr="000D461F">
        <w:rPr>
          <w:i/>
        </w:rPr>
        <w:t>exploring/talking about things</w:t>
      </w:r>
      <w:r>
        <w:t xml:space="preserve"> (</w:t>
      </w:r>
      <w:r w:rsidRPr="000D461F">
        <w:rPr>
          <w:i/>
        </w:rPr>
        <w:t>n</w:t>
      </w:r>
      <w:r>
        <w:t xml:space="preserve"> = 84, mean rating of helpfulness = 7.5), including </w:t>
      </w:r>
      <w:r w:rsidRPr="000D461F">
        <w:rPr>
          <w:i/>
        </w:rPr>
        <w:t>specific difficulties</w:t>
      </w:r>
      <w:r>
        <w:t xml:space="preserve"> (</w:t>
      </w:r>
      <w:r w:rsidRPr="000D461F">
        <w:rPr>
          <w:i/>
        </w:rPr>
        <w:t>n</w:t>
      </w:r>
      <w:r>
        <w:t xml:space="preserve"> = 38, </w:t>
      </w:r>
      <w:r w:rsidRPr="000D461F">
        <w:rPr>
          <w:i/>
        </w:rPr>
        <w:t>mean</w:t>
      </w:r>
      <w:r>
        <w:t xml:space="preserve"> = 7.7), </w:t>
      </w:r>
      <w:r w:rsidRPr="000D461F">
        <w:rPr>
          <w:i/>
        </w:rPr>
        <w:t>emotions</w:t>
      </w:r>
      <w:r>
        <w:t xml:space="preserve"> (</w:t>
      </w:r>
      <w:r w:rsidRPr="000D461F">
        <w:rPr>
          <w:i/>
        </w:rPr>
        <w:t>n</w:t>
      </w:r>
      <w:r>
        <w:t xml:space="preserve"> = 20, </w:t>
      </w:r>
      <w:r w:rsidRPr="000D461F">
        <w:rPr>
          <w:i/>
        </w:rPr>
        <w:t>mean</w:t>
      </w:r>
      <w:r>
        <w:t xml:space="preserve"> = 7.6), </w:t>
      </w:r>
      <w:r w:rsidRPr="000D461F">
        <w:rPr>
          <w:i/>
        </w:rPr>
        <w:t>relationships</w:t>
      </w:r>
      <w:r>
        <w:t xml:space="preserve"> (</w:t>
      </w:r>
      <w:r w:rsidRPr="000D461F">
        <w:rPr>
          <w:i/>
        </w:rPr>
        <w:t>n</w:t>
      </w:r>
      <w:r>
        <w:t xml:space="preserve"> = 18, </w:t>
      </w:r>
      <w:r w:rsidRPr="000D461F">
        <w:rPr>
          <w:i/>
        </w:rPr>
        <w:t>mean</w:t>
      </w:r>
      <w:r>
        <w:t xml:space="preserve"> = 7.1), and </w:t>
      </w:r>
      <w:r w:rsidRPr="000D461F">
        <w:rPr>
          <w:i/>
        </w:rPr>
        <w:t>past events</w:t>
      </w:r>
      <w:r>
        <w:rPr>
          <w:i/>
        </w:rPr>
        <w:t xml:space="preserve"> </w:t>
      </w:r>
      <w:r>
        <w:t>(</w:t>
      </w:r>
      <w:r w:rsidRPr="000D461F">
        <w:rPr>
          <w:i/>
        </w:rPr>
        <w:t>n</w:t>
      </w:r>
      <w:r>
        <w:t xml:space="preserve"> = 8, </w:t>
      </w:r>
      <w:r w:rsidRPr="000D461F">
        <w:rPr>
          <w:i/>
        </w:rPr>
        <w:t>mean</w:t>
      </w:r>
      <w:r>
        <w:t xml:space="preserve"> = 7.9).  The two other most commonly coded helpful </w:t>
      </w:r>
      <w:r w:rsidR="003B7E0E">
        <w:t xml:space="preserve">client activities </w:t>
      </w:r>
      <w:r>
        <w:t xml:space="preserve">on the HAT forms </w:t>
      </w:r>
      <w:r w:rsidR="003B7E0E">
        <w:t xml:space="preserve">were </w:t>
      </w:r>
      <w:r>
        <w:rPr>
          <w:i/>
        </w:rPr>
        <w:t xml:space="preserve">being open and honest </w:t>
      </w:r>
      <w:r>
        <w:t>(</w:t>
      </w:r>
      <w:r w:rsidRPr="000D461F">
        <w:rPr>
          <w:i/>
        </w:rPr>
        <w:t>n</w:t>
      </w:r>
      <w:r>
        <w:t xml:space="preserve"> = 16, </w:t>
      </w:r>
      <w:r w:rsidRPr="000D461F">
        <w:rPr>
          <w:i/>
        </w:rPr>
        <w:t>mean</w:t>
      </w:r>
      <w:r>
        <w:t xml:space="preserve"> = 8.1) and </w:t>
      </w:r>
      <w:r>
        <w:rPr>
          <w:i/>
        </w:rPr>
        <w:t>r</w:t>
      </w:r>
      <w:r w:rsidRPr="000D461F">
        <w:rPr>
          <w:i/>
        </w:rPr>
        <w:t>ecognising progress</w:t>
      </w:r>
      <w:r>
        <w:t xml:space="preserve"> (</w:t>
      </w:r>
      <w:r w:rsidRPr="000D461F">
        <w:rPr>
          <w:i/>
        </w:rPr>
        <w:t>n</w:t>
      </w:r>
      <w:r>
        <w:t xml:space="preserve"> = 10, </w:t>
      </w:r>
      <w:r w:rsidRPr="000D461F">
        <w:rPr>
          <w:i/>
        </w:rPr>
        <w:t>mean</w:t>
      </w:r>
      <w:r>
        <w:t xml:space="preserve"> = 8.3).  </w:t>
      </w:r>
    </w:p>
    <w:p w14:paraId="675D48A8" w14:textId="3D623C75" w:rsidR="00094107" w:rsidRPr="000D461F" w:rsidRDefault="000D461F" w:rsidP="000D461F">
      <w:pPr>
        <w:ind w:firstLine="0"/>
      </w:pPr>
      <w:r>
        <w:rPr>
          <w:i/>
        </w:rPr>
        <w:tab/>
      </w:r>
      <w:r>
        <w:t xml:space="preserve">In terms of helpful therapist activities, clients </w:t>
      </w:r>
      <w:r w:rsidR="009876E0">
        <w:t xml:space="preserve">in the Change Interviews </w:t>
      </w:r>
      <w:r>
        <w:t xml:space="preserve">primarily referred to relational practices.  This included </w:t>
      </w:r>
      <w:r w:rsidRPr="000D461F">
        <w:rPr>
          <w:i/>
        </w:rPr>
        <w:t>offering positive regard</w:t>
      </w:r>
      <w:r>
        <w:t xml:space="preserve"> (</w:t>
      </w:r>
      <w:r w:rsidRPr="000D461F">
        <w:rPr>
          <w:i/>
        </w:rPr>
        <w:t xml:space="preserve">n </w:t>
      </w:r>
      <w:r>
        <w:t xml:space="preserve">= 18, 100%), </w:t>
      </w:r>
      <w:r w:rsidRPr="00165386">
        <w:rPr>
          <w:i/>
        </w:rPr>
        <w:t>being empathic</w:t>
      </w:r>
      <w:r>
        <w:t xml:space="preserve"> (</w:t>
      </w:r>
      <w:r w:rsidRPr="000D461F">
        <w:rPr>
          <w:i/>
        </w:rPr>
        <w:t xml:space="preserve">n </w:t>
      </w:r>
      <w:r>
        <w:t xml:space="preserve">= 17, 94.4%), </w:t>
      </w:r>
      <w:r w:rsidRPr="000D461F">
        <w:rPr>
          <w:i/>
        </w:rPr>
        <w:t>helping the client to feel relaxed</w:t>
      </w:r>
      <w:r>
        <w:t xml:space="preserve"> (</w:t>
      </w:r>
      <w:r w:rsidRPr="000D461F">
        <w:rPr>
          <w:i/>
        </w:rPr>
        <w:t xml:space="preserve">n </w:t>
      </w:r>
      <w:r>
        <w:t xml:space="preserve">= 12, 66.7%), </w:t>
      </w:r>
      <w:r w:rsidRPr="000D461F">
        <w:rPr>
          <w:i/>
        </w:rPr>
        <w:t>being challenging</w:t>
      </w:r>
      <w:r>
        <w:t xml:space="preserve"> (</w:t>
      </w:r>
      <w:r w:rsidRPr="000D461F">
        <w:rPr>
          <w:i/>
        </w:rPr>
        <w:t xml:space="preserve">n </w:t>
      </w:r>
      <w:r>
        <w:t xml:space="preserve">= 10, 55.6%), </w:t>
      </w:r>
      <w:r w:rsidRPr="000D461F">
        <w:rPr>
          <w:i/>
        </w:rPr>
        <w:t>empowering</w:t>
      </w:r>
      <w:r>
        <w:t xml:space="preserve"> (</w:t>
      </w:r>
      <w:r w:rsidRPr="000D461F">
        <w:rPr>
          <w:i/>
        </w:rPr>
        <w:t xml:space="preserve">n </w:t>
      </w:r>
      <w:r>
        <w:t xml:space="preserve">= 10, 55.6%), and </w:t>
      </w:r>
      <w:r w:rsidRPr="000D461F">
        <w:rPr>
          <w:i/>
        </w:rPr>
        <w:t>using techniques</w:t>
      </w:r>
      <w:r>
        <w:t xml:space="preserve"> (</w:t>
      </w:r>
      <w:r w:rsidRPr="000D461F">
        <w:rPr>
          <w:i/>
        </w:rPr>
        <w:t xml:space="preserve">n </w:t>
      </w:r>
      <w:r>
        <w:t xml:space="preserve">= 8, 44.4%).  In addition, clients referred to two therapist </w:t>
      </w:r>
      <w:r w:rsidR="003B7E0E">
        <w:t xml:space="preserve">activities </w:t>
      </w:r>
      <w:r>
        <w:t xml:space="preserve">that were closely related to principles of pluralistic practice.  The first of these was </w:t>
      </w:r>
      <w:r>
        <w:rPr>
          <w:i/>
        </w:rPr>
        <w:t xml:space="preserve">responsiveness to clients’ needs </w:t>
      </w:r>
      <w:r>
        <w:t>(</w:t>
      </w:r>
      <w:r w:rsidRPr="000D461F">
        <w:rPr>
          <w:i/>
        </w:rPr>
        <w:t xml:space="preserve">n </w:t>
      </w:r>
      <w:r>
        <w:t xml:space="preserve">= 12, 66.7%), for instance </w:t>
      </w:r>
      <w:r w:rsidR="009876E0">
        <w:t>‘</w:t>
      </w:r>
      <w:r>
        <w:t>You</w:t>
      </w:r>
      <w:r w:rsidRPr="000D461F">
        <w:rPr>
          <w:lang w:val="en-US"/>
        </w:rPr>
        <w:t xml:space="preserve"> had a say in what was going on so that I think was great.</w:t>
      </w:r>
      <w:r w:rsidR="009876E0">
        <w:rPr>
          <w:lang w:val="en-US"/>
        </w:rPr>
        <w:t>’</w:t>
      </w:r>
      <w:r>
        <w:rPr>
          <w:lang w:val="en-US"/>
        </w:rPr>
        <w:t xml:space="preserve">  The second was therapist </w:t>
      </w:r>
      <w:r w:rsidRPr="000D461F">
        <w:rPr>
          <w:i/>
          <w:lang w:val="en-US"/>
        </w:rPr>
        <w:t>flexibility</w:t>
      </w:r>
      <w:r>
        <w:rPr>
          <w:i/>
          <w:lang w:val="en-US"/>
        </w:rPr>
        <w:t xml:space="preserve"> </w:t>
      </w:r>
      <w:r>
        <w:t>(</w:t>
      </w:r>
      <w:r w:rsidRPr="000D461F">
        <w:rPr>
          <w:i/>
        </w:rPr>
        <w:t xml:space="preserve">n </w:t>
      </w:r>
      <w:r>
        <w:t>= 8, 44.4%)</w:t>
      </w:r>
      <w:r>
        <w:rPr>
          <w:lang w:val="en-US"/>
        </w:rPr>
        <w:t xml:space="preserve">, for instance </w:t>
      </w:r>
      <w:r w:rsidR="003B7E0E">
        <w:rPr>
          <w:iCs/>
          <w:lang w:val="en-US"/>
        </w:rPr>
        <w:t>“</w:t>
      </w:r>
      <w:r w:rsidR="00EA2D6F" w:rsidRPr="000D461F">
        <w:rPr>
          <w:iCs/>
          <w:lang w:val="en-US"/>
        </w:rPr>
        <w:t>I think one of the reasons that it helped […] we might be working on one thing for the next week but it had to get shelved because there was some disaster that I was not able to cope with.</w:t>
      </w:r>
      <w:r w:rsidR="003B7E0E">
        <w:rPr>
          <w:iCs/>
          <w:lang w:val="en-US"/>
        </w:rPr>
        <w:t>”</w:t>
      </w:r>
      <w:r w:rsidR="00165386">
        <w:rPr>
          <w:iCs/>
          <w:lang w:val="en-US"/>
        </w:rPr>
        <w:t xml:space="preserve">  In contrast to this relational emphasis, clients on the HAT forms primarily emphasized the </w:t>
      </w:r>
      <w:r w:rsidR="00165386" w:rsidRPr="00165386">
        <w:rPr>
          <w:i/>
          <w:iCs/>
          <w:lang w:val="en-US"/>
        </w:rPr>
        <w:t>use of techniques</w:t>
      </w:r>
      <w:r w:rsidR="00165386">
        <w:rPr>
          <w:i/>
          <w:iCs/>
          <w:lang w:val="en-US"/>
        </w:rPr>
        <w:t xml:space="preserve"> </w:t>
      </w:r>
      <w:r w:rsidR="00165386">
        <w:t>(</w:t>
      </w:r>
      <w:r w:rsidR="00165386" w:rsidRPr="000D461F">
        <w:rPr>
          <w:i/>
        </w:rPr>
        <w:t>n</w:t>
      </w:r>
      <w:r w:rsidR="00165386">
        <w:t xml:space="preserve"> = 59, </w:t>
      </w:r>
      <w:r w:rsidR="00165386" w:rsidRPr="000D461F">
        <w:rPr>
          <w:i/>
        </w:rPr>
        <w:t>mean</w:t>
      </w:r>
      <w:r w:rsidR="00165386">
        <w:t xml:space="preserve"> = 7.7)</w:t>
      </w:r>
      <w:r w:rsidR="00165386">
        <w:rPr>
          <w:iCs/>
          <w:lang w:val="en-US"/>
        </w:rPr>
        <w:t xml:space="preserve">, particularly </w:t>
      </w:r>
      <w:r w:rsidR="00165386" w:rsidRPr="00165386">
        <w:rPr>
          <w:i/>
          <w:iCs/>
          <w:lang w:val="en-US"/>
        </w:rPr>
        <w:t>CBT techniques</w:t>
      </w:r>
      <w:r w:rsidR="00165386">
        <w:rPr>
          <w:iCs/>
          <w:lang w:val="en-US"/>
        </w:rPr>
        <w:t xml:space="preserve"> </w:t>
      </w:r>
      <w:r w:rsidR="00165386">
        <w:t>(</w:t>
      </w:r>
      <w:r w:rsidR="00165386" w:rsidRPr="000D461F">
        <w:rPr>
          <w:i/>
        </w:rPr>
        <w:t>n</w:t>
      </w:r>
      <w:r w:rsidR="00165386">
        <w:t xml:space="preserve"> = 26, </w:t>
      </w:r>
      <w:r w:rsidR="00165386" w:rsidRPr="000D461F">
        <w:rPr>
          <w:i/>
        </w:rPr>
        <w:t>mean</w:t>
      </w:r>
      <w:r w:rsidR="00165386">
        <w:t xml:space="preserve"> = 7.8) and </w:t>
      </w:r>
      <w:r w:rsidR="00165386" w:rsidRPr="00165386">
        <w:rPr>
          <w:i/>
        </w:rPr>
        <w:t>psychoeducation</w:t>
      </w:r>
      <w:r w:rsidR="00165386">
        <w:t xml:space="preserve"> (</w:t>
      </w:r>
      <w:r w:rsidR="00165386" w:rsidRPr="000D461F">
        <w:rPr>
          <w:i/>
        </w:rPr>
        <w:t>n</w:t>
      </w:r>
      <w:r w:rsidR="00165386">
        <w:t xml:space="preserve"> = 15, </w:t>
      </w:r>
      <w:r w:rsidR="00165386" w:rsidRPr="000D461F">
        <w:rPr>
          <w:i/>
        </w:rPr>
        <w:t>mean</w:t>
      </w:r>
      <w:r w:rsidR="00165386">
        <w:t xml:space="preserve"> = 7.3). </w:t>
      </w:r>
    </w:p>
    <w:p w14:paraId="37941489" w14:textId="13512CFF" w:rsidR="000D461F" w:rsidRPr="00165386" w:rsidRDefault="00165386" w:rsidP="000D461F">
      <w:pPr>
        <w:ind w:firstLine="0"/>
      </w:pPr>
      <w:r>
        <w:rPr>
          <w:i/>
        </w:rPr>
        <w:tab/>
      </w:r>
      <w:r>
        <w:t xml:space="preserve">In terms of helpful outcomes, clients in the ACIs referred to </w:t>
      </w:r>
      <w:r w:rsidRPr="00165386">
        <w:rPr>
          <w:i/>
        </w:rPr>
        <w:t>behavioural change</w:t>
      </w:r>
      <w:r>
        <w:rPr>
          <w:i/>
        </w:rPr>
        <w:t xml:space="preserve">/problem solving </w:t>
      </w:r>
      <w:r>
        <w:t>(</w:t>
      </w:r>
      <w:r w:rsidRPr="000D461F">
        <w:rPr>
          <w:i/>
        </w:rPr>
        <w:t xml:space="preserve">n </w:t>
      </w:r>
      <w:r>
        <w:t xml:space="preserve">= 18, 100%) and developing </w:t>
      </w:r>
      <w:r w:rsidRPr="00165386">
        <w:rPr>
          <w:i/>
        </w:rPr>
        <w:t>insight</w:t>
      </w:r>
      <w:r>
        <w:rPr>
          <w:i/>
        </w:rPr>
        <w:t xml:space="preserve"> </w:t>
      </w:r>
      <w:r>
        <w:t>(</w:t>
      </w:r>
      <w:r w:rsidRPr="000D461F">
        <w:rPr>
          <w:i/>
        </w:rPr>
        <w:t xml:space="preserve">n </w:t>
      </w:r>
      <w:r>
        <w:t xml:space="preserve">= 13, 7.2%).  The </w:t>
      </w:r>
      <w:r w:rsidRPr="00165386">
        <w:t>development of</w:t>
      </w:r>
      <w:r w:rsidRPr="00165386">
        <w:rPr>
          <w:i/>
        </w:rPr>
        <w:t xml:space="preserve"> insight</w:t>
      </w:r>
      <w:r>
        <w:t xml:space="preserve"> was also the most commonly cited helpful outcome on the HAT forms (</w:t>
      </w:r>
      <w:r w:rsidRPr="000D461F">
        <w:rPr>
          <w:i/>
        </w:rPr>
        <w:t>n</w:t>
      </w:r>
      <w:r>
        <w:t xml:space="preserve"> = 99, </w:t>
      </w:r>
      <w:r w:rsidRPr="000D461F">
        <w:rPr>
          <w:i/>
        </w:rPr>
        <w:t>mean</w:t>
      </w:r>
      <w:r>
        <w:t xml:space="preserve"> = 7.8), as well as </w:t>
      </w:r>
      <w:r w:rsidRPr="00165386">
        <w:t>the development of</w:t>
      </w:r>
      <w:r w:rsidRPr="00165386">
        <w:rPr>
          <w:i/>
        </w:rPr>
        <w:t xml:space="preserve"> alternative perspectives</w:t>
      </w:r>
      <w:r>
        <w:t xml:space="preserve"> (</w:t>
      </w:r>
      <w:r w:rsidRPr="000D461F">
        <w:rPr>
          <w:i/>
        </w:rPr>
        <w:t>n</w:t>
      </w:r>
      <w:r>
        <w:t xml:space="preserve"> = 42, </w:t>
      </w:r>
      <w:r w:rsidRPr="000D461F">
        <w:rPr>
          <w:i/>
        </w:rPr>
        <w:lastRenderedPageBreak/>
        <w:t>mean</w:t>
      </w:r>
      <w:r>
        <w:t xml:space="preserve"> = 7.7).  On the HAT forms, participants also described the development of </w:t>
      </w:r>
      <w:r w:rsidRPr="00165386">
        <w:rPr>
          <w:i/>
        </w:rPr>
        <w:t>changed self-images</w:t>
      </w:r>
      <w:r>
        <w:t xml:space="preserve"> (</w:t>
      </w:r>
      <w:r w:rsidRPr="000D461F">
        <w:rPr>
          <w:i/>
        </w:rPr>
        <w:t>n</w:t>
      </w:r>
      <w:r>
        <w:t xml:space="preserve"> = 25, </w:t>
      </w:r>
      <w:r w:rsidRPr="000D461F">
        <w:rPr>
          <w:i/>
        </w:rPr>
        <w:t>mean</w:t>
      </w:r>
      <w:r>
        <w:t xml:space="preserve"> = 8.2), </w:t>
      </w:r>
      <w:r w:rsidRPr="00165386">
        <w:rPr>
          <w:i/>
        </w:rPr>
        <w:t>changed emotions</w:t>
      </w:r>
      <w:r>
        <w:t xml:space="preserve"> (</w:t>
      </w:r>
      <w:r w:rsidRPr="000D461F">
        <w:rPr>
          <w:i/>
        </w:rPr>
        <w:t>n</w:t>
      </w:r>
      <w:r>
        <w:t xml:space="preserve"> = 24, </w:t>
      </w:r>
      <w:r w:rsidRPr="000D461F">
        <w:rPr>
          <w:i/>
        </w:rPr>
        <w:t>mean</w:t>
      </w:r>
      <w:r>
        <w:t xml:space="preserve"> = 8), and </w:t>
      </w:r>
      <w:r w:rsidRPr="00165386">
        <w:rPr>
          <w:i/>
        </w:rPr>
        <w:t>new coping strategies</w:t>
      </w:r>
      <w:r>
        <w:t xml:space="preserve"> (</w:t>
      </w:r>
      <w:r w:rsidRPr="000D461F">
        <w:rPr>
          <w:i/>
        </w:rPr>
        <w:t>n</w:t>
      </w:r>
      <w:r>
        <w:t xml:space="preserve"> = 23, </w:t>
      </w:r>
      <w:r w:rsidRPr="000D461F">
        <w:rPr>
          <w:i/>
        </w:rPr>
        <w:t>mean</w:t>
      </w:r>
      <w:r>
        <w:t xml:space="preserve"> = 7.4).</w:t>
      </w:r>
    </w:p>
    <w:p w14:paraId="2C62C71C" w14:textId="77777777" w:rsidR="005A617B" w:rsidRDefault="005A617B" w:rsidP="000D461F">
      <w:pPr>
        <w:autoSpaceDE w:val="0"/>
        <w:autoSpaceDN w:val="0"/>
      </w:pPr>
    </w:p>
    <w:p w14:paraId="2C37FB9E" w14:textId="6F4C1B8F" w:rsidR="00165386" w:rsidRDefault="003B7E0E" w:rsidP="003B7E0E">
      <w:pPr>
        <w:pStyle w:val="Heading2"/>
      </w:pPr>
      <w:r>
        <w:t>Ratings of measures</w:t>
      </w:r>
    </w:p>
    <w:p w14:paraId="0F674889" w14:textId="3A16CB31" w:rsidR="005A617B" w:rsidRDefault="00E70DE8" w:rsidP="000D461F">
      <w:r>
        <w:t xml:space="preserve">Clients’ rated the Goals Form as the most helpful measure (mean = 4.2, SD = 1.2), followed by the </w:t>
      </w:r>
      <w:r w:rsidR="005A375B">
        <w:t xml:space="preserve">HAT </w:t>
      </w:r>
      <w:r>
        <w:t xml:space="preserve">Form (mean = 3.9, SD = 1.2), and the </w:t>
      </w:r>
      <w:r w:rsidR="005A375B">
        <w:t xml:space="preserve">TPF-A </w:t>
      </w:r>
      <w:r>
        <w:t>(mean = 3.8, SD = 1.2)</w:t>
      </w:r>
      <w:r w:rsidR="009E2AD7">
        <w:t xml:space="preserve"> (Table </w:t>
      </w:r>
      <w:r w:rsidR="003B7E0E">
        <w:t>4</w:t>
      </w:r>
      <w:r w:rsidR="009E2AD7">
        <w:t>)</w:t>
      </w:r>
      <w:r>
        <w:t xml:space="preserve">.  The modal rating for each of these </w:t>
      </w:r>
      <w:r w:rsidR="003B7E0E">
        <w:t xml:space="preserve">three </w:t>
      </w:r>
      <w:r>
        <w:t>forms was 5 (</w:t>
      </w:r>
      <w:r w:rsidR="003F57F6" w:rsidRPr="003F57F6">
        <w:rPr>
          <w:i/>
        </w:rPr>
        <w:t>v</w:t>
      </w:r>
      <w:r w:rsidRPr="00E70DE8">
        <w:rPr>
          <w:i/>
        </w:rPr>
        <w:t>ery helpful</w:t>
      </w:r>
      <w:r>
        <w:t xml:space="preserve">).  The form that was rated as least helpful was the </w:t>
      </w:r>
      <w:r w:rsidR="005A375B">
        <w:t>WAI-S</w:t>
      </w:r>
      <w:r>
        <w:t>, with a mean rating of 3.1 (SD = 1.0)</w:t>
      </w:r>
      <w:r w:rsidR="005A375B">
        <w:t xml:space="preserve"> and </w:t>
      </w:r>
      <w:r>
        <w:t>a modal and median score of 3 (</w:t>
      </w:r>
      <w:r w:rsidR="003F57F6" w:rsidRPr="003F57F6">
        <w:rPr>
          <w:i/>
        </w:rPr>
        <w:t>n</w:t>
      </w:r>
      <w:r w:rsidRPr="003F57F6">
        <w:rPr>
          <w:i/>
        </w:rPr>
        <w:t>either helpful or unhelpful</w:t>
      </w:r>
      <w:r>
        <w:t xml:space="preserve">). </w:t>
      </w:r>
    </w:p>
    <w:p w14:paraId="742D44F0" w14:textId="77777777" w:rsidR="005A617B" w:rsidRPr="00E733D4" w:rsidRDefault="005A617B" w:rsidP="000D461F"/>
    <w:p w14:paraId="79A63AAA" w14:textId="77777777" w:rsidR="00250FCA" w:rsidRDefault="00D15096" w:rsidP="000D461F">
      <w:pPr>
        <w:pStyle w:val="Heading1"/>
      </w:pPr>
      <w:r w:rsidRPr="00E733D4">
        <w:t>Discussion</w:t>
      </w:r>
    </w:p>
    <w:p w14:paraId="566DD5D0" w14:textId="7AD87173" w:rsidR="00D158FA" w:rsidRDefault="00D158FA" w:rsidP="00D158FA">
      <w:pPr>
        <w:rPr>
          <w:lang w:eastAsia="tr-TR"/>
        </w:rPr>
      </w:pPr>
      <w:r>
        <w:rPr>
          <w:lang w:eastAsia="tr-TR"/>
        </w:rPr>
        <w:t xml:space="preserve">The findings from this study suggest that the majority of clients in pluralistic therapy for depression experienced clinical improvements: with reduced levels of anxiety and depression and greater attainment of personal goals.  Changes in mental wellbeing for clients who engaged with therapy were consistent with outcomes for the Improving Access to Psychological Therapies Programme </w:t>
      </w:r>
      <w:r>
        <w:rPr>
          <w:lang w:eastAsia="tr-TR"/>
        </w:rPr>
        <w:fldChar w:fldCharType="begin"/>
      </w:r>
      <w:r>
        <w:rPr>
          <w:lang w:eastAsia="tr-TR"/>
        </w:rPr>
        <w:instrText xml:space="preserve"> ADDIN EN.CITE &lt;EndNote&gt;&lt;Cite&gt;&lt;Author&gt;Gyani&lt;/Author&gt;&lt;Year&gt;2013&lt;/Year&gt;&lt;RecNum&gt;3749&lt;/RecNum&gt;&lt;DisplayText&gt;(Gyani et al., 2013)&lt;/DisplayText&gt;&lt;record&gt;&lt;rec-number&gt;3749&lt;/rec-number&gt;&lt;foreign-keys&gt;&lt;key app="EN" db-id="0swazwvvzv2zzfe0fs75dwsza2wreftvrrpv" timestamp="1397461822"&gt;3749&lt;/key&gt;&lt;/foreign-keys&gt;&lt;ref-type name="Journal Article"&gt;17&lt;/ref-type&gt;&lt;contributors&gt;&lt;authors&gt;&lt;author&gt;Gyani, A&lt;/author&gt;&lt;author&gt;Shafran, R&lt;/author&gt;&lt;author&gt;Layard, R&lt;/author&gt;&lt;author&gt;Clark, D M&lt;/author&gt;&lt;/authors&gt;&lt;/contributors&gt;&lt;titles&gt;&lt;title&gt;Enhancing recovery rates: Lessons from year one of IAPT&lt;/title&gt;&lt;secondary-title&gt;Behaviour Research and Therapy&lt;/secondary-title&gt;&lt;/titles&gt;&lt;periodical&gt;&lt;full-title&gt;Behaviour Research and Therapy&lt;/full-title&gt;&lt;/periodical&gt;&lt;pages&gt;597-606&lt;/pages&gt;&lt;volume&gt;51&lt;/volume&gt;&lt;number&gt;9&lt;/number&gt;&lt;dates&gt;&lt;year&gt;2013&lt;/year&gt;&lt;/dates&gt;&lt;urls&gt;&lt;/urls&gt;&lt;electronic-resource-num&gt;10.1016/j.brat.2013.06.004&lt;/electronic-resource-num&gt;&lt;/record&gt;&lt;/Cite&gt;&lt;/EndNote&gt;</w:instrText>
      </w:r>
      <w:r>
        <w:rPr>
          <w:lang w:eastAsia="tr-TR"/>
        </w:rPr>
        <w:fldChar w:fldCharType="separate"/>
      </w:r>
      <w:r>
        <w:rPr>
          <w:noProof/>
          <w:lang w:eastAsia="tr-TR"/>
        </w:rPr>
        <w:t>(Gyani et al., 2013)</w:t>
      </w:r>
      <w:r>
        <w:rPr>
          <w:lang w:eastAsia="tr-TR"/>
        </w:rPr>
        <w:fldChar w:fldCharType="end"/>
      </w:r>
      <w:r>
        <w:rPr>
          <w:lang w:eastAsia="tr-TR"/>
        </w:rPr>
        <w:t xml:space="preserve">: for reliable recovery, PfD = 43.6%, IAPT = 40.3%; for reliable improvement, PfD = 71.8%, IAPT = 63.7%; </w:t>
      </w:r>
      <w:r w:rsidR="003D57EC">
        <w:rPr>
          <w:lang w:eastAsia="tr-TR"/>
        </w:rPr>
        <w:t xml:space="preserve">and </w:t>
      </w:r>
      <w:r>
        <w:rPr>
          <w:lang w:eastAsia="tr-TR"/>
        </w:rPr>
        <w:t xml:space="preserve">for reliable deterioration: PfD = 10.3%, IAPT = 6.7%.  </w:t>
      </w:r>
    </w:p>
    <w:p w14:paraId="7CBE9A15" w14:textId="5EE22F75" w:rsidR="00D158FA" w:rsidRDefault="00D158FA" w:rsidP="00D158FA">
      <w:pPr>
        <w:rPr>
          <w:lang w:eastAsia="tr-TR"/>
        </w:rPr>
      </w:pPr>
      <w:r>
        <w:rPr>
          <w:lang w:eastAsia="tr-TR"/>
        </w:rPr>
        <w:t xml:space="preserve">Levels of engagement in PfD were relatively high.  Just three of the 42 participants did not engage with therapy following assessment (7.1%), and this is at the lowest end of the range identified by </w:t>
      </w:r>
      <w:r>
        <w:rPr>
          <w:noProof/>
        </w:rPr>
        <w:t xml:space="preserve">Wierzbicki and Pekarik </w:t>
      </w:r>
      <w:r w:rsidR="00577DB2">
        <w:rPr>
          <w:noProof/>
        </w:rPr>
        <w:fldChar w:fldCharType="begin"/>
      </w:r>
      <w:r w:rsidR="00577DB2">
        <w:rPr>
          <w:noProof/>
        </w:rPr>
        <w:instrText xml:space="preserve"> ADDIN EN.CITE &lt;EndNote&gt;&lt;Cite ExcludeAuth="1"&gt;&lt;Author&gt;Wierzbicki&lt;/Author&gt;&lt;Year&gt;1993&lt;/Year&gt;&lt;RecNum&gt;2161&lt;/RecNum&gt;&lt;DisplayText&gt;(1993)&lt;/DisplayText&gt;&lt;record&gt;&lt;rec-number&gt;2161&lt;/rec-number&gt;&lt;foreign-keys&gt;&lt;key app="EN" db-id="0swazwvvzv2zzfe0fs75dwsza2wreftvrrpv" timestamp="0"&gt;2161&lt;/key&gt;&lt;/foreign-keys&gt;&lt;ref-type name="Journal Article"&gt;17&lt;/ref-type&gt;&lt;contributors&gt;&lt;authors&gt;&lt;author&gt;Wierzbicki, Michael&lt;/author&gt;&lt;author&gt;Pekarik, Gene&lt;/author&gt;&lt;/authors&gt;&lt;/contributors&gt;&lt;titles&gt;&lt;title&gt;A meta-analysis of psychotherapy dropout&lt;/title&gt;&lt;secondary-title&gt;Professional Psychology: Research and Practice&lt;/secondary-title&gt;&lt;/titles&gt;&lt;pages&gt;190-195&lt;/pages&gt;&lt;volume&gt;24&lt;/volume&gt;&lt;number&gt;2&lt;/number&gt;&lt;keywords&gt;&lt;keyword&gt;8 process: termination&lt;/keyword&gt;&lt;/keywords&gt;&lt;dates&gt;&lt;year&gt;1993&lt;/year&gt;&lt;/dates&gt;&lt;pub-location&gt;US&lt;/pub-location&gt;&lt;publisher&gt;American Psychological Assn&lt;/publisher&gt;&lt;isbn&gt;0735-7028 (Print)&lt;/isbn&gt;&lt;label&gt;1993-30339-001&lt;/label&gt;&lt;urls&gt;&lt;/urls&gt;&lt;/record&gt;&lt;/Cite&gt;&lt;/EndNote&gt;</w:instrText>
      </w:r>
      <w:r w:rsidR="00577DB2">
        <w:rPr>
          <w:noProof/>
        </w:rPr>
        <w:fldChar w:fldCharType="separate"/>
      </w:r>
      <w:r w:rsidR="00577DB2">
        <w:rPr>
          <w:noProof/>
        </w:rPr>
        <w:t>(1993)</w:t>
      </w:r>
      <w:r w:rsidR="00577DB2">
        <w:rPr>
          <w:noProof/>
        </w:rPr>
        <w:fldChar w:fldCharType="end"/>
      </w:r>
      <w:r>
        <w:rPr>
          <w:noProof/>
        </w:rPr>
        <w:t xml:space="preserve"> of 7% to 36%.  This can also be compared against the IAPT data, where </w:t>
      </w:r>
      <w:r w:rsidR="009876E0">
        <w:rPr>
          <w:noProof/>
        </w:rPr>
        <w:t xml:space="preserve">just </w:t>
      </w:r>
      <w:r>
        <w:rPr>
          <w:lang w:eastAsia="tr-TR"/>
        </w:rPr>
        <w:t xml:space="preserve">24.5% of all participants assessed went on to engage with therapy and have two or more sessions.  </w:t>
      </w:r>
      <w:r w:rsidR="009876E0">
        <w:rPr>
          <w:lang w:eastAsia="tr-TR"/>
        </w:rPr>
        <w:t xml:space="preserve">Although a proportion of these clients may have </w:t>
      </w:r>
      <w:r w:rsidR="009876E0">
        <w:rPr>
          <w:lang w:eastAsia="tr-TR"/>
        </w:rPr>
        <w:lastRenderedPageBreak/>
        <w:t>been referred elsewhere</w:t>
      </w:r>
      <w:r>
        <w:rPr>
          <w:lang w:eastAsia="tr-TR"/>
        </w:rPr>
        <w:t xml:space="preserve">, Callan and Fry </w:t>
      </w:r>
      <w:r w:rsidR="00577DB2">
        <w:rPr>
          <w:lang w:eastAsia="tr-TR"/>
        </w:rPr>
        <w:fldChar w:fldCharType="begin"/>
      </w:r>
      <w:r w:rsidR="00577DB2">
        <w:rPr>
          <w:lang w:eastAsia="tr-TR"/>
        </w:rPr>
        <w:instrText xml:space="preserve"> ADDIN EN.CITE &lt;EndNote&gt;&lt;Cite ExcludeAuth="1"&gt;&lt;Author&gt;Callan&lt;/Author&gt;&lt;Year&gt;2012&lt;/Year&gt;&lt;RecNum&gt;3759&lt;/RecNum&gt;&lt;DisplayText&gt;(2012)&lt;/DisplayText&gt;&lt;record&gt;&lt;rec-number&gt;3759&lt;/rec-number&gt;&lt;foreign-keys&gt;&lt;key app="EN" db-id="0swazwvvzv2zzfe0fs75dwsza2wreftvrrpv" timestamp="1397475428"&gt;3759&lt;/key&gt;&lt;/foreign-keys&gt;&lt;ref-type name="Report"&gt;27&lt;/ref-type&gt;&lt;contributors&gt;&lt;authors&gt;&lt;author&gt;Callan, D&lt;/author&gt;&lt;author&gt;Fry, B&lt;/author&gt;&lt;/authors&gt;&lt;/contributors&gt;&lt;titles&gt;&lt;title&gt;Commissioning effective talking therapies&lt;/title&gt;&lt;/titles&gt;&lt;dates&gt;&lt;year&gt;2012&lt;/year&gt;&lt;/dates&gt;&lt;pub-location&gt;London&lt;/pub-location&gt;&lt;publisher&gt;The Centre for Social Justice&lt;/publisher&gt;&lt;urls&gt;&lt;related-urls&gt;&lt;url&gt;http://www.centreforsocialjustice.org.uk/UserStorage/pdf/Pdf%20reports/TalkingTherapiesPaper.pdf&lt;/url&gt;&lt;/related-urls&gt;&lt;/urls&gt;&lt;/record&gt;&lt;/Cite&gt;&lt;/EndNote&gt;</w:instrText>
      </w:r>
      <w:r w:rsidR="00577DB2">
        <w:rPr>
          <w:lang w:eastAsia="tr-TR"/>
        </w:rPr>
        <w:fldChar w:fldCharType="separate"/>
      </w:r>
      <w:r w:rsidR="00577DB2">
        <w:rPr>
          <w:noProof/>
          <w:lang w:eastAsia="tr-TR"/>
        </w:rPr>
        <w:t>(2012)</w:t>
      </w:r>
      <w:r w:rsidR="00577DB2">
        <w:rPr>
          <w:lang w:eastAsia="tr-TR"/>
        </w:rPr>
        <w:fldChar w:fldCharType="end"/>
      </w:r>
      <w:r>
        <w:rPr>
          <w:lang w:eastAsia="tr-TR"/>
        </w:rPr>
        <w:t xml:space="preserve"> argue that </w:t>
      </w:r>
      <w:r w:rsidR="009876E0">
        <w:rPr>
          <w:lang w:eastAsia="tr-TR"/>
        </w:rPr>
        <w:t xml:space="preserve">indicates that </w:t>
      </w:r>
      <w:r>
        <w:rPr>
          <w:lang w:eastAsia="tr-TR"/>
        </w:rPr>
        <w:t xml:space="preserve">the actual recovery rates for IAPT services is 14% to 17% of all clients assessed, which compares against 40.4% in the present study.  </w:t>
      </w:r>
      <w:r w:rsidR="006077C9">
        <w:rPr>
          <w:lang w:eastAsia="tr-TR"/>
        </w:rPr>
        <w:t>Drop out in the present study was at acceptable levels, with 38.5% having unplanned endings, compared against average</w:t>
      </w:r>
      <w:r w:rsidR="00882BEA">
        <w:rPr>
          <w:lang w:eastAsia="tr-TR"/>
        </w:rPr>
        <w:t xml:space="preserve"> unplanned ending rates</w:t>
      </w:r>
      <w:r w:rsidR="006077C9">
        <w:rPr>
          <w:lang w:eastAsia="tr-TR"/>
        </w:rPr>
        <w:t xml:space="preserve"> </w:t>
      </w:r>
      <w:r w:rsidR="00882BEA">
        <w:rPr>
          <w:lang w:eastAsia="tr-TR"/>
        </w:rPr>
        <w:t xml:space="preserve">reported in recent reviews </w:t>
      </w:r>
      <w:r w:rsidR="006077C9">
        <w:rPr>
          <w:lang w:eastAsia="tr-TR"/>
        </w:rPr>
        <w:t xml:space="preserve">of </w:t>
      </w:r>
      <w:r>
        <w:fldChar w:fldCharType="begin"/>
      </w:r>
      <w:r w:rsidR="00D0293A">
        <w:instrText xml:space="preserve"> ADDIN EN.CITE &lt;EndNote&gt;&lt;Cite&gt;&lt;Author&gt;Wierzbicki&lt;/Author&gt;&lt;Year&gt;1993&lt;/Year&gt;&lt;RecNum&gt;2161&lt;/RecNum&gt;&lt;Prefix&gt;46.86% on average`, &lt;/Prefix&gt;&lt;DisplayText&gt;(46.86% on average, Wierzbicki &amp;amp; Pekarik, 1993)&lt;/DisplayText&gt;&lt;record&gt;&lt;rec-number&gt;2161&lt;/rec-number&gt;&lt;foreign-keys&gt;&lt;key app="EN" db-id="0swazwvvzv2zzfe0fs75dwsza2wreftvrrpv" timestamp="0"&gt;2161&lt;/key&gt;&lt;/foreign-keys&gt;&lt;ref-type name="Journal Article"&gt;17&lt;/ref-type&gt;&lt;contributors&gt;&lt;authors&gt;&lt;author&gt;Wierzbicki, Michael&lt;/author&gt;&lt;author&gt;Pekarik, Gene&lt;/author&gt;&lt;/authors&gt;&lt;/contributors&gt;&lt;titles&gt;&lt;title&gt;A meta-analysis of psychotherapy dropout&lt;/title&gt;&lt;secondary-title&gt;Professional Psychology: Research and Practice&lt;/secondary-title&gt;&lt;/titles&gt;&lt;pages&gt;190-195&lt;/pages&gt;&lt;volume&gt;24&lt;/volume&gt;&lt;number&gt;2&lt;/number&gt;&lt;keywords&gt;&lt;keyword&gt;8 process: termination&lt;/keyword&gt;&lt;/keywords&gt;&lt;dates&gt;&lt;year&gt;1993&lt;/year&gt;&lt;/dates&gt;&lt;pub-location&gt;US&lt;/pub-location&gt;&lt;publisher&gt;American Psychological Assn&lt;/publisher&gt;&lt;isbn&gt;0735-7028 (Print)&lt;/isbn&gt;&lt;label&gt;1993-30339-001&lt;/label&gt;&lt;urls&gt;&lt;/urls&gt;&lt;/record&gt;&lt;/Cite&gt;&lt;/EndNote&gt;</w:instrText>
      </w:r>
      <w:r>
        <w:fldChar w:fldCharType="separate"/>
      </w:r>
      <w:r w:rsidR="00D0293A">
        <w:rPr>
          <w:noProof/>
        </w:rPr>
        <w:t>(46.86% on average, Wierzbicki &amp; Pekarik, 1993)</w:t>
      </w:r>
      <w:r>
        <w:fldChar w:fldCharType="end"/>
      </w:r>
      <w:r>
        <w:t>, 35% (Roos &amp; Werbart, 2013) and 20% (Swift &amp; Greenberg, 2012)</w:t>
      </w:r>
      <w:r w:rsidR="006077C9">
        <w:t xml:space="preserve"> . </w:t>
      </w:r>
      <w:r w:rsidR="003D57EC">
        <w:t xml:space="preserve"> Th</w:t>
      </w:r>
      <w:r w:rsidR="009876E0">
        <w:t xml:space="preserve">ese </w:t>
      </w:r>
      <w:r w:rsidR="00882BEA">
        <w:t>findings are</w:t>
      </w:r>
      <w:r w:rsidR="003D57EC">
        <w:t xml:space="preserve"> consistent with previous research suggesting that clients are more likely to stay in therapy if they feel they are receiving the intervention that they want </w:t>
      </w:r>
      <w:r w:rsidR="003D57EC">
        <w:rPr>
          <w:lang w:eastAsia="tr-TR"/>
        </w:rPr>
        <w:fldChar w:fldCharType="begin"/>
      </w:r>
      <w:r w:rsidR="009876E0">
        <w:rPr>
          <w:lang w:eastAsia="tr-TR"/>
        </w:rPr>
        <w:instrText xml:space="preserve"> ADDIN EN.CITE &lt;EndNote&gt;&lt;Cite&gt;&lt;Author&gt;Swift&lt;/Author&gt;&lt;Year&gt;2011&lt;/Year&gt;&lt;RecNum&gt;4102&lt;/RecNum&gt;&lt;DisplayText&gt;(Swift et al., 2011)&lt;/DisplayText&gt;&lt;record&gt;&lt;rec-number&gt;4102&lt;/rec-number&gt;&lt;foreign-keys&gt;&lt;key app="EN" db-id="0swazwvvzv2zzfe0fs75dwsza2wreftvrrpv" timestamp="1411802904"&gt;4102&lt;/key&gt;&lt;/foreign-keys&gt;&lt;ref-type name="Book Section"&gt;5&lt;/ref-type&gt;&lt;contributors&gt;&lt;authors&gt;&lt;author&gt;Swift, Joshua K.&lt;/author&gt;&lt;author&gt;Callahan, Jennifer L.&lt;/author&gt;&lt;author&gt;Vollmer, Barbara M.&lt;/author&gt;&lt;/authors&gt;&lt;secondary-authors&gt;&lt;author&gt;Norcross, J C&lt;/author&gt;&lt;/secondary-authors&gt;&lt;/contributors&gt;&lt;auth-address&gt;Swift, Joshua K., Department of Psychology, University of Alaska Anchorage 3211 Providence Drive SSB214, Anchorage, AK, US, 99508, Joshua.Keith.Swift@gmail.com&lt;/auth-address&gt;&lt;titles&gt;&lt;title&gt;Preferences&lt;/title&gt;&lt;secondary-title&gt;Psychotherapy relationships that work&lt;/secondary-title&gt;&lt;/titles&gt;&lt;pages&gt;301-315&lt;/pages&gt;&lt;edition&gt;2nd&lt;/edition&gt;&lt;keywords&gt;&lt;keyword&gt;client preferences&lt;/keyword&gt;&lt;keyword&gt;evidence based practice&lt;/keyword&gt;&lt;keyword&gt;therapeutic practices&lt;/keyword&gt;&lt;keyword&gt;Client Attitudes&lt;/keyword&gt;&lt;keyword&gt;Preferences&lt;/keyword&gt;&lt;keyword&gt;Therapeutic Processes&lt;/keyword&gt;&lt;/keywords&gt;&lt;dates&gt;&lt;year&gt;2011&lt;/year&gt;&lt;/dates&gt;&lt;pub-location&gt;NY&lt;/pub-location&gt;&lt;publisher&gt;Oxford University&lt;/publisher&gt;&lt;urls&gt;&lt;/urls&gt;&lt;remote-database-name&gt;psyh&lt;/remote-database-name&gt;&lt;remote-database-provider&gt;EBSCOhost&lt;/remote-database-provider&gt;&lt;/record&gt;&lt;/Cite&gt;&lt;/EndNote&gt;</w:instrText>
      </w:r>
      <w:r w:rsidR="003D57EC">
        <w:rPr>
          <w:lang w:eastAsia="tr-TR"/>
        </w:rPr>
        <w:fldChar w:fldCharType="separate"/>
      </w:r>
      <w:r w:rsidR="009876E0">
        <w:rPr>
          <w:noProof/>
          <w:lang w:eastAsia="tr-TR"/>
        </w:rPr>
        <w:t>(Swift et al., 2011)</w:t>
      </w:r>
      <w:r w:rsidR="003D57EC">
        <w:rPr>
          <w:lang w:eastAsia="tr-TR"/>
        </w:rPr>
        <w:fldChar w:fldCharType="end"/>
      </w:r>
      <w:r w:rsidR="003D57EC">
        <w:rPr>
          <w:lang w:eastAsia="tr-TR"/>
        </w:rPr>
        <w:t xml:space="preserve">. </w:t>
      </w:r>
    </w:p>
    <w:p w14:paraId="1FF28C05" w14:textId="77777777" w:rsidR="003C3EB0" w:rsidRDefault="003D57EC" w:rsidP="003B7E0E">
      <w:r>
        <w:t>Process measure ratings indicate</w:t>
      </w:r>
      <w:r w:rsidR="008C7509">
        <w:t>d</w:t>
      </w:r>
      <w:r>
        <w:t xml:space="preserve"> that, on average, the clients found the PfD sessions helpful</w:t>
      </w:r>
      <w:r w:rsidR="003C3EB0">
        <w:t xml:space="preserve">.  Ratings on alliance and negotiation measures indicated that the intervention was generally acceptable to clients. </w:t>
      </w:r>
    </w:p>
    <w:p w14:paraId="11C9F7D9" w14:textId="3EE7006F" w:rsidR="00E12402" w:rsidRDefault="008C7509" w:rsidP="003B7E0E">
      <w:pPr>
        <w:rPr>
          <w:lang w:eastAsia="tr-TR"/>
        </w:rPr>
      </w:pPr>
      <w:r>
        <w:rPr>
          <w:lang w:eastAsia="tr-TR"/>
        </w:rPr>
        <w:t xml:space="preserve">In terms of helpful processes, the factors identified by clients </w:t>
      </w:r>
      <w:r w:rsidR="00E12402">
        <w:rPr>
          <w:lang w:eastAsia="tr-TR"/>
        </w:rPr>
        <w:t xml:space="preserve">in pluralistic therapy </w:t>
      </w:r>
      <w:r>
        <w:rPr>
          <w:lang w:eastAsia="tr-TR"/>
        </w:rPr>
        <w:t xml:space="preserve">were relatively consistent with those found more broadly across the therapeutic spectrum </w:t>
      </w:r>
      <w:r w:rsidR="00577DB2">
        <w:rPr>
          <w:lang w:eastAsia="tr-TR"/>
        </w:rPr>
        <w:fldChar w:fldCharType="begin"/>
      </w:r>
      <w:r w:rsidR="00577DB2">
        <w:rPr>
          <w:lang w:eastAsia="tr-TR"/>
        </w:rPr>
        <w:instrText xml:space="preserve"> ADDIN EN.CITE &lt;EndNote&gt;&lt;Cite&gt;&lt;Author&gt;Timulak&lt;/Author&gt;&lt;Year&gt;2007&lt;/Year&gt;&lt;RecNum&gt;2479&lt;/RecNum&gt;&lt;Prefix&gt;e.g.`, &lt;/Prefix&gt;&lt;DisplayText&gt;(e.g., Timulak, 2007)&lt;/DisplayText&gt;&lt;record&gt;&lt;rec-number&gt;2479&lt;/rec-number&gt;&lt;foreign-keys&gt;&lt;key app="EN" db-id="0swazwvvzv2zzfe0fs75dwsza2wreftvrrpv" timestamp="0"&gt;2479&lt;/key&gt;&lt;/foreign-keys&gt;&lt;ref-type name="Journal Article"&gt;17&lt;/ref-type&gt;&lt;contributors&gt;&lt;authors&gt;&lt;author&gt;Timulak, L.&lt;/author&gt;&lt;/authors&gt;&lt;/contributors&gt;&lt;titles&gt;&lt;title&gt;Identifying core categories of client-identified impact of helpful events in psychotherapy: A qualitative meta-analysis&lt;/title&gt;&lt;secondary-title&gt;Psychotherapy Research&lt;/secondary-title&gt;&lt;/titles&gt;&lt;periodical&gt;&lt;full-title&gt;Psychotherapy Research&lt;/full-title&gt;&lt;/periodical&gt;&lt;pages&gt;310-320&lt;/pages&gt;&lt;volume&gt;17&lt;/volume&gt;&lt;number&gt;3&lt;/number&gt;&lt;dates&gt;&lt;year&gt;2007&lt;/year&gt;&lt;/dates&gt;&lt;accession-num&gt;ISI:000246531900005&lt;/accession-num&gt;&lt;urls&gt;&lt;related-urls&gt;&lt;url&gt;&amp;lt;Go to ISI&amp;gt;://000246531900005&lt;/url&gt;&lt;/related-urls&gt;&lt;/urls&gt;&lt;/record&gt;&lt;/Cite&gt;&lt;/EndNote&gt;</w:instrText>
      </w:r>
      <w:r w:rsidR="00577DB2">
        <w:rPr>
          <w:lang w:eastAsia="tr-TR"/>
        </w:rPr>
        <w:fldChar w:fldCharType="separate"/>
      </w:r>
      <w:r w:rsidR="00577DB2">
        <w:rPr>
          <w:noProof/>
          <w:lang w:eastAsia="tr-TR"/>
        </w:rPr>
        <w:t>(e.g., Timulak, 2007)</w:t>
      </w:r>
      <w:r w:rsidR="00577DB2">
        <w:rPr>
          <w:lang w:eastAsia="tr-TR"/>
        </w:rPr>
        <w:fldChar w:fldCharType="end"/>
      </w:r>
      <w:r w:rsidR="00E12402">
        <w:rPr>
          <w:lang w:eastAsia="tr-TR"/>
        </w:rPr>
        <w:t xml:space="preserve">.  Clients felt that they had brought about change by actively engaging with therapy and talking about their problems, feelings and relationships.  This had been facilitated by therapists who were accepting and empathic; but who were also challenging and used a range of techniques, particularly CBT methods and psychoeducation.  This led to the development of insight, and changes in behaviours.  Consistent with a pluralistic approach, clients found </w:t>
      </w:r>
      <w:r w:rsidR="00E12402" w:rsidRPr="00E12402">
        <w:rPr>
          <w:i/>
          <w:lang w:eastAsia="tr-TR"/>
        </w:rPr>
        <w:t>both</w:t>
      </w:r>
      <w:r w:rsidR="00E12402">
        <w:rPr>
          <w:lang w:eastAsia="tr-TR"/>
        </w:rPr>
        <w:t xml:space="preserve"> relational and technical therapist factors helpful, though it was interesting to note that the Change Interview and the HAT forms brought out different emphases.  The Change Interviews also indicated that clients tended to find the specifically pluralistic elements of the therapy helpful: the therapi</w:t>
      </w:r>
      <w:r w:rsidR="00E12402" w:rsidRPr="004B1361">
        <w:rPr>
          <w:color w:val="000000" w:themeColor="text1"/>
          <w:lang w:eastAsia="tr-TR"/>
        </w:rPr>
        <w:t xml:space="preserve">sts’ responsiveness to their needs and their flexibility.  In addition, the ratings of the measures indicated that clients tended to value the specifically pluralistic tools, in particular the Goals Form. </w:t>
      </w:r>
      <w:r w:rsidR="004B1361" w:rsidRPr="004B1361">
        <w:rPr>
          <w:color w:val="000000" w:themeColor="text1"/>
          <w:lang w:eastAsia="tr-TR"/>
        </w:rPr>
        <w:t xml:space="preserve"> However, two participants in </w:t>
      </w:r>
      <w:r w:rsidR="004B1361" w:rsidRPr="004B1361">
        <w:rPr>
          <w:color w:val="000000" w:themeColor="text1"/>
          <w:lang w:eastAsia="tr-TR"/>
        </w:rPr>
        <w:lastRenderedPageBreak/>
        <w:t xml:space="preserve">the Change Interviews indicated that, at times, they would have liked </w:t>
      </w:r>
      <w:r w:rsidR="004B1361" w:rsidRPr="004B1361">
        <w:rPr>
          <w:color w:val="000000" w:themeColor="text1"/>
        </w:rPr>
        <w:t>more guidance from their therapists on the particular method of treatment.</w:t>
      </w:r>
    </w:p>
    <w:p w14:paraId="132AC955" w14:textId="370A7164" w:rsidR="00E12402" w:rsidRDefault="00E12402" w:rsidP="003B7E0E">
      <w:pPr>
        <w:rPr>
          <w:lang w:eastAsia="tr-TR"/>
        </w:rPr>
      </w:pPr>
      <w:r>
        <w:rPr>
          <w:lang w:eastAsia="tr-TR"/>
        </w:rPr>
        <w:t xml:space="preserve">Limitations of the study were that the sample was relatively small and select, with a large proportion of university students.  Therapists had a limited amount of training in the pluralistic approach and were relatively inexperienced, with the majority being trainees.  Adherence to the pluralistic approach was not formally audited.  As the trial was uncontrolled, inferences cannot be made about the effectiveness of the approach, and comparison with IAPT data can provide only the </w:t>
      </w:r>
      <w:r w:rsidR="003C3EB0">
        <w:rPr>
          <w:lang w:eastAsia="tr-TR"/>
        </w:rPr>
        <w:t xml:space="preserve">most approximate </w:t>
      </w:r>
      <w:r>
        <w:rPr>
          <w:lang w:eastAsia="tr-TR"/>
        </w:rPr>
        <w:t xml:space="preserve">indicators of relative effectiveness.  Change Interview data came from an unrepresentative selection of participants </w:t>
      </w:r>
      <w:r>
        <w:rPr>
          <w:lang w:eastAsia="tr-TR"/>
        </w:rPr>
        <w:noBreakHyphen/>
        <w:t xml:space="preserve"> those </w:t>
      </w:r>
      <w:r w:rsidR="00882BEA">
        <w:rPr>
          <w:lang w:eastAsia="tr-TR"/>
        </w:rPr>
        <w:t xml:space="preserve">who </w:t>
      </w:r>
      <w:r>
        <w:rPr>
          <w:lang w:eastAsia="tr-TR"/>
        </w:rPr>
        <w:t>were in therapy for longer and were more likely to have planned endings</w:t>
      </w:r>
      <w:r w:rsidR="00882BEA">
        <w:rPr>
          <w:lang w:eastAsia="tr-TR"/>
        </w:rPr>
        <w:t xml:space="preserve">. It is probably, therefore, that </w:t>
      </w:r>
      <w:r w:rsidR="003C3EB0">
        <w:rPr>
          <w:lang w:eastAsia="tr-TR"/>
        </w:rPr>
        <w:t xml:space="preserve">it </w:t>
      </w:r>
      <w:r w:rsidR="00882BEA">
        <w:rPr>
          <w:lang w:eastAsia="tr-TR"/>
        </w:rPr>
        <w:t>comprise</w:t>
      </w:r>
      <w:r w:rsidR="003C3EB0">
        <w:rPr>
          <w:lang w:eastAsia="tr-TR"/>
        </w:rPr>
        <w:t>s</w:t>
      </w:r>
      <w:r>
        <w:rPr>
          <w:lang w:eastAsia="tr-TR"/>
        </w:rPr>
        <w:t xml:space="preserve"> an overly-positive representation of PfD.  In addition, we did not </w:t>
      </w:r>
      <w:r w:rsidR="004B1361">
        <w:rPr>
          <w:lang w:eastAsia="tr-TR"/>
        </w:rPr>
        <w:t xml:space="preserve">report </w:t>
      </w:r>
      <w:r>
        <w:rPr>
          <w:lang w:eastAsia="tr-TR"/>
        </w:rPr>
        <w:t xml:space="preserve">on unhelpful factors, though these were mentioned only infrequently, </w:t>
      </w:r>
      <w:r w:rsidR="004B1361">
        <w:rPr>
          <w:lang w:eastAsia="tr-TR"/>
        </w:rPr>
        <w:t xml:space="preserve">and the only factor reported three or more times was an </w:t>
      </w:r>
      <w:r>
        <w:rPr>
          <w:lang w:eastAsia="tr-TR"/>
        </w:rPr>
        <w:t xml:space="preserve">insufficient number of sessions.  Around 7% of the data on the session-by-session process measures were also missing.  </w:t>
      </w:r>
    </w:p>
    <w:p w14:paraId="388FB480" w14:textId="6D64CF03" w:rsidR="00E12402" w:rsidRDefault="00E12402" w:rsidP="000D461F">
      <w:r>
        <w:t xml:space="preserve">Despite these limitations, the findings of this study provide preliminary evidence that a pluralistic therapy for depression is acceptable to clients and produces outcomes which are within the range of other psychological interventions.  This is particularly encouraging given that many of the clients </w:t>
      </w:r>
      <w:r w:rsidR="003C3EB0">
        <w:t xml:space="preserve">in the present study </w:t>
      </w:r>
      <w:r>
        <w:t xml:space="preserve">had longstanding, complex problems and had previously been in therapy or psychiatric care.  Further research is needed, however, to develop and refine this pluralistic approach.  Case studies and further analyses of the qualitative data are required to identify specific pathways of change that clients with depression might go through; and there is also a need to examine heterogeneity of change processes across clients.  Another area for further research work is the development and validation of an adequate adherence scale for PfD.  Ultimately, PfD will need to be trialled </w:t>
      </w:r>
      <w:r>
        <w:lastRenderedPageBreak/>
        <w:t>against a comparative therapy, such as CBT for depression</w:t>
      </w:r>
      <w:r w:rsidR="00296EA7">
        <w:t xml:space="preserve"> or Counselling for Depression </w:t>
      </w:r>
      <w:r w:rsidR="00296EA7">
        <w:fldChar w:fldCharType="begin"/>
      </w:r>
      <w:r w:rsidR="00296EA7">
        <w:instrText xml:space="preserve"> ADDIN EN.CITE &lt;EndNote&gt;&lt;Cite&gt;&lt;Author&gt;Sanders&lt;/Author&gt;&lt;Year&gt;2014&lt;/Year&gt;&lt;RecNum&gt;4161&lt;/RecNum&gt;&lt;Prefix&gt;CfD`, &lt;/Prefix&gt;&lt;DisplayText&gt;(CfD, Sanders &amp;amp; Hill, 2014)&lt;/DisplayText&gt;&lt;record&gt;&lt;rec-number&gt;4161&lt;/rec-number&gt;&lt;foreign-keys&gt;&lt;key app="EN" db-id="0swazwvvzv2zzfe0fs75dwsza2wreftvrrpv" timestamp="1413537541"&gt;4161&lt;/key&gt;&lt;/foreign-keys&gt;&lt;ref-type name="Book"&gt;6&lt;/ref-type&gt;&lt;contributors&gt;&lt;authors&gt;&lt;author&gt;Sanders, Pete&lt;/author&gt;&lt;author&gt;Hill, Andy&lt;/author&gt;&lt;/authors&gt;&lt;/contributors&gt;&lt;titles&gt;&lt;title&gt;Counselling for depression: A person-centred and experiential approach to practice&lt;/title&gt;&lt;/titles&gt;&lt;dates&gt;&lt;year&gt;2014&lt;/year&gt;&lt;/dates&gt;&lt;pub-location&gt;London&lt;/pub-location&gt;&lt;publisher&gt;Sage&lt;/publisher&gt;&lt;urls&gt;&lt;/urls&gt;&lt;/record&gt;&lt;/Cite&gt;&lt;/EndNote&gt;</w:instrText>
      </w:r>
      <w:r w:rsidR="00296EA7">
        <w:fldChar w:fldCharType="separate"/>
      </w:r>
      <w:r w:rsidR="00296EA7">
        <w:rPr>
          <w:noProof/>
        </w:rPr>
        <w:t>(CfD, Sanders &amp; Hill, 2014)</w:t>
      </w:r>
      <w:r w:rsidR="00296EA7">
        <w:fldChar w:fldCharType="end"/>
      </w:r>
      <w:r>
        <w:t xml:space="preserve">, to see whether this pluralistic approach gives added value to outcomes, or to other factors such as engagement rates or client satisfaction. </w:t>
      </w:r>
    </w:p>
    <w:p w14:paraId="177566BB" w14:textId="77777777" w:rsidR="00E12402" w:rsidRDefault="00E12402" w:rsidP="000D461F"/>
    <w:p w14:paraId="12192C5E" w14:textId="5C72F46F" w:rsidR="00C24751" w:rsidRDefault="00A357E0" w:rsidP="009876E0">
      <w:pPr>
        <w:pStyle w:val="Heading1"/>
      </w:pPr>
      <w:r>
        <w:t>Re</w:t>
      </w:r>
      <w:r w:rsidR="00B140AF" w:rsidRPr="00E733D4">
        <w:t>ferences</w:t>
      </w:r>
    </w:p>
    <w:p w14:paraId="73669FD0" w14:textId="77777777" w:rsidR="009876E0" w:rsidRPr="009876E0" w:rsidRDefault="0094717B" w:rsidP="009876E0">
      <w:pPr>
        <w:pStyle w:val="EndNoteBibliography"/>
        <w:ind w:left="720" w:hanging="720"/>
      </w:pPr>
      <w:r>
        <w:rPr>
          <w:rFonts w:eastAsia="Times New Roman"/>
          <w:b/>
          <w:bCs/>
          <w:kern w:val="36"/>
          <w:lang w:eastAsia="tr-TR"/>
        </w:rPr>
        <w:fldChar w:fldCharType="begin"/>
      </w:r>
      <w:r>
        <w:rPr>
          <w:rFonts w:eastAsia="Times New Roman"/>
          <w:b/>
          <w:bCs/>
          <w:kern w:val="36"/>
          <w:lang w:eastAsia="tr-TR"/>
        </w:rPr>
        <w:instrText xml:space="preserve"> ADDIN EN.REFLIST </w:instrText>
      </w:r>
      <w:r>
        <w:rPr>
          <w:rFonts w:eastAsia="Times New Roman"/>
          <w:b/>
          <w:bCs/>
          <w:kern w:val="36"/>
          <w:lang w:eastAsia="tr-TR"/>
        </w:rPr>
        <w:fldChar w:fldCharType="separate"/>
      </w:r>
      <w:r w:rsidR="009876E0" w:rsidRPr="009876E0">
        <w:t xml:space="preserve">Barkham, M., Margison, F., Leach, C., Lucock, M., Mellor-Clark, J., Evans, C., . . . McGrath, G. (2001). Service profiling and outcomes benchmarking using the CORE-OM: Toward practice-based evidence in the psychological therapies. </w:t>
      </w:r>
      <w:r w:rsidR="009876E0" w:rsidRPr="009876E0">
        <w:rPr>
          <w:i/>
        </w:rPr>
        <w:t>Journal of Consulting and Clinical Psychology, 69</w:t>
      </w:r>
      <w:r w:rsidR="009876E0" w:rsidRPr="009876E0">
        <w:t xml:space="preserve">(2), 184-196. </w:t>
      </w:r>
    </w:p>
    <w:p w14:paraId="61183C4D" w14:textId="77777777" w:rsidR="009876E0" w:rsidRPr="009876E0" w:rsidRDefault="009876E0" w:rsidP="009876E0">
      <w:pPr>
        <w:pStyle w:val="EndNoteBibliography"/>
        <w:ind w:left="720" w:hanging="720"/>
      </w:pPr>
      <w:r w:rsidRPr="009876E0">
        <w:t xml:space="preserve">Bowen, M., &amp; Cooper, M. (2012). Development of a client feedback tool: a qualitative study of therapists’ experiences of using the Therapy Personalisation Forms. </w:t>
      </w:r>
      <w:r w:rsidRPr="009876E0">
        <w:rPr>
          <w:i/>
        </w:rPr>
        <w:t>European Journal of Psychotherapy and Counselling, 14</w:t>
      </w:r>
      <w:r w:rsidRPr="009876E0">
        <w:t xml:space="preserve">, 47-62. </w:t>
      </w:r>
    </w:p>
    <w:p w14:paraId="7A7F5D05" w14:textId="77777777" w:rsidR="009876E0" w:rsidRPr="009876E0" w:rsidRDefault="009876E0" w:rsidP="009876E0">
      <w:pPr>
        <w:pStyle w:val="EndNoteBibliography"/>
        <w:ind w:left="720" w:hanging="720"/>
      </w:pPr>
      <w:r w:rsidRPr="009876E0">
        <w:t xml:space="preserve">Braun, V., &amp; Clarke, V. (2006). Using thematic analysis in psychology. </w:t>
      </w:r>
      <w:r w:rsidRPr="009876E0">
        <w:rPr>
          <w:i/>
        </w:rPr>
        <w:t>Qualitative research in psychology, 3</w:t>
      </w:r>
      <w:r w:rsidRPr="009876E0">
        <w:t xml:space="preserve">(2), 77-101. </w:t>
      </w:r>
    </w:p>
    <w:p w14:paraId="0F0ABB09" w14:textId="77777777" w:rsidR="009876E0" w:rsidRPr="009876E0" w:rsidRDefault="009876E0" w:rsidP="009876E0">
      <w:pPr>
        <w:pStyle w:val="EndNoteBibliography"/>
        <w:ind w:left="720" w:hanging="720"/>
      </w:pPr>
      <w:r w:rsidRPr="009876E0">
        <w:t>Callan, D., &amp; Fry, B. (2012). Commissioning effective talking therapies. London: The Centre for Social Justice.</w:t>
      </w:r>
    </w:p>
    <w:p w14:paraId="19B6B93A" w14:textId="77777777" w:rsidR="009876E0" w:rsidRPr="009876E0" w:rsidRDefault="009876E0" w:rsidP="009876E0">
      <w:pPr>
        <w:pStyle w:val="EndNoteBibliography"/>
        <w:ind w:left="720" w:hanging="720"/>
      </w:pPr>
      <w:r w:rsidRPr="009876E0">
        <w:t xml:space="preserve">Chu, B. C., &amp; Kendall, P. C. (2009). Therapist Responsiveness to Child Engagement: Flexibility Within Manual-Based CBT for Anxious Youth. </w:t>
      </w:r>
      <w:r w:rsidRPr="009876E0">
        <w:rPr>
          <w:i/>
        </w:rPr>
        <w:t>Journal of Clinical Psychology, 65</w:t>
      </w:r>
      <w:r w:rsidRPr="009876E0">
        <w:t>(7), 736-754. doi: 10.1002/jclp.20582</w:t>
      </w:r>
    </w:p>
    <w:p w14:paraId="34167FF0" w14:textId="77777777" w:rsidR="009876E0" w:rsidRPr="009876E0" w:rsidRDefault="009876E0" w:rsidP="009876E0">
      <w:pPr>
        <w:pStyle w:val="EndNoteBibliography"/>
        <w:ind w:left="720" w:hanging="720"/>
      </w:pPr>
      <w:r w:rsidRPr="009876E0">
        <w:t>Cooper, M. (2014). Strathclyde pluralistic protocol. London: University of Roehampton.</w:t>
      </w:r>
    </w:p>
    <w:p w14:paraId="7C734B44" w14:textId="77777777" w:rsidR="009876E0" w:rsidRPr="009876E0" w:rsidRDefault="009876E0" w:rsidP="009876E0">
      <w:pPr>
        <w:pStyle w:val="EndNoteBibliography"/>
        <w:ind w:left="720" w:hanging="720"/>
      </w:pPr>
      <w:r w:rsidRPr="009876E0">
        <w:t xml:space="preserve">Cooper, M., &amp; McLeod, J. (2007). A pluralistic framework for counselling and psychotherapy: Implications for research. </w:t>
      </w:r>
      <w:r w:rsidRPr="009876E0">
        <w:rPr>
          <w:i/>
        </w:rPr>
        <w:t>Counselling and Psychotherapy Research, 7</w:t>
      </w:r>
      <w:r w:rsidRPr="009876E0">
        <w:t xml:space="preserve">(3), 135-143. </w:t>
      </w:r>
    </w:p>
    <w:p w14:paraId="03C85588" w14:textId="77777777" w:rsidR="009876E0" w:rsidRPr="009876E0" w:rsidRDefault="009876E0" w:rsidP="009876E0">
      <w:pPr>
        <w:pStyle w:val="EndNoteBibliography"/>
        <w:ind w:left="720" w:hanging="720"/>
      </w:pPr>
      <w:r w:rsidRPr="009876E0">
        <w:t xml:space="preserve">Cooper, M., &amp; McLeod, J. (2011). </w:t>
      </w:r>
      <w:r w:rsidRPr="009876E0">
        <w:rPr>
          <w:i/>
        </w:rPr>
        <w:t>Pluralistic Counselling and Psychotherapy</w:t>
      </w:r>
      <w:r w:rsidRPr="009876E0">
        <w:t>. London: Sage.</w:t>
      </w:r>
    </w:p>
    <w:p w14:paraId="2AFFBC36" w14:textId="77777777" w:rsidR="009876E0" w:rsidRPr="009876E0" w:rsidRDefault="009876E0" w:rsidP="009876E0">
      <w:pPr>
        <w:pStyle w:val="EndNoteBibliography"/>
        <w:ind w:left="720" w:hanging="720"/>
      </w:pPr>
      <w:r w:rsidRPr="009876E0">
        <w:lastRenderedPageBreak/>
        <w:t xml:space="preserve">Cooper, M., &amp; McLeod, J. (2012). From either/or to both/and: Developing a pluralistic approach to counselling and psychotherapy. </w:t>
      </w:r>
      <w:r w:rsidRPr="009876E0">
        <w:rPr>
          <w:i/>
        </w:rPr>
        <w:t>European Journal of Psychotherapy and Counselling, 14</w:t>
      </w:r>
      <w:r w:rsidRPr="009876E0">
        <w:t xml:space="preserve">(1), 5-18. </w:t>
      </w:r>
    </w:p>
    <w:p w14:paraId="55C5BDE0" w14:textId="77777777" w:rsidR="009876E0" w:rsidRPr="009876E0" w:rsidRDefault="009876E0" w:rsidP="009876E0">
      <w:pPr>
        <w:pStyle w:val="EndNoteBibliography"/>
        <w:ind w:left="720" w:hanging="720"/>
      </w:pPr>
      <w:r w:rsidRPr="009876E0">
        <w:t xml:space="preserve">Doran, J. M., Safran, J. D., Waizmann, V., Bolger, K., &amp; Muran, J. C. (2012). The Alliance Negotiation Scale: psychometric construction and preliminary reliability and validity analysis. </w:t>
      </w:r>
      <w:r w:rsidRPr="009876E0">
        <w:rPr>
          <w:i/>
        </w:rPr>
        <w:t>Psychotherapy Research, 22</w:t>
      </w:r>
      <w:r w:rsidRPr="009876E0">
        <w:t xml:space="preserve">(6), 710-719. </w:t>
      </w:r>
    </w:p>
    <w:p w14:paraId="008A7DB9" w14:textId="77777777" w:rsidR="009876E0" w:rsidRPr="009876E0" w:rsidRDefault="009876E0" w:rsidP="009876E0">
      <w:pPr>
        <w:pStyle w:val="EndNoteBibliography"/>
        <w:ind w:left="720" w:hanging="720"/>
      </w:pPr>
      <w:r w:rsidRPr="009876E0">
        <w:t xml:space="preserve">Duncan, B. L., Miller, S. D., Sparks, J. A., &amp; Claud, D. A. (2003). The Session Rating Scale: Preliminary psychometric properties of a “working" alliance measure. </w:t>
      </w:r>
      <w:r w:rsidRPr="009876E0">
        <w:rPr>
          <w:i/>
        </w:rPr>
        <w:t>Journal of Brief Therapy, 3</w:t>
      </w:r>
      <w:r w:rsidRPr="009876E0">
        <w:t xml:space="preserve">(1), 3-12. </w:t>
      </w:r>
    </w:p>
    <w:p w14:paraId="300EFDF9" w14:textId="77777777" w:rsidR="009876E0" w:rsidRPr="009876E0" w:rsidRDefault="009876E0" w:rsidP="009876E0">
      <w:pPr>
        <w:pStyle w:val="EndNoteBibliography"/>
        <w:ind w:left="720" w:hanging="720"/>
      </w:pPr>
      <w:r w:rsidRPr="009876E0">
        <w:t xml:space="preserve">Elliott, R. (2000). </w:t>
      </w:r>
      <w:r w:rsidRPr="009876E0">
        <w:rPr>
          <w:i/>
        </w:rPr>
        <w:t>The Session Effectiveness Scale</w:t>
      </w:r>
      <w:r w:rsidRPr="009876E0">
        <w:t xml:space="preserve">. Unpublished questionnaire. University of Toledo. Toledo, OH. </w:t>
      </w:r>
    </w:p>
    <w:p w14:paraId="7DB680CE" w14:textId="77777777" w:rsidR="009876E0" w:rsidRPr="009876E0" w:rsidRDefault="009876E0" w:rsidP="009876E0">
      <w:pPr>
        <w:pStyle w:val="EndNoteBibliography"/>
        <w:ind w:left="720" w:hanging="720"/>
      </w:pPr>
      <w:r w:rsidRPr="009876E0">
        <w:t xml:space="preserve">Elliott, R., Slatick, E., &amp; Urman, M. (2001). Qualitative change process research on psychotherapy: Alternative strategies. </w:t>
      </w:r>
      <w:r w:rsidRPr="009876E0">
        <w:rPr>
          <w:i/>
        </w:rPr>
        <w:t>Psychologische Beiträge, 43</w:t>
      </w:r>
      <w:r w:rsidRPr="009876E0">
        <w:t xml:space="preserve">(3), 69. </w:t>
      </w:r>
    </w:p>
    <w:p w14:paraId="207C31D5" w14:textId="77777777" w:rsidR="009876E0" w:rsidRPr="009876E0" w:rsidRDefault="009876E0" w:rsidP="009876E0">
      <w:pPr>
        <w:pStyle w:val="EndNoteBibliography"/>
        <w:ind w:left="720" w:hanging="720"/>
      </w:pPr>
      <w:r w:rsidRPr="009876E0">
        <w:t xml:space="preserve">Ghaderi, A. (2006). Does individualization matter? A randomized trial of standardized (focused) versus individualized (broad) cognitive behavior therapy for bulimia nervosa. </w:t>
      </w:r>
      <w:r w:rsidRPr="009876E0">
        <w:rPr>
          <w:i/>
        </w:rPr>
        <w:t>Behaviour Research and Therapy, 44</w:t>
      </w:r>
      <w:r w:rsidRPr="009876E0">
        <w:t>(2), 273-288. doi: 10.1016/j.brat.2005.02.004</w:t>
      </w:r>
    </w:p>
    <w:p w14:paraId="72DB9254" w14:textId="77777777" w:rsidR="009876E0" w:rsidRPr="009876E0" w:rsidRDefault="009876E0" w:rsidP="009876E0">
      <w:pPr>
        <w:pStyle w:val="EndNoteBibliography"/>
        <w:ind w:left="720" w:hanging="720"/>
      </w:pPr>
      <w:r w:rsidRPr="009876E0">
        <w:t xml:space="preserve">Gyani, A., Shafran, R., Layard, R., &amp; Clark, D. M. (2013). Enhancing recovery rates: Lessons from year one of IAPT. </w:t>
      </w:r>
      <w:r w:rsidRPr="009876E0">
        <w:rPr>
          <w:i/>
        </w:rPr>
        <w:t>Behaviour Research and Therapy, 51</w:t>
      </w:r>
      <w:r w:rsidRPr="009876E0">
        <w:t>(9), 597-606. doi: 10.1016/j.brat.2013.06.004</w:t>
      </w:r>
    </w:p>
    <w:p w14:paraId="40992DDE" w14:textId="77777777" w:rsidR="009876E0" w:rsidRPr="009876E0" w:rsidRDefault="009876E0" w:rsidP="009876E0">
      <w:pPr>
        <w:pStyle w:val="EndNoteBibliography"/>
        <w:ind w:left="720" w:hanging="720"/>
      </w:pPr>
      <w:r w:rsidRPr="009876E0">
        <w:t xml:space="preserve">Hanley, T., Williams, G., &amp; Sefi, A. (2012). Pluralistic counselling psychology for young people. In T. Hanley, N. Humphrey &amp; C. Lennie (Eds.), </w:t>
      </w:r>
      <w:r w:rsidRPr="009876E0">
        <w:rPr>
          <w:i/>
        </w:rPr>
        <w:t>Adolescent Counselling Psychology: Theory, Research and Practice</w:t>
      </w:r>
      <w:r w:rsidRPr="009876E0">
        <w:t xml:space="preserve"> (pp. 133-156). London: Routledge.</w:t>
      </w:r>
    </w:p>
    <w:p w14:paraId="21DE2DF7" w14:textId="77777777" w:rsidR="009876E0" w:rsidRPr="009876E0" w:rsidRDefault="009876E0" w:rsidP="009876E0">
      <w:pPr>
        <w:pStyle w:val="EndNoteBibliography"/>
        <w:ind w:left="720" w:hanging="720"/>
      </w:pPr>
      <w:r w:rsidRPr="009876E0">
        <w:lastRenderedPageBreak/>
        <w:t xml:space="preserve">Hanson, W. E., Curry, K. T., &amp; Bandalos, D. L. (2002). Reliability generalization of working alliance inventory scale scores. </w:t>
      </w:r>
      <w:r w:rsidRPr="009876E0">
        <w:rPr>
          <w:i/>
        </w:rPr>
        <w:t>Educational and Psychological Measurement, 62</w:t>
      </w:r>
      <w:r w:rsidRPr="009876E0">
        <w:t xml:space="preserve">(4), 659-673. </w:t>
      </w:r>
    </w:p>
    <w:p w14:paraId="1E3E2522" w14:textId="77777777" w:rsidR="009876E0" w:rsidRPr="009876E0" w:rsidRDefault="009876E0" w:rsidP="009876E0">
      <w:pPr>
        <w:pStyle w:val="EndNoteBibliography"/>
        <w:ind w:left="720" w:hanging="720"/>
      </w:pPr>
      <w:r w:rsidRPr="009876E0">
        <w:t xml:space="preserve">Horvath, A. O., Del Re, A. C., Fluckinger, C., &amp; Symonds, D. (2012). Alliance in individual psychotherapy. In J. C. Norcross (Ed.), </w:t>
      </w:r>
      <w:r w:rsidRPr="009876E0">
        <w:rPr>
          <w:i/>
        </w:rPr>
        <w:t>Psychotherapy Relationships that Work: Evidence-based responsiveness</w:t>
      </w:r>
      <w:r w:rsidRPr="009876E0">
        <w:t xml:space="preserve"> (pp. 25-69). New York: Oxford University Press.</w:t>
      </w:r>
    </w:p>
    <w:p w14:paraId="31596A80" w14:textId="77777777" w:rsidR="009876E0" w:rsidRPr="009876E0" w:rsidRDefault="009876E0" w:rsidP="009876E0">
      <w:pPr>
        <w:pStyle w:val="EndNoteBibliography"/>
        <w:ind w:left="720" w:hanging="720"/>
      </w:pPr>
      <w:r w:rsidRPr="009876E0">
        <w:t xml:space="preserve">Jacobson, N. S., Schmaling, K. B., Holtzworth-Munroe, A., Katt, J. L., Wood, L. F., &amp; Follette, V. M. (1989). Research-structured vs clinically flexible versions of social learning-based marital therapy. </w:t>
      </w:r>
      <w:r w:rsidRPr="009876E0">
        <w:rPr>
          <w:i/>
        </w:rPr>
        <w:t>Behaviour Research and Therapy, 27</w:t>
      </w:r>
      <w:r w:rsidRPr="009876E0">
        <w:t xml:space="preserve">(2), 173-180. </w:t>
      </w:r>
    </w:p>
    <w:p w14:paraId="0DAB3111" w14:textId="77777777" w:rsidR="009876E0" w:rsidRPr="009876E0" w:rsidRDefault="009876E0" w:rsidP="009876E0">
      <w:pPr>
        <w:pStyle w:val="EndNoteBibliography"/>
        <w:ind w:left="720" w:hanging="720"/>
      </w:pPr>
      <w:r w:rsidRPr="009876E0">
        <w:t>Kroenke, K., Spitzer, R. L., &amp; Williams, J. B. (2001). The Phq</w:t>
      </w:r>
      <w:r w:rsidRPr="009876E0">
        <w:rPr>
          <w:rFonts w:ascii="Cambria Math" w:hAnsi="Cambria Math" w:cs="Cambria Math"/>
        </w:rPr>
        <w:t>‐</w:t>
      </w:r>
      <w:r w:rsidRPr="009876E0">
        <w:t xml:space="preserve">9. </w:t>
      </w:r>
      <w:r w:rsidRPr="009876E0">
        <w:rPr>
          <w:i/>
        </w:rPr>
        <w:t>Journal of general internal medicine, 16</w:t>
      </w:r>
      <w:r w:rsidRPr="009876E0">
        <w:t xml:space="preserve">(9), 606-613. </w:t>
      </w:r>
    </w:p>
    <w:p w14:paraId="76B48957" w14:textId="77777777" w:rsidR="009876E0" w:rsidRPr="009876E0" w:rsidRDefault="009876E0" w:rsidP="009876E0">
      <w:pPr>
        <w:pStyle w:val="EndNoteBibliography"/>
        <w:ind w:left="720" w:hanging="720"/>
      </w:pPr>
      <w:r w:rsidRPr="009876E0">
        <w:t xml:space="preserve">Lambert, M. J., &amp; Shimokawa, K. (2011). Collecting client feedback. In J. C. Norcross (Ed.), </w:t>
      </w:r>
      <w:r w:rsidRPr="009876E0">
        <w:rPr>
          <w:i/>
        </w:rPr>
        <w:t>Psychotherapy relationships that work: Evidence-based responsiveness</w:t>
      </w:r>
      <w:r w:rsidRPr="009876E0">
        <w:t xml:space="preserve"> (2nd ed., pp. 203-223). New York: Oxford University.</w:t>
      </w:r>
    </w:p>
    <w:p w14:paraId="04D8CD01" w14:textId="77777777" w:rsidR="009876E0" w:rsidRPr="009876E0" w:rsidRDefault="009876E0" w:rsidP="009876E0">
      <w:pPr>
        <w:pStyle w:val="EndNoteBibliography"/>
        <w:ind w:left="720" w:hanging="720"/>
      </w:pPr>
      <w:r w:rsidRPr="009876E0">
        <w:t xml:space="preserve">Llewelyn, S. (1988). Psychological therapy as viewed by clients and therapists. </w:t>
      </w:r>
      <w:r w:rsidRPr="009876E0">
        <w:rPr>
          <w:i/>
        </w:rPr>
        <w:t>British Journal of Clinical Psychology, 27</w:t>
      </w:r>
      <w:r w:rsidRPr="009876E0">
        <w:t xml:space="preserve">, 223-238. </w:t>
      </w:r>
    </w:p>
    <w:p w14:paraId="55069753" w14:textId="77777777" w:rsidR="009876E0" w:rsidRPr="009876E0" w:rsidRDefault="009876E0" w:rsidP="009876E0">
      <w:pPr>
        <w:pStyle w:val="EndNoteBibliography"/>
        <w:ind w:left="720" w:hanging="720"/>
      </w:pPr>
      <w:r w:rsidRPr="009876E0">
        <w:t xml:space="preserve">Michael, C., &amp; Cooper, M. (2014). </w:t>
      </w:r>
      <w:r w:rsidRPr="009876E0">
        <w:rPr>
          <w:i/>
        </w:rPr>
        <w:t>The Goals Form: validating an individualised goals measure for evaluating clinical change</w:t>
      </w:r>
      <w:r w:rsidRPr="009876E0">
        <w:t xml:space="preserve">. Unpublished dissertation. University of Strathclyde. Glasgow. </w:t>
      </w:r>
    </w:p>
    <w:p w14:paraId="7BAC5876" w14:textId="77777777" w:rsidR="009876E0" w:rsidRPr="009876E0" w:rsidRDefault="009876E0" w:rsidP="009876E0">
      <w:pPr>
        <w:pStyle w:val="EndNoteBibliography"/>
        <w:ind w:left="720" w:hanging="720"/>
      </w:pPr>
      <w:r w:rsidRPr="009876E0">
        <w:t xml:space="preserve">Milton, M. (2010). </w:t>
      </w:r>
      <w:r w:rsidRPr="009876E0">
        <w:rPr>
          <w:i/>
        </w:rPr>
        <w:t>Therapy and Beyond: Counselling Psychology Contributions to Therapeutic and Social Issues</w:t>
      </w:r>
      <w:r w:rsidRPr="009876E0">
        <w:t>. London: Wiley-Blackwell.</w:t>
      </w:r>
    </w:p>
    <w:p w14:paraId="4C518B7E" w14:textId="77777777" w:rsidR="009876E0" w:rsidRPr="009876E0" w:rsidRDefault="009876E0" w:rsidP="009876E0">
      <w:pPr>
        <w:pStyle w:val="EndNoteBibliography"/>
        <w:ind w:left="720" w:hanging="720"/>
      </w:pPr>
      <w:r w:rsidRPr="009876E0">
        <w:t xml:space="preserve">National Collaborating Centre for Mental Health. (2010). Depression: The NICE guidelines on the treatment and management of depression in adults </w:t>
      </w:r>
      <w:r w:rsidRPr="009876E0">
        <w:rPr>
          <w:i/>
        </w:rPr>
        <w:t>Clinical Guideline CG90</w:t>
      </w:r>
      <w:r w:rsidRPr="009876E0">
        <w:t xml:space="preserve"> (Updated ed.). London: National Institute for Health and Clinical Excellence.</w:t>
      </w:r>
    </w:p>
    <w:p w14:paraId="574964B5" w14:textId="77777777" w:rsidR="009876E0" w:rsidRPr="009876E0" w:rsidRDefault="009876E0" w:rsidP="009876E0">
      <w:pPr>
        <w:pStyle w:val="EndNoteBibliography"/>
        <w:ind w:left="720" w:hanging="720"/>
      </w:pPr>
      <w:r w:rsidRPr="009876E0">
        <w:lastRenderedPageBreak/>
        <w:t xml:space="preserve">National Institute for Health and Clinical Excellence. (2009). Depression: The treatment and management of depression in adults (update) </w:t>
      </w:r>
      <w:r w:rsidRPr="009876E0">
        <w:rPr>
          <w:i/>
        </w:rPr>
        <w:t>Clinical Guideline CG90</w:t>
      </w:r>
      <w:r w:rsidRPr="009876E0">
        <w:t>. London: National Institute for Health and Clinical Excellence.</w:t>
      </w:r>
    </w:p>
    <w:p w14:paraId="3E3A648E" w14:textId="77777777" w:rsidR="009876E0" w:rsidRPr="009876E0" w:rsidRDefault="009876E0" w:rsidP="009876E0">
      <w:pPr>
        <w:pStyle w:val="EndNoteBibliography"/>
        <w:ind w:left="720" w:hanging="720"/>
      </w:pPr>
      <w:r w:rsidRPr="009876E0">
        <w:t xml:space="preserve">Perren, S., Godfrey, M., &amp; Rowland, N. (2009). The long-term effects of counselling: The process and mechanisms that contribute to ongoing change from a user perspective. </w:t>
      </w:r>
      <w:r w:rsidRPr="009876E0">
        <w:rPr>
          <w:i/>
        </w:rPr>
        <w:t>Counselling and Psychotherapy Research, 9</w:t>
      </w:r>
      <w:r w:rsidRPr="009876E0">
        <w:t xml:space="preserve">(4), 241 - 249. </w:t>
      </w:r>
    </w:p>
    <w:p w14:paraId="07D564BB" w14:textId="77777777" w:rsidR="009876E0" w:rsidRPr="009876E0" w:rsidRDefault="009876E0" w:rsidP="009876E0">
      <w:pPr>
        <w:pStyle w:val="EndNoteBibliography"/>
        <w:ind w:left="720" w:hanging="720"/>
      </w:pPr>
      <w:r w:rsidRPr="009876E0">
        <w:t xml:space="preserve">Sanders, P., &amp; Hill, A. (2014). </w:t>
      </w:r>
      <w:r w:rsidRPr="009876E0">
        <w:rPr>
          <w:i/>
        </w:rPr>
        <w:t>Counselling for depression: A person-centred and experiential approach to practice</w:t>
      </w:r>
      <w:r w:rsidRPr="009876E0">
        <w:t>. London: Sage.</w:t>
      </w:r>
    </w:p>
    <w:p w14:paraId="21DCB1B0" w14:textId="77777777" w:rsidR="009876E0" w:rsidRPr="009876E0" w:rsidRDefault="009876E0" w:rsidP="009876E0">
      <w:pPr>
        <w:pStyle w:val="EndNoteBibliography"/>
        <w:ind w:left="720" w:hanging="720"/>
      </w:pPr>
      <w:r w:rsidRPr="009876E0">
        <w:t xml:space="preserve">Schuman, D. L., Slone, N. C., Reese, R. J., &amp; Duncan, B. (2014). Efficacy of client feedback in group psychotherapy with soldiers referred for substance abuse treatment. </w:t>
      </w:r>
      <w:r w:rsidRPr="009876E0">
        <w:rPr>
          <w:i/>
        </w:rPr>
        <w:t>Psychotherapy Research</w:t>
      </w:r>
      <w:r w:rsidRPr="009876E0">
        <w:t>, 1-12. doi: 10.1080/10503307.2014.900875</w:t>
      </w:r>
    </w:p>
    <w:p w14:paraId="55EE4EDB" w14:textId="77777777" w:rsidR="009876E0" w:rsidRPr="009876E0" w:rsidRDefault="009876E0" w:rsidP="009876E0">
      <w:pPr>
        <w:pStyle w:val="EndNoteBibliography"/>
        <w:ind w:left="720" w:hanging="720"/>
      </w:pPr>
      <w:r w:rsidRPr="009876E0">
        <w:t xml:space="preserve">Scott, A. J. (2014). How to skin a cat: A case for and against the use of mindfulness-based cognitive therapy in pluralistic therapy. </w:t>
      </w:r>
      <w:r w:rsidRPr="009876E0">
        <w:rPr>
          <w:i/>
        </w:rPr>
        <w:t>Counselling Psychology Review, 28</w:t>
      </w:r>
      <w:r w:rsidRPr="009876E0">
        <w:t xml:space="preserve">(1), 81-90. </w:t>
      </w:r>
    </w:p>
    <w:p w14:paraId="5E2ABC2E" w14:textId="77777777" w:rsidR="009876E0" w:rsidRPr="009876E0" w:rsidRDefault="009876E0" w:rsidP="009876E0">
      <w:pPr>
        <w:pStyle w:val="EndNoteBibliography"/>
        <w:ind w:left="720" w:hanging="720"/>
      </w:pPr>
      <w:r w:rsidRPr="009876E0">
        <w:t xml:space="preserve">Spitzer, R. L., Kroenke, K., Williams, J. B., &amp; Löwe, B. (2006). A brief measure for assessing generalized anxiety disorder: the GAD-7. </w:t>
      </w:r>
      <w:r w:rsidRPr="009876E0">
        <w:rPr>
          <w:i/>
        </w:rPr>
        <w:t>Archives of internal medicine, 166</w:t>
      </w:r>
      <w:r w:rsidRPr="009876E0">
        <w:t xml:space="preserve">(10), 1092-1097. </w:t>
      </w:r>
    </w:p>
    <w:p w14:paraId="770CAE90" w14:textId="77777777" w:rsidR="009876E0" w:rsidRPr="009876E0" w:rsidRDefault="009876E0" w:rsidP="009876E0">
      <w:pPr>
        <w:pStyle w:val="EndNoteBibliography"/>
        <w:ind w:left="720" w:hanging="720"/>
      </w:pPr>
      <w:r w:rsidRPr="009876E0">
        <w:t xml:space="preserve">Stiles, W. B., Barkham, M., Mellor-Clark, J., &amp; Connell, J. (2008). Effectiveness of cognitive-behavioural, person-centred, and psychodynamic therapies in UK primary-care routine practice: replication in a larger sample. </w:t>
      </w:r>
      <w:r w:rsidRPr="009876E0">
        <w:rPr>
          <w:i/>
        </w:rPr>
        <w:t>Psychological Medicine, 38</w:t>
      </w:r>
      <w:r w:rsidRPr="009876E0">
        <w:t xml:space="preserve">(5), 677-688. </w:t>
      </w:r>
    </w:p>
    <w:p w14:paraId="64508543" w14:textId="77777777" w:rsidR="009876E0" w:rsidRPr="009876E0" w:rsidRDefault="009876E0" w:rsidP="009876E0">
      <w:pPr>
        <w:pStyle w:val="EndNoteBibliography"/>
        <w:ind w:left="720" w:hanging="720"/>
      </w:pPr>
      <w:r w:rsidRPr="009876E0">
        <w:t xml:space="preserve">Swift, J. K., Callahan, J. L., &amp; Vollmer, B. M. (2011). Preferences. In J. C. Norcross (Ed.), </w:t>
      </w:r>
      <w:r w:rsidRPr="009876E0">
        <w:rPr>
          <w:i/>
        </w:rPr>
        <w:t>Psychotherapy relationships that work</w:t>
      </w:r>
      <w:r w:rsidRPr="009876E0">
        <w:t xml:space="preserve"> (2nd ed., pp. 301-315). NY: Oxford University.</w:t>
      </w:r>
    </w:p>
    <w:p w14:paraId="2155955A" w14:textId="77777777" w:rsidR="009876E0" w:rsidRPr="009876E0" w:rsidRDefault="009876E0" w:rsidP="009876E0">
      <w:pPr>
        <w:pStyle w:val="EndNoteBibliography"/>
        <w:ind w:left="720" w:hanging="720"/>
      </w:pPr>
      <w:r w:rsidRPr="009876E0">
        <w:t xml:space="preserve">Timulak, L. (2007). Identifying core categories of client-identified impact of helpful events in psychotherapy: A qualitative meta-analysis. </w:t>
      </w:r>
      <w:r w:rsidRPr="009876E0">
        <w:rPr>
          <w:i/>
        </w:rPr>
        <w:t>Psychotherapy Research, 17</w:t>
      </w:r>
      <w:r w:rsidRPr="009876E0">
        <w:t xml:space="preserve">(3), 310-320. </w:t>
      </w:r>
    </w:p>
    <w:p w14:paraId="09292E48" w14:textId="77777777" w:rsidR="009876E0" w:rsidRPr="009876E0" w:rsidRDefault="009876E0" w:rsidP="009876E0">
      <w:pPr>
        <w:pStyle w:val="EndNoteBibliography"/>
        <w:ind w:left="720" w:hanging="720"/>
      </w:pPr>
      <w:r w:rsidRPr="009876E0">
        <w:lastRenderedPageBreak/>
        <w:t xml:space="preserve">Tracey, T. J., &amp; Kokotovic, A. M. (1989). Factor structure of the Working Alliance Inventory. </w:t>
      </w:r>
      <w:r w:rsidRPr="009876E0">
        <w:rPr>
          <w:i/>
        </w:rPr>
        <w:t>Psychological Assessment: A Journal of Consulting and Clinical Psychology, 1</w:t>
      </w:r>
      <w:r w:rsidRPr="009876E0">
        <w:t>(3), 207-210. doi: 10.1037/1040-3590.1.3.207</w:t>
      </w:r>
    </w:p>
    <w:p w14:paraId="5A97B33C" w14:textId="77777777" w:rsidR="009876E0" w:rsidRPr="009876E0" w:rsidRDefault="009876E0" w:rsidP="009876E0">
      <w:pPr>
        <w:pStyle w:val="EndNoteBibliography"/>
        <w:ind w:left="720" w:hanging="720"/>
      </w:pPr>
      <w:r w:rsidRPr="009876E0">
        <w:t xml:space="preserve">Tryon, G. S., &amp; Winograd, G. (2012). Goal consensus and collaboration. In J. C. Norcross (Ed.), </w:t>
      </w:r>
      <w:r w:rsidRPr="009876E0">
        <w:rPr>
          <w:i/>
        </w:rPr>
        <w:t>Psychotherapy Relationships that Work: Evidence-based responsiveness</w:t>
      </w:r>
      <w:r w:rsidRPr="009876E0">
        <w:t xml:space="preserve"> (2nd ed., pp. 153-167). New York: Oxford University Press.</w:t>
      </w:r>
    </w:p>
    <w:p w14:paraId="61C19106" w14:textId="77777777" w:rsidR="009876E0" w:rsidRPr="009876E0" w:rsidRDefault="009876E0" w:rsidP="009876E0">
      <w:pPr>
        <w:pStyle w:val="EndNoteBibliography"/>
        <w:ind w:left="720" w:hanging="720"/>
      </w:pPr>
      <w:r w:rsidRPr="009876E0">
        <w:t xml:space="preserve">Wierzbicki, M., &amp; Pekarik, G. (1993). A meta-analysis of psychotherapy dropout. </w:t>
      </w:r>
      <w:r w:rsidRPr="009876E0">
        <w:rPr>
          <w:i/>
        </w:rPr>
        <w:t>Professional Psychology: Research and Practice, 24</w:t>
      </w:r>
      <w:r w:rsidRPr="009876E0">
        <w:t xml:space="preserve">(2), 190-195. </w:t>
      </w:r>
    </w:p>
    <w:p w14:paraId="66A201BD" w14:textId="77777777" w:rsidR="009876E0" w:rsidRPr="009876E0" w:rsidRDefault="009876E0" w:rsidP="009876E0">
      <w:pPr>
        <w:pStyle w:val="EndNoteBibliography"/>
        <w:ind w:left="720" w:hanging="720"/>
      </w:pPr>
      <w:r w:rsidRPr="009876E0">
        <w:t>World Health Organization. (2001). World Health Report 2001: Mental health: new understanding, new hope. Geneva: World Health Organization.</w:t>
      </w:r>
    </w:p>
    <w:p w14:paraId="41184086" w14:textId="34650CB9" w:rsidR="004527CB" w:rsidRDefault="0094717B" w:rsidP="000D461F">
      <w:pPr>
        <w:spacing w:after="200"/>
        <w:ind w:firstLine="0"/>
        <w:rPr>
          <w:rFonts w:eastAsia="Times New Roman"/>
          <w:b/>
          <w:bCs/>
          <w:kern w:val="36"/>
          <w:lang w:eastAsia="tr-TR"/>
        </w:rPr>
      </w:pPr>
      <w:r>
        <w:rPr>
          <w:rFonts w:eastAsia="Times New Roman"/>
          <w:b/>
          <w:bCs/>
          <w:kern w:val="36"/>
          <w:lang w:eastAsia="tr-TR"/>
        </w:rPr>
        <w:fldChar w:fldCharType="end"/>
      </w:r>
    </w:p>
    <w:p w14:paraId="23A5F365" w14:textId="77777777" w:rsidR="004527CB" w:rsidRDefault="004527CB">
      <w:pPr>
        <w:spacing w:after="200" w:line="276" w:lineRule="auto"/>
        <w:ind w:firstLine="0"/>
        <w:rPr>
          <w:rFonts w:eastAsia="Times New Roman"/>
          <w:b/>
          <w:bCs/>
          <w:kern w:val="36"/>
          <w:lang w:eastAsia="tr-TR"/>
        </w:rPr>
      </w:pPr>
      <w:r>
        <w:rPr>
          <w:rFonts w:eastAsia="Times New Roman"/>
          <w:b/>
          <w:bCs/>
          <w:kern w:val="36"/>
          <w:lang w:eastAsia="tr-TR"/>
        </w:rPr>
        <w:br w:type="page"/>
      </w:r>
    </w:p>
    <w:tbl>
      <w:tblPr>
        <w:tblStyle w:val="TableGrid"/>
        <w:tblW w:w="9765"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2"/>
        <w:gridCol w:w="3543"/>
      </w:tblGrid>
      <w:tr w:rsidR="004527CB" w14:paraId="3E3A537B" w14:textId="77777777" w:rsidTr="004527CB">
        <w:tc>
          <w:tcPr>
            <w:tcW w:w="6222" w:type="dxa"/>
            <w:tcBorders>
              <w:top w:val="nil"/>
              <w:left w:val="nil"/>
              <w:bottom w:val="single" w:sz="8" w:space="0" w:color="auto"/>
              <w:right w:val="nil"/>
            </w:tcBorders>
          </w:tcPr>
          <w:p w14:paraId="1CE55FDB" w14:textId="77777777" w:rsidR="004527CB" w:rsidRDefault="004527CB">
            <w:pPr>
              <w:rPr>
                <w:rFonts w:ascii="Arial" w:hAnsi="Arial" w:cs="Arial"/>
                <w:sz w:val="20"/>
              </w:rPr>
            </w:pPr>
            <w:r>
              <w:rPr>
                <w:rFonts w:ascii="Arial" w:hAnsi="Arial" w:cs="Arial"/>
                <w:sz w:val="20"/>
              </w:rPr>
              <w:lastRenderedPageBreak/>
              <w:t xml:space="preserve">Table 1. Participant characteristics at baseline (treatment sample, </w:t>
            </w:r>
            <w:r>
              <w:rPr>
                <w:rFonts w:ascii="Arial" w:hAnsi="Arial" w:cs="Arial"/>
                <w:i/>
                <w:sz w:val="20"/>
              </w:rPr>
              <w:t>n</w:t>
            </w:r>
            <w:r>
              <w:rPr>
                <w:rFonts w:ascii="Arial" w:hAnsi="Arial" w:cs="Arial"/>
                <w:sz w:val="20"/>
              </w:rPr>
              <w:t xml:space="preserve"> = 39)</w:t>
            </w:r>
          </w:p>
          <w:p w14:paraId="269B0AE2" w14:textId="77777777" w:rsidR="004527CB" w:rsidRDefault="004527CB">
            <w:pPr>
              <w:rPr>
                <w:rFonts w:ascii="Arial" w:hAnsi="Arial" w:cs="Arial"/>
                <w:sz w:val="20"/>
              </w:rPr>
            </w:pPr>
          </w:p>
          <w:p w14:paraId="24FD4E07" w14:textId="77777777" w:rsidR="004527CB" w:rsidRDefault="004527CB">
            <w:pPr>
              <w:rPr>
                <w:rFonts w:ascii="Arial" w:hAnsi="Arial" w:cs="Arial"/>
                <w:sz w:val="20"/>
              </w:rPr>
            </w:pPr>
          </w:p>
        </w:tc>
        <w:tc>
          <w:tcPr>
            <w:tcW w:w="3543" w:type="dxa"/>
            <w:tcBorders>
              <w:top w:val="nil"/>
              <w:left w:val="nil"/>
              <w:bottom w:val="single" w:sz="8" w:space="0" w:color="auto"/>
              <w:right w:val="nil"/>
            </w:tcBorders>
          </w:tcPr>
          <w:p w14:paraId="24A738CA" w14:textId="77777777" w:rsidR="004527CB" w:rsidRDefault="004527CB">
            <w:pPr>
              <w:rPr>
                <w:rFonts w:ascii="Arial" w:hAnsi="Arial" w:cs="Arial"/>
                <w:sz w:val="20"/>
              </w:rPr>
            </w:pPr>
          </w:p>
        </w:tc>
      </w:tr>
      <w:tr w:rsidR="004527CB" w14:paraId="053FA6FF" w14:textId="77777777" w:rsidTr="004527CB">
        <w:tc>
          <w:tcPr>
            <w:tcW w:w="6222" w:type="dxa"/>
            <w:tcBorders>
              <w:top w:val="single" w:sz="4" w:space="0" w:color="auto"/>
              <w:left w:val="nil"/>
              <w:bottom w:val="single" w:sz="4" w:space="0" w:color="auto"/>
              <w:right w:val="nil"/>
            </w:tcBorders>
            <w:hideMark/>
          </w:tcPr>
          <w:p w14:paraId="5EA17511" w14:textId="77777777" w:rsidR="004527CB" w:rsidRDefault="004527CB">
            <w:pPr>
              <w:rPr>
                <w:rFonts w:ascii="Arial" w:hAnsi="Arial" w:cs="Arial"/>
                <w:b/>
                <w:sz w:val="20"/>
              </w:rPr>
            </w:pPr>
            <w:r>
              <w:rPr>
                <w:rFonts w:ascii="Arial" w:hAnsi="Arial" w:cs="Arial"/>
                <w:b/>
                <w:sz w:val="20"/>
              </w:rPr>
              <w:t>Age (years), mean ± SD</w:t>
            </w:r>
          </w:p>
        </w:tc>
        <w:tc>
          <w:tcPr>
            <w:tcW w:w="3543" w:type="dxa"/>
            <w:tcBorders>
              <w:top w:val="single" w:sz="4" w:space="0" w:color="auto"/>
              <w:left w:val="nil"/>
              <w:bottom w:val="single" w:sz="4" w:space="0" w:color="auto"/>
              <w:right w:val="nil"/>
            </w:tcBorders>
            <w:hideMark/>
          </w:tcPr>
          <w:p w14:paraId="7314EFC7" w14:textId="77777777" w:rsidR="004527CB" w:rsidRDefault="004527CB">
            <w:pPr>
              <w:rPr>
                <w:rFonts w:ascii="Arial" w:hAnsi="Arial" w:cs="Arial"/>
                <w:sz w:val="20"/>
              </w:rPr>
            </w:pPr>
            <w:r>
              <w:rPr>
                <w:rFonts w:ascii="Arial" w:hAnsi="Arial" w:cs="Arial"/>
                <w:sz w:val="20"/>
              </w:rPr>
              <w:t>30.9 ± 11.8</w:t>
            </w:r>
          </w:p>
        </w:tc>
      </w:tr>
      <w:tr w:rsidR="004527CB" w14:paraId="35A05D2D" w14:textId="77777777" w:rsidTr="004527CB">
        <w:tc>
          <w:tcPr>
            <w:tcW w:w="6222" w:type="dxa"/>
            <w:tcBorders>
              <w:top w:val="single" w:sz="4" w:space="0" w:color="auto"/>
              <w:left w:val="nil"/>
              <w:bottom w:val="nil"/>
              <w:right w:val="nil"/>
            </w:tcBorders>
            <w:hideMark/>
          </w:tcPr>
          <w:p w14:paraId="75F6484B" w14:textId="77777777" w:rsidR="004527CB" w:rsidRDefault="004527CB">
            <w:pPr>
              <w:rPr>
                <w:rFonts w:ascii="Arial" w:hAnsi="Arial" w:cs="Arial"/>
                <w:b/>
                <w:sz w:val="20"/>
              </w:rPr>
            </w:pPr>
            <w:r>
              <w:rPr>
                <w:rFonts w:ascii="Arial" w:hAnsi="Arial" w:cs="Arial"/>
                <w:b/>
                <w:sz w:val="20"/>
              </w:rPr>
              <w:t>Gender, n (%)</w:t>
            </w:r>
          </w:p>
        </w:tc>
        <w:tc>
          <w:tcPr>
            <w:tcW w:w="3543" w:type="dxa"/>
            <w:tcBorders>
              <w:top w:val="single" w:sz="4" w:space="0" w:color="auto"/>
              <w:left w:val="nil"/>
              <w:bottom w:val="nil"/>
              <w:right w:val="nil"/>
            </w:tcBorders>
          </w:tcPr>
          <w:p w14:paraId="04406647" w14:textId="77777777" w:rsidR="004527CB" w:rsidRDefault="004527CB">
            <w:pPr>
              <w:rPr>
                <w:rFonts w:ascii="Arial" w:hAnsi="Arial" w:cs="Arial"/>
                <w:sz w:val="20"/>
              </w:rPr>
            </w:pPr>
          </w:p>
        </w:tc>
      </w:tr>
      <w:tr w:rsidR="004527CB" w14:paraId="011A480E" w14:textId="77777777" w:rsidTr="004527CB">
        <w:tc>
          <w:tcPr>
            <w:tcW w:w="6222" w:type="dxa"/>
            <w:hideMark/>
          </w:tcPr>
          <w:p w14:paraId="642367B4" w14:textId="77777777" w:rsidR="004527CB" w:rsidRDefault="004527CB">
            <w:pPr>
              <w:tabs>
                <w:tab w:val="right" w:pos="2592"/>
              </w:tabs>
              <w:rPr>
                <w:rFonts w:ascii="Arial" w:hAnsi="Arial" w:cs="Arial"/>
                <w:sz w:val="20"/>
              </w:rPr>
            </w:pPr>
            <w:r>
              <w:rPr>
                <w:rFonts w:ascii="Arial" w:hAnsi="Arial" w:cs="Arial"/>
                <w:sz w:val="20"/>
              </w:rPr>
              <w:tab/>
              <w:t>Female</w:t>
            </w:r>
          </w:p>
        </w:tc>
        <w:tc>
          <w:tcPr>
            <w:tcW w:w="3543" w:type="dxa"/>
            <w:hideMark/>
          </w:tcPr>
          <w:p w14:paraId="3D4E54DC" w14:textId="77777777" w:rsidR="004527CB" w:rsidRDefault="004527CB">
            <w:pPr>
              <w:rPr>
                <w:rFonts w:ascii="Arial" w:hAnsi="Arial" w:cs="Arial"/>
                <w:sz w:val="20"/>
              </w:rPr>
            </w:pPr>
            <w:r>
              <w:rPr>
                <w:rFonts w:ascii="Arial" w:hAnsi="Arial" w:cs="Arial"/>
                <w:sz w:val="20"/>
              </w:rPr>
              <w:t>28 (71.8%)</w:t>
            </w:r>
          </w:p>
        </w:tc>
      </w:tr>
      <w:tr w:rsidR="004527CB" w14:paraId="66DCF6C4" w14:textId="77777777" w:rsidTr="004527CB">
        <w:tc>
          <w:tcPr>
            <w:tcW w:w="6222" w:type="dxa"/>
            <w:tcBorders>
              <w:top w:val="nil"/>
              <w:left w:val="nil"/>
              <w:bottom w:val="single" w:sz="4" w:space="0" w:color="auto"/>
              <w:right w:val="nil"/>
            </w:tcBorders>
            <w:hideMark/>
          </w:tcPr>
          <w:p w14:paraId="684AE32D" w14:textId="77777777" w:rsidR="004527CB" w:rsidRDefault="004527CB">
            <w:pPr>
              <w:tabs>
                <w:tab w:val="right" w:pos="2592"/>
              </w:tabs>
              <w:rPr>
                <w:rFonts w:ascii="Arial" w:hAnsi="Arial" w:cs="Arial"/>
                <w:sz w:val="20"/>
              </w:rPr>
            </w:pPr>
            <w:r>
              <w:rPr>
                <w:rFonts w:ascii="Arial" w:hAnsi="Arial" w:cs="Arial"/>
                <w:sz w:val="20"/>
              </w:rPr>
              <w:tab/>
              <w:t>Male</w:t>
            </w:r>
          </w:p>
        </w:tc>
        <w:tc>
          <w:tcPr>
            <w:tcW w:w="3543" w:type="dxa"/>
            <w:tcBorders>
              <w:top w:val="nil"/>
              <w:left w:val="nil"/>
              <w:bottom w:val="single" w:sz="4" w:space="0" w:color="auto"/>
              <w:right w:val="nil"/>
            </w:tcBorders>
            <w:hideMark/>
          </w:tcPr>
          <w:p w14:paraId="1BFA27FE" w14:textId="77777777" w:rsidR="004527CB" w:rsidRDefault="004527CB">
            <w:pPr>
              <w:rPr>
                <w:rFonts w:ascii="Arial" w:hAnsi="Arial" w:cs="Arial"/>
                <w:sz w:val="20"/>
              </w:rPr>
            </w:pPr>
            <w:r>
              <w:rPr>
                <w:rFonts w:ascii="Arial" w:hAnsi="Arial" w:cs="Arial"/>
                <w:sz w:val="20"/>
              </w:rPr>
              <w:t>11 (28.2%)</w:t>
            </w:r>
          </w:p>
        </w:tc>
      </w:tr>
      <w:tr w:rsidR="004527CB" w14:paraId="1C296B0C" w14:textId="77777777" w:rsidTr="004527CB">
        <w:tc>
          <w:tcPr>
            <w:tcW w:w="6222" w:type="dxa"/>
            <w:tcBorders>
              <w:top w:val="single" w:sz="4" w:space="0" w:color="auto"/>
              <w:left w:val="nil"/>
              <w:bottom w:val="nil"/>
              <w:right w:val="nil"/>
            </w:tcBorders>
            <w:hideMark/>
          </w:tcPr>
          <w:p w14:paraId="45F39F95" w14:textId="77777777" w:rsidR="004527CB" w:rsidRDefault="004527CB">
            <w:pPr>
              <w:tabs>
                <w:tab w:val="right" w:pos="2592"/>
              </w:tabs>
              <w:rPr>
                <w:rFonts w:ascii="Arial" w:hAnsi="Arial" w:cs="Arial"/>
                <w:b/>
                <w:sz w:val="20"/>
              </w:rPr>
            </w:pPr>
            <w:r>
              <w:rPr>
                <w:rFonts w:ascii="Arial" w:hAnsi="Arial" w:cs="Arial"/>
                <w:b/>
                <w:sz w:val="20"/>
              </w:rPr>
              <w:t>Ethnicity</w:t>
            </w:r>
          </w:p>
        </w:tc>
        <w:tc>
          <w:tcPr>
            <w:tcW w:w="3543" w:type="dxa"/>
            <w:tcBorders>
              <w:top w:val="single" w:sz="4" w:space="0" w:color="auto"/>
              <w:left w:val="nil"/>
              <w:bottom w:val="nil"/>
              <w:right w:val="nil"/>
            </w:tcBorders>
          </w:tcPr>
          <w:p w14:paraId="2E3E03ED" w14:textId="77777777" w:rsidR="004527CB" w:rsidRDefault="004527CB">
            <w:pPr>
              <w:rPr>
                <w:rFonts w:ascii="Arial" w:hAnsi="Arial" w:cs="Arial"/>
                <w:sz w:val="20"/>
              </w:rPr>
            </w:pPr>
          </w:p>
        </w:tc>
      </w:tr>
      <w:tr w:rsidR="004527CB" w14:paraId="34CEA999" w14:textId="77777777" w:rsidTr="004527CB">
        <w:tc>
          <w:tcPr>
            <w:tcW w:w="6222" w:type="dxa"/>
            <w:hideMark/>
          </w:tcPr>
          <w:p w14:paraId="7BFC7DED" w14:textId="77777777" w:rsidR="004527CB" w:rsidRDefault="004527CB">
            <w:pPr>
              <w:tabs>
                <w:tab w:val="right" w:pos="2592"/>
              </w:tabs>
              <w:rPr>
                <w:rFonts w:ascii="Arial" w:hAnsi="Arial" w:cs="Arial"/>
                <w:sz w:val="20"/>
              </w:rPr>
            </w:pPr>
            <w:r>
              <w:rPr>
                <w:rFonts w:ascii="Arial" w:hAnsi="Arial" w:cs="Arial"/>
                <w:sz w:val="20"/>
              </w:rPr>
              <w:tab/>
              <w:t>BME</w:t>
            </w:r>
          </w:p>
        </w:tc>
        <w:tc>
          <w:tcPr>
            <w:tcW w:w="3543" w:type="dxa"/>
            <w:hideMark/>
          </w:tcPr>
          <w:p w14:paraId="2077F3BF" w14:textId="77777777" w:rsidR="004527CB" w:rsidRDefault="004527CB">
            <w:pPr>
              <w:rPr>
                <w:rFonts w:ascii="Arial" w:hAnsi="Arial" w:cs="Arial"/>
                <w:sz w:val="20"/>
              </w:rPr>
            </w:pPr>
            <w:r>
              <w:rPr>
                <w:rFonts w:ascii="Arial" w:hAnsi="Arial" w:cs="Arial"/>
                <w:sz w:val="20"/>
              </w:rPr>
              <w:t>9 (23.1%)</w:t>
            </w:r>
          </w:p>
        </w:tc>
      </w:tr>
      <w:tr w:rsidR="004527CB" w14:paraId="282BAF93" w14:textId="77777777" w:rsidTr="004527CB">
        <w:tc>
          <w:tcPr>
            <w:tcW w:w="6222" w:type="dxa"/>
            <w:tcBorders>
              <w:top w:val="nil"/>
              <w:left w:val="nil"/>
              <w:bottom w:val="single" w:sz="4" w:space="0" w:color="auto"/>
              <w:right w:val="nil"/>
            </w:tcBorders>
            <w:hideMark/>
          </w:tcPr>
          <w:p w14:paraId="774D29CC" w14:textId="77777777" w:rsidR="004527CB" w:rsidRDefault="004527CB">
            <w:pPr>
              <w:tabs>
                <w:tab w:val="right" w:pos="2592"/>
              </w:tabs>
              <w:rPr>
                <w:rFonts w:ascii="Arial" w:hAnsi="Arial" w:cs="Arial"/>
                <w:sz w:val="20"/>
              </w:rPr>
            </w:pPr>
            <w:r>
              <w:rPr>
                <w:rFonts w:ascii="Arial" w:hAnsi="Arial" w:cs="Arial"/>
                <w:sz w:val="20"/>
              </w:rPr>
              <w:tab/>
              <w:t>White European</w:t>
            </w:r>
          </w:p>
        </w:tc>
        <w:tc>
          <w:tcPr>
            <w:tcW w:w="3543" w:type="dxa"/>
            <w:tcBorders>
              <w:top w:val="nil"/>
              <w:left w:val="nil"/>
              <w:bottom w:val="single" w:sz="4" w:space="0" w:color="auto"/>
              <w:right w:val="nil"/>
            </w:tcBorders>
            <w:hideMark/>
          </w:tcPr>
          <w:p w14:paraId="6649616E" w14:textId="77777777" w:rsidR="004527CB" w:rsidRDefault="004527CB">
            <w:pPr>
              <w:rPr>
                <w:rFonts w:ascii="Arial" w:hAnsi="Arial" w:cs="Arial"/>
                <w:sz w:val="20"/>
              </w:rPr>
            </w:pPr>
            <w:r>
              <w:rPr>
                <w:rFonts w:ascii="Arial" w:hAnsi="Arial" w:cs="Arial"/>
                <w:sz w:val="20"/>
              </w:rPr>
              <w:t>30 (76.9%)</w:t>
            </w:r>
          </w:p>
        </w:tc>
      </w:tr>
      <w:tr w:rsidR="004527CB" w14:paraId="37268F78" w14:textId="77777777" w:rsidTr="004527CB">
        <w:tc>
          <w:tcPr>
            <w:tcW w:w="6222" w:type="dxa"/>
            <w:tcBorders>
              <w:top w:val="single" w:sz="4" w:space="0" w:color="auto"/>
              <w:left w:val="nil"/>
              <w:bottom w:val="nil"/>
              <w:right w:val="nil"/>
            </w:tcBorders>
            <w:hideMark/>
          </w:tcPr>
          <w:p w14:paraId="2EFB627C" w14:textId="77777777" w:rsidR="004527CB" w:rsidRDefault="004527CB">
            <w:pPr>
              <w:tabs>
                <w:tab w:val="right" w:pos="2592"/>
              </w:tabs>
              <w:rPr>
                <w:rFonts w:ascii="Arial" w:hAnsi="Arial" w:cs="Arial"/>
                <w:b/>
                <w:sz w:val="20"/>
              </w:rPr>
            </w:pPr>
            <w:r>
              <w:rPr>
                <w:rFonts w:ascii="Arial" w:hAnsi="Arial" w:cs="Arial"/>
                <w:b/>
                <w:sz w:val="20"/>
              </w:rPr>
              <w:t>Disability</w:t>
            </w:r>
          </w:p>
        </w:tc>
        <w:tc>
          <w:tcPr>
            <w:tcW w:w="3543" w:type="dxa"/>
            <w:tcBorders>
              <w:top w:val="single" w:sz="4" w:space="0" w:color="auto"/>
              <w:left w:val="nil"/>
              <w:bottom w:val="nil"/>
              <w:right w:val="nil"/>
            </w:tcBorders>
          </w:tcPr>
          <w:p w14:paraId="7CFDFED8" w14:textId="77777777" w:rsidR="004527CB" w:rsidRDefault="004527CB">
            <w:pPr>
              <w:rPr>
                <w:rFonts w:ascii="Arial" w:hAnsi="Arial" w:cs="Arial"/>
                <w:sz w:val="20"/>
              </w:rPr>
            </w:pPr>
          </w:p>
        </w:tc>
      </w:tr>
      <w:tr w:rsidR="004527CB" w14:paraId="3EFC2994" w14:textId="77777777" w:rsidTr="004527CB">
        <w:tc>
          <w:tcPr>
            <w:tcW w:w="6222" w:type="dxa"/>
            <w:hideMark/>
          </w:tcPr>
          <w:p w14:paraId="5D5AB0C1" w14:textId="77777777" w:rsidR="004527CB" w:rsidRDefault="004527CB">
            <w:pPr>
              <w:tabs>
                <w:tab w:val="right" w:pos="2592"/>
              </w:tabs>
              <w:rPr>
                <w:rFonts w:ascii="Arial" w:hAnsi="Arial" w:cs="Arial"/>
                <w:sz w:val="20"/>
              </w:rPr>
            </w:pPr>
            <w:r>
              <w:rPr>
                <w:rFonts w:ascii="Arial" w:hAnsi="Arial" w:cs="Arial"/>
                <w:sz w:val="20"/>
              </w:rPr>
              <w:tab/>
              <w:t>Disabled</w:t>
            </w:r>
          </w:p>
        </w:tc>
        <w:tc>
          <w:tcPr>
            <w:tcW w:w="3543" w:type="dxa"/>
            <w:hideMark/>
          </w:tcPr>
          <w:p w14:paraId="7B3BC4DC" w14:textId="77777777" w:rsidR="004527CB" w:rsidRDefault="004527CB">
            <w:pPr>
              <w:rPr>
                <w:rFonts w:ascii="Arial" w:hAnsi="Arial" w:cs="Arial"/>
                <w:sz w:val="20"/>
              </w:rPr>
            </w:pPr>
            <w:r>
              <w:rPr>
                <w:rFonts w:ascii="Arial" w:hAnsi="Arial" w:cs="Arial"/>
                <w:sz w:val="20"/>
              </w:rPr>
              <w:t>4 (10.3%)</w:t>
            </w:r>
          </w:p>
        </w:tc>
      </w:tr>
      <w:tr w:rsidR="004527CB" w14:paraId="7016DB38" w14:textId="77777777" w:rsidTr="004527CB">
        <w:tc>
          <w:tcPr>
            <w:tcW w:w="6222" w:type="dxa"/>
            <w:tcBorders>
              <w:top w:val="nil"/>
              <w:left w:val="nil"/>
              <w:bottom w:val="single" w:sz="4" w:space="0" w:color="auto"/>
              <w:right w:val="nil"/>
            </w:tcBorders>
            <w:hideMark/>
          </w:tcPr>
          <w:p w14:paraId="6AD3DDC4" w14:textId="77777777" w:rsidR="004527CB" w:rsidRDefault="004527CB">
            <w:pPr>
              <w:tabs>
                <w:tab w:val="right" w:pos="2592"/>
              </w:tabs>
              <w:rPr>
                <w:rFonts w:ascii="Arial" w:hAnsi="Arial" w:cs="Arial"/>
                <w:sz w:val="20"/>
              </w:rPr>
            </w:pPr>
            <w:r>
              <w:rPr>
                <w:rFonts w:ascii="Arial" w:hAnsi="Arial" w:cs="Arial"/>
                <w:sz w:val="20"/>
              </w:rPr>
              <w:tab/>
              <w:t>Non-disabled</w:t>
            </w:r>
          </w:p>
        </w:tc>
        <w:tc>
          <w:tcPr>
            <w:tcW w:w="3543" w:type="dxa"/>
            <w:tcBorders>
              <w:top w:val="nil"/>
              <w:left w:val="nil"/>
              <w:bottom w:val="single" w:sz="4" w:space="0" w:color="auto"/>
              <w:right w:val="nil"/>
            </w:tcBorders>
            <w:hideMark/>
          </w:tcPr>
          <w:p w14:paraId="5CEFA196" w14:textId="77777777" w:rsidR="004527CB" w:rsidRDefault="004527CB">
            <w:pPr>
              <w:rPr>
                <w:rFonts w:ascii="Arial" w:hAnsi="Arial" w:cs="Arial"/>
                <w:sz w:val="20"/>
              </w:rPr>
            </w:pPr>
            <w:r>
              <w:rPr>
                <w:rFonts w:ascii="Arial" w:hAnsi="Arial" w:cs="Arial"/>
                <w:sz w:val="20"/>
              </w:rPr>
              <w:t>35 (89.7%)</w:t>
            </w:r>
          </w:p>
        </w:tc>
      </w:tr>
      <w:tr w:rsidR="004527CB" w14:paraId="1297D4C5" w14:textId="77777777" w:rsidTr="004527CB">
        <w:tc>
          <w:tcPr>
            <w:tcW w:w="6222" w:type="dxa"/>
            <w:tcBorders>
              <w:top w:val="single" w:sz="4" w:space="0" w:color="auto"/>
              <w:left w:val="nil"/>
              <w:bottom w:val="nil"/>
              <w:right w:val="nil"/>
            </w:tcBorders>
            <w:hideMark/>
          </w:tcPr>
          <w:p w14:paraId="37E4EA7B" w14:textId="77777777" w:rsidR="004527CB" w:rsidRDefault="004527CB">
            <w:pPr>
              <w:tabs>
                <w:tab w:val="right" w:pos="2592"/>
              </w:tabs>
              <w:rPr>
                <w:rFonts w:ascii="Arial" w:hAnsi="Arial" w:cs="Arial"/>
                <w:b/>
                <w:sz w:val="20"/>
              </w:rPr>
            </w:pPr>
            <w:r>
              <w:rPr>
                <w:rFonts w:ascii="Arial" w:hAnsi="Arial" w:cs="Arial"/>
                <w:b/>
                <w:sz w:val="20"/>
              </w:rPr>
              <w:t xml:space="preserve">Student </w:t>
            </w:r>
          </w:p>
        </w:tc>
        <w:tc>
          <w:tcPr>
            <w:tcW w:w="3543" w:type="dxa"/>
            <w:tcBorders>
              <w:top w:val="single" w:sz="4" w:space="0" w:color="auto"/>
              <w:left w:val="nil"/>
              <w:bottom w:val="nil"/>
              <w:right w:val="nil"/>
            </w:tcBorders>
          </w:tcPr>
          <w:p w14:paraId="64044354" w14:textId="77777777" w:rsidR="004527CB" w:rsidRDefault="004527CB">
            <w:pPr>
              <w:rPr>
                <w:rFonts w:ascii="Arial" w:hAnsi="Arial" w:cs="Arial"/>
                <w:sz w:val="20"/>
              </w:rPr>
            </w:pPr>
          </w:p>
        </w:tc>
      </w:tr>
      <w:tr w:rsidR="004527CB" w14:paraId="29404CAD" w14:textId="77777777" w:rsidTr="004527CB">
        <w:tc>
          <w:tcPr>
            <w:tcW w:w="6222" w:type="dxa"/>
            <w:hideMark/>
          </w:tcPr>
          <w:p w14:paraId="65CA4894" w14:textId="77777777" w:rsidR="004527CB" w:rsidRDefault="004527CB">
            <w:pPr>
              <w:tabs>
                <w:tab w:val="right" w:pos="2592"/>
              </w:tabs>
              <w:rPr>
                <w:rFonts w:ascii="Arial" w:hAnsi="Arial" w:cs="Arial"/>
                <w:sz w:val="20"/>
              </w:rPr>
            </w:pPr>
            <w:r>
              <w:rPr>
                <w:rFonts w:ascii="Arial" w:hAnsi="Arial" w:cs="Arial"/>
                <w:sz w:val="20"/>
              </w:rPr>
              <w:tab/>
              <w:t>In full time education</w:t>
            </w:r>
          </w:p>
        </w:tc>
        <w:tc>
          <w:tcPr>
            <w:tcW w:w="3543" w:type="dxa"/>
            <w:hideMark/>
          </w:tcPr>
          <w:p w14:paraId="1C4F4CC1" w14:textId="77777777" w:rsidR="004527CB" w:rsidRDefault="004527CB">
            <w:pPr>
              <w:rPr>
                <w:rFonts w:ascii="Arial" w:hAnsi="Arial" w:cs="Arial"/>
                <w:sz w:val="20"/>
              </w:rPr>
            </w:pPr>
            <w:r>
              <w:rPr>
                <w:rFonts w:ascii="Arial" w:hAnsi="Arial" w:cs="Arial"/>
                <w:sz w:val="20"/>
              </w:rPr>
              <w:t>20 (51.3%)</w:t>
            </w:r>
          </w:p>
        </w:tc>
      </w:tr>
      <w:tr w:rsidR="004527CB" w14:paraId="7468CBC7" w14:textId="77777777" w:rsidTr="004527CB">
        <w:tc>
          <w:tcPr>
            <w:tcW w:w="6222" w:type="dxa"/>
            <w:tcBorders>
              <w:top w:val="nil"/>
              <w:left w:val="nil"/>
              <w:bottom w:val="single" w:sz="4" w:space="0" w:color="auto"/>
              <w:right w:val="nil"/>
            </w:tcBorders>
            <w:hideMark/>
          </w:tcPr>
          <w:p w14:paraId="22CA440B" w14:textId="77777777" w:rsidR="004527CB" w:rsidRDefault="004527CB">
            <w:pPr>
              <w:tabs>
                <w:tab w:val="right" w:pos="2592"/>
              </w:tabs>
              <w:rPr>
                <w:rFonts w:ascii="Arial" w:hAnsi="Arial" w:cs="Arial"/>
                <w:sz w:val="20"/>
              </w:rPr>
            </w:pPr>
            <w:r>
              <w:rPr>
                <w:rFonts w:ascii="Arial" w:hAnsi="Arial" w:cs="Arial"/>
                <w:sz w:val="20"/>
              </w:rPr>
              <w:tab/>
              <w:t>Not in full-time education</w:t>
            </w:r>
          </w:p>
        </w:tc>
        <w:tc>
          <w:tcPr>
            <w:tcW w:w="3543" w:type="dxa"/>
            <w:tcBorders>
              <w:top w:val="nil"/>
              <w:left w:val="nil"/>
              <w:bottom w:val="single" w:sz="4" w:space="0" w:color="auto"/>
              <w:right w:val="nil"/>
            </w:tcBorders>
            <w:hideMark/>
          </w:tcPr>
          <w:p w14:paraId="44A12081" w14:textId="77777777" w:rsidR="004527CB" w:rsidRDefault="004527CB">
            <w:pPr>
              <w:rPr>
                <w:rFonts w:ascii="Arial" w:hAnsi="Arial" w:cs="Arial"/>
                <w:sz w:val="20"/>
              </w:rPr>
            </w:pPr>
            <w:r>
              <w:rPr>
                <w:rFonts w:ascii="Arial" w:hAnsi="Arial" w:cs="Arial"/>
                <w:sz w:val="20"/>
              </w:rPr>
              <w:t>19 (48.7%)</w:t>
            </w:r>
          </w:p>
        </w:tc>
      </w:tr>
      <w:tr w:rsidR="004527CB" w14:paraId="4B748D27" w14:textId="77777777" w:rsidTr="004527CB">
        <w:tc>
          <w:tcPr>
            <w:tcW w:w="6222" w:type="dxa"/>
            <w:tcBorders>
              <w:top w:val="single" w:sz="4" w:space="0" w:color="auto"/>
              <w:left w:val="nil"/>
              <w:bottom w:val="nil"/>
              <w:right w:val="nil"/>
            </w:tcBorders>
            <w:hideMark/>
          </w:tcPr>
          <w:p w14:paraId="735E861A" w14:textId="77777777" w:rsidR="004527CB" w:rsidRDefault="004527CB">
            <w:pPr>
              <w:rPr>
                <w:rFonts w:ascii="Arial" w:hAnsi="Arial" w:cs="Arial"/>
                <w:b/>
                <w:sz w:val="20"/>
              </w:rPr>
            </w:pPr>
            <w:r>
              <w:rPr>
                <w:rFonts w:ascii="Arial" w:hAnsi="Arial" w:cs="Arial"/>
                <w:b/>
                <w:sz w:val="20"/>
              </w:rPr>
              <w:t>Depression</w:t>
            </w:r>
            <w:r>
              <w:rPr>
                <w:rFonts w:ascii="Arial" w:hAnsi="Arial" w:cs="Arial"/>
                <w:b/>
                <w:sz w:val="20"/>
                <w:vertAlign w:val="superscript"/>
              </w:rPr>
              <w:t>a</w:t>
            </w:r>
          </w:p>
        </w:tc>
        <w:tc>
          <w:tcPr>
            <w:tcW w:w="3543" w:type="dxa"/>
            <w:tcBorders>
              <w:top w:val="single" w:sz="4" w:space="0" w:color="auto"/>
              <w:left w:val="nil"/>
              <w:bottom w:val="nil"/>
              <w:right w:val="nil"/>
            </w:tcBorders>
          </w:tcPr>
          <w:p w14:paraId="0C4B9A8B" w14:textId="77777777" w:rsidR="004527CB" w:rsidRDefault="004527CB">
            <w:pPr>
              <w:rPr>
                <w:rFonts w:ascii="Arial" w:hAnsi="Arial" w:cs="Arial"/>
                <w:sz w:val="20"/>
              </w:rPr>
            </w:pPr>
          </w:p>
        </w:tc>
      </w:tr>
      <w:tr w:rsidR="004527CB" w14:paraId="4F49595F" w14:textId="77777777" w:rsidTr="004527CB">
        <w:tc>
          <w:tcPr>
            <w:tcW w:w="6222" w:type="dxa"/>
            <w:hideMark/>
          </w:tcPr>
          <w:p w14:paraId="5157F605" w14:textId="77777777" w:rsidR="004527CB" w:rsidRDefault="004527CB">
            <w:pPr>
              <w:tabs>
                <w:tab w:val="right" w:pos="2592"/>
              </w:tabs>
              <w:rPr>
                <w:rFonts w:ascii="Arial" w:hAnsi="Arial" w:cs="Arial"/>
                <w:sz w:val="20"/>
              </w:rPr>
            </w:pPr>
            <w:r>
              <w:rPr>
                <w:rFonts w:ascii="Arial" w:hAnsi="Arial" w:cs="Arial"/>
                <w:sz w:val="20"/>
              </w:rPr>
              <w:tab/>
              <w:t>Moderate depression</w:t>
            </w:r>
          </w:p>
        </w:tc>
        <w:tc>
          <w:tcPr>
            <w:tcW w:w="3543" w:type="dxa"/>
            <w:hideMark/>
          </w:tcPr>
          <w:p w14:paraId="36860A63" w14:textId="77777777" w:rsidR="004527CB" w:rsidRDefault="004527CB">
            <w:pPr>
              <w:rPr>
                <w:rFonts w:ascii="Arial" w:hAnsi="Arial" w:cs="Arial"/>
                <w:sz w:val="20"/>
              </w:rPr>
            </w:pPr>
            <w:r>
              <w:rPr>
                <w:rFonts w:ascii="Arial" w:hAnsi="Arial" w:cs="Arial"/>
                <w:sz w:val="20"/>
              </w:rPr>
              <w:t>11 (28.2%)</w:t>
            </w:r>
          </w:p>
        </w:tc>
      </w:tr>
      <w:tr w:rsidR="004527CB" w14:paraId="0C6A691B" w14:textId="77777777" w:rsidTr="004527CB">
        <w:tc>
          <w:tcPr>
            <w:tcW w:w="6222" w:type="dxa"/>
            <w:hideMark/>
          </w:tcPr>
          <w:p w14:paraId="4BF67072" w14:textId="77777777" w:rsidR="004527CB" w:rsidRDefault="004527CB">
            <w:pPr>
              <w:tabs>
                <w:tab w:val="right" w:pos="2592"/>
              </w:tabs>
              <w:rPr>
                <w:rFonts w:ascii="Arial" w:hAnsi="Arial" w:cs="Arial"/>
                <w:sz w:val="20"/>
              </w:rPr>
            </w:pPr>
            <w:r>
              <w:rPr>
                <w:rFonts w:ascii="Arial" w:hAnsi="Arial" w:cs="Arial"/>
                <w:sz w:val="20"/>
              </w:rPr>
              <w:tab/>
              <w:t>Moderately severe depression</w:t>
            </w:r>
          </w:p>
        </w:tc>
        <w:tc>
          <w:tcPr>
            <w:tcW w:w="3543" w:type="dxa"/>
            <w:hideMark/>
          </w:tcPr>
          <w:p w14:paraId="4844A493" w14:textId="77777777" w:rsidR="004527CB" w:rsidRDefault="004527CB">
            <w:pPr>
              <w:rPr>
                <w:rFonts w:ascii="Arial" w:hAnsi="Arial" w:cs="Arial"/>
                <w:sz w:val="20"/>
              </w:rPr>
            </w:pPr>
            <w:r>
              <w:rPr>
                <w:rFonts w:ascii="Arial" w:hAnsi="Arial" w:cs="Arial"/>
                <w:sz w:val="20"/>
              </w:rPr>
              <w:t>10 (25.6%)</w:t>
            </w:r>
          </w:p>
        </w:tc>
      </w:tr>
      <w:tr w:rsidR="004527CB" w14:paraId="33A934F7" w14:textId="77777777" w:rsidTr="004527CB">
        <w:tc>
          <w:tcPr>
            <w:tcW w:w="6222" w:type="dxa"/>
            <w:tcBorders>
              <w:top w:val="nil"/>
              <w:left w:val="nil"/>
              <w:bottom w:val="single" w:sz="4" w:space="0" w:color="auto"/>
              <w:right w:val="nil"/>
            </w:tcBorders>
            <w:hideMark/>
          </w:tcPr>
          <w:p w14:paraId="694EF225" w14:textId="77777777" w:rsidR="004527CB" w:rsidRDefault="004527CB">
            <w:pPr>
              <w:tabs>
                <w:tab w:val="right" w:pos="2592"/>
              </w:tabs>
              <w:rPr>
                <w:rFonts w:ascii="Arial" w:hAnsi="Arial" w:cs="Arial"/>
                <w:sz w:val="20"/>
              </w:rPr>
            </w:pPr>
            <w:r>
              <w:rPr>
                <w:rFonts w:ascii="Arial" w:hAnsi="Arial" w:cs="Arial"/>
                <w:sz w:val="20"/>
              </w:rPr>
              <w:tab/>
              <w:t>Severe depression</w:t>
            </w:r>
          </w:p>
        </w:tc>
        <w:tc>
          <w:tcPr>
            <w:tcW w:w="3543" w:type="dxa"/>
            <w:tcBorders>
              <w:top w:val="nil"/>
              <w:left w:val="nil"/>
              <w:bottom w:val="single" w:sz="4" w:space="0" w:color="auto"/>
              <w:right w:val="nil"/>
            </w:tcBorders>
            <w:hideMark/>
          </w:tcPr>
          <w:p w14:paraId="14AC5E45" w14:textId="77777777" w:rsidR="004527CB" w:rsidRDefault="004527CB">
            <w:pPr>
              <w:rPr>
                <w:rFonts w:ascii="Arial" w:hAnsi="Arial" w:cs="Arial"/>
                <w:sz w:val="20"/>
              </w:rPr>
            </w:pPr>
            <w:r>
              <w:rPr>
                <w:rFonts w:ascii="Arial" w:hAnsi="Arial" w:cs="Arial"/>
                <w:sz w:val="20"/>
              </w:rPr>
              <w:t>18 (46.1%)</w:t>
            </w:r>
          </w:p>
        </w:tc>
      </w:tr>
      <w:tr w:rsidR="004527CB" w14:paraId="4F8F4247" w14:textId="77777777" w:rsidTr="004527CB">
        <w:tc>
          <w:tcPr>
            <w:tcW w:w="6222" w:type="dxa"/>
            <w:tcBorders>
              <w:top w:val="single" w:sz="4" w:space="0" w:color="auto"/>
              <w:left w:val="nil"/>
              <w:bottom w:val="nil"/>
              <w:right w:val="nil"/>
            </w:tcBorders>
            <w:hideMark/>
          </w:tcPr>
          <w:p w14:paraId="7D61AE89" w14:textId="77777777" w:rsidR="004527CB" w:rsidRDefault="004527CB">
            <w:pPr>
              <w:rPr>
                <w:rFonts w:ascii="Arial" w:hAnsi="Arial" w:cs="Arial"/>
                <w:b/>
                <w:sz w:val="20"/>
              </w:rPr>
            </w:pPr>
            <w:r>
              <w:rPr>
                <w:rFonts w:ascii="Arial" w:hAnsi="Arial" w:cs="Arial"/>
                <w:b/>
                <w:sz w:val="20"/>
              </w:rPr>
              <w:t>Anxiety</w:t>
            </w:r>
            <w:r>
              <w:rPr>
                <w:rFonts w:ascii="Arial" w:hAnsi="Arial" w:cs="Arial"/>
                <w:b/>
                <w:sz w:val="20"/>
                <w:vertAlign w:val="superscript"/>
              </w:rPr>
              <w:t>b</w:t>
            </w:r>
          </w:p>
        </w:tc>
        <w:tc>
          <w:tcPr>
            <w:tcW w:w="3543" w:type="dxa"/>
            <w:tcBorders>
              <w:top w:val="single" w:sz="4" w:space="0" w:color="auto"/>
              <w:left w:val="nil"/>
              <w:bottom w:val="nil"/>
              <w:right w:val="nil"/>
            </w:tcBorders>
          </w:tcPr>
          <w:p w14:paraId="2771B090" w14:textId="77777777" w:rsidR="004527CB" w:rsidRDefault="004527CB">
            <w:pPr>
              <w:rPr>
                <w:rFonts w:ascii="Arial" w:hAnsi="Arial" w:cs="Arial"/>
                <w:sz w:val="20"/>
              </w:rPr>
            </w:pPr>
          </w:p>
        </w:tc>
      </w:tr>
      <w:tr w:rsidR="004527CB" w14:paraId="08C8FEF0" w14:textId="77777777" w:rsidTr="004527CB">
        <w:tc>
          <w:tcPr>
            <w:tcW w:w="6222" w:type="dxa"/>
            <w:hideMark/>
          </w:tcPr>
          <w:p w14:paraId="45EE7FF3" w14:textId="77777777" w:rsidR="004527CB" w:rsidRDefault="004527CB">
            <w:pPr>
              <w:tabs>
                <w:tab w:val="right" w:pos="2592"/>
              </w:tabs>
              <w:rPr>
                <w:rFonts w:ascii="Arial" w:hAnsi="Arial" w:cs="Arial"/>
                <w:sz w:val="20"/>
              </w:rPr>
            </w:pPr>
            <w:r>
              <w:rPr>
                <w:rFonts w:ascii="Arial" w:hAnsi="Arial" w:cs="Arial"/>
                <w:sz w:val="20"/>
              </w:rPr>
              <w:tab/>
              <w:t>Minimal anxiety</w:t>
            </w:r>
          </w:p>
        </w:tc>
        <w:tc>
          <w:tcPr>
            <w:tcW w:w="3543" w:type="dxa"/>
            <w:hideMark/>
          </w:tcPr>
          <w:p w14:paraId="69AF652A" w14:textId="77777777" w:rsidR="004527CB" w:rsidRDefault="004527CB">
            <w:pPr>
              <w:rPr>
                <w:rFonts w:ascii="Arial" w:hAnsi="Arial" w:cs="Arial"/>
                <w:sz w:val="20"/>
              </w:rPr>
            </w:pPr>
            <w:r>
              <w:rPr>
                <w:rFonts w:ascii="Arial" w:hAnsi="Arial" w:cs="Arial"/>
                <w:sz w:val="20"/>
              </w:rPr>
              <w:t>0 (0%)</w:t>
            </w:r>
          </w:p>
        </w:tc>
      </w:tr>
      <w:tr w:rsidR="004527CB" w14:paraId="116EB099" w14:textId="77777777" w:rsidTr="004527CB">
        <w:tc>
          <w:tcPr>
            <w:tcW w:w="6222" w:type="dxa"/>
            <w:hideMark/>
          </w:tcPr>
          <w:p w14:paraId="21E8E846" w14:textId="77777777" w:rsidR="004527CB" w:rsidRDefault="004527CB">
            <w:pPr>
              <w:tabs>
                <w:tab w:val="right" w:pos="2592"/>
              </w:tabs>
              <w:rPr>
                <w:rFonts w:ascii="Arial" w:hAnsi="Arial" w:cs="Arial"/>
                <w:sz w:val="20"/>
              </w:rPr>
            </w:pPr>
            <w:r>
              <w:rPr>
                <w:rFonts w:ascii="Arial" w:hAnsi="Arial" w:cs="Arial"/>
                <w:sz w:val="20"/>
              </w:rPr>
              <w:tab/>
              <w:t>Mild anxiety</w:t>
            </w:r>
          </w:p>
        </w:tc>
        <w:tc>
          <w:tcPr>
            <w:tcW w:w="3543" w:type="dxa"/>
            <w:hideMark/>
          </w:tcPr>
          <w:p w14:paraId="7F2389E9" w14:textId="77777777" w:rsidR="004527CB" w:rsidRDefault="004527CB">
            <w:pPr>
              <w:rPr>
                <w:rFonts w:ascii="Arial" w:hAnsi="Arial" w:cs="Arial"/>
                <w:sz w:val="20"/>
              </w:rPr>
            </w:pPr>
            <w:r>
              <w:rPr>
                <w:rFonts w:ascii="Arial" w:hAnsi="Arial" w:cs="Arial"/>
                <w:sz w:val="20"/>
              </w:rPr>
              <w:t>8 (20.5%)</w:t>
            </w:r>
          </w:p>
        </w:tc>
      </w:tr>
      <w:tr w:rsidR="004527CB" w14:paraId="51D4BEC2" w14:textId="77777777" w:rsidTr="004527CB">
        <w:tc>
          <w:tcPr>
            <w:tcW w:w="6222" w:type="dxa"/>
            <w:hideMark/>
          </w:tcPr>
          <w:p w14:paraId="5E79A849" w14:textId="77777777" w:rsidR="004527CB" w:rsidRDefault="004527CB">
            <w:pPr>
              <w:tabs>
                <w:tab w:val="right" w:pos="2592"/>
              </w:tabs>
              <w:rPr>
                <w:rFonts w:ascii="Arial" w:hAnsi="Arial" w:cs="Arial"/>
                <w:sz w:val="20"/>
              </w:rPr>
            </w:pPr>
            <w:r>
              <w:rPr>
                <w:rFonts w:ascii="Arial" w:hAnsi="Arial" w:cs="Arial"/>
                <w:sz w:val="20"/>
              </w:rPr>
              <w:tab/>
              <w:t>Moderate anxiety</w:t>
            </w:r>
          </w:p>
        </w:tc>
        <w:tc>
          <w:tcPr>
            <w:tcW w:w="3543" w:type="dxa"/>
            <w:hideMark/>
          </w:tcPr>
          <w:p w14:paraId="7C39D607" w14:textId="77777777" w:rsidR="004527CB" w:rsidRDefault="004527CB">
            <w:pPr>
              <w:rPr>
                <w:rFonts w:ascii="Arial" w:hAnsi="Arial" w:cs="Arial"/>
                <w:sz w:val="20"/>
              </w:rPr>
            </w:pPr>
            <w:r>
              <w:rPr>
                <w:rFonts w:ascii="Arial" w:hAnsi="Arial" w:cs="Arial"/>
                <w:sz w:val="20"/>
              </w:rPr>
              <w:t>12 (30.8%)</w:t>
            </w:r>
          </w:p>
        </w:tc>
      </w:tr>
      <w:tr w:rsidR="004527CB" w14:paraId="1BBBB2C8" w14:textId="77777777" w:rsidTr="004527CB">
        <w:tc>
          <w:tcPr>
            <w:tcW w:w="6222" w:type="dxa"/>
            <w:tcBorders>
              <w:top w:val="nil"/>
              <w:left w:val="nil"/>
              <w:bottom w:val="single" w:sz="4" w:space="0" w:color="auto"/>
              <w:right w:val="nil"/>
            </w:tcBorders>
            <w:hideMark/>
          </w:tcPr>
          <w:p w14:paraId="69A6E7D3" w14:textId="77777777" w:rsidR="004527CB" w:rsidRDefault="004527CB">
            <w:pPr>
              <w:tabs>
                <w:tab w:val="right" w:pos="2592"/>
              </w:tabs>
              <w:rPr>
                <w:rFonts w:ascii="Arial" w:hAnsi="Arial" w:cs="Arial"/>
                <w:sz w:val="20"/>
              </w:rPr>
            </w:pPr>
            <w:r>
              <w:rPr>
                <w:rFonts w:ascii="Arial" w:hAnsi="Arial" w:cs="Arial"/>
                <w:sz w:val="20"/>
              </w:rPr>
              <w:tab/>
              <w:t>Severe anxiety</w:t>
            </w:r>
          </w:p>
        </w:tc>
        <w:tc>
          <w:tcPr>
            <w:tcW w:w="3543" w:type="dxa"/>
            <w:tcBorders>
              <w:top w:val="nil"/>
              <w:left w:val="nil"/>
              <w:bottom w:val="single" w:sz="4" w:space="0" w:color="auto"/>
              <w:right w:val="nil"/>
            </w:tcBorders>
            <w:hideMark/>
          </w:tcPr>
          <w:p w14:paraId="43187134" w14:textId="77777777" w:rsidR="004527CB" w:rsidRDefault="004527CB">
            <w:pPr>
              <w:rPr>
                <w:rFonts w:ascii="Arial" w:hAnsi="Arial" w:cs="Arial"/>
                <w:sz w:val="20"/>
              </w:rPr>
            </w:pPr>
            <w:r>
              <w:rPr>
                <w:rFonts w:ascii="Arial" w:hAnsi="Arial" w:cs="Arial"/>
                <w:sz w:val="20"/>
              </w:rPr>
              <w:t>19 (48.7%)</w:t>
            </w:r>
          </w:p>
        </w:tc>
      </w:tr>
    </w:tbl>
    <w:p w14:paraId="0AC662CC" w14:textId="77777777" w:rsidR="004527CB" w:rsidRDefault="004527CB" w:rsidP="004527CB">
      <w:pPr>
        <w:ind w:left="-1260"/>
        <w:rPr>
          <w:rFonts w:ascii="Arial" w:hAnsi="Arial" w:cs="Arial"/>
          <w:sz w:val="20"/>
          <w:szCs w:val="20"/>
        </w:rPr>
      </w:pPr>
      <w:r>
        <w:rPr>
          <w:rFonts w:ascii="Arial" w:hAnsi="Arial" w:cs="Arial"/>
          <w:sz w:val="20"/>
          <w:vertAlign w:val="superscript"/>
        </w:rPr>
        <w:t>a</w:t>
      </w:r>
      <w:r>
        <w:rPr>
          <w:rFonts w:ascii="Arial" w:hAnsi="Arial" w:cs="Arial"/>
          <w:sz w:val="20"/>
        </w:rPr>
        <w:t xml:space="preserve">Based on PHQ-9 scoring: 10-14 = Moderate depression, 15-19 = Moderately severe depression, 20-27 = Severe depression.  </w:t>
      </w:r>
      <w:r>
        <w:rPr>
          <w:rFonts w:ascii="Arial" w:hAnsi="Arial" w:cs="Arial"/>
          <w:sz w:val="20"/>
          <w:vertAlign w:val="superscript"/>
        </w:rPr>
        <w:t>b</w:t>
      </w:r>
      <w:r>
        <w:rPr>
          <w:rFonts w:ascii="Arial" w:hAnsi="Arial" w:cs="Arial"/>
          <w:sz w:val="20"/>
        </w:rPr>
        <w:t xml:space="preserve">Based on GAD-7 scoring: 0-4 = Minimal anxiety, 5-9 = Mild anxiety, 10-14 = Moderate anxiety, 15-21 = Severe anxiety.  </w:t>
      </w:r>
    </w:p>
    <w:p w14:paraId="5453F82F" w14:textId="77C8F22A" w:rsidR="004527CB" w:rsidRDefault="004527CB">
      <w:pPr>
        <w:spacing w:after="200" w:line="276" w:lineRule="auto"/>
        <w:ind w:firstLine="0"/>
        <w:rPr>
          <w:rFonts w:eastAsia="Times New Roman"/>
          <w:b/>
          <w:bCs/>
          <w:kern w:val="36"/>
          <w:lang w:eastAsia="tr-TR"/>
        </w:rPr>
      </w:pPr>
      <w:r>
        <w:rPr>
          <w:rFonts w:eastAsia="Times New Roman"/>
          <w:b/>
          <w:bCs/>
          <w:kern w:val="36"/>
          <w:lang w:eastAsia="tr-TR"/>
        </w:rPr>
        <w:br w:type="page"/>
      </w:r>
    </w:p>
    <w:p w14:paraId="2851DB70" w14:textId="77777777" w:rsidR="004527CB" w:rsidRDefault="004527CB" w:rsidP="004527CB">
      <w:r>
        <w:lastRenderedPageBreak/>
        <w:t>Table 2. Change from baseline to endpoint</w:t>
      </w:r>
    </w:p>
    <w:tbl>
      <w:tblPr>
        <w:tblStyle w:val="LightShading"/>
        <w:tblW w:w="8291" w:type="dxa"/>
        <w:tblLook w:val="04A0" w:firstRow="1" w:lastRow="0" w:firstColumn="1" w:lastColumn="0" w:noHBand="0" w:noVBand="1"/>
      </w:tblPr>
      <w:tblGrid>
        <w:gridCol w:w="2376"/>
        <w:gridCol w:w="985"/>
        <w:gridCol w:w="493"/>
        <w:gridCol w:w="493"/>
        <w:gridCol w:w="986"/>
        <w:gridCol w:w="986"/>
        <w:gridCol w:w="493"/>
        <w:gridCol w:w="493"/>
        <w:gridCol w:w="986"/>
      </w:tblGrid>
      <w:tr w:rsidR="004527CB" w14:paraId="429FD3E4" w14:textId="77777777" w:rsidTr="00452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il"/>
              <w:bottom w:val="nil"/>
              <w:right w:val="nil"/>
            </w:tcBorders>
            <w:hideMark/>
          </w:tcPr>
          <w:p w14:paraId="675C17F9" w14:textId="77777777" w:rsidR="004527CB" w:rsidRDefault="004527CB">
            <w:pPr>
              <w:spacing w:line="240" w:lineRule="auto"/>
              <w:rPr>
                <w:b w:val="0"/>
                <w:szCs w:val="22"/>
              </w:rPr>
            </w:pPr>
            <w:r>
              <w:rPr>
                <w:b w:val="0"/>
              </w:rPr>
              <w:t>Measure</w:t>
            </w:r>
          </w:p>
        </w:tc>
        <w:tc>
          <w:tcPr>
            <w:tcW w:w="1478" w:type="dxa"/>
            <w:gridSpan w:val="2"/>
            <w:tcBorders>
              <w:left w:val="nil"/>
              <w:bottom w:val="nil"/>
              <w:right w:val="nil"/>
            </w:tcBorders>
            <w:hideMark/>
          </w:tcPr>
          <w:p w14:paraId="5310A5D0" w14:textId="77777777" w:rsidR="004527CB" w:rsidRDefault="004527CB">
            <w:pPr>
              <w:spacing w:line="240" w:lineRule="auto"/>
              <w:jc w:val="center"/>
              <w:cnfStyle w:val="100000000000" w:firstRow="1" w:lastRow="0" w:firstColumn="0" w:lastColumn="0" w:oddVBand="0" w:evenVBand="0" w:oddHBand="0" w:evenHBand="0" w:firstRowFirstColumn="0" w:firstRowLastColumn="0" w:lastRowFirstColumn="0" w:lastRowLastColumn="0"/>
              <w:rPr>
                <w:b w:val="0"/>
                <w:szCs w:val="22"/>
              </w:rPr>
            </w:pPr>
            <w:r>
              <w:rPr>
                <w:b w:val="0"/>
              </w:rPr>
              <w:t>n</w:t>
            </w:r>
          </w:p>
        </w:tc>
        <w:tc>
          <w:tcPr>
            <w:tcW w:w="1479" w:type="dxa"/>
            <w:gridSpan w:val="2"/>
            <w:tcBorders>
              <w:left w:val="nil"/>
              <w:bottom w:val="single" w:sz="4" w:space="0" w:color="auto"/>
              <w:right w:val="nil"/>
            </w:tcBorders>
            <w:hideMark/>
          </w:tcPr>
          <w:p w14:paraId="40B60E27" w14:textId="77777777" w:rsidR="004527CB" w:rsidRDefault="004527CB">
            <w:pPr>
              <w:spacing w:line="240" w:lineRule="auto"/>
              <w:cnfStyle w:val="100000000000" w:firstRow="1" w:lastRow="0" w:firstColumn="0" w:lastColumn="0" w:oddVBand="0" w:evenVBand="0" w:oddHBand="0" w:evenHBand="0" w:firstRowFirstColumn="0" w:firstRowLastColumn="0" w:lastRowFirstColumn="0" w:lastRowLastColumn="0"/>
              <w:rPr>
                <w:b w:val="0"/>
                <w:szCs w:val="22"/>
              </w:rPr>
            </w:pPr>
            <w:r>
              <w:rPr>
                <w:b w:val="0"/>
              </w:rPr>
              <w:t>Baseline</w:t>
            </w:r>
          </w:p>
        </w:tc>
        <w:tc>
          <w:tcPr>
            <w:tcW w:w="1479" w:type="dxa"/>
            <w:gridSpan w:val="2"/>
            <w:tcBorders>
              <w:left w:val="nil"/>
              <w:bottom w:val="single" w:sz="4" w:space="0" w:color="auto"/>
              <w:right w:val="nil"/>
            </w:tcBorders>
            <w:hideMark/>
          </w:tcPr>
          <w:p w14:paraId="2349D618" w14:textId="77777777" w:rsidR="004527CB" w:rsidRDefault="004527CB">
            <w:pPr>
              <w:spacing w:line="240" w:lineRule="auto"/>
              <w:jc w:val="center"/>
              <w:cnfStyle w:val="100000000000" w:firstRow="1" w:lastRow="0" w:firstColumn="0" w:lastColumn="0" w:oddVBand="0" w:evenVBand="0" w:oddHBand="0" w:evenHBand="0" w:firstRowFirstColumn="0" w:firstRowLastColumn="0" w:lastRowFirstColumn="0" w:lastRowLastColumn="0"/>
              <w:rPr>
                <w:b w:val="0"/>
                <w:szCs w:val="22"/>
              </w:rPr>
            </w:pPr>
            <w:r>
              <w:rPr>
                <w:b w:val="0"/>
              </w:rPr>
              <w:t>Endpoint</w:t>
            </w:r>
          </w:p>
        </w:tc>
        <w:tc>
          <w:tcPr>
            <w:tcW w:w="1479" w:type="dxa"/>
            <w:gridSpan w:val="2"/>
            <w:tcBorders>
              <w:left w:val="nil"/>
              <w:bottom w:val="nil"/>
              <w:right w:val="nil"/>
            </w:tcBorders>
            <w:hideMark/>
          </w:tcPr>
          <w:p w14:paraId="62A72E15" w14:textId="77777777" w:rsidR="004527CB" w:rsidRDefault="004527CB">
            <w:pPr>
              <w:spacing w:line="240" w:lineRule="auto"/>
              <w:jc w:val="right"/>
              <w:cnfStyle w:val="100000000000" w:firstRow="1" w:lastRow="0" w:firstColumn="0" w:lastColumn="0" w:oddVBand="0" w:evenVBand="0" w:oddHBand="0" w:evenHBand="0" w:firstRowFirstColumn="0" w:firstRowLastColumn="0" w:lastRowFirstColumn="0" w:lastRowLastColumn="0"/>
              <w:rPr>
                <w:b w:val="0"/>
                <w:szCs w:val="22"/>
              </w:rPr>
            </w:pPr>
            <w:r>
              <w:rPr>
                <w:b w:val="0"/>
              </w:rPr>
              <w:t>d</w:t>
            </w:r>
          </w:p>
        </w:tc>
      </w:tr>
      <w:tr w:rsidR="004527CB" w14:paraId="57A876AE" w14:textId="77777777" w:rsidTr="00452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single" w:sz="4" w:space="0" w:color="auto"/>
              <w:right w:val="nil"/>
            </w:tcBorders>
          </w:tcPr>
          <w:p w14:paraId="089099C3" w14:textId="77777777" w:rsidR="004527CB" w:rsidRDefault="004527CB">
            <w:pPr>
              <w:spacing w:line="240" w:lineRule="auto"/>
              <w:rPr>
                <w:szCs w:val="22"/>
              </w:rPr>
            </w:pPr>
          </w:p>
        </w:tc>
        <w:tc>
          <w:tcPr>
            <w:tcW w:w="985" w:type="dxa"/>
            <w:tcBorders>
              <w:top w:val="nil"/>
              <w:left w:val="nil"/>
              <w:bottom w:val="single" w:sz="4" w:space="0" w:color="auto"/>
              <w:right w:val="nil"/>
            </w:tcBorders>
          </w:tcPr>
          <w:p w14:paraId="2E678FB4" w14:textId="77777777" w:rsidR="004527CB" w:rsidRDefault="004527CB">
            <w:pPr>
              <w:spacing w:line="240" w:lineRule="auto"/>
              <w:jc w:val="right"/>
              <w:cnfStyle w:val="000000100000" w:firstRow="0" w:lastRow="0" w:firstColumn="0" w:lastColumn="0" w:oddVBand="0" w:evenVBand="0" w:oddHBand="1" w:evenHBand="0" w:firstRowFirstColumn="0" w:firstRowLastColumn="0" w:lastRowFirstColumn="0" w:lastRowLastColumn="0"/>
              <w:rPr>
                <w:szCs w:val="22"/>
              </w:rPr>
            </w:pPr>
          </w:p>
        </w:tc>
        <w:tc>
          <w:tcPr>
            <w:tcW w:w="986" w:type="dxa"/>
            <w:gridSpan w:val="2"/>
            <w:tcBorders>
              <w:top w:val="nil"/>
              <w:left w:val="nil"/>
              <w:bottom w:val="single" w:sz="4" w:space="0" w:color="auto"/>
              <w:right w:val="nil"/>
            </w:tcBorders>
            <w:hideMark/>
          </w:tcPr>
          <w:p w14:paraId="5600B944" w14:textId="77777777" w:rsidR="004527CB" w:rsidRDefault="004527CB">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t>mean</w:t>
            </w:r>
          </w:p>
        </w:tc>
        <w:tc>
          <w:tcPr>
            <w:tcW w:w="986" w:type="dxa"/>
            <w:tcBorders>
              <w:top w:val="nil"/>
              <w:left w:val="nil"/>
              <w:bottom w:val="single" w:sz="4" w:space="0" w:color="auto"/>
              <w:right w:val="nil"/>
            </w:tcBorders>
            <w:hideMark/>
          </w:tcPr>
          <w:p w14:paraId="74D04D7A" w14:textId="77777777" w:rsidR="004527CB" w:rsidRDefault="004527CB">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t>SD</w:t>
            </w:r>
          </w:p>
        </w:tc>
        <w:tc>
          <w:tcPr>
            <w:tcW w:w="986" w:type="dxa"/>
            <w:tcBorders>
              <w:top w:val="nil"/>
              <w:left w:val="nil"/>
              <w:bottom w:val="single" w:sz="4" w:space="0" w:color="auto"/>
              <w:right w:val="nil"/>
            </w:tcBorders>
            <w:hideMark/>
          </w:tcPr>
          <w:p w14:paraId="7639311C" w14:textId="77777777" w:rsidR="004527CB" w:rsidRDefault="004527CB">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t>mean</w:t>
            </w:r>
          </w:p>
        </w:tc>
        <w:tc>
          <w:tcPr>
            <w:tcW w:w="986" w:type="dxa"/>
            <w:gridSpan w:val="2"/>
            <w:tcBorders>
              <w:top w:val="nil"/>
              <w:left w:val="nil"/>
              <w:bottom w:val="single" w:sz="4" w:space="0" w:color="auto"/>
              <w:right w:val="nil"/>
            </w:tcBorders>
            <w:hideMark/>
          </w:tcPr>
          <w:p w14:paraId="0B1DFFAD" w14:textId="77777777" w:rsidR="004527CB" w:rsidRDefault="004527CB">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t>SD</w:t>
            </w:r>
          </w:p>
        </w:tc>
        <w:tc>
          <w:tcPr>
            <w:tcW w:w="986" w:type="dxa"/>
            <w:tcBorders>
              <w:top w:val="nil"/>
              <w:left w:val="nil"/>
              <w:bottom w:val="single" w:sz="4" w:space="0" w:color="auto"/>
              <w:right w:val="nil"/>
            </w:tcBorders>
          </w:tcPr>
          <w:p w14:paraId="18E6571B" w14:textId="77777777" w:rsidR="004527CB" w:rsidRDefault="004527CB">
            <w:pPr>
              <w:spacing w:line="240" w:lineRule="auto"/>
              <w:jc w:val="right"/>
              <w:cnfStyle w:val="000000100000" w:firstRow="0" w:lastRow="0" w:firstColumn="0" w:lastColumn="0" w:oddVBand="0" w:evenVBand="0" w:oddHBand="1" w:evenHBand="0" w:firstRowFirstColumn="0" w:firstRowLastColumn="0" w:lastRowFirstColumn="0" w:lastRowLastColumn="0"/>
              <w:rPr>
                <w:szCs w:val="22"/>
              </w:rPr>
            </w:pPr>
          </w:p>
        </w:tc>
      </w:tr>
      <w:tr w:rsidR="004527CB" w14:paraId="7115A960" w14:textId="77777777" w:rsidTr="004527CB">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nil"/>
              <w:bottom w:val="nil"/>
              <w:right w:val="nil"/>
            </w:tcBorders>
            <w:hideMark/>
          </w:tcPr>
          <w:p w14:paraId="74DDE32D" w14:textId="77777777" w:rsidR="004527CB" w:rsidRDefault="004527CB">
            <w:pPr>
              <w:spacing w:line="240" w:lineRule="auto"/>
              <w:rPr>
                <w:b w:val="0"/>
                <w:szCs w:val="22"/>
              </w:rPr>
            </w:pPr>
            <w:r>
              <w:rPr>
                <w:b w:val="0"/>
              </w:rPr>
              <w:t>PHQ</w:t>
            </w:r>
          </w:p>
        </w:tc>
        <w:tc>
          <w:tcPr>
            <w:tcW w:w="985" w:type="dxa"/>
            <w:tcBorders>
              <w:top w:val="single" w:sz="4" w:space="0" w:color="auto"/>
              <w:left w:val="nil"/>
              <w:bottom w:val="nil"/>
              <w:right w:val="nil"/>
            </w:tcBorders>
            <w:hideMark/>
          </w:tcPr>
          <w:p w14:paraId="7F6119BF"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39</w:t>
            </w:r>
          </w:p>
        </w:tc>
        <w:tc>
          <w:tcPr>
            <w:tcW w:w="986" w:type="dxa"/>
            <w:gridSpan w:val="2"/>
            <w:tcBorders>
              <w:top w:val="single" w:sz="4" w:space="0" w:color="auto"/>
              <w:left w:val="nil"/>
              <w:bottom w:val="nil"/>
              <w:right w:val="nil"/>
            </w:tcBorders>
            <w:hideMark/>
          </w:tcPr>
          <w:p w14:paraId="4B25C3E0"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18.4</w:t>
            </w:r>
          </w:p>
        </w:tc>
        <w:tc>
          <w:tcPr>
            <w:tcW w:w="986" w:type="dxa"/>
            <w:tcBorders>
              <w:top w:val="single" w:sz="4" w:space="0" w:color="auto"/>
              <w:left w:val="nil"/>
              <w:bottom w:val="nil"/>
              <w:right w:val="nil"/>
            </w:tcBorders>
            <w:hideMark/>
          </w:tcPr>
          <w:p w14:paraId="02D83C39"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4.3</w:t>
            </w:r>
          </w:p>
        </w:tc>
        <w:tc>
          <w:tcPr>
            <w:tcW w:w="986" w:type="dxa"/>
            <w:tcBorders>
              <w:top w:val="single" w:sz="4" w:space="0" w:color="auto"/>
              <w:left w:val="nil"/>
              <w:bottom w:val="nil"/>
              <w:right w:val="nil"/>
            </w:tcBorders>
            <w:hideMark/>
          </w:tcPr>
          <w:p w14:paraId="3C8B1400"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10.6</w:t>
            </w:r>
          </w:p>
        </w:tc>
        <w:tc>
          <w:tcPr>
            <w:tcW w:w="986" w:type="dxa"/>
            <w:gridSpan w:val="2"/>
            <w:tcBorders>
              <w:top w:val="single" w:sz="4" w:space="0" w:color="auto"/>
              <w:left w:val="nil"/>
              <w:bottom w:val="nil"/>
              <w:right w:val="nil"/>
            </w:tcBorders>
            <w:hideMark/>
          </w:tcPr>
          <w:p w14:paraId="3E8B0DCF"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7.1</w:t>
            </w:r>
          </w:p>
        </w:tc>
        <w:tc>
          <w:tcPr>
            <w:tcW w:w="986" w:type="dxa"/>
            <w:tcBorders>
              <w:top w:val="single" w:sz="4" w:space="0" w:color="auto"/>
              <w:left w:val="nil"/>
              <w:bottom w:val="nil"/>
              <w:right w:val="nil"/>
            </w:tcBorders>
            <w:hideMark/>
          </w:tcPr>
          <w:p w14:paraId="779D8574"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1.81</w:t>
            </w:r>
          </w:p>
        </w:tc>
      </w:tr>
      <w:tr w:rsidR="004527CB" w14:paraId="468B85A8" w14:textId="77777777" w:rsidTr="00452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right w:val="nil"/>
            </w:tcBorders>
            <w:hideMark/>
          </w:tcPr>
          <w:p w14:paraId="670FB9FD" w14:textId="77777777" w:rsidR="004527CB" w:rsidRDefault="004527CB">
            <w:pPr>
              <w:spacing w:line="240" w:lineRule="auto"/>
              <w:rPr>
                <w:b w:val="0"/>
                <w:szCs w:val="22"/>
              </w:rPr>
            </w:pPr>
            <w:r>
              <w:rPr>
                <w:b w:val="0"/>
              </w:rPr>
              <w:t>GAD</w:t>
            </w:r>
          </w:p>
        </w:tc>
        <w:tc>
          <w:tcPr>
            <w:tcW w:w="985" w:type="dxa"/>
            <w:tcBorders>
              <w:top w:val="nil"/>
              <w:left w:val="nil"/>
              <w:bottom w:val="nil"/>
              <w:right w:val="nil"/>
            </w:tcBorders>
            <w:hideMark/>
          </w:tcPr>
          <w:p w14:paraId="615F1153" w14:textId="77777777" w:rsidR="004527CB" w:rsidRDefault="004527CB">
            <w:pPr>
              <w:spacing w:line="240" w:lineRule="auto"/>
              <w:jc w:val="right"/>
              <w:cnfStyle w:val="000000100000" w:firstRow="0" w:lastRow="0" w:firstColumn="0" w:lastColumn="0" w:oddVBand="0" w:evenVBand="0" w:oddHBand="1" w:evenHBand="0" w:firstRowFirstColumn="0" w:firstRowLastColumn="0" w:lastRowFirstColumn="0" w:lastRowLastColumn="0"/>
              <w:rPr>
                <w:szCs w:val="22"/>
              </w:rPr>
            </w:pPr>
            <w:r>
              <w:t>39</w:t>
            </w:r>
          </w:p>
        </w:tc>
        <w:tc>
          <w:tcPr>
            <w:tcW w:w="986" w:type="dxa"/>
            <w:gridSpan w:val="2"/>
            <w:tcBorders>
              <w:top w:val="nil"/>
              <w:left w:val="nil"/>
              <w:bottom w:val="nil"/>
              <w:right w:val="nil"/>
            </w:tcBorders>
            <w:hideMark/>
          </w:tcPr>
          <w:p w14:paraId="17288501" w14:textId="77777777" w:rsidR="004527CB" w:rsidRDefault="004527CB">
            <w:pPr>
              <w:spacing w:line="240" w:lineRule="auto"/>
              <w:jc w:val="right"/>
              <w:cnfStyle w:val="000000100000" w:firstRow="0" w:lastRow="0" w:firstColumn="0" w:lastColumn="0" w:oddVBand="0" w:evenVBand="0" w:oddHBand="1" w:evenHBand="0" w:firstRowFirstColumn="0" w:firstRowLastColumn="0" w:lastRowFirstColumn="0" w:lastRowLastColumn="0"/>
              <w:rPr>
                <w:szCs w:val="22"/>
              </w:rPr>
            </w:pPr>
            <w:r>
              <w:t>14.5</w:t>
            </w:r>
          </w:p>
        </w:tc>
        <w:tc>
          <w:tcPr>
            <w:tcW w:w="986" w:type="dxa"/>
            <w:tcBorders>
              <w:top w:val="nil"/>
              <w:left w:val="nil"/>
              <w:bottom w:val="nil"/>
              <w:right w:val="nil"/>
            </w:tcBorders>
            <w:hideMark/>
          </w:tcPr>
          <w:p w14:paraId="088347C4" w14:textId="77777777" w:rsidR="004527CB" w:rsidRDefault="004527CB">
            <w:pPr>
              <w:spacing w:line="240" w:lineRule="auto"/>
              <w:jc w:val="right"/>
              <w:cnfStyle w:val="000000100000" w:firstRow="0" w:lastRow="0" w:firstColumn="0" w:lastColumn="0" w:oddVBand="0" w:evenVBand="0" w:oddHBand="1" w:evenHBand="0" w:firstRowFirstColumn="0" w:firstRowLastColumn="0" w:lastRowFirstColumn="0" w:lastRowLastColumn="0"/>
              <w:rPr>
                <w:szCs w:val="22"/>
              </w:rPr>
            </w:pPr>
            <w:r>
              <w:t>4.7</w:t>
            </w:r>
          </w:p>
        </w:tc>
        <w:tc>
          <w:tcPr>
            <w:tcW w:w="986" w:type="dxa"/>
            <w:tcBorders>
              <w:top w:val="nil"/>
              <w:left w:val="nil"/>
              <w:bottom w:val="nil"/>
              <w:right w:val="nil"/>
            </w:tcBorders>
            <w:hideMark/>
          </w:tcPr>
          <w:p w14:paraId="2F64D9DC" w14:textId="77777777" w:rsidR="004527CB" w:rsidRDefault="004527CB">
            <w:pPr>
              <w:spacing w:line="240" w:lineRule="auto"/>
              <w:jc w:val="right"/>
              <w:cnfStyle w:val="000000100000" w:firstRow="0" w:lastRow="0" w:firstColumn="0" w:lastColumn="0" w:oddVBand="0" w:evenVBand="0" w:oddHBand="1" w:evenHBand="0" w:firstRowFirstColumn="0" w:firstRowLastColumn="0" w:lastRowFirstColumn="0" w:lastRowLastColumn="0"/>
              <w:rPr>
                <w:szCs w:val="22"/>
              </w:rPr>
            </w:pPr>
            <w:r>
              <w:t>9.1</w:t>
            </w:r>
          </w:p>
        </w:tc>
        <w:tc>
          <w:tcPr>
            <w:tcW w:w="986" w:type="dxa"/>
            <w:gridSpan w:val="2"/>
            <w:tcBorders>
              <w:top w:val="nil"/>
              <w:left w:val="nil"/>
              <w:bottom w:val="nil"/>
              <w:right w:val="nil"/>
            </w:tcBorders>
            <w:hideMark/>
          </w:tcPr>
          <w:p w14:paraId="4B06947A" w14:textId="77777777" w:rsidR="004527CB" w:rsidRDefault="004527CB">
            <w:pPr>
              <w:spacing w:line="240" w:lineRule="auto"/>
              <w:jc w:val="right"/>
              <w:cnfStyle w:val="000000100000" w:firstRow="0" w:lastRow="0" w:firstColumn="0" w:lastColumn="0" w:oddVBand="0" w:evenVBand="0" w:oddHBand="1" w:evenHBand="0" w:firstRowFirstColumn="0" w:firstRowLastColumn="0" w:lastRowFirstColumn="0" w:lastRowLastColumn="0"/>
              <w:rPr>
                <w:szCs w:val="22"/>
              </w:rPr>
            </w:pPr>
            <w:r>
              <w:t>6.1</w:t>
            </w:r>
          </w:p>
        </w:tc>
        <w:tc>
          <w:tcPr>
            <w:tcW w:w="986" w:type="dxa"/>
            <w:tcBorders>
              <w:top w:val="nil"/>
              <w:left w:val="nil"/>
              <w:bottom w:val="nil"/>
              <w:right w:val="nil"/>
            </w:tcBorders>
            <w:hideMark/>
          </w:tcPr>
          <w:p w14:paraId="567AF811" w14:textId="77777777" w:rsidR="004527CB" w:rsidRDefault="004527CB">
            <w:pPr>
              <w:spacing w:line="240" w:lineRule="auto"/>
              <w:jc w:val="right"/>
              <w:cnfStyle w:val="000000100000" w:firstRow="0" w:lastRow="0" w:firstColumn="0" w:lastColumn="0" w:oddVBand="0" w:evenVBand="0" w:oddHBand="1" w:evenHBand="0" w:firstRowFirstColumn="0" w:firstRowLastColumn="0" w:lastRowFirstColumn="0" w:lastRowLastColumn="0"/>
              <w:rPr>
                <w:szCs w:val="22"/>
              </w:rPr>
            </w:pPr>
            <w:r>
              <w:t>1.14</w:t>
            </w:r>
          </w:p>
        </w:tc>
      </w:tr>
      <w:tr w:rsidR="004527CB" w14:paraId="46E6373A" w14:textId="77777777" w:rsidTr="004527CB">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single" w:sz="8" w:space="0" w:color="000000" w:themeColor="text1"/>
              <w:right w:val="nil"/>
            </w:tcBorders>
            <w:hideMark/>
          </w:tcPr>
          <w:p w14:paraId="719363EE" w14:textId="77777777" w:rsidR="004527CB" w:rsidRDefault="004527CB">
            <w:pPr>
              <w:spacing w:line="240" w:lineRule="auto"/>
              <w:rPr>
                <w:b w:val="0"/>
                <w:szCs w:val="22"/>
              </w:rPr>
            </w:pPr>
            <w:r>
              <w:rPr>
                <w:b w:val="0"/>
              </w:rPr>
              <w:t>Goals Form</w:t>
            </w:r>
          </w:p>
        </w:tc>
        <w:tc>
          <w:tcPr>
            <w:tcW w:w="985" w:type="dxa"/>
            <w:tcBorders>
              <w:top w:val="nil"/>
              <w:left w:val="nil"/>
              <w:bottom w:val="single" w:sz="8" w:space="0" w:color="000000" w:themeColor="text1"/>
              <w:right w:val="nil"/>
            </w:tcBorders>
            <w:hideMark/>
          </w:tcPr>
          <w:p w14:paraId="3E6DA2DD"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31</w:t>
            </w:r>
          </w:p>
        </w:tc>
        <w:tc>
          <w:tcPr>
            <w:tcW w:w="986" w:type="dxa"/>
            <w:gridSpan w:val="2"/>
            <w:tcBorders>
              <w:top w:val="nil"/>
              <w:left w:val="nil"/>
              <w:bottom w:val="single" w:sz="8" w:space="0" w:color="000000" w:themeColor="text1"/>
              <w:right w:val="nil"/>
            </w:tcBorders>
            <w:hideMark/>
          </w:tcPr>
          <w:p w14:paraId="0F0DC670"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2.5</w:t>
            </w:r>
          </w:p>
        </w:tc>
        <w:tc>
          <w:tcPr>
            <w:tcW w:w="986" w:type="dxa"/>
            <w:tcBorders>
              <w:top w:val="nil"/>
              <w:left w:val="nil"/>
              <w:bottom w:val="single" w:sz="8" w:space="0" w:color="000000" w:themeColor="text1"/>
              <w:right w:val="nil"/>
            </w:tcBorders>
            <w:hideMark/>
          </w:tcPr>
          <w:p w14:paraId="1E827B79"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1.1</w:t>
            </w:r>
          </w:p>
        </w:tc>
        <w:tc>
          <w:tcPr>
            <w:tcW w:w="986" w:type="dxa"/>
            <w:tcBorders>
              <w:top w:val="nil"/>
              <w:left w:val="nil"/>
              <w:bottom w:val="single" w:sz="8" w:space="0" w:color="000000" w:themeColor="text1"/>
              <w:right w:val="nil"/>
            </w:tcBorders>
            <w:hideMark/>
          </w:tcPr>
          <w:p w14:paraId="0EC7A10F"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4.2</w:t>
            </w:r>
          </w:p>
        </w:tc>
        <w:tc>
          <w:tcPr>
            <w:tcW w:w="986" w:type="dxa"/>
            <w:gridSpan w:val="2"/>
            <w:tcBorders>
              <w:top w:val="nil"/>
              <w:left w:val="nil"/>
              <w:bottom w:val="single" w:sz="8" w:space="0" w:color="000000" w:themeColor="text1"/>
              <w:right w:val="nil"/>
            </w:tcBorders>
            <w:hideMark/>
          </w:tcPr>
          <w:p w14:paraId="1B7A7699"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1.3</w:t>
            </w:r>
          </w:p>
        </w:tc>
        <w:tc>
          <w:tcPr>
            <w:tcW w:w="986" w:type="dxa"/>
            <w:tcBorders>
              <w:top w:val="nil"/>
              <w:left w:val="nil"/>
              <w:bottom w:val="single" w:sz="8" w:space="0" w:color="000000" w:themeColor="text1"/>
              <w:right w:val="nil"/>
            </w:tcBorders>
            <w:hideMark/>
          </w:tcPr>
          <w:p w14:paraId="44247D42" w14:textId="77777777" w:rsidR="004527CB" w:rsidRDefault="004527CB">
            <w:pPr>
              <w:spacing w:line="240" w:lineRule="auto"/>
              <w:jc w:val="right"/>
              <w:cnfStyle w:val="000000000000" w:firstRow="0" w:lastRow="0" w:firstColumn="0" w:lastColumn="0" w:oddVBand="0" w:evenVBand="0" w:oddHBand="0" w:evenHBand="0" w:firstRowFirstColumn="0" w:firstRowLastColumn="0" w:lastRowFirstColumn="0" w:lastRowLastColumn="0"/>
              <w:rPr>
                <w:szCs w:val="22"/>
              </w:rPr>
            </w:pPr>
            <w:r>
              <w:t>1.55</w:t>
            </w:r>
          </w:p>
        </w:tc>
      </w:tr>
    </w:tbl>
    <w:p w14:paraId="72FF2F17" w14:textId="08E17547" w:rsidR="00C24751" w:rsidRDefault="004527CB" w:rsidP="000D461F">
      <w:pPr>
        <w:spacing w:after="200"/>
        <w:ind w:firstLine="0"/>
        <w:rPr>
          <w:vertAlign w:val="superscript"/>
        </w:rPr>
      </w:pPr>
      <w:r>
        <w:rPr>
          <w:i/>
          <w:vertAlign w:val="superscript"/>
        </w:rPr>
        <w:t xml:space="preserve">Note. </w:t>
      </w:r>
      <w:r>
        <w:rPr>
          <w:vertAlign w:val="superscript"/>
        </w:rPr>
        <w:t xml:space="preserve">Cohen’s </w:t>
      </w:r>
      <w:r>
        <w:rPr>
          <w:i/>
          <w:vertAlign w:val="superscript"/>
        </w:rPr>
        <w:t>d</w:t>
      </w:r>
      <w:r>
        <w:rPr>
          <w:vertAlign w:val="superscript"/>
        </w:rPr>
        <w:t xml:space="preserve"> = (Baseline</w:t>
      </w:r>
    </w:p>
    <w:p w14:paraId="4C5CEA07" w14:textId="238AE217" w:rsidR="004527CB" w:rsidRDefault="004527CB">
      <w:pPr>
        <w:spacing w:after="200" w:line="276" w:lineRule="auto"/>
        <w:ind w:firstLine="0"/>
        <w:rPr>
          <w:vertAlign w:val="superscript"/>
        </w:rPr>
      </w:pPr>
      <w:r>
        <w:rPr>
          <w:vertAlign w:val="superscript"/>
        </w:rPr>
        <w:br w:type="page"/>
      </w:r>
    </w:p>
    <w:p w14:paraId="1C11C978" w14:textId="77777777" w:rsidR="004527CB" w:rsidRDefault="004527CB" w:rsidP="004527CB">
      <w:r>
        <w:lastRenderedPageBreak/>
        <w:t>Table 3. Ratings of the PfD therapeutic process</w:t>
      </w:r>
    </w:p>
    <w:p w14:paraId="716ABFFB" w14:textId="77777777" w:rsidR="004527CB" w:rsidRDefault="004527CB" w:rsidP="004527CB">
      <w:pPr>
        <w:ind w:left="-1260"/>
      </w:pPr>
    </w:p>
    <w:tbl>
      <w:tblPr>
        <w:tblStyle w:val="TableGrid"/>
        <w:tblpPr w:leftFromText="180" w:rightFromText="180" w:vertAnchor="page" w:horzAnchor="margin" w:tblpY="208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5"/>
        <w:gridCol w:w="1945"/>
        <w:gridCol w:w="1937"/>
        <w:gridCol w:w="1935"/>
      </w:tblGrid>
      <w:tr w:rsidR="004527CB" w14:paraId="2A6DBFFF" w14:textId="77777777" w:rsidTr="004527CB">
        <w:tc>
          <w:tcPr>
            <w:tcW w:w="1853" w:type="pct"/>
            <w:tcBorders>
              <w:top w:val="nil"/>
              <w:left w:val="nil"/>
              <w:bottom w:val="single" w:sz="4" w:space="0" w:color="auto"/>
              <w:right w:val="nil"/>
            </w:tcBorders>
            <w:hideMark/>
          </w:tcPr>
          <w:p w14:paraId="2753F3A6" w14:textId="77777777" w:rsidR="004527CB" w:rsidRDefault="004527CB">
            <w:r>
              <w:t>Measure</w:t>
            </w:r>
          </w:p>
        </w:tc>
        <w:tc>
          <w:tcPr>
            <w:tcW w:w="1052" w:type="pct"/>
            <w:tcBorders>
              <w:top w:val="nil"/>
              <w:left w:val="nil"/>
              <w:bottom w:val="single" w:sz="4" w:space="0" w:color="auto"/>
              <w:right w:val="nil"/>
            </w:tcBorders>
            <w:hideMark/>
          </w:tcPr>
          <w:p w14:paraId="5AB6FDB2" w14:textId="77777777" w:rsidR="004527CB" w:rsidRDefault="004527CB">
            <w:pPr>
              <w:jc w:val="center"/>
            </w:pPr>
            <w:r>
              <w:t>Mean (SD)</w:t>
            </w:r>
          </w:p>
        </w:tc>
        <w:tc>
          <w:tcPr>
            <w:tcW w:w="1048" w:type="pct"/>
            <w:tcBorders>
              <w:top w:val="nil"/>
              <w:left w:val="nil"/>
              <w:bottom w:val="single" w:sz="4" w:space="0" w:color="auto"/>
              <w:right w:val="nil"/>
            </w:tcBorders>
            <w:hideMark/>
          </w:tcPr>
          <w:p w14:paraId="392F8010" w14:textId="77777777" w:rsidR="004527CB" w:rsidRDefault="004527CB">
            <w:pPr>
              <w:jc w:val="center"/>
            </w:pPr>
            <w:r>
              <w:t>Median (range)</w:t>
            </w:r>
          </w:p>
        </w:tc>
        <w:tc>
          <w:tcPr>
            <w:tcW w:w="1047" w:type="pct"/>
            <w:tcBorders>
              <w:top w:val="nil"/>
              <w:left w:val="nil"/>
              <w:bottom w:val="single" w:sz="4" w:space="0" w:color="auto"/>
              <w:right w:val="nil"/>
            </w:tcBorders>
            <w:hideMark/>
          </w:tcPr>
          <w:p w14:paraId="6E50BCF4" w14:textId="77777777" w:rsidR="004527CB" w:rsidRDefault="004527CB">
            <w:pPr>
              <w:jc w:val="center"/>
            </w:pPr>
            <w:r>
              <w:t>N</w:t>
            </w:r>
          </w:p>
        </w:tc>
      </w:tr>
      <w:tr w:rsidR="004527CB" w14:paraId="718718BB" w14:textId="77777777" w:rsidTr="004527CB">
        <w:tc>
          <w:tcPr>
            <w:tcW w:w="1853" w:type="pct"/>
            <w:hideMark/>
          </w:tcPr>
          <w:p w14:paraId="4F6B6E15" w14:textId="77777777" w:rsidR="004527CB" w:rsidRDefault="004527CB">
            <w:pPr>
              <w:tabs>
                <w:tab w:val="right" w:pos="2592"/>
              </w:tabs>
            </w:pPr>
            <w:r>
              <w:t xml:space="preserve">SES </w:t>
            </w:r>
          </w:p>
        </w:tc>
        <w:tc>
          <w:tcPr>
            <w:tcW w:w="1052" w:type="pct"/>
            <w:hideMark/>
          </w:tcPr>
          <w:p w14:paraId="676AEA4D" w14:textId="77777777" w:rsidR="004527CB" w:rsidRDefault="004527CB">
            <w:pPr>
              <w:jc w:val="right"/>
            </w:pPr>
            <w:r>
              <w:t>7.4 (1.5)</w:t>
            </w:r>
          </w:p>
        </w:tc>
        <w:tc>
          <w:tcPr>
            <w:tcW w:w="1048" w:type="pct"/>
            <w:hideMark/>
          </w:tcPr>
          <w:p w14:paraId="0BAB818A" w14:textId="77777777" w:rsidR="004527CB" w:rsidRDefault="004527CB">
            <w:pPr>
              <w:jc w:val="right"/>
            </w:pPr>
            <w:r>
              <w:t xml:space="preserve">7.3 (3.5 </w:t>
            </w:r>
            <w:r>
              <w:noBreakHyphen/>
              <w:t xml:space="preserve"> 10)</w:t>
            </w:r>
          </w:p>
        </w:tc>
        <w:tc>
          <w:tcPr>
            <w:tcW w:w="1047" w:type="pct"/>
            <w:hideMark/>
          </w:tcPr>
          <w:p w14:paraId="4D953E62" w14:textId="77777777" w:rsidR="004527CB" w:rsidRDefault="004527CB">
            <w:pPr>
              <w:jc w:val="right"/>
            </w:pPr>
            <w:r>
              <w:t>527</w:t>
            </w:r>
          </w:p>
        </w:tc>
      </w:tr>
      <w:tr w:rsidR="004527CB" w14:paraId="6EAB456B" w14:textId="77777777" w:rsidTr="004527CB">
        <w:tc>
          <w:tcPr>
            <w:tcW w:w="1853" w:type="pct"/>
            <w:hideMark/>
          </w:tcPr>
          <w:p w14:paraId="66CCA3AF" w14:textId="77777777" w:rsidR="004527CB" w:rsidRDefault="004527CB">
            <w:pPr>
              <w:tabs>
                <w:tab w:val="right" w:pos="2592"/>
              </w:tabs>
            </w:pPr>
            <w:r>
              <w:t>SRS</w:t>
            </w:r>
          </w:p>
        </w:tc>
        <w:tc>
          <w:tcPr>
            <w:tcW w:w="1052" w:type="pct"/>
            <w:hideMark/>
          </w:tcPr>
          <w:p w14:paraId="53B06430" w14:textId="77777777" w:rsidR="004527CB" w:rsidRDefault="004527CB">
            <w:pPr>
              <w:jc w:val="right"/>
            </w:pPr>
            <w:r>
              <w:t>37.3 (4.3)</w:t>
            </w:r>
          </w:p>
        </w:tc>
        <w:tc>
          <w:tcPr>
            <w:tcW w:w="1048" w:type="pct"/>
            <w:hideMark/>
          </w:tcPr>
          <w:p w14:paraId="310069B1" w14:textId="77777777" w:rsidR="004527CB" w:rsidRDefault="004527CB">
            <w:pPr>
              <w:jc w:val="right"/>
            </w:pPr>
            <w:r>
              <w:t xml:space="preserve">39.3 (17.2 </w:t>
            </w:r>
            <w:r>
              <w:noBreakHyphen/>
              <w:t xml:space="preserve"> 40)</w:t>
            </w:r>
          </w:p>
        </w:tc>
        <w:tc>
          <w:tcPr>
            <w:tcW w:w="1047" w:type="pct"/>
            <w:hideMark/>
          </w:tcPr>
          <w:p w14:paraId="77E3867C" w14:textId="77777777" w:rsidR="004527CB" w:rsidRDefault="004527CB">
            <w:pPr>
              <w:jc w:val="right"/>
            </w:pPr>
            <w:r>
              <w:t>524</w:t>
            </w:r>
          </w:p>
        </w:tc>
      </w:tr>
      <w:tr w:rsidR="004527CB" w14:paraId="43AE1BBF" w14:textId="77777777" w:rsidTr="004527CB">
        <w:tc>
          <w:tcPr>
            <w:tcW w:w="1853" w:type="pct"/>
            <w:hideMark/>
          </w:tcPr>
          <w:p w14:paraId="3B931C2C" w14:textId="77777777" w:rsidR="004527CB" w:rsidRDefault="004527CB">
            <w:r>
              <w:t>WAI-S S4</w:t>
            </w:r>
          </w:p>
        </w:tc>
        <w:tc>
          <w:tcPr>
            <w:tcW w:w="1052" w:type="pct"/>
            <w:hideMark/>
          </w:tcPr>
          <w:p w14:paraId="15AC9908" w14:textId="77777777" w:rsidR="004527CB" w:rsidRDefault="004527CB">
            <w:pPr>
              <w:jc w:val="right"/>
            </w:pPr>
            <w:r>
              <w:t>67.1 (11.4)</w:t>
            </w:r>
          </w:p>
        </w:tc>
        <w:tc>
          <w:tcPr>
            <w:tcW w:w="1048" w:type="pct"/>
            <w:hideMark/>
          </w:tcPr>
          <w:p w14:paraId="1977819B" w14:textId="77777777" w:rsidR="004527CB" w:rsidRDefault="004527CB">
            <w:pPr>
              <w:jc w:val="right"/>
            </w:pPr>
            <w:r>
              <w:t xml:space="preserve">68.5 (43 </w:t>
            </w:r>
            <w:r>
              <w:noBreakHyphen/>
              <w:t xml:space="preserve"> 83)</w:t>
            </w:r>
          </w:p>
        </w:tc>
        <w:tc>
          <w:tcPr>
            <w:tcW w:w="1047" w:type="pct"/>
            <w:hideMark/>
          </w:tcPr>
          <w:p w14:paraId="18B3C58B" w14:textId="77777777" w:rsidR="004527CB" w:rsidRDefault="004527CB">
            <w:pPr>
              <w:jc w:val="right"/>
            </w:pPr>
            <w:r>
              <w:t>30</w:t>
            </w:r>
          </w:p>
        </w:tc>
      </w:tr>
      <w:tr w:rsidR="004527CB" w14:paraId="08E87AF0" w14:textId="77777777" w:rsidTr="004527CB">
        <w:tc>
          <w:tcPr>
            <w:tcW w:w="1853" w:type="pct"/>
            <w:hideMark/>
          </w:tcPr>
          <w:p w14:paraId="096B3559" w14:textId="77777777" w:rsidR="004527CB" w:rsidRDefault="004527CB">
            <w:r>
              <w:t>WAI-S10</w:t>
            </w:r>
          </w:p>
        </w:tc>
        <w:tc>
          <w:tcPr>
            <w:tcW w:w="1052" w:type="pct"/>
            <w:hideMark/>
          </w:tcPr>
          <w:p w14:paraId="70EA4B54" w14:textId="77777777" w:rsidR="004527CB" w:rsidRDefault="004527CB">
            <w:pPr>
              <w:jc w:val="right"/>
            </w:pPr>
            <w:r>
              <w:t xml:space="preserve">70.1 </w:t>
            </w:r>
            <w:r>
              <w:lastRenderedPageBreak/>
              <w:t>(10.1)</w:t>
            </w:r>
          </w:p>
        </w:tc>
        <w:tc>
          <w:tcPr>
            <w:tcW w:w="1048" w:type="pct"/>
            <w:hideMark/>
          </w:tcPr>
          <w:p w14:paraId="6758D7F7" w14:textId="77777777" w:rsidR="004527CB" w:rsidRDefault="004527CB">
            <w:pPr>
              <w:jc w:val="right"/>
            </w:pPr>
            <w:r>
              <w:lastRenderedPageBreak/>
              <w:t xml:space="preserve">72 </w:t>
            </w:r>
            <w:r>
              <w:lastRenderedPageBreak/>
              <w:t xml:space="preserve">(50 </w:t>
            </w:r>
            <w:r>
              <w:noBreakHyphen/>
              <w:t xml:space="preserve"> 84)</w:t>
            </w:r>
          </w:p>
        </w:tc>
        <w:tc>
          <w:tcPr>
            <w:tcW w:w="1047" w:type="pct"/>
            <w:hideMark/>
          </w:tcPr>
          <w:p w14:paraId="566201B6" w14:textId="77777777" w:rsidR="004527CB" w:rsidRDefault="004527CB">
            <w:pPr>
              <w:jc w:val="right"/>
            </w:pPr>
            <w:r>
              <w:lastRenderedPageBreak/>
              <w:t>19</w:t>
            </w:r>
          </w:p>
        </w:tc>
      </w:tr>
      <w:tr w:rsidR="004527CB" w14:paraId="59188159" w14:textId="77777777" w:rsidTr="004527CB">
        <w:tc>
          <w:tcPr>
            <w:tcW w:w="1853" w:type="pct"/>
            <w:hideMark/>
          </w:tcPr>
          <w:p w14:paraId="59C0F82B" w14:textId="77777777" w:rsidR="004527CB" w:rsidRDefault="004527CB">
            <w:r>
              <w:lastRenderedPageBreak/>
              <w:t>ANS S4</w:t>
            </w:r>
          </w:p>
        </w:tc>
        <w:tc>
          <w:tcPr>
            <w:tcW w:w="1052" w:type="pct"/>
            <w:hideMark/>
          </w:tcPr>
          <w:p w14:paraId="5AFD5F30" w14:textId="77777777" w:rsidR="004527CB" w:rsidRDefault="004527CB">
            <w:pPr>
              <w:jc w:val="right"/>
            </w:pPr>
            <w:r>
              <w:t>66.4 (12.0)</w:t>
            </w:r>
          </w:p>
        </w:tc>
        <w:tc>
          <w:tcPr>
            <w:tcW w:w="1048" w:type="pct"/>
            <w:hideMark/>
          </w:tcPr>
          <w:p w14:paraId="45399EE9" w14:textId="77777777" w:rsidR="004527CB" w:rsidRDefault="004527CB">
            <w:pPr>
              <w:jc w:val="right"/>
            </w:pPr>
            <w:r>
              <w:t xml:space="preserve">70 (37 </w:t>
            </w:r>
            <w:r>
              <w:noBreakHyphen/>
              <w:t xml:space="preserve"> 84)</w:t>
            </w:r>
          </w:p>
        </w:tc>
        <w:tc>
          <w:tcPr>
            <w:tcW w:w="1047" w:type="pct"/>
            <w:hideMark/>
          </w:tcPr>
          <w:p w14:paraId="4E922EC1" w14:textId="77777777" w:rsidR="004527CB" w:rsidRDefault="004527CB">
            <w:pPr>
              <w:jc w:val="right"/>
            </w:pPr>
            <w:r>
              <w:t>31</w:t>
            </w:r>
          </w:p>
        </w:tc>
      </w:tr>
      <w:tr w:rsidR="004527CB" w14:paraId="64A8B728" w14:textId="77777777" w:rsidTr="004527CB">
        <w:tc>
          <w:tcPr>
            <w:tcW w:w="1853" w:type="pct"/>
            <w:tcBorders>
              <w:top w:val="nil"/>
              <w:left w:val="nil"/>
              <w:bottom w:val="single" w:sz="4" w:space="0" w:color="auto"/>
              <w:right w:val="nil"/>
            </w:tcBorders>
            <w:hideMark/>
          </w:tcPr>
          <w:p w14:paraId="1C270801" w14:textId="77777777" w:rsidR="004527CB" w:rsidRDefault="004527CB">
            <w:r>
              <w:t>ANS S10</w:t>
            </w:r>
          </w:p>
        </w:tc>
        <w:tc>
          <w:tcPr>
            <w:tcW w:w="1052" w:type="pct"/>
            <w:tcBorders>
              <w:top w:val="nil"/>
              <w:left w:val="nil"/>
              <w:bottom w:val="single" w:sz="4" w:space="0" w:color="auto"/>
              <w:right w:val="nil"/>
            </w:tcBorders>
            <w:hideMark/>
          </w:tcPr>
          <w:p w14:paraId="206ACB95" w14:textId="77777777" w:rsidR="004527CB" w:rsidRDefault="004527CB">
            <w:pPr>
              <w:jc w:val="right"/>
            </w:pPr>
            <w:r>
              <w:t>70.9 (9.6)</w:t>
            </w:r>
          </w:p>
        </w:tc>
        <w:tc>
          <w:tcPr>
            <w:tcW w:w="1048" w:type="pct"/>
            <w:tcBorders>
              <w:top w:val="nil"/>
              <w:left w:val="nil"/>
              <w:bottom w:val="single" w:sz="4" w:space="0" w:color="auto"/>
              <w:right w:val="nil"/>
            </w:tcBorders>
            <w:hideMark/>
          </w:tcPr>
          <w:p w14:paraId="3C10D5F7" w14:textId="77777777" w:rsidR="004527CB" w:rsidRDefault="004527CB">
            <w:pPr>
              <w:jc w:val="right"/>
            </w:pPr>
            <w:r>
              <w:t xml:space="preserve">69 (50 </w:t>
            </w:r>
            <w:r>
              <w:noBreakHyphen/>
              <w:t xml:space="preserve"> 84)</w:t>
            </w:r>
          </w:p>
        </w:tc>
        <w:tc>
          <w:tcPr>
            <w:tcW w:w="1047" w:type="pct"/>
            <w:tcBorders>
              <w:top w:val="nil"/>
              <w:left w:val="nil"/>
              <w:bottom w:val="single" w:sz="4" w:space="0" w:color="auto"/>
              <w:right w:val="nil"/>
            </w:tcBorders>
            <w:hideMark/>
          </w:tcPr>
          <w:p w14:paraId="6CED3F77" w14:textId="77777777" w:rsidR="004527CB" w:rsidRDefault="004527CB">
            <w:pPr>
              <w:jc w:val="right"/>
            </w:pPr>
            <w:r>
              <w:t>20</w:t>
            </w:r>
          </w:p>
        </w:tc>
      </w:tr>
    </w:tbl>
    <w:p w14:paraId="37876E58" w14:textId="77777777" w:rsidR="004527CB" w:rsidRDefault="004527CB" w:rsidP="004527CB">
      <w:pPr>
        <w:rPr>
          <w:i/>
        </w:rPr>
      </w:pPr>
      <w:r>
        <w:rPr>
          <w:i/>
        </w:rPr>
        <w:t xml:space="preserve">Note. </w:t>
      </w:r>
      <w:r>
        <w:t xml:space="preserve">SES = Session Effectiveness Scale, average across all ratings. SRS = Session Rating Scale, average across all ratings. WAI-S = Working Alliance Inventory </w:t>
      </w:r>
      <w:r>
        <w:noBreakHyphen/>
        <w:t xml:space="preserve"> Short Form, ANS = Alliance Negotiation Scale. S4 = Session 4.  S10 = Session 10.</w:t>
      </w:r>
    </w:p>
    <w:p w14:paraId="61A106A0" w14:textId="77777777" w:rsidR="004527CB" w:rsidRDefault="004527CB" w:rsidP="004527CB">
      <w:pPr>
        <w:rPr>
          <w:i/>
        </w:rPr>
      </w:pPr>
    </w:p>
    <w:p w14:paraId="22105424" w14:textId="79880E19" w:rsidR="004527CB" w:rsidRDefault="004527CB">
      <w:pPr>
        <w:spacing w:after="200" w:line="276" w:lineRule="auto"/>
        <w:ind w:firstLine="0"/>
        <w:rPr>
          <w:rFonts w:eastAsia="Times New Roman"/>
          <w:b/>
          <w:bCs/>
          <w:kern w:val="36"/>
          <w:lang w:eastAsia="tr-TR"/>
        </w:rPr>
      </w:pPr>
      <w:r>
        <w:rPr>
          <w:rFonts w:eastAsia="Times New Roman"/>
          <w:b/>
          <w:bCs/>
          <w:kern w:val="36"/>
          <w:lang w:eastAsia="tr-TR"/>
        </w:rPr>
        <w:br w:type="page"/>
      </w:r>
    </w:p>
    <w:p w14:paraId="6A08746C" w14:textId="77777777" w:rsidR="004527CB" w:rsidRDefault="004527CB" w:rsidP="004527CB">
      <w:r>
        <w:lastRenderedPageBreak/>
        <w:t>Table 4. Clients’ ratings of helpfulness of systematic feedback measures</w:t>
      </w:r>
    </w:p>
    <w:p w14:paraId="61674D71" w14:textId="77777777" w:rsidR="004527CB" w:rsidRDefault="004527CB" w:rsidP="004527CB">
      <w:pPr>
        <w:ind w:left="-1260"/>
      </w:pPr>
    </w:p>
    <w:tbl>
      <w:tblPr>
        <w:tblStyle w:val="TableGrid"/>
        <w:tblpPr w:leftFromText="180" w:rightFromText="180" w:vertAnchor="page" w:horzAnchor="margin" w:tblpY="208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23"/>
        <w:gridCol w:w="1606"/>
        <w:gridCol w:w="1606"/>
        <w:gridCol w:w="1604"/>
        <w:gridCol w:w="1603"/>
      </w:tblGrid>
      <w:tr w:rsidR="004527CB" w14:paraId="456C01B2" w14:textId="77777777" w:rsidTr="004527CB">
        <w:tc>
          <w:tcPr>
            <w:tcW w:w="1527" w:type="pct"/>
            <w:tcBorders>
              <w:top w:val="nil"/>
              <w:left w:val="nil"/>
              <w:bottom w:val="single" w:sz="4" w:space="0" w:color="auto"/>
              <w:right w:val="nil"/>
            </w:tcBorders>
            <w:hideMark/>
          </w:tcPr>
          <w:p w14:paraId="5312CBB4" w14:textId="77777777" w:rsidR="004527CB" w:rsidRDefault="004527CB">
            <w:r>
              <w:t>Measure</w:t>
            </w:r>
          </w:p>
        </w:tc>
        <w:tc>
          <w:tcPr>
            <w:tcW w:w="869" w:type="pct"/>
            <w:tcBorders>
              <w:top w:val="nil"/>
              <w:left w:val="nil"/>
              <w:bottom w:val="single" w:sz="4" w:space="0" w:color="auto"/>
              <w:right w:val="nil"/>
            </w:tcBorders>
            <w:hideMark/>
          </w:tcPr>
          <w:p w14:paraId="131DA890" w14:textId="77777777" w:rsidR="004527CB" w:rsidRDefault="004527CB">
            <w:pPr>
              <w:jc w:val="center"/>
            </w:pPr>
            <w:r>
              <w:t>Mean (SD)</w:t>
            </w:r>
          </w:p>
        </w:tc>
        <w:tc>
          <w:tcPr>
            <w:tcW w:w="869" w:type="pct"/>
            <w:tcBorders>
              <w:top w:val="nil"/>
              <w:left w:val="nil"/>
              <w:bottom w:val="single" w:sz="4" w:space="0" w:color="auto"/>
              <w:right w:val="nil"/>
            </w:tcBorders>
            <w:hideMark/>
          </w:tcPr>
          <w:p w14:paraId="73D84C90" w14:textId="77777777" w:rsidR="004527CB" w:rsidRDefault="004527CB">
            <w:pPr>
              <w:jc w:val="center"/>
            </w:pPr>
            <w:r>
              <w:t>Median</w:t>
            </w:r>
          </w:p>
        </w:tc>
        <w:tc>
          <w:tcPr>
            <w:tcW w:w="868" w:type="pct"/>
            <w:tcBorders>
              <w:top w:val="nil"/>
              <w:left w:val="nil"/>
              <w:bottom w:val="single" w:sz="4" w:space="0" w:color="auto"/>
              <w:right w:val="nil"/>
            </w:tcBorders>
            <w:hideMark/>
          </w:tcPr>
          <w:p w14:paraId="4BFE2F9E" w14:textId="77777777" w:rsidR="004527CB" w:rsidRDefault="004527CB">
            <w:pPr>
              <w:jc w:val="center"/>
            </w:pPr>
            <w:r>
              <w:t>Mode</w:t>
            </w:r>
          </w:p>
        </w:tc>
        <w:tc>
          <w:tcPr>
            <w:tcW w:w="867" w:type="pct"/>
            <w:tcBorders>
              <w:top w:val="nil"/>
              <w:left w:val="nil"/>
              <w:bottom w:val="single" w:sz="4" w:space="0" w:color="auto"/>
              <w:right w:val="nil"/>
            </w:tcBorders>
            <w:hideMark/>
          </w:tcPr>
          <w:p w14:paraId="71758B40" w14:textId="77777777" w:rsidR="004527CB" w:rsidRDefault="004527CB">
            <w:pPr>
              <w:jc w:val="center"/>
            </w:pPr>
            <w:r>
              <w:t>N</w:t>
            </w:r>
          </w:p>
        </w:tc>
      </w:tr>
      <w:tr w:rsidR="004527CB" w14:paraId="433C149A" w14:textId="77777777" w:rsidTr="004527CB">
        <w:tc>
          <w:tcPr>
            <w:tcW w:w="1527" w:type="pct"/>
            <w:tcBorders>
              <w:top w:val="single" w:sz="4" w:space="0" w:color="auto"/>
              <w:left w:val="nil"/>
              <w:bottom w:val="nil"/>
              <w:right w:val="nil"/>
            </w:tcBorders>
            <w:hideMark/>
          </w:tcPr>
          <w:p w14:paraId="5B89F5C9" w14:textId="77777777" w:rsidR="004527CB" w:rsidRDefault="004527CB">
            <w:r>
              <w:t>PHQ-9</w:t>
            </w:r>
          </w:p>
        </w:tc>
        <w:tc>
          <w:tcPr>
            <w:tcW w:w="869" w:type="pct"/>
            <w:tcBorders>
              <w:top w:val="single" w:sz="4" w:space="0" w:color="auto"/>
              <w:left w:val="nil"/>
              <w:bottom w:val="nil"/>
              <w:right w:val="nil"/>
            </w:tcBorders>
            <w:hideMark/>
          </w:tcPr>
          <w:p w14:paraId="56A6FDFB" w14:textId="77777777" w:rsidR="004527CB" w:rsidRDefault="004527CB">
            <w:pPr>
              <w:jc w:val="right"/>
            </w:pPr>
            <w:r>
              <w:t xml:space="preserve">3.7 </w:t>
            </w:r>
            <w:r>
              <w:lastRenderedPageBreak/>
              <w:t>(1.0)</w:t>
            </w:r>
          </w:p>
        </w:tc>
        <w:tc>
          <w:tcPr>
            <w:tcW w:w="869" w:type="pct"/>
            <w:tcBorders>
              <w:top w:val="single" w:sz="4" w:space="0" w:color="auto"/>
              <w:left w:val="nil"/>
              <w:bottom w:val="nil"/>
              <w:right w:val="nil"/>
            </w:tcBorders>
            <w:hideMark/>
          </w:tcPr>
          <w:p w14:paraId="5F6A577B" w14:textId="77777777" w:rsidR="004527CB" w:rsidRDefault="004527CB">
            <w:pPr>
              <w:jc w:val="right"/>
            </w:pPr>
            <w:r>
              <w:lastRenderedPageBreak/>
              <w:t>4</w:t>
            </w:r>
          </w:p>
        </w:tc>
        <w:tc>
          <w:tcPr>
            <w:tcW w:w="868" w:type="pct"/>
            <w:tcBorders>
              <w:top w:val="single" w:sz="4" w:space="0" w:color="auto"/>
              <w:left w:val="nil"/>
              <w:bottom w:val="nil"/>
              <w:right w:val="nil"/>
            </w:tcBorders>
            <w:hideMark/>
          </w:tcPr>
          <w:p w14:paraId="0DAAE699" w14:textId="77777777" w:rsidR="004527CB" w:rsidRDefault="004527CB">
            <w:pPr>
              <w:jc w:val="right"/>
            </w:pPr>
            <w:r>
              <w:t>4</w:t>
            </w:r>
          </w:p>
        </w:tc>
        <w:tc>
          <w:tcPr>
            <w:tcW w:w="867" w:type="pct"/>
            <w:tcBorders>
              <w:top w:val="single" w:sz="4" w:space="0" w:color="auto"/>
              <w:left w:val="nil"/>
              <w:bottom w:val="nil"/>
              <w:right w:val="nil"/>
            </w:tcBorders>
            <w:hideMark/>
          </w:tcPr>
          <w:p w14:paraId="705D380C" w14:textId="77777777" w:rsidR="004527CB" w:rsidRDefault="004527CB">
            <w:pPr>
              <w:jc w:val="right"/>
            </w:pPr>
            <w:r>
              <w:t>17</w:t>
            </w:r>
          </w:p>
        </w:tc>
      </w:tr>
      <w:tr w:rsidR="004527CB" w14:paraId="0858DFA1" w14:textId="77777777" w:rsidTr="004527CB">
        <w:tc>
          <w:tcPr>
            <w:tcW w:w="1527" w:type="pct"/>
            <w:hideMark/>
          </w:tcPr>
          <w:p w14:paraId="72EF35AE" w14:textId="77777777" w:rsidR="004527CB" w:rsidRDefault="004527CB">
            <w:r>
              <w:lastRenderedPageBreak/>
              <w:t>GAD-7</w:t>
            </w:r>
          </w:p>
        </w:tc>
        <w:tc>
          <w:tcPr>
            <w:tcW w:w="869" w:type="pct"/>
            <w:hideMark/>
          </w:tcPr>
          <w:p w14:paraId="5DEB36F7" w14:textId="77777777" w:rsidR="004527CB" w:rsidRDefault="004527CB">
            <w:pPr>
              <w:jc w:val="right"/>
            </w:pPr>
            <w:r>
              <w:t>3.7 (1.1)</w:t>
            </w:r>
          </w:p>
        </w:tc>
        <w:tc>
          <w:tcPr>
            <w:tcW w:w="869" w:type="pct"/>
            <w:hideMark/>
          </w:tcPr>
          <w:p w14:paraId="23A88B28" w14:textId="77777777" w:rsidR="004527CB" w:rsidRDefault="004527CB">
            <w:pPr>
              <w:jc w:val="right"/>
            </w:pPr>
            <w:r>
              <w:t>4</w:t>
            </w:r>
          </w:p>
        </w:tc>
        <w:tc>
          <w:tcPr>
            <w:tcW w:w="868" w:type="pct"/>
            <w:hideMark/>
          </w:tcPr>
          <w:p w14:paraId="13EF46D0" w14:textId="77777777" w:rsidR="004527CB" w:rsidRDefault="004527CB">
            <w:pPr>
              <w:jc w:val="right"/>
            </w:pPr>
            <w:r>
              <w:t>4</w:t>
            </w:r>
          </w:p>
        </w:tc>
        <w:tc>
          <w:tcPr>
            <w:tcW w:w="867" w:type="pct"/>
            <w:hideMark/>
          </w:tcPr>
          <w:p w14:paraId="5D7C65C3" w14:textId="77777777" w:rsidR="004527CB" w:rsidRDefault="004527CB">
            <w:pPr>
              <w:jc w:val="right"/>
            </w:pPr>
            <w:r>
              <w:t>18</w:t>
            </w:r>
          </w:p>
        </w:tc>
      </w:tr>
      <w:tr w:rsidR="004527CB" w14:paraId="3063E7BE" w14:textId="77777777" w:rsidTr="004527CB">
        <w:tc>
          <w:tcPr>
            <w:tcW w:w="1527" w:type="pct"/>
            <w:hideMark/>
          </w:tcPr>
          <w:p w14:paraId="5487EBA5" w14:textId="77777777" w:rsidR="004527CB" w:rsidRDefault="004527CB">
            <w:pPr>
              <w:tabs>
                <w:tab w:val="right" w:pos="2592"/>
              </w:tabs>
            </w:pPr>
            <w:r>
              <w:t>Goals Form</w:t>
            </w:r>
          </w:p>
        </w:tc>
        <w:tc>
          <w:tcPr>
            <w:tcW w:w="869" w:type="pct"/>
            <w:hideMark/>
          </w:tcPr>
          <w:p w14:paraId="7D67EFB4" w14:textId="77777777" w:rsidR="004527CB" w:rsidRDefault="004527CB">
            <w:pPr>
              <w:jc w:val="right"/>
            </w:pPr>
            <w:r>
              <w:t>4.2 (1.2)</w:t>
            </w:r>
          </w:p>
        </w:tc>
        <w:tc>
          <w:tcPr>
            <w:tcW w:w="869" w:type="pct"/>
            <w:hideMark/>
          </w:tcPr>
          <w:p w14:paraId="1763D9A2" w14:textId="77777777" w:rsidR="004527CB" w:rsidRDefault="004527CB">
            <w:pPr>
              <w:jc w:val="right"/>
            </w:pPr>
            <w:r>
              <w:t>5</w:t>
            </w:r>
          </w:p>
        </w:tc>
        <w:tc>
          <w:tcPr>
            <w:tcW w:w="868" w:type="pct"/>
            <w:hideMark/>
          </w:tcPr>
          <w:p w14:paraId="6CA0DE76" w14:textId="77777777" w:rsidR="004527CB" w:rsidRDefault="004527CB">
            <w:pPr>
              <w:jc w:val="right"/>
            </w:pPr>
            <w:r>
              <w:t>5</w:t>
            </w:r>
          </w:p>
        </w:tc>
        <w:tc>
          <w:tcPr>
            <w:tcW w:w="867" w:type="pct"/>
            <w:hideMark/>
          </w:tcPr>
          <w:p w14:paraId="72834110" w14:textId="77777777" w:rsidR="004527CB" w:rsidRDefault="004527CB">
            <w:pPr>
              <w:jc w:val="right"/>
            </w:pPr>
            <w:r>
              <w:t>17</w:t>
            </w:r>
          </w:p>
        </w:tc>
      </w:tr>
      <w:tr w:rsidR="004527CB" w14:paraId="30039E52" w14:textId="77777777" w:rsidTr="004527CB">
        <w:tc>
          <w:tcPr>
            <w:tcW w:w="1527" w:type="pct"/>
            <w:hideMark/>
          </w:tcPr>
          <w:p w14:paraId="03BE3147" w14:textId="77777777" w:rsidR="004527CB" w:rsidRDefault="004527CB">
            <w:pPr>
              <w:tabs>
                <w:tab w:val="right" w:pos="2592"/>
              </w:tabs>
            </w:pPr>
            <w:r>
              <w:t>HAT</w:t>
            </w:r>
          </w:p>
        </w:tc>
        <w:tc>
          <w:tcPr>
            <w:tcW w:w="869" w:type="pct"/>
            <w:hideMark/>
          </w:tcPr>
          <w:p w14:paraId="32752EAF" w14:textId="77777777" w:rsidR="004527CB" w:rsidRDefault="004527CB">
            <w:pPr>
              <w:jc w:val="right"/>
            </w:pPr>
            <w:r>
              <w:t>3.9 (1.2)</w:t>
            </w:r>
          </w:p>
        </w:tc>
        <w:tc>
          <w:tcPr>
            <w:tcW w:w="869" w:type="pct"/>
            <w:hideMark/>
          </w:tcPr>
          <w:p w14:paraId="548CCAC3" w14:textId="77777777" w:rsidR="004527CB" w:rsidRDefault="004527CB">
            <w:pPr>
              <w:jc w:val="right"/>
            </w:pPr>
            <w:r>
              <w:t>4</w:t>
            </w:r>
          </w:p>
        </w:tc>
        <w:tc>
          <w:tcPr>
            <w:tcW w:w="868" w:type="pct"/>
            <w:hideMark/>
          </w:tcPr>
          <w:p w14:paraId="384B76DA" w14:textId="77777777" w:rsidR="004527CB" w:rsidRDefault="004527CB">
            <w:pPr>
              <w:jc w:val="right"/>
            </w:pPr>
            <w:r>
              <w:t>5</w:t>
            </w:r>
          </w:p>
        </w:tc>
        <w:tc>
          <w:tcPr>
            <w:tcW w:w="867" w:type="pct"/>
            <w:hideMark/>
          </w:tcPr>
          <w:p w14:paraId="421B6522" w14:textId="77777777" w:rsidR="004527CB" w:rsidRDefault="004527CB">
            <w:pPr>
              <w:jc w:val="right"/>
            </w:pPr>
            <w:r>
              <w:t>18</w:t>
            </w:r>
          </w:p>
        </w:tc>
      </w:tr>
      <w:tr w:rsidR="004527CB" w14:paraId="533C67E1" w14:textId="77777777" w:rsidTr="004527CB">
        <w:tc>
          <w:tcPr>
            <w:tcW w:w="1527" w:type="pct"/>
            <w:hideMark/>
          </w:tcPr>
          <w:p w14:paraId="15DD88E2" w14:textId="77777777" w:rsidR="004527CB" w:rsidRDefault="004527CB">
            <w:pPr>
              <w:tabs>
                <w:tab w:val="right" w:pos="2592"/>
              </w:tabs>
            </w:pPr>
            <w:r>
              <w:t>SRS</w:t>
            </w:r>
          </w:p>
        </w:tc>
        <w:tc>
          <w:tcPr>
            <w:tcW w:w="869" w:type="pct"/>
            <w:hideMark/>
          </w:tcPr>
          <w:p w14:paraId="6ED8F873" w14:textId="77777777" w:rsidR="004527CB" w:rsidRDefault="004527CB">
            <w:pPr>
              <w:jc w:val="right"/>
            </w:pPr>
            <w:r>
              <w:t>3.7 (1.1)</w:t>
            </w:r>
          </w:p>
        </w:tc>
        <w:tc>
          <w:tcPr>
            <w:tcW w:w="869" w:type="pct"/>
            <w:hideMark/>
          </w:tcPr>
          <w:p w14:paraId="14C05661" w14:textId="77777777" w:rsidR="004527CB" w:rsidRDefault="004527CB">
            <w:pPr>
              <w:jc w:val="right"/>
            </w:pPr>
            <w:r>
              <w:t>4</w:t>
            </w:r>
          </w:p>
        </w:tc>
        <w:tc>
          <w:tcPr>
            <w:tcW w:w="868" w:type="pct"/>
            <w:hideMark/>
          </w:tcPr>
          <w:p w14:paraId="31BE91CB" w14:textId="77777777" w:rsidR="004527CB" w:rsidRDefault="004527CB">
            <w:pPr>
              <w:jc w:val="right"/>
            </w:pPr>
            <w:r>
              <w:t>4</w:t>
            </w:r>
          </w:p>
        </w:tc>
        <w:tc>
          <w:tcPr>
            <w:tcW w:w="867" w:type="pct"/>
            <w:hideMark/>
          </w:tcPr>
          <w:p w14:paraId="76EBE851" w14:textId="77777777" w:rsidR="004527CB" w:rsidRDefault="004527CB">
            <w:pPr>
              <w:jc w:val="right"/>
            </w:pPr>
            <w:r>
              <w:t>18</w:t>
            </w:r>
          </w:p>
        </w:tc>
      </w:tr>
      <w:tr w:rsidR="004527CB" w14:paraId="592A163A" w14:textId="77777777" w:rsidTr="004527CB">
        <w:tc>
          <w:tcPr>
            <w:tcW w:w="1527" w:type="pct"/>
            <w:hideMark/>
          </w:tcPr>
          <w:p w14:paraId="4F6A17B3" w14:textId="77777777" w:rsidR="004527CB" w:rsidRDefault="004527CB">
            <w:r>
              <w:t>WAI-SF</w:t>
            </w:r>
          </w:p>
        </w:tc>
        <w:tc>
          <w:tcPr>
            <w:tcW w:w="869" w:type="pct"/>
            <w:hideMark/>
          </w:tcPr>
          <w:p w14:paraId="341C1C9F" w14:textId="77777777" w:rsidR="004527CB" w:rsidRDefault="004527CB">
            <w:pPr>
              <w:jc w:val="right"/>
            </w:pPr>
            <w:r>
              <w:t>3.1 (1.0)</w:t>
            </w:r>
          </w:p>
        </w:tc>
        <w:tc>
          <w:tcPr>
            <w:tcW w:w="869" w:type="pct"/>
            <w:hideMark/>
          </w:tcPr>
          <w:p w14:paraId="3582DD7F" w14:textId="77777777" w:rsidR="004527CB" w:rsidRDefault="004527CB">
            <w:pPr>
              <w:jc w:val="right"/>
            </w:pPr>
            <w:r>
              <w:t>3</w:t>
            </w:r>
          </w:p>
        </w:tc>
        <w:tc>
          <w:tcPr>
            <w:tcW w:w="868" w:type="pct"/>
            <w:hideMark/>
          </w:tcPr>
          <w:p w14:paraId="787833E4" w14:textId="77777777" w:rsidR="004527CB" w:rsidRDefault="004527CB">
            <w:pPr>
              <w:jc w:val="right"/>
            </w:pPr>
            <w:r>
              <w:t>3</w:t>
            </w:r>
          </w:p>
        </w:tc>
        <w:tc>
          <w:tcPr>
            <w:tcW w:w="867" w:type="pct"/>
            <w:hideMark/>
          </w:tcPr>
          <w:p w14:paraId="366B9B1A" w14:textId="77777777" w:rsidR="004527CB" w:rsidRDefault="004527CB">
            <w:pPr>
              <w:jc w:val="right"/>
            </w:pPr>
            <w:r>
              <w:t>17</w:t>
            </w:r>
          </w:p>
        </w:tc>
      </w:tr>
      <w:tr w:rsidR="004527CB" w14:paraId="1B112D9F" w14:textId="77777777" w:rsidTr="004527CB">
        <w:tc>
          <w:tcPr>
            <w:tcW w:w="1527" w:type="pct"/>
            <w:hideMark/>
          </w:tcPr>
          <w:p w14:paraId="3EA38A7C" w14:textId="77777777" w:rsidR="004527CB" w:rsidRDefault="004527CB">
            <w:r>
              <w:t>ANS</w:t>
            </w:r>
          </w:p>
        </w:tc>
        <w:tc>
          <w:tcPr>
            <w:tcW w:w="869" w:type="pct"/>
            <w:hideMark/>
          </w:tcPr>
          <w:p w14:paraId="2304819A" w14:textId="77777777" w:rsidR="004527CB" w:rsidRDefault="004527CB">
            <w:pPr>
              <w:jc w:val="right"/>
            </w:pPr>
            <w:r>
              <w:t>3.6 (0.9)</w:t>
            </w:r>
          </w:p>
        </w:tc>
        <w:tc>
          <w:tcPr>
            <w:tcW w:w="869" w:type="pct"/>
            <w:hideMark/>
          </w:tcPr>
          <w:p w14:paraId="7EECC084" w14:textId="77777777" w:rsidR="004527CB" w:rsidRDefault="004527CB">
            <w:pPr>
              <w:jc w:val="right"/>
            </w:pPr>
            <w:r>
              <w:t>4</w:t>
            </w:r>
          </w:p>
        </w:tc>
        <w:tc>
          <w:tcPr>
            <w:tcW w:w="868" w:type="pct"/>
            <w:hideMark/>
          </w:tcPr>
          <w:p w14:paraId="5BA28468" w14:textId="77777777" w:rsidR="004527CB" w:rsidRDefault="004527CB">
            <w:pPr>
              <w:jc w:val="right"/>
            </w:pPr>
            <w:r>
              <w:t>4</w:t>
            </w:r>
          </w:p>
        </w:tc>
        <w:tc>
          <w:tcPr>
            <w:tcW w:w="867" w:type="pct"/>
            <w:hideMark/>
          </w:tcPr>
          <w:p w14:paraId="04BE7EC0" w14:textId="77777777" w:rsidR="004527CB" w:rsidRDefault="004527CB">
            <w:pPr>
              <w:jc w:val="right"/>
            </w:pPr>
            <w:r>
              <w:t>17</w:t>
            </w:r>
          </w:p>
        </w:tc>
      </w:tr>
      <w:tr w:rsidR="004527CB" w14:paraId="6F8F9104" w14:textId="77777777" w:rsidTr="004527CB">
        <w:tc>
          <w:tcPr>
            <w:tcW w:w="1527" w:type="pct"/>
            <w:hideMark/>
          </w:tcPr>
          <w:p w14:paraId="7D0FE421" w14:textId="77777777" w:rsidR="004527CB" w:rsidRDefault="004527CB">
            <w:r>
              <w:t>TPF-A</w:t>
            </w:r>
          </w:p>
        </w:tc>
        <w:tc>
          <w:tcPr>
            <w:tcW w:w="869" w:type="pct"/>
            <w:hideMark/>
          </w:tcPr>
          <w:p w14:paraId="65AFCF1B" w14:textId="77777777" w:rsidR="004527CB" w:rsidRDefault="004527CB">
            <w:pPr>
              <w:jc w:val="right"/>
            </w:pPr>
            <w:r>
              <w:t>3.8 (1.2)</w:t>
            </w:r>
          </w:p>
        </w:tc>
        <w:tc>
          <w:tcPr>
            <w:tcW w:w="869" w:type="pct"/>
            <w:hideMark/>
          </w:tcPr>
          <w:p w14:paraId="24A9283C" w14:textId="77777777" w:rsidR="004527CB" w:rsidRDefault="004527CB">
            <w:pPr>
              <w:jc w:val="right"/>
            </w:pPr>
            <w:r>
              <w:t>4</w:t>
            </w:r>
          </w:p>
        </w:tc>
        <w:tc>
          <w:tcPr>
            <w:tcW w:w="868" w:type="pct"/>
            <w:hideMark/>
          </w:tcPr>
          <w:p w14:paraId="08794F15" w14:textId="77777777" w:rsidR="004527CB" w:rsidRDefault="004527CB">
            <w:pPr>
              <w:jc w:val="right"/>
            </w:pPr>
            <w:r>
              <w:t>5</w:t>
            </w:r>
          </w:p>
        </w:tc>
        <w:tc>
          <w:tcPr>
            <w:tcW w:w="867" w:type="pct"/>
            <w:hideMark/>
          </w:tcPr>
          <w:p w14:paraId="30DB7E78" w14:textId="77777777" w:rsidR="004527CB" w:rsidRDefault="004527CB">
            <w:pPr>
              <w:jc w:val="right"/>
            </w:pPr>
            <w:r>
              <w:t>18</w:t>
            </w:r>
          </w:p>
        </w:tc>
      </w:tr>
      <w:tr w:rsidR="004527CB" w14:paraId="29773830" w14:textId="77777777" w:rsidTr="004527CB">
        <w:tc>
          <w:tcPr>
            <w:tcW w:w="1527" w:type="pct"/>
            <w:tcBorders>
              <w:top w:val="nil"/>
              <w:left w:val="nil"/>
              <w:bottom w:val="single" w:sz="4" w:space="0" w:color="auto"/>
              <w:right w:val="nil"/>
            </w:tcBorders>
            <w:hideMark/>
          </w:tcPr>
          <w:p w14:paraId="71BB34F8" w14:textId="77777777" w:rsidR="004527CB" w:rsidRDefault="004527CB">
            <w:r>
              <w:t>TPF</w:t>
            </w:r>
          </w:p>
        </w:tc>
        <w:tc>
          <w:tcPr>
            <w:tcW w:w="869" w:type="pct"/>
            <w:tcBorders>
              <w:top w:val="nil"/>
              <w:left w:val="nil"/>
              <w:bottom w:val="single" w:sz="4" w:space="0" w:color="auto"/>
              <w:right w:val="nil"/>
            </w:tcBorders>
            <w:hideMark/>
          </w:tcPr>
          <w:p w14:paraId="35EC0B4D" w14:textId="77777777" w:rsidR="004527CB" w:rsidRDefault="004527CB">
            <w:pPr>
              <w:jc w:val="right"/>
            </w:pPr>
            <w:r>
              <w:t>3.5 (1.0)</w:t>
            </w:r>
          </w:p>
        </w:tc>
        <w:tc>
          <w:tcPr>
            <w:tcW w:w="869" w:type="pct"/>
            <w:tcBorders>
              <w:top w:val="nil"/>
              <w:left w:val="nil"/>
              <w:bottom w:val="single" w:sz="4" w:space="0" w:color="auto"/>
              <w:right w:val="nil"/>
            </w:tcBorders>
            <w:hideMark/>
          </w:tcPr>
          <w:p w14:paraId="3B7A5088" w14:textId="77777777" w:rsidR="004527CB" w:rsidRDefault="004527CB">
            <w:pPr>
              <w:jc w:val="right"/>
            </w:pPr>
            <w:r>
              <w:t>4</w:t>
            </w:r>
          </w:p>
        </w:tc>
        <w:tc>
          <w:tcPr>
            <w:tcW w:w="868" w:type="pct"/>
            <w:tcBorders>
              <w:top w:val="nil"/>
              <w:left w:val="nil"/>
              <w:bottom w:val="single" w:sz="4" w:space="0" w:color="auto"/>
              <w:right w:val="nil"/>
            </w:tcBorders>
            <w:hideMark/>
          </w:tcPr>
          <w:p w14:paraId="5E7036CA" w14:textId="77777777" w:rsidR="004527CB" w:rsidRDefault="004527CB">
            <w:pPr>
              <w:jc w:val="right"/>
            </w:pPr>
            <w:r>
              <w:t>4</w:t>
            </w:r>
          </w:p>
        </w:tc>
        <w:tc>
          <w:tcPr>
            <w:tcW w:w="867" w:type="pct"/>
            <w:tcBorders>
              <w:top w:val="nil"/>
              <w:left w:val="nil"/>
              <w:bottom w:val="single" w:sz="4" w:space="0" w:color="auto"/>
              <w:right w:val="nil"/>
            </w:tcBorders>
            <w:hideMark/>
          </w:tcPr>
          <w:p w14:paraId="11F2C4DE" w14:textId="77777777" w:rsidR="004527CB" w:rsidRDefault="004527CB">
            <w:pPr>
              <w:jc w:val="right"/>
            </w:pPr>
            <w:r>
              <w:t>17</w:t>
            </w:r>
          </w:p>
        </w:tc>
      </w:tr>
    </w:tbl>
    <w:p w14:paraId="5DB36479" w14:textId="77777777" w:rsidR="004527CB" w:rsidRDefault="004527CB" w:rsidP="004527CB">
      <w:pPr>
        <w:rPr>
          <w:i/>
        </w:rPr>
      </w:pPr>
      <w:r>
        <w:rPr>
          <w:i/>
        </w:rPr>
        <w:t xml:space="preserve">Note. </w:t>
      </w:r>
      <w:r>
        <w:t xml:space="preserve">PHQ-9 = Patient Health Questionnaire depression 9 item scale, GAD-7 = Generalized Anxiety Disorder 7 item scale, HAT = Helpful Aspects of Therapy form (including Post-session Satisfaction Scale), SRS = Session Rating Scale, WAI = Working Alliance Inventory </w:t>
      </w:r>
      <w:r>
        <w:noBreakHyphen/>
        <w:t xml:space="preserve"> Short Form, ANS = Alliance Negotiation Scale, TPF-A = Therapy Personalisation Form -- Assessment, TPF = Therapy Personalisation Form. Measure ratings:</w:t>
      </w:r>
      <w:r>
        <w:rPr>
          <w:i/>
        </w:rPr>
        <w:t xml:space="preserve"> </w:t>
      </w:r>
      <w:r>
        <w:t>1 =</w:t>
      </w:r>
      <w:r>
        <w:rPr>
          <w:i/>
        </w:rPr>
        <w:t xml:space="preserve"> very unhelpful, </w:t>
      </w:r>
      <w:r>
        <w:t>2 =</w:t>
      </w:r>
      <w:r>
        <w:rPr>
          <w:i/>
        </w:rPr>
        <w:t xml:space="preserve"> unhelpful, </w:t>
      </w:r>
      <w:r>
        <w:t>3 =</w:t>
      </w:r>
      <w:r>
        <w:rPr>
          <w:i/>
        </w:rPr>
        <w:t xml:space="preserve"> neither, </w:t>
      </w:r>
      <w:r>
        <w:t>4 =</w:t>
      </w:r>
      <w:r>
        <w:rPr>
          <w:i/>
        </w:rPr>
        <w:t xml:space="preserve"> helpful, </w:t>
      </w:r>
      <w:r>
        <w:t>5 =</w:t>
      </w:r>
      <w:r>
        <w:rPr>
          <w:i/>
        </w:rPr>
        <w:t xml:space="preserve"> very helpful. </w:t>
      </w:r>
    </w:p>
    <w:p w14:paraId="46226A65" w14:textId="77777777" w:rsidR="004527CB" w:rsidRDefault="004527CB" w:rsidP="004527CB">
      <w:pPr>
        <w:rPr>
          <w:i/>
        </w:rPr>
      </w:pPr>
    </w:p>
    <w:p w14:paraId="7391DD73" w14:textId="77777777" w:rsidR="004527CB" w:rsidRDefault="004527CB" w:rsidP="000D461F">
      <w:pPr>
        <w:spacing w:after="200"/>
        <w:ind w:firstLine="0"/>
        <w:rPr>
          <w:rFonts w:eastAsia="Times New Roman"/>
          <w:b/>
          <w:bCs/>
          <w:kern w:val="36"/>
          <w:lang w:eastAsia="tr-TR"/>
        </w:rPr>
      </w:pPr>
      <w:bookmarkStart w:id="0" w:name="_GoBack"/>
      <w:bookmarkEnd w:id="0"/>
    </w:p>
    <w:sectPr w:rsidR="004527CB" w:rsidSect="001D6758">
      <w:headerReference w:type="default" r:id="rId10"/>
      <w:foot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37284" w14:textId="77777777" w:rsidR="002F18CA" w:rsidRDefault="002F18CA" w:rsidP="00D84307">
      <w:r>
        <w:separator/>
      </w:r>
    </w:p>
  </w:endnote>
  <w:endnote w:type="continuationSeparator" w:id="0">
    <w:p w14:paraId="03AB15F9" w14:textId="77777777" w:rsidR="002F18CA" w:rsidRDefault="002F18CA" w:rsidP="00D8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314989"/>
      <w:docPartObj>
        <w:docPartGallery w:val="Page Numbers (Bottom of Page)"/>
        <w:docPartUnique/>
      </w:docPartObj>
    </w:sdtPr>
    <w:sdtEndPr>
      <w:rPr>
        <w:noProof/>
      </w:rPr>
    </w:sdtEndPr>
    <w:sdtContent>
      <w:p w14:paraId="1E5E0300" w14:textId="502A06E9" w:rsidR="00882BEA" w:rsidRDefault="00882BEA">
        <w:pPr>
          <w:pStyle w:val="Footer"/>
          <w:jc w:val="center"/>
        </w:pPr>
        <w:r>
          <w:fldChar w:fldCharType="begin"/>
        </w:r>
        <w:r>
          <w:instrText xml:space="preserve"> PAGE   \* MERGEFORMAT </w:instrText>
        </w:r>
        <w:r>
          <w:fldChar w:fldCharType="separate"/>
        </w:r>
        <w:r w:rsidR="004527CB">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A4CC6" w14:textId="77777777" w:rsidR="002F18CA" w:rsidRDefault="002F18CA" w:rsidP="000E1767">
      <w:r>
        <w:separator/>
      </w:r>
    </w:p>
  </w:footnote>
  <w:footnote w:type="continuationSeparator" w:id="0">
    <w:p w14:paraId="229F7A94" w14:textId="77777777" w:rsidR="002F18CA" w:rsidRDefault="002F18CA" w:rsidP="00D84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1A016" w14:textId="2B526C98" w:rsidR="00882BEA" w:rsidRDefault="00882BEA" w:rsidP="00AD26EB">
    <w:pPr>
      <w:pStyle w:val="Header"/>
      <w:jc w:val="right"/>
    </w:pPr>
    <w:r>
      <w:t>Running head: Pluralistic therapy for depression</w:t>
    </w:r>
  </w:p>
  <w:p w14:paraId="7BD6B5BE" w14:textId="77777777" w:rsidR="00882BEA" w:rsidRDefault="00882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962"/>
    <w:multiLevelType w:val="hybridMultilevel"/>
    <w:tmpl w:val="044E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86084"/>
    <w:multiLevelType w:val="multilevel"/>
    <w:tmpl w:val="D46A94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F90404"/>
    <w:multiLevelType w:val="hybridMultilevel"/>
    <w:tmpl w:val="E0C20624"/>
    <w:lvl w:ilvl="0" w:tplc="A5789D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8A4DB9"/>
    <w:multiLevelType w:val="multilevel"/>
    <w:tmpl w:val="4AB46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D316F1"/>
    <w:multiLevelType w:val="hybridMultilevel"/>
    <w:tmpl w:val="BC1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F822A3"/>
    <w:multiLevelType w:val="hybridMultilevel"/>
    <w:tmpl w:val="11C05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650911"/>
    <w:multiLevelType w:val="hybridMultilevel"/>
    <w:tmpl w:val="CF3EF756"/>
    <w:lvl w:ilvl="0" w:tplc="00609E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8681D3D"/>
    <w:multiLevelType w:val="multilevel"/>
    <w:tmpl w:val="DCFA059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184D2A"/>
    <w:multiLevelType w:val="hybridMultilevel"/>
    <w:tmpl w:val="420C1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D90572"/>
    <w:multiLevelType w:val="hybridMultilevel"/>
    <w:tmpl w:val="4EFA1D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96C6D2D"/>
    <w:multiLevelType w:val="hybridMultilevel"/>
    <w:tmpl w:val="4AFC1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9D60F7"/>
    <w:multiLevelType w:val="hybridMultilevel"/>
    <w:tmpl w:val="6CA0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A449B2"/>
    <w:multiLevelType w:val="multilevel"/>
    <w:tmpl w:val="1AD855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FE63BD7"/>
    <w:multiLevelType w:val="hybridMultilevel"/>
    <w:tmpl w:val="5906B6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1250659"/>
    <w:multiLevelType w:val="hybridMultilevel"/>
    <w:tmpl w:val="5F06E89C"/>
    <w:lvl w:ilvl="0" w:tplc="57E08E52">
      <w:start w:val="1"/>
      <w:numFmt w:val="bullet"/>
      <w:lvlText w:val=""/>
      <w:lvlJc w:val="left"/>
      <w:pPr>
        <w:tabs>
          <w:tab w:val="num" w:pos="720"/>
        </w:tabs>
        <w:ind w:left="720" w:hanging="360"/>
      </w:pPr>
      <w:rPr>
        <w:rFonts w:ascii="Wingdings 2" w:hAnsi="Wingdings 2" w:hint="default"/>
      </w:rPr>
    </w:lvl>
    <w:lvl w:ilvl="1" w:tplc="6090026E" w:tentative="1">
      <w:start w:val="1"/>
      <w:numFmt w:val="bullet"/>
      <w:lvlText w:val=""/>
      <w:lvlJc w:val="left"/>
      <w:pPr>
        <w:tabs>
          <w:tab w:val="num" w:pos="1440"/>
        </w:tabs>
        <w:ind w:left="1440" w:hanging="360"/>
      </w:pPr>
      <w:rPr>
        <w:rFonts w:ascii="Wingdings 2" w:hAnsi="Wingdings 2" w:hint="default"/>
      </w:rPr>
    </w:lvl>
    <w:lvl w:ilvl="2" w:tplc="A1585DE4" w:tentative="1">
      <w:start w:val="1"/>
      <w:numFmt w:val="bullet"/>
      <w:lvlText w:val=""/>
      <w:lvlJc w:val="left"/>
      <w:pPr>
        <w:tabs>
          <w:tab w:val="num" w:pos="2160"/>
        </w:tabs>
        <w:ind w:left="2160" w:hanging="360"/>
      </w:pPr>
      <w:rPr>
        <w:rFonts w:ascii="Wingdings 2" w:hAnsi="Wingdings 2" w:hint="default"/>
      </w:rPr>
    </w:lvl>
    <w:lvl w:ilvl="3" w:tplc="4B72B344" w:tentative="1">
      <w:start w:val="1"/>
      <w:numFmt w:val="bullet"/>
      <w:lvlText w:val=""/>
      <w:lvlJc w:val="left"/>
      <w:pPr>
        <w:tabs>
          <w:tab w:val="num" w:pos="2880"/>
        </w:tabs>
        <w:ind w:left="2880" w:hanging="360"/>
      </w:pPr>
      <w:rPr>
        <w:rFonts w:ascii="Wingdings 2" w:hAnsi="Wingdings 2" w:hint="default"/>
      </w:rPr>
    </w:lvl>
    <w:lvl w:ilvl="4" w:tplc="EE64F940" w:tentative="1">
      <w:start w:val="1"/>
      <w:numFmt w:val="bullet"/>
      <w:lvlText w:val=""/>
      <w:lvlJc w:val="left"/>
      <w:pPr>
        <w:tabs>
          <w:tab w:val="num" w:pos="3600"/>
        </w:tabs>
        <w:ind w:left="3600" w:hanging="360"/>
      </w:pPr>
      <w:rPr>
        <w:rFonts w:ascii="Wingdings 2" w:hAnsi="Wingdings 2" w:hint="default"/>
      </w:rPr>
    </w:lvl>
    <w:lvl w:ilvl="5" w:tplc="D32AB31A" w:tentative="1">
      <w:start w:val="1"/>
      <w:numFmt w:val="bullet"/>
      <w:lvlText w:val=""/>
      <w:lvlJc w:val="left"/>
      <w:pPr>
        <w:tabs>
          <w:tab w:val="num" w:pos="4320"/>
        </w:tabs>
        <w:ind w:left="4320" w:hanging="360"/>
      </w:pPr>
      <w:rPr>
        <w:rFonts w:ascii="Wingdings 2" w:hAnsi="Wingdings 2" w:hint="default"/>
      </w:rPr>
    </w:lvl>
    <w:lvl w:ilvl="6" w:tplc="913C1474" w:tentative="1">
      <w:start w:val="1"/>
      <w:numFmt w:val="bullet"/>
      <w:lvlText w:val=""/>
      <w:lvlJc w:val="left"/>
      <w:pPr>
        <w:tabs>
          <w:tab w:val="num" w:pos="5040"/>
        </w:tabs>
        <w:ind w:left="5040" w:hanging="360"/>
      </w:pPr>
      <w:rPr>
        <w:rFonts w:ascii="Wingdings 2" w:hAnsi="Wingdings 2" w:hint="default"/>
      </w:rPr>
    </w:lvl>
    <w:lvl w:ilvl="7" w:tplc="10225FD8" w:tentative="1">
      <w:start w:val="1"/>
      <w:numFmt w:val="bullet"/>
      <w:lvlText w:val=""/>
      <w:lvlJc w:val="left"/>
      <w:pPr>
        <w:tabs>
          <w:tab w:val="num" w:pos="5760"/>
        </w:tabs>
        <w:ind w:left="5760" w:hanging="360"/>
      </w:pPr>
      <w:rPr>
        <w:rFonts w:ascii="Wingdings 2" w:hAnsi="Wingdings 2" w:hint="default"/>
      </w:rPr>
    </w:lvl>
    <w:lvl w:ilvl="8" w:tplc="60E8F7B4" w:tentative="1">
      <w:start w:val="1"/>
      <w:numFmt w:val="bullet"/>
      <w:lvlText w:val=""/>
      <w:lvlJc w:val="left"/>
      <w:pPr>
        <w:tabs>
          <w:tab w:val="num" w:pos="6480"/>
        </w:tabs>
        <w:ind w:left="6480" w:hanging="360"/>
      </w:pPr>
      <w:rPr>
        <w:rFonts w:ascii="Wingdings 2" w:hAnsi="Wingdings 2" w:hint="default"/>
      </w:rPr>
    </w:lvl>
  </w:abstractNum>
  <w:abstractNum w:abstractNumId="15">
    <w:nsid w:val="61B81000"/>
    <w:multiLevelType w:val="multilevel"/>
    <w:tmpl w:val="08A61A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12FCE"/>
    <w:multiLevelType w:val="hybridMultilevel"/>
    <w:tmpl w:val="648A91BA"/>
    <w:lvl w:ilvl="0" w:tplc="01EC1A28">
      <w:start w:val="1"/>
      <w:numFmt w:val="bullet"/>
      <w:lvlText w:val="•"/>
      <w:lvlJc w:val="left"/>
      <w:pPr>
        <w:tabs>
          <w:tab w:val="num" w:pos="720"/>
        </w:tabs>
        <w:ind w:left="720" w:hanging="360"/>
      </w:pPr>
      <w:rPr>
        <w:rFonts w:ascii="Times New Roman" w:hAnsi="Times New Roman" w:hint="default"/>
      </w:rPr>
    </w:lvl>
    <w:lvl w:ilvl="1" w:tplc="E2187794" w:tentative="1">
      <w:start w:val="1"/>
      <w:numFmt w:val="bullet"/>
      <w:lvlText w:val="•"/>
      <w:lvlJc w:val="left"/>
      <w:pPr>
        <w:tabs>
          <w:tab w:val="num" w:pos="1440"/>
        </w:tabs>
        <w:ind w:left="1440" w:hanging="360"/>
      </w:pPr>
      <w:rPr>
        <w:rFonts w:ascii="Times New Roman" w:hAnsi="Times New Roman" w:hint="default"/>
      </w:rPr>
    </w:lvl>
    <w:lvl w:ilvl="2" w:tplc="09F6810C" w:tentative="1">
      <w:start w:val="1"/>
      <w:numFmt w:val="bullet"/>
      <w:lvlText w:val="•"/>
      <w:lvlJc w:val="left"/>
      <w:pPr>
        <w:tabs>
          <w:tab w:val="num" w:pos="2160"/>
        </w:tabs>
        <w:ind w:left="2160" w:hanging="360"/>
      </w:pPr>
      <w:rPr>
        <w:rFonts w:ascii="Times New Roman" w:hAnsi="Times New Roman" w:hint="default"/>
      </w:rPr>
    </w:lvl>
    <w:lvl w:ilvl="3" w:tplc="064CDE4C" w:tentative="1">
      <w:start w:val="1"/>
      <w:numFmt w:val="bullet"/>
      <w:lvlText w:val="•"/>
      <w:lvlJc w:val="left"/>
      <w:pPr>
        <w:tabs>
          <w:tab w:val="num" w:pos="2880"/>
        </w:tabs>
        <w:ind w:left="2880" w:hanging="360"/>
      </w:pPr>
      <w:rPr>
        <w:rFonts w:ascii="Times New Roman" w:hAnsi="Times New Roman" w:hint="default"/>
      </w:rPr>
    </w:lvl>
    <w:lvl w:ilvl="4" w:tplc="C0BEBA82" w:tentative="1">
      <w:start w:val="1"/>
      <w:numFmt w:val="bullet"/>
      <w:lvlText w:val="•"/>
      <w:lvlJc w:val="left"/>
      <w:pPr>
        <w:tabs>
          <w:tab w:val="num" w:pos="3600"/>
        </w:tabs>
        <w:ind w:left="3600" w:hanging="360"/>
      </w:pPr>
      <w:rPr>
        <w:rFonts w:ascii="Times New Roman" w:hAnsi="Times New Roman" w:hint="default"/>
      </w:rPr>
    </w:lvl>
    <w:lvl w:ilvl="5" w:tplc="C7243456" w:tentative="1">
      <w:start w:val="1"/>
      <w:numFmt w:val="bullet"/>
      <w:lvlText w:val="•"/>
      <w:lvlJc w:val="left"/>
      <w:pPr>
        <w:tabs>
          <w:tab w:val="num" w:pos="4320"/>
        </w:tabs>
        <w:ind w:left="4320" w:hanging="360"/>
      </w:pPr>
      <w:rPr>
        <w:rFonts w:ascii="Times New Roman" w:hAnsi="Times New Roman" w:hint="default"/>
      </w:rPr>
    </w:lvl>
    <w:lvl w:ilvl="6" w:tplc="490A51F8" w:tentative="1">
      <w:start w:val="1"/>
      <w:numFmt w:val="bullet"/>
      <w:lvlText w:val="•"/>
      <w:lvlJc w:val="left"/>
      <w:pPr>
        <w:tabs>
          <w:tab w:val="num" w:pos="5040"/>
        </w:tabs>
        <w:ind w:left="5040" w:hanging="360"/>
      </w:pPr>
      <w:rPr>
        <w:rFonts w:ascii="Times New Roman" w:hAnsi="Times New Roman" w:hint="default"/>
      </w:rPr>
    </w:lvl>
    <w:lvl w:ilvl="7" w:tplc="0A4E9242" w:tentative="1">
      <w:start w:val="1"/>
      <w:numFmt w:val="bullet"/>
      <w:lvlText w:val="•"/>
      <w:lvlJc w:val="left"/>
      <w:pPr>
        <w:tabs>
          <w:tab w:val="num" w:pos="5760"/>
        </w:tabs>
        <w:ind w:left="5760" w:hanging="360"/>
      </w:pPr>
      <w:rPr>
        <w:rFonts w:ascii="Times New Roman" w:hAnsi="Times New Roman" w:hint="default"/>
      </w:rPr>
    </w:lvl>
    <w:lvl w:ilvl="8" w:tplc="86640C8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6D014F4"/>
    <w:multiLevelType w:val="multilevel"/>
    <w:tmpl w:val="086C7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66EF28F6"/>
    <w:multiLevelType w:val="hybridMultilevel"/>
    <w:tmpl w:val="41B4EE90"/>
    <w:lvl w:ilvl="0" w:tplc="4CBA14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370548"/>
    <w:multiLevelType w:val="hybridMultilevel"/>
    <w:tmpl w:val="8140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5656AD"/>
    <w:multiLevelType w:val="multilevel"/>
    <w:tmpl w:val="75BC0E2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E292E44"/>
    <w:multiLevelType w:val="multilevel"/>
    <w:tmpl w:val="086C7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8"/>
  </w:num>
  <w:num w:numId="4">
    <w:abstractNumId w:val="7"/>
  </w:num>
  <w:num w:numId="5">
    <w:abstractNumId w:val="21"/>
  </w:num>
  <w:num w:numId="6">
    <w:abstractNumId w:val="15"/>
  </w:num>
  <w:num w:numId="7">
    <w:abstractNumId w:val="1"/>
  </w:num>
  <w:num w:numId="8">
    <w:abstractNumId w:val="13"/>
  </w:num>
  <w:num w:numId="9">
    <w:abstractNumId w:val="9"/>
  </w:num>
  <w:num w:numId="10">
    <w:abstractNumId w:val="6"/>
  </w:num>
  <w:num w:numId="11">
    <w:abstractNumId w:val="0"/>
  </w:num>
  <w:num w:numId="12">
    <w:abstractNumId w:val="4"/>
  </w:num>
  <w:num w:numId="13">
    <w:abstractNumId w:val="18"/>
  </w:num>
  <w:num w:numId="14">
    <w:abstractNumId w:val="11"/>
  </w:num>
  <w:num w:numId="15">
    <w:abstractNumId w:val="10"/>
  </w:num>
  <w:num w:numId="16">
    <w:abstractNumId w:val="2"/>
  </w:num>
  <w:num w:numId="17">
    <w:abstractNumId w:val="20"/>
  </w:num>
  <w:num w:numId="18">
    <w:abstractNumId w:val="19"/>
  </w:num>
  <w:num w:numId="19">
    <w:abstractNumId w:val="5"/>
  </w:num>
  <w:num w:numId="20">
    <w:abstractNumId w:val="3"/>
  </w:num>
  <w:num w:numId="21">
    <w:abstractNumId w:val="12"/>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swazwvvzv2zzfe0fs75dwsza2wreftvrrpv&quot;&gt;full references 20 2014-01-30&lt;record-ids&gt;&lt;item&gt;577&lt;/item&gt;&lt;item&gt;1741&lt;/item&gt;&lt;item&gt;2161&lt;/item&gt;&lt;item&gt;2330&lt;/item&gt;&lt;item&gt;2479&lt;/item&gt;&lt;item&gt;2685&lt;/item&gt;&lt;item&gt;2748&lt;/item&gt;&lt;item&gt;2872&lt;/item&gt;&lt;item&gt;2874&lt;/item&gt;&lt;item&gt;2892&lt;/item&gt;&lt;item&gt;2966&lt;/item&gt;&lt;item&gt;2967&lt;/item&gt;&lt;item&gt;3173&lt;/item&gt;&lt;item&gt;3306&lt;/item&gt;&lt;item&gt;3327&lt;/item&gt;&lt;item&gt;3377&lt;/item&gt;&lt;item&gt;3404&lt;/item&gt;&lt;item&gt;3406&lt;/item&gt;&lt;item&gt;3456&lt;/item&gt;&lt;item&gt;3746&lt;/item&gt;&lt;item&gt;3747&lt;/item&gt;&lt;item&gt;3749&lt;/item&gt;&lt;item&gt;3756&lt;/item&gt;&lt;item&gt;3759&lt;/item&gt;&lt;item&gt;3824&lt;/item&gt;&lt;item&gt;4011&lt;/item&gt;&lt;item&gt;4069&lt;/item&gt;&lt;item&gt;4101&lt;/item&gt;&lt;item&gt;4102&lt;/item&gt;&lt;item&gt;4103&lt;/item&gt;&lt;item&gt;4104&lt;/item&gt;&lt;item&gt;4159&lt;/item&gt;&lt;item&gt;4160&lt;/item&gt;&lt;item&gt;4161&lt;/item&gt;&lt;item&gt;4162&lt;/item&gt;&lt;item&gt;4163&lt;/item&gt;&lt;item&gt;4164&lt;/item&gt;&lt;/record-ids&gt;&lt;/item&gt;&lt;/Libraries&gt;"/>
  </w:docVars>
  <w:rsids>
    <w:rsidRoot w:val="0044786E"/>
    <w:rsid w:val="00000FCD"/>
    <w:rsid w:val="00003DE8"/>
    <w:rsid w:val="00005EED"/>
    <w:rsid w:val="00007A0B"/>
    <w:rsid w:val="00010293"/>
    <w:rsid w:val="00015E14"/>
    <w:rsid w:val="00026C11"/>
    <w:rsid w:val="000314E2"/>
    <w:rsid w:val="000341B6"/>
    <w:rsid w:val="00040E9C"/>
    <w:rsid w:val="00056180"/>
    <w:rsid w:val="000604D5"/>
    <w:rsid w:val="00062BE4"/>
    <w:rsid w:val="00071520"/>
    <w:rsid w:val="00071605"/>
    <w:rsid w:val="00071F24"/>
    <w:rsid w:val="000730A0"/>
    <w:rsid w:val="00076C26"/>
    <w:rsid w:val="0008472A"/>
    <w:rsid w:val="00093AC9"/>
    <w:rsid w:val="00094107"/>
    <w:rsid w:val="000A034C"/>
    <w:rsid w:val="000A1A5F"/>
    <w:rsid w:val="000A3DBD"/>
    <w:rsid w:val="000B5047"/>
    <w:rsid w:val="000B778A"/>
    <w:rsid w:val="000B7A20"/>
    <w:rsid w:val="000C1006"/>
    <w:rsid w:val="000C3FB5"/>
    <w:rsid w:val="000D1C1E"/>
    <w:rsid w:val="000D2915"/>
    <w:rsid w:val="000D418D"/>
    <w:rsid w:val="000D461F"/>
    <w:rsid w:val="000E1767"/>
    <w:rsid w:val="000E2540"/>
    <w:rsid w:val="000E3316"/>
    <w:rsid w:val="000E6858"/>
    <w:rsid w:val="000F67D2"/>
    <w:rsid w:val="001000FF"/>
    <w:rsid w:val="0010103D"/>
    <w:rsid w:val="001011B7"/>
    <w:rsid w:val="0010277B"/>
    <w:rsid w:val="00103792"/>
    <w:rsid w:val="00111020"/>
    <w:rsid w:val="001131F0"/>
    <w:rsid w:val="0011747D"/>
    <w:rsid w:val="00117895"/>
    <w:rsid w:val="00117D96"/>
    <w:rsid w:val="00117EE2"/>
    <w:rsid w:val="001205AA"/>
    <w:rsid w:val="00122A47"/>
    <w:rsid w:val="001314D1"/>
    <w:rsid w:val="001376B5"/>
    <w:rsid w:val="00156905"/>
    <w:rsid w:val="001575F7"/>
    <w:rsid w:val="00161E79"/>
    <w:rsid w:val="00165386"/>
    <w:rsid w:val="001703AC"/>
    <w:rsid w:val="00171B6F"/>
    <w:rsid w:val="00173E46"/>
    <w:rsid w:val="00174C0F"/>
    <w:rsid w:val="0018117F"/>
    <w:rsid w:val="00183101"/>
    <w:rsid w:val="00184D0B"/>
    <w:rsid w:val="0018579A"/>
    <w:rsid w:val="00185A36"/>
    <w:rsid w:val="00192C8C"/>
    <w:rsid w:val="001944B5"/>
    <w:rsid w:val="00194A99"/>
    <w:rsid w:val="0019612F"/>
    <w:rsid w:val="00197FB0"/>
    <w:rsid w:val="001A15B3"/>
    <w:rsid w:val="001A4A9E"/>
    <w:rsid w:val="001A67EE"/>
    <w:rsid w:val="001C31CA"/>
    <w:rsid w:val="001C340D"/>
    <w:rsid w:val="001C4B69"/>
    <w:rsid w:val="001D36D9"/>
    <w:rsid w:val="001D6758"/>
    <w:rsid w:val="001D7040"/>
    <w:rsid w:val="001E233E"/>
    <w:rsid w:val="001F1B3A"/>
    <w:rsid w:val="001F33D3"/>
    <w:rsid w:val="00200561"/>
    <w:rsid w:val="00202673"/>
    <w:rsid w:val="00203726"/>
    <w:rsid w:val="0020489F"/>
    <w:rsid w:val="0020635C"/>
    <w:rsid w:val="00206850"/>
    <w:rsid w:val="002069F3"/>
    <w:rsid w:val="002125C3"/>
    <w:rsid w:val="00216302"/>
    <w:rsid w:val="00223A8D"/>
    <w:rsid w:val="00226387"/>
    <w:rsid w:val="00234F6E"/>
    <w:rsid w:val="00236990"/>
    <w:rsid w:val="00245F86"/>
    <w:rsid w:val="00250BD7"/>
    <w:rsid w:val="00250FCA"/>
    <w:rsid w:val="0025319E"/>
    <w:rsid w:val="00254BF2"/>
    <w:rsid w:val="00267AE7"/>
    <w:rsid w:val="00281BD6"/>
    <w:rsid w:val="00283BE3"/>
    <w:rsid w:val="0029414B"/>
    <w:rsid w:val="00296EA7"/>
    <w:rsid w:val="00297D29"/>
    <w:rsid w:val="002A07CA"/>
    <w:rsid w:val="002A2108"/>
    <w:rsid w:val="002A686D"/>
    <w:rsid w:val="002B7AC3"/>
    <w:rsid w:val="002C034F"/>
    <w:rsid w:val="002C5DB1"/>
    <w:rsid w:val="002C639B"/>
    <w:rsid w:val="002D1449"/>
    <w:rsid w:val="002D338A"/>
    <w:rsid w:val="002D4E50"/>
    <w:rsid w:val="002D73D1"/>
    <w:rsid w:val="002E22E7"/>
    <w:rsid w:val="002E76D2"/>
    <w:rsid w:val="002F18CA"/>
    <w:rsid w:val="002F1F6B"/>
    <w:rsid w:val="002F295C"/>
    <w:rsid w:val="002F77B4"/>
    <w:rsid w:val="00304672"/>
    <w:rsid w:val="003079CD"/>
    <w:rsid w:val="00310C64"/>
    <w:rsid w:val="003112AC"/>
    <w:rsid w:val="003149F6"/>
    <w:rsid w:val="00314BB4"/>
    <w:rsid w:val="00315E18"/>
    <w:rsid w:val="003219CB"/>
    <w:rsid w:val="00323689"/>
    <w:rsid w:val="00324AA7"/>
    <w:rsid w:val="00326394"/>
    <w:rsid w:val="0033645D"/>
    <w:rsid w:val="00345C65"/>
    <w:rsid w:val="00347CD9"/>
    <w:rsid w:val="003519BE"/>
    <w:rsid w:val="00354F82"/>
    <w:rsid w:val="003606A4"/>
    <w:rsid w:val="003615A3"/>
    <w:rsid w:val="00363F98"/>
    <w:rsid w:val="003720F1"/>
    <w:rsid w:val="0037354D"/>
    <w:rsid w:val="00374F83"/>
    <w:rsid w:val="0037707F"/>
    <w:rsid w:val="00377177"/>
    <w:rsid w:val="003806F5"/>
    <w:rsid w:val="00383C44"/>
    <w:rsid w:val="00385192"/>
    <w:rsid w:val="0038780B"/>
    <w:rsid w:val="003878BB"/>
    <w:rsid w:val="00392ADE"/>
    <w:rsid w:val="0039525E"/>
    <w:rsid w:val="00395E46"/>
    <w:rsid w:val="003A190C"/>
    <w:rsid w:val="003A4029"/>
    <w:rsid w:val="003A73A7"/>
    <w:rsid w:val="003B5CB1"/>
    <w:rsid w:val="003B7121"/>
    <w:rsid w:val="003B7E0E"/>
    <w:rsid w:val="003C3EB0"/>
    <w:rsid w:val="003D0322"/>
    <w:rsid w:val="003D57EC"/>
    <w:rsid w:val="003E0CDA"/>
    <w:rsid w:val="003E62FB"/>
    <w:rsid w:val="003E6962"/>
    <w:rsid w:val="003F2D1B"/>
    <w:rsid w:val="003F38DA"/>
    <w:rsid w:val="003F4319"/>
    <w:rsid w:val="003F57F6"/>
    <w:rsid w:val="00400AF5"/>
    <w:rsid w:val="00403007"/>
    <w:rsid w:val="00403831"/>
    <w:rsid w:val="00403EE5"/>
    <w:rsid w:val="00405474"/>
    <w:rsid w:val="00406535"/>
    <w:rsid w:val="00407BBE"/>
    <w:rsid w:val="004146C8"/>
    <w:rsid w:val="00415F1C"/>
    <w:rsid w:val="004162BA"/>
    <w:rsid w:val="004215A9"/>
    <w:rsid w:val="00421CBE"/>
    <w:rsid w:val="00421D1E"/>
    <w:rsid w:val="00431B04"/>
    <w:rsid w:val="004402F7"/>
    <w:rsid w:val="0044411F"/>
    <w:rsid w:val="004446DD"/>
    <w:rsid w:val="004471A8"/>
    <w:rsid w:val="0044786E"/>
    <w:rsid w:val="0044789A"/>
    <w:rsid w:val="00451BE6"/>
    <w:rsid w:val="00451C13"/>
    <w:rsid w:val="004527CB"/>
    <w:rsid w:val="00455081"/>
    <w:rsid w:val="00463899"/>
    <w:rsid w:val="00464621"/>
    <w:rsid w:val="00467ED4"/>
    <w:rsid w:val="004704C1"/>
    <w:rsid w:val="00472358"/>
    <w:rsid w:val="00474187"/>
    <w:rsid w:val="00475E6A"/>
    <w:rsid w:val="004879FB"/>
    <w:rsid w:val="0049632A"/>
    <w:rsid w:val="00496788"/>
    <w:rsid w:val="004A4B09"/>
    <w:rsid w:val="004B1361"/>
    <w:rsid w:val="004B5F5B"/>
    <w:rsid w:val="004B63BD"/>
    <w:rsid w:val="004B7D3B"/>
    <w:rsid w:val="004C13BB"/>
    <w:rsid w:val="004C533C"/>
    <w:rsid w:val="004C6122"/>
    <w:rsid w:val="004D29BC"/>
    <w:rsid w:val="004E172C"/>
    <w:rsid w:val="004E1840"/>
    <w:rsid w:val="004F10E6"/>
    <w:rsid w:val="004F21E6"/>
    <w:rsid w:val="004F4B52"/>
    <w:rsid w:val="004F642D"/>
    <w:rsid w:val="004F6C08"/>
    <w:rsid w:val="005011A9"/>
    <w:rsid w:val="00507361"/>
    <w:rsid w:val="00507D5B"/>
    <w:rsid w:val="00513FDA"/>
    <w:rsid w:val="00514710"/>
    <w:rsid w:val="005179C5"/>
    <w:rsid w:val="00521CD2"/>
    <w:rsid w:val="00523327"/>
    <w:rsid w:val="00524783"/>
    <w:rsid w:val="00527E4E"/>
    <w:rsid w:val="00531FA1"/>
    <w:rsid w:val="00536188"/>
    <w:rsid w:val="005429DD"/>
    <w:rsid w:val="00543A42"/>
    <w:rsid w:val="00545991"/>
    <w:rsid w:val="0054636B"/>
    <w:rsid w:val="0054750D"/>
    <w:rsid w:val="00547B1B"/>
    <w:rsid w:val="005571E5"/>
    <w:rsid w:val="0056065A"/>
    <w:rsid w:val="00562CF5"/>
    <w:rsid w:val="00564091"/>
    <w:rsid w:val="0056591A"/>
    <w:rsid w:val="005660F2"/>
    <w:rsid w:val="00571573"/>
    <w:rsid w:val="005720D6"/>
    <w:rsid w:val="00572C45"/>
    <w:rsid w:val="00574319"/>
    <w:rsid w:val="00577DB2"/>
    <w:rsid w:val="005812CC"/>
    <w:rsid w:val="005819CF"/>
    <w:rsid w:val="005875A3"/>
    <w:rsid w:val="00590EA6"/>
    <w:rsid w:val="00596D41"/>
    <w:rsid w:val="005A375B"/>
    <w:rsid w:val="005A51C6"/>
    <w:rsid w:val="005A617B"/>
    <w:rsid w:val="005A6200"/>
    <w:rsid w:val="005B08E6"/>
    <w:rsid w:val="005B3026"/>
    <w:rsid w:val="005B45B6"/>
    <w:rsid w:val="005B48A9"/>
    <w:rsid w:val="005B53B1"/>
    <w:rsid w:val="005C08FA"/>
    <w:rsid w:val="005C0DDC"/>
    <w:rsid w:val="005C13D6"/>
    <w:rsid w:val="005C7562"/>
    <w:rsid w:val="005C7B99"/>
    <w:rsid w:val="005D0C03"/>
    <w:rsid w:val="005D0DB2"/>
    <w:rsid w:val="005D112D"/>
    <w:rsid w:val="005D25C4"/>
    <w:rsid w:val="005D29D5"/>
    <w:rsid w:val="005D7888"/>
    <w:rsid w:val="005D7999"/>
    <w:rsid w:val="005E47FC"/>
    <w:rsid w:val="005E4CA0"/>
    <w:rsid w:val="005F5D6F"/>
    <w:rsid w:val="005F6E6E"/>
    <w:rsid w:val="005F6E98"/>
    <w:rsid w:val="00606A97"/>
    <w:rsid w:val="006077C9"/>
    <w:rsid w:val="00612266"/>
    <w:rsid w:val="00612A21"/>
    <w:rsid w:val="00615CD6"/>
    <w:rsid w:val="0062038D"/>
    <w:rsid w:val="00627C71"/>
    <w:rsid w:val="006307F3"/>
    <w:rsid w:val="0063096A"/>
    <w:rsid w:val="00636220"/>
    <w:rsid w:val="00636E30"/>
    <w:rsid w:val="00640326"/>
    <w:rsid w:val="00644B4F"/>
    <w:rsid w:val="00646E71"/>
    <w:rsid w:val="006511D4"/>
    <w:rsid w:val="006527D9"/>
    <w:rsid w:val="00655EB3"/>
    <w:rsid w:val="00660FA1"/>
    <w:rsid w:val="0066316D"/>
    <w:rsid w:val="00663306"/>
    <w:rsid w:val="006820C7"/>
    <w:rsid w:val="00682F6E"/>
    <w:rsid w:val="00683ABD"/>
    <w:rsid w:val="006841F2"/>
    <w:rsid w:val="00687C5C"/>
    <w:rsid w:val="00687C9A"/>
    <w:rsid w:val="00692A83"/>
    <w:rsid w:val="00696552"/>
    <w:rsid w:val="006A4078"/>
    <w:rsid w:val="006A72D0"/>
    <w:rsid w:val="006B3649"/>
    <w:rsid w:val="006B660A"/>
    <w:rsid w:val="006C3204"/>
    <w:rsid w:val="006C3872"/>
    <w:rsid w:val="006C44B2"/>
    <w:rsid w:val="006C7E62"/>
    <w:rsid w:val="006C7EDE"/>
    <w:rsid w:val="006D2074"/>
    <w:rsid w:val="006D3220"/>
    <w:rsid w:val="006D4532"/>
    <w:rsid w:val="006D74A7"/>
    <w:rsid w:val="006D769B"/>
    <w:rsid w:val="006E2A78"/>
    <w:rsid w:val="006E2AC5"/>
    <w:rsid w:val="00700CA7"/>
    <w:rsid w:val="007072F0"/>
    <w:rsid w:val="00721A07"/>
    <w:rsid w:val="00722A5D"/>
    <w:rsid w:val="00730068"/>
    <w:rsid w:val="00743F94"/>
    <w:rsid w:val="00752031"/>
    <w:rsid w:val="00760E90"/>
    <w:rsid w:val="00764B50"/>
    <w:rsid w:val="007707CE"/>
    <w:rsid w:val="00770943"/>
    <w:rsid w:val="00770B30"/>
    <w:rsid w:val="0077649A"/>
    <w:rsid w:val="00777672"/>
    <w:rsid w:val="007814C6"/>
    <w:rsid w:val="00782515"/>
    <w:rsid w:val="00785432"/>
    <w:rsid w:val="00794E47"/>
    <w:rsid w:val="0079777A"/>
    <w:rsid w:val="007A0646"/>
    <w:rsid w:val="007A5F7B"/>
    <w:rsid w:val="007A64E0"/>
    <w:rsid w:val="007B3446"/>
    <w:rsid w:val="007B40EB"/>
    <w:rsid w:val="007B6847"/>
    <w:rsid w:val="007C06FB"/>
    <w:rsid w:val="007C0D3B"/>
    <w:rsid w:val="007C45F0"/>
    <w:rsid w:val="007C4B0B"/>
    <w:rsid w:val="007C7186"/>
    <w:rsid w:val="007D0DFC"/>
    <w:rsid w:val="007D58D8"/>
    <w:rsid w:val="007E375E"/>
    <w:rsid w:val="007F0A6E"/>
    <w:rsid w:val="007F13DE"/>
    <w:rsid w:val="007F1732"/>
    <w:rsid w:val="007F4345"/>
    <w:rsid w:val="007F482D"/>
    <w:rsid w:val="007F7B70"/>
    <w:rsid w:val="00801CA4"/>
    <w:rsid w:val="00805CAF"/>
    <w:rsid w:val="00807B1E"/>
    <w:rsid w:val="00812D44"/>
    <w:rsid w:val="00825C78"/>
    <w:rsid w:val="008270E7"/>
    <w:rsid w:val="00827F5B"/>
    <w:rsid w:val="00830183"/>
    <w:rsid w:val="00835183"/>
    <w:rsid w:val="0083788C"/>
    <w:rsid w:val="008407B0"/>
    <w:rsid w:val="00845D5C"/>
    <w:rsid w:val="00853303"/>
    <w:rsid w:val="00855878"/>
    <w:rsid w:val="00856481"/>
    <w:rsid w:val="00857BBC"/>
    <w:rsid w:val="008610A7"/>
    <w:rsid w:val="0086360B"/>
    <w:rsid w:val="00866E36"/>
    <w:rsid w:val="008741A9"/>
    <w:rsid w:val="008747AA"/>
    <w:rsid w:val="0088025F"/>
    <w:rsid w:val="00881A18"/>
    <w:rsid w:val="00882BEA"/>
    <w:rsid w:val="00886721"/>
    <w:rsid w:val="00891C27"/>
    <w:rsid w:val="00894235"/>
    <w:rsid w:val="008952E1"/>
    <w:rsid w:val="00897303"/>
    <w:rsid w:val="008A23BF"/>
    <w:rsid w:val="008A3492"/>
    <w:rsid w:val="008A41F3"/>
    <w:rsid w:val="008A51B1"/>
    <w:rsid w:val="008C1774"/>
    <w:rsid w:val="008C7509"/>
    <w:rsid w:val="008D15E4"/>
    <w:rsid w:val="008D2CC8"/>
    <w:rsid w:val="008D592A"/>
    <w:rsid w:val="008D6033"/>
    <w:rsid w:val="008D79C3"/>
    <w:rsid w:val="00900748"/>
    <w:rsid w:val="00900D12"/>
    <w:rsid w:val="00910D63"/>
    <w:rsid w:val="00913DF5"/>
    <w:rsid w:val="00914B73"/>
    <w:rsid w:val="00920EF9"/>
    <w:rsid w:val="009214BE"/>
    <w:rsid w:val="00921E4F"/>
    <w:rsid w:val="00922E78"/>
    <w:rsid w:val="009274B4"/>
    <w:rsid w:val="00931934"/>
    <w:rsid w:val="0093314B"/>
    <w:rsid w:val="009335A9"/>
    <w:rsid w:val="009338AE"/>
    <w:rsid w:val="00934993"/>
    <w:rsid w:val="00936C71"/>
    <w:rsid w:val="00944804"/>
    <w:rsid w:val="009451EB"/>
    <w:rsid w:val="009463A1"/>
    <w:rsid w:val="0094717B"/>
    <w:rsid w:val="00950453"/>
    <w:rsid w:val="00950588"/>
    <w:rsid w:val="009505D9"/>
    <w:rsid w:val="00952A3F"/>
    <w:rsid w:val="009554C1"/>
    <w:rsid w:val="00964C78"/>
    <w:rsid w:val="009658DE"/>
    <w:rsid w:val="00965E8F"/>
    <w:rsid w:val="009664E0"/>
    <w:rsid w:val="00967DD8"/>
    <w:rsid w:val="0098351A"/>
    <w:rsid w:val="009876E0"/>
    <w:rsid w:val="0099195C"/>
    <w:rsid w:val="009971B3"/>
    <w:rsid w:val="009B5B42"/>
    <w:rsid w:val="009C12CD"/>
    <w:rsid w:val="009C5B75"/>
    <w:rsid w:val="009D0AE8"/>
    <w:rsid w:val="009D16F3"/>
    <w:rsid w:val="009D298E"/>
    <w:rsid w:val="009D3482"/>
    <w:rsid w:val="009E2124"/>
    <w:rsid w:val="009E2AD7"/>
    <w:rsid w:val="009E5D48"/>
    <w:rsid w:val="009F21C0"/>
    <w:rsid w:val="00A00584"/>
    <w:rsid w:val="00A00C9F"/>
    <w:rsid w:val="00A01F4B"/>
    <w:rsid w:val="00A043A8"/>
    <w:rsid w:val="00A07235"/>
    <w:rsid w:val="00A13BCB"/>
    <w:rsid w:val="00A142C5"/>
    <w:rsid w:val="00A1611E"/>
    <w:rsid w:val="00A2586C"/>
    <w:rsid w:val="00A27A36"/>
    <w:rsid w:val="00A32C91"/>
    <w:rsid w:val="00A344ED"/>
    <w:rsid w:val="00A357E0"/>
    <w:rsid w:val="00A461B7"/>
    <w:rsid w:val="00A46B44"/>
    <w:rsid w:val="00A52424"/>
    <w:rsid w:val="00A57065"/>
    <w:rsid w:val="00A57706"/>
    <w:rsid w:val="00A63FA5"/>
    <w:rsid w:val="00A701B4"/>
    <w:rsid w:val="00A718DE"/>
    <w:rsid w:val="00A73B40"/>
    <w:rsid w:val="00A76EB3"/>
    <w:rsid w:val="00A7730D"/>
    <w:rsid w:val="00A842A7"/>
    <w:rsid w:val="00A9735D"/>
    <w:rsid w:val="00AA0045"/>
    <w:rsid w:val="00AA04C5"/>
    <w:rsid w:val="00AA06ED"/>
    <w:rsid w:val="00AA6528"/>
    <w:rsid w:val="00AB2BAA"/>
    <w:rsid w:val="00AB6EAF"/>
    <w:rsid w:val="00AC1B43"/>
    <w:rsid w:val="00AC1E30"/>
    <w:rsid w:val="00AC2FE4"/>
    <w:rsid w:val="00AC3A0E"/>
    <w:rsid w:val="00AC67E6"/>
    <w:rsid w:val="00AD26EB"/>
    <w:rsid w:val="00AD3586"/>
    <w:rsid w:val="00AD381E"/>
    <w:rsid w:val="00AD72F9"/>
    <w:rsid w:val="00AE43D5"/>
    <w:rsid w:val="00AE6665"/>
    <w:rsid w:val="00AE6856"/>
    <w:rsid w:val="00AF0FDC"/>
    <w:rsid w:val="00AF1185"/>
    <w:rsid w:val="00AF32DB"/>
    <w:rsid w:val="00AF52EF"/>
    <w:rsid w:val="00AF664C"/>
    <w:rsid w:val="00AF73D9"/>
    <w:rsid w:val="00B01A03"/>
    <w:rsid w:val="00B048A3"/>
    <w:rsid w:val="00B06CD2"/>
    <w:rsid w:val="00B07420"/>
    <w:rsid w:val="00B10F53"/>
    <w:rsid w:val="00B1126D"/>
    <w:rsid w:val="00B13A9F"/>
    <w:rsid w:val="00B13B43"/>
    <w:rsid w:val="00B140AF"/>
    <w:rsid w:val="00B15853"/>
    <w:rsid w:val="00B1614C"/>
    <w:rsid w:val="00B1716C"/>
    <w:rsid w:val="00B22292"/>
    <w:rsid w:val="00B223E1"/>
    <w:rsid w:val="00B25F4A"/>
    <w:rsid w:val="00B322C8"/>
    <w:rsid w:val="00B32549"/>
    <w:rsid w:val="00B34209"/>
    <w:rsid w:val="00B4272D"/>
    <w:rsid w:val="00B54BF0"/>
    <w:rsid w:val="00B5748C"/>
    <w:rsid w:val="00B61CB2"/>
    <w:rsid w:val="00B623A4"/>
    <w:rsid w:val="00B649C1"/>
    <w:rsid w:val="00B67D4D"/>
    <w:rsid w:val="00B70057"/>
    <w:rsid w:val="00B71FAB"/>
    <w:rsid w:val="00B7241A"/>
    <w:rsid w:val="00B74C11"/>
    <w:rsid w:val="00B77A30"/>
    <w:rsid w:val="00B85692"/>
    <w:rsid w:val="00B8744C"/>
    <w:rsid w:val="00B913BC"/>
    <w:rsid w:val="00B955B4"/>
    <w:rsid w:val="00BA2480"/>
    <w:rsid w:val="00BB324C"/>
    <w:rsid w:val="00BB43BC"/>
    <w:rsid w:val="00BB48DF"/>
    <w:rsid w:val="00BB6AD6"/>
    <w:rsid w:val="00BC5791"/>
    <w:rsid w:val="00BD41D3"/>
    <w:rsid w:val="00BD57F7"/>
    <w:rsid w:val="00BD5A04"/>
    <w:rsid w:val="00BD647E"/>
    <w:rsid w:val="00BD6BD9"/>
    <w:rsid w:val="00BE4E2C"/>
    <w:rsid w:val="00BE5E30"/>
    <w:rsid w:val="00BF611D"/>
    <w:rsid w:val="00C02A4E"/>
    <w:rsid w:val="00C02BAD"/>
    <w:rsid w:val="00C037AA"/>
    <w:rsid w:val="00C07CE0"/>
    <w:rsid w:val="00C07E91"/>
    <w:rsid w:val="00C22592"/>
    <w:rsid w:val="00C24751"/>
    <w:rsid w:val="00C30781"/>
    <w:rsid w:val="00C31357"/>
    <w:rsid w:val="00C449A2"/>
    <w:rsid w:val="00C53566"/>
    <w:rsid w:val="00C54C32"/>
    <w:rsid w:val="00C753C7"/>
    <w:rsid w:val="00C7740D"/>
    <w:rsid w:val="00C8381F"/>
    <w:rsid w:val="00C83E6D"/>
    <w:rsid w:val="00C85CBE"/>
    <w:rsid w:val="00C87B72"/>
    <w:rsid w:val="00C93DDA"/>
    <w:rsid w:val="00C9467B"/>
    <w:rsid w:val="00CA1CDA"/>
    <w:rsid w:val="00CA2F50"/>
    <w:rsid w:val="00CA364E"/>
    <w:rsid w:val="00CA465F"/>
    <w:rsid w:val="00CA5571"/>
    <w:rsid w:val="00CB3282"/>
    <w:rsid w:val="00CB4508"/>
    <w:rsid w:val="00CB69DE"/>
    <w:rsid w:val="00CC0CC1"/>
    <w:rsid w:val="00CC26EC"/>
    <w:rsid w:val="00CE1E36"/>
    <w:rsid w:val="00CE4860"/>
    <w:rsid w:val="00CE5686"/>
    <w:rsid w:val="00CE6214"/>
    <w:rsid w:val="00CF0063"/>
    <w:rsid w:val="00CF01B3"/>
    <w:rsid w:val="00CF36FB"/>
    <w:rsid w:val="00CF38B0"/>
    <w:rsid w:val="00CF408D"/>
    <w:rsid w:val="00D00460"/>
    <w:rsid w:val="00D0293A"/>
    <w:rsid w:val="00D03660"/>
    <w:rsid w:val="00D112DC"/>
    <w:rsid w:val="00D15096"/>
    <w:rsid w:val="00D157DE"/>
    <w:rsid w:val="00D158FA"/>
    <w:rsid w:val="00D16B75"/>
    <w:rsid w:val="00D20382"/>
    <w:rsid w:val="00D35747"/>
    <w:rsid w:val="00D40106"/>
    <w:rsid w:val="00D425C3"/>
    <w:rsid w:val="00D4435A"/>
    <w:rsid w:val="00D473CF"/>
    <w:rsid w:val="00D52AF4"/>
    <w:rsid w:val="00D52F97"/>
    <w:rsid w:val="00D57A48"/>
    <w:rsid w:val="00D60911"/>
    <w:rsid w:val="00D65379"/>
    <w:rsid w:val="00D716E6"/>
    <w:rsid w:val="00D84307"/>
    <w:rsid w:val="00D86907"/>
    <w:rsid w:val="00D87A4E"/>
    <w:rsid w:val="00D90144"/>
    <w:rsid w:val="00D9135C"/>
    <w:rsid w:val="00D93B30"/>
    <w:rsid w:val="00DA16FD"/>
    <w:rsid w:val="00DA37D2"/>
    <w:rsid w:val="00DA5372"/>
    <w:rsid w:val="00DB3208"/>
    <w:rsid w:val="00DB38C6"/>
    <w:rsid w:val="00DB5537"/>
    <w:rsid w:val="00DB65B9"/>
    <w:rsid w:val="00DC077F"/>
    <w:rsid w:val="00DC1DCC"/>
    <w:rsid w:val="00DC68FD"/>
    <w:rsid w:val="00DC6FC8"/>
    <w:rsid w:val="00DC7FE4"/>
    <w:rsid w:val="00DD40FA"/>
    <w:rsid w:val="00DD4202"/>
    <w:rsid w:val="00DD5CD7"/>
    <w:rsid w:val="00DD6BBF"/>
    <w:rsid w:val="00DE02DD"/>
    <w:rsid w:val="00DE2F8D"/>
    <w:rsid w:val="00DE5143"/>
    <w:rsid w:val="00DF12EB"/>
    <w:rsid w:val="00DF3824"/>
    <w:rsid w:val="00E03148"/>
    <w:rsid w:val="00E0493C"/>
    <w:rsid w:val="00E11C63"/>
    <w:rsid w:val="00E12402"/>
    <w:rsid w:val="00E14363"/>
    <w:rsid w:val="00E15455"/>
    <w:rsid w:val="00E200AF"/>
    <w:rsid w:val="00E20DEE"/>
    <w:rsid w:val="00E254DB"/>
    <w:rsid w:val="00E31E11"/>
    <w:rsid w:val="00E33F14"/>
    <w:rsid w:val="00E379ED"/>
    <w:rsid w:val="00E46110"/>
    <w:rsid w:val="00E5237F"/>
    <w:rsid w:val="00E57BB9"/>
    <w:rsid w:val="00E619D8"/>
    <w:rsid w:val="00E65629"/>
    <w:rsid w:val="00E70DE8"/>
    <w:rsid w:val="00E733D4"/>
    <w:rsid w:val="00E80014"/>
    <w:rsid w:val="00E803F3"/>
    <w:rsid w:val="00E8670B"/>
    <w:rsid w:val="00E901D3"/>
    <w:rsid w:val="00E90C9A"/>
    <w:rsid w:val="00E94818"/>
    <w:rsid w:val="00EA2D6F"/>
    <w:rsid w:val="00EA3E72"/>
    <w:rsid w:val="00EA6D93"/>
    <w:rsid w:val="00EB4D60"/>
    <w:rsid w:val="00EB5008"/>
    <w:rsid w:val="00EB6910"/>
    <w:rsid w:val="00EB7D06"/>
    <w:rsid w:val="00EC0FB0"/>
    <w:rsid w:val="00EC1E52"/>
    <w:rsid w:val="00EC66A6"/>
    <w:rsid w:val="00ED6EE6"/>
    <w:rsid w:val="00ED7FC3"/>
    <w:rsid w:val="00EE0632"/>
    <w:rsid w:val="00EE06AC"/>
    <w:rsid w:val="00EE297F"/>
    <w:rsid w:val="00EE5A66"/>
    <w:rsid w:val="00EF3F58"/>
    <w:rsid w:val="00F07913"/>
    <w:rsid w:val="00F10619"/>
    <w:rsid w:val="00F11007"/>
    <w:rsid w:val="00F1198E"/>
    <w:rsid w:val="00F126CD"/>
    <w:rsid w:val="00F13A15"/>
    <w:rsid w:val="00F14A15"/>
    <w:rsid w:val="00F15FD5"/>
    <w:rsid w:val="00F17AA4"/>
    <w:rsid w:val="00F224D1"/>
    <w:rsid w:val="00F260DD"/>
    <w:rsid w:val="00F26A27"/>
    <w:rsid w:val="00F30588"/>
    <w:rsid w:val="00F36914"/>
    <w:rsid w:val="00F42451"/>
    <w:rsid w:val="00F4528A"/>
    <w:rsid w:val="00F45DCB"/>
    <w:rsid w:val="00F4720C"/>
    <w:rsid w:val="00F5096A"/>
    <w:rsid w:val="00F56E0D"/>
    <w:rsid w:val="00F62629"/>
    <w:rsid w:val="00F63521"/>
    <w:rsid w:val="00F7059B"/>
    <w:rsid w:val="00F718EF"/>
    <w:rsid w:val="00F749AB"/>
    <w:rsid w:val="00F764AB"/>
    <w:rsid w:val="00F77753"/>
    <w:rsid w:val="00F82BC9"/>
    <w:rsid w:val="00F87A78"/>
    <w:rsid w:val="00F92FC3"/>
    <w:rsid w:val="00F92FDC"/>
    <w:rsid w:val="00F93CEB"/>
    <w:rsid w:val="00F962EB"/>
    <w:rsid w:val="00FA067C"/>
    <w:rsid w:val="00FA31C9"/>
    <w:rsid w:val="00FA4519"/>
    <w:rsid w:val="00FA7B93"/>
    <w:rsid w:val="00FB1140"/>
    <w:rsid w:val="00FB1FC7"/>
    <w:rsid w:val="00FB4CE4"/>
    <w:rsid w:val="00FB4E98"/>
    <w:rsid w:val="00FB629C"/>
    <w:rsid w:val="00FB7666"/>
    <w:rsid w:val="00FC0DFA"/>
    <w:rsid w:val="00FC37BA"/>
    <w:rsid w:val="00FC5007"/>
    <w:rsid w:val="00FD0868"/>
    <w:rsid w:val="00FD6F8F"/>
    <w:rsid w:val="00FE181D"/>
    <w:rsid w:val="00FE1923"/>
    <w:rsid w:val="00FE3334"/>
    <w:rsid w:val="00FE3401"/>
    <w:rsid w:val="00FE440E"/>
    <w:rsid w:val="00FE71B8"/>
    <w:rsid w:val="00FF2905"/>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D5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67"/>
    <w:pPr>
      <w:spacing w:after="0" w:line="480" w:lineRule="auto"/>
      <w:ind w:firstLine="720"/>
    </w:pPr>
    <w:rPr>
      <w:rFonts w:ascii="Times New Roman" w:hAnsi="Times New Roman" w:cs="Times New Roman"/>
      <w:sz w:val="24"/>
      <w:szCs w:val="24"/>
    </w:rPr>
  </w:style>
  <w:style w:type="paragraph" w:styleId="Heading1">
    <w:name w:val="heading 1"/>
    <w:basedOn w:val="Normal"/>
    <w:link w:val="Heading1Char"/>
    <w:uiPriority w:val="9"/>
    <w:qFormat/>
    <w:rsid w:val="00531FA1"/>
    <w:pPr>
      <w:spacing w:before="120" w:after="120"/>
      <w:ind w:firstLine="0"/>
      <w:jc w:val="center"/>
      <w:outlineLvl w:val="0"/>
    </w:pPr>
    <w:rPr>
      <w:rFonts w:eastAsia="Times New Roman"/>
      <w:b/>
      <w:bCs/>
      <w:kern w:val="36"/>
      <w:lang w:eastAsia="tr-TR"/>
    </w:rPr>
  </w:style>
  <w:style w:type="paragraph" w:styleId="Heading2">
    <w:name w:val="heading 2"/>
    <w:basedOn w:val="Heading1"/>
    <w:next w:val="Normal"/>
    <w:link w:val="Heading2Char"/>
    <w:uiPriority w:val="9"/>
    <w:unhideWhenUsed/>
    <w:qFormat/>
    <w:rsid w:val="00DC68FD"/>
    <w:pPr>
      <w:jc w:val="left"/>
      <w:outlineLvl w:val="1"/>
    </w:pPr>
  </w:style>
  <w:style w:type="paragraph" w:styleId="Heading3">
    <w:name w:val="heading 3"/>
    <w:basedOn w:val="Normal"/>
    <w:next w:val="Normal"/>
    <w:link w:val="Heading3Char"/>
    <w:uiPriority w:val="9"/>
    <w:unhideWhenUsed/>
    <w:qFormat/>
    <w:rsid w:val="00BA248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2DB"/>
    <w:pPr>
      <w:ind w:left="720"/>
      <w:contextualSpacing/>
    </w:pPr>
    <w:rPr>
      <w:rFonts w:ascii="Calibri" w:eastAsia="Calibri" w:hAnsi="Calibri"/>
    </w:rPr>
  </w:style>
  <w:style w:type="character" w:styleId="Hyperlink">
    <w:name w:val="Hyperlink"/>
    <w:basedOn w:val="DefaultParagraphFont"/>
    <w:uiPriority w:val="99"/>
    <w:semiHidden/>
    <w:unhideWhenUsed/>
    <w:rsid w:val="00B13A9F"/>
    <w:rPr>
      <w:color w:val="0000FF"/>
      <w:u w:val="single"/>
    </w:rPr>
  </w:style>
  <w:style w:type="paragraph" w:styleId="Header">
    <w:name w:val="header"/>
    <w:basedOn w:val="Normal"/>
    <w:link w:val="HeaderChar"/>
    <w:uiPriority w:val="99"/>
    <w:unhideWhenUsed/>
    <w:rsid w:val="00056180"/>
    <w:pPr>
      <w:tabs>
        <w:tab w:val="center" w:pos="4513"/>
        <w:tab w:val="right" w:pos="9026"/>
      </w:tabs>
      <w:spacing w:line="240" w:lineRule="auto"/>
    </w:pPr>
  </w:style>
  <w:style w:type="character" w:customStyle="1" w:styleId="HeaderChar">
    <w:name w:val="Header Char"/>
    <w:basedOn w:val="DefaultParagraphFont"/>
    <w:link w:val="Header"/>
    <w:uiPriority w:val="99"/>
    <w:rsid w:val="00056180"/>
  </w:style>
  <w:style w:type="paragraph" w:styleId="Footer">
    <w:name w:val="footer"/>
    <w:basedOn w:val="Normal"/>
    <w:link w:val="FooterChar"/>
    <w:uiPriority w:val="99"/>
    <w:unhideWhenUsed/>
    <w:rsid w:val="00056180"/>
    <w:pPr>
      <w:tabs>
        <w:tab w:val="center" w:pos="4513"/>
        <w:tab w:val="right" w:pos="9026"/>
      </w:tabs>
      <w:spacing w:line="240" w:lineRule="auto"/>
    </w:pPr>
  </w:style>
  <w:style w:type="character" w:customStyle="1" w:styleId="FooterChar">
    <w:name w:val="Footer Char"/>
    <w:basedOn w:val="DefaultParagraphFont"/>
    <w:link w:val="Footer"/>
    <w:uiPriority w:val="99"/>
    <w:rsid w:val="00056180"/>
  </w:style>
  <w:style w:type="paragraph" w:styleId="BalloonText">
    <w:name w:val="Balloon Text"/>
    <w:basedOn w:val="Normal"/>
    <w:link w:val="BalloonTextChar"/>
    <w:uiPriority w:val="99"/>
    <w:semiHidden/>
    <w:unhideWhenUsed/>
    <w:rsid w:val="000561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180"/>
    <w:rPr>
      <w:rFonts w:ascii="Tahoma" w:hAnsi="Tahoma" w:cs="Tahoma"/>
      <w:sz w:val="16"/>
      <w:szCs w:val="16"/>
    </w:rPr>
  </w:style>
  <w:style w:type="character" w:customStyle="1" w:styleId="Heading1Char">
    <w:name w:val="Heading 1 Char"/>
    <w:basedOn w:val="DefaultParagraphFont"/>
    <w:link w:val="Heading1"/>
    <w:uiPriority w:val="9"/>
    <w:rsid w:val="00531FA1"/>
    <w:rPr>
      <w:rFonts w:ascii="Times New Roman" w:eastAsia="Times New Roman" w:hAnsi="Times New Roman" w:cs="Times New Roman"/>
      <w:b/>
      <w:bCs/>
      <w:kern w:val="36"/>
      <w:sz w:val="24"/>
      <w:szCs w:val="24"/>
      <w:lang w:eastAsia="tr-TR"/>
    </w:rPr>
  </w:style>
  <w:style w:type="paragraph" w:styleId="NormalWeb">
    <w:name w:val="Normal (Web)"/>
    <w:basedOn w:val="Normal"/>
    <w:uiPriority w:val="99"/>
    <w:unhideWhenUsed/>
    <w:rsid w:val="00056180"/>
    <w:pPr>
      <w:spacing w:before="150" w:after="150" w:line="432" w:lineRule="atLeast"/>
    </w:pPr>
    <w:rPr>
      <w:rFonts w:eastAsia="Calibri"/>
      <w:lang w:val="tr-TR" w:eastAsia="tr-TR"/>
    </w:rPr>
  </w:style>
  <w:style w:type="character" w:styleId="Emphasis">
    <w:name w:val="Emphasis"/>
    <w:basedOn w:val="DefaultParagraphFont"/>
    <w:uiPriority w:val="20"/>
    <w:qFormat/>
    <w:rsid w:val="00056180"/>
    <w:rPr>
      <w:i/>
      <w:iCs/>
    </w:rPr>
  </w:style>
  <w:style w:type="character" w:styleId="CommentReference">
    <w:name w:val="annotation reference"/>
    <w:basedOn w:val="DefaultParagraphFont"/>
    <w:uiPriority w:val="99"/>
    <w:semiHidden/>
    <w:unhideWhenUsed/>
    <w:rsid w:val="00345C65"/>
    <w:rPr>
      <w:sz w:val="16"/>
      <w:szCs w:val="16"/>
    </w:rPr>
  </w:style>
  <w:style w:type="paragraph" w:styleId="CommentText">
    <w:name w:val="annotation text"/>
    <w:basedOn w:val="Normal"/>
    <w:link w:val="CommentTextChar"/>
    <w:uiPriority w:val="99"/>
    <w:unhideWhenUsed/>
    <w:rsid w:val="00345C65"/>
    <w:pPr>
      <w:spacing w:line="240" w:lineRule="auto"/>
    </w:pPr>
    <w:rPr>
      <w:sz w:val="20"/>
      <w:szCs w:val="20"/>
    </w:rPr>
  </w:style>
  <w:style w:type="character" w:customStyle="1" w:styleId="CommentTextChar">
    <w:name w:val="Comment Text Char"/>
    <w:basedOn w:val="DefaultParagraphFont"/>
    <w:link w:val="CommentText"/>
    <w:uiPriority w:val="99"/>
    <w:rsid w:val="00345C65"/>
    <w:rPr>
      <w:sz w:val="20"/>
      <w:szCs w:val="20"/>
    </w:rPr>
  </w:style>
  <w:style w:type="paragraph" w:styleId="CommentSubject">
    <w:name w:val="annotation subject"/>
    <w:basedOn w:val="CommentText"/>
    <w:next w:val="CommentText"/>
    <w:link w:val="CommentSubjectChar"/>
    <w:uiPriority w:val="99"/>
    <w:semiHidden/>
    <w:unhideWhenUsed/>
    <w:rsid w:val="00345C65"/>
    <w:rPr>
      <w:b/>
      <w:bCs/>
    </w:rPr>
  </w:style>
  <w:style w:type="character" w:customStyle="1" w:styleId="CommentSubjectChar">
    <w:name w:val="Comment Subject Char"/>
    <w:basedOn w:val="CommentTextChar"/>
    <w:link w:val="CommentSubject"/>
    <w:uiPriority w:val="99"/>
    <w:semiHidden/>
    <w:rsid w:val="00345C65"/>
    <w:rPr>
      <w:b/>
      <w:bCs/>
      <w:sz w:val="20"/>
      <w:szCs w:val="20"/>
    </w:rPr>
  </w:style>
  <w:style w:type="table" w:styleId="TableGrid">
    <w:name w:val="Table Grid"/>
    <w:basedOn w:val="TableNormal"/>
    <w:rsid w:val="000D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57BB9"/>
  </w:style>
  <w:style w:type="paragraph" w:styleId="NoSpacing">
    <w:name w:val="No Spacing"/>
    <w:link w:val="NoSpacingChar"/>
    <w:uiPriority w:val="1"/>
    <w:qFormat/>
    <w:rsid w:val="008A41F3"/>
    <w:pPr>
      <w:spacing w:after="0" w:line="240" w:lineRule="auto"/>
    </w:pPr>
    <w:rPr>
      <w:rFonts w:eastAsiaTheme="minorEastAsia"/>
      <w:lang w:val="tr-TR"/>
    </w:rPr>
  </w:style>
  <w:style w:type="character" w:customStyle="1" w:styleId="NoSpacingChar">
    <w:name w:val="No Spacing Char"/>
    <w:basedOn w:val="DefaultParagraphFont"/>
    <w:link w:val="NoSpacing"/>
    <w:uiPriority w:val="1"/>
    <w:rsid w:val="008A41F3"/>
    <w:rPr>
      <w:rFonts w:eastAsiaTheme="minorEastAsia"/>
      <w:lang w:val="tr-TR"/>
    </w:rPr>
  </w:style>
  <w:style w:type="character" w:customStyle="1" w:styleId="Heading2Char">
    <w:name w:val="Heading 2 Char"/>
    <w:basedOn w:val="DefaultParagraphFont"/>
    <w:link w:val="Heading2"/>
    <w:uiPriority w:val="9"/>
    <w:rsid w:val="00DC68FD"/>
    <w:rPr>
      <w:rFonts w:ascii="Times New Roman" w:eastAsia="Times New Roman" w:hAnsi="Times New Roman" w:cs="Times New Roman"/>
      <w:b/>
      <w:bCs/>
      <w:kern w:val="36"/>
      <w:sz w:val="24"/>
      <w:szCs w:val="24"/>
      <w:lang w:eastAsia="tr-TR"/>
    </w:rPr>
  </w:style>
  <w:style w:type="character" w:customStyle="1" w:styleId="Heading3Char">
    <w:name w:val="Heading 3 Char"/>
    <w:basedOn w:val="DefaultParagraphFont"/>
    <w:link w:val="Heading3"/>
    <w:uiPriority w:val="9"/>
    <w:rsid w:val="00BA2480"/>
    <w:rPr>
      <w:rFonts w:ascii="Times New Roman" w:hAnsi="Times New Roman" w:cs="Times New Roman"/>
      <w:b/>
      <w:sz w:val="24"/>
      <w:szCs w:val="24"/>
    </w:rPr>
  </w:style>
  <w:style w:type="paragraph" w:styleId="Revision">
    <w:name w:val="Revision"/>
    <w:hidden/>
    <w:uiPriority w:val="99"/>
    <w:semiHidden/>
    <w:rsid w:val="006D2074"/>
    <w:pPr>
      <w:spacing w:after="0" w:line="240" w:lineRule="auto"/>
    </w:pPr>
    <w:rPr>
      <w:rFonts w:ascii="Times New Roman" w:hAnsi="Times New Roman" w:cs="Times New Roman"/>
      <w:sz w:val="24"/>
      <w:szCs w:val="24"/>
    </w:rPr>
  </w:style>
  <w:style w:type="table" w:styleId="LightShading">
    <w:name w:val="Light Shading"/>
    <w:basedOn w:val="TableNormal"/>
    <w:uiPriority w:val="60"/>
    <w:rsid w:val="00B77A30"/>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94717B"/>
    <w:pPr>
      <w:jc w:val="center"/>
    </w:pPr>
    <w:rPr>
      <w:noProof/>
      <w:lang w:val="en-US"/>
    </w:rPr>
  </w:style>
  <w:style w:type="character" w:customStyle="1" w:styleId="EndNoteBibliographyTitleChar">
    <w:name w:val="EndNote Bibliography Title Char"/>
    <w:basedOn w:val="DefaultParagraphFont"/>
    <w:link w:val="EndNoteBibliographyTitle"/>
    <w:rsid w:val="0094717B"/>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94717B"/>
    <w:rPr>
      <w:noProof/>
      <w:lang w:val="en-US"/>
    </w:rPr>
  </w:style>
  <w:style w:type="character" w:customStyle="1" w:styleId="EndNoteBibliographyChar">
    <w:name w:val="EndNote Bibliography Char"/>
    <w:basedOn w:val="DefaultParagraphFont"/>
    <w:link w:val="EndNoteBibliography"/>
    <w:rsid w:val="0094717B"/>
    <w:rPr>
      <w:rFonts w:ascii="Times New Roman" w:hAnsi="Times New Roman" w:cs="Times New Roman"/>
      <w:noProof/>
      <w:sz w:val="24"/>
      <w:szCs w:val="24"/>
      <w:lang w:val="en-US"/>
    </w:rPr>
  </w:style>
  <w:style w:type="paragraph" w:styleId="BodyTextIndent">
    <w:name w:val="Body Text Indent"/>
    <w:basedOn w:val="Normal"/>
    <w:link w:val="BodyTextIndentChar"/>
    <w:rsid w:val="00A52424"/>
    <w:pPr>
      <w:pBdr>
        <w:top w:val="single" w:sz="4" w:space="1" w:color="auto"/>
        <w:left w:val="single" w:sz="4" w:space="4" w:color="auto"/>
        <w:bottom w:val="single" w:sz="4" w:space="1" w:color="auto"/>
        <w:right w:val="single" w:sz="4" w:space="4" w:color="auto"/>
      </w:pBdr>
      <w:spacing w:line="240" w:lineRule="auto"/>
      <w:ind w:firstLine="213"/>
    </w:pPr>
    <w:rPr>
      <w:rFonts w:eastAsia="Times New Roman"/>
    </w:rPr>
  </w:style>
  <w:style w:type="character" w:customStyle="1" w:styleId="BodyTextIndentChar">
    <w:name w:val="Body Text Indent Char"/>
    <w:basedOn w:val="DefaultParagraphFont"/>
    <w:link w:val="BodyTextIndent"/>
    <w:rsid w:val="00A52424"/>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0561"/>
  </w:style>
  <w:style w:type="table" w:styleId="LightGrid">
    <w:name w:val="Light Grid"/>
    <w:basedOn w:val="TableNormal"/>
    <w:uiPriority w:val="62"/>
    <w:rsid w:val="005A617B"/>
    <w:pPr>
      <w:spacing w:after="0" w:line="240" w:lineRule="auto"/>
    </w:pPr>
    <w:rPr>
      <w:lang w:val="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67"/>
    <w:pPr>
      <w:spacing w:after="0" w:line="480" w:lineRule="auto"/>
      <w:ind w:firstLine="720"/>
    </w:pPr>
    <w:rPr>
      <w:rFonts w:ascii="Times New Roman" w:hAnsi="Times New Roman" w:cs="Times New Roman"/>
      <w:sz w:val="24"/>
      <w:szCs w:val="24"/>
    </w:rPr>
  </w:style>
  <w:style w:type="paragraph" w:styleId="Heading1">
    <w:name w:val="heading 1"/>
    <w:basedOn w:val="Normal"/>
    <w:link w:val="Heading1Char"/>
    <w:uiPriority w:val="9"/>
    <w:qFormat/>
    <w:rsid w:val="00531FA1"/>
    <w:pPr>
      <w:spacing w:before="120" w:after="120"/>
      <w:ind w:firstLine="0"/>
      <w:jc w:val="center"/>
      <w:outlineLvl w:val="0"/>
    </w:pPr>
    <w:rPr>
      <w:rFonts w:eastAsia="Times New Roman"/>
      <w:b/>
      <w:bCs/>
      <w:kern w:val="36"/>
      <w:lang w:eastAsia="tr-TR"/>
    </w:rPr>
  </w:style>
  <w:style w:type="paragraph" w:styleId="Heading2">
    <w:name w:val="heading 2"/>
    <w:basedOn w:val="Heading1"/>
    <w:next w:val="Normal"/>
    <w:link w:val="Heading2Char"/>
    <w:uiPriority w:val="9"/>
    <w:unhideWhenUsed/>
    <w:qFormat/>
    <w:rsid w:val="00DC68FD"/>
    <w:pPr>
      <w:jc w:val="left"/>
      <w:outlineLvl w:val="1"/>
    </w:pPr>
  </w:style>
  <w:style w:type="paragraph" w:styleId="Heading3">
    <w:name w:val="heading 3"/>
    <w:basedOn w:val="Normal"/>
    <w:next w:val="Normal"/>
    <w:link w:val="Heading3Char"/>
    <w:uiPriority w:val="9"/>
    <w:unhideWhenUsed/>
    <w:qFormat/>
    <w:rsid w:val="00BA248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2DB"/>
    <w:pPr>
      <w:ind w:left="720"/>
      <w:contextualSpacing/>
    </w:pPr>
    <w:rPr>
      <w:rFonts w:ascii="Calibri" w:eastAsia="Calibri" w:hAnsi="Calibri"/>
    </w:rPr>
  </w:style>
  <w:style w:type="character" w:styleId="Hyperlink">
    <w:name w:val="Hyperlink"/>
    <w:basedOn w:val="DefaultParagraphFont"/>
    <w:uiPriority w:val="99"/>
    <w:semiHidden/>
    <w:unhideWhenUsed/>
    <w:rsid w:val="00B13A9F"/>
    <w:rPr>
      <w:color w:val="0000FF"/>
      <w:u w:val="single"/>
    </w:rPr>
  </w:style>
  <w:style w:type="paragraph" w:styleId="Header">
    <w:name w:val="header"/>
    <w:basedOn w:val="Normal"/>
    <w:link w:val="HeaderChar"/>
    <w:uiPriority w:val="99"/>
    <w:unhideWhenUsed/>
    <w:rsid w:val="00056180"/>
    <w:pPr>
      <w:tabs>
        <w:tab w:val="center" w:pos="4513"/>
        <w:tab w:val="right" w:pos="9026"/>
      </w:tabs>
      <w:spacing w:line="240" w:lineRule="auto"/>
    </w:pPr>
  </w:style>
  <w:style w:type="character" w:customStyle="1" w:styleId="HeaderChar">
    <w:name w:val="Header Char"/>
    <w:basedOn w:val="DefaultParagraphFont"/>
    <w:link w:val="Header"/>
    <w:uiPriority w:val="99"/>
    <w:rsid w:val="00056180"/>
  </w:style>
  <w:style w:type="paragraph" w:styleId="Footer">
    <w:name w:val="footer"/>
    <w:basedOn w:val="Normal"/>
    <w:link w:val="FooterChar"/>
    <w:uiPriority w:val="99"/>
    <w:unhideWhenUsed/>
    <w:rsid w:val="00056180"/>
    <w:pPr>
      <w:tabs>
        <w:tab w:val="center" w:pos="4513"/>
        <w:tab w:val="right" w:pos="9026"/>
      </w:tabs>
      <w:spacing w:line="240" w:lineRule="auto"/>
    </w:pPr>
  </w:style>
  <w:style w:type="character" w:customStyle="1" w:styleId="FooterChar">
    <w:name w:val="Footer Char"/>
    <w:basedOn w:val="DefaultParagraphFont"/>
    <w:link w:val="Footer"/>
    <w:uiPriority w:val="99"/>
    <w:rsid w:val="00056180"/>
  </w:style>
  <w:style w:type="paragraph" w:styleId="BalloonText">
    <w:name w:val="Balloon Text"/>
    <w:basedOn w:val="Normal"/>
    <w:link w:val="BalloonTextChar"/>
    <w:uiPriority w:val="99"/>
    <w:semiHidden/>
    <w:unhideWhenUsed/>
    <w:rsid w:val="000561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180"/>
    <w:rPr>
      <w:rFonts w:ascii="Tahoma" w:hAnsi="Tahoma" w:cs="Tahoma"/>
      <w:sz w:val="16"/>
      <w:szCs w:val="16"/>
    </w:rPr>
  </w:style>
  <w:style w:type="character" w:customStyle="1" w:styleId="Heading1Char">
    <w:name w:val="Heading 1 Char"/>
    <w:basedOn w:val="DefaultParagraphFont"/>
    <w:link w:val="Heading1"/>
    <w:uiPriority w:val="9"/>
    <w:rsid w:val="00531FA1"/>
    <w:rPr>
      <w:rFonts w:ascii="Times New Roman" w:eastAsia="Times New Roman" w:hAnsi="Times New Roman" w:cs="Times New Roman"/>
      <w:b/>
      <w:bCs/>
      <w:kern w:val="36"/>
      <w:sz w:val="24"/>
      <w:szCs w:val="24"/>
      <w:lang w:eastAsia="tr-TR"/>
    </w:rPr>
  </w:style>
  <w:style w:type="paragraph" w:styleId="NormalWeb">
    <w:name w:val="Normal (Web)"/>
    <w:basedOn w:val="Normal"/>
    <w:uiPriority w:val="99"/>
    <w:unhideWhenUsed/>
    <w:rsid w:val="00056180"/>
    <w:pPr>
      <w:spacing w:before="150" w:after="150" w:line="432" w:lineRule="atLeast"/>
    </w:pPr>
    <w:rPr>
      <w:rFonts w:eastAsia="Calibri"/>
      <w:lang w:val="tr-TR" w:eastAsia="tr-TR"/>
    </w:rPr>
  </w:style>
  <w:style w:type="character" w:styleId="Emphasis">
    <w:name w:val="Emphasis"/>
    <w:basedOn w:val="DefaultParagraphFont"/>
    <w:uiPriority w:val="20"/>
    <w:qFormat/>
    <w:rsid w:val="00056180"/>
    <w:rPr>
      <w:i/>
      <w:iCs/>
    </w:rPr>
  </w:style>
  <w:style w:type="character" w:styleId="CommentReference">
    <w:name w:val="annotation reference"/>
    <w:basedOn w:val="DefaultParagraphFont"/>
    <w:uiPriority w:val="99"/>
    <w:semiHidden/>
    <w:unhideWhenUsed/>
    <w:rsid w:val="00345C65"/>
    <w:rPr>
      <w:sz w:val="16"/>
      <w:szCs w:val="16"/>
    </w:rPr>
  </w:style>
  <w:style w:type="paragraph" w:styleId="CommentText">
    <w:name w:val="annotation text"/>
    <w:basedOn w:val="Normal"/>
    <w:link w:val="CommentTextChar"/>
    <w:uiPriority w:val="99"/>
    <w:unhideWhenUsed/>
    <w:rsid w:val="00345C65"/>
    <w:pPr>
      <w:spacing w:line="240" w:lineRule="auto"/>
    </w:pPr>
    <w:rPr>
      <w:sz w:val="20"/>
      <w:szCs w:val="20"/>
    </w:rPr>
  </w:style>
  <w:style w:type="character" w:customStyle="1" w:styleId="CommentTextChar">
    <w:name w:val="Comment Text Char"/>
    <w:basedOn w:val="DefaultParagraphFont"/>
    <w:link w:val="CommentText"/>
    <w:uiPriority w:val="99"/>
    <w:rsid w:val="00345C65"/>
    <w:rPr>
      <w:sz w:val="20"/>
      <w:szCs w:val="20"/>
    </w:rPr>
  </w:style>
  <w:style w:type="paragraph" w:styleId="CommentSubject">
    <w:name w:val="annotation subject"/>
    <w:basedOn w:val="CommentText"/>
    <w:next w:val="CommentText"/>
    <w:link w:val="CommentSubjectChar"/>
    <w:uiPriority w:val="99"/>
    <w:semiHidden/>
    <w:unhideWhenUsed/>
    <w:rsid w:val="00345C65"/>
    <w:rPr>
      <w:b/>
      <w:bCs/>
    </w:rPr>
  </w:style>
  <w:style w:type="character" w:customStyle="1" w:styleId="CommentSubjectChar">
    <w:name w:val="Comment Subject Char"/>
    <w:basedOn w:val="CommentTextChar"/>
    <w:link w:val="CommentSubject"/>
    <w:uiPriority w:val="99"/>
    <w:semiHidden/>
    <w:rsid w:val="00345C65"/>
    <w:rPr>
      <w:b/>
      <w:bCs/>
      <w:sz w:val="20"/>
      <w:szCs w:val="20"/>
    </w:rPr>
  </w:style>
  <w:style w:type="table" w:styleId="TableGrid">
    <w:name w:val="Table Grid"/>
    <w:basedOn w:val="TableNormal"/>
    <w:rsid w:val="000D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57BB9"/>
  </w:style>
  <w:style w:type="paragraph" w:styleId="NoSpacing">
    <w:name w:val="No Spacing"/>
    <w:link w:val="NoSpacingChar"/>
    <w:uiPriority w:val="1"/>
    <w:qFormat/>
    <w:rsid w:val="008A41F3"/>
    <w:pPr>
      <w:spacing w:after="0" w:line="240" w:lineRule="auto"/>
    </w:pPr>
    <w:rPr>
      <w:rFonts w:eastAsiaTheme="minorEastAsia"/>
      <w:lang w:val="tr-TR"/>
    </w:rPr>
  </w:style>
  <w:style w:type="character" w:customStyle="1" w:styleId="NoSpacingChar">
    <w:name w:val="No Spacing Char"/>
    <w:basedOn w:val="DefaultParagraphFont"/>
    <w:link w:val="NoSpacing"/>
    <w:uiPriority w:val="1"/>
    <w:rsid w:val="008A41F3"/>
    <w:rPr>
      <w:rFonts w:eastAsiaTheme="minorEastAsia"/>
      <w:lang w:val="tr-TR"/>
    </w:rPr>
  </w:style>
  <w:style w:type="character" w:customStyle="1" w:styleId="Heading2Char">
    <w:name w:val="Heading 2 Char"/>
    <w:basedOn w:val="DefaultParagraphFont"/>
    <w:link w:val="Heading2"/>
    <w:uiPriority w:val="9"/>
    <w:rsid w:val="00DC68FD"/>
    <w:rPr>
      <w:rFonts w:ascii="Times New Roman" w:eastAsia="Times New Roman" w:hAnsi="Times New Roman" w:cs="Times New Roman"/>
      <w:b/>
      <w:bCs/>
      <w:kern w:val="36"/>
      <w:sz w:val="24"/>
      <w:szCs w:val="24"/>
      <w:lang w:eastAsia="tr-TR"/>
    </w:rPr>
  </w:style>
  <w:style w:type="character" w:customStyle="1" w:styleId="Heading3Char">
    <w:name w:val="Heading 3 Char"/>
    <w:basedOn w:val="DefaultParagraphFont"/>
    <w:link w:val="Heading3"/>
    <w:uiPriority w:val="9"/>
    <w:rsid w:val="00BA2480"/>
    <w:rPr>
      <w:rFonts w:ascii="Times New Roman" w:hAnsi="Times New Roman" w:cs="Times New Roman"/>
      <w:b/>
      <w:sz w:val="24"/>
      <w:szCs w:val="24"/>
    </w:rPr>
  </w:style>
  <w:style w:type="paragraph" w:styleId="Revision">
    <w:name w:val="Revision"/>
    <w:hidden/>
    <w:uiPriority w:val="99"/>
    <w:semiHidden/>
    <w:rsid w:val="006D2074"/>
    <w:pPr>
      <w:spacing w:after="0" w:line="240" w:lineRule="auto"/>
    </w:pPr>
    <w:rPr>
      <w:rFonts w:ascii="Times New Roman" w:hAnsi="Times New Roman" w:cs="Times New Roman"/>
      <w:sz w:val="24"/>
      <w:szCs w:val="24"/>
    </w:rPr>
  </w:style>
  <w:style w:type="table" w:styleId="LightShading">
    <w:name w:val="Light Shading"/>
    <w:basedOn w:val="TableNormal"/>
    <w:uiPriority w:val="60"/>
    <w:rsid w:val="00B77A30"/>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94717B"/>
    <w:pPr>
      <w:jc w:val="center"/>
    </w:pPr>
    <w:rPr>
      <w:noProof/>
      <w:lang w:val="en-US"/>
    </w:rPr>
  </w:style>
  <w:style w:type="character" w:customStyle="1" w:styleId="EndNoteBibliographyTitleChar">
    <w:name w:val="EndNote Bibliography Title Char"/>
    <w:basedOn w:val="DefaultParagraphFont"/>
    <w:link w:val="EndNoteBibliographyTitle"/>
    <w:rsid w:val="0094717B"/>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94717B"/>
    <w:rPr>
      <w:noProof/>
      <w:lang w:val="en-US"/>
    </w:rPr>
  </w:style>
  <w:style w:type="character" w:customStyle="1" w:styleId="EndNoteBibliographyChar">
    <w:name w:val="EndNote Bibliography Char"/>
    <w:basedOn w:val="DefaultParagraphFont"/>
    <w:link w:val="EndNoteBibliography"/>
    <w:rsid w:val="0094717B"/>
    <w:rPr>
      <w:rFonts w:ascii="Times New Roman" w:hAnsi="Times New Roman" w:cs="Times New Roman"/>
      <w:noProof/>
      <w:sz w:val="24"/>
      <w:szCs w:val="24"/>
      <w:lang w:val="en-US"/>
    </w:rPr>
  </w:style>
  <w:style w:type="paragraph" w:styleId="BodyTextIndent">
    <w:name w:val="Body Text Indent"/>
    <w:basedOn w:val="Normal"/>
    <w:link w:val="BodyTextIndentChar"/>
    <w:rsid w:val="00A52424"/>
    <w:pPr>
      <w:pBdr>
        <w:top w:val="single" w:sz="4" w:space="1" w:color="auto"/>
        <w:left w:val="single" w:sz="4" w:space="4" w:color="auto"/>
        <w:bottom w:val="single" w:sz="4" w:space="1" w:color="auto"/>
        <w:right w:val="single" w:sz="4" w:space="4" w:color="auto"/>
      </w:pBdr>
      <w:spacing w:line="240" w:lineRule="auto"/>
      <w:ind w:firstLine="213"/>
    </w:pPr>
    <w:rPr>
      <w:rFonts w:eastAsia="Times New Roman"/>
    </w:rPr>
  </w:style>
  <w:style w:type="character" w:customStyle="1" w:styleId="BodyTextIndentChar">
    <w:name w:val="Body Text Indent Char"/>
    <w:basedOn w:val="DefaultParagraphFont"/>
    <w:link w:val="BodyTextIndent"/>
    <w:rsid w:val="00A52424"/>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0561"/>
  </w:style>
  <w:style w:type="table" w:styleId="LightGrid">
    <w:name w:val="Light Grid"/>
    <w:basedOn w:val="TableNormal"/>
    <w:uiPriority w:val="62"/>
    <w:rsid w:val="005A617B"/>
    <w:pPr>
      <w:spacing w:after="0" w:line="240" w:lineRule="auto"/>
    </w:pPr>
    <w:rPr>
      <w:lang w:val="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717">
      <w:bodyDiv w:val="1"/>
      <w:marLeft w:val="0"/>
      <w:marRight w:val="0"/>
      <w:marTop w:val="0"/>
      <w:marBottom w:val="0"/>
      <w:divBdr>
        <w:top w:val="none" w:sz="0" w:space="0" w:color="auto"/>
        <w:left w:val="none" w:sz="0" w:space="0" w:color="auto"/>
        <w:bottom w:val="none" w:sz="0" w:space="0" w:color="auto"/>
        <w:right w:val="none" w:sz="0" w:space="0" w:color="auto"/>
      </w:divBdr>
    </w:div>
    <w:div w:id="81686611">
      <w:bodyDiv w:val="1"/>
      <w:marLeft w:val="0"/>
      <w:marRight w:val="0"/>
      <w:marTop w:val="0"/>
      <w:marBottom w:val="0"/>
      <w:divBdr>
        <w:top w:val="none" w:sz="0" w:space="0" w:color="auto"/>
        <w:left w:val="none" w:sz="0" w:space="0" w:color="auto"/>
        <w:bottom w:val="none" w:sz="0" w:space="0" w:color="auto"/>
        <w:right w:val="none" w:sz="0" w:space="0" w:color="auto"/>
      </w:divBdr>
    </w:div>
    <w:div w:id="170722795">
      <w:bodyDiv w:val="1"/>
      <w:marLeft w:val="0"/>
      <w:marRight w:val="0"/>
      <w:marTop w:val="0"/>
      <w:marBottom w:val="0"/>
      <w:divBdr>
        <w:top w:val="none" w:sz="0" w:space="0" w:color="auto"/>
        <w:left w:val="none" w:sz="0" w:space="0" w:color="auto"/>
        <w:bottom w:val="none" w:sz="0" w:space="0" w:color="auto"/>
        <w:right w:val="none" w:sz="0" w:space="0" w:color="auto"/>
      </w:divBdr>
    </w:div>
    <w:div w:id="215434903">
      <w:bodyDiv w:val="1"/>
      <w:marLeft w:val="0"/>
      <w:marRight w:val="0"/>
      <w:marTop w:val="0"/>
      <w:marBottom w:val="0"/>
      <w:divBdr>
        <w:top w:val="none" w:sz="0" w:space="0" w:color="auto"/>
        <w:left w:val="none" w:sz="0" w:space="0" w:color="auto"/>
        <w:bottom w:val="none" w:sz="0" w:space="0" w:color="auto"/>
        <w:right w:val="none" w:sz="0" w:space="0" w:color="auto"/>
      </w:divBdr>
    </w:div>
    <w:div w:id="354623135">
      <w:bodyDiv w:val="1"/>
      <w:marLeft w:val="0"/>
      <w:marRight w:val="0"/>
      <w:marTop w:val="0"/>
      <w:marBottom w:val="0"/>
      <w:divBdr>
        <w:top w:val="none" w:sz="0" w:space="0" w:color="auto"/>
        <w:left w:val="none" w:sz="0" w:space="0" w:color="auto"/>
        <w:bottom w:val="none" w:sz="0" w:space="0" w:color="auto"/>
        <w:right w:val="none" w:sz="0" w:space="0" w:color="auto"/>
      </w:divBdr>
      <w:divsChild>
        <w:div w:id="1780372813">
          <w:marLeft w:val="547"/>
          <w:marRight w:val="0"/>
          <w:marTop w:val="154"/>
          <w:marBottom w:val="0"/>
          <w:divBdr>
            <w:top w:val="none" w:sz="0" w:space="0" w:color="auto"/>
            <w:left w:val="none" w:sz="0" w:space="0" w:color="auto"/>
            <w:bottom w:val="none" w:sz="0" w:space="0" w:color="auto"/>
            <w:right w:val="none" w:sz="0" w:space="0" w:color="auto"/>
          </w:divBdr>
        </w:div>
        <w:div w:id="28724637">
          <w:marLeft w:val="547"/>
          <w:marRight w:val="0"/>
          <w:marTop w:val="154"/>
          <w:marBottom w:val="0"/>
          <w:divBdr>
            <w:top w:val="none" w:sz="0" w:space="0" w:color="auto"/>
            <w:left w:val="none" w:sz="0" w:space="0" w:color="auto"/>
            <w:bottom w:val="none" w:sz="0" w:space="0" w:color="auto"/>
            <w:right w:val="none" w:sz="0" w:space="0" w:color="auto"/>
          </w:divBdr>
        </w:div>
        <w:div w:id="304815213">
          <w:marLeft w:val="547"/>
          <w:marRight w:val="0"/>
          <w:marTop w:val="154"/>
          <w:marBottom w:val="0"/>
          <w:divBdr>
            <w:top w:val="none" w:sz="0" w:space="0" w:color="auto"/>
            <w:left w:val="none" w:sz="0" w:space="0" w:color="auto"/>
            <w:bottom w:val="none" w:sz="0" w:space="0" w:color="auto"/>
            <w:right w:val="none" w:sz="0" w:space="0" w:color="auto"/>
          </w:divBdr>
        </w:div>
      </w:divsChild>
    </w:div>
    <w:div w:id="520899014">
      <w:bodyDiv w:val="1"/>
      <w:marLeft w:val="0"/>
      <w:marRight w:val="0"/>
      <w:marTop w:val="0"/>
      <w:marBottom w:val="0"/>
      <w:divBdr>
        <w:top w:val="none" w:sz="0" w:space="0" w:color="auto"/>
        <w:left w:val="none" w:sz="0" w:space="0" w:color="auto"/>
        <w:bottom w:val="none" w:sz="0" w:space="0" w:color="auto"/>
        <w:right w:val="none" w:sz="0" w:space="0" w:color="auto"/>
      </w:divBdr>
    </w:div>
    <w:div w:id="526334844">
      <w:bodyDiv w:val="1"/>
      <w:marLeft w:val="0"/>
      <w:marRight w:val="0"/>
      <w:marTop w:val="0"/>
      <w:marBottom w:val="0"/>
      <w:divBdr>
        <w:top w:val="none" w:sz="0" w:space="0" w:color="auto"/>
        <w:left w:val="none" w:sz="0" w:space="0" w:color="auto"/>
        <w:bottom w:val="none" w:sz="0" w:space="0" w:color="auto"/>
        <w:right w:val="none" w:sz="0" w:space="0" w:color="auto"/>
      </w:divBdr>
    </w:div>
    <w:div w:id="611283547">
      <w:bodyDiv w:val="1"/>
      <w:marLeft w:val="0"/>
      <w:marRight w:val="0"/>
      <w:marTop w:val="0"/>
      <w:marBottom w:val="0"/>
      <w:divBdr>
        <w:top w:val="none" w:sz="0" w:space="0" w:color="auto"/>
        <w:left w:val="none" w:sz="0" w:space="0" w:color="auto"/>
        <w:bottom w:val="none" w:sz="0" w:space="0" w:color="auto"/>
        <w:right w:val="none" w:sz="0" w:space="0" w:color="auto"/>
      </w:divBdr>
    </w:div>
    <w:div w:id="677587041">
      <w:bodyDiv w:val="1"/>
      <w:marLeft w:val="0"/>
      <w:marRight w:val="0"/>
      <w:marTop w:val="0"/>
      <w:marBottom w:val="0"/>
      <w:divBdr>
        <w:top w:val="none" w:sz="0" w:space="0" w:color="auto"/>
        <w:left w:val="none" w:sz="0" w:space="0" w:color="auto"/>
        <w:bottom w:val="none" w:sz="0" w:space="0" w:color="auto"/>
        <w:right w:val="none" w:sz="0" w:space="0" w:color="auto"/>
      </w:divBdr>
    </w:div>
    <w:div w:id="683895710">
      <w:bodyDiv w:val="1"/>
      <w:marLeft w:val="0"/>
      <w:marRight w:val="0"/>
      <w:marTop w:val="0"/>
      <w:marBottom w:val="0"/>
      <w:divBdr>
        <w:top w:val="none" w:sz="0" w:space="0" w:color="auto"/>
        <w:left w:val="none" w:sz="0" w:space="0" w:color="auto"/>
        <w:bottom w:val="none" w:sz="0" w:space="0" w:color="auto"/>
        <w:right w:val="none" w:sz="0" w:space="0" w:color="auto"/>
      </w:divBdr>
    </w:div>
    <w:div w:id="718864850">
      <w:bodyDiv w:val="1"/>
      <w:marLeft w:val="0"/>
      <w:marRight w:val="0"/>
      <w:marTop w:val="0"/>
      <w:marBottom w:val="0"/>
      <w:divBdr>
        <w:top w:val="none" w:sz="0" w:space="0" w:color="auto"/>
        <w:left w:val="none" w:sz="0" w:space="0" w:color="auto"/>
        <w:bottom w:val="none" w:sz="0" w:space="0" w:color="auto"/>
        <w:right w:val="none" w:sz="0" w:space="0" w:color="auto"/>
      </w:divBdr>
      <w:divsChild>
        <w:div w:id="2063015956">
          <w:marLeft w:val="418"/>
          <w:marRight w:val="0"/>
          <w:marTop w:val="50"/>
          <w:marBottom w:val="0"/>
          <w:divBdr>
            <w:top w:val="none" w:sz="0" w:space="0" w:color="auto"/>
            <w:left w:val="none" w:sz="0" w:space="0" w:color="auto"/>
            <w:bottom w:val="none" w:sz="0" w:space="0" w:color="auto"/>
            <w:right w:val="none" w:sz="0" w:space="0" w:color="auto"/>
          </w:divBdr>
        </w:div>
      </w:divsChild>
    </w:div>
    <w:div w:id="971058045">
      <w:bodyDiv w:val="1"/>
      <w:marLeft w:val="0"/>
      <w:marRight w:val="0"/>
      <w:marTop w:val="0"/>
      <w:marBottom w:val="0"/>
      <w:divBdr>
        <w:top w:val="none" w:sz="0" w:space="0" w:color="auto"/>
        <w:left w:val="none" w:sz="0" w:space="0" w:color="auto"/>
        <w:bottom w:val="none" w:sz="0" w:space="0" w:color="auto"/>
        <w:right w:val="none" w:sz="0" w:space="0" w:color="auto"/>
      </w:divBdr>
    </w:div>
    <w:div w:id="1073048158">
      <w:bodyDiv w:val="1"/>
      <w:marLeft w:val="0"/>
      <w:marRight w:val="0"/>
      <w:marTop w:val="0"/>
      <w:marBottom w:val="0"/>
      <w:divBdr>
        <w:top w:val="none" w:sz="0" w:space="0" w:color="auto"/>
        <w:left w:val="none" w:sz="0" w:space="0" w:color="auto"/>
        <w:bottom w:val="none" w:sz="0" w:space="0" w:color="auto"/>
        <w:right w:val="none" w:sz="0" w:space="0" w:color="auto"/>
      </w:divBdr>
    </w:div>
    <w:div w:id="1111316346">
      <w:bodyDiv w:val="1"/>
      <w:marLeft w:val="0"/>
      <w:marRight w:val="0"/>
      <w:marTop w:val="0"/>
      <w:marBottom w:val="0"/>
      <w:divBdr>
        <w:top w:val="none" w:sz="0" w:space="0" w:color="auto"/>
        <w:left w:val="none" w:sz="0" w:space="0" w:color="auto"/>
        <w:bottom w:val="none" w:sz="0" w:space="0" w:color="auto"/>
        <w:right w:val="none" w:sz="0" w:space="0" w:color="auto"/>
      </w:divBdr>
    </w:div>
    <w:div w:id="1141659175">
      <w:bodyDiv w:val="1"/>
      <w:marLeft w:val="0"/>
      <w:marRight w:val="0"/>
      <w:marTop w:val="0"/>
      <w:marBottom w:val="0"/>
      <w:divBdr>
        <w:top w:val="none" w:sz="0" w:space="0" w:color="auto"/>
        <w:left w:val="none" w:sz="0" w:space="0" w:color="auto"/>
        <w:bottom w:val="none" w:sz="0" w:space="0" w:color="auto"/>
        <w:right w:val="none" w:sz="0" w:space="0" w:color="auto"/>
      </w:divBdr>
    </w:div>
    <w:div w:id="1146430715">
      <w:bodyDiv w:val="1"/>
      <w:marLeft w:val="0"/>
      <w:marRight w:val="0"/>
      <w:marTop w:val="0"/>
      <w:marBottom w:val="0"/>
      <w:divBdr>
        <w:top w:val="none" w:sz="0" w:space="0" w:color="auto"/>
        <w:left w:val="none" w:sz="0" w:space="0" w:color="auto"/>
        <w:bottom w:val="none" w:sz="0" w:space="0" w:color="auto"/>
        <w:right w:val="none" w:sz="0" w:space="0" w:color="auto"/>
      </w:divBdr>
      <w:divsChild>
        <w:div w:id="738097055">
          <w:marLeft w:val="418"/>
          <w:marRight w:val="0"/>
          <w:marTop w:val="50"/>
          <w:marBottom w:val="0"/>
          <w:divBdr>
            <w:top w:val="none" w:sz="0" w:space="0" w:color="auto"/>
            <w:left w:val="none" w:sz="0" w:space="0" w:color="auto"/>
            <w:bottom w:val="none" w:sz="0" w:space="0" w:color="auto"/>
            <w:right w:val="none" w:sz="0" w:space="0" w:color="auto"/>
          </w:divBdr>
        </w:div>
      </w:divsChild>
    </w:div>
    <w:div w:id="1229799942">
      <w:bodyDiv w:val="1"/>
      <w:marLeft w:val="0"/>
      <w:marRight w:val="0"/>
      <w:marTop w:val="0"/>
      <w:marBottom w:val="0"/>
      <w:divBdr>
        <w:top w:val="none" w:sz="0" w:space="0" w:color="auto"/>
        <w:left w:val="none" w:sz="0" w:space="0" w:color="auto"/>
        <w:bottom w:val="none" w:sz="0" w:space="0" w:color="auto"/>
        <w:right w:val="none" w:sz="0" w:space="0" w:color="auto"/>
      </w:divBdr>
    </w:div>
    <w:div w:id="1272318484">
      <w:bodyDiv w:val="1"/>
      <w:marLeft w:val="0"/>
      <w:marRight w:val="0"/>
      <w:marTop w:val="0"/>
      <w:marBottom w:val="0"/>
      <w:divBdr>
        <w:top w:val="none" w:sz="0" w:space="0" w:color="auto"/>
        <w:left w:val="none" w:sz="0" w:space="0" w:color="auto"/>
        <w:bottom w:val="none" w:sz="0" w:space="0" w:color="auto"/>
        <w:right w:val="none" w:sz="0" w:space="0" w:color="auto"/>
      </w:divBdr>
    </w:div>
    <w:div w:id="1325935276">
      <w:bodyDiv w:val="1"/>
      <w:marLeft w:val="0"/>
      <w:marRight w:val="0"/>
      <w:marTop w:val="0"/>
      <w:marBottom w:val="0"/>
      <w:divBdr>
        <w:top w:val="none" w:sz="0" w:space="0" w:color="auto"/>
        <w:left w:val="none" w:sz="0" w:space="0" w:color="auto"/>
        <w:bottom w:val="none" w:sz="0" w:space="0" w:color="auto"/>
        <w:right w:val="none" w:sz="0" w:space="0" w:color="auto"/>
      </w:divBdr>
    </w:div>
    <w:div w:id="1534265918">
      <w:bodyDiv w:val="1"/>
      <w:marLeft w:val="0"/>
      <w:marRight w:val="0"/>
      <w:marTop w:val="0"/>
      <w:marBottom w:val="0"/>
      <w:divBdr>
        <w:top w:val="none" w:sz="0" w:space="0" w:color="auto"/>
        <w:left w:val="none" w:sz="0" w:space="0" w:color="auto"/>
        <w:bottom w:val="none" w:sz="0" w:space="0" w:color="auto"/>
        <w:right w:val="none" w:sz="0" w:space="0" w:color="auto"/>
      </w:divBdr>
    </w:div>
    <w:div w:id="1786539959">
      <w:bodyDiv w:val="1"/>
      <w:marLeft w:val="0"/>
      <w:marRight w:val="0"/>
      <w:marTop w:val="0"/>
      <w:marBottom w:val="0"/>
      <w:divBdr>
        <w:top w:val="none" w:sz="0" w:space="0" w:color="auto"/>
        <w:left w:val="none" w:sz="0" w:space="0" w:color="auto"/>
        <w:bottom w:val="none" w:sz="0" w:space="0" w:color="auto"/>
        <w:right w:val="none" w:sz="0" w:space="0" w:color="auto"/>
      </w:divBdr>
    </w:div>
    <w:div w:id="1944726004">
      <w:bodyDiv w:val="1"/>
      <w:marLeft w:val="0"/>
      <w:marRight w:val="0"/>
      <w:marTop w:val="0"/>
      <w:marBottom w:val="0"/>
      <w:divBdr>
        <w:top w:val="none" w:sz="0" w:space="0" w:color="auto"/>
        <w:left w:val="none" w:sz="0" w:space="0" w:color="auto"/>
        <w:bottom w:val="none" w:sz="0" w:space="0" w:color="auto"/>
        <w:right w:val="none" w:sz="0" w:space="0" w:color="auto"/>
      </w:divBdr>
    </w:div>
    <w:div w:id="1981881827">
      <w:bodyDiv w:val="1"/>
      <w:marLeft w:val="0"/>
      <w:marRight w:val="0"/>
      <w:marTop w:val="0"/>
      <w:marBottom w:val="0"/>
      <w:divBdr>
        <w:top w:val="none" w:sz="0" w:space="0" w:color="auto"/>
        <w:left w:val="none" w:sz="0" w:space="0" w:color="auto"/>
        <w:bottom w:val="none" w:sz="0" w:space="0" w:color="auto"/>
        <w:right w:val="none" w:sz="0" w:space="0" w:color="auto"/>
      </w:divBdr>
    </w:div>
    <w:div w:id="213282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ck.cooper@roe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367E-790C-4A49-9BF9-2A8F6B12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13125</Words>
  <Characters>74817</Characters>
  <Application>Microsoft Office Word</Application>
  <DocSecurity>0</DocSecurity>
  <Lines>623</Lines>
  <Paragraphs>175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An investigation of client preferences using the Therapy Personalisation Form- Assessment (TPF-A).</vt:lpstr>
      <vt:lpstr>An investigtion of client preferences using the Therapy Personalisation Form- Assessment (TPF-A).</vt:lpstr>
    </vt:vector>
  </TitlesOfParts>
  <Company>GCU</Company>
  <LinksUpToDate>false</LinksUpToDate>
  <CharactersWithSpaces>87767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investigation of client preferences using the Therapy Personalisation Form- Assessment (TPF-A).</dc:title>
  <dc:creator>GCU</dc:creator>
  <cp:lastModifiedBy>Anon</cp:lastModifiedBy>
  <cp:revision>2</cp:revision>
  <cp:lastPrinted>2013-07-25T12:28:00Z</cp:lastPrinted>
  <dcterms:created xsi:type="dcterms:W3CDTF">2015-03-03T12:17:00Z</dcterms:created>
  <dcterms:modified xsi:type="dcterms:W3CDTF">2015-03-03T12:17:00Z</dcterms:modified>
</cp:coreProperties>
</file>