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CF13" w14:textId="34F2B670" w:rsidR="00D171BA" w:rsidRPr="00B41DB1" w:rsidRDefault="00CB1049" w:rsidP="000D2F47">
      <w:pPr>
        <w:spacing w:after="0" w:line="480" w:lineRule="auto"/>
        <w:rPr>
          <w:rFonts w:ascii="Times New Roman" w:hAnsi="Times New Roman" w:cs="Times New Roman"/>
          <w:b/>
          <w:sz w:val="24"/>
          <w:szCs w:val="24"/>
          <w:lang w:val="en-GB"/>
        </w:rPr>
      </w:pPr>
      <w:bookmarkStart w:id="0" w:name="_GoBack"/>
      <w:bookmarkEnd w:id="0"/>
      <w:r w:rsidRPr="00B41DB1">
        <w:rPr>
          <w:rFonts w:ascii="Times New Roman" w:hAnsi="Times New Roman" w:cs="Times New Roman"/>
          <w:b/>
          <w:sz w:val="24"/>
          <w:szCs w:val="24"/>
          <w:lang w:val="en-GB"/>
        </w:rPr>
        <w:t xml:space="preserve">The </w:t>
      </w:r>
      <w:r w:rsidR="00677610" w:rsidRPr="00B41DB1">
        <w:rPr>
          <w:rFonts w:ascii="Times New Roman" w:hAnsi="Times New Roman" w:cs="Times New Roman"/>
          <w:b/>
          <w:sz w:val="24"/>
          <w:szCs w:val="24"/>
          <w:lang w:val="en-GB"/>
        </w:rPr>
        <w:t xml:space="preserve">Commonwealth </w:t>
      </w:r>
      <w:r w:rsidRPr="00B41DB1">
        <w:rPr>
          <w:rFonts w:ascii="Times New Roman" w:hAnsi="Times New Roman" w:cs="Times New Roman"/>
          <w:b/>
          <w:sz w:val="24"/>
          <w:szCs w:val="24"/>
          <w:lang w:val="en-GB"/>
        </w:rPr>
        <w:t xml:space="preserve">Caribbean and Europe: </w:t>
      </w:r>
      <w:r w:rsidR="00B645DD">
        <w:rPr>
          <w:rFonts w:ascii="Times New Roman" w:hAnsi="Times New Roman" w:cs="Times New Roman"/>
          <w:b/>
          <w:sz w:val="24"/>
          <w:szCs w:val="24"/>
          <w:lang w:val="en-GB"/>
        </w:rPr>
        <w:t>t</w:t>
      </w:r>
      <w:r w:rsidR="009D06C5" w:rsidRPr="00B41DB1">
        <w:rPr>
          <w:rFonts w:ascii="Times New Roman" w:hAnsi="Times New Roman" w:cs="Times New Roman"/>
          <w:b/>
          <w:sz w:val="24"/>
          <w:szCs w:val="24"/>
          <w:lang w:val="en-GB"/>
        </w:rPr>
        <w:t>he End of the A</w:t>
      </w:r>
      <w:r w:rsidR="007619A7" w:rsidRPr="00B41DB1">
        <w:rPr>
          <w:rFonts w:ascii="Times New Roman" w:hAnsi="Times New Roman" w:cs="Times New Roman"/>
          <w:b/>
          <w:sz w:val="24"/>
          <w:szCs w:val="24"/>
          <w:lang w:val="en-GB"/>
        </w:rPr>
        <w:t>ffair?</w:t>
      </w:r>
    </w:p>
    <w:p w14:paraId="7740C7C4" w14:textId="77777777" w:rsidR="00CB1049" w:rsidRPr="00B41DB1" w:rsidRDefault="00CF00C6"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Peter Clegg</w:t>
      </w:r>
    </w:p>
    <w:p w14:paraId="0B3CAF6E" w14:textId="77777777" w:rsidR="00CF00C6" w:rsidRPr="00B41DB1" w:rsidRDefault="00CF00C6" w:rsidP="000D2F47">
      <w:pPr>
        <w:spacing w:after="0" w:line="480" w:lineRule="auto"/>
        <w:rPr>
          <w:rFonts w:ascii="Times New Roman" w:hAnsi="Times New Roman" w:cs="Times New Roman"/>
          <w:sz w:val="24"/>
          <w:szCs w:val="24"/>
          <w:lang w:val="en-GB"/>
        </w:rPr>
      </w:pPr>
    </w:p>
    <w:p w14:paraId="3222C0F0" w14:textId="77777777" w:rsidR="00CB1049" w:rsidRPr="00B41DB1" w:rsidRDefault="00CB1049"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Introduction</w:t>
      </w:r>
    </w:p>
    <w:p w14:paraId="7A5096F1" w14:textId="1AFCC4B6" w:rsidR="00A247A6" w:rsidRPr="00B41DB1" w:rsidRDefault="007619A7"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The relationship between the Caribbean and Europe is undergoing </w:t>
      </w:r>
      <w:r w:rsidR="00F57427" w:rsidRPr="00B41DB1">
        <w:rPr>
          <w:rFonts w:ascii="Times New Roman" w:hAnsi="Times New Roman" w:cs="Times New Roman"/>
          <w:sz w:val="24"/>
          <w:szCs w:val="24"/>
          <w:lang w:val="en-GB"/>
        </w:rPr>
        <w:t>real</w:t>
      </w:r>
      <w:r w:rsidRPr="00B41DB1">
        <w:rPr>
          <w:rFonts w:ascii="Times New Roman" w:hAnsi="Times New Roman" w:cs="Times New Roman"/>
          <w:sz w:val="24"/>
          <w:szCs w:val="24"/>
          <w:lang w:val="en-GB"/>
        </w:rPr>
        <w:t xml:space="preserve"> change. </w:t>
      </w:r>
      <w:r w:rsidR="00F57427" w:rsidRPr="00B41DB1">
        <w:rPr>
          <w:rFonts w:ascii="Times New Roman" w:hAnsi="Times New Roman" w:cs="Times New Roman"/>
          <w:sz w:val="24"/>
          <w:szCs w:val="24"/>
          <w:lang w:val="en-GB"/>
        </w:rPr>
        <w:t xml:space="preserve">It is not just the independent countries of the Commonwealth Caribbean that are being affected, but </w:t>
      </w:r>
      <w:r w:rsidR="00445FA8" w:rsidRPr="00B41DB1">
        <w:rPr>
          <w:rFonts w:ascii="Times New Roman" w:hAnsi="Times New Roman" w:cs="Times New Roman"/>
          <w:sz w:val="24"/>
          <w:szCs w:val="24"/>
          <w:lang w:val="en-GB"/>
        </w:rPr>
        <w:t>also</w:t>
      </w:r>
      <w:r w:rsidR="00F57427" w:rsidRPr="00B41DB1">
        <w:rPr>
          <w:rFonts w:ascii="Times New Roman" w:hAnsi="Times New Roman" w:cs="Times New Roman"/>
          <w:sz w:val="24"/>
          <w:szCs w:val="24"/>
          <w:lang w:val="en-GB"/>
        </w:rPr>
        <w:t xml:space="preserve"> the Overseas Territories associated with the United Kingdom (UK). </w:t>
      </w:r>
      <w:r w:rsidR="00E63E78" w:rsidRPr="00B41DB1">
        <w:rPr>
          <w:rFonts w:ascii="Times New Roman" w:hAnsi="Times New Roman" w:cs="Times New Roman"/>
          <w:sz w:val="24"/>
          <w:szCs w:val="24"/>
          <w:lang w:val="en-GB"/>
        </w:rPr>
        <w:t xml:space="preserve">However, the trajectories of the respective relationships are diverging. </w:t>
      </w:r>
      <w:r w:rsidRPr="00B41DB1">
        <w:rPr>
          <w:rFonts w:ascii="Times New Roman" w:hAnsi="Times New Roman" w:cs="Times New Roman"/>
          <w:sz w:val="24"/>
          <w:szCs w:val="24"/>
          <w:lang w:val="en-GB"/>
        </w:rPr>
        <w:t xml:space="preserve">For some time now global pressures, </w:t>
      </w:r>
      <w:r w:rsidR="00E63E78" w:rsidRPr="00B41DB1">
        <w:rPr>
          <w:rFonts w:ascii="Times New Roman" w:hAnsi="Times New Roman" w:cs="Times New Roman"/>
          <w:sz w:val="24"/>
          <w:szCs w:val="24"/>
          <w:lang w:val="en-GB"/>
        </w:rPr>
        <w:t>new</w:t>
      </w:r>
      <w:r w:rsidRPr="00B41DB1">
        <w:rPr>
          <w:rFonts w:ascii="Times New Roman" w:hAnsi="Times New Roman" w:cs="Times New Roman"/>
          <w:sz w:val="24"/>
          <w:szCs w:val="24"/>
          <w:lang w:val="en-GB"/>
        </w:rPr>
        <w:t xml:space="preserve"> priorities and </w:t>
      </w:r>
      <w:r w:rsidR="00503DC2" w:rsidRPr="00B41DB1">
        <w:rPr>
          <w:rFonts w:ascii="Times New Roman" w:hAnsi="Times New Roman" w:cs="Times New Roman"/>
          <w:sz w:val="24"/>
          <w:szCs w:val="24"/>
          <w:lang w:val="en-GB"/>
        </w:rPr>
        <w:t xml:space="preserve">approaches in European Union (EU) development policy, and unfulfilled expectations in the </w:t>
      </w:r>
      <w:r w:rsidR="00FF43C1" w:rsidRPr="00B41DB1">
        <w:rPr>
          <w:rFonts w:ascii="Times New Roman" w:hAnsi="Times New Roman" w:cs="Times New Roman"/>
          <w:sz w:val="24"/>
          <w:szCs w:val="24"/>
          <w:lang w:val="en-GB"/>
        </w:rPr>
        <w:t xml:space="preserve">Commonwealth </w:t>
      </w:r>
      <w:r w:rsidR="00503DC2" w:rsidRPr="00B41DB1">
        <w:rPr>
          <w:rFonts w:ascii="Times New Roman" w:hAnsi="Times New Roman" w:cs="Times New Roman"/>
          <w:sz w:val="24"/>
          <w:szCs w:val="24"/>
          <w:lang w:val="en-GB"/>
        </w:rPr>
        <w:t xml:space="preserve">Caribbean have </w:t>
      </w:r>
      <w:r w:rsidR="00FF43C1" w:rsidRPr="00B41DB1">
        <w:rPr>
          <w:rFonts w:ascii="Times New Roman" w:hAnsi="Times New Roman" w:cs="Times New Roman"/>
          <w:sz w:val="24"/>
          <w:szCs w:val="24"/>
          <w:lang w:val="en-GB"/>
        </w:rPr>
        <w:t xml:space="preserve">all </w:t>
      </w:r>
      <w:r w:rsidR="00503DC2" w:rsidRPr="00B41DB1">
        <w:rPr>
          <w:rFonts w:ascii="Times New Roman" w:hAnsi="Times New Roman" w:cs="Times New Roman"/>
          <w:sz w:val="24"/>
          <w:szCs w:val="24"/>
          <w:lang w:val="en-GB"/>
        </w:rPr>
        <w:t xml:space="preserve">contributed </w:t>
      </w:r>
      <w:r w:rsidR="00E63E78" w:rsidRPr="00B41DB1">
        <w:rPr>
          <w:rFonts w:ascii="Times New Roman" w:hAnsi="Times New Roman" w:cs="Times New Roman"/>
          <w:sz w:val="24"/>
          <w:szCs w:val="24"/>
          <w:lang w:val="en-GB"/>
        </w:rPr>
        <w:t xml:space="preserve">to </w:t>
      </w:r>
      <w:r w:rsidR="00FF43C1" w:rsidRPr="00B41DB1">
        <w:rPr>
          <w:rFonts w:ascii="Times New Roman" w:hAnsi="Times New Roman" w:cs="Times New Roman"/>
          <w:sz w:val="24"/>
          <w:szCs w:val="24"/>
          <w:lang w:val="en-GB"/>
        </w:rPr>
        <w:t>the weakening of that relationship</w:t>
      </w:r>
      <w:r w:rsidR="00A42584" w:rsidRPr="00B41DB1">
        <w:rPr>
          <w:rFonts w:ascii="Times New Roman" w:hAnsi="Times New Roman" w:cs="Times New Roman"/>
          <w:sz w:val="24"/>
          <w:szCs w:val="24"/>
          <w:lang w:val="en-GB"/>
        </w:rPr>
        <w:t xml:space="preserve"> to a point where it is now under serious threat. </w:t>
      </w:r>
      <w:r w:rsidR="00FF43C1" w:rsidRPr="00B41DB1">
        <w:rPr>
          <w:rFonts w:ascii="Times New Roman" w:hAnsi="Times New Roman" w:cs="Times New Roman"/>
          <w:sz w:val="24"/>
          <w:szCs w:val="24"/>
          <w:lang w:val="en-GB"/>
        </w:rPr>
        <w:t xml:space="preserve">The </w:t>
      </w:r>
      <w:r w:rsidR="00503DC2" w:rsidRPr="00B41DB1">
        <w:rPr>
          <w:rFonts w:ascii="Times New Roman" w:hAnsi="Times New Roman" w:cs="Times New Roman"/>
          <w:sz w:val="24"/>
          <w:szCs w:val="24"/>
          <w:lang w:val="en-GB"/>
        </w:rPr>
        <w:t xml:space="preserve">article analyses the </w:t>
      </w:r>
      <w:r w:rsidR="008C166D" w:rsidRPr="00B41DB1">
        <w:rPr>
          <w:rFonts w:ascii="Times New Roman" w:hAnsi="Times New Roman" w:cs="Times New Roman"/>
          <w:sz w:val="24"/>
          <w:szCs w:val="24"/>
          <w:lang w:val="en-GB"/>
        </w:rPr>
        <w:t xml:space="preserve">key events that have led to </w:t>
      </w:r>
      <w:r w:rsidR="00A42584" w:rsidRPr="00B41DB1">
        <w:rPr>
          <w:rFonts w:ascii="Times New Roman" w:hAnsi="Times New Roman" w:cs="Times New Roman"/>
          <w:sz w:val="24"/>
          <w:szCs w:val="24"/>
          <w:lang w:val="en-GB"/>
        </w:rPr>
        <w:t xml:space="preserve">this situation. </w:t>
      </w:r>
      <w:r w:rsidR="00FF43C1" w:rsidRPr="00B41DB1">
        <w:rPr>
          <w:rFonts w:ascii="Times New Roman" w:hAnsi="Times New Roman" w:cs="Times New Roman"/>
          <w:sz w:val="24"/>
          <w:szCs w:val="24"/>
          <w:lang w:val="en-GB"/>
        </w:rPr>
        <w:t>I</w:t>
      </w:r>
      <w:r w:rsidR="008C166D" w:rsidRPr="00B41DB1">
        <w:rPr>
          <w:rFonts w:ascii="Times New Roman" w:hAnsi="Times New Roman" w:cs="Times New Roman"/>
          <w:sz w:val="24"/>
          <w:szCs w:val="24"/>
          <w:lang w:val="en-GB"/>
        </w:rPr>
        <w:t>n particular</w:t>
      </w:r>
      <w:r w:rsidR="000D2F47" w:rsidRPr="00B41DB1">
        <w:rPr>
          <w:rFonts w:ascii="Times New Roman" w:hAnsi="Times New Roman" w:cs="Times New Roman"/>
          <w:sz w:val="24"/>
          <w:szCs w:val="24"/>
          <w:lang w:val="en-GB"/>
        </w:rPr>
        <w:t>,</w:t>
      </w:r>
      <w:r w:rsidR="008C166D" w:rsidRPr="00B41DB1">
        <w:rPr>
          <w:rFonts w:ascii="Times New Roman" w:hAnsi="Times New Roman" w:cs="Times New Roman"/>
          <w:sz w:val="24"/>
          <w:szCs w:val="24"/>
          <w:lang w:val="en-GB"/>
        </w:rPr>
        <w:t xml:space="preserve"> </w:t>
      </w:r>
      <w:r w:rsidR="00FF43C1" w:rsidRPr="00B41DB1">
        <w:rPr>
          <w:rFonts w:ascii="Times New Roman" w:hAnsi="Times New Roman" w:cs="Times New Roman"/>
          <w:sz w:val="24"/>
          <w:szCs w:val="24"/>
          <w:lang w:val="en-GB"/>
        </w:rPr>
        <w:t>it</w:t>
      </w:r>
      <w:r w:rsidR="008C166D" w:rsidRPr="00B41DB1">
        <w:rPr>
          <w:rFonts w:ascii="Times New Roman" w:hAnsi="Times New Roman" w:cs="Times New Roman"/>
          <w:sz w:val="24"/>
          <w:szCs w:val="24"/>
          <w:lang w:val="en-GB"/>
        </w:rPr>
        <w:t xml:space="preserve"> considers the </w:t>
      </w:r>
      <w:r w:rsidR="00434CFE" w:rsidRPr="00B41DB1">
        <w:rPr>
          <w:rFonts w:ascii="Times New Roman" w:hAnsi="Times New Roman" w:cs="Times New Roman"/>
          <w:sz w:val="24"/>
          <w:szCs w:val="24"/>
          <w:lang w:val="en-GB"/>
        </w:rPr>
        <w:t xml:space="preserve">ending of trade protocols; the erosion of </w:t>
      </w:r>
      <w:r w:rsidR="00CE6550" w:rsidRPr="00B41DB1">
        <w:rPr>
          <w:rFonts w:ascii="Times New Roman" w:hAnsi="Times New Roman" w:cs="Times New Roman"/>
          <w:sz w:val="24"/>
          <w:szCs w:val="24"/>
          <w:lang w:val="en-GB"/>
        </w:rPr>
        <w:t xml:space="preserve">African, Caribbean and Pacific (ACP) </w:t>
      </w:r>
      <w:r w:rsidR="00434CFE" w:rsidRPr="00B41DB1">
        <w:rPr>
          <w:rFonts w:ascii="Times New Roman" w:hAnsi="Times New Roman" w:cs="Times New Roman"/>
          <w:sz w:val="24"/>
          <w:szCs w:val="24"/>
          <w:lang w:val="en-GB"/>
        </w:rPr>
        <w:t>preference as a result of a series of free trade agreements</w:t>
      </w:r>
      <w:r w:rsidR="00A247A6" w:rsidRPr="00B41DB1">
        <w:rPr>
          <w:rFonts w:ascii="Times New Roman" w:hAnsi="Times New Roman" w:cs="Times New Roman"/>
          <w:sz w:val="24"/>
          <w:szCs w:val="24"/>
          <w:lang w:val="en-GB"/>
        </w:rPr>
        <w:t xml:space="preserve"> negotiated by the EU</w:t>
      </w:r>
      <w:r w:rsidR="00434CFE" w:rsidRPr="00B41DB1">
        <w:rPr>
          <w:rFonts w:ascii="Times New Roman" w:hAnsi="Times New Roman" w:cs="Times New Roman"/>
          <w:sz w:val="24"/>
          <w:szCs w:val="24"/>
          <w:lang w:val="en-GB"/>
        </w:rPr>
        <w:t xml:space="preserve">; the </w:t>
      </w:r>
      <w:r w:rsidR="000125C1" w:rsidRPr="00B41DB1">
        <w:rPr>
          <w:rFonts w:ascii="Times New Roman" w:hAnsi="Times New Roman" w:cs="Times New Roman"/>
          <w:sz w:val="24"/>
          <w:szCs w:val="24"/>
          <w:lang w:val="en-GB"/>
        </w:rPr>
        <w:t xml:space="preserve">re-focusing of EU development policy </w:t>
      </w:r>
      <w:r w:rsidR="00F57427" w:rsidRPr="00B41DB1">
        <w:rPr>
          <w:rFonts w:ascii="Times New Roman" w:hAnsi="Times New Roman" w:cs="Times New Roman"/>
          <w:sz w:val="24"/>
          <w:szCs w:val="24"/>
          <w:lang w:val="en-GB"/>
        </w:rPr>
        <w:t>towards</w:t>
      </w:r>
      <w:r w:rsidR="000125C1" w:rsidRPr="00B41DB1">
        <w:rPr>
          <w:rFonts w:ascii="Times New Roman" w:hAnsi="Times New Roman" w:cs="Times New Roman"/>
          <w:sz w:val="24"/>
          <w:szCs w:val="24"/>
          <w:lang w:val="en-GB"/>
        </w:rPr>
        <w:t xml:space="preserve"> the </w:t>
      </w:r>
      <w:r w:rsidR="00CE6550" w:rsidRPr="00B41DB1">
        <w:rPr>
          <w:rFonts w:ascii="Times New Roman" w:hAnsi="Times New Roman" w:cs="Times New Roman"/>
          <w:sz w:val="24"/>
          <w:szCs w:val="24"/>
          <w:lang w:val="en-GB"/>
        </w:rPr>
        <w:t>least developed countries</w:t>
      </w:r>
      <w:r w:rsidR="000125C1" w:rsidRPr="00B41DB1">
        <w:rPr>
          <w:rFonts w:ascii="Times New Roman" w:hAnsi="Times New Roman" w:cs="Times New Roman"/>
          <w:sz w:val="24"/>
          <w:szCs w:val="24"/>
          <w:lang w:val="en-GB"/>
        </w:rPr>
        <w:t xml:space="preserve">; </w:t>
      </w:r>
      <w:r w:rsidR="00434CFE" w:rsidRPr="00B41DB1">
        <w:rPr>
          <w:rFonts w:ascii="Times New Roman" w:hAnsi="Times New Roman" w:cs="Times New Roman"/>
          <w:sz w:val="24"/>
          <w:szCs w:val="24"/>
          <w:lang w:val="en-GB"/>
        </w:rPr>
        <w:t xml:space="preserve">and </w:t>
      </w:r>
      <w:r w:rsidR="000125C1" w:rsidRPr="00B41DB1">
        <w:rPr>
          <w:rFonts w:ascii="Times New Roman" w:hAnsi="Times New Roman" w:cs="Times New Roman"/>
          <w:sz w:val="24"/>
          <w:szCs w:val="24"/>
          <w:lang w:val="en-GB"/>
        </w:rPr>
        <w:t xml:space="preserve">the effective </w:t>
      </w:r>
      <w:r w:rsidR="00E63E78" w:rsidRPr="00B41DB1">
        <w:rPr>
          <w:rFonts w:ascii="Times New Roman" w:hAnsi="Times New Roman" w:cs="Times New Roman"/>
          <w:sz w:val="24"/>
          <w:szCs w:val="24"/>
          <w:lang w:val="en-GB"/>
        </w:rPr>
        <w:t xml:space="preserve">split in </w:t>
      </w:r>
      <w:r w:rsidR="000125C1" w:rsidRPr="00B41DB1">
        <w:rPr>
          <w:rFonts w:ascii="Times New Roman" w:hAnsi="Times New Roman" w:cs="Times New Roman"/>
          <w:sz w:val="24"/>
          <w:szCs w:val="24"/>
          <w:lang w:val="en-GB"/>
        </w:rPr>
        <w:t xml:space="preserve">the </w:t>
      </w:r>
      <w:r w:rsidR="00CE6550" w:rsidRPr="00B41DB1">
        <w:rPr>
          <w:rFonts w:ascii="Times New Roman" w:hAnsi="Times New Roman" w:cs="Times New Roman"/>
          <w:sz w:val="24"/>
          <w:szCs w:val="24"/>
          <w:lang w:val="en-GB"/>
        </w:rPr>
        <w:t>ACP</w:t>
      </w:r>
      <w:r w:rsidR="000125C1" w:rsidRPr="00B41DB1">
        <w:rPr>
          <w:rFonts w:ascii="Times New Roman" w:hAnsi="Times New Roman" w:cs="Times New Roman"/>
          <w:sz w:val="24"/>
          <w:szCs w:val="24"/>
          <w:lang w:val="en-GB"/>
        </w:rPr>
        <w:t xml:space="preserve"> group through the </w:t>
      </w:r>
      <w:r w:rsidR="00E63E78" w:rsidRPr="00B41DB1">
        <w:rPr>
          <w:rFonts w:ascii="Times New Roman" w:hAnsi="Times New Roman" w:cs="Times New Roman"/>
          <w:sz w:val="24"/>
          <w:szCs w:val="24"/>
          <w:lang w:val="en-GB"/>
        </w:rPr>
        <w:t xml:space="preserve">establishment </w:t>
      </w:r>
      <w:r w:rsidR="000125C1" w:rsidRPr="00B41DB1">
        <w:rPr>
          <w:rFonts w:ascii="Times New Roman" w:hAnsi="Times New Roman" w:cs="Times New Roman"/>
          <w:sz w:val="24"/>
          <w:szCs w:val="24"/>
          <w:lang w:val="en-GB"/>
        </w:rPr>
        <w:t xml:space="preserve">of </w:t>
      </w:r>
      <w:r w:rsidR="00A247A6" w:rsidRPr="00B41DB1">
        <w:rPr>
          <w:rFonts w:ascii="Times New Roman" w:hAnsi="Times New Roman" w:cs="Times New Roman"/>
          <w:sz w:val="24"/>
          <w:szCs w:val="24"/>
          <w:lang w:val="en-GB"/>
        </w:rPr>
        <w:t xml:space="preserve">a controversial </w:t>
      </w:r>
      <w:r w:rsidR="000125C1" w:rsidRPr="00B41DB1">
        <w:rPr>
          <w:rFonts w:ascii="Times New Roman" w:hAnsi="Times New Roman" w:cs="Times New Roman"/>
          <w:sz w:val="24"/>
          <w:szCs w:val="24"/>
          <w:lang w:val="en-GB"/>
        </w:rPr>
        <w:t>regional Economi</w:t>
      </w:r>
      <w:r w:rsidR="00A247A6" w:rsidRPr="00B41DB1">
        <w:rPr>
          <w:rFonts w:ascii="Times New Roman" w:hAnsi="Times New Roman" w:cs="Times New Roman"/>
          <w:sz w:val="24"/>
          <w:szCs w:val="24"/>
          <w:lang w:val="en-GB"/>
        </w:rPr>
        <w:t>c Partnership Agreement (EPA</w:t>
      </w:r>
      <w:r w:rsidR="00434CFE" w:rsidRPr="00B41DB1">
        <w:rPr>
          <w:rFonts w:ascii="Times New Roman" w:hAnsi="Times New Roman" w:cs="Times New Roman"/>
          <w:sz w:val="24"/>
          <w:szCs w:val="24"/>
          <w:lang w:val="en-GB"/>
        </w:rPr>
        <w:t>)</w:t>
      </w:r>
      <w:r w:rsidR="00E63E78" w:rsidRPr="00B41DB1">
        <w:rPr>
          <w:rFonts w:ascii="Times New Roman" w:hAnsi="Times New Roman" w:cs="Times New Roman"/>
          <w:sz w:val="24"/>
          <w:szCs w:val="24"/>
          <w:lang w:val="en-GB"/>
        </w:rPr>
        <w:t xml:space="preserve">. </w:t>
      </w:r>
      <w:r w:rsidR="00434CFE" w:rsidRPr="00B41DB1">
        <w:rPr>
          <w:rFonts w:ascii="Times New Roman" w:hAnsi="Times New Roman" w:cs="Times New Roman"/>
          <w:sz w:val="24"/>
          <w:szCs w:val="24"/>
          <w:lang w:val="en-GB"/>
        </w:rPr>
        <w:t xml:space="preserve">In way of comparison the </w:t>
      </w:r>
      <w:r w:rsidR="00E63E78" w:rsidRPr="00B41DB1">
        <w:rPr>
          <w:rFonts w:ascii="Times New Roman" w:hAnsi="Times New Roman" w:cs="Times New Roman"/>
          <w:sz w:val="24"/>
          <w:szCs w:val="24"/>
          <w:lang w:val="en-GB"/>
        </w:rPr>
        <w:t xml:space="preserve">article also </w:t>
      </w:r>
      <w:r w:rsidR="00434CFE" w:rsidRPr="00B41DB1">
        <w:rPr>
          <w:rFonts w:ascii="Times New Roman" w:hAnsi="Times New Roman" w:cs="Times New Roman"/>
          <w:sz w:val="24"/>
          <w:szCs w:val="24"/>
          <w:lang w:val="en-GB"/>
        </w:rPr>
        <w:t>looks at</w:t>
      </w:r>
      <w:r w:rsidR="00E63E78" w:rsidRPr="00B41DB1">
        <w:rPr>
          <w:rFonts w:ascii="Times New Roman" w:hAnsi="Times New Roman" w:cs="Times New Roman"/>
          <w:sz w:val="24"/>
          <w:szCs w:val="24"/>
          <w:lang w:val="en-GB"/>
        </w:rPr>
        <w:t xml:space="preserve"> </w:t>
      </w:r>
      <w:r w:rsidR="005303C8" w:rsidRPr="00B41DB1">
        <w:rPr>
          <w:rFonts w:ascii="Times New Roman" w:hAnsi="Times New Roman" w:cs="Times New Roman"/>
          <w:sz w:val="24"/>
          <w:szCs w:val="24"/>
          <w:lang w:val="en-GB"/>
        </w:rPr>
        <w:t>relations</w:t>
      </w:r>
      <w:r w:rsidR="00E63E78" w:rsidRPr="00B41DB1">
        <w:rPr>
          <w:rFonts w:ascii="Times New Roman" w:hAnsi="Times New Roman" w:cs="Times New Roman"/>
          <w:sz w:val="24"/>
          <w:szCs w:val="24"/>
          <w:lang w:val="en-GB"/>
        </w:rPr>
        <w:t xml:space="preserve"> between the EU and the </w:t>
      </w:r>
      <w:r w:rsidR="00A42584" w:rsidRPr="00B41DB1">
        <w:rPr>
          <w:rFonts w:ascii="Times New Roman" w:hAnsi="Times New Roman" w:cs="Times New Roman"/>
          <w:sz w:val="24"/>
          <w:szCs w:val="24"/>
          <w:lang w:val="en-GB"/>
        </w:rPr>
        <w:t>UK</w:t>
      </w:r>
      <w:r w:rsidR="00FF43C1" w:rsidRPr="00B41DB1">
        <w:rPr>
          <w:rFonts w:ascii="Times New Roman" w:hAnsi="Times New Roman" w:cs="Times New Roman"/>
          <w:sz w:val="24"/>
          <w:szCs w:val="24"/>
          <w:lang w:val="en-GB"/>
        </w:rPr>
        <w:t xml:space="preserve"> Overseas Territories (UKOTs), which </w:t>
      </w:r>
      <w:r w:rsidR="005303C8" w:rsidRPr="00B41DB1">
        <w:rPr>
          <w:rFonts w:ascii="Times New Roman" w:hAnsi="Times New Roman" w:cs="Times New Roman"/>
          <w:sz w:val="24"/>
          <w:szCs w:val="24"/>
          <w:lang w:val="en-GB"/>
        </w:rPr>
        <w:t xml:space="preserve">have actually been strengthened </w:t>
      </w:r>
      <w:r w:rsidR="00A42584" w:rsidRPr="00B41DB1">
        <w:rPr>
          <w:rFonts w:ascii="Times New Roman" w:hAnsi="Times New Roman" w:cs="Times New Roman"/>
          <w:sz w:val="24"/>
          <w:szCs w:val="24"/>
          <w:lang w:val="en-GB"/>
        </w:rPr>
        <w:t>by</w:t>
      </w:r>
      <w:r w:rsidR="00E63E78" w:rsidRPr="00B41DB1">
        <w:rPr>
          <w:rFonts w:ascii="Times New Roman" w:hAnsi="Times New Roman" w:cs="Times New Roman"/>
          <w:sz w:val="24"/>
          <w:szCs w:val="24"/>
          <w:lang w:val="en-GB"/>
        </w:rPr>
        <w:t xml:space="preserve"> the recently agreed </w:t>
      </w:r>
      <w:r w:rsidR="0051469D" w:rsidRPr="00B41DB1">
        <w:rPr>
          <w:rFonts w:ascii="Times New Roman" w:hAnsi="Times New Roman" w:cs="Times New Roman"/>
          <w:sz w:val="24"/>
          <w:szCs w:val="24"/>
          <w:lang w:val="en-GB"/>
        </w:rPr>
        <w:t xml:space="preserve">Association of the Overseas Countries and Territories. </w:t>
      </w:r>
      <w:r w:rsidR="00A247A6" w:rsidRPr="00B41DB1">
        <w:rPr>
          <w:rFonts w:ascii="Times New Roman" w:hAnsi="Times New Roman" w:cs="Times New Roman"/>
          <w:sz w:val="24"/>
          <w:szCs w:val="24"/>
          <w:lang w:val="en-GB"/>
        </w:rPr>
        <w:t xml:space="preserve">But first the article considers the relationship between the </w:t>
      </w:r>
      <w:r w:rsidR="00CE6550" w:rsidRPr="00B41DB1">
        <w:rPr>
          <w:rFonts w:ascii="Times New Roman" w:hAnsi="Times New Roman" w:cs="Times New Roman"/>
          <w:sz w:val="24"/>
          <w:szCs w:val="24"/>
          <w:lang w:val="en-GB"/>
        </w:rPr>
        <w:t>Commonwealth Caribbean and the EU</w:t>
      </w:r>
      <w:r w:rsidR="00A247A6" w:rsidRPr="00B41DB1">
        <w:rPr>
          <w:rFonts w:ascii="Times New Roman" w:hAnsi="Times New Roman" w:cs="Times New Roman"/>
          <w:sz w:val="24"/>
          <w:szCs w:val="24"/>
          <w:lang w:val="en-GB"/>
        </w:rPr>
        <w:t>.</w:t>
      </w:r>
    </w:p>
    <w:p w14:paraId="00BBA101" w14:textId="77777777" w:rsidR="0051469D" w:rsidRPr="00B41DB1" w:rsidRDefault="0051469D" w:rsidP="000D2F47">
      <w:pPr>
        <w:spacing w:after="0" w:line="480" w:lineRule="auto"/>
        <w:rPr>
          <w:rFonts w:ascii="Times New Roman" w:hAnsi="Times New Roman" w:cs="Times New Roman"/>
          <w:sz w:val="24"/>
          <w:szCs w:val="24"/>
          <w:lang w:val="en-GB"/>
        </w:rPr>
      </w:pPr>
    </w:p>
    <w:p w14:paraId="391C43CF" w14:textId="77777777" w:rsidR="0051469D" w:rsidRPr="00B41DB1" w:rsidRDefault="00FF43C1"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Where it all began: the Lomé Conventions</w:t>
      </w:r>
    </w:p>
    <w:p w14:paraId="0C6228A1" w14:textId="77777777" w:rsidR="00213AC9" w:rsidRPr="00B41DB1" w:rsidRDefault="00DF5937"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lastRenderedPageBreak/>
        <w:t xml:space="preserve">When the UK joined the European Economic Community (EEC) in 1973, a key issue was what kind of relationship the Commonwealth Caribbean </w:t>
      </w:r>
      <w:r w:rsidR="00213AC9" w:rsidRPr="00B41DB1">
        <w:rPr>
          <w:rFonts w:ascii="Times New Roman" w:hAnsi="Times New Roman" w:cs="Times New Roman"/>
          <w:sz w:val="24"/>
          <w:szCs w:val="24"/>
          <w:lang w:val="en-GB"/>
        </w:rPr>
        <w:t xml:space="preserve">(from now on referred to as the Caribbean) </w:t>
      </w:r>
      <w:r w:rsidRPr="00B41DB1">
        <w:rPr>
          <w:rFonts w:ascii="Times New Roman" w:hAnsi="Times New Roman" w:cs="Times New Roman"/>
          <w:sz w:val="24"/>
          <w:szCs w:val="24"/>
          <w:lang w:val="en-GB"/>
        </w:rPr>
        <w:t>should have with the Community. Prior to the UK’s accession, the Yaoundé Convention had been agreed between the EEC and the associated states of the existing six member states, which extended Part IV of the Treaty of Rome</w:t>
      </w:r>
      <w:r w:rsidR="00FE038F"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 xml:space="preserve">in response to the new political and legal situation in the newly independent </w:t>
      </w:r>
      <w:r w:rsidR="007B333B" w:rsidRPr="00B41DB1">
        <w:rPr>
          <w:rFonts w:ascii="Times New Roman" w:hAnsi="Times New Roman" w:cs="Times New Roman"/>
          <w:sz w:val="24"/>
          <w:szCs w:val="24"/>
          <w:lang w:val="en-GB"/>
        </w:rPr>
        <w:t>states</w:t>
      </w:r>
      <w:r w:rsidRPr="00B41DB1">
        <w:rPr>
          <w:rFonts w:ascii="Times New Roman" w:hAnsi="Times New Roman" w:cs="Times New Roman"/>
          <w:sz w:val="24"/>
          <w:szCs w:val="24"/>
          <w:lang w:val="en-GB"/>
        </w:rPr>
        <w:t xml:space="preserve">. Having been signed in 1963, and renewed in 1969, the Convention was due to expire </w:t>
      </w:r>
      <w:r w:rsidR="000531B5" w:rsidRPr="00B41DB1">
        <w:rPr>
          <w:rFonts w:ascii="Times New Roman" w:hAnsi="Times New Roman" w:cs="Times New Roman"/>
          <w:sz w:val="24"/>
          <w:szCs w:val="24"/>
          <w:lang w:val="en-GB"/>
        </w:rPr>
        <w:t>in</w:t>
      </w:r>
      <w:r w:rsidRPr="00B41DB1">
        <w:rPr>
          <w:rFonts w:ascii="Times New Roman" w:hAnsi="Times New Roman" w:cs="Times New Roman"/>
          <w:sz w:val="24"/>
          <w:szCs w:val="24"/>
          <w:lang w:val="en-GB"/>
        </w:rPr>
        <w:t xml:space="preserve"> January </w:t>
      </w:r>
      <w:r w:rsidR="00BA21F4" w:rsidRPr="00B41DB1">
        <w:rPr>
          <w:rFonts w:ascii="Times New Roman" w:hAnsi="Times New Roman" w:cs="Times New Roman"/>
          <w:sz w:val="24"/>
          <w:szCs w:val="24"/>
          <w:lang w:val="en-GB"/>
        </w:rPr>
        <w:t>1975</w:t>
      </w:r>
      <w:r w:rsidRPr="00B41DB1">
        <w:rPr>
          <w:rFonts w:ascii="Times New Roman" w:hAnsi="Times New Roman" w:cs="Times New Roman"/>
          <w:sz w:val="24"/>
          <w:szCs w:val="24"/>
          <w:lang w:val="en-GB"/>
        </w:rPr>
        <w:t xml:space="preserve"> and </w:t>
      </w:r>
      <w:r w:rsidR="007B333B" w:rsidRPr="00B41DB1">
        <w:rPr>
          <w:rFonts w:ascii="Times New Roman" w:hAnsi="Times New Roman" w:cs="Times New Roman"/>
          <w:sz w:val="24"/>
          <w:szCs w:val="24"/>
          <w:lang w:val="en-GB"/>
        </w:rPr>
        <w:t xml:space="preserve">so there </w:t>
      </w:r>
      <w:r w:rsidR="000531B5" w:rsidRPr="00B41DB1">
        <w:rPr>
          <w:rFonts w:ascii="Times New Roman" w:hAnsi="Times New Roman" w:cs="Times New Roman"/>
          <w:sz w:val="24"/>
          <w:szCs w:val="24"/>
          <w:lang w:val="en-GB"/>
        </w:rPr>
        <w:t>was</w:t>
      </w:r>
      <w:r w:rsidR="007B333B" w:rsidRPr="00B41DB1">
        <w:rPr>
          <w:rFonts w:ascii="Times New Roman" w:hAnsi="Times New Roman" w:cs="Times New Roman"/>
          <w:sz w:val="24"/>
          <w:szCs w:val="24"/>
          <w:lang w:val="en-GB"/>
        </w:rPr>
        <w:t xml:space="preserve"> a good</w:t>
      </w:r>
      <w:r w:rsidRPr="00B41DB1">
        <w:rPr>
          <w:rFonts w:ascii="Times New Roman" w:hAnsi="Times New Roman" w:cs="Times New Roman"/>
          <w:sz w:val="24"/>
          <w:szCs w:val="24"/>
          <w:lang w:val="en-GB"/>
        </w:rPr>
        <w:t xml:space="preserve"> opportunity to establish a new agreement which </w:t>
      </w:r>
      <w:r w:rsidR="007B333B" w:rsidRPr="00B41DB1">
        <w:rPr>
          <w:rFonts w:ascii="Times New Roman" w:hAnsi="Times New Roman" w:cs="Times New Roman"/>
          <w:sz w:val="24"/>
          <w:szCs w:val="24"/>
          <w:lang w:val="en-GB"/>
        </w:rPr>
        <w:t xml:space="preserve">would </w:t>
      </w:r>
      <w:r w:rsidR="00BA21F4" w:rsidRPr="00B41DB1">
        <w:rPr>
          <w:rFonts w:ascii="Times New Roman" w:hAnsi="Times New Roman" w:cs="Times New Roman"/>
          <w:sz w:val="24"/>
          <w:szCs w:val="24"/>
          <w:lang w:val="en-GB"/>
        </w:rPr>
        <w:t xml:space="preserve">also </w:t>
      </w:r>
      <w:r w:rsidRPr="00B41DB1">
        <w:rPr>
          <w:rFonts w:ascii="Times New Roman" w:hAnsi="Times New Roman" w:cs="Times New Roman"/>
          <w:sz w:val="24"/>
          <w:szCs w:val="24"/>
          <w:lang w:val="en-GB"/>
        </w:rPr>
        <w:t>incorporate the Caribbean.</w:t>
      </w:r>
    </w:p>
    <w:p w14:paraId="2CBD71EB" w14:textId="77777777" w:rsidR="00DF5937" w:rsidRPr="00B41DB1" w:rsidRDefault="00DF5937"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The preliminary conference at which the enlarged EEC had </w:t>
      </w:r>
      <w:r w:rsidR="00DB46F0" w:rsidRPr="00B41DB1">
        <w:rPr>
          <w:rFonts w:ascii="Times New Roman" w:hAnsi="Times New Roman" w:cs="Times New Roman"/>
          <w:sz w:val="24"/>
          <w:szCs w:val="24"/>
          <w:lang w:val="en-GB"/>
        </w:rPr>
        <w:t>its</w:t>
      </w:r>
      <w:r w:rsidRPr="00B41DB1">
        <w:rPr>
          <w:rFonts w:ascii="Times New Roman" w:hAnsi="Times New Roman" w:cs="Times New Roman"/>
          <w:sz w:val="24"/>
          <w:szCs w:val="24"/>
          <w:lang w:val="en-GB"/>
        </w:rPr>
        <w:t xml:space="preserve"> first discussions with the independent </w:t>
      </w:r>
      <w:r w:rsidR="00DB46F0" w:rsidRPr="00B41DB1">
        <w:rPr>
          <w:rFonts w:ascii="Times New Roman" w:hAnsi="Times New Roman" w:cs="Times New Roman"/>
          <w:sz w:val="24"/>
          <w:szCs w:val="24"/>
          <w:lang w:val="en-GB"/>
        </w:rPr>
        <w:t>Caribbean</w:t>
      </w:r>
      <w:r w:rsidRPr="00B41DB1">
        <w:rPr>
          <w:rFonts w:ascii="Times New Roman" w:hAnsi="Times New Roman" w:cs="Times New Roman"/>
          <w:sz w:val="24"/>
          <w:szCs w:val="24"/>
          <w:lang w:val="en-GB"/>
        </w:rPr>
        <w:t xml:space="preserve"> countries, as well as the African Yaoundé signatories took place in Brussels in July 1973. The Caribbean countries, in order to benefit from the expertise of </w:t>
      </w:r>
      <w:r w:rsidR="00DB46F0" w:rsidRPr="00B41DB1">
        <w:rPr>
          <w:rFonts w:ascii="Times New Roman" w:hAnsi="Times New Roman" w:cs="Times New Roman"/>
          <w:sz w:val="24"/>
          <w:szCs w:val="24"/>
          <w:lang w:val="en-GB"/>
        </w:rPr>
        <w:t>their</w:t>
      </w:r>
      <w:r w:rsidRPr="00B41DB1">
        <w:rPr>
          <w:rFonts w:ascii="Times New Roman" w:hAnsi="Times New Roman" w:cs="Times New Roman"/>
          <w:sz w:val="24"/>
          <w:szCs w:val="24"/>
          <w:lang w:val="en-GB"/>
        </w:rPr>
        <w:t xml:space="preserve"> African </w:t>
      </w:r>
      <w:r w:rsidR="00DB46F0" w:rsidRPr="00B41DB1">
        <w:rPr>
          <w:rFonts w:ascii="Times New Roman" w:hAnsi="Times New Roman" w:cs="Times New Roman"/>
          <w:sz w:val="24"/>
          <w:szCs w:val="24"/>
          <w:lang w:val="en-GB"/>
        </w:rPr>
        <w:t>colleagues</w:t>
      </w:r>
      <w:r w:rsidRPr="00B41DB1">
        <w:rPr>
          <w:rFonts w:ascii="Times New Roman" w:hAnsi="Times New Roman" w:cs="Times New Roman"/>
          <w:sz w:val="24"/>
          <w:szCs w:val="24"/>
          <w:lang w:val="en-GB"/>
        </w:rPr>
        <w:t xml:space="preserve"> in dealing with the EEC, initiated regular contacts and consultations with the region. This led in time to the creation of </w:t>
      </w:r>
      <w:r w:rsidR="00213AC9" w:rsidRPr="00B41DB1">
        <w:rPr>
          <w:rFonts w:ascii="Times New Roman" w:hAnsi="Times New Roman" w:cs="Times New Roman"/>
          <w:sz w:val="24"/>
          <w:szCs w:val="24"/>
          <w:lang w:val="en-GB"/>
        </w:rPr>
        <w:t>the</w:t>
      </w:r>
      <w:r w:rsidRPr="00B41DB1">
        <w:rPr>
          <w:rFonts w:ascii="Times New Roman" w:hAnsi="Times New Roman" w:cs="Times New Roman"/>
          <w:sz w:val="24"/>
          <w:szCs w:val="24"/>
          <w:lang w:val="en-GB"/>
        </w:rPr>
        <w:t xml:space="preserve"> African, Caribbean and Pacific grouping (the ACP), which the participants hoped would maximize the strength of their negotiating position.</w:t>
      </w:r>
      <w:r w:rsidR="00213AC9"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Indeed, the ACP felt that a fundamentally new ‘association’ with the EEC could be negotiated.</w:t>
      </w:r>
      <w:r w:rsidR="00213AC9"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 xml:space="preserve">The Caribbean wanted a form of relationship that was </w:t>
      </w:r>
      <w:r w:rsidR="00DC03BE" w:rsidRPr="00B41DB1">
        <w:rPr>
          <w:rFonts w:ascii="Times New Roman" w:hAnsi="Times New Roman" w:cs="Times New Roman"/>
          <w:i/>
          <w:sz w:val="24"/>
          <w:szCs w:val="24"/>
          <w:lang w:val="en-GB"/>
        </w:rPr>
        <w:t>sui generis</w:t>
      </w:r>
      <w:r w:rsidR="00DC03BE" w:rsidRPr="00B41DB1">
        <w:rPr>
          <w:rFonts w:ascii="Times New Roman" w:hAnsi="Times New Roman" w:cs="Times New Roman"/>
          <w:sz w:val="24"/>
          <w:szCs w:val="24"/>
          <w:lang w:val="en-GB"/>
        </w:rPr>
        <w:t xml:space="preserve"> (Gonzales, 1997, </w:t>
      </w:r>
      <w:r w:rsidR="000A5AC6" w:rsidRPr="00B41DB1">
        <w:rPr>
          <w:rFonts w:ascii="Times New Roman" w:hAnsi="Times New Roman" w:cs="Times New Roman"/>
          <w:sz w:val="24"/>
          <w:szCs w:val="24"/>
          <w:lang w:val="en-GB"/>
        </w:rPr>
        <w:t xml:space="preserve">p. </w:t>
      </w:r>
      <w:r w:rsidRPr="00B41DB1">
        <w:rPr>
          <w:rFonts w:ascii="Times New Roman" w:hAnsi="Times New Roman" w:cs="Times New Roman"/>
          <w:sz w:val="24"/>
          <w:szCs w:val="24"/>
          <w:lang w:val="en-GB"/>
        </w:rPr>
        <w:t xml:space="preserve">72). </w:t>
      </w:r>
      <w:r w:rsidR="00DB46F0" w:rsidRPr="00B41DB1">
        <w:rPr>
          <w:rFonts w:ascii="Times New Roman" w:hAnsi="Times New Roman" w:cs="Times New Roman"/>
          <w:sz w:val="24"/>
          <w:szCs w:val="24"/>
          <w:lang w:val="en-GB"/>
        </w:rPr>
        <w:t>The region</w:t>
      </w:r>
      <w:r w:rsidRPr="00B41DB1">
        <w:rPr>
          <w:rFonts w:ascii="Times New Roman" w:hAnsi="Times New Roman" w:cs="Times New Roman"/>
          <w:sz w:val="24"/>
          <w:szCs w:val="24"/>
          <w:lang w:val="en-GB"/>
        </w:rPr>
        <w:t xml:space="preserve"> called for non-reciprocity, protection of traditional arrangements, and no difference in treatment between independent Caribbean countries and the self-governing territories of EEC member states in the region. In many respects, the First Lomé Convention met the objectives that the Caribbean had set itself. The aim of the Convention was </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to establish a new model for relations between developed and developing states compatible with the </w:t>
      </w:r>
      <w:r w:rsidRPr="00B41DB1">
        <w:rPr>
          <w:rFonts w:ascii="Times New Roman" w:hAnsi="Times New Roman" w:cs="Times New Roman"/>
          <w:sz w:val="24"/>
          <w:szCs w:val="24"/>
          <w:lang w:val="en-GB"/>
        </w:rPr>
        <w:lastRenderedPageBreak/>
        <w:t>aspirations of the international community towards a more just and more balanced economic orde</w:t>
      </w:r>
      <w:r w:rsidR="00DC03BE" w:rsidRPr="00B41DB1">
        <w:rPr>
          <w:rFonts w:ascii="Times New Roman" w:hAnsi="Times New Roman" w:cs="Times New Roman"/>
          <w:sz w:val="24"/>
          <w:szCs w:val="24"/>
          <w:lang w:val="en-GB"/>
        </w:rPr>
        <w:t>r</w:t>
      </w:r>
      <w:r w:rsidR="00D226DD" w:rsidRPr="00B41DB1">
        <w:rPr>
          <w:rFonts w:ascii="Times New Roman" w:hAnsi="Times New Roman" w:cs="Times New Roman"/>
          <w:sz w:val="24"/>
          <w:szCs w:val="24"/>
          <w:lang w:val="en-GB"/>
        </w:rPr>
        <w:t>’</w:t>
      </w:r>
      <w:r w:rsidR="00DC03BE" w:rsidRPr="00B41DB1">
        <w:rPr>
          <w:rFonts w:ascii="Times New Roman" w:hAnsi="Times New Roman" w:cs="Times New Roman"/>
          <w:sz w:val="24"/>
          <w:szCs w:val="24"/>
          <w:lang w:val="en-GB"/>
        </w:rPr>
        <w:t xml:space="preserve"> (</w:t>
      </w:r>
      <w:r w:rsidR="00DC03BE" w:rsidRPr="00B41DB1">
        <w:rPr>
          <w:rFonts w:ascii="Times New Roman" w:hAnsi="Times New Roman" w:cs="Times New Roman"/>
          <w:i/>
          <w:sz w:val="24"/>
          <w:szCs w:val="24"/>
          <w:lang w:val="en-GB"/>
        </w:rPr>
        <w:t>The Courier</w:t>
      </w:r>
      <w:r w:rsidR="00DC03BE" w:rsidRPr="00B41DB1">
        <w:rPr>
          <w:rFonts w:ascii="Times New Roman" w:hAnsi="Times New Roman" w:cs="Times New Roman"/>
          <w:sz w:val="24"/>
          <w:szCs w:val="24"/>
          <w:lang w:val="en-GB"/>
        </w:rPr>
        <w:t xml:space="preserve">, 1975, </w:t>
      </w:r>
      <w:r w:rsidR="000A5AC6" w:rsidRPr="00B41DB1">
        <w:rPr>
          <w:rFonts w:ascii="Times New Roman" w:hAnsi="Times New Roman" w:cs="Times New Roman"/>
          <w:sz w:val="24"/>
          <w:szCs w:val="24"/>
          <w:lang w:val="en-GB"/>
        </w:rPr>
        <w:t xml:space="preserve">p. </w:t>
      </w:r>
      <w:r w:rsidRPr="00B41DB1">
        <w:rPr>
          <w:rFonts w:ascii="Times New Roman" w:hAnsi="Times New Roman" w:cs="Times New Roman"/>
          <w:sz w:val="24"/>
          <w:szCs w:val="24"/>
          <w:lang w:val="en-GB"/>
        </w:rPr>
        <w:t>3).</w:t>
      </w:r>
    </w:p>
    <w:p w14:paraId="7AC81E82" w14:textId="6E1338E8" w:rsidR="00D32935" w:rsidRPr="00B41DB1" w:rsidRDefault="004A7FE2"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Lomé I was agreed in 1975, while Lomé IV was signed in 1990 and remained in force until 2000. There were three central pillars of the Lomé Conventions</w:t>
      </w:r>
      <w:r w:rsidR="00445FA8"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trade provisions (preferences and protocols), </w:t>
      </w:r>
      <w:r w:rsidR="001965D7" w:rsidRPr="00B41DB1">
        <w:rPr>
          <w:rFonts w:ascii="Times New Roman" w:hAnsi="Times New Roman" w:cs="Times New Roman"/>
          <w:sz w:val="24"/>
          <w:szCs w:val="24"/>
          <w:lang w:val="en-GB"/>
        </w:rPr>
        <w:t xml:space="preserve">financial </w:t>
      </w:r>
      <w:r w:rsidRPr="00B41DB1">
        <w:rPr>
          <w:rFonts w:ascii="Times New Roman" w:hAnsi="Times New Roman" w:cs="Times New Roman"/>
          <w:sz w:val="24"/>
          <w:szCs w:val="24"/>
          <w:lang w:val="en-GB"/>
        </w:rPr>
        <w:t xml:space="preserve">aid, and political dialogue. As Flint argues, </w:t>
      </w:r>
      <w:r w:rsidR="00D226DD"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Lomé I appeared to offer ACP countries a number of favourable concessions. The demands for reciprocity and Free Trade Zones inherent in Yaoundé were dispensed with in favour of non-reciprocal tariff preferences for ACP countries</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(2008,</w:t>
      </w:r>
      <w:r w:rsidR="00FE7510" w:rsidRPr="00B41DB1">
        <w:rPr>
          <w:rFonts w:ascii="Times New Roman" w:hAnsi="Times New Roman" w:cs="Times New Roman"/>
          <w:sz w:val="24"/>
          <w:szCs w:val="24"/>
          <w:lang w:val="en-GB"/>
        </w:rPr>
        <w:t xml:space="preserve"> p.</w:t>
      </w:r>
      <w:r w:rsidRPr="00B41DB1">
        <w:rPr>
          <w:rFonts w:ascii="Times New Roman" w:hAnsi="Times New Roman" w:cs="Times New Roman"/>
          <w:sz w:val="24"/>
          <w:szCs w:val="24"/>
          <w:lang w:val="en-GB"/>
        </w:rPr>
        <w:t xml:space="preserve"> 14). Flint also calls Lomé I the </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high water mark</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for ACP relations with the EU, allowing for </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a true sense of partnership</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and autonomy for ACP countries over their economic policies (2008,</w:t>
      </w:r>
      <w:r w:rsidR="00FE7510" w:rsidRPr="00B41DB1">
        <w:rPr>
          <w:rFonts w:ascii="Times New Roman" w:hAnsi="Times New Roman" w:cs="Times New Roman"/>
          <w:sz w:val="24"/>
          <w:szCs w:val="24"/>
          <w:lang w:val="en-GB"/>
        </w:rPr>
        <w:t xml:space="preserve"> p.</w:t>
      </w:r>
      <w:r w:rsidRPr="00B41DB1">
        <w:rPr>
          <w:rFonts w:ascii="Times New Roman" w:hAnsi="Times New Roman" w:cs="Times New Roman"/>
          <w:sz w:val="24"/>
          <w:szCs w:val="24"/>
          <w:lang w:val="en-GB"/>
        </w:rPr>
        <w:t xml:space="preserve"> 15). Similarly Holland and Doidge suggest </w:t>
      </w:r>
      <w:r w:rsidR="00D226DD"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that the goals of the Convention were innovative and established a First – Third World relationship that was progressive and unparalleled for its time</w:t>
      </w:r>
      <w:r w:rsidR="00D226DD"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 xml:space="preserve"> (2012, p. </w:t>
      </w:r>
      <w:r w:rsidRPr="00B41DB1">
        <w:rPr>
          <w:rFonts w:ascii="Times New Roman" w:hAnsi="Times New Roman" w:cs="Times New Roman"/>
          <w:sz w:val="24"/>
          <w:szCs w:val="24"/>
          <w:lang w:val="en-GB"/>
        </w:rPr>
        <w:t>55). And despite the fact that</w:t>
      </w:r>
      <w:r w:rsidR="00FE7510" w:rsidRPr="00B41DB1">
        <w:rPr>
          <w:rFonts w:ascii="Times New Roman" w:hAnsi="Times New Roman" w:cs="Times New Roman"/>
          <w:sz w:val="24"/>
          <w:szCs w:val="24"/>
          <w:lang w:val="en-GB"/>
        </w:rPr>
        <w:t xml:space="preserve"> later</w:t>
      </w:r>
      <w:r w:rsidRPr="00B41DB1">
        <w:rPr>
          <w:rFonts w:ascii="Times New Roman" w:hAnsi="Times New Roman" w:cs="Times New Roman"/>
          <w:sz w:val="24"/>
          <w:szCs w:val="24"/>
          <w:lang w:val="en-GB"/>
        </w:rPr>
        <w:t xml:space="preserve"> the EU demanded new conditions to the relationship, including on issues such as human rights, good governance and the rule of law, Lomé represented </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a singularly good deal for ACP states</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(Hadfield, 2007, </w:t>
      </w:r>
      <w:r w:rsidR="00FE7510" w:rsidRPr="00B41DB1">
        <w:rPr>
          <w:rFonts w:ascii="Times New Roman" w:hAnsi="Times New Roman" w:cs="Times New Roman"/>
          <w:sz w:val="24"/>
          <w:szCs w:val="24"/>
          <w:lang w:val="en-GB"/>
        </w:rPr>
        <w:t xml:space="preserve">p. </w:t>
      </w:r>
      <w:r w:rsidRPr="00B41DB1">
        <w:rPr>
          <w:rFonts w:ascii="Times New Roman" w:hAnsi="Times New Roman" w:cs="Times New Roman"/>
          <w:sz w:val="24"/>
          <w:szCs w:val="24"/>
          <w:lang w:val="en-GB"/>
        </w:rPr>
        <w:t>42). Nevertheless, by the early 1990s</w:t>
      </w:r>
      <w:r w:rsidR="000D2F47"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a number of factors combined to undermine the basis of the Lomé regime, such as doubts over its effectiveness both in terms of encouraging growth in the ACP and improving trade performance. </w:t>
      </w:r>
      <w:r w:rsidR="00D32935" w:rsidRPr="00B41DB1">
        <w:rPr>
          <w:rFonts w:ascii="Times New Roman" w:hAnsi="Times New Roman" w:cs="Times New Roman"/>
          <w:sz w:val="24"/>
          <w:szCs w:val="24"/>
          <w:lang w:val="en-GB"/>
        </w:rPr>
        <w:t>A</w:t>
      </w:r>
      <w:r w:rsidRPr="00B41DB1">
        <w:rPr>
          <w:rFonts w:ascii="Times New Roman" w:hAnsi="Times New Roman" w:cs="Times New Roman"/>
          <w:sz w:val="24"/>
          <w:szCs w:val="24"/>
          <w:lang w:val="en-GB"/>
        </w:rPr>
        <w:t xml:space="preserve">lso, changes to the political economy of global trade, particularly the growing influence of </w:t>
      </w:r>
      <w:r w:rsidR="00D32935" w:rsidRPr="00B41DB1">
        <w:rPr>
          <w:rFonts w:ascii="Times New Roman" w:hAnsi="Times New Roman" w:cs="Times New Roman"/>
          <w:sz w:val="24"/>
          <w:szCs w:val="24"/>
          <w:lang w:val="en-GB"/>
        </w:rPr>
        <w:t>organisations</w:t>
      </w:r>
      <w:r w:rsidRPr="00B41DB1">
        <w:rPr>
          <w:rFonts w:ascii="Times New Roman" w:hAnsi="Times New Roman" w:cs="Times New Roman"/>
          <w:sz w:val="24"/>
          <w:szCs w:val="24"/>
          <w:lang w:val="en-GB"/>
        </w:rPr>
        <w:t xml:space="preserve"> </w:t>
      </w:r>
      <w:r w:rsidR="0054120C" w:rsidRPr="00B41DB1">
        <w:rPr>
          <w:rFonts w:ascii="Times New Roman" w:hAnsi="Times New Roman" w:cs="Times New Roman"/>
          <w:sz w:val="24"/>
          <w:szCs w:val="24"/>
          <w:lang w:val="en-GB"/>
        </w:rPr>
        <w:t>like</w:t>
      </w:r>
      <w:r w:rsidRPr="00B41DB1">
        <w:rPr>
          <w:rFonts w:ascii="Times New Roman" w:hAnsi="Times New Roman" w:cs="Times New Roman"/>
          <w:sz w:val="24"/>
          <w:szCs w:val="24"/>
          <w:lang w:val="en-GB"/>
        </w:rPr>
        <w:t xml:space="preserve"> the newly created </w:t>
      </w:r>
      <w:r w:rsidR="00D32935" w:rsidRPr="00B41DB1">
        <w:rPr>
          <w:rFonts w:ascii="Times New Roman" w:hAnsi="Times New Roman" w:cs="Times New Roman"/>
          <w:sz w:val="24"/>
          <w:szCs w:val="24"/>
          <w:lang w:val="en-GB"/>
        </w:rPr>
        <w:t xml:space="preserve">World Trade Organisation (WTO) </w:t>
      </w:r>
      <w:r w:rsidR="00D226DD"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w:t>
      </w:r>
      <w:r w:rsidR="00D32935" w:rsidRPr="00B41DB1">
        <w:rPr>
          <w:rFonts w:ascii="Times New Roman" w:hAnsi="Times New Roman" w:cs="Times New Roman"/>
          <w:sz w:val="24"/>
          <w:szCs w:val="24"/>
          <w:lang w:val="en-GB"/>
        </w:rPr>
        <w:t xml:space="preserve"> drew attention to Lomé’s inconsistencies with the broad principles of trade liberalisation</w:t>
      </w:r>
      <w:r w:rsidR="00D226DD" w:rsidRPr="00B41DB1">
        <w:rPr>
          <w:rFonts w:ascii="Times New Roman" w:hAnsi="Times New Roman" w:cs="Times New Roman"/>
          <w:sz w:val="24"/>
          <w:szCs w:val="24"/>
          <w:lang w:val="en-GB"/>
        </w:rPr>
        <w:t>’</w:t>
      </w:r>
      <w:r w:rsidR="00D32935" w:rsidRPr="00B41DB1">
        <w:rPr>
          <w:rFonts w:ascii="Times New Roman" w:hAnsi="Times New Roman" w:cs="Times New Roman"/>
          <w:sz w:val="24"/>
          <w:szCs w:val="24"/>
          <w:lang w:val="en-GB"/>
        </w:rPr>
        <w:t xml:space="preserve">, meaning </w:t>
      </w:r>
      <w:r w:rsidR="00D226DD" w:rsidRPr="00B41DB1">
        <w:rPr>
          <w:rFonts w:ascii="Times New Roman" w:hAnsi="Times New Roman" w:cs="Times New Roman"/>
          <w:sz w:val="24"/>
          <w:szCs w:val="24"/>
          <w:lang w:val="en-GB"/>
        </w:rPr>
        <w:t>‘</w:t>
      </w:r>
      <w:r w:rsidR="00445FA8" w:rsidRPr="00B41DB1">
        <w:rPr>
          <w:rFonts w:ascii="Times New Roman" w:hAnsi="Times New Roman" w:cs="Times New Roman"/>
          <w:sz w:val="24"/>
          <w:szCs w:val="24"/>
          <w:lang w:val="en-GB"/>
        </w:rPr>
        <w:t>[…]</w:t>
      </w:r>
      <w:r w:rsidR="00340044" w:rsidRPr="00B41DB1">
        <w:rPr>
          <w:rFonts w:ascii="Times New Roman" w:hAnsi="Times New Roman" w:cs="Times New Roman"/>
          <w:sz w:val="24"/>
          <w:szCs w:val="24"/>
          <w:lang w:val="en-GB"/>
        </w:rPr>
        <w:t xml:space="preserve"> the need for fundamental reform of the EU’s relations with the ACP was becoming increasingly evident</w:t>
      </w:r>
      <w:r w:rsidR="00D226DD" w:rsidRPr="00B41DB1">
        <w:rPr>
          <w:rFonts w:ascii="Times New Roman" w:hAnsi="Times New Roman" w:cs="Times New Roman"/>
          <w:sz w:val="24"/>
          <w:szCs w:val="24"/>
          <w:lang w:val="en-GB"/>
        </w:rPr>
        <w:t>’</w:t>
      </w:r>
      <w:r w:rsidR="00340044" w:rsidRPr="00B41DB1">
        <w:rPr>
          <w:rFonts w:ascii="Times New Roman" w:hAnsi="Times New Roman" w:cs="Times New Roman"/>
          <w:sz w:val="24"/>
          <w:szCs w:val="24"/>
          <w:lang w:val="en-GB"/>
        </w:rPr>
        <w:t xml:space="preserve"> (</w:t>
      </w:r>
      <w:r w:rsidR="00D32935" w:rsidRPr="00B41DB1">
        <w:rPr>
          <w:rFonts w:ascii="Times New Roman" w:hAnsi="Times New Roman" w:cs="Times New Roman"/>
          <w:sz w:val="24"/>
          <w:szCs w:val="24"/>
          <w:lang w:val="en-GB"/>
        </w:rPr>
        <w:t xml:space="preserve">Holland and Doidge, 2012, </w:t>
      </w:r>
      <w:r w:rsidR="00FE7510" w:rsidRPr="00B41DB1">
        <w:rPr>
          <w:rFonts w:ascii="Times New Roman" w:hAnsi="Times New Roman" w:cs="Times New Roman"/>
          <w:sz w:val="24"/>
          <w:szCs w:val="24"/>
          <w:lang w:val="en-GB"/>
        </w:rPr>
        <w:t xml:space="preserve">p. </w:t>
      </w:r>
      <w:r w:rsidR="00D32935" w:rsidRPr="00B41DB1">
        <w:rPr>
          <w:rFonts w:ascii="Times New Roman" w:hAnsi="Times New Roman" w:cs="Times New Roman"/>
          <w:sz w:val="24"/>
          <w:szCs w:val="24"/>
          <w:lang w:val="en-GB"/>
        </w:rPr>
        <w:t>65).</w:t>
      </w:r>
    </w:p>
    <w:p w14:paraId="6A474EC5" w14:textId="77777777" w:rsidR="00D32935" w:rsidRPr="00B41DB1" w:rsidRDefault="00D32935" w:rsidP="000D2F47">
      <w:pPr>
        <w:spacing w:after="0" w:line="480" w:lineRule="auto"/>
        <w:rPr>
          <w:rFonts w:ascii="Times New Roman" w:hAnsi="Times New Roman" w:cs="Times New Roman"/>
          <w:sz w:val="24"/>
          <w:szCs w:val="24"/>
          <w:lang w:val="en-GB"/>
        </w:rPr>
      </w:pPr>
    </w:p>
    <w:p w14:paraId="4CA5CAFC" w14:textId="77777777" w:rsidR="008B0309" w:rsidRPr="00B41DB1" w:rsidRDefault="008D46AA"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lastRenderedPageBreak/>
        <w:t>The end of the trade protocols</w:t>
      </w:r>
    </w:p>
    <w:p w14:paraId="0F690336" w14:textId="77777777" w:rsidR="00762F22" w:rsidRPr="00B41DB1" w:rsidRDefault="00802074"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A key development that reflected the changing approach to trade policy came in relation to the pressure on Lomé’s trade protocols. The eventual scrapping of these provisions removed a central plank of the Caribbean-EU relationship.</w:t>
      </w:r>
      <w:r w:rsidR="00F96641" w:rsidRPr="00B41DB1">
        <w:rPr>
          <w:rFonts w:ascii="Times New Roman" w:hAnsi="Times New Roman" w:cs="Times New Roman"/>
          <w:sz w:val="24"/>
          <w:szCs w:val="24"/>
          <w:lang w:val="en-GB"/>
        </w:rPr>
        <w:t xml:space="preserve"> The first protocol to come under attack was the one for bananas</w:t>
      </w:r>
      <w:r w:rsidR="004A3238" w:rsidRPr="00B41DB1">
        <w:rPr>
          <w:rFonts w:ascii="Times New Roman" w:hAnsi="Times New Roman" w:cs="Times New Roman"/>
          <w:sz w:val="24"/>
          <w:szCs w:val="24"/>
          <w:lang w:val="en-GB"/>
        </w:rPr>
        <w:t xml:space="preserve"> that</w:t>
      </w:r>
      <w:r w:rsidR="00F96641" w:rsidRPr="00B41DB1">
        <w:rPr>
          <w:rFonts w:ascii="Times New Roman" w:hAnsi="Times New Roman" w:cs="Times New Roman"/>
          <w:sz w:val="24"/>
          <w:szCs w:val="24"/>
          <w:lang w:val="en-GB"/>
        </w:rPr>
        <w:t xml:space="preserve"> helped to maintain EU market access for</w:t>
      </w:r>
      <w:r w:rsidR="0042112B" w:rsidRPr="00B41DB1">
        <w:rPr>
          <w:rFonts w:ascii="Times New Roman" w:hAnsi="Times New Roman" w:cs="Times New Roman"/>
          <w:sz w:val="24"/>
          <w:szCs w:val="24"/>
          <w:lang w:val="en-GB"/>
        </w:rPr>
        <w:t xml:space="preserve"> relatively expensive Caribbean </w:t>
      </w:r>
      <w:r w:rsidR="00F96641" w:rsidRPr="00B41DB1">
        <w:rPr>
          <w:rFonts w:ascii="Times New Roman" w:hAnsi="Times New Roman" w:cs="Times New Roman"/>
          <w:sz w:val="24"/>
          <w:szCs w:val="24"/>
          <w:lang w:val="en-GB"/>
        </w:rPr>
        <w:t xml:space="preserve">producers. Cases brought by the United States </w:t>
      </w:r>
      <w:r w:rsidR="004A3238" w:rsidRPr="00B41DB1">
        <w:rPr>
          <w:rFonts w:ascii="Times New Roman" w:hAnsi="Times New Roman" w:cs="Times New Roman"/>
          <w:sz w:val="24"/>
          <w:szCs w:val="24"/>
          <w:lang w:val="en-GB"/>
        </w:rPr>
        <w:t xml:space="preserve">(US) </w:t>
      </w:r>
      <w:r w:rsidR="00F96641" w:rsidRPr="00B41DB1">
        <w:rPr>
          <w:rFonts w:ascii="Times New Roman" w:hAnsi="Times New Roman" w:cs="Times New Roman"/>
          <w:sz w:val="24"/>
          <w:szCs w:val="24"/>
          <w:lang w:val="en-GB"/>
        </w:rPr>
        <w:t xml:space="preserve">and several Latin American countries at the General Agreement on Tariffs and Trade (GATT) and then at the World Trade Organisation (WTO) in the early and mid-1990s ripped the heart out of the protocol and the import regime. The GATT and the WTO ruled against not only certain aspects of the EU’s banana regime but also questioned the legality of the preferential arrangements </w:t>
      </w:r>
      <w:r w:rsidR="00656D23" w:rsidRPr="00B41DB1">
        <w:rPr>
          <w:rFonts w:ascii="Times New Roman" w:hAnsi="Times New Roman" w:cs="Times New Roman"/>
          <w:sz w:val="24"/>
          <w:szCs w:val="24"/>
          <w:lang w:val="en-GB"/>
        </w:rPr>
        <w:t>with</w:t>
      </w:r>
      <w:r w:rsidR="00F96641" w:rsidRPr="00B41DB1">
        <w:rPr>
          <w:rFonts w:ascii="Times New Roman" w:hAnsi="Times New Roman" w:cs="Times New Roman"/>
          <w:sz w:val="24"/>
          <w:szCs w:val="24"/>
          <w:lang w:val="en-GB"/>
        </w:rPr>
        <w:t>in the Lomé Convention</w:t>
      </w:r>
      <w:r w:rsidR="00FE3FEB" w:rsidRPr="00B41DB1">
        <w:rPr>
          <w:rFonts w:ascii="Times New Roman" w:hAnsi="Times New Roman" w:cs="Times New Roman"/>
          <w:sz w:val="24"/>
          <w:szCs w:val="24"/>
          <w:lang w:val="en-GB"/>
        </w:rPr>
        <w:t>.</w:t>
      </w:r>
      <w:r w:rsidR="00656D23" w:rsidRPr="00B41DB1">
        <w:rPr>
          <w:rFonts w:ascii="Times New Roman" w:hAnsi="Times New Roman" w:cs="Times New Roman"/>
          <w:sz w:val="24"/>
          <w:szCs w:val="24"/>
          <w:lang w:val="en-GB"/>
        </w:rPr>
        <w:t xml:space="preserve"> Fundamentally, </w:t>
      </w:r>
      <w:r w:rsidR="007B1646" w:rsidRPr="00B41DB1">
        <w:rPr>
          <w:rFonts w:ascii="Times New Roman" w:hAnsi="Times New Roman" w:cs="Times New Roman"/>
          <w:sz w:val="24"/>
          <w:szCs w:val="24"/>
          <w:lang w:val="en-GB"/>
        </w:rPr>
        <w:t xml:space="preserve">they argued that </w:t>
      </w:r>
      <w:r w:rsidR="00656D23" w:rsidRPr="00B41DB1">
        <w:rPr>
          <w:rFonts w:ascii="Times New Roman" w:hAnsi="Times New Roman" w:cs="Times New Roman"/>
          <w:sz w:val="24"/>
          <w:szCs w:val="24"/>
          <w:lang w:val="en-GB"/>
        </w:rPr>
        <w:t xml:space="preserve">the discriminatory tariffication of banana imports was against the most favoured nation </w:t>
      </w:r>
      <w:r w:rsidR="007C0457" w:rsidRPr="00B41DB1">
        <w:rPr>
          <w:rFonts w:ascii="Times New Roman" w:hAnsi="Times New Roman" w:cs="Times New Roman"/>
          <w:sz w:val="24"/>
          <w:szCs w:val="24"/>
          <w:lang w:val="en-GB"/>
        </w:rPr>
        <w:t xml:space="preserve">(MFN) </w:t>
      </w:r>
      <w:r w:rsidR="00656D23" w:rsidRPr="00B41DB1">
        <w:rPr>
          <w:rFonts w:ascii="Times New Roman" w:hAnsi="Times New Roman" w:cs="Times New Roman"/>
          <w:sz w:val="24"/>
          <w:szCs w:val="24"/>
          <w:lang w:val="en-GB"/>
        </w:rPr>
        <w:t xml:space="preserve">commitment, by which tariff concessions must be extended to all other members on an equal </w:t>
      </w:r>
      <w:r w:rsidR="007B1646" w:rsidRPr="00B41DB1">
        <w:rPr>
          <w:rFonts w:ascii="Times New Roman" w:hAnsi="Times New Roman" w:cs="Times New Roman"/>
          <w:sz w:val="24"/>
          <w:szCs w:val="24"/>
          <w:lang w:val="en-GB"/>
        </w:rPr>
        <w:t>basis,</w:t>
      </w:r>
      <w:r w:rsidR="00656D23" w:rsidRPr="00B41DB1">
        <w:rPr>
          <w:rFonts w:ascii="Times New Roman" w:hAnsi="Times New Roman" w:cs="Times New Roman"/>
          <w:sz w:val="24"/>
          <w:szCs w:val="24"/>
          <w:lang w:val="en-GB"/>
        </w:rPr>
        <w:t xml:space="preserve"> and </w:t>
      </w:r>
      <w:r w:rsidR="007B1646" w:rsidRPr="00B41DB1">
        <w:rPr>
          <w:rFonts w:ascii="Times New Roman" w:hAnsi="Times New Roman" w:cs="Times New Roman"/>
          <w:sz w:val="24"/>
          <w:szCs w:val="24"/>
          <w:lang w:val="en-GB"/>
        </w:rPr>
        <w:t>thus the Lomé Convention itself,</w:t>
      </w:r>
      <w:r w:rsidR="00656D23" w:rsidRPr="00B41DB1">
        <w:rPr>
          <w:rFonts w:ascii="Times New Roman" w:hAnsi="Times New Roman" w:cs="Times New Roman"/>
          <w:sz w:val="24"/>
          <w:szCs w:val="24"/>
          <w:lang w:val="en-GB"/>
        </w:rPr>
        <w:t xml:space="preserve"> with its preferential treatment of ACP goods was also unlawful. </w:t>
      </w:r>
      <w:r w:rsidR="004A3238" w:rsidRPr="00B41DB1">
        <w:rPr>
          <w:rFonts w:ascii="Times New Roman" w:hAnsi="Times New Roman" w:cs="Times New Roman"/>
          <w:sz w:val="24"/>
          <w:szCs w:val="24"/>
          <w:lang w:val="en-GB"/>
        </w:rPr>
        <w:t>T</w:t>
      </w:r>
      <w:r w:rsidR="0042112B" w:rsidRPr="00B41DB1">
        <w:rPr>
          <w:rFonts w:ascii="Times New Roman" w:hAnsi="Times New Roman" w:cs="Times New Roman"/>
          <w:sz w:val="24"/>
          <w:szCs w:val="24"/>
          <w:lang w:val="en-GB"/>
        </w:rPr>
        <w:t xml:space="preserve">he EU dismantled its banana regime and the banana protocol </w:t>
      </w:r>
      <w:r w:rsidR="005C4CDA" w:rsidRPr="00B41DB1">
        <w:rPr>
          <w:rFonts w:ascii="Times New Roman" w:hAnsi="Times New Roman" w:cs="Times New Roman"/>
          <w:sz w:val="24"/>
          <w:szCs w:val="24"/>
          <w:lang w:val="en-GB"/>
        </w:rPr>
        <w:t>followed</w:t>
      </w:r>
      <w:r w:rsidR="0042112B" w:rsidRPr="00B41DB1">
        <w:rPr>
          <w:rFonts w:ascii="Times New Roman" w:hAnsi="Times New Roman" w:cs="Times New Roman"/>
          <w:sz w:val="24"/>
          <w:szCs w:val="24"/>
          <w:lang w:val="en-GB"/>
        </w:rPr>
        <w:t xml:space="preserve">. The </w:t>
      </w:r>
      <w:r w:rsidR="00213FC4" w:rsidRPr="00B41DB1">
        <w:rPr>
          <w:rFonts w:ascii="Times New Roman" w:hAnsi="Times New Roman" w:cs="Times New Roman"/>
          <w:sz w:val="24"/>
          <w:szCs w:val="24"/>
          <w:lang w:val="en-GB"/>
        </w:rPr>
        <w:t>consequence</w:t>
      </w:r>
      <w:r w:rsidR="0042112B" w:rsidRPr="00B41DB1">
        <w:rPr>
          <w:rFonts w:ascii="Times New Roman" w:hAnsi="Times New Roman" w:cs="Times New Roman"/>
          <w:sz w:val="24"/>
          <w:szCs w:val="24"/>
          <w:lang w:val="en-GB"/>
        </w:rPr>
        <w:t xml:space="preserve"> </w:t>
      </w:r>
      <w:r w:rsidR="007B1646" w:rsidRPr="00B41DB1">
        <w:rPr>
          <w:rFonts w:ascii="Times New Roman" w:hAnsi="Times New Roman" w:cs="Times New Roman"/>
          <w:sz w:val="24"/>
          <w:szCs w:val="24"/>
          <w:lang w:val="en-GB"/>
        </w:rPr>
        <w:t>has been</w:t>
      </w:r>
      <w:r w:rsidR="0042112B" w:rsidRPr="00B41DB1">
        <w:rPr>
          <w:rFonts w:ascii="Times New Roman" w:hAnsi="Times New Roman" w:cs="Times New Roman"/>
          <w:sz w:val="24"/>
          <w:szCs w:val="24"/>
          <w:lang w:val="en-GB"/>
        </w:rPr>
        <w:t xml:space="preserve"> a </w:t>
      </w:r>
      <w:r w:rsidR="00213FC4" w:rsidRPr="00B41DB1">
        <w:rPr>
          <w:rFonts w:ascii="Times New Roman" w:hAnsi="Times New Roman" w:cs="Times New Roman"/>
          <w:sz w:val="24"/>
          <w:szCs w:val="24"/>
          <w:lang w:val="en-GB"/>
        </w:rPr>
        <w:t>large</w:t>
      </w:r>
      <w:r w:rsidR="0042112B" w:rsidRPr="00B41DB1">
        <w:rPr>
          <w:rFonts w:ascii="Times New Roman" w:hAnsi="Times New Roman" w:cs="Times New Roman"/>
          <w:sz w:val="24"/>
          <w:szCs w:val="24"/>
          <w:lang w:val="en-GB"/>
        </w:rPr>
        <w:t xml:space="preserve"> reduction in the volume of </w:t>
      </w:r>
      <w:r w:rsidR="00DD493F" w:rsidRPr="00B41DB1">
        <w:rPr>
          <w:rFonts w:ascii="Times New Roman" w:hAnsi="Times New Roman" w:cs="Times New Roman"/>
          <w:sz w:val="24"/>
          <w:szCs w:val="24"/>
          <w:lang w:val="en-GB"/>
        </w:rPr>
        <w:t xml:space="preserve">Caribbean </w:t>
      </w:r>
      <w:r w:rsidR="0042112B" w:rsidRPr="00B41DB1">
        <w:rPr>
          <w:rFonts w:ascii="Times New Roman" w:hAnsi="Times New Roman" w:cs="Times New Roman"/>
          <w:sz w:val="24"/>
          <w:szCs w:val="24"/>
          <w:lang w:val="en-GB"/>
        </w:rPr>
        <w:t xml:space="preserve">bananas entering the EU market </w:t>
      </w:r>
      <w:r w:rsidR="00762F22" w:rsidRPr="00B41DB1">
        <w:rPr>
          <w:rFonts w:ascii="Times New Roman" w:hAnsi="Times New Roman" w:cs="Times New Roman"/>
          <w:sz w:val="24"/>
          <w:szCs w:val="24"/>
          <w:lang w:val="en-GB"/>
        </w:rPr>
        <w:t>and an ever-reducing tariff preference which is the remaining legacy of the original banana regime.</w:t>
      </w:r>
    </w:p>
    <w:p w14:paraId="4AACE40A" w14:textId="6CA12A16" w:rsidR="00CB1049" w:rsidRPr="00B41DB1" w:rsidRDefault="00341E89"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With strong attacks on the banana protocol and the provisions of Lomé more generally, the other protocols were also fatally undermined.</w:t>
      </w:r>
      <w:r w:rsidR="007C0457" w:rsidRPr="00B41DB1">
        <w:rPr>
          <w:rFonts w:ascii="Times New Roman" w:hAnsi="Times New Roman" w:cs="Times New Roman"/>
          <w:sz w:val="24"/>
          <w:szCs w:val="24"/>
          <w:lang w:val="en-GB"/>
        </w:rPr>
        <w:t xml:space="preserve"> </w:t>
      </w:r>
      <w:r w:rsidR="00315B81" w:rsidRPr="00B41DB1">
        <w:rPr>
          <w:rFonts w:ascii="Times New Roman" w:hAnsi="Times New Roman" w:cs="Times New Roman"/>
          <w:sz w:val="24"/>
          <w:szCs w:val="24"/>
          <w:lang w:val="en-GB"/>
        </w:rPr>
        <w:t>The sugar protocol went further than the one for bananas and guaranteed duty-free access to the EU market at a fixed preferential price for an agreed quota of</w:t>
      </w:r>
      <w:r w:rsidR="00A235A2" w:rsidRPr="00B41DB1">
        <w:rPr>
          <w:rFonts w:ascii="Times New Roman" w:hAnsi="Times New Roman" w:cs="Times New Roman"/>
          <w:sz w:val="24"/>
          <w:szCs w:val="24"/>
          <w:lang w:val="en-GB"/>
        </w:rPr>
        <w:t xml:space="preserve"> sugar</w:t>
      </w:r>
      <w:r w:rsidR="00315B81" w:rsidRPr="00B41DB1">
        <w:rPr>
          <w:rFonts w:ascii="Times New Roman" w:hAnsi="Times New Roman" w:cs="Times New Roman"/>
          <w:sz w:val="24"/>
          <w:szCs w:val="24"/>
          <w:lang w:val="en-GB"/>
        </w:rPr>
        <w:t xml:space="preserve">. </w:t>
      </w:r>
      <w:r w:rsidR="00E77A10" w:rsidRPr="00B41DB1">
        <w:rPr>
          <w:rFonts w:ascii="Times New Roman" w:hAnsi="Times New Roman" w:cs="Times New Roman"/>
          <w:sz w:val="24"/>
          <w:szCs w:val="24"/>
          <w:lang w:val="en-GB"/>
        </w:rPr>
        <w:t xml:space="preserve">However, </w:t>
      </w:r>
      <w:r w:rsidR="005F39C3" w:rsidRPr="00B41DB1">
        <w:rPr>
          <w:rFonts w:ascii="Times New Roman" w:hAnsi="Times New Roman" w:cs="Times New Roman"/>
          <w:sz w:val="24"/>
          <w:szCs w:val="24"/>
          <w:lang w:val="en-GB"/>
        </w:rPr>
        <w:t>in September</w:t>
      </w:r>
      <w:r w:rsidR="005D5232" w:rsidRPr="00B41DB1">
        <w:rPr>
          <w:rFonts w:ascii="Times New Roman" w:hAnsi="Times New Roman" w:cs="Times New Roman"/>
          <w:sz w:val="24"/>
          <w:szCs w:val="24"/>
          <w:lang w:val="en-GB"/>
        </w:rPr>
        <w:t xml:space="preserve"> 2002</w:t>
      </w:r>
      <w:r w:rsidR="000D2F47" w:rsidRPr="00B41DB1">
        <w:rPr>
          <w:rFonts w:ascii="Times New Roman" w:hAnsi="Times New Roman" w:cs="Times New Roman"/>
          <w:sz w:val="24"/>
          <w:szCs w:val="24"/>
          <w:lang w:val="en-GB"/>
        </w:rPr>
        <w:t>,</w:t>
      </w:r>
      <w:r w:rsidR="005D5232" w:rsidRPr="00B41DB1">
        <w:rPr>
          <w:rFonts w:ascii="Times New Roman" w:hAnsi="Times New Roman" w:cs="Times New Roman"/>
          <w:sz w:val="24"/>
          <w:szCs w:val="24"/>
          <w:lang w:val="en-GB"/>
        </w:rPr>
        <w:t xml:space="preserve"> Australia and </w:t>
      </w:r>
      <w:r w:rsidR="005F39C3" w:rsidRPr="00B41DB1">
        <w:rPr>
          <w:rFonts w:ascii="Times New Roman" w:hAnsi="Times New Roman" w:cs="Times New Roman"/>
          <w:sz w:val="24"/>
          <w:szCs w:val="24"/>
          <w:lang w:val="en-GB"/>
        </w:rPr>
        <w:t xml:space="preserve">Brazil </w:t>
      </w:r>
      <w:r w:rsidR="006B6DC3" w:rsidRPr="00B41DB1">
        <w:rPr>
          <w:rFonts w:ascii="Times New Roman" w:hAnsi="Times New Roman" w:cs="Times New Roman"/>
          <w:sz w:val="24"/>
          <w:szCs w:val="24"/>
          <w:lang w:val="en-GB"/>
        </w:rPr>
        <w:t>complained to the WTO about the export</w:t>
      </w:r>
      <w:r w:rsidR="005F39C3" w:rsidRPr="00B41DB1">
        <w:rPr>
          <w:rFonts w:ascii="Times New Roman" w:hAnsi="Times New Roman" w:cs="Times New Roman"/>
          <w:sz w:val="24"/>
          <w:szCs w:val="24"/>
          <w:lang w:val="en-GB"/>
        </w:rPr>
        <w:t xml:space="preserve"> subsidies provided by Brussels in </w:t>
      </w:r>
      <w:r w:rsidR="005D5232" w:rsidRPr="00B41DB1">
        <w:rPr>
          <w:rFonts w:ascii="Times New Roman" w:hAnsi="Times New Roman" w:cs="Times New Roman"/>
          <w:sz w:val="24"/>
          <w:szCs w:val="24"/>
          <w:lang w:val="en-GB"/>
        </w:rPr>
        <w:t>its sugar regime</w:t>
      </w:r>
      <w:r w:rsidR="005F39C3" w:rsidRPr="00B41DB1">
        <w:rPr>
          <w:rFonts w:ascii="Times New Roman" w:hAnsi="Times New Roman" w:cs="Times New Roman"/>
          <w:sz w:val="24"/>
          <w:szCs w:val="24"/>
          <w:lang w:val="en-GB"/>
        </w:rPr>
        <w:t xml:space="preserve"> (Thailand requested consultations with the EU on the same matter in </w:t>
      </w:r>
      <w:r w:rsidR="005F39C3" w:rsidRPr="00B41DB1">
        <w:rPr>
          <w:rFonts w:ascii="Times New Roman" w:hAnsi="Times New Roman" w:cs="Times New Roman"/>
          <w:sz w:val="24"/>
          <w:szCs w:val="24"/>
          <w:lang w:val="en-GB"/>
        </w:rPr>
        <w:lastRenderedPageBreak/>
        <w:t>March 2003). In October 2004</w:t>
      </w:r>
      <w:r w:rsidR="000D2F47" w:rsidRPr="00B41DB1">
        <w:rPr>
          <w:rFonts w:ascii="Times New Roman" w:hAnsi="Times New Roman" w:cs="Times New Roman"/>
          <w:sz w:val="24"/>
          <w:szCs w:val="24"/>
          <w:lang w:val="en-GB"/>
        </w:rPr>
        <w:t>,</w:t>
      </w:r>
      <w:r w:rsidR="005F39C3" w:rsidRPr="00B41DB1">
        <w:rPr>
          <w:rFonts w:ascii="Times New Roman" w:hAnsi="Times New Roman" w:cs="Times New Roman"/>
          <w:sz w:val="24"/>
          <w:szCs w:val="24"/>
          <w:lang w:val="en-GB"/>
        </w:rPr>
        <w:t xml:space="preserve"> the </w:t>
      </w:r>
      <w:r w:rsidR="008D340C" w:rsidRPr="00B41DB1">
        <w:rPr>
          <w:rFonts w:ascii="Times New Roman" w:hAnsi="Times New Roman" w:cs="Times New Roman"/>
          <w:sz w:val="24"/>
          <w:szCs w:val="24"/>
          <w:lang w:val="en-GB"/>
        </w:rPr>
        <w:t>WTO</w:t>
      </w:r>
      <w:r w:rsidR="005F39C3" w:rsidRPr="00B41DB1">
        <w:rPr>
          <w:rFonts w:ascii="Times New Roman" w:hAnsi="Times New Roman" w:cs="Times New Roman"/>
          <w:sz w:val="24"/>
          <w:szCs w:val="24"/>
          <w:lang w:val="en-GB"/>
        </w:rPr>
        <w:t xml:space="preserve"> ruled that EU subsidies, which benefited sugar producers in the Caribbean and elsewhere, broke global trade rules. In response</w:t>
      </w:r>
      <w:r w:rsidR="000D2F47" w:rsidRPr="00B41DB1">
        <w:rPr>
          <w:rFonts w:ascii="Times New Roman" w:hAnsi="Times New Roman" w:cs="Times New Roman"/>
          <w:sz w:val="24"/>
          <w:szCs w:val="24"/>
          <w:lang w:val="en-GB"/>
        </w:rPr>
        <w:t>,</w:t>
      </w:r>
      <w:r w:rsidR="005F39C3" w:rsidRPr="00B41DB1">
        <w:rPr>
          <w:rFonts w:ascii="Times New Roman" w:hAnsi="Times New Roman" w:cs="Times New Roman"/>
          <w:sz w:val="24"/>
          <w:szCs w:val="24"/>
          <w:lang w:val="en-GB"/>
        </w:rPr>
        <w:t xml:space="preserve"> the EU agreed to revise its regime in late 2005, which included a measure to phase in a 36</w:t>
      </w:r>
      <w:r w:rsidR="002A3B45" w:rsidRPr="00B41DB1">
        <w:rPr>
          <w:rFonts w:ascii="Times New Roman" w:hAnsi="Times New Roman" w:cs="Times New Roman"/>
          <w:sz w:val="24"/>
          <w:szCs w:val="24"/>
          <w:lang w:val="en-GB"/>
        </w:rPr>
        <w:t xml:space="preserve"> per cent</w:t>
      </w:r>
      <w:r w:rsidR="005F39C3" w:rsidRPr="00B41DB1">
        <w:rPr>
          <w:rFonts w:ascii="Times New Roman" w:hAnsi="Times New Roman" w:cs="Times New Roman"/>
          <w:sz w:val="24"/>
          <w:szCs w:val="24"/>
          <w:lang w:val="en-GB"/>
        </w:rPr>
        <w:t xml:space="preserve"> cut in the EU’s guaranteed sugar price. Then</w:t>
      </w:r>
      <w:r w:rsidR="00B70A2C" w:rsidRPr="00B41DB1">
        <w:rPr>
          <w:rFonts w:ascii="Times New Roman" w:hAnsi="Times New Roman" w:cs="Times New Roman"/>
          <w:sz w:val="24"/>
          <w:szCs w:val="24"/>
          <w:lang w:val="en-GB"/>
        </w:rPr>
        <w:t>,</w:t>
      </w:r>
      <w:r w:rsidR="005F39C3" w:rsidRPr="00B41DB1">
        <w:rPr>
          <w:rFonts w:ascii="Times New Roman" w:hAnsi="Times New Roman" w:cs="Times New Roman"/>
          <w:sz w:val="24"/>
          <w:szCs w:val="24"/>
          <w:lang w:val="en-GB"/>
        </w:rPr>
        <w:t xml:space="preserve"> in September 2007</w:t>
      </w:r>
      <w:r w:rsidR="00B70A2C" w:rsidRPr="00B41DB1">
        <w:rPr>
          <w:rFonts w:ascii="Times New Roman" w:hAnsi="Times New Roman" w:cs="Times New Roman"/>
          <w:sz w:val="24"/>
          <w:szCs w:val="24"/>
          <w:lang w:val="en-GB"/>
        </w:rPr>
        <w:t>,</w:t>
      </w:r>
      <w:r w:rsidR="005F39C3" w:rsidRPr="00B41DB1">
        <w:rPr>
          <w:rFonts w:ascii="Times New Roman" w:hAnsi="Times New Roman" w:cs="Times New Roman"/>
          <w:sz w:val="24"/>
          <w:szCs w:val="24"/>
          <w:lang w:val="en-GB"/>
        </w:rPr>
        <w:t xml:space="preserve"> the EU announced that its sugar prot</w:t>
      </w:r>
      <w:r w:rsidR="005D5232" w:rsidRPr="00B41DB1">
        <w:rPr>
          <w:rFonts w:ascii="Times New Roman" w:hAnsi="Times New Roman" w:cs="Times New Roman"/>
          <w:sz w:val="24"/>
          <w:szCs w:val="24"/>
          <w:lang w:val="en-GB"/>
        </w:rPr>
        <w:t xml:space="preserve">ocol would end entirely in 2009, which it did. </w:t>
      </w:r>
      <w:r w:rsidR="002A3B45" w:rsidRPr="00B41DB1">
        <w:rPr>
          <w:rFonts w:ascii="Times New Roman" w:hAnsi="Times New Roman" w:cs="Times New Roman"/>
          <w:sz w:val="24"/>
          <w:szCs w:val="24"/>
          <w:lang w:val="en-GB"/>
        </w:rPr>
        <w:t xml:space="preserve">In its place, </w:t>
      </w:r>
      <w:r w:rsidR="00975EDE" w:rsidRPr="00B41DB1">
        <w:rPr>
          <w:rFonts w:ascii="Times New Roman" w:hAnsi="Times New Roman" w:cs="Times New Roman"/>
          <w:sz w:val="24"/>
          <w:szCs w:val="24"/>
          <w:lang w:val="en-GB"/>
        </w:rPr>
        <w:t xml:space="preserve">Caribbean </w:t>
      </w:r>
      <w:r w:rsidR="00977428" w:rsidRPr="00B41DB1">
        <w:rPr>
          <w:rFonts w:ascii="Times New Roman" w:hAnsi="Times New Roman" w:cs="Times New Roman"/>
          <w:sz w:val="24"/>
          <w:szCs w:val="24"/>
          <w:lang w:val="en-GB"/>
        </w:rPr>
        <w:t xml:space="preserve">sugar exports </w:t>
      </w:r>
      <w:r w:rsidR="002A3B45" w:rsidRPr="00B41DB1">
        <w:rPr>
          <w:rFonts w:ascii="Times New Roman" w:hAnsi="Times New Roman" w:cs="Times New Roman"/>
          <w:sz w:val="24"/>
          <w:szCs w:val="24"/>
          <w:lang w:val="en-GB"/>
        </w:rPr>
        <w:t>were given duty-</w:t>
      </w:r>
      <w:r w:rsidR="00975EDE" w:rsidRPr="00B41DB1">
        <w:rPr>
          <w:rFonts w:ascii="Times New Roman" w:hAnsi="Times New Roman" w:cs="Times New Roman"/>
          <w:sz w:val="24"/>
          <w:szCs w:val="24"/>
          <w:lang w:val="en-GB"/>
        </w:rPr>
        <w:t xml:space="preserve">free access, </w:t>
      </w:r>
      <w:r w:rsidR="008B1B66" w:rsidRPr="00B41DB1">
        <w:rPr>
          <w:rFonts w:ascii="Times New Roman" w:hAnsi="Times New Roman" w:cs="Times New Roman"/>
          <w:sz w:val="24"/>
          <w:szCs w:val="24"/>
          <w:lang w:val="en-GB"/>
        </w:rPr>
        <w:t>but no guaranteed price</w:t>
      </w:r>
      <w:r w:rsidR="00975EDE" w:rsidRPr="00B41DB1">
        <w:rPr>
          <w:rFonts w:ascii="Times New Roman" w:hAnsi="Times New Roman" w:cs="Times New Roman"/>
          <w:sz w:val="24"/>
          <w:szCs w:val="24"/>
          <w:lang w:val="en-GB"/>
        </w:rPr>
        <w:t>. Mo</w:t>
      </w:r>
      <w:r w:rsidR="007C2D2D" w:rsidRPr="00B41DB1">
        <w:rPr>
          <w:rFonts w:ascii="Times New Roman" w:hAnsi="Times New Roman" w:cs="Times New Roman"/>
          <w:sz w:val="24"/>
          <w:szCs w:val="24"/>
          <w:lang w:val="en-GB"/>
        </w:rPr>
        <w:t>re changes are planned for 2017</w:t>
      </w:r>
      <w:r w:rsidR="00B70A2C" w:rsidRPr="00B41DB1">
        <w:rPr>
          <w:rFonts w:ascii="Times New Roman" w:hAnsi="Times New Roman" w:cs="Times New Roman"/>
          <w:sz w:val="24"/>
          <w:szCs w:val="24"/>
          <w:lang w:val="en-GB"/>
        </w:rPr>
        <w:t>,</w:t>
      </w:r>
      <w:r w:rsidR="00975EDE" w:rsidRPr="00B41DB1">
        <w:rPr>
          <w:rFonts w:ascii="Times New Roman" w:hAnsi="Times New Roman" w:cs="Times New Roman"/>
          <w:sz w:val="24"/>
          <w:szCs w:val="24"/>
          <w:lang w:val="en-GB"/>
        </w:rPr>
        <w:t xml:space="preserve"> which will end EU production quotas and fully liberalise the market. </w:t>
      </w:r>
      <w:r w:rsidR="00A30B81">
        <w:rPr>
          <w:rFonts w:ascii="Times New Roman" w:hAnsi="Times New Roman" w:cs="Times New Roman"/>
          <w:sz w:val="24"/>
          <w:szCs w:val="24"/>
          <w:lang w:val="en-GB"/>
        </w:rPr>
        <w:t>The impact of these</w:t>
      </w:r>
      <w:r w:rsidR="009E251A">
        <w:rPr>
          <w:rFonts w:ascii="Times New Roman" w:hAnsi="Times New Roman" w:cs="Times New Roman"/>
          <w:sz w:val="24"/>
          <w:szCs w:val="24"/>
          <w:lang w:val="en-GB"/>
        </w:rPr>
        <w:t xml:space="preserve"> change</w:t>
      </w:r>
      <w:r w:rsidR="00A30B81">
        <w:rPr>
          <w:rFonts w:ascii="Times New Roman" w:hAnsi="Times New Roman" w:cs="Times New Roman"/>
          <w:sz w:val="24"/>
          <w:szCs w:val="24"/>
          <w:lang w:val="en-GB"/>
        </w:rPr>
        <w:t>s</w:t>
      </w:r>
      <w:r w:rsidR="009E251A">
        <w:rPr>
          <w:rFonts w:ascii="Times New Roman" w:hAnsi="Times New Roman" w:cs="Times New Roman"/>
          <w:sz w:val="24"/>
          <w:szCs w:val="24"/>
          <w:lang w:val="en-GB"/>
        </w:rPr>
        <w:t xml:space="preserve"> </w:t>
      </w:r>
      <w:r w:rsidR="00A30B81">
        <w:rPr>
          <w:rFonts w:ascii="Times New Roman" w:hAnsi="Times New Roman" w:cs="Times New Roman"/>
          <w:sz w:val="24"/>
          <w:szCs w:val="24"/>
          <w:lang w:val="en-GB"/>
        </w:rPr>
        <w:t>is</w:t>
      </w:r>
      <w:r w:rsidR="009E251A">
        <w:rPr>
          <w:rFonts w:ascii="Times New Roman" w:hAnsi="Times New Roman" w:cs="Times New Roman"/>
          <w:sz w:val="24"/>
          <w:szCs w:val="24"/>
          <w:lang w:val="en-GB"/>
        </w:rPr>
        <w:t xml:space="preserve"> already being felt with recent sharp falls in the price of sugar in the EU (</w:t>
      </w:r>
      <w:r w:rsidR="009E72F6" w:rsidRPr="009E72F6">
        <w:rPr>
          <w:rFonts w:ascii="Times New Roman" w:hAnsi="Times New Roman" w:cs="Times New Roman"/>
          <w:i/>
          <w:sz w:val="24"/>
          <w:szCs w:val="24"/>
          <w:lang w:val="en-GB"/>
        </w:rPr>
        <w:t>The Daily Herald</w:t>
      </w:r>
      <w:r w:rsidR="009E251A">
        <w:rPr>
          <w:rFonts w:ascii="Times New Roman" w:hAnsi="Times New Roman" w:cs="Times New Roman"/>
          <w:sz w:val="24"/>
          <w:szCs w:val="24"/>
          <w:lang w:val="en-GB"/>
        </w:rPr>
        <w:t xml:space="preserve">, 2015). </w:t>
      </w:r>
      <w:r w:rsidR="006B6DC3" w:rsidRPr="00B41DB1">
        <w:rPr>
          <w:rFonts w:ascii="Times New Roman" w:hAnsi="Times New Roman" w:cs="Times New Roman"/>
          <w:sz w:val="24"/>
          <w:szCs w:val="24"/>
          <w:lang w:val="en-GB"/>
        </w:rPr>
        <w:t xml:space="preserve">One </w:t>
      </w:r>
      <w:r w:rsidR="008B1B66" w:rsidRPr="00B41DB1">
        <w:rPr>
          <w:rFonts w:ascii="Times New Roman" w:hAnsi="Times New Roman" w:cs="Times New Roman"/>
          <w:sz w:val="24"/>
          <w:szCs w:val="24"/>
          <w:lang w:val="en-GB"/>
        </w:rPr>
        <w:t>outcome</w:t>
      </w:r>
      <w:r w:rsidR="006B6DC3" w:rsidRPr="00B41DB1">
        <w:rPr>
          <w:rFonts w:ascii="Times New Roman" w:hAnsi="Times New Roman" w:cs="Times New Roman"/>
          <w:sz w:val="24"/>
          <w:szCs w:val="24"/>
          <w:lang w:val="en-GB"/>
        </w:rPr>
        <w:t xml:space="preserve"> </w:t>
      </w:r>
      <w:r w:rsidR="009E251A">
        <w:rPr>
          <w:rFonts w:ascii="Times New Roman" w:hAnsi="Times New Roman" w:cs="Times New Roman"/>
          <w:sz w:val="24"/>
          <w:szCs w:val="24"/>
          <w:lang w:val="en-GB"/>
        </w:rPr>
        <w:t>of</w:t>
      </w:r>
      <w:r w:rsidR="006B6DC3" w:rsidRPr="00B41DB1">
        <w:rPr>
          <w:rFonts w:ascii="Times New Roman" w:hAnsi="Times New Roman" w:cs="Times New Roman"/>
          <w:sz w:val="24"/>
          <w:szCs w:val="24"/>
          <w:lang w:val="en-GB"/>
        </w:rPr>
        <w:t xml:space="preserve"> falling </w:t>
      </w:r>
      <w:r w:rsidR="00082E7A" w:rsidRPr="00B41DB1">
        <w:rPr>
          <w:rFonts w:ascii="Times New Roman" w:hAnsi="Times New Roman" w:cs="Times New Roman"/>
          <w:sz w:val="24"/>
          <w:szCs w:val="24"/>
          <w:lang w:val="en-GB"/>
        </w:rPr>
        <w:t>prices and higher EU production</w:t>
      </w:r>
      <w:r w:rsidR="006B6DC3" w:rsidRPr="00B41DB1">
        <w:rPr>
          <w:rFonts w:ascii="Times New Roman" w:hAnsi="Times New Roman" w:cs="Times New Roman"/>
          <w:sz w:val="24"/>
          <w:szCs w:val="24"/>
          <w:lang w:val="en-GB"/>
        </w:rPr>
        <w:t xml:space="preserve"> </w:t>
      </w:r>
      <w:r w:rsidR="009E251A">
        <w:rPr>
          <w:rFonts w:ascii="Times New Roman" w:hAnsi="Times New Roman" w:cs="Times New Roman"/>
          <w:sz w:val="24"/>
          <w:szCs w:val="24"/>
          <w:lang w:val="en-GB"/>
        </w:rPr>
        <w:t>may well</w:t>
      </w:r>
      <w:r w:rsidR="00977428" w:rsidRPr="00B41DB1">
        <w:rPr>
          <w:rFonts w:ascii="Times New Roman" w:hAnsi="Times New Roman" w:cs="Times New Roman"/>
          <w:sz w:val="24"/>
          <w:szCs w:val="24"/>
          <w:lang w:val="en-GB"/>
        </w:rPr>
        <w:t xml:space="preserve"> be the end of </w:t>
      </w:r>
      <w:r w:rsidR="00975EDE" w:rsidRPr="00B41DB1">
        <w:rPr>
          <w:rFonts w:ascii="Times New Roman" w:hAnsi="Times New Roman" w:cs="Times New Roman"/>
          <w:sz w:val="24"/>
          <w:szCs w:val="24"/>
          <w:lang w:val="en-GB"/>
        </w:rPr>
        <w:t xml:space="preserve">most Caribbean sugar exports to the </w:t>
      </w:r>
      <w:r w:rsidR="008B1B66" w:rsidRPr="00B41DB1">
        <w:rPr>
          <w:rFonts w:ascii="Times New Roman" w:hAnsi="Times New Roman" w:cs="Times New Roman"/>
          <w:sz w:val="24"/>
          <w:szCs w:val="24"/>
          <w:lang w:val="en-GB"/>
        </w:rPr>
        <w:t>EU</w:t>
      </w:r>
      <w:r w:rsidR="007C2D2D" w:rsidRPr="00B41DB1">
        <w:rPr>
          <w:rFonts w:ascii="Times New Roman" w:hAnsi="Times New Roman" w:cs="Times New Roman"/>
          <w:sz w:val="24"/>
          <w:szCs w:val="24"/>
          <w:lang w:val="en-GB"/>
        </w:rPr>
        <w:t>, w</w:t>
      </w:r>
      <w:r w:rsidR="00975EDE" w:rsidRPr="00B41DB1">
        <w:rPr>
          <w:rFonts w:ascii="Times New Roman" w:hAnsi="Times New Roman" w:cs="Times New Roman"/>
          <w:sz w:val="24"/>
          <w:szCs w:val="24"/>
          <w:lang w:val="en-GB"/>
        </w:rPr>
        <w:t xml:space="preserve">ith perhaps only Belize retaining an interest. </w:t>
      </w:r>
      <w:r w:rsidR="005807B1" w:rsidRPr="00B41DB1">
        <w:rPr>
          <w:rFonts w:ascii="Times New Roman" w:hAnsi="Times New Roman" w:cs="Times New Roman"/>
          <w:sz w:val="24"/>
          <w:szCs w:val="24"/>
          <w:lang w:val="en-GB"/>
        </w:rPr>
        <w:t xml:space="preserve">In </w:t>
      </w:r>
      <w:r w:rsidR="00975EDE" w:rsidRPr="00B41DB1">
        <w:rPr>
          <w:rFonts w:ascii="Times New Roman" w:hAnsi="Times New Roman" w:cs="Times New Roman"/>
          <w:sz w:val="24"/>
          <w:szCs w:val="24"/>
          <w:lang w:val="en-GB"/>
        </w:rPr>
        <w:t>regard</w:t>
      </w:r>
      <w:r w:rsidR="005807B1" w:rsidRPr="00B41DB1">
        <w:rPr>
          <w:rFonts w:ascii="Times New Roman" w:hAnsi="Times New Roman" w:cs="Times New Roman"/>
          <w:sz w:val="24"/>
          <w:szCs w:val="24"/>
          <w:lang w:val="en-GB"/>
        </w:rPr>
        <w:t xml:space="preserve"> to the </w:t>
      </w:r>
      <w:r w:rsidR="009B457C" w:rsidRPr="00B41DB1">
        <w:rPr>
          <w:rFonts w:ascii="Times New Roman" w:hAnsi="Times New Roman" w:cs="Times New Roman"/>
          <w:sz w:val="24"/>
          <w:szCs w:val="24"/>
          <w:lang w:val="en-GB"/>
        </w:rPr>
        <w:t>rum protocol</w:t>
      </w:r>
      <w:r w:rsidR="000D2F47" w:rsidRPr="00B41DB1">
        <w:rPr>
          <w:rFonts w:ascii="Times New Roman" w:hAnsi="Times New Roman" w:cs="Times New Roman"/>
          <w:sz w:val="24"/>
          <w:szCs w:val="24"/>
          <w:lang w:val="en-GB"/>
        </w:rPr>
        <w:t>,</w:t>
      </w:r>
      <w:r w:rsidR="009B457C" w:rsidRPr="00B41DB1">
        <w:rPr>
          <w:rFonts w:ascii="Times New Roman" w:hAnsi="Times New Roman" w:cs="Times New Roman"/>
          <w:sz w:val="24"/>
          <w:szCs w:val="24"/>
          <w:lang w:val="en-GB"/>
        </w:rPr>
        <w:t xml:space="preserve"> </w:t>
      </w:r>
      <w:r w:rsidR="005807B1" w:rsidRPr="00B41DB1">
        <w:rPr>
          <w:rFonts w:ascii="Times New Roman" w:hAnsi="Times New Roman" w:cs="Times New Roman"/>
          <w:sz w:val="24"/>
          <w:szCs w:val="24"/>
          <w:lang w:val="en-GB"/>
        </w:rPr>
        <w:t xml:space="preserve">it </w:t>
      </w:r>
      <w:r w:rsidR="009B457C" w:rsidRPr="00B41DB1">
        <w:rPr>
          <w:rFonts w:ascii="Times New Roman" w:hAnsi="Times New Roman" w:cs="Times New Roman"/>
          <w:sz w:val="24"/>
          <w:szCs w:val="24"/>
          <w:lang w:val="en-GB"/>
        </w:rPr>
        <w:t xml:space="preserve">gave bulk rum exporters from the Caribbean duty-free access under quota to the EU market. However, </w:t>
      </w:r>
      <w:r w:rsidR="007C0457" w:rsidRPr="00B41DB1">
        <w:rPr>
          <w:rFonts w:ascii="Times New Roman" w:hAnsi="Times New Roman" w:cs="Times New Roman"/>
          <w:sz w:val="24"/>
          <w:szCs w:val="24"/>
          <w:lang w:val="en-GB"/>
        </w:rPr>
        <w:t>a deal between the EU and the US in the margins of the WTO Singapore Min</w:t>
      </w:r>
      <w:r w:rsidR="00AC1182" w:rsidRPr="00B41DB1">
        <w:rPr>
          <w:rFonts w:ascii="Times New Roman" w:hAnsi="Times New Roman" w:cs="Times New Roman"/>
          <w:sz w:val="24"/>
          <w:szCs w:val="24"/>
          <w:lang w:val="en-GB"/>
        </w:rPr>
        <w:t xml:space="preserve">isterial Meeting in March 1997 </w:t>
      </w:r>
      <w:r w:rsidR="009B457C" w:rsidRPr="00B41DB1">
        <w:rPr>
          <w:rFonts w:ascii="Times New Roman" w:hAnsi="Times New Roman" w:cs="Times New Roman"/>
          <w:sz w:val="24"/>
          <w:szCs w:val="24"/>
          <w:lang w:val="en-GB"/>
        </w:rPr>
        <w:t xml:space="preserve">liberalised MFN duties and quotas on </w:t>
      </w:r>
      <w:r w:rsidR="008F77FA" w:rsidRPr="00B41DB1">
        <w:rPr>
          <w:rFonts w:ascii="Times New Roman" w:hAnsi="Times New Roman" w:cs="Times New Roman"/>
          <w:sz w:val="24"/>
          <w:szCs w:val="24"/>
          <w:lang w:val="en-GB"/>
        </w:rPr>
        <w:t xml:space="preserve">some categories of bottled and bulk rum </w:t>
      </w:r>
      <w:r w:rsidR="00A433FC" w:rsidRPr="00B41DB1">
        <w:rPr>
          <w:rFonts w:ascii="Times New Roman" w:hAnsi="Times New Roman" w:cs="Times New Roman"/>
          <w:sz w:val="24"/>
          <w:szCs w:val="24"/>
          <w:lang w:val="en-GB"/>
        </w:rPr>
        <w:t xml:space="preserve">entering </w:t>
      </w:r>
      <w:r w:rsidR="008F77FA" w:rsidRPr="00B41DB1">
        <w:rPr>
          <w:rFonts w:ascii="Times New Roman" w:hAnsi="Times New Roman" w:cs="Times New Roman"/>
          <w:sz w:val="24"/>
          <w:szCs w:val="24"/>
          <w:lang w:val="en-GB"/>
        </w:rPr>
        <w:t>the</w:t>
      </w:r>
      <w:r w:rsidR="00AC1182" w:rsidRPr="00B41DB1">
        <w:rPr>
          <w:rFonts w:ascii="Times New Roman" w:hAnsi="Times New Roman" w:cs="Times New Roman"/>
          <w:sz w:val="24"/>
          <w:szCs w:val="24"/>
          <w:lang w:val="en-GB"/>
        </w:rPr>
        <w:t>ir respective</w:t>
      </w:r>
      <w:r w:rsidR="008F77FA" w:rsidRPr="00B41DB1">
        <w:rPr>
          <w:rFonts w:ascii="Times New Roman" w:hAnsi="Times New Roman" w:cs="Times New Roman"/>
          <w:sz w:val="24"/>
          <w:szCs w:val="24"/>
          <w:lang w:val="en-GB"/>
        </w:rPr>
        <w:t xml:space="preserve"> markets. </w:t>
      </w:r>
      <w:r w:rsidR="00FB5D4E" w:rsidRPr="00B41DB1">
        <w:rPr>
          <w:rFonts w:ascii="Times New Roman" w:hAnsi="Times New Roman" w:cs="Times New Roman"/>
          <w:sz w:val="24"/>
          <w:szCs w:val="24"/>
          <w:lang w:val="en-GB"/>
        </w:rPr>
        <w:t>As Dunlop argued</w:t>
      </w:r>
      <w:r w:rsidR="00B70A2C" w:rsidRPr="00B41DB1">
        <w:rPr>
          <w:rFonts w:ascii="Times New Roman" w:hAnsi="Times New Roman" w:cs="Times New Roman"/>
          <w:sz w:val="24"/>
          <w:szCs w:val="24"/>
          <w:lang w:val="en-GB"/>
        </w:rPr>
        <w:t>,</w:t>
      </w:r>
      <w:r w:rsidR="00FB5D4E" w:rsidRPr="00B41DB1">
        <w:rPr>
          <w:rFonts w:ascii="Times New Roman" w:hAnsi="Times New Roman" w:cs="Times New Roman"/>
          <w:sz w:val="24"/>
          <w:szCs w:val="24"/>
          <w:lang w:val="en-GB"/>
        </w:rPr>
        <w:t xml:space="preserve"> </w:t>
      </w:r>
      <w:r w:rsidR="00D226DD" w:rsidRPr="00B41DB1">
        <w:rPr>
          <w:rFonts w:ascii="Times New Roman" w:hAnsi="Times New Roman" w:cs="Times New Roman"/>
          <w:sz w:val="24"/>
          <w:szCs w:val="24"/>
          <w:lang w:val="en-GB"/>
        </w:rPr>
        <w:t>‘</w:t>
      </w:r>
      <w:r w:rsidR="00FB5D4E" w:rsidRPr="00B41DB1">
        <w:rPr>
          <w:rFonts w:ascii="Times New Roman" w:hAnsi="Times New Roman" w:cs="Times New Roman"/>
          <w:sz w:val="24"/>
          <w:szCs w:val="24"/>
          <w:lang w:val="en-GB"/>
        </w:rPr>
        <w:t xml:space="preserve">[t]his was negotiated without consulting ACP exporters of rum, whose competitive </w:t>
      </w:r>
      <w:r w:rsidR="00A433FC" w:rsidRPr="00B41DB1">
        <w:rPr>
          <w:rFonts w:ascii="Times New Roman" w:hAnsi="Times New Roman" w:cs="Times New Roman"/>
          <w:sz w:val="24"/>
          <w:szCs w:val="24"/>
          <w:lang w:val="en-GB"/>
        </w:rPr>
        <w:t>position</w:t>
      </w:r>
      <w:r w:rsidR="00FB5D4E" w:rsidRPr="00B41DB1">
        <w:rPr>
          <w:rFonts w:ascii="Times New Roman" w:hAnsi="Times New Roman" w:cs="Times New Roman"/>
          <w:sz w:val="24"/>
          <w:szCs w:val="24"/>
          <w:lang w:val="en-GB"/>
        </w:rPr>
        <w:t xml:space="preserve"> has been eroded as a result</w:t>
      </w:r>
      <w:r w:rsidR="00D226DD" w:rsidRPr="00B41DB1">
        <w:rPr>
          <w:rFonts w:ascii="Times New Roman" w:hAnsi="Times New Roman" w:cs="Times New Roman"/>
          <w:sz w:val="24"/>
          <w:szCs w:val="24"/>
          <w:lang w:val="en-GB"/>
        </w:rPr>
        <w:t>’</w:t>
      </w:r>
      <w:r w:rsidR="00FB5D4E" w:rsidRPr="00B41DB1">
        <w:rPr>
          <w:rFonts w:ascii="Times New Roman" w:hAnsi="Times New Roman" w:cs="Times New Roman"/>
          <w:sz w:val="24"/>
          <w:szCs w:val="24"/>
          <w:lang w:val="en-GB"/>
        </w:rPr>
        <w:t xml:space="preserve"> (1999, </w:t>
      </w:r>
      <w:r w:rsidR="008B1B66" w:rsidRPr="00B41DB1">
        <w:rPr>
          <w:rFonts w:ascii="Times New Roman" w:hAnsi="Times New Roman" w:cs="Times New Roman"/>
          <w:sz w:val="24"/>
          <w:szCs w:val="24"/>
          <w:lang w:val="en-GB"/>
        </w:rPr>
        <w:t xml:space="preserve">p. </w:t>
      </w:r>
      <w:r w:rsidR="00FB5D4E" w:rsidRPr="00B41DB1">
        <w:rPr>
          <w:rFonts w:ascii="Times New Roman" w:hAnsi="Times New Roman" w:cs="Times New Roman"/>
          <w:sz w:val="24"/>
          <w:szCs w:val="24"/>
          <w:lang w:val="en-GB"/>
        </w:rPr>
        <w:t>15).</w:t>
      </w:r>
      <w:r w:rsidR="00DE2572" w:rsidRPr="00B41DB1">
        <w:rPr>
          <w:rFonts w:ascii="Times New Roman" w:hAnsi="Times New Roman" w:cs="Times New Roman"/>
          <w:sz w:val="24"/>
          <w:szCs w:val="24"/>
          <w:lang w:val="en-GB"/>
        </w:rPr>
        <w:t xml:space="preserve"> </w:t>
      </w:r>
      <w:r w:rsidR="00CB217D" w:rsidRPr="00B41DB1">
        <w:rPr>
          <w:rFonts w:ascii="Times New Roman" w:hAnsi="Times New Roman" w:cs="Times New Roman"/>
          <w:sz w:val="24"/>
          <w:szCs w:val="24"/>
          <w:lang w:val="en-GB"/>
        </w:rPr>
        <w:t xml:space="preserve">This </w:t>
      </w:r>
      <w:r w:rsidR="00AC1182" w:rsidRPr="00B41DB1">
        <w:rPr>
          <w:rFonts w:ascii="Times New Roman" w:hAnsi="Times New Roman" w:cs="Times New Roman"/>
          <w:sz w:val="24"/>
          <w:szCs w:val="24"/>
          <w:lang w:val="en-GB"/>
        </w:rPr>
        <w:t xml:space="preserve">in turn caused </w:t>
      </w:r>
      <w:r w:rsidR="00DE2572" w:rsidRPr="00B41DB1">
        <w:rPr>
          <w:rFonts w:ascii="Times New Roman" w:hAnsi="Times New Roman" w:cs="Times New Roman"/>
          <w:sz w:val="24"/>
          <w:szCs w:val="24"/>
          <w:lang w:val="en-GB"/>
        </w:rPr>
        <w:t xml:space="preserve">Caribbean producers </w:t>
      </w:r>
      <w:r w:rsidR="00CB217D" w:rsidRPr="00B41DB1">
        <w:rPr>
          <w:rFonts w:ascii="Times New Roman" w:hAnsi="Times New Roman" w:cs="Times New Roman"/>
          <w:sz w:val="24"/>
          <w:szCs w:val="24"/>
          <w:lang w:val="en-GB"/>
        </w:rPr>
        <w:t>to experience</w:t>
      </w:r>
      <w:r w:rsidR="00DE2572" w:rsidRPr="00B41DB1">
        <w:rPr>
          <w:rFonts w:ascii="Times New Roman" w:hAnsi="Times New Roman" w:cs="Times New Roman"/>
          <w:sz w:val="24"/>
          <w:szCs w:val="24"/>
          <w:lang w:val="en-GB"/>
        </w:rPr>
        <w:t xml:space="preserve"> a </w:t>
      </w:r>
      <w:r w:rsidR="003A109B" w:rsidRPr="00B41DB1">
        <w:rPr>
          <w:rFonts w:ascii="Times New Roman" w:hAnsi="Times New Roman" w:cs="Times New Roman"/>
          <w:sz w:val="24"/>
          <w:szCs w:val="24"/>
          <w:lang w:val="en-GB"/>
        </w:rPr>
        <w:t>large</w:t>
      </w:r>
      <w:r w:rsidR="00E7704C" w:rsidRPr="00B41DB1">
        <w:rPr>
          <w:rFonts w:ascii="Times New Roman" w:hAnsi="Times New Roman" w:cs="Times New Roman"/>
          <w:sz w:val="24"/>
          <w:szCs w:val="24"/>
          <w:lang w:val="en-GB"/>
        </w:rPr>
        <w:t xml:space="preserve"> </w:t>
      </w:r>
      <w:r w:rsidR="00DE2572" w:rsidRPr="00B41DB1">
        <w:rPr>
          <w:rFonts w:ascii="Times New Roman" w:hAnsi="Times New Roman" w:cs="Times New Roman"/>
          <w:sz w:val="24"/>
          <w:szCs w:val="24"/>
          <w:lang w:val="en-GB"/>
        </w:rPr>
        <w:t>reduction in exports to the EU (Cantore et al</w:t>
      </w:r>
      <w:r w:rsidR="000D2F47" w:rsidRPr="00B41DB1">
        <w:rPr>
          <w:rFonts w:ascii="Times New Roman" w:hAnsi="Times New Roman" w:cs="Times New Roman"/>
          <w:sz w:val="24"/>
          <w:szCs w:val="24"/>
          <w:lang w:val="en-GB"/>
        </w:rPr>
        <w:t>.</w:t>
      </w:r>
      <w:r w:rsidR="00DE2572" w:rsidRPr="00B41DB1">
        <w:rPr>
          <w:rFonts w:ascii="Times New Roman" w:hAnsi="Times New Roman" w:cs="Times New Roman"/>
          <w:sz w:val="24"/>
          <w:szCs w:val="24"/>
          <w:lang w:val="en-GB"/>
        </w:rPr>
        <w:t>, 2012).</w:t>
      </w:r>
    </w:p>
    <w:p w14:paraId="65B54107" w14:textId="77777777" w:rsidR="0081178B" w:rsidRPr="00B41DB1" w:rsidRDefault="0081178B" w:rsidP="000D2F47">
      <w:pPr>
        <w:spacing w:after="0" w:line="480" w:lineRule="auto"/>
        <w:rPr>
          <w:rFonts w:ascii="Times New Roman" w:hAnsi="Times New Roman" w:cs="Times New Roman"/>
          <w:sz w:val="24"/>
          <w:szCs w:val="24"/>
          <w:lang w:val="en-GB"/>
        </w:rPr>
      </w:pPr>
    </w:p>
    <w:p w14:paraId="758C8ADF" w14:textId="77777777" w:rsidR="0081178B" w:rsidRPr="00B41DB1" w:rsidRDefault="0081178B"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The margin of preference slips further</w:t>
      </w:r>
    </w:p>
    <w:p w14:paraId="2BB88B58" w14:textId="77777777" w:rsidR="00F216E6" w:rsidRPr="00B41DB1" w:rsidRDefault="00CD3E95"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The preference levels for the Caribbean’</w:t>
      </w:r>
      <w:r w:rsidR="006B3289" w:rsidRPr="00B41DB1">
        <w:rPr>
          <w:rFonts w:ascii="Times New Roman" w:hAnsi="Times New Roman" w:cs="Times New Roman"/>
          <w:sz w:val="24"/>
          <w:szCs w:val="24"/>
          <w:lang w:val="en-GB"/>
        </w:rPr>
        <w:t>s</w:t>
      </w:r>
      <w:r w:rsidRPr="00B41DB1">
        <w:rPr>
          <w:rFonts w:ascii="Times New Roman" w:hAnsi="Times New Roman" w:cs="Times New Roman"/>
          <w:sz w:val="24"/>
          <w:szCs w:val="24"/>
          <w:lang w:val="en-GB"/>
        </w:rPr>
        <w:t xml:space="preserve"> key commodities have been further eroded in recent years by </w:t>
      </w:r>
      <w:r w:rsidR="00513035" w:rsidRPr="00B41DB1">
        <w:rPr>
          <w:rFonts w:ascii="Times New Roman" w:hAnsi="Times New Roman" w:cs="Times New Roman"/>
          <w:sz w:val="24"/>
          <w:szCs w:val="24"/>
          <w:lang w:val="en-GB"/>
        </w:rPr>
        <w:t>a</w:t>
      </w:r>
      <w:r w:rsidRPr="00B41DB1">
        <w:rPr>
          <w:rFonts w:ascii="Times New Roman" w:hAnsi="Times New Roman" w:cs="Times New Roman"/>
          <w:sz w:val="24"/>
          <w:szCs w:val="24"/>
          <w:lang w:val="en-GB"/>
        </w:rPr>
        <w:t xml:space="preserve"> growing number of free trade agreements (FTAs) signed by the EU. Woolcock (2007) </w:t>
      </w:r>
      <w:r w:rsidR="00F216E6" w:rsidRPr="00B41DB1">
        <w:rPr>
          <w:rFonts w:ascii="Times New Roman" w:hAnsi="Times New Roman" w:cs="Times New Roman"/>
          <w:sz w:val="24"/>
          <w:szCs w:val="24"/>
          <w:lang w:val="en-GB"/>
        </w:rPr>
        <w:t>argues</w:t>
      </w:r>
      <w:r w:rsidRPr="00B41DB1">
        <w:rPr>
          <w:rFonts w:ascii="Times New Roman" w:hAnsi="Times New Roman" w:cs="Times New Roman"/>
          <w:sz w:val="24"/>
          <w:szCs w:val="24"/>
          <w:lang w:val="en-GB"/>
        </w:rPr>
        <w:t xml:space="preserve"> that </w:t>
      </w:r>
      <w:r w:rsidR="00513035" w:rsidRPr="00B41DB1">
        <w:rPr>
          <w:rFonts w:ascii="Times New Roman" w:hAnsi="Times New Roman" w:cs="Times New Roman"/>
          <w:sz w:val="24"/>
          <w:szCs w:val="24"/>
          <w:lang w:val="en-GB"/>
        </w:rPr>
        <w:t xml:space="preserve">FTAs </w:t>
      </w:r>
      <w:r w:rsidR="009E0BF7" w:rsidRPr="00B41DB1">
        <w:rPr>
          <w:rFonts w:ascii="Times New Roman" w:hAnsi="Times New Roman" w:cs="Times New Roman"/>
          <w:sz w:val="24"/>
          <w:szCs w:val="24"/>
          <w:lang w:val="en-GB"/>
        </w:rPr>
        <w:t xml:space="preserve">have been pushed because of </w:t>
      </w:r>
      <w:r w:rsidRPr="00B41DB1">
        <w:rPr>
          <w:rFonts w:ascii="Times New Roman" w:hAnsi="Times New Roman" w:cs="Times New Roman"/>
          <w:sz w:val="24"/>
          <w:szCs w:val="24"/>
          <w:lang w:val="en-GB"/>
        </w:rPr>
        <w:t xml:space="preserve">difficulties in </w:t>
      </w:r>
      <w:r w:rsidR="000238B4" w:rsidRPr="00B41DB1">
        <w:rPr>
          <w:rFonts w:ascii="Times New Roman" w:hAnsi="Times New Roman" w:cs="Times New Roman"/>
          <w:sz w:val="24"/>
          <w:szCs w:val="24"/>
          <w:lang w:val="en-GB"/>
        </w:rPr>
        <w:t>multilateral trade negotiations,</w:t>
      </w:r>
      <w:r w:rsidR="009E0BF7" w:rsidRPr="00B41DB1">
        <w:rPr>
          <w:rFonts w:ascii="Times New Roman" w:hAnsi="Times New Roman" w:cs="Times New Roman"/>
          <w:sz w:val="24"/>
          <w:szCs w:val="24"/>
          <w:lang w:val="en-GB"/>
        </w:rPr>
        <w:t xml:space="preserve"> in response to US trade policy,</w:t>
      </w:r>
      <w:r w:rsidRPr="00B41DB1">
        <w:rPr>
          <w:rFonts w:ascii="Times New Roman" w:hAnsi="Times New Roman" w:cs="Times New Roman"/>
          <w:sz w:val="24"/>
          <w:szCs w:val="24"/>
          <w:lang w:val="en-GB"/>
        </w:rPr>
        <w:t xml:space="preserve"> and </w:t>
      </w:r>
      <w:r w:rsidR="009E0BF7" w:rsidRPr="00B41DB1">
        <w:rPr>
          <w:rFonts w:ascii="Times New Roman" w:hAnsi="Times New Roman" w:cs="Times New Roman"/>
          <w:sz w:val="24"/>
          <w:szCs w:val="24"/>
          <w:lang w:val="en-GB"/>
        </w:rPr>
        <w:t xml:space="preserve">due to </w:t>
      </w:r>
      <w:r w:rsidRPr="00B41DB1">
        <w:rPr>
          <w:rFonts w:ascii="Times New Roman" w:hAnsi="Times New Roman" w:cs="Times New Roman"/>
          <w:sz w:val="24"/>
          <w:szCs w:val="24"/>
          <w:lang w:val="en-GB"/>
        </w:rPr>
        <w:t xml:space="preserve">a change </w:t>
      </w:r>
      <w:r w:rsidR="009E0BF7" w:rsidRPr="00B41DB1">
        <w:rPr>
          <w:rFonts w:ascii="Times New Roman" w:hAnsi="Times New Roman" w:cs="Times New Roman"/>
          <w:sz w:val="24"/>
          <w:szCs w:val="24"/>
          <w:lang w:val="en-GB"/>
        </w:rPr>
        <w:t xml:space="preserve">of </w:t>
      </w:r>
      <w:r w:rsidR="009E0BF7" w:rsidRPr="00B41DB1">
        <w:rPr>
          <w:rFonts w:ascii="Times New Roman" w:hAnsi="Times New Roman" w:cs="Times New Roman"/>
          <w:sz w:val="24"/>
          <w:szCs w:val="24"/>
          <w:lang w:val="en-GB"/>
        </w:rPr>
        <w:lastRenderedPageBreak/>
        <w:t xml:space="preserve">approach </w:t>
      </w:r>
      <w:r w:rsidRPr="00B41DB1">
        <w:rPr>
          <w:rFonts w:ascii="Times New Roman" w:hAnsi="Times New Roman" w:cs="Times New Roman"/>
          <w:sz w:val="24"/>
          <w:szCs w:val="24"/>
          <w:lang w:val="en-GB"/>
        </w:rPr>
        <w:t>in the European Commission’s Directorate General (DG) Trade.</w:t>
      </w:r>
      <w:r w:rsidR="008F05C9" w:rsidRPr="00B41DB1">
        <w:rPr>
          <w:rFonts w:ascii="Times New Roman" w:hAnsi="Times New Roman" w:cs="Times New Roman"/>
          <w:sz w:val="24"/>
          <w:szCs w:val="24"/>
          <w:lang w:val="en-GB"/>
        </w:rPr>
        <w:t xml:space="preserve"> </w:t>
      </w:r>
      <w:r w:rsidR="009E0BF7" w:rsidRPr="00B41DB1">
        <w:rPr>
          <w:rFonts w:ascii="Times New Roman" w:hAnsi="Times New Roman" w:cs="Times New Roman"/>
          <w:sz w:val="24"/>
          <w:szCs w:val="24"/>
          <w:lang w:val="en-GB"/>
        </w:rPr>
        <w:t>So</w:t>
      </w:r>
      <w:r w:rsidR="008F05C9" w:rsidRPr="00B41DB1">
        <w:rPr>
          <w:rFonts w:ascii="Times New Roman" w:hAnsi="Times New Roman" w:cs="Times New Roman"/>
          <w:sz w:val="24"/>
          <w:szCs w:val="24"/>
          <w:lang w:val="en-GB"/>
        </w:rPr>
        <w:t xml:space="preserve"> the EU has signed FTAs with Colombia, Costa Rica, </w:t>
      </w:r>
      <w:r w:rsidR="001673E7" w:rsidRPr="00B41DB1">
        <w:rPr>
          <w:rFonts w:ascii="Times New Roman" w:hAnsi="Times New Roman" w:cs="Times New Roman"/>
          <w:sz w:val="24"/>
          <w:szCs w:val="24"/>
          <w:lang w:val="en-GB"/>
        </w:rPr>
        <w:t>Mexico, South Africa</w:t>
      </w:r>
      <w:r w:rsidR="000238B4" w:rsidRPr="00B41DB1">
        <w:rPr>
          <w:rFonts w:ascii="Times New Roman" w:hAnsi="Times New Roman" w:cs="Times New Roman"/>
          <w:sz w:val="24"/>
          <w:szCs w:val="24"/>
          <w:lang w:val="en-GB"/>
        </w:rPr>
        <w:t>,</w:t>
      </w:r>
      <w:r w:rsidR="001673E7" w:rsidRPr="00B41DB1">
        <w:rPr>
          <w:rFonts w:ascii="Times New Roman" w:hAnsi="Times New Roman" w:cs="Times New Roman"/>
          <w:sz w:val="24"/>
          <w:szCs w:val="24"/>
          <w:lang w:val="en-GB"/>
        </w:rPr>
        <w:t xml:space="preserve"> and the Central American Common Market (ratification pending). </w:t>
      </w:r>
      <w:r w:rsidR="000238B4" w:rsidRPr="00B41DB1">
        <w:rPr>
          <w:rFonts w:ascii="Times New Roman" w:hAnsi="Times New Roman" w:cs="Times New Roman"/>
          <w:sz w:val="24"/>
          <w:szCs w:val="24"/>
          <w:lang w:val="en-GB"/>
        </w:rPr>
        <w:t>Further</w:t>
      </w:r>
      <w:r w:rsidR="001673E7" w:rsidRPr="00B41DB1">
        <w:rPr>
          <w:rFonts w:ascii="Times New Roman" w:hAnsi="Times New Roman" w:cs="Times New Roman"/>
          <w:sz w:val="24"/>
          <w:szCs w:val="24"/>
          <w:lang w:val="en-GB"/>
        </w:rPr>
        <w:t xml:space="preserve">, the EU is negotiating </w:t>
      </w:r>
      <w:r w:rsidR="000238B4" w:rsidRPr="00B41DB1">
        <w:rPr>
          <w:rFonts w:ascii="Times New Roman" w:hAnsi="Times New Roman" w:cs="Times New Roman"/>
          <w:sz w:val="24"/>
          <w:szCs w:val="24"/>
          <w:lang w:val="en-GB"/>
        </w:rPr>
        <w:t xml:space="preserve">FTAs </w:t>
      </w:r>
      <w:r w:rsidR="001673E7" w:rsidRPr="00B41DB1">
        <w:rPr>
          <w:rFonts w:ascii="Times New Roman" w:hAnsi="Times New Roman" w:cs="Times New Roman"/>
          <w:sz w:val="24"/>
          <w:szCs w:val="24"/>
          <w:lang w:val="en-GB"/>
        </w:rPr>
        <w:t>with MERCOSUR (Argentina, Brazil, Paraguay and Uruguay) and India.</w:t>
      </w:r>
    </w:p>
    <w:p w14:paraId="61C66C09" w14:textId="42513F29" w:rsidR="008574DA" w:rsidRPr="00B41DB1" w:rsidRDefault="00695BF6"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Several studies have been undertaken to assess the impact of the FTAs on </w:t>
      </w:r>
      <w:r w:rsidR="00F14D17" w:rsidRPr="00B41DB1">
        <w:rPr>
          <w:rFonts w:ascii="Times New Roman" w:hAnsi="Times New Roman" w:cs="Times New Roman"/>
          <w:sz w:val="24"/>
          <w:szCs w:val="24"/>
          <w:lang w:val="en-GB"/>
        </w:rPr>
        <w:t>Caribbean</w:t>
      </w:r>
      <w:r w:rsidRPr="00B41DB1">
        <w:rPr>
          <w:rFonts w:ascii="Times New Roman" w:hAnsi="Times New Roman" w:cs="Times New Roman"/>
          <w:sz w:val="24"/>
          <w:szCs w:val="24"/>
          <w:lang w:val="en-GB"/>
        </w:rPr>
        <w:t xml:space="preserve"> </w:t>
      </w:r>
      <w:r w:rsidR="00F14D17" w:rsidRPr="00B41DB1">
        <w:rPr>
          <w:rFonts w:ascii="Times New Roman" w:hAnsi="Times New Roman" w:cs="Times New Roman"/>
          <w:sz w:val="24"/>
          <w:szCs w:val="24"/>
          <w:lang w:val="en-GB"/>
        </w:rPr>
        <w:t>exports</w:t>
      </w:r>
      <w:r w:rsidRPr="00B41DB1">
        <w:rPr>
          <w:rFonts w:ascii="Times New Roman" w:hAnsi="Times New Roman" w:cs="Times New Roman"/>
          <w:sz w:val="24"/>
          <w:szCs w:val="24"/>
          <w:lang w:val="en-GB"/>
        </w:rPr>
        <w:t xml:space="preserve">. </w:t>
      </w:r>
      <w:r w:rsidR="002C7438" w:rsidRPr="00B41DB1">
        <w:rPr>
          <w:rFonts w:ascii="Times New Roman" w:hAnsi="Times New Roman" w:cs="Times New Roman"/>
          <w:sz w:val="24"/>
          <w:szCs w:val="24"/>
          <w:lang w:val="en-GB"/>
        </w:rPr>
        <w:t xml:space="preserve">Anania (2010) </w:t>
      </w:r>
      <w:r w:rsidR="00F14D17" w:rsidRPr="00B41DB1">
        <w:rPr>
          <w:rFonts w:ascii="Times New Roman" w:hAnsi="Times New Roman" w:cs="Times New Roman"/>
          <w:sz w:val="24"/>
          <w:szCs w:val="24"/>
          <w:lang w:val="en-GB"/>
        </w:rPr>
        <w:t>looked at</w:t>
      </w:r>
      <w:r w:rsidR="002C7438" w:rsidRPr="00B41DB1">
        <w:rPr>
          <w:rFonts w:ascii="Times New Roman" w:hAnsi="Times New Roman" w:cs="Times New Roman"/>
          <w:sz w:val="24"/>
          <w:szCs w:val="24"/>
          <w:lang w:val="en-GB"/>
        </w:rPr>
        <w:t xml:space="preserve"> the implications for bananas of the FTAs between the EU and Andean and Central Ame</w:t>
      </w:r>
      <w:r w:rsidR="00F14D17" w:rsidRPr="00B41DB1">
        <w:rPr>
          <w:rFonts w:ascii="Times New Roman" w:hAnsi="Times New Roman" w:cs="Times New Roman"/>
          <w:sz w:val="24"/>
          <w:szCs w:val="24"/>
          <w:lang w:val="en-GB"/>
        </w:rPr>
        <w:t>rican countries. Anania observed</w:t>
      </w:r>
      <w:r w:rsidR="002C7438" w:rsidRPr="00B41DB1">
        <w:rPr>
          <w:rFonts w:ascii="Times New Roman" w:hAnsi="Times New Roman" w:cs="Times New Roman"/>
          <w:sz w:val="24"/>
          <w:szCs w:val="24"/>
          <w:lang w:val="en-GB"/>
        </w:rPr>
        <w:t xml:space="preserve"> that </w:t>
      </w:r>
      <w:r w:rsidR="00D226DD" w:rsidRPr="00B41DB1">
        <w:rPr>
          <w:rFonts w:ascii="Times New Roman" w:hAnsi="Times New Roman" w:cs="Times New Roman"/>
          <w:sz w:val="24"/>
          <w:szCs w:val="24"/>
          <w:lang w:val="en-GB"/>
        </w:rPr>
        <w:t>‘</w:t>
      </w:r>
      <w:r w:rsidR="002C7438" w:rsidRPr="00B41DB1">
        <w:rPr>
          <w:rFonts w:ascii="Times New Roman" w:hAnsi="Times New Roman" w:cs="Times New Roman"/>
          <w:sz w:val="24"/>
          <w:szCs w:val="24"/>
          <w:lang w:val="en-GB"/>
        </w:rPr>
        <w:t>the EU has agreed to progressively reduce its import tariff on bananas origina</w:t>
      </w:r>
      <w:r w:rsidR="00F14D17" w:rsidRPr="00B41DB1">
        <w:rPr>
          <w:rFonts w:ascii="Times New Roman" w:hAnsi="Times New Roman" w:cs="Times New Roman"/>
          <w:sz w:val="24"/>
          <w:szCs w:val="24"/>
          <w:lang w:val="en-GB"/>
        </w:rPr>
        <w:t>ting in these countries to 75 €/</w:t>
      </w:r>
      <w:r w:rsidR="002C7438" w:rsidRPr="00B41DB1">
        <w:rPr>
          <w:rFonts w:ascii="Times New Roman" w:hAnsi="Times New Roman" w:cs="Times New Roman"/>
          <w:sz w:val="24"/>
          <w:szCs w:val="24"/>
          <w:lang w:val="en-GB"/>
        </w:rPr>
        <w:t>t</w:t>
      </w:r>
      <w:r w:rsidR="00D226DD" w:rsidRPr="00B41DB1">
        <w:rPr>
          <w:rFonts w:ascii="Times New Roman" w:hAnsi="Times New Roman" w:cs="Times New Roman"/>
          <w:sz w:val="24"/>
          <w:szCs w:val="24"/>
          <w:lang w:val="en-GB"/>
        </w:rPr>
        <w:t>’</w:t>
      </w:r>
      <w:r w:rsidR="002C7438" w:rsidRPr="00B41DB1">
        <w:rPr>
          <w:rFonts w:ascii="Times New Roman" w:hAnsi="Times New Roman" w:cs="Times New Roman"/>
          <w:sz w:val="24"/>
          <w:szCs w:val="24"/>
          <w:lang w:val="en-GB"/>
        </w:rPr>
        <w:t xml:space="preserve"> (2010, </w:t>
      </w:r>
      <w:r w:rsidR="00846353" w:rsidRPr="00B41DB1">
        <w:rPr>
          <w:rFonts w:ascii="Times New Roman" w:hAnsi="Times New Roman" w:cs="Times New Roman"/>
          <w:sz w:val="24"/>
          <w:szCs w:val="24"/>
          <w:lang w:val="en-GB"/>
        </w:rPr>
        <w:t xml:space="preserve">p. </w:t>
      </w:r>
      <w:r w:rsidR="002C7438" w:rsidRPr="00B41DB1">
        <w:rPr>
          <w:rFonts w:ascii="Times New Roman" w:hAnsi="Times New Roman" w:cs="Times New Roman"/>
          <w:sz w:val="24"/>
          <w:szCs w:val="24"/>
          <w:lang w:val="en-GB"/>
        </w:rPr>
        <w:t xml:space="preserve">1). </w:t>
      </w:r>
      <w:r w:rsidR="00393840" w:rsidRPr="00B41DB1">
        <w:rPr>
          <w:rFonts w:ascii="Times New Roman" w:hAnsi="Times New Roman" w:cs="Times New Roman"/>
          <w:sz w:val="24"/>
          <w:szCs w:val="24"/>
          <w:lang w:val="en-GB"/>
        </w:rPr>
        <w:t xml:space="preserve">This is below the 176 €/t at the time of the 2009 deal to end the WTO dispute, and the 114 €/t amount planned for 2019. As Aiyaz Sayed, Fiji’s Minister of Industry and Trade said, </w:t>
      </w:r>
      <w:r w:rsidR="00D226DD" w:rsidRPr="00B41DB1">
        <w:rPr>
          <w:rFonts w:ascii="Times New Roman" w:hAnsi="Times New Roman" w:cs="Times New Roman"/>
          <w:sz w:val="24"/>
          <w:szCs w:val="24"/>
          <w:lang w:val="en-GB"/>
        </w:rPr>
        <w:t>‘</w:t>
      </w:r>
      <w:r w:rsidR="00393840" w:rsidRPr="00B41DB1">
        <w:rPr>
          <w:rFonts w:ascii="Times New Roman" w:hAnsi="Times New Roman" w:cs="Times New Roman"/>
          <w:sz w:val="24"/>
          <w:szCs w:val="24"/>
          <w:lang w:val="en-GB"/>
        </w:rPr>
        <w:t>[i]t is worth noting that these new concessions jeopardise the balance sought in the Geneva Agreement on Trade in Bananas, and completely nullifies some of the benefits that ACP countries could have gained from the EPAs</w:t>
      </w:r>
      <w:r w:rsidR="00D226DD" w:rsidRPr="00B41DB1">
        <w:rPr>
          <w:rFonts w:ascii="Times New Roman" w:hAnsi="Times New Roman" w:cs="Times New Roman"/>
          <w:sz w:val="24"/>
          <w:szCs w:val="24"/>
          <w:lang w:val="en-GB"/>
        </w:rPr>
        <w:t>’</w:t>
      </w:r>
      <w:r w:rsidR="00393840" w:rsidRPr="00B41DB1">
        <w:rPr>
          <w:rFonts w:ascii="Times New Roman" w:hAnsi="Times New Roman" w:cs="Times New Roman"/>
          <w:sz w:val="24"/>
          <w:szCs w:val="24"/>
          <w:lang w:val="en-GB"/>
        </w:rPr>
        <w:t xml:space="preserve"> (ACP Press, 2012). </w:t>
      </w:r>
      <w:r w:rsidR="00E5280A" w:rsidRPr="00B41DB1">
        <w:rPr>
          <w:rFonts w:ascii="Times New Roman" w:hAnsi="Times New Roman" w:cs="Times New Roman"/>
          <w:sz w:val="24"/>
          <w:szCs w:val="24"/>
          <w:lang w:val="en-GB"/>
        </w:rPr>
        <w:t>In relation to rum, Cantore et al</w:t>
      </w:r>
      <w:r w:rsidR="000D2F47" w:rsidRPr="00B41DB1">
        <w:rPr>
          <w:rFonts w:ascii="Times New Roman" w:hAnsi="Times New Roman" w:cs="Times New Roman"/>
          <w:sz w:val="24"/>
          <w:szCs w:val="24"/>
          <w:lang w:val="en-GB"/>
        </w:rPr>
        <w:t>.</w:t>
      </w:r>
      <w:r w:rsidR="00E5280A" w:rsidRPr="00B41DB1">
        <w:rPr>
          <w:rFonts w:ascii="Times New Roman" w:hAnsi="Times New Roman" w:cs="Times New Roman"/>
          <w:sz w:val="24"/>
          <w:szCs w:val="24"/>
          <w:lang w:val="en-GB"/>
        </w:rPr>
        <w:t xml:space="preserve"> (2012) suggest</w:t>
      </w:r>
      <w:r w:rsidR="00F14D17" w:rsidRPr="00B41DB1">
        <w:rPr>
          <w:rFonts w:ascii="Times New Roman" w:hAnsi="Times New Roman" w:cs="Times New Roman"/>
          <w:sz w:val="24"/>
          <w:szCs w:val="24"/>
          <w:lang w:val="en-GB"/>
        </w:rPr>
        <w:t>ed</w:t>
      </w:r>
      <w:r w:rsidR="00E5280A" w:rsidRPr="00B41DB1">
        <w:rPr>
          <w:rFonts w:ascii="Times New Roman" w:hAnsi="Times New Roman" w:cs="Times New Roman"/>
          <w:sz w:val="24"/>
          <w:szCs w:val="24"/>
          <w:lang w:val="en-GB"/>
        </w:rPr>
        <w:t xml:space="preserve"> that </w:t>
      </w:r>
      <w:r w:rsidR="00D226DD" w:rsidRPr="00B41DB1">
        <w:rPr>
          <w:rFonts w:ascii="Times New Roman" w:hAnsi="Times New Roman" w:cs="Times New Roman"/>
          <w:sz w:val="24"/>
          <w:szCs w:val="24"/>
          <w:lang w:val="en-GB"/>
        </w:rPr>
        <w:t>‘</w:t>
      </w:r>
      <w:r w:rsidR="00B70A2C" w:rsidRPr="00B41DB1">
        <w:rPr>
          <w:rFonts w:ascii="Times New Roman" w:hAnsi="Times New Roman" w:cs="Times New Roman"/>
          <w:sz w:val="24"/>
          <w:szCs w:val="24"/>
          <w:lang w:val="en-GB"/>
        </w:rPr>
        <w:t xml:space="preserve">[…] </w:t>
      </w:r>
      <w:r w:rsidR="00E5280A" w:rsidRPr="00B41DB1">
        <w:rPr>
          <w:rFonts w:ascii="Times New Roman" w:hAnsi="Times New Roman" w:cs="Times New Roman"/>
          <w:sz w:val="24"/>
          <w:szCs w:val="24"/>
          <w:lang w:val="en-GB"/>
        </w:rPr>
        <w:t>a number of planned or concluded FTAs between the EU and third countries threaten to erode [existing] preferences</w:t>
      </w:r>
      <w:r w:rsidR="00D226DD" w:rsidRPr="00B41DB1">
        <w:rPr>
          <w:rFonts w:ascii="Times New Roman" w:hAnsi="Times New Roman" w:cs="Times New Roman"/>
          <w:sz w:val="24"/>
          <w:szCs w:val="24"/>
          <w:lang w:val="en-GB"/>
        </w:rPr>
        <w:t>’</w:t>
      </w:r>
      <w:r w:rsidR="00E5280A" w:rsidRPr="00B41DB1">
        <w:rPr>
          <w:rFonts w:ascii="Times New Roman" w:hAnsi="Times New Roman" w:cs="Times New Roman"/>
          <w:sz w:val="24"/>
          <w:szCs w:val="24"/>
          <w:lang w:val="en-GB"/>
        </w:rPr>
        <w:t xml:space="preserve"> (</w:t>
      </w:r>
      <w:r w:rsidR="00846353" w:rsidRPr="00B41DB1">
        <w:rPr>
          <w:rFonts w:ascii="Times New Roman" w:hAnsi="Times New Roman" w:cs="Times New Roman"/>
          <w:sz w:val="24"/>
          <w:szCs w:val="24"/>
          <w:lang w:val="en-GB"/>
        </w:rPr>
        <w:t xml:space="preserve">p. </w:t>
      </w:r>
      <w:r w:rsidR="00E5280A" w:rsidRPr="00B41DB1">
        <w:rPr>
          <w:rFonts w:ascii="Times New Roman" w:hAnsi="Times New Roman" w:cs="Times New Roman"/>
          <w:sz w:val="24"/>
          <w:szCs w:val="24"/>
          <w:lang w:val="en-GB"/>
        </w:rPr>
        <w:t>vii). The authors contend</w:t>
      </w:r>
      <w:r w:rsidR="00F14D17" w:rsidRPr="00B41DB1">
        <w:rPr>
          <w:rFonts w:ascii="Times New Roman" w:hAnsi="Times New Roman" w:cs="Times New Roman"/>
          <w:sz w:val="24"/>
          <w:szCs w:val="24"/>
          <w:lang w:val="en-GB"/>
        </w:rPr>
        <w:t>ed</w:t>
      </w:r>
      <w:r w:rsidR="00E5280A" w:rsidRPr="00B41DB1">
        <w:rPr>
          <w:rFonts w:ascii="Times New Roman" w:hAnsi="Times New Roman" w:cs="Times New Roman"/>
          <w:sz w:val="24"/>
          <w:szCs w:val="24"/>
          <w:lang w:val="en-GB"/>
        </w:rPr>
        <w:t xml:space="preserve"> that if the EU agrees FTAs with Central America, Peru, Colombia and MERCOSUR, Caribbean rum </w:t>
      </w:r>
      <w:r w:rsidR="00A13084" w:rsidRPr="00B41DB1">
        <w:rPr>
          <w:rFonts w:ascii="Times New Roman" w:hAnsi="Times New Roman" w:cs="Times New Roman"/>
          <w:sz w:val="24"/>
          <w:szCs w:val="24"/>
          <w:lang w:val="en-GB"/>
        </w:rPr>
        <w:t xml:space="preserve">exports </w:t>
      </w:r>
      <w:r w:rsidR="00E5280A" w:rsidRPr="00B41DB1">
        <w:rPr>
          <w:rFonts w:ascii="Times New Roman" w:hAnsi="Times New Roman" w:cs="Times New Roman"/>
          <w:sz w:val="24"/>
          <w:szCs w:val="24"/>
          <w:lang w:val="en-GB"/>
        </w:rPr>
        <w:t xml:space="preserve">would </w:t>
      </w:r>
      <w:r w:rsidR="00F14D17" w:rsidRPr="00B41DB1">
        <w:rPr>
          <w:rFonts w:ascii="Times New Roman" w:hAnsi="Times New Roman" w:cs="Times New Roman"/>
          <w:sz w:val="24"/>
          <w:szCs w:val="24"/>
          <w:lang w:val="en-GB"/>
        </w:rPr>
        <w:t xml:space="preserve">decline </w:t>
      </w:r>
      <w:r w:rsidR="00A13084" w:rsidRPr="00B41DB1">
        <w:rPr>
          <w:rFonts w:ascii="Times New Roman" w:hAnsi="Times New Roman" w:cs="Times New Roman"/>
          <w:sz w:val="24"/>
          <w:szCs w:val="24"/>
          <w:lang w:val="en-GB"/>
        </w:rPr>
        <w:t xml:space="preserve">at the very least </w:t>
      </w:r>
      <w:r w:rsidR="00F14D17" w:rsidRPr="00B41DB1">
        <w:rPr>
          <w:rFonts w:ascii="Times New Roman" w:hAnsi="Times New Roman" w:cs="Times New Roman"/>
          <w:sz w:val="24"/>
          <w:szCs w:val="24"/>
          <w:lang w:val="en-GB"/>
        </w:rPr>
        <w:t>by three per cent, e</w:t>
      </w:r>
      <w:r w:rsidR="00E5280A" w:rsidRPr="00B41DB1">
        <w:rPr>
          <w:rFonts w:ascii="Times New Roman" w:hAnsi="Times New Roman" w:cs="Times New Roman"/>
          <w:sz w:val="24"/>
          <w:szCs w:val="24"/>
          <w:lang w:val="en-GB"/>
        </w:rPr>
        <w:t>quivalent to €¾ million each year</w:t>
      </w:r>
      <w:r w:rsidR="00A13084" w:rsidRPr="00B41DB1">
        <w:rPr>
          <w:rFonts w:ascii="Times New Roman" w:hAnsi="Times New Roman" w:cs="Times New Roman"/>
          <w:sz w:val="24"/>
          <w:szCs w:val="24"/>
          <w:lang w:val="en-GB"/>
        </w:rPr>
        <w:t>.</w:t>
      </w:r>
      <w:r w:rsidR="002872E9" w:rsidRPr="00B41DB1">
        <w:rPr>
          <w:rFonts w:ascii="Times New Roman" w:hAnsi="Times New Roman" w:cs="Times New Roman"/>
          <w:sz w:val="24"/>
          <w:szCs w:val="24"/>
          <w:lang w:val="en-GB"/>
        </w:rPr>
        <w:t xml:space="preserve"> Individual countries, such as Guyana, would be affected particularly badly. The worst case scena</w:t>
      </w:r>
      <w:r w:rsidR="00AF3B3A" w:rsidRPr="00B41DB1">
        <w:rPr>
          <w:rFonts w:ascii="Times New Roman" w:hAnsi="Times New Roman" w:cs="Times New Roman"/>
          <w:sz w:val="24"/>
          <w:szCs w:val="24"/>
          <w:lang w:val="en-GB"/>
        </w:rPr>
        <w:t>rio would be if Central America</w:t>
      </w:r>
      <w:r w:rsidR="002872E9" w:rsidRPr="00B41DB1">
        <w:rPr>
          <w:rFonts w:ascii="Times New Roman" w:hAnsi="Times New Roman" w:cs="Times New Roman"/>
          <w:sz w:val="24"/>
          <w:szCs w:val="24"/>
          <w:lang w:val="en-GB"/>
        </w:rPr>
        <w:t xml:space="preserve">, Peru and Colombia were </w:t>
      </w:r>
      <w:r w:rsidR="00F14D17" w:rsidRPr="00B41DB1">
        <w:rPr>
          <w:rFonts w:ascii="Times New Roman" w:hAnsi="Times New Roman" w:cs="Times New Roman"/>
          <w:sz w:val="24"/>
          <w:szCs w:val="24"/>
          <w:lang w:val="en-GB"/>
        </w:rPr>
        <w:t>allocated</w:t>
      </w:r>
      <w:r w:rsidR="002872E9" w:rsidRPr="00B41DB1">
        <w:rPr>
          <w:rFonts w:ascii="Times New Roman" w:hAnsi="Times New Roman" w:cs="Times New Roman"/>
          <w:sz w:val="24"/>
          <w:szCs w:val="24"/>
          <w:lang w:val="en-GB"/>
        </w:rPr>
        <w:t xml:space="preserve"> quota</w:t>
      </w:r>
      <w:r w:rsidR="000D2F47" w:rsidRPr="00B41DB1">
        <w:rPr>
          <w:rFonts w:ascii="Times New Roman" w:hAnsi="Times New Roman" w:cs="Times New Roman"/>
          <w:sz w:val="24"/>
          <w:szCs w:val="24"/>
          <w:lang w:val="en-GB"/>
        </w:rPr>
        <w:t xml:space="preserve">s and MERCOSUR duty-free access: </w:t>
      </w:r>
      <w:r w:rsidR="002872E9" w:rsidRPr="00B41DB1">
        <w:rPr>
          <w:rFonts w:ascii="Times New Roman" w:hAnsi="Times New Roman" w:cs="Times New Roman"/>
          <w:sz w:val="24"/>
          <w:szCs w:val="24"/>
          <w:lang w:val="en-GB"/>
        </w:rPr>
        <w:t xml:space="preserve">losses for the Caribbean could </w:t>
      </w:r>
      <w:r w:rsidR="000D2F47" w:rsidRPr="00B41DB1">
        <w:rPr>
          <w:rFonts w:ascii="Times New Roman" w:hAnsi="Times New Roman" w:cs="Times New Roman"/>
          <w:sz w:val="24"/>
          <w:szCs w:val="24"/>
          <w:lang w:val="en-GB"/>
        </w:rPr>
        <w:t xml:space="preserve">then </w:t>
      </w:r>
      <w:r w:rsidR="002872E9" w:rsidRPr="00B41DB1">
        <w:rPr>
          <w:rFonts w:ascii="Times New Roman" w:hAnsi="Times New Roman" w:cs="Times New Roman"/>
          <w:sz w:val="24"/>
          <w:szCs w:val="24"/>
          <w:lang w:val="en-GB"/>
        </w:rPr>
        <w:t>amount to 16.5</w:t>
      </w:r>
      <w:r w:rsidR="00F14D17" w:rsidRPr="00B41DB1">
        <w:rPr>
          <w:rFonts w:ascii="Times New Roman" w:hAnsi="Times New Roman" w:cs="Times New Roman"/>
          <w:sz w:val="24"/>
          <w:szCs w:val="24"/>
          <w:lang w:val="en-GB"/>
        </w:rPr>
        <w:t xml:space="preserve"> per cent o</w:t>
      </w:r>
      <w:r w:rsidR="002872E9" w:rsidRPr="00B41DB1">
        <w:rPr>
          <w:rFonts w:ascii="Times New Roman" w:hAnsi="Times New Roman" w:cs="Times New Roman"/>
          <w:sz w:val="24"/>
          <w:szCs w:val="24"/>
          <w:lang w:val="en-GB"/>
        </w:rPr>
        <w:t>f exports, equivalent to about €4 million (Cantore et al</w:t>
      </w:r>
      <w:r w:rsidR="000D2F47" w:rsidRPr="00B41DB1">
        <w:rPr>
          <w:rFonts w:ascii="Times New Roman" w:hAnsi="Times New Roman" w:cs="Times New Roman"/>
          <w:sz w:val="24"/>
          <w:szCs w:val="24"/>
          <w:lang w:val="en-GB"/>
        </w:rPr>
        <w:t>.</w:t>
      </w:r>
      <w:r w:rsidR="002872E9" w:rsidRPr="00B41DB1">
        <w:rPr>
          <w:rFonts w:ascii="Times New Roman" w:hAnsi="Times New Roman" w:cs="Times New Roman"/>
          <w:sz w:val="24"/>
          <w:szCs w:val="24"/>
          <w:lang w:val="en-GB"/>
        </w:rPr>
        <w:t>, 2012).</w:t>
      </w:r>
      <w:r w:rsidR="00E23F2B" w:rsidRPr="00B41DB1">
        <w:rPr>
          <w:rFonts w:ascii="Times New Roman" w:hAnsi="Times New Roman" w:cs="Times New Roman"/>
          <w:sz w:val="24"/>
          <w:szCs w:val="24"/>
          <w:lang w:val="en-GB"/>
        </w:rPr>
        <w:t xml:space="preserve"> Meanwhile, for sugar, the FTAs are allowing greater competition from lower cost sugar producers and this will exacerbate the Caribbean’s already tenuous position in the EU market.</w:t>
      </w:r>
    </w:p>
    <w:p w14:paraId="142B7089" w14:textId="6CB6DBBE" w:rsidR="008574DA" w:rsidRPr="00B41DB1" w:rsidRDefault="008574DA"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lastRenderedPageBreak/>
        <w:t xml:space="preserve">A final issue related to declining preference margins </w:t>
      </w:r>
      <w:r w:rsidR="002E05D4" w:rsidRPr="00B41DB1">
        <w:rPr>
          <w:rFonts w:ascii="Times New Roman" w:hAnsi="Times New Roman" w:cs="Times New Roman"/>
          <w:sz w:val="24"/>
          <w:szCs w:val="24"/>
          <w:lang w:val="en-GB"/>
        </w:rPr>
        <w:t xml:space="preserve">was the </w:t>
      </w:r>
      <w:r w:rsidR="00D226DD" w:rsidRPr="00B41DB1">
        <w:rPr>
          <w:rFonts w:ascii="Times New Roman" w:hAnsi="Times New Roman" w:cs="Times New Roman"/>
          <w:sz w:val="24"/>
          <w:szCs w:val="24"/>
          <w:lang w:val="en-GB"/>
        </w:rPr>
        <w:t>‘</w:t>
      </w:r>
      <w:r w:rsidR="002E05D4" w:rsidRPr="00B41DB1">
        <w:rPr>
          <w:rFonts w:ascii="Times New Roman" w:hAnsi="Times New Roman" w:cs="Times New Roman"/>
          <w:sz w:val="24"/>
          <w:szCs w:val="24"/>
          <w:lang w:val="en-GB"/>
        </w:rPr>
        <w:t>fateful decision</w:t>
      </w:r>
      <w:r w:rsidR="00D226DD" w:rsidRPr="00B41DB1">
        <w:rPr>
          <w:rFonts w:ascii="Times New Roman" w:hAnsi="Times New Roman" w:cs="Times New Roman"/>
          <w:sz w:val="24"/>
          <w:szCs w:val="24"/>
          <w:lang w:val="en-GB"/>
        </w:rPr>
        <w:t>’</w:t>
      </w:r>
      <w:r w:rsidR="002E05D4" w:rsidRPr="00B41DB1">
        <w:rPr>
          <w:rFonts w:ascii="Times New Roman" w:hAnsi="Times New Roman" w:cs="Times New Roman"/>
          <w:sz w:val="24"/>
          <w:szCs w:val="24"/>
          <w:lang w:val="en-GB"/>
        </w:rPr>
        <w:t xml:space="preserve"> (Heron, 2014, </w:t>
      </w:r>
      <w:r w:rsidR="0054488C" w:rsidRPr="00B41DB1">
        <w:rPr>
          <w:rFonts w:ascii="Times New Roman" w:hAnsi="Times New Roman" w:cs="Times New Roman"/>
          <w:sz w:val="24"/>
          <w:szCs w:val="24"/>
          <w:lang w:val="en-GB"/>
        </w:rPr>
        <w:t xml:space="preserve">p. </w:t>
      </w:r>
      <w:r w:rsidR="002E05D4" w:rsidRPr="00B41DB1">
        <w:rPr>
          <w:rFonts w:ascii="Times New Roman" w:hAnsi="Times New Roman" w:cs="Times New Roman"/>
          <w:sz w:val="24"/>
          <w:szCs w:val="24"/>
          <w:lang w:val="en-GB"/>
        </w:rPr>
        <w:t xml:space="preserve">16) to implement the </w:t>
      </w:r>
      <w:r w:rsidRPr="00B41DB1">
        <w:rPr>
          <w:rFonts w:ascii="Times New Roman" w:hAnsi="Times New Roman" w:cs="Times New Roman"/>
          <w:sz w:val="24"/>
          <w:szCs w:val="24"/>
          <w:lang w:val="en-GB"/>
        </w:rPr>
        <w:t>Everyt</w:t>
      </w:r>
      <w:r w:rsidR="002E05D4" w:rsidRPr="00B41DB1">
        <w:rPr>
          <w:rFonts w:ascii="Times New Roman" w:hAnsi="Times New Roman" w:cs="Times New Roman"/>
          <w:sz w:val="24"/>
          <w:szCs w:val="24"/>
          <w:lang w:val="en-GB"/>
        </w:rPr>
        <w:t>hing But Arms (EBA) initiative i</w:t>
      </w:r>
      <w:r w:rsidRPr="00B41DB1">
        <w:rPr>
          <w:rFonts w:ascii="Times New Roman" w:hAnsi="Times New Roman" w:cs="Times New Roman"/>
          <w:sz w:val="24"/>
          <w:szCs w:val="24"/>
          <w:lang w:val="en-GB"/>
        </w:rPr>
        <w:t>n 2001.</w:t>
      </w:r>
      <w:r w:rsidR="004279CF" w:rsidRPr="00B41DB1">
        <w:rPr>
          <w:rFonts w:ascii="Times New Roman" w:hAnsi="Times New Roman" w:cs="Times New Roman"/>
          <w:sz w:val="24"/>
          <w:szCs w:val="24"/>
          <w:lang w:val="en-GB"/>
        </w:rPr>
        <w:t xml:space="preserve"> This covers the world’s poorest countries (mostly l</w:t>
      </w:r>
      <w:r w:rsidR="000D2F47" w:rsidRPr="00B41DB1">
        <w:rPr>
          <w:rFonts w:ascii="Times New Roman" w:hAnsi="Times New Roman" w:cs="Times New Roman"/>
          <w:sz w:val="24"/>
          <w:szCs w:val="24"/>
          <w:lang w:val="en-GB"/>
        </w:rPr>
        <w:t>ocated in Africa; with only one—</w:t>
      </w:r>
      <w:r w:rsidR="004279CF" w:rsidRPr="00B41DB1">
        <w:rPr>
          <w:rFonts w:ascii="Times New Roman" w:hAnsi="Times New Roman" w:cs="Times New Roman"/>
          <w:sz w:val="24"/>
          <w:szCs w:val="24"/>
          <w:lang w:val="en-GB"/>
        </w:rPr>
        <w:t>Haiti</w:t>
      </w:r>
      <w:r w:rsidR="000D2F47" w:rsidRPr="00B41DB1">
        <w:rPr>
          <w:rFonts w:ascii="Times New Roman" w:hAnsi="Times New Roman" w:cs="Times New Roman"/>
          <w:sz w:val="24"/>
          <w:szCs w:val="24"/>
          <w:lang w:val="en-GB"/>
        </w:rPr>
        <w:t>—</w:t>
      </w:r>
      <w:r w:rsidR="004279CF" w:rsidRPr="00B41DB1">
        <w:rPr>
          <w:rFonts w:ascii="Times New Roman" w:hAnsi="Times New Roman" w:cs="Times New Roman"/>
          <w:sz w:val="24"/>
          <w:szCs w:val="24"/>
          <w:lang w:val="en-GB"/>
        </w:rPr>
        <w:t xml:space="preserve">in the Caribbean) and gives duty-free access to the EU for all goods except arms and ammunition. </w:t>
      </w:r>
      <w:r w:rsidR="00681814" w:rsidRPr="00B41DB1">
        <w:rPr>
          <w:rFonts w:ascii="Times New Roman" w:hAnsi="Times New Roman" w:cs="Times New Roman"/>
          <w:sz w:val="24"/>
          <w:szCs w:val="24"/>
          <w:lang w:val="en-GB"/>
        </w:rPr>
        <w:t xml:space="preserve">This was an important development as it </w:t>
      </w:r>
      <w:r w:rsidR="00D226DD" w:rsidRPr="00B41DB1">
        <w:rPr>
          <w:rFonts w:ascii="Times New Roman" w:hAnsi="Times New Roman" w:cs="Times New Roman"/>
          <w:sz w:val="24"/>
          <w:szCs w:val="24"/>
          <w:lang w:val="en-GB"/>
        </w:rPr>
        <w:t>‘</w:t>
      </w:r>
      <w:r w:rsidR="00B70A2C" w:rsidRPr="00B41DB1">
        <w:rPr>
          <w:rFonts w:ascii="Times New Roman" w:hAnsi="Times New Roman" w:cs="Times New Roman"/>
          <w:sz w:val="24"/>
          <w:szCs w:val="24"/>
          <w:lang w:val="en-GB"/>
        </w:rPr>
        <w:t>[…]</w:t>
      </w:r>
      <w:r w:rsidR="0054488C" w:rsidRPr="00B41DB1">
        <w:rPr>
          <w:rFonts w:ascii="Times New Roman" w:hAnsi="Times New Roman" w:cs="Times New Roman"/>
          <w:sz w:val="24"/>
          <w:szCs w:val="24"/>
          <w:lang w:val="en-GB"/>
        </w:rPr>
        <w:t xml:space="preserve"> </w:t>
      </w:r>
      <w:r w:rsidR="00681814" w:rsidRPr="00B41DB1">
        <w:rPr>
          <w:rFonts w:ascii="Times New Roman" w:hAnsi="Times New Roman" w:cs="Times New Roman"/>
          <w:sz w:val="24"/>
          <w:szCs w:val="24"/>
          <w:lang w:val="en-GB"/>
        </w:rPr>
        <w:t>breached the long-established policy of offering the ACP preferential advantages over all other developing countries</w:t>
      </w:r>
      <w:r w:rsidR="00D226DD" w:rsidRPr="00B41DB1">
        <w:rPr>
          <w:rFonts w:ascii="Times New Roman" w:hAnsi="Times New Roman" w:cs="Times New Roman"/>
          <w:sz w:val="24"/>
          <w:szCs w:val="24"/>
          <w:lang w:val="en-GB"/>
        </w:rPr>
        <w:t>’</w:t>
      </w:r>
      <w:r w:rsidR="00681814" w:rsidRPr="00B41DB1">
        <w:rPr>
          <w:rFonts w:ascii="Times New Roman" w:hAnsi="Times New Roman" w:cs="Times New Roman"/>
          <w:sz w:val="24"/>
          <w:szCs w:val="24"/>
          <w:lang w:val="en-GB"/>
        </w:rPr>
        <w:t xml:space="preserve"> (Holland and Doidge, 2012, </w:t>
      </w:r>
      <w:r w:rsidR="0054488C" w:rsidRPr="00B41DB1">
        <w:rPr>
          <w:rFonts w:ascii="Times New Roman" w:hAnsi="Times New Roman" w:cs="Times New Roman"/>
          <w:sz w:val="24"/>
          <w:szCs w:val="24"/>
          <w:lang w:val="en-GB"/>
        </w:rPr>
        <w:t xml:space="preserve">p. </w:t>
      </w:r>
      <w:r w:rsidR="00681814" w:rsidRPr="00B41DB1">
        <w:rPr>
          <w:rFonts w:ascii="Times New Roman" w:hAnsi="Times New Roman" w:cs="Times New Roman"/>
          <w:sz w:val="24"/>
          <w:szCs w:val="24"/>
          <w:lang w:val="en-GB"/>
        </w:rPr>
        <w:t>88).</w:t>
      </w:r>
      <w:r w:rsidR="005F1868" w:rsidRPr="00B41DB1">
        <w:rPr>
          <w:rFonts w:ascii="Times New Roman" w:hAnsi="Times New Roman" w:cs="Times New Roman"/>
          <w:sz w:val="24"/>
          <w:szCs w:val="24"/>
          <w:lang w:val="en-GB"/>
        </w:rPr>
        <w:t xml:space="preserve"> Concessions were made to the ACP so that duty-free access for sugar, bana</w:t>
      </w:r>
      <w:r w:rsidR="000D2F47" w:rsidRPr="00B41DB1">
        <w:rPr>
          <w:rFonts w:ascii="Times New Roman" w:hAnsi="Times New Roman" w:cs="Times New Roman"/>
          <w:sz w:val="24"/>
          <w:szCs w:val="24"/>
          <w:lang w:val="en-GB"/>
        </w:rPr>
        <w:t>nas and rice would be phased in;</w:t>
      </w:r>
      <w:r w:rsidR="005F1868" w:rsidRPr="00B41DB1">
        <w:rPr>
          <w:rFonts w:ascii="Times New Roman" w:hAnsi="Times New Roman" w:cs="Times New Roman"/>
          <w:sz w:val="24"/>
          <w:szCs w:val="24"/>
          <w:lang w:val="en-GB"/>
        </w:rPr>
        <w:t xml:space="preserve"> but by 2009</w:t>
      </w:r>
      <w:r w:rsidR="000D2F47" w:rsidRPr="00B41DB1">
        <w:rPr>
          <w:rFonts w:ascii="Times New Roman" w:hAnsi="Times New Roman" w:cs="Times New Roman"/>
          <w:sz w:val="24"/>
          <w:szCs w:val="24"/>
          <w:lang w:val="en-GB"/>
        </w:rPr>
        <w:t>,</w:t>
      </w:r>
      <w:r w:rsidR="005F1868" w:rsidRPr="00B41DB1">
        <w:rPr>
          <w:rFonts w:ascii="Times New Roman" w:hAnsi="Times New Roman" w:cs="Times New Roman"/>
          <w:sz w:val="24"/>
          <w:szCs w:val="24"/>
          <w:lang w:val="en-GB"/>
        </w:rPr>
        <w:t xml:space="preserve"> free access in these sectors </w:t>
      </w:r>
      <w:r w:rsidR="00AF3B3A" w:rsidRPr="00B41DB1">
        <w:rPr>
          <w:rFonts w:ascii="Times New Roman" w:hAnsi="Times New Roman" w:cs="Times New Roman"/>
          <w:sz w:val="24"/>
          <w:szCs w:val="24"/>
          <w:lang w:val="en-GB"/>
        </w:rPr>
        <w:t xml:space="preserve">was established. </w:t>
      </w:r>
      <w:r w:rsidR="009B230C" w:rsidRPr="00B41DB1">
        <w:rPr>
          <w:rFonts w:ascii="Times New Roman" w:hAnsi="Times New Roman" w:cs="Times New Roman"/>
          <w:sz w:val="24"/>
          <w:szCs w:val="24"/>
          <w:lang w:val="en-GB"/>
        </w:rPr>
        <w:t xml:space="preserve">Thus the Caribbean ACP </w:t>
      </w:r>
      <w:r w:rsidR="0054488C" w:rsidRPr="00B41DB1">
        <w:rPr>
          <w:rFonts w:ascii="Times New Roman" w:hAnsi="Times New Roman" w:cs="Times New Roman"/>
          <w:sz w:val="24"/>
          <w:szCs w:val="24"/>
          <w:lang w:val="en-GB"/>
        </w:rPr>
        <w:t>saw</w:t>
      </w:r>
      <w:r w:rsidR="009B230C" w:rsidRPr="00B41DB1">
        <w:rPr>
          <w:rFonts w:ascii="Times New Roman" w:hAnsi="Times New Roman" w:cs="Times New Roman"/>
          <w:sz w:val="24"/>
          <w:szCs w:val="24"/>
          <w:lang w:val="en-GB"/>
        </w:rPr>
        <w:t xml:space="preserve"> another downgradin</w:t>
      </w:r>
      <w:r w:rsidR="002E05D4" w:rsidRPr="00B41DB1">
        <w:rPr>
          <w:rFonts w:ascii="Times New Roman" w:hAnsi="Times New Roman" w:cs="Times New Roman"/>
          <w:sz w:val="24"/>
          <w:szCs w:val="24"/>
          <w:lang w:val="en-GB"/>
        </w:rPr>
        <w:t>g of its preferential position.</w:t>
      </w:r>
    </w:p>
    <w:p w14:paraId="6188F463" w14:textId="77777777" w:rsidR="002872E9" w:rsidRPr="00B41DB1" w:rsidRDefault="002872E9" w:rsidP="000D2F47">
      <w:pPr>
        <w:spacing w:after="0" w:line="480" w:lineRule="auto"/>
        <w:rPr>
          <w:rFonts w:ascii="Times New Roman" w:hAnsi="Times New Roman" w:cs="Times New Roman"/>
          <w:sz w:val="24"/>
          <w:szCs w:val="24"/>
          <w:lang w:val="en-GB"/>
        </w:rPr>
      </w:pPr>
    </w:p>
    <w:p w14:paraId="5E1451C7" w14:textId="77777777" w:rsidR="002872E9" w:rsidRPr="00B41DB1" w:rsidRDefault="006B12A8"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Broader changes in EU development policy</w:t>
      </w:r>
    </w:p>
    <w:p w14:paraId="4C923B00" w14:textId="54301810" w:rsidR="009B3315" w:rsidRPr="00B41DB1" w:rsidRDefault="004C769F"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R</w:t>
      </w:r>
      <w:r w:rsidR="00A70A87" w:rsidRPr="00B41DB1">
        <w:rPr>
          <w:rFonts w:ascii="Times New Roman" w:hAnsi="Times New Roman" w:cs="Times New Roman"/>
          <w:sz w:val="24"/>
          <w:szCs w:val="24"/>
          <w:lang w:val="en-GB"/>
        </w:rPr>
        <w:t>elated issue</w:t>
      </w:r>
      <w:r w:rsidRPr="00B41DB1">
        <w:rPr>
          <w:rFonts w:ascii="Times New Roman" w:hAnsi="Times New Roman" w:cs="Times New Roman"/>
          <w:sz w:val="24"/>
          <w:szCs w:val="24"/>
          <w:lang w:val="en-GB"/>
        </w:rPr>
        <w:t>s</w:t>
      </w:r>
      <w:r w:rsidR="00A70A87" w:rsidRPr="00B41DB1">
        <w:rPr>
          <w:rFonts w:ascii="Times New Roman" w:hAnsi="Times New Roman" w:cs="Times New Roman"/>
          <w:sz w:val="24"/>
          <w:szCs w:val="24"/>
          <w:lang w:val="en-GB"/>
        </w:rPr>
        <w:t xml:space="preserve"> that </w:t>
      </w:r>
      <w:r w:rsidRPr="00B41DB1">
        <w:rPr>
          <w:rFonts w:ascii="Times New Roman" w:hAnsi="Times New Roman" w:cs="Times New Roman"/>
          <w:sz w:val="24"/>
          <w:szCs w:val="24"/>
          <w:lang w:val="en-GB"/>
        </w:rPr>
        <w:t>have</w:t>
      </w:r>
      <w:r w:rsidR="00A70A87" w:rsidRPr="00B41DB1">
        <w:rPr>
          <w:rFonts w:ascii="Times New Roman" w:hAnsi="Times New Roman" w:cs="Times New Roman"/>
          <w:sz w:val="24"/>
          <w:szCs w:val="24"/>
          <w:lang w:val="en-GB"/>
        </w:rPr>
        <w:t xml:space="preserve"> underpinned the changes noted above </w:t>
      </w:r>
      <w:r w:rsidRPr="00B41DB1">
        <w:rPr>
          <w:rFonts w:ascii="Times New Roman" w:hAnsi="Times New Roman" w:cs="Times New Roman"/>
          <w:sz w:val="24"/>
          <w:szCs w:val="24"/>
          <w:lang w:val="en-GB"/>
        </w:rPr>
        <w:t>are</w:t>
      </w:r>
      <w:r w:rsidR="00361337" w:rsidRPr="00B41DB1">
        <w:rPr>
          <w:rFonts w:ascii="Times New Roman" w:hAnsi="Times New Roman" w:cs="Times New Roman"/>
          <w:sz w:val="24"/>
          <w:szCs w:val="24"/>
          <w:lang w:val="en-GB"/>
        </w:rPr>
        <w:t xml:space="preserve"> </w:t>
      </w:r>
      <w:r w:rsidR="00A70A87" w:rsidRPr="00B41DB1">
        <w:rPr>
          <w:rFonts w:ascii="Times New Roman" w:hAnsi="Times New Roman" w:cs="Times New Roman"/>
          <w:sz w:val="24"/>
          <w:szCs w:val="24"/>
          <w:lang w:val="en-GB"/>
        </w:rPr>
        <w:t xml:space="preserve">the </w:t>
      </w:r>
      <w:r w:rsidR="00941384" w:rsidRPr="00B41DB1">
        <w:rPr>
          <w:rFonts w:ascii="Times New Roman" w:hAnsi="Times New Roman" w:cs="Times New Roman"/>
          <w:sz w:val="24"/>
          <w:szCs w:val="24"/>
          <w:lang w:val="en-GB"/>
        </w:rPr>
        <w:t>re</w:t>
      </w:r>
      <w:r w:rsidRPr="00B41DB1">
        <w:rPr>
          <w:rFonts w:ascii="Times New Roman" w:hAnsi="Times New Roman" w:cs="Times New Roman"/>
          <w:sz w:val="24"/>
          <w:szCs w:val="24"/>
          <w:lang w:val="en-GB"/>
        </w:rPr>
        <w:t>-</w:t>
      </w:r>
      <w:r w:rsidR="00941384" w:rsidRPr="00B41DB1">
        <w:rPr>
          <w:rFonts w:ascii="Times New Roman" w:hAnsi="Times New Roman" w:cs="Times New Roman"/>
          <w:sz w:val="24"/>
          <w:szCs w:val="24"/>
          <w:lang w:val="en-GB"/>
        </w:rPr>
        <w:t xml:space="preserve">positioning </w:t>
      </w:r>
      <w:r w:rsidRPr="00B41DB1">
        <w:rPr>
          <w:rFonts w:ascii="Times New Roman" w:hAnsi="Times New Roman" w:cs="Times New Roman"/>
          <w:sz w:val="24"/>
          <w:szCs w:val="24"/>
          <w:lang w:val="en-GB"/>
        </w:rPr>
        <w:t xml:space="preserve">and re-focusing of development </w:t>
      </w:r>
      <w:r w:rsidR="00B71DC2" w:rsidRPr="00B41DB1">
        <w:rPr>
          <w:rFonts w:ascii="Times New Roman" w:hAnsi="Times New Roman" w:cs="Times New Roman"/>
          <w:sz w:val="24"/>
          <w:szCs w:val="24"/>
          <w:lang w:val="en-GB"/>
        </w:rPr>
        <w:t xml:space="preserve">policy </w:t>
      </w:r>
      <w:r w:rsidR="00941384" w:rsidRPr="00B41DB1">
        <w:rPr>
          <w:rFonts w:ascii="Times New Roman" w:hAnsi="Times New Roman" w:cs="Times New Roman"/>
          <w:sz w:val="24"/>
          <w:szCs w:val="24"/>
          <w:lang w:val="en-GB"/>
        </w:rPr>
        <w:t xml:space="preserve">within the EU. </w:t>
      </w:r>
      <w:r w:rsidR="00216266" w:rsidRPr="00B41DB1">
        <w:rPr>
          <w:rFonts w:ascii="Times New Roman" w:hAnsi="Times New Roman" w:cs="Times New Roman"/>
          <w:sz w:val="24"/>
          <w:szCs w:val="24"/>
          <w:lang w:val="en-GB"/>
        </w:rPr>
        <w:t xml:space="preserve">The process began in the late 1990s when plans were put in place to restructure </w:t>
      </w:r>
      <w:r w:rsidR="00941384" w:rsidRPr="00B41DB1">
        <w:rPr>
          <w:rFonts w:ascii="Times New Roman" w:hAnsi="Times New Roman" w:cs="Times New Roman"/>
          <w:sz w:val="24"/>
          <w:szCs w:val="24"/>
          <w:lang w:val="en-GB"/>
        </w:rPr>
        <w:t xml:space="preserve">the </w:t>
      </w:r>
      <w:r w:rsidR="00216266" w:rsidRPr="00B41DB1">
        <w:rPr>
          <w:rFonts w:ascii="Times New Roman" w:hAnsi="Times New Roman" w:cs="Times New Roman"/>
          <w:sz w:val="24"/>
          <w:szCs w:val="24"/>
          <w:lang w:val="en-GB"/>
        </w:rPr>
        <w:t xml:space="preserve">European </w:t>
      </w:r>
      <w:r w:rsidR="00941384" w:rsidRPr="00B41DB1">
        <w:rPr>
          <w:rFonts w:ascii="Times New Roman" w:hAnsi="Times New Roman" w:cs="Times New Roman"/>
          <w:sz w:val="24"/>
          <w:szCs w:val="24"/>
          <w:lang w:val="en-GB"/>
        </w:rPr>
        <w:t xml:space="preserve">Commission, which included the downgrading of the </w:t>
      </w:r>
      <w:r w:rsidR="000D2F47" w:rsidRPr="00B41DB1">
        <w:rPr>
          <w:rFonts w:ascii="Times New Roman" w:hAnsi="Times New Roman" w:cs="Times New Roman"/>
          <w:sz w:val="24"/>
          <w:szCs w:val="24"/>
          <w:lang w:val="en-GB"/>
        </w:rPr>
        <w:t xml:space="preserve">Directorate-General </w:t>
      </w:r>
      <w:r w:rsidR="00941384" w:rsidRPr="00B41DB1">
        <w:rPr>
          <w:rFonts w:ascii="Times New Roman" w:hAnsi="Times New Roman" w:cs="Times New Roman"/>
          <w:sz w:val="24"/>
          <w:szCs w:val="24"/>
          <w:lang w:val="en-GB"/>
        </w:rPr>
        <w:t xml:space="preserve">for </w:t>
      </w:r>
      <w:r w:rsidR="00DE2281" w:rsidRPr="00B41DB1">
        <w:rPr>
          <w:rFonts w:ascii="Times New Roman" w:hAnsi="Times New Roman" w:cs="Times New Roman"/>
          <w:iCs/>
          <w:sz w:val="24"/>
          <w:szCs w:val="24"/>
          <w:lang w:val="en"/>
        </w:rPr>
        <w:t>Development and Relations with ACP States (DG DEV)</w:t>
      </w:r>
      <w:r w:rsidR="00941384" w:rsidRPr="00B41DB1">
        <w:rPr>
          <w:rFonts w:ascii="Times New Roman" w:hAnsi="Times New Roman" w:cs="Times New Roman"/>
          <w:sz w:val="24"/>
          <w:szCs w:val="24"/>
          <w:lang w:val="en-GB"/>
        </w:rPr>
        <w:t xml:space="preserve">. </w:t>
      </w:r>
      <w:r w:rsidR="00216266" w:rsidRPr="00B41DB1">
        <w:rPr>
          <w:rFonts w:ascii="Times New Roman" w:hAnsi="Times New Roman" w:cs="Times New Roman"/>
          <w:sz w:val="24"/>
          <w:szCs w:val="24"/>
          <w:lang w:val="en-GB"/>
        </w:rPr>
        <w:t>The DG</w:t>
      </w:r>
      <w:r w:rsidR="00B70A2C" w:rsidRPr="00B41DB1">
        <w:rPr>
          <w:rFonts w:ascii="Times New Roman" w:hAnsi="Times New Roman" w:cs="Times New Roman"/>
          <w:sz w:val="24"/>
          <w:szCs w:val="24"/>
          <w:lang w:val="en-GB"/>
        </w:rPr>
        <w:t>,</w:t>
      </w:r>
      <w:r w:rsidR="00216266" w:rsidRPr="00B41DB1">
        <w:rPr>
          <w:rFonts w:ascii="Times New Roman" w:hAnsi="Times New Roman" w:cs="Times New Roman"/>
          <w:sz w:val="24"/>
          <w:szCs w:val="24"/>
          <w:lang w:val="en-GB"/>
        </w:rPr>
        <w:t xml:space="preserve"> which had played a central role in supporting ACP interests</w:t>
      </w:r>
      <w:r w:rsidR="00B70A2C" w:rsidRPr="00B41DB1">
        <w:rPr>
          <w:rFonts w:ascii="Times New Roman" w:hAnsi="Times New Roman" w:cs="Times New Roman"/>
          <w:sz w:val="24"/>
          <w:szCs w:val="24"/>
          <w:lang w:val="en-GB"/>
        </w:rPr>
        <w:t>,</w:t>
      </w:r>
      <w:r w:rsidR="00216266" w:rsidRPr="00B41DB1">
        <w:rPr>
          <w:rFonts w:ascii="Times New Roman" w:hAnsi="Times New Roman" w:cs="Times New Roman"/>
          <w:sz w:val="24"/>
          <w:szCs w:val="24"/>
          <w:lang w:val="en-GB"/>
        </w:rPr>
        <w:t xml:space="preserve"> lost its </w:t>
      </w:r>
      <w:r w:rsidR="00941384" w:rsidRPr="00B41DB1">
        <w:rPr>
          <w:rFonts w:ascii="Times New Roman" w:hAnsi="Times New Roman" w:cs="Times New Roman"/>
          <w:sz w:val="24"/>
          <w:szCs w:val="24"/>
          <w:lang w:val="en-GB"/>
        </w:rPr>
        <w:t xml:space="preserve">responsibility for ACP trade policy. The Trade Commissioner </w:t>
      </w:r>
      <w:r w:rsidR="00216266" w:rsidRPr="00B41DB1">
        <w:rPr>
          <w:rFonts w:ascii="Times New Roman" w:hAnsi="Times New Roman" w:cs="Times New Roman"/>
          <w:sz w:val="24"/>
          <w:szCs w:val="24"/>
          <w:lang w:val="en-GB"/>
        </w:rPr>
        <w:t>took over that</w:t>
      </w:r>
      <w:r w:rsidRPr="00B41DB1">
        <w:rPr>
          <w:rFonts w:ascii="Times New Roman" w:hAnsi="Times New Roman" w:cs="Times New Roman"/>
          <w:sz w:val="24"/>
          <w:szCs w:val="24"/>
          <w:lang w:val="en-GB"/>
        </w:rPr>
        <w:t xml:space="preserve"> undertaking</w:t>
      </w:r>
      <w:r w:rsidR="00216266" w:rsidRPr="00B41DB1">
        <w:rPr>
          <w:rFonts w:ascii="Times New Roman" w:hAnsi="Times New Roman" w:cs="Times New Roman"/>
          <w:sz w:val="24"/>
          <w:szCs w:val="24"/>
          <w:lang w:val="en-GB"/>
        </w:rPr>
        <w:t xml:space="preserve">, and </w:t>
      </w:r>
      <w:r w:rsidR="00A70A87" w:rsidRPr="00B41DB1">
        <w:rPr>
          <w:rFonts w:ascii="Times New Roman" w:hAnsi="Times New Roman" w:cs="Times New Roman"/>
          <w:sz w:val="24"/>
          <w:szCs w:val="24"/>
          <w:lang w:val="en-GB"/>
        </w:rPr>
        <w:t xml:space="preserve">as </w:t>
      </w:r>
      <w:r w:rsidR="00216266" w:rsidRPr="00B41DB1">
        <w:rPr>
          <w:rFonts w:ascii="Times New Roman" w:hAnsi="Times New Roman" w:cs="Times New Roman"/>
          <w:sz w:val="24"/>
          <w:szCs w:val="24"/>
          <w:lang w:val="en-GB"/>
        </w:rPr>
        <w:t xml:space="preserve">a result the </w:t>
      </w:r>
      <w:r w:rsidR="00941384" w:rsidRPr="00B41DB1">
        <w:rPr>
          <w:rFonts w:ascii="Times New Roman" w:hAnsi="Times New Roman" w:cs="Times New Roman"/>
          <w:sz w:val="24"/>
          <w:szCs w:val="24"/>
          <w:lang w:val="en-GB"/>
        </w:rPr>
        <w:t xml:space="preserve">important link between trade and development </w:t>
      </w:r>
      <w:r w:rsidR="00216266" w:rsidRPr="00B41DB1">
        <w:rPr>
          <w:rFonts w:ascii="Times New Roman" w:hAnsi="Times New Roman" w:cs="Times New Roman"/>
          <w:sz w:val="24"/>
          <w:szCs w:val="24"/>
          <w:lang w:val="en-GB"/>
        </w:rPr>
        <w:t>was</w:t>
      </w:r>
      <w:r w:rsidR="00941384" w:rsidRPr="00B41DB1">
        <w:rPr>
          <w:rFonts w:ascii="Times New Roman" w:hAnsi="Times New Roman" w:cs="Times New Roman"/>
          <w:sz w:val="24"/>
          <w:szCs w:val="24"/>
          <w:lang w:val="en-GB"/>
        </w:rPr>
        <w:t xml:space="preserve"> broken.</w:t>
      </w:r>
      <w:r w:rsidR="00216266" w:rsidRPr="00B41DB1">
        <w:rPr>
          <w:rFonts w:ascii="Times New Roman" w:hAnsi="Times New Roman" w:cs="Times New Roman"/>
          <w:sz w:val="24"/>
          <w:szCs w:val="24"/>
          <w:lang w:val="en-GB"/>
        </w:rPr>
        <w:t xml:space="preserve"> </w:t>
      </w:r>
      <w:r w:rsidR="00361337" w:rsidRPr="00B41DB1">
        <w:rPr>
          <w:rFonts w:ascii="Times New Roman" w:hAnsi="Times New Roman" w:cs="Times New Roman"/>
          <w:sz w:val="24"/>
          <w:szCs w:val="24"/>
          <w:lang w:val="en-GB"/>
        </w:rPr>
        <w:t>Then in 2010</w:t>
      </w:r>
      <w:r w:rsidR="000D2F47" w:rsidRPr="00B41DB1">
        <w:rPr>
          <w:rFonts w:ascii="Times New Roman" w:hAnsi="Times New Roman" w:cs="Times New Roman"/>
          <w:sz w:val="24"/>
          <w:szCs w:val="24"/>
          <w:lang w:val="en-GB"/>
        </w:rPr>
        <w:t>,</w:t>
      </w:r>
      <w:r w:rsidR="00361337" w:rsidRPr="00B41DB1">
        <w:rPr>
          <w:rFonts w:ascii="Times New Roman" w:hAnsi="Times New Roman" w:cs="Times New Roman"/>
          <w:sz w:val="24"/>
          <w:szCs w:val="24"/>
          <w:lang w:val="en-GB"/>
        </w:rPr>
        <w:t xml:space="preserve"> the European External Action Service </w:t>
      </w:r>
      <w:r w:rsidR="00FE794E" w:rsidRPr="00B41DB1">
        <w:rPr>
          <w:rFonts w:ascii="Times New Roman" w:hAnsi="Times New Roman" w:cs="Times New Roman"/>
          <w:sz w:val="24"/>
          <w:szCs w:val="24"/>
          <w:lang w:val="en-GB"/>
        </w:rPr>
        <w:t xml:space="preserve">(EEAS) </w:t>
      </w:r>
      <w:r w:rsidR="00361337" w:rsidRPr="00B41DB1">
        <w:rPr>
          <w:rFonts w:ascii="Times New Roman" w:hAnsi="Times New Roman" w:cs="Times New Roman"/>
          <w:sz w:val="24"/>
          <w:szCs w:val="24"/>
          <w:lang w:val="en-GB"/>
        </w:rPr>
        <w:t xml:space="preserve">was </w:t>
      </w:r>
      <w:r w:rsidRPr="00B41DB1">
        <w:rPr>
          <w:rFonts w:ascii="Times New Roman" w:hAnsi="Times New Roman" w:cs="Times New Roman"/>
          <w:sz w:val="24"/>
          <w:szCs w:val="24"/>
          <w:lang w:val="en-GB"/>
        </w:rPr>
        <w:t>established</w:t>
      </w:r>
      <w:r w:rsidR="00361337" w:rsidRPr="00B41DB1">
        <w:rPr>
          <w:rFonts w:ascii="Times New Roman" w:hAnsi="Times New Roman" w:cs="Times New Roman"/>
          <w:sz w:val="24"/>
          <w:szCs w:val="24"/>
          <w:lang w:val="en-GB"/>
        </w:rPr>
        <w:t xml:space="preserve"> and </w:t>
      </w:r>
      <w:r w:rsidR="009B3315" w:rsidRPr="00B41DB1">
        <w:rPr>
          <w:rFonts w:ascii="Times New Roman" w:hAnsi="Times New Roman" w:cs="Times New Roman"/>
          <w:sz w:val="24"/>
          <w:szCs w:val="24"/>
          <w:lang w:val="en-GB"/>
        </w:rPr>
        <w:t xml:space="preserve">assumed </w:t>
      </w:r>
      <w:r w:rsidR="00361337" w:rsidRPr="00B41DB1">
        <w:rPr>
          <w:rFonts w:ascii="Times New Roman" w:hAnsi="Times New Roman" w:cs="Times New Roman"/>
          <w:sz w:val="24"/>
          <w:szCs w:val="24"/>
          <w:lang w:val="en-GB"/>
        </w:rPr>
        <w:t xml:space="preserve">DG </w:t>
      </w:r>
      <w:r w:rsidR="00DE2281" w:rsidRPr="00B41DB1">
        <w:rPr>
          <w:rFonts w:ascii="Times New Roman" w:hAnsi="Times New Roman" w:cs="Times New Roman"/>
          <w:sz w:val="24"/>
          <w:szCs w:val="24"/>
          <w:lang w:val="en-GB"/>
        </w:rPr>
        <w:t>DEV</w:t>
      </w:r>
      <w:r w:rsidR="00361337" w:rsidRPr="00B41DB1">
        <w:rPr>
          <w:rFonts w:ascii="Times New Roman" w:hAnsi="Times New Roman" w:cs="Times New Roman"/>
          <w:sz w:val="24"/>
          <w:szCs w:val="24"/>
          <w:lang w:val="en-GB"/>
        </w:rPr>
        <w:t xml:space="preserve">’s </w:t>
      </w:r>
      <w:r w:rsidRPr="00B41DB1">
        <w:rPr>
          <w:rFonts w:ascii="Times New Roman" w:hAnsi="Times New Roman" w:cs="Times New Roman"/>
          <w:sz w:val="24"/>
          <w:szCs w:val="24"/>
          <w:lang w:val="en-GB"/>
        </w:rPr>
        <w:t xml:space="preserve">task </w:t>
      </w:r>
      <w:r w:rsidR="00361337" w:rsidRPr="00B41DB1">
        <w:rPr>
          <w:rFonts w:ascii="Times New Roman" w:hAnsi="Times New Roman" w:cs="Times New Roman"/>
          <w:sz w:val="24"/>
          <w:szCs w:val="24"/>
          <w:lang w:val="en-GB"/>
        </w:rPr>
        <w:t xml:space="preserve">for bilateral relations with </w:t>
      </w:r>
      <w:r w:rsidRPr="00B41DB1">
        <w:rPr>
          <w:rFonts w:ascii="Times New Roman" w:hAnsi="Times New Roman" w:cs="Times New Roman"/>
          <w:sz w:val="24"/>
          <w:szCs w:val="24"/>
          <w:lang w:val="en-GB"/>
        </w:rPr>
        <w:t xml:space="preserve">the </w:t>
      </w:r>
      <w:r w:rsidR="00361337" w:rsidRPr="00B41DB1">
        <w:rPr>
          <w:rFonts w:ascii="Times New Roman" w:hAnsi="Times New Roman" w:cs="Times New Roman"/>
          <w:sz w:val="24"/>
          <w:szCs w:val="24"/>
          <w:lang w:val="en-GB"/>
        </w:rPr>
        <w:t>ACP countries.</w:t>
      </w:r>
      <w:r w:rsidR="00FE794E" w:rsidRPr="00B41DB1">
        <w:rPr>
          <w:rFonts w:ascii="Times New Roman" w:hAnsi="Times New Roman" w:cs="Times New Roman"/>
          <w:sz w:val="24"/>
          <w:szCs w:val="24"/>
          <w:lang w:val="en-GB"/>
        </w:rPr>
        <w:t xml:space="preserve"> Within the EEAS, a Managing Directorate for sub-Saharan Africa was established, but the Caribbean was included only as a unit in the Managing Directorate f</w:t>
      </w:r>
      <w:r w:rsidR="00A02E9B" w:rsidRPr="00B41DB1">
        <w:rPr>
          <w:rFonts w:ascii="Times New Roman" w:hAnsi="Times New Roman" w:cs="Times New Roman"/>
          <w:sz w:val="24"/>
          <w:szCs w:val="24"/>
          <w:lang w:val="en-GB"/>
        </w:rPr>
        <w:t>or Latin America</w:t>
      </w:r>
      <w:r w:rsidR="00B71DC2" w:rsidRPr="00B41DB1">
        <w:rPr>
          <w:rFonts w:ascii="Times New Roman" w:hAnsi="Times New Roman" w:cs="Times New Roman"/>
          <w:sz w:val="24"/>
          <w:szCs w:val="24"/>
          <w:lang w:val="en-GB"/>
        </w:rPr>
        <w:t>.</w:t>
      </w:r>
      <w:r w:rsidR="002B33D3">
        <w:rPr>
          <w:rFonts w:ascii="Times New Roman" w:hAnsi="Times New Roman" w:cs="Times New Roman"/>
          <w:sz w:val="24"/>
          <w:szCs w:val="24"/>
          <w:lang w:val="en-GB"/>
        </w:rPr>
        <w:t xml:space="preserve"> </w:t>
      </w:r>
    </w:p>
    <w:p w14:paraId="20EE4492" w14:textId="4F449443" w:rsidR="00934E05" w:rsidRPr="00B41DB1" w:rsidRDefault="00FE794E"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lastRenderedPageBreak/>
        <w:t>With these changes</w:t>
      </w:r>
      <w:r w:rsidR="000D2F47"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w:t>
      </w:r>
      <w:r w:rsidR="00216266" w:rsidRPr="00B41DB1">
        <w:rPr>
          <w:rFonts w:ascii="Times New Roman" w:hAnsi="Times New Roman" w:cs="Times New Roman"/>
          <w:sz w:val="24"/>
          <w:szCs w:val="24"/>
          <w:lang w:val="en-GB"/>
        </w:rPr>
        <w:t xml:space="preserve">aid was to become </w:t>
      </w:r>
      <w:r w:rsidRPr="00B41DB1">
        <w:rPr>
          <w:rFonts w:ascii="Times New Roman" w:hAnsi="Times New Roman" w:cs="Times New Roman"/>
          <w:sz w:val="24"/>
          <w:szCs w:val="24"/>
          <w:lang w:val="en-GB"/>
        </w:rPr>
        <w:t>a much more</w:t>
      </w:r>
      <w:r w:rsidR="00216266" w:rsidRPr="00B41DB1">
        <w:rPr>
          <w:rFonts w:ascii="Times New Roman" w:hAnsi="Times New Roman" w:cs="Times New Roman"/>
          <w:sz w:val="24"/>
          <w:szCs w:val="24"/>
          <w:lang w:val="en-GB"/>
        </w:rPr>
        <w:t xml:space="preserve"> explicit tool of EU foreign policy. The first indication of this </w:t>
      </w:r>
      <w:r w:rsidRPr="00B41DB1">
        <w:rPr>
          <w:rFonts w:ascii="Times New Roman" w:hAnsi="Times New Roman" w:cs="Times New Roman"/>
          <w:sz w:val="24"/>
          <w:szCs w:val="24"/>
          <w:lang w:val="en-GB"/>
        </w:rPr>
        <w:t>came</w:t>
      </w:r>
      <w:r w:rsidR="00216266" w:rsidRPr="00B41DB1">
        <w:rPr>
          <w:rFonts w:ascii="Times New Roman" w:hAnsi="Times New Roman" w:cs="Times New Roman"/>
          <w:sz w:val="24"/>
          <w:szCs w:val="24"/>
          <w:lang w:val="en-GB"/>
        </w:rPr>
        <w:t xml:space="preserve"> in a </w:t>
      </w:r>
      <w:r w:rsidR="005530A0" w:rsidRPr="00B41DB1">
        <w:rPr>
          <w:rFonts w:ascii="Times New Roman" w:hAnsi="Times New Roman" w:cs="Times New Roman"/>
          <w:sz w:val="24"/>
          <w:szCs w:val="24"/>
          <w:lang w:val="en-GB"/>
        </w:rPr>
        <w:t xml:space="preserve">2003 </w:t>
      </w:r>
      <w:r w:rsidR="00941384" w:rsidRPr="00B41DB1">
        <w:rPr>
          <w:rFonts w:ascii="Times New Roman" w:hAnsi="Times New Roman" w:cs="Times New Roman"/>
          <w:sz w:val="24"/>
          <w:szCs w:val="24"/>
          <w:lang w:val="en-GB"/>
        </w:rPr>
        <w:t>strategy paper by Javier Solana, the EU’s High Representative for Common Foreign and Security Policy. The paper, ‘A Secure Europe in a Better World’, suggested that external assistance should s</w:t>
      </w:r>
      <w:r w:rsidR="009B3315" w:rsidRPr="00B41DB1">
        <w:rPr>
          <w:rFonts w:ascii="Times New Roman" w:hAnsi="Times New Roman" w:cs="Times New Roman"/>
          <w:sz w:val="24"/>
          <w:szCs w:val="24"/>
          <w:lang w:val="en-GB"/>
        </w:rPr>
        <w:t xml:space="preserve">upport the EU’s security agenda (Solana, 2003). For the Caribbean with little strategic significance, the paper’s conclusions were a concern. </w:t>
      </w:r>
      <w:r w:rsidRPr="00B41DB1">
        <w:rPr>
          <w:rFonts w:ascii="Times New Roman" w:hAnsi="Times New Roman" w:cs="Times New Roman"/>
          <w:sz w:val="24"/>
          <w:szCs w:val="24"/>
          <w:lang w:val="en-GB"/>
        </w:rPr>
        <w:t xml:space="preserve">More recent </w:t>
      </w:r>
      <w:r w:rsidR="00BA35FF" w:rsidRPr="00B41DB1">
        <w:rPr>
          <w:rFonts w:ascii="Times New Roman" w:hAnsi="Times New Roman" w:cs="Times New Roman"/>
          <w:sz w:val="24"/>
          <w:szCs w:val="24"/>
          <w:lang w:val="en-GB"/>
        </w:rPr>
        <w:t>changes have aligned EU development policy with the Mil</w:t>
      </w:r>
      <w:r w:rsidRPr="00B41DB1">
        <w:rPr>
          <w:rFonts w:ascii="Times New Roman" w:hAnsi="Times New Roman" w:cs="Times New Roman"/>
          <w:sz w:val="24"/>
          <w:szCs w:val="24"/>
          <w:lang w:val="en-GB"/>
        </w:rPr>
        <w:t>lennium Development Goals</w:t>
      </w:r>
      <w:r w:rsidR="00BA35FF" w:rsidRPr="00B41DB1">
        <w:rPr>
          <w:rFonts w:ascii="Times New Roman" w:hAnsi="Times New Roman" w:cs="Times New Roman"/>
          <w:sz w:val="24"/>
          <w:szCs w:val="24"/>
          <w:lang w:val="en-GB"/>
        </w:rPr>
        <w:t>, which though important for African ACP countries are less significant for the Caribbean. The European Consensus on Development</w:t>
      </w:r>
      <w:r w:rsidR="004A68FC" w:rsidRPr="00B41DB1">
        <w:rPr>
          <w:rFonts w:ascii="Times New Roman" w:hAnsi="Times New Roman" w:cs="Times New Roman"/>
          <w:sz w:val="24"/>
          <w:szCs w:val="24"/>
          <w:lang w:val="en-GB"/>
        </w:rPr>
        <w:t xml:space="preserve"> and the ‘Global Europe’ strategy </w:t>
      </w:r>
      <w:r w:rsidR="00B70A2C" w:rsidRPr="00B41DB1">
        <w:rPr>
          <w:rFonts w:ascii="Times New Roman" w:hAnsi="Times New Roman" w:cs="Times New Roman"/>
          <w:sz w:val="24"/>
          <w:szCs w:val="24"/>
          <w:lang w:val="en-GB"/>
        </w:rPr>
        <w:t>(</w:t>
      </w:r>
      <w:r w:rsidR="004A68FC" w:rsidRPr="00B41DB1">
        <w:rPr>
          <w:rFonts w:ascii="Times New Roman" w:hAnsi="Times New Roman" w:cs="Times New Roman"/>
          <w:sz w:val="24"/>
          <w:szCs w:val="24"/>
          <w:lang w:val="en-GB"/>
        </w:rPr>
        <w:t>both from 2006</w:t>
      </w:r>
      <w:r w:rsidR="00B70A2C" w:rsidRPr="00B41DB1">
        <w:rPr>
          <w:rFonts w:ascii="Times New Roman" w:hAnsi="Times New Roman" w:cs="Times New Roman"/>
          <w:sz w:val="24"/>
          <w:szCs w:val="24"/>
          <w:lang w:val="en-GB"/>
        </w:rPr>
        <w:t>)</w:t>
      </w:r>
      <w:r w:rsidR="004A68FC" w:rsidRPr="00B41DB1">
        <w:rPr>
          <w:rFonts w:ascii="Times New Roman" w:hAnsi="Times New Roman" w:cs="Times New Roman"/>
          <w:sz w:val="24"/>
          <w:szCs w:val="24"/>
          <w:lang w:val="en-GB"/>
        </w:rPr>
        <w:t xml:space="preserve">, </w:t>
      </w:r>
      <w:r w:rsidR="00AE0FA4" w:rsidRPr="00B41DB1">
        <w:rPr>
          <w:rFonts w:ascii="Times New Roman" w:hAnsi="Times New Roman" w:cs="Times New Roman"/>
          <w:sz w:val="24"/>
          <w:szCs w:val="24"/>
          <w:lang w:val="en-GB"/>
        </w:rPr>
        <w:t>th</w:t>
      </w:r>
      <w:r w:rsidR="004A68FC" w:rsidRPr="00B41DB1">
        <w:rPr>
          <w:rFonts w:ascii="Times New Roman" w:hAnsi="Times New Roman" w:cs="Times New Roman"/>
          <w:sz w:val="24"/>
          <w:szCs w:val="24"/>
          <w:lang w:val="en-GB"/>
        </w:rPr>
        <w:t xml:space="preserve">e </w:t>
      </w:r>
      <w:r w:rsidR="009B3315" w:rsidRPr="00B41DB1">
        <w:rPr>
          <w:rFonts w:ascii="Times New Roman" w:hAnsi="Times New Roman" w:cs="Times New Roman"/>
          <w:sz w:val="24"/>
          <w:szCs w:val="24"/>
          <w:lang w:val="en-GB"/>
        </w:rPr>
        <w:t xml:space="preserve">2009 </w:t>
      </w:r>
      <w:r w:rsidR="004A68FC" w:rsidRPr="00B41DB1">
        <w:rPr>
          <w:rFonts w:ascii="Times New Roman" w:hAnsi="Times New Roman" w:cs="Times New Roman"/>
          <w:sz w:val="24"/>
          <w:szCs w:val="24"/>
          <w:lang w:val="en-GB"/>
        </w:rPr>
        <w:t xml:space="preserve">Lisbon Treaty, </w:t>
      </w:r>
      <w:r w:rsidR="00BA35FF" w:rsidRPr="00B41DB1">
        <w:rPr>
          <w:rFonts w:ascii="Times New Roman" w:hAnsi="Times New Roman" w:cs="Times New Roman"/>
          <w:sz w:val="24"/>
          <w:szCs w:val="24"/>
          <w:lang w:val="en-GB"/>
        </w:rPr>
        <w:t xml:space="preserve">and the 2012 ‘Agenda for Change’ placed greater </w:t>
      </w:r>
      <w:r w:rsidR="00934E05" w:rsidRPr="00B41DB1">
        <w:rPr>
          <w:rFonts w:ascii="Times New Roman" w:hAnsi="Times New Roman" w:cs="Times New Roman"/>
          <w:sz w:val="24"/>
          <w:szCs w:val="24"/>
          <w:lang w:val="en-GB"/>
        </w:rPr>
        <w:t>focus</w:t>
      </w:r>
      <w:r w:rsidR="00BA35FF" w:rsidRPr="00B41DB1">
        <w:rPr>
          <w:rFonts w:ascii="Times New Roman" w:hAnsi="Times New Roman" w:cs="Times New Roman"/>
          <w:sz w:val="24"/>
          <w:szCs w:val="24"/>
          <w:lang w:val="en-GB"/>
        </w:rPr>
        <w:t xml:space="preserve"> on </w:t>
      </w:r>
      <w:r w:rsidR="00AE0FA4" w:rsidRPr="00B41DB1">
        <w:rPr>
          <w:rFonts w:ascii="Times New Roman" w:hAnsi="Times New Roman" w:cs="Times New Roman"/>
          <w:sz w:val="24"/>
          <w:szCs w:val="24"/>
          <w:lang w:val="en-GB"/>
        </w:rPr>
        <w:t>the</w:t>
      </w:r>
      <w:r w:rsidR="00934E05" w:rsidRPr="00B41DB1">
        <w:rPr>
          <w:rFonts w:ascii="Times New Roman" w:hAnsi="Times New Roman" w:cs="Times New Roman"/>
          <w:sz w:val="24"/>
          <w:szCs w:val="24"/>
          <w:lang w:val="en-GB"/>
        </w:rPr>
        <w:t xml:space="preserve"> eradication of poverty</w:t>
      </w:r>
      <w:r w:rsidR="00AE0FA4" w:rsidRPr="00B41DB1">
        <w:rPr>
          <w:rFonts w:ascii="Times New Roman" w:hAnsi="Times New Roman" w:cs="Times New Roman"/>
          <w:sz w:val="24"/>
          <w:szCs w:val="24"/>
          <w:lang w:val="en-GB"/>
        </w:rPr>
        <w:t xml:space="preserve">. </w:t>
      </w:r>
      <w:r w:rsidR="00310A98" w:rsidRPr="00B41DB1">
        <w:rPr>
          <w:rFonts w:ascii="Times New Roman" w:hAnsi="Times New Roman" w:cs="Times New Roman"/>
          <w:sz w:val="24"/>
          <w:szCs w:val="24"/>
          <w:lang w:val="en-GB"/>
        </w:rPr>
        <w:t xml:space="preserve">Although </w:t>
      </w:r>
      <w:r w:rsidR="00943250" w:rsidRPr="00B41DB1">
        <w:rPr>
          <w:rFonts w:ascii="Times New Roman" w:hAnsi="Times New Roman" w:cs="Times New Roman"/>
          <w:sz w:val="24"/>
          <w:szCs w:val="24"/>
          <w:lang w:val="en-GB"/>
        </w:rPr>
        <w:t xml:space="preserve">an attempt was made </w:t>
      </w:r>
      <w:r w:rsidR="000D2F47" w:rsidRPr="00B41DB1">
        <w:rPr>
          <w:rFonts w:ascii="Times New Roman" w:hAnsi="Times New Roman" w:cs="Times New Roman"/>
          <w:sz w:val="24"/>
          <w:szCs w:val="24"/>
          <w:lang w:val="en-GB"/>
        </w:rPr>
        <w:t xml:space="preserve">in 2012 </w:t>
      </w:r>
      <w:r w:rsidR="00943250" w:rsidRPr="00B41DB1">
        <w:rPr>
          <w:rFonts w:ascii="Times New Roman" w:hAnsi="Times New Roman" w:cs="Times New Roman"/>
          <w:sz w:val="24"/>
          <w:szCs w:val="24"/>
          <w:lang w:val="en-GB"/>
        </w:rPr>
        <w:t xml:space="preserve">to re-emphasise the Caribbean-EU link via the </w:t>
      </w:r>
      <w:r w:rsidR="00536582" w:rsidRPr="00B41DB1">
        <w:rPr>
          <w:rFonts w:ascii="Times New Roman" w:hAnsi="Times New Roman" w:cs="Times New Roman"/>
          <w:sz w:val="24"/>
          <w:szCs w:val="24"/>
          <w:lang w:val="en-GB"/>
        </w:rPr>
        <w:t>Joint Caribbean-EU Partnership Strategy</w:t>
      </w:r>
      <w:r w:rsidR="0093352B" w:rsidRPr="00B41DB1">
        <w:rPr>
          <w:rFonts w:ascii="Times New Roman" w:hAnsi="Times New Roman" w:cs="Times New Roman"/>
          <w:sz w:val="24"/>
          <w:szCs w:val="24"/>
          <w:lang w:val="en-GB"/>
        </w:rPr>
        <w:t xml:space="preserve"> (Council of the European Union, 2012)</w:t>
      </w:r>
      <w:r w:rsidR="00536582" w:rsidRPr="00B41DB1">
        <w:rPr>
          <w:rFonts w:ascii="Times New Roman" w:hAnsi="Times New Roman" w:cs="Times New Roman"/>
          <w:sz w:val="24"/>
          <w:szCs w:val="24"/>
          <w:lang w:val="en-GB"/>
        </w:rPr>
        <w:t xml:space="preserve">, this </w:t>
      </w:r>
      <w:r w:rsidR="00943250" w:rsidRPr="00B41DB1">
        <w:rPr>
          <w:rFonts w:ascii="Times New Roman" w:hAnsi="Times New Roman" w:cs="Times New Roman"/>
          <w:sz w:val="24"/>
          <w:szCs w:val="24"/>
          <w:lang w:val="en-GB"/>
        </w:rPr>
        <w:t>has done l</w:t>
      </w:r>
      <w:r w:rsidR="00536582" w:rsidRPr="00B41DB1">
        <w:rPr>
          <w:rFonts w:ascii="Times New Roman" w:hAnsi="Times New Roman" w:cs="Times New Roman"/>
          <w:sz w:val="24"/>
          <w:szCs w:val="24"/>
          <w:lang w:val="en-GB"/>
        </w:rPr>
        <w:t xml:space="preserve">ittle to stem the tide away from the Caribbean. </w:t>
      </w:r>
      <w:r w:rsidR="00BA35FF" w:rsidRPr="00B41DB1">
        <w:rPr>
          <w:rFonts w:ascii="Times New Roman" w:hAnsi="Times New Roman" w:cs="Times New Roman"/>
          <w:sz w:val="24"/>
          <w:szCs w:val="24"/>
          <w:lang w:val="en-GB"/>
        </w:rPr>
        <w:t xml:space="preserve">One </w:t>
      </w:r>
      <w:r w:rsidR="0093352B" w:rsidRPr="00B41DB1">
        <w:rPr>
          <w:rFonts w:ascii="Times New Roman" w:hAnsi="Times New Roman" w:cs="Times New Roman"/>
          <w:sz w:val="24"/>
          <w:szCs w:val="24"/>
          <w:lang w:val="en-GB"/>
        </w:rPr>
        <w:t>consequence</w:t>
      </w:r>
      <w:r w:rsidR="00BA35FF" w:rsidRPr="00B41DB1">
        <w:rPr>
          <w:rFonts w:ascii="Times New Roman" w:hAnsi="Times New Roman" w:cs="Times New Roman"/>
          <w:sz w:val="24"/>
          <w:szCs w:val="24"/>
          <w:lang w:val="en-GB"/>
        </w:rPr>
        <w:t xml:space="preserve"> is a </w:t>
      </w:r>
      <w:r w:rsidR="00B66236" w:rsidRPr="00B41DB1">
        <w:rPr>
          <w:rFonts w:ascii="Times New Roman" w:hAnsi="Times New Roman" w:cs="Times New Roman"/>
          <w:sz w:val="24"/>
          <w:szCs w:val="24"/>
          <w:lang w:val="en-GB"/>
        </w:rPr>
        <w:t>clear</w:t>
      </w:r>
      <w:r w:rsidR="00BA35FF" w:rsidRPr="00B41DB1">
        <w:rPr>
          <w:rFonts w:ascii="Times New Roman" w:hAnsi="Times New Roman" w:cs="Times New Roman"/>
          <w:sz w:val="24"/>
          <w:szCs w:val="24"/>
          <w:lang w:val="en-GB"/>
        </w:rPr>
        <w:t xml:space="preserve"> </w:t>
      </w:r>
      <w:r w:rsidR="00934E05" w:rsidRPr="00B41DB1">
        <w:rPr>
          <w:rFonts w:ascii="Times New Roman" w:hAnsi="Times New Roman" w:cs="Times New Roman"/>
          <w:sz w:val="24"/>
          <w:szCs w:val="24"/>
          <w:lang w:val="en-GB"/>
        </w:rPr>
        <w:t xml:space="preserve">focus on </w:t>
      </w:r>
      <w:r w:rsidR="00BA35FF" w:rsidRPr="00B41DB1">
        <w:rPr>
          <w:rFonts w:ascii="Times New Roman" w:hAnsi="Times New Roman" w:cs="Times New Roman"/>
          <w:sz w:val="24"/>
          <w:szCs w:val="24"/>
          <w:lang w:val="en-GB"/>
        </w:rPr>
        <w:t xml:space="preserve">differentiation, </w:t>
      </w:r>
      <w:r w:rsidR="004A68FC" w:rsidRPr="00B41DB1">
        <w:rPr>
          <w:rFonts w:ascii="Times New Roman" w:hAnsi="Times New Roman" w:cs="Times New Roman"/>
          <w:sz w:val="24"/>
          <w:szCs w:val="24"/>
          <w:lang w:val="en-GB"/>
        </w:rPr>
        <w:t xml:space="preserve">in other words </w:t>
      </w:r>
      <w:r w:rsidR="00D226DD" w:rsidRPr="00B41DB1">
        <w:rPr>
          <w:rFonts w:ascii="Times New Roman" w:hAnsi="Times New Roman" w:cs="Times New Roman"/>
          <w:sz w:val="24"/>
          <w:szCs w:val="24"/>
          <w:lang w:val="en-GB"/>
        </w:rPr>
        <w:t>‘</w:t>
      </w:r>
      <w:r w:rsidR="00B70A2C" w:rsidRPr="00B41DB1">
        <w:rPr>
          <w:rFonts w:ascii="Times New Roman" w:hAnsi="Times New Roman" w:cs="Times New Roman"/>
          <w:sz w:val="24"/>
          <w:szCs w:val="24"/>
          <w:lang w:val="en-GB"/>
        </w:rPr>
        <w:t>[…]</w:t>
      </w:r>
      <w:r w:rsidR="00BA35FF" w:rsidRPr="00B41DB1">
        <w:rPr>
          <w:rFonts w:ascii="Times New Roman" w:hAnsi="Times New Roman" w:cs="Times New Roman"/>
          <w:sz w:val="24"/>
          <w:szCs w:val="24"/>
          <w:lang w:val="en-GB"/>
        </w:rPr>
        <w:t xml:space="preserve"> graduating higher middle income countries from bilateral official development assistance </w:t>
      </w:r>
      <w:r w:rsidR="00B70A2C" w:rsidRPr="00B41DB1">
        <w:rPr>
          <w:rFonts w:ascii="Times New Roman" w:hAnsi="Times New Roman" w:cs="Times New Roman"/>
          <w:sz w:val="24"/>
          <w:szCs w:val="24"/>
          <w:lang w:val="en-GB"/>
        </w:rPr>
        <w:t>[…]</w:t>
      </w:r>
      <w:r w:rsidR="00D226DD" w:rsidRPr="00B41DB1">
        <w:rPr>
          <w:rFonts w:ascii="Times New Roman" w:hAnsi="Times New Roman" w:cs="Times New Roman"/>
          <w:sz w:val="24"/>
          <w:szCs w:val="24"/>
          <w:lang w:val="en-GB"/>
        </w:rPr>
        <w:t>’</w:t>
      </w:r>
      <w:r w:rsidR="00BA35FF" w:rsidRPr="00B41DB1">
        <w:rPr>
          <w:rFonts w:ascii="Times New Roman" w:hAnsi="Times New Roman" w:cs="Times New Roman"/>
          <w:sz w:val="24"/>
          <w:szCs w:val="24"/>
          <w:lang w:val="en-GB"/>
        </w:rPr>
        <w:t xml:space="preserve"> (Pape, 2013, </w:t>
      </w:r>
      <w:r w:rsidR="0093352B" w:rsidRPr="00B41DB1">
        <w:rPr>
          <w:rFonts w:ascii="Times New Roman" w:hAnsi="Times New Roman" w:cs="Times New Roman"/>
          <w:sz w:val="24"/>
          <w:szCs w:val="24"/>
          <w:lang w:val="en-GB"/>
        </w:rPr>
        <w:t xml:space="preserve">p. </w:t>
      </w:r>
      <w:r w:rsidR="00BA35FF" w:rsidRPr="00B41DB1">
        <w:rPr>
          <w:rFonts w:ascii="Times New Roman" w:hAnsi="Times New Roman" w:cs="Times New Roman"/>
          <w:sz w:val="24"/>
          <w:szCs w:val="24"/>
          <w:lang w:val="en-GB"/>
        </w:rPr>
        <w:t>732</w:t>
      </w:r>
      <w:r w:rsidR="00C92668" w:rsidRPr="00B41DB1">
        <w:rPr>
          <w:rFonts w:ascii="Times New Roman" w:hAnsi="Times New Roman" w:cs="Times New Roman"/>
          <w:sz w:val="24"/>
          <w:szCs w:val="24"/>
          <w:lang w:val="en-GB"/>
        </w:rPr>
        <w:t xml:space="preserve">). </w:t>
      </w:r>
      <w:r w:rsidR="001E4C0C" w:rsidRPr="00B41DB1">
        <w:rPr>
          <w:rFonts w:ascii="Times New Roman" w:hAnsi="Times New Roman" w:cs="Times New Roman"/>
          <w:sz w:val="24"/>
          <w:szCs w:val="24"/>
          <w:lang w:val="en-GB"/>
        </w:rPr>
        <w:t xml:space="preserve">This </w:t>
      </w:r>
      <w:r w:rsidR="00B44C20" w:rsidRPr="00B41DB1">
        <w:rPr>
          <w:rFonts w:ascii="Times New Roman" w:hAnsi="Times New Roman" w:cs="Times New Roman"/>
          <w:sz w:val="24"/>
          <w:szCs w:val="24"/>
          <w:lang w:val="en-GB"/>
        </w:rPr>
        <w:t xml:space="preserve">was implemented </w:t>
      </w:r>
      <w:r w:rsidR="007105D2" w:rsidRPr="00B41DB1">
        <w:rPr>
          <w:rFonts w:ascii="Times New Roman" w:hAnsi="Times New Roman" w:cs="Times New Roman"/>
          <w:sz w:val="24"/>
          <w:szCs w:val="24"/>
          <w:lang w:val="en-GB"/>
        </w:rPr>
        <w:t>from</w:t>
      </w:r>
      <w:r w:rsidR="00B44C20" w:rsidRPr="00B41DB1">
        <w:rPr>
          <w:rFonts w:ascii="Times New Roman" w:hAnsi="Times New Roman" w:cs="Times New Roman"/>
          <w:sz w:val="24"/>
          <w:szCs w:val="24"/>
          <w:lang w:val="en-GB"/>
        </w:rPr>
        <w:t xml:space="preserve"> 2014 via the </w:t>
      </w:r>
      <w:r w:rsidR="001E4C0C" w:rsidRPr="00B41DB1">
        <w:rPr>
          <w:rFonts w:ascii="Times New Roman" w:hAnsi="Times New Roman" w:cs="Times New Roman"/>
          <w:sz w:val="24"/>
          <w:szCs w:val="24"/>
          <w:lang w:val="en-GB"/>
        </w:rPr>
        <w:t>11</w:t>
      </w:r>
      <w:r w:rsidR="001E4C0C" w:rsidRPr="00B41DB1">
        <w:rPr>
          <w:rFonts w:ascii="Times New Roman" w:hAnsi="Times New Roman" w:cs="Times New Roman"/>
          <w:sz w:val="24"/>
          <w:szCs w:val="24"/>
          <w:vertAlign w:val="superscript"/>
          <w:lang w:val="en-GB"/>
        </w:rPr>
        <w:t>th</w:t>
      </w:r>
      <w:r w:rsidR="001E4C0C" w:rsidRPr="00B41DB1">
        <w:rPr>
          <w:rFonts w:ascii="Times New Roman" w:hAnsi="Times New Roman" w:cs="Times New Roman"/>
          <w:sz w:val="24"/>
          <w:szCs w:val="24"/>
          <w:lang w:val="en-GB"/>
        </w:rPr>
        <w:t xml:space="preserve"> </w:t>
      </w:r>
      <w:r w:rsidR="0093532D" w:rsidRPr="00B41DB1">
        <w:rPr>
          <w:rFonts w:ascii="Times New Roman" w:hAnsi="Times New Roman" w:cs="Times New Roman"/>
          <w:sz w:val="24"/>
          <w:szCs w:val="24"/>
          <w:lang w:val="en-GB"/>
        </w:rPr>
        <w:t>European Development Fund (EDF)</w:t>
      </w:r>
      <w:r w:rsidR="00B44C20" w:rsidRPr="00B41DB1">
        <w:rPr>
          <w:rFonts w:ascii="Times New Roman" w:hAnsi="Times New Roman" w:cs="Times New Roman"/>
          <w:sz w:val="24"/>
          <w:szCs w:val="24"/>
          <w:lang w:val="en-GB"/>
        </w:rPr>
        <w:t xml:space="preserve">. </w:t>
      </w:r>
      <w:r w:rsidR="00934E05" w:rsidRPr="00B41DB1">
        <w:rPr>
          <w:rFonts w:ascii="Times New Roman" w:hAnsi="Times New Roman" w:cs="Times New Roman"/>
          <w:sz w:val="24"/>
          <w:szCs w:val="24"/>
          <w:lang w:val="en-GB"/>
        </w:rPr>
        <w:t xml:space="preserve">As </w:t>
      </w:r>
      <w:r w:rsidR="00BA35FF" w:rsidRPr="00B41DB1">
        <w:rPr>
          <w:rFonts w:ascii="Times New Roman" w:hAnsi="Times New Roman" w:cs="Times New Roman"/>
          <w:sz w:val="24"/>
          <w:szCs w:val="24"/>
          <w:lang w:val="en-GB"/>
        </w:rPr>
        <w:t xml:space="preserve">Jessop (2013) </w:t>
      </w:r>
      <w:r w:rsidR="00B44C20" w:rsidRPr="00B41DB1">
        <w:rPr>
          <w:rFonts w:ascii="Times New Roman" w:hAnsi="Times New Roman" w:cs="Times New Roman"/>
          <w:sz w:val="24"/>
          <w:szCs w:val="24"/>
          <w:lang w:val="en-GB"/>
        </w:rPr>
        <w:t>argues</w:t>
      </w:r>
      <w:r w:rsidR="00BA35FF" w:rsidRPr="00B41DB1">
        <w:rPr>
          <w:rFonts w:ascii="Times New Roman" w:hAnsi="Times New Roman" w:cs="Times New Roman"/>
          <w:sz w:val="24"/>
          <w:szCs w:val="24"/>
          <w:lang w:val="en-GB"/>
        </w:rPr>
        <w:t xml:space="preserve"> </w:t>
      </w:r>
      <w:r w:rsidR="00934E05" w:rsidRPr="00B41DB1">
        <w:rPr>
          <w:rFonts w:ascii="Times New Roman" w:hAnsi="Times New Roman" w:cs="Times New Roman"/>
          <w:sz w:val="24"/>
          <w:szCs w:val="24"/>
          <w:lang w:val="en-GB"/>
        </w:rPr>
        <w:t xml:space="preserve">the </w:t>
      </w:r>
      <w:r w:rsidR="00D226DD" w:rsidRPr="00B41DB1">
        <w:rPr>
          <w:rFonts w:ascii="Times New Roman" w:hAnsi="Times New Roman" w:cs="Times New Roman"/>
          <w:sz w:val="24"/>
          <w:szCs w:val="24"/>
          <w:lang w:val="en-GB"/>
        </w:rPr>
        <w:t>‘</w:t>
      </w:r>
      <w:r w:rsidR="00B70A2C" w:rsidRPr="00B41DB1">
        <w:rPr>
          <w:rFonts w:ascii="Times New Roman" w:hAnsi="Times New Roman" w:cs="Times New Roman"/>
          <w:sz w:val="24"/>
          <w:szCs w:val="24"/>
          <w:lang w:val="en-GB"/>
        </w:rPr>
        <w:t>[…]</w:t>
      </w:r>
      <w:r w:rsidR="00934E05" w:rsidRPr="00B41DB1">
        <w:rPr>
          <w:rFonts w:ascii="Times New Roman" w:hAnsi="Times New Roman" w:cs="Times New Roman"/>
          <w:sz w:val="24"/>
          <w:szCs w:val="24"/>
          <w:lang w:val="en-GB"/>
        </w:rPr>
        <w:t xml:space="preserve"> policy is intended to place the future development emphasis on the world’s poorest nations; move most</w:t>
      </w:r>
      <w:r w:rsidR="004A68FC" w:rsidRPr="00B41DB1">
        <w:rPr>
          <w:rFonts w:ascii="Times New Roman" w:hAnsi="Times New Roman" w:cs="Times New Roman"/>
          <w:sz w:val="24"/>
          <w:szCs w:val="24"/>
          <w:lang w:val="en-GB"/>
        </w:rPr>
        <w:t xml:space="preserve"> </w:t>
      </w:r>
      <w:r w:rsidR="00934E05" w:rsidRPr="00B41DB1">
        <w:rPr>
          <w:rFonts w:ascii="Times New Roman" w:hAnsi="Times New Roman" w:cs="Times New Roman"/>
          <w:sz w:val="24"/>
          <w:szCs w:val="24"/>
          <w:lang w:val="en-GB"/>
        </w:rPr>
        <w:t xml:space="preserve">development assistance for the Caribbean, other than Haiti, from national to regional support; and place its focus on issues such as </w:t>
      </w:r>
      <w:r w:rsidR="009B3315" w:rsidRPr="00B41DB1">
        <w:rPr>
          <w:rFonts w:ascii="Times New Roman" w:hAnsi="Times New Roman" w:cs="Times New Roman"/>
          <w:sz w:val="24"/>
          <w:szCs w:val="24"/>
          <w:lang w:val="en-GB"/>
        </w:rPr>
        <w:t xml:space="preserve">the </w:t>
      </w:r>
      <w:r w:rsidR="00934E05" w:rsidRPr="00B41DB1">
        <w:rPr>
          <w:rFonts w:ascii="Times New Roman" w:hAnsi="Times New Roman" w:cs="Times New Roman"/>
          <w:sz w:val="24"/>
          <w:szCs w:val="24"/>
          <w:lang w:val="en-GB"/>
        </w:rPr>
        <w:t>private sector, the environment, security and other cross cutting themes</w:t>
      </w:r>
      <w:r w:rsidR="00D226DD" w:rsidRPr="00B41DB1">
        <w:rPr>
          <w:rFonts w:ascii="Times New Roman" w:hAnsi="Times New Roman" w:cs="Times New Roman"/>
          <w:sz w:val="24"/>
          <w:szCs w:val="24"/>
          <w:lang w:val="en-GB"/>
        </w:rPr>
        <w:t>’</w:t>
      </w:r>
      <w:r w:rsidR="00934E05" w:rsidRPr="00B41DB1">
        <w:rPr>
          <w:rFonts w:ascii="Times New Roman" w:hAnsi="Times New Roman" w:cs="Times New Roman"/>
          <w:sz w:val="24"/>
          <w:szCs w:val="24"/>
          <w:lang w:val="en-GB"/>
        </w:rPr>
        <w:t>.</w:t>
      </w:r>
    </w:p>
    <w:p w14:paraId="6FC95925" w14:textId="14F8BC90" w:rsidR="001C27D0" w:rsidRPr="00B41DB1" w:rsidRDefault="00A70A87"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Another </w:t>
      </w:r>
      <w:r w:rsidR="00EC4D7A" w:rsidRPr="00B41DB1">
        <w:rPr>
          <w:rFonts w:ascii="Times New Roman" w:hAnsi="Times New Roman" w:cs="Times New Roman"/>
          <w:sz w:val="24"/>
          <w:szCs w:val="24"/>
          <w:lang w:val="en-GB"/>
        </w:rPr>
        <w:t>reform</w:t>
      </w:r>
      <w:r w:rsidRPr="00B41DB1">
        <w:rPr>
          <w:rFonts w:ascii="Times New Roman" w:hAnsi="Times New Roman" w:cs="Times New Roman"/>
          <w:sz w:val="24"/>
          <w:szCs w:val="24"/>
          <w:lang w:val="en-GB"/>
        </w:rPr>
        <w:t xml:space="preserve"> which </w:t>
      </w:r>
      <w:r w:rsidR="000B403F" w:rsidRPr="00B41DB1">
        <w:rPr>
          <w:rFonts w:ascii="Times New Roman" w:hAnsi="Times New Roman" w:cs="Times New Roman"/>
          <w:sz w:val="24"/>
          <w:szCs w:val="24"/>
          <w:lang w:val="en-GB"/>
        </w:rPr>
        <w:t xml:space="preserve">has </w:t>
      </w:r>
      <w:r w:rsidRPr="00B41DB1">
        <w:rPr>
          <w:rFonts w:ascii="Times New Roman" w:hAnsi="Times New Roman" w:cs="Times New Roman"/>
          <w:sz w:val="24"/>
          <w:szCs w:val="24"/>
          <w:lang w:val="en-GB"/>
        </w:rPr>
        <w:t xml:space="preserve">undermined the EU’s formerly close relations with the Caribbean </w:t>
      </w:r>
      <w:r w:rsidR="000B403F" w:rsidRPr="00B41DB1">
        <w:rPr>
          <w:rFonts w:ascii="Times New Roman" w:hAnsi="Times New Roman" w:cs="Times New Roman"/>
          <w:sz w:val="24"/>
          <w:szCs w:val="24"/>
          <w:lang w:val="en-GB"/>
        </w:rPr>
        <w:t>is</w:t>
      </w:r>
      <w:r w:rsidRPr="00B41DB1">
        <w:rPr>
          <w:rFonts w:ascii="Times New Roman" w:hAnsi="Times New Roman" w:cs="Times New Roman"/>
          <w:sz w:val="24"/>
          <w:szCs w:val="24"/>
          <w:lang w:val="en-GB"/>
        </w:rPr>
        <w:t xml:space="preserve"> the enlargement of the EU. At the time of the signing of the first Lomé Convention</w:t>
      </w:r>
      <w:r w:rsidR="000D2F47"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the EEC had nine member states. Today, the EU has 28 members</w:t>
      </w:r>
      <w:r w:rsidR="00B70A2C"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a </w:t>
      </w:r>
      <w:r w:rsidR="000B403F" w:rsidRPr="00B41DB1">
        <w:rPr>
          <w:rFonts w:ascii="Times New Roman" w:hAnsi="Times New Roman" w:cs="Times New Roman"/>
          <w:sz w:val="24"/>
          <w:szCs w:val="24"/>
          <w:lang w:val="en-GB"/>
        </w:rPr>
        <w:t>large</w:t>
      </w:r>
      <w:r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lastRenderedPageBreak/>
        <w:t xml:space="preserve">number of which are </w:t>
      </w:r>
      <w:r w:rsidR="00941384" w:rsidRPr="00B41DB1">
        <w:rPr>
          <w:rFonts w:ascii="Times New Roman" w:hAnsi="Times New Roman" w:cs="Times New Roman"/>
          <w:sz w:val="24"/>
          <w:szCs w:val="24"/>
          <w:lang w:val="en-GB"/>
        </w:rPr>
        <w:t xml:space="preserve">in Central and Eastern Europe and have little or no interest in the Caribbean. </w:t>
      </w:r>
      <w:r w:rsidR="000B403F" w:rsidRPr="00B41DB1">
        <w:rPr>
          <w:rFonts w:ascii="Times New Roman" w:hAnsi="Times New Roman" w:cs="Times New Roman"/>
          <w:sz w:val="24"/>
          <w:szCs w:val="24"/>
          <w:lang w:val="en-GB"/>
        </w:rPr>
        <w:t>Also</w:t>
      </w:r>
      <w:r w:rsidRPr="00B41DB1">
        <w:rPr>
          <w:rFonts w:ascii="Times New Roman" w:hAnsi="Times New Roman" w:cs="Times New Roman"/>
          <w:sz w:val="24"/>
          <w:szCs w:val="24"/>
          <w:lang w:val="en-GB"/>
        </w:rPr>
        <w:t xml:space="preserve">, the </w:t>
      </w:r>
      <w:r w:rsidR="00941384" w:rsidRPr="00B41DB1">
        <w:rPr>
          <w:rFonts w:ascii="Times New Roman" w:hAnsi="Times New Roman" w:cs="Times New Roman"/>
          <w:sz w:val="24"/>
          <w:szCs w:val="24"/>
          <w:lang w:val="en-GB"/>
        </w:rPr>
        <w:t>new</w:t>
      </w:r>
      <w:r w:rsidRPr="00B41DB1">
        <w:rPr>
          <w:rFonts w:ascii="Times New Roman" w:hAnsi="Times New Roman" w:cs="Times New Roman"/>
          <w:sz w:val="24"/>
          <w:szCs w:val="24"/>
          <w:lang w:val="en-GB"/>
        </w:rPr>
        <w:t>er</w:t>
      </w:r>
      <w:r w:rsidR="00941384" w:rsidRPr="00B41DB1">
        <w:rPr>
          <w:rFonts w:ascii="Times New Roman" w:hAnsi="Times New Roman" w:cs="Times New Roman"/>
          <w:sz w:val="24"/>
          <w:szCs w:val="24"/>
          <w:lang w:val="en-GB"/>
        </w:rPr>
        <w:t xml:space="preserve"> members have relatively high levels of poverty with wage levels and living standards far below the levels present in the states that were EU members prior to the 2004 enlargement. </w:t>
      </w:r>
      <w:r w:rsidR="000B403F" w:rsidRPr="00B41DB1">
        <w:rPr>
          <w:rFonts w:ascii="Times New Roman" w:hAnsi="Times New Roman" w:cs="Times New Roman"/>
          <w:sz w:val="24"/>
          <w:szCs w:val="24"/>
          <w:lang w:val="en-GB"/>
        </w:rPr>
        <w:t xml:space="preserve">This </w:t>
      </w:r>
      <w:r w:rsidR="00053DC9" w:rsidRPr="00B41DB1">
        <w:rPr>
          <w:rFonts w:ascii="Times New Roman" w:hAnsi="Times New Roman" w:cs="Times New Roman"/>
          <w:sz w:val="24"/>
          <w:szCs w:val="24"/>
          <w:lang w:val="en-GB"/>
        </w:rPr>
        <w:t xml:space="preserve">means they </w:t>
      </w:r>
      <w:r w:rsidR="0032051B" w:rsidRPr="00B41DB1">
        <w:rPr>
          <w:rFonts w:ascii="Times New Roman" w:hAnsi="Times New Roman" w:cs="Times New Roman"/>
          <w:sz w:val="24"/>
          <w:szCs w:val="24"/>
          <w:lang w:val="en-GB"/>
        </w:rPr>
        <w:t>are mo</w:t>
      </w:r>
      <w:r w:rsidR="000B403F" w:rsidRPr="00B41DB1">
        <w:rPr>
          <w:rFonts w:ascii="Times New Roman" w:hAnsi="Times New Roman" w:cs="Times New Roman"/>
          <w:sz w:val="24"/>
          <w:szCs w:val="24"/>
          <w:lang w:val="en-GB"/>
        </w:rPr>
        <w:t xml:space="preserve">re </w:t>
      </w:r>
      <w:r w:rsidR="00941384" w:rsidRPr="00B41DB1">
        <w:rPr>
          <w:rFonts w:ascii="Times New Roman" w:hAnsi="Times New Roman" w:cs="Times New Roman"/>
          <w:sz w:val="24"/>
          <w:szCs w:val="24"/>
          <w:lang w:val="en-GB"/>
        </w:rPr>
        <w:t xml:space="preserve">conditioned to receive aid than to give it. As a </w:t>
      </w:r>
      <w:r w:rsidR="000B403F" w:rsidRPr="00B41DB1">
        <w:rPr>
          <w:rFonts w:ascii="Times New Roman" w:hAnsi="Times New Roman" w:cs="Times New Roman"/>
          <w:sz w:val="24"/>
          <w:szCs w:val="24"/>
          <w:lang w:val="en-GB"/>
        </w:rPr>
        <w:t>result</w:t>
      </w:r>
      <w:r w:rsidR="00941384" w:rsidRPr="00B41DB1">
        <w:rPr>
          <w:rFonts w:ascii="Times New Roman" w:hAnsi="Times New Roman" w:cs="Times New Roman"/>
          <w:sz w:val="24"/>
          <w:szCs w:val="24"/>
          <w:lang w:val="en-GB"/>
        </w:rPr>
        <w:t>, there</w:t>
      </w:r>
      <w:r w:rsidRPr="00B41DB1">
        <w:rPr>
          <w:rFonts w:ascii="Times New Roman" w:hAnsi="Times New Roman" w:cs="Times New Roman"/>
          <w:sz w:val="24"/>
          <w:szCs w:val="24"/>
          <w:lang w:val="en-GB"/>
        </w:rPr>
        <w:t xml:space="preserve"> is </w:t>
      </w:r>
      <w:r w:rsidR="00941384" w:rsidRPr="00B41DB1">
        <w:rPr>
          <w:rFonts w:ascii="Times New Roman" w:hAnsi="Times New Roman" w:cs="Times New Roman"/>
          <w:sz w:val="24"/>
          <w:szCs w:val="24"/>
          <w:lang w:val="en-GB"/>
        </w:rPr>
        <w:t xml:space="preserve">little sympathy for, or understanding of, the challenges facing the Caribbean. This lack of interest </w:t>
      </w:r>
      <w:r w:rsidRPr="00B41DB1">
        <w:rPr>
          <w:rFonts w:ascii="Times New Roman" w:hAnsi="Times New Roman" w:cs="Times New Roman"/>
          <w:sz w:val="24"/>
          <w:szCs w:val="24"/>
          <w:lang w:val="en-GB"/>
        </w:rPr>
        <w:t>is fel</w:t>
      </w:r>
      <w:r w:rsidR="00053DC9" w:rsidRPr="00B41DB1">
        <w:rPr>
          <w:rFonts w:ascii="Times New Roman" w:hAnsi="Times New Roman" w:cs="Times New Roman"/>
          <w:sz w:val="24"/>
          <w:szCs w:val="24"/>
          <w:lang w:val="en-GB"/>
        </w:rPr>
        <w:t>t in all aspects of EU activity</w:t>
      </w:r>
      <w:r w:rsidRPr="00B41DB1">
        <w:rPr>
          <w:rFonts w:ascii="Times New Roman" w:hAnsi="Times New Roman" w:cs="Times New Roman"/>
          <w:sz w:val="24"/>
          <w:szCs w:val="24"/>
          <w:lang w:val="en-GB"/>
        </w:rPr>
        <w:t xml:space="preserve">. There is now a majority </w:t>
      </w:r>
      <w:r w:rsidR="000B403F" w:rsidRPr="00B41DB1">
        <w:rPr>
          <w:rFonts w:ascii="Times New Roman" w:hAnsi="Times New Roman" w:cs="Times New Roman"/>
          <w:sz w:val="24"/>
          <w:szCs w:val="24"/>
          <w:lang w:val="en-GB"/>
        </w:rPr>
        <w:t xml:space="preserve">of </w:t>
      </w:r>
      <w:r w:rsidR="00941384" w:rsidRPr="00B41DB1">
        <w:rPr>
          <w:rFonts w:ascii="Times New Roman" w:hAnsi="Times New Roman" w:cs="Times New Roman"/>
          <w:sz w:val="24"/>
          <w:szCs w:val="24"/>
          <w:lang w:val="en-GB"/>
        </w:rPr>
        <w:t xml:space="preserve">member states </w:t>
      </w:r>
      <w:r w:rsidR="008C63CF" w:rsidRPr="00B41DB1">
        <w:rPr>
          <w:rFonts w:ascii="Times New Roman" w:hAnsi="Times New Roman" w:cs="Times New Roman"/>
          <w:sz w:val="24"/>
          <w:szCs w:val="24"/>
          <w:lang w:val="en-GB"/>
        </w:rPr>
        <w:t>that</w:t>
      </w:r>
      <w:r w:rsidR="00941384" w:rsidRPr="00B41DB1">
        <w:rPr>
          <w:rFonts w:ascii="Times New Roman" w:hAnsi="Times New Roman" w:cs="Times New Roman"/>
          <w:sz w:val="24"/>
          <w:szCs w:val="24"/>
          <w:lang w:val="en-GB"/>
        </w:rPr>
        <w:t xml:space="preserve"> have no historical ties to the ACP countries whatsoever,</w:t>
      </w:r>
      <w:r w:rsidR="004136BC" w:rsidRPr="00B41DB1">
        <w:rPr>
          <w:rFonts w:ascii="Times New Roman" w:hAnsi="Times New Roman" w:cs="Times New Roman"/>
          <w:sz w:val="24"/>
          <w:szCs w:val="24"/>
          <w:lang w:val="en-GB"/>
        </w:rPr>
        <w:t xml:space="preserve"> </w:t>
      </w:r>
      <w:r w:rsidR="00941384" w:rsidRPr="00B41DB1">
        <w:rPr>
          <w:rFonts w:ascii="Times New Roman" w:hAnsi="Times New Roman" w:cs="Times New Roman"/>
          <w:sz w:val="24"/>
          <w:szCs w:val="24"/>
          <w:lang w:val="en-GB"/>
        </w:rPr>
        <w:t xml:space="preserve">meaning that the balance within the </w:t>
      </w:r>
      <w:r w:rsidR="008C63CF" w:rsidRPr="00B41DB1">
        <w:rPr>
          <w:rFonts w:ascii="Times New Roman" w:hAnsi="Times New Roman" w:cs="Times New Roman"/>
          <w:sz w:val="24"/>
          <w:szCs w:val="24"/>
          <w:lang w:val="en-GB"/>
        </w:rPr>
        <w:t>EU</w:t>
      </w:r>
      <w:r w:rsidR="00941384" w:rsidRPr="00B41DB1">
        <w:rPr>
          <w:rFonts w:ascii="Times New Roman" w:hAnsi="Times New Roman" w:cs="Times New Roman"/>
          <w:sz w:val="24"/>
          <w:szCs w:val="24"/>
          <w:lang w:val="en-GB"/>
        </w:rPr>
        <w:t xml:space="preserve"> has now shifted away from the ACP</w:t>
      </w:r>
      <w:r w:rsidRPr="00B41DB1">
        <w:rPr>
          <w:rFonts w:ascii="Times New Roman" w:hAnsi="Times New Roman" w:cs="Times New Roman"/>
          <w:sz w:val="24"/>
          <w:szCs w:val="24"/>
          <w:lang w:val="en-GB"/>
        </w:rPr>
        <w:t xml:space="preserve"> </w:t>
      </w:r>
      <w:r w:rsidR="00941384" w:rsidRPr="00B41DB1">
        <w:rPr>
          <w:rFonts w:ascii="Times New Roman" w:hAnsi="Times New Roman" w:cs="Times New Roman"/>
          <w:sz w:val="24"/>
          <w:szCs w:val="24"/>
          <w:lang w:val="en-GB"/>
        </w:rPr>
        <w:t>towards other geo-strategic interests</w:t>
      </w:r>
      <w:r w:rsidRPr="00B41DB1">
        <w:rPr>
          <w:rFonts w:ascii="Times New Roman" w:hAnsi="Times New Roman" w:cs="Times New Roman"/>
          <w:sz w:val="24"/>
          <w:szCs w:val="24"/>
          <w:lang w:val="en-GB"/>
        </w:rPr>
        <w:t>.</w:t>
      </w:r>
      <w:r w:rsidR="001C27D0" w:rsidRPr="00B41DB1">
        <w:rPr>
          <w:rFonts w:ascii="Times New Roman" w:hAnsi="Times New Roman" w:cs="Times New Roman"/>
          <w:sz w:val="24"/>
          <w:szCs w:val="24"/>
          <w:lang w:val="en-GB"/>
        </w:rPr>
        <w:t xml:space="preserve"> </w:t>
      </w:r>
      <w:r w:rsidR="00053DC9" w:rsidRPr="00B41DB1">
        <w:rPr>
          <w:rFonts w:ascii="Times New Roman" w:hAnsi="Times New Roman" w:cs="Times New Roman"/>
          <w:sz w:val="24"/>
          <w:szCs w:val="24"/>
          <w:lang w:val="en-GB"/>
        </w:rPr>
        <w:t>Also,</w:t>
      </w:r>
      <w:r w:rsidR="001C27D0" w:rsidRPr="00B41DB1">
        <w:rPr>
          <w:rFonts w:ascii="Times New Roman" w:hAnsi="Times New Roman" w:cs="Times New Roman"/>
          <w:sz w:val="24"/>
          <w:szCs w:val="24"/>
          <w:lang w:val="en-GB"/>
        </w:rPr>
        <w:t xml:space="preserve"> even those member</w:t>
      </w:r>
      <w:r w:rsidR="00053DC9" w:rsidRPr="00B41DB1">
        <w:rPr>
          <w:rFonts w:ascii="Times New Roman" w:hAnsi="Times New Roman" w:cs="Times New Roman"/>
          <w:sz w:val="24"/>
          <w:szCs w:val="24"/>
          <w:lang w:val="en-GB"/>
        </w:rPr>
        <w:t>s</w:t>
      </w:r>
      <w:r w:rsidR="001C27D0" w:rsidRPr="00B41DB1">
        <w:rPr>
          <w:rFonts w:ascii="Times New Roman" w:hAnsi="Times New Roman" w:cs="Times New Roman"/>
          <w:sz w:val="24"/>
          <w:szCs w:val="24"/>
          <w:lang w:val="en-GB"/>
        </w:rPr>
        <w:t xml:space="preserve">, such as the UK, with long-standing ties with the Caribbean are focusing their attention and resources elsewhere. </w:t>
      </w:r>
      <w:r w:rsidR="008C63CF" w:rsidRPr="00B41DB1">
        <w:rPr>
          <w:rFonts w:ascii="Times New Roman" w:hAnsi="Times New Roman" w:cs="Times New Roman"/>
          <w:sz w:val="24"/>
          <w:szCs w:val="24"/>
          <w:lang w:val="en-GB"/>
        </w:rPr>
        <w:t xml:space="preserve">As </w:t>
      </w:r>
      <w:r w:rsidR="009547D1" w:rsidRPr="00B41DB1">
        <w:rPr>
          <w:rFonts w:ascii="Times New Roman" w:hAnsi="Times New Roman" w:cs="Times New Roman"/>
          <w:sz w:val="24"/>
          <w:szCs w:val="24"/>
          <w:lang w:val="en-GB"/>
        </w:rPr>
        <w:t xml:space="preserve">far back as </w:t>
      </w:r>
      <w:r w:rsidR="008C63CF" w:rsidRPr="00B41DB1">
        <w:rPr>
          <w:rFonts w:ascii="Times New Roman" w:hAnsi="Times New Roman" w:cs="Times New Roman"/>
          <w:sz w:val="24"/>
          <w:szCs w:val="24"/>
          <w:lang w:val="en-GB"/>
        </w:rPr>
        <w:t>2004 Jessop a</w:t>
      </w:r>
      <w:r w:rsidR="001C27D0" w:rsidRPr="00B41DB1">
        <w:rPr>
          <w:rFonts w:ascii="Times New Roman" w:hAnsi="Times New Roman" w:cs="Times New Roman"/>
          <w:sz w:val="24"/>
          <w:szCs w:val="24"/>
          <w:lang w:val="en-GB"/>
        </w:rPr>
        <w:t>rgued</w:t>
      </w:r>
      <w:r w:rsidR="00B70A2C" w:rsidRPr="00B41DB1">
        <w:rPr>
          <w:rFonts w:ascii="Times New Roman" w:hAnsi="Times New Roman" w:cs="Times New Roman"/>
          <w:sz w:val="24"/>
          <w:szCs w:val="24"/>
          <w:lang w:val="en-GB"/>
        </w:rPr>
        <w:t>:</w:t>
      </w:r>
      <w:r w:rsidR="008C63CF" w:rsidRPr="00B41DB1">
        <w:rPr>
          <w:rFonts w:ascii="Times New Roman" w:hAnsi="Times New Roman" w:cs="Times New Roman"/>
          <w:sz w:val="24"/>
          <w:szCs w:val="24"/>
          <w:lang w:val="en-GB"/>
        </w:rPr>
        <w:t xml:space="preserve"> </w:t>
      </w:r>
      <w:r w:rsidR="00D226DD" w:rsidRPr="00B41DB1">
        <w:rPr>
          <w:rFonts w:ascii="Times New Roman" w:hAnsi="Times New Roman" w:cs="Times New Roman"/>
          <w:sz w:val="24"/>
          <w:szCs w:val="24"/>
          <w:lang w:val="en-GB"/>
        </w:rPr>
        <w:t>‘</w:t>
      </w:r>
      <w:r w:rsidR="008C63CF" w:rsidRPr="00B41DB1">
        <w:rPr>
          <w:rFonts w:ascii="Times New Roman" w:hAnsi="Times New Roman" w:cs="Times New Roman"/>
          <w:sz w:val="24"/>
          <w:szCs w:val="24"/>
          <w:lang w:val="en-GB"/>
        </w:rPr>
        <w:t>[t]he Europe that the Caribbean has grown up with will cease. In its place will be a Union with a radically different relationship to the Caribbean and other relatively m</w:t>
      </w:r>
      <w:r w:rsidR="001C27D0" w:rsidRPr="00B41DB1">
        <w:rPr>
          <w:rFonts w:ascii="Times New Roman" w:hAnsi="Times New Roman" w:cs="Times New Roman"/>
          <w:sz w:val="24"/>
          <w:szCs w:val="24"/>
          <w:lang w:val="en-GB"/>
        </w:rPr>
        <w:t>arginal regions of the world’’.</w:t>
      </w:r>
      <w:r w:rsidR="00290499" w:rsidRPr="00B41DB1">
        <w:rPr>
          <w:rFonts w:ascii="Times New Roman" w:hAnsi="Times New Roman" w:cs="Times New Roman"/>
          <w:sz w:val="24"/>
          <w:szCs w:val="24"/>
          <w:lang w:val="en-GB"/>
        </w:rPr>
        <w:t xml:space="preserve"> This scenario has </w:t>
      </w:r>
      <w:r w:rsidR="00DB1E7D" w:rsidRPr="00B41DB1">
        <w:rPr>
          <w:rFonts w:ascii="Times New Roman" w:hAnsi="Times New Roman" w:cs="Times New Roman"/>
          <w:sz w:val="24"/>
          <w:szCs w:val="24"/>
          <w:lang w:val="en-GB"/>
        </w:rPr>
        <w:t>unfortunately</w:t>
      </w:r>
      <w:r w:rsidR="00290499" w:rsidRPr="00B41DB1">
        <w:rPr>
          <w:rFonts w:ascii="Times New Roman" w:hAnsi="Times New Roman" w:cs="Times New Roman"/>
          <w:sz w:val="24"/>
          <w:szCs w:val="24"/>
          <w:lang w:val="en-GB"/>
        </w:rPr>
        <w:t xml:space="preserve"> </w:t>
      </w:r>
      <w:r w:rsidR="000A2512" w:rsidRPr="00B41DB1">
        <w:rPr>
          <w:rFonts w:ascii="Times New Roman" w:hAnsi="Times New Roman" w:cs="Times New Roman"/>
          <w:sz w:val="24"/>
          <w:szCs w:val="24"/>
          <w:lang w:val="en-GB"/>
        </w:rPr>
        <w:t>come to pass</w:t>
      </w:r>
      <w:r w:rsidR="00290499" w:rsidRPr="00B41DB1">
        <w:rPr>
          <w:rFonts w:ascii="Times New Roman" w:hAnsi="Times New Roman" w:cs="Times New Roman"/>
          <w:sz w:val="24"/>
          <w:szCs w:val="24"/>
          <w:lang w:val="en-GB"/>
        </w:rPr>
        <w:t>.</w:t>
      </w:r>
    </w:p>
    <w:p w14:paraId="1A6DE4EB" w14:textId="77777777" w:rsidR="00FA4952" w:rsidRPr="00B41DB1" w:rsidRDefault="00FA4952" w:rsidP="000D2F47">
      <w:pPr>
        <w:spacing w:after="0" w:line="480" w:lineRule="auto"/>
        <w:rPr>
          <w:rFonts w:ascii="Times New Roman" w:hAnsi="Times New Roman" w:cs="Times New Roman"/>
          <w:sz w:val="24"/>
          <w:szCs w:val="24"/>
          <w:lang w:val="en-GB"/>
        </w:rPr>
      </w:pPr>
    </w:p>
    <w:p w14:paraId="04F3C43F" w14:textId="77777777" w:rsidR="00FA4952" w:rsidRPr="00B41DB1" w:rsidRDefault="00FA4952"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The Cotonou Agreement: the last hurrah?</w:t>
      </w:r>
    </w:p>
    <w:p w14:paraId="73CF546A" w14:textId="6B3F5551" w:rsidR="001357B5" w:rsidRPr="00B41DB1" w:rsidRDefault="00FD0056"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The previous sections have highlighted how over time the relationship between the Caribbean and the EU has diminished. It was within this environment that a new agreement was needed to replace the fourth Lomé </w:t>
      </w:r>
      <w:r w:rsidR="002E5CE6" w:rsidRPr="00B41DB1">
        <w:rPr>
          <w:rFonts w:ascii="Times New Roman" w:hAnsi="Times New Roman" w:cs="Times New Roman"/>
          <w:sz w:val="24"/>
          <w:szCs w:val="24"/>
          <w:lang w:val="en-GB"/>
        </w:rPr>
        <w:t>Convention</w:t>
      </w:r>
      <w:r w:rsidRPr="00B41DB1">
        <w:rPr>
          <w:rFonts w:ascii="Times New Roman" w:hAnsi="Times New Roman" w:cs="Times New Roman"/>
          <w:sz w:val="24"/>
          <w:szCs w:val="24"/>
          <w:lang w:val="en-GB"/>
        </w:rPr>
        <w:t xml:space="preserve">, which had </w:t>
      </w:r>
      <w:r w:rsidR="0024235D" w:rsidRPr="00B41DB1">
        <w:rPr>
          <w:rFonts w:ascii="Times New Roman" w:hAnsi="Times New Roman" w:cs="Times New Roman"/>
          <w:sz w:val="24"/>
          <w:szCs w:val="24"/>
          <w:lang w:val="en-GB"/>
        </w:rPr>
        <w:t xml:space="preserve">clearly </w:t>
      </w:r>
      <w:r w:rsidRPr="00B41DB1">
        <w:rPr>
          <w:rFonts w:ascii="Times New Roman" w:hAnsi="Times New Roman" w:cs="Times New Roman"/>
          <w:sz w:val="24"/>
          <w:szCs w:val="24"/>
          <w:lang w:val="en-GB"/>
        </w:rPr>
        <w:t xml:space="preserve">run its course. </w:t>
      </w:r>
      <w:r w:rsidR="0024235D" w:rsidRPr="00B41DB1">
        <w:rPr>
          <w:rFonts w:ascii="Times New Roman" w:hAnsi="Times New Roman" w:cs="Times New Roman"/>
          <w:sz w:val="24"/>
          <w:szCs w:val="24"/>
          <w:lang w:val="en-GB"/>
        </w:rPr>
        <w:t xml:space="preserve">Although the </w:t>
      </w:r>
      <w:r w:rsidR="006520ED" w:rsidRPr="00B41DB1">
        <w:rPr>
          <w:rFonts w:ascii="Times New Roman" w:hAnsi="Times New Roman" w:cs="Times New Roman"/>
          <w:sz w:val="24"/>
          <w:szCs w:val="24"/>
          <w:lang w:val="en-GB"/>
        </w:rPr>
        <w:t>Cotonou A</w:t>
      </w:r>
      <w:r w:rsidR="0024235D" w:rsidRPr="00B41DB1">
        <w:rPr>
          <w:rFonts w:ascii="Times New Roman" w:hAnsi="Times New Roman" w:cs="Times New Roman"/>
          <w:sz w:val="24"/>
          <w:szCs w:val="24"/>
          <w:lang w:val="en-GB"/>
        </w:rPr>
        <w:t xml:space="preserve">greement incorporated commitments relating to political cooperation, trade and aid, many of the more progressive </w:t>
      </w:r>
      <w:r w:rsidRPr="00B41DB1">
        <w:rPr>
          <w:rFonts w:ascii="Times New Roman" w:hAnsi="Times New Roman" w:cs="Times New Roman"/>
          <w:sz w:val="24"/>
          <w:szCs w:val="24"/>
          <w:lang w:val="en-GB"/>
        </w:rPr>
        <w:t xml:space="preserve">elements of Lomé were lost. Perhaps the most important </w:t>
      </w:r>
      <w:r w:rsidR="002E5CE6" w:rsidRPr="00B41DB1">
        <w:rPr>
          <w:rFonts w:ascii="Times New Roman" w:hAnsi="Times New Roman" w:cs="Times New Roman"/>
          <w:sz w:val="24"/>
          <w:szCs w:val="24"/>
          <w:lang w:val="en-GB"/>
        </w:rPr>
        <w:t xml:space="preserve">pledge was that the </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ACP and the EU have agreed to conclude WTO-compatible trade agreements that will progressively remove barriers to trade between them and enhance cooperation in all </w:t>
      </w:r>
      <w:r w:rsidR="002E5CE6" w:rsidRPr="00B41DB1">
        <w:rPr>
          <w:rFonts w:ascii="Times New Roman" w:hAnsi="Times New Roman" w:cs="Times New Roman"/>
          <w:sz w:val="24"/>
          <w:szCs w:val="24"/>
          <w:lang w:val="en-GB"/>
        </w:rPr>
        <w:t>areas relevant to trade</w:t>
      </w:r>
      <w:r w:rsidR="00D226DD"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(European </w:t>
      </w:r>
      <w:r w:rsidRPr="00B41DB1">
        <w:rPr>
          <w:rFonts w:ascii="Times New Roman" w:hAnsi="Times New Roman" w:cs="Times New Roman"/>
          <w:sz w:val="24"/>
          <w:szCs w:val="24"/>
          <w:lang w:val="en-GB"/>
        </w:rPr>
        <w:lastRenderedPageBreak/>
        <w:t xml:space="preserve">Commission, 2002, </w:t>
      </w:r>
      <w:r w:rsidR="00AC2F15" w:rsidRPr="00B41DB1">
        <w:rPr>
          <w:rFonts w:ascii="Times New Roman" w:hAnsi="Times New Roman" w:cs="Times New Roman"/>
          <w:sz w:val="24"/>
          <w:szCs w:val="24"/>
          <w:lang w:val="en-GB"/>
        </w:rPr>
        <w:t xml:space="preserve">p. </w:t>
      </w:r>
      <w:r w:rsidRPr="00B41DB1">
        <w:rPr>
          <w:rFonts w:ascii="Times New Roman" w:hAnsi="Times New Roman" w:cs="Times New Roman"/>
          <w:sz w:val="24"/>
          <w:szCs w:val="24"/>
          <w:lang w:val="en-GB"/>
        </w:rPr>
        <w:t>6).</w:t>
      </w:r>
      <w:r w:rsidR="002E5CE6" w:rsidRPr="00B41DB1">
        <w:rPr>
          <w:rFonts w:ascii="Times New Roman" w:hAnsi="Times New Roman" w:cs="Times New Roman"/>
          <w:sz w:val="24"/>
          <w:szCs w:val="24"/>
          <w:lang w:val="en-GB"/>
        </w:rPr>
        <w:t xml:space="preserve"> </w:t>
      </w:r>
      <w:r w:rsidR="000B79E9">
        <w:rPr>
          <w:rFonts w:ascii="Times New Roman" w:hAnsi="Times New Roman" w:cs="Times New Roman"/>
          <w:sz w:val="24"/>
          <w:szCs w:val="24"/>
          <w:lang w:val="en-GB"/>
        </w:rPr>
        <w:t xml:space="preserve">The European Commission claimed that the planned Economic Partnership Agreements (EPAs) were ‘the way to help create a modern, twenty-first-century business environment, attract foreign direct investment, to grow markets and trade in order to reduce poverty’ (CARICOM Secretariat, 2007). </w:t>
      </w:r>
      <w:r w:rsidR="002E5CE6" w:rsidRPr="00B41DB1">
        <w:rPr>
          <w:rFonts w:ascii="Times New Roman" w:hAnsi="Times New Roman" w:cs="Times New Roman"/>
          <w:sz w:val="24"/>
          <w:szCs w:val="24"/>
          <w:lang w:val="en-GB"/>
        </w:rPr>
        <w:t xml:space="preserve">Negotiations for the </w:t>
      </w:r>
      <w:r w:rsidR="000B79E9">
        <w:rPr>
          <w:rFonts w:ascii="Times New Roman" w:hAnsi="Times New Roman" w:cs="Times New Roman"/>
          <w:sz w:val="24"/>
          <w:szCs w:val="24"/>
          <w:lang w:val="en-GB"/>
        </w:rPr>
        <w:t>EPA</w:t>
      </w:r>
      <w:r w:rsidR="002E5CE6" w:rsidRPr="00B41DB1">
        <w:rPr>
          <w:rFonts w:ascii="Times New Roman" w:hAnsi="Times New Roman" w:cs="Times New Roman"/>
          <w:sz w:val="24"/>
          <w:szCs w:val="24"/>
          <w:lang w:val="en-GB"/>
        </w:rPr>
        <w:t xml:space="preserve"> </w:t>
      </w:r>
      <w:r w:rsidR="0024235D" w:rsidRPr="00B41DB1">
        <w:rPr>
          <w:rFonts w:ascii="Times New Roman" w:hAnsi="Times New Roman" w:cs="Times New Roman"/>
          <w:sz w:val="24"/>
          <w:szCs w:val="24"/>
          <w:lang w:val="en-GB"/>
        </w:rPr>
        <w:t xml:space="preserve">began </w:t>
      </w:r>
      <w:r w:rsidR="002E5CE6" w:rsidRPr="00B41DB1">
        <w:rPr>
          <w:rFonts w:ascii="Times New Roman" w:hAnsi="Times New Roman" w:cs="Times New Roman"/>
          <w:sz w:val="24"/>
          <w:szCs w:val="24"/>
          <w:lang w:val="en-GB"/>
        </w:rPr>
        <w:t>in 2002</w:t>
      </w:r>
      <w:r w:rsidR="005A18BF" w:rsidRPr="00B41DB1">
        <w:rPr>
          <w:rFonts w:ascii="Times New Roman" w:hAnsi="Times New Roman" w:cs="Times New Roman"/>
          <w:sz w:val="24"/>
          <w:szCs w:val="24"/>
          <w:lang w:val="en-GB"/>
        </w:rPr>
        <w:t xml:space="preserve"> and </w:t>
      </w:r>
      <w:r w:rsidR="0024235D" w:rsidRPr="00B41DB1">
        <w:rPr>
          <w:rFonts w:ascii="Times New Roman" w:hAnsi="Times New Roman" w:cs="Times New Roman"/>
          <w:sz w:val="24"/>
          <w:szCs w:val="24"/>
          <w:lang w:val="en-GB"/>
        </w:rPr>
        <w:t xml:space="preserve">it </w:t>
      </w:r>
      <w:r w:rsidR="005A18BF" w:rsidRPr="00B41DB1">
        <w:rPr>
          <w:rFonts w:ascii="Times New Roman" w:hAnsi="Times New Roman" w:cs="Times New Roman"/>
          <w:sz w:val="24"/>
          <w:szCs w:val="24"/>
          <w:lang w:val="en-GB"/>
        </w:rPr>
        <w:t xml:space="preserve">was signed in October 2008 between the EU and </w:t>
      </w:r>
      <w:r w:rsidR="000D2F47" w:rsidRPr="00B41DB1">
        <w:rPr>
          <w:rFonts w:ascii="Times New Roman" w:hAnsi="Times New Roman" w:cs="Times New Roman"/>
          <w:sz w:val="24"/>
          <w:szCs w:val="24"/>
          <w:lang w:val="en-GB"/>
        </w:rPr>
        <w:t xml:space="preserve">fourteen </w:t>
      </w:r>
      <w:r w:rsidR="002E5CE6" w:rsidRPr="00B41DB1">
        <w:rPr>
          <w:rFonts w:ascii="Times New Roman" w:hAnsi="Times New Roman" w:cs="Times New Roman"/>
          <w:sz w:val="24"/>
          <w:szCs w:val="24"/>
          <w:lang w:val="en-GB"/>
        </w:rPr>
        <w:t xml:space="preserve">CARICOM members plus </w:t>
      </w:r>
      <w:r w:rsidR="005A18BF" w:rsidRPr="00B41DB1">
        <w:rPr>
          <w:rFonts w:ascii="Times New Roman" w:hAnsi="Times New Roman" w:cs="Times New Roman"/>
          <w:sz w:val="24"/>
          <w:szCs w:val="24"/>
          <w:lang w:val="en-GB"/>
        </w:rPr>
        <w:t xml:space="preserve">the </w:t>
      </w:r>
      <w:r w:rsidR="00DA3E64">
        <w:rPr>
          <w:rFonts w:ascii="Times New Roman" w:hAnsi="Times New Roman" w:cs="Times New Roman"/>
          <w:sz w:val="24"/>
          <w:szCs w:val="24"/>
          <w:lang w:val="en-GB"/>
        </w:rPr>
        <w:t xml:space="preserve">much larger and </w:t>
      </w:r>
      <w:r w:rsidR="001B553D">
        <w:rPr>
          <w:rFonts w:ascii="Times New Roman" w:hAnsi="Times New Roman" w:cs="Times New Roman"/>
          <w:sz w:val="24"/>
          <w:szCs w:val="24"/>
          <w:lang w:val="en-GB"/>
        </w:rPr>
        <w:t xml:space="preserve">economically stronger </w:t>
      </w:r>
      <w:r w:rsidR="00C9558F">
        <w:rPr>
          <w:rFonts w:ascii="Times New Roman" w:hAnsi="Times New Roman" w:cs="Times New Roman"/>
          <w:sz w:val="24"/>
          <w:szCs w:val="24"/>
          <w:lang w:val="en-GB"/>
        </w:rPr>
        <w:t>Dominican Republic</w:t>
      </w:r>
      <w:r w:rsidR="002E5CE6" w:rsidRPr="00B41DB1">
        <w:rPr>
          <w:rFonts w:ascii="Times New Roman" w:hAnsi="Times New Roman" w:cs="Times New Roman"/>
          <w:sz w:val="24"/>
          <w:szCs w:val="24"/>
          <w:lang w:val="en-GB"/>
        </w:rPr>
        <w:t xml:space="preserve"> (known as CARIFORUM)</w:t>
      </w:r>
      <w:r w:rsidR="005A18BF" w:rsidRPr="00B41DB1">
        <w:rPr>
          <w:rFonts w:ascii="Times New Roman" w:hAnsi="Times New Roman" w:cs="Times New Roman"/>
          <w:sz w:val="24"/>
          <w:szCs w:val="24"/>
          <w:lang w:val="en-GB"/>
        </w:rPr>
        <w:t xml:space="preserve">. Crucially this was an agreement between the Caribbean and EU only, and not the wider ACP grouping. </w:t>
      </w:r>
      <w:r w:rsidR="003025C9" w:rsidRPr="00B41DB1">
        <w:rPr>
          <w:rFonts w:ascii="Times New Roman" w:hAnsi="Times New Roman" w:cs="Times New Roman"/>
          <w:sz w:val="24"/>
          <w:szCs w:val="24"/>
          <w:lang w:val="en-GB"/>
        </w:rPr>
        <w:t>It has been suggested that this</w:t>
      </w:r>
      <w:r w:rsidR="006008A1" w:rsidRPr="00B41DB1">
        <w:rPr>
          <w:rFonts w:ascii="Times New Roman" w:hAnsi="Times New Roman" w:cs="Times New Roman"/>
          <w:sz w:val="24"/>
          <w:szCs w:val="24"/>
          <w:lang w:val="en-GB"/>
        </w:rPr>
        <w:t xml:space="preserve"> </w:t>
      </w:r>
      <w:r w:rsidR="00D226DD" w:rsidRPr="00B41DB1">
        <w:rPr>
          <w:rFonts w:ascii="Times New Roman" w:hAnsi="Times New Roman" w:cs="Times New Roman"/>
          <w:sz w:val="24"/>
          <w:szCs w:val="24"/>
          <w:lang w:val="en-GB"/>
        </w:rPr>
        <w:t>‘</w:t>
      </w:r>
      <w:r w:rsidR="006008A1" w:rsidRPr="00B41DB1">
        <w:rPr>
          <w:rFonts w:ascii="Times New Roman" w:hAnsi="Times New Roman" w:cs="Times New Roman"/>
          <w:sz w:val="24"/>
          <w:szCs w:val="24"/>
          <w:lang w:val="en-GB"/>
        </w:rPr>
        <w:t>shattered</w:t>
      </w:r>
      <w:r w:rsidR="00D226DD" w:rsidRPr="00B41DB1">
        <w:rPr>
          <w:rFonts w:ascii="Times New Roman" w:hAnsi="Times New Roman" w:cs="Times New Roman"/>
          <w:sz w:val="24"/>
          <w:szCs w:val="24"/>
          <w:lang w:val="en-GB"/>
        </w:rPr>
        <w:t>’</w:t>
      </w:r>
      <w:r w:rsidR="006008A1" w:rsidRPr="00B41DB1">
        <w:rPr>
          <w:rFonts w:ascii="Times New Roman" w:hAnsi="Times New Roman" w:cs="Times New Roman"/>
          <w:sz w:val="24"/>
          <w:szCs w:val="24"/>
          <w:lang w:val="en-GB"/>
        </w:rPr>
        <w:t xml:space="preserve"> </w:t>
      </w:r>
      <w:r w:rsidR="00BD223E" w:rsidRPr="00B41DB1">
        <w:rPr>
          <w:rFonts w:ascii="Times New Roman" w:hAnsi="Times New Roman" w:cs="Times New Roman"/>
          <w:sz w:val="24"/>
          <w:szCs w:val="24"/>
          <w:lang w:val="en-GB"/>
        </w:rPr>
        <w:t xml:space="preserve">long-standing </w:t>
      </w:r>
      <w:r w:rsidR="006008A1" w:rsidRPr="00B41DB1">
        <w:rPr>
          <w:rFonts w:ascii="Times New Roman" w:hAnsi="Times New Roman" w:cs="Times New Roman"/>
          <w:sz w:val="24"/>
          <w:szCs w:val="24"/>
          <w:lang w:val="en-GB"/>
        </w:rPr>
        <w:t>ACP solidarity (</w:t>
      </w:r>
      <w:r w:rsidR="003025C9" w:rsidRPr="00B41DB1">
        <w:rPr>
          <w:rFonts w:ascii="Times New Roman" w:hAnsi="Times New Roman" w:cs="Times New Roman"/>
          <w:sz w:val="24"/>
          <w:szCs w:val="24"/>
          <w:lang w:val="en-GB"/>
        </w:rPr>
        <w:t xml:space="preserve">Sanders, </w:t>
      </w:r>
      <w:r w:rsidR="006008A1" w:rsidRPr="00B41DB1">
        <w:rPr>
          <w:rFonts w:ascii="Times New Roman" w:hAnsi="Times New Roman" w:cs="Times New Roman"/>
          <w:sz w:val="24"/>
          <w:szCs w:val="24"/>
          <w:lang w:val="en-GB"/>
        </w:rPr>
        <w:t>2012</w:t>
      </w:r>
      <w:r w:rsidR="004E2745" w:rsidRPr="00B41DB1">
        <w:rPr>
          <w:rFonts w:ascii="Times New Roman" w:hAnsi="Times New Roman" w:cs="Times New Roman"/>
          <w:sz w:val="24"/>
          <w:szCs w:val="24"/>
          <w:lang w:val="en-GB"/>
        </w:rPr>
        <w:t>a</w:t>
      </w:r>
      <w:r w:rsidR="006008A1" w:rsidRPr="00B41DB1">
        <w:rPr>
          <w:rFonts w:ascii="Times New Roman" w:hAnsi="Times New Roman" w:cs="Times New Roman"/>
          <w:sz w:val="24"/>
          <w:szCs w:val="24"/>
          <w:lang w:val="en-GB"/>
        </w:rPr>
        <w:t>)</w:t>
      </w:r>
      <w:r w:rsidR="003025C9" w:rsidRPr="00B41DB1">
        <w:rPr>
          <w:rFonts w:ascii="Times New Roman" w:hAnsi="Times New Roman" w:cs="Times New Roman"/>
          <w:sz w:val="24"/>
          <w:szCs w:val="24"/>
          <w:lang w:val="en-GB"/>
        </w:rPr>
        <w:t>.</w:t>
      </w:r>
      <w:r w:rsidR="002517E4">
        <w:rPr>
          <w:rFonts w:ascii="Times New Roman" w:hAnsi="Times New Roman" w:cs="Times New Roman"/>
          <w:sz w:val="24"/>
          <w:szCs w:val="24"/>
          <w:lang w:val="en-GB"/>
        </w:rPr>
        <w:t xml:space="preserve"> This certainly weaken</w:t>
      </w:r>
      <w:r w:rsidR="006652E2">
        <w:rPr>
          <w:rFonts w:ascii="Times New Roman" w:hAnsi="Times New Roman" w:cs="Times New Roman"/>
          <w:sz w:val="24"/>
          <w:szCs w:val="24"/>
          <w:lang w:val="en-GB"/>
        </w:rPr>
        <w:t>ed</w:t>
      </w:r>
      <w:r w:rsidR="002517E4">
        <w:rPr>
          <w:rFonts w:ascii="Times New Roman" w:hAnsi="Times New Roman" w:cs="Times New Roman"/>
          <w:sz w:val="24"/>
          <w:szCs w:val="24"/>
          <w:lang w:val="en-GB"/>
        </w:rPr>
        <w:t xml:space="preserve"> the Caribbean’s negotiating position, </w:t>
      </w:r>
      <w:r w:rsidR="00FC6C93">
        <w:rPr>
          <w:rFonts w:ascii="Times New Roman" w:hAnsi="Times New Roman" w:cs="Times New Roman"/>
          <w:sz w:val="24"/>
          <w:szCs w:val="24"/>
          <w:lang w:val="en-GB"/>
        </w:rPr>
        <w:t xml:space="preserve">although the importance of the ACP Group should not be over-stated as its role </w:t>
      </w:r>
      <w:r w:rsidR="00E74824">
        <w:rPr>
          <w:rFonts w:ascii="Times New Roman" w:hAnsi="Times New Roman" w:cs="Times New Roman"/>
          <w:sz w:val="24"/>
          <w:szCs w:val="24"/>
          <w:lang w:val="en-GB"/>
        </w:rPr>
        <w:t>had</w:t>
      </w:r>
      <w:r w:rsidR="008C1172">
        <w:rPr>
          <w:rFonts w:ascii="Times New Roman" w:hAnsi="Times New Roman" w:cs="Times New Roman"/>
          <w:sz w:val="24"/>
          <w:szCs w:val="24"/>
          <w:lang w:val="en-GB"/>
        </w:rPr>
        <w:t xml:space="preserve"> been in decline</w:t>
      </w:r>
      <w:r w:rsidR="00511111">
        <w:rPr>
          <w:rFonts w:ascii="Times New Roman" w:hAnsi="Times New Roman" w:cs="Times New Roman"/>
          <w:sz w:val="24"/>
          <w:szCs w:val="24"/>
          <w:lang w:val="en-GB"/>
        </w:rPr>
        <w:t xml:space="preserve"> </w:t>
      </w:r>
      <w:r w:rsidR="001357B5">
        <w:rPr>
          <w:rFonts w:ascii="Times New Roman" w:hAnsi="Times New Roman" w:cs="Times New Roman"/>
          <w:sz w:val="24"/>
          <w:szCs w:val="24"/>
          <w:lang w:val="en-GB"/>
        </w:rPr>
        <w:t xml:space="preserve">for some time </w:t>
      </w:r>
      <w:r w:rsidR="006652E2">
        <w:rPr>
          <w:rFonts w:ascii="Times New Roman" w:hAnsi="Times New Roman" w:cs="Times New Roman"/>
          <w:sz w:val="24"/>
          <w:szCs w:val="24"/>
          <w:lang w:val="en-GB"/>
        </w:rPr>
        <w:t>(</w:t>
      </w:r>
      <w:r w:rsidR="001357B5">
        <w:rPr>
          <w:rFonts w:ascii="Times New Roman" w:hAnsi="Times New Roman" w:cs="Times New Roman"/>
          <w:sz w:val="24"/>
          <w:szCs w:val="24"/>
          <w:lang w:val="en-GB"/>
        </w:rPr>
        <w:t xml:space="preserve">see </w:t>
      </w:r>
      <w:r w:rsidR="002212B5">
        <w:rPr>
          <w:rFonts w:ascii="Times New Roman" w:hAnsi="Times New Roman" w:cs="Times New Roman"/>
          <w:sz w:val="24"/>
          <w:szCs w:val="24"/>
          <w:lang w:val="en-GB"/>
        </w:rPr>
        <w:t>Negre et</w:t>
      </w:r>
      <w:r w:rsidR="006652E2">
        <w:rPr>
          <w:rFonts w:ascii="Times New Roman" w:hAnsi="Times New Roman" w:cs="Times New Roman"/>
          <w:sz w:val="24"/>
          <w:szCs w:val="24"/>
          <w:lang w:val="en-GB"/>
        </w:rPr>
        <w:t xml:space="preserve"> </w:t>
      </w:r>
      <w:r w:rsidR="002212B5">
        <w:rPr>
          <w:rFonts w:ascii="Times New Roman" w:hAnsi="Times New Roman" w:cs="Times New Roman"/>
          <w:sz w:val="24"/>
          <w:szCs w:val="24"/>
          <w:lang w:val="en-GB"/>
        </w:rPr>
        <w:t>al.</w:t>
      </w:r>
      <w:r w:rsidR="006652E2">
        <w:rPr>
          <w:rFonts w:ascii="Times New Roman" w:hAnsi="Times New Roman" w:cs="Times New Roman"/>
          <w:sz w:val="24"/>
          <w:szCs w:val="24"/>
          <w:lang w:val="en-GB"/>
        </w:rPr>
        <w:t xml:space="preserve">, </w:t>
      </w:r>
      <w:r w:rsidR="002212B5">
        <w:rPr>
          <w:rFonts w:ascii="Times New Roman" w:hAnsi="Times New Roman" w:cs="Times New Roman"/>
          <w:sz w:val="24"/>
          <w:szCs w:val="24"/>
          <w:lang w:val="en-GB"/>
        </w:rPr>
        <w:t>2013).</w:t>
      </w:r>
    </w:p>
    <w:p w14:paraId="39F8FF6D" w14:textId="154274DD" w:rsidR="009135C5" w:rsidRPr="00B41DB1" w:rsidRDefault="0014649C"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The first priority</w:t>
      </w:r>
      <w:r w:rsidR="002212B5">
        <w:rPr>
          <w:rFonts w:ascii="Times New Roman" w:hAnsi="Times New Roman" w:cs="Times New Roman"/>
          <w:sz w:val="24"/>
          <w:szCs w:val="24"/>
          <w:lang w:val="en-GB"/>
        </w:rPr>
        <w:t xml:space="preserve"> of the negotiations between the Caribbean and EU, </w:t>
      </w:r>
      <w:r w:rsidRPr="00B41DB1">
        <w:rPr>
          <w:rFonts w:ascii="Times New Roman" w:hAnsi="Times New Roman" w:cs="Times New Roman"/>
          <w:sz w:val="24"/>
          <w:szCs w:val="24"/>
          <w:lang w:val="en-GB"/>
        </w:rPr>
        <w:t xml:space="preserve">as indicated </w:t>
      </w:r>
      <w:r w:rsidR="00F96E07" w:rsidRPr="00B41DB1">
        <w:rPr>
          <w:rFonts w:ascii="Times New Roman" w:hAnsi="Times New Roman" w:cs="Times New Roman"/>
          <w:sz w:val="24"/>
          <w:szCs w:val="24"/>
          <w:lang w:val="en-GB"/>
        </w:rPr>
        <w:t>above</w:t>
      </w:r>
      <w:r w:rsidR="00681B2A"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was to create an EPA that conformed to WTO rules, particularly to Articles XXIV of the GATT and V of the General Agreement on Trade in Services (GATS) that demand reciprocity and the liberalisation of </w:t>
      </w:r>
      <w:r w:rsidR="003A3D85" w:rsidRPr="00B41DB1">
        <w:rPr>
          <w:rFonts w:ascii="Times New Roman" w:hAnsi="Times New Roman" w:cs="Times New Roman"/>
          <w:sz w:val="24"/>
          <w:szCs w:val="24"/>
          <w:lang w:val="en-GB"/>
        </w:rPr>
        <w:t>‘substantially all’</w:t>
      </w:r>
      <w:r w:rsidRPr="00B41DB1">
        <w:rPr>
          <w:rFonts w:ascii="Times New Roman" w:hAnsi="Times New Roman" w:cs="Times New Roman"/>
          <w:sz w:val="24"/>
          <w:szCs w:val="24"/>
          <w:lang w:val="en-GB"/>
        </w:rPr>
        <w:t xml:space="preserve"> tariffs over a ‘reasonable period of time’. However, both the EU and the Caribbean agreed to a degree of asymmetry in the application of the EPA. </w:t>
      </w:r>
      <w:r w:rsidR="009135C5" w:rsidRPr="00B41DB1">
        <w:rPr>
          <w:rFonts w:ascii="Times New Roman" w:hAnsi="Times New Roman" w:cs="Times New Roman"/>
          <w:sz w:val="24"/>
          <w:szCs w:val="24"/>
          <w:lang w:val="en-GB"/>
        </w:rPr>
        <w:t xml:space="preserve">The EU committed to provide </w:t>
      </w:r>
      <w:r w:rsidRPr="00B41DB1">
        <w:rPr>
          <w:rFonts w:ascii="Times New Roman" w:hAnsi="Times New Roman" w:cs="Times New Roman"/>
          <w:sz w:val="24"/>
          <w:szCs w:val="24"/>
          <w:lang w:val="en-GB"/>
        </w:rPr>
        <w:t xml:space="preserve">duty free/quota free </w:t>
      </w:r>
      <w:r w:rsidR="009135C5" w:rsidRPr="00B41DB1">
        <w:rPr>
          <w:rFonts w:ascii="Times New Roman" w:hAnsi="Times New Roman" w:cs="Times New Roman"/>
          <w:sz w:val="24"/>
          <w:szCs w:val="24"/>
          <w:lang w:val="en-GB"/>
        </w:rPr>
        <w:t xml:space="preserve">(DFQF) </w:t>
      </w:r>
      <w:r w:rsidRPr="00B41DB1">
        <w:rPr>
          <w:rFonts w:ascii="Times New Roman" w:hAnsi="Times New Roman" w:cs="Times New Roman"/>
          <w:sz w:val="24"/>
          <w:szCs w:val="24"/>
          <w:lang w:val="en-GB"/>
        </w:rPr>
        <w:t>market access to</w:t>
      </w:r>
      <w:r w:rsidR="00992C42" w:rsidRPr="00B41DB1">
        <w:rPr>
          <w:rFonts w:ascii="Times New Roman" w:hAnsi="Times New Roman" w:cs="Times New Roman"/>
          <w:sz w:val="24"/>
          <w:szCs w:val="24"/>
          <w:lang w:val="en-GB"/>
        </w:rPr>
        <w:t xml:space="preserve"> the EU for all CARIFORUM goods</w:t>
      </w:r>
      <w:r w:rsidRPr="00B41DB1">
        <w:rPr>
          <w:rFonts w:ascii="Times New Roman" w:hAnsi="Times New Roman" w:cs="Times New Roman"/>
          <w:sz w:val="24"/>
          <w:szCs w:val="24"/>
          <w:lang w:val="en-GB"/>
        </w:rPr>
        <w:t xml:space="preserve">. Also, the </w:t>
      </w:r>
      <w:r w:rsidR="009135C5" w:rsidRPr="00B41DB1">
        <w:rPr>
          <w:rFonts w:ascii="Times New Roman" w:hAnsi="Times New Roman" w:cs="Times New Roman"/>
          <w:sz w:val="24"/>
          <w:szCs w:val="24"/>
          <w:lang w:val="en-GB"/>
        </w:rPr>
        <w:t>DFQF</w:t>
      </w:r>
      <w:r w:rsidRPr="00B41DB1">
        <w:rPr>
          <w:rFonts w:ascii="Times New Roman" w:hAnsi="Times New Roman" w:cs="Times New Roman"/>
          <w:sz w:val="24"/>
          <w:szCs w:val="24"/>
          <w:lang w:val="en-GB"/>
        </w:rPr>
        <w:t xml:space="preserve"> market access under the EPA </w:t>
      </w:r>
      <w:r w:rsidR="003A3D85" w:rsidRPr="00B41DB1">
        <w:rPr>
          <w:rFonts w:ascii="Times New Roman" w:hAnsi="Times New Roman" w:cs="Times New Roman"/>
          <w:sz w:val="24"/>
          <w:szCs w:val="24"/>
          <w:lang w:val="en-GB"/>
        </w:rPr>
        <w:t xml:space="preserve">was </w:t>
      </w:r>
      <w:r w:rsidR="00877F86" w:rsidRPr="00B41DB1">
        <w:rPr>
          <w:rFonts w:ascii="Times New Roman" w:hAnsi="Times New Roman" w:cs="Times New Roman"/>
          <w:sz w:val="24"/>
          <w:szCs w:val="24"/>
          <w:lang w:val="en-GB"/>
        </w:rPr>
        <w:t xml:space="preserve">now </w:t>
      </w:r>
      <w:r w:rsidRPr="00B41DB1">
        <w:rPr>
          <w:rFonts w:ascii="Times New Roman" w:hAnsi="Times New Roman" w:cs="Times New Roman"/>
          <w:sz w:val="24"/>
          <w:szCs w:val="24"/>
          <w:lang w:val="en-GB"/>
        </w:rPr>
        <w:t>protected under WTO rules governing fre</w:t>
      </w:r>
      <w:r w:rsidR="00877F86" w:rsidRPr="00B41DB1">
        <w:rPr>
          <w:rFonts w:ascii="Times New Roman" w:hAnsi="Times New Roman" w:cs="Times New Roman"/>
          <w:sz w:val="24"/>
          <w:szCs w:val="24"/>
          <w:lang w:val="en-GB"/>
        </w:rPr>
        <w:t>e trade areas, and this provided</w:t>
      </w:r>
      <w:r w:rsidRPr="00B41DB1">
        <w:rPr>
          <w:rFonts w:ascii="Times New Roman" w:hAnsi="Times New Roman" w:cs="Times New Roman"/>
          <w:sz w:val="24"/>
          <w:szCs w:val="24"/>
          <w:lang w:val="en-GB"/>
        </w:rPr>
        <w:t xml:space="preserve"> a degree of security for several traditional exports</w:t>
      </w:r>
      <w:r w:rsidR="000D2F47" w:rsidRPr="00B41DB1">
        <w:rPr>
          <w:rFonts w:ascii="Times New Roman" w:hAnsi="Times New Roman" w:cs="Times New Roman"/>
          <w:sz w:val="24"/>
          <w:szCs w:val="24"/>
          <w:lang w:val="en-GB"/>
        </w:rPr>
        <w:t>—</w:t>
      </w:r>
      <w:r w:rsidR="00F079E2" w:rsidRPr="00B41DB1">
        <w:rPr>
          <w:rFonts w:ascii="Times New Roman" w:hAnsi="Times New Roman" w:cs="Times New Roman"/>
          <w:sz w:val="24"/>
          <w:szCs w:val="24"/>
          <w:lang w:val="en-GB"/>
        </w:rPr>
        <w:t xml:space="preserve">although as we have seen the level of preference has since been undermined. </w:t>
      </w:r>
      <w:r w:rsidR="009135C5" w:rsidRPr="00B41DB1">
        <w:rPr>
          <w:rFonts w:ascii="Times New Roman" w:hAnsi="Times New Roman" w:cs="Times New Roman"/>
          <w:sz w:val="24"/>
          <w:szCs w:val="24"/>
          <w:lang w:val="en-GB"/>
        </w:rPr>
        <w:t>For</w:t>
      </w:r>
      <w:r w:rsidRPr="00B41DB1">
        <w:rPr>
          <w:rFonts w:ascii="Times New Roman" w:hAnsi="Times New Roman" w:cs="Times New Roman"/>
          <w:sz w:val="24"/>
          <w:szCs w:val="24"/>
          <w:lang w:val="en-GB"/>
        </w:rPr>
        <w:t xml:space="preserve"> services, the EU agreed to liberalise 94</w:t>
      </w:r>
      <w:r w:rsidR="003C48C1" w:rsidRPr="00B41DB1">
        <w:rPr>
          <w:rFonts w:ascii="Times New Roman" w:hAnsi="Times New Roman" w:cs="Times New Roman"/>
          <w:sz w:val="24"/>
          <w:szCs w:val="24"/>
          <w:lang w:val="en-GB"/>
        </w:rPr>
        <w:t xml:space="preserve"> per cent of its sector</w:t>
      </w:r>
      <w:r w:rsidRPr="00B41DB1">
        <w:rPr>
          <w:rFonts w:ascii="Times New Roman" w:hAnsi="Times New Roman" w:cs="Times New Roman"/>
          <w:sz w:val="24"/>
          <w:szCs w:val="24"/>
          <w:lang w:val="en-GB"/>
        </w:rPr>
        <w:t xml:space="preserve">. </w:t>
      </w:r>
      <w:r w:rsidR="009135C5" w:rsidRPr="00B41DB1">
        <w:rPr>
          <w:rFonts w:ascii="Times New Roman" w:hAnsi="Times New Roman" w:cs="Times New Roman"/>
          <w:sz w:val="24"/>
          <w:szCs w:val="24"/>
          <w:lang w:val="en-GB"/>
        </w:rPr>
        <w:t>The Caribbean</w:t>
      </w:r>
      <w:r w:rsidR="00A75318" w:rsidRPr="00B41DB1">
        <w:rPr>
          <w:rFonts w:ascii="Times New Roman" w:hAnsi="Times New Roman" w:cs="Times New Roman"/>
          <w:sz w:val="24"/>
          <w:szCs w:val="24"/>
          <w:lang w:val="en-GB"/>
        </w:rPr>
        <w:t xml:space="preserve"> for its part </w:t>
      </w:r>
      <w:r w:rsidR="009135C5" w:rsidRPr="00B41DB1">
        <w:rPr>
          <w:rFonts w:ascii="Times New Roman" w:hAnsi="Times New Roman" w:cs="Times New Roman"/>
          <w:sz w:val="24"/>
          <w:szCs w:val="24"/>
          <w:lang w:val="en-GB"/>
        </w:rPr>
        <w:t xml:space="preserve">agreed that 87 per cent of all goods </w:t>
      </w:r>
      <w:r w:rsidR="005423BC" w:rsidRPr="00B41DB1">
        <w:rPr>
          <w:rFonts w:ascii="Times New Roman" w:hAnsi="Times New Roman" w:cs="Times New Roman"/>
          <w:sz w:val="24"/>
          <w:szCs w:val="24"/>
          <w:lang w:val="en-GB"/>
        </w:rPr>
        <w:t xml:space="preserve">from the EU </w:t>
      </w:r>
      <w:r w:rsidR="009135C5" w:rsidRPr="00B41DB1">
        <w:rPr>
          <w:rFonts w:ascii="Times New Roman" w:hAnsi="Times New Roman" w:cs="Times New Roman"/>
          <w:sz w:val="24"/>
          <w:szCs w:val="24"/>
          <w:lang w:val="en-GB"/>
        </w:rPr>
        <w:t>would be libe</w:t>
      </w:r>
      <w:r w:rsidR="00A75318" w:rsidRPr="00B41DB1">
        <w:rPr>
          <w:rFonts w:ascii="Times New Roman" w:hAnsi="Times New Roman" w:cs="Times New Roman"/>
          <w:sz w:val="24"/>
          <w:szCs w:val="24"/>
          <w:lang w:val="en-GB"/>
        </w:rPr>
        <w:t>ralised by 2033,</w:t>
      </w:r>
      <w:r w:rsidR="009135C5" w:rsidRPr="00B41DB1">
        <w:rPr>
          <w:rFonts w:ascii="Times New Roman" w:hAnsi="Times New Roman" w:cs="Times New Roman"/>
          <w:sz w:val="24"/>
          <w:szCs w:val="24"/>
          <w:lang w:val="en-GB"/>
        </w:rPr>
        <w:t xml:space="preserve"> </w:t>
      </w:r>
      <w:r w:rsidR="005423BC" w:rsidRPr="00B41DB1">
        <w:rPr>
          <w:rFonts w:ascii="Times New Roman" w:hAnsi="Times New Roman" w:cs="Times New Roman"/>
          <w:sz w:val="24"/>
          <w:szCs w:val="24"/>
          <w:lang w:val="en-GB"/>
        </w:rPr>
        <w:t xml:space="preserve">but that many revenue-sensitive </w:t>
      </w:r>
      <w:r w:rsidR="005423BC" w:rsidRPr="00B41DB1">
        <w:rPr>
          <w:rFonts w:ascii="Times New Roman" w:hAnsi="Times New Roman" w:cs="Times New Roman"/>
          <w:sz w:val="24"/>
          <w:szCs w:val="24"/>
          <w:lang w:val="en-GB"/>
        </w:rPr>
        <w:lastRenderedPageBreak/>
        <w:t xml:space="preserve">products would not be liberalised. </w:t>
      </w:r>
      <w:r w:rsidR="00992C42" w:rsidRPr="00B41DB1">
        <w:rPr>
          <w:rFonts w:ascii="Times New Roman" w:hAnsi="Times New Roman" w:cs="Times New Roman"/>
          <w:sz w:val="24"/>
          <w:szCs w:val="24"/>
          <w:lang w:val="en-GB"/>
        </w:rPr>
        <w:t xml:space="preserve">The transition period was agreed </w:t>
      </w:r>
      <w:r w:rsidR="009135C5" w:rsidRPr="00B41DB1">
        <w:rPr>
          <w:rFonts w:ascii="Times New Roman" w:hAnsi="Times New Roman" w:cs="Times New Roman"/>
          <w:sz w:val="24"/>
          <w:szCs w:val="24"/>
          <w:lang w:val="en-GB"/>
        </w:rPr>
        <w:t xml:space="preserve">to give CARIFORUM time to find other revenue sources and </w:t>
      </w:r>
      <w:r w:rsidR="00992C42" w:rsidRPr="00B41DB1">
        <w:rPr>
          <w:rFonts w:ascii="Times New Roman" w:hAnsi="Times New Roman" w:cs="Times New Roman"/>
          <w:sz w:val="24"/>
          <w:szCs w:val="24"/>
          <w:lang w:val="en-GB"/>
        </w:rPr>
        <w:t xml:space="preserve">for </w:t>
      </w:r>
      <w:r w:rsidR="009135C5" w:rsidRPr="00B41DB1">
        <w:rPr>
          <w:rFonts w:ascii="Times New Roman" w:hAnsi="Times New Roman" w:cs="Times New Roman"/>
          <w:sz w:val="24"/>
          <w:szCs w:val="24"/>
          <w:lang w:val="en-GB"/>
        </w:rPr>
        <w:t xml:space="preserve">the region’s industries to adjust to increased competition. For services CARIFORUM </w:t>
      </w:r>
      <w:r w:rsidR="00A75318" w:rsidRPr="00B41DB1">
        <w:rPr>
          <w:rFonts w:ascii="Times New Roman" w:hAnsi="Times New Roman" w:cs="Times New Roman"/>
          <w:sz w:val="24"/>
          <w:szCs w:val="24"/>
          <w:lang w:val="en-GB"/>
        </w:rPr>
        <w:t>agreed to open</w:t>
      </w:r>
      <w:r w:rsidR="009135C5" w:rsidRPr="00B41DB1">
        <w:rPr>
          <w:rFonts w:ascii="Times New Roman" w:hAnsi="Times New Roman" w:cs="Times New Roman"/>
          <w:sz w:val="24"/>
          <w:szCs w:val="24"/>
          <w:lang w:val="en-GB"/>
        </w:rPr>
        <w:t xml:space="preserve"> up 65-75</w:t>
      </w:r>
      <w:r w:rsidR="0046385A" w:rsidRPr="00B41DB1">
        <w:rPr>
          <w:rFonts w:ascii="Times New Roman" w:hAnsi="Times New Roman" w:cs="Times New Roman"/>
          <w:sz w:val="24"/>
          <w:szCs w:val="24"/>
          <w:lang w:val="en-GB"/>
        </w:rPr>
        <w:t xml:space="preserve"> per cent of </w:t>
      </w:r>
      <w:r w:rsidR="00B0626A" w:rsidRPr="00B41DB1">
        <w:rPr>
          <w:rFonts w:ascii="Times New Roman" w:hAnsi="Times New Roman" w:cs="Times New Roman"/>
          <w:sz w:val="24"/>
          <w:szCs w:val="24"/>
          <w:lang w:val="en-GB"/>
        </w:rPr>
        <w:t>its</w:t>
      </w:r>
      <w:r w:rsidR="00992C42" w:rsidRPr="00B41DB1">
        <w:rPr>
          <w:rFonts w:ascii="Times New Roman" w:hAnsi="Times New Roman" w:cs="Times New Roman"/>
          <w:sz w:val="24"/>
          <w:szCs w:val="24"/>
          <w:lang w:val="en-GB"/>
        </w:rPr>
        <w:t xml:space="preserve"> sector.</w:t>
      </w:r>
    </w:p>
    <w:p w14:paraId="6344068E" w14:textId="69D1A14F" w:rsidR="001E7C82" w:rsidRPr="00B41DB1" w:rsidRDefault="000727F3"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When the EPA was being negotiated and afterwards</w:t>
      </w:r>
      <w:r w:rsidR="000D2F47"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there were considerable disagreements over its likely impact on the Caribbean. Those involved in the </w:t>
      </w:r>
      <w:r w:rsidR="00125280" w:rsidRPr="00B41DB1">
        <w:rPr>
          <w:rFonts w:ascii="Times New Roman" w:hAnsi="Times New Roman" w:cs="Times New Roman"/>
          <w:sz w:val="24"/>
          <w:szCs w:val="24"/>
          <w:lang w:val="en-GB"/>
        </w:rPr>
        <w:t>talks</w:t>
      </w:r>
      <w:r w:rsidRPr="00B41DB1">
        <w:rPr>
          <w:rFonts w:ascii="Times New Roman" w:hAnsi="Times New Roman" w:cs="Times New Roman"/>
          <w:sz w:val="24"/>
          <w:szCs w:val="24"/>
          <w:lang w:val="en-GB"/>
        </w:rPr>
        <w:t xml:space="preserve"> argued that the agreement would open up significant new export opportunities in goods and services for the Caribbean</w:t>
      </w:r>
      <w:r w:rsidR="00C20B05" w:rsidRPr="00B41DB1">
        <w:rPr>
          <w:rFonts w:ascii="Times New Roman" w:hAnsi="Times New Roman" w:cs="Times New Roman"/>
          <w:sz w:val="24"/>
          <w:szCs w:val="24"/>
          <w:lang w:val="en-GB"/>
        </w:rPr>
        <w:t xml:space="preserve">, </w:t>
      </w:r>
      <w:r w:rsidR="001366FA" w:rsidRPr="00B41DB1">
        <w:rPr>
          <w:rFonts w:ascii="Times New Roman" w:hAnsi="Times New Roman" w:cs="Times New Roman"/>
          <w:sz w:val="24"/>
          <w:szCs w:val="24"/>
          <w:lang w:val="en-GB"/>
        </w:rPr>
        <w:t>improve competitiveness, and build regional markets</w:t>
      </w:r>
      <w:r w:rsidR="00C20B05" w:rsidRPr="00B41DB1">
        <w:rPr>
          <w:rFonts w:ascii="Times New Roman" w:hAnsi="Times New Roman" w:cs="Times New Roman"/>
          <w:sz w:val="24"/>
          <w:szCs w:val="24"/>
          <w:lang w:val="en-GB"/>
        </w:rPr>
        <w:t xml:space="preserve">. </w:t>
      </w:r>
      <w:r w:rsidR="00A52C85" w:rsidRPr="00B41DB1">
        <w:rPr>
          <w:rFonts w:ascii="Times New Roman" w:hAnsi="Times New Roman" w:cs="Times New Roman"/>
          <w:sz w:val="24"/>
          <w:szCs w:val="24"/>
          <w:lang w:val="en-GB"/>
        </w:rPr>
        <w:t xml:space="preserve">However, </w:t>
      </w:r>
      <w:r w:rsidR="00877761" w:rsidRPr="00B41DB1">
        <w:rPr>
          <w:rFonts w:ascii="Times New Roman" w:hAnsi="Times New Roman" w:cs="Times New Roman"/>
          <w:sz w:val="24"/>
          <w:szCs w:val="24"/>
          <w:lang w:val="en-GB"/>
        </w:rPr>
        <w:t>many</w:t>
      </w:r>
      <w:r w:rsidR="00A52C85" w:rsidRPr="00B41DB1">
        <w:rPr>
          <w:rFonts w:ascii="Times New Roman" w:hAnsi="Times New Roman" w:cs="Times New Roman"/>
          <w:sz w:val="24"/>
          <w:szCs w:val="24"/>
          <w:lang w:val="en-GB"/>
        </w:rPr>
        <w:t xml:space="preserve"> academics </w:t>
      </w:r>
      <w:r w:rsidR="00255214" w:rsidRPr="00B41DB1">
        <w:rPr>
          <w:rFonts w:ascii="Times New Roman" w:hAnsi="Times New Roman" w:cs="Times New Roman"/>
          <w:sz w:val="24"/>
          <w:szCs w:val="24"/>
          <w:lang w:val="en-GB"/>
        </w:rPr>
        <w:t xml:space="preserve">and NGOs </w:t>
      </w:r>
      <w:r w:rsidR="00A52C85" w:rsidRPr="00B41DB1">
        <w:rPr>
          <w:rFonts w:ascii="Times New Roman" w:hAnsi="Times New Roman" w:cs="Times New Roman"/>
          <w:sz w:val="24"/>
          <w:szCs w:val="24"/>
          <w:lang w:val="en-GB"/>
        </w:rPr>
        <w:t xml:space="preserve">were </w:t>
      </w:r>
      <w:r w:rsidR="00730B2A" w:rsidRPr="00B41DB1">
        <w:rPr>
          <w:rFonts w:ascii="Times New Roman" w:hAnsi="Times New Roman" w:cs="Times New Roman"/>
          <w:sz w:val="24"/>
          <w:szCs w:val="24"/>
          <w:lang w:val="en-GB"/>
        </w:rPr>
        <w:t xml:space="preserve">critical. One critic </w:t>
      </w:r>
      <w:r w:rsidR="000420B9" w:rsidRPr="00B41DB1">
        <w:rPr>
          <w:rFonts w:ascii="Times New Roman" w:hAnsi="Times New Roman" w:cs="Times New Roman"/>
          <w:sz w:val="24"/>
          <w:szCs w:val="24"/>
          <w:lang w:val="en-GB"/>
        </w:rPr>
        <w:t>suggested</w:t>
      </w:r>
      <w:r w:rsidR="00730B2A" w:rsidRPr="00B41DB1">
        <w:rPr>
          <w:rFonts w:ascii="Times New Roman" w:hAnsi="Times New Roman" w:cs="Times New Roman"/>
          <w:sz w:val="24"/>
          <w:szCs w:val="24"/>
          <w:lang w:val="en-GB"/>
        </w:rPr>
        <w:t xml:space="preserve"> that the EU </w:t>
      </w:r>
      <w:r w:rsidR="00D226DD" w:rsidRPr="00B41DB1">
        <w:rPr>
          <w:rFonts w:ascii="Times New Roman" w:hAnsi="Times New Roman" w:cs="Times New Roman"/>
          <w:sz w:val="24"/>
          <w:szCs w:val="24"/>
          <w:lang w:val="en-GB"/>
        </w:rPr>
        <w:t>‘had “worked”</w:t>
      </w:r>
      <w:r w:rsidR="00730B2A" w:rsidRPr="00B41DB1">
        <w:rPr>
          <w:rFonts w:ascii="Times New Roman" w:hAnsi="Times New Roman" w:cs="Times New Roman"/>
          <w:sz w:val="24"/>
          <w:szCs w:val="24"/>
          <w:lang w:val="en-GB"/>
        </w:rPr>
        <w:t xml:space="preserve"> a monumental deception on the region through a mixture of blatant bullyism, bribery, cajolery, deception, intellectual dishonesty and plain bluff</w:t>
      </w:r>
      <w:r w:rsidR="00D226DD" w:rsidRPr="00B41DB1">
        <w:rPr>
          <w:rFonts w:ascii="Times New Roman" w:hAnsi="Times New Roman" w:cs="Times New Roman"/>
          <w:sz w:val="24"/>
          <w:szCs w:val="24"/>
          <w:lang w:val="en-GB"/>
        </w:rPr>
        <w:t>’</w:t>
      </w:r>
      <w:r w:rsidR="00730B2A" w:rsidRPr="00B41DB1">
        <w:rPr>
          <w:rFonts w:ascii="Times New Roman" w:hAnsi="Times New Roman" w:cs="Times New Roman"/>
          <w:sz w:val="24"/>
          <w:szCs w:val="24"/>
          <w:lang w:val="en-GB"/>
        </w:rPr>
        <w:t xml:space="preserve"> (Thomas, cited in Girvan, 2010, </w:t>
      </w:r>
      <w:r w:rsidR="005C1362" w:rsidRPr="00B41DB1">
        <w:rPr>
          <w:rFonts w:ascii="Times New Roman" w:hAnsi="Times New Roman" w:cs="Times New Roman"/>
          <w:sz w:val="24"/>
          <w:szCs w:val="24"/>
          <w:lang w:val="en-GB"/>
        </w:rPr>
        <w:t xml:space="preserve">p. </w:t>
      </w:r>
      <w:r w:rsidR="00730B2A" w:rsidRPr="00B41DB1">
        <w:rPr>
          <w:rFonts w:ascii="Times New Roman" w:hAnsi="Times New Roman" w:cs="Times New Roman"/>
          <w:sz w:val="24"/>
          <w:szCs w:val="24"/>
          <w:lang w:val="en-GB"/>
        </w:rPr>
        <w:t xml:space="preserve">92). </w:t>
      </w:r>
      <w:r w:rsidR="007C64AE" w:rsidRPr="006035C8">
        <w:rPr>
          <w:rFonts w:ascii="Times New Roman" w:hAnsi="Times New Roman" w:cs="Times New Roman"/>
          <w:sz w:val="24"/>
          <w:szCs w:val="24"/>
          <w:lang w:val="en-GB"/>
        </w:rPr>
        <w:t>For</w:t>
      </w:r>
      <w:r w:rsidR="00B72A81" w:rsidRPr="006035C8">
        <w:rPr>
          <w:rFonts w:ascii="Times New Roman" w:hAnsi="Times New Roman" w:cs="Times New Roman"/>
          <w:sz w:val="24"/>
          <w:szCs w:val="24"/>
          <w:lang w:val="en-GB"/>
        </w:rPr>
        <w:t xml:space="preserve"> Girvan</w:t>
      </w:r>
      <w:r w:rsidR="006035C8">
        <w:rPr>
          <w:rFonts w:ascii="Times New Roman" w:hAnsi="Times New Roman" w:cs="Times New Roman"/>
          <w:sz w:val="24"/>
          <w:szCs w:val="24"/>
          <w:lang w:val="en-GB"/>
        </w:rPr>
        <w:t xml:space="preserve"> (2008; 2010)</w:t>
      </w:r>
      <w:r w:rsidR="007C64AE" w:rsidRPr="00B41DB1">
        <w:rPr>
          <w:rFonts w:ascii="Times New Roman" w:hAnsi="Times New Roman" w:cs="Times New Roman"/>
          <w:sz w:val="24"/>
          <w:szCs w:val="24"/>
          <w:lang w:val="en-GB"/>
        </w:rPr>
        <w:t xml:space="preserve">, </w:t>
      </w:r>
      <w:r w:rsidR="00A52C85" w:rsidRPr="00B41DB1">
        <w:rPr>
          <w:rFonts w:ascii="Times New Roman" w:hAnsi="Times New Roman" w:cs="Times New Roman"/>
          <w:sz w:val="24"/>
          <w:szCs w:val="24"/>
          <w:lang w:val="en-GB"/>
        </w:rPr>
        <w:t xml:space="preserve">the EPA </w:t>
      </w:r>
      <w:r w:rsidR="007C03BC" w:rsidRPr="00B41DB1">
        <w:rPr>
          <w:rFonts w:ascii="Times New Roman" w:hAnsi="Times New Roman" w:cs="Times New Roman"/>
          <w:sz w:val="24"/>
          <w:szCs w:val="24"/>
          <w:lang w:val="en-GB"/>
        </w:rPr>
        <w:t xml:space="preserve">was in line with the EU’s liberal global trade policy and </w:t>
      </w:r>
      <w:r w:rsidR="00A52C85" w:rsidRPr="00B41DB1">
        <w:rPr>
          <w:rFonts w:ascii="Times New Roman" w:hAnsi="Times New Roman" w:cs="Times New Roman"/>
          <w:sz w:val="24"/>
          <w:szCs w:val="24"/>
          <w:lang w:val="en-GB"/>
        </w:rPr>
        <w:t xml:space="preserve">would </w:t>
      </w:r>
      <w:r w:rsidR="007C03BC" w:rsidRPr="00B41DB1">
        <w:rPr>
          <w:rFonts w:ascii="Times New Roman" w:hAnsi="Times New Roman" w:cs="Times New Roman"/>
          <w:sz w:val="24"/>
          <w:szCs w:val="24"/>
          <w:lang w:val="en-GB"/>
        </w:rPr>
        <w:t>damage</w:t>
      </w:r>
      <w:r w:rsidR="00A52C85" w:rsidRPr="00B41DB1">
        <w:rPr>
          <w:rFonts w:ascii="Times New Roman" w:hAnsi="Times New Roman" w:cs="Times New Roman"/>
          <w:sz w:val="24"/>
          <w:szCs w:val="24"/>
          <w:lang w:val="en-GB"/>
        </w:rPr>
        <w:t xml:space="preserve"> Caribbean interests</w:t>
      </w:r>
      <w:r w:rsidR="00B72A81" w:rsidRPr="00B41DB1">
        <w:rPr>
          <w:rFonts w:ascii="Times New Roman" w:hAnsi="Times New Roman" w:cs="Times New Roman"/>
          <w:sz w:val="24"/>
          <w:szCs w:val="24"/>
          <w:lang w:val="en-GB"/>
        </w:rPr>
        <w:t xml:space="preserve">. </w:t>
      </w:r>
      <w:r w:rsidR="006035C8">
        <w:rPr>
          <w:rFonts w:ascii="Times New Roman" w:hAnsi="Times New Roman" w:cs="Times New Roman"/>
          <w:sz w:val="24"/>
          <w:szCs w:val="24"/>
          <w:lang w:val="en-GB"/>
        </w:rPr>
        <w:t>He</w:t>
      </w:r>
      <w:r w:rsidR="00730B2A" w:rsidRPr="00B41DB1">
        <w:rPr>
          <w:rFonts w:ascii="Times New Roman" w:hAnsi="Times New Roman" w:cs="Times New Roman"/>
          <w:sz w:val="24"/>
          <w:szCs w:val="24"/>
          <w:lang w:val="en-GB"/>
        </w:rPr>
        <w:t xml:space="preserve"> </w:t>
      </w:r>
      <w:r w:rsidR="00B72A81" w:rsidRPr="00B41DB1">
        <w:rPr>
          <w:rFonts w:ascii="Times New Roman" w:hAnsi="Times New Roman" w:cs="Times New Roman"/>
          <w:sz w:val="24"/>
          <w:szCs w:val="24"/>
          <w:lang w:val="en-GB"/>
        </w:rPr>
        <w:t>claimed</w:t>
      </w:r>
      <w:r w:rsidR="00730B2A" w:rsidRPr="00B41DB1">
        <w:rPr>
          <w:rFonts w:ascii="Times New Roman" w:hAnsi="Times New Roman" w:cs="Times New Roman"/>
          <w:sz w:val="24"/>
          <w:szCs w:val="24"/>
          <w:lang w:val="en-GB"/>
        </w:rPr>
        <w:t xml:space="preserve"> </w:t>
      </w:r>
      <w:r w:rsidR="00730B2A" w:rsidRPr="00B41DB1">
        <w:rPr>
          <w:rFonts w:ascii="Times New Roman" w:hAnsi="Times New Roman" w:cs="Times New Roman"/>
          <w:i/>
          <w:sz w:val="24"/>
          <w:szCs w:val="24"/>
          <w:lang w:val="en-GB"/>
        </w:rPr>
        <w:t>inter alia</w:t>
      </w:r>
      <w:r w:rsidR="00730B2A" w:rsidRPr="00B41DB1">
        <w:rPr>
          <w:rFonts w:ascii="Times New Roman" w:hAnsi="Times New Roman" w:cs="Times New Roman"/>
          <w:sz w:val="24"/>
          <w:szCs w:val="24"/>
          <w:lang w:val="en-GB"/>
        </w:rPr>
        <w:t xml:space="preserve"> that local</w:t>
      </w:r>
      <w:r w:rsidR="00A52C85" w:rsidRPr="00B41DB1">
        <w:rPr>
          <w:rFonts w:ascii="Times New Roman" w:hAnsi="Times New Roman" w:cs="Times New Roman"/>
          <w:sz w:val="24"/>
          <w:szCs w:val="24"/>
          <w:lang w:val="en-GB"/>
        </w:rPr>
        <w:t xml:space="preserve"> </w:t>
      </w:r>
      <w:r w:rsidR="00730B2A" w:rsidRPr="00B41DB1">
        <w:rPr>
          <w:rFonts w:ascii="Times New Roman" w:hAnsi="Times New Roman" w:cs="Times New Roman"/>
          <w:sz w:val="24"/>
          <w:szCs w:val="24"/>
          <w:lang w:val="en-GB"/>
        </w:rPr>
        <w:t>companies</w:t>
      </w:r>
      <w:r w:rsidR="007C64AE" w:rsidRPr="00B41DB1">
        <w:rPr>
          <w:rFonts w:ascii="Times New Roman" w:hAnsi="Times New Roman" w:cs="Times New Roman"/>
          <w:sz w:val="24"/>
          <w:szCs w:val="24"/>
          <w:lang w:val="en-GB"/>
        </w:rPr>
        <w:t xml:space="preserve"> would lose</w:t>
      </w:r>
      <w:r w:rsidR="00A52C85" w:rsidRPr="00B41DB1">
        <w:rPr>
          <w:rFonts w:ascii="Times New Roman" w:hAnsi="Times New Roman" w:cs="Times New Roman"/>
          <w:sz w:val="24"/>
          <w:szCs w:val="24"/>
          <w:lang w:val="en-GB"/>
        </w:rPr>
        <w:t xml:space="preserve"> out to European companies in regional markets; </w:t>
      </w:r>
      <w:r w:rsidR="00BA5718" w:rsidRPr="00B41DB1">
        <w:rPr>
          <w:rFonts w:ascii="Times New Roman" w:hAnsi="Times New Roman" w:cs="Times New Roman"/>
          <w:sz w:val="24"/>
          <w:szCs w:val="24"/>
          <w:lang w:val="en-GB"/>
        </w:rPr>
        <w:t xml:space="preserve">governments would be unable </w:t>
      </w:r>
      <w:r w:rsidR="00B72A81" w:rsidRPr="00B41DB1">
        <w:rPr>
          <w:rFonts w:ascii="Times New Roman" w:hAnsi="Times New Roman" w:cs="Times New Roman"/>
          <w:sz w:val="24"/>
          <w:szCs w:val="24"/>
          <w:lang w:val="en-GB"/>
        </w:rPr>
        <w:t xml:space="preserve">to encourage the development of </w:t>
      </w:r>
      <w:r w:rsidR="00BA5718" w:rsidRPr="00B41DB1">
        <w:rPr>
          <w:rFonts w:ascii="Times New Roman" w:hAnsi="Times New Roman" w:cs="Times New Roman"/>
          <w:sz w:val="24"/>
          <w:szCs w:val="24"/>
          <w:lang w:val="en-GB"/>
        </w:rPr>
        <w:t>new national firms and cross-border production integration by regionally owned firms</w:t>
      </w:r>
      <w:r w:rsidR="00E50D29" w:rsidRPr="00B41DB1">
        <w:rPr>
          <w:rFonts w:ascii="Times New Roman" w:hAnsi="Times New Roman" w:cs="Times New Roman"/>
          <w:sz w:val="24"/>
          <w:szCs w:val="24"/>
          <w:lang w:val="en-GB"/>
        </w:rPr>
        <w:t xml:space="preserve"> </w:t>
      </w:r>
      <w:r w:rsidR="00B72A81" w:rsidRPr="00B41DB1">
        <w:rPr>
          <w:rFonts w:ascii="Times New Roman" w:hAnsi="Times New Roman" w:cs="Times New Roman"/>
          <w:sz w:val="24"/>
          <w:szCs w:val="24"/>
          <w:lang w:val="en-GB"/>
        </w:rPr>
        <w:t xml:space="preserve">due to </w:t>
      </w:r>
      <w:r w:rsidR="00E50D29" w:rsidRPr="00B41DB1">
        <w:rPr>
          <w:rFonts w:ascii="Times New Roman" w:hAnsi="Times New Roman" w:cs="Times New Roman"/>
          <w:sz w:val="24"/>
          <w:szCs w:val="24"/>
          <w:lang w:val="en-GB"/>
        </w:rPr>
        <w:t>rule</w:t>
      </w:r>
      <w:r w:rsidR="00255214" w:rsidRPr="00B41DB1">
        <w:rPr>
          <w:rFonts w:ascii="Times New Roman" w:hAnsi="Times New Roman" w:cs="Times New Roman"/>
          <w:sz w:val="24"/>
          <w:szCs w:val="24"/>
          <w:lang w:val="en-GB"/>
        </w:rPr>
        <w:t>s</w:t>
      </w:r>
      <w:r w:rsidR="00E50D29" w:rsidRPr="00B41DB1">
        <w:rPr>
          <w:rFonts w:ascii="Times New Roman" w:hAnsi="Times New Roman" w:cs="Times New Roman"/>
          <w:sz w:val="24"/>
          <w:szCs w:val="24"/>
          <w:lang w:val="en-GB"/>
        </w:rPr>
        <w:t xml:space="preserve"> requiring equality of treatment with European </w:t>
      </w:r>
      <w:r w:rsidR="00FA4FB9" w:rsidRPr="00B41DB1">
        <w:rPr>
          <w:rFonts w:ascii="Times New Roman" w:hAnsi="Times New Roman" w:cs="Times New Roman"/>
          <w:sz w:val="24"/>
          <w:szCs w:val="24"/>
          <w:lang w:val="en-GB"/>
        </w:rPr>
        <w:t>companies</w:t>
      </w:r>
      <w:r w:rsidR="00BA5718" w:rsidRPr="00B41DB1">
        <w:rPr>
          <w:rFonts w:ascii="Times New Roman" w:hAnsi="Times New Roman" w:cs="Times New Roman"/>
          <w:sz w:val="24"/>
          <w:szCs w:val="24"/>
          <w:lang w:val="en-GB"/>
        </w:rPr>
        <w:t xml:space="preserve">; </w:t>
      </w:r>
      <w:r w:rsidR="005C6F24" w:rsidRPr="00B41DB1">
        <w:rPr>
          <w:rFonts w:ascii="Times New Roman" w:hAnsi="Times New Roman" w:cs="Times New Roman"/>
          <w:sz w:val="24"/>
          <w:szCs w:val="24"/>
          <w:lang w:val="en-GB"/>
        </w:rPr>
        <w:t xml:space="preserve">prospects </w:t>
      </w:r>
      <w:r w:rsidR="00BA5718" w:rsidRPr="00B41DB1">
        <w:rPr>
          <w:rFonts w:ascii="Times New Roman" w:hAnsi="Times New Roman" w:cs="Times New Roman"/>
          <w:sz w:val="24"/>
          <w:szCs w:val="24"/>
          <w:lang w:val="en-GB"/>
        </w:rPr>
        <w:t>in the EU</w:t>
      </w:r>
      <w:r w:rsidR="005C6F24" w:rsidRPr="00B41DB1">
        <w:rPr>
          <w:rFonts w:ascii="Times New Roman" w:hAnsi="Times New Roman" w:cs="Times New Roman"/>
          <w:sz w:val="24"/>
          <w:szCs w:val="24"/>
          <w:lang w:val="en-GB"/>
        </w:rPr>
        <w:t xml:space="preserve"> </w:t>
      </w:r>
      <w:r w:rsidR="00BA5718" w:rsidRPr="00B41DB1">
        <w:rPr>
          <w:rFonts w:ascii="Times New Roman" w:hAnsi="Times New Roman" w:cs="Times New Roman"/>
          <w:sz w:val="24"/>
          <w:szCs w:val="24"/>
          <w:lang w:val="en-GB"/>
        </w:rPr>
        <w:t>serv</w:t>
      </w:r>
      <w:r w:rsidR="007C64AE" w:rsidRPr="00B41DB1">
        <w:rPr>
          <w:rFonts w:ascii="Times New Roman" w:hAnsi="Times New Roman" w:cs="Times New Roman"/>
          <w:sz w:val="24"/>
          <w:szCs w:val="24"/>
          <w:lang w:val="en-GB"/>
        </w:rPr>
        <w:t>ices sector would be less than expect</w:t>
      </w:r>
      <w:r w:rsidR="00BA5718" w:rsidRPr="00B41DB1">
        <w:rPr>
          <w:rFonts w:ascii="Times New Roman" w:hAnsi="Times New Roman" w:cs="Times New Roman"/>
          <w:sz w:val="24"/>
          <w:szCs w:val="24"/>
          <w:lang w:val="en-GB"/>
        </w:rPr>
        <w:t>ed</w:t>
      </w:r>
      <w:r w:rsidR="00E50D29" w:rsidRPr="00B41DB1">
        <w:rPr>
          <w:rFonts w:ascii="Times New Roman" w:hAnsi="Times New Roman" w:cs="Times New Roman"/>
          <w:sz w:val="24"/>
          <w:szCs w:val="24"/>
          <w:lang w:val="en-GB"/>
        </w:rPr>
        <w:t xml:space="preserve"> because of stringent eligibility </w:t>
      </w:r>
      <w:r w:rsidR="00B72A81" w:rsidRPr="00B41DB1">
        <w:rPr>
          <w:rFonts w:ascii="Times New Roman" w:hAnsi="Times New Roman" w:cs="Times New Roman"/>
          <w:sz w:val="24"/>
          <w:szCs w:val="24"/>
          <w:lang w:val="en-GB"/>
        </w:rPr>
        <w:t xml:space="preserve">criteria; </w:t>
      </w:r>
      <w:r w:rsidR="007C03BC" w:rsidRPr="00B41DB1">
        <w:rPr>
          <w:rFonts w:ascii="Times New Roman" w:hAnsi="Times New Roman" w:cs="Times New Roman"/>
          <w:sz w:val="24"/>
          <w:szCs w:val="24"/>
          <w:lang w:val="en-GB"/>
        </w:rPr>
        <w:t xml:space="preserve">Caribbean exports to the EU would still be </w:t>
      </w:r>
      <w:r w:rsidR="00E50D29" w:rsidRPr="00B41DB1">
        <w:rPr>
          <w:rFonts w:ascii="Times New Roman" w:hAnsi="Times New Roman" w:cs="Times New Roman"/>
          <w:sz w:val="24"/>
          <w:szCs w:val="24"/>
          <w:lang w:val="en-GB"/>
        </w:rPr>
        <w:t>limited</w:t>
      </w:r>
      <w:r w:rsidR="007C03BC" w:rsidRPr="00B41DB1">
        <w:rPr>
          <w:rFonts w:ascii="Times New Roman" w:hAnsi="Times New Roman" w:cs="Times New Roman"/>
          <w:sz w:val="24"/>
          <w:szCs w:val="24"/>
          <w:lang w:val="en-GB"/>
        </w:rPr>
        <w:t xml:space="preserve"> by many non-tariff barriers; </w:t>
      </w:r>
      <w:r w:rsidR="00825A25" w:rsidRPr="00B41DB1">
        <w:rPr>
          <w:rFonts w:ascii="Times New Roman" w:hAnsi="Times New Roman" w:cs="Times New Roman"/>
          <w:sz w:val="24"/>
          <w:szCs w:val="24"/>
          <w:lang w:val="en-GB"/>
        </w:rPr>
        <w:t xml:space="preserve">and </w:t>
      </w:r>
      <w:r w:rsidR="007C03BC" w:rsidRPr="00B41DB1">
        <w:rPr>
          <w:rFonts w:ascii="Times New Roman" w:hAnsi="Times New Roman" w:cs="Times New Roman"/>
          <w:sz w:val="24"/>
          <w:szCs w:val="24"/>
          <w:lang w:val="en-GB"/>
        </w:rPr>
        <w:t>F</w:t>
      </w:r>
      <w:r w:rsidR="00F01D55" w:rsidRPr="00B41DB1">
        <w:rPr>
          <w:rFonts w:ascii="Times New Roman" w:hAnsi="Times New Roman" w:cs="Times New Roman"/>
          <w:sz w:val="24"/>
          <w:szCs w:val="24"/>
          <w:lang w:val="en-GB"/>
        </w:rPr>
        <w:t xml:space="preserve">TAs </w:t>
      </w:r>
      <w:r w:rsidR="007C03BC" w:rsidRPr="00B41DB1">
        <w:rPr>
          <w:rFonts w:ascii="Times New Roman" w:hAnsi="Times New Roman" w:cs="Times New Roman"/>
          <w:sz w:val="24"/>
          <w:szCs w:val="24"/>
          <w:lang w:val="en-GB"/>
        </w:rPr>
        <w:t xml:space="preserve">negotiated by the EU </w:t>
      </w:r>
      <w:r w:rsidR="00F01D55" w:rsidRPr="00B41DB1">
        <w:rPr>
          <w:rFonts w:ascii="Times New Roman" w:hAnsi="Times New Roman" w:cs="Times New Roman"/>
          <w:sz w:val="24"/>
          <w:szCs w:val="24"/>
          <w:lang w:val="en-GB"/>
        </w:rPr>
        <w:t xml:space="preserve">would undermine </w:t>
      </w:r>
      <w:r w:rsidR="001F4899" w:rsidRPr="00B41DB1">
        <w:rPr>
          <w:rFonts w:ascii="Times New Roman" w:hAnsi="Times New Roman" w:cs="Times New Roman"/>
          <w:sz w:val="24"/>
          <w:szCs w:val="24"/>
          <w:lang w:val="en-GB"/>
        </w:rPr>
        <w:t xml:space="preserve">the region’s </w:t>
      </w:r>
      <w:r w:rsidR="00125280" w:rsidRPr="00B41DB1">
        <w:rPr>
          <w:rFonts w:ascii="Times New Roman" w:hAnsi="Times New Roman" w:cs="Times New Roman"/>
          <w:sz w:val="24"/>
          <w:szCs w:val="24"/>
          <w:lang w:val="en-GB"/>
        </w:rPr>
        <w:t>DFQF</w:t>
      </w:r>
      <w:r w:rsidR="001F4899" w:rsidRPr="00B41DB1">
        <w:rPr>
          <w:rFonts w:ascii="Times New Roman" w:hAnsi="Times New Roman" w:cs="Times New Roman"/>
          <w:sz w:val="24"/>
          <w:szCs w:val="24"/>
          <w:lang w:val="en-GB"/>
        </w:rPr>
        <w:t xml:space="preserve"> access.</w:t>
      </w:r>
    </w:p>
    <w:p w14:paraId="2EEE8458" w14:textId="218A314B" w:rsidR="00037E41" w:rsidRPr="00B41DB1" w:rsidRDefault="001E7C82"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Almost six years after the EPA was signed</w:t>
      </w:r>
      <w:r w:rsidR="007C64AE"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w:t>
      </w:r>
      <w:r w:rsidR="00FA4FB9" w:rsidRPr="00B41DB1">
        <w:rPr>
          <w:rFonts w:ascii="Times New Roman" w:hAnsi="Times New Roman" w:cs="Times New Roman"/>
          <w:sz w:val="24"/>
          <w:szCs w:val="24"/>
          <w:lang w:val="en-GB"/>
        </w:rPr>
        <w:t xml:space="preserve">some of the views of Girvan and other critics have perhaps been more prescient, but inaction and indifference have largely prevailed. Overall, </w:t>
      </w:r>
      <w:r w:rsidR="002F5DA4" w:rsidRPr="00B41DB1">
        <w:rPr>
          <w:rFonts w:ascii="Times New Roman" w:hAnsi="Times New Roman" w:cs="Times New Roman"/>
          <w:sz w:val="24"/>
          <w:szCs w:val="24"/>
          <w:lang w:val="en-GB"/>
        </w:rPr>
        <w:t xml:space="preserve">implementation is progressing slowly. </w:t>
      </w:r>
      <w:r w:rsidR="00FA4FB9" w:rsidRPr="00B41DB1">
        <w:rPr>
          <w:rFonts w:ascii="Times New Roman" w:hAnsi="Times New Roman" w:cs="Times New Roman"/>
          <w:sz w:val="24"/>
          <w:szCs w:val="24"/>
          <w:lang w:val="en-GB"/>
        </w:rPr>
        <w:t>O</w:t>
      </w:r>
      <w:r w:rsidR="002B616D" w:rsidRPr="00B41DB1">
        <w:rPr>
          <w:rFonts w:ascii="Times New Roman" w:hAnsi="Times New Roman" w:cs="Times New Roman"/>
          <w:sz w:val="24"/>
          <w:szCs w:val="24"/>
          <w:lang w:val="en-GB"/>
        </w:rPr>
        <w:t xml:space="preserve">nly seven CARIFORUM states have ratified the EPA, and many have not </w:t>
      </w:r>
      <w:r w:rsidR="0058754A" w:rsidRPr="00B41DB1">
        <w:rPr>
          <w:rFonts w:ascii="Times New Roman" w:hAnsi="Times New Roman" w:cs="Times New Roman"/>
          <w:sz w:val="24"/>
          <w:szCs w:val="24"/>
          <w:lang w:val="en-GB"/>
        </w:rPr>
        <w:t xml:space="preserve">yet </w:t>
      </w:r>
      <w:r w:rsidR="0084727C" w:rsidRPr="00B41DB1">
        <w:rPr>
          <w:rFonts w:ascii="Times New Roman" w:hAnsi="Times New Roman" w:cs="Times New Roman"/>
          <w:sz w:val="24"/>
          <w:szCs w:val="24"/>
          <w:lang w:val="en-GB"/>
        </w:rPr>
        <w:t xml:space="preserve">implemented the </w:t>
      </w:r>
      <w:r w:rsidR="0058754A" w:rsidRPr="00B41DB1">
        <w:rPr>
          <w:rFonts w:ascii="Times New Roman" w:hAnsi="Times New Roman" w:cs="Times New Roman"/>
          <w:sz w:val="24"/>
          <w:szCs w:val="24"/>
          <w:lang w:val="en-GB"/>
        </w:rPr>
        <w:t>necessary</w:t>
      </w:r>
      <w:r w:rsidR="0084727C" w:rsidRPr="00B41DB1">
        <w:rPr>
          <w:rFonts w:ascii="Times New Roman" w:hAnsi="Times New Roman" w:cs="Times New Roman"/>
          <w:sz w:val="24"/>
          <w:szCs w:val="24"/>
          <w:lang w:val="en-GB"/>
        </w:rPr>
        <w:t xml:space="preserve"> tariff </w:t>
      </w:r>
      <w:r w:rsidR="0084727C" w:rsidRPr="00B41DB1">
        <w:rPr>
          <w:rFonts w:ascii="Times New Roman" w:hAnsi="Times New Roman" w:cs="Times New Roman"/>
          <w:sz w:val="24"/>
          <w:szCs w:val="24"/>
          <w:lang w:val="en-GB"/>
        </w:rPr>
        <w:lastRenderedPageBreak/>
        <w:t xml:space="preserve">reductions. The </w:t>
      </w:r>
      <w:r w:rsidR="002F5DA4" w:rsidRPr="00B41DB1">
        <w:rPr>
          <w:rFonts w:ascii="Times New Roman" w:hAnsi="Times New Roman" w:cs="Times New Roman"/>
          <w:sz w:val="24"/>
          <w:szCs w:val="24"/>
          <w:lang w:val="en-GB"/>
        </w:rPr>
        <w:t xml:space="preserve">creation of EPA Implementation Units in each Caribbean country </w:t>
      </w:r>
      <w:r w:rsidR="002B616D" w:rsidRPr="00B41DB1">
        <w:rPr>
          <w:rFonts w:ascii="Times New Roman" w:hAnsi="Times New Roman" w:cs="Times New Roman"/>
          <w:sz w:val="24"/>
          <w:szCs w:val="24"/>
          <w:lang w:val="en-GB"/>
        </w:rPr>
        <w:t xml:space="preserve">took longer than expected. All </w:t>
      </w:r>
      <w:r w:rsidR="00BB76FD" w:rsidRPr="00B41DB1">
        <w:rPr>
          <w:rFonts w:ascii="Times New Roman" w:hAnsi="Times New Roman" w:cs="Times New Roman"/>
          <w:sz w:val="24"/>
          <w:szCs w:val="24"/>
          <w:lang w:val="en-GB"/>
        </w:rPr>
        <w:t xml:space="preserve">countries now have </w:t>
      </w:r>
      <w:r w:rsidR="0058754A" w:rsidRPr="00B41DB1">
        <w:rPr>
          <w:rFonts w:ascii="Times New Roman" w:hAnsi="Times New Roman" w:cs="Times New Roman"/>
          <w:sz w:val="24"/>
          <w:szCs w:val="24"/>
          <w:lang w:val="en-GB"/>
        </w:rPr>
        <w:t xml:space="preserve">such a unit, </w:t>
      </w:r>
      <w:r w:rsidR="00BB76FD" w:rsidRPr="00B41DB1">
        <w:rPr>
          <w:rFonts w:ascii="Times New Roman" w:hAnsi="Times New Roman" w:cs="Times New Roman"/>
          <w:sz w:val="24"/>
          <w:szCs w:val="24"/>
          <w:lang w:val="en-GB"/>
        </w:rPr>
        <w:t xml:space="preserve">but </w:t>
      </w:r>
      <w:r w:rsidR="002B616D" w:rsidRPr="00B41DB1">
        <w:rPr>
          <w:rFonts w:ascii="Times New Roman" w:hAnsi="Times New Roman" w:cs="Times New Roman"/>
          <w:sz w:val="24"/>
          <w:szCs w:val="24"/>
          <w:lang w:val="en-GB"/>
        </w:rPr>
        <w:t>several</w:t>
      </w:r>
      <w:r w:rsidR="00BB76FD" w:rsidRPr="00B41DB1">
        <w:rPr>
          <w:rFonts w:ascii="Times New Roman" w:hAnsi="Times New Roman" w:cs="Times New Roman"/>
          <w:sz w:val="24"/>
          <w:szCs w:val="24"/>
          <w:lang w:val="en-GB"/>
        </w:rPr>
        <w:t xml:space="preserve"> are embedded within other government bodies and </w:t>
      </w:r>
      <w:r w:rsidR="005E67E5" w:rsidRPr="00B41DB1">
        <w:rPr>
          <w:rFonts w:ascii="Times New Roman" w:hAnsi="Times New Roman" w:cs="Times New Roman"/>
          <w:sz w:val="24"/>
          <w:szCs w:val="24"/>
          <w:lang w:val="en-GB"/>
        </w:rPr>
        <w:t xml:space="preserve">do not have </w:t>
      </w:r>
      <w:r w:rsidR="0058754A" w:rsidRPr="00B41DB1">
        <w:rPr>
          <w:rFonts w:ascii="Times New Roman" w:hAnsi="Times New Roman" w:cs="Times New Roman"/>
          <w:sz w:val="24"/>
          <w:szCs w:val="24"/>
          <w:lang w:val="en-GB"/>
        </w:rPr>
        <w:t>sufficient</w:t>
      </w:r>
      <w:r w:rsidR="005E67E5" w:rsidRPr="00B41DB1">
        <w:rPr>
          <w:rFonts w:ascii="Times New Roman" w:hAnsi="Times New Roman" w:cs="Times New Roman"/>
          <w:sz w:val="24"/>
          <w:szCs w:val="24"/>
          <w:lang w:val="en-GB"/>
        </w:rPr>
        <w:t xml:space="preserve"> money or staff to work effectively. Similarly it has taken </w:t>
      </w:r>
      <w:r w:rsidR="003B3251" w:rsidRPr="00B41DB1">
        <w:rPr>
          <w:rFonts w:ascii="Times New Roman" w:hAnsi="Times New Roman" w:cs="Times New Roman"/>
          <w:sz w:val="24"/>
          <w:szCs w:val="24"/>
          <w:lang w:val="en-GB"/>
        </w:rPr>
        <w:t xml:space="preserve">several years to </w:t>
      </w:r>
      <w:r w:rsidR="005E67E5" w:rsidRPr="00B41DB1">
        <w:rPr>
          <w:rFonts w:ascii="Times New Roman" w:hAnsi="Times New Roman" w:cs="Times New Roman"/>
          <w:sz w:val="24"/>
          <w:szCs w:val="24"/>
          <w:lang w:val="en-GB"/>
        </w:rPr>
        <w:t xml:space="preserve">establish the </w:t>
      </w:r>
      <w:r w:rsidR="00896842" w:rsidRPr="00B41DB1">
        <w:rPr>
          <w:rFonts w:ascii="Times New Roman" w:hAnsi="Times New Roman" w:cs="Times New Roman"/>
          <w:sz w:val="24"/>
          <w:szCs w:val="24"/>
          <w:lang w:val="en-GB"/>
        </w:rPr>
        <w:t>complex and costly set</w:t>
      </w:r>
      <w:r w:rsidR="005E67E5" w:rsidRPr="00B41DB1">
        <w:rPr>
          <w:rFonts w:ascii="Times New Roman" w:hAnsi="Times New Roman" w:cs="Times New Roman"/>
          <w:sz w:val="24"/>
          <w:szCs w:val="24"/>
          <w:lang w:val="en-GB"/>
        </w:rPr>
        <w:t xml:space="preserve"> of instit</w:t>
      </w:r>
      <w:r w:rsidR="002B616D" w:rsidRPr="00B41DB1">
        <w:rPr>
          <w:rFonts w:ascii="Times New Roman" w:hAnsi="Times New Roman" w:cs="Times New Roman"/>
          <w:sz w:val="24"/>
          <w:szCs w:val="24"/>
          <w:lang w:val="en-GB"/>
        </w:rPr>
        <w:t xml:space="preserve">utions to oversee the agreement. </w:t>
      </w:r>
      <w:r w:rsidR="00037E41" w:rsidRPr="00B41DB1">
        <w:rPr>
          <w:rFonts w:ascii="Times New Roman" w:hAnsi="Times New Roman" w:cs="Times New Roman"/>
          <w:sz w:val="24"/>
          <w:szCs w:val="24"/>
          <w:lang w:val="en-GB"/>
        </w:rPr>
        <w:t xml:space="preserve">In </w:t>
      </w:r>
      <w:r w:rsidR="0058754A" w:rsidRPr="00B41DB1">
        <w:rPr>
          <w:rFonts w:ascii="Times New Roman" w:hAnsi="Times New Roman" w:cs="Times New Roman"/>
          <w:sz w:val="24"/>
          <w:szCs w:val="24"/>
          <w:lang w:val="en-GB"/>
        </w:rPr>
        <w:t>regard to trade flows</w:t>
      </w:r>
      <w:r w:rsidR="007C64AE" w:rsidRPr="00B41DB1">
        <w:rPr>
          <w:rFonts w:ascii="Times New Roman" w:hAnsi="Times New Roman" w:cs="Times New Roman"/>
          <w:sz w:val="24"/>
          <w:szCs w:val="24"/>
          <w:lang w:val="en-GB"/>
        </w:rPr>
        <w:t>,</w:t>
      </w:r>
      <w:r w:rsidR="00037E41" w:rsidRPr="00B41DB1">
        <w:rPr>
          <w:rFonts w:ascii="Times New Roman" w:hAnsi="Times New Roman" w:cs="Times New Roman"/>
          <w:sz w:val="24"/>
          <w:szCs w:val="24"/>
          <w:lang w:val="en-GB"/>
        </w:rPr>
        <w:t xml:space="preserve"> CARIFORUM service providers, a group that could benefit from the EPA, have been</w:t>
      </w:r>
      <w:r w:rsidR="007C64AE" w:rsidRPr="00B41DB1">
        <w:rPr>
          <w:rFonts w:ascii="Times New Roman" w:hAnsi="Times New Roman" w:cs="Times New Roman"/>
          <w:sz w:val="24"/>
          <w:szCs w:val="24"/>
          <w:lang w:val="en-GB"/>
        </w:rPr>
        <w:t xml:space="preserve"> unable to access the EU market,</w:t>
      </w:r>
      <w:r w:rsidR="00037E41" w:rsidRPr="00B41DB1">
        <w:rPr>
          <w:rFonts w:ascii="Times New Roman" w:hAnsi="Times New Roman" w:cs="Times New Roman"/>
          <w:sz w:val="24"/>
          <w:szCs w:val="24"/>
          <w:lang w:val="en-GB"/>
        </w:rPr>
        <w:t xml:space="preserve"> while a</w:t>
      </w:r>
      <w:r w:rsidR="00AA78D3" w:rsidRPr="00B41DB1">
        <w:rPr>
          <w:rFonts w:ascii="Times New Roman" w:hAnsi="Times New Roman" w:cs="Times New Roman"/>
          <w:sz w:val="24"/>
          <w:szCs w:val="24"/>
          <w:lang w:val="en-GB"/>
        </w:rPr>
        <w:t>n</w:t>
      </w:r>
      <w:r w:rsidR="00037E41" w:rsidRPr="00B41DB1">
        <w:rPr>
          <w:rFonts w:ascii="Times New Roman" w:hAnsi="Times New Roman" w:cs="Times New Roman"/>
          <w:sz w:val="24"/>
          <w:szCs w:val="24"/>
          <w:lang w:val="en-GB"/>
        </w:rPr>
        <w:t xml:space="preserve"> increase in European goods and firms penetrating the Caribbean</w:t>
      </w:r>
      <w:r w:rsidR="0058754A" w:rsidRPr="00B41DB1">
        <w:rPr>
          <w:rFonts w:ascii="Times New Roman" w:hAnsi="Times New Roman" w:cs="Times New Roman"/>
          <w:sz w:val="24"/>
          <w:szCs w:val="24"/>
          <w:lang w:val="en-GB"/>
        </w:rPr>
        <w:t xml:space="preserve"> has not taken place. </w:t>
      </w:r>
      <w:r w:rsidR="00037E41" w:rsidRPr="00B41DB1">
        <w:rPr>
          <w:rFonts w:ascii="Times New Roman" w:hAnsi="Times New Roman" w:cs="Times New Roman"/>
          <w:sz w:val="24"/>
          <w:szCs w:val="24"/>
          <w:lang w:val="en-GB"/>
        </w:rPr>
        <w:t xml:space="preserve">As </w:t>
      </w:r>
      <w:r w:rsidR="0018304B" w:rsidRPr="00B41DB1">
        <w:rPr>
          <w:rFonts w:ascii="Times New Roman" w:hAnsi="Times New Roman" w:cs="Times New Roman"/>
          <w:sz w:val="24"/>
          <w:szCs w:val="24"/>
          <w:lang w:val="en-GB"/>
        </w:rPr>
        <w:t>Jessop (2012</w:t>
      </w:r>
      <w:r w:rsidR="00AA78D3" w:rsidRPr="00B41DB1">
        <w:rPr>
          <w:rFonts w:ascii="Times New Roman" w:hAnsi="Times New Roman" w:cs="Times New Roman"/>
          <w:sz w:val="24"/>
          <w:szCs w:val="24"/>
          <w:lang w:val="en-GB"/>
        </w:rPr>
        <w:t xml:space="preserve">) </w:t>
      </w:r>
      <w:r w:rsidR="001E427D" w:rsidRPr="00B41DB1">
        <w:rPr>
          <w:rFonts w:ascii="Times New Roman" w:hAnsi="Times New Roman" w:cs="Times New Roman"/>
          <w:sz w:val="24"/>
          <w:szCs w:val="24"/>
          <w:lang w:val="en-GB"/>
        </w:rPr>
        <w:t>suggested</w:t>
      </w:r>
      <w:r w:rsidR="00AA78D3" w:rsidRPr="00B41DB1">
        <w:rPr>
          <w:rFonts w:ascii="Times New Roman" w:hAnsi="Times New Roman" w:cs="Times New Roman"/>
          <w:sz w:val="24"/>
          <w:szCs w:val="24"/>
          <w:lang w:val="en-GB"/>
        </w:rPr>
        <w:t xml:space="preserve"> </w:t>
      </w:r>
      <w:r w:rsidR="00037E41" w:rsidRPr="00B41DB1">
        <w:rPr>
          <w:rFonts w:ascii="Times New Roman" w:hAnsi="Times New Roman" w:cs="Times New Roman"/>
          <w:sz w:val="24"/>
          <w:szCs w:val="24"/>
          <w:lang w:val="en-GB"/>
        </w:rPr>
        <w:t xml:space="preserve">‘very little that is practical has happened’. ‘It is impossible to point to a single EPA specific success story </w:t>
      </w:r>
      <w:r w:rsidR="00457AA5" w:rsidRPr="00B41DB1">
        <w:rPr>
          <w:rFonts w:ascii="Times New Roman" w:hAnsi="Times New Roman" w:cs="Times New Roman"/>
          <w:sz w:val="24"/>
          <w:szCs w:val="24"/>
          <w:lang w:val="en-GB"/>
        </w:rPr>
        <w:t>[…]</w:t>
      </w:r>
      <w:r w:rsidR="00037E41" w:rsidRPr="00B41DB1">
        <w:rPr>
          <w:rFonts w:ascii="Times New Roman" w:hAnsi="Times New Roman" w:cs="Times New Roman"/>
          <w:sz w:val="24"/>
          <w:szCs w:val="24"/>
          <w:lang w:val="en-GB"/>
        </w:rPr>
        <w:t xml:space="preserve"> No one can point to any big investment or new trade flows</w:t>
      </w:r>
      <w:r w:rsidR="0018304B" w:rsidRPr="00B41DB1">
        <w:rPr>
          <w:rFonts w:ascii="Times New Roman" w:hAnsi="Times New Roman" w:cs="Times New Roman"/>
          <w:sz w:val="24"/>
          <w:szCs w:val="24"/>
          <w:lang w:val="en-GB"/>
        </w:rPr>
        <w:t>’</w:t>
      </w:r>
      <w:r w:rsidR="00037E41" w:rsidRPr="00B41DB1">
        <w:rPr>
          <w:rFonts w:ascii="Times New Roman" w:hAnsi="Times New Roman" w:cs="Times New Roman"/>
          <w:sz w:val="24"/>
          <w:szCs w:val="24"/>
          <w:lang w:val="en-GB"/>
        </w:rPr>
        <w:t xml:space="preserve">. </w:t>
      </w:r>
      <w:r w:rsidR="00AA78D3" w:rsidRPr="00B41DB1">
        <w:rPr>
          <w:rFonts w:ascii="Times New Roman" w:hAnsi="Times New Roman" w:cs="Times New Roman"/>
          <w:sz w:val="24"/>
          <w:szCs w:val="24"/>
          <w:lang w:val="en-GB"/>
        </w:rPr>
        <w:t>Little has changed to challenge that view.</w:t>
      </w:r>
    </w:p>
    <w:p w14:paraId="0F57DEDE" w14:textId="290E82C0" w:rsidR="00A536F6" w:rsidRPr="00B41DB1" w:rsidRDefault="00F60539"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Several reasons </w:t>
      </w:r>
      <w:r w:rsidR="00ED5357" w:rsidRPr="00B41DB1">
        <w:rPr>
          <w:rFonts w:ascii="Times New Roman" w:hAnsi="Times New Roman" w:cs="Times New Roman"/>
          <w:sz w:val="24"/>
          <w:szCs w:val="24"/>
          <w:lang w:val="en-GB"/>
        </w:rPr>
        <w:t>can be offered t</w:t>
      </w:r>
      <w:r w:rsidR="001162E6" w:rsidRPr="00B41DB1">
        <w:rPr>
          <w:rFonts w:ascii="Times New Roman" w:hAnsi="Times New Roman" w:cs="Times New Roman"/>
          <w:sz w:val="24"/>
          <w:szCs w:val="24"/>
          <w:lang w:val="en-GB"/>
        </w:rPr>
        <w:t xml:space="preserve">o explain </w:t>
      </w:r>
      <w:r w:rsidRPr="00B41DB1">
        <w:rPr>
          <w:rFonts w:ascii="Times New Roman" w:hAnsi="Times New Roman" w:cs="Times New Roman"/>
          <w:sz w:val="24"/>
          <w:szCs w:val="24"/>
          <w:lang w:val="en-GB"/>
        </w:rPr>
        <w:t>the problems noted above. (1) T</w:t>
      </w:r>
      <w:r w:rsidR="00ED5357" w:rsidRPr="00B41DB1">
        <w:rPr>
          <w:rFonts w:ascii="Times New Roman" w:hAnsi="Times New Roman" w:cs="Times New Roman"/>
          <w:sz w:val="24"/>
          <w:szCs w:val="24"/>
          <w:lang w:val="en-GB"/>
        </w:rPr>
        <w:t xml:space="preserve">he aggressive way in which the EU undertook the negotiations has left a degree of bitterness and distrust on the Caribbean side, which has inhibited its engagement. </w:t>
      </w:r>
      <w:r w:rsidR="00E1031A">
        <w:rPr>
          <w:rFonts w:ascii="Times New Roman" w:hAnsi="Times New Roman" w:cs="Times New Roman"/>
          <w:sz w:val="24"/>
          <w:szCs w:val="24"/>
          <w:lang w:val="en-GB"/>
        </w:rPr>
        <w:t xml:space="preserve">As Bharrat Jagdeo, former prime minister of Guyana argued, the EPA is ‘another instance of the European Union using its trade might and economic might bullying a developing country into an agreement’ (BBC Caribbean.com, 2008). </w:t>
      </w:r>
      <w:r w:rsidRPr="00B41DB1">
        <w:rPr>
          <w:rFonts w:ascii="Times New Roman" w:hAnsi="Times New Roman" w:cs="Times New Roman"/>
          <w:sz w:val="24"/>
          <w:szCs w:val="24"/>
          <w:lang w:val="en-GB"/>
        </w:rPr>
        <w:t>(2) A</w:t>
      </w:r>
      <w:r w:rsidR="00140B26" w:rsidRPr="00B41DB1">
        <w:rPr>
          <w:rFonts w:ascii="Times New Roman" w:hAnsi="Times New Roman" w:cs="Times New Roman"/>
          <w:sz w:val="24"/>
          <w:szCs w:val="24"/>
          <w:lang w:val="en-GB"/>
        </w:rPr>
        <w:t xml:space="preserve"> weakened and marginalised WTO undermine</w:t>
      </w:r>
      <w:r w:rsidRPr="00B41DB1">
        <w:rPr>
          <w:rFonts w:ascii="Times New Roman" w:hAnsi="Times New Roman" w:cs="Times New Roman"/>
          <w:sz w:val="24"/>
          <w:szCs w:val="24"/>
          <w:lang w:val="en-GB"/>
        </w:rPr>
        <w:t>d</w:t>
      </w:r>
      <w:r w:rsidR="00140B26" w:rsidRPr="00B41DB1">
        <w:rPr>
          <w:rFonts w:ascii="Times New Roman" w:hAnsi="Times New Roman" w:cs="Times New Roman"/>
          <w:sz w:val="24"/>
          <w:szCs w:val="24"/>
          <w:lang w:val="en-GB"/>
        </w:rPr>
        <w:t xml:space="preserve"> the intellectual rationale for the EPA (Heron</w:t>
      </w:r>
      <w:r w:rsidR="000D2F47" w:rsidRPr="00B41DB1">
        <w:rPr>
          <w:rFonts w:ascii="Times New Roman" w:hAnsi="Times New Roman" w:cs="Times New Roman"/>
          <w:sz w:val="24"/>
          <w:szCs w:val="24"/>
          <w:lang w:val="en-GB"/>
        </w:rPr>
        <w:t>,</w:t>
      </w:r>
      <w:r w:rsidR="00140B26" w:rsidRPr="00B41DB1">
        <w:rPr>
          <w:rFonts w:ascii="Times New Roman" w:hAnsi="Times New Roman" w:cs="Times New Roman"/>
          <w:sz w:val="24"/>
          <w:szCs w:val="24"/>
          <w:lang w:val="en-GB"/>
        </w:rPr>
        <w:t xml:space="preserve"> 2014). </w:t>
      </w:r>
      <w:r w:rsidR="00A536F6" w:rsidRPr="00B41DB1">
        <w:rPr>
          <w:rFonts w:ascii="Times New Roman" w:hAnsi="Times New Roman" w:cs="Times New Roman"/>
          <w:sz w:val="24"/>
          <w:szCs w:val="24"/>
          <w:lang w:val="en-GB"/>
        </w:rPr>
        <w:t>(3)</w:t>
      </w:r>
      <w:r w:rsidR="00ED5357" w:rsidRPr="00B41DB1">
        <w:rPr>
          <w:rFonts w:ascii="Times New Roman" w:hAnsi="Times New Roman" w:cs="Times New Roman"/>
          <w:sz w:val="24"/>
          <w:szCs w:val="24"/>
          <w:lang w:val="en-GB"/>
        </w:rPr>
        <w:t xml:space="preserve"> </w:t>
      </w:r>
      <w:r w:rsidR="00A536F6" w:rsidRPr="00B41DB1">
        <w:rPr>
          <w:rFonts w:ascii="Times New Roman" w:hAnsi="Times New Roman" w:cs="Times New Roman"/>
          <w:sz w:val="24"/>
          <w:szCs w:val="24"/>
          <w:lang w:val="en-GB"/>
        </w:rPr>
        <w:t>E</w:t>
      </w:r>
      <w:r w:rsidRPr="00B41DB1">
        <w:rPr>
          <w:rFonts w:ascii="Times New Roman" w:hAnsi="Times New Roman" w:cs="Times New Roman"/>
          <w:sz w:val="24"/>
          <w:szCs w:val="24"/>
          <w:lang w:val="en-GB"/>
        </w:rPr>
        <w:t xml:space="preserve">ven though the EPA was sold as a development agreement there is little belief, on either side, that this will be the case. </w:t>
      </w:r>
      <w:r w:rsidR="00A536F6" w:rsidRPr="00B41DB1">
        <w:rPr>
          <w:rFonts w:ascii="Times New Roman" w:hAnsi="Times New Roman" w:cs="Times New Roman"/>
          <w:sz w:val="24"/>
          <w:szCs w:val="24"/>
          <w:lang w:val="en-GB"/>
        </w:rPr>
        <w:t>(4) B</w:t>
      </w:r>
      <w:r w:rsidR="00ED5357" w:rsidRPr="00B41DB1">
        <w:rPr>
          <w:rFonts w:ascii="Times New Roman" w:hAnsi="Times New Roman" w:cs="Times New Roman"/>
          <w:sz w:val="24"/>
          <w:szCs w:val="24"/>
          <w:lang w:val="en-GB"/>
        </w:rPr>
        <w:t>ecause the neg</w:t>
      </w:r>
      <w:r w:rsidR="00991FC7" w:rsidRPr="00B41DB1">
        <w:rPr>
          <w:rFonts w:ascii="Times New Roman" w:hAnsi="Times New Roman" w:cs="Times New Roman"/>
          <w:sz w:val="24"/>
          <w:szCs w:val="24"/>
          <w:lang w:val="en-GB"/>
        </w:rPr>
        <w:t>otiations were largely an elite-</w:t>
      </w:r>
      <w:r w:rsidR="00ED5357" w:rsidRPr="00B41DB1">
        <w:rPr>
          <w:rFonts w:ascii="Times New Roman" w:hAnsi="Times New Roman" w:cs="Times New Roman"/>
          <w:sz w:val="24"/>
          <w:szCs w:val="24"/>
          <w:lang w:val="en-GB"/>
        </w:rPr>
        <w:t>d</w:t>
      </w:r>
      <w:r w:rsidR="00991FC7" w:rsidRPr="00B41DB1">
        <w:rPr>
          <w:rFonts w:ascii="Times New Roman" w:hAnsi="Times New Roman" w:cs="Times New Roman"/>
          <w:sz w:val="24"/>
          <w:szCs w:val="24"/>
          <w:lang w:val="en-GB"/>
        </w:rPr>
        <w:t>riven process, the level of buy-</w:t>
      </w:r>
      <w:r w:rsidR="00ED5357" w:rsidRPr="00B41DB1">
        <w:rPr>
          <w:rFonts w:ascii="Times New Roman" w:hAnsi="Times New Roman" w:cs="Times New Roman"/>
          <w:sz w:val="24"/>
          <w:szCs w:val="24"/>
          <w:lang w:val="en-GB"/>
        </w:rPr>
        <w:t>in and commitment on the part of civil society and the private sector is small. In turn, they do not fully understand the agreement no</w:t>
      </w:r>
      <w:r w:rsidR="001672A6" w:rsidRPr="00B41DB1">
        <w:rPr>
          <w:rFonts w:ascii="Times New Roman" w:hAnsi="Times New Roman" w:cs="Times New Roman"/>
          <w:sz w:val="24"/>
          <w:szCs w:val="24"/>
          <w:lang w:val="en-GB"/>
        </w:rPr>
        <w:t>r believe it has much to offer them. As Jessop (2012) argue</w:t>
      </w:r>
      <w:r w:rsidR="00EB23B0" w:rsidRPr="00B41DB1">
        <w:rPr>
          <w:rFonts w:ascii="Times New Roman" w:hAnsi="Times New Roman" w:cs="Times New Roman"/>
          <w:sz w:val="24"/>
          <w:szCs w:val="24"/>
          <w:lang w:val="en-GB"/>
        </w:rPr>
        <w:t>d</w:t>
      </w:r>
      <w:r w:rsidR="00991FC7" w:rsidRPr="00B41DB1">
        <w:rPr>
          <w:rFonts w:ascii="Times New Roman" w:hAnsi="Times New Roman" w:cs="Times New Roman"/>
          <w:sz w:val="24"/>
          <w:szCs w:val="24"/>
          <w:lang w:val="en-GB"/>
        </w:rPr>
        <w:t>,</w:t>
      </w:r>
      <w:r w:rsidR="001672A6" w:rsidRPr="00B41DB1">
        <w:rPr>
          <w:rFonts w:ascii="Times New Roman" w:hAnsi="Times New Roman" w:cs="Times New Roman"/>
          <w:sz w:val="24"/>
          <w:szCs w:val="24"/>
          <w:lang w:val="en-GB"/>
        </w:rPr>
        <w:t xml:space="preserve"> </w:t>
      </w:r>
      <w:r w:rsidR="00D226DD" w:rsidRPr="00B41DB1">
        <w:rPr>
          <w:rFonts w:ascii="Times New Roman" w:hAnsi="Times New Roman" w:cs="Times New Roman"/>
          <w:sz w:val="24"/>
          <w:szCs w:val="24"/>
          <w:lang w:val="en-GB"/>
        </w:rPr>
        <w:t>‘</w:t>
      </w:r>
      <w:r w:rsidR="001672A6" w:rsidRPr="00B41DB1">
        <w:rPr>
          <w:rFonts w:ascii="Times New Roman" w:hAnsi="Times New Roman" w:cs="Times New Roman"/>
          <w:sz w:val="24"/>
          <w:szCs w:val="24"/>
          <w:lang w:val="en-GB"/>
        </w:rPr>
        <w:t>[m]any companies say it is an irrelevance</w:t>
      </w:r>
      <w:r w:rsidR="00D226DD" w:rsidRPr="00B41DB1">
        <w:rPr>
          <w:rFonts w:ascii="Times New Roman" w:hAnsi="Times New Roman" w:cs="Times New Roman"/>
          <w:sz w:val="24"/>
          <w:szCs w:val="24"/>
          <w:lang w:val="en-GB"/>
        </w:rPr>
        <w:t>’</w:t>
      </w:r>
      <w:r w:rsidR="001672A6" w:rsidRPr="00B41DB1">
        <w:rPr>
          <w:rFonts w:ascii="Times New Roman" w:hAnsi="Times New Roman" w:cs="Times New Roman"/>
          <w:sz w:val="24"/>
          <w:szCs w:val="24"/>
          <w:lang w:val="en-GB"/>
        </w:rPr>
        <w:t xml:space="preserve">. </w:t>
      </w:r>
      <w:r w:rsidR="00B95BF4" w:rsidRPr="00B41DB1">
        <w:rPr>
          <w:rFonts w:ascii="Times New Roman" w:hAnsi="Times New Roman" w:cs="Times New Roman"/>
          <w:sz w:val="24"/>
          <w:szCs w:val="24"/>
          <w:lang w:val="en-GB"/>
        </w:rPr>
        <w:t xml:space="preserve">Even the tourism sector </w:t>
      </w:r>
      <w:r w:rsidR="00D226DD" w:rsidRPr="00B41DB1">
        <w:rPr>
          <w:rFonts w:ascii="Times New Roman" w:hAnsi="Times New Roman" w:cs="Times New Roman"/>
          <w:sz w:val="24"/>
          <w:szCs w:val="24"/>
          <w:lang w:val="en-GB"/>
        </w:rPr>
        <w:t>‘</w:t>
      </w:r>
      <w:r w:rsidR="00B95BF4" w:rsidRPr="00B41DB1">
        <w:rPr>
          <w:rFonts w:ascii="Times New Roman" w:hAnsi="Times New Roman" w:cs="Times New Roman"/>
          <w:sz w:val="24"/>
          <w:szCs w:val="24"/>
          <w:lang w:val="en-GB"/>
        </w:rPr>
        <w:t>has largely given up on the EPA</w:t>
      </w:r>
      <w:r w:rsidR="00D226DD" w:rsidRPr="00B41DB1">
        <w:rPr>
          <w:rFonts w:ascii="Times New Roman" w:hAnsi="Times New Roman" w:cs="Times New Roman"/>
          <w:sz w:val="24"/>
          <w:szCs w:val="24"/>
          <w:lang w:val="en-GB"/>
        </w:rPr>
        <w:t>’</w:t>
      </w:r>
      <w:r w:rsidR="00B95BF4" w:rsidRPr="00B41DB1">
        <w:rPr>
          <w:rFonts w:ascii="Times New Roman" w:hAnsi="Times New Roman" w:cs="Times New Roman"/>
          <w:sz w:val="24"/>
          <w:szCs w:val="24"/>
          <w:lang w:val="en-GB"/>
        </w:rPr>
        <w:t xml:space="preserve"> (Jessop, 2014). </w:t>
      </w:r>
      <w:r w:rsidR="00A536F6" w:rsidRPr="00B41DB1">
        <w:rPr>
          <w:rFonts w:ascii="Times New Roman" w:hAnsi="Times New Roman" w:cs="Times New Roman"/>
          <w:sz w:val="24"/>
          <w:szCs w:val="24"/>
          <w:lang w:val="en-GB"/>
        </w:rPr>
        <w:t>(5) T</w:t>
      </w:r>
      <w:r w:rsidR="001672A6" w:rsidRPr="00B41DB1">
        <w:rPr>
          <w:rFonts w:ascii="Times New Roman" w:hAnsi="Times New Roman" w:cs="Times New Roman"/>
          <w:sz w:val="24"/>
          <w:szCs w:val="24"/>
          <w:lang w:val="en-GB"/>
        </w:rPr>
        <w:t>he onset of the global economic crisis hit the Caribbean hard</w:t>
      </w:r>
      <w:r w:rsidR="00480977" w:rsidRPr="00B41DB1">
        <w:rPr>
          <w:rFonts w:ascii="Times New Roman" w:hAnsi="Times New Roman" w:cs="Times New Roman"/>
          <w:sz w:val="24"/>
          <w:szCs w:val="24"/>
          <w:lang w:val="en-GB"/>
        </w:rPr>
        <w:t>,</w:t>
      </w:r>
      <w:r w:rsidR="001672A6" w:rsidRPr="00B41DB1">
        <w:rPr>
          <w:rFonts w:ascii="Times New Roman" w:hAnsi="Times New Roman" w:cs="Times New Roman"/>
          <w:sz w:val="24"/>
          <w:szCs w:val="24"/>
          <w:lang w:val="en-GB"/>
        </w:rPr>
        <w:t xml:space="preserve"> which meant many states </w:t>
      </w:r>
      <w:r w:rsidRPr="00B41DB1">
        <w:rPr>
          <w:rFonts w:ascii="Times New Roman" w:hAnsi="Times New Roman" w:cs="Times New Roman"/>
          <w:sz w:val="24"/>
          <w:szCs w:val="24"/>
          <w:lang w:val="en-GB"/>
        </w:rPr>
        <w:t xml:space="preserve">have been </w:t>
      </w:r>
      <w:r w:rsidR="001672A6" w:rsidRPr="00B41DB1">
        <w:rPr>
          <w:rFonts w:ascii="Times New Roman" w:hAnsi="Times New Roman" w:cs="Times New Roman"/>
          <w:sz w:val="24"/>
          <w:szCs w:val="24"/>
          <w:lang w:val="en-GB"/>
        </w:rPr>
        <w:lastRenderedPageBreak/>
        <w:t xml:space="preserve">reluctant to move ahead with tariff reductions and lose much needed revenue. </w:t>
      </w:r>
      <w:r w:rsidR="00A536F6" w:rsidRPr="00B41DB1">
        <w:rPr>
          <w:rFonts w:ascii="Times New Roman" w:hAnsi="Times New Roman" w:cs="Times New Roman"/>
          <w:sz w:val="24"/>
          <w:szCs w:val="24"/>
          <w:lang w:val="en-GB"/>
        </w:rPr>
        <w:t>(6) W</w:t>
      </w:r>
      <w:r w:rsidR="00590B7D" w:rsidRPr="00B41DB1">
        <w:rPr>
          <w:rFonts w:ascii="Times New Roman" w:hAnsi="Times New Roman" w:cs="Times New Roman"/>
          <w:sz w:val="24"/>
          <w:szCs w:val="24"/>
          <w:lang w:val="en-GB"/>
        </w:rPr>
        <w:t>hen governments have remove</w:t>
      </w:r>
      <w:r w:rsidR="00CD1DA4" w:rsidRPr="00B41DB1">
        <w:rPr>
          <w:rFonts w:ascii="Times New Roman" w:hAnsi="Times New Roman" w:cs="Times New Roman"/>
          <w:sz w:val="24"/>
          <w:szCs w:val="24"/>
          <w:lang w:val="en-GB"/>
        </w:rPr>
        <w:t>d</w:t>
      </w:r>
      <w:r w:rsidR="00590B7D" w:rsidRPr="00B41DB1">
        <w:rPr>
          <w:rFonts w:ascii="Times New Roman" w:hAnsi="Times New Roman" w:cs="Times New Roman"/>
          <w:sz w:val="24"/>
          <w:szCs w:val="24"/>
          <w:lang w:val="en-GB"/>
        </w:rPr>
        <w:t xml:space="preserve"> tariffs on EU goods</w:t>
      </w:r>
      <w:r w:rsidR="000D2F47" w:rsidRPr="00B41DB1">
        <w:rPr>
          <w:rFonts w:ascii="Times New Roman" w:hAnsi="Times New Roman" w:cs="Times New Roman"/>
          <w:sz w:val="24"/>
          <w:szCs w:val="24"/>
          <w:lang w:val="en-GB"/>
        </w:rPr>
        <w:t>,</w:t>
      </w:r>
      <w:r w:rsidR="00CD1DA4" w:rsidRPr="00B41DB1">
        <w:rPr>
          <w:rFonts w:ascii="Times New Roman" w:hAnsi="Times New Roman" w:cs="Times New Roman"/>
          <w:sz w:val="24"/>
          <w:szCs w:val="24"/>
          <w:lang w:val="en-GB"/>
        </w:rPr>
        <w:t xml:space="preserve"> the early signs have been that </w:t>
      </w:r>
      <w:r w:rsidR="00D226DD" w:rsidRPr="00B41DB1">
        <w:rPr>
          <w:rFonts w:ascii="Times New Roman" w:hAnsi="Times New Roman" w:cs="Times New Roman"/>
          <w:sz w:val="24"/>
          <w:szCs w:val="24"/>
          <w:lang w:val="en-GB"/>
        </w:rPr>
        <w:t>‘</w:t>
      </w:r>
      <w:r w:rsidR="00CD1DA4" w:rsidRPr="00B41DB1">
        <w:rPr>
          <w:rFonts w:ascii="Times New Roman" w:hAnsi="Times New Roman" w:cs="Times New Roman"/>
          <w:sz w:val="24"/>
          <w:szCs w:val="24"/>
          <w:lang w:val="en-GB"/>
        </w:rPr>
        <w:t xml:space="preserve">a number of local companies have </w:t>
      </w:r>
      <w:r w:rsidR="00EB23B0" w:rsidRPr="00B41DB1">
        <w:rPr>
          <w:rFonts w:ascii="Times New Roman" w:hAnsi="Times New Roman" w:cs="Times New Roman"/>
          <w:sz w:val="24"/>
          <w:szCs w:val="24"/>
          <w:lang w:val="en-GB"/>
        </w:rPr>
        <w:t>found themselves unable to comp</w:t>
      </w:r>
      <w:r w:rsidR="00CD1DA4" w:rsidRPr="00B41DB1">
        <w:rPr>
          <w:rFonts w:ascii="Times New Roman" w:hAnsi="Times New Roman" w:cs="Times New Roman"/>
          <w:sz w:val="24"/>
          <w:szCs w:val="24"/>
          <w:lang w:val="en-GB"/>
        </w:rPr>
        <w:t>ete</w:t>
      </w:r>
      <w:r w:rsidR="00D226DD" w:rsidRPr="00B41DB1">
        <w:rPr>
          <w:rFonts w:ascii="Times New Roman" w:hAnsi="Times New Roman" w:cs="Times New Roman"/>
          <w:sz w:val="24"/>
          <w:szCs w:val="24"/>
          <w:lang w:val="en-GB"/>
        </w:rPr>
        <w:t>’</w:t>
      </w:r>
      <w:r w:rsidR="00CD1DA4" w:rsidRPr="00B41DB1">
        <w:rPr>
          <w:rFonts w:ascii="Times New Roman" w:hAnsi="Times New Roman" w:cs="Times New Roman"/>
          <w:sz w:val="24"/>
          <w:szCs w:val="24"/>
          <w:lang w:val="en-GB"/>
        </w:rPr>
        <w:t xml:space="preserve"> (Sanders, 2012</w:t>
      </w:r>
      <w:r w:rsidR="004E2745" w:rsidRPr="00B41DB1">
        <w:rPr>
          <w:rFonts w:ascii="Times New Roman" w:hAnsi="Times New Roman" w:cs="Times New Roman"/>
          <w:sz w:val="24"/>
          <w:szCs w:val="24"/>
          <w:lang w:val="en-GB"/>
        </w:rPr>
        <w:t>b</w:t>
      </w:r>
      <w:r w:rsidR="00CD1DA4" w:rsidRPr="00B41DB1">
        <w:rPr>
          <w:rFonts w:ascii="Times New Roman" w:hAnsi="Times New Roman" w:cs="Times New Roman"/>
          <w:sz w:val="24"/>
          <w:szCs w:val="24"/>
          <w:lang w:val="en-GB"/>
        </w:rPr>
        <w:t xml:space="preserve">). Thus this has created domestic pressures to slow down </w:t>
      </w:r>
      <w:r w:rsidR="00BB2E5C" w:rsidRPr="00B41DB1">
        <w:rPr>
          <w:rFonts w:ascii="Times New Roman" w:hAnsi="Times New Roman" w:cs="Times New Roman"/>
          <w:sz w:val="24"/>
          <w:szCs w:val="24"/>
          <w:lang w:val="en-GB"/>
        </w:rPr>
        <w:t xml:space="preserve">or even reverse </w:t>
      </w:r>
      <w:r w:rsidR="00CD1DA4" w:rsidRPr="00B41DB1">
        <w:rPr>
          <w:rFonts w:ascii="Times New Roman" w:hAnsi="Times New Roman" w:cs="Times New Roman"/>
          <w:sz w:val="24"/>
          <w:szCs w:val="24"/>
          <w:lang w:val="en-GB"/>
        </w:rPr>
        <w:t xml:space="preserve">the </w:t>
      </w:r>
      <w:r w:rsidRPr="00B41DB1">
        <w:rPr>
          <w:rFonts w:ascii="Times New Roman" w:hAnsi="Times New Roman" w:cs="Times New Roman"/>
          <w:sz w:val="24"/>
          <w:szCs w:val="24"/>
          <w:lang w:val="en-GB"/>
        </w:rPr>
        <w:t>process of liberalisation</w:t>
      </w:r>
      <w:r w:rsidR="00CD1DA4" w:rsidRPr="00B41DB1">
        <w:rPr>
          <w:rFonts w:ascii="Times New Roman" w:hAnsi="Times New Roman" w:cs="Times New Roman"/>
          <w:sz w:val="24"/>
          <w:szCs w:val="24"/>
          <w:lang w:val="en-GB"/>
        </w:rPr>
        <w:t>.</w:t>
      </w:r>
      <w:r w:rsidRPr="00B41DB1">
        <w:rPr>
          <w:rFonts w:ascii="Times New Roman" w:hAnsi="Times New Roman" w:cs="Times New Roman"/>
          <w:sz w:val="24"/>
          <w:szCs w:val="24"/>
          <w:lang w:val="en-GB"/>
        </w:rPr>
        <w:t xml:space="preserve"> </w:t>
      </w:r>
      <w:r w:rsidR="00A536F6" w:rsidRPr="00B41DB1">
        <w:rPr>
          <w:rFonts w:ascii="Times New Roman" w:hAnsi="Times New Roman" w:cs="Times New Roman"/>
          <w:sz w:val="24"/>
          <w:szCs w:val="24"/>
          <w:lang w:val="en-GB"/>
        </w:rPr>
        <w:t>(7) O</w:t>
      </w:r>
      <w:r w:rsidRPr="00B41DB1">
        <w:rPr>
          <w:rFonts w:ascii="Times New Roman" w:hAnsi="Times New Roman" w:cs="Times New Roman"/>
          <w:sz w:val="24"/>
          <w:szCs w:val="24"/>
          <w:lang w:val="en-GB"/>
        </w:rPr>
        <w:t xml:space="preserve">nly limited resources </w:t>
      </w:r>
      <w:r w:rsidR="00A536F6" w:rsidRPr="00B41DB1">
        <w:rPr>
          <w:rFonts w:ascii="Times New Roman" w:hAnsi="Times New Roman" w:cs="Times New Roman"/>
          <w:sz w:val="24"/>
          <w:szCs w:val="24"/>
          <w:lang w:val="en-GB"/>
        </w:rPr>
        <w:t>have been provided</w:t>
      </w:r>
      <w:r w:rsidRPr="00B41DB1">
        <w:rPr>
          <w:rFonts w:ascii="Times New Roman" w:hAnsi="Times New Roman" w:cs="Times New Roman"/>
          <w:sz w:val="24"/>
          <w:szCs w:val="24"/>
          <w:lang w:val="en-GB"/>
        </w:rPr>
        <w:t xml:space="preserve"> by the EU to assist the Caribbean with</w:t>
      </w:r>
      <w:r w:rsidR="00A536F6" w:rsidRPr="00B41DB1">
        <w:rPr>
          <w:rFonts w:ascii="Times New Roman" w:hAnsi="Times New Roman" w:cs="Times New Roman"/>
          <w:sz w:val="24"/>
          <w:szCs w:val="24"/>
          <w:lang w:val="en-GB"/>
        </w:rPr>
        <w:t xml:space="preserve"> implementing the EPA </w:t>
      </w:r>
      <w:r w:rsidRPr="00B41DB1">
        <w:rPr>
          <w:rFonts w:ascii="Times New Roman" w:hAnsi="Times New Roman" w:cs="Times New Roman"/>
          <w:sz w:val="24"/>
          <w:szCs w:val="24"/>
          <w:lang w:val="en-GB"/>
        </w:rPr>
        <w:t xml:space="preserve">and the </w:t>
      </w:r>
      <w:r w:rsidR="00A536F6" w:rsidRPr="00B41DB1">
        <w:rPr>
          <w:rFonts w:ascii="Times New Roman" w:hAnsi="Times New Roman" w:cs="Times New Roman"/>
          <w:sz w:val="24"/>
          <w:szCs w:val="24"/>
          <w:lang w:val="en-GB"/>
        </w:rPr>
        <w:t>process</w:t>
      </w:r>
      <w:r w:rsidRPr="00B41DB1">
        <w:rPr>
          <w:rFonts w:ascii="Times New Roman" w:hAnsi="Times New Roman" w:cs="Times New Roman"/>
          <w:sz w:val="24"/>
          <w:szCs w:val="24"/>
          <w:lang w:val="en-GB"/>
        </w:rPr>
        <w:t xml:space="preserve"> for accessing those funds </w:t>
      </w:r>
      <w:r w:rsidR="00A536F6" w:rsidRPr="00B41DB1">
        <w:rPr>
          <w:rFonts w:ascii="Times New Roman" w:hAnsi="Times New Roman" w:cs="Times New Roman"/>
          <w:sz w:val="24"/>
          <w:szCs w:val="24"/>
          <w:lang w:val="en-GB"/>
        </w:rPr>
        <w:t>has</w:t>
      </w:r>
      <w:r w:rsidR="00355369" w:rsidRPr="00B41DB1">
        <w:rPr>
          <w:rFonts w:ascii="Times New Roman" w:hAnsi="Times New Roman" w:cs="Times New Roman"/>
          <w:sz w:val="24"/>
          <w:szCs w:val="24"/>
          <w:lang w:val="en-GB"/>
        </w:rPr>
        <w:t xml:space="preserve"> been ‘</w:t>
      </w:r>
      <w:r w:rsidRPr="00B41DB1">
        <w:rPr>
          <w:rFonts w:ascii="Times New Roman" w:hAnsi="Times New Roman" w:cs="Times New Roman"/>
          <w:sz w:val="24"/>
          <w:szCs w:val="24"/>
          <w:lang w:val="en-GB"/>
        </w:rPr>
        <w:t>cum</w:t>
      </w:r>
      <w:r w:rsidR="00355369" w:rsidRPr="00B41DB1">
        <w:rPr>
          <w:rFonts w:ascii="Times New Roman" w:hAnsi="Times New Roman" w:cs="Times New Roman"/>
          <w:sz w:val="24"/>
          <w:szCs w:val="24"/>
          <w:lang w:val="en-GB"/>
        </w:rPr>
        <w:t>bersome and bureaucratic’</w:t>
      </w:r>
      <w:r w:rsidR="00991FC7" w:rsidRPr="00B41DB1">
        <w:rPr>
          <w:rFonts w:ascii="Times New Roman" w:hAnsi="Times New Roman" w:cs="Times New Roman"/>
          <w:sz w:val="24"/>
          <w:szCs w:val="24"/>
          <w:lang w:val="en-GB"/>
        </w:rPr>
        <w:t xml:space="preserve"> (Lindsay, 2013, p. </w:t>
      </w:r>
      <w:r w:rsidRPr="00B41DB1">
        <w:rPr>
          <w:rFonts w:ascii="Times New Roman" w:hAnsi="Times New Roman" w:cs="Times New Roman"/>
          <w:sz w:val="24"/>
          <w:szCs w:val="24"/>
          <w:lang w:val="en-GB"/>
        </w:rPr>
        <w:t xml:space="preserve">13). </w:t>
      </w:r>
      <w:r w:rsidR="00A536F6" w:rsidRPr="00B41DB1">
        <w:rPr>
          <w:rFonts w:ascii="Times New Roman" w:hAnsi="Times New Roman" w:cs="Times New Roman"/>
          <w:sz w:val="24"/>
          <w:szCs w:val="24"/>
          <w:lang w:val="en-GB"/>
        </w:rPr>
        <w:t xml:space="preserve">(8) </w:t>
      </w:r>
      <w:r w:rsidRPr="00B41DB1">
        <w:rPr>
          <w:rFonts w:ascii="Times New Roman" w:hAnsi="Times New Roman" w:cs="Times New Roman"/>
          <w:sz w:val="24"/>
          <w:szCs w:val="24"/>
          <w:lang w:val="en-GB"/>
        </w:rPr>
        <w:t xml:space="preserve">Caribbean exporters continue to face non-tariff barriers in the EU market. </w:t>
      </w:r>
      <w:r w:rsidR="00A536F6" w:rsidRPr="00B41DB1">
        <w:rPr>
          <w:rFonts w:ascii="Times New Roman" w:hAnsi="Times New Roman" w:cs="Times New Roman"/>
          <w:sz w:val="24"/>
          <w:szCs w:val="24"/>
          <w:lang w:val="en-GB"/>
        </w:rPr>
        <w:t>(9) T</w:t>
      </w:r>
      <w:r w:rsidR="00590B7D" w:rsidRPr="00B41DB1">
        <w:rPr>
          <w:rFonts w:ascii="Times New Roman" w:hAnsi="Times New Roman" w:cs="Times New Roman"/>
          <w:sz w:val="24"/>
          <w:szCs w:val="24"/>
          <w:lang w:val="en-GB"/>
        </w:rPr>
        <w:t>here is a</w:t>
      </w:r>
      <w:r w:rsidR="00A536F6" w:rsidRPr="00B41DB1">
        <w:rPr>
          <w:rFonts w:ascii="Times New Roman" w:hAnsi="Times New Roman" w:cs="Times New Roman"/>
          <w:sz w:val="24"/>
          <w:szCs w:val="24"/>
          <w:lang w:val="en-GB"/>
        </w:rPr>
        <w:t xml:space="preserve"> view in Europe </w:t>
      </w:r>
      <w:r w:rsidR="00590B7D" w:rsidRPr="00B41DB1">
        <w:rPr>
          <w:rFonts w:ascii="Times New Roman" w:hAnsi="Times New Roman" w:cs="Times New Roman"/>
          <w:sz w:val="24"/>
          <w:szCs w:val="24"/>
          <w:lang w:val="en-GB"/>
        </w:rPr>
        <w:t xml:space="preserve">that the Caribbean is not </w:t>
      </w:r>
      <w:r w:rsidR="00A536F6" w:rsidRPr="00B41DB1">
        <w:rPr>
          <w:rFonts w:ascii="Times New Roman" w:hAnsi="Times New Roman" w:cs="Times New Roman"/>
          <w:sz w:val="24"/>
          <w:szCs w:val="24"/>
          <w:lang w:val="en-GB"/>
        </w:rPr>
        <w:t xml:space="preserve">an attractive </w:t>
      </w:r>
      <w:r w:rsidR="00590B7D" w:rsidRPr="00B41DB1">
        <w:rPr>
          <w:rFonts w:ascii="Times New Roman" w:hAnsi="Times New Roman" w:cs="Times New Roman"/>
          <w:sz w:val="24"/>
          <w:szCs w:val="24"/>
          <w:lang w:val="en-GB"/>
        </w:rPr>
        <w:t xml:space="preserve">trading partner </w:t>
      </w:r>
      <w:r w:rsidR="00BB2E5C" w:rsidRPr="00B41DB1">
        <w:rPr>
          <w:rFonts w:ascii="Times New Roman" w:hAnsi="Times New Roman" w:cs="Times New Roman"/>
          <w:sz w:val="24"/>
          <w:szCs w:val="24"/>
          <w:lang w:val="en-GB"/>
        </w:rPr>
        <w:t>due to</w:t>
      </w:r>
      <w:r w:rsidR="00590B7D" w:rsidRPr="00B41DB1">
        <w:rPr>
          <w:rFonts w:ascii="Times New Roman" w:hAnsi="Times New Roman" w:cs="Times New Roman"/>
          <w:sz w:val="24"/>
          <w:szCs w:val="24"/>
          <w:lang w:val="en-GB"/>
        </w:rPr>
        <w:t xml:space="preserve"> its lack of unity and widely different levels of development.</w:t>
      </w:r>
      <w:r w:rsidR="00A84956" w:rsidRPr="00B41DB1">
        <w:rPr>
          <w:rFonts w:ascii="Times New Roman" w:hAnsi="Times New Roman" w:cs="Times New Roman"/>
          <w:sz w:val="24"/>
          <w:szCs w:val="24"/>
          <w:lang w:val="en-GB"/>
        </w:rPr>
        <w:t xml:space="preserve"> As a </w:t>
      </w:r>
      <w:r w:rsidR="00BB2E5C" w:rsidRPr="00B41DB1">
        <w:rPr>
          <w:rFonts w:ascii="Times New Roman" w:hAnsi="Times New Roman" w:cs="Times New Roman"/>
          <w:sz w:val="24"/>
          <w:szCs w:val="24"/>
          <w:lang w:val="en-GB"/>
        </w:rPr>
        <w:t>consequence</w:t>
      </w:r>
      <w:r w:rsidRPr="00B41DB1">
        <w:rPr>
          <w:rFonts w:ascii="Times New Roman" w:hAnsi="Times New Roman" w:cs="Times New Roman"/>
          <w:sz w:val="24"/>
          <w:szCs w:val="24"/>
          <w:lang w:val="en-GB"/>
        </w:rPr>
        <w:t xml:space="preserve">, </w:t>
      </w:r>
      <w:r w:rsidR="00A84956" w:rsidRPr="00B41DB1">
        <w:rPr>
          <w:rFonts w:ascii="Times New Roman" w:hAnsi="Times New Roman" w:cs="Times New Roman"/>
          <w:sz w:val="24"/>
          <w:szCs w:val="24"/>
          <w:lang w:val="en-GB"/>
        </w:rPr>
        <w:t xml:space="preserve">these concerns and others have limited the impact of the EPA and raised </w:t>
      </w:r>
      <w:r w:rsidR="00EB23B0" w:rsidRPr="00B41DB1">
        <w:rPr>
          <w:rFonts w:ascii="Times New Roman" w:hAnsi="Times New Roman" w:cs="Times New Roman"/>
          <w:sz w:val="24"/>
          <w:szCs w:val="24"/>
          <w:lang w:val="en-GB"/>
        </w:rPr>
        <w:t>new</w:t>
      </w:r>
      <w:r w:rsidR="00A84956" w:rsidRPr="00B41DB1">
        <w:rPr>
          <w:rFonts w:ascii="Times New Roman" w:hAnsi="Times New Roman" w:cs="Times New Roman"/>
          <w:sz w:val="24"/>
          <w:szCs w:val="24"/>
          <w:lang w:val="en-GB"/>
        </w:rPr>
        <w:t xml:space="preserve"> questions about the utility of maintaining </w:t>
      </w:r>
      <w:r w:rsidR="003D26F5" w:rsidRPr="00B41DB1">
        <w:rPr>
          <w:rFonts w:ascii="Times New Roman" w:hAnsi="Times New Roman" w:cs="Times New Roman"/>
          <w:sz w:val="24"/>
          <w:szCs w:val="24"/>
          <w:lang w:val="en-GB"/>
        </w:rPr>
        <w:t>the present model of</w:t>
      </w:r>
      <w:r w:rsidR="00A84956" w:rsidRPr="00B41DB1">
        <w:rPr>
          <w:rFonts w:ascii="Times New Roman" w:hAnsi="Times New Roman" w:cs="Times New Roman"/>
          <w:sz w:val="24"/>
          <w:szCs w:val="24"/>
          <w:lang w:val="en-GB"/>
        </w:rPr>
        <w:t xml:space="preserve"> </w:t>
      </w:r>
      <w:r w:rsidR="00A10EC8" w:rsidRPr="00B41DB1">
        <w:rPr>
          <w:rFonts w:ascii="Times New Roman" w:hAnsi="Times New Roman" w:cs="Times New Roman"/>
          <w:sz w:val="24"/>
          <w:szCs w:val="24"/>
          <w:lang w:val="en-GB"/>
        </w:rPr>
        <w:t xml:space="preserve">Caribbean-EU </w:t>
      </w:r>
      <w:r w:rsidR="00A84956" w:rsidRPr="00B41DB1">
        <w:rPr>
          <w:rFonts w:ascii="Times New Roman" w:hAnsi="Times New Roman" w:cs="Times New Roman"/>
          <w:sz w:val="24"/>
          <w:szCs w:val="24"/>
          <w:lang w:val="en-GB"/>
        </w:rPr>
        <w:t xml:space="preserve">relations </w:t>
      </w:r>
      <w:r w:rsidR="00BB2E5C" w:rsidRPr="00B41DB1">
        <w:rPr>
          <w:rFonts w:ascii="Times New Roman" w:hAnsi="Times New Roman" w:cs="Times New Roman"/>
          <w:sz w:val="24"/>
          <w:szCs w:val="24"/>
          <w:lang w:val="en-GB"/>
        </w:rPr>
        <w:t>in the future.</w:t>
      </w:r>
    </w:p>
    <w:p w14:paraId="390D9549" w14:textId="77777777" w:rsidR="00A536F6" w:rsidRPr="00B41DB1" w:rsidRDefault="00A536F6" w:rsidP="000D2F47">
      <w:pPr>
        <w:spacing w:after="0" w:line="480" w:lineRule="auto"/>
        <w:rPr>
          <w:rFonts w:ascii="Times New Roman" w:hAnsi="Times New Roman" w:cs="Times New Roman"/>
          <w:sz w:val="24"/>
          <w:szCs w:val="24"/>
          <w:lang w:val="en-GB"/>
        </w:rPr>
      </w:pPr>
    </w:p>
    <w:p w14:paraId="5924D28E" w14:textId="77777777" w:rsidR="00A10EC8" w:rsidRPr="00B41DB1" w:rsidRDefault="00AA6E40" w:rsidP="000D2F47">
      <w:pPr>
        <w:spacing w:after="0" w:line="480" w:lineRule="auto"/>
        <w:rPr>
          <w:rFonts w:ascii="Times New Roman" w:hAnsi="Times New Roman" w:cs="Times New Roman"/>
          <w:b/>
          <w:sz w:val="24"/>
          <w:szCs w:val="24"/>
          <w:lang w:val="en-GB"/>
        </w:rPr>
      </w:pPr>
      <w:r w:rsidRPr="00B41DB1">
        <w:rPr>
          <w:rFonts w:ascii="Times New Roman" w:hAnsi="Times New Roman" w:cs="Times New Roman"/>
          <w:b/>
          <w:sz w:val="24"/>
          <w:szCs w:val="24"/>
          <w:lang w:val="en-GB"/>
        </w:rPr>
        <w:t>The EU and the UK</w:t>
      </w:r>
      <w:r w:rsidR="00A10EC8" w:rsidRPr="00B41DB1">
        <w:rPr>
          <w:rFonts w:ascii="Times New Roman" w:hAnsi="Times New Roman" w:cs="Times New Roman"/>
          <w:b/>
          <w:sz w:val="24"/>
          <w:szCs w:val="24"/>
          <w:lang w:val="en-GB"/>
        </w:rPr>
        <w:t xml:space="preserve"> Overseas Territories</w:t>
      </w:r>
    </w:p>
    <w:p w14:paraId="662D5A4C" w14:textId="41038A2E" w:rsidR="00790ADA" w:rsidRPr="00B41DB1" w:rsidRDefault="00385B58" w:rsidP="000D2F47">
      <w:pPr>
        <w:pStyle w:val="SGML"/>
        <w:spacing w:after="0" w:line="480" w:lineRule="auto"/>
        <w:rPr>
          <w:color w:val="auto"/>
          <w:sz w:val="24"/>
          <w:szCs w:val="24"/>
          <w:lang w:val="en-GB"/>
        </w:rPr>
      </w:pPr>
      <w:r w:rsidRPr="00B41DB1">
        <w:rPr>
          <w:color w:val="auto"/>
          <w:sz w:val="24"/>
          <w:szCs w:val="24"/>
          <w:lang w:val="en-GB"/>
        </w:rPr>
        <w:t xml:space="preserve">As was highlighted </w:t>
      </w:r>
      <w:r w:rsidR="00991FC7" w:rsidRPr="00B41DB1">
        <w:rPr>
          <w:color w:val="auto"/>
          <w:sz w:val="24"/>
          <w:szCs w:val="24"/>
          <w:lang w:val="en-GB"/>
        </w:rPr>
        <w:t>above</w:t>
      </w:r>
      <w:r w:rsidR="00430489" w:rsidRPr="00B41DB1">
        <w:rPr>
          <w:color w:val="auto"/>
          <w:sz w:val="24"/>
          <w:szCs w:val="24"/>
          <w:lang w:val="en-GB"/>
        </w:rPr>
        <w:t xml:space="preserve"> </w:t>
      </w:r>
      <w:r w:rsidRPr="00B41DB1">
        <w:rPr>
          <w:color w:val="auto"/>
          <w:sz w:val="24"/>
          <w:szCs w:val="24"/>
          <w:lang w:val="en-GB"/>
        </w:rPr>
        <w:t xml:space="preserve">when discussing the origins of the Lomé Convention, Part </w:t>
      </w:r>
      <w:r w:rsidR="00430489" w:rsidRPr="00B41DB1">
        <w:rPr>
          <w:color w:val="auto"/>
          <w:sz w:val="24"/>
          <w:szCs w:val="24"/>
          <w:lang w:val="en-GB"/>
        </w:rPr>
        <w:t>IV</w:t>
      </w:r>
      <w:r w:rsidR="00991FC7" w:rsidRPr="00B41DB1">
        <w:rPr>
          <w:color w:val="auto"/>
          <w:sz w:val="24"/>
          <w:szCs w:val="24"/>
          <w:lang w:val="en-GB"/>
        </w:rPr>
        <w:t xml:space="preserve"> of the Treaty of Rome in 1957</w:t>
      </w:r>
      <w:r w:rsidRPr="00B41DB1">
        <w:rPr>
          <w:color w:val="auto"/>
          <w:sz w:val="24"/>
          <w:szCs w:val="24"/>
          <w:lang w:val="en-GB"/>
        </w:rPr>
        <w:t xml:space="preserve"> first established links between the EU and </w:t>
      </w:r>
      <w:r w:rsidR="00991FC7" w:rsidRPr="00B41DB1">
        <w:rPr>
          <w:color w:val="auto"/>
          <w:sz w:val="24"/>
          <w:szCs w:val="24"/>
          <w:lang w:val="en-GB"/>
        </w:rPr>
        <w:t>the</w:t>
      </w:r>
      <w:r w:rsidRPr="00B41DB1">
        <w:rPr>
          <w:color w:val="auto"/>
          <w:sz w:val="24"/>
          <w:szCs w:val="24"/>
          <w:lang w:val="en-GB"/>
        </w:rPr>
        <w:t xml:space="preserve"> </w:t>
      </w:r>
      <w:r w:rsidR="00430489" w:rsidRPr="00B41DB1">
        <w:rPr>
          <w:color w:val="auto"/>
          <w:sz w:val="24"/>
          <w:szCs w:val="24"/>
          <w:lang w:val="en-GB"/>
        </w:rPr>
        <w:t>then colonies</w:t>
      </w:r>
      <w:r w:rsidR="00991FC7" w:rsidRPr="00B41DB1">
        <w:rPr>
          <w:color w:val="auto"/>
          <w:sz w:val="24"/>
          <w:szCs w:val="24"/>
          <w:lang w:val="en-GB"/>
        </w:rPr>
        <w:t xml:space="preserve"> of some of its member states</w:t>
      </w:r>
      <w:r w:rsidR="00430489" w:rsidRPr="00B41DB1">
        <w:rPr>
          <w:color w:val="auto"/>
          <w:sz w:val="24"/>
          <w:szCs w:val="24"/>
          <w:lang w:val="en-GB"/>
        </w:rPr>
        <w:t xml:space="preserve">. Many of the colonies then became independent states and signed the Yaoundé </w:t>
      </w:r>
      <w:r w:rsidR="00754522" w:rsidRPr="00B41DB1">
        <w:rPr>
          <w:color w:val="auto"/>
          <w:sz w:val="24"/>
          <w:szCs w:val="24"/>
          <w:lang w:val="en-GB"/>
        </w:rPr>
        <w:t>and Lomé Conven</w:t>
      </w:r>
      <w:r w:rsidR="00430489" w:rsidRPr="00B41DB1">
        <w:rPr>
          <w:color w:val="auto"/>
          <w:sz w:val="24"/>
          <w:szCs w:val="24"/>
          <w:lang w:val="en-GB"/>
        </w:rPr>
        <w:t>tion</w:t>
      </w:r>
      <w:r w:rsidR="00754522" w:rsidRPr="00B41DB1">
        <w:rPr>
          <w:color w:val="auto"/>
          <w:sz w:val="24"/>
          <w:szCs w:val="24"/>
          <w:lang w:val="en-GB"/>
        </w:rPr>
        <w:t>s</w:t>
      </w:r>
      <w:r w:rsidR="00430489" w:rsidRPr="00B41DB1">
        <w:rPr>
          <w:color w:val="auto"/>
          <w:sz w:val="24"/>
          <w:szCs w:val="24"/>
          <w:lang w:val="en-GB"/>
        </w:rPr>
        <w:t xml:space="preserve">. However, a number of </w:t>
      </w:r>
      <w:r w:rsidR="00990DB5" w:rsidRPr="00B41DB1">
        <w:rPr>
          <w:color w:val="auto"/>
          <w:sz w:val="24"/>
          <w:szCs w:val="24"/>
          <w:lang w:val="en-GB"/>
        </w:rPr>
        <w:t xml:space="preserve">other </w:t>
      </w:r>
      <w:r w:rsidR="00430489" w:rsidRPr="00B41DB1">
        <w:rPr>
          <w:color w:val="auto"/>
          <w:sz w:val="24"/>
          <w:szCs w:val="24"/>
          <w:lang w:val="en-GB"/>
        </w:rPr>
        <w:t xml:space="preserve">territories </w:t>
      </w:r>
      <w:r w:rsidR="00990DB5" w:rsidRPr="00B41DB1">
        <w:rPr>
          <w:color w:val="auto"/>
          <w:sz w:val="24"/>
          <w:szCs w:val="24"/>
          <w:lang w:val="en-GB"/>
        </w:rPr>
        <w:t xml:space="preserve">did not move to independence and thus </w:t>
      </w:r>
      <w:r w:rsidR="00430489" w:rsidRPr="00B41DB1">
        <w:rPr>
          <w:color w:val="auto"/>
          <w:sz w:val="24"/>
          <w:szCs w:val="24"/>
          <w:lang w:val="en-GB"/>
        </w:rPr>
        <w:t>stayed under the provisions of Part IV</w:t>
      </w:r>
      <w:r w:rsidR="00990DB5" w:rsidRPr="00B41DB1">
        <w:rPr>
          <w:color w:val="auto"/>
          <w:sz w:val="24"/>
          <w:szCs w:val="24"/>
          <w:lang w:val="en-GB"/>
        </w:rPr>
        <w:t>,</w:t>
      </w:r>
      <w:r w:rsidR="00430489" w:rsidRPr="00B41DB1">
        <w:rPr>
          <w:color w:val="auto"/>
          <w:sz w:val="24"/>
          <w:szCs w:val="24"/>
          <w:lang w:val="en-GB"/>
        </w:rPr>
        <w:t xml:space="preserve"> as Overseas Countries and Territories (OCTs). This status is still in place today</w:t>
      </w:r>
      <w:r w:rsidR="00990DB5" w:rsidRPr="00B41DB1">
        <w:rPr>
          <w:color w:val="auto"/>
          <w:sz w:val="24"/>
          <w:szCs w:val="24"/>
          <w:lang w:val="en-GB"/>
        </w:rPr>
        <w:t>,</w:t>
      </w:r>
      <w:r w:rsidR="00430489" w:rsidRPr="00B41DB1">
        <w:rPr>
          <w:color w:val="auto"/>
          <w:sz w:val="24"/>
          <w:szCs w:val="24"/>
          <w:lang w:val="en-GB"/>
        </w:rPr>
        <w:t xml:space="preserve"> and there are 25 OCT countries linked to the UK, France, the Netherlands and Denmark. </w:t>
      </w:r>
      <w:r w:rsidR="00754522" w:rsidRPr="00B41DB1">
        <w:rPr>
          <w:color w:val="auto"/>
          <w:sz w:val="24"/>
          <w:szCs w:val="24"/>
          <w:lang w:val="en-GB"/>
        </w:rPr>
        <w:t xml:space="preserve">The UK has 11 OCTs </w:t>
      </w:r>
      <w:r w:rsidR="00602681" w:rsidRPr="00B41DB1">
        <w:rPr>
          <w:color w:val="auto"/>
          <w:sz w:val="24"/>
          <w:szCs w:val="24"/>
          <w:lang w:val="en-GB"/>
        </w:rPr>
        <w:t>spread across the globe with five in the Caribbean</w:t>
      </w:r>
      <w:r w:rsidR="00990DB5" w:rsidRPr="00B41DB1">
        <w:rPr>
          <w:color w:val="auto"/>
          <w:sz w:val="24"/>
          <w:szCs w:val="24"/>
          <w:lang w:val="en-GB"/>
        </w:rPr>
        <w:t xml:space="preserve">; six if </w:t>
      </w:r>
      <w:r w:rsidR="000D2F47" w:rsidRPr="00B41DB1">
        <w:rPr>
          <w:color w:val="auto"/>
          <w:sz w:val="24"/>
          <w:szCs w:val="24"/>
          <w:lang w:val="en-GB"/>
        </w:rPr>
        <w:t xml:space="preserve">one </w:t>
      </w:r>
      <w:r w:rsidR="00990DB5" w:rsidRPr="00B41DB1">
        <w:rPr>
          <w:color w:val="auto"/>
          <w:sz w:val="24"/>
          <w:szCs w:val="24"/>
          <w:lang w:val="en-GB"/>
        </w:rPr>
        <w:t>include</w:t>
      </w:r>
      <w:r w:rsidR="000D2F47" w:rsidRPr="00B41DB1">
        <w:rPr>
          <w:color w:val="auto"/>
          <w:sz w:val="24"/>
          <w:szCs w:val="24"/>
          <w:lang w:val="en-GB"/>
        </w:rPr>
        <w:t>s</w:t>
      </w:r>
      <w:r w:rsidR="00990DB5" w:rsidRPr="00B41DB1">
        <w:rPr>
          <w:color w:val="auto"/>
          <w:sz w:val="24"/>
          <w:szCs w:val="24"/>
          <w:lang w:val="en-GB"/>
        </w:rPr>
        <w:t xml:space="preserve"> Bermuda. T</w:t>
      </w:r>
      <w:r w:rsidR="00430489" w:rsidRPr="00B41DB1">
        <w:rPr>
          <w:color w:val="auto"/>
          <w:sz w:val="24"/>
          <w:szCs w:val="24"/>
          <w:lang w:val="en-GB"/>
        </w:rPr>
        <w:t xml:space="preserve">hese non-self governing territories are not part of the </w:t>
      </w:r>
      <w:r w:rsidR="00306082" w:rsidRPr="00B41DB1">
        <w:rPr>
          <w:color w:val="auto"/>
          <w:sz w:val="24"/>
          <w:szCs w:val="24"/>
          <w:lang w:val="en-GB"/>
        </w:rPr>
        <w:t xml:space="preserve">EU and thus are not directly subject to EU law, </w:t>
      </w:r>
      <w:r w:rsidR="00430489" w:rsidRPr="00B41DB1">
        <w:rPr>
          <w:color w:val="auto"/>
          <w:sz w:val="24"/>
          <w:szCs w:val="24"/>
          <w:lang w:val="en-GB"/>
        </w:rPr>
        <w:t>but they are associate members of the EU.</w:t>
      </w:r>
      <w:r w:rsidR="00754522" w:rsidRPr="00B41DB1">
        <w:rPr>
          <w:color w:val="auto"/>
          <w:sz w:val="24"/>
          <w:szCs w:val="24"/>
          <w:lang w:val="en-GB"/>
        </w:rPr>
        <w:t xml:space="preserve"> In the </w:t>
      </w:r>
      <w:r w:rsidR="00754522" w:rsidRPr="00B41DB1">
        <w:rPr>
          <w:color w:val="auto"/>
          <w:sz w:val="24"/>
          <w:szCs w:val="24"/>
          <w:lang w:val="en-GB"/>
        </w:rPr>
        <w:lastRenderedPageBreak/>
        <w:t>Treaty of Rome</w:t>
      </w:r>
      <w:r w:rsidR="00991FC7" w:rsidRPr="00B41DB1">
        <w:rPr>
          <w:color w:val="auto"/>
          <w:sz w:val="24"/>
          <w:szCs w:val="24"/>
          <w:lang w:val="en-GB"/>
        </w:rPr>
        <w:t>,</w:t>
      </w:r>
      <w:r w:rsidR="00754522" w:rsidRPr="00B41DB1">
        <w:rPr>
          <w:color w:val="auto"/>
          <w:sz w:val="24"/>
          <w:szCs w:val="24"/>
          <w:lang w:val="en-GB"/>
        </w:rPr>
        <w:t xml:space="preserve"> the EEC’s objectives to the OCT were: </w:t>
      </w:r>
      <w:r w:rsidR="00D226DD" w:rsidRPr="00B41DB1">
        <w:rPr>
          <w:color w:val="auto"/>
          <w:sz w:val="24"/>
          <w:szCs w:val="24"/>
          <w:lang w:val="en-GB"/>
        </w:rPr>
        <w:t>‘</w:t>
      </w:r>
      <w:r w:rsidR="00754522" w:rsidRPr="00B41DB1">
        <w:rPr>
          <w:color w:val="auto"/>
          <w:sz w:val="24"/>
          <w:szCs w:val="24"/>
          <w:lang w:val="en-GB"/>
        </w:rPr>
        <w:t>To promote the economic and social development of the countries and territories and to establish close economic relations between them and the Community as a whole</w:t>
      </w:r>
      <w:r w:rsidR="00D226DD" w:rsidRPr="00B41DB1">
        <w:rPr>
          <w:color w:val="auto"/>
          <w:sz w:val="24"/>
          <w:szCs w:val="24"/>
          <w:lang w:val="en-GB"/>
        </w:rPr>
        <w:t>’</w:t>
      </w:r>
      <w:r w:rsidR="00754522" w:rsidRPr="00B41DB1">
        <w:rPr>
          <w:color w:val="auto"/>
          <w:sz w:val="24"/>
          <w:szCs w:val="24"/>
          <w:lang w:val="en-GB"/>
        </w:rPr>
        <w:t xml:space="preserve"> (Part IV, Article 131).</w:t>
      </w:r>
      <w:r w:rsidR="00602681" w:rsidRPr="00B41DB1">
        <w:rPr>
          <w:color w:val="auto"/>
          <w:sz w:val="24"/>
          <w:szCs w:val="24"/>
          <w:lang w:val="en-GB"/>
        </w:rPr>
        <w:t xml:space="preserve"> The two fundamental elements of the relationship were </w:t>
      </w:r>
      <w:r w:rsidR="00D226DD" w:rsidRPr="00B41DB1">
        <w:rPr>
          <w:color w:val="auto"/>
          <w:sz w:val="24"/>
          <w:szCs w:val="24"/>
          <w:lang w:val="en-GB"/>
        </w:rPr>
        <w:t>‘</w:t>
      </w:r>
      <w:r w:rsidR="00602681" w:rsidRPr="00B41DB1">
        <w:rPr>
          <w:color w:val="auto"/>
          <w:sz w:val="24"/>
          <w:szCs w:val="24"/>
          <w:lang w:val="en-GB"/>
        </w:rPr>
        <w:t>the gradual freeing of trade between the associates and the EEC member states, and the provision of financial aid by member states to the associates through the</w:t>
      </w:r>
      <w:r w:rsidR="00F608F7" w:rsidRPr="00B41DB1">
        <w:rPr>
          <w:color w:val="auto"/>
          <w:sz w:val="24"/>
          <w:szCs w:val="24"/>
          <w:lang w:val="en-GB"/>
        </w:rPr>
        <w:t xml:space="preserve"> European Development Fund</w:t>
      </w:r>
      <w:r w:rsidR="00D226DD" w:rsidRPr="00B41DB1">
        <w:rPr>
          <w:color w:val="auto"/>
          <w:sz w:val="24"/>
          <w:szCs w:val="24"/>
          <w:lang w:val="en-GB"/>
        </w:rPr>
        <w:t>’</w:t>
      </w:r>
      <w:r w:rsidR="00602681" w:rsidRPr="00B41DB1">
        <w:rPr>
          <w:color w:val="auto"/>
          <w:sz w:val="24"/>
          <w:szCs w:val="24"/>
          <w:lang w:val="en-GB"/>
        </w:rPr>
        <w:t xml:space="preserve"> (Sutton, 2012, </w:t>
      </w:r>
      <w:r w:rsidR="00991FC7" w:rsidRPr="00B41DB1">
        <w:rPr>
          <w:color w:val="auto"/>
          <w:sz w:val="24"/>
          <w:szCs w:val="24"/>
          <w:lang w:val="en-GB"/>
        </w:rPr>
        <w:t>p. </w:t>
      </w:r>
      <w:r w:rsidR="00602681" w:rsidRPr="00B41DB1">
        <w:rPr>
          <w:color w:val="auto"/>
          <w:sz w:val="24"/>
          <w:szCs w:val="24"/>
          <w:lang w:val="en-GB"/>
        </w:rPr>
        <w:t xml:space="preserve">106). </w:t>
      </w:r>
      <w:r w:rsidR="00B774D7" w:rsidRPr="00B41DB1">
        <w:rPr>
          <w:color w:val="auto"/>
          <w:sz w:val="24"/>
          <w:szCs w:val="24"/>
          <w:lang w:val="en-GB"/>
        </w:rPr>
        <w:t>Because of their shared origins</w:t>
      </w:r>
      <w:r w:rsidR="000D2F47" w:rsidRPr="00B41DB1">
        <w:rPr>
          <w:color w:val="auto"/>
          <w:sz w:val="24"/>
          <w:szCs w:val="24"/>
          <w:lang w:val="en-GB"/>
        </w:rPr>
        <w:t>,</w:t>
      </w:r>
      <w:r w:rsidR="00B774D7" w:rsidRPr="00B41DB1">
        <w:rPr>
          <w:color w:val="auto"/>
          <w:sz w:val="24"/>
          <w:szCs w:val="24"/>
          <w:lang w:val="en-GB"/>
        </w:rPr>
        <w:t xml:space="preserve"> the OCT-EU relationship was in essence a </w:t>
      </w:r>
      <w:r w:rsidR="00D226DD" w:rsidRPr="00B41DB1">
        <w:rPr>
          <w:color w:val="auto"/>
          <w:sz w:val="24"/>
          <w:szCs w:val="24"/>
          <w:lang w:val="en-GB"/>
        </w:rPr>
        <w:t>‘</w:t>
      </w:r>
      <w:r w:rsidR="00B774D7" w:rsidRPr="00B41DB1">
        <w:rPr>
          <w:color w:val="auto"/>
          <w:sz w:val="24"/>
          <w:szCs w:val="24"/>
          <w:lang w:val="en-GB"/>
        </w:rPr>
        <w:t>light version</w:t>
      </w:r>
      <w:r w:rsidR="00D226DD" w:rsidRPr="00B41DB1">
        <w:rPr>
          <w:color w:val="auto"/>
          <w:sz w:val="24"/>
          <w:szCs w:val="24"/>
          <w:lang w:val="en-GB"/>
        </w:rPr>
        <w:t>’</w:t>
      </w:r>
      <w:r w:rsidR="00B774D7" w:rsidRPr="00B41DB1">
        <w:rPr>
          <w:color w:val="auto"/>
          <w:sz w:val="24"/>
          <w:szCs w:val="24"/>
          <w:lang w:val="en-GB"/>
        </w:rPr>
        <w:t xml:space="preserve"> of the ACP-EU link, </w:t>
      </w:r>
      <w:r w:rsidR="00D226DD" w:rsidRPr="00B41DB1">
        <w:rPr>
          <w:color w:val="auto"/>
          <w:sz w:val="24"/>
          <w:szCs w:val="24"/>
          <w:lang w:val="en-GB"/>
        </w:rPr>
        <w:t>‘</w:t>
      </w:r>
      <w:r w:rsidR="00B774D7" w:rsidRPr="00B41DB1">
        <w:rPr>
          <w:color w:val="auto"/>
          <w:sz w:val="24"/>
          <w:szCs w:val="24"/>
          <w:lang w:val="en-GB"/>
        </w:rPr>
        <w:t>including more or less the same provisions</w:t>
      </w:r>
      <w:r w:rsidR="00D226DD" w:rsidRPr="00B41DB1">
        <w:rPr>
          <w:color w:val="auto"/>
          <w:sz w:val="24"/>
          <w:szCs w:val="24"/>
          <w:lang w:val="en-GB"/>
        </w:rPr>
        <w:t>’</w:t>
      </w:r>
      <w:r w:rsidR="00790ADA" w:rsidRPr="00B41DB1">
        <w:rPr>
          <w:color w:val="auto"/>
          <w:sz w:val="24"/>
          <w:szCs w:val="24"/>
          <w:lang w:val="en-GB"/>
        </w:rPr>
        <w:t xml:space="preserve"> (Hannibal et al</w:t>
      </w:r>
      <w:r w:rsidR="000D2F47" w:rsidRPr="00B41DB1">
        <w:rPr>
          <w:color w:val="auto"/>
          <w:sz w:val="24"/>
          <w:szCs w:val="24"/>
          <w:lang w:val="en-GB"/>
        </w:rPr>
        <w:t>.</w:t>
      </w:r>
      <w:r w:rsidR="00790ADA" w:rsidRPr="00B41DB1">
        <w:rPr>
          <w:color w:val="auto"/>
          <w:sz w:val="24"/>
          <w:szCs w:val="24"/>
          <w:lang w:val="en-GB"/>
        </w:rPr>
        <w:t xml:space="preserve">, 2013, </w:t>
      </w:r>
      <w:r w:rsidR="00F608F7" w:rsidRPr="00B41DB1">
        <w:rPr>
          <w:color w:val="auto"/>
          <w:sz w:val="24"/>
          <w:szCs w:val="24"/>
          <w:lang w:val="en-GB"/>
        </w:rPr>
        <w:t xml:space="preserve">p. </w:t>
      </w:r>
      <w:r w:rsidR="00790ADA" w:rsidRPr="00B41DB1">
        <w:rPr>
          <w:color w:val="auto"/>
          <w:sz w:val="24"/>
          <w:szCs w:val="24"/>
          <w:lang w:val="en-GB"/>
        </w:rPr>
        <w:t>80).</w:t>
      </w:r>
    </w:p>
    <w:p w14:paraId="69B9C169" w14:textId="5C3F8CC3" w:rsidR="00990DB5" w:rsidRPr="00B41DB1" w:rsidRDefault="00790ADA" w:rsidP="000D2F47">
      <w:pPr>
        <w:pStyle w:val="SGML"/>
        <w:spacing w:after="0" w:line="480" w:lineRule="auto"/>
        <w:rPr>
          <w:color w:val="auto"/>
          <w:sz w:val="24"/>
          <w:szCs w:val="24"/>
          <w:lang w:val="en-GB"/>
        </w:rPr>
      </w:pPr>
      <w:r w:rsidRPr="00B41DB1">
        <w:rPr>
          <w:color w:val="auto"/>
          <w:sz w:val="24"/>
          <w:szCs w:val="24"/>
          <w:lang w:val="en-GB"/>
        </w:rPr>
        <w:t>However</w:t>
      </w:r>
      <w:r w:rsidR="00991FC7" w:rsidRPr="00B41DB1">
        <w:rPr>
          <w:color w:val="auto"/>
          <w:sz w:val="24"/>
          <w:szCs w:val="24"/>
          <w:lang w:val="en-GB"/>
        </w:rPr>
        <w:t>,</w:t>
      </w:r>
      <w:r w:rsidRPr="00B41DB1">
        <w:rPr>
          <w:color w:val="auto"/>
          <w:sz w:val="24"/>
          <w:szCs w:val="24"/>
          <w:lang w:val="en-GB"/>
        </w:rPr>
        <w:t xml:space="preserve"> since 1991 when a new Association Decision was signed</w:t>
      </w:r>
      <w:r w:rsidR="00991FC7" w:rsidRPr="00B41DB1">
        <w:rPr>
          <w:color w:val="auto"/>
          <w:sz w:val="24"/>
          <w:szCs w:val="24"/>
          <w:lang w:val="en-GB"/>
        </w:rPr>
        <w:t>,</w:t>
      </w:r>
      <w:r w:rsidRPr="00B41DB1">
        <w:rPr>
          <w:color w:val="auto"/>
          <w:sz w:val="24"/>
          <w:szCs w:val="24"/>
          <w:lang w:val="en-GB"/>
        </w:rPr>
        <w:t xml:space="preserve"> OCT-EU relations have begun to diverge from the ACP-EU model. </w:t>
      </w:r>
      <w:r w:rsidR="000D3940" w:rsidRPr="00B41DB1">
        <w:rPr>
          <w:color w:val="auto"/>
          <w:sz w:val="24"/>
          <w:szCs w:val="24"/>
          <w:lang w:val="en-GB"/>
        </w:rPr>
        <w:t>For example, as early as 1991</w:t>
      </w:r>
      <w:r w:rsidR="00991FC7" w:rsidRPr="00B41DB1">
        <w:rPr>
          <w:color w:val="auto"/>
          <w:sz w:val="24"/>
          <w:szCs w:val="24"/>
          <w:lang w:val="en-GB"/>
        </w:rPr>
        <w:t>,</w:t>
      </w:r>
      <w:r w:rsidR="000D3940" w:rsidRPr="00B41DB1">
        <w:rPr>
          <w:color w:val="auto"/>
          <w:sz w:val="24"/>
          <w:szCs w:val="24"/>
          <w:lang w:val="en-GB"/>
        </w:rPr>
        <w:t xml:space="preserve"> all OCT products were given free and unlimited access to the EU market, and in 1997 the OCT</w:t>
      </w:r>
      <w:r w:rsidR="004A78D2" w:rsidRPr="00B41DB1">
        <w:rPr>
          <w:color w:val="auto"/>
          <w:sz w:val="24"/>
          <w:szCs w:val="24"/>
          <w:lang w:val="en-GB"/>
        </w:rPr>
        <w:t>s</w:t>
      </w:r>
      <w:r w:rsidR="000D3940" w:rsidRPr="00B41DB1">
        <w:rPr>
          <w:color w:val="auto"/>
          <w:sz w:val="24"/>
          <w:szCs w:val="24"/>
          <w:lang w:val="en-GB"/>
        </w:rPr>
        <w:t xml:space="preserve"> were able to access a limited number of EU programmes </w:t>
      </w:r>
      <w:r w:rsidR="00D226DD" w:rsidRPr="00B41DB1">
        <w:rPr>
          <w:color w:val="auto"/>
          <w:sz w:val="24"/>
          <w:szCs w:val="24"/>
          <w:lang w:val="en-GB"/>
        </w:rPr>
        <w:t>‘</w:t>
      </w:r>
      <w:r w:rsidR="00991FC7" w:rsidRPr="00B41DB1">
        <w:rPr>
          <w:color w:val="auto"/>
          <w:sz w:val="24"/>
          <w:szCs w:val="24"/>
          <w:lang w:val="en-GB"/>
        </w:rPr>
        <w:t>[…]</w:t>
      </w:r>
      <w:r w:rsidR="000D3940" w:rsidRPr="00B41DB1">
        <w:rPr>
          <w:color w:val="auto"/>
          <w:sz w:val="24"/>
          <w:szCs w:val="24"/>
          <w:lang w:val="en-GB"/>
        </w:rPr>
        <w:t xml:space="preserve"> on the grounds that many of the inhabitants of the OCT were citizens of the EU and therefore eligible to benefit from them</w:t>
      </w:r>
      <w:r w:rsidR="00D226DD" w:rsidRPr="00B41DB1">
        <w:rPr>
          <w:color w:val="auto"/>
          <w:sz w:val="24"/>
          <w:szCs w:val="24"/>
          <w:lang w:val="en-GB"/>
        </w:rPr>
        <w:t>’</w:t>
      </w:r>
      <w:r w:rsidR="000D3940" w:rsidRPr="00B41DB1">
        <w:rPr>
          <w:color w:val="auto"/>
          <w:sz w:val="24"/>
          <w:szCs w:val="24"/>
          <w:lang w:val="en-GB"/>
        </w:rPr>
        <w:t xml:space="preserve"> (Sutton, 2012, </w:t>
      </w:r>
      <w:r w:rsidR="00375B12" w:rsidRPr="00B41DB1">
        <w:rPr>
          <w:color w:val="auto"/>
          <w:sz w:val="24"/>
          <w:szCs w:val="24"/>
          <w:lang w:val="en-GB"/>
        </w:rPr>
        <w:t xml:space="preserve">p. </w:t>
      </w:r>
      <w:r w:rsidR="000D3940" w:rsidRPr="00B41DB1">
        <w:rPr>
          <w:color w:val="auto"/>
          <w:sz w:val="24"/>
          <w:szCs w:val="24"/>
          <w:lang w:val="en-GB"/>
        </w:rPr>
        <w:t xml:space="preserve">108). </w:t>
      </w:r>
      <w:r w:rsidR="00375B12" w:rsidRPr="00B41DB1">
        <w:rPr>
          <w:color w:val="auto"/>
          <w:sz w:val="24"/>
          <w:szCs w:val="24"/>
          <w:lang w:val="en-GB"/>
        </w:rPr>
        <w:t>Also</w:t>
      </w:r>
      <w:r w:rsidR="000D3940" w:rsidRPr="00B41DB1">
        <w:rPr>
          <w:color w:val="auto"/>
          <w:sz w:val="24"/>
          <w:szCs w:val="24"/>
          <w:lang w:val="en-GB"/>
        </w:rPr>
        <w:t xml:space="preserve">, while the voice of Caribbean ACP countries was weakening in the EU, the influence of the OCTs was </w:t>
      </w:r>
      <w:r w:rsidR="00375B12" w:rsidRPr="00B41DB1">
        <w:rPr>
          <w:color w:val="auto"/>
          <w:sz w:val="24"/>
          <w:szCs w:val="24"/>
          <w:lang w:val="en-GB"/>
        </w:rPr>
        <w:t>strengthening</w:t>
      </w:r>
      <w:r w:rsidR="000D3940" w:rsidRPr="00B41DB1">
        <w:rPr>
          <w:color w:val="auto"/>
          <w:sz w:val="24"/>
          <w:szCs w:val="24"/>
          <w:lang w:val="en-GB"/>
        </w:rPr>
        <w:t>. For many years the OCTs had little say on the arrangements that affected them</w:t>
      </w:r>
      <w:r w:rsidR="00375B12" w:rsidRPr="00B41DB1">
        <w:rPr>
          <w:color w:val="auto"/>
          <w:sz w:val="24"/>
          <w:szCs w:val="24"/>
          <w:lang w:val="en-GB"/>
        </w:rPr>
        <w:t>,</w:t>
      </w:r>
      <w:r w:rsidR="000D3940" w:rsidRPr="00B41DB1">
        <w:rPr>
          <w:color w:val="auto"/>
          <w:sz w:val="24"/>
          <w:szCs w:val="24"/>
          <w:lang w:val="en-GB"/>
        </w:rPr>
        <w:t xml:space="preserve"> but over the last </w:t>
      </w:r>
      <w:r w:rsidR="00B85014" w:rsidRPr="00B41DB1">
        <w:rPr>
          <w:color w:val="auto"/>
          <w:sz w:val="24"/>
          <w:szCs w:val="24"/>
          <w:lang w:val="en-GB"/>
        </w:rPr>
        <w:t xml:space="preserve">decade </w:t>
      </w:r>
      <w:r w:rsidR="000D3940" w:rsidRPr="00B41DB1">
        <w:rPr>
          <w:color w:val="auto"/>
          <w:sz w:val="24"/>
          <w:szCs w:val="24"/>
          <w:lang w:val="en-GB"/>
        </w:rPr>
        <w:t xml:space="preserve">they have been brought into the discussions. </w:t>
      </w:r>
      <w:r w:rsidR="00B85014" w:rsidRPr="00B41DB1">
        <w:rPr>
          <w:color w:val="auto"/>
          <w:sz w:val="24"/>
          <w:szCs w:val="24"/>
          <w:lang w:val="en-GB"/>
        </w:rPr>
        <w:t>The OCT</w:t>
      </w:r>
      <w:r w:rsidR="00375B12" w:rsidRPr="00B41DB1">
        <w:rPr>
          <w:color w:val="auto"/>
          <w:sz w:val="24"/>
          <w:szCs w:val="24"/>
          <w:lang w:val="en-GB"/>
        </w:rPr>
        <w:t>s</w:t>
      </w:r>
      <w:r w:rsidR="00B85014" w:rsidRPr="00B41DB1">
        <w:rPr>
          <w:color w:val="auto"/>
          <w:sz w:val="24"/>
          <w:szCs w:val="24"/>
          <w:lang w:val="en-GB"/>
        </w:rPr>
        <w:t xml:space="preserve"> now influence policy via structured dialogue</w:t>
      </w:r>
      <w:r w:rsidR="00375B12" w:rsidRPr="00B41DB1">
        <w:rPr>
          <w:color w:val="auto"/>
          <w:sz w:val="24"/>
          <w:szCs w:val="24"/>
          <w:lang w:val="en-GB"/>
        </w:rPr>
        <w:t xml:space="preserve"> with the EU, informal contacts,</w:t>
      </w:r>
      <w:r w:rsidR="00B85014" w:rsidRPr="00B41DB1">
        <w:rPr>
          <w:color w:val="auto"/>
          <w:sz w:val="24"/>
          <w:szCs w:val="24"/>
          <w:lang w:val="en-GB"/>
        </w:rPr>
        <w:t xml:space="preserve"> and the Overseas Countries and </w:t>
      </w:r>
      <w:r w:rsidR="00375B12" w:rsidRPr="00B41DB1">
        <w:rPr>
          <w:color w:val="auto"/>
          <w:sz w:val="24"/>
          <w:szCs w:val="24"/>
          <w:lang w:val="en-GB"/>
        </w:rPr>
        <w:t xml:space="preserve">Territories Association (OCTA), which </w:t>
      </w:r>
      <w:r w:rsidR="00B85014" w:rsidRPr="00B41DB1">
        <w:rPr>
          <w:color w:val="auto"/>
          <w:sz w:val="24"/>
          <w:szCs w:val="24"/>
          <w:lang w:val="en-GB"/>
        </w:rPr>
        <w:t xml:space="preserve">recently established an office in Brussels. </w:t>
      </w:r>
      <w:r w:rsidR="00375B12" w:rsidRPr="00B41DB1">
        <w:rPr>
          <w:color w:val="auto"/>
          <w:sz w:val="24"/>
          <w:szCs w:val="24"/>
          <w:lang w:val="en-GB"/>
        </w:rPr>
        <w:t>However</w:t>
      </w:r>
      <w:r w:rsidR="00990DB5" w:rsidRPr="00B41DB1">
        <w:rPr>
          <w:color w:val="auto"/>
          <w:sz w:val="24"/>
          <w:szCs w:val="24"/>
          <w:lang w:val="en-GB"/>
        </w:rPr>
        <w:t xml:space="preserve">, </w:t>
      </w:r>
      <w:r w:rsidR="00B85014" w:rsidRPr="00B41DB1">
        <w:rPr>
          <w:color w:val="auto"/>
          <w:sz w:val="24"/>
          <w:szCs w:val="24"/>
          <w:lang w:val="en-GB"/>
        </w:rPr>
        <w:t xml:space="preserve">the OCTs </w:t>
      </w:r>
      <w:r w:rsidR="00D226DD" w:rsidRPr="00B41DB1">
        <w:rPr>
          <w:color w:val="auto"/>
          <w:sz w:val="24"/>
          <w:szCs w:val="24"/>
          <w:lang w:val="en-GB"/>
        </w:rPr>
        <w:t>‘</w:t>
      </w:r>
      <w:r w:rsidR="00991FC7" w:rsidRPr="00B41DB1">
        <w:rPr>
          <w:color w:val="auto"/>
          <w:sz w:val="24"/>
          <w:szCs w:val="24"/>
          <w:lang w:val="en-GB"/>
        </w:rPr>
        <w:t xml:space="preserve">[…] </w:t>
      </w:r>
      <w:r w:rsidR="00B85014" w:rsidRPr="00B41DB1">
        <w:rPr>
          <w:color w:val="auto"/>
          <w:sz w:val="24"/>
          <w:szCs w:val="24"/>
          <w:lang w:val="en-GB"/>
        </w:rPr>
        <w:t>continue to face restrictions on account of their non-sovereignty</w:t>
      </w:r>
      <w:r w:rsidR="00D226DD" w:rsidRPr="00B41DB1">
        <w:rPr>
          <w:color w:val="auto"/>
          <w:sz w:val="24"/>
          <w:szCs w:val="24"/>
          <w:lang w:val="en-GB"/>
        </w:rPr>
        <w:t>’</w:t>
      </w:r>
      <w:r w:rsidR="00990DB5" w:rsidRPr="00B41DB1">
        <w:rPr>
          <w:color w:val="auto"/>
          <w:sz w:val="24"/>
          <w:szCs w:val="24"/>
          <w:lang w:val="en-GB"/>
        </w:rPr>
        <w:t xml:space="preserve"> (Sutton, 2012, </w:t>
      </w:r>
      <w:r w:rsidR="00375B12" w:rsidRPr="00B41DB1">
        <w:rPr>
          <w:color w:val="auto"/>
          <w:sz w:val="24"/>
          <w:szCs w:val="24"/>
          <w:lang w:val="en-GB"/>
        </w:rPr>
        <w:t xml:space="preserve">p. </w:t>
      </w:r>
      <w:r w:rsidR="00990DB5" w:rsidRPr="00B41DB1">
        <w:rPr>
          <w:color w:val="auto"/>
          <w:sz w:val="24"/>
          <w:szCs w:val="24"/>
          <w:lang w:val="en-GB"/>
        </w:rPr>
        <w:t>112), and in many cases the EU still plays second fiddle to the long-standing and dominant role of the administering powers.</w:t>
      </w:r>
    </w:p>
    <w:p w14:paraId="593EB140" w14:textId="6D4B52E2" w:rsidR="00720451" w:rsidRPr="00B41DB1" w:rsidRDefault="00B85014" w:rsidP="000D2F47">
      <w:pPr>
        <w:pStyle w:val="SGML"/>
        <w:spacing w:after="0" w:line="480" w:lineRule="auto"/>
        <w:rPr>
          <w:color w:val="auto"/>
          <w:sz w:val="24"/>
          <w:szCs w:val="24"/>
          <w:lang w:val="en-GB"/>
        </w:rPr>
      </w:pPr>
      <w:r w:rsidRPr="00B41DB1">
        <w:rPr>
          <w:color w:val="auto"/>
          <w:sz w:val="24"/>
          <w:szCs w:val="24"/>
          <w:lang w:val="en-GB"/>
        </w:rPr>
        <w:lastRenderedPageBreak/>
        <w:t>In 2009</w:t>
      </w:r>
      <w:r w:rsidR="00013087" w:rsidRPr="00B41DB1">
        <w:rPr>
          <w:color w:val="auto"/>
          <w:sz w:val="24"/>
          <w:szCs w:val="24"/>
          <w:lang w:val="en-GB"/>
        </w:rPr>
        <w:t xml:space="preserve"> consultations began for a new Association Decision, and the European Commission stated that it was </w:t>
      </w:r>
      <w:r w:rsidR="00D226DD" w:rsidRPr="00B41DB1">
        <w:rPr>
          <w:color w:val="auto"/>
          <w:sz w:val="24"/>
          <w:szCs w:val="24"/>
          <w:lang w:val="en-GB"/>
        </w:rPr>
        <w:t>‘</w:t>
      </w:r>
      <w:r w:rsidR="00013087" w:rsidRPr="00B41DB1">
        <w:rPr>
          <w:color w:val="auto"/>
          <w:sz w:val="24"/>
          <w:szCs w:val="24"/>
          <w:lang w:val="en-GB"/>
        </w:rPr>
        <w:t>in favour of a significant change in the approach to the association of the OCTs with the EU</w:t>
      </w:r>
      <w:r w:rsidR="00D226DD" w:rsidRPr="00B41DB1">
        <w:rPr>
          <w:color w:val="auto"/>
          <w:sz w:val="24"/>
          <w:szCs w:val="24"/>
          <w:lang w:val="en-GB"/>
        </w:rPr>
        <w:t>’</w:t>
      </w:r>
      <w:r w:rsidR="00013087" w:rsidRPr="00B41DB1">
        <w:rPr>
          <w:color w:val="auto"/>
          <w:sz w:val="24"/>
          <w:szCs w:val="24"/>
          <w:lang w:val="en-GB"/>
        </w:rPr>
        <w:t xml:space="preserve"> (Commission of the European Communities, 2009, </w:t>
      </w:r>
      <w:r w:rsidR="001F4DDD" w:rsidRPr="00B41DB1">
        <w:rPr>
          <w:color w:val="auto"/>
          <w:sz w:val="24"/>
          <w:szCs w:val="24"/>
          <w:lang w:val="en-GB"/>
        </w:rPr>
        <w:t xml:space="preserve">p. </w:t>
      </w:r>
      <w:r w:rsidR="00013087" w:rsidRPr="00B41DB1">
        <w:rPr>
          <w:color w:val="auto"/>
          <w:sz w:val="24"/>
          <w:szCs w:val="24"/>
          <w:lang w:val="en-GB"/>
        </w:rPr>
        <w:t xml:space="preserve">19). In particular, the Commission </w:t>
      </w:r>
      <w:r w:rsidR="00990DB5" w:rsidRPr="00B41DB1">
        <w:rPr>
          <w:color w:val="auto"/>
          <w:sz w:val="24"/>
          <w:szCs w:val="24"/>
          <w:lang w:val="en-GB"/>
        </w:rPr>
        <w:t>suggested</w:t>
      </w:r>
      <w:r w:rsidR="00013087" w:rsidRPr="00B41DB1">
        <w:rPr>
          <w:color w:val="auto"/>
          <w:sz w:val="24"/>
          <w:szCs w:val="24"/>
          <w:lang w:val="en-GB"/>
        </w:rPr>
        <w:t xml:space="preserve"> that the new approach should recognise</w:t>
      </w:r>
      <w:r w:rsidR="00990DB5" w:rsidRPr="00B41DB1">
        <w:rPr>
          <w:color w:val="auto"/>
          <w:sz w:val="24"/>
          <w:szCs w:val="24"/>
          <w:lang w:val="en-GB"/>
        </w:rPr>
        <w:t xml:space="preserve">: 1) </w:t>
      </w:r>
      <w:r w:rsidR="00013087" w:rsidRPr="00B41DB1">
        <w:rPr>
          <w:color w:val="auto"/>
          <w:sz w:val="24"/>
          <w:szCs w:val="24"/>
          <w:lang w:val="en-GB"/>
        </w:rPr>
        <w:t xml:space="preserve">the OCTs </w:t>
      </w:r>
      <w:r w:rsidR="00990DB5" w:rsidRPr="00B41DB1">
        <w:rPr>
          <w:color w:val="auto"/>
          <w:sz w:val="24"/>
          <w:szCs w:val="24"/>
          <w:lang w:val="en-GB"/>
        </w:rPr>
        <w:t>as being part</w:t>
      </w:r>
      <w:r w:rsidR="00013087" w:rsidRPr="00B41DB1">
        <w:rPr>
          <w:color w:val="auto"/>
          <w:sz w:val="24"/>
          <w:szCs w:val="24"/>
          <w:lang w:val="en-GB"/>
        </w:rPr>
        <w:t xml:space="preserve"> of the same </w:t>
      </w:r>
      <w:r w:rsidR="00D226DD" w:rsidRPr="00B41DB1">
        <w:rPr>
          <w:color w:val="auto"/>
          <w:sz w:val="24"/>
          <w:szCs w:val="24"/>
          <w:lang w:val="en-GB"/>
        </w:rPr>
        <w:t>‘</w:t>
      </w:r>
      <w:r w:rsidR="00013087" w:rsidRPr="00B41DB1">
        <w:rPr>
          <w:color w:val="auto"/>
          <w:sz w:val="24"/>
          <w:szCs w:val="24"/>
          <w:lang w:val="en-GB"/>
        </w:rPr>
        <w:t>European family</w:t>
      </w:r>
      <w:r w:rsidR="00D226DD" w:rsidRPr="00B41DB1">
        <w:rPr>
          <w:color w:val="auto"/>
          <w:sz w:val="24"/>
          <w:szCs w:val="24"/>
          <w:lang w:val="en-GB"/>
        </w:rPr>
        <w:t>’</w:t>
      </w:r>
      <w:r w:rsidR="00990DB5" w:rsidRPr="00B41DB1">
        <w:rPr>
          <w:color w:val="auto"/>
          <w:sz w:val="24"/>
          <w:szCs w:val="24"/>
          <w:lang w:val="en-GB"/>
        </w:rPr>
        <w:t xml:space="preserve"> as the member states</w:t>
      </w:r>
      <w:r w:rsidR="00013087" w:rsidRPr="00B41DB1">
        <w:rPr>
          <w:color w:val="auto"/>
          <w:sz w:val="24"/>
          <w:szCs w:val="24"/>
          <w:lang w:val="en-GB"/>
        </w:rPr>
        <w:t xml:space="preserve"> and </w:t>
      </w:r>
      <w:r w:rsidR="00990DB5" w:rsidRPr="00B41DB1">
        <w:rPr>
          <w:color w:val="auto"/>
          <w:sz w:val="24"/>
          <w:szCs w:val="24"/>
          <w:lang w:val="en-GB"/>
        </w:rPr>
        <w:t xml:space="preserve">2) </w:t>
      </w:r>
      <w:r w:rsidR="00013087" w:rsidRPr="00B41DB1">
        <w:rPr>
          <w:color w:val="auto"/>
          <w:sz w:val="24"/>
          <w:szCs w:val="24"/>
          <w:lang w:val="en-GB"/>
        </w:rPr>
        <w:t xml:space="preserve">their </w:t>
      </w:r>
      <w:r w:rsidR="00D226DD" w:rsidRPr="00B41DB1">
        <w:rPr>
          <w:color w:val="auto"/>
          <w:sz w:val="24"/>
          <w:szCs w:val="24"/>
          <w:lang w:val="en-GB"/>
        </w:rPr>
        <w:t>‘</w:t>
      </w:r>
      <w:r w:rsidR="00013087" w:rsidRPr="00B41DB1">
        <w:rPr>
          <w:color w:val="auto"/>
          <w:sz w:val="24"/>
          <w:szCs w:val="24"/>
          <w:lang w:val="en-GB"/>
        </w:rPr>
        <w:t>unique relationship</w:t>
      </w:r>
      <w:r w:rsidR="00D226DD" w:rsidRPr="00B41DB1">
        <w:rPr>
          <w:color w:val="auto"/>
          <w:sz w:val="24"/>
          <w:szCs w:val="24"/>
          <w:lang w:val="en-GB"/>
        </w:rPr>
        <w:t>’</w:t>
      </w:r>
      <w:r w:rsidR="00013087" w:rsidRPr="00B41DB1">
        <w:rPr>
          <w:color w:val="auto"/>
          <w:sz w:val="24"/>
          <w:szCs w:val="24"/>
          <w:lang w:val="en-GB"/>
        </w:rPr>
        <w:t xml:space="preserve"> with the EU.</w:t>
      </w:r>
      <w:r w:rsidR="001C181B" w:rsidRPr="00B41DB1">
        <w:rPr>
          <w:color w:val="auto"/>
          <w:sz w:val="24"/>
          <w:szCs w:val="24"/>
          <w:lang w:val="en-GB"/>
        </w:rPr>
        <w:t xml:space="preserve"> After much </w:t>
      </w:r>
      <w:r w:rsidR="00990DB5" w:rsidRPr="00B41DB1">
        <w:rPr>
          <w:color w:val="auto"/>
          <w:sz w:val="24"/>
          <w:szCs w:val="24"/>
          <w:lang w:val="en-GB"/>
        </w:rPr>
        <w:t>debate</w:t>
      </w:r>
      <w:r w:rsidR="001C181B" w:rsidRPr="00B41DB1">
        <w:rPr>
          <w:color w:val="auto"/>
          <w:sz w:val="24"/>
          <w:szCs w:val="24"/>
          <w:lang w:val="en-GB"/>
        </w:rPr>
        <w:t xml:space="preserve"> </w:t>
      </w:r>
      <w:r w:rsidR="00AF7556" w:rsidRPr="00B41DB1">
        <w:rPr>
          <w:color w:val="auto"/>
          <w:sz w:val="24"/>
          <w:szCs w:val="24"/>
          <w:lang w:val="en-GB"/>
        </w:rPr>
        <w:t xml:space="preserve">a new agreement </w:t>
      </w:r>
      <w:r w:rsidR="001C181B" w:rsidRPr="00B41DB1">
        <w:rPr>
          <w:color w:val="auto"/>
          <w:sz w:val="24"/>
          <w:szCs w:val="24"/>
          <w:lang w:val="en-GB"/>
        </w:rPr>
        <w:t xml:space="preserve">was </w:t>
      </w:r>
      <w:r w:rsidR="00306082" w:rsidRPr="00B41DB1">
        <w:rPr>
          <w:color w:val="auto"/>
          <w:sz w:val="24"/>
          <w:szCs w:val="24"/>
          <w:lang w:val="en-GB"/>
        </w:rPr>
        <w:t>adopted on 25 November 2013</w:t>
      </w:r>
      <w:r w:rsidR="001C181B" w:rsidRPr="00B41DB1">
        <w:rPr>
          <w:color w:val="auto"/>
          <w:sz w:val="24"/>
          <w:szCs w:val="24"/>
          <w:lang w:val="en-GB"/>
        </w:rPr>
        <w:t xml:space="preserve"> (</w:t>
      </w:r>
      <w:r w:rsidR="00DF195C" w:rsidRPr="00B41DB1">
        <w:rPr>
          <w:color w:val="auto"/>
          <w:sz w:val="24"/>
          <w:szCs w:val="24"/>
          <w:lang w:val="en-GB"/>
        </w:rPr>
        <w:t>Council</w:t>
      </w:r>
      <w:r w:rsidR="001C181B" w:rsidRPr="00B41DB1">
        <w:rPr>
          <w:color w:val="auto"/>
          <w:sz w:val="24"/>
          <w:szCs w:val="24"/>
          <w:lang w:val="en-GB"/>
        </w:rPr>
        <w:t xml:space="preserve"> of the European Union, 2013). It </w:t>
      </w:r>
      <w:r w:rsidR="00306082" w:rsidRPr="00B41DB1">
        <w:rPr>
          <w:color w:val="auto"/>
          <w:sz w:val="24"/>
          <w:szCs w:val="24"/>
          <w:lang w:val="en-GB"/>
        </w:rPr>
        <w:t>aims to modernise the relationship between the OCTs</w:t>
      </w:r>
      <w:r w:rsidR="00A37157" w:rsidRPr="00B41DB1">
        <w:rPr>
          <w:color w:val="auto"/>
          <w:sz w:val="24"/>
          <w:szCs w:val="24"/>
          <w:lang w:val="en-GB"/>
        </w:rPr>
        <w:t xml:space="preserve"> and the EU</w:t>
      </w:r>
      <w:r w:rsidR="00306082" w:rsidRPr="00B41DB1">
        <w:rPr>
          <w:color w:val="auto"/>
          <w:sz w:val="24"/>
          <w:szCs w:val="24"/>
          <w:lang w:val="en-GB"/>
        </w:rPr>
        <w:t xml:space="preserve">, </w:t>
      </w:r>
      <w:r w:rsidR="00D226DD" w:rsidRPr="00B41DB1">
        <w:rPr>
          <w:color w:val="auto"/>
          <w:sz w:val="24"/>
          <w:szCs w:val="24"/>
          <w:lang w:val="en-GB"/>
        </w:rPr>
        <w:t>‘</w:t>
      </w:r>
      <w:r w:rsidR="00306082" w:rsidRPr="00B41DB1">
        <w:rPr>
          <w:color w:val="auto"/>
          <w:sz w:val="24"/>
          <w:szCs w:val="24"/>
          <w:lang w:val="en-GB"/>
        </w:rPr>
        <w:t>moving beyond development cooperation and focusing on a reciprocal relationship based on mutual interests</w:t>
      </w:r>
      <w:r w:rsidR="00D226DD" w:rsidRPr="00B41DB1">
        <w:rPr>
          <w:color w:val="auto"/>
          <w:sz w:val="24"/>
          <w:szCs w:val="24"/>
          <w:lang w:val="en-GB"/>
        </w:rPr>
        <w:t>’</w:t>
      </w:r>
      <w:r w:rsidR="00306082" w:rsidRPr="00B41DB1">
        <w:rPr>
          <w:color w:val="auto"/>
          <w:sz w:val="24"/>
          <w:szCs w:val="24"/>
          <w:lang w:val="en-GB"/>
        </w:rPr>
        <w:t xml:space="preserve">. </w:t>
      </w:r>
      <w:r w:rsidR="001C181B" w:rsidRPr="00B41DB1">
        <w:rPr>
          <w:color w:val="auto"/>
          <w:sz w:val="24"/>
          <w:szCs w:val="24"/>
          <w:lang w:val="en-GB"/>
        </w:rPr>
        <w:t xml:space="preserve">A key provision is </w:t>
      </w:r>
      <w:r w:rsidR="00306082" w:rsidRPr="00B41DB1">
        <w:rPr>
          <w:color w:val="auto"/>
          <w:sz w:val="24"/>
          <w:szCs w:val="24"/>
          <w:lang w:val="en-GB"/>
        </w:rPr>
        <w:t xml:space="preserve">the </w:t>
      </w:r>
      <w:r w:rsidR="001C181B" w:rsidRPr="00B41DB1">
        <w:rPr>
          <w:color w:val="auto"/>
          <w:sz w:val="24"/>
          <w:szCs w:val="24"/>
          <w:lang w:val="en-GB"/>
        </w:rPr>
        <w:t>creation</w:t>
      </w:r>
      <w:r w:rsidR="00306082" w:rsidRPr="00B41DB1">
        <w:rPr>
          <w:color w:val="auto"/>
          <w:sz w:val="24"/>
          <w:szCs w:val="24"/>
          <w:lang w:val="en-GB"/>
        </w:rPr>
        <w:t xml:space="preserve"> of closer economic relations between the EU and the OCTs, such as through an improvement in market access for OCT goods and services, and relaxation of the rules of origin. </w:t>
      </w:r>
      <w:r w:rsidR="001C181B" w:rsidRPr="00B41DB1">
        <w:rPr>
          <w:color w:val="auto"/>
          <w:sz w:val="24"/>
          <w:szCs w:val="24"/>
          <w:lang w:val="en-GB"/>
        </w:rPr>
        <w:t>Others include en</w:t>
      </w:r>
      <w:r w:rsidR="00306082" w:rsidRPr="00B41DB1">
        <w:rPr>
          <w:color w:val="auto"/>
          <w:sz w:val="24"/>
          <w:szCs w:val="24"/>
          <w:lang w:val="en-GB"/>
        </w:rPr>
        <w:t xml:space="preserve">hancing </w:t>
      </w:r>
      <w:r w:rsidR="00076B18" w:rsidRPr="00B41DB1">
        <w:rPr>
          <w:color w:val="auto"/>
          <w:sz w:val="24"/>
          <w:szCs w:val="24"/>
          <w:lang w:val="en-GB"/>
        </w:rPr>
        <w:t xml:space="preserve">the </w:t>
      </w:r>
      <w:r w:rsidR="00306082" w:rsidRPr="00B41DB1">
        <w:rPr>
          <w:color w:val="auto"/>
          <w:sz w:val="24"/>
          <w:szCs w:val="24"/>
          <w:lang w:val="en-GB"/>
        </w:rPr>
        <w:t xml:space="preserve">OCTs’ competitiveness; strengthening </w:t>
      </w:r>
      <w:r w:rsidR="00990DB5" w:rsidRPr="00B41DB1">
        <w:rPr>
          <w:color w:val="auto"/>
          <w:sz w:val="24"/>
          <w:szCs w:val="24"/>
          <w:lang w:val="en-GB"/>
        </w:rPr>
        <w:t>their resilience and reducing</w:t>
      </w:r>
      <w:r w:rsidR="00306082" w:rsidRPr="00B41DB1">
        <w:rPr>
          <w:color w:val="auto"/>
          <w:sz w:val="24"/>
          <w:szCs w:val="24"/>
          <w:lang w:val="en-GB"/>
        </w:rPr>
        <w:t xml:space="preserve"> their vulnerability; and </w:t>
      </w:r>
      <w:r w:rsidR="00990DB5" w:rsidRPr="00B41DB1">
        <w:rPr>
          <w:color w:val="auto"/>
          <w:sz w:val="24"/>
          <w:szCs w:val="24"/>
          <w:lang w:val="en-GB"/>
        </w:rPr>
        <w:t>creating</w:t>
      </w:r>
      <w:r w:rsidR="00306082" w:rsidRPr="00B41DB1">
        <w:rPr>
          <w:color w:val="auto"/>
          <w:sz w:val="24"/>
          <w:szCs w:val="24"/>
          <w:lang w:val="en-GB"/>
        </w:rPr>
        <w:t xml:space="preserve"> more reciprocal relations between the EU and </w:t>
      </w:r>
      <w:r w:rsidR="00076B18" w:rsidRPr="00B41DB1">
        <w:rPr>
          <w:color w:val="auto"/>
          <w:sz w:val="24"/>
          <w:szCs w:val="24"/>
          <w:lang w:val="en-GB"/>
        </w:rPr>
        <w:t xml:space="preserve">the </w:t>
      </w:r>
      <w:r w:rsidR="00306082" w:rsidRPr="00B41DB1">
        <w:rPr>
          <w:color w:val="auto"/>
          <w:sz w:val="24"/>
          <w:szCs w:val="24"/>
          <w:lang w:val="en-GB"/>
        </w:rPr>
        <w:t xml:space="preserve">OCTs based on mutual interests and shared values. There are also several financial instruments linked to the new </w:t>
      </w:r>
      <w:r w:rsidR="00076B18" w:rsidRPr="00B41DB1">
        <w:rPr>
          <w:color w:val="auto"/>
          <w:sz w:val="24"/>
          <w:szCs w:val="24"/>
          <w:lang w:val="en-GB"/>
        </w:rPr>
        <w:t>D</w:t>
      </w:r>
      <w:r w:rsidR="00306082" w:rsidRPr="00B41DB1">
        <w:rPr>
          <w:color w:val="auto"/>
          <w:sz w:val="24"/>
          <w:szCs w:val="24"/>
          <w:lang w:val="en-GB"/>
        </w:rPr>
        <w:t xml:space="preserve">ecision. Total EU funding for </w:t>
      </w:r>
      <w:r w:rsidR="00990DB5" w:rsidRPr="00B41DB1">
        <w:rPr>
          <w:color w:val="auto"/>
          <w:sz w:val="24"/>
          <w:szCs w:val="24"/>
          <w:lang w:val="en-GB"/>
        </w:rPr>
        <w:t xml:space="preserve">the </w:t>
      </w:r>
      <w:r w:rsidR="00306082" w:rsidRPr="00B41DB1">
        <w:rPr>
          <w:color w:val="auto"/>
          <w:sz w:val="24"/>
          <w:szCs w:val="24"/>
          <w:lang w:val="en-GB"/>
        </w:rPr>
        <w:t xml:space="preserve">OCTs via the </w:t>
      </w:r>
      <w:r w:rsidR="00076B18" w:rsidRPr="00B41DB1">
        <w:rPr>
          <w:color w:val="auto"/>
          <w:sz w:val="24"/>
          <w:szCs w:val="24"/>
          <w:lang w:val="en-GB"/>
        </w:rPr>
        <w:t>11</w:t>
      </w:r>
      <w:r w:rsidR="00076B18" w:rsidRPr="00B41DB1">
        <w:rPr>
          <w:color w:val="auto"/>
          <w:sz w:val="24"/>
          <w:szCs w:val="24"/>
          <w:vertAlign w:val="superscript"/>
          <w:lang w:val="en-GB"/>
        </w:rPr>
        <w:t>th</w:t>
      </w:r>
      <w:r w:rsidR="00076B18" w:rsidRPr="00B41DB1">
        <w:rPr>
          <w:color w:val="auto"/>
          <w:sz w:val="24"/>
          <w:szCs w:val="24"/>
          <w:lang w:val="en-GB"/>
        </w:rPr>
        <w:t xml:space="preserve"> </w:t>
      </w:r>
      <w:r w:rsidR="001F4DDD" w:rsidRPr="00B41DB1">
        <w:rPr>
          <w:color w:val="auto"/>
          <w:sz w:val="24"/>
          <w:szCs w:val="24"/>
          <w:lang w:val="en-GB"/>
        </w:rPr>
        <w:t>EDF</w:t>
      </w:r>
      <w:r w:rsidR="00306082" w:rsidRPr="00B41DB1">
        <w:rPr>
          <w:color w:val="auto"/>
          <w:sz w:val="24"/>
          <w:szCs w:val="24"/>
          <w:lang w:val="en-GB"/>
        </w:rPr>
        <w:t xml:space="preserve"> is €364.5 million</w:t>
      </w:r>
      <w:r w:rsidR="00076B18" w:rsidRPr="00B41DB1">
        <w:rPr>
          <w:color w:val="auto"/>
          <w:sz w:val="24"/>
          <w:szCs w:val="24"/>
          <w:lang w:val="en-GB"/>
        </w:rPr>
        <w:t>—</w:t>
      </w:r>
      <w:r w:rsidR="00306082" w:rsidRPr="00B41DB1">
        <w:rPr>
          <w:color w:val="auto"/>
          <w:sz w:val="24"/>
          <w:szCs w:val="24"/>
          <w:lang w:val="en-GB"/>
        </w:rPr>
        <w:t xml:space="preserve">a sizeable increase on the previous allocation. Two-thirds of that amount will be allocated </w:t>
      </w:r>
      <w:r w:rsidR="001C181B" w:rsidRPr="00B41DB1">
        <w:rPr>
          <w:color w:val="auto"/>
          <w:sz w:val="24"/>
          <w:szCs w:val="24"/>
          <w:lang w:val="en-GB"/>
        </w:rPr>
        <w:t xml:space="preserve">to individual OCTs. In addition, </w:t>
      </w:r>
      <w:r w:rsidR="00990DB5" w:rsidRPr="00B41DB1">
        <w:rPr>
          <w:color w:val="auto"/>
          <w:sz w:val="24"/>
          <w:szCs w:val="24"/>
          <w:lang w:val="en-GB"/>
        </w:rPr>
        <w:t>they</w:t>
      </w:r>
      <w:r w:rsidR="00306082" w:rsidRPr="00B41DB1">
        <w:rPr>
          <w:color w:val="auto"/>
          <w:sz w:val="24"/>
          <w:szCs w:val="24"/>
          <w:lang w:val="en-GB"/>
        </w:rPr>
        <w:t xml:space="preserve"> will receive funding under programmes by way of the EU’s general budget.</w:t>
      </w:r>
    </w:p>
    <w:p w14:paraId="5522CCED" w14:textId="403A9B16" w:rsidR="00FD5F85" w:rsidRDefault="00306082" w:rsidP="000D2F47">
      <w:pPr>
        <w:pStyle w:val="SGML"/>
        <w:spacing w:after="0" w:line="480" w:lineRule="auto"/>
        <w:rPr>
          <w:color w:val="auto"/>
          <w:sz w:val="24"/>
          <w:szCs w:val="24"/>
          <w:lang w:val="en-GB"/>
        </w:rPr>
      </w:pPr>
      <w:r w:rsidRPr="00B41DB1">
        <w:rPr>
          <w:color w:val="auto"/>
          <w:sz w:val="24"/>
          <w:szCs w:val="24"/>
          <w:lang w:val="en-GB"/>
        </w:rPr>
        <w:t>The new Decision has been largely welcomed by the OCTs, and will provide an important additional level of support above and beyond the metropolitan powers.</w:t>
      </w:r>
      <w:r w:rsidR="00AB60B4" w:rsidRPr="00B41DB1">
        <w:rPr>
          <w:color w:val="auto"/>
          <w:sz w:val="24"/>
          <w:szCs w:val="24"/>
          <w:lang w:val="en-GB"/>
        </w:rPr>
        <w:t xml:space="preserve"> As Sutton argues there </w:t>
      </w:r>
      <w:r w:rsidR="00D226DD" w:rsidRPr="00B41DB1">
        <w:rPr>
          <w:color w:val="auto"/>
          <w:sz w:val="24"/>
          <w:szCs w:val="24"/>
          <w:lang w:val="en-GB"/>
        </w:rPr>
        <w:t>‘</w:t>
      </w:r>
      <w:r w:rsidR="00AB60B4" w:rsidRPr="00B41DB1">
        <w:rPr>
          <w:color w:val="auto"/>
          <w:sz w:val="24"/>
          <w:szCs w:val="24"/>
          <w:lang w:val="en-GB"/>
        </w:rPr>
        <w:t>... is a shift of emphasis away from an Association Decision informed by EU relations with ACP countries towards one informed by the EU’s commitment to its ORs (Outer-most Regions)</w:t>
      </w:r>
      <w:r w:rsidR="005B4BCA" w:rsidRPr="00B41DB1">
        <w:rPr>
          <w:color w:val="auto"/>
          <w:sz w:val="24"/>
          <w:szCs w:val="24"/>
          <w:lang w:val="en-GB"/>
        </w:rPr>
        <w:t>’</w:t>
      </w:r>
      <w:r w:rsidR="00AB60B4" w:rsidRPr="00B41DB1">
        <w:rPr>
          <w:color w:val="auto"/>
          <w:sz w:val="24"/>
          <w:szCs w:val="24"/>
          <w:lang w:val="en-GB"/>
        </w:rPr>
        <w:t>.</w:t>
      </w:r>
      <w:r w:rsidR="00ED34A5" w:rsidRPr="00B41DB1">
        <w:rPr>
          <w:color w:val="auto"/>
          <w:sz w:val="24"/>
          <w:szCs w:val="24"/>
          <w:lang w:val="en-GB"/>
        </w:rPr>
        <w:t xml:space="preserve"> (</w:t>
      </w:r>
      <w:r w:rsidR="00AB60B4" w:rsidRPr="00B41DB1">
        <w:rPr>
          <w:color w:val="auto"/>
          <w:sz w:val="24"/>
          <w:szCs w:val="24"/>
          <w:lang w:val="en-GB"/>
        </w:rPr>
        <w:t xml:space="preserve">The ORs are integral but distant </w:t>
      </w:r>
      <w:r w:rsidR="00AB60B4" w:rsidRPr="00B41DB1">
        <w:rPr>
          <w:color w:val="auto"/>
          <w:sz w:val="24"/>
          <w:szCs w:val="24"/>
          <w:lang w:val="en-GB"/>
        </w:rPr>
        <w:lastRenderedPageBreak/>
        <w:t>regions of EU member states.</w:t>
      </w:r>
      <w:r w:rsidR="00ED34A5" w:rsidRPr="00B41DB1">
        <w:rPr>
          <w:color w:val="auto"/>
          <w:sz w:val="24"/>
          <w:szCs w:val="24"/>
          <w:lang w:val="en-GB"/>
        </w:rPr>
        <w:t>)</w:t>
      </w:r>
      <w:r w:rsidR="00AB60B4" w:rsidRPr="00B41DB1">
        <w:rPr>
          <w:color w:val="auto"/>
          <w:sz w:val="24"/>
          <w:szCs w:val="24"/>
          <w:lang w:val="en-GB"/>
        </w:rPr>
        <w:t xml:space="preserve"> Sutton continues, </w:t>
      </w:r>
      <w:r w:rsidR="00D226DD" w:rsidRPr="00B41DB1">
        <w:rPr>
          <w:color w:val="auto"/>
          <w:sz w:val="24"/>
          <w:szCs w:val="24"/>
          <w:lang w:val="en-GB"/>
        </w:rPr>
        <w:t>‘</w:t>
      </w:r>
      <w:r w:rsidR="00AB60B4" w:rsidRPr="00B41DB1">
        <w:rPr>
          <w:color w:val="auto"/>
          <w:sz w:val="24"/>
          <w:szCs w:val="24"/>
          <w:lang w:val="en-GB"/>
        </w:rPr>
        <w:t>[t]he EU’s special relationship with the ACP has become more attenuated in recent years as the EU has at the same time invigorated its programmes with the ORs</w:t>
      </w:r>
      <w:r w:rsidR="00D226DD" w:rsidRPr="00B41DB1">
        <w:rPr>
          <w:color w:val="auto"/>
          <w:sz w:val="24"/>
          <w:szCs w:val="24"/>
          <w:lang w:val="en-GB"/>
        </w:rPr>
        <w:t>’</w:t>
      </w:r>
      <w:r w:rsidR="00AB60B4" w:rsidRPr="00B41DB1">
        <w:rPr>
          <w:color w:val="auto"/>
          <w:sz w:val="24"/>
          <w:szCs w:val="24"/>
          <w:lang w:val="en-GB"/>
        </w:rPr>
        <w:t xml:space="preserve"> (2012, </w:t>
      </w:r>
      <w:r w:rsidR="005B4BCA" w:rsidRPr="00B41DB1">
        <w:rPr>
          <w:color w:val="auto"/>
          <w:sz w:val="24"/>
          <w:szCs w:val="24"/>
          <w:lang w:val="en-GB"/>
        </w:rPr>
        <w:t xml:space="preserve">p. </w:t>
      </w:r>
      <w:r w:rsidR="00AB60B4" w:rsidRPr="00B41DB1">
        <w:rPr>
          <w:color w:val="auto"/>
          <w:sz w:val="24"/>
          <w:szCs w:val="24"/>
          <w:lang w:val="en-GB"/>
        </w:rPr>
        <w:t xml:space="preserve">120). </w:t>
      </w:r>
      <w:r w:rsidR="00AE2705" w:rsidRPr="00B41DB1">
        <w:rPr>
          <w:color w:val="auto"/>
          <w:sz w:val="24"/>
          <w:szCs w:val="24"/>
          <w:lang w:val="en-GB"/>
        </w:rPr>
        <w:t xml:space="preserve">A key reason for this degree of convergence between the OCTs and ORs is that the arguments for assisting them are </w:t>
      </w:r>
      <w:r w:rsidR="00720451" w:rsidRPr="00B41DB1">
        <w:rPr>
          <w:color w:val="auto"/>
          <w:sz w:val="24"/>
          <w:szCs w:val="24"/>
          <w:lang w:val="en-GB"/>
        </w:rPr>
        <w:t xml:space="preserve">extremely </w:t>
      </w:r>
      <w:r w:rsidR="00AE2705" w:rsidRPr="00B41DB1">
        <w:rPr>
          <w:color w:val="auto"/>
          <w:sz w:val="24"/>
          <w:szCs w:val="24"/>
          <w:lang w:val="en-GB"/>
        </w:rPr>
        <w:t xml:space="preserve">similar: </w:t>
      </w:r>
      <w:r w:rsidR="00D226DD" w:rsidRPr="00B41DB1">
        <w:rPr>
          <w:color w:val="auto"/>
          <w:sz w:val="24"/>
          <w:szCs w:val="24"/>
          <w:lang w:val="en-GB"/>
        </w:rPr>
        <w:t>‘</w:t>
      </w:r>
      <w:r w:rsidR="00AE2705" w:rsidRPr="00B41DB1">
        <w:rPr>
          <w:color w:val="auto"/>
          <w:sz w:val="24"/>
          <w:szCs w:val="24"/>
          <w:lang w:val="en-GB"/>
        </w:rPr>
        <w:t>remoteness, insularity, smallness, climate, and economic dependence</w:t>
      </w:r>
      <w:r w:rsidR="00D226DD" w:rsidRPr="00B41DB1">
        <w:rPr>
          <w:color w:val="auto"/>
          <w:sz w:val="24"/>
          <w:szCs w:val="24"/>
          <w:lang w:val="en-GB"/>
        </w:rPr>
        <w:t>’</w:t>
      </w:r>
      <w:r w:rsidR="00AE2705" w:rsidRPr="00B41DB1">
        <w:rPr>
          <w:color w:val="auto"/>
          <w:sz w:val="24"/>
          <w:szCs w:val="24"/>
          <w:lang w:val="en-GB"/>
        </w:rPr>
        <w:t xml:space="preserve"> (Sutton, 2012, </w:t>
      </w:r>
      <w:r w:rsidR="005B4BCA" w:rsidRPr="00B41DB1">
        <w:rPr>
          <w:color w:val="auto"/>
          <w:sz w:val="24"/>
          <w:szCs w:val="24"/>
          <w:lang w:val="en-GB"/>
        </w:rPr>
        <w:t xml:space="preserve">p. </w:t>
      </w:r>
      <w:r w:rsidR="00AE2705" w:rsidRPr="00B41DB1">
        <w:rPr>
          <w:color w:val="auto"/>
          <w:sz w:val="24"/>
          <w:szCs w:val="24"/>
          <w:lang w:val="en-GB"/>
        </w:rPr>
        <w:t>120).</w:t>
      </w:r>
      <w:r w:rsidR="0061191D" w:rsidRPr="00B41DB1">
        <w:rPr>
          <w:color w:val="auto"/>
          <w:sz w:val="24"/>
          <w:szCs w:val="24"/>
          <w:lang w:val="en-GB"/>
        </w:rPr>
        <w:t xml:space="preserve"> However, there will be limits to this convergence, mainly because the level of support from the EU to the ORs is very much higher than for the OCTs.</w:t>
      </w:r>
      <w:r w:rsidR="00DA4E10" w:rsidRPr="00B41DB1">
        <w:rPr>
          <w:color w:val="auto"/>
          <w:sz w:val="24"/>
          <w:szCs w:val="24"/>
          <w:lang w:val="en-GB"/>
        </w:rPr>
        <w:t xml:space="preserve"> Yet, as Hannibal et al</w:t>
      </w:r>
      <w:r w:rsidR="00B51A86" w:rsidRPr="00B41DB1">
        <w:rPr>
          <w:color w:val="auto"/>
          <w:sz w:val="24"/>
          <w:szCs w:val="24"/>
          <w:lang w:val="en-GB"/>
        </w:rPr>
        <w:t>.</w:t>
      </w:r>
      <w:r w:rsidR="00DA4E10" w:rsidRPr="00B41DB1">
        <w:rPr>
          <w:color w:val="auto"/>
          <w:sz w:val="24"/>
          <w:szCs w:val="24"/>
          <w:lang w:val="en-GB"/>
        </w:rPr>
        <w:t xml:space="preserve"> argue, </w:t>
      </w:r>
      <w:r w:rsidR="00D226DD" w:rsidRPr="00B41DB1">
        <w:rPr>
          <w:color w:val="auto"/>
          <w:sz w:val="24"/>
          <w:szCs w:val="24"/>
          <w:lang w:val="en-GB"/>
        </w:rPr>
        <w:t>‘</w:t>
      </w:r>
      <w:r w:rsidR="00DA4E10" w:rsidRPr="00B41DB1">
        <w:rPr>
          <w:color w:val="auto"/>
          <w:sz w:val="24"/>
          <w:szCs w:val="24"/>
          <w:lang w:val="en-GB"/>
        </w:rPr>
        <w:t>[t]he OCTs have a unique position in Brussels, as they make up a peculiar category of colonial remnants maintaining a privileged position in the EU</w:t>
      </w:r>
      <w:r w:rsidR="00D226DD" w:rsidRPr="00B41DB1">
        <w:rPr>
          <w:color w:val="auto"/>
          <w:sz w:val="24"/>
          <w:szCs w:val="24"/>
          <w:lang w:val="en-GB"/>
        </w:rPr>
        <w:t>’</w:t>
      </w:r>
      <w:r w:rsidR="00DA4E10" w:rsidRPr="00B41DB1">
        <w:rPr>
          <w:color w:val="auto"/>
          <w:sz w:val="24"/>
          <w:szCs w:val="24"/>
          <w:lang w:val="en-GB"/>
        </w:rPr>
        <w:t xml:space="preserve"> (2013, </w:t>
      </w:r>
      <w:r w:rsidR="005B4BCA" w:rsidRPr="00B41DB1">
        <w:rPr>
          <w:color w:val="auto"/>
          <w:sz w:val="24"/>
          <w:szCs w:val="24"/>
          <w:lang w:val="en-GB"/>
        </w:rPr>
        <w:t xml:space="preserve">p. </w:t>
      </w:r>
      <w:r w:rsidR="00DA4E10" w:rsidRPr="00B41DB1">
        <w:rPr>
          <w:color w:val="auto"/>
          <w:sz w:val="24"/>
          <w:szCs w:val="24"/>
          <w:lang w:val="en-GB"/>
        </w:rPr>
        <w:t>90).</w:t>
      </w:r>
    </w:p>
    <w:p w14:paraId="03C4CFD4" w14:textId="77777777" w:rsidR="000F515F" w:rsidRDefault="000F515F" w:rsidP="000D2F47">
      <w:pPr>
        <w:pStyle w:val="SGML"/>
        <w:spacing w:after="0" w:line="480" w:lineRule="auto"/>
        <w:rPr>
          <w:color w:val="auto"/>
          <w:sz w:val="24"/>
          <w:szCs w:val="24"/>
          <w:lang w:val="en-GB"/>
        </w:rPr>
      </w:pPr>
    </w:p>
    <w:p w14:paraId="34FD3465" w14:textId="067723B2" w:rsidR="00525784" w:rsidRPr="00525784" w:rsidRDefault="005F661A" w:rsidP="000D2F47">
      <w:pPr>
        <w:pStyle w:val="SGML"/>
        <w:spacing w:after="0" w:line="480" w:lineRule="auto"/>
        <w:rPr>
          <w:b/>
          <w:color w:val="auto"/>
          <w:sz w:val="24"/>
          <w:szCs w:val="24"/>
          <w:lang w:val="en-GB"/>
        </w:rPr>
      </w:pPr>
      <w:r>
        <w:rPr>
          <w:b/>
          <w:color w:val="auto"/>
          <w:sz w:val="24"/>
          <w:szCs w:val="24"/>
          <w:lang w:val="en-GB"/>
        </w:rPr>
        <w:t>A</w:t>
      </w:r>
      <w:r w:rsidR="00525784" w:rsidRPr="00525784">
        <w:rPr>
          <w:b/>
          <w:color w:val="auto"/>
          <w:sz w:val="24"/>
          <w:szCs w:val="24"/>
          <w:lang w:val="en-GB"/>
        </w:rPr>
        <w:t xml:space="preserve"> broader Commonwealth perspective</w:t>
      </w:r>
    </w:p>
    <w:p w14:paraId="582033BD" w14:textId="174A8285" w:rsidR="00136F6F" w:rsidRDefault="005F661A" w:rsidP="000D2F47">
      <w:pPr>
        <w:pStyle w:val="SGML"/>
        <w:spacing w:after="0" w:line="480" w:lineRule="auto"/>
        <w:rPr>
          <w:color w:val="auto"/>
          <w:sz w:val="24"/>
          <w:szCs w:val="24"/>
          <w:lang w:val="en-GB"/>
        </w:rPr>
      </w:pPr>
      <w:r>
        <w:rPr>
          <w:color w:val="auto"/>
          <w:sz w:val="24"/>
          <w:szCs w:val="24"/>
          <w:lang w:val="en-GB"/>
        </w:rPr>
        <w:t xml:space="preserve">The article up to this point has concentrated on the relationship between the Caribbean and the EU, with occasional references to the supporting role of the ACP Group. Of course The Commonwealth incorporates the vast majority of ACP states and plays an important role in promoting the interests of small states in the international system. However, The Commonwealth’s role in the changes that </w:t>
      </w:r>
      <w:r w:rsidR="00CA7798">
        <w:rPr>
          <w:color w:val="auto"/>
          <w:sz w:val="24"/>
          <w:szCs w:val="24"/>
          <w:lang w:val="en-GB"/>
        </w:rPr>
        <w:t>have been documented in this article has been relatively small. In particular, despite its advocacy on the particular vulnerabilities of small states, the organisation been unable to meaningfully change the nature of global governance</w:t>
      </w:r>
      <w:r w:rsidR="00EB660E">
        <w:rPr>
          <w:color w:val="auto"/>
          <w:sz w:val="24"/>
          <w:szCs w:val="24"/>
          <w:lang w:val="en-GB"/>
        </w:rPr>
        <w:t xml:space="preserve"> or</w:t>
      </w:r>
      <w:r w:rsidR="00163BE9">
        <w:rPr>
          <w:color w:val="auto"/>
          <w:sz w:val="24"/>
          <w:szCs w:val="24"/>
          <w:lang w:val="en-GB"/>
        </w:rPr>
        <w:t xml:space="preserve"> the policy direction of the EU</w:t>
      </w:r>
      <w:r w:rsidR="00CA7798">
        <w:rPr>
          <w:color w:val="auto"/>
          <w:sz w:val="24"/>
          <w:szCs w:val="24"/>
          <w:lang w:val="en-GB"/>
        </w:rPr>
        <w:t xml:space="preserve">. </w:t>
      </w:r>
      <w:r w:rsidR="00163BE9">
        <w:rPr>
          <w:color w:val="auto"/>
          <w:sz w:val="24"/>
          <w:szCs w:val="24"/>
          <w:lang w:val="en-GB"/>
        </w:rPr>
        <w:t>Further, the ACP and CARIFORUM have been seen</w:t>
      </w:r>
      <w:r w:rsidR="00163BE9" w:rsidRPr="00163BE9">
        <w:rPr>
          <w:color w:val="auto"/>
          <w:sz w:val="24"/>
          <w:szCs w:val="24"/>
          <w:lang w:val="en-GB"/>
        </w:rPr>
        <w:t>—</w:t>
      </w:r>
      <w:r w:rsidR="00163BE9">
        <w:rPr>
          <w:color w:val="auto"/>
          <w:sz w:val="24"/>
          <w:szCs w:val="24"/>
          <w:lang w:val="en-GB"/>
        </w:rPr>
        <w:t>for good reason</w:t>
      </w:r>
      <w:r w:rsidR="00163BE9" w:rsidRPr="00163BE9">
        <w:rPr>
          <w:color w:val="auto"/>
          <w:sz w:val="24"/>
          <w:szCs w:val="24"/>
          <w:lang w:val="en-GB"/>
        </w:rPr>
        <w:t>—</w:t>
      </w:r>
      <w:r w:rsidR="00163BE9">
        <w:rPr>
          <w:color w:val="auto"/>
          <w:sz w:val="24"/>
          <w:szCs w:val="24"/>
          <w:lang w:val="en-GB"/>
        </w:rPr>
        <w:t>as the key interlocutor</w:t>
      </w:r>
      <w:r w:rsidR="000077BD">
        <w:rPr>
          <w:color w:val="auto"/>
          <w:sz w:val="24"/>
          <w:szCs w:val="24"/>
          <w:lang w:val="en-GB"/>
        </w:rPr>
        <w:t>s</w:t>
      </w:r>
      <w:r w:rsidR="00163BE9">
        <w:rPr>
          <w:color w:val="auto"/>
          <w:sz w:val="24"/>
          <w:szCs w:val="24"/>
          <w:lang w:val="en-GB"/>
        </w:rPr>
        <w:t xml:space="preserve"> in relation to the EU, and therefore The Commonwealth has taken a back-seat. </w:t>
      </w:r>
      <w:r w:rsidR="000077BD">
        <w:rPr>
          <w:color w:val="auto"/>
          <w:sz w:val="24"/>
          <w:szCs w:val="24"/>
          <w:lang w:val="en-GB"/>
        </w:rPr>
        <w:t xml:space="preserve">Indeed, perhaps the most tangible role has been through the Commonwealth Secretariat’s management of the so-called ‘Hub and Spokes’ initiative (in collaboration with the ACP Group, the </w:t>
      </w:r>
      <w:r w:rsidR="000077BD">
        <w:rPr>
          <w:color w:val="auto"/>
          <w:sz w:val="24"/>
          <w:szCs w:val="24"/>
          <w:lang w:val="en-GB"/>
        </w:rPr>
        <w:lastRenderedPageBreak/>
        <w:t>Organisation Internationale de La Francophonie, and the EU). The programme aims ‘to enhance the capacity of key stakeholders in ACP countries to formulate suitable trade policy, participate effectively in international trade negotiations and implement international trade agreements’ (The Commonwealth</w:t>
      </w:r>
      <w:r w:rsidR="0020641A">
        <w:rPr>
          <w:color w:val="auto"/>
          <w:sz w:val="24"/>
          <w:szCs w:val="24"/>
          <w:lang w:val="en-GB"/>
        </w:rPr>
        <w:t>, 2014</w:t>
      </w:r>
      <w:r w:rsidR="000077BD">
        <w:rPr>
          <w:color w:val="auto"/>
          <w:sz w:val="24"/>
          <w:szCs w:val="24"/>
          <w:lang w:val="en-GB"/>
        </w:rPr>
        <w:t xml:space="preserve">). The programme </w:t>
      </w:r>
      <w:r w:rsidR="002A691D">
        <w:rPr>
          <w:color w:val="auto"/>
          <w:sz w:val="24"/>
          <w:szCs w:val="24"/>
          <w:lang w:val="en-GB"/>
        </w:rPr>
        <w:t>has been operating since 2004 and has had some successes, for example providing a range of briefs and position papers to help ACP officials conduct tr</w:t>
      </w:r>
      <w:r w:rsidR="00DA3637">
        <w:rPr>
          <w:color w:val="auto"/>
          <w:sz w:val="24"/>
          <w:szCs w:val="24"/>
          <w:lang w:val="en-GB"/>
        </w:rPr>
        <w:t>ade negotiations</w:t>
      </w:r>
      <w:r w:rsidR="00CA6DB0">
        <w:rPr>
          <w:color w:val="auto"/>
          <w:sz w:val="24"/>
          <w:szCs w:val="24"/>
          <w:lang w:val="en-GB"/>
        </w:rPr>
        <w:t xml:space="preserve">, and assisting St Vincent and the Grenadines in drafting its national trade policy. </w:t>
      </w:r>
      <w:r w:rsidR="00DA3637">
        <w:rPr>
          <w:color w:val="auto"/>
          <w:sz w:val="24"/>
          <w:szCs w:val="24"/>
          <w:lang w:val="en-GB"/>
        </w:rPr>
        <w:t xml:space="preserve">Although not inconsequential, such support has not changed the underlying dynamics of the Caribbean-EU relationship, and the fact that the EU is by </w:t>
      </w:r>
      <w:r w:rsidR="00B05DB4">
        <w:rPr>
          <w:color w:val="auto"/>
          <w:sz w:val="24"/>
          <w:szCs w:val="24"/>
          <w:lang w:val="en-GB"/>
        </w:rPr>
        <w:t xml:space="preserve">far </w:t>
      </w:r>
      <w:r w:rsidR="00DA3637">
        <w:rPr>
          <w:color w:val="auto"/>
          <w:sz w:val="24"/>
          <w:szCs w:val="24"/>
          <w:lang w:val="en-GB"/>
        </w:rPr>
        <w:t xml:space="preserve">the largest funder of the programme </w:t>
      </w:r>
      <w:r w:rsidR="00CA6DB0">
        <w:rPr>
          <w:color w:val="auto"/>
          <w:sz w:val="24"/>
          <w:szCs w:val="24"/>
          <w:lang w:val="en-GB"/>
        </w:rPr>
        <w:t>is a concern in relation to its independence and effectiveness</w:t>
      </w:r>
      <w:r w:rsidR="00B05DB4">
        <w:rPr>
          <w:color w:val="auto"/>
          <w:sz w:val="24"/>
          <w:szCs w:val="24"/>
          <w:lang w:val="en-GB"/>
        </w:rPr>
        <w:t>.</w:t>
      </w:r>
      <w:r w:rsidR="004D5F67">
        <w:rPr>
          <w:color w:val="auto"/>
          <w:sz w:val="24"/>
          <w:szCs w:val="24"/>
          <w:lang w:val="en-GB"/>
        </w:rPr>
        <w:t xml:space="preserve"> In the words of a Brussels-based ACP representative, EU support </w:t>
      </w:r>
      <w:r w:rsidR="00944FB8">
        <w:rPr>
          <w:color w:val="auto"/>
          <w:sz w:val="24"/>
          <w:szCs w:val="24"/>
          <w:lang w:val="en-GB"/>
        </w:rPr>
        <w:t xml:space="preserve">means it </w:t>
      </w:r>
      <w:r w:rsidR="004D5F67">
        <w:rPr>
          <w:color w:val="auto"/>
          <w:sz w:val="24"/>
          <w:szCs w:val="24"/>
          <w:lang w:val="en-GB"/>
        </w:rPr>
        <w:t xml:space="preserve">is ‘negotiating on both sides’ (Jones and Weinhardt, 2015, p. 238). </w:t>
      </w:r>
      <w:r w:rsidR="00CA6DB0">
        <w:rPr>
          <w:color w:val="auto"/>
          <w:sz w:val="24"/>
          <w:szCs w:val="24"/>
          <w:lang w:val="en-GB"/>
        </w:rPr>
        <w:t>In comparison The Commonwealth’s role with the OTs is negligible because member-</w:t>
      </w:r>
      <w:r w:rsidR="00136F6F">
        <w:rPr>
          <w:color w:val="auto"/>
          <w:sz w:val="24"/>
          <w:szCs w:val="24"/>
          <w:lang w:val="en-GB"/>
        </w:rPr>
        <w:t>countries</w:t>
      </w:r>
      <w:r w:rsidR="00CA6DB0">
        <w:rPr>
          <w:color w:val="auto"/>
          <w:sz w:val="24"/>
          <w:szCs w:val="24"/>
          <w:lang w:val="en-GB"/>
        </w:rPr>
        <w:t xml:space="preserve"> are concerned about diluting the</w:t>
      </w:r>
      <w:r w:rsidR="004D5F67">
        <w:rPr>
          <w:color w:val="auto"/>
          <w:sz w:val="24"/>
          <w:szCs w:val="24"/>
          <w:lang w:val="en-GB"/>
        </w:rPr>
        <w:t xml:space="preserve"> organisation’s</w:t>
      </w:r>
      <w:r w:rsidR="00CA6DB0">
        <w:rPr>
          <w:color w:val="auto"/>
          <w:sz w:val="24"/>
          <w:szCs w:val="24"/>
          <w:lang w:val="en-GB"/>
        </w:rPr>
        <w:t xml:space="preserve"> </w:t>
      </w:r>
      <w:r w:rsidR="00136F6F">
        <w:rPr>
          <w:color w:val="auto"/>
          <w:sz w:val="24"/>
          <w:szCs w:val="24"/>
          <w:lang w:val="en-GB"/>
        </w:rPr>
        <w:t xml:space="preserve">primary focus on independent </w:t>
      </w:r>
      <w:r w:rsidR="004D5F67">
        <w:rPr>
          <w:color w:val="auto"/>
          <w:sz w:val="24"/>
          <w:szCs w:val="24"/>
          <w:lang w:val="en-GB"/>
        </w:rPr>
        <w:t>states, and therefore little support is forthcoming for the non-sovereign territories.</w:t>
      </w:r>
    </w:p>
    <w:p w14:paraId="1DA2581A" w14:textId="77777777" w:rsidR="00136F6F" w:rsidRDefault="00136F6F" w:rsidP="000D2F47">
      <w:pPr>
        <w:pStyle w:val="SGML"/>
        <w:spacing w:after="0" w:line="480" w:lineRule="auto"/>
        <w:rPr>
          <w:color w:val="auto"/>
          <w:sz w:val="24"/>
          <w:szCs w:val="24"/>
          <w:lang w:val="en-GB"/>
        </w:rPr>
      </w:pPr>
    </w:p>
    <w:p w14:paraId="6511AE48" w14:textId="77777777" w:rsidR="00FD5F85" w:rsidRPr="00B41DB1" w:rsidRDefault="00FD5F85" w:rsidP="000D2F47">
      <w:pPr>
        <w:pStyle w:val="SGML"/>
        <w:spacing w:after="0" w:line="480" w:lineRule="auto"/>
        <w:rPr>
          <w:b/>
          <w:color w:val="auto"/>
          <w:sz w:val="24"/>
          <w:szCs w:val="24"/>
          <w:lang w:val="en-GB"/>
        </w:rPr>
      </w:pPr>
      <w:r w:rsidRPr="00B41DB1">
        <w:rPr>
          <w:b/>
          <w:color w:val="auto"/>
          <w:sz w:val="24"/>
          <w:szCs w:val="24"/>
          <w:lang w:val="en-GB"/>
        </w:rPr>
        <w:t>Conclusion</w:t>
      </w:r>
    </w:p>
    <w:p w14:paraId="7257F232" w14:textId="77893694" w:rsidR="00AB60B4" w:rsidRPr="00B41DB1" w:rsidRDefault="0063157E" w:rsidP="000D2F47">
      <w:pPr>
        <w:pStyle w:val="SGML"/>
        <w:spacing w:after="0" w:line="480" w:lineRule="auto"/>
        <w:rPr>
          <w:color w:val="auto"/>
          <w:sz w:val="24"/>
          <w:szCs w:val="24"/>
          <w:lang w:val="en-GB"/>
        </w:rPr>
      </w:pPr>
      <w:r w:rsidRPr="00B41DB1">
        <w:rPr>
          <w:color w:val="auto"/>
          <w:sz w:val="24"/>
          <w:szCs w:val="24"/>
          <w:lang w:val="en-GB"/>
        </w:rPr>
        <w:t xml:space="preserve">It is clear that the nature of the relationship between the EU and the Caribbean, both for the independent </w:t>
      </w:r>
      <w:r w:rsidR="003B7D85" w:rsidRPr="00B41DB1">
        <w:rPr>
          <w:color w:val="auto"/>
          <w:sz w:val="24"/>
          <w:szCs w:val="24"/>
          <w:lang w:val="en-GB"/>
        </w:rPr>
        <w:t xml:space="preserve">Commonwealth states </w:t>
      </w:r>
      <w:r w:rsidRPr="00B41DB1">
        <w:rPr>
          <w:color w:val="auto"/>
          <w:sz w:val="24"/>
          <w:szCs w:val="24"/>
          <w:lang w:val="en-GB"/>
        </w:rPr>
        <w:t xml:space="preserve">and the non-independent territories has changed </w:t>
      </w:r>
      <w:r w:rsidR="003B7D85" w:rsidRPr="00B41DB1">
        <w:rPr>
          <w:color w:val="auto"/>
          <w:sz w:val="24"/>
          <w:szCs w:val="24"/>
          <w:lang w:val="en-GB"/>
        </w:rPr>
        <w:t xml:space="preserve">greatly over the last </w:t>
      </w:r>
      <w:r w:rsidR="00FA7111" w:rsidRPr="00B41DB1">
        <w:rPr>
          <w:color w:val="auto"/>
          <w:sz w:val="24"/>
          <w:szCs w:val="24"/>
          <w:lang w:val="en-GB"/>
        </w:rPr>
        <w:t>two decades</w:t>
      </w:r>
      <w:r w:rsidR="003B7D85" w:rsidRPr="00B41DB1">
        <w:rPr>
          <w:color w:val="auto"/>
          <w:sz w:val="24"/>
          <w:szCs w:val="24"/>
          <w:lang w:val="en-GB"/>
        </w:rPr>
        <w:t xml:space="preserve">. </w:t>
      </w:r>
      <w:r w:rsidR="00FA7111" w:rsidRPr="00B41DB1">
        <w:rPr>
          <w:color w:val="auto"/>
          <w:sz w:val="24"/>
          <w:szCs w:val="24"/>
          <w:lang w:val="en-GB"/>
        </w:rPr>
        <w:t>Commonwealth Caribbean</w:t>
      </w:r>
      <w:r w:rsidR="00B47D39" w:rsidRPr="00B41DB1">
        <w:rPr>
          <w:color w:val="auto"/>
          <w:sz w:val="24"/>
          <w:szCs w:val="24"/>
          <w:lang w:val="en-GB"/>
        </w:rPr>
        <w:t xml:space="preserve"> </w:t>
      </w:r>
      <w:r w:rsidR="00FA7111" w:rsidRPr="00B41DB1">
        <w:rPr>
          <w:color w:val="auto"/>
          <w:sz w:val="24"/>
          <w:szCs w:val="24"/>
          <w:lang w:val="en-GB"/>
        </w:rPr>
        <w:t xml:space="preserve">– EU relations have </w:t>
      </w:r>
      <w:r w:rsidRPr="00B41DB1">
        <w:rPr>
          <w:color w:val="auto"/>
          <w:sz w:val="24"/>
          <w:szCs w:val="24"/>
          <w:lang w:val="en-GB"/>
        </w:rPr>
        <w:t xml:space="preserve">been undermined on two fronts: a diminution of the level of support provided </w:t>
      </w:r>
      <w:r w:rsidR="00730C0A" w:rsidRPr="00B41DB1">
        <w:rPr>
          <w:color w:val="auto"/>
          <w:sz w:val="24"/>
          <w:szCs w:val="24"/>
          <w:lang w:val="en-GB"/>
        </w:rPr>
        <w:t>by the EU both i</w:t>
      </w:r>
      <w:r w:rsidRPr="00B41DB1">
        <w:rPr>
          <w:color w:val="auto"/>
          <w:sz w:val="24"/>
          <w:szCs w:val="24"/>
          <w:lang w:val="en-GB"/>
        </w:rPr>
        <w:t xml:space="preserve">n </w:t>
      </w:r>
      <w:r w:rsidR="004234EF" w:rsidRPr="00B41DB1">
        <w:rPr>
          <w:color w:val="auto"/>
          <w:sz w:val="24"/>
          <w:szCs w:val="24"/>
          <w:lang w:val="en-GB"/>
        </w:rPr>
        <w:t>relation to</w:t>
      </w:r>
      <w:r w:rsidRPr="00B41DB1">
        <w:rPr>
          <w:color w:val="auto"/>
          <w:sz w:val="24"/>
          <w:szCs w:val="24"/>
          <w:lang w:val="en-GB"/>
        </w:rPr>
        <w:t xml:space="preserve"> trade and aid and growing disenchantment on both sides </w:t>
      </w:r>
      <w:r w:rsidR="00730C0A" w:rsidRPr="00B41DB1">
        <w:rPr>
          <w:color w:val="auto"/>
          <w:sz w:val="24"/>
          <w:szCs w:val="24"/>
          <w:lang w:val="en-GB"/>
        </w:rPr>
        <w:t>about how the Cotonou Ag</w:t>
      </w:r>
      <w:r w:rsidRPr="00B41DB1">
        <w:rPr>
          <w:color w:val="auto"/>
          <w:sz w:val="24"/>
          <w:szCs w:val="24"/>
          <w:lang w:val="en-GB"/>
        </w:rPr>
        <w:t xml:space="preserve">reement and EPA are </w:t>
      </w:r>
      <w:r w:rsidR="004234EF" w:rsidRPr="00B41DB1">
        <w:rPr>
          <w:color w:val="auto"/>
          <w:sz w:val="24"/>
          <w:szCs w:val="24"/>
          <w:lang w:val="en-GB"/>
        </w:rPr>
        <w:t>functioning</w:t>
      </w:r>
      <w:r w:rsidRPr="00B41DB1">
        <w:rPr>
          <w:color w:val="auto"/>
          <w:sz w:val="24"/>
          <w:szCs w:val="24"/>
          <w:lang w:val="en-GB"/>
        </w:rPr>
        <w:t xml:space="preserve">. Since </w:t>
      </w:r>
      <w:r w:rsidR="00730C0A" w:rsidRPr="00B41DB1">
        <w:rPr>
          <w:color w:val="auto"/>
          <w:sz w:val="24"/>
          <w:szCs w:val="24"/>
          <w:lang w:val="en-GB"/>
        </w:rPr>
        <w:t xml:space="preserve">the first </w:t>
      </w:r>
      <w:r w:rsidRPr="00B41DB1">
        <w:rPr>
          <w:color w:val="auto"/>
          <w:sz w:val="24"/>
          <w:szCs w:val="24"/>
          <w:lang w:val="en-GB"/>
        </w:rPr>
        <w:t xml:space="preserve">Lomé </w:t>
      </w:r>
      <w:r w:rsidR="00730C0A" w:rsidRPr="00B41DB1">
        <w:rPr>
          <w:color w:val="auto"/>
          <w:sz w:val="24"/>
          <w:szCs w:val="24"/>
          <w:lang w:val="en-GB"/>
        </w:rPr>
        <w:t>Convention</w:t>
      </w:r>
      <w:r w:rsidR="00B51A86" w:rsidRPr="00B41DB1">
        <w:rPr>
          <w:color w:val="auto"/>
          <w:sz w:val="24"/>
          <w:szCs w:val="24"/>
          <w:lang w:val="en-GB"/>
        </w:rPr>
        <w:t>,</w:t>
      </w:r>
      <w:r w:rsidR="00730C0A" w:rsidRPr="00B41DB1">
        <w:rPr>
          <w:color w:val="auto"/>
          <w:sz w:val="24"/>
          <w:szCs w:val="24"/>
          <w:lang w:val="en-GB"/>
        </w:rPr>
        <w:t xml:space="preserve"> the Caribbean has been on the wrong side of dominant economic and trade-related </w:t>
      </w:r>
      <w:r w:rsidR="00730C0A" w:rsidRPr="00B41DB1">
        <w:rPr>
          <w:color w:val="auto"/>
          <w:sz w:val="24"/>
          <w:szCs w:val="24"/>
          <w:lang w:val="en-GB"/>
        </w:rPr>
        <w:lastRenderedPageBreak/>
        <w:t>narratives</w:t>
      </w:r>
      <w:r w:rsidR="00883C2F">
        <w:rPr>
          <w:color w:val="auto"/>
          <w:sz w:val="24"/>
          <w:szCs w:val="24"/>
          <w:lang w:val="en-GB"/>
        </w:rPr>
        <w:t>; b</w:t>
      </w:r>
      <w:r w:rsidR="00BF2D5D">
        <w:rPr>
          <w:color w:val="auto"/>
          <w:sz w:val="24"/>
          <w:szCs w:val="24"/>
          <w:lang w:val="en-GB"/>
        </w:rPr>
        <w:t xml:space="preserve">ut </w:t>
      </w:r>
      <w:r w:rsidR="00730C0A" w:rsidRPr="00B41DB1">
        <w:rPr>
          <w:color w:val="auto"/>
          <w:sz w:val="24"/>
          <w:szCs w:val="24"/>
          <w:lang w:val="en-GB"/>
        </w:rPr>
        <w:t xml:space="preserve">the region can also be criticised for not </w:t>
      </w:r>
      <w:r w:rsidR="00365C2F" w:rsidRPr="00B41DB1">
        <w:rPr>
          <w:color w:val="auto"/>
          <w:sz w:val="24"/>
          <w:szCs w:val="24"/>
          <w:lang w:val="en-GB"/>
        </w:rPr>
        <w:t>doing enough to build up its own diplomatic and economic position.</w:t>
      </w:r>
      <w:r w:rsidR="00730C0A" w:rsidRPr="00B41DB1">
        <w:rPr>
          <w:color w:val="auto"/>
          <w:sz w:val="24"/>
          <w:szCs w:val="24"/>
          <w:lang w:val="en-GB"/>
        </w:rPr>
        <w:t xml:space="preserve"> </w:t>
      </w:r>
      <w:r w:rsidR="00365C2F" w:rsidRPr="00B41DB1">
        <w:rPr>
          <w:color w:val="auto"/>
          <w:sz w:val="24"/>
          <w:szCs w:val="24"/>
          <w:lang w:val="en-GB"/>
        </w:rPr>
        <w:t xml:space="preserve">Although the EPA will continue (largely because the EU is not </w:t>
      </w:r>
      <w:r w:rsidR="00A37157" w:rsidRPr="00B41DB1">
        <w:rPr>
          <w:color w:val="auto"/>
          <w:sz w:val="24"/>
          <w:szCs w:val="24"/>
          <w:lang w:val="en-GB"/>
        </w:rPr>
        <w:t>offering</w:t>
      </w:r>
      <w:r w:rsidR="00365C2F" w:rsidRPr="00B41DB1">
        <w:rPr>
          <w:color w:val="auto"/>
          <w:sz w:val="24"/>
          <w:szCs w:val="24"/>
          <w:lang w:val="en-GB"/>
        </w:rPr>
        <w:t xml:space="preserve"> a better alternative), the </w:t>
      </w:r>
      <w:r w:rsidR="00730C0A" w:rsidRPr="00B41DB1">
        <w:rPr>
          <w:color w:val="auto"/>
          <w:sz w:val="24"/>
          <w:szCs w:val="24"/>
          <w:lang w:val="en-GB"/>
        </w:rPr>
        <w:t>rationale for an ACP-wide post-</w:t>
      </w:r>
      <w:r w:rsidR="00EB1D80" w:rsidRPr="00B41DB1">
        <w:rPr>
          <w:color w:val="auto"/>
          <w:sz w:val="24"/>
          <w:szCs w:val="24"/>
          <w:lang w:val="en-GB"/>
        </w:rPr>
        <w:t xml:space="preserve">Cotonou agreement </w:t>
      </w:r>
      <w:r w:rsidR="001C0AB7" w:rsidRPr="00B41DB1">
        <w:rPr>
          <w:color w:val="auto"/>
          <w:sz w:val="24"/>
          <w:szCs w:val="24"/>
          <w:lang w:val="en-GB"/>
        </w:rPr>
        <w:t>is in doubt</w:t>
      </w:r>
      <w:r w:rsidR="00730C0A" w:rsidRPr="00B41DB1">
        <w:rPr>
          <w:color w:val="auto"/>
          <w:sz w:val="24"/>
          <w:szCs w:val="24"/>
          <w:lang w:val="en-GB"/>
        </w:rPr>
        <w:t xml:space="preserve"> and it is difficult to see at </w:t>
      </w:r>
      <w:r w:rsidR="00EB1D80" w:rsidRPr="00B41DB1">
        <w:rPr>
          <w:color w:val="auto"/>
          <w:sz w:val="24"/>
          <w:szCs w:val="24"/>
          <w:lang w:val="en-GB"/>
        </w:rPr>
        <w:t>the moment</w:t>
      </w:r>
      <w:r w:rsidR="00730C0A" w:rsidRPr="00B41DB1">
        <w:rPr>
          <w:color w:val="auto"/>
          <w:sz w:val="24"/>
          <w:szCs w:val="24"/>
          <w:lang w:val="en-GB"/>
        </w:rPr>
        <w:t xml:space="preserve"> where </w:t>
      </w:r>
      <w:r w:rsidR="001C0AB7" w:rsidRPr="00B41DB1">
        <w:rPr>
          <w:color w:val="auto"/>
          <w:sz w:val="24"/>
          <w:szCs w:val="24"/>
          <w:lang w:val="en-GB"/>
        </w:rPr>
        <w:t>the impetus will come for such a deal. For the EU</w:t>
      </w:r>
      <w:r w:rsidR="000D2F47" w:rsidRPr="00B41DB1">
        <w:rPr>
          <w:color w:val="auto"/>
          <w:sz w:val="24"/>
          <w:szCs w:val="24"/>
          <w:lang w:val="en-GB"/>
        </w:rPr>
        <w:t>,</w:t>
      </w:r>
      <w:r w:rsidR="001C0AB7" w:rsidRPr="00B41DB1">
        <w:rPr>
          <w:color w:val="auto"/>
          <w:sz w:val="24"/>
          <w:szCs w:val="24"/>
          <w:lang w:val="en-GB"/>
        </w:rPr>
        <w:t xml:space="preserve"> the Caribbean is a marginal interest, while the </w:t>
      </w:r>
      <w:r w:rsidR="003B7D85" w:rsidRPr="00B41DB1">
        <w:rPr>
          <w:color w:val="auto"/>
          <w:sz w:val="24"/>
          <w:szCs w:val="24"/>
          <w:lang w:val="en-GB"/>
        </w:rPr>
        <w:t>region</w:t>
      </w:r>
      <w:r w:rsidR="001C0AB7" w:rsidRPr="00B41DB1">
        <w:rPr>
          <w:color w:val="auto"/>
          <w:sz w:val="24"/>
          <w:szCs w:val="24"/>
          <w:lang w:val="en-GB"/>
        </w:rPr>
        <w:t xml:space="preserve"> </w:t>
      </w:r>
      <w:r w:rsidR="00A41977">
        <w:rPr>
          <w:color w:val="auto"/>
          <w:sz w:val="24"/>
          <w:szCs w:val="24"/>
          <w:lang w:val="en-GB"/>
        </w:rPr>
        <w:t xml:space="preserve">is now exploring new opportunities </w:t>
      </w:r>
      <w:r w:rsidR="001C0AB7" w:rsidRPr="00B41DB1">
        <w:rPr>
          <w:color w:val="auto"/>
          <w:sz w:val="24"/>
          <w:szCs w:val="24"/>
          <w:lang w:val="en-GB"/>
        </w:rPr>
        <w:t xml:space="preserve">with countries </w:t>
      </w:r>
      <w:r w:rsidR="00FA7111" w:rsidRPr="00B41DB1">
        <w:rPr>
          <w:color w:val="auto"/>
          <w:sz w:val="24"/>
          <w:szCs w:val="24"/>
          <w:lang w:val="en-GB"/>
        </w:rPr>
        <w:t>like</w:t>
      </w:r>
      <w:r w:rsidR="001C0AB7" w:rsidRPr="00B41DB1">
        <w:rPr>
          <w:color w:val="auto"/>
          <w:sz w:val="24"/>
          <w:szCs w:val="24"/>
          <w:lang w:val="en-GB"/>
        </w:rPr>
        <w:t xml:space="preserve"> Brazil, China and Venezuela. Vestiges of the old relationship will remain, but the </w:t>
      </w:r>
      <w:r w:rsidR="003B7D85" w:rsidRPr="00B41DB1">
        <w:rPr>
          <w:color w:val="auto"/>
          <w:sz w:val="24"/>
          <w:szCs w:val="24"/>
          <w:lang w:val="en-GB"/>
        </w:rPr>
        <w:t>Caribbean</w:t>
      </w:r>
      <w:r w:rsidR="001C0AB7" w:rsidRPr="00B41DB1">
        <w:rPr>
          <w:color w:val="auto"/>
          <w:sz w:val="24"/>
          <w:szCs w:val="24"/>
          <w:lang w:val="en-GB"/>
        </w:rPr>
        <w:t xml:space="preserve"> will </w:t>
      </w:r>
      <w:r w:rsidR="00B47D39" w:rsidRPr="00B41DB1">
        <w:rPr>
          <w:color w:val="auto"/>
          <w:sz w:val="24"/>
          <w:szCs w:val="24"/>
          <w:lang w:val="en-GB"/>
        </w:rPr>
        <w:t xml:space="preserve">likely </w:t>
      </w:r>
      <w:r w:rsidR="001C0AB7" w:rsidRPr="00B41DB1">
        <w:rPr>
          <w:color w:val="auto"/>
          <w:sz w:val="24"/>
          <w:szCs w:val="24"/>
          <w:lang w:val="en-GB"/>
        </w:rPr>
        <w:t xml:space="preserve">lose the final aspects of its particularism and will </w:t>
      </w:r>
      <w:r w:rsidR="004234EF" w:rsidRPr="00B41DB1">
        <w:rPr>
          <w:color w:val="auto"/>
          <w:sz w:val="24"/>
          <w:szCs w:val="24"/>
          <w:lang w:val="en-GB"/>
        </w:rPr>
        <w:t>be s</w:t>
      </w:r>
      <w:r w:rsidR="001C0AB7" w:rsidRPr="00B41DB1">
        <w:rPr>
          <w:color w:val="auto"/>
          <w:sz w:val="24"/>
          <w:szCs w:val="24"/>
          <w:lang w:val="en-GB"/>
        </w:rPr>
        <w:t xml:space="preserve">ubsumed into wider EU-Latin American </w:t>
      </w:r>
      <w:r w:rsidR="003B7D85" w:rsidRPr="00B41DB1">
        <w:rPr>
          <w:color w:val="auto"/>
          <w:sz w:val="24"/>
          <w:szCs w:val="24"/>
          <w:lang w:val="en-GB"/>
        </w:rPr>
        <w:t>structure</w:t>
      </w:r>
      <w:r w:rsidR="00365C2F" w:rsidRPr="00B41DB1">
        <w:rPr>
          <w:color w:val="auto"/>
          <w:sz w:val="24"/>
          <w:szCs w:val="24"/>
          <w:lang w:val="en-GB"/>
        </w:rPr>
        <w:t>s</w:t>
      </w:r>
      <w:r w:rsidR="00B51A86" w:rsidRPr="00B41DB1">
        <w:rPr>
          <w:color w:val="auto"/>
          <w:sz w:val="24"/>
          <w:szCs w:val="24"/>
          <w:lang w:val="en-GB"/>
        </w:rPr>
        <w:t>—</w:t>
      </w:r>
      <w:r w:rsidR="00365C2F" w:rsidRPr="00B41DB1">
        <w:rPr>
          <w:color w:val="auto"/>
          <w:sz w:val="24"/>
          <w:szCs w:val="24"/>
          <w:lang w:val="en-GB"/>
        </w:rPr>
        <w:t xml:space="preserve">a process which has already </w:t>
      </w:r>
      <w:r w:rsidR="00FA7111" w:rsidRPr="00B41DB1">
        <w:rPr>
          <w:color w:val="auto"/>
          <w:sz w:val="24"/>
          <w:szCs w:val="24"/>
          <w:lang w:val="en-GB"/>
        </w:rPr>
        <w:t>begun</w:t>
      </w:r>
      <w:r w:rsidR="003B7D85" w:rsidRPr="00B41DB1">
        <w:rPr>
          <w:color w:val="auto"/>
          <w:sz w:val="24"/>
          <w:szCs w:val="24"/>
          <w:lang w:val="en-GB"/>
        </w:rPr>
        <w:t xml:space="preserve">. </w:t>
      </w:r>
      <w:r w:rsidR="00A41977">
        <w:rPr>
          <w:color w:val="auto"/>
          <w:sz w:val="24"/>
          <w:szCs w:val="24"/>
          <w:lang w:val="en-GB"/>
        </w:rPr>
        <w:t xml:space="preserve">However, despite the antipathy on both sides, such </w:t>
      </w:r>
      <w:r w:rsidR="00A47102">
        <w:rPr>
          <w:color w:val="auto"/>
          <w:sz w:val="24"/>
          <w:szCs w:val="24"/>
          <w:lang w:val="en-GB"/>
        </w:rPr>
        <w:t xml:space="preserve">a development sits uneasily with the Commonwealth Caribbean, </w:t>
      </w:r>
      <w:r w:rsidR="00A41977">
        <w:rPr>
          <w:color w:val="auto"/>
          <w:sz w:val="24"/>
          <w:szCs w:val="24"/>
          <w:lang w:val="en-GB"/>
        </w:rPr>
        <w:t>because</w:t>
      </w:r>
      <w:r w:rsidR="00A47102">
        <w:rPr>
          <w:color w:val="auto"/>
          <w:sz w:val="24"/>
          <w:szCs w:val="24"/>
          <w:lang w:val="en-GB"/>
        </w:rPr>
        <w:t xml:space="preserve"> of their past strong links with the ACP. </w:t>
      </w:r>
      <w:r w:rsidR="00BF2D5D">
        <w:rPr>
          <w:color w:val="auto"/>
          <w:sz w:val="24"/>
          <w:szCs w:val="24"/>
          <w:lang w:val="en-GB"/>
        </w:rPr>
        <w:t>Ironically, it is the larger and more economically diverse Dominican Republic</w:t>
      </w:r>
      <w:r w:rsidR="00BF2D5D" w:rsidRPr="00B41DB1">
        <w:rPr>
          <w:color w:val="auto"/>
          <w:sz w:val="24"/>
          <w:szCs w:val="24"/>
          <w:lang w:val="en-GB"/>
        </w:rPr>
        <w:t>—</w:t>
      </w:r>
      <w:r w:rsidR="00BF2D5D">
        <w:rPr>
          <w:color w:val="auto"/>
          <w:sz w:val="24"/>
          <w:szCs w:val="24"/>
          <w:lang w:val="en-GB"/>
        </w:rPr>
        <w:t>a relative newcomer to the ACP Group but also with strong links to Central America</w:t>
      </w:r>
      <w:r w:rsidR="00BF2D5D" w:rsidRPr="00B41DB1">
        <w:rPr>
          <w:color w:val="auto"/>
          <w:sz w:val="24"/>
          <w:szCs w:val="24"/>
          <w:lang w:val="en-GB"/>
        </w:rPr>
        <w:t>—</w:t>
      </w:r>
      <w:r w:rsidR="00BF2D5D">
        <w:rPr>
          <w:color w:val="auto"/>
          <w:sz w:val="24"/>
          <w:szCs w:val="24"/>
          <w:lang w:val="en-GB"/>
        </w:rPr>
        <w:t xml:space="preserve">that will benefit most from both the EPA and the EU’s </w:t>
      </w:r>
      <w:r w:rsidR="007D5096">
        <w:rPr>
          <w:color w:val="auto"/>
          <w:sz w:val="24"/>
          <w:szCs w:val="24"/>
          <w:lang w:val="en-GB"/>
        </w:rPr>
        <w:t xml:space="preserve">more general emphasis on </w:t>
      </w:r>
      <w:r w:rsidR="00BF2D5D">
        <w:rPr>
          <w:color w:val="auto"/>
          <w:sz w:val="24"/>
          <w:szCs w:val="24"/>
          <w:lang w:val="en-GB"/>
        </w:rPr>
        <w:t>Latin America.</w:t>
      </w:r>
      <w:r w:rsidR="00DA3E64">
        <w:rPr>
          <w:color w:val="auto"/>
          <w:sz w:val="24"/>
          <w:szCs w:val="24"/>
          <w:lang w:val="en-GB"/>
        </w:rPr>
        <w:t xml:space="preserve"> </w:t>
      </w:r>
      <w:r w:rsidR="00BF2D5D">
        <w:rPr>
          <w:color w:val="auto"/>
          <w:sz w:val="24"/>
          <w:szCs w:val="24"/>
          <w:lang w:val="en-GB"/>
        </w:rPr>
        <w:t xml:space="preserve"> </w:t>
      </w:r>
      <w:r w:rsidR="00C9558F">
        <w:rPr>
          <w:color w:val="auto"/>
          <w:sz w:val="24"/>
          <w:szCs w:val="24"/>
          <w:lang w:val="en-GB"/>
        </w:rPr>
        <w:t xml:space="preserve">In relation to the </w:t>
      </w:r>
      <w:r w:rsidR="003B7D85" w:rsidRPr="00B41DB1">
        <w:rPr>
          <w:color w:val="auto"/>
          <w:sz w:val="24"/>
          <w:szCs w:val="24"/>
          <w:lang w:val="en-GB"/>
        </w:rPr>
        <w:t>UK</w:t>
      </w:r>
      <w:r w:rsidR="00FA7111" w:rsidRPr="00B41DB1">
        <w:rPr>
          <w:color w:val="auto"/>
          <w:sz w:val="24"/>
          <w:szCs w:val="24"/>
          <w:lang w:val="en-GB"/>
        </w:rPr>
        <w:t xml:space="preserve"> </w:t>
      </w:r>
      <w:r w:rsidR="003B7D85" w:rsidRPr="00B41DB1">
        <w:rPr>
          <w:color w:val="auto"/>
          <w:sz w:val="24"/>
          <w:szCs w:val="24"/>
          <w:lang w:val="en-GB"/>
        </w:rPr>
        <w:t xml:space="preserve">OCTs, </w:t>
      </w:r>
      <w:r w:rsidR="005F22F4" w:rsidRPr="00B41DB1">
        <w:rPr>
          <w:color w:val="auto"/>
          <w:sz w:val="24"/>
          <w:szCs w:val="24"/>
          <w:lang w:val="en-GB"/>
        </w:rPr>
        <w:t xml:space="preserve">though starting from a </w:t>
      </w:r>
      <w:r w:rsidR="004234EF" w:rsidRPr="00B41DB1">
        <w:rPr>
          <w:color w:val="auto"/>
          <w:sz w:val="24"/>
          <w:szCs w:val="24"/>
          <w:lang w:val="en-GB"/>
        </w:rPr>
        <w:t>sim</w:t>
      </w:r>
      <w:r w:rsidR="00FA7111" w:rsidRPr="00B41DB1">
        <w:rPr>
          <w:color w:val="auto"/>
          <w:sz w:val="24"/>
          <w:szCs w:val="24"/>
          <w:lang w:val="en-GB"/>
        </w:rPr>
        <w:t>ilar place as the ACP states,</w:t>
      </w:r>
      <w:r w:rsidR="004234EF" w:rsidRPr="00B41DB1">
        <w:rPr>
          <w:color w:val="auto"/>
          <w:sz w:val="24"/>
          <w:szCs w:val="24"/>
          <w:lang w:val="en-GB"/>
        </w:rPr>
        <w:t xml:space="preserve"> </w:t>
      </w:r>
      <w:r w:rsidR="005F22F4" w:rsidRPr="00B41DB1">
        <w:rPr>
          <w:color w:val="auto"/>
          <w:sz w:val="24"/>
          <w:szCs w:val="24"/>
          <w:lang w:val="en-GB"/>
        </w:rPr>
        <w:t>have through their ‘colonial’ links with the UK become more closely intertwined with Europe.</w:t>
      </w:r>
      <w:r w:rsidRPr="00B41DB1">
        <w:rPr>
          <w:color w:val="auto"/>
          <w:sz w:val="24"/>
          <w:szCs w:val="24"/>
          <w:lang w:val="en-GB"/>
        </w:rPr>
        <w:t xml:space="preserve"> </w:t>
      </w:r>
      <w:r w:rsidR="006107D5" w:rsidRPr="00B41DB1">
        <w:rPr>
          <w:color w:val="auto"/>
          <w:sz w:val="24"/>
          <w:szCs w:val="24"/>
          <w:lang w:val="en-GB"/>
        </w:rPr>
        <w:t xml:space="preserve">Being part of the EU, either directly or indirectly, has afforded a different approach to those outside of the Union. For as long as the OCTs remain tied to their metropolitan powers their relatively close relationship with the EU will be assured. However, the OCTs are small in number and in size, and they will </w:t>
      </w:r>
      <w:r w:rsidR="00824B79" w:rsidRPr="00B41DB1">
        <w:rPr>
          <w:color w:val="auto"/>
          <w:sz w:val="24"/>
          <w:szCs w:val="24"/>
          <w:lang w:val="en-GB"/>
        </w:rPr>
        <w:t>be unable</w:t>
      </w:r>
      <w:r w:rsidR="00B51A86" w:rsidRPr="00B41DB1">
        <w:rPr>
          <w:color w:val="auto"/>
          <w:sz w:val="24"/>
          <w:szCs w:val="24"/>
          <w:lang w:val="en-GB"/>
        </w:rPr>
        <w:t>—</w:t>
      </w:r>
      <w:r w:rsidR="00824B79" w:rsidRPr="00B41DB1">
        <w:rPr>
          <w:color w:val="auto"/>
          <w:sz w:val="24"/>
          <w:szCs w:val="24"/>
          <w:lang w:val="en-GB"/>
        </w:rPr>
        <w:t>even if the desire was there</w:t>
      </w:r>
      <w:r w:rsidR="00B51A86" w:rsidRPr="00B41DB1">
        <w:rPr>
          <w:color w:val="auto"/>
          <w:sz w:val="24"/>
          <w:szCs w:val="24"/>
          <w:lang w:val="en-GB"/>
        </w:rPr>
        <w:t>—</w:t>
      </w:r>
      <w:r w:rsidR="00824B79" w:rsidRPr="00B41DB1">
        <w:rPr>
          <w:color w:val="auto"/>
          <w:sz w:val="24"/>
          <w:szCs w:val="24"/>
          <w:lang w:val="en-GB"/>
        </w:rPr>
        <w:t xml:space="preserve">to help reboot or sustain the broader </w:t>
      </w:r>
      <w:r w:rsidR="00FA7111" w:rsidRPr="00B41DB1">
        <w:rPr>
          <w:color w:val="auto"/>
          <w:sz w:val="24"/>
          <w:szCs w:val="24"/>
          <w:lang w:val="en-GB"/>
        </w:rPr>
        <w:t xml:space="preserve">Commonwealth </w:t>
      </w:r>
      <w:r w:rsidR="00824B79" w:rsidRPr="00B41DB1">
        <w:rPr>
          <w:color w:val="auto"/>
          <w:sz w:val="24"/>
          <w:szCs w:val="24"/>
          <w:lang w:val="en-GB"/>
        </w:rPr>
        <w:t>Caribbean</w:t>
      </w:r>
      <w:r w:rsidR="00FA7111" w:rsidRPr="00B41DB1">
        <w:rPr>
          <w:color w:val="auto"/>
          <w:sz w:val="24"/>
          <w:szCs w:val="24"/>
          <w:lang w:val="en-GB"/>
        </w:rPr>
        <w:t xml:space="preserve"> – </w:t>
      </w:r>
      <w:r w:rsidR="00824B79" w:rsidRPr="00B41DB1">
        <w:rPr>
          <w:color w:val="auto"/>
          <w:sz w:val="24"/>
          <w:szCs w:val="24"/>
          <w:lang w:val="en-GB"/>
        </w:rPr>
        <w:t>EU relationship.</w:t>
      </w:r>
    </w:p>
    <w:p w14:paraId="32F3538A" w14:textId="77777777" w:rsidR="00A37157" w:rsidRPr="00B41DB1" w:rsidRDefault="00A37157" w:rsidP="000D2F47">
      <w:pPr>
        <w:pStyle w:val="SGML"/>
        <w:spacing w:after="0" w:line="480" w:lineRule="auto"/>
        <w:rPr>
          <w:b/>
          <w:color w:val="auto"/>
          <w:sz w:val="24"/>
          <w:szCs w:val="24"/>
          <w:lang w:val="en-GB"/>
        </w:rPr>
      </w:pPr>
    </w:p>
    <w:p w14:paraId="3BD893D9" w14:textId="77777777" w:rsidR="003B7D85" w:rsidRPr="00B41DB1" w:rsidRDefault="003B7D85" w:rsidP="000D2F47">
      <w:pPr>
        <w:pStyle w:val="SGML"/>
        <w:spacing w:after="0" w:line="480" w:lineRule="auto"/>
        <w:rPr>
          <w:b/>
          <w:color w:val="auto"/>
          <w:sz w:val="24"/>
          <w:szCs w:val="24"/>
          <w:lang w:val="en-GB"/>
        </w:rPr>
      </w:pPr>
      <w:r w:rsidRPr="00B41DB1">
        <w:rPr>
          <w:b/>
          <w:color w:val="auto"/>
          <w:sz w:val="24"/>
          <w:szCs w:val="24"/>
          <w:lang w:val="en-GB"/>
        </w:rPr>
        <w:t>References</w:t>
      </w:r>
    </w:p>
    <w:p w14:paraId="7EACC6F1" w14:textId="02B85C87" w:rsidR="005A055A" w:rsidRPr="00B41DB1" w:rsidRDefault="005A055A"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lastRenderedPageBreak/>
        <w:t>ACP Press (2012) ACP preferences to erode as EU trade with third countries thrive, 30 October, http://www.acp.int/content/acp-preferences-erode-eu-trade-third-countries-thrive, accessed 15 June 2014.</w:t>
      </w:r>
    </w:p>
    <w:p w14:paraId="455906F5" w14:textId="75C2654E" w:rsidR="004B4AF8" w:rsidRPr="00B41DB1" w:rsidRDefault="00033B41" w:rsidP="000D2F47">
      <w:pPr>
        <w:spacing w:after="0" w:line="480" w:lineRule="auto"/>
        <w:rPr>
          <w:rFonts w:ascii="Times New Roman" w:eastAsia="Times New Roman" w:hAnsi="Times New Roman" w:cs="Times New Roman"/>
          <w:sz w:val="24"/>
          <w:szCs w:val="24"/>
          <w:lang w:val="en-GB" w:eastAsia="en-GB"/>
        </w:rPr>
      </w:pPr>
      <w:r w:rsidRPr="00B41DB1">
        <w:rPr>
          <w:rFonts w:ascii="Times New Roman" w:hAnsi="Times New Roman" w:cs="Times New Roman"/>
          <w:sz w:val="24"/>
          <w:szCs w:val="24"/>
          <w:lang w:val="en-GB"/>
        </w:rPr>
        <w:t xml:space="preserve">Anania, G. (2010) </w:t>
      </w:r>
      <w:r w:rsidR="00B51A86" w:rsidRPr="00B41DB1">
        <w:rPr>
          <w:rFonts w:ascii="Times New Roman" w:hAnsi="Times New Roman" w:cs="Times New Roman"/>
          <w:i/>
          <w:sz w:val="24"/>
          <w:szCs w:val="24"/>
          <w:lang w:val="en-GB"/>
        </w:rPr>
        <w:t>The I</w:t>
      </w:r>
      <w:r w:rsidRPr="00B41DB1">
        <w:rPr>
          <w:rFonts w:ascii="Times New Roman" w:hAnsi="Times New Roman" w:cs="Times New Roman"/>
          <w:i/>
          <w:sz w:val="24"/>
          <w:szCs w:val="24"/>
          <w:lang w:val="en-GB"/>
        </w:rPr>
        <w:t xml:space="preserve">mplications for </w:t>
      </w:r>
      <w:r w:rsidR="00B51A86" w:rsidRPr="00B41DB1">
        <w:rPr>
          <w:rFonts w:ascii="Times New Roman" w:hAnsi="Times New Roman" w:cs="Times New Roman"/>
          <w:i/>
          <w:sz w:val="24"/>
          <w:szCs w:val="24"/>
          <w:lang w:val="en-GB"/>
        </w:rPr>
        <w:t>B</w:t>
      </w:r>
      <w:r w:rsidRPr="00B41DB1">
        <w:rPr>
          <w:rFonts w:ascii="Times New Roman" w:hAnsi="Times New Roman" w:cs="Times New Roman"/>
          <w:i/>
          <w:sz w:val="24"/>
          <w:szCs w:val="24"/>
          <w:lang w:val="en-GB"/>
        </w:rPr>
        <w:t xml:space="preserve">ananas of the </w:t>
      </w:r>
      <w:r w:rsidR="00B51A86" w:rsidRPr="00B41DB1">
        <w:rPr>
          <w:rFonts w:ascii="Times New Roman" w:hAnsi="Times New Roman" w:cs="Times New Roman"/>
          <w:i/>
          <w:sz w:val="24"/>
          <w:szCs w:val="24"/>
          <w:lang w:val="en-GB"/>
        </w:rPr>
        <w:t>R</w:t>
      </w:r>
      <w:r w:rsidRPr="00B41DB1">
        <w:rPr>
          <w:rFonts w:ascii="Times New Roman" w:hAnsi="Times New Roman" w:cs="Times New Roman"/>
          <w:i/>
          <w:sz w:val="24"/>
          <w:szCs w:val="24"/>
          <w:lang w:val="en-GB"/>
        </w:rPr>
        <w:t xml:space="preserve">ecent </w:t>
      </w:r>
      <w:r w:rsidR="00B51A86" w:rsidRPr="00B41DB1">
        <w:rPr>
          <w:rFonts w:ascii="Times New Roman" w:hAnsi="Times New Roman" w:cs="Times New Roman"/>
          <w:i/>
          <w:sz w:val="24"/>
          <w:szCs w:val="24"/>
          <w:lang w:val="en-GB"/>
        </w:rPr>
        <w:t>T</w:t>
      </w:r>
      <w:r w:rsidRPr="00B41DB1">
        <w:rPr>
          <w:rFonts w:ascii="Times New Roman" w:hAnsi="Times New Roman" w:cs="Times New Roman"/>
          <w:i/>
          <w:sz w:val="24"/>
          <w:szCs w:val="24"/>
          <w:lang w:val="en-GB"/>
        </w:rPr>
        <w:t xml:space="preserve">rade </w:t>
      </w:r>
      <w:r w:rsidR="00B51A86" w:rsidRPr="00B41DB1">
        <w:rPr>
          <w:rFonts w:ascii="Times New Roman" w:hAnsi="Times New Roman" w:cs="Times New Roman"/>
          <w:i/>
          <w:sz w:val="24"/>
          <w:szCs w:val="24"/>
          <w:lang w:val="en-GB"/>
        </w:rPr>
        <w:t>A</w:t>
      </w:r>
      <w:r w:rsidRPr="00B41DB1">
        <w:rPr>
          <w:rFonts w:ascii="Times New Roman" w:hAnsi="Times New Roman" w:cs="Times New Roman"/>
          <w:i/>
          <w:sz w:val="24"/>
          <w:szCs w:val="24"/>
          <w:lang w:val="en-GB"/>
        </w:rPr>
        <w:t xml:space="preserve">greements between the EU and Andean and Central American </w:t>
      </w:r>
      <w:r w:rsidR="00B51A86" w:rsidRPr="00B41DB1">
        <w:rPr>
          <w:rFonts w:ascii="Times New Roman" w:hAnsi="Times New Roman" w:cs="Times New Roman"/>
          <w:i/>
          <w:sz w:val="24"/>
          <w:szCs w:val="24"/>
          <w:lang w:val="en-GB"/>
        </w:rPr>
        <w:t>C</w:t>
      </w:r>
      <w:r w:rsidRPr="00B41DB1">
        <w:rPr>
          <w:rFonts w:ascii="Times New Roman" w:hAnsi="Times New Roman" w:cs="Times New Roman"/>
          <w:i/>
          <w:sz w:val="24"/>
          <w:szCs w:val="24"/>
          <w:lang w:val="en-GB"/>
        </w:rPr>
        <w:t>ountries</w:t>
      </w:r>
      <w:r w:rsidRPr="00B41DB1">
        <w:rPr>
          <w:rFonts w:ascii="Times New Roman" w:hAnsi="Times New Roman" w:cs="Times New Roman"/>
          <w:sz w:val="24"/>
          <w:szCs w:val="24"/>
          <w:lang w:val="en-GB"/>
        </w:rPr>
        <w:t xml:space="preserve">, </w:t>
      </w:r>
      <w:r w:rsidR="004B4AF8" w:rsidRPr="00B41DB1">
        <w:rPr>
          <w:rFonts w:ascii="Times New Roman" w:hAnsi="Times New Roman" w:cs="Times New Roman"/>
          <w:sz w:val="24"/>
          <w:szCs w:val="24"/>
          <w:lang w:val="en-GB"/>
        </w:rPr>
        <w:t xml:space="preserve">International Centre for Trade and Sustainable Development, </w:t>
      </w:r>
      <w:r w:rsidRPr="00B41DB1">
        <w:rPr>
          <w:rFonts w:ascii="Times New Roman" w:hAnsi="Times New Roman" w:cs="Times New Roman"/>
          <w:sz w:val="24"/>
          <w:szCs w:val="24"/>
          <w:lang w:val="en-GB"/>
        </w:rPr>
        <w:t xml:space="preserve">Policy Brief 5, September, </w:t>
      </w:r>
      <w:r w:rsidR="004B4AF8" w:rsidRPr="00B41DB1">
        <w:rPr>
          <w:rFonts w:ascii="Times New Roman" w:eastAsia="Times New Roman" w:hAnsi="Times New Roman" w:cs="Times New Roman"/>
          <w:sz w:val="24"/>
          <w:szCs w:val="24"/>
          <w:lang w:val="en-GB" w:eastAsia="en-GB"/>
        </w:rPr>
        <w:t>http://www.ictsd.org/themes/agriculture/the-implications-for-bananas-of-the-recent-trade-agreements-between-the-eu-and, accessed 14 June 2014.</w:t>
      </w:r>
    </w:p>
    <w:p w14:paraId="76D64A43" w14:textId="07539B4D" w:rsidR="00645DAE" w:rsidRDefault="00645DAE" w:rsidP="000D2F47">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BBC Caribbean.com (2008) EPA: Caribbean still divided on treaty, 27 June, </w:t>
      </w:r>
      <w:r w:rsidRPr="00645DAE">
        <w:rPr>
          <w:rFonts w:ascii="Times New Roman" w:hAnsi="Times New Roman" w:cs="Times New Roman"/>
          <w:sz w:val="24"/>
          <w:szCs w:val="24"/>
          <w:lang w:val="en-GB"/>
        </w:rPr>
        <w:t>http://www.bbc.co.uk/caribbean/news/story/2008/06/080627_jagdeoepa.shtml</w:t>
      </w:r>
      <w:r>
        <w:rPr>
          <w:rFonts w:ascii="Times New Roman" w:hAnsi="Times New Roman" w:cs="Times New Roman"/>
          <w:sz w:val="24"/>
          <w:szCs w:val="24"/>
          <w:lang w:val="en-GB"/>
        </w:rPr>
        <w:t>, accessed 5 May 2015.</w:t>
      </w:r>
    </w:p>
    <w:p w14:paraId="036CC524" w14:textId="219C02D3" w:rsidR="00B37FAF" w:rsidRPr="00B41DB1" w:rsidRDefault="00B37FAF" w:rsidP="000D2F47">
      <w:pPr>
        <w:spacing w:after="0" w:line="480" w:lineRule="auto"/>
        <w:rPr>
          <w:rFonts w:ascii="Times New Roman" w:hAnsi="Times New Roman" w:cs="Times New Roman"/>
          <w:sz w:val="24"/>
          <w:szCs w:val="24"/>
          <w:lang w:val="en-GB"/>
        </w:rPr>
      </w:pPr>
      <w:r w:rsidRPr="00B41DB1">
        <w:rPr>
          <w:rFonts w:ascii="Times New Roman" w:hAnsi="Times New Roman" w:cs="Times New Roman"/>
          <w:sz w:val="24"/>
          <w:szCs w:val="24"/>
          <w:lang w:val="en-GB"/>
        </w:rPr>
        <w:t xml:space="preserve">Cantore, N., Kennan, </w:t>
      </w:r>
      <w:r w:rsidR="006D4396" w:rsidRPr="00B41DB1">
        <w:rPr>
          <w:rFonts w:ascii="Times New Roman" w:hAnsi="Times New Roman" w:cs="Times New Roman"/>
          <w:sz w:val="24"/>
          <w:szCs w:val="24"/>
          <w:lang w:val="en-GB"/>
        </w:rPr>
        <w:t>J. and</w:t>
      </w:r>
      <w:r w:rsidR="000D2F47"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Willem te Velde</w:t>
      </w:r>
      <w:r w:rsidR="000D2F47" w:rsidRPr="00B41DB1">
        <w:rPr>
          <w:rFonts w:ascii="Times New Roman" w:hAnsi="Times New Roman" w:cs="Times New Roman"/>
          <w:sz w:val="24"/>
          <w:szCs w:val="24"/>
          <w:lang w:val="en-GB"/>
        </w:rPr>
        <w:t>, D.</w:t>
      </w:r>
      <w:r w:rsidRPr="00B41DB1">
        <w:rPr>
          <w:rFonts w:ascii="Times New Roman" w:hAnsi="Times New Roman" w:cs="Times New Roman"/>
          <w:sz w:val="24"/>
          <w:szCs w:val="24"/>
          <w:lang w:val="en-GB"/>
        </w:rPr>
        <w:t xml:space="preserve"> (2012) </w:t>
      </w:r>
      <w:r w:rsidRPr="00B41DB1">
        <w:rPr>
          <w:rFonts w:ascii="Times New Roman" w:hAnsi="Times New Roman" w:cs="Times New Roman"/>
          <w:i/>
          <w:sz w:val="24"/>
          <w:szCs w:val="24"/>
          <w:lang w:val="en-GB"/>
        </w:rPr>
        <w:t>The Impact of EU Bilateral Trade Agreements with Third countries on the Caribbean Rum Sector</w:t>
      </w:r>
      <w:r w:rsidR="000D2F47" w:rsidRPr="00B41DB1">
        <w:rPr>
          <w:rFonts w:ascii="Times New Roman" w:hAnsi="Times New Roman" w:cs="Times New Roman"/>
          <w:sz w:val="24"/>
          <w:szCs w:val="24"/>
          <w:lang w:val="en-GB"/>
        </w:rPr>
        <w:t>. London:</w:t>
      </w:r>
      <w:r w:rsidR="005A168E" w:rsidRPr="00B41DB1">
        <w:rPr>
          <w:rFonts w:ascii="Times New Roman" w:hAnsi="Times New Roman" w:cs="Times New Roman"/>
          <w:sz w:val="24"/>
          <w:szCs w:val="24"/>
          <w:lang w:val="en-GB"/>
        </w:rPr>
        <w:t xml:space="preserve"> </w:t>
      </w:r>
      <w:r w:rsidRPr="00B41DB1">
        <w:rPr>
          <w:rFonts w:ascii="Times New Roman" w:hAnsi="Times New Roman" w:cs="Times New Roman"/>
          <w:sz w:val="24"/>
          <w:szCs w:val="24"/>
          <w:lang w:val="en-GB"/>
        </w:rPr>
        <w:t>Commonwealth Secretariat/Oversea</w:t>
      </w:r>
      <w:r w:rsidR="000D2F47" w:rsidRPr="00B41DB1">
        <w:rPr>
          <w:rFonts w:ascii="Times New Roman" w:hAnsi="Times New Roman" w:cs="Times New Roman"/>
          <w:sz w:val="24"/>
          <w:szCs w:val="24"/>
          <w:lang w:val="en-GB"/>
        </w:rPr>
        <w:t>s Development Institute</w:t>
      </w:r>
      <w:r w:rsidRPr="00B41DB1">
        <w:rPr>
          <w:rFonts w:ascii="Times New Roman" w:hAnsi="Times New Roman" w:cs="Times New Roman"/>
          <w:sz w:val="24"/>
          <w:szCs w:val="24"/>
          <w:lang w:val="en-GB"/>
        </w:rPr>
        <w:t>.</w:t>
      </w:r>
    </w:p>
    <w:p w14:paraId="3F242810" w14:textId="76B94999" w:rsidR="00663700" w:rsidRDefault="00663700" w:rsidP="000D2F47">
      <w:pPr>
        <w:pStyle w:val="SGML"/>
        <w:spacing w:after="0" w:line="480" w:lineRule="auto"/>
        <w:rPr>
          <w:color w:val="auto"/>
          <w:sz w:val="24"/>
          <w:szCs w:val="24"/>
          <w:lang w:val="en-GB"/>
        </w:rPr>
      </w:pPr>
      <w:r>
        <w:rPr>
          <w:color w:val="auto"/>
          <w:sz w:val="24"/>
          <w:szCs w:val="24"/>
          <w:lang w:val="en-GB"/>
        </w:rPr>
        <w:t>CARICOM Secretariat (2007) Press Release: CARIFORUM/EU EPA can be a world leader. Georgetown, Guyana.</w:t>
      </w:r>
    </w:p>
    <w:p w14:paraId="7ED3AB46" w14:textId="30259DEF" w:rsidR="00B17D97" w:rsidRPr="00B41DB1" w:rsidRDefault="00B17D97" w:rsidP="000D2F47">
      <w:pPr>
        <w:pStyle w:val="SGML"/>
        <w:spacing w:after="0" w:line="480" w:lineRule="auto"/>
        <w:rPr>
          <w:color w:val="auto"/>
          <w:sz w:val="24"/>
          <w:szCs w:val="24"/>
          <w:lang w:val="en-GB"/>
        </w:rPr>
      </w:pPr>
      <w:r w:rsidRPr="00B41DB1">
        <w:rPr>
          <w:color w:val="auto"/>
          <w:sz w:val="24"/>
          <w:szCs w:val="24"/>
          <w:lang w:val="en-GB"/>
        </w:rPr>
        <w:t>Commission of the European Communities (2009) Elements for a new partnership between the EU and the Overseas Countries and Territories (OCTs), Brussels, 6.11.2009 (COM) 2009 623 final.</w:t>
      </w:r>
    </w:p>
    <w:p w14:paraId="195E9B49" w14:textId="68706A39" w:rsidR="00A74228" w:rsidRPr="00B41DB1" w:rsidRDefault="00A74228" w:rsidP="000D2F47">
      <w:pPr>
        <w:pStyle w:val="SGML"/>
        <w:spacing w:after="0" w:line="480" w:lineRule="auto"/>
        <w:rPr>
          <w:color w:val="auto"/>
          <w:sz w:val="24"/>
          <w:szCs w:val="24"/>
          <w:lang w:val="en-GB"/>
        </w:rPr>
      </w:pPr>
      <w:r w:rsidRPr="00B41DB1">
        <w:rPr>
          <w:color w:val="auto"/>
          <w:sz w:val="24"/>
          <w:szCs w:val="24"/>
          <w:lang w:val="en-GB"/>
        </w:rPr>
        <w:t>Council of the European Union (2012) Council Conclusions on the Joint Caribbean-EU Partnership Strategy, Brussels, 19 November, www.consilium.europa.eu/uedocs/cms_Data/docs/pressdata/EN/foraff/133566.pdf, accessed 18 August 2013.</w:t>
      </w:r>
    </w:p>
    <w:p w14:paraId="5D7806ED" w14:textId="3BA80378" w:rsidR="00EA4617" w:rsidRPr="00B41DB1" w:rsidRDefault="00EA4617" w:rsidP="000D2F47">
      <w:pPr>
        <w:pStyle w:val="SGML"/>
        <w:spacing w:after="0" w:line="480" w:lineRule="auto"/>
        <w:rPr>
          <w:color w:val="auto"/>
          <w:sz w:val="24"/>
          <w:szCs w:val="24"/>
          <w:lang w:val="en-GB"/>
        </w:rPr>
      </w:pPr>
      <w:r w:rsidRPr="00B41DB1">
        <w:rPr>
          <w:color w:val="auto"/>
          <w:sz w:val="24"/>
          <w:szCs w:val="24"/>
          <w:lang w:val="en-GB"/>
        </w:rPr>
        <w:lastRenderedPageBreak/>
        <w:t xml:space="preserve">Council of the European Union (2013) Council Decision 2013/755/EU of 25 November 2013 on the association of the overseas countries and territories with the European Union (‘Overseas Association Decision’), </w:t>
      </w:r>
      <w:r w:rsidRPr="00B41DB1">
        <w:rPr>
          <w:i/>
          <w:color w:val="auto"/>
          <w:sz w:val="24"/>
          <w:szCs w:val="24"/>
          <w:lang w:val="en-GB"/>
        </w:rPr>
        <w:t>Official Journal of the European Union</w:t>
      </w:r>
      <w:r w:rsidRPr="00B41DB1">
        <w:rPr>
          <w:color w:val="auto"/>
          <w:sz w:val="24"/>
          <w:szCs w:val="24"/>
          <w:lang w:val="en-GB"/>
        </w:rPr>
        <w:t>, Brussels, 19.12.2003, L344/1.</w:t>
      </w:r>
    </w:p>
    <w:p w14:paraId="23D3A102" w14:textId="3799E89D" w:rsidR="004D5A93" w:rsidRPr="00B41DB1" w:rsidRDefault="004D5A93" w:rsidP="000D2F47">
      <w:pPr>
        <w:pStyle w:val="SGML"/>
        <w:spacing w:after="0" w:line="480" w:lineRule="auto"/>
        <w:rPr>
          <w:color w:val="auto"/>
          <w:sz w:val="24"/>
          <w:szCs w:val="24"/>
          <w:lang w:val="en-GB"/>
        </w:rPr>
      </w:pPr>
      <w:r w:rsidRPr="00B41DB1">
        <w:rPr>
          <w:color w:val="auto"/>
          <w:sz w:val="24"/>
          <w:szCs w:val="24"/>
          <w:lang w:val="en-GB"/>
        </w:rPr>
        <w:t>Dunlop, A. (1999) What Future for Lomé’s Commodity Protocols?, ECDPM-CCE, June, ecdpm.org/.../DP-5-What-Future-For-Lomes-Commodity-Protocols-1999.pdf, accessed 20 June 2014.</w:t>
      </w:r>
    </w:p>
    <w:p w14:paraId="08D48885" w14:textId="182E976E" w:rsidR="00000EAF" w:rsidRPr="00B41DB1" w:rsidRDefault="00000EAF" w:rsidP="000D2F47">
      <w:pPr>
        <w:pStyle w:val="SGML"/>
        <w:spacing w:after="0" w:line="480" w:lineRule="auto"/>
        <w:rPr>
          <w:color w:val="auto"/>
          <w:sz w:val="24"/>
          <w:szCs w:val="24"/>
          <w:lang w:val="en-GB"/>
        </w:rPr>
      </w:pPr>
      <w:r w:rsidRPr="00B41DB1">
        <w:rPr>
          <w:color w:val="auto"/>
          <w:sz w:val="24"/>
          <w:szCs w:val="24"/>
          <w:lang w:val="en-GB"/>
        </w:rPr>
        <w:t xml:space="preserve">European Commission (2002) </w:t>
      </w:r>
      <w:r w:rsidRPr="00B41DB1">
        <w:rPr>
          <w:i/>
          <w:color w:val="auto"/>
          <w:sz w:val="24"/>
          <w:szCs w:val="24"/>
          <w:lang w:val="en-GB"/>
        </w:rPr>
        <w:t>The Ca</w:t>
      </w:r>
      <w:r w:rsidR="00B51A86" w:rsidRPr="00B41DB1">
        <w:rPr>
          <w:i/>
          <w:color w:val="auto"/>
          <w:sz w:val="24"/>
          <w:szCs w:val="24"/>
          <w:lang w:val="en-GB"/>
        </w:rPr>
        <w:t>ribbean and the European Union</w:t>
      </w:r>
      <w:r w:rsidR="00B51A86" w:rsidRPr="00B41DB1">
        <w:rPr>
          <w:color w:val="auto"/>
          <w:sz w:val="24"/>
          <w:szCs w:val="24"/>
          <w:lang w:val="en-GB"/>
        </w:rPr>
        <w:t xml:space="preserve">. </w:t>
      </w:r>
      <w:r w:rsidR="000D2F47" w:rsidRPr="00B41DB1">
        <w:rPr>
          <w:color w:val="auto"/>
          <w:sz w:val="24"/>
          <w:szCs w:val="24"/>
          <w:lang w:val="en-GB"/>
        </w:rPr>
        <w:t>Luxembourg:</w:t>
      </w:r>
      <w:r w:rsidR="00D52262" w:rsidRPr="00B41DB1">
        <w:rPr>
          <w:color w:val="auto"/>
          <w:sz w:val="24"/>
          <w:szCs w:val="24"/>
          <w:lang w:val="en-GB"/>
        </w:rPr>
        <w:t xml:space="preserve"> </w:t>
      </w:r>
      <w:r w:rsidRPr="00B41DB1">
        <w:rPr>
          <w:color w:val="auto"/>
          <w:sz w:val="24"/>
          <w:szCs w:val="24"/>
          <w:lang w:val="en-GB"/>
        </w:rPr>
        <w:t xml:space="preserve">Office for the Official Publications of the </w:t>
      </w:r>
      <w:r w:rsidR="00D52262" w:rsidRPr="00B41DB1">
        <w:rPr>
          <w:color w:val="auto"/>
          <w:sz w:val="24"/>
          <w:szCs w:val="24"/>
          <w:lang w:val="en-GB"/>
        </w:rPr>
        <w:t>European Comm</w:t>
      </w:r>
      <w:r w:rsidR="00B51A86" w:rsidRPr="00B41DB1">
        <w:rPr>
          <w:color w:val="auto"/>
          <w:sz w:val="24"/>
          <w:szCs w:val="24"/>
          <w:lang w:val="en-GB"/>
        </w:rPr>
        <w:t>unities</w:t>
      </w:r>
      <w:r w:rsidRPr="00B41DB1">
        <w:rPr>
          <w:color w:val="auto"/>
          <w:sz w:val="24"/>
          <w:szCs w:val="24"/>
          <w:lang w:val="en-GB"/>
        </w:rPr>
        <w:t>.</w:t>
      </w:r>
    </w:p>
    <w:p w14:paraId="5C861208" w14:textId="030F3815" w:rsidR="003C573E" w:rsidRPr="00B41DB1" w:rsidRDefault="003C573E" w:rsidP="000D2F47">
      <w:pPr>
        <w:pStyle w:val="SGML"/>
        <w:spacing w:after="0" w:line="480" w:lineRule="auto"/>
        <w:rPr>
          <w:color w:val="auto"/>
          <w:sz w:val="24"/>
          <w:szCs w:val="24"/>
          <w:lang w:val="en-GB"/>
        </w:rPr>
      </w:pPr>
      <w:r w:rsidRPr="00B41DB1">
        <w:rPr>
          <w:color w:val="auto"/>
          <w:sz w:val="24"/>
          <w:szCs w:val="24"/>
          <w:lang w:val="en-GB"/>
        </w:rPr>
        <w:t xml:space="preserve">Flint, A. (2008) </w:t>
      </w:r>
      <w:r w:rsidRPr="00B41DB1">
        <w:rPr>
          <w:i/>
          <w:color w:val="auto"/>
          <w:sz w:val="24"/>
          <w:szCs w:val="24"/>
          <w:lang w:val="en-GB"/>
        </w:rPr>
        <w:t>Trade, Poverty and the Environment: The EU, Cotonou and the African-Caribbean-Pacific Bloc</w:t>
      </w:r>
      <w:r w:rsidR="00B51A86" w:rsidRPr="00B41DB1">
        <w:rPr>
          <w:color w:val="auto"/>
          <w:sz w:val="24"/>
          <w:szCs w:val="24"/>
          <w:lang w:val="en-GB"/>
        </w:rPr>
        <w:t xml:space="preserve">. </w:t>
      </w:r>
      <w:r w:rsidR="0043183B" w:rsidRPr="00B41DB1">
        <w:rPr>
          <w:color w:val="auto"/>
          <w:sz w:val="24"/>
          <w:szCs w:val="24"/>
          <w:lang w:val="en-GB"/>
        </w:rPr>
        <w:t>Basingstoke: Palgrave Macmillan</w:t>
      </w:r>
      <w:r w:rsidRPr="00B41DB1">
        <w:rPr>
          <w:color w:val="auto"/>
          <w:sz w:val="24"/>
          <w:szCs w:val="24"/>
          <w:lang w:val="en-GB"/>
        </w:rPr>
        <w:t>.</w:t>
      </w:r>
    </w:p>
    <w:p w14:paraId="1E6EB432" w14:textId="77777777" w:rsidR="009B26E0" w:rsidRPr="00B41DB1" w:rsidRDefault="009B26E0" w:rsidP="000D2F47">
      <w:pPr>
        <w:pStyle w:val="SGML"/>
        <w:spacing w:after="0" w:line="480" w:lineRule="auto"/>
        <w:rPr>
          <w:color w:val="auto"/>
          <w:sz w:val="24"/>
          <w:szCs w:val="24"/>
          <w:lang w:val="en-GB"/>
        </w:rPr>
      </w:pPr>
      <w:r w:rsidRPr="00B41DB1">
        <w:rPr>
          <w:color w:val="auto"/>
          <w:sz w:val="24"/>
          <w:szCs w:val="24"/>
          <w:lang w:val="en-GB"/>
        </w:rPr>
        <w:t>Girvan, N. (2008) Implications of the Cariforum-EC EPA, www.normangirvan.info/wp-content/uploads/2008/08/girvanimplicationsepa21jan.pdf, accessed 17 September 2009.</w:t>
      </w:r>
    </w:p>
    <w:p w14:paraId="18039C3C" w14:textId="73E7606E" w:rsidR="009B26E0" w:rsidRPr="00B41DB1" w:rsidRDefault="009B26E0" w:rsidP="000D2F47">
      <w:pPr>
        <w:pStyle w:val="SGML"/>
        <w:spacing w:after="0" w:line="480" w:lineRule="auto"/>
        <w:rPr>
          <w:color w:val="auto"/>
          <w:sz w:val="24"/>
          <w:szCs w:val="24"/>
          <w:lang w:val="en-GB"/>
        </w:rPr>
      </w:pPr>
      <w:r w:rsidRPr="00B41DB1">
        <w:rPr>
          <w:color w:val="auto"/>
          <w:sz w:val="24"/>
          <w:szCs w:val="24"/>
          <w:lang w:val="en-GB"/>
        </w:rPr>
        <w:t xml:space="preserve">Girvan, N. (2010) Technification, sweetification, treatyfication: Politics of the Caribbean-EU Economic Partnership Agreement, </w:t>
      </w:r>
      <w:r w:rsidRPr="00B41DB1">
        <w:rPr>
          <w:i/>
          <w:color w:val="auto"/>
          <w:sz w:val="24"/>
          <w:szCs w:val="24"/>
          <w:lang w:val="en-GB"/>
        </w:rPr>
        <w:t>Interventions – International Journal of Postcolonial Studies</w:t>
      </w:r>
      <w:r w:rsidR="000D2F47" w:rsidRPr="00B41DB1">
        <w:rPr>
          <w:color w:val="auto"/>
          <w:sz w:val="24"/>
          <w:szCs w:val="24"/>
          <w:lang w:val="en-GB"/>
        </w:rPr>
        <w:t>, 12:1</w:t>
      </w:r>
      <w:r w:rsidRPr="00B41DB1">
        <w:rPr>
          <w:color w:val="auto"/>
          <w:sz w:val="24"/>
          <w:szCs w:val="24"/>
          <w:lang w:val="en-GB"/>
        </w:rPr>
        <w:t xml:space="preserve">, </w:t>
      </w:r>
      <w:r w:rsidR="00F40D37" w:rsidRPr="00B41DB1">
        <w:rPr>
          <w:color w:val="auto"/>
          <w:sz w:val="24"/>
          <w:szCs w:val="24"/>
          <w:lang w:val="en-GB"/>
        </w:rPr>
        <w:t xml:space="preserve">pp. </w:t>
      </w:r>
      <w:r w:rsidRPr="00B41DB1">
        <w:rPr>
          <w:color w:val="auto"/>
          <w:sz w:val="24"/>
          <w:szCs w:val="24"/>
          <w:lang w:val="en-GB"/>
        </w:rPr>
        <w:t>100-111.</w:t>
      </w:r>
    </w:p>
    <w:p w14:paraId="5D8D7ADE" w14:textId="77777777" w:rsidR="00A235A2" w:rsidRPr="00B41DB1" w:rsidRDefault="00A235A2" w:rsidP="000D2F47">
      <w:pPr>
        <w:pStyle w:val="SGML"/>
        <w:spacing w:after="0" w:line="480" w:lineRule="auto"/>
        <w:rPr>
          <w:color w:val="auto"/>
          <w:sz w:val="24"/>
          <w:szCs w:val="24"/>
          <w:lang w:val="en-GB"/>
        </w:rPr>
      </w:pPr>
      <w:r w:rsidRPr="00B41DB1">
        <w:rPr>
          <w:color w:val="auto"/>
          <w:sz w:val="24"/>
          <w:szCs w:val="24"/>
          <w:lang w:val="en-GB"/>
        </w:rPr>
        <w:t xml:space="preserve">Gonzales, A. (1997) The future of the EU-Caribbean Links, </w:t>
      </w:r>
      <w:r w:rsidRPr="00B41DB1">
        <w:rPr>
          <w:i/>
          <w:color w:val="auto"/>
          <w:sz w:val="24"/>
          <w:szCs w:val="24"/>
          <w:lang w:val="en-GB"/>
        </w:rPr>
        <w:t>The Courier</w:t>
      </w:r>
      <w:r w:rsidRPr="00B41DB1">
        <w:rPr>
          <w:color w:val="auto"/>
          <w:sz w:val="24"/>
          <w:szCs w:val="24"/>
          <w:lang w:val="en-GB"/>
        </w:rPr>
        <w:t xml:space="preserve">, 161, </w:t>
      </w:r>
      <w:r w:rsidR="00F40D37" w:rsidRPr="00B41DB1">
        <w:rPr>
          <w:color w:val="auto"/>
          <w:sz w:val="24"/>
          <w:szCs w:val="24"/>
          <w:lang w:val="en-GB"/>
        </w:rPr>
        <w:t xml:space="preserve">pp. </w:t>
      </w:r>
      <w:r w:rsidRPr="00B41DB1">
        <w:rPr>
          <w:color w:val="auto"/>
          <w:sz w:val="24"/>
          <w:szCs w:val="24"/>
          <w:lang w:val="en-GB"/>
        </w:rPr>
        <w:t>72-73.</w:t>
      </w:r>
    </w:p>
    <w:p w14:paraId="17AF8505" w14:textId="671C134E" w:rsidR="003C573E" w:rsidRPr="00B41DB1" w:rsidRDefault="000D2F47" w:rsidP="000D2F47">
      <w:pPr>
        <w:pStyle w:val="SGML"/>
        <w:spacing w:after="0" w:line="480" w:lineRule="auto"/>
        <w:rPr>
          <w:color w:val="auto"/>
          <w:sz w:val="24"/>
          <w:szCs w:val="24"/>
          <w:lang w:val="en-GB"/>
        </w:rPr>
      </w:pPr>
      <w:r w:rsidRPr="00B41DB1">
        <w:rPr>
          <w:color w:val="auto"/>
          <w:sz w:val="24"/>
          <w:szCs w:val="24"/>
          <w:lang w:val="en-GB"/>
        </w:rPr>
        <w:t xml:space="preserve">Hadfield, A. (2007) </w:t>
      </w:r>
      <w:r w:rsidR="003C573E" w:rsidRPr="00B41DB1">
        <w:rPr>
          <w:color w:val="auto"/>
          <w:sz w:val="24"/>
          <w:szCs w:val="24"/>
          <w:lang w:val="en-GB"/>
        </w:rPr>
        <w:t>Janus Advances? An Analysis of EC Development Policy and the 2005 Amende</w:t>
      </w:r>
      <w:r w:rsidRPr="00B41DB1">
        <w:rPr>
          <w:color w:val="auto"/>
          <w:sz w:val="24"/>
          <w:szCs w:val="24"/>
          <w:lang w:val="en-GB"/>
        </w:rPr>
        <w:t>d Cotonou Partnership Agreement</w:t>
      </w:r>
      <w:r w:rsidR="003C573E" w:rsidRPr="00B41DB1">
        <w:rPr>
          <w:color w:val="auto"/>
          <w:sz w:val="24"/>
          <w:szCs w:val="24"/>
          <w:lang w:val="en-GB"/>
        </w:rPr>
        <w:t xml:space="preserve">, </w:t>
      </w:r>
      <w:r w:rsidR="003C573E" w:rsidRPr="00B41DB1">
        <w:rPr>
          <w:i/>
          <w:color w:val="auto"/>
          <w:sz w:val="24"/>
          <w:szCs w:val="24"/>
          <w:lang w:val="en-GB"/>
        </w:rPr>
        <w:t>European Foreign Affairs Review</w:t>
      </w:r>
      <w:r w:rsidR="003C573E" w:rsidRPr="00B41DB1">
        <w:rPr>
          <w:color w:val="auto"/>
          <w:sz w:val="24"/>
          <w:szCs w:val="24"/>
          <w:lang w:val="en-GB"/>
        </w:rPr>
        <w:t xml:space="preserve">, 12, </w:t>
      </w:r>
      <w:r w:rsidR="00F40D37" w:rsidRPr="00B41DB1">
        <w:rPr>
          <w:color w:val="auto"/>
          <w:sz w:val="24"/>
          <w:szCs w:val="24"/>
          <w:lang w:val="en-GB"/>
        </w:rPr>
        <w:t xml:space="preserve">pp. </w:t>
      </w:r>
      <w:r w:rsidR="003C573E" w:rsidRPr="00B41DB1">
        <w:rPr>
          <w:color w:val="auto"/>
          <w:sz w:val="24"/>
          <w:szCs w:val="24"/>
          <w:lang w:val="en-GB"/>
        </w:rPr>
        <w:t>39-66.</w:t>
      </w:r>
    </w:p>
    <w:p w14:paraId="438ED9A6" w14:textId="0A23BDF2" w:rsidR="00E008DA" w:rsidRPr="00B41DB1" w:rsidRDefault="000D2F47" w:rsidP="000D2F47">
      <w:pPr>
        <w:pStyle w:val="SGML"/>
        <w:spacing w:after="0" w:line="480" w:lineRule="auto"/>
        <w:rPr>
          <w:color w:val="auto"/>
          <w:sz w:val="24"/>
          <w:szCs w:val="24"/>
          <w:lang w:val="en-GB"/>
        </w:rPr>
      </w:pPr>
      <w:r w:rsidRPr="00B41DB1">
        <w:rPr>
          <w:color w:val="auto"/>
          <w:sz w:val="24"/>
          <w:szCs w:val="24"/>
          <w:lang w:val="en-GB"/>
        </w:rPr>
        <w:t xml:space="preserve">Hannibal, I., </w:t>
      </w:r>
      <w:r w:rsidR="00E008DA" w:rsidRPr="00B41DB1">
        <w:rPr>
          <w:color w:val="auto"/>
          <w:sz w:val="24"/>
          <w:szCs w:val="24"/>
          <w:lang w:val="en-GB"/>
        </w:rPr>
        <w:t xml:space="preserve">Holst, </w:t>
      </w:r>
      <w:r w:rsidRPr="00B41DB1">
        <w:rPr>
          <w:color w:val="auto"/>
          <w:sz w:val="24"/>
          <w:szCs w:val="24"/>
          <w:lang w:val="en-GB"/>
        </w:rPr>
        <w:t xml:space="preserve">K., </w:t>
      </w:r>
      <w:r w:rsidR="00E008DA" w:rsidRPr="00B41DB1">
        <w:rPr>
          <w:color w:val="auto"/>
          <w:sz w:val="24"/>
          <w:szCs w:val="24"/>
          <w:lang w:val="en-GB"/>
        </w:rPr>
        <w:t xml:space="preserve">Pram Gad, </w:t>
      </w:r>
      <w:r w:rsidRPr="00B41DB1">
        <w:rPr>
          <w:color w:val="auto"/>
          <w:sz w:val="24"/>
          <w:szCs w:val="24"/>
          <w:lang w:val="en-GB"/>
        </w:rPr>
        <w:t xml:space="preserve">U. </w:t>
      </w:r>
      <w:r w:rsidR="00E008DA" w:rsidRPr="00B41DB1">
        <w:rPr>
          <w:color w:val="auto"/>
          <w:sz w:val="24"/>
          <w:szCs w:val="24"/>
          <w:lang w:val="en-GB"/>
        </w:rPr>
        <w:t>and Adler-Nissen</w:t>
      </w:r>
      <w:r w:rsidRPr="00B41DB1">
        <w:rPr>
          <w:color w:val="auto"/>
          <w:sz w:val="24"/>
          <w:szCs w:val="24"/>
          <w:lang w:val="en-GB"/>
        </w:rPr>
        <w:t>, R.</w:t>
      </w:r>
      <w:r w:rsidR="00E008DA" w:rsidRPr="00B41DB1">
        <w:rPr>
          <w:color w:val="auto"/>
          <w:sz w:val="24"/>
          <w:szCs w:val="24"/>
          <w:lang w:val="en-GB"/>
        </w:rPr>
        <w:t xml:space="preserve"> (2013) European Union: facilitating the OCTs in Brussels, in R. Adler-Nissen and U. Pram Gad (Eds) </w:t>
      </w:r>
      <w:r w:rsidR="00E008DA" w:rsidRPr="00B41DB1">
        <w:rPr>
          <w:i/>
          <w:color w:val="auto"/>
          <w:sz w:val="24"/>
          <w:szCs w:val="24"/>
          <w:lang w:val="en-GB"/>
        </w:rPr>
        <w:t>European Integration and Postcolonial Sovereignty Games</w:t>
      </w:r>
      <w:r w:rsidR="00B51A86" w:rsidRPr="00B41DB1">
        <w:rPr>
          <w:color w:val="auto"/>
          <w:sz w:val="24"/>
          <w:szCs w:val="24"/>
          <w:lang w:val="en-GB"/>
        </w:rPr>
        <w:t xml:space="preserve">. </w:t>
      </w:r>
      <w:r w:rsidRPr="00B41DB1">
        <w:rPr>
          <w:color w:val="auto"/>
          <w:sz w:val="24"/>
          <w:szCs w:val="24"/>
          <w:lang w:val="en-GB"/>
        </w:rPr>
        <w:t>Oxford:</w:t>
      </w:r>
      <w:r w:rsidR="00E008DA" w:rsidRPr="00B41DB1">
        <w:rPr>
          <w:color w:val="auto"/>
          <w:sz w:val="24"/>
          <w:szCs w:val="24"/>
          <w:lang w:val="en-GB"/>
        </w:rPr>
        <w:t xml:space="preserve"> Routledge.</w:t>
      </w:r>
    </w:p>
    <w:p w14:paraId="5A407E0F" w14:textId="6FABBDD0" w:rsidR="00D41AC9" w:rsidRPr="00B41DB1" w:rsidRDefault="00D41AC9" w:rsidP="000D2F47">
      <w:pPr>
        <w:pStyle w:val="SGML"/>
        <w:spacing w:after="0" w:line="480" w:lineRule="auto"/>
        <w:rPr>
          <w:color w:val="auto"/>
          <w:sz w:val="24"/>
          <w:szCs w:val="24"/>
          <w:lang w:val="en-GB"/>
        </w:rPr>
      </w:pPr>
      <w:r w:rsidRPr="00B41DB1">
        <w:rPr>
          <w:color w:val="auto"/>
          <w:sz w:val="24"/>
          <w:szCs w:val="24"/>
          <w:lang w:val="en-GB"/>
        </w:rPr>
        <w:lastRenderedPageBreak/>
        <w:t xml:space="preserve">Heron, T. (2014) Trading in development: norms and institutions in the making/unmaking of European Union-Africa, Caribbean and Pacific trade and development cooperation, </w:t>
      </w:r>
      <w:r w:rsidRPr="00B41DB1">
        <w:rPr>
          <w:i/>
          <w:color w:val="auto"/>
          <w:sz w:val="24"/>
          <w:szCs w:val="24"/>
          <w:lang w:val="en-GB"/>
        </w:rPr>
        <w:t>Contemporary Politics</w:t>
      </w:r>
      <w:r w:rsidR="006D4396" w:rsidRPr="00B41DB1">
        <w:rPr>
          <w:color w:val="auto"/>
          <w:sz w:val="24"/>
          <w:szCs w:val="24"/>
          <w:lang w:val="en-GB"/>
        </w:rPr>
        <w:t>, 20(</w:t>
      </w:r>
      <w:r w:rsidRPr="00B41DB1">
        <w:rPr>
          <w:color w:val="auto"/>
          <w:sz w:val="24"/>
          <w:szCs w:val="24"/>
          <w:lang w:val="en-GB"/>
        </w:rPr>
        <w:t>1</w:t>
      </w:r>
      <w:r w:rsidR="006D4396" w:rsidRPr="00B41DB1">
        <w:rPr>
          <w:color w:val="auto"/>
          <w:sz w:val="24"/>
          <w:szCs w:val="24"/>
          <w:lang w:val="en-GB"/>
        </w:rPr>
        <w:t>)</w:t>
      </w:r>
      <w:r w:rsidRPr="00B41DB1">
        <w:rPr>
          <w:color w:val="auto"/>
          <w:sz w:val="24"/>
          <w:szCs w:val="24"/>
          <w:lang w:val="en-GB"/>
        </w:rPr>
        <w:t xml:space="preserve">, </w:t>
      </w:r>
      <w:r w:rsidR="00F40D37" w:rsidRPr="00B41DB1">
        <w:rPr>
          <w:color w:val="auto"/>
          <w:sz w:val="24"/>
          <w:szCs w:val="24"/>
          <w:lang w:val="en-GB"/>
        </w:rPr>
        <w:t xml:space="preserve">pp. </w:t>
      </w:r>
      <w:r w:rsidRPr="00B41DB1">
        <w:rPr>
          <w:color w:val="auto"/>
          <w:sz w:val="24"/>
          <w:szCs w:val="24"/>
          <w:lang w:val="en-GB"/>
        </w:rPr>
        <w:t>10-22.</w:t>
      </w:r>
    </w:p>
    <w:p w14:paraId="7730ED99" w14:textId="7F9A0754" w:rsidR="003C573E" w:rsidRPr="00B41DB1" w:rsidRDefault="006D4396" w:rsidP="000D2F47">
      <w:pPr>
        <w:pStyle w:val="SGML"/>
        <w:spacing w:after="0" w:line="480" w:lineRule="auto"/>
        <w:rPr>
          <w:color w:val="auto"/>
          <w:sz w:val="24"/>
          <w:szCs w:val="24"/>
          <w:lang w:val="en-GB"/>
        </w:rPr>
      </w:pPr>
      <w:r w:rsidRPr="00B41DB1">
        <w:rPr>
          <w:color w:val="auto"/>
          <w:sz w:val="24"/>
          <w:szCs w:val="24"/>
          <w:lang w:val="en-GB"/>
        </w:rPr>
        <w:t xml:space="preserve">Holland, M. and </w:t>
      </w:r>
      <w:r w:rsidR="000D2F47" w:rsidRPr="00B41DB1">
        <w:rPr>
          <w:color w:val="auto"/>
          <w:sz w:val="24"/>
          <w:szCs w:val="24"/>
          <w:lang w:val="en-GB"/>
        </w:rPr>
        <w:t xml:space="preserve">Doidge, M. </w:t>
      </w:r>
      <w:r w:rsidR="003C573E" w:rsidRPr="00B41DB1">
        <w:rPr>
          <w:color w:val="auto"/>
          <w:sz w:val="24"/>
          <w:szCs w:val="24"/>
          <w:lang w:val="en-GB"/>
        </w:rPr>
        <w:t xml:space="preserve">(2012) </w:t>
      </w:r>
      <w:r w:rsidR="003C573E" w:rsidRPr="00B41DB1">
        <w:rPr>
          <w:i/>
          <w:color w:val="auto"/>
          <w:sz w:val="24"/>
          <w:szCs w:val="24"/>
          <w:lang w:val="en-GB"/>
        </w:rPr>
        <w:t>Development Policy of the European Union</w:t>
      </w:r>
      <w:r w:rsidR="00B51A86" w:rsidRPr="00B41DB1">
        <w:rPr>
          <w:color w:val="auto"/>
          <w:sz w:val="24"/>
          <w:szCs w:val="24"/>
          <w:lang w:val="en-GB"/>
        </w:rPr>
        <w:t>. Basingstoke:</w:t>
      </w:r>
      <w:r w:rsidR="0043183B" w:rsidRPr="00B41DB1">
        <w:rPr>
          <w:color w:val="auto"/>
          <w:sz w:val="24"/>
          <w:szCs w:val="24"/>
          <w:lang w:val="en-GB"/>
        </w:rPr>
        <w:t xml:space="preserve"> Palgrave Macmillan.</w:t>
      </w:r>
    </w:p>
    <w:p w14:paraId="2B17F2DB" w14:textId="34C33F04" w:rsidR="00632FEA" w:rsidRPr="00B41DB1" w:rsidRDefault="00632FEA" w:rsidP="000D2F47">
      <w:pPr>
        <w:pStyle w:val="SGML"/>
        <w:spacing w:after="0" w:line="480" w:lineRule="auto"/>
        <w:rPr>
          <w:color w:val="auto"/>
          <w:sz w:val="24"/>
          <w:szCs w:val="24"/>
          <w:lang w:val="en-GB"/>
        </w:rPr>
      </w:pPr>
      <w:r w:rsidRPr="00B41DB1">
        <w:rPr>
          <w:color w:val="auto"/>
          <w:sz w:val="24"/>
          <w:szCs w:val="24"/>
          <w:lang w:val="en-GB"/>
        </w:rPr>
        <w:t>Jessop, D. (200</w:t>
      </w:r>
      <w:r w:rsidR="00B51A86" w:rsidRPr="00B41DB1">
        <w:rPr>
          <w:color w:val="auto"/>
          <w:sz w:val="24"/>
          <w:szCs w:val="24"/>
          <w:lang w:val="en-GB"/>
        </w:rPr>
        <w:t xml:space="preserve">4) The Week in Europe, 2 April, </w:t>
      </w:r>
      <w:r w:rsidRPr="00B41DB1">
        <w:rPr>
          <w:color w:val="auto"/>
          <w:sz w:val="24"/>
          <w:szCs w:val="24"/>
          <w:lang w:val="en-GB"/>
        </w:rPr>
        <w:t>London, Caribbean Council of Europe.</w:t>
      </w:r>
    </w:p>
    <w:p w14:paraId="50CC812B" w14:textId="743A6443" w:rsidR="00156B9C" w:rsidRPr="00B41DB1" w:rsidRDefault="002058EB" w:rsidP="000D2F47">
      <w:pPr>
        <w:pStyle w:val="SGML"/>
        <w:spacing w:after="0" w:line="480" w:lineRule="auto"/>
        <w:rPr>
          <w:color w:val="auto"/>
          <w:sz w:val="24"/>
          <w:szCs w:val="24"/>
          <w:lang w:val="en-GB"/>
        </w:rPr>
      </w:pPr>
      <w:r w:rsidRPr="00B41DB1">
        <w:rPr>
          <w:color w:val="auto"/>
          <w:sz w:val="24"/>
          <w:szCs w:val="24"/>
          <w:lang w:val="en-GB"/>
        </w:rPr>
        <w:t>Jessop, D. (2012</w:t>
      </w:r>
      <w:r w:rsidR="00156B9C" w:rsidRPr="00B41DB1">
        <w:rPr>
          <w:color w:val="auto"/>
          <w:sz w:val="24"/>
          <w:szCs w:val="24"/>
          <w:lang w:val="en-GB"/>
        </w:rPr>
        <w:t>) Can the EPA be made to work?, The View from Europe, 27 March, www.caribbean-council.org, accessed 28 March 2012.</w:t>
      </w:r>
    </w:p>
    <w:p w14:paraId="50841EA5" w14:textId="57F388E1" w:rsidR="00DD5528" w:rsidRPr="00B41DB1" w:rsidRDefault="004B0353" w:rsidP="000D2F47">
      <w:pPr>
        <w:pStyle w:val="SGML"/>
        <w:spacing w:after="0" w:line="480" w:lineRule="auto"/>
        <w:rPr>
          <w:color w:val="auto"/>
          <w:sz w:val="24"/>
          <w:szCs w:val="24"/>
          <w:lang w:val="en-GB"/>
        </w:rPr>
      </w:pPr>
      <w:r w:rsidRPr="00B41DB1">
        <w:rPr>
          <w:color w:val="auto"/>
          <w:sz w:val="24"/>
          <w:szCs w:val="24"/>
          <w:lang w:val="en-GB"/>
        </w:rPr>
        <w:t>Jessop, D. (2013</w:t>
      </w:r>
      <w:r w:rsidR="00DD5528" w:rsidRPr="00B41DB1">
        <w:rPr>
          <w:color w:val="auto"/>
          <w:sz w:val="24"/>
          <w:szCs w:val="24"/>
          <w:lang w:val="en-GB"/>
        </w:rPr>
        <w:t xml:space="preserve">) </w:t>
      </w:r>
      <w:r w:rsidR="00B90BDE" w:rsidRPr="00B41DB1">
        <w:rPr>
          <w:color w:val="auto"/>
          <w:sz w:val="24"/>
          <w:szCs w:val="24"/>
          <w:lang w:val="en-GB"/>
        </w:rPr>
        <w:t>Europe’s changing relationship with the Caribbean, The View from Europe, 17 May 2013, www.caribbean-council.org, accessed 18 May 2013.</w:t>
      </w:r>
    </w:p>
    <w:p w14:paraId="7798797A" w14:textId="34D7081D" w:rsidR="00535C33" w:rsidRPr="00B41DB1" w:rsidRDefault="00535C33" w:rsidP="000D2F47">
      <w:pPr>
        <w:pStyle w:val="SGML"/>
        <w:spacing w:after="0" w:line="480" w:lineRule="auto"/>
        <w:rPr>
          <w:color w:val="auto"/>
          <w:sz w:val="24"/>
          <w:szCs w:val="24"/>
          <w:lang w:val="en-GB"/>
        </w:rPr>
      </w:pPr>
      <w:r w:rsidRPr="00B41DB1">
        <w:rPr>
          <w:color w:val="auto"/>
          <w:sz w:val="24"/>
          <w:szCs w:val="24"/>
          <w:lang w:val="en-GB"/>
        </w:rPr>
        <w:t>Jessop, D. (2014) Should tourism give up on the EPA?, The View from Europe, 25 May 2014, www.caribbean-council.org, accessed 27 May 2013.</w:t>
      </w:r>
    </w:p>
    <w:p w14:paraId="01AC2A99" w14:textId="0CE391CE" w:rsidR="00896AFF" w:rsidRDefault="00896AFF" w:rsidP="000D2F47">
      <w:pPr>
        <w:pStyle w:val="SGML"/>
        <w:spacing w:after="0" w:line="480" w:lineRule="auto"/>
        <w:rPr>
          <w:color w:val="auto"/>
          <w:sz w:val="24"/>
          <w:szCs w:val="24"/>
          <w:lang w:val="en-GB"/>
        </w:rPr>
      </w:pPr>
      <w:r>
        <w:rPr>
          <w:color w:val="auto"/>
          <w:sz w:val="24"/>
          <w:szCs w:val="24"/>
          <w:lang w:val="en-GB"/>
        </w:rPr>
        <w:t xml:space="preserve">Jones, E. and Weinhardt, C. (2015) Echoes of Colonialism in Trade Negotiations between the European Union and the African, Caribbean and Pacific Countries, in K. Nicolaïdis, B. Sèbe, and G. Maas (Eds) </w:t>
      </w:r>
      <w:r w:rsidRPr="00896AFF">
        <w:rPr>
          <w:i/>
          <w:color w:val="auto"/>
          <w:sz w:val="24"/>
          <w:szCs w:val="24"/>
          <w:lang w:val="en-GB"/>
        </w:rPr>
        <w:t>Echoes of Empire: Memory, Identity and Colonial Legacies,</w:t>
      </w:r>
      <w:r>
        <w:rPr>
          <w:color w:val="auto"/>
          <w:sz w:val="24"/>
          <w:szCs w:val="24"/>
          <w:lang w:val="en-GB"/>
        </w:rPr>
        <w:t xml:space="preserve"> London: I. B. Tauris.</w:t>
      </w:r>
    </w:p>
    <w:p w14:paraId="2F793FD9" w14:textId="3A80FC52" w:rsidR="004D1B5D" w:rsidRPr="00B41DB1" w:rsidRDefault="00307FB8" w:rsidP="000D2F47">
      <w:pPr>
        <w:pStyle w:val="SGML"/>
        <w:spacing w:after="0" w:line="480" w:lineRule="auto"/>
        <w:rPr>
          <w:color w:val="auto"/>
          <w:sz w:val="24"/>
          <w:szCs w:val="24"/>
          <w:lang w:val="en-GB"/>
        </w:rPr>
      </w:pPr>
      <w:r w:rsidRPr="00B41DB1">
        <w:rPr>
          <w:color w:val="auto"/>
          <w:sz w:val="24"/>
          <w:szCs w:val="24"/>
          <w:lang w:val="en-GB"/>
        </w:rPr>
        <w:t xml:space="preserve">Lindsay, C. (2013) The EU-CARIFORUM EPA: Regulatory and Policy Changes and Lessons for Other ACP Countries, </w:t>
      </w:r>
      <w:r w:rsidRPr="00B41DB1">
        <w:rPr>
          <w:i/>
          <w:color w:val="auto"/>
          <w:sz w:val="24"/>
          <w:szCs w:val="24"/>
          <w:lang w:val="en-GB"/>
        </w:rPr>
        <w:t>Caribbean Journal of International Relations and Diplomacy</w:t>
      </w:r>
      <w:r w:rsidR="006D4396" w:rsidRPr="00B41DB1">
        <w:rPr>
          <w:color w:val="auto"/>
          <w:sz w:val="24"/>
          <w:szCs w:val="24"/>
          <w:lang w:val="en-GB"/>
        </w:rPr>
        <w:t>, 1(</w:t>
      </w:r>
      <w:r w:rsidRPr="00B41DB1">
        <w:rPr>
          <w:color w:val="auto"/>
          <w:sz w:val="24"/>
          <w:szCs w:val="24"/>
          <w:lang w:val="en-GB"/>
        </w:rPr>
        <w:t>3</w:t>
      </w:r>
      <w:r w:rsidR="006D4396" w:rsidRPr="00B41DB1">
        <w:rPr>
          <w:color w:val="auto"/>
          <w:sz w:val="24"/>
          <w:szCs w:val="24"/>
          <w:lang w:val="en-GB"/>
        </w:rPr>
        <w:t>)</w:t>
      </w:r>
      <w:r w:rsidRPr="00B41DB1">
        <w:rPr>
          <w:color w:val="auto"/>
          <w:sz w:val="24"/>
          <w:szCs w:val="24"/>
          <w:lang w:val="en-GB"/>
        </w:rPr>
        <w:t xml:space="preserve">, </w:t>
      </w:r>
      <w:r w:rsidR="00F40D37" w:rsidRPr="00B41DB1">
        <w:rPr>
          <w:color w:val="auto"/>
          <w:sz w:val="24"/>
          <w:szCs w:val="24"/>
          <w:lang w:val="en-GB"/>
        </w:rPr>
        <w:t xml:space="preserve">pp. </w:t>
      </w:r>
      <w:r w:rsidRPr="00B41DB1">
        <w:rPr>
          <w:color w:val="auto"/>
          <w:sz w:val="24"/>
          <w:szCs w:val="24"/>
          <w:lang w:val="en-GB"/>
        </w:rPr>
        <w:t>5-29.</w:t>
      </w:r>
    </w:p>
    <w:p w14:paraId="3CA1BF27" w14:textId="491BE7BB" w:rsidR="0044139E" w:rsidRDefault="0044139E" w:rsidP="000D2F47">
      <w:pPr>
        <w:pStyle w:val="SGML"/>
        <w:spacing w:after="0" w:line="480" w:lineRule="auto"/>
        <w:rPr>
          <w:color w:val="auto"/>
          <w:sz w:val="24"/>
          <w:szCs w:val="24"/>
          <w:lang w:val="en-GB"/>
        </w:rPr>
      </w:pPr>
      <w:r>
        <w:rPr>
          <w:color w:val="auto"/>
          <w:sz w:val="24"/>
          <w:szCs w:val="24"/>
          <w:lang w:val="en-GB"/>
        </w:rPr>
        <w:t xml:space="preserve">Negre, M., Keijzer, N., Lein, B., and Tissi, N. (2013) </w:t>
      </w:r>
      <w:r w:rsidRPr="0044139E">
        <w:rPr>
          <w:i/>
          <w:color w:val="auto"/>
          <w:sz w:val="24"/>
          <w:szCs w:val="24"/>
          <w:lang w:val="en-GB"/>
        </w:rPr>
        <w:t>Towards Renewal or Oblivion? Prospects for the Post-2020 Cooperation Between the European Union and the Africa, Caribbean and Pacific Group</w:t>
      </w:r>
      <w:r>
        <w:rPr>
          <w:color w:val="auto"/>
          <w:sz w:val="24"/>
          <w:szCs w:val="24"/>
          <w:lang w:val="en-GB"/>
        </w:rPr>
        <w:t xml:space="preserve">, Discussion Paper 9/2013, German Development Institute, </w:t>
      </w:r>
      <w:r w:rsidRPr="0044139E">
        <w:rPr>
          <w:color w:val="auto"/>
          <w:sz w:val="24"/>
          <w:szCs w:val="24"/>
          <w:lang w:val="en-GB"/>
        </w:rPr>
        <w:t>http://www.die-gdi.de/en/discussion-paper/article/towards-renewal-or-</w:t>
      </w:r>
      <w:r w:rsidRPr="0044139E">
        <w:rPr>
          <w:color w:val="auto"/>
          <w:sz w:val="24"/>
          <w:szCs w:val="24"/>
          <w:lang w:val="en-GB"/>
        </w:rPr>
        <w:lastRenderedPageBreak/>
        <w:t>oblivion-prospects-for-post-2020-cooperation-between-the-european-union-and-the-africa-caribbean-and-pacific-group/</w:t>
      </w:r>
      <w:r>
        <w:rPr>
          <w:color w:val="auto"/>
          <w:sz w:val="24"/>
          <w:szCs w:val="24"/>
          <w:lang w:val="en-GB"/>
        </w:rPr>
        <w:t>, accessed 5 May 2015.</w:t>
      </w:r>
    </w:p>
    <w:p w14:paraId="59932B7E" w14:textId="48248972" w:rsidR="00EE5B42" w:rsidRPr="00B41DB1" w:rsidRDefault="00EE5B42" w:rsidP="000D2F47">
      <w:pPr>
        <w:pStyle w:val="SGML"/>
        <w:spacing w:after="0" w:line="480" w:lineRule="auto"/>
        <w:rPr>
          <w:color w:val="auto"/>
          <w:sz w:val="24"/>
          <w:szCs w:val="24"/>
          <w:lang w:val="en-GB"/>
        </w:rPr>
      </w:pPr>
      <w:r w:rsidRPr="00B41DB1">
        <w:rPr>
          <w:color w:val="auto"/>
          <w:sz w:val="24"/>
          <w:szCs w:val="24"/>
          <w:lang w:val="en-GB"/>
        </w:rPr>
        <w:t xml:space="preserve">Pape, E. (2013) An old partnership in a new setting: ACP-EU relations from a European perspective, </w:t>
      </w:r>
      <w:r w:rsidRPr="00B41DB1">
        <w:rPr>
          <w:i/>
          <w:color w:val="auto"/>
          <w:sz w:val="24"/>
          <w:szCs w:val="24"/>
          <w:lang w:val="en-GB"/>
        </w:rPr>
        <w:t>Journal of International Development</w:t>
      </w:r>
      <w:r w:rsidRPr="00B41DB1">
        <w:rPr>
          <w:color w:val="auto"/>
          <w:sz w:val="24"/>
          <w:szCs w:val="24"/>
          <w:lang w:val="en-GB"/>
        </w:rPr>
        <w:t>, 25</w:t>
      </w:r>
      <w:r w:rsidR="006D4396" w:rsidRPr="00B41DB1">
        <w:rPr>
          <w:color w:val="auto"/>
          <w:sz w:val="24"/>
          <w:szCs w:val="24"/>
          <w:lang w:val="en-GB"/>
        </w:rPr>
        <w:t>(</w:t>
      </w:r>
      <w:r w:rsidR="000D2F47" w:rsidRPr="00B41DB1">
        <w:rPr>
          <w:color w:val="auto"/>
          <w:sz w:val="24"/>
          <w:szCs w:val="24"/>
          <w:lang w:val="en-GB"/>
        </w:rPr>
        <w:t>5</w:t>
      </w:r>
      <w:r w:rsidR="006D4396" w:rsidRPr="00B41DB1">
        <w:rPr>
          <w:color w:val="auto"/>
          <w:sz w:val="24"/>
          <w:szCs w:val="24"/>
          <w:lang w:val="en-GB"/>
        </w:rPr>
        <w:t>)</w:t>
      </w:r>
      <w:r w:rsidRPr="00B41DB1">
        <w:rPr>
          <w:color w:val="auto"/>
          <w:sz w:val="24"/>
          <w:szCs w:val="24"/>
          <w:lang w:val="en-GB"/>
        </w:rPr>
        <w:t xml:space="preserve">, </w:t>
      </w:r>
      <w:r w:rsidR="00F40D37" w:rsidRPr="00B41DB1">
        <w:rPr>
          <w:color w:val="auto"/>
          <w:sz w:val="24"/>
          <w:szCs w:val="24"/>
          <w:lang w:val="en-GB"/>
        </w:rPr>
        <w:t xml:space="preserve">pp. </w:t>
      </w:r>
      <w:r w:rsidRPr="00B41DB1">
        <w:rPr>
          <w:color w:val="auto"/>
          <w:sz w:val="24"/>
          <w:szCs w:val="24"/>
          <w:lang w:val="en-GB"/>
        </w:rPr>
        <w:t>727-741.</w:t>
      </w:r>
    </w:p>
    <w:p w14:paraId="7DF85B6F" w14:textId="35F90F7C" w:rsidR="00000EAF" w:rsidRPr="00B41DB1" w:rsidRDefault="00000EAF" w:rsidP="000D2F47">
      <w:pPr>
        <w:pStyle w:val="SGML"/>
        <w:spacing w:after="0" w:line="480" w:lineRule="auto"/>
        <w:rPr>
          <w:color w:val="auto"/>
          <w:sz w:val="24"/>
          <w:szCs w:val="24"/>
          <w:lang w:val="en-GB"/>
        </w:rPr>
      </w:pPr>
      <w:r w:rsidRPr="00B41DB1">
        <w:rPr>
          <w:color w:val="auto"/>
          <w:sz w:val="24"/>
          <w:szCs w:val="24"/>
          <w:lang w:val="en-GB"/>
        </w:rPr>
        <w:t>Sanders, R. (2012</w:t>
      </w:r>
      <w:r w:rsidR="00E31586" w:rsidRPr="00B41DB1">
        <w:rPr>
          <w:color w:val="auto"/>
          <w:sz w:val="24"/>
          <w:szCs w:val="24"/>
          <w:lang w:val="en-GB"/>
        </w:rPr>
        <w:t>a</w:t>
      </w:r>
      <w:r w:rsidRPr="00B41DB1">
        <w:rPr>
          <w:color w:val="auto"/>
          <w:sz w:val="24"/>
          <w:szCs w:val="24"/>
          <w:lang w:val="en-GB"/>
        </w:rPr>
        <w:t>) Cutting EU aid should be resisted, but begging bowl not enough, 7 September, http://www.sirronaldsanders.com/viewarticle.aspx?ID=328, accessed 8 September 2012.</w:t>
      </w:r>
    </w:p>
    <w:p w14:paraId="3BD8A949" w14:textId="2ED3DD8B" w:rsidR="004E2745" w:rsidRPr="00B41DB1" w:rsidRDefault="004E2745" w:rsidP="000D2F47">
      <w:pPr>
        <w:pStyle w:val="SGML"/>
        <w:spacing w:after="0" w:line="480" w:lineRule="auto"/>
        <w:rPr>
          <w:color w:val="auto"/>
          <w:sz w:val="24"/>
          <w:szCs w:val="24"/>
          <w:lang w:val="en-GB"/>
        </w:rPr>
      </w:pPr>
      <w:r w:rsidRPr="00B41DB1">
        <w:rPr>
          <w:color w:val="auto"/>
          <w:sz w:val="24"/>
          <w:szCs w:val="24"/>
          <w:lang w:val="en-GB"/>
        </w:rPr>
        <w:t>Sanders, R. (2012b) Tenth Anniversary of the EPA Negotiations: Not a Time for Celebration, 3 October, http://www.sirronaldsanders.com/viewarticle.aspx?ID=331, accessed 5 October 2012.</w:t>
      </w:r>
    </w:p>
    <w:p w14:paraId="01E32805" w14:textId="77777777" w:rsidR="00885C15" w:rsidRPr="00B41DB1" w:rsidRDefault="00885C15" w:rsidP="000D2F47">
      <w:pPr>
        <w:pStyle w:val="SGML"/>
        <w:spacing w:after="0" w:line="480" w:lineRule="auto"/>
        <w:rPr>
          <w:color w:val="auto"/>
          <w:sz w:val="24"/>
          <w:szCs w:val="24"/>
          <w:lang w:val="en-GB"/>
        </w:rPr>
      </w:pPr>
      <w:r w:rsidRPr="00B41DB1">
        <w:rPr>
          <w:color w:val="auto"/>
          <w:sz w:val="24"/>
          <w:szCs w:val="24"/>
          <w:lang w:val="en-GB"/>
        </w:rPr>
        <w:t>Solana, J. (2003) A Secure Euro</w:t>
      </w:r>
      <w:r w:rsidR="00D52262" w:rsidRPr="00B41DB1">
        <w:rPr>
          <w:color w:val="auto"/>
          <w:sz w:val="24"/>
          <w:szCs w:val="24"/>
          <w:lang w:val="en-GB"/>
        </w:rPr>
        <w:t>pe in a Better World, Brussels</w:t>
      </w:r>
      <w:r w:rsidRPr="00B41DB1">
        <w:rPr>
          <w:color w:val="auto"/>
          <w:sz w:val="24"/>
          <w:szCs w:val="24"/>
          <w:lang w:val="en-GB"/>
        </w:rPr>
        <w:t>, 12 December.</w:t>
      </w:r>
    </w:p>
    <w:p w14:paraId="0282FAC6" w14:textId="0911F5D8" w:rsidR="00E008DA" w:rsidRDefault="00E008DA" w:rsidP="000D2F47">
      <w:pPr>
        <w:pStyle w:val="SGML"/>
        <w:spacing w:after="0" w:line="480" w:lineRule="auto"/>
        <w:rPr>
          <w:color w:val="auto"/>
          <w:sz w:val="24"/>
          <w:szCs w:val="24"/>
          <w:lang w:val="en-GB"/>
        </w:rPr>
      </w:pPr>
      <w:r w:rsidRPr="00B41DB1">
        <w:rPr>
          <w:color w:val="auto"/>
          <w:sz w:val="24"/>
          <w:szCs w:val="24"/>
          <w:lang w:val="en-GB"/>
        </w:rPr>
        <w:t xml:space="preserve">Sutton, P. (2012) The European Union and its Overseas Counties and Territories: the search for a new relationship, in P. Clegg and D. Killingray (Eds) </w:t>
      </w:r>
      <w:r w:rsidRPr="00B41DB1">
        <w:rPr>
          <w:i/>
          <w:color w:val="auto"/>
          <w:sz w:val="24"/>
          <w:szCs w:val="24"/>
          <w:lang w:val="en-GB"/>
        </w:rPr>
        <w:t>The Non-Independent Territories of the Caribbean and Pacific: Continuity or Change?</w:t>
      </w:r>
      <w:r w:rsidR="00B51A86" w:rsidRPr="00B41DB1">
        <w:rPr>
          <w:color w:val="auto"/>
          <w:sz w:val="24"/>
          <w:szCs w:val="24"/>
          <w:lang w:val="en-GB"/>
        </w:rPr>
        <w:t xml:space="preserve"> London:</w:t>
      </w:r>
      <w:r w:rsidRPr="00B41DB1">
        <w:rPr>
          <w:color w:val="auto"/>
          <w:sz w:val="24"/>
          <w:szCs w:val="24"/>
          <w:lang w:val="en-GB"/>
        </w:rPr>
        <w:t xml:space="preserve"> Institute of Commonwealth Studies.</w:t>
      </w:r>
    </w:p>
    <w:p w14:paraId="0D6CA1F8" w14:textId="69F1316F" w:rsidR="002771C6" w:rsidRPr="00B41DB1" w:rsidRDefault="000C674B" w:rsidP="000D2F47">
      <w:pPr>
        <w:pStyle w:val="SGML"/>
        <w:spacing w:after="0" w:line="480" w:lineRule="auto"/>
        <w:rPr>
          <w:color w:val="auto"/>
          <w:sz w:val="24"/>
          <w:szCs w:val="24"/>
          <w:lang w:val="en-GB"/>
        </w:rPr>
      </w:pPr>
      <w:r>
        <w:rPr>
          <w:color w:val="auto"/>
          <w:sz w:val="24"/>
          <w:szCs w:val="24"/>
          <w:lang w:val="en-GB"/>
        </w:rPr>
        <w:t>The Commonwealth (2014</w:t>
      </w:r>
      <w:r w:rsidR="002771C6">
        <w:rPr>
          <w:color w:val="auto"/>
          <w:sz w:val="24"/>
          <w:szCs w:val="24"/>
          <w:lang w:val="en-GB"/>
        </w:rPr>
        <w:t xml:space="preserve">) Supporting countries to reap the benefits of international trade: Hub &amp; Spokes, </w:t>
      </w:r>
      <w:r w:rsidRPr="000C674B">
        <w:rPr>
          <w:color w:val="auto"/>
          <w:sz w:val="24"/>
          <w:szCs w:val="24"/>
          <w:lang w:val="en-GB"/>
        </w:rPr>
        <w:t>http://thecommonwealth.org/project/supporting-countries-reap-benefits-international-trade-hub-spokes</w:t>
      </w:r>
      <w:r>
        <w:rPr>
          <w:color w:val="auto"/>
          <w:sz w:val="24"/>
          <w:szCs w:val="24"/>
          <w:lang w:val="en-GB"/>
        </w:rPr>
        <w:t>, accessed 5 May 2015.</w:t>
      </w:r>
    </w:p>
    <w:p w14:paraId="7131852E" w14:textId="77777777" w:rsidR="00B51A86" w:rsidRDefault="00B51A86" w:rsidP="000D2F47">
      <w:pPr>
        <w:pStyle w:val="SGML"/>
        <w:spacing w:after="0" w:line="480" w:lineRule="auto"/>
        <w:rPr>
          <w:color w:val="auto"/>
          <w:sz w:val="24"/>
          <w:szCs w:val="24"/>
          <w:lang w:val="en-GB"/>
        </w:rPr>
      </w:pPr>
      <w:r w:rsidRPr="00B41DB1">
        <w:rPr>
          <w:i/>
          <w:color w:val="auto"/>
          <w:sz w:val="24"/>
          <w:szCs w:val="24"/>
          <w:lang w:val="en-GB"/>
        </w:rPr>
        <w:t>The Courier</w:t>
      </w:r>
      <w:r w:rsidRPr="00B41DB1">
        <w:rPr>
          <w:color w:val="auto"/>
          <w:sz w:val="24"/>
          <w:szCs w:val="24"/>
          <w:lang w:val="en-GB"/>
        </w:rPr>
        <w:t>, Journal of ACP and EU Affairs.</w:t>
      </w:r>
      <w:r w:rsidRPr="00B41DB1">
        <w:rPr>
          <w:i/>
          <w:color w:val="auto"/>
          <w:sz w:val="24"/>
          <w:szCs w:val="24"/>
          <w:lang w:val="en-GB"/>
        </w:rPr>
        <w:t xml:space="preserve"> </w:t>
      </w:r>
      <w:r w:rsidRPr="00B41DB1">
        <w:rPr>
          <w:color w:val="auto"/>
          <w:sz w:val="24"/>
          <w:szCs w:val="24"/>
          <w:lang w:val="en-GB"/>
        </w:rPr>
        <w:t>(1975) ACP-EEC Convention of Lomé, Special Issue, 31, March, Commission of the European Communities.</w:t>
      </w:r>
    </w:p>
    <w:p w14:paraId="589A1559" w14:textId="38E53D09" w:rsidR="009E72F6" w:rsidRPr="00B41DB1" w:rsidRDefault="009E72F6" w:rsidP="000D2F47">
      <w:pPr>
        <w:pStyle w:val="SGML"/>
        <w:spacing w:after="0" w:line="480" w:lineRule="auto"/>
        <w:rPr>
          <w:color w:val="auto"/>
          <w:sz w:val="24"/>
          <w:szCs w:val="24"/>
          <w:lang w:val="en-GB"/>
        </w:rPr>
      </w:pPr>
      <w:r w:rsidRPr="009E72F6">
        <w:rPr>
          <w:i/>
          <w:color w:val="auto"/>
          <w:sz w:val="24"/>
          <w:szCs w:val="24"/>
          <w:lang w:val="en-GB"/>
        </w:rPr>
        <w:t>The Daily Herald</w:t>
      </w:r>
      <w:r>
        <w:rPr>
          <w:color w:val="auto"/>
          <w:sz w:val="24"/>
          <w:szCs w:val="24"/>
          <w:lang w:val="en-GB"/>
        </w:rPr>
        <w:t xml:space="preserve"> (2015) ACP countries alarmed at collapse in sugar prices, 10 April, </w:t>
      </w:r>
      <w:r w:rsidRPr="009E72F6">
        <w:rPr>
          <w:color w:val="auto"/>
          <w:sz w:val="24"/>
          <w:szCs w:val="24"/>
          <w:lang w:val="en-GB"/>
        </w:rPr>
        <w:t>http://www.thedailyherald.com/index.php?option=com_content&amp;view=article&amp;id=54756:acp-countries-alarmed-at-collapse-in-sugar-prices&amp;catid=2:news&amp;Itemid=5</w:t>
      </w:r>
      <w:r>
        <w:rPr>
          <w:color w:val="auto"/>
          <w:sz w:val="24"/>
          <w:szCs w:val="24"/>
          <w:lang w:val="en-GB"/>
        </w:rPr>
        <w:t>, accessed 2 May 2015.</w:t>
      </w:r>
    </w:p>
    <w:p w14:paraId="75DB1ED3" w14:textId="10E6DAA4" w:rsidR="003C573E" w:rsidRPr="001056ED" w:rsidRDefault="001D504F" w:rsidP="000D2F47">
      <w:pPr>
        <w:pStyle w:val="SGML"/>
        <w:spacing w:after="0" w:line="480" w:lineRule="auto"/>
        <w:rPr>
          <w:color w:val="auto"/>
          <w:sz w:val="24"/>
          <w:szCs w:val="24"/>
          <w:lang w:val="en-GB"/>
        </w:rPr>
      </w:pPr>
      <w:r w:rsidRPr="00B41DB1">
        <w:rPr>
          <w:color w:val="auto"/>
          <w:sz w:val="24"/>
          <w:szCs w:val="24"/>
          <w:lang w:val="en-GB"/>
        </w:rPr>
        <w:lastRenderedPageBreak/>
        <w:t xml:space="preserve">Woolcock, S. (2007) </w:t>
      </w:r>
      <w:r w:rsidRPr="00B41DB1">
        <w:rPr>
          <w:i/>
          <w:color w:val="auto"/>
          <w:sz w:val="24"/>
          <w:szCs w:val="24"/>
          <w:lang w:val="en-GB"/>
        </w:rPr>
        <w:t>European Union policy towards Free Trade Agreements</w:t>
      </w:r>
      <w:r w:rsidRPr="00B41DB1">
        <w:rPr>
          <w:color w:val="auto"/>
          <w:sz w:val="24"/>
          <w:szCs w:val="24"/>
          <w:lang w:val="en-GB"/>
        </w:rPr>
        <w:t>, Working Paper No. 3, European Centre for International Political Economy, http://www.ecipe.org/publications/european-union-policy-towards-free-trade-agreements/, accessed 14 June 2014.</w:t>
      </w:r>
    </w:p>
    <w:sectPr w:rsidR="003C573E" w:rsidRPr="001056ED" w:rsidSect="00503DC2">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39B8" w14:textId="77777777" w:rsidR="002A75CE" w:rsidRDefault="002A75CE" w:rsidP="0022290E">
      <w:pPr>
        <w:spacing w:after="0" w:line="240" w:lineRule="auto"/>
      </w:pPr>
      <w:r>
        <w:separator/>
      </w:r>
    </w:p>
  </w:endnote>
  <w:endnote w:type="continuationSeparator" w:id="0">
    <w:p w14:paraId="19E316D9" w14:textId="77777777" w:rsidR="002A75CE" w:rsidRDefault="002A75CE" w:rsidP="0022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8829"/>
      <w:docPartObj>
        <w:docPartGallery w:val="Page Numbers (Bottom of Page)"/>
        <w:docPartUnique/>
      </w:docPartObj>
    </w:sdtPr>
    <w:sdtEndPr/>
    <w:sdtContent>
      <w:p w14:paraId="654734B2" w14:textId="77777777" w:rsidR="00B51A86" w:rsidRDefault="00B51A86">
        <w:pPr>
          <w:pStyle w:val="Footer"/>
          <w:jc w:val="center"/>
        </w:pPr>
        <w:r>
          <w:fldChar w:fldCharType="begin"/>
        </w:r>
        <w:r>
          <w:instrText xml:space="preserve"> PAGE   \* MERGEFORMAT </w:instrText>
        </w:r>
        <w:r>
          <w:fldChar w:fldCharType="separate"/>
        </w:r>
        <w:r w:rsidR="00BE088B">
          <w:rPr>
            <w:noProof/>
          </w:rPr>
          <w:t>2</w:t>
        </w:r>
        <w:r>
          <w:rPr>
            <w:noProof/>
          </w:rPr>
          <w:fldChar w:fldCharType="end"/>
        </w:r>
      </w:p>
    </w:sdtContent>
  </w:sdt>
  <w:p w14:paraId="77BD79DC" w14:textId="77777777" w:rsidR="00B51A86" w:rsidRDefault="00B51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3BD5F" w14:textId="77777777" w:rsidR="002A75CE" w:rsidRDefault="002A75CE" w:rsidP="0022290E">
      <w:pPr>
        <w:spacing w:after="0" w:line="240" w:lineRule="auto"/>
      </w:pPr>
      <w:r>
        <w:separator/>
      </w:r>
    </w:p>
  </w:footnote>
  <w:footnote w:type="continuationSeparator" w:id="0">
    <w:p w14:paraId="2BE88F1D" w14:textId="77777777" w:rsidR="002A75CE" w:rsidRDefault="002A75CE" w:rsidP="00222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49"/>
    <w:rsid w:val="00000EAF"/>
    <w:rsid w:val="00001B7B"/>
    <w:rsid w:val="000077BD"/>
    <w:rsid w:val="00010896"/>
    <w:rsid w:val="00011A12"/>
    <w:rsid w:val="000125C1"/>
    <w:rsid w:val="00013087"/>
    <w:rsid w:val="00015223"/>
    <w:rsid w:val="00022664"/>
    <w:rsid w:val="000238B4"/>
    <w:rsid w:val="00033B41"/>
    <w:rsid w:val="00037E41"/>
    <w:rsid w:val="000420B9"/>
    <w:rsid w:val="00050C2B"/>
    <w:rsid w:val="000531B5"/>
    <w:rsid w:val="000532AD"/>
    <w:rsid w:val="00053DC9"/>
    <w:rsid w:val="00064677"/>
    <w:rsid w:val="00067579"/>
    <w:rsid w:val="000727F3"/>
    <w:rsid w:val="00076B18"/>
    <w:rsid w:val="00082E7A"/>
    <w:rsid w:val="0009188A"/>
    <w:rsid w:val="000A2512"/>
    <w:rsid w:val="000A5AC6"/>
    <w:rsid w:val="000A6D9B"/>
    <w:rsid w:val="000B403F"/>
    <w:rsid w:val="000B4FE7"/>
    <w:rsid w:val="000B79E9"/>
    <w:rsid w:val="000C02B1"/>
    <w:rsid w:val="000C674B"/>
    <w:rsid w:val="000D19AD"/>
    <w:rsid w:val="000D2F47"/>
    <w:rsid w:val="000D3940"/>
    <w:rsid w:val="000F515F"/>
    <w:rsid w:val="001018B4"/>
    <w:rsid w:val="001056ED"/>
    <w:rsid w:val="00107023"/>
    <w:rsid w:val="00111771"/>
    <w:rsid w:val="001162E6"/>
    <w:rsid w:val="001179F2"/>
    <w:rsid w:val="00125280"/>
    <w:rsid w:val="001357B5"/>
    <w:rsid w:val="001366FA"/>
    <w:rsid w:val="001369C8"/>
    <w:rsid w:val="00136F6F"/>
    <w:rsid w:val="00140B26"/>
    <w:rsid w:val="001441AE"/>
    <w:rsid w:val="0014649C"/>
    <w:rsid w:val="00151E3B"/>
    <w:rsid w:val="001541D1"/>
    <w:rsid w:val="00156B9C"/>
    <w:rsid w:val="00162C24"/>
    <w:rsid w:val="00163BE9"/>
    <w:rsid w:val="001672A6"/>
    <w:rsid w:val="001673E7"/>
    <w:rsid w:val="0018304B"/>
    <w:rsid w:val="001965D7"/>
    <w:rsid w:val="001A1357"/>
    <w:rsid w:val="001B553D"/>
    <w:rsid w:val="001B5BD7"/>
    <w:rsid w:val="001C0AB7"/>
    <w:rsid w:val="001C181B"/>
    <w:rsid w:val="001C27D0"/>
    <w:rsid w:val="001C6BB7"/>
    <w:rsid w:val="001D504F"/>
    <w:rsid w:val="001E427D"/>
    <w:rsid w:val="001E4C0C"/>
    <w:rsid w:val="001E7C82"/>
    <w:rsid w:val="001F2EC7"/>
    <w:rsid w:val="001F4899"/>
    <w:rsid w:val="001F4DDD"/>
    <w:rsid w:val="002058EB"/>
    <w:rsid w:val="0020641A"/>
    <w:rsid w:val="002118F7"/>
    <w:rsid w:val="00213AC9"/>
    <w:rsid w:val="00213FC4"/>
    <w:rsid w:val="00214607"/>
    <w:rsid w:val="00216266"/>
    <w:rsid w:val="002212B5"/>
    <w:rsid w:val="0022290E"/>
    <w:rsid w:val="0024235D"/>
    <w:rsid w:val="002457E4"/>
    <w:rsid w:val="002517E4"/>
    <w:rsid w:val="00255214"/>
    <w:rsid w:val="00261582"/>
    <w:rsid w:val="00271E7F"/>
    <w:rsid w:val="002720E7"/>
    <w:rsid w:val="002771C6"/>
    <w:rsid w:val="002872E9"/>
    <w:rsid w:val="00290499"/>
    <w:rsid w:val="002A3B45"/>
    <w:rsid w:val="002A5223"/>
    <w:rsid w:val="002A691D"/>
    <w:rsid w:val="002A75CE"/>
    <w:rsid w:val="002B1E57"/>
    <w:rsid w:val="002B33D3"/>
    <w:rsid w:val="002B616D"/>
    <w:rsid w:val="002C7438"/>
    <w:rsid w:val="002D7533"/>
    <w:rsid w:val="002E05D4"/>
    <w:rsid w:val="002E3B93"/>
    <w:rsid w:val="002E5CE6"/>
    <w:rsid w:val="002F5DA4"/>
    <w:rsid w:val="002F6364"/>
    <w:rsid w:val="003025C9"/>
    <w:rsid w:val="00306082"/>
    <w:rsid w:val="00307FB8"/>
    <w:rsid w:val="00310A98"/>
    <w:rsid w:val="0031558E"/>
    <w:rsid w:val="00315B81"/>
    <w:rsid w:val="0032051B"/>
    <w:rsid w:val="00320674"/>
    <w:rsid w:val="00323DF1"/>
    <w:rsid w:val="00340044"/>
    <w:rsid w:val="00341E89"/>
    <w:rsid w:val="00355369"/>
    <w:rsid w:val="00361337"/>
    <w:rsid w:val="00365C2F"/>
    <w:rsid w:val="003679C3"/>
    <w:rsid w:val="00375B12"/>
    <w:rsid w:val="00385B58"/>
    <w:rsid w:val="00393840"/>
    <w:rsid w:val="003A109B"/>
    <w:rsid w:val="003A3D85"/>
    <w:rsid w:val="003B2D89"/>
    <w:rsid w:val="003B3251"/>
    <w:rsid w:val="003B7D85"/>
    <w:rsid w:val="003C48C1"/>
    <w:rsid w:val="003C573E"/>
    <w:rsid w:val="003D26F5"/>
    <w:rsid w:val="003F2E90"/>
    <w:rsid w:val="00411F4D"/>
    <w:rsid w:val="004136BC"/>
    <w:rsid w:val="0041473C"/>
    <w:rsid w:val="00420FE7"/>
    <w:rsid w:val="0042112B"/>
    <w:rsid w:val="004234EF"/>
    <w:rsid w:val="004279CF"/>
    <w:rsid w:val="00430489"/>
    <w:rsid w:val="0043183B"/>
    <w:rsid w:val="00434CFE"/>
    <w:rsid w:val="0044139E"/>
    <w:rsid w:val="00445FA8"/>
    <w:rsid w:val="00454894"/>
    <w:rsid w:val="00457AA5"/>
    <w:rsid w:val="0046385A"/>
    <w:rsid w:val="00480977"/>
    <w:rsid w:val="004834D8"/>
    <w:rsid w:val="004861DD"/>
    <w:rsid w:val="004959BE"/>
    <w:rsid w:val="004A3238"/>
    <w:rsid w:val="004A68FC"/>
    <w:rsid w:val="004A78D2"/>
    <w:rsid w:val="004A7FE2"/>
    <w:rsid w:val="004B0353"/>
    <w:rsid w:val="004B3A05"/>
    <w:rsid w:val="004B4AF8"/>
    <w:rsid w:val="004B6107"/>
    <w:rsid w:val="004C0AB0"/>
    <w:rsid w:val="004C2BE1"/>
    <w:rsid w:val="004C769F"/>
    <w:rsid w:val="004D1B5D"/>
    <w:rsid w:val="004D55EA"/>
    <w:rsid w:val="004D5A93"/>
    <w:rsid w:val="004D5F67"/>
    <w:rsid w:val="004D7D84"/>
    <w:rsid w:val="004E2745"/>
    <w:rsid w:val="00503DC2"/>
    <w:rsid w:val="00511111"/>
    <w:rsid w:val="00513035"/>
    <w:rsid w:val="0051469D"/>
    <w:rsid w:val="00525784"/>
    <w:rsid w:val="005303C8"/>
    <w:rsid w:val="00535C33"/>
    <w:rsid w:val="00536515"/>
    <w:rsid w:val="00536582"/>
    <w:rsid w:val="005410B2"/>
    <w:rsid w:val="0054120C"/>
    <w:rsid w:val="005423BC"/>
    <w:rsid w:val="0054488C"/>
    <w:rsid w:val="005530A0"/>
    <w:rsid w:val="005807B1"/>
    <w:rsid w:val="0058754A"/>
    <w:rsid w:val="00590B7D"/>
    <w:rsid w:val="00591D59"/>
    <w:rsid w:val="005A055A"/>
    <w:rsid w:val="005A168E"/>
    <w:rsid w:val="005A18BF"/>
    <w:rsid w:val="005A6D24"/>
    <w:rsid w:val="005B00F3"/>
    <w:rsid w:val="005B4BCA"/>
    <w:rsid w:val="005C1362"/>
    <w:rsid w:val="005C4CDA"/>
    <w:rsid w:val="005C6F24"/>
    <w:rsid w:val="005C7207"/>
    <w:rsid w:val="005D5232"/>
    <w:rsid w:val="005E26F2"/>
    <w:rsid w:val="005E67E5"/>
    <w:rsid w:val="005F1868"/>
    <w:rsid w:val="005F22F4"/>
    <w:rsid w:val="005F30D0"/>
    <w:rsid w:val="005F39C3"/>
    <w:rsid w:val="005F661A"/>
    <w:rsid w:val="006008A1"/>
    <w:rsid w:val="00602681"/>
    <w:rsid w:val="006035C8"/>
    <w:rsid w:val="00605ADB"/>
    <w:rsid w:val="00607FED"/>
    <w:rsid w:val="006107D5"/>
    <w:rsid w:val="0061191D"/>
    <w:rsid w:val="00623416"/>
    <w:rsid w:val="0063157E"/>
    <w:rsid w:val="00632FEA"/>
    <w:rsid w:val="006421F5"/>
    <w:rsid w:val="00645DAE"/>
    <w:rsid w:val="006520ED"/>
    <w:rsid w:val="00656D23"/>
    <w:rsid w:val="00663700"/>
    <w:rsid w:val="006652E2"/>
    <w:rsid w:val="00670568"/>
    <w:rsid w:val="00672485"/>
    <w:rsid w:val="0067656A"/>
    <w:rsid w:val="00677610"/>
    <w:rsid w:val="00681814"/>
    <w:rsid w:val="00681B2A"/>
    <w:rsid w:val="00695BF6"/>
    <w:rsid w:val="006B12A8"/>
    <w:rsid w:val="006B203C"/>
    <w:rsid w:val="006B3289"/>
    <w:rsid w:val="006B46C7"/>
    <w:rsid w:val="006B69A8"/>
    <w:rsid w:val="006B6DC3"/>
    <w:rsid w:val="006D4396"/>
    <w:rsid w:val="006D5742"/>
    <w:rsid w:val="006E448D"/>
    <w:rsid w:val="006E6E72"/>
    <w:rsid w:val="0070501E"/>
    <w:rsid w:val="0071015D"/>
    <w:rsid w:val="007105D2"/>
    <w:rsid w:val="00720451"/>
    <w:rsid w:val="00721A53"/>
    <w:rsid w:val="00730B2A"/>
    <w:rsid w:val="00730C0A"/>
    <w:rsid w:val="00740A37"/>
    <w:rsid w:val="00742ECE"/>
    <w:rsid w:val="00743881"/>
    <w:rsid w:val="00754522"/>
    <w:rsid w:val="00757E44"/>
    <w:rsid w:val="007619A7"/>
    <w:rsid w:val="00762F22"/>
    <w:rsid w:val="0076649A"/>
    <w:rsid w:val="00790ADA"/>
    <w:rsid w:val="00791737"/>
    <w:rsid w:val="00792873"/>
    <w:rsid w:val="007A17E6"/>
    <w:rsid w:val="007A6597"/>
    <w:rsid w:val="007B1646"/>
    <w:rsid w:val="007B333B"/>
    <w:rsid w:val="007C03BC"/>
    <w:rsid w:val="007C0457"/>
    <w:rsid w:val="007C2D2D"/>
    <w:rsid w:val="007C428B"/>
    <w:rsid w:val="007C64AE"/>
    <w:rsid w:val="007D1B58"/>
    <w:rsid w:val="007D5096"/>
    <w:rsid w:val="007F0484"/>
    <w:rsid w:val="00802074"/>
    <w:rsid w:val="0080270E"/>
    <w:rsid w:val="00807972"/>
    <w:rsid w:val="0081178B"/>
    <w:rsid w:val="00812887"/>
    <w:rsid w:val="00824B79"/>
    <w:rsid w:val="00825A25"/>
    <w:rsid w:val="008307C8"/>
    <w:rsid w:val="00846353"/>
    <w:rsid w:val="0084727C"/>
    <w:rsid w:val="0085317B"/>
    <w:rsid w:val="008574DA"/>
    <w:rsid w:val="00867CA7"/>
    <w:rsid w:val="00874777"/>
    <w:rsid w:val="00877761"/>
    <w:rsid w:val="00877F86"/>
    <w:rsid w:val="00883C2F"/>
    <w:rsid w:val="00885C15"/>
    <w:rsid w:val="00896842"/>
    <w:rsid w:val="00896AFF"/>
    <w:rsid w:val="008A7434"/>
    <w:rsid w:val="008B0309"/>
    <w:rsid w:val="008B1B66"/>
    <w:rsid w:val="008B42A2"/>
    <w:rsid w:val="008C1172"/>
    <w:rsid w:val="008C166D"/>
    <w:rsid w:val="008C63CF"/>
    <w:rsid w:val="008D2903"/>
    <w:rsid w:val="008D340C"/>
    <w:rsid w:val="008D46AA"/>
    <w:rsid w:val="008D6ED2"/>
    <w:rsid w:val="008E737B"/>
    <w:rsid w:val="008E7C26"/>
    <w:rsid w:val="008F02A1"/>
    <w:rsid w:val="008F05C9"/>
    <w:rsid w:val="008F77FA"/>
    <w:rsid w:val="009135C5"/>
    <w:rsid w:val="0093352B"/>
    <w:rsid w:val="0093455B"/>
    <w:rsid w:val="00934E05"/>
    <w:rsid w:val="00934E22"/>
    <w:rsid w:val="0093532D"/>
    <w:rsid w:val="00937B9E"/>
    <w:rsid w:val="00941384"/>
    <w:rsid w:val="00943250"/>
    <w:rsid w:val="00944FB8"/>
    <w:rsid w:val="009547D1"/>
    <w:rsid w:val="0096466E"/>
    <w:rsid w:val="00975EDE"/>
    <w:rsid w:val="00977428"/>
    <w:rsid w:val="00982BC7"/>
    <w:rsid w:val="009869E4"/>
    <w:rsid w:val="00990DB5"/>
    <w:rsid w:val="00991FC7"/>
    <w:rsid w:val="00992C42"/>
    <w:rsid w:val="009A5051"/>
    <w:rsid w:val="009B0E4D"/>
    <w:rsid w:val="009B230C"/>
    <w:rsid w:val="009B26E0"/>
    <w:rsid w:val="009B3315"/>
    <w:rsid w:val="009B457C"/>
    <w:rsid w:val="009D06C5"/>
    <w:rsid w:val="009E0BF7"/>
    <w:rsid w:val="009E251A"/>
    <w:rsid w:val="009E72F6"/>
    <w:rsid w:val="009F49CE"/>
    <w:rsid w:val="00A001DF"/>
    <w:rsid w:val="00A02E9B"/>
    <w:rsid w:val="00A05DBC"/>
    <w:rsid w:val="00A10EC8"/>
    <w:rsid w:val="00A114D3"/>
    <w:rsid w:val="00A12879"/>
    <w:rsid w:val="00A13084"/>
    <w:rsid w:val="00A152DE"/>
    <w:rsid w:val="00A157AA"/>
    <w:rsid w:val="00A235A2"/>
    <w:rsid w:val="00A247A6"/>
    <w:rsid w:val="00A30B81"/>
    <w:rsid w:val="00A37157"/>
    <w:rsid w:val="00A41977"/>
    <w:rsid w:val="00A42584"/>
    <w:rsid w:val="00A433FC"/>
    <w:rsid w:val="00A47102"/>
    <w:rsid w:val="00A52347"/>
    <w:rsid w:val="00A52C85"/>
    <w:rsid w:val="00A536F6"/>
    <w:rsid w:val="00A56A36"/>
    <w:rsid w:val="00A64629"/>
    <w:rsid w:val="00A70A87"/>
    <w:rsid w:val="00A74228"/>
    <w:rsid w:val="00A74593"/>
    <w:rsid w:val="00A75318"/>
    <w:rsid w:val="00A7732F"/>
    <w:rsid w:val="00A77BD2"/>
    <w:rsid w:val="00A80F34"/>
    <w:rsid w:val="00A84956"/>
    <w:rsid w:val="00A95ED8"/>
    <w:rsid w:val="00AA6E40"/>
    <w:rsid w:val="00AA78D3"/>
    <w:rsid w:val="00AB60B4"/>
    <w:rsid w:val="00AC1182"/>
    <w:rsid w:val="00AC2F15"/>
    <w:rsid w:val="00AE0FA0"/>
    <w:rsid w:val="00AE0FA4"/>
    <w:rsid w:val="00AE2705"/>
    <w:rsid w:val="00AF3B3A"/>
    <w:rsid w:val="00AF4E22"/>
    <w:rsid w:val="00AF7556"/>
    <w:rsid w:val="00B056C3"/>
    <w:rsid w:val="00B05DB4"/>
    <w:rsid w:val="00B0626A"/>
    <w:rsid w:val="00B17D97"/>
    <w:rsid w:val="00B37FAF"/>
    <w:rsid w:val="00B41DB1"/>
    <w:rsid w:val="00B44C20"/>
    <w:rsid w:val="00B47D39"/>
    <w:rsid w:val="00B51A86"/>
    <w:rsid w:val="00B53626"/>
    <w:rsid w:val="00B614E4"/>
    <w:rsid w:val="00B62E27"/>
    <w:rsid w:val="00B645DD"/>
    <w:rsid w:val="00B66236"/>
    <w:rsid w:val="00B67B8B"/>
    <w:rsid w:val="00B70A2C"/>
    <w:rsid w:val="00B719B6"/>
    <w:rsid w:val="00B71DC2"/>
    <w:rsid w:val="00B725F5"/>
    <w:rsid w:val="00B72A81"/>
    <w:rsid w:val="00B774D7"/>
    <w:rsid w:val="00B85014"/>
    <w:rsid w:val="00B90BDE"/>
    <w:rsid w:val="00B95BF4"/>
    <w:rsid w:val="00BA21F4"/>
    <w:rsid w:val="00BA35FF"/>
    <w:rsid w:val="00BA3743"/>
    <w:rsid w:val="00BA5718"/>
    <w:rsid w:val="00BB2E5C"/>
    <w:rsid w:val="00BB76FD"/>
    <w:rsid w:val="00BD223E"/>
    <w:rsid w:val="00BE088B"/>
    <w:rsid w:val="00BF2D5D"/>
    <w:rsid w:val="00BF4C28"/>
    <w:rsid w:val="00BF62A8"/>
    <w:rsid w:val="00C16892"/>
    <w:rsid w:val="00C20B05"/>
    <w:rsid w:val="00C23303"/>
    <w:rsid w:val="00C30143"/>
    <w:rsid w:val="00C32A7D"/>
    <w:rsid w:val="00C44D5C"/>
    <w:rsid w:val="00C46963"/>
    <w:rsid w:val="00C737CF"/>
    <w:rsid w:val="00C92668"/>
    <w:rsid w:val="00C950DC"/>
    <w:rsid w:val="00C9558F"/>
    <w:rsid w:val="00CA6DB0"/>
    <w:rsid w:val="00CA7798"/>
    <w:rsid w:val="00CB1049"/>
    <w:rsid w:val="00CB217D"/>
    <w:rsid w:val="00CB2B4A"/>
    <w:rsid w:val="00CD1DA4"/>
    <w:rsid w:val="00CD3C29"/>
    <w:rsid w:val="00CD3E95"/>
    <w:rsid w:val="00CE3A65"/>
    <w:rsid w:val="00CE3AF4"/>
    <w:rsid w:val="00CE6550"/>
    <w:rsid w:val="00CF00C6"/>
    <w:rsid w:val="00D0117E"/>
    <w:rsid w:val="00D06C8C"/>
    <w:rsid w:val="00D12F67"/>
    <w:rsid w:val="00D171BA"/>
    <w:rsid w:val="00D226DD"/>
    <w:rsid w:val="00D32935"/>
    <w:rsid w:val="00D376C8"/>
    <w:rsid w:val="00D41AC9"/>
    <w:rsid w:val="00D52262"/>
    <w:rsid w:val="00D5246B"/>
    <w:rsid w:val="00D65BA6"/>
    <w:rsid w:val="00D7243E"/>
    <w:rsid w:val="00D72E82"/>
    <w:rsid w:val="00D74A56"/>
    <w:rsid w:val="00D81AD2"/>
    <w:rsid w:val="00DA3637"/>
    <w:rsid w:val="00DA3E64"/>
    <w:rsid w:val="00DA4E10"/>
    <w:rsid w:val="00DB1E7D"/>
    <w:rsid w:val="00DB46F0"/>
    <w:rsid w:val="00DC03BE"/>
    <w:rsid w:val="00DD038A"/>
    <w:rsid w:val="00DD493F"/>
    <w:rsid w:val="00DD5528"/>
    <w:rsid w:val="00DD7DB5"/>
    <w:rsid w:val="00DE0604"/>
    <w:rsid w:val="00DE2281"/>
    <w:rsid w:val="00DE2572"/>
    <w:rsid w:val="00DF195C"/>
    <w:rsid w:val="00DF5937"/>
    <w:rsid w:val="00E008DA"/>
    <w:rsid w:val="00E1031A"/>
    <w:rsid w:val="00E23F2B"/>
    <w:rsid w:val="00E31586"/>
    <w:rsid w:val="00E41057"/>
    <w:rsid w:val="00E50D29"/>
    <w:rsid w:val="00E5280A"/>
    <w:rsid w:val="00E633FD"/>
    <w:rsid w:val="00E63E78"/>
    <w:rsid w:val="00E74824"/>
    <w:rsid w:val="00E7704C"/>
    <w:rsid w:val="00E77A10"/>
    <w:rsid w:val="00E77E12"/>
    <w:rsid w:val="00E81A24"/>
    <w:rsid w:val="00E871A5"/>
    <w:rsid w:val="00E97E83"/>
    <w:rsid w:val="00EA4617"/>
    <w:rsid w:val="00EB1D80"/>
    <w:rsid w:val="00EB23B0"/>
    <w:rsid w:val="00EB660E"/>
    <w:rsid w:val="00EC4CFF"/>
    <w:rsid w:val="00EC4D7A"/>
    <w:rsid w:val="00ED1FC5"/>
    <w:rsid w:val="00ED34A5"/>
    <w:rsid w:val="00ED5357"/>
    <w:rsid w:val="00ED63F5"/>
    <w:rsid w:val="00EE266D"/>
    <w:rsid w:val="00EE5B42"/>
    <w:rsid w:val="00EF2E45"/>
    <w:rsid w:val="00EF73F7"/>
    <w:rsid w:val="00F01D55"/>
    <w:rsid w:val="00F079E2"/>
    <w:rsid w:val="00F14D17"/>
    <w:rsid w:val="00F216E6"/>
    <w:rsid w:val="00F26BFA"/>
    <w:rsid w:val="00F37261"/>
    <w:rsid w:val="00F40D37"/>
    <w:rsid w:val="00F41230"/>
    <w:rsid w:val="00F53CB4"/>
    <w:rsid w:val="00F57427"/>
    <w:rsid w:val="00F60539"/>
    <w:rsid w:val="00F608F7"/>
    <w:rsid w:val="00F626D0"/>
    <w:rsid w:val="00F6362E"/>
    <w:rsid w:val="00F96641"/>
    <w:rsid w:val="00F96E07"/>
    <w:rsid w:val="00FA1AB1"/>
    <w:rsid w:val="00FA4952"/>
    <w:rsid w:val="00FA4FB9"/>
    <w:rsid w:val="00FA7111"/>
    <w:rsid w:val="00FB0E62"/>
    <w:rsid w:val="00FB5D4E"/>
    <w:rsid w:val="00FC6C93"/>
    <w:rsid w:val="00FD0056"/>
    <w:rsid w:val="00FD0EE5"/>
    <w:rsid w:val="00FD215A"/>
    <w:rsid w:val="00FD5F85"/>
    <w:rsid w:val="00FE038F"/>
    <w:rsid w:val="00FE3FEB"/>
    <w:rsid w:val="00FE5D05"/>
    <w:rsid w:val="00FE7510"/>
    <w:rsid w:val="00FE794E"/>
    <w:rsid w:val="00FF43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5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B1049"/>
    <w:pPr>
      <w:spacing w:after="0" w:line="240" w:lineRule="auto"/>
      <w:ind w:left="510" w:right="510"/>
      <w:jc w:val="both"/>
    </w:pPr>
    <w:rPr>
      <w:rFonts w:ascii="Times New Roman" w:eastAsia="Times New Roman" w:hAnsi="Times New Roman" w:cs="Times New Roman"/>
      <w:sz w:val="20"/>
      <w:szCs w:val="24"/>
    </w:rPr>
  </w:style>
  <w:style w:type="paragraph" w:customStyle="1" w:styleId="SGML">
    <w:name w:val="SGML"/>
    <w:rsid w:val="00306082"/>
    <w:pPr>
      <w:spacing w:line="240" w:lineRule="auto"/>
    </w:pPr>
    <w:rPr>
      <w:rFonts w:ascii="Times New Roman" w:eastAsia="Times New Roman" w:hAnsi="Times New Roman" w:cs="Times New Roman"/>
      <w:color w:val="999999"/>
      <w:lang w:eastAsia="en-GB"/>
    </w:rPr>
  </w:style>
  <w:style w:type="paragraph" w:styleId="Header">
    <w:name w:val="header"/>
    <w:basedOn w:val="Normal"/>
    <w:link w:val="HeaderChar"/>
    <w:uiPriority w:val="99"/>
    <w:semiHidden/>
    <w:unhideWhenUsed/>
    <w:rsid w:val="002229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290E"/>
  </w:style>
  <w:style w:type="paragraph" w:styleId="Footer">
    <w:name w:val="footer"/>
    <w:basedOn w:val="Normal"/>
    <w:link w:val="FooterChar"/>
    <w:uiPriority w:val="99"/>
    <w:unhideWhenUsed/>
    <w:rsid w:val="00222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0E"/>
  </w:style>
  <w:style w:type="character" w:styleId="Hyperlink">
    <w:name w:val="Hyperlink"/>
    <w:basedOn w:val="DefaultParagraphFont"/>
    <w:uiPriority w:val="99"/>
    <w:unhideWhenUsed/>
    <w:rsid w:val="001D504F"/>
    <w:rPr>
      <w:color w:val="0000FF" w:themeColor="hyperlink"/>
      <w:u w:val="single"/>
    </w:rPr>
  </w:style>
  <w:style w:type="character" w:styleId="CommentReference">
    <w:name w:val="annotation reference"/>
    <w:basedOn w:val="DefaultParagraphFont"/>
    <w:uiPriority w:val="99"/>
    <w:semiHidden/>
    <w:unhideWhenUsed/>
    <w:rsid w:val="00010896"/>
    <w:rPr>
      <w:sz w:val="16"/>
      <w:szCs w:val="16"/>
    </w:rPr>
  </w:style>
  <w:style w:type="paragraph" w:styleId="CommentText">
    <w:name w:val="annotation text"/>
    <w:basedOn w:val="Normal"/>
    <w:link w:val="CommentTextChar"/>
    <w:uiPriority w:val="99"/>
    <w:semiHidden/>
    <w:unhideWhenUsed/>
    <w:rsid w:val="00010896"/>
    <w:pPr>
      <w:spacing w:line="240" w:lineRule="auto"/>
    </w:pPr>
    <w:rPr>
      <w:sz w:val="20"/>
      <w:szCs w:val="20"/>
    </w:rPr>
  </w:style>
  <w:style w:type="character" w:customStyle="1" w:styleId="CommentTextChar">
    <w:name w:val="Comment Text Char"/>
    <w:basedOn w:val="DefaultParagraphFont"/>
    <w:link w:val="CommentText"/>
    <w:uiPriority w:val="99"/>
    <w:semiHidden/>
    <w:rsid w:val="00010896"/>
    <w:rPr>
      <w:sz w:val="20"/>
      <w:szCs w:val="20"/>
    </w:rPr>
  </w:style>
  <w:style w:type="paragraph" w:styleId="CommentSubject">
    <w:name w:val="annotation subject"/>
    <w:basedOn w:val="CommentText"/>
    <w:next w:val="CommentText"/>
    <w:link w:val="CommentSubjectChar"/>
    <w:uiPriority w:val="99"/>
    <w:semiHidden/>
    <w:unhideWhenUsed/>
    <w:rsid w:val="00010896"/>
    <w:rPr>
      <w:b/>
      <w:bCs/>
    </w:rPr>
  </w:style>
  <w:style w:type="character" w:customStyle="1" w:styleId="CommentSubjectChar">
    <w:name w:val="Comment Subject Char"/>
    <w:basedOn w:val="CommentTextChar"/>
    <w:link w:val="CommentSubject"/>
    <w:uiPriority w:val="99"/>
    <w:semiHidden/>
    <w:rsid w:val="00010896"/>
    <w:rPr>
      <w:b/>
      <w:bCs/>
      <w:sz w:val="20"/>
      <w:szCs w:val="20"/>
    </w:rPr>
  </w:style>
  <w:style w:type="paragraph" w:styleId="BalloonText">
    <w:name w:val="Balloon Text"/>
    <w:basedOn w:val="Normal"/>
    <w:link w:val="BalloonTextChar"/>
    <w:uiPriority w:val="99"/>
    <w:semiHidden/>
    <w:unhideWhenUsed/>
    <w:rsid w:val="0001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B1049"/>
    <w:pPr>
      <w:spacing w:after="0" w:line="240" w:lineRule="auto"/>
      <w:ind w:left="510" w:right="510"/>
      <w:jc w:val="both"/>
    </w:pPr>
    <w:rPr>
      <w:rFonts w:ascii="Times New Roman" w:eastAsia="Times New Roman" w:hAnsi="Times New Roman" w:cs="Times New Roman"/>
      <w:sz w:val="20"/>
      <w:szCs w:val="24"/>
    </w:rPr>
  </w:style>
  <w:style w:type="paragraph" w:customStyle="1" w:styleId="SGML">
    <w:name w:val="SGML"/>
    <w:rsid w:val="00306082"/>
    <w:pPr>
      <w:spacing w:line="240" w:lineRule="auto"/>
    </w:pPr>
    <w:rPr>
      <w:rFonts w:ascii="Times New Roman" w:eastAsia="Times New Roman" w:hAnsi="Times New Roman" w:cs="Times New Roman"/>
      <w:color w:val="999999"/>
      <w:lang w:eastAsia="en-GB"/>
    </w:rPr>
  </w:style>
  <w:style w:type="paragraph" w:styleId="Header">
    <w:name w:val="header"/>
    <w:basedOn w:val="Normal"/>
    <w:link w:val="HeaderChar"/>
    <w:uiPriority w:val="99"/>
    <w:semiHidden/>
    <w:unhideWhenUsed/>
    <w:rsid w:val="002229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290E"/>
  </w:style>
  <w:style w:type="paragraph" w:styleId="Footer">
    <w:name w:val="footer"/>
    <w:basedOn w:val="Normal"/>
    <w:link w:val="FooterChar"/>
    <w:uiPriority w:val="99"/>
    <w:unhideWhenUsed/>
    <w:rsid w:val="00222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0E"/>
  </w:style>
  <w:style w:type="character" w:styleId="Hyperlink">
    <w:name w:val="Hyperlink"/>
    <w:basedOn w:val="DefaultParagraphFont"/>
    <w:uiPriority w:val="99"/>
    <w:unhideWhenUsed/>
    <w:rsid w:val="001D504F"/>
    <w:rPr>
      <w:color w:val="0000FF" w:themeColor="hyperlink"/>
      <w:u w:val="single"/>
    </w:rPr>
  </w:style>
  <w:style w:type="character" w:styleId="CommentReference">
    <w:name w:val="annotation reference"/>
    <w:basedOn w:val="DefaultParagraphFont"/>
    <w:uiPriority w:val="99"/>
    <w:semiHidden/>
    <w:unhideWhenUsed/>
    <w:rsid w:val="00010896"/>
    <w:rPr>
      <w:sz w:val="16"/>
      <w:szCs w:val="16"/>
    </w:rPr>
  </w:style>
  <w:style w:type="paragraph" w:styleId="CommentText">
    <w:name w:val="annotation text"/>
    <w:basedOn w:val="Normal"/>
    <w:link w:val="CommentTextChar"/>
    <w:uiPriority w:val="99"/>
    <w:semiHidden/>
    <w:unhideWhenUsed/>
    <w:rsid w:val="00010896"/>
    <w:pPr>
      <w:spacing w:line="240" w:lineRule="auto"/>
    </w:pPr>
    <w:rPr>
      <w:sz w:val="20"/>
      <w:szCs w:val="20"/>
    </w:rPr>
  </w:style>
  <w:style w:type="character" w:customStyle="1" w:styleId="CommentTextChar">
    <w:name w:val="Comment Text Char"/>
    <w:basedOn w:val="DefaultParagraphFont"/>
    <w:link w:val="CommentText"/>
    <w:uiPriority w:val="99"/>
    <w:semiHidden/>
    <w:rsid w:val="00010896"/>
    <w:rPr>
      <w:sz w:val="20"/>
      <w:szCs w:val="20"/>
    </w:rPr>
  </w:style>
  <w:style w:type="paragraph" w:styleId="CommentSubject">
    <w:name w:val="annotation subject"/>
    <w:basedOn w:val="CommentText"/>
    <w:next w:val="CommentText"/>
    <w:link w:val="CommentSubjectChar"/>
    <w:uiPriority w:val="99"/>
    <w:semiHidden/>
    <w:unhideWhenUsed/>
    <w:rsid w:val="00010896"/>
    <w:rPr>
      <w:b/>
      <w:bCs/>
    </w:rPr>
  </w:style>
  <w:style w:type="character" w:customStyle="1" w:styleId="CommentSubjectChar">
    <w:name w:val="Comment Subject Char"/>
    <w:basedOn w:val="CommentTextChar"/>
    <w:link w:val="CommentSubject"/>
    <w:uiPriority w:val="99"/>
    <w:semiHidden/>
    <w:rsid w:val="00010896"/>
    <w:rPr>
      <w:b/>
      <w:bCs/>
      <w:sz w:val="20"/>
      <w:szCs w:val="20"/>
    </w:rPr>
  </w:style>
  <w:style w:type="paragraph" w:styleId="BalloonText">
    <w:name w:val="Balloon Text"/>
    <w:basedOn w:val="Normal"/>
    <w:link w:val="BalloonTextChar"/>
    <w:uiPriority w:val="99"/>
    <w:semiHidden/>
    <w:unhideWhenUsed/>
    <w:rsid w:val="0001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7591">
      <w:bodyDiv w:val="1"/>
      <w:marLeft w:val="0"/>
      <w:marRight w:val="0"/>
      <w:marTop w:val="0"/>
      <w:marBottom w:val="0"/>
      <w:divBdr>
        <w:top w:val="none" w:sz="0" w:space="0" w:color="auto"/>
        <w:left w:val="none" w:sz="0" w:space="0" w:color="auto"/>
        <w:bottom w:val="none" w:sz="0" w:space="0" w:color="auto"/>
        <w:right w:val="none" w:sz="0" w:space="0" w:color="auto"/>
      </w:divBdr>
      <w:divsChild>
        <w:div w:id="461844877">
          <w:marLeft w:val="0"/>
          <w:marRight w:val="0"/>
          <w:marTop w:val="0"/>
          <w:marBottom w:val="0"/>
          <w:divBdr>
            <w:top w:val="none" w:sz="0" w:space="0" w:color="auto"/>
            <w:left w:val="none" w:sz="0" w:space="0" w:color="auto"/>
            <w:bottom w:val="none" w:sz="0" w:space="0" w:color="auto"/>
            <w:right w:val="none" w:sz="0" w:space="0" w:color="auto"/>
          </w:divBdr>
          <w:divsChild>
            <w:div w:id="150565767">
              <w:marLeft w:val="0"/>
              <w:marRight w:val="0"/>
              <w:marTop w:val="0"/>
              <w:marBottom w:val="0"/>
              <w:divBdr>
                <w:top w:val="none" w:sz="0" w:space="0" w:color="auto"/>
                <w:left w:val="none" w:sz="0" w:space="0" w:color="auto"/>
                <w:bottom w:val="none" w:sz="0" w:space="0" w:color="auto"/>
                <w:right w:val="none" w:sz="0" w:space="0" w:color="auto"/>
              </w:divBdr>
              <w:divsChild>
                <w:div w:id="1403721356">
                  <w:marLeft w:val="0"/>
                  <w:marRight w:val="0"/>
                  <w:marTop w:val="0"/>
                  <w:marBottom w:val="0"/>
                  <w:divBdr>
                    <w:top w:val="none" w:sz="0" w:space="0" w:color="auto"/>
                    <w:left w:val="none" w:sz="0" w:space="0" w:color="auto"/>
                    <w:bottom w:val="none" w:sz="0" w:space="0" w:color="auto"/>
                    <w:right w:val="none" w:sz="0" w:space="0" w:color="auto"/>
                  </w:divBdr>
                  <w:divsChild>
                    <w:div w:id="1398549045">
                      <w:marLeft w:val="0"/>
                      <w:marRight w:val="0"/>
                      <w:marTop w:val="0"/>
                      <w:marBottom w:val="0"/>
                      <w:divBdr>
                        <w:top w:val="none" w:sz="0" w:space="0" w:color="auto"/>
                        <w:left w:val="none" w:sz="0" w:space="0" w:color="auto"/>
                        <w:bottom w:val="none" w:sz="0" w:space="0" w:color="auto"/>
                        <w:right w:val="none" w:sz="0" w:space="0" w:color="auto"/>
                      </w:divBdr>
                      <w:divsChild>
                        <w:div w:id="1318873481">
                          <w:marLeft w:val="0"/>
                          <w:marRight w:val="0"/>
                          <w:marTop w:val="0"/>
                          <w:marBottom w:val="0"/>
                          <w:divBdr>
                            <w:top w:val="none" w:sz="0" w:space="0" w:color="auto"/>
                            <w:left w:val="none" w:sz="0" w:space="0" w:color="auto"/>
                            <w:bottom w:val="none" w:sz="0" w:space="0" w:color="auto"/>
                            <w:right w:val="none" w:sz="0" w:space="0" w:color="auto"/>
                          </w:divBdr>
                          <w:divsChild>
                            <w:div w:id="1787361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94316">
      <w:bodyDiv w:val="1"/>
      <w:marLeft w:val="0"/>
      <w:marRight w:val="0"/>
      <w:marTop w:val="0"/>
      <w:marBottom w:val="0"/>
      <w:divBdr>
        <w:top w:val="none" w:sz="0" w:space="0" w:color="auto"/>
        <w:left w:val="none" w:sz="0" w:space="0" w:color="auto"/>
        <w:bottom w:val="none" w:sz="0" w:space="0" w:color="auto"/>
        <w:right w:val="none" w:sz="0" w:space="0" w:color="auto"/>
      </w:divBdr>
      <w:divsChild>
        <w:div w:id="198326361">
          <w:marLeft w:val="0"/>
          <w:marRight w:val="0"/>
          <w:marTop w:val="0"/>
          <w:marBottom w:val="0"/>
          <w:divBdr>
            <w:top w:val="none" w:sz="0" w:space="0" w:color="auto"/>
            <w:left w:val="single" w:sz="6" w:space="0" w:color="E6E6E6"/>
            <w:bottom w:val="none" w:sz="0" w:space="0" w:color="auto"/>
            <w:right w:val="single" w:sz="6" w:space="0" w:color="E6E6E6"/>
          </w:divBdr>
          <w:divsChild>
            <w:div w:id="404837772">
              <w:marLeft w:val="0"/>
              <w:marRight w:val="0"/>
              <w:marTop w:val="0"/>
              <w:marBottom w:val="0"/>
              <w:divBdr>
                <w:top w:val="none" w:sz="0" w:space="0" w:color="auto"/>
                <w:left w:val="none" w:sz="0" w:space="0" w:color="auto"/>
                <w:bottom w:val="none" w:sz="0" w:space="0" w:color="auto"/>
                <w:right w:val="none" w:sz="0" w:space="0" w:color="auto"/>
              </w:divBdr>
              <w:divsChild>
                <w:div w:id="1636131958">
                  <w:marLeft w:val="-330"/>
                  <w:marRight w:val="-330"/>
                  <w:marTop w:val="0"/>
                  <w:marBottom w:val="0"/>
                  <w:divBdr>
                    <w:top w:val="none" w:sz="0" w:space="0" w:color="auto"/>
                    <w:left w:val="none" w:sz="0" w:space="0" w:color="auto"/>
                    <w:bottom w:val="none" w:sz="0" w:space="0" w:color="auto"/>
                    <w:right w:val="none" w:sz="0" w:space="0" w:color="auto"/>
                  </w:divBdr>
                  <w:divsChild>
                    <w:div w:id="2057123306">
                      <w:marLeft w:val="0"/>
                      <w:marRight w:val="0"/>
                      <w:marTop w:val="0"/>
                      <w:marBottom w:val="0"/>
                      <w:divBdr>
                        <w:top w:val="none" w:sz="0" w:space="0" w:color="auto"/>
                        <w:left w:val="none" w:sz="0" w:space="0" w:color="auto"/>
                        <w:bottom w:val="none" w:sz="0" w:space="0" w:color="auto"/>
                        <w:right w:val="none" w:sz="0" w:space="0" w:color="auto"/>
                      </w:divBdr>
                      <w:divsChild>
                        <w:div w:id="1696346075">
                          <w:marLeft w:val="0"/>
                          <w:marRight w:val="0"/>
                          <w:marTop w:val="0"/>
                          <w:marBottom w:val="0"/>
                          <w:divBdr>
                            <w:top w:val="none" w:sz="0" w:space="0" w:color="auto"/>
                            <w:left w:val="none" w:sz="0" w:space="0" w:color="auto"/>
                            <w:bottom w:val="none" w:sz="0" w:space="0" w:color="auto"/>
                            <w:right w:val="none" w:sz="0" w:space="0" w:color="auto"/>
                          </w:divBdr>
                          <w:divsChild>
                            <w:div w:id="1268195897">
                              <w:marLeft w:val="-150"/>
                              <w:marRight w:val="-150"/>
                              <w:marTop w:val="0"/>
                              <w:marBottom w:val="0"/>
                              <w:divBdr>
                                <w:top w:val="none" w:sz="0" w:space="0" w:color="auto"/>
                                <w:left w:val="none" w:sz="0" w:space="0" w:color="auto"/>
                                <w:bottom w:val="none" w:sz="0" w:space="0" w:color="auto"/>
                                <w:right w:val="none" w:sz="0" w:space="0" w:color="auto"/>
                              </w:divBdr>
                              <w:divsChild>
                                <w:div w:id="1008408022">
                                  <w:marLeft w:val="0"/>
                                  <w:marRight w:val="0"/>
                                  <w:marTop w:val="0"/>
                                  <w:marBottom w:val="0"/>
                                  <w:divBdr>
                                    <w:top w:val="none" w:sz="0" w:space="0" w:color="auto"/>
                                    <w:left w:val="none" w:sz="0" w:space="0" w:color="auto"/>
                                    <w:bottom w:val="none" w:sz="0" w:space="0" w:color="auto"/>
                                    <w:right w:val="none" w:sz="0" w:space="0" w:color="auto"/>
                                  </w:divBdr>
                                  <w:divsChild>
                                    <w:div w:id="603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6309">
      <w:bodyDiv w:val="1"/>
      <w:marLeft w:val="0"/>
      <w:marRight w:val="0"/>
      <w:marTop w:val="0"/>
      <w:marBottom w:val="0"/>
      <w:divBdr>
        <w:top w:val="none" w:sz="0" w:space="0" w:color="auto"/>
        <w:left w:val="none" w:sz="0" w:space="0" w:color="auto"/>
        <w:bottom w:val="none" w:sz="0" w:space="0" w:color="auto"/>
        <w:right w:val="none" w:sz="0" w:space="0" w:color="auto"/>
      </w:divBdr>
      <w:divsChild>
        <w:div w:id="198905085">
          <w:marLeft w:val="0"/>
          <w:marRight w:val="0"/>
          <w:marTop w:val="0"/>
          <w:marBottom w:val="0"/>
          <w:divBdr>
            <w:top w:val="none" w:sz="0" w:space="0" w:color="auto"/>
            <w:left w:val="none" w:sz="0" w:space="0" w:color="auto"/>
            <w:bottom w:val="none" w:sz="0" w:space="0" w:color="auto"/>
            <w:right w:val="none" w:sz="0" w:space="0" w:color="auto"/>
          </w:divBdr>
          <w:divsChild>
            <w:div w:id="441413106">
              <w:marLeft w:val="0"/>
              <w:marRight w:val="0"/>
              <w:marTop w:val="0"/>
              <w:marBottom w:val="0"/>
              <w:divBdr>
                <w:top w:val="none" w:sz="0" w:space="0" w:color="auto"/>
                <w:left w:val="none" w:sz="0" w:space="0" w:color="auto"/>
                <w:bottom w:val="none" w:sz="0" w:space="0" w:color="auto"/>
                <w:right w:val="none" w:sz="0" w:space="0" w:color="auto"/>
              </w:divBdr>
              <w:divsChild>
                <w:div w:id="779953599">
                  <w:marLeft w:val="0"/>
                  <w:marRight w:val="0"/>
                  <w:marTop w:val="0"/>
                  <w:marBottom w:val="0"/>
                  <w:divBdr>
                    <w:top w:val="none" w:sz="0" w:space="0" w:color="auto"/>
                    <w:left w:val="none" w:sz="0" w:space="0" w:color="auto"/>
                    <w:bottom w:val="none" w:sz="0" w:space="0" w:color="auto"/>
                    <w:right w:val="none" w:sz="0" w:space="0" w:color="auto"/>
                  </w:divBdr>
                  <w:divsChild>
                    <w:div w:id="531766755">
                      <w:marLeft w:val="0"/>
                      <w:marRight w:val="0"/>
                      <w:marTop w:val="0"/>
                      <w:marBottom w:val="0"/>
                      <w:divBdr>
                        <w:top w:val="none" w:sz="0" w:space="0" w:color="auto"/>
                        <w:left w:val="none" w:sz="0" w:space="0" w:color="auto"/>
                        <w:bottom w:val="none" w:sz="0" w:space="0" w:color="auto"/>
                        <w:right w:val="none" w:sz="0" w:space="0" w:color="auto"/>
                      </w:divBdr>
                      <w:divsChild>
                        <w:div w:id="1050111221">
                          <w:marLeft w:val="0"/>
                          <w:marRight w:val="0"/>
                          <w:marTop w:val="0"/>
                          <w:marBottom w:val="0"/>
                          <w:divBdr>
                            <w:top w:val="none" w:sz="0" w:space="0" w:color="auto"/>
                            <w:left w:val="none" w:sz="0" w:space="0" w:color="auto"/>
                            <w:bottom w:val="none" w:sz="0" w:space="0" w:color="auto"/>
                            <w:right w:val="none" w:sz="0" w:space="0" w:color="auto"/>
                          </w:divBdr>
                          <w:divsChild>
                            <w:div w:id="11920380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6A5D0-B46D-425E-9201-D40049A8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6012</Words>
  <Characters>34275</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the West of England</Company>
  <LinksUpToDate>false</LinksUpToDate>
  <CharactersWithSpaces>40207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Clegg</dc:creator>
  <cp:lastModifiedBy>Ben Jones</cp:lastModifiedBy>
  <cp:revision>2</cp:revision>
  <cp:lastPrinted>2015-08-20T13:32:00Z</cp:lastPrinted>
  <dcterms:created xsi:type="dcterms:W3CDTF">2015-08-20T13:32:00Z</dcterms:created>
  <dcterms:modified xsi:type="dcterms:W3CDTF">2015-08-20T13:32:00Z</dcterms:modified>
</cp:coreProperties>
</file>