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73E" w:rsidRPr="00FF173E" w:rsidRDefault="00FF173E" w:rsidP="00FF173E">
      <w:pPr>
        <w:pStyle w:val="ManuscriptID"/>
        <w:widowControl w:val="0"/>
      </w:pPr>
      <w:r w:rsidRPr="00FF173E">
        <w:t>DOI: 10.1002/cssc.201500431</w:t>
      </w:r>
    </w:p>
    <w:p w:rsidR="00FF173E" w:rsidRPr="00FF173E" w:rsidRDefault="00FF173E" w:rsidP="00FF173E">
      <w:pPr>
        <w:pStyle w:val="Categ"/>
        <w:widowControl w:val="0"/>
      </w:pPr>
      <w:r w:rsidRPr="00FF173E">
        <w:t>Full Paper</w:t>
      </w:r>
    </w:p>
    <w:p w:rsidR="00FF173E" w:rsidRPr="00FF173E" w:rsidRDefault="00FF173E" w:rsidP="00CB4B63">
      <w:pPr>
        <w:pStyle w:val="Heading1"/>
        <w:rPr>
          <w:b/>
        </w:rPr>
      </w:pPr>
      <w:r w:rsidRPr="00FF173E">
        <w:t>Fade to Green: A Biodegradable Stack of Microbial Fuel Cells</w:t>
      </w:r>
    </w:p>
    <w:p w:rsidR="00FF173E" w:rsidRPr="00FF173E" w:rsidRDefault="00FF173E" w:rsidP="00FF173E">
      <w:pPr>
        <w:pStyle w:val="Authors"/>
      </w:pPr>
      <w:proofErr w:type="spellStart"/>
      <w:r w:rsidRPr="00FF173E">
        <w:t>Dr.</w:t>
      </w:r>
      <w:proofErr w:type="spellEnd"/>
      <w:r w:rsidRPr="00FF173E">
        <w:t xml:space="preserve"> Jonathan Winfield,*</w:t>
      </w:r>
      <w:r w:rsidRPr="00FF173E">
        <w:rPr>
          <w:vertAlign w:val="superscript"/>
        </w:rPr>
        <w:t>[a]</w:t>
      </w:r>
      <w:r w:rsidR="00CB4B63">
        <w:t xml:space="preserve"> </w:t>
      </w:r>
      <w:proofErr w:type="spellStart"/>
      <w:r w:rsidR="00CB4B63">
        <w:t>Dr.</w:t>
      </w:r>
      <w:proofErr w:type="spellEnd"/>
      <w:r w:rsidR="00CB4B63">
        <w:t xml:space="preserve"> Lily </w:t>
      </w:r>
      <w:r w:rsidRPr="00FF173E">
        <w:t>D. Chambers,</w:t>
      </w:r>
      <w:r w:rsidRPr="00FF173E">
        <w:rPr>
          <w:vertAlign w:val="superscript"/>
        </w:rPr>
        <w:t>[b]</w:t>
      </w:r>
      <w:r w:rsidRPr="00FF173E">
        <w:t xml:space="preserve"> </w:t>
      </w:r>
      <w:proofErr w:type="spellStart"/>
      <w:r w:rsidRPr="00FF173E">
        <w:t>Dr.</w:t>
      </w:r>
      <w:proofErr w:type="spellEnd"/>
      <w:r w:rsidRPr="00FF173E">
        <w:t xml:space="preserve"> Jonathan Rossiter,</w:t>
      </w:r>
      <w:r w:rsidRPr="00FF173E">
        <w:rPr>
          <w:vertAlign w:val="superscript"/>
        </w:rPr>
        <w:t>[b]</w:t>
      </w:r>
      <w:r w:rsidRPr="00FF173E">
        <w:t xml:space="preserve"> Andrew Stinchcombe,</w:t>
      </w:r>
      <w:r w:rsidRPr="00FF173E">
        <w:rPr>
          <w:vertAlign w:val="superscript"/>
        </w:rPr>
        <w:t>[a]</w:t>
      </w:r>
      <w:r w:rsidR="00CB4B63">
        <w:t xml:space="preserve"> </w:t>
      </w:r>
      <w:proofErr w:type="spellStart"/>
      <w:r w:rsidR="00CB4B63">
        <w:t>Dr.</w:t>
      </w:r>
      <w:proofErr w:type="spellEnd"/>
      <w:r w:rsidR="00CB4B63">
        <w:t xml:space="preserve"> </w:t>
      </w:r>
      <w:r w:rsidRPr="00FF173E">
        <w:t>X. Alexis Walter,</w:t>
      </w:r>
      <w:r w:rsidRPr="00FF173E">
        <w:rPr>
          <w:vertAlign w:val="superscript"/>
        </w:rPr>
        <w:t>[a]</w:t>
      </w:r>
      <w:r w:rsidRPr="00FF173E">
        <w:t xml:space="preserve"> </w:t>
      </w:r>
      <w:proofErr w:type="spellStart"/>
      <w:r w:rsidRPr="00FF173E">
        <w:t>Prof.</w:t>
      </w:r>
      <w:proofErr w:type="spellEnd"/>
      <w:r w:rsidRPr="00FF173E">
        <w:t xml:space="preserve"> John </w:t>
      </w:r>
      <w:proofErr w:type="spellStart"/>
      <w:r w:rsidRPr="00FF173E">
        <w:t>Greenman</w:t>
      </w:r>
      <w:proofErr w:type="spellEnd"/>
      <w:r w:rsidRPr="00FF173E">
        <w:t>,</w:t>
      </w:r>
      <w:r w:rsidRPr="00FF173E">
        <w:rPr>
          <w:vertAlign w:val="superscript"/>
        </w:rPr>
        <w:t>[c]</w:t>
      </w:r>
      <w:r w:rsidRPr="00FF173E">
        <w:t xml:space="preserve"> and </w:t>
      </w:r>
      <w:proofErr w:type="spellStart"/>
      <w:r w:rsidRPr="00FF173E">
        <w:t>Prof.</w:t>
      </w:r>
      <w:proofErr w:type="spellEnd"/>
      <w:r w:rsidRPr="00FF173E">
        <w:t xml:space="preserve"> Ioannis Ieropoulos*</w:t>
      </w:r>
      <w:r w:rsidRPr="00FF173E">
        <w:rPr>
          <w:vertAlign w:val="superscript"/>
        </w:rPr>
        <w:t>[a]</w:t>
      </w:r>
    </w:p>
    <w:p w:rsidR="00FF173E" w:rsidRPr="00FF173E" w:rsidRDefault="00FF173E" w:rsidP="00FF173E">
      <w:pPr>
        <w:pStyle w:val="Adress"/>
      </w:pPr>
      <w:r w:rsidRPr="00FF173E">
        <w:rPr>
          <w:vertAlign w:val="superscript"/>
        </w:rPr>
        <w:t>[</w:t>
      </w:r>
      <w:proofErr w:type="gramStart"/>
      <w:r w:rsidRPr="00FF173E">
        <w:rPr>
          <w:vertAlign w:val="superscript"/>
        </w:rPr>
        <w:t>a</w:t>
      </w:r>
      <w:proofErr w:type="gramEnd"/>
      <w:r w:rsidRPr="00FF173E">
        <w:rPr>
          <w:vertAlign w:val="superscript"/>
        </w:rPr>
        <w:t>]</w:t>
      </w:r>
      <w:r w:rsidRPr="00FF173E">
        <w:tab/>
        <w:t xml:space="preserve">Bristol </w:t>
      </w:r>
      <w:proofErr w:type="spellStart"/>
      <w:r w:rsidRPr="00FF173E">
        <w:t>BioEnergy</w:t>
      </w:r>
      <w:proofErr w:type="spellEnd"/>
      <w:r w:rsidRPr="00FF173E">
        <w:t xml:space="preserve"> Centre, University of the West of England, Bristol (UK)</w:t>
      </w:r>
    </w:p>
    <w:p w:rsidR="00FF173E" w:rsidRPr="00FF173E" w:rsidRDefault="00FF173E" w:rsidP="00FF173E">
      <w:pPr>
        <w:pStyle w:val="Adress"/>
      </w:pPr>
      <w:r w:rsidRPr="00FF173E">
        <w:rPr>
          <w:rFonts w:cs="Arial"/>
          <w:vertAlign w:val="superscript"/>
        </w:rPr>
        <w:t>[b]</w:t>
      </w:r>
      <w:r w:rsidRPr="00FF173E">
        <w:rPr>
          <w:rFonts w:cs="Arial"/>
        </w:rPr>
        <w:tab/>
        <w:t xml:space="preserve">Bristol Robotics Laboratory, </w:t>
      </w:r>
      <w:r w:rsidRPr="00FF173E">
        <w:t>University of Bristol, Bristol (UK)</w:t>
      </w:r>
    </w:p>
    <w:p w:rsidR="00FF173E" w:rsidRPr="00FF173E" w:rsidRDefault="00FF173E" w:rsidP="00FF173E">
      <w:pPr>
        <w:pStyle w:val="Adress"/>
      </w:pPr>
      <w:r w:rsidRPr="00FF173E">
        <w:rPr>
          <w:rFonts w:cs="Arial"/>
          <w:vertAlign w:val="superscript"/>
        </w:rPr>
        <w:t>[c]</w:t>
      </w:r>
      <w:r w:rsidRPr="00FF173E">
        <w:rPr>
          <w:rFonts w:cs="Arial"/>
        </w:rPr>
        <w:tab/>
        <w:t xml:space="preserve">Microbiology Department, </w:t>
      </w:r>
      <w:r w:rsidRPr="00FF173E">
        <w:t>University of the West of England, Bristol (UK)</w:t>
      </w:r>
    </w:p>
    <w:p w:rsidR="00CB4B63" w:rsidRPr="00CB4B63" w:rsidRDefault="00CB4B63" w:rsidP="00CB4B63">
      <w:pPr>
        <w:pStyle w:val="Heading1"/>
      </w:pPr>
      <w:r w:rsidRPr="00CB4B63">
        <w:t>Abstract</w:t>
      </w:r>
    </w:p>
    <w:p w:rsidR="00CB4B63" w:rsidRPr="00CB4B63" w:rsidRDefault="00CB4B63" w:rsidP="00CB4B63">
      <w:pPr>
        <w:pStyle w:val="H1"/>
        <w:ind w:left="0" w:firstLine="0"/>
        <w:rPr>
          <w:b w:val="0"/>
        </w:rPr>
      </w:pPr>
      <w:r w:rsidRPr="00CB4B63">
        <w:rPr>
          <w:b w:val="0"/>
        </w:rPr>
        <w:t>The focus of this study is the development of biodegradable micr</w:t>
      </w:r>
      <w:r>
        <w:rPr>
          <w:b w:val="0"/>
        </w:rPr>
        <w:t xml:space="preserve">obial fuel cells (MFCs) able to </w:t>
      </w:r>
      <w:r w:rsidRPr="00CB4B63">
        <w:rPr>
          <w:b w:val="0"/>
        </w:rPr>
        <w:t>produce us</w:t>
      </w:r>
      <w:r w:rsidR="00921919">
        <w:rPr>
          <w:b w:val="0"/>
        </w:rPr>
        <w:t xml:space="preserve">eful power. Reactors with an 8 </w:t>
      </w:r>
      <w:r w:rsidRPr="00CB4B63">
        <w:rPr>
          <w:b w:val="0"/>
        </w:rPr>
        <w:t xml:space="preserve">mL chamber volume, were designed using all biodegradable products: </w:t>
      </w:r>
      <w:proofErr w:type="spellStart"/>
      <w:r w:rsidRPr="00CB4B63">
        <w:rPr>
          <w:b w:val="0"/>
        </w:rPr>
        <w:t>polylactic</w:t>
      </w:r>
      <w:proofErr w:type="spellEnd"/>
      <w:r w:rsidRPr="00CB4B63">
        <w:rPr>
          <w:b w:val="0"/>
        </w:rPr>
        <w:t xml:space="preserve"> acid for the frames, natural rubber as the cation-exchange membrane and egg-based, open-to-air cathodes coated with a lanolin gas diffusion layer. Forty MFCs were operated in various configurations. When fed with urine, the biodegradable stack was able to power appliances and was still operational after six months. One useful application for this truly sustainable MFC technology includes </w:t>
      </w:r>
      <w:proofErr w:type="spellStart"/>
      <w:r w:rsidRPr="00CB4B63">
        <w:rPr>
          <w:b w:val="0"/>
        </w:rPr>
        <w:t>onboard</w:t>
      </w:r>
      <w:proofErr w:type="spellEnd"/>
      <w:r w:rsidRPr="00CB4B63">
        <w:rPr>
          <w:b w:val="0"/>
        </w:rPr>
        <w:t xml:space="preserve"> power supplies for biodegradable robotic systems. After operation in remote ecological locations, these could degrade harmlessly into the surroundings to leave no trace when the mission is complete.</w:t>
      </w:r>
    </w:p>
    <w:p w:rsidR="00FF173E" w:rsidRPr="00CB4B63" w:rsidRDefault="00CB4B63" w:rsidP="00CB4B63">
      <w:pPr>
        <w:pStyle w:val="H1"/>
        <w:ind w:left="0" w:firstLine="0"/>
        <w:rPr>
          <w:b w:val="0"/>
        </w:rPr>
      </w:pPr>
      <w:r w:rsidRPr="00CB4B63">
        <w:t>Key words:</w:t>
      </w:r>
      <w:r w:rsidRPr="00CB4B63">
        <w:rPr>
          <w:b w:val="0"/>
        </w:rPr>
        <w:t xml:space="preserve"> energy conversion, fuel cells, green chemistry, materials science, renewable resources</w:t>
      </w:r>
    </w:p>
    <w:p w:rsidR="00FF173E" w:rsidRPr="00FF173E" w:rsidRDefault="00FF173E" w:rsidP="00CB4B63">
      <w:pPr>
        <w:pStyle w:val="Heading1"/>
      </w:pPr>
      <w:r w:rsidRPr="00FF173E">
        <w:t>Introduction</w:t>
      </w:r>
    </w:p>
    <w:p w:rsidR="00FF173E" w:rsidRPr="00FF173E" w:rsidRDefault="00FF173E" w:rsidP="00FF173E">
      <w:pPr>
        <w:pStyle w:val="P1"/>
      </w:pPr>
      <w:r w:rsidRPr="00FF173E">
        <w:t>The plan</w:t>
      </w:r>
      <w:r w:rsidRPr="00921919">
        <w:t>et’s</w:t>
      </w:r>
      <w:r w:rsidRPr="00FF173E">
        <w:t xml:space="preserve"> ecosystems are now known to be changing under the pressure of human demand.</w:t>
      </w:r>
      <w:r w:rsidRPr="00FF173E">
        <w:rPr>
          <w:vertAlign w:val="superscript"/>
        </w:rPr>
        <w:t>[1]</w:t>
      </w:r>
      <w:r w:rsidRPr="00FF173E">
        <w:t xml:space="preserve"> To reduce the burden and to leave a sustainable legacy for future generations, the widespread use of renewable energy needs to be achieved and the ever-increasing production of human waste requires urgent attention. Anthropogenic excess comes in many forms; from the continuous release of food and toilet wastewaters to the discard of hazardous materials such as old </w:t>
      </w:r>
      <w:r w:rsidRPr="00FF173E">
        <w:lastRenderedPageBreak/>
        <w:t xml:space="preserve">electronics, plastics and batteries. One exciting area of research is the microbial fuel cell (MFC), a technology that employs bacteria to remove organic pollutants from liquid waste-streams with the added bonus of the production of electricity in the process. MFCs offer great potential not only in terms of wastewater </w:t>
      </w:r>
      <w:proofErr w:type="gramStart"/>
      <w:r w:rsidRPr="00FF173E">
        <w:t>treatment</w:t>
      </w:r>
      <w:r w:rsidRPr="00FF173E">
        <w:rPr>
          <w:vertAlign w:val="superscript"/>
        </w:rPr>
        <w:t>[</w:t>
      </w:r>
      <w:proofErr w:type="gramEnd"/>
      <w:r w:rsidRPr="00FF173E">
        <w:rPr>
          <w:vertAlign w:val="superscript"/>
        </w:rPr>
        <w:t>2]</w:t>
      </w:r>
      <w:r w:rsidRPr="00FF173E">
        <w:t xml:space="preserve"> but also as biosensors,</w:t>
      </w:r>
      <w:r w:rsidRPr="00FF173E">
        <w:rPr>
          <w:vertAlign w:val="superscript"/>
        </w:rPr>
        <w:t>[3]</w:t>
      </w:r>
      <w:r w:rsidRPr="00FF173E">
        <w:t xml:space="preserve"> power supplies for continuously charging mobile phones and small electrical applications</w:t>
      </w:r>
      <w:r w:rsidR="00921919">
        <w:rPr>
          <w:vertAlign w:val="superscript"/>
        </w:rPr>
        <w:t>[4,</w:t>
      </w:r>
      <w:r w:rsidRPr="00FF173E">
        <w:rPr>
          <w:vertAlign w:val="superscript"/>
        </w:rPr>
        <w:t>5]</w:t>
      </w:r>
      <w:r w:rsidRPr="00FF173E">
        <w:t xml:space="preserve"> and for the production of useful cathodic by-products such as caustic soda.</w:t>
      </w:r>
      <w:r w:rsidRPr="00FF173E">
        <w:rPr>
          <w:vertAlign w:val="superscript"/>
        </w:rPr>
        <w:t>[6]</w:t>
      </w:r>
      <w:r w:rsidRPr="00FF173E">
        <w:t xml:space="preserve"> Despite the improvements in power generation and efficiency over recent years, there is still a reliance on materials and components that are expensive or not environmentally safe. MFCs can be considered green in terms of their contribution to renewable energy, but paradoxically the core parts and materials might also contribute towards anthropogenic waste. For the MFC technology to be considered feasible for target applications, both economic and environmental costs must be minimised</w:t>
      </w:r>
      <w:proofErr w:type="gramStart"/>
      <w:r w:rsidRPr="00FF173E">
        <w:t>.</w:t>
      </w:r>
      <w:r w:rsidRPr="00FF173E">
        <w:rPr>
          <w:vertAlign w:val="superscript"/>
        </w:rPr>
        <w:t>[</w:t>
      </w:r>
      <w:proofErr w:type="gramEnd"/>
      <w:r w:rsidRPr="00FF173E">
        <w:rPr>
          <w:vertAlign w:val="superscript"/>
        </w:rPr>
        <w:t>7]</w:t>
      </w:r>
      <w:r w:rsidRPr="00FF173E">
        <w:t xml:space="preserve"> Other related disciplines, such as “green electronics”, are already embracing these issues. Although energy efficiency is an important aspect in terms of end use, it is the energy involved in the manufacturing phase that can be the most damaging to the environment.</w:t>
      </w:r>
      <w:r w:rsidRPr="00FF173E">
        <w:rPr>
          <w:vertAlign w:val="superscript"/>
        </w:rPr>
        <w:t>[8]</w:t>
      </w:r>
      <w:r w:rsidRPr="00FF173E">
        <w:t xml:space="preserve"> Therefore, whole-lifecycle costs must be considered, from materials sourcing and fabrication to recycling and disposal. Biodegradable electronics are under development</w:t>
      </w:r>
      <w:r w:rsidRPr="00FF173E" w:rsidDel="00514017">
        <w:t xml:space="preserve"> </w:t>
      </w:r>
      <w:r w:rsidRPr="00FF173E">
        <w:t>to reduce the effects of waste accumulation.</w:t>
      </w:r>
      <w:r w:rsidRPr="00FF173E">
        <w:rPr>
          <w:vertAlign w:val="superscript"/>
        </w:rPr>
        <w:t>[9]</w:t>
      </w:r>
      <w:r w:rsidRPr="00FF173E">
        <w:t xml:space="preserve"> A range of natural substrates have been employed as polymers, which include collagen, chitin, alginate, gelatine and silk.</w:t>
      </w:r>
      <w:r w:rsidRPr="00FF173E">
        <w:rPr>
          <w:vertAlign w:val="superscript"/>
        </w:rPr>
        <w:t>[8]</w:t>
      </w:r>
      <w:r w:rsidRPr="00FF173E">
        <w:t xml:space="preserve"> The current study investigates materials for the development of biodegradable MFCs with an emphasis on minimum environmental impact. One new application for biodegradable MFCs is being the power source for biodegradable robots. Such a device should integrate with the natural environment without any negative impact and adapt to fluctuating conditions. This makes MFCs an ideal consideration even over other bio-electrochemical technologies because the microbial community is more dependent on the availability, rather than </w:t>
      </w:r>
      <w:r w:rsidRPr="00FF173E">
        <w:rPr>
          <w:color w:val="000000"/>
        </w:rPr>
        <w:t>on the particular type</w:t>
      </w:r>
      <w:r w:rsidRPr="00FF173E">
        <w:t xml:space="preserve"> of organic fuel</w:t>
      </w:r>
      <w:r w:rsidRPr="00FF173E">
        <w:rPr>
          <w:color w:val="000000"/>
        </w:rPr>
        <w:t>. This differs from enzymatic fuel cells</w:t>
      </w:r>
      <w:proofErr w:type="gramStart"/>
      <w:r w:rsidRPr="00FF173E">
        <w:rPr>
          <w:color w:val="000000"/>
        </w:rPr>
        <w:t>,</w:t>
      </w:r>
      <w:r w:rsidRPr="00FF173E">
        <w:rPr>
          <w:color w:val="000000"/>
          <w:vertAlign w:val="superscript"/>
        </w:rPr>
        <w:t>[</w:t>
      </w:r>
      <w:proofErr w:type="gramEnd"/>
      <w:r w:rsidRPr="00FF173E">
        <w:rPr>
          <w:color w:val="000000"/>
          <w:vertAlign w:val="superscript"/>
        </w:rPr>
        <w:t>10]</w:t>
      </w:r>
      <w:r w:rsidRPr="00FF173E">
        <w:rPr>
          <w:color w:val="000000"/>
        </w:rPr>
        <w:t xml:space="preserve"> for example, in which pre-immobilised enzymes are limited by the type of feedstock and could be prone to denaturation/depletion/damage in unsheltered environments. In MFCs, the variation of the operating parameters would affect the biofilm, but as in nature, the microbial community may acclimatise to these changes. This has been demonstrated with mixed communities to the extent that a number of species can establish electricity-generation pathways if the environment is conducive</w:t>
      </w:r>
      <w:proofErr w:type="gramStart"/>
      <w:r w:rsidRPr="00FF173E">
        <w:rPr>
          <w:color w:val="000000"/>
        </w:rPr>
        <w:t>.</w:t>
      </w:r>
      <w:r w:rsidRPr="00FF173E">
        <w:rPr>
          <w:color w:val="000000"/>
          <w:vertAlign w:val="superscript"/>
        </w:rPr>
        <w:t>[</w:t>
      </w:r>
      <w:proofErr w:type="gramEnd"/>
      <w:r w:rsidRPr="00FF173E">
        <w:rPr>
          <w:color w:val="000000"/>
          <w:vertAlign w:val="superscript"/>
        </w:rPr>
        <w:t>11]</w:t>
      </w:r>
      <w:r w:rsidRPr="00FF173E">
        <w:rPr>
          <w:color w:val="000000"/>
        </w:rPr>
        <w:t xml:space="preserve"> Adaptive evolution has also been shown in single communities in which a mutant variation of </w:t>
      </w:r>
      <w:proofErr w:type="spellStart"/>
      <w:r w:rsidRPr="00FF173E">
        <w:rPr>
          <w:i/>
          <w:color w:val="000000"/>
        </w:rPr>
        <w:t>Geobacter</w:t>
      </w:r>
      <w:proofErr w:type="spellEnd"/>
      <w:r w:rsidRPr="00FF173E">
        <w:rPr>
          <w:i/>
          <w:color w:val="000000"/>
        </w:rPr>
        <w:t xml:space="preserve"> </w:t>
      </w:r>
      <w:proofErr w:type="spellStart"/>
      <w:r w:rsidRPr="00FF173E">
        <w:rPr>
          <w:i/>
          <w:color w:val="000000"/>
        </w:rPr>
        <w:t>sulfurreducens</w:t>
      </w:r>
      <w:proofErr w:type="spellEnd"/>
      <w:r w:rsidRPr="00FF173E">
        <w:rPr>
          <w:color w:val="000000"/>
        </w:rPr>
        <w:t xml:space="preserve"> emerged, which was able to produce high current densities.</w:t>
      </w:r>
      <w:r w:rsidRPr="00FF173E">
        <w:rPr>
          <w:color w:val="000000"/>
          <w:vertAlign w:val="superscript"/>
        </w:rPr>
        <w:t>[12]</w:t>
      </w:r>
      <w:r w:rsidRPr="00FF173E">
        <w:rPr>
          <w:color w:val="000000"/>
        </w:rPr>
        <w:t xml:space="preserve"> </w:t>
      </w:r>
      <w:r w:rsidRPr="00FF173E">
        <w:rPr>
          <w:color w:val="000000"/>
        </w:rPr>
        <w:lastRenderedPageBreak/>
        <w:t xml:space="preserve">Until recently, the adaptation and tuning of MFC conditions to meet the needs of different and changing environments has received less attention. However, there have been recent attempts to find alternative, “green” materials </w:t>
      </w:r>
      <w:r w:rsidRPr="00FF173E">
        <w:t>particularly in terms of the cation-exchange membrane (CEM). The CEM acts as the separator between the two electrodes and enables the vital movement of protons from anode to cathode. Ceramic is now utilised as both the CEM as well as the structural material in which porosity is integral to separation and proton movement.</w:t>
      </w:r>
      <w:r w:rsidRPr="00FF173E">
        <w:rPr>
          <w:vertAlign w:val="superscript"/>
        </w:rPr>
        <w:t>[13</w:t>
      </w:r>
      <w:r w:rsidRPr="00FF173E">
        <w:rPr>
          <w:color w:val="000000"/>
          <w:vertAlign w:val="superscript"/>
        </w:rPr>
        <w:t>--</w:t>
      </w:r>
      <w:r w:rsidRPr="00FF173E">
        <w:rPr>
          <w:vertAlign w:val="superscript"/>
        </w:rPr>
        <w:t>15]</w:t>
      </w:r>
      <w:r w:rsidRPr="00FF173E">
        <w:t xml:space="preserve"> In terms of biodegradable materials, natural rubber has been shown to be a viable substitute to conventional membranes, for which laboratory gloves</w:t>
      </w:r>
      <w:r w:rsidRPr="00FF173E">
        <w:rPr>
          <w:vertAlign w:val="superscript"/>
        </w:rPr>
        <w:t>[16,^17]</w:t>
      </w:r>
      <w:r w:rsidRPr="00FF173E">
        <w:t xml:space="preserve"> and condoms</w:t>
      </w:r>
      <w:r w:rsidRPr="00FF173E">
        <w:rPr>
          <w:vertAlign w:val="superscript"/>
        </w:rPr>
        <w:t>[18]</w:t>
      </w:r>
      <w:r w:rsidRPr="00FF173E">
        <w:t xml:space="preserve"> have both been employed successfully. In these previous studies the biodegradation of the material actually enhanced the performance, whilst the longevity of MFCs was unaffected. In effect, the natural rubber played a dynamic role in the MFC environment and matured alongside the microbiological community to result in a system that improved over time. This study goes beyond previous work to incorporate new materials alongside natural rubber to produce a truly organic, totally biodegradable and ecologically safe power-producing system. The only non-biodegradable material used was metal wire to ensure efficient current collection.</w:t>
      </w:r>
    </w:p>
    <w:p w:rsidR="00FF173E" w:rsidRPr="00FF173E" w:rsidRDefault="00FF173E" w:rsidP="00CB4B63">
      <w:pPr>
        <w:pStyle w:val="Heading1"/>
      </w:pPr>
      <w:r w:rsidRPr="00FF173E">
        <w:t>Results and Discussion</w:t>
      </w:r>
    </w:p>
    <w:p w:rsidR="00FF173E" w:rsidRPr="00FF173E" w:rsidRDefault="00FF173E" w:rsidP="00FF173E">
      <w:pPr>
        <w:pStyle w:val="P1"/>
      </w:pPr>
      <w:r w:rsidRPr="00FF173E">
        <w:t>Several steps were taken to develop the biodegradable stack. Alongside the natural rubber membranes, a biodegradable frame was designed to improve the robustness of each MFC and was ach</w:t>
      </w:r>
      <w:r w:rsidR="00921919">
        <w:t>ieved with 3</w:t>
      </w:r>
      <w:r w:rsidRPr="00FF173E">
        <w:t xml:space="preserve">D printing techniques using </w:t>
      </w:r>
      <w:proofErr w:type="spellStart"/>
      <w:r w:rsidRPr="00FF173E">
        <w:t>polylactic</w:t>
      </w:r>
      <w:proofErr w:type="spellEnd"/>
      <w:r w:rsidRPr="00FF173E">
        <w:t xml:space="preserve"> acid (PLA). PLA is compostable and is also biodegradable in seawater and other environments</w:t>
      </w:r>
      <w:proofErr w:type="gramStart"/>
      <w:r w:rsidRPr="00FF173E">
        <w:t>.</w:t>
      </w:r>
      <w:r w:rsidRPr="00FF173E">
        <w:rPr>
          <w:vertAlign w:val="superscript"/>
        </w:rPr>
        <w:t>[</w:t>
      </w:r>
      <w:proofErr w:type="gramEnd"/>
      <w:r w:rsidRPr="00FF173E">
        <w:rPr>
          <w:vertAlign w:val="superscript"/>
        </w:rPr>
        <w:t>19]</w:t>
      </w:r>
      <w:r w:rsidRPr="00FF173E">
        <w:t xml:space="preserve"> For the anode, carbon veil with a polyvinyl alcohol (PVA) binder was used. The carbon fibres in carbon veil are non-toxic and benign to the environment, and PVA is a synthetic biodegradable polymer</w:t>
      </w:r>
      <w:proofErr w:type="gramStart"/>
      <w:r w:rsidRPr="00FF173E">
        <w:t>.</w:t>
      </w:r>
      <w:r w:rsidRPr="00FF173E">
        <w:rPr>
          <w:vertAlign w:val="superscript"/>
        </w:rPr>
        <w:t>[</w:t>
      </w:r>
      <w:proofErr w:type="gramEnd"/>
      <w:r w:rsidRPr="00FF173E">
        <w:rPr>
          <w:vertAlign w:val="superscript"/>
        </w:rPr>
        <w:t>19]</w:t>
      </w:r>
      <w:r w:rsidRPr="00FF173E">
        <w:t xml:space="preserve"> Several cathodes </w:t>
      </w:r>
      <w:r w:rsidR="00921919">
        <w:t xml:space="preserve">were tested, which include egg </w:t>
      </w:r>
      <w:r w:rsidRPr="00FF173E">
        <w:t>and gelatine-based composites, and incorporate naturally produced shee</w:t>
      </w:r>
      <w:r w:rsidRPr="00921919">
        <w:t>p’s</w:t>
      </w:r>
      <w:r w:rsidRPr="00FF173E">
        <w:t xml:space="preserve"> wax (lanolin). The cathode that showed the best performance from these comparison tests was then used for the next stage of the study. Using a new design, stacks of biodegradable MFCs were constructed that are able to produce sufficient energy to power applications both directly and through the incorporation of energy-harvesting electronics.</w:t>
      </w:r>
    </w:p>
    <w:p w:rsidR="00FF173E" w:rsidRPr="00FF173E" w:rsidRDefault="00FF173E" w:rsidP="00CB4B63">
      <w:pPr>
        <w:pStyle w:val="Heading2"/>
      </w:pPr>
      <w:r w:rsidRPr="00FF173E">
        <w:lastRenderedPageBreak/>
        <w:t>PLA frames</w:t>
      </w:r>
    </w:p>
    <w:p w:rsidR="00FF173E" w:rsidRDefault="00FF173E" w:rsidP="00FF173E">
      <w:pPr>
        <w:pStyle w:val="P1"/>
        <w:rPr>
          <w:vertAlign w:val="superscript"/>
        </w:rPr>
      </w:pPr>
      <w:r w:rsidRPr="00FF173E">
        <w:t>Previous work has demonstrated that inexpensive soft MFCs can be produced using the finger pieces removed from natural rubber laboratory gloves and coated with conductive synthetic latex (CSL).</w:t>
      </w:r>
      <w:r w:rsidRPr="00FF173E">
        <w:rPr>
          <w:vertAlign w:val="superscript"/>
        </w:rPr>
        <w:t>[17]</w:t>
      </w:r>
      <w:r w:rsidRPr="00FF173E">
        <w:t xml:space="preserve"> In the current study, a more rigid structure was required to better configure the reactors into uniform stacks, and for this reason PLA frames were designed and printed. In addition to the production of a more robust structure, the new MFCs with PLA frames generated almost double the power output compared to the soft “finger of glove” MFCs (data not shown). By incorporating a frame, the anode was held firmly in place and positioned so that the rubber membrane was in direct contact with its surface. This meant that the distance between anode, cathode and the natural rubber membrane was reduced, which contributed to the improved performance.</w:t>
      </w:r>
      <w:r w:rsidRPr="00FF173E">
        <w:rPr>
          <w:vertAlign w:val="superscript"/>
        </w:rPr>
        <w:t>[20]</w:t>
      </w:r>
      <w:r w:rsidRPr="00FF173E">
        <w:t xml:space="preserve"> In addition, the natural rubber had to be stretched over the frame, which could improve performance on two fronts. Firstly, by decreasing the thickness, that is, reducing the travelling time for proton exchange and, secondly, the alignment of polymer chains in the material could contribute to increased proton transfer. PLA is considered as a “green plastic</w:t>
      </w:r>
      <w:proofErr w:type="gramStart"/>
      <w:r w:rsidRPr="00FF173E">
        <w:t>”</w:t>
      </w:r>
      <w:r w:rsidRPr="00FF173E">
        <w:rPr>
          <w:vertAlign w:val="superscript"/>
        </w:rPr>
        <w:t>[</w:t>
      </w:r>
      <w:proofErr w:type="gramEnd"/>
      <w:r w:rsidRPr="00FF173E">
        <w:rPr>
          <w:vertAlign w:val="superscript"/>
        </w:rPr>
        <w:t>19]</w:t>
      </w:r>
      <w:r w:rsidRPr="00FF173E">
        <w:t xml:space="preserve"> and biodegradation can be rapid at optimum composting temperature and humidity.</w:t>
      </w:r>
      <w:r w:rsidRPr="00FF173E">
        <w:rPr>
          <w:vertAlign w:val="superscript"/>
        </w:rPr>
        <w:t>[21]</w:t>
      </w:r>
      <w:r w:rsidRPr="00FF173E">
        <w:t xml:space="preserve"> In the current study, PLA samples were buried in the Bristol botanic gardens composting area in which an average temperature of approximately 18</w:t>
      </w:r>
      <w:r w:rsidRPr="00FF173E">
        <w:rPr>
          <w:color w:val="808080"/>
        </w:rPr>
        <w:t>°C</w:t>
      </w:r>
      <w:r w:rsidRPr="00FF173E">
        <w:t xml:space="preserve"> was recorded. This temperature was too low during the experimental period for any significant degradation of the PLA to be observed. However, if we consider the operation of a hypothetical biodegradable robot, if more rapid degradation was required and rigidity was a prerequisite, alternative materials could be employed for the frame/chassis, like for example, composite lignin, wood or even paper</w:t>
      </w:r>
      <w:proofErr w:type="gramStart"/>
      <w:r w:rsidRPr="00FF173E">
        <w:t>.</w:t>
      </w:r>
      <w:r w:rsidRPr="00FF173E">
        <w:rPr>
          <w:vertAlign w:val="superscript"/>
        </w:rPr>
        <w:t>[</w:t>
      </w:r>
      <w:proofErr w:type="gramEnd"/>
      <w:r w:rsidRPr="00FF173E">
        <w:rPr>
          <w:vertAlign w:val="superscript"/>
        </w:rPr>
        <w:t>22]</w:t>
      </w:r>
    </w:p>
    <w:p w:rsidR="00CB4B63" w:rsidRPr="00FF173E" w:rsidRDefault="00CB4B63" w:rsidP="00FF173E">
      <w:pPr>
        <w:pStyle w:val="P1"/>
        <w:rPr>
          <w:rFonts w:eastAsia="Calibri"/>
        </w:rPr>
      </w:pPr>
    </w:p>
    <w:p w:rsidR="00FF173E" w:rsidRPr="00FF173E" w:rsidRDefault="00FF173E" w:rsidP="00CB4B63">
      <w:pPr>
        <w:pStyle w:val="Heading2"/>
      </w:pPr>
      <w:r w:rsidRPr="00FF173E">
        <w:t>Suitability of conductive synthetic latex</w:t>
      </w:r>
    </w:p>
    <w:p w:rsidR="003A7CD8" w:rsidRDefault="00FF173E" w:rsidP="00FF173E">
      <w:pPr>
        <w:pStyle w:val="P1"/>
      </w:pPr>
      <w:r w:rsidRPr="00FF173E">
        <w:t xml:space="preserve">CSL works well as the cathode if coated on to a natural rubber </w:t>
      </w:r>
      <w:proofErr w:type="gramStart"/>
      <w:r w:rsidRPr="00FF173E">
        <w:t>membrane</w:t>
      </w:r>
      <w:r w:rsidRPr="00FF173E">
        <w:rPr>
          <w:vertAlign w:val="superscript"/>
        </w:rPr>
        <w:t>[</w:t>
      </w:r>
      <w:proofErr w:type="gramEnd"/>
      <w:r w:rsidRPr="00FF173E">
        <w:rPr>
          <w:vertAlign w:val="superscript"/>
        </w:rPr>
        <w:t>17]</w:t>
      </w:r>
      <w:r w:rsidRPr="00FF173E">
        <w:t xml:space="preserve"> however, for the purposes of the current study in which biodegradability is essential, a CSL cathode might not be appropriate. Therefore, CSL was examined for biodegradation alongside natural rubber. Half of one side of a rubber sample (laboratory glove) was coated with CSL (</w:t>
      </w:r>
      <w:r w:rsidR="003A7CD8">
        <w:t xml:space="preserve">Figure </w:t>
      </w:r>
      <w:r w:rsidRPr="00FF173E">
        <w:t>1a). Over time, the natural rubber degraded as expected and after four months, holes could be seen where the natural rubber has been consumed from the CSL surface (</w:t>
      </w:r>
      <w:r w:rsidR="003A7CD8">
        <w:t xml:space="preserve">Figure </w:t>
      </w:r>
      <w:r w:rsidRPr="00FF173E">
        <w:t xml:space="preserve">1b). After six months, the natural </w:t>
      </w:r>
    </w:p>
    <w:p w:rsidR="003A7CD8" w:rsidRDefault="003A7CD8" w:rsidP="00FF173E">
      <w:pPr>
        <w:pStyle w:val="P1"/>
      </w:pPr>
      <w:r>
        <w:rPr>
          <w:noProof/>
          <w:lang w:eastAsia="en-GB"/>
        </w:rPr>
        <w:lastRenderedPageBreak/>
        <w:drawing>
          <wp:anchor distT="0" distB="0" distL="114300" distR="114300" simplePos="0" relativeHeight="251658240" behindDoc="0" locked="0" layoutInCell="1" allowOverlap="1" wp14:anchorId="241051CF" wp14:editId="211F3064">
            <wp:simplePos x="0" y="0"/>
            <wp:positionH relativeFrom="column">
              <wp:posOffset>-80645</wp:posOffset>
            </wp:positionH>
            <wp:positionV relativeFrom="paragraph">
              <wp:posOffset>235585</wp:posOffset>
            </wp:positionV>
            <wp:extent cx="5760000" cy="20124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jpg"/>
                    <pic:cNvPicPr/>
                  </pic:nvPicPr>
                  <pic:blipFill>
                    <a:blip r:embed="rId7">
                      <a:extLst>
                        <a:ext uri="{28A0092B-C50C-407E-A947-70E740481C1C}">
                          <a14:useLocalDpi xmlns:a14="http://schemas.microsoft.com/office/drawing/2010/main" val="0"/>
                        </a:ext>
                      </a:extLst>
                    </a:blip>
                    <a:stretch>
                      <a:fillRect/>
                    </a:stretch>
                  </pic:blipFill>
                  <pic:spPr>
                    <a:xfrm>
                      <a:off x="0" y="0"/>
                      <a:ext cx="5760000" cy="2012400"/>
                    </a:xfrm>
                    <a:prstGeom prst="rect">
                      <a:avLst/>
                    </a:prstGeom>
                  </pic:spPr>
                </pic:pic>
              </a:graphicData>
            </a:graphic>
            <wp14:sizeRelH relativeFrom="margin">
              <wp14:pctWidth>0</wp14:pctWidth>
            </wp14:sizeRelH>
            <wp14:sizeRelV relativeFrom="margin">
              <wp14:pctHeight>0</wp14:pctHeight>
            </wp14:sizeRelV>
          </wp:anchor>
        </w:drawing>
      </w:r>
    </w:p>
    <w:p w:rsidR="003A7CD8" w:rsidRDefault="003A7CD8" w:rsidP="003A7CD8">
      <w:pPr>
        <w:pStyle w:val="FigureCaption"/>
        <w:rPr>
          <w:b/>
          <w:lang w:val="en-GB"/>
        </w:rPr>
      </w:pPr>
    </w:p>
    <w:p w:rsidR="003A7CD8" w:rsidRDefault="003A7CD8" w:rsidP="003A7CD8">
      <w:pPr>
        <w:pStyle w:val="FigureCaption"/>
        <w:rPr>
          <w:b/>
          <w:lang w:val="en-GB"/>
        </w:rPr>
      </w:pPr>
    </w:p>
    <w:p w:rsidR="003A7CD8" w:rsidRDefault="003A7CD8" w:rsidP="003A7CD8">
      <w:pPr>
        <w:pStyle w:val="FigureCaption"/>
        <w:rPr>
          <w:b/>
          <w:lang w:val="en-GB"/>
        </w:rPr>
      </w:pPr>
    </w:p>
    <w:p w:rsidR="003A7CD8" w:rsidRDefault="003A7CD8" w:rsidP="003A7CD8">
      <w:pPr>
        <w:pStyle w:val="FigureCaption"/>
        <w:rPr>
          <w:b/>
          <w:lang w:val="en-GB"/>
        </w:rPr>
      </w:pPr>
    </w:p>
    <w:p w:rsidR="003A7CD8" w:rsidRPr="003A7CD8" w:rsidRDefault="003A7CD8" w:rsidP="003A7CD8">
      <w:pPr>
        <w:pStyle w:val="FigureCaption"/>
        <w:jc w:val="center"/>
        <w:rPr>
          <w:sz w:val="20"/>
          <w:szCs w:val="20"/>
          <w:lang w:val="en-GB"/>
        </w:rPr>
      </w:pPr>
      <w:r w:rsidRPr="003A7CD8">
        <w:rPr>
          <w:b/>
          <w:sz w:val="20"/>
          <w:szCs w:val="20"/>
          <w:lang w:val="en-GB"/>
        </w:rPr>
        <w:t>Figure 1</w:t>
      </w:r>
      <w:r w:rsidRPr="003A7CD8">
        <w:rPr>
          <w:sz w:val="20"/>
          <w:szCs w:val="20"/>
          <w:lang w:val="en-GB"/>
        </w:rPr>
        <w:t xml:space="preserve"> The effect of composting on CSL painted on the underside of natural rubber: a) before composting, b) after four months and c) after six months.</w:t>
      </w:r>
    </w:p>
    <w:p w:rsidR="00FF173E" w:rsidRDefault="00FF173E" w:rsidP="003A7CD8">
      <w:pPr>
        <w:pStyle w:val="P1"/>
        <w:ind w:firstLine="0"/>
      </w:pPr>
      <w:proofErr w:type="gramStart"/>
      <w:r w:rsidRPr="00FF173E">
        <w:t>rubber</w:t>
      </w:r>
      <w:proofErr w:type="gramEnd"/>
      <w:r w:rsidRPr="00FF173E">
        <w:t xml:space="preserve"> had almost completely gone to leave the CSL intact</w:t>
      </w:r>
      <w:r w:rsidR="003A7CD8">
        <w:t xml:space="preserve"> (Figure 1c)</w:t>
      </w:r>
      <w:r w:rsidRPr="00FF173E">
        <w:t>, which suggests that CSL is not biodegradable under these conditions. For this reason alternative cathode materials were tested in terms of their power-producing capabilities and propensity to biodegrade.</w:t>
      </w:r>
    </w:p>
    <w:p w:rsidR="00CB4B63" w:rsidRPr="00FF173E" w:rsidRDefault="00CB4B63" w:rsidP="00FF173E">
      <w:pPr>
        <w:pStyle w:val="P1"/>
      </w:pPr>
    </w:p>
    <w:p w:rsidR="00FF173E" w:rsidRPr="00FF173E" w:rsidRDefault="00FF173E" w:rsidP="00CB4B63">
      <w:pPr>
        <w:pStyle w:val="Heading2"/>
      </w:pPr>
      <w:r w:rsidRPr="00FF173E">
        <w:t>Alternative biodegradable cathodes</w:t>
      </w:r>
    </w:p>
    <w:p w:rsidR="00FF173E" w:rsidRPr="00FF173E" w:rsidRDefault="00FF173E" w:rsidP="00FF173E">
      <w:pPr>
        <w:pStyle w:val="P1"/>
      </w:pPr>
      <w:r w:rsidRPr="00FF173E">
        <w:t>Three alternative cathodes were developed and compared to CSL; an off-the-shelf non-toxic carbon-based conductive paint, a gelatine-based mixture and an egg-based mixture. After the MFCs were coated with each cathode material, the surface resistance was measured from top to bottom (6</w:t>
      </w:r>
      <w:r w:rsidR="003A7CD8">
        <w:t xml:space="preserve"> </w:t>
      </w:r>
      <w:r w:rsidRPr="00FF173E">
        <w:t>cm) of each MFC. The conductive paint was the least resistive at 50</w:t>
      </w:r>
      <w:r w:rsidR="003A7CD8">
        <w:t xml:space="preserve"> </w:t>
      </w:r>
      <w:r w:rsidRPr="00FF173E">
        <w:t>Ω (standard deviation</w:t>
      </w:r>
      <w:r w:rsidR="003A7CD8" w:rsidRPr="00FF173E">
        <w:t xml:space="preserve"> </w:t>
      </w:r>
      <w:r w:rsidRPr="00FF173E">
        <w:t>(STD): 2.83) followed by CSL: 288</w:t>
      </w:r>
      <w:r w:rsidR="003A7CD8">
        <w:t xml:space="preserve"> </w:t>
      </w:r>
      <w:r w:rsidRPr="00FF173E">
        <w:t>Ω (STD: 17.68), then the egg-based mixture at 318</w:t>
      </w:r>
      <w:r w:rsidR="003A7CD8">
        <w:t xml:space="preserve"> </w:t>
      </w:r>
      <w:r w:rsidRPr="00FF173E">
        <w:t>Ω (STD: 123.03) and the gelatine-based mixture was the most resistive at 465</w:t>
      </w:r>
      <w:r w:rsidR="003A7CD8">
        <w:t xml:space="preserve"> </w:t>
      </w:r>
      <w:r w:rsidRPr="00FF173E">
        <w:t>Ω (STD: 21.21).</w:t>
      </w:r>
    </w:p>
    <w:p w:rsidR="003A7CD8" w:rsidRDefault="00FF173E" w:rsidP="00FF173E">
      <w:pPr>
        <w:pStyle w:val="P1"/>
      </w:pPr>
      <w:r w:rsidRPr="00FF173E">
        <w:t>Electrochemical analysis in the form of polarisation sweeps was performed after six weeks, and CSL was five times more powerful than the next closest cathode type, which was the conductive paint (</w:t>
      </w:r>
      <w:r w:rsidR="00EA621C">
        <w:t xml:space="preserve">Figure </w:t>
      </w:r>
      <w:r w:rsidRPr="00FF173E">
        <w:t>2a). These preliminary results suggested that the chosen materials might not be as suitable as CSL. However, in an attempt to improve their performance, a diffusion layer was applied. Diffusion layers are employed on the air-facing side of the cathode electrode to prevent water leakage through the electrode and to improve oxygen transfer</w:t>
      </w:r>
      <w:proofErr w:type="gramStart"/>
      <w:r w:rsidRPr="00FF173E">
        <w:t>.</w:t>
      </w:r>
      <w:r w:rsidRPr="00FF173E">
        <w:rPr>
          <w:vertAlign w:val="superscript"/>
        </w:rPr>
        <w:t>[</w:t>
      </w:r>
      <w:proofErr w:type="gramEnd"/>
      <w:r w:rsidRPr="00FF173E">
        <w:rPr>
          <w:vertAlign w:val="superscript"/>
        </w:rPr>
        <w:t>23]</w:t>
      </w:r>
      <w:r w:rsidRPr="00FF173E">
        <w:t xml:space="preserve"> Materials commonly used include </w:t>
      </w:r>
      <w:r w:rsidRPr="00FF173E">
        <w:rPr>
          <w:lang w:val="en-US"/>
        </w:rPr>
        <w:t>polytetrafluoroethylene (</w:t>
      </w:r>
      <w:r w:rsidRPr="00FF173E">
        <w:t xml:space="preserve">PTFE) and </w:t>
      </w:r>
      <w:r w:rsidRPr="00FF173E">
        <w:rPr>
          <w:lang w:val="en-US"/>
        </w:rPr>
        <w:t>polydimethylsiloxane (</w:t>
      </w:r>
      <w:r w:rsidRPr="00FF173E">
        <w:t>PDMS),</w:t>
      </w:r>
      <w:r w:rsidRPr="00FF173E">
        <w:rPr>
          <w:vertAlign w:val="superscript"/>
        </w:rPr>
        <w:t>[24]</w:t>
      </w:r>
      <w:r w:rsidRPr="00FF173E">
        <w:t xml:space="preserve"> which are hydrophobic and relatively inexpensive but not biodegradable. Lanolin, also known as wool wax, is a naturally </w:t>
      </w:r>
    </w:p>
    <w:p w:rsidR="003A7CD8" w:rsidRDefault="003A7CD8" w:rsidP="00FF173E">
      <w:pPr>
        <w:pStyle w:val="P1"/>
      </w:pPr>
      <w:r w:rsidRPr="003A7CD8">
        <w:rPr>
          <w:noProof/>
          <w:lang w:eastAsia="en-GB"/>
        </w:rPr>
        <w:lastRenderedPageBreak/>
        <w:drawing>
          <wp:anchor distT="0" distB="0" distL="114300" distR="114300" simplePos="0" relativeHeight="251659264" behindDoc="0" locked="0" layoutInCell="1" allowOverlap="1" wp14:anchorId="0790E8B2" wp14:editId="5D3BB314">
            <wp:simplePos x="0" y="0"/>
            <wp:positionH relativeFrom="column">
              <wp:posOffset>376555</wp:posOffset>
            </wp:positionH>
            <wp:positionV relativeFrom="paragraph">
              <wp:posOffset>-364490</wp:posOffset>
            </wp:positionV>
            <wp:extent cx="4334400" cy="69624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4400" cy="696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7CD8" w:rsidRDefault="003A7CD8" w:rsidP="00FF173E">
      <w:pPr>
        <w:pStyle w:val="P1"/>
      </w:pPr>
    </w:p>
    <w:p w:rsidR="003A7CD8" w:rsidRDefault="003A7CD8" w:rsidP="00FF173E">
      <w:pPr>
        <w:pStyle w:val="P1"/>
      </w:pPr>
    </w:p>
    <w:p w:rsidR="003A7CD8" w:rsidRDefault="003A7CD8" w:rsidP="00FF173E">
      <w:pPr>
        <w:pStyle w:val="P1"/>
      </w:pPr>
    </w:p>
    <w:p w:rsidR="003A7CD8" w:rsidRDefault="003A7CD8" w:rsidP="00FF173E">
      <w:pPr>
        <w:pStyle w:val="P1"/>
      </w:pPr>
    </w:p>
    <w:p w:rsidR="003A7CD8" w:rsidRDefault="003A7CD8" w:rsidP="00FF173E">
      <w:pPr>
        <w:pStyle w:val="P1"/>
      </w:pPr>
    </w:p>
    <w:p w:rsidR="003A7CD8" w:rsidRDefault="003A7CD8" w:rsidP="00FF173E">
      <w:pPr>
        <w:pStyle w:val="P1"/>
      </w:pPr>
    </w:p>
    <w:p w:rsidR="003A7CD8" w:rsidRDefault="003A7CD8" w:rsidP="00FF173E">
      <w:pPr>
        <w:pStyle w:val="P1"/>
      </w:pPr>
    </w:p>
    <w:p w:rsidR="003A7CD8" w:rsidRDefault="003A7CD8" w:rsidP="00FF173E">
      <w:pPr>
        <w:pStyle w:val="P1"/>
      </w:pPr>
    </w:p>
    <w:p w:rsidR="003A7CD8" w:rsidRDefault="003A7CD8" w:rsidP="00FF173E">
      <w:pPr>
        <w:pStyle w:val="P1"/>
      </w:pPr>
    </w:p>
    <w:p w:rsidR="003A7CD8" w:rsidRDefault="003A7CD8" w:rsidP="00FF173E">
      <w:pPr>
        <w:pStyle w:val="P1"/>
      </w:pPr>
    </w:p>
    <w:p w:rsidR="003A7CD8" w:rsidRDefault="003A7CD8" w:rsidP="00FF173E">
      <w:pPr>
        <w:pStyle w:val="P1"/>
      </w:pPr>
    </w:p>
    <w:p w:rsidR="003A7CD8" w:rsidRDefault="003A7CD8" w:rsidP="00FF173E">
      <w:pPr>
        <w:pStyle w:val="P1"/>
      </w:pPr>
    </w:p>
    <w:p w:rsidR="003A7CD8" w:rsidRDefault="003A7CD8" w:rsidP="00FF173E">
      <w:pPr>
        <w:pStyle w:val="P1"/>
      </w:pPr>
    </w:p>
    <w:p w:rsidR="003A7CD8" w:rsidRDefault="003A7CD8" w:rsidP="00FF173E">
      <w:pPr>
        <w:pStyle w:val="P1"/>
      </w:pPr>
    </w:p>
    <w:p w:rsidR="003A7CD8" w:rsidRDefault="003A7CD8" w:rsidP="00FF173E">
      <w:pPr>
        <w:pStyle w:val="P1"/>
      </w:pPr>
    </w:p>
    <w:p w:rsidR="003A7CD8" w:rsidRDefault="003A7CD8" w:rsidP="00FF173E">
      <w:pPr>
        <w:pStyle w:val="P1"/>
      </w:pPr>
    </w:p>
    <w:p w:rsidR="003A7CD8" w:rsidRPr="003A7CD8" w:rsidRDefault="003A7CD8" w:rsidP="003A7CD8">
      <w:pPr>
        <w:pStyle w:val="FigureCaption"/>
        <w:jc w:val="center"/>
        <w:rPr>
          <w:sz w:val="20"/>
          <w:szCs w:val="20"/>
          <w:lang w:val="en-GB" w:eastAsia="en-GB"/>
        </w:rPr>
      </w:pPr>
      <w:r w:rsidRPr="003A7CD8">
        <w:rPr>
          <w:b/>
          <w:sz w:val="20"/>
          <w:szCs w:val="20"/>
          <w:lang w:val="en-GB"/>
        </w:rPr>
        <w:t>Figure 2</w:t>
      </w:r>
      <w:r w:rsidRPr="003A7CD8">
        <w:rPr>
          <w:sz w:val="20"/>
          <w:szCs w:val="20"/>
          <w:lang w:val="en-GB"/>
        </w:rPr>
        <w:t xml:space="preserve"> </w:t>
      </w:r>
      <w:r w:rsidRPr="003A7CD8">
        <w:rPr>
          <w:sz w:val="20"/>
          <w:szCs w:val="20"/>
          <w:lang w:val="en-GB" w:eastAsia="en-GB"/>
        </w:rPr>
        <w:t>Power curves produced from different cathode types: a) after six weeks operation (before lanolin application) and b) after eight weeks operation (following lanolin application). Data presented as mean and range (</w:t>
      </w:r>
      <w:r w:rsidRPr="003A7CD8">
        <w:rPr>
          <w:i/>
          <w:color w:val="808080"/>
          <w:sz w:val="20"/>
          <w:szCs w:val="20"/>
          <w:lang w:val="en-GB" w:eastAsia="en-GB"/>
        </w:rPr>
        <w:t>n</w:t>
      </w:r>
      <w:r w:rsidRPr="003A7CD8">
        <w:rPr>
          <w:sz w:val="20"/>
          <w:szCs w:val="20"/>
          <w:lang w:val="en-GB" w:eastAsia="en-GB"/>
        </w:rPr>
        <w:t>=2).</w:t>
      </w:r>
    </w:p>
    <w:p w:rsidR="00FF173E" w:rsidRDefault="00FF173E" w:rsidP="003A7CD8">
      <w:pPr>
        <w:pStyle w:val="P1"/>
        <w:ind w:firstLine="0"/>
      </w:pPr>
      <w:proofErr w:type="gramStart"/>
      <w:r w:rsidRPr="00FF173E">
        <w:t>occurring</w:t>
      </w:r>
      <w:proofErr w:type="gramEnd"/>
      <w:r w:rsidRPr="00FF173E">
        <w:t xml:space="preserve"> substance secreted by sheep to waterproof the wool and to prevent water loss. After six weeks of operation, lanolin was applied to the surfaces of all the MFCs. Both the egg-based and the gelatine-based cathodes demonstrated immediate and rapid improvement to the extent that one of the gelatine MFCs showed a six-fold improvement in performance. Neither the CSL MFCs nor the paint MFCs responded positively following the application of lanolin. The CSL mixture incorporates </w:t>
      </w:r>
      <w:r w:rsidRPr="00FF173E">
        <w:lastRenderedPageBreak/>
        <w:t>polyurethane as binder, which has been used previously as the sole diffusion layer in MFCs.</w:t>
      </w:r>
      <w:r w:rsidRPr="00FF173E">
        <w:rPr>
          <w:vertAlign w:val="superscript"/>
        </w:rPr>
        <w:t>[14]</w:t>
      </w:r>
      <w:r w:rsidRPr="00FF173E">
        <w:t xml:space="preserve"> This could explain why the application of an additional diffusion layer did not improve the performance. In addition, there was little improvement in the conductive paint MFCs probably because----as it is water soluble----the paint became diluted both through operation and with the addition of lanolin. The improvement in both egg and gelatine is reflected in the power curves produced after eight weeks (two weeks after the application of lanolin), and the egg MFCs actually outperformed the CSL MFCs (</w:t>
      </w:r>
      <w:r w:rsidR="00EA621C">
        <w:t xml:space="preserve">Figure </w:t>
      </w:r>
      <w:r w:rsidRPr="00FF173E">
        <w:t>2b). To verify that the new cathode materials were biodegradable, samples were tested in the ground. Natu</w:t>
      </w:r>
      <w:r w:rsidR="00921919">
        <w:t>ral rubber coated with gelatine, conductive paint</w:t>
      </w:r>
      <w:r w:rsidRPr="00FF173E">
        <w:t xml:space="preserve"> and egg-based cathodes all degraded at the same rate.</w:t>
      </w:r>
    </w:p>
    <w:p w:rsidR="00EA621C" w:rsidRPr="00FF173E" w:rsidRDefault="00EA621C" w:rsidP="003A7CD8">
      <w:pPr>
        <w:pStyle w:val="P1"/>
        <w:ind w:firstLine="0"/>
      </w:pPr>
      <w:r w:rsidRPr="00EA621C">
        <w:rPr>
          <w:noProof/>
          <w:lang w:eastAsia="en-GB"/>
        </w:rPr>
        <w:drawing>
          <wp:anchor distT="0" distB="0" distL="114300" distR="114300" simplePos="0" relativeHeight="251660288" behindDoc="0" locked="0" layoutInCell="1" allowOverlap="1" wp14:anchorId="0C2C8A07" wp14:editId="23B7DCDA">
            <wp:simplePos x="0" y="0"/>
            <wp:positionH relativeFrom="column">
              <wp:posOffset>24130</wp:posOffset>
            </wp:positionH>
            <wp:positionV relativeFrom="paragraph">
              <wp:posOffset>6985</wp:posOffset>
            </wp:positionV>
            <wp:extent cx="5760000" cy="3870000"/>
            <wp:effectExtent l="0" t="0" r="0" b="0"/>
            <wp:wrapNone/>
            <wp:docPr id="5" name="Picture 5" descr="C:\Users\j4-winfield\Documents\Biodegradable Robot\Final version of Fade To Green\Fig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4-winfield\Documents\Biodegradable Robot\Final version of Fade To Green\Figure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38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621C" w:rsidRDefault="00EA621C" w:rsidP="00FF173E">
      <w:pPr>
        <w:pStyle w:val="P1"/>
      </w:pPr>
    </w:p>
    <w:p w:rsidR="00EA621C" w:rsidRDefault="00EA621C" w:rsidP="00FF173E">
      <w:pPr>
        <w:pStyle w:val="P1"/>
      </w:pPr>
    </w:p>
    <w:p w:rsidR="00EA621C" w:rsidRDefault="00EA621C" w:rsidP="00FF173E">
      <w:pPr>
        <w:pStyle w:val="P1"/>
      </w:pPr>
    </w:p>
    <w:p w:rsidR="00EA621C" w:rsidRDefault="00EA621C" w:rsidP="00FF173E">
      <w:pPr>
        <w:pStyle w:val="P1"/>
      </w:pPr>
    </w:p>
    <w:p w:rsidR="00EA621C" w:rsidRDefault="00EA621C" w:rsidP="00FF173E">
      <w:pPr>
        <w:pStyle w:val="P1"/>
      </w:pPr>
    </w:p>
    <w:p w:rsidR="00EA621C" w:rsidRDefault="00EA621C" w:rsidP="00FF173E">
      <w:pPr>
        <w:pStyle w:val="P1"/>
      </w:pPr>
    </w:p>
    <w:p w:rsidR="00EA621C" w:rsidRDefault="00EA621C" w:rsidP="00FF173E">
      <w:pPr>
        <w:pStyle w:val="P1"/>
      </w:pPr>
    </w:p>
    <w:p w:rsidR="00EA621C" w:rsidRDefault="00EA621C" w:rsidP="00FF173E">
      <w:pPr>
        <w:pStyle w:val="P1"/>
      </w:pPr>
    </w:p>
    <w:p w:rsidR="00EA621C" w:rsidRDefault="00EA621C" w:rsidP="00FF173E">
      <w:pPr>
        <w:pStyle w:val="P1"/>
      </w:pPr>
    </w:p>
    <w:p w:rsidR="00EA621C" w:rsidRPr="00EA621C" w:rsidRDefault="00EA621C" w:rsidP="00EA621C">
      <w:pPr>
        <w:pStyle w:val="FigureCaption"/>
        <w:jc w:val="center"/>
        <w:rPr>
          <w:sz w:val="20"/>
          <w:szCs w:val="20"/>
          <w:lang w:val="en-GB"/>
        </w:rPr>
      </w:pPr>
      <w:r w:rsidRPr="00EA621C">
        <w:rPr>
          <w:b/>
          <w:sz w:val="20"/>
          <w:szCs w:val="20"/>
          <w:lang w:val="en-GB"/>
        </w:rPr>
        <w:t>Figure 3</w:t>
      </w:r>
      <w:r w:rsidRPr="00EA621C">
        <w:rPr>
          <w:sz w:val="20"/>
          <w:szCs w:val="20"/>
          <w:lang w:val="en-GB"/>
        </w:rPr>
        <w:t xml:space="preserve"> Biodegradation of egg-based cathode on natural rubber. Without lanolin layer: a) before composting, b) after two months and c) after four months. With lanolin layer: d) before composting, e) after two months and f) after four months.</w:t>
      </w:r>
    </w:p>
    <w:p w:rsidR="00FF173E" w:rsidRDefault="00FF173E" w:rsidP="00FF173E">
      <w:pPr>
        <w:pStyle w:val="P1"/>
      </w:pPr>
      <w:r w:rsidRPr="00FF173E">
        <w:t xml:space="preserve">These are represented by the images of the egg-based material in </w:t>
      </w:r>
      <w:r w:rsidR="00EA621C">
        <w:t xml:space="preserve">Figure </w:t>
      </w:r>
      <w:r w:rsidRPr="00FF173E">
        <w:t>3a</w:t>
      </w:r>
      <w:r w:rsidR="00EA621C">
        <w:t>-c</w:t>
      </w:r>
      <w:r w:rsidRPr="00FF173E">
        <w:t>, in which all samples had completely degraded by the end of the fourth month. A coating of lanolin did not affect the rate of biodegradation (</w:t>
      </w:r>
      <w:r w:rsidR="00EA621C">
        <w:t xml:space="preserve">Figure </w:t>
      </w:r>
      <w:r w:rsidRPr="00FF173E">
        <w:t>3d</w:t>
      </w:r>
      <w:r w:rsidR="00EA621C">
        <w:t>-</w:t>
      </w:r>
      <w:r w:rsidRPr="00FF173E">
        <w:t>f). The egg-based cathodes with a lanolin diffusion layer were the best of the biodegradable cathodes and even outperformed the CSL cathodes (</w:t>
      </w:r>
      <w:r w:rsidR="00EA621C">
        <w:t>Figure 2</w:t>
      </w:r>
      <w:r w:rsidRPr="00FF173E">
        <w:t xml:space="preserve">b). As a </w:t>
      </w:r>
      <w:r w:rsidRPr="00FF173E">
        <w:lastRenderedPageBreak/>
        <w:t xml:space="preserve">result, these were employed in the development of the biodegradable stack. The utilisation of egg yolk was inspired by its use as egg tempera in the preparation of paint. The earliest historic evidence of its use was in paints prepared by the ancient Egyptians and Greeks. Tempera paints were particularly fashionable during the Renaissance and are still used by artists today. This is because egg yolk is a highly efficient </w:t>
      </w:r>
      <w:proofErr w:type="spellStart"/>
      <w:r w:rsidRPr="00FF173E">
        <w:t>emulsive</w:t>
      </w:r>
      <w:proofErr w:type="spellEnd"/>
      <w:r w:rsidRPr="00FF173E">
        <w:t xml:space="preserve"> binder that adheres well, dries quickly and is </w:t>
      </w:r>
      <w:proofErr w:type="gramStart"/>
      <w:r w:rsidRPr="00FF173E">
        <w:t>durable</w:t>
      </w:r>
      <w:r w:rsidRPr="00FF173E">
        <w:rPr>
          <w:vertAlign w:val="superscript"/>
        </w:rPr>
        <w:t>[</w:t>
      </w:r>
      <w:proofErr w:type="gramEnd"/>
      <w:r w:rsidRPr="00FF173E">
        <w:rPr>
          <w:vertAlign w:val="superscript"/>
        </w:rPr>
        <w:t>25]</w:t>
      </w:r>
      <w:r w:rsidRPr="00FF173E">
        <w:t xml:space="preserve"> with good protection against humidity and temperature changes. These characteristics will have contributed to the effectiveness of the egg-based cathodes and are also desirable traits in terms of the robustness of the biodegradable MFCs. For this reason, 40 MFCs were constructed using egg-based cathodes with the aim to produce a functional biodegradable stack.</w:t>
      </w:r>
    </w:p>
    <w:p w:rsidR="00CB4B63" w:rsidRPr="00FF173E" w:rsidRDefault="00CB4B63" w:rsidP="00FF173E">
      <w:pPr>
        <w:pStyle w:val="P1"/>
      </w:pPr>
    </w:p>
    <w:p w:rsidR="00FF173E" w:rsidRDefault="00FF173E" w:rsidP="00CB4B63">
      <w:pPr>
        <w:pStyle w:val="Heading2"/>
      </w:pPr>
      <w:r w:rsidRPr="00FF173E">
        <w:t>Biodegradable stack of MFCs</w:t>
      </w:r>
    </w:p>
    <w:p w:rsidR="00EA621C" w:rsidRPr="00EA621C" w:rsidRDefault="00EA621C" w:rsidP="00EA621C">
      <w:r w:rsidRPr="00EA621C">
        <w:rPr>
          <w:noProof/>
          <w:lang w:eastAsia="en-GB"/>
        </w:rPr>
        <w:drawing>
          <wp:anchor distT="0" distB="0" distL="114300" distR="114300" simplePos="0" relativeHeight="251661312" behindDoc="0" locked="0" layoutInCell="1" allowOverlap="1" wp14:anchorId="4A44E8DC" wp14:editId="50A61EA1">
            <wp:simplePos x="0" y="0"/>
            <wp:positionH relativeFrom="column">
              <wp:posOffset>-42545</wp:posOffset>
            </wp:positionH>
            <wp:positionV relativeFrom="paragraph">
              <wp:posOffset>168910</wp:posOffset>
            </wp:positionV>
            <wp:extent cx="5158800" cy="4305600"/>
            <wp:effectExtent l="0" t="0" r="3810" b="0"/>
            <wp:wrapNone/>
            <wp:docPr id="6" name="Picture 6" descr="C:\Users\j4-winfield\Documents\Biodegradable Robot\Final version of Fade To Green\Fig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4-winfield\Documents\Biodegradable Robot\Final version of Fade To Green\Figure 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8800" cy="430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Pr="00FF173E" w:rsidRDefault="00EA621C" w:rsidP="00EA621C">
      <w:pPr>
        <w:pStyle w:val="FigureCaption"/>
        <w:jc w:val="center"/>
        <w:rPr>
          <w:lang w:val="en-GB"/>
        </w:rPr>
      </w:pPr>
      <w:r w:rsidRPr="00EA621C">
        <w:rPr>
          <w:b/>
          <w:sz w:val="20"/>
          <w:szCs w:val="20"/>
          <w:lang w:val="en-GB"/>
        </w:rPr>
        <w:t>Figure 4</w:t>
      </w:r>
      <w:r w:rsidRPr="00EA621C">
        <w:rPr>
          <w:sz w:val="20"/>
          <w:szCs w:val="20"/>
          <w:lang w:val="en-GB"/>
        </w:rPr>
        <w:t xml:space="preserve"> Stack configurations in which A=anode and C=cathode: a) parallel set-of-five MFCs, b) four parallel sets-of-five connected together in series, c) eight parallel sets-of-five connected together in series</w:t>
      </w:r>
      <w:r w:rsidRPr="00FF173E">
        <w:rPr>
          <w:lang w:val="en-GB"/>
        </w:rPr>
        <w:t>.</w:t>
      </w:r>
    </w:p>
    <w:p w:rsidR="00EA621C" w:rsidRDefault="00EA621C" w:rsidP="00FF173E">
      <w:pPr>
        <w:pStyle w:val="P1"/>
        <w:rPr>
          <w:lang w:eastAsia="en-GB"/>
        </w:rPr>
      </w:pPr>
    </w:p>
    <w:p w:rsidR="00FF173E" w:rsidRPr="00FF173E" w:rsidRDefault="00FF173E" w:rsidP="00EA621C">
      <w:pPr>
        <w:pStyle w:val="P1"/>
        <w:rPr>
          <w:lang w:eastAsia="en-GB"/>
        </w:rPr>
      </w:pPr>
      <w:r w:rsidRPr="00FF173E">
        <w:rPr>
          <w:lang w:eastAsia="en-GB"/>
        </w:rPr>
        <w:lastRenderedPageBreak/>
        <w:t>Forty MFCs were constructed, with an eight stack formation, where each stack consisted of five MFCs connected electrically in parallel (</w:t>
      </w:r>
      <w:r w:rsidR="00EA621C">
        <w:rPr>
          <w:lang w:eastAsia="en-GB"/>
        </w:rPr>
        <w:t xml:space="preserve">Figure </w:t>
      </w:r>
      <w:r w:rsidRPr="00FF173E">
        <w:rPr>
          <w:lang w:eastAsia="en-GB"/>
        </w:rPr>
        <w:t>4a); these will be referred to as parallel sets. After the first set of experiments, these were configured into two stacks that each comprised four of the parallel sets connected to each other in series (</w:t>
      </w:r>
      <w:r w:rsidR="00EA621C">
        <w:rPr>
          <w:lang w:eastAsia="en-GB"/>
        </w:rPr>
        <w:t xml:space="preserve">Figure </w:t>
      </w:r>
      <w:r w:rsidRPr="00FF173E">
        <w:rPr>
          <w:lang w:eastAsia="en-GB"/>
        </w:rPr>
        <w:t>4b). Finally, all 40 MFCs were configured into one series/parallel configuration (</w:t>
      </w:r>
      <w:r w:rsidR="00EA621C">
        <w:rPr>
          <w:lang w:eastAsia="en-GB"/>
        </w:rPr>
        <w:t xml:space="preserve">Figure </w:t>
      </w:r>
      <w:r w:rsidRPr="00FF173E">
        <w:rPr>
          <w:lang w:eastAsia="en-GB"/>
        </w:rPr>
        <w:t xml:space="preserve">4c). Power and polarisation curves that show the average from the eight parallel sets are shown in </w:t>
      </w:r>
      <w:r w:rsidR="00EA621C">
        <w:rPr>
          <w:lang w:eastAsia="en-GB"/>
        </w:rPr>
        <w:t xml:space="preserve">Figure </w:t>
      </w:r>
      <w:r w:rsidRPr="00FF173E">
        <w:rPr>
          <w:lang w:eastAsia="en-GB"/>
        </w:rPr>
        <w:t>5a. There was considerable variation between the best performance (246</w:t>
      </w:r>
      <w:r w:rsidR="00EA621C">
        <w:rPr>
          <w:lang w:eastAsia="en-GB"/>
        </w:rPr>
        <w:t xml:space="preserve"> </w:t>
      </w:r>
      <w:proofErr w:type="spellStart"/>
      <w:r w:rsidRPr="00EA621C">
        <w:rPr>
          <w:color w:val="000000" w:themeColor="text1"/>
          <w:lang w:eastAsia="en-GB"/>
        </w:rPr>
        <w:t>μ</w:t>
      </w:r>
      <w:r w:rsidRPr="00FF173E">
        <w:rPr>
          <w:lang w:eastAsia="en-GB"/>
        </w:rPr>
        <w:t>W</w:t>
      </w:r>
      <w:proofErr w:type="spellEnd"/>
      <w:r w:rsidRPr="00FF173E">
        <w:rPr>
          <w:lang w:eastAsia="en-GB"/>
        </w:rPr>
        <w:t xml:space="preserve"> or 6.16</w:t>
      </w:r>
      <w:r w:rsidR="00EA621C">
        <w:rPr>
          <w:lang w:eastAsia="en-GB"/>
        </w:rPr>
        <w:t xml:space="preserve"> </w:t>
      </w:r>
      <w:r w:rsidRPr="00FF173E">
        <w:rPr>
          <w:lang w:eastAsia="en-GB"/>
        </w:rPr>
        <w:t>W</w:t>
      </w:r>
      <w:r w:rsidR="00EA621C">
        <w:rPr>
          <w:lang w:eastAsia="en-GB"/>
        </w:rPr>
        <w:t xml:space="preserve"> </w:t>
      </w:r>
      <w:r w:rsidRPr="00FF173E">
        <w:rPr>
          <w:lang w:eastAsia="en-GB"/>
        </w:rPr>
        <w:t>m</w:t>
      </w:r>
      <w:r w:rsidRPr="00FF173E">
        <w:rPr>
          <w:vertAlign w:val="superscript"/>
          <w:lang w:eastAsia="en-GB"/>
        </w:rPr>
        <w:t>3</w:t>
      </w:r>
      <w:r w:rsidRPr="00FF173E">
        <w:rPr>
          <w:lang w:eastAsia="en-GB"/>
        </w:rPr>
        <w:t>) and the worst performance (54</w:t>
      </w:r>
      <w:r w:rsidR="00EA621C">
        <w:rPr>
          <w:lang w:eastAsia="en-GB"/>
        </w:rPr>
        <w:t xml:space="preserve"> </w:t>
      </w:r>
      <w:proofErr w:type="spellStart"/>
      <w:r w:rsidRPr="00EA621C">
        <w:rPr>
          <w:color w:val="000000" w:themeColor="text1"/>
          <w:lang w:eastAsia="en-GB"/>
        </w:rPr>
        <w:t>μ</w:t>
      </w:r>
      <w:r w:rsidRPr="00FF173E">
        <w:rPr>
          <w:lang w:eastAsia="en-GB"/>
        </w:rPr>
        <w:t>W</w:t>
      </w:r>
      <w:proofErr w:type="spellEnd"/>
      <w:r w:rsidRPr="00FF173E">
        <w:rPr>
          <w:lang w:eastAsia="en-GB"/>
        </w:rPr>
        <w:t xml:space="preserve"> or 1.35</w:t>
      </w:r>
      <w:r w:rsidR="00EA621C">
        <w:rPr>
          <w:lang w:eastAsia="en-GB"/>
        </w:rPr>
        <w:t xml:space="preserve"> </w:t>
      </w:r>
      <w:r w:rsidRPr="00FF173E">
        <w:rPr>
          <w:lang w:eastAsia="en-GB"/>
        </w:rPr>
        <w:t>W</w:t>
      </w:r>
      <w:r w:rsidR="00EA621C">
        <w:rPr>
          <w:lang w:eastAsia="en-GB"/>
        </w:rPr>
        <w:t xml:space="preserve"> </w:t>
      </w:r>
      <w:r w:rsidRPr="00FF173E">
        <w:rPr>
          <w:lang w:eastAsia="en-GB"/>
        </w:rPr>
        <w:t>m</w:t>
      </w:r>
      <w:r w:rsidRPr="00FF173E">
        <w:rPr>
          <w:vertAlign w:val="superscript"/>
          <w:lang w:eastAsia="en-GB"/>
        </w:rPr>
        <w:t>3</w:t>
      </w:r>
      <w:r w:rsidRPr="00FF173E">
        <w:rPr>
          <w:lang w:eastAsia="en-GB"/>
        </w:rPr>
        <w:t xml:space="preserve">) of the parallel sets. After eight weeks of operation, the two larger stacks were formed </w:t>
      </w:r>
      <w:r w:rsidRPr="00FF173E">
        <w:t>(</w:t>
      </w:r>
      <w:r w:rsidR="00EA621C">
        <w:t xml:space="preserve">Figure </w:t>
      </w:r>
      <w:r w:rsidRPr="00FF173E">
        <w:t xml:space="preserve">4b), and the </w:t>
      </w:r>
      <w:r w:rsidRPr="00FF173E">
        <w:rPr>
          <w:lang w:eastAsia="en-GB"/>
        </w:rPr>
        <w:t xml:space="preserve">power and polarisation curves are highlighted in </w:t>
      </w:r>
      <w:r w:rsidR="00EA621C">
        <w:rPr>
          <w:lang w:eastAsia="en-GB"/>
        </w:rPr>
        <w:t xml:space="preserve">Figure </w:t>
      </w:r>
      <w:r w:rsidRPr="00FF173E">
        <w:rPr>
          <w:lang w:eastAsia="en-GB"/>
        </w:rPr>
        <w:t>5b. Finally, all eight parallel sets were connected together in series to result in one 40-MFC series-parallel configuration (</w:t>
      </w:r>
      <w:r w:rsidR="00EA621C">
        <w:rPr>
          <w:lang w:eastAsia="en-GB"/>
        </w:rPr>
        <w:t xml:space="preserve">Figure </w:t>
      </w:r>
      <w:r w:rsidRPr="00FF173E">
        <w:rPr>
          <w:lang w:eastAsia="en-GB"/>
        </w:rPr>
        <w:t xml:space="preserve">4c), and the power and polarisation curves are displayed in </w:t>
      </w:r>
      <w:r w:rsidR="00EA621C">
        <w:rPr>
          <w:lang w:eastAsia="en-GB"/>
        </w:rPr>
        <w:t xml:space="preserve">Figure </w:t>
      </w:r>
      <w:r w:rsidRPr="00FF173E">
        <w:rPr>
          <w:lang w:eastAsia="en-GB"/>
        </w:rPr>
        <w:t>5c. Over time and with each new configuration, the actual circuit current increases but the current density (based on the total volume of each stack) decreases. For example, at the point of maximum power, the average current calculated from the parallel sets-of-five MFCs is 750</w:t>
      </w:r>
      <w:r w:rsidR="00EA621C">
        <w:rPr>
          <w:color w:val="000000" w:themeColor="text1"/>
          <w:lang w:eastAsia="en-GB"/>
        </w:rPr>
        <w:t xml:space="preserve"> </w:t>
      </w:r>
      <w:proofErr w:type="spellStart"/>
      <w:r w:rsidRPr="00EA621C">
        <w:rPr>
          <w:color w:val="000000" w:themeColor="text1"/>
          <w:lang w:eastAsia="en-GB"/>
        </w:rPr>
        <w:t>μ</w:t>
      </w:r>
      <w:r w:rsidRPr="00FF173E">
        <w:rPr>
          <w:lang w:eastAsia="en-GB"/>
        </w:rPr>
        <w:t>A</w:t>
      </w:r>
      <w:proofErr w:type="spellEnd"/>
      <w:r w:rsidRPr="00FF173E">
        <w:rPr>
          <w:lang w:eastAsia="en-GB"/>
        </w:rPr>
        <w:t xml:space="preserve"> (18</w:t>
      </w:r>
      <w:r w:rsidR="00EA621C">
        <w:rPr>
          <w:lang w:eastAsia="en-GB"/>
        </w:rPr>
        <w:t xml:space="preserve"> A </w:t>
      </w:r>
      <w:r w:rsidRPr="00FF173E">
        <w:rPr>
          <w:lang w:eastAsia="en-GB"/>
        </w:rPr>
        <w:t>m</w:t>
      </w:r>
      <w:r w:rsidRPr="00FF173E">
        <w:rPr>
          <w:vertAlign w:val="superscript"/>
          <w:lang w:eastAsia="en-GB"/>
        </w:rPr>
        <w:t>3</w:t>
      </w:r>
      <w:r w:rsidRPr="00FF173E">
        <w:rPr>
          <w:lang w:eastAsia="en-GB"/>
        </w:rPr>
        <w:t>) compared to 1</w:t>
      </w:r>
      <w:r w:rsidR="00EA621C">
        <w:rPr>
          <w:lang w:eastAsia="en-GB"/>
        </w:rPr>
        <w:t xml:space="preserve"> </w:t>
      </w:r>
      <w:r w:rsidRPr="00FF173E">
        <w:rPr>
          <w:lang w:eastAsia="en-GB"/>
        </w:rPr>
        <w:t>mA (6.25</w:t>
      </w:r>
      <w:r w:rsidR="00EA621C">
        <w:rPr>
          <w:lang w:eastAsia="en-GB"/>
        </w:rPr>
        <w:t xml:space="preserve"> A </w:t>
      </w:r>
      <w:r w:rsidRPr="00FF173E">
        <w:rPr>
          <w:lang w:eastAsia="en-GB"/>
        </w:rPr>
        <w:t>m</w:t>
      </w:r>
      <w:r w:rsidRPr="00FF173E">
        <w:rPr>
          <w:vertAlign w:val="superscript"/>
          <w:lang w:eastAsia="en-GB"/>
        </w:rPr>
        <w:t>3</w:t>
      </w:r>
      <w:r w:rsidRPr="00FF173E">
        <w:rPr>
          <w:lang w:eastAsia="en-GB"/>
        </w:rPr>
        <w:t>) for the stack of 20 and 1.05</w:t>
      </w:r>
      <w:r w:rsidR="00EA621C">
        <w:rPr>
          <w:lang w:eastAsia="en-GB"/>
        </w:rPr>
        <w:t xml:space="preserve"> </w:t>
      </w:r>
      <w:r w:rsidRPr="00FF173E">
        <w:rPr>
          <w:lang w:eastAsia="en-GB"/>
        </w:rPr>
        <w:t>mA (3.28</w:t>
      </w:r>
      <w:r w:rsidR="00EA621C">
        <w:rPr>
          <w:lang w:eastAsia="en-GB"/>
        </w:rPr>
        <w:t xml:space="preserve"> A </w:t>
      </w:r>
      <w:r w:rsidRPr="00FF173E">
        <w:rPr>
          <w:lang w:eastAsia="en-GB"/>
        </w:rPr>
        <w:t>m</w:t>
      </w:r>
      <w:r w:rsidRPr="00FF173E">
        <w:rPr>
          <w:vertAlign w:val="superscript"/>
          <w:lang w:eastAsia="en-GB"/>
        </w:rPr>
        <w:t>3</w:t>
      </w:r>
      <w:r w:rsidRPr="00FF173E">
        <w:rPr>
          <w:lang w:eastAsia="en-GB"/>
        </w:rPr>
        <w:t>) for the stack of 40. The stacks were operated in fixed configurations, but it has been reported recently that by dynamically switching between configurations, the performance can be optimised</w:t>
      </w:r>
      <w:proofErr w:type="gramStart"/>
      <w:r w:rsidRPr="00FF173E">
        <w:rPr>
          <w:lang w:eastAsia="en-GB"/>
        </w:rPr>
        <w:t>,</w:t>
      </w:r>
      <w:r w:rsidRPr="00FF173E">
        <w:rPr>
          <w:vertAlign w:val="superscript"/>
          <w:lang w:eastAsia="en-GB"/>
        </w:rPr>
        <w:t>[</w:t>
      </w:r>
      <w:proofErr w:type="gramEnd"/>
      <w:r w:rsidRPr="00FF173E">
        <w:rPr>
          <w:vertAlign w:val="superscript"/>
          <w:lang w:eastAsia="en-GB"/>
        </w:rPr>
        <w:t>26]</w:t>
      </w:r>
      <w:r w:rsidRPr="00FF173E">
        <w:rPr>
          <w:lang w:eastAsia="en-GB"/>
        </w:rPr>
        <w:t xml:space="preserve"> which ultimately prevents current density losses. However, the power density does improve such that the stack of 40 (320</w:t>
      </w:r>
      <w:r w:rsidR="00EA621C">
        <w:rPr>
          <w:lang w:eastAsia="en-GB"/>
        </w:rPr>
        <w:t xml:space="preserve"> </w:t>
      </w:r>
      <w:r w:rsidRPr="00FF173E">
        <w:rPr>
          <w:lang w:eastAsia="en-GB"/>
        </w:rPr>
        <w:t>mL) has a superior power density (4.08</w:t>
      </w:r>
      <w:r w:rsidR="00EA621C">
        <w:rPr>
          <w:lang w:eastAsia="en-GB"/>
        </w:rPr>
        <w:t xml:space="preserve"> </w:t>
      </w:r>
      <w:r w:rsidRPr="00FF173E">
        <w:rPr>
          <w:lang w:eastAsia="en-GB"/>
        </w:rPr>
        <w:t>W</w:t>
      </w:r>
      <w:r w:rsidR="00EA621C">
        <w:rPr>
          <w:lang w:eastAsia="en-GB"/>
        </w:rPr>
        <w:t xml:space="preserve"> </w:t>
      </w:r>
      <w:r w:rsidRPr="00FF173E">
        <w:rPr>
          <w:lang w:eastAsia="en-GB"/>
        </w:rPr>
        <w:t>m</w:t>
      </w:r>
      <w:r w:rsidRPr="00FF173E">
        <w:rPr>
          <w:vertAlign w:val="superscript"/>
          <w:lang w:eastAsia="en-GB"/>
        </w:rPr>
        <w:t>3</w:t>
      </w:r>
      <w:r w:rsidRPr="00FF173E">
        <w:rPr>
          <w:lang w:eastAsia="en-GB"/>
        </w:rPr>
        <w:t>) than the average of the stacks of five (40</w:t>
      </w:r>
      <w:r w:rsidR="00EA621C">
        <w:rPr>
          <w:lang w:eastAsia="en-GB"/>
        </w:rPr>
        <w:t xml:space="preserve"> </w:t>
      </w:r>
      <w:r w:rsidRPr="00FF173E">
        <w:rPr>
          <w:lang w:eastAsia="en-GB"/>
        </w:rPr>
        <w:t>mL) at 2.87</w:t>
      </w:r>
      <w:r w:rsidR="00EA621C">
        <w:rPr>
          <w:lang w:eastAsia="en-GB"/>
        </w:rPr>
        <w:t xml:space="preserve"> </w:t>
      </w:r>
      <w:r w:rsidRPr="00FF173E">
        <w:rPr>
          <w:lang w:eastAsia="en-GB"/>
        </w:rPr>
        <w:t>W</w:t>
      </w:r>
      <w:r w:rsidR="00EA621C">
        <w:rPr>
          <w:lang w:eastAsia="en-GB"/>
        </w:rPr>
        <w:t xml:space="preserve"> </w:t>
      </w:r>
      <w:r w:rsidRPr="00FF173E">
        <w:rPr>
          <w:lang w:eastAsia="en-GB"/>
        </w:rPr>
        <w:t>m</w:t>
      </w:r>
      <w:r w:rsidRPr="00FF173E">
        <w:rPr>
          <w:vertAlign w:val="superscript"/>
          <w:lang w:eastAsia="en-GB"/>
        </w:rPr>
        <w:t>3</w:t>
      </w:r>
      <w:r w:rsidRPr="00FF173E">
        <w:rPr>
          <w:lang w:eastAsia="en-GB"/>
        </w:rPr>
        <w:t>.</w:t>
      </w:r>
    </w:p>
    <w:p w:rsidR="00EA621C" w:rsidRDefault="00FF173E" w:rsidP="00FF173E">
      <w:pPr>
        <w:pStyle w:val="P1"/>
        <w:rPr>
          <w:lang w:eastAsia="en-GB"/>
        </w:rPr>
      </w:pPr>
      <w:r w:rsidRPr="00FF173E">
        <w:rPr>
          <w:lang w:eastAsia="en-GB"/>
        </w:rPr>
        <w:t>This confirms that a combined series/parallel configuration can be an efficient way of stepping up power in MFC stacks</w:t>
      </w:r>
      <w:proofErr w:type="gramStart"/>
      <w:r w:rsidRPr="00FF173E">
        <w:rPr>
          <w:lang w:eastAsia="en-GB"/>
        </w:rPr>
        <w:t>.</w:t>
      </w:r>
      <w:r w:rsidRPr="00FF173E">
        <w:rPr>
          <w:vertAlign w:val="superscript"/>
          <w:lang w:eastAsia="en-GB"/>
        </w:rPr>
        <w:t>[</w:t>
      </w:r>
      <w:proofErr w:type="gramEnd"/>
      <w:r w:rsidRPr="00FF173E">
        <w:rPr>
          <w:vertAlign w:val="superscript"/>
          <w:lang w:eastAsia="en-GB"/>
        </w:rPr>
        <w:t>27]</w:t>
      </w:r>
      <w:r w:rsidRPr="00FF173E">
        <w:rPr>
          <w:lang w:eastAsia="en-GB"/>
        </w:rPr>
        <w:t xml:space="preserve"> The open-circuit voltage </w:t>
      </w:r>
      <w:r w:rsidR="00655B44">
        <w:rPr>
          <w:lang w:eastAsia="en-GB"/>
        </w:rPr>
        <w:t xml:space="preserve">(OCV) of the stack of 40 (3.11 </w:t>
      </w:r>
      <w:r w:rsidRPr="00FF173E">
        <w:rPr>
          <w:lang w:eastAsia="en-GB"/>
        </w:rPr>
        <w:t>V), although it does not reach the theoretical OCV calculated from the stac</w:t>
      </w:r>
      <w:r w:rsidR="00655B44">
        <w:rPr>
          <w:lang w:eastAsia="en-GB"/>
        </w:rPr>
        <w:t xml:space="preserve">ks of five (436 mV x </w:t>
      </w:r>
      <w:r w:rsidRPr="00FF173E">
        <w:rPr>
          <w:lang w:eastAsia="en-GB"/>
        </w:rPr>
        <w:t>8</w:t>
      </w:r>
      <w:r w:rsidR="00655B44">
        <w:rPr>
          <w:lang w:eastAsia="en-GB"/>
        </w:rPr>
        <w:t xml:space="preserve"> </w:t>
      </w:r>
      <w:r w:rsidRPr="00FF173E">
        <w:rPr>
          <w:lang w:eastAsia="en-GB"/>
        </w:rPr>
        <w:t>=</w:t>
      </w:r>
      <w:r w:rsidR="00655B44">
        <w:rPr>
          <w:lang w:eastAsia="en-GB"/>
        </w:rPr>
        <w:t xml:space="preserve"> 3.49 </w:t>
      </w:r>
      <w:r w:rsidRPr="00FF173E">
        <w:rPr>
          <w:lang w:eastAsia="en-GB"/>
        </w:rPr>
        <w:t>V), was consistent and sufficiently high to test the electrical capabilities when implemented in real applications. To demonstrate that t</w:t>
      </w:r>
      <w:r w:rsidR="00655B44">
        <w:rPr>
          <w:lang w:eastAsia="en-GB"/>
        </w:rPr>
        <w:t xml:space="preserve">he biodegrading stack (aged 17 </w:t>
      </w:r>
      <w:r w:rsidRPr="00FF173E">
        <w:rPr>
          <w:lang w:eastAsia="en-GB"/>
        </w:rPr>
        <w:t>weeks) could generate useful electricity, a light-emitting diode (LED) was connected directly to the stack without any energy-harvesting electronics. The biodegradable stack was able to maintain constant and bright illumination with feeding only required every three days. To demonstrate recovery, the stack was starved for two weeks before it was fed with fresh urine, and the recovery and subsequent stab</w:t>
      </w:r>
      <w:r w:rsidR="00655B44">
        <w:rPr>
          <w:lang w:eastAsia="en-GB"/>
        </w:rPr>
        <w:t xml:space="preserve">ility is highlighted in Figure 6a. It took just 10.5 </w:t>
      </w:r>
      <w:r w:rsidRPr="00FF173E">
        <w:rPr>
          <w:lang w:eastAsia="en-GB"/>
        </w:rPr>
        <w:t xml:space="preserve">h </w:t>
      </w:r>
      <w:r w:rsidR="00655B44">
        <w:rPr>
          <w:lang w:eastAsia="en-GB"/>
        </w:rPr>
        <w:t xml:space="preserve">for the stack to climb to 1.54 </w:t>
      </w:r>
      <w:r w:rsidRPr="00FF173E">
        <w:rPr>
          <w:lang w:eastAsia="en-GB"/>
        </w:rPr>
        <w:t>V, which was sufficient to f</w:t>
      </w:r>
      <w:r w:rsidR="00655B44">
        <w:rPr>
          <w:lang w:eastAsia="en-GB"/>
        </w:rPr>
        <w:t xml:space="preserve">ully illuminate the LED and 46 </w:t>
      </w:r>
      <w:r w:rsidRPr="00FF173E">
        <w:rPr>
          <w:lang w:eastAsia="en-GB"/>
        </w:rPr>
        <w:t xml:space="preserve">h to </w:t>
      </w:r>
      <w:r w:rsidR="00655B44">
        <w:rPr>
          <w:lang w:eastAsia="en-GB"/>
        </w:rPr>
        <w:t xml:space="preserve">reach the 1.7 </w:t>
      </w:r>
      <w:r w:rsidRPr="00FF173E">
        <w:rPr>
          <w:lang w:eastAsia="en-GB"/>
        </w:rPr>
        <w:t xml:space="preserve">V </w:t>
      </w:r>
      <w:r w:rsidR="00655B44" w:rsidRPr="00FF173E">
        <w:rPr>
          <w:lang w:eastAsia="en-GB"/>
        </w:rPr>
        <w:t>required for stable operation.</w:t>
      </w:r>
    </w:p>
    <w:p w:rsidR="00EA621C" w:rsidRDefault="00EA621C" w:rsidP="00FF173E">
      <w:pPr>
        <w:pStyle w:val="P1"/>
        <w:rPr>
          <w:lang w:eastAsia="en-GB"/>
        </w:rPr>
      </w:pPr>
      <w:r w:rsidRPr="00EA621C">
        <w:rPr>
          <w:noProof/>
          <w:lang w:eastAsia="en-GB"/>
        </w:rPr>
        <w:lastRenderedPageBreak/>
        <w:drawing>
          <wp:anchor distT="0" distB="0" distL="114300" distR="114300" simplePos="0" relativeHeight="251662336" behindDoc="0" locked="0" layoutInCell="1" allowOverlap="1" wp14:anchorId="74E89C80" wp14:editId="1AC8DA55">
            <wp:simplePos x="0" y="0"/>
            <wp:positionH relativeFrom="column">
              <wp:posOffset>1186180</wp:posOffset>
            </wp:positionH>
            <wp:positionV relativeFrom="paragraph">
              <wp:posOffset>121285</wp:posOffset>
            </wp:positionV>
            <wp:extent cx="3344400" cy="7167600"/>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4400" cy="71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EA621C" w:rsidRDefault="00EA621C" w:rsidP="00FF173E">
      <w:pPr>
        <w:pStyle w:val="P1"/>
        <w:rPr>
          <w:lang w:eastAsia="en-GB"/>
        </w:rPr>
      </w:pPr>
    </w:p>
    <w:p w:rsidR="00604441" w:rsidRPr="00604441" w:rsidRDefault="00604441" w:rsidP="00604441">
      <w:pPr>
        <w:pStyle w:val="FigureCaption"/>
        <w:jc w:val="center"/>
        <w:rPr>
          <w:sz w:val="20"/>
          <w:szCs w:val="20"/>
          <w:lang w:val="en-GB"/>
        </w:rPr>
      </w:pPr>
      <w:r w:rsidRPr="00604441">
        <w:rPr>
          <w:b/>
          <w:sz w:val="20"/>
          <w:szCs w:val="20"/>
          <w:lang w:val="en-GB"/>
        </w:rPr>
        <w:t>Figure 5</w:t>
      </w:r>
      <w:r w:rsidRPr="00604441">
        <w:rPr>
          <w:sz w:val="20"/>
          <w:szCs w:val="20"/>
          <w:lang w:val="en-GB"/>
        </w:rPr>
        <w:t xml:space="preserve"> Comparison of different stack configurations if fed urine: a) five MFCs in parallel after three weeks (</w:t>
      </w:r>
      <w:r w:rsidRPr="00604441">
        <w:rPr>
          <w:i/>
          <w:color w:val="808080"/>
          <w:sz w:val="20"/>
          <w:szCs w:val="20"/>
          <w:lang w:val="en-GB"/>
        </w:rPr>
        <w:t>n</w:t>
      </w:r>
      <w:r w:rsidRPr="00604441">
        <w:rPr>
          <w:sz w:val="20"/>
          <w:szCs w:val="20"/>
          <w:lang w:val="en-GB"/>
        </w:rPr>
        <w:t>=8, mean and standard error of the mean, b) 20 MFCs in series/parallel after nine weeks (</w:t>
      </w:r>
      <w:r w:rsidRPr="00604441">
        <w:rPr>
          <w:i/>
          <w:color w:val="808080"/>
          <w:sz w:val="20"/>
          <w:szCs w:val="20"/>
          <w:lang w:val="en-GB"/>
        </w:rPr>
        <w:t>n</w:t>
      </w:r>
      <w:r w:rsidRPr="00604441">
        <w:rPr>
          <w:sz w:val="20"/>
          <w:szCs w:val="20"/>
          <w:lang w:val="en-GB"/>
        </w:rPr>
        <w:t>=2, mean and range) and c) stack of 40 MFCs after 17 weeks.</w:t>
      </w:r>
    </w:p>
    <w:p w:rsidR="00EA621C" w:rsidRDefault="00EA621C" w:rsidP="00FF173E">
      <w:pPr>
        <w:pStyle w:val="P1"/>
        <w:rPr>
          <w:lang w:eastAsia="en-GB"/>
        </w:rPr>
      </w:pPr>
    </w:p>
    <w:p w:rsidR="00EA621C" w:rsidRDefault="00EA621C" w:rsidP="00FF173E">
      <w:pPr>
        <w:pStyle w:val="P1"/>
        <w:rPr>
          <w:lang w:eastAsia="en-GB"/>
        </w:rPr>
      </w:pPr>
    </w:p>
    <w:p w:rsidR="00FF173E" w:rsidRDefault="00604441" w:rsidP="00604441">
      <w:pPr>
        <w:pStyle w:val="P1"/>
        <w:ind w:firstLine="0"/>
        <w:rPr>
          <w:lang w:eastAsia="en-GB"/>
        </w:rPr>
      </w:pPr>
      <w:r w:rsidRPr="00604441">
        <w:rPr>
          <w:noProof/>
          <w:lang w:eastAsia="en-GB"/>
        </w:rPr>
        <w:lastRenderedPageBreak/>
        <w:drawing>
          <wp:anchor distT="0" distB="0" distL="114300" distR="114300" simplePos="0" relativeHeight="251663360" behindDoc="0" locked="0" layoutInCell="1" allowOverlap="1" wp14:anchorId="21AADC2E" wp14:editId="32CD9A11">
            <wp:simplePos x="0" y="0"/>
            <wp:positionH relativeFrom="column">
              <wp:posOffset>1130935</wp:posOffset>
            </wp:positionH>
            <wp:positionV relativeFrom="paragraph">
              <wp:posOffset>1102360</wp:posOffset>
            </wp:positionV>
            <wp:extent cx="3671570" cy="5568950"/>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1570" cy="556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173E" w:rsidRPr="00FF173E">
        <w:rPr>
          <w:lang w:eastAsia="en-GB"/>
        </w:rPr>
        <w:t>The biodegradable stack was able to keep the LED lit brightly provided that the MFCs were topped up with urine approximately once every three days. The long-term stable perfo</w:t>
      </w:r>
      <w:r w:rsidR="00655B44">
        <w:rPr>
          <w:lang w:eastAsia="en-GB"/>
        </w:rPr>
        <w:t>rmance is emphasised in Figure 6a</w:t>
      </w:r>
      <w:r w:rsidR="00FF173E" w:rsidRPr="00FF173E">
        <w:rPr>
          <w:lang w:eastAsia="en-GB"/>
        </w:rPr>
        <w:t>, which shows the stack behaviour over more than eight days.</w:t>
      </w:r>
    </w:p>
    <w:p w:rsidR="00604441" w:rsidRDefault="00604441" w:rsidP="00604441">
      <w:pPr>
        <w:pStyle w:val="P1"/>
        <w:ind w:firstLine="0"/>
        <w:rPr>
          <w:lang w:eastAsia="en-GB"/>
        </w:rPr>
      </w:pPr>
    </w:p>
    <w:p w:rsidR="00604441" w:rsidRDefault="00604441" w:rsidP="00604441">
      <w:pPr>
        <w:pStyle w:val="P1"/>
        <w:ind w:firstLine="0"/>
        <w:rPr>
          <w:lang w:eastAsia="en-GB"/>
        </w:rPr>
      </w:pPr>
    </w:p>
    <w:p w:rsidR="00604441" w:rsidRDefault="00604441" w:rsidP="00604441">
      <w:pPr>
        <w:pStyle w:val="P1"/>
        <w:ind w:firstLine="0"/>
        <w:rPr>
          <w:lang w:eastAsia="en-GB"/>
        </w:rPr>
      </w:pPr>
    </w:p>
    <w:p w:rsidR="00604441" w:rsidRDefault="00604441" w:rsidP="00604441">
      <w:pPr>
        <w:pStyle w:val="P1"/>
        <w:ind w:firstLine="0"/>
        <w:rPr>
          <w:lang w:eastAsia="en-GB"/>
        </w:rPr>
      </w:pPr>
    </w:p>
    <w:p w:rsidR="00604441" w:rsidRDefault="00604441" w:rsidP="00604441">
      <w:pPr>
        <w:pStyle w:val="P1"/>
        <w:ind w:firstLine="0"/>
        <w:rPr>
          <w:lang w:eastAsia="en-GB"/>
        </w:rPr>
      </w:pPr>
    </w:p>
    <w:p w:rsidR="00604441" w:rsidRDefault="00604441" w:rsidP="00604441">
      <w:pPr>
        <w:pStyle w:val="P1"/>
        <w:ind w:firstLine="0"/>
        <w:rPr>
          <w:lang w:eastAsia="en-GB"/>
        </w:rPr>
      </w:pPr>
    </w:p>
    <w:p w:rsidR="00604441" w:rsidRDefault="00604441" w:rsidP="00604441">
      <w:pPr>
        <w:pStyle w:val="P1"/>
        <w:ind w:firstLine="0"/>
        <w:rPr>
          <w:lang w:eastAsia="en-GB"/>
        </w:rPr>
      </w:pPr>
    </w:p>
    <w:p w:rsidR="00604441" w:rsidRDefault="00604441" w:rsidP="00604441">
      <w:pPr>
        <w:pStyle w:val="P1"/>
        <w:ind w:firstLine="0"/>
        <w:rPr>
          <w:lang w:eastAsia="en-GB"/>
        </w:rPr>
      </w:pPr>
    </w:p>
    <w:p w:rsidR="00604441" w:rsidRDefault="00604441" w:rsidP="00604441">
      <w:pPr>
        <w:pStyle w:val="P1"/>
        <w:ind w:firstLine="0"/>
        <w:rPr>
          <w:lang w:eastAsia="en-GB"/>
        </w:rPr>
      </w:pPr>
    </w:p>
    <w:p w:rsidR="00604441" w:rsidRDefault="00604441" w:rsidP="00604441">
      <w:pPr>
        <w:pStyle w:val="P1"/>
        <w:ind w:firstLine="0"/>
        <w:rPr>
          <w:lang w:eastAsia="en-GB"/>
        </w:rPr>
      </w:pPr>
    </w:p>
    <w:p w:rsidR="00604441" w:rsidRDefault="00604441" w:rsidP="00604441">
      <w:pPr>
        <w:pStyle w:val="P1"/>
        <w:ind w:firstLine="0"/>
        <w:rPr>
          <w:lang w:eastAsia="en-GB"/>
        </w:rPr>
      </w:pPr>
    </w:p>
    <w:p w:rsidR="00604441" w:rsidRDefault="00604441" w:rsidP="00604441">
      <w:pPr>
        <w:pStyle w:val="P1"/>
        <w:ind w:firstLine="0"/>
        <w:rPr>
          <w:lang w:eastAsia="en-GB"/>
        </w:rPr>
      </w:pPr>
    </w:p>
    <w:p w:rsidR="00604441" w:rsidRDefault="00604441" w:rsidP="00604441">
      <w:pPr>
        <w:pStyle w:val="P1"/>
        <w:ind w:firstLine="0"/>
        <w:rPr>
          <w:lang w:eastAsia="en-GB"/>
        </w:rPr>
      </w:pPr>
    </w:p>
    <w:p w:rsidR="00604441" w:rsidRDefault="00604441" w:rsidP="00604441">
      <w:pPr>
        <w:pStyle w:val="P1"/>
        <w:ind w:firstLine="0"/>
        <w:rPr>
          <w:lang w:eastAsia="en-GB"/>
        </w:rPr>
      </w:pPr>
    </w:p>
    <w:p w:rsidR="00655B44" w:rsidRDefault="00655B44" w:rsidP="00604441">
      <w:pPr>
        <w:pStyle w:val="FigureCaption"/>
        <w:jc w:val="center"/>
        <w:rPr>
          <w:b/>
          <w:sz w:val="20"/>
          <w:szCs w:val="20"/>
          <w:lang w:val="en-GB"/>
        </w:rPr>
      </w:pPr>
    </w:p>
    <w:p w:rsidR="00604441" w:rsidRPr="00604441" w:rsidRDefault="00604441" w:rsidP="00604441">
      <w:pPr>
        <w:pStyle w:val="FigureCaption"/>
        <w:jc w:val="center"/>
        <w:rPr>
          <w:sz w:val="20"/>
          <w:szCs w:val="20"/>
          <w:lang w:val="en-GB"/>
        </w:rPr>
      </w:pPr>
      <w:r w:rsidRPr="00604441">
        <w:rPr>
          <w:b/>
          <w:sz w:val="20"/>
          <w:szCs w:val="20"/>
          <w:lang w:val="en-GB"/>
        </w:rPr>
        <w:t>Figure 6</w:t>
      </w:r>
      <w:r w:rsidRPr="00604441">
        <w:rPr>
          <w:sz w:val="20"/>
          <w:szCs w:val="20"/>
          <w:lang w:val="en-GB"/>
        </w:rPr>
        <w:t xml:space="preserve"> Performance of biodegradable stack: a) attached directly to an LED after two weeks of starvation; b) charge/discharge cycle of MFC stack and 0.75F capacitor bank. Arrows in both figures indicate when the MFCs were topped up with fresh urine.</w:t>
      </w:r>
    </w:p>
    <w:p w:rsidR="00FF173E" w:rsidRPr="00FF173E" w:rsidRDefault="00FF173E" w:rsidP="00FF173E">
      <w:pPr>
        <w:pStyle w:val="P1"/>
        <w:rPr>
          <w:lang w:eastAsia="en-GB"/>
        </w:rPr>
      </w:pPr>
      <w:r w:rsidRPr="00FF173E">
        <w:rPr>
          <w:lang w:eastAsia="en-GB"/>
        </w:rPr>
        <w:t xml:space="preserve">The illumination of LEDs can be worthwhile, however, a stack of biodegradable MFCs might be required to power applications that are more energy intensive. For this reason the stack was connected to a power-management system that comprised energy-harvesting electronics with a custom-made hysteresis board and four capacitors connected in series (with a resulting capacitance </w:t>
      </w:r>
      <w:r w:rsidRPr="00FF173E">
        <w:rPr>
          <w:lang w:eastAsia="en-GB"/>
        </w:rPr>
        <w:lastRenderedPageBreak/>
        <w:t>of 0.75</w:t>
      </w:r>
      <w:r w:rsidR="00604441">
        <w:rPr>
          <w:lang w:eastAsia="en-GB"/>
        </w:rPr>
        <w:t xml:space="preserve"> </w:t>
      </w:r>
      <w:r w:rsidRPr="00FF173E">
        <w:rPr>
          <w:lang w:eastAsia="en-GB"/>
        </w:rPr>
        <w:t>F and a voltage of 10.8</w:t>
      </w:r>
      <w:r w:rsidR="00604441">
        <w:rPr>
          <w:lang w:eastAsia="en-GB"/>
        </w:rPr>
        <w:t xml:space="preserve"> </w:t>
      </w:r>
      <w:r w:rsidRPr="00FF173E">
        <w:rPr>
          <w:lang w:eastAsia="en-GB"/>
        </w:rPr>
        <w:t>V). The hysteresis board discharged the capacitors at 8.5 to 5</w:t>
      </w:r>
      <w:r w:rsidR="00604441">
        <w:rPr>
          <w:lang w:eastAsia="en-GB"/>
        </w:rPr>
        <w:t xml:space="preserve"> </w:t>
      </w:r>
      <w:r w:rsidRPr="00FF173E">
        <w:rPr>
          <w:lang w:eastAsia="en-GB"/>
        </w:rPr>
        <w:t>V through a load, and the charge/discharge cycle over a 100</w:t>
      </w:r>
      <w:r w:rsidR="00604441">
        <w:rPr>
          <w:lang w:eastAsia="en-GB"/>
        </w:rPr>
        <w:t xml:space="preserve"> </w:t>
      </w:r>
      <w:r w:rsidRPr="00FF173E">
        <w:rPr>
          <w:lang w:eastAsia="en-GB"/>
        </w:rPr>
        <w:t xml:space="preserve">h period is shown in </w:t>
      </w:r>
      <w:r w:rsidR="00604441">
        <w:rPr>
          <w:lang w:eastAsia="en-GB"/>
        </w:rPr>
        <w:t>Figure 6</w:t>
      </w:r>
      <w:r w:rsidRPr="00FF173E">
        <w:rPr>
          <w:lang w:eastAsia="en-GB"/>
        </w:rPr>
        <w:t>b. Each discharge released enough energy (up to 20</w:t>
      </w:r>
      <w:r w:rsidR="00604441">
        <w:rPr>
          <w:lang w:eastAsia="en-GB"/>
        </w:rPr>
        <w:t xml:space="preserve"> </w:t>
      </w:r>
      <w:r w:rsidRPr="00FF173E">
        <w:rPr>
          <w:lang w:eastAsia="en-GB"/>
        </w:rPr>
        <w:t>J per discharge) to activate a range of useful applications. Provided that the stack was fed with urine regularly, it maintained the cycle and on average discharged every 9</w:t>
      </w:r>
      <w:r w:rsidR="00604441">
        <w:rPr>
          <w:lang w:eastAsia="en-GB"/>
        </w:rPr>
        <w:t xml:space="preserve"> </w:t>
      </w:r>
      <w:r w:rsidRPr="00FF173E">
        <w:rPr>
          <w:lang w:eastAsia="en-GB"/>
        </w:rPr>
        <w:t>h and continued to operate beyond 24</w:t>
      </w:r>
      <w:r w:rsidR="00604441">
        <w:rPr>
          <w:lang w:eastAsia="en-GB"/>
        </w:rPr>
        <w:t xml:space="preserve"> </w:t>
      </w:r>
      <w:r w:rsidRPr="00FF173E">
        <w:rPr>
          <w:lang w:eastAsia="en-GB"/>
        </w:rPr>
        <w:t>weeks.</w:t>
      </w:r>
    </w:p>
    <w:p w:rsidR="00FF173E" w:rsidRPr="00FF173E" w:rsidRDefault="00FF173E" w:rsidP="00FF173E">
      <w:pPr>
        <w:pStyle w:val="P1"/>
        <w:rPr>
          <w:lang w:eastAsia="en-GB"/>
        </w:rPr>
      </w:pPr>
      <w:r w:rsidRPr="00FF173E">
        <w:rPr>
          <w:lang w:eastAsia="en-GB"/>
        </w:rPr>
        <w:t xml:space="preserve">As proposed earlier, a biodegradable stack of MFCs could be used to power a biodegradable robot, perhaps to fuel locomotion or a pumping mechanism. Recently, biodegradable gelatine artificial muscles have been </w:t>
      </w:r>
      <w:proofErr w:type="gramStart"/>
      <w:r w:rsidRPr="00FF173E">
        <w:rPr>
          <w:lang w:eastAsia="en-GB"/>
        </w:rPr>
        <w:t>developed</w:t>
      </w:r>
      <w:r w:rsidRPr="00FF173E">
        <w:rPr>
          <w:vertAlign w:val="superscript"/>
          <w:lang w:eastAsia="en-GB"/>
        </w:rPr>
        <w:t>[</w:t>
      </w:r>
      <w:proofErr w:type="gramEnd"/>
      <w:r w:rsidRPr="00FF173E">
        <w:rPr>
          <w:vertAlign w:val="superscript"/>
          <w:lang w:eastAsia="en-GB"/>
        </w:rPr>
        <w:t>28]</w:t>
      </w:r>
      <w:r w:rsidRPr="00FF173E">
        <w:rPr>
          <w:lang w:eastAsia="en-GB"/>
        </w:rPr>
        <w:t xml:space="preserve"> that actuate within the same voltage and current range as produced by the biodegradable stack in this study. These are promising developments in the field of biodegradable robotics as it now appears that the right components are in place for actuation and power generation. A clear consideration with biodegradable MFCs is the length of time of operation. The data shown in </w:t>
      </w:r>
      <w:r w:rsidR="00604441">
        <w:rPr>
          <w:lang w:eastAsia="en-GB"/>
        </w:rPr>
        <w:t xml:space="preserve">Figure </w:t>
      </w:r>
      <w:r w:rsidRPr="00FF173E">
        <w:rPr>
          <w:lang w:eastAsia="en-GB"/>
        </w:rPr>
        <w:t>6b</w:t>
      </w:r>
      <w:r w:rsidR="00604441">
        <w:rPr>
          <w:lang w:eastAsia="en-GB"/>
        </w:rPr>
        <w:t xml:space="preserve"> </w:t>
      </w:r>
      <w:r w:rsidRPr="00FF173E">
        <w:rPr>
          <w:lang w:eastAsia="en-GB"/>
        </w:rPr>
        <w:t>were generated when the stack was close to five months old. Some visual signs of degradation could be seen, but the MFCs continued to generate useful power. The conditions in which an MFC operates (i.e., anaerobic internal environment, neutral pH, the use of specialist electro-active organisms) are very different to other natural environments, and so the lifetime of the materials might be prolonged during MFC operation. This is highlighted by the fact that if buried in the ground, the natural rubber with the egg-based cathode material and lanolin had degraded completely by the fourth month (</w:t>
      </w:r>
      <w:r w:rsidR="00604441">
        <w:rPr>
          <w:lang w:eastAsia="en-GB"/>
        </w:rPr>
        <w:t xml:space="preserve">Figure </w:t>
      </w:r>
      <w:r w:rsidRPr="00FF173E">
        <w:rPr>
          <w:lang w:eastAsia="en-GB"/>
        </w:rPr>
        <w:t>3f) but as functioning MFC components in the stack, they were still intact and operational after six months. It was observed that if fuel was no longer fed and the MFCs ceased operation, biodegradation appeared to accelerate. This was apparent after the two-week period of starvation when, after feeding, there were leaks in some of the MFCs that were not present before the period of inactivity. Interestingly, after several days of operation, some of these leaks disappeared as the system seemed to “self-seal”, perhaps because of precipitation and biofilm growth.</w:t>
      </w:r>
    </w:p>
    <w:p w:rsidR="00FF173E" w:rsidRPr="00FF173E" w:rsidRDefault="00FF173E" w:rsidP="00FF173E">
      <w:pPr>
        <w:pStyle w:val="P1"/>
        <w:rPr>
          <w:lang w:eastAsia="en-GB"/>
        </w:rPr>
      </w:pPr>
      <w:r w:rsidRPr="00FF173E">
        <w:rPr>
          <w:lang w:eastAsia="en-GB"/>
        </w:rPr>
        <w:t xml:space="preserve">Over the course of the study, there was a </w:t>
      </w:r>
      <w:r w:rsidR="00604441" w:rsidRPr="00FF173E">
        <w:rPr>
          <w:lang w:eastAsia="en-GB"/>
        </w:rPr>
        <w:t>build-up</w:t>
      </w:r>
      <w:r w:rsidRPr="00FF173E">
        <w:rPr>
          <w:lang w:eastAsia="en-GB"/>
        </w:rPr>
        <w:t xml:space="preserve"> of precipitate in the bottom of the anode chamber. The biodegradable MFC design did not allow for analysis of the precipitant, but </w:t>
      </w:r>
      <w:proofErr w:type="spellStart"/>
      <w:r w:rsidRPr="00FF173E">
        <w:rPr>
          <w:lang w:eastAsia="en-GB"/>
        </w:rPr>
        <w:t>struvite</w:t>
      </w:r>
      <w:proofErr w:type="spellEnd"/>
      <w:r w:rsidRPr="00FF173E">
        <w:rPr>
          <w:lang w:eastAsia="en-GB"/>
        </w:rPr>
        <w:t xml:space="preserve"> accumulation has been reported in other studies using urine.</w:t>
      </w:r>
      <w:r w:rsidR="00655B44">
        <w:rPr>
          <w:vertAlign w:val="superscript"/>
          <w:lang w:eastAsia="en-GB"/>
        </w:rPr>
        <w:t>[29,</w:t>
      </w:r>
      <w:r w:rsidRPr="00FF173E">
        <w:rPr>
          <w:vertAlign w:val="superscript"/>
          <w:lang w:eastAsia="en-GB"/>
        </w:rPr>
        <w:t>30]</w:t>
      </w:r>
      <w:r w:rsidRPr="00FF173E">
        <w:rPr>
          <w:lang w:eastAsia="en-GB"/>
        </w:rPr>
        <w:t xml:space="preserve"> For long-term operation this could be considered a hindrance by causing blockages to operation, however, for biodegradable systems, </w:t>
      </w:r>
      <w:proofErr w:type="spellStart"/>
      <w:r w:rsidRPr="00FF173E">
        <w:rPr>
          <w:lang w:eastAsia="en-GB"/>
        </w:rPr>
        <w:t>struvite</w:t>
      </w:r>
      <w:proofErr w:type="spellEnd"/>
      <w:r w:rsidRPr="00FF173E">
        <w:rPr>
          <w:lang w:eastAsia="en-GB"/>
        </w:rPr>
        <w:t xml:space="preserve"> accumulation might be a benefit because once the MFCs have reached the end of their </w:t>
      </w:r>
      <w:r w:rsidRPr="00FF173E">
        <w:rPr>
          <w:lang w:eastAsia="en-GB"/>
        </w:rPr>
        <w:lastRenderedPageBreak/>
        <w:t>mission, this valuable nutrient could either be released to the land or increase the biodegradability of the system in oligotrophic environments.</w:t>
      </w:r>
    </w:p>
    <w:p w:rsidR="00FF173E" w:rsidRPr="00FF173E" w:rsidRDefault="00655B44" w:rsidP="00FF173E">
      <w:pPr>
        <w:pStyle w:val="P1"/>
        <w:rPr>
          <w:lang w:eastAsia="en-GB"/>
        </w:rPr>
      </w:pPr>
      <w:r>
        <w:rPr>
          <w:lang w:eastAsia="en-GB"/>
        </w:rPr>
        <w:t xml:space="preserve">The </w:t>
      </w:r>
      <w:proofErr w:type="spellStart"/>
      <w:r>
        <w:rPr>
          <w:lang w:eastAsia="en-GB"/>
        </w:rPr>
        <w:t>c</w:t>
      </w:r>
      <w:r w:rsidR="00FF173E" w:rsidRPr="00FF173E">
        <w:rPr>
          <w:lang w:eastAsia="en-GB"/>
        </w:rPr>
        <w:t>oulombic</w:t>
      </w:r>
      <w:proofErr w:type="spellEnd"/>
      <w:r w:rsidR="00FF173E" w:rsidRPr="00FF173E">
        <w:rPr>
          <w:lang w:eastAsia="en-GB"/>
        </w:rPr>
        <w:t xml:space="preserve"> efficiency (1.1</w:t>
      </w:r>
      <w:r w:rsidR="00604441">
        <w:rPr>
          <w:lang w:eastAsia="en-GB"/>
        </w:rPr>
        <w:t xml:space="preserve"> </w:t>
      </w:r>
      <w:r w:rsidR="00FF173E" w:rsidRPr="00FF173E">
        <w:rPr>
          <w:lang w:eastAsia="en-GB"/>
        </w:rPr>
        <w:t>%) and power density (4</w:t>
      </w:r>
      <w:r w:rsidR="00604441">
        <w:rPr>
          <w:lang w:eastAsia="en-GB"/>
        </w:rPr>
        <w:t xml:space="preserve"> </w:t>
      </w:r>
      <w:r w:rsidR="00FF173E" w:rsidRPr="00FF173E">
        <w:rPr>
          <w:lang w:eastAsia="en-GB"/>
        </w:rPr>
        <w:t>W</w:t>
      </w:r>
      <w:r w:rsidR="00604441">
        <w:rPr>
          <w:lang w:eastAsia="en-GB"/>
        </w:rPr>
        <w:t xml:space="preserve"> </w:t>
      </w:r>
      <w:r w:rsidR="00FF173E" w:rsidRPr="00FF173E">
        <w:rPr>
          <w:lang w:eastAsia="en-GB"/>
        </w:rPr>
        <w:t>m</w:t>
      </w:r>
      <w:r w:rsidR="00FF173E" w:rsidRPr="00FF173E">
        <w:rPr>
          <w:vertAlign w:val="superscript"/>
          <w:lang w:eastAsia="en-GB"/>
        </w:rPr>
        <w:t>3</w:t>
      </w:r>
      <w:r w:rsidR="00FF173E" w:rsidRPr="00FF173E">
        <w:rPr>
          <w:lang w:eastAsia="en-GB"/>
        </w:rPr>
        <w:t>) were low compared to those of previous studies in which MFCs were constructed from expensive, non-biodegradable and unsustainable materials. For example, in studies using Pt-based cathodes, power densities of over 2</w:t>
      </w:r>
      <w:r w:rsidR="00604441">
        <w:rPr>
          <w:lang w:eastAsia="en-GB"/>
        </w:rPr>
        <w:t xml:space="preserve"> </w:t>
      </w:r>
      <w:r w:rsidR="00FF173E" w:rsidRPr="00FF173E">
        <w:rPr>
          <w:lang w:eastAsia="en-GB"/>
        </w:rPr>
        <w:t>kW</w:t>
      </w:r>
      <w:r w:rsidR="00604441">
        <w:rPr>
          <w:lang w:eastAsia="en-GB"/>
        </w:rPr>
        <w:t xml:space="preserve"> </w:t>
      </w:r>
      <w:r w:rsidR="00FF173E" w:rsidRPr="00FF173E">
        <w:rPr>
          <w:lang w:eastAsia="en-GB"/>
        </w:rPr>
        <w:t>m</w:t>
      </w:r>
      <w:r w:rsidR="00FF173E" w:rsidRPr="00FF173E">
        <w:rPr>
          <w:vertAlign w:val="superscript"/>
          <w:lang w:eastAsia="en-GB"/>
        </w:rPr>
        <w:t>3</w:t>
      </w:r>
      <w:r w:rsidR="00FF173E" w:rsidRPr="00FF173E">
        <w:rPr>
          <w:lang w:eastAsia="en-GB"/>
        </w:rPr>
        <w:t xml:space="preserve"> have been reported with </w:t>
      </w:r>
      <w:proofErr w:type="spellStart"/>
      <w:r w:rsidR="00FF173E" w:rsidRPr="00FF173E">
        <w:rPr>
          <w:lang w:eastAsia="en-GB"/>
        </w:rPr>
        <w:t>Coulombic</w:t>
      </w:r>
      <w:proofErr w:type="spellEnd"/>
      <w:r w:rsidR="00FF173E" w:rsidRPr="00FF173E">
        <w:rPr>
          <w:lang w:eastAsia="en-GB"/>
        </w:rPr>
        <w:t xml:space="preserve"> efficiencies of above 80</w:t>
      </w:r>
      <w:r w:rsidR="00604441">
        <w:rPr>
          <w:lang w:eastAsia="en-GB"/>
        </w:rPr>
        <w:t xml:space="preserve"> </w:t>
      </w:r>
      <w:r w:rsidR="00FF173E" w:rsidRPr="00FF173E">
        <w:rPr>
          <w:lang w:eastAsia="en-GB"/>
        </w:rPr>
        <w:t>%</w:t>
      </w:r>
      <w:r w:rsidR="00FF173E" w:rsidRPr="00FF173E">
        <w:t>.</w:t>
      </w:r>
      <w:r w:rsidR="00FF173E" w:rsidRPr="00FF173E">
        <w:rPr>
          <w:vertAlign w:val="superscript"/>
          <w:lang w:eastAsia="en-GB"/>
        </w:rPr>
        <w:t>[31]</w:t>
      </w:r>
      <w:r w:rsidR="00FF173E" w:rsidRPr="00FF173E">
        <w:rPr>
          <w:lang w:eastAsia="en-GB"/>
        </w:rPr>
        <w:t xml:space="preserve"> Clearly, a lot of further work is required to reach these levels using biodegradable components, but this study demonstrates that potentially any material can be employed to produce meaningful power. These are key findings for the progress of new sustainable technologies because they demonstrate that useful energy can be produced even using simple, inexpensive, non-hazardous materials. Furthermore, this was achieved using oxygen-breathing cathodes, free of any catalyst, and with urine as the fuel. Finally, in the current study, a complex mixed electro-active community was used to inoculate the MFCs. For practical implementation the user may require the system to degrade at a specified rate or begin to degrade at a designated time. For this reason an interesting avenue of work would be the incorporation of specific species to accelerate biodegradation.</w:t>
      </w:r>
    </w:p>
    <w:p w:rsidR="00FF173E" w:rsidRPr="00FF173E" w:rsidRDefault="00FF173E" w:rsidP="00CB4B63">
      <w:pPr>
        <w:pStyle w:val="Heading1"/>
        <w:rPr>
          <w:lang w:eastAsia="en-GB"/>
        </w:rPr>
      </w:pPr>
      <w:r w:rsidRPr="00FF173E">
        <w:rPr>
          <w:lang w:eastAsia="en-GB"/>
        </w:rPr>
        <w:t>Conclusions</w:t>
      </w:r>
    </w:p>
    <w:p w:rsidR="00FF173E" w:rsidRPr="00FF173E" w:rsidRDefault="00FF173E" w:rsidP="00FF173E">
      <w:pPr>
        <w:pStyle w:val="P1"/>
        <w:rPr>
          <w:lang w:eastAsia="en-GB"/>
        </w:rPr>
      </w:pPr>
      <w:r w:rsidRPr="00FF173E">
        <w:rPr>
          <w:lang w:eastAsia="en-GB"/>
        </w:rPr>
        <w:t>This is the first time that a fully biodegradable stack of microbial fuel cells (MFCs) able to power real applications has been reported. Carbon was used as the conductive element in both electrodes, which, although not biodegradable, can be deemed harmless in nature. Metal in the form of nickel chrome wire was included to ensure efficient electrical connection and current collection. Future work should look at alternatives to metallic wire including graphite layers, incorporation of dissolvable electronics and/or through fluidic tubes that utilise the conductivity of the fuel to form the electrical connections. The components required for building each MFC in the current study cost just £0.40 (0.70€), which further demonstrates the feasibility to exploit the technology in a wide market. This innovative study highlights the potential that MFCs can offer to future societies both in terms of cost and sustainability.</w:t>
      </w:r>
    </w:p>
    <w:p w:rsidR="00FF173E" w:rsidRPr="00FF173E" w:rsidRDefault="00FF173E" w:rsidP="00CB4B63">
      <w:pPr>
        <w:pStyle w:val="Heading1"/>
      </w:pPr>
      <w:r w:rsidRPr="00FF173E">
        <w:lastRenderedPageBreak/>
        <w:t>Experimental Section</w:t>
      </w:r>
    </w:p>
    <w:p w:rsidR="00FF173E" w:rsidRDefault="00FF173E" w:rsidP="00CB4B63">
      <w:pPr>
        <w:pStyle w:val="Heading2"/>
      </w:pPr>
      <w:r w:rsidRPr="00FF173E">
        <w:t>Microbial fuel cell design</w:t>
      </w:r>
    </w:p>
    <w:p w:rsidR="00604441" w:rsidRDefault="00604441" w:rsidP="00604441"/>
    <w:p w:rsidR="00604441" w:rsidRDefault="00604441" w:rsidP="00604441">
      <w:r w:rsidRPr="00604441">
        <w:rPr>
          <w:noProof/>
          <w:lang w:eastAsia="en-GB"/>
        </w:rPr>
        <w:drawing>
          <wp:inline distT="0" distB="0" distL="0" distR="0">
            <wp:extent cx="5760720" cy="5777789"/>
            <wp:effectExtent l="0" t="0" r="0" b="0"/>
            <wp:docPr id="9" name="Picture 9" descr="C:\Users\j4-winfield\Documents\Biodegradable Robot\Final version of Fade To Green\Figur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4-winfield\Documents\Biodegradable Robot\Final version of Fade To Green\Figure 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5777789"/>
                    </a:xfrm>
                    <a:prstGeom prst="rect">
                      <a:avLst/>
                    </a:prstGeom>
                    <a:noFill/>
                    <a:ln>
                      <a:noFill/>
                    </a:ln>
                  </pic:spPr>
                </pic:pic>
              </a:graphicData>
            </a:graphic>
          </wp:inline>
        </w:drawing>
      </w:r>
    </w:p>
    <w:p w:rsidR="00604441" w:rsidRPr="00604441" w:rsidRDefault="00604441" w:rsidP="00604441">
      <w:pPr>
        <w:pStyle w:val="FigureCaption"/>
        <w:jc w:val="center"/>
        <w:rPr>
          <w:bCs/>
          <w:sz w:val="20"/>
          <w:szCs w:val="20"/>
          <w:lang w:val="en-GB"/>
        </w:rPr>
      </w:pPr>
      <w:r w:rsidRPr="00604441">
        <w:rPr>
          <w:b/>
          <w:sz w:val="20"/>
          <w:szCs w:val="20"/>
          <w:lang w:val="en-GB"/>
        </w:rPr>
        <w:t>Figure 7</w:t>
      </w:r>
      <w:r w:rsidRPr="00604441">
        <w:rPr>
          <w:sz w:val="20"/>
          <w:szCs w:val="20"/>
          <w:lang w:val="en-GB"/>
        </w:rPr>
        <w:t xml:space="preserve"> Construction of biodegradable MFCs: a) CAD drawing of the frame, A=feed hole and B=hole for anode wire, b) 3D printed PLA frame, c) anode wrapped around frame threaded with current-collecting wire, d) natural rubber “finger </w:t>
      </w:r>
      <w:r w:rsidRPr="00604441">
        <w:rPr>
          <w:color w:val="000000" w:themeColor="text1"/>
          <w:sz w:val="20"/>
          <w:szCs w:val="20"/>
          <w:lang w:val="en-GB"/>
        </w:rPr>
        <w:t xml:space="preserve">cot” that covers </w:t>
      </w:r>
      <w:r w:rsidRPr="00604441">
        <w:rPr>
          <w:sz w:val="20"/>
          <w:szCs w:val="20"/>
          <w:lang w:val="en-GB"/>
        </w:rPr>
        <w:t>the anode and frame wrapped with current-collecting wire, e) stack of completed MFCs after the application of cathodes.</w:t>
      </w:r>
    </w:p>
    <w:p w:rsidR="00FF173E" w:rsidRDefault="00FF173E" w:rsidP="00FF173E">
      <w:pPr>
        <w:pStyle w:val="P2"/>
      </w:pPr>
      <w:r w:rsidRPr="00FF173E">
        <w:t xml:space="preserve">Each individual MFC consisted of a biodegradable PLA frame designed using CAD software (SolidWorks; </w:t>
      </w:r>
      <w:r w:rsidR="00604441">
        <w:t>Figure 7</w:t>
      </w:r>
      <w:r w:rsidRPr="00FF173E">
        <w:t>a) and printed with a 3D Touch 3</w:t>
      </w:r>
      <w:r w:rsidR="00604441">
        <w:t>D printer (Figure 7</w:t>
      </w:r>
      <w:r w:rsidRPr="00FF173E">
        <w:t>b</w:t>
      </w:r>
      <w:r w:rsidR="00604441">
        <w:t xml:space="preserve">). A 5 </w:t>
      </w:r>
      <w:r w:rsidRPr="00FF173E">
        <w:t xml:space="preserve">mm hole was incorporated into the top for the injection of feedstock, and the bottom of the frame was sealed. A </w:t>
      </w:r>
      <w:r w:rsidR="00604441">
        <w:lastRenderedPageBreak/>
        <w:t xml:space="preserve">second hole, 1 </w:t>
      </w:r>
      <w:r w:rsidRPr="00FF173E">
        <w:t>mm in diameter, was included in the top for the anode current-collecting wire. An internal feed channel passed through the length of the frame until it reached the sealed bottom. Sixteen holes were introduced into the design so that feedstock could permeate into the anode. The anode was a 50</w:t>
      </w:r>
      <w:r w:rsidR="00604441">
        <w:t xml:space="preserve"> </w:t>
      </w:r>
      <w:r w:rsidRPr="00604441">
        <w:rPr>
          <w:color w:val="000000" w:themeColor="text1"/>
        </w:rPr>
        <w:t>×</w:t>
      </w:r>
      <w:r w:rsidR="00604441">
        <w:rPr>
          <w:color w:val="000000" w:themeColor="text1"/>
        </w:rPr>
        <w:t xml:space="preserve"> </w:t>
      </w:r>
      <w:r w:rsidRPr="00604441">
        <w:rPr>
          <w:color w:val="000000" w:themeColor="text1"/>
        </w:rPr>
        <w:t>3</w:t>
      </w:r>
      <w:r w:rsidR="00604441">
        <w:t xml:space="preserve"> </w:t>
      </w:r>
      <w:r w:rsidRPr="00FF173E">
        <w:t>cm piece c</w:t>
      </w:r>
      <w:r w:rsidR="00604441">
        <w:t xml:space="preserve">arbon veil with PVA binder (20 g </w:t>
      </w:r>
      <w:r w:rsidRPr="00FF173E">
        <w:t>m</w:t>
      </w:r>
      <w:r w:rsidRPr="00FF173E">
        <w:rPr>
          <w:vertAlign w:val="superscript"/>
        </w:rPr>
        <w:t>2</w:t>
      </w:r>
      <w:r w:rsidRPr="00FF173E">
        <w:t xml:space="preserve">, PRF Composite Materials, Poole, UK). This was wrapped around the frame and held in place with two strips of biodegradable grafting tape (Agroforestry, Totnes, UK; </w:t>
      </w:r>
      <w:r w:rsidR="00604441">
        <w:t>Figure 7</w:t>
      </w:r>
      <w:r w:rsidRPr="00FF173E">
        <w:t>c). For current collec</w:t>
      </w:r>
      <w:r w:rsidR="00604441">
        <w:t xml:space="preserve">tion, nickel chrome wire (0.45 </w:t>
      </w:r>
      <w:r w:rsidRPr="00FF173E">
        <w:t xml:space="preserve">mm, Scientific Wire Company, UK) was pierced through the anode and threaded out of the pre-prepared hole. Latex rubber finger cots (generic suppliers, </w:t>
      </w:r>
      <w:proofErr w:type="spellStart"/>
      <w:r w:rsidRPr="00FF173E">
        <w:t>Ebay</w:t>
      </w:r>
      <w:proofErr w:type="spellEnd"/>
      <w:r w:rsidRPr="00FF173E">
        <w:t>, UK) were slid up the anode-wrapped-frame before a small piece of nickel chrome wire was tight</w:t>
      </w:r>
      <w:r w:rsidR="00604441">
        <w:t>ened around the centre (Figure 7</w:t>
      </w:r>
      <w:r w:rsidRPr="00FF173E">
        <w:t>d). Two coats of cathode solution (preparation detailed in the next section) were painted over the surface of the natural rubber. A stack of co</w:t>
      </w:r>
      <w:r w:rsidR="00604441">
        <w:t>mplete MFCs is shown in Figure 7</w:t>
      </w:r>
      <w:r w:rsidRPr="00FF173E">
        <w:t>e. Each MFC had an inte</w:t>
      </w:r>
      <w:r w:rsidR="00604441">
        <w:t xml:space="preserve">rnal anode chamber volume of 8 </w:t>
      </w:r>
      <w:proofErr w:type="spellStart"/>
      <w:r w:rsidRPr="00FF173E">
        <w:t>mL.</w:t>
      </w:r>
      <w:proofErr w:type="spellEnd"/>
    </w:p>
    <w:p w:rsidR="00CB4B63" w:rsidRPr="00FF173E" w:rsidRDefault="00CB4B63" w:rsidP="00FF173E">
      <w:pPr>
        <w:pStyle w:val="P2"/>
      </w:pPr>
    </w:p>
    <w:p w:rsidR="00FF173E" w:rsidRPr="00FF173E" w:rsidRDefault="00FF173E" w:rsidP="00CB4B63">
      <w:pPr>
        <w:pStyle w:val="Heading2"/>
      </w:pPr>
      <w:r w:rsidRPr="00FF173E">
        <w:t>Cathode preparation</w:t>
      </w:r>
    </w:p>
    <w:p w:rsidR="00FF173E" w:rsidRDefault="00FF173E" w:rsidP="00FF173E">
      <w:pPr>
        <w:pStyle w:val="P2"/>
      </w:pPr>
      <w:r w:rsidRPr="00FF173E">
        <w:t>Once the MFCs were at the correct stage of develop</w:t>
      </w:r>
      <w:r w:rsidR="00604441">
        <w:t>ment (Figure 1</w:t>
      </w:r>
      <w:r w:rsidRPr="00FF173E">
        <w:t>d), one of four different types of cathodes were painted over the natural rubber membranes of each MFC. The four cathode types init</w:t>
      </w:r>
      <w:r w:rsidR="00655B44">
        <w:t xml:space="preserve">ially investigated were CSL, </w:t>
      </w:r>
      <w:r w:rsidR="00604441">
        <w:t>egg</w:t>
      </w:r>
      <w:r w:rsidRPr="00FF173E">
        <w:t xml:space="preserve">, </w:t>
      </w:r>
      <w:r w:rsidR="00604441">
        <w:t xml:space="preserve">gelatine </w:t>
      </w:r>
      <w:r w:rsidRPr="00FF173E">
        <w:t xml:space="preserve">and non-toxic carbon-based conductive paint. The CSL was prepared as described </w:t>
      </w:r>
      <w:proofErr w:type="gramStart"/>
      <w:r w:rsidRPr="00FF173E">
        <w:t>previously</w:t>
      </w:r>
      <w:r w:rsidRPr="00FF173E">
        <w:rPr>
          <w:vertAlign w:val="superscript"/>
        </w:rPr>
        <w:t>[</w:t>
      </w:r>
      <w:proofErr w:type="gramEnd"/>
      <w:r w:rsidRPr="00FF173E">
        <w:rPr>
          <w:vertAlign w:val="superscript"/>
        </w:rPr>
        <w:t>17]</w:t>
      </w:r>
      <w:r w:rsidRPr="00FF173E">
        <w:t xml:space="preserve"> with a 3:1 ratio of graphite powder to polyurethane (Plasti dip, Petersfield, UK) using naphtha as solvent. The egg-based cathodes were prepared as follows: after separation and the disposal of the egg white, egg yolk (</w:t>
      </w:r>
      <w:r w:rsidR="00604441">
        <w:t xml:space="preserve">5 </w:t>
      </w:r>
      <w:r w:rsidRPr="00FF173E">
        <w:t>mL) was</w:t>
      </w:r>
      <w:r w:rsidR="00655B44">
        <w:t xml:space="preserve"> mixed with deionised water (7 mL) and graphite powder (5 </w:t>
      </w:r>
      <w:r w:rsidRPr="00FF173E">
        <w:t>g; Graphite Trading Co., Halesowen, UK). The gelatine-based cathode was prepared as fo</w:t>
      </w:r>
      <w:r w:rsidR="00655B44">
        <w:t xml:space="preserve">llows: leaf bovine gelatine (1 </w:t>
      </w:r>
      <w:r w:rsidRPr="00FF173E">
        <w:t>g, Home baking leaf gelatine, Asda, UK) was dissolved in de</w:t>
      </w:r>
      <w:r w:rsidR="00655B44">
        <w:t xml:space="preserve">ionised water (6 </w:t>
      </w:r>
      <w:r w:rsidRPr="00FF173E">
        <w:t>mL) at 50</w:t>
      </w:r>
      <w:r w:rsidRPr="00FF173E">
        <w:rPr>
          <w:color w:val="808080"/>
        </w:rPr>
        <w:t>°C</w:t>
      </w:r>
      <w:r w:rsidR="00655B44">
        <w:t xml:space="preserve"> and graphite powder (3 </w:t>
      </w:r>
      <w:r w:rsidRPr="00FF173E">
        <w:t xml:space="preserve">g) was stirred into the mixture. Finally, an off-the-shelf water-based conductive paint (Bare Conductive, Proto-Pic, UK) was used. Duplicate MFCs were operated for each of the four cathode types. After a period of operation and to examine the effect on performance, the cathodes of all the MFCs were coated with lanolin sheep wax (anhydrous, </w:t>
      </w:r>
      <w:proofErr w:type="gramStart"/>
      <w:r w:rsidRPr="00FF173E">
        <w:t>Pure</w:t>
      </w:r>
      <w:proofErr w:type="gramEnd"/>
      <w:r w:rsidRPr="00FF173E">
        <w:t xml:space="preserve"> n Simple, UK).</w:t>
      </w:r>
    </w:p>
    <w:p w:rsidR="00CB4B63" w:rsidRPr="00FF173E" w:rsidRDefault="00CB4B63" w:rsidP="00FF173E">
      <w:pPr>
        <w:pStyle w:val="P2"/>
      </w:pPr>
    </w:p>
    <w:p w:rsidR="00FF173E" w:rsidRPr="00FF173E" w:rsidRDefault="00FF173E" w:rsidP="00CB4B63">
      <w:pPr>
        <w:pStyle w:val="Heading2"/>
      </w:pPr>
      <w:r w:rsidRPr="00FF173E">
        <w:lastRenderedPageBreak/>
        <w:t>Individual MFC inoculation and operation</w:t>
      </w:r>
    </w:p>
    <w:p w:rsidR="00FF173E" w:rsidRDefault="00FF173E" w:rsidP="00FF173E">
      <w:pPr>
        <w:pStyle w:val="P2"/>
      </w:pPr>
      <w:r w:rsidRPr="00FF173E">
        <w:t>MFCs were inoculated using mature microbial communities in the anolyte (tryptone yeast extract) removed from separate established, cubic MFCs. They were initial</w:t>
      </w:r>
      <w:r w:rsidR="003D7DC5">
        <w:t xml:space="preserve">ly left in open circuit for 24 </w:t>
      </w:r>
      <w:r w:rsidRPr="00FF173E">
        <w:t>h before a 1</w:t>
      </w:r>
      <w:r w:rsidR="003D7DC5">
        <w:t xml:space="preserve"> </w:t>
      </w:r>
      <w:proofErr w:type="spellStart"/>
      <w:r w:rsidRPr="00FF173E">
        <w:t>kΩ</w:t>
      </w:r>
      <w:proofErr w:type="spellEnd"/>
      <w:r w:rsidRPr="00FF173E">
        <w:t xml:space="preserve"> load was connected. MFCs were fed on a regular basis by injecting feedstock into the anode chamber. The anolyte did not need to be physically removed from the chambers at any stage because there was significant daily loss due to depletion and/or evaporation. T</w:t>
      </w:r>
      <w:r w:rsidR="003D7DC5">
        <w:t xml:space="preserve">he 8 </w:t>
      </w:r>
      <w:r w:rsidRPr="00FF173E">
        <w:t xml:space="preserve">mL MFCs needed to be </w:t>
      </w:r>
      <w:r w:rsidR="003D7DC5">
        <w:t xml:space="preserve">topped up with approximately 2 </w:t>
      </w:r>
      <w:r w:rsidRPr="00FF173E">
        <w:t xml:space="preserve">mL of feedstock daily, which </w:t>
      </w:r>
      <w:r w:rsidRPr="00FF173E">
        <w:rPr>
          <w:color w:val="000000"/>
        </w:rPr>
        <w:t xml:space="preserve">equates </w:t>
      </w:r>
      <w:r w:rsidR="003D7DC5">
        <w:rPr>
          <w:color w:val="000000"/>
        </w:rPr>
        <w:t xml:space="preserve">to a volumetric loading of 10 </w:t>
      </w:r>
      <w:r w:rsidRPr="00FF173E">
        <w:rPr>
          <w:color w:val="000000"/>
        </w:rPr>
        <w:t>mL</w:t>
      </w:r>
      <w:r w:rsidR="003D7DC5">
        <w:rPr>
          <w:color w:val="000000"/>
        </w:rPr>
        <w:t xml:space="preserve"> </w:t>
      </w:r>
      <w:r w:rsidRPr="00FF173E">
        <w:rPr>
          <w:color w:val="000000"/>
        </w:rPr>
        <w:t>MFC</w:t>
      </w:r>
      <w:r w:rsidR="003D7DC5">
        <w:rPr>
          <w:color w:val="000000"/>
          <w:vertAlign w:val="superscript"/>
        </w:rPr>
        <w:t>-</w:t>
      </w:r>
      <w:r w:rsidRPr="00FF173E">
        <w:rPr>
          <w:color w:val="000000"/>
          <w:vertAlign w:val="superscript"/>
        </w:rPr>
        <w:t>1</w:t>
      </w:r>
      <w:r w:rsidR="003D7DC5">
        <w:rPr>
          <w:color w:val="000000"/>
        </w:rPr>
        <w:t xml:space="preserve"> </w:t>
      </w:r>
      <w:r w:rsidRPr="00FF173E">
        <w:rPr>
          <w:color w:val="000000"/>
        </w:rPr>
        <w:t>day</w:t>
      </w:r>
      <w:r w:rsidR="003D7DC5">
        <w:rPr>
          <w:color w:val="000000"/>
          <w:vertAlign w:val="superscript"/>
        </w:rPr>
        <w:t>-</w:t>
      </w:r>
      <w:r w:rsidRPr="00FF173E">
        <w:rPr>
          <w:color w:val="000000"/>
          <w:vertAlign w:val="superscript"/>
        </w:rPr>
        <w:t>1</w:t>
      </w:r>
      <w:r w:rsidRPr="00FF173E">
        <w:rPr>
          <w:color w:val="000000"/>
        </w:rPr>
        <w:t xml:space="preserve">. </w:t>
      </w:r>
      <w:r w:rsidRPr="00FF173E">
        <w:t>Feed</w:t>
      </w:r>
      <w:r w:rsidR="003D7DC5">
        <w:t xml:space="preserve">stock (anolyte) was tryptone (1 % w/v) yeast extract (0.5 </w:t>
      </w:r>
      <w:r w:rsidRPr="00FF173E">
        <w:t xml:space="preserve">% w/v) for the cathode-comparison experiment, and fresh human urine was used for all the other experiments. </w:t>
      </w:r>
      <w:r w:rsidRPr="00FF173E">
        <w:rPr>
          <w:color w:val="000000"/>
        </w:rPr>
        <w:t>Fresh urine (no more than 1</w:t>
      </w:r>
      <w:r w:rsidR="003D7DC5">
        <w:rPr>
          <w:color w:val="000000"/>
        </w:rPr>
        <w:t xml:space="preserve"> </w:t>
      </w:r>
      <w:r w:rsidRPr="00FF173E">
        <w:rPr>
          <w:color w:val="000000"/>
        </w:rPr>
        <w:t>h old) was always used and had on average a pH of 7.14, conductivity of 14.2</w:t>
      </w:r>
      <w:r w:rsidR="003D7DC5">
        <w:rPr>
          <w:color w:val="000000"/>
        </w:rPr>
        <w:t xml:space="preserve"> </w:t>
      </w:r>
      <w:proofErr w:type="spellStart"/>
      <w:r w:rsidRPr="00FF173E">
        <w:rPr>
          <w:color w:val="000000"/>
        </w:rPr>
        <w:t>m</w:t>
      </w:r>
      <w:r w:rsidR="003D7DC5">
        <w:t>S</w:t>
      </w:r>
      <w:proofErr w:type="spellEnd"/>
      <w:r w:rsidR="003D7DC5">
        <w:t xml:space="preserve"> </w:t>
      </w:r>
      <w:r w:rsidRPr="00FF173E">
        <w:t>cm</w:t>
      </w:r>
      <w:r w:rsidR="003D7DC5">
        <w:rPr>
          <w:color w:val="000000"/>
          <w:vertAlign w:val="superscript"/>
        </w:rPr>
        <w:t>-</w:t>
      </w:r>
      <w:r w:rsidRPr="00FF173E">
        <w:rPr>
          <w:vertAlign w:val="superscript"/>
        </w:rPr>
        <w:t>1</w:t>
      </w:r>
      <w:r w:rsidRPr="00FF173E">
        <w:rPr>
          <w:color w:val="000000"/>
        </w:rPr>
        <w:t xml:space="preserve">, urea concentration of </w:t>
      </w:r>
      <w:r w:rsidR="003D7DC5">
        <w:rPr>
          <w:color w:val="000000"/>
        </w:rPr>
        <w:t xml:space="preserve">1.82 mg </w:t>
      </w:r>
      <w:r w:rsidRPr="00FF173E">
        <w:rPr>
          <w:color w:val="000000"/>
        </w:rPr>
        <w:t>L</w:t>
      </w:r>
      <w:r w:rsidR="003D7DC5">
        <w:rPr>
          <w:color w:val="000000"/>
          <w:vertAlign w:val="superscript"/>
        </w:rPr>
        <w:t>-</w:t>
      </w:r>
      <w:r w:rsidRPr="00FF173E">
        <w:rPr>
          <w:color w:val="000000"/>
          <w:vertAlign w:val="superscript"/>
        </w:rPr>
        <w:t>1</w:t>
      </w:r>
      <w:r w:rsidRPr="00FF173E">
        <w:rPr>
          <w:color w:val="000000"/>
        </w:rPr>
        <w:t>, ammonium concentration of</w:t>
      </w:r>
      <w:r w:rsidR="003D7DC5">
        <w:rPr>
          <w:color w:val="000000"/>
        </w:rPr>
        <w:t xml:space="preserve"> 1 mg </w:t>
      </w:r>
      <w:r w:rsidRPr="00FF173E">
        <w:rPr>
          <w:color w:val="000000"/>
        </w:rPr>
        <w:t>L</w:t>
      </w:r>
      <w:r w:rsidR="003D7DC5">
        <w:rPr>
          <w:color w:val="000000"/>
          <w:vertAlign w:val="superscript"/>
        </w:rPr>
        <w:t>-</w:t>
      </w:r>
      <w:r w:rsidRPr="00FF173E">
        <w:rPr>
          <w:color w:val="000000"/>
          <w:vertAlign w:val="superscript"/>
        </w:rPr>
        <w:t>1</w:t>
      </w:r>
      <w:r w:rsidRPr="00FF173E">
        <w:rPr>
          <w:color w:val="000000"/>
        </w:rPr>
        <w:t xml:space="preserve">, nitrate concentration of </w:t>
      </w:r>
      <w:r w:rsidR="003D7DC5">
        <w:rPr>
          <w:color w:val="000000"/>
        </w:rPr>
        <w:t>20.5 mg L</w:t>
      </w:r>
      <w:r w:rsidR="003D7DC5">
        <w:rPr>
          <w:color w:val="000000"/>
          <w:vertAlign w:val="superscript"/>
        </w:rPr>
        <w:t>-</w:t>
      </w:r>
      <w:r w:rsidR="003D7DC5" w:rsidRPr="00FF173E">
        <w:rPr>
          <w:color w:val="000000"/>
          <w:vertAlign w:val="superscript"/>
        </w:rPr>
        <w:t>1</w:t>
      </w:r>
      <w:r w:rsidRPr="00FF173E">
        <w:rPr>
          <w:color w:val="000000"/>
        </w:rPr>
        <w:t xml:space="preserve">, orthophosphate concentration of </w:t>
      </w:r>
      <w:r w:rsidR="003D7DC5">
        <w:rPr>
          <w:color w:val="000000"/>
        </w:rPr>
        <w:t xml:space="preserve">1 g </w:t>
      </w:r>
      <w:r w:rsidRPr="00FF173E">
        <w:rPr>
          <w:color w:val="000000"/>
        </w:rPr>
        <w:t>L</w:t>
      </w:r>
      <w:r w:rsidR="003D7DC5">
        <w:rPr>
          <w:color w:val="000000"/>
          <w:vertAlign w:val="superscript"/>
        </w:rPr>
        <w:t>-</w:t>
      </w:r>
      <w:r w:rsidRPr="00FF173E">
        <w:rPr>
          <w:color w:val="000000"/>
          <w:vertAlign w:val="superscript"/>
        </w:rPr>
        <w:t>1</w:t>
      </w:r>
      <w:r w:rsidRPr="00FF173E">
        <w:rPr>
          <w:color w:val="000000"/>
        </w:rPr>
        <w:t xml:space="preserve"> and a chemical oxygen demand (COD</w:t>
      </w:r>
      <w:r w:rsidR="003D7DC5">
        <w:rPr>
          <w:color w:val="000000"/>
        </w:rPr>
        <w:t xml:space="preserve">) of approximately 10 g </w:t>
      </w:r>
      <w:r w:rsidRPr="00FF173E">
        <w:rPr>
          <w:color w:val="000000"/>
        </w:rPr>
        <w:t>L</w:t>
      </w:r>
      <w:r w:rsidR="003D7DC5">
        <w:rPr>
          <w:color w:val="000000"/>
          <w:vertAlign w:val="superscript"/>
        </w:rPr>
        <w:t>-1</w:t>
      </w:r>
      <w:r w:rsidRPr="00FF173E">
        <w:rPr>
          <w:color w:val="000000"/>
        </w:rPr>
        <w:t xml:space="preserve">.The </w:t>
      </w:r>
      <w:r w:rsidRPr="00FF173E">
        <w:t>cathodes did not require hydration. All experiments were performed at ambient temperature conditions (</w:t>
      </w:r>
      <w:r w:rsidRPr="003D7DC5">
        <w:rPr>
          <w:color w:val="000000" w:themeColor="text1"/>
        </w:rPr>
        <w:t>22</w:t>
      </w:r>
      <w:r w:rsidR="003D7DC5">
        <w:rPr>
          <w:color w:val="000000" w:themeColor="text1"/>
        </w:rPr>
        <w:t xml:space="preserve"> </w:t>
      </w:r>
      <w:r w:rsidRPr="003D7DC5">
        <w:rPr>
          <w:color w:val="000000" w:themeColor="text1"/>
        </w:rPr>
        <w:t>±</w:t>
      </w:r>
      <w:r w:rsidR="003D7DC5">
        <w:rPr>
          <w:color w:val="000000" w:themeColor="text1"/>
        </w:rPr>
        <w:t xml:space="preserve"> </w:t>
      </w:r>
      <w:r w:rsidRPr="003D7DC5">
        <w:rPr>
          <w:color w:val="000000" w:themeColor="text1"/>
        </w:rPr>
        <w:t>1</w:t>
      </w:r>
      <w:r w:rsidR="003D7DC5" w:rsidRPr="003D7DC5">
        <w:rPr>
          <w:color w:val="000000" w:themeColor="text1"/>
        </w:rPr>
        <w:t xml:space="preserve"> </w:t>
      </w:r>
      <w:r w:rsidRPr="003D7DC5">
        <w:rPr>
          <w:color w:val="000000" w:themeColor="text1"/>
        </w:rPr>
        <w:t>°C</w:t>
      </w:r>
      <w:r w:rsidRPr="00FF173E">
        <w:t>).</w:t>
      </w:r>
    </w:p>
    <w:p w:rsidR="003D7DC5" w:rsidRPr="00FF173E" w:rsidRDefault="003D7DC5" w:rsidP="00FF173E">
      <w:pPr>
        <w:pStyle w:val="P2"/>
      </w:pPr>
    </w:p>
    <w:p w:rsidR="00FF173E" w:rsidRPr="00FF173E" w:rsidRDefault="00FF173E" w:rsidP="00CB4B63">
      <w:pPr>
        <w:pStyle w:val="Heading2"/>
      </w:pPr>
      <w:r w:rsidRPr="00FF173E">
        <w:t>Stack inoculation, configuration and operation</w:t>
      </w:r>
    </w:p>
    <w:p w:rsidR="00FF173E" w:rsidRDefault="00FF173E" w:rsidP="00FF173E">
      <w:pPr>
        <w:pStyle w:val="P2"/>
        <w:rPr>
          <w:color w:val="000000"/>
        </w:rPr>
      </w:pPr>
      <w:r w:rsidRPr="00FF173E">
        <w:t xml:space="preserve">Informed by the results of the cathode-comparison experiment, 40 identical MFCs were built all with egg-based cathodes and a coating of lanolin. Groups of five individual MFCs were connected together electrically in parallel (with nickel chrome wire) to result in eight identical “parallel sets-of-five” </w:t>
      </w:r>
      <w:r w:rsidR="003D7DC5">
        <w:t>modules (Figure 4</w:t>
      </w:r>
      <w:r w:rsidRPr="00FF173E">
        <w:t>a). These were inoculated using the anolyte (urine) removed from established MFCs and operated under</w:t>
      </w:r>
      <w:r w:rsidR="003D7DC5">
        <w:t xml:space="preserve"> an external resistance of 200 </w:t>
      </w:r>
      <w:r w:rsidRPr="00FF173E">
        <w:t>Ω. All MFCs in the stack experiments were fed with fresh human urine. After five weeks, the eight stacks were configured into two larger stacks, each of which comprised four parallel sets-of-five, connec</w:t>
      </w:r>
      <w:r w:rsidR="003D7DC5">
        <w:t>ted together in series (Figure 4</w:t>
      </w:r>
      <w:r w:rsidRPr="00FF173E">
        <w:t xml:space="preserve">b) to result in two stacks of 20 MFCs, each operated under </w:t>
      </w:r>
      <w:r w:rsidR="003D7DC5">
        <w:t>an external resistance (</w:t>
      </w:r>
      <w:r w:rsidRPr="00FF173E">
        <w:rPr>
          <w:i/>
        </w:rPr>
        <w:t>R</w:t>
      </w:r>
      <w:r w:rsidRPr="00FF173E">
        <w:rPr>
          <w:vertAlign w:val="subscript"/>
        </w:rPr>
        <w:t>EXT</w:t>
      </w:r>
      <w:r w:rsidRPr="00FF173E">
        <w:t xml:space="preserve">) </w:t>
      </w:r>
      <w:r w:rsidR="003D7DC5">
        <w:t xml:space="preserve">of 400 </w:t>
      </w:r>
      <w:r w:rsidRPr="00FF173E">
        <w:t>Ω. After 10 weeks, all eight parallel sets-of-five were connected together in series to create one stack of 40 MFCs and attached to a red LED (HLMP-D150, Avago Technologies). Finally the stack of 40 was connected to a power-management system that consisted of an energy-harvesting board (EH4295, Advanced Linear Devices Inc., CA, USA), a custom-made hysteresis board and capacitors as described previously</w:t>
      </w:r>
      <w:proofErr w:type="gramStart"/>
      <w:r w:rsidRPr="00FF173E">
        <w:t>.</w:t>
      </w:r>
      <w:r w:rsidRPr="00FF173E">
        <w:rPr>
          <w:vertAlign w:val="superscript"/>
        </w:rPr>
        <w:t>[</w:t>
      </w:r>
      <w:proofErr w:type="gramEnd"/>
      <w:r w:rsidRPr="00FF173E">
        <w:rPr>
          <w:vertAlign w:val="superscript"/>
        </w:rPr>
        <w:t>17]</w:t>
      </w:r>
      <w:r w:rsidRPr="00FF173E">
        <w:t xml:space="preserve"> To accumulate higher voltages, four capacitors (each with a capacitance of 3</w:t>
      </w:r>
      <w:r w:rsidR="003D7DC5">
        <w:t xml:space="preserve"> </w:t>
      </w:r>
      <w:r w:rsidRPr="00FF173E">
        <w:t>F at 2.7</w:t>
      </w:r>
      <w:r w:rsidR="003D7DC5">
        <w:t xml:space="preserve"> </w:t>
      </w:r>
      <w:r w:rsidRPr="00FF173E">
        <w:t xml:space="preserve">V) were connected </w:t>
      </w:r>
      <w:r w:rsidRPr="00FF173E">
        <w:lastRenderedPageBreak/>
        <w:t xml:space="preserve">in series to produce a capacitance of </w:t>
      </w:r>
      <w:r w:rsidR="003D7DC5">
        <w:rPr>
          <w:color w:val="000000"/>
        </w:rPr>
        <w:t xml:space="preserve">0.75 F at 10.8 </w:t>
      </w:r>
      <w:r w:rsidRPr="00FF173E">
        <w:rPr>
          <w:color w:val="000000"/>
        </w:rPr>
        <w:t xml:space="preserve">V. The hysteresis board discharged the </w:t>
      </w:r>
      <w:r w:rsidR="003D7DC5">
        <w:rPr>
          <w:color w:val="000000"/>
        </w:rPr>
        <w:t xml:space="preserve">capacitors through a load (430 </w:t>
      </w:r>
      <w:r w:rsidRPr="00FF173E">
        <w:t>Ω</w:t>
      </w:r>
      <w:r w:rsidR="003D7DC5">
        <w:rPr>
          <w:color w:val="000000"/>
        </w:rPr>
        <w:t xml:space="preserve"> resistor) from 8.5 to 5 </w:t>
      </w:r>
      <w:r w:rsidRPr="00FF173E">
        <w:rPr>
          <w:color w:val="000000"/>
        </w:rPr>
        <w:t>V at which point the charging cycle started again. The time taken for the capacitors to discharge was approximately 170</w:t>
      </w:r>
      <w:r w:rsidR="003D7DC5">
        <w:rPr>
          <w:color w:val="000000"/>
        </w:rPr>
        <w:t xml:space="preserve"> </w:t>
      </w:r>
      <w:r w:rsidRPr="00FF173E">
        <w:rPr>
          <w:color w:val="000000"/>
        </w:rPr>
        <w:t>s before the charge cycle started again.</w:t>
      </w:r>
    </w:p>
    <w:p w:rsidR="00CB4B63" w:rsidRPr="00FF173E" w:rsidRDefault="00CB4B63" w:rsidP="00FF173E">
      <w:pPr>
        <w:pStyle w:val="P2"/>
      </w:pPr>
    </w:p>
    <w:p w:rsidR="00FF173E" w:rsidRPr="00FF173E" w:rsidRDefault="00FF173E" w:rsidP="00CB4B63">
      <w:pPr>
        <w:pStyle w:val="Heading2"/>
      </w:pPr>
      <w:r w:rsidRPr="00FF173E">
        <w:t>Data collection and analysis</w:t>
      </w:r>
    </w:p>
    <w:p w:rsidR="00FF173E" w:rsidRPr="00FF173E" w:rsidRDefault="00FF173E" w:rsidP="00FF173E">
      <w:pPr>
        <w:pStyle w:val="P2"/>
      </w:pPr>
      <w:r w:rsidRPr="00FF173E">
        <w:t xml:space="preserve">The MFC output [mV] was recorded against time by </w:t>
      </w:r>
      <w:r w:rsidR="003D7DC5">
        <w:t>using an Agilent LXI (34972</w:t>
      </w:r>
      <w:r w:rsidRPr="00FF173E">
        <w:t>A) data ac</w:t>
      </w:r>
      <w:r w:rsidR="003D7DC5">
        <w:t xml:space="preserve">quisition/switch unit with a 2 </w:t>
      </w:r>
      <w:r w:rsidRPr="00FF173E">
        <w:t xml:space="preserve">min sample rate. Recorded data were processed and analysed by using the </w:t>
      </w:r>
      <w:proofErr w:type="spellStart"/>
      <w:r w:rsidRPr="00FF173E">
        <w:t>GraphPad</w:t>
      </w:r>
      <w:proofErr w:type="spellEnd"/>
      <w:r w:rsidRPr="00FF173E">
        <w:t xml:space="preserve"> Prism version 6 software package (</w:t>
      </w:r>
      <w:proofErr w:type="spellStart"/>
      <w:r w:rsidRPr="00FF173E">
        <w:t>GraphPad</w:t>
      </w:r>
      <w:proofErr w:type="spellEnd"/>
      <w:r w:rsidRPr="00FF173E">
        <w:t xml:space="preserve">, San Diego, CA, USA). Current </w:t>
      </w:r>
      <w:r w:rsidRPr="00FF173E">
        <w:rPr>
          <w:i/>
        </w:rPr>
        <w:t xml:space="preserve">I </w:t>
      </w:r>
      <w:r w:rsidRPr="00FF173E">
        <w:t>[A] was calculated using Ohm</w:t>
      </w:r>
      <w:r w:rsidRPr="00FF173E">
        <w:rPr>
          <w:color w:val="00FF00"/>
        </w:rPr>
        <w:t>’</w:t>
      </w:r>
      <w:r w:rsidRPr="00FF173E">
        <w:t xml:space="preserve">s law, </w:t>
      </w:r>
      <w:r w:rsidRPr="00FF173E">
        <w:rPr>
          <w:i/>
        </w:rPr>
        <w:t>I</w:t>
      </w:r>
      <w:r w:rsidRPr="00FF173E">
        <w:t>=</w:t>
      </w:r>
      <w:r w:rsidRPr="00FF173E">
        <w:rPr>
          <w:i/>
        </w:rPr>
        <w:t>V</w:t>
      </w:r>
      <w:r w:rsidRPr="00FF173E">
        <w:t>/</w:t>
      </w:r>
      <w:r w:rsidRPr="00FF173E">
        <w:rPr>
          <w:i/>
        </w:rPr>
        <w:t>R</w:t>
      </w:r>
      <w:r w:rsidRPr="00FF173E">
        <w:t xml:space="preserve">, in which </w:t>
      </w:r>
      <w:r w:rsidRPr="00FF173E">
        <w:rPr>
          <w:i/>
        </w:rPr>
        <w:t>V</w:t>
      </w:r>
      <w:r w:rsidRPr="00FF173E">
        <w:t xml:space="preserve"> is the measured voltage [V] and </w:t>
      </w:r>
      <w:r w:rsidRPr="00FF173E">
        <w:rPr>
          <w:i/>
        </w:rPr>
        <w:t>R</w:t>
      </w:r>
      <w:r w:rsidRPr="00FF173E">
        <w:t xml:space="preserve"> is the known value of the external resistive load </w:t>
      </w:r>
      <w:r w:rsidRPr="003D7DC5">
        <w:rPr>
          <w:color w:val="000000" w:themeColor="text1"/>
        </w:rPr>
        <w:t xml:space="preserve">in [Ω]. </w:t>
      </w:r>
      <w:r w:rsidRPr="00FF173E">
        <w:t xml:space="preserve">Power </w:t>
      </w:r>
      <w:r w:rsidRPr="00FF173E">
        <w:rPr>
          <w:i/>
        </w:rPr>
        <w:t>P</w:t>
      </w:r>
      <w:r w:rsidRPr="00FF173E">
        <w:t xml:space="preserve"> [W] was calculated by multiplying voltage with current: </w:t>
      </w:r>
      <w:r w:rsidRPr="003D7DC5">
        <w:rPr>
          <w:i/>
          <w:color w:val="000000" w:themeColor="text1"/>
        </w:rPr>
        <w:t>P</w:t>
      </w:r>
      <w:r w:rsidRPr="003D7DC5">
        <w:rPr>
          <w:color w:val="000000" w:themeColor="text1"/>
        </w:rPr>
        <w:t>=</w:t>
      </w:r>
      <w:r w:rsidRPr="003D7DC5">
        <w:rPr>
          <w:i/>
          <w:color w:val="000000" w:themeColor="text1"/>
        </w:rPr>
        <w:t>I</w:t>
      </w:r>
      <w:r w:rsidRPr="003D7DC5">
        <w:rPr>
          <w:color w:val="000000" w:themeColor="text1"/>
        </w:rPr>
        <w:t>×</w:t>
      </w:r>
      <w:r w:rsidRPr="003D7DC5">
        <w:rPr>
          <w:i/>
          <w:color w:val="000000" w:themeColor="text1"/>
        </w:rPr>
        <w:t>V</w:t>
      </w:r>
      <w:r w:rsidRPr="003D7DC5">
        <w:rPr>
          <w:color w:val="000000" w:themeColor="text1"/>
        </w:rPr>
        <w:t xml:space="preserve">. </w:t>
      </w:r>
      <w:r w:rsidRPr="00FF173E">
        <w:t xml:space="preserve">For power/current density calculations, the total anode chamber volumes were used (i.e., one </w:t>
      </w:r>
      <w:r w:rsidR="003D7DC5">
        <w:t xml:space="preserve">MFC = 8 </w:t>
      </w:r>
      <w:r w:rsidRPr="00FF173E">
        <w:t>mL, stack of five</w:t>
      </w:r>
      <w:r w:rsidR="003D7DC5">
        <w:t xml:space="preserve"> = 40 mL, stack of 40 = 320</w:t>
      </w:r>
      <w:r w:rsidRPr="00FF173E">
        <w:t xml:space="preserve">mL). </w:t>
      </w:r>
      <w:proofErr w:type="spellStart"/>
      <w:r w:rsidRPr="00FF173E">
        <w:t>Coulombic</w:t>
      </w:r>
      <w:proofErr w:type="spellEnd"/>
      <w:r w:rsidRPr="00FF173E">
        <w:t xml:space="preserve"> efficiency (CE) was calculated according to the method of </w:t>
      </w:r>
      <w:r w:rsidR="003D7DC5">
        <w:t xml:space="preserve">Logan et </w:t>
      </w:r>
      <w:r w:rsidRPr="00FF173E">
        <w:t>al</w:t>
      </w:r>
      <w:proofErr w:type="gramStart"/>
      <w:r w:rsidRPr="00FF173E">
        <w:t>.</w:t>
      </w:r>
      <w:r w:rsidRPr="00FF173E">
        <w:rPr>
          <w:vertAlign w:val="superscript"/>
        </w:rPr>
        <w:t>[</w:t>
      </w:r>
      <w:proofErr w:type="gramEnd"/>
      <w:r w:rsidRPr="00FF173E">
        <w:rPr>
          <w:vertAlign w:val="superscript"/>
        </w:rPr>
        <w:t>32]</w:t>
      </w:r>
      <w:r w:rsidRPr="00FF173E">
        <w:t xml:space="preserve"> using average current data over a 72</w:t>
      </w:r>
      <w:r w:rsidR="003D7DC5">
        <w:t xml:space="preserve"> </w:t>
      </w:r>
      <w:r w:rsidRPr="00FF173E">
        <w:t xml:space="preserve">h period based on the change in COD. The pH was measured by </w:t>
      </w:r>
      <w:r w:rsidR="003D7DC5">
        <w:t>using a pH meter (HANNA pH</w:t>
      </w:r>
      <w:r w:rsidRPr="00FF173E">
        <w:t>209), and the conductivity was recorded by using a multi-range conductivity meter (HANNA Instruments HI 9033). For COD, the urine was filter-sterilised using 0.</w:t>
      </w:r>
      <w:r w:rsidRPr="003D7DC5">
        <w:rPr>
          <w:color w:val="000000" w:themeColor="text1"/>
        </w:rPr>
        <w:t>2</w:t>
      </w:r>
      <w:r w:rsidR="003D7DC5">
        <w:rPr>
          <w:color w:val="000000" w:themeColor="text1"/>
        </w:rPr>
        <w:t xml:space="preserve"> </w:t>
      </w:r>
      <w:proofErr w:type="spellStart"/>
      <w:r w:rsidRPr="003D7DC5">
        <w:rPr>
          <w:color w:val="000000" w:themeColor="text1"/>
        </w:rPr>
        <w:t>μm</w:t>
      </w:r>
      <w:proofErr w:type="spellEnd"/>
      <w:r w:rsidRPr="003D7DC5">
        <w:rPr>
          <w:color w:val="000000" w:themeColor="text1"/>
        </w:rPr>
        <w:t xml:space="preserve"> filters </w:t>
      </w:r>
      <w:r w:rsidRPr="00FF173E">
        <w:t>and analysed using COD HR test vials (</w:t>
      </w:r>
      <w:proofErr w:type="spellStart"/>
      <w:r w:rsidRPr="00FF173E">
        <w:t>CamLab</w:t>
      </w:r>
      <w:proofErr w:type="spellEnd"/>
      <w:r w:rsidRPr="00FF173E">
        <w:t xml:space="preserve">, Cambridge, UK) and analysed by using a </w:t>
      </w:r>
      <w:proofErr w:type="spellStart"/>
      <w:r w:rsidRPr="00FF173E">
        <w:t>Lovibond</w:t>
      </w:r>
      <w:proofErr w:type="spellEnd"/>
      <w:r w:rsidRPr="00FF173E">
        <w:t xml:space="preserve"> MD200 Photometer. All other water analysis was performed using test kit reagents (</w:t>
      </w:r>
      <w:proofErr w:type="spellStart"/>
      <w:r w:rsidRPr="00FF173E">
        <w:t>Lovibond</w:t>
      </w:r>
      <w:proofErr w:type="spellEnd"/>
      <w:r w:rsidRPr="00FF173E">
        <w:t xml:space="preserve">, Amesbury, UK) and a MC500 </w:t>
      </w:r>
      <w:proofErr w:type="spellStart"/>
      <w:r w:rsidRPr="00FF173E">
        <w:t>Camlab</w:t>
      </w:r>
      <w:proofErr w:type="spellEnd"/>
      <w:r w:rsidRPr="00FF173E">
        <w:t xml:space="preserve"> Colorimeter.</w:t>
      </w:r>
    </w:p>
    <w:p w:rsidR="00FF173E" w:rsidRPr="00FF173E" w:rsidRDefault="00FF173E" w:rsidP="00CB4B63">
      <w:pPr>
        <w:pStyle w:val="Heading2"/>
      </w:pPr>
      <w:r w:rsidRPr="00FF173E">
        <w:t>Polarisation experiments</w:t>
      </w:r>
    </w:p>
    <w:p w:rsidR="00FF173E" w:rsidRDefault="00FF173E" w:rsidP="00FF173E">
      <w:pPr>
        <w:pStyle w:val="P2"/>
      </w:pPr>
      <w:r w:rsidRPr="00FF173E">
        <w:t>Polarisation experiments were performed by using an automated computer-controlled variable resistor as described previously</w:t>
      </w:r>
      <w:proofErr w:type="gramStart"/>
      <w:r w:rsidRPr="00FF173E">
        <w:t>.</w:t>
      </w:r>
      <w:r w:rsidRPr="00FF173E">
        <w:rPr>
          <w:vertAlign w:val="superscript"/>
        </w:rPr>
        <w:t>[</w:t>
      </w:r>
      <w:proofErr w:type="gramEnd"/>
      <w:r w:rsidRPr="00FF173E">
        <w:rPr>
          <w:vertAlign w:val="superscript"/>
        </w:rPr>
        <w:t>33]</w:t>
      </w:r>
      <w:r w:rsidRPr="00FF173E">
        <w:t xml:space="preserve"> A total of 60 resistance values were applied from 1</w:t>
      </w:r>
      <w:r w:rsidR="003D7DC5">
        <w:t xml:space="preserve"> </w:t>
      </w:r>
      <w:r w:rsidRPr="00FF173E">
        <w:t>MΩ</w:t>
      </w:r>
      <w:r w:rsidR="003D7DC5">
        <w:t xml:space="preserve"> down to 3 </w:t>
      </w:r>
      <w:r w:rsidRPr="00FF173E">
        <w:t>Ω</w:t>
      </w:r>
      <w:r w:rsidR="003D7DC5">
        <w:t xml:space="preserve"> using a sample rate of 5 </w:t>
      </w:r>
      <w:r w:rsidRPr="00FF173E">
        <w:t>min. The computer-controlled variable resistor c</w:t>
      </w:r>
      <w:r w:rsidR="003D7DC5">
        <w:t xml:space="preserve">an only log voltages up to 2.5 </w:t>
      </w:r>
      <w:r w:rsidRPr="00FF173E">
        <w:t>V, therefore, for the polarisation of the 40-MFC stack, a manual variable resistor (</w:t>
      </w:r>
      <w:proofErr w:type="spellStart"/>
      <w:r w:rsidRPr="00FF173E">
        <w:t>Centrad</w:t>
      </w:r>
      <w:proofErr w:type="spellEnd"/>
      <w:r w:rsidRPr="00FF173E">
        <w:t xml:space="preserve"> </w:t>
      </w:r>
      <w:proofErr w:type="spellStart"/>
      <w:r w:rsidRPr="00FF173E">
        <w:t>Boite</w:t>
      </w:r>
      <w:proofErr w:type="spellEnd"/>
      <w:r w:rsidRPr="00FF173E">
        <w:t xml:space="preserve"> </w:t>
      </w:r>
      <w:proofErr w:type="gramStart"/>
      <w:r w:rsidRPr="00FF173E">
        <w:t>A</w:t>
      </w:r>
      <w:proofErr w:type="gramEnd"/>
      <w:r w:rsidRPr="00FF173E">
        <w:t xml:space="preserve"> Decades De Resistances DR07) was employed.</w:t>
      </w:r>
    </w:p>
    <w:p w:rsidR="00CB4B63" w:rsidRPr="00FF173E" w:rsidRDefault="00CB4B63" w:rsidP="00FF173E">
      <w:pPr>
        <w:pStyle w:val="P2"/>
      </w:pPr>
    </w:p>
    <w:p w:rsidR="00FF173E" w:rsidRPr="00FF173E" w:rsidRDefault="00FF173E" w:rsidP="00CB4B63">
      <w:pPr>
        <w:pStyle w:val="Heading2"/>
      </w:pPr>
      <w:r w:rsidRPr="00FF173E">
        <w:lastRenderedPageBreak/>
        <w:t>Biodegradation</w:t>
      </w:r>
    </w:p>
    <w:p w:rsidR="00FF173E" w:rsidRDefault="00FF173E" w:rsidP="00FF173E">
      <w:pPr>
        <w:pStyle w:val="P2"/>
      </w:pPr>
      <w:r w:rsidRPr="00FF173E">
        <w:t>To examine biodegradation in nature, natural rubber samples as substratum matrix were coated with the cathode material and attached to ring-shaped acrylic token</w:t>
      </w:r>
      <w:r w:rsidR="003D7DC5">
        <w:t xml:space="preserve">s with an outer diameter of 5 cm and an inner diameter of 3 </w:t>
      </w:r>
      <w:r w:rsidRPr="00FF173E">
        <w:t>cm. The tokens were placed on a frame and buried in an outdoor compost pile (Botanic Gardens, Bristol). Approximately every two weeks, the frame was dug up for samples to be photographed and weighed before returning to the compost heap.</w:t>
      </w:r>
    </w:p>
    <w:p w:rsidR="00CB4B63" w:rsidRPr="00FF173E" w:rsidRDefault="00CB4B63" w:rsidP="00FF173E">
      <w:pPr>
        <w:pStyle w:val="P2"/>
      </w:pPr>
    </w:p>
    <w:p w:rsidR="00FF173E" w:rsidRPr="00FF173E" w:rsidRDefault="00FF173E" w:rsidP="00CB4B63">
      <w:pPr>
        <w:pStyle w:val="Heading2"/>
      </w:pPr>
      <w:r w:rsidRPr="00FF173E">
        <w:t>Acknowledgements</w:t>
      </w:r>
    </w:p>
    <w:p w:rsidR="00FF173E" w:rsidRDefault="00FF173E" w:rsidP="00FF173E">
      <w:pPr>
        <w:pStyle w:val="Acknowledgement"/>
      </w:pPr>
      <w:r w:rsidRPr="00FF173E">
        <w:t>The autho</w:t>
      </w:r>
      <w:r w:rsidR="00CB4B63">
        <w:t xml:space="preserve">rs would like to thank The </w:t>
      </w:r>
      <w:proofErr w:type="spellStart"/>
      <w:r w:rsidR="00CB4B63">
        <w:t>Leverhulme</w:t>
      </w:r>
      <w:proofErr w:type="spellEnd"/>
      <w:r w:rsidR="00CB4B63">
        <w:t xml:space="preserve"> Trust </w:t>
      </w:r>
      <w:r w:rsidRPr="00FF173E">
        <w:t>for their financia</w:t>
      </w:r>
      <w:r w:rsidR="00CB4B63">
        <w:t xml:space="preserve">l support through Project Grant </w:t>
      </w:r>
      <w:r w:rsidRPr="00FF173E">
        <w:t>RPG-362. Thanks also go to Nick Wray, Andy Winfield and the Bristol Botanic Gardens who provided access to their grounds and facilities for the biodegradation experiments. I</w:t>
      </w:r>
      <w:r w:rsidR="00CB4B63">
        <w:t xml:space="preserve">oannis Ieropoulos is an EPSRC </w:t>
      </w:r>
      <w:r w:rsidRPr="00FF173E">
        <w:t>Career Acceleration Fellow supported by grant numbers EP/I004653/1</w:t>
      </w:r>
      <w:r w:rsidR="00CB4B63">
        <w:t xml:space="preserve"> and EP/L002132</w:t>
      </w:r>
      <w:r w:rsidRPr="00FF173E">
        <w:t>.</w:t>
      </w:r>
    </w:p>
    <w:p w:rsidR="00CB4B63" w:rsidRDefault="00CB4B63" w:rsidP="00CB4B63"/>
    <w:p w:rsidR="00CB4B63" w:rsidRDefault="00CB4B63" w:rsidP="00CB4B63">
      <w:pPr>
        <w:pStyle w:val="Heading1"/>
      </w:pPr>
      <w:r>
        <w:t>References</w:t>
      </w:r>
    </w:p>
    <w:p w:rsidR="00CB4B63" w:rsidRPr="003A7CD8" w:rsidRDefault="00CB4B63" w:rsidP="00CB4B63">
      <w:pPr>
        <w:pStyle w:val="References"/>
        <w:spacing w:line="360" w:lineRule="auto"/>
        <w:rPr>
          <w:rFonts w:cs="Arial"/>
        </w:rPr>
      </w:pPr>
      <w:r w:rsidRPr="003A7CD8">
        <w:rPr>
          <w:rFonts w:cs="Arial"/>
        </w:rPr>
        <w:t>[1]</w:t>
      </w:r>
      <w:r w:rsidRPr="003A7CD8">
        <w:rPr>
          <w:rFonts w:cs="Arial"/>
        </w:rPr>
        <w:tab/>
      </w:r>
      <w:r w:rsidR="004C1FF9">
        <w:rPr>
          <w:rFonts w:cs="Arial"/>
        </w:rPr>
        <w:tab/>
      </w:r>
      <w:r w:rsidRPr="003A7CD8">
        <w:rPr>
          <w:rFonts w:cs="Arial"/>
        </w:rPr>
        <w:t xml:space="preserve">P.M. Cox, R.A. Betts, C.D. Jones, S.A. Spall, I.J. </w:t>
      </w:r>
      <w:proofErr w:type="spellStart"/>
      <w:r w:rsidRPr="003A7CD8">
        <w:rPr>
          <w:rFonts w:cs="Arial"/>
        </w:rPr>
        <w:t>Totterdell</w:t>
      </w:r>
      <w:proofErr w:type="spellEnd"/>
      <w:r w:rsidRPr="003A7CD8">
        <w:rPr>
          <w:rFonts w:cs="Arial"/>
        </w:rPr>
        <w:t xml:space="preserve">, </w:t>
      </w:r>
      <w:r w:rsidRPr="003A7CD8">
        <w:rPr>
          <w:rFonts w:cs="Arial"/>
          <w:i/>
        </w:rPr>
        <w:t xml:space="preserve">Nature </w:t>
      </w:r>
      <w:r w:rsidRPr="003A7CD8">
        <w:rPr>
          <w:rFonts w:cs="Arial"/>
          <w:b/>
        </w:rPr>
        <w:t>2000</w:t>
      </w:r>
      <w:r w:rsidRPr="003A7CD8">
        <w:rPr>
          <w:rFonts w:cs="Arial"/>
        </w:rPr>
        <w:t>, 408, 184-187.</w:t>
      </w:r>
    </w:p>
    <w:p w:rsidR="00CB4B63" w:rsidRPr="003A7CD8" w:rsidRDefault="00CB4B63" w:rsidP="00CB4B63">
      <w:pPr>
        <w:pStyle w:val="References"/>
        <w:spacing w:line="360" w:lineRule="auto"/>
        <w:rPr>
          <w:rFonts w:cs="Arial"/>
        </w:rPr>
      </w:pPr>
      <w:r w:rsidRPr="003A7CD8">
        <w:rPr>
          <w:rFonts w:cs="Arial"/>
        </w:rPr>
        <w:t>[2]</w:t>
      </w:r>
      <w:r w:rsidRPr="003A7CD8">
        <w:rPr>
          <w:rFonts w:cs="Arial"/>
        </w:rPr>
        <w:tab/>
      </w:r>
      <w:r w:rsidR="004C1FF9">
        <w:rPr>
          <w:rFonts w:cs="Arial"/>
        </w:rPr>
        <w:tab/>
      </w:r>
      <w:r w:rsidRPr="003A7CD8">
        <w:rPr>
          <w:rFonts w:cs="Arial"/>
        </w:rPr>
        <w:t xml:space="preserve">Z.W. Du, H.R. Li, T.Y. </w:t>
      </w:r>
      <w:proofErr w:type="spellStart"/>
      <w:r w:rsidRPr="003A7CD8">
        <w:rPr>
          <w:rFonts w:cs="Arial"/>
        </w:rPr>
        <w:t>Gu</w:t>
      </w:r>
      <w:proofErr w:type="spellEnd"/>
      <w:r w:rsidRPr="003A7CD8">
        <w:rPr>
          <w:rFonts w:cs="Arial"/>
        </w:rPr>
        <w:t xml:space="preserve">, </w:t>
      </w:r>
      <w:proofErr w:type="spellStart"/>
      <w:r w:rsidRPr="003A7CD8">
        <w:rPr>
          <w:rFonts w:cs="Arial"/>
          <w:i/>
        </w:rPr>
        <w:t>Biotechnol</w:t>
      </w:r>
      <w:proofErr w:type="spellEnd"/>
      <w:r w:rsidRPr="003A7CD8">
        <w:rPr>
          <w:rFonts w:cs="Arial"/>
          <w:i/>
        </w:rPr>
        <w:t xml:space="preserve">. Adv. </w:t>
      </w:r>
      <w:r w:rsidRPr="003A7CD8">
        <w:rPr>
          <w:rFonts w:cs="Arial"/>
          <w:b/>
        </w:rPr>
        <w:t>2007</w:t>
      </w:r>
      <w:r w:rsidRPr="003A7CD8">
        <w:rPr>
          <w:rFonts w:cs="Arial"/>
        </w:rPr>
        <w:t>, 25, 464-482.</w:t>
      </w:r>
    </w:p>
    <w:p w:rsidR="00CB4B63" w:rsidRPr="003A7CD8" w:rsidRDefault="00CB4B63" w:rsidP="00CB4B63">
      <w:pPr>
        <w:pStyle w:val="NormalWeb"/>
        <w:spacing w:before="0" w:beforeAutospacing="0" w:after="0" w:afterAutospacing="0" w:line="360" w:lineRule="auto"/>
        <w:ind w:left="420" w:hanging="420"/>
        <w:rPr>
          <w:rFonts w:cs="Arial"/>
        </w:rPr>
      </w:pPr>
      <w:r w:rsidRPr="003A7CD8">
        <w:rPr>
          <w:rFonts w:cs="Arial"/>
        </w:rPr>
        <w:t xml:space="preserve">[3] </w:t>
      </w:r>
      <w:r w:rsidRPr="003A7CD8">
        <w:rPr>
          <w:rFonts w:cs="Arial"/>
        </w:rPr>
        <w:tab/>
      </w:r>
      <w:r w:rsidR="004C1FF9">
        <w:rPr>
          <w:rFonts w:cs="Arial"/>
        </w:rPr>
        <w:tab/>
      </w:r>
      <w:r w:rsidRPr="003A7CD8">
        <w:rPr>
          <w:rFonts w:cs="Arial"/>
        </w:rPr>
        <w:t xml:space="preserve">B.H. Kim, I.S. Chang, G.C. Gil, H.S. Park, H.J. Kim, </w:t>
      </w:r>
      <w:proofErr w:type="spellStart"/>
      <w:r w:rsidRPr="003A7CD8">
        <w:rPr>
          <w:rFonts w:cs="Arial"/>
          <w:i/>
          <w:iCs/>
        </w:rPr>
        <w:t>Biotechnol</w:t>
      </w:r>
      <w:proofErr w:type="spellEnd"/>
      <w:r w:rsidRPr="003A7CD8">
        <w:rPr>
          <w:rFonts w:cs="Arial"/>
          <w:i/>
          <w:iCs/>
        </w:rPr>
        <w:t xml:space="preserve">. Lett. </w:t>
      </w:r>
      <w:r w:rsidRPr="003A7CD8">
        <w:rPr>
          <w:rFonts w:cs="Arial"/>
          <w:b/>
        </w:rPr>
        <w:t>2003</w:t>
      </w:r>
      <w:r w:rsidRPr="003A7CD8">
        <w:rPr>
          <w:rFonts w:cs="Arial"/>
        </w:rPr>
        <w:t xml:space="preserve">, 25, 541-545. </w:t>
      </w:r>
    </w:p>
    <w:p w:rsidR="00CB4B63" w:rsidRPr="003A7CD8" w:rsidRDefault="00CB4B63" w:rsidP="004C1FF9">
      <w:pPr>
        <w:pStyle w:val="References"/>
        <w:spacing w:line="360" w:lineRule="auto"/>
        <w:ind w:left="720" w:hanging="720"/>
        <w:rPr>
          <w:rFonts w:cs="Arial"/>
        </w:rPr>
      </w:pPr>
      <w:r w:rsidRPr="003A7CD8">
        <w:rPr>
          <w:rFonts w:cs="Arial"/>
        </w:rPr>
        <w:t>[4]</w:t>
      </w:r>
      <w:r w:rsidRPr="003A7CD8">
        <w:rPr>
          <w:rFonts w:cs="Arial"/>
        </w:rPr>
        <w:tab/>
      </w:r>
      <w:r w:rsidR="004C1FF9">
        <w:rPr>
          <w:rFonts w:cs="Arial"/>
        </w:rPr>
        <w:tab/>
      </w:r>
      <w:r w:rsidRPr="003A7CD8">
        <w:rPr>
          <w:rFonts w:cs="Arial"/>
        </w:rPr>
        <w:t xml:space="preserve">I. Ieropoulos, P. Ledezma, A. Stinchcombe, G. Papaharalabos, C. </w:t>
      </w:r>
      <w:proofErr w:type="spellStart"/>
      <w:r w:rsidRPr="003A7CD8">
        <w:rPr>
          <w:rFonts w:cs="Arial"/>
        </w:rPr>
        <w:t>Melhuish</w:t>
      </w:r>
      <w:proofErr w:type="spellEnd"/>
      <w:r w:rsidRPr="003A7CD8">
        <w:rPr>
          <w:rFonts w:cs="Arial"/>
        </w:rPr>
        <w:t xml:space="preserve">, J. </w:t>
      </w:r>
      <w:proofErr w:type="spellStart"/>
      <w:r w:rsidRPr="003A7CD8">
        <w:rPr>
          <w:rFonts w:cs="Arial"/>
        </w:rPr>
        <w:t>Greenman</w:t>
      </w:r>
      <w:proofErr w:type="spellEnd"/>
      <w:r w:rsidRPr="003A7CD8">
        <w:rPr>
          <w:rFonts w:cs="Arial"/>
        </w:rPr>
        <w:t xml:space="preserve">, </w:t>
      </w:r>
      <w:r w:rsidRPr="003A7CD8">
        <w:rPr>
          <w:rFonts w:cs="Arial"/>
          <w:i/>
        </w:rPr>
        <w:t>Phys. Chem. Chem. Phys</w:t>
      </w:r>
      <w:r w:rsidRPr="003A7CD8">
        <w:rPr>
          <w:rFonts w:cs="Arial"/>
        </w:rPr>
        <w:t xml:space="preserve">. </w:t>
      </w:r>
      <w:r w:rsidRPr="003A7CD8">
        <w:rPr>
          <w:rFonts w:cs="Arial"/>
          <w:b/>
        </w:rPr>
        <w:t>2013</w:t>
      </w:r>
      <w:r w:rsidRPr="003A7CD8">
        <w:rPr>
          <w:rFonts w:cs="Arial"/>
        </w:rPr>
        <w:t>, 15, 15312-15316.</w:t>
      </w:r>
    </w:p>
    <w:p w:rsidR="00CB4B63" w:rsidRPr="003A7CD8" w:rsidRDefault="00CB4B63" w:rsidP="004C1FF9">
      <w:pPr>
        <w:pStyle w:val="References"/>
        <w:spacing w:line="360" w:lineRule="auto"/>
        <w:ind w:left="720" w:hanging="720"/>
        <w:rPr>
          <w:rFonts w:cs="Arial"/>
        </w:rPr>
      </w:pPr>
      <w:r w:rsidRPr="003A7CD8">
        <w:rPr>
          <w:rFonts w:cs="Arial"/>
        </w:rPr>
        <w:t>[5]</w:t>
      </w:r>
      <w:r w:rsidRPr="003A7CD8">
        <w:rPr>
          <w:rFonts w:cs="Arial"/>
        </w:rPr>
        <w:tab/>
      </w:r>
      <w:r w:rsidR="004C1FF9">
        <w:rPr>
          <w:rFonts w:cs="Arial"/>
        </w:rPr>
        <w:tab/>
      </w:r>
      <w:r w:rsidRPr="003A7CD8">
        <w:rPr>
          <w:rFonts w:cs="Arial"/>
        </w:rPr>
        <w:t xml:space="preserve">I. Ieropoulos, J. </w:t>
      </w:r>
      <w:proofErr w:type="spellStart"/>
      <w:r w:rsidRPr="003A7CD8">
        <w:rPr>
          <w:rFonts w:cs="Arial"/>
        </w:rPr>
        <w:t>Greenman</w:t>
      </w:r>
      <w:proofErr w:type="spellEnd"/>
      <w:r w:rsidRPr="003A7CD8">
        <w:rPr>
          <w:rFonts w:cs="Arial"/>
        </w:rPr>
        <w:t xml:space="preserve">, C. </w:t>
      </w:r>
      <w:proofErr w:type="spellStart"/>
      <w:r w:rsidRPr="003A7CD8">
        <w:rPr>
          <w:rFonts w:cs="Arial"/>
        </w:rPr>
        <w:t>Melhuish</w:t>
      </w:r>
      <w:proofErr w:type="spellEnd"/>
      <w:r w:rsidRPr="003A7CD8">
        <w:rPr>
          <w:rFonts w:cs="Arial"/>
        </w:rPr>
        <w:t xml:space="preserve">, I. Horsfield, </w:t>
      </w:r>
      <w:r w:rsidRPr="003A7CD8">
        <w:rPr>
          <w:rFonts w:cs="Arial"/>
          <w:i/>
        </w:rPr>
        <w:t>Artificial Life XII, MIT Press</w:t>
      </w:r>
      <w:r w:rsidRPr="003A7CD8">
        <w:rPr>
          <w:rFonts w:cs="Arial"/>
        </w:rPr>
        <w:t xml:space="preserve">, </w:t>
      </w:r>
      <w:r w:rsidRPr="003A7CD8">
        <w:rPr>
          <w:rFonts w:cs="Arial"/>
          <w:b/>
        </w:rPr>
        <w:t>2010</w:t>
      </w:r>
      <w:r w:rsidRPr="003A7CD8">
        <w:rPr>
          <w:rFonts w:cs="Arial"/>
        </w:rPr>
        <w:t>, 733-740.</w:t>
      </w:r>
    </w:p>
    <w:p w:rsidR="00CB4B63" w:rsidRPr="003A7CD8" w:rsidRDefault="00CB4B63" w:rsidP="004C1FF9">
      <w:pPr>
        <w:pStyle w:val="References"/>
        <w:spacing w:line="360" w:lineRule="auto"/>
        <w:ind w:left="720" w:hanging="720"/>
        <w:rPr>
          <w:rFonts w:cs="Arial"/>
        </w:rPr>
      </w:pPr>
      <w:r w:rsidRPr="003A7CD8">
        <w:rPr>
          <w:rFonts w:cs="Arial"/>
        </w:rPr>
        <w:t>[6]</w:t>
      </w:r>
      <w:r w:rsidRPr="003A7CD8">
        <w:rPr>
          <w:rFonts w:cs="Arial"/>
        </w:rPr>
        <w:tab/>
      </w:r>
      <w:r w:rsidR="004C1FF9">
        <w:rPr>
          <w:rFonts w:cs="Arial"/>
        </w:rPr>
        <w:tab/>
      </w:r>
      <w:r w:rsidRPr="003A7CD8">
        <w:rPr>
          <w:rFonts w:cs="Arial"/>
        </w:rPr>
        <w:t xml:space="preserve">I. Gajda, J. </w:t>
      </w:r>
      <w:proofErr w:type="spellStart"/>
      <w:r w:rsidRPr="003A7CD8">
        <w:rPr>
          <w:rFonts w:cs="Arial"/>
        </w:rPr>
        <w:t>Greenman</w:t>
      </w:r>
      <w:proofErr w:type="spellEnd"/>
      <w:r w:rsidRPr="003A7CD8">
        <w:rPr>
          <w:rFonts w:cs="Arial"/>
        </w:rPr>
        <w:t xml:space="preserve">, C. </w:t>
      </w:r>
      <w:proofErr w:type="spellStart"/>
      <w:r w:rsidRPr="003A7CD8">
        <w:rPr>
          <w:rFonts w:cs="Arial"/>
        </w:rPr>
        <w:t>Melhuish</w:t>
      </w:r>
      <w:proofErr w:type="spellEnd"/>
      <w:r w:rsidRPr="003A7CD8">
        <w:rPr>
          <w:rFonts w:cs="Arial"/>
        </w:rPr>
        <w:t xml:space="preserve">, C. Santoro, B. Li, P. </w:t>
      </w:r>
      <w:proofErr w:type="spellStart"/>
      <w:r w:rsidRPr="003A7CD8">
        <w:rPr>
          <w:rFonts w:cs="Arial"/>
        </w:rPr>
        <w:t>Cristiani</w:t>
      </w:r>
      <w:proofErr w:type="spellEnd"/>
      <w:r w:rsidRPr="003A7CD8">
        <w:rPr>
          <w:rFonts w:cs="Arial"/>
        </w:rPr>
        <w:t xml:space="preserve">, I. Ieropoulos, </w:t>
      </w:r>
      <w:r w:rsidRPr="003A7CD8">
        <w:rPr>
          <w:rFonts w:cs="Arial"/>
          <w:i/>
        </w:rPr>
        <w:t>Sustain. Energy Technol. Assess</w:t>
      </w:r>
      <w:r w:rsidRPr="003A7CD8">
        <w:rPr>
          <w:rFonts w:cs="Arial"/>
        </w:rPr>
        <w:t xml:space="preserve">. </w:t>
      </w:r>
      <w:r w:rsidRPr="003A7CD8">
        <w:rPr>
          <w:rFonts w:cs="Arial"/>
          <w:b/>
        </w:rPr>
        <w:t>2014</w:t>
      </w:r>
      <w:r w:rsidRPr="003A7CD8">
        <w:rPr>
          <w:rFonts w:cs="Arial"/>
        </w:rPr>
        <w:t>, 7, 187-194.</w:t>
      </w:r>
    </w:p>
    <w:p w:rsidR="00CB4B63" w:rsidRPr="003A7CD8" w:rsidRDefault="00CB4B63" w:rsidP="004C1FF9">
      <w:pPr>
        <w:pStyle w:val="References"/>
        <w:spacing w:line="360" w:lineRule="auto"/>
        <w:ind w:left="720" w:hanging="720"/>
        <w:rPr>
          <w:rFonts w:cs="Arial"/>
        </w:rPr>
      </w:pPr>
      <w:r w:rsidRPr="003A7CD8">
        <w:rPr>
          <w:rFonts w:cs="Arial"/>
        </w:rPr>
        <w:t>[7]</w:t>
      </w:r>
      <w:r w:rsidRPr="003A7CD8">
        <w:rPr>
          <w:rFonts w:cs="Arial"/>
        </w:rPr>
        <w:tab/>
      </w:r>
      <w:r w:rsidR="004C1FF9">
        <w:rPr>
          <w:rFonts w:cs="Arial"/>
        </w:rPr>
        <w:tab/>
      </w:r>
      <w:r w:rsidRPr="003A7CD8">
        <w:rPr>
          <w:rFonts w:cs="Arial"/>
        </w:rPr>
        <w:t xml:space="preserve">D. Pant, A. Singh, G. Van </w:t>
      </w:r>
      <w:proofErr w:type="spellStart"/>
      <w:r w:rsidRPr="003A7CD8">
        <w:rPr>
          <w:rFonts w:cs="Arial"/>
        </w:rPr>
        <w:t>Bogaert</w:t>
      </w:r>
      <w:proofErr w:type="spellEnd"/>
      <w:r w:rsidRPr="003A7CD8">
        <w:rPr>
          <w:rFonts w:cs="Arial"/>
        </w:rPr>
        <w:t xml:space="preserve">, S.I. Olsen, P.S. Nigam, L. Diels, K. </w:t>
      </w:r>
      <w:proofErr w:type="spellStart"/>
      <w:r w:rsidRPr="003A7CD8">
        <w:rPr>
          <w:rFonts w:cs="Arial"/>
        </w:rPr>
        <w:t>Vanbroekhoven</w:t>
      </w:r>
      <w:proofErr w:type="spellEnd"/>
      <w:r w:rsidRPr="003A7CD8">
        <w:rPr>
          <w:rFonts w:cs="Arial"/>
        </w:rPr>
        <w:t xml:space="preserve">, </w:t>
      </w:r>
      <w:r w:rsidRPr="003A7CD8">
        <w:rPr>
          <w:rFonts w:cs="Arial"/>
          <w:i/>
        </w:rPr>
        <w:t>RSC Adv</w:t>
      </w:r>
      <w:r w:rsidRPr="003A7CD8">
        <w:rPr>
          <w:rFonts w:cs="Arial"/>
        </w:rPr>
        <w:t xml:space="preserve">. </w:t>
      </w:r>
      <w:r w:rsidRPr="003A7CD8">
        <w:rPr>
          <w:rFonts w:cs="Arial"/>
          <w:b/>
        </w:rPr>
        <w:t>2012</w:t>
      </w:r>
      <w:r w:rsidRPr="003A7CD8">
        <w:rPr>
          <w:rFonts w:cs="Arial"/>
        </w:rPr>
        <w:t>, 2, 1248-1263.</w:t>
      </w:r>
    </w:p>
    <w:p w:rsidR="00CB4B63" w:rsidRPr="003A7CD8" w:rsidRDefault="00CB4B63" w:rsidP="00CB4B63">
      <w:pPr>
        <w:pStyle w:val="References"/>
        <w:spacing w:line="360" w:lineRule="auto"/>
        <w:rPr>
          <w:rFonts w:cs="Arial"/>
        </w:rPr>
      </w:pPr>
      <w:r w:rsidRPr="003A7CD8">
        <w:rPr>
          <w:rFonts w:cs="Arial"/>
        </w:rPr>
        <w:t>[8]</w:t>
      </w:r>
      <w:r w:rsidRPr="003A7CD8">
        <w:rPr>
          <w:rFonts w:cs="Arial"/>
        </w:rPr>
        <w:tab/>
      </w:r>
      <w:r w:rsidR="004C1FF9">
        <w:rPr>
          <w:rFonts w:cs="Arial"/>
        </w:rPr>
        <w:tab/>
      </w:r>
      <w:r w:rsidRPr="003A7CD8">
        <w:rPr>
          <w:rFonts w:cs="Arial"/>
        </w:rPr>
        <w:t xml:space="preserve">M. </w:t>
      </w:r>
      <w:proofErr w:type="spellStart"/>
      <w:r w:rsidRPr="003A7CD8">
        <w:rPr>
          <w:rFonts w:cs="Arial"/>
        </w:rPr>
        <w:t>Irimia-Vladu</w:t>
      </w:r>
      <w:proofErr w:type="spellEnd"/>
      <w:r w:rsidRPr="003A7CD8">
        <w:rPr>
          <w:rFonts w:cs="Arial"/>
        </w:rPr>
        <w:t xml:space="preserve">, </w:t>
      </w:r>
      <w:r w:rsidRPr="003A7CD8">
        <w:rPr>
          <w:rFonts w:cs="Arial"/>
          <w:i/>
        </w:rPr>
        <w:t xml:space="preserve">Chem. Soc. Rev. </w:t>
      </w:r>
      <w:r w:rsidRPr="003A7CD8">
        <w:rPr>
          <w:rFonts w:cs="Arial"/>
          <w:b/>
        </w:rPr>
        <w:t xml:space="preserve">2014, </w:t>
      </w:r>
      <w:r w:rsidRPr="003A7CD8">
        <w:rPr>
          <w:rFonts w:cs="Arial"/>
        </w:rPr>
        <w:t>43, 588-610.</w:t>
      </w:r>
    </w:p>
    <w:p w:rsidR="00CB4B63" w:rsidRPr="003A7CD8" w:rsidRDefault="00CB4B63" w:rsidP="00CB4B63">
      <w:pPr>
        <w:pStyle w:val="References"/>
        <w:spacing w:line="360" w:lineRule="auto"/>
        <w:rPr>
          <w:rFonts w:cs="Arial"/>
        </w:rPr>
      </w:pPr>
      <w:r w:rsidRPr="003A7CD8">
        <w:rPr>
          <w:rFonts w:cs="Arial"/>
        </w:rPr>
        <w:t>[9]</w:t>
      </w:r>
      <w:r w:rsidRPr="003A7CD8">
        <w:rPr>
          <w:rFonts w:cs="Arial"/>
        </w:rPr>
        <w:tab/>
      </w:r>
      <w:r w:rsidR="004C1FF9">
        <w:rPr>
          <w:rFonts w:cs="Arial"/>
        </w:rPr>
        <w:tab/>
      </w:r>
      <w:r w:rsidRPr="003A7CD8">
        <w:rPr>
          <w:rFonts w:cs="Arial"/>
        </w:rPr>
        <w:t xml:space="preserve">C.J. </w:t>
      </w:r>
      <w:proofErr w:type="spellStart"/>
      <w:r w:rsidRPr="003A7CD8">
        <w:rPr>
          <w:rFonts w:cs="Arial"/>
        </w:rPr>
        <w:t>Bettinger</w:t>
      </w:r>
      <w:proofErr w:type="spellEnd"/>
      <w:r w:rsidRPr="003A7CD8">
        <w:rPr>
          <w:rFonts w:cs="Arial"/>
        </w:rPr>
        <w:t xml:space="preserve">, Z. </w:t>
      </w:r>
      <w:proofErr w:type="spellStart"/>
      <w:r w:rsidRPr="003A7CD8">
        <w:rPr>
          <w:rFonts w:cs="Arial"/>
        </w:rPr>
        <w:t>Bao</w:t>
      </w:r>
      <w:proofErr w:type="spellEnd"/>
      <w:r w:rsidRPr="003A7CD8">
        <w:rPr>
          <w:rFonts w:cs="Arial"/>
        </w:rPr>
        <w:t xml:space="preserve">, </w:t>
      </w:r>
      <w:r w:rsidRPr="003A7CD8">
        <w:rPr>
          <w:rFonts w:cs="Arial"/>
          <w:i/>
        </w:rPr>
        <w:t>Adv. Mater</w:t>
      </w:r>
      <w:r w:rsidRPr="003A7CD8">
        <w:rPr>
          <w:rFonts w:cs="Arial"/>
        </w:rPr>
        <w:t xml:space="preserve">. </w:t>
      </w:r>
      <w:r w:rsidRPr="003A7CD8">
        <w:rPr>
          <w:rFonts w:cs="Arial"/>
          <w:b/>
        </w:rPr>
        <w:t>2010</w:t>
      </w:r>
      <w:r w:rsidRPr="003A7CD8">
        <w:rPr>
          <w:rFonts w:cs="Arial"/>
        </w:rPr>
        <w:t xml:space="preserve">, 22, 651-644. </w:t>
      </w:r>
    </w:p>
    <w:p w:rsidR="00CB4B63" w:rsidRPr="003A7CD8" w:rsidRDefault="00CB4B63" w:rsidP="00CB4B63">
      <w:pPr>
        <w:pStyle w:val="References"/>
        <w:spacing w:line="360" w:lineRule="auto"/>
        <w:rPr>
          <w:rFonts w:cs="Arial"/>
        </w:rPr>
      </w:pPr>
      <w:r w:rsidRPr="003A7CD8">
        <w:rPr>
          <w:rFonts w:cs="Arial"/>
        </w:rPr>
        <w:t>[10]</w:t>
      </w:r>
      <w:r w:rsidRPr="003A7CD8">
        <w:rPr>
          <w:rFonts w:cs="Arial"/>
        </w:rPr>
        <w:tab/>
      </w:r>
      <w:r w:rsidR="004C1FF9">
        <w:rPr>
          <w:rFonts w:cs="Arial"/>
        </w:rPr>
        <w:tab/>
      </w:r>
      <w:r w:rsidRPr="003A7CD8">
        <w:rPr>
          <w:rFonts w:cs="Arial"/>
        </w:rPr>
        <w:t xml:space="preserve">D. Leech, P. Kavanagh, W. </w:t>
      </w:r>
      <w:proofErr w:type="spellStart"/>
      <w:r w:rsidRPr="003A7CD8">
        <w:rPr>
          <w:rFonts w:cs="Arial"/>
        </w:rPr>
        <w:t>Schuhmann</w:t>
      </w:r>
      <w:proofErr w:type="spellEnd"/>
      <w:r w:rsidRPr="003A7CD8">
        <w:rPr>
          <w:rFonts w:cs="Arial"/>
        </w:rPr>
        <w:t xml:space="preserve">, </w:t>
      </w:r>
      <w:proofErr w:type="spellStart"/>
      <w:r w:rsidRPr="003A7CD8">
        <w:rPr>
          <w:rFonts w:cs="Arial"/>
          <w:i/>
        </w:rPr>
        <w:t>Electrochim</w:t>
      </w:r>
      <w:proofErr w:type="spellEnd"/>
      <w:r w:rsidRPr="003A7CD8">
        <w:rPr>
          <w:rFonts w:cs="Arial"/>
          <w:i/>
        </w:rPr>
        <w:t xml:space="preserve">. </w:t>
      </w:r>
      <w:proofErr w:type="spellStart"/>
      <w:r w:rsidRPr="003A7CD8">
        <w:rPr>
          <w:rFonts w:cs="Arial"/>
          <w:i/>
        </w:rPr>
        <w:t>Acta</w:t>
      </w:r>
      <w:proofErr w:type="spellEnd"/>
      <w:r w:rsidRPr="003A7CD8">
        <w:rPr>
          <w:rFonts w:cs="Arial"/>
        </w:rPr>
        <w:t xml:space="preserve">, </w:t>
      </w:r>
      <w:r w:rsidRPr="003A7CD8">
        <w:rPr>
          <w:rFonts w:cs="Arial"/>
          <w:b/>
        </w:rPr>
        <w:t>2012</w:t>
      </w:r>
      <w:r w:rsidRPr="003A7CD8">
        <w:rPr>
          <w:rFonts w:cs="Arial"/>
        </w:rPr>
        <w:t>, 84, 223-234.</w:t>
      </w:r>
    </w:p>
    <w:p w:rsidR="00CB4B63" w:rsidRPr="003A7CD8" w:rsidRDefault="00CB4B63" w:rsidP="004C1FF9">
      <w:pPr>
        <w:pStyle w:val="References"/>
        <w:spacing w:line="360" w:lineRule="auto"/>
        <w:ind w:left="720" w:hanging="720"/>
        <w:rPr>
          <w:rFonts w:cs="Arial"/>
        </w:rPr>
      </w:pPr>
      <w:r w:rsidRPr="003A7CD8">
        <w:rPr>
          <w:rFonts w:cs="Arial"/>
        </w:rPr>
        <w:lastRenderedPageBreak/>
        <w:t>[11]</w:t>
      </w:r>
      <w:r w:rsidRPr="003A7CD8">
        <w:rPr>
          <w:rFonts w:cs="Arial"/>
        </w:rPr>
        <w:tab/>
      </w:r>
      <w:r w:rsidR="004C1FF9">
        <w:rPr>
          <w:rFonts w:cs="Arial"/>
        </w:rPr>
        <w:tab/>
      </w:r>
      <w:r w:rsidRPr="003A7CD8">
        <w:rPr>
          <w:rFonts w:cs="Arial"/>
        </w:rPr>
        <w:t xml:space="preserve">N.J. Beecroft, F. Zhao, J.R. </w:t>
      </w:r>
      <w:proofErr w:type="spellStart"/>
      <w:r w:rsidRPr="003A7CD8">
        <w:rPr>
          <w:rFonts w:cs="Arial"/>
        </w:rPr>
        <w:t>Varcoe</w:t>
      </w:r>
      <w:proofErr w:type="spellEnd"/>
      <w:r w:rsidRPr="003A7CD8">
        <w:rPr>
          <w:rFonts w:cs="Arial"/>
        </w:rPr>
        <w:t xml:space="preserve">, R.C.T. Slade, A.E. </w:t>
      </w:r>
      <w:proofErr w:type="spellStart"/>
      <w:r w:rsidRPr="003A7CD8">
        <w:rPr>
          <w:rFonts w:cs="Arial"/>
        </w:rPr>
        <w:t>Thumser</w:t>
      </w:r>
      <w:proofErr w:type="spellEnd"/>
      <w:r w:rsidRPr="003A7CD8">
        <w:rPr>
          <w:rFonts w:cs="Arial"/>
        </w:rPr>
        <w:t xml:space="preserve">, C. </w:t>
      </w:r>
      <w:proofErr w:type="spellStart"/>
      <w:r w:rsidRPr="003A7CD8">
        <w:rPr>
          <w:rFonts w:cs="Arial"/>
        </w:rPr>
        <w:t>Avignone-Rossa</w:t>
      </w:r>
      <w:proofErr w:type="spellEnd"/>
      <w:r w:rsidRPr="003A7CD8">
        <w:rPr>
          <w:rFonts w:cs="Arial"/>
        </w:rPr>
        <w:t xml:space="preserve">, </w:t>
      </w:r>
      <w:r w:rsidRPr="003A7CD8">
        <w:rPr>
          <w:rFonts w:cs="Arial"/>
          <w:i/>
        </w:rPr>
        <w:t xml:space="preserve">Appl. </w:t>
      </w:r>
      <w:proofErr w:type="spellStart"/>
      <w:r w:rsidRPr="003A7CD8">
        <w:rPr>
          <w:rFonts w:cs="Arial"/>
          <w:i/>
        </w:rPr>
        <w:t>Microbiol</w:t>
      </w:r>
      <w:proofErr w:type="spellEnd"/>
      <w:r w:rsidRPr="003A7CD8">
        <w:rPr>
          <w:rFonts w:cs="Arial"/>
          <w:i/>
        </w:rPr>
        <w:t xml:space="preserve">. </w:t>
      </w:r>
      <w:proofErr w:type="spellStart"/>
      <w:r w:rsidRPr="003A7CD8">
        <w:rPr>
          <w:rFonts w:cs="Arial"/>
          <w:i/>
        </w:rPr>
        <w:t>Biotechnol</w:t>
      </w:r>
      <w:proofErr w:type="spellEnd"/>
      <w:r w:rsidRPr="003A7CD8">
        <w:rPr>
          <w:rFonts w:cs="Arial"/>
        </w:rPr>
        <w:t xml:space="preserve">. </w:t>
      </w:r>
      <w:r w:rsidRPr="003A7CD8">
        <w:rPr>
          <w:rFonts w:cs="Arial"/>
          <w:b/>
        </w:rPr>
        <w:t>2012</w:t>
      </w:r>
      <w:r w:rsidRPr="003A7CD8">
        <w:rPr>
          <w:rFonts w:cs="Arial"/>
        </w:rPr>
        <w:t>, 93, 423-437.</w:t>
      </w:r>
    </w:p>
    <w:p w:rsidR="00CB4B63" w:rsidRPr="003A7CD8" w:rsidRDefault="00CB4B63" w:rsidP="004C1FF9">
      <w:pPr>
        <w:pStyle w:val="References"/>
        <w:spacing w:line="360" w:lineRule="auto"/>
        <w:ind w:left="720" w:hanging="720"/>
        <w:rPr>
          <w:rFonts w:cs="Arial"/>
        </w:rPr>
      </w:pPr>
      <w:r w:rsidRPr="003A7CD8">
        <w:rPr>
          <w:rFonts w:cs="Arial"/>
        </w:rPr>
        <w:t>[12]</w:t>
      </w:r>
      <w:r w:rsidRPr="003A7CD8">
        <w:rPr>
          <w:rFonts w:cs="Arial"/>
        </w:rPr>
        <w:tab/>
      </w:r>
      <w:r w:rsidR="004C1FF9">
        <w:rPr>
          <w:rFonts w:cs="Arial"/>
        </w:rPr>
        <w:tab/>
      </w:r>
      <w:r w:rsidRPr="003A7CD8">
        <w:rPr>
          <w:rFonts w:cs="Arial"/>
        </w:rPr>
        <w:t xml:space="preserve">H. Yi, K.P. </w:t>
      </w:r>
      <w:proofErr w:type="spellStart"/>
      <w:r w:rsidRPr="003A7CD8">
        <w:rPr>
          <w:rFonts w:cs="Arial"/>
        </w:rPr>
        <w:t>Nevin</w:t>
      </w:r>
      <w:proofErr w:type="spellEnd"/>
      <w:r w:rsidRPr="003A7CD8">
        <w:rPr>
          <w:rFonts w:cs="Arial"/>
        </w:rPr>
        <w:t xml:space="preserve">, B. Kim, A.E. Franks, A. </w:t>
      </w:r>
      <w:proofErr w:type="spellStart"/>
      <w:r w:rsidRPr="003A7CD8">
        <w:rPr>
          <w:rFonts w:cs="Arial"/>
        </w:rPr>
        <w:t>Klimes</w:t>
      </w:r>
      <w:proofErr w:type="spellEnd"/>
      <w:r w:rsidRPr="003A7CD8">
        <w:rPr>
          <w:rFonts w:cs="Arial"/>
        </w:rPr>
        <w:t xml:space="preserve">, L.M. Tender, D.R. </w:t>
      </w:r>
      <w:proofErr w:type="spellStart"/>
      <w:r w:rsidRPr="003A7CD8">
        <w:rPr>
          <w:rFonts w:cs="Arial"/>
        </w:rPr>
        <w:t>Lovley</w:t>
      </w:r>
      <w:proofErr w:type="spellEnd"/>
      <w:r w:rsidRPr="003A7CD8">
        <w:rPr>
          <w:rFonts w:cs="Arial"/>
        </w:rPr>
        <w:t xml:space="preserve">, </w:t>
      </w:r>
      <w:proofErr w:type="spellStart"/>
      <w:r w:rsidRPr="003A7CD8">
        <w:rPr>
          <w:rFonts w:cs="Arial"/>
          <w:i/>
        </w:rPr>
        <w:t>Biosens</w:t>
      </w:r>
      <w:proofErr w:type="spellEnd"/>
      <w:r w:rsidRPr="003A7CD8">
        <w:rPr>
          <w:rFonts w:cs="Arial"/>
          <w:i/>
        </w:rPr>
        <w:t xml:space="preserve">. </w:t>
      </w:r>
      <w:proofErr w:type="spellStart"/>
      <w:r w:rsidRPr="003A7CD8">
        <w:rPr>
          <w:rFonts w:cs="Arial"/>
          <w:i/>
        </w:rPr>
        <w:t>Bioelectron</w:t>
      </w:r>
      <w:proofErr w:type="spellEnd"/>
      <w:r w:rsidRPr="003A7CD8">
        <w:rPr>
          <w:rFonts w:cs="Arial"/>
          <w:i/>
        </w:rPr>
        <w:t xml:space="preserve">, </w:t>
      </w:r>
      <w:r w:rsidRPr="003A7CD8">
        <w:rPr>
          <w:rFonts w:cs="Arial"/>
          <w:b/>
        </w:rPr>
        <w:t>2009</w:t>
      </w:r>
      <w:r w:rsidRPr="003A7CD8">
        <w:rPr>
          <w:rFonts w:cs="Arial"/>
        </w:rPr>
        <w:t>, 24, 3498-3503.</w:t>
      </w:r>
    </w:p>
    <w:p w:rsidR="00CB4B63" w:rsidRPr="003A7CD8" w:rsidRDefault="00CB4B63" w:rsidP="00CB4B63">
      <w:pPr>
        <w:pStyle w:val="References"/>
        <w:spacing w:line="360" w:lineRule="auto"/>
        <w:rPr>
          <w:rFonts w:cs="Arial"/>
        </w:rPr>
      </w:pPr>
      <w:r w:rsidRPr="003A7CD8">
        <w:rPr>
          <w:rFonts w:cs="Arial"/>
        </w:rPr>
        <w:t>[13]</w:t>
      </w:r>
      <w:r w:rsidRPr="003A7CD8">
        <w:rPr>
          <w:rFonts w:cs="Arial"/>
        </w:rPr>
        <w:tab/>
      </w:r>
      <w:r w:rsidR="004C1FF9">
        <w:rPr>
          <w:rFonts w:cs="Arial"/>
        </w:rPr>
        <w:tab/>
      </w:r>
      <w:r w:rsidRPr="003A7CD8">
        <w:rPr>
          <w:rFonts w:cs="Arial"/>
        </w:rPr>
        <w:t xml:space="preserve">M. </w:t>
      </w:r>
      <w:proofErr w:type="spellStart"/>
      <w:r w:rsidRPr="003A7CD8">
        <w:rPr>
          <w:rFonts w:cs="Arial"/>
        </w:rPr>
        <w:t>Behera</w:t>
      </w:r>
      <w:proofErr w:type="spellEnd"/>
      <w:r w:rsidRPr="003A7CD8">
        <w:rPr>
          <w:rFonts w:cs="Arial"/>
        </w:rPr>
        <w:t xml:space="preserve">, P.S. Jana, M.M. </w:t>
      </w:r>
      <w:proofErr w:type="spellStart"/>
      <w:r w:rsidRPr="003A7CD8">
        <w:rPr>
          <w:rFonts w:cs="Arial"/>
        </w:rPr>
        <w:t>Ghangrekar</w:t>
      </w:r>
      <w:proofErr w:type="spellEnd"/>
      <w:r w:rsidRPr="003A7CD8">
        <w:rPr>
          <w:rFonts w:cs="Arial"/>
        </w:rPr>
        <w:t xml:space="preserve">, </w:t>
      </w:r>
      <w:proofErr w:type="spellStart"/>
      <w:r w:rsidRPr="003A7CD8">
        <w:rPr>
          <w:rFonts w:cs="Arial"/>
          <w:i/>
        </w:rPr>
        <w:t>Bioresour</w:t>
      </w:r>
      <w:proofErr w:type="spellEnd"/>
      <w:r w:rsidRPr="003A7CD8">
        <w:rPr>
          <w:rFonts w:cs="Arial"/>
          <w:i/>
        </w:rPr>
        <w:t>. Technol</w:t>
      </w:r>
      <w:r w:rsidRPr="003A7CD8">
        <w:rPr>
          <w:rFonts w:cs="Arial"/>
        </w:rPr>
        <w:t xml:space="preserve">. </w:t>
      </w:r>
      <w:r w:rsidRPr="003A7CD8">
        <w:rPr>
          <w:rFonts w:cs="Arial"/>
          <w:b/>
        </w:rPr>
        <w:t>2010</w:t>
      </w:r>
      <w:r w:rsidRPr="003A7CD8">
        <w:rPr>
          <w:rFonts w:cs="Arial"/>
        </w:rPr>
        <w:t>, 101, 1183-1189.</w:t>
      </w:r>
    </w:p>
    <w:p w:rsidR="00CB4B63" w:rsidRPr="003A7CD8" w:rsidRDefault="00CB4B63" w:rsidP="00CB4B63">
      <w:pPr>
        <w:pStyle w:val="References"/>
        <w:spacing w:line="360" w:lineRule="auto"/>
        <w:rPr>
          <w:rFonts w:cs="Arial"/>
        </w:rPr>
      </w:pPr>
      <w:r w:rsidRPr="003A7CD8">
        <w:rPr>
          <w:rFonts w:cs="Arial"/>
        </w:rPr>
        <w:t>[14]</w:t>
      </w:r>
      <w:r w:rsidRPr="003A7CD8">
        <w:rPr>
          <w:rFonts w:cs="Arial"/>
        </w:rPr>
        <w:tab/>
      </w:r>
      <w:r w:rsidR="004C1FF9">
        <w:rPr>
          <w:rFonts w:cs="Arial"/>
        </w:rPr>
        <w:tab/>
      </w:r>
      <w:r w:rsidRPr="003A7CD8">
        <w:rPr>
          <w:rFonts w:cs="Arial"/>
        </w:rPr>
        <w:t xml:space="preserve">F.F. </w:t>
      </w:r>
      <w:proofErr w:type="spellStart"/>
      <w:r w:rsidRPr="003A7CD8">
        <w:rPr>
          <w:rFonts w:cs="Arial"/>
        </w:rPr>
        <w:t>Ajayi</w:t>
      </w:r>
      <w:proofErr w:type="spellEnd"/>
      <w:r w:rsidRPr="003A7CD8">
        <w:rPr>
          <w:rFonts w:cs="Arial"/>
        </w:rPr>
        <w:t xml:space="preserve">, P.R. </w:t>
      </w:r>
      <w:proofErr w:type="spellStart"/>
      <w:r w:rsidRPr="003A7CD8">
        <w:rPr>
          <w:rFonts w:cs="Arial"/>
        </w:rPr>
        <w:t>Weigele</w:t>
      </w:r>
      <w:proofErr w:type="spellEnd"/>
      <w:r w:rsidRPr="003A7CD8">
        <w:rPr>
          <w:rFonts w:cs="Arial"/>
        </w:rPr>
        <w:t xml:space="preserve">, </w:t>
      </w:r>
      <w:proofErr w:type="spellStart"/>
      <w:r w:rsidRPr="003A7CD8">
        <w:rPr>
          <w:rFonts w:cs="Arial"/>
          <w:i/>
        </w:rPr>
        <w:t>Bioresour</w:t>
      </w:r>
      <w:proofErr w:type="spellEnd"/>
      <w:r w:rsidRPr="003A7CD8">
        <w:rPr>
          <w:rFonts w:cs="Arial"/>
          <w:i/>
        </w:rPr>
        <w:t>. Technol</w:t>
      </w:r>
      <w:r w:rsidRPr="003A7CD8">
        <w:rPr>
          <w:rFonts w:cs="Arial"/>
        </w:rPr>
        <w:t xml:space="preserve">. </w:t>
      </w:r>
      <w:r w:rsidRPr="003A7CD8">
        <w:rPr>
          <w:rFonts w:cs="Arial"/>
          <w:b/>
        </w:rPr>
        <w:t>2012</w:t>
      </w:r>
      <w:r w:rsidRPr="003A7CD8">
        <w:rPr>
          <w:rFonts w:cs="Arial"/>
        </w:rPr>
        <w:t xml:space="preserve">, 116, 86-91. </w:t>
      </w:r>
    </w:p>
    <w:p w:rsidR="00CB4B63" w:rsidRPr="003A7CD8" w:rsidRDefault="00CB4B63" w:rsidP="004C1FF9">
      <w:pPr>
        <w:pStyle w:val="References"/>
        <w:spacing w:line="360" w:lineRule="auto"/>
        <w:ind w:left="720" w:hanging="720"/>
        <w:rPr>
          <w:rFonts w:cs="Arial"/>
        </w:rPr>
      </w:pPr>
      <w:r w:rsidRPr="003A7CD8">
        <w:rPr>
          <w:rFonts w:cs="Arial"/>
        </w:rPr>
        <w:t>[15]</w:t>
      </w:r>
      <w:r w:rsidRPr="003A7CD8">
        <w:rPr>
          <w:rFonts w:cs="Arial"/>
        </w:rPr>
        <w:tab/>
      </w:r>
      <w:r w:rsidR="004C1FF9">
        <w:rPr>
          <w:rFonts w:cs="Arial"/>
        </w:rPr>
        <w:tab/>
      </w:r>
      <w:r w:rsidRPr="003A7CD8">
        <w:rPr>
          <w:rFonts w:cs="Arial"/>
        </w:rPr>
        <w:t xml:space="preserve">J. Winfield, J. </w:t>
      </w:r>
      <w:proofErr w:type="spellStart"/>
      <w:r w:rsidRPr="003A7CD8">
        <w:rPr>
          <w:rFonts w:cs="Arial"/>
        </w:rPr>
        <w:t>Greenman</w:t>
      </w:r>
      <w:proofErr w:type="spellEnd"/>
      <w:r w:rsidRPr="003A7CD8">
        <w:rPr>
          <w:rFonts w:cs="Arial"/>
        </w:rPr>
        <w:t xml:space="preserve">, D. Huson, I. Ieropoulos, </w:t>
      </w:r>
      <w:r w:rsidRPr="003A7CD8">
        <w:rPr>
          <w:rFonts w:cs="Arial"/>
          <w:i/>
        </w:rPr>
        <w:t xml:space="preserve">Bioprocess </w:t>
      </w:r>
      <w:proofErr w:type="spellStart"/>
      <w:r w:rsidRPr="003A7CD8">
        <w:rPr>
          <w:rFonts w:cs="Arial"/>
          <w:i/>
        </w:rPr>
        <w:t>Biosyst</w:t>
      </w:r>
      <w:proofErr w:type="spellEnd"/>
      <w:r w:rsidRPr="003A7CD8">
        <w:rPr>
          <w:rFonts w:cs="Arial"/>
        </w:rPr>
        <w:t xml:space="preserve">. </w:t>
      </w:r>
      <w:r w:rsidRPr="003A7CD8">
        <w:rPr>
          <w:rFonts w:cs="Arial"/>
          <w:i/>
        </w:rPr>
        <w:t>Eng</w:t>
      </w:r>
      <w:r w:rsidRPr="003A7CD8">
        <w:rPr>
          <w:rFonts w:cs="Arial"/>
        </w:rPr>
        <w:t xml:space="preserve">. </w:t>
      </w:r>
      <w:r w:rsidRPr="003A7CD8">
        <w:rPr>
          <w:rFonts w:cs="Arial"/>
          <w:b/>
        </w:rPr>
        <w:t>2013</w:t>
      </w:r>
      <w:r w:rsidRPr="003A7CD8">
        <w:rPr>
          <w:rFonts w:cs="Arial"/>
        </w:rPr>
        <w:t>, 36, 1913-1921.</w:t>
      </w:r>
    </w:p>
    <w:p w:rsidR="00CB4B63" w:rsidRPr="003A7CD8" w:rsidRDefault="00CB4B63" w:rsidP="004C1FF9">
      <w:pPr>
        <w:pStyle w:val="References"/>
        <w:spacing w:line="360" w:lineRule="auto"/>
        <w:ind w:left="720" w:hanging="720"/>
        <w:rPr>
          <w:rFonts w:cs="Arial"/>
        </w:rPr>
      </w:pPr>
      <w:r w:rsidRPr="003A7CD8">
        <w:rPr>
          <w:rFonts w:cs="Arial"/>
        </w:rPr>
        <w:t>[16]</w:t>
      </w:r>
      <w:r w:rsidRPr="003A7CD8">
        <w:rPr>
          <w:rFonts w:cs="Arial"/>
        </w:rPr>
        <w:tab/>
      </w:r>
      <w:r w:rsidR="004C1FF9">
        <w:rPr>
          <w:rFonts w:cs="Arial"/>
        </w:rPr>
        <w:tab/>
      </w:r>
      <w:r w:rsidRPr="003A7CD8">
        <w:rPr>
          <w:rFonts w:cs="Arial"/>
        </w:rPr>
        <w:t xml:space="preserve">J. Winfield, L.D. Chambers, J. Rossiter, J. </w:t>
      </w:r>
      <w:proofErr w:type="spellStart"/>
      <w:r w:rsidRPr="003A7CD8">
        <w:rPr>
          <w:rFonts w:cs="Arial"/>
        </w:rPr>
        <w:t>Greenman</w:t>
      </w:r>
      <w:proofErr w:type="spellEnd"/>
      <w:r w:rsidRPr="003A7CD8">
        <w:rPr>
          <w:rFonts w:cs="Arial"/>
        </w:rPr>
        <w:t>, I. Ieropoulos</w:t>
      </w:r>
      <w:r w:rsidRPr="003A7CD8">
        <w:rPr>
          <w:rFonts w:cs="Arial"/>
          <w:i/>
        </w:rPr>
        <w:t>, Int. J. Hydrogen Energy,</w:t>
      </w:r>
      <w:r w:rsidRPr="003A7CD8">
        <w:rPr>
          <w:rFonts w:cs="Arial"/>
        </w:rPr>
        <w:t xml:space="preserve"> </w:t>
      </w:r>
      <w:r w:rsidRPr="003A7CD8">
        <w:rPr>
          <w:rFonts w:cs="Arial"/>
          <w:b/>
        </w:rPr>
        <w:t>2014</w:t>
      </w:r>
      <w:r w:rsidRPr="003A7CD8">
        <w:rPr>
          <w:rFonts w:cs="Arial"/>
        </w:rPr>
        <w:t>, 39, 21803-21810.</w:t>
      </w:r>
    </w:p>
    <w:p w:rsidR="00CB4B63" w:rsidRPr="003A7CD8" w:rsidRDefault="00CB4B63" w:rsidP="004C1FF9">
      <w:pPr>
        <w:pStyle w:val="References"/>
        <w:spacing w:line="360" w:lineRule="auto"/>
        <w:ind w:left="720" w:hanging="720"/>
        <w:rPr>
          <w:rFonts w:cs="Arial"/>
        </w:rPr>
      </w:pPr>
      <w:r w:rsidRPr="003A7CD8">
        <w:rPr>
          <w:rFonts w:cs="Arial"/>
        </w:rPr>
        <w:t>[17]</w:t>
      </w:r>
      <w:r w:rsidRPr="003A7CD8">
        <w:rPr>
          <w:rFonts w:cs="Arial"/>
        </w:rPr>
        <w:tab/>
      </w:r>
      <w:r w:rsidR="004C1FF9">
        <w:rPr>
          <w:rFonts w:cs="Arial"/>
        </w:rPr>
        <w:tab/>
      </w:r>
      <w:r w:rsidRPr="003A7CD8">
        <w:rPr>
          <w:rFonts w:cs="Arial"/>
        </w:rPr>
        <w:t xml:space="preserve">J. Winfield, L.D. Chambers, A. Stinchcombe, J. Rossiter, I. Ieropoulos, </w:t>
      </w:r>
      <w:r w:rsidRPr="003A7CD8">
        <w:rPr>
          <w:rFonts w:cs="Arial"/>
          <w:i/>
        </w:rPr>
        <w:t>J. Power Sources</w:t>
      </w:r>
      <w:r w:rsidRPr="003A7CD8">
        <w:rPr>
          <w:rFonts w:cs="Arial"/>
        </w:rPr>
        <w:t xml:space="preserve">, </w:t>
      </w:r>
      <w:r w:rsidRPr="003A7CD8">
        <w:rPr>
          <w:rFonts w:cs="Arial"/>
          <w:b/>
        </w:rPr>
        <w:t>2014</w:t>
      </w:r>
      <w:r w:rsidRPr="003A7CD8">
        <w:rPr>
          <w:rFonts w:cs="Arial"/>
        </w:rPr>
        <w:t xml:space="preserve">, 249, 327-332. </w:t>
      </w:r>
    </w:p>
    <w:p w:rsidR="00CB4B63" w:rsidRPr="003A7CD8" w:rsidRDefault="00CB4B63" w:rsidP="004C1FF9">
      <w:pPr>
        <w:pStyle w:val="References"/>
        <w:spacing w:line="360" w:lineRule="auto"/>
        <w:ind w:left="720" w:hanging="720"/>
        <w:rPr>
          <w:rFonts w:cs="Arial"/>
        </w:rPr>
      </w:pPr>
      <w:r w:rsidRPr="003A7CD8">
        <w:rPr>
          <w:rFonts w:cs="Arial"/>
        </w:rPr>
        <w:t>[18]</w:t>
      </w:r>
      <w:r w:rsidRPr="003A7CD8">
        <w:rPr>
          <w:rFonts w:cs="Arial"/>
        </w:rPr>
        <w:tab/>
      </w:r>
      <w:r w:rsidR="004C1FF9">
        <w:rPr>
          <w:rFonts w:cs="Arial"/>
        </w:rPr>
        <w:tab/>
      </w:r>
      <w:r w:rsidRPr="003A7CD8">
        <w:rPr>
          <w:rFonts w:cs="Arial"/>
        </w:rPr>
        <w:t xml:space="preserve">J. Winfield, I. Ieropoulos, J. Rossiter, J. </w:t>
      </w:r>
      <w:proofErr w:type="spellStart"/>
      <w:r w:rsidRPr="003A7CD8">
        <w:rPr>
          <w:rFonts w:cs="Arial"/>
        </w:rPr>
        <w:t>Greenman</w:t>
      </w:r>
      <w:proofErr w:type="spellEnd"/>
      <w:r w:rsidRPr="003A7CD8">
        <w:rPr>
          <w:rFonts w:cs="Arial"/>
        </w:rPr>
        <w:t xml:space="preserve">, D. Patton, </w:t>
      </w:r>
      <w:r w:rsidRPr="003A7CD8">
        <w:rPr>
          <w:rFonts w:cs="Arial"/>
          <w:i/>
        </w:rPr>
        <w:t>Biodegradation</w:t>
      </w:r>
      <w:r w:rsidRPr="003A7CD8">
        <w:rPr>
          <w:rFonts w:cs="Arial"/>
        </w:rPr>
        <w:t xml:space="preserve">, </w:t>
      </w:r>
      <w:r w:rsidRPr="003A7CD8">
        <w:rPr>
          <w:rFonts w:cs="Arial"/>
          <w:b/>
        </w:rPr>
        <w:t>2013</w:t>
      </w:r>
      <w:r w:rsidRPr="003A7CD8">
        <w:rPr>
          <w:rFonts w:cs="Arial"/>
        </w:rPr>
        <w:t>, 24, 733-739.</w:t>
      </w:r>
    </w:p>
    <w:p w:rsidR="00CB4B63" w:rsidRPr="003A7CD8" w:rsidRDefault="00CB4B63" w:rsidP="004C1FF9">
      <w:pPr>
        <w:pStyle w:val="References"/>
        <w:spacing w:line="360" w:lineRule="auto"/>
        <w:ind w:left="720" w:hanging="720"/>
        <w:rPr>
          <w:rFonts w:cs="Arial"/>
        </w:rPr>
      </w:pPr>
      <w:r w:rsidRPr="003A7CD8">
        <w:rPr>
          <w:rFonts w:cs="Arial"/>
        </w:rPr>
        <w:t>[19]</w:t>
      </w:r>
      <w:r w:rsidRPr="003A7CD8">
        <w:rPr>
          <w:rFonts w:cs="Arial"/>
        </w:rPr>
        <w:tab/>
      </w:r>
      <w:r w:rsidR="004C1FF9">
        <w:rPr>
          <w:rFonts w:cs="Arial"/>
        </w:rPr>
        <w:tab/>
      </w:r>
      <w:r w:rsidRPr="003A7CD8">
        <w:rPr>
          <w:rFonts w:cs="Arial"/>
        </w:rPr>
        <w:t xml:space="preserve">E.S. Stevens in </w:t>
      </w:r>
      <w:r w:rsidRPr="003A7CD8">
        <w:rPr>
          <w:rFonts w:cs="Arial"/>
          <w:i/>
        </w:rPr>
        <w:t>Green Plastics – An Introduction to the New Science of Biodegradable Plastics</w:t>
      </w:r>
      <w:r w:rsidRPr="003A7CD8">
        <w:rPr>
          <w:rFonts w:cs="Arial"/>
        </w:rPr>
        <w:t xml:space="preserve">, Princeton University Press, USA, </w:t>
      </w:r>
      <w:r w:rsidRPr="003A7CD8">
        <w:rPr>
          <w:rFonts w:cs="Arial"/>
          <w:b/>
        </w:rPr>
        <w:t>2002.</w:t>
      </w:r>
      <w:r w:rsidRPr="003A7CD8">
        <w:rPr>
          <w:rFonts w:cs="Arial"/>
        </w:rPr>
        <w:t xml:space="preserve"> </w:t>
      </w:r>
    </w:p>
    <w:p w:rsidR="00CB4B63" w:rsidRPr="003A7CD8" w:rsidRDefault="00CB4B63" w:rsidP="00CB4B63">
      <w:pPr>
        <w:pStyle w:val="References"/>
        <w:spacing w:line="360" w:lineRule="auto"/>
        <w:rPr>
          <w:rFonts w:cs="Arial"/>
        </w:rPr>
      </w:pPr>
      <w:r w:rsidRPr="003A7CD8">
        <w:rPr>
          <w:rFonts w:cs="Arial"/>
        </w:rPr>
        <w:t>[20]</w:t>
      </w:r>
      <w:r w:rsidRPr="003A7CD8">
        <w:rPr>
          <w:rFonts w:cs="Arial"/>
        </w:rPr>
        <w:tab/>
      </w:r>
      <w:r w:rsidR="004C1FF9">
        <w:rPr>
          <w:rFonts w:cs="Arial"/>
        </w:rPr>
        <w:tab/>
      </w:r>
      <w:r w:rsidRPr="003A7CD8">
        <w:rPr>
          <w:rFonts w:cs="Arial"/>
        </w:rPr>
        <w:t xml:space="preserve">H. Liu, S.A. Cheng, B.E. Logan, </w:t>
      </w:r>
      <w:r w:rsidRPr="003A7CD8">
        <w:rPr>
          <w:rFonts w:cs="Arial"/>
          <w:i/>
        </w:rPr>
        <w:t xml:space="preserve">Environ. Sci. </w:t>
      </w:r>
      <w:proofErr w:type="spellStart"/>
      <w:r w:rsidRPr="003A7CD8">
        <w:rPr>
          <w:rFonts w:cs="Arial"/>
          <w:i/>
        </w:rPr>
        <w:t>Technol</w:t>
      </w:r>
      <w:proofErr w:type="spellEnd"/>
      <w:r w:rsidRPr="003A7CD8">
        <w:rPr>
          <w:rFonts w:cs="Arial"/>
        </w:rPr>
        <w:t xml:space="preserve">, </w:t>
      </w:r>
      <w:r w:rsidRPr="003A7CD8">
        <w:rPr>
          <w:rFonts w:cs="Arial"/>
          <w:b/>
        </w:rPr>
        <w:t>2005</w:t>
      </w:r>
      <w:r w:rsidRPr="003A7CD8">
        <w:rPr>
          <w:rFonts w:cs="Arial"/>
        </w:rPr>
        <w:t>, 39, 5488-5493.</w:t>
      </w:r>
    </w:p>
    <w:p w:rsidR="00CB4B63" w:rsidRPr="003A7CD8" w:rsidRDefault="00CB4B63" w:rsidP="00CB4B63">
      <w:pPr>
        <w:pStyle w:val="References"/>
        <w:spacing w:line="360" w:lineRule="auto"/>
        <w:rPr>
          <w:rFonts w:cs="Arial"/>
        </w:rPr>
      </w:pPr>
      <w:r w:rsidRPr="003A7CD8">
        <w:rPr>
          <w:rFonts w:cs="Arial"/>
        </w:rPr>
        <w:t>[21]</w:t>
      </w:r>
      <w:r w:rsidRPr="003A7CD8">
        <w:rPr>
          <w:rFonts w:cs="Arial"/>
        </w:rPr>
        <w:tab/>
      </w:r>
      <w:r w:rsidR="004C1FF9">
        <w:rPr>
          <w:rFonts w:cs="Arial"/>
        </w:rPr>
        <w:tab/>
      </w:r>
      <w:r w:rsidRPr="003A7CD8">
        <w:rPr>
          <w:rFonts w:cs="Arial"/>
        </w:rPr>
        <w:t xml:space="preserve">K. </w:t>
      </w:r>
      <w:proofErr w:type="spellStart"/>
      <w:r w:rsidRPr="003A7CD8">
        <w:rPr>
          <w:rFonts w:cs="Arial"/>
        </w:rPr>
        <w:t>Ho</w:t>
      </w:r>
      <w:proofErr w:type="spellEnd"/>
      <w:r w:rsidRPr="003A7CD8">
        <w:rPr>
          <w:rFonts w:cs="Arial"/>
        </w:rPr>
        <w:t xml:space="preserve">, A. </w:t>
      </w:r>
      <w:proofErr w:type="spellStart"/>
      <w:r w:rsidRPr="003A7CD8">
        <w:rPr>
          <w:rFonts w:cs="Arial"/>
        </w:rPr>
        <w:t>Pometto</w:t>
      </w:r>
      <w:proofErr w:type="spellEnd"/>
      <w:r w:rsidRPr="003A7CD8">
        <w:rPr>
          <w:rFonts w:cs="Arial"/>
        </w:rPr>
        <w:t xml:space="preserve">, </w:t>
      </w:r>
      <w:r w:rsidRPr="003A7CD8">
        <w:rPr>
          <w:rFonts w:cs="Arial"/>
          <w:i/>
        </w:rPr>
        <w:t xml:space="preserve">J. Environ. </w:t>
      </w:r>
      <w:proofErr w:type="spellStart"/>
      <w:r w:rsidRPr="003A7CD8">
        <w:rPr>
          <w:rFonts w:cs="Arial"/>
          <w:i/>
        </w:rPr>
        <w:t>Polym</w:t>
      </w:r>
      <w:proofErr w:type="spellEnd"/>
      <w:r w:rsidRPr="003A7CD8">
        <w:rPr>
          <w:rFonts w:cs="Arial"/>
          <w:i/>
        </w:rPr>
        <w:t xml:space="preserve">. </w:t>
      </w:r>
      <w:proofErr w:type="spellStart"/>
      <w:r w:rsidRPr="003A7CD8">
        <w:rPr>
          <w:rFonts w:cs="Arial"/>
          <w:i/>
        </w:rPr>
        <w:t>Degrad</w:t>
      </w:r>
      <w:proofErr w:type="spellEnd"/>
      <w:r w:rsidRPr="003A7CD8">
        <w:rPr>
          <w:rFonts w:cs="Arial"/>
        </w:rPr>
        <w:t xml:space="preserve">. </w:t>
      </w:r>
      <w:r w:rsidRPr="003A7CD8">
        <w:rPr>
          <w:rFonts w:cs="Arial"/>
          <w:b/>
        </w:rPr>
        <w:t>1999</w:t>
      </w:r>
      <w:r w:rsidRPr="003A7CD8">
        <w:rPr>
          <w:rFonts w:cs="Arial"/>
        </w:rPr>
        <w:t>, 7, 101-108.</w:t>
      </w:r>
    </w:p>
    <w:p w:rsidR="00CB4B63" w:rsidRPr="003A7CD8" w:rsidRDefault="00CB4B63" w:rsidP="004C1FF9">
      <w:pPr>
        <w:spacing w:line="360" w:lineRule="auto"/>
        <w:ind w:left="720" w:hanging="720"/>
        <w:rPr>
          <w:rFonts w:cs="Arial"/>
          <w:color w:val="000000" w:themeColor="text1"/>
        </w:rPr>
      </w:pPr>
      <w:r w:rsidRPr="003A7CD8">
        <w:rPr>
          <w:rFonts w:cs="Arial"/>
          <w:color w:val="000000" w:themeColor="text1"/>
        </w:rPr>
        <w:t xml:space="preserve">[22] </w:t>
      </w:r>
      <w:r w:rsidR="004C1FF9">
        <w:rPr>
          <w:rFonts w:cs="Arial"/>
          <w:color w:val="000000" w:themeColor="text1"/>
        </w:rPr>
        <w:tab/>
      </w:r>
      <w:r w:rsidRPr="003A7CD8">
        <w:rPr>
          <w:rFonts w:cs="Arial"/>
          <w:color w:val="000000" w:themeColor="text1"/>
        </w:rPr>
        <w:t xml:space="preserve">J. Winfield, L.D. Chambers, J. Rossiter, J. </w:t>
      </w:r>
      <w:proofErr w:type="spellStart"/>
      <w:r w:rsidRPr="003A7CD8">
        <w:rPr>
          <w:rFonts w:cs="Arial"/>
          <w:color w:val="000000" w:themeColor="text1"/>
        </w:rPr>
        <w:t>Greenman</w:t>
      </w:r>
      <w:proofErr w:type="spellEnd"/>
      <w:r w:rsidRPr="003A7CD8">
        <w:rPr>
          <w:rFonts w:cs="Arial"/>
          <w:color w:val="000000" w:themeColor="text1"/>
        </w:rPr>
        <w:t xml:space="preserve">, I. Ieropoulos, </w:t>
      </w:r>
      <w:r w:rsidRPr="003A7CD8">
        <w:rPr>
          <w:rFonts w:cs="Arial"/>
          <w:i/>
          <w:color w:val="000000" w:themeColor="text1"/>
        </w:rPr>
        <w:t>J. Mater. Chem. A</w:t>
      </w:r>
      <w:r w:rsidRPr="003A7CD8">
        <w:rPr>
          <w:rFonts w:cs="Arial"/>
          <w:color w:val="000000" w:themeColor="text1"/>
        </w:rPr>
        <w:t xml:space="preserve">, </w:t>
      </w:r>
      <w:r w:rsidRPr="003A7CD8">
        <w:rPr>
          <w:rFonts w:cs="Arial"/>
          <w:b/>
          <w:color w:val="000000" w:themeColor="text1"/>
        </w:rPr>
        <w:t>2015,</w:t>
      </w:r>
      <w:r w:rsidRPr="003A7CD8">
        <w:rPr>
          <w:rFonts w:cs="Arial"/>
          <w:color w:val="000000" w:themeColor="text1"/>
        </w:rPr>
        <w:t xml:space="preserve"> 13, 7058-7065.</w:t>
      </w:r>
    </w:p>
    <w:p w:rsidR="00CB4B63" w:rsidRPr="003A7CD8" w:rsidRDefault="00CB4B63" w:rsidP="00CB4B63">
      <w:pPr>
        <w:pStyle w:val="References"/>
        <w:spacing w:line="360" w:lineRule="auto"/>
        <w:ind w:left="0" w:firstLine="0"/>
        <w:rPr>
          <w:rFonts w:cs="Arial"/>
        </w:rPr>
      </w:pPr>
      <w:r w:rsidRPr="003A7CD8">
        <w:rPr>
          <w:rFonts w:cs="Arial"/>
        </w:rPr>
        <w:t>[23]</w:t>
      </w:r>
      <w:r w:rsidRPr="003A7CD8">
        <w:rPr>
          <w:rFonts w:cs="Arial"/>
        </w:rPr>
        <w:tab/>
      </w:r>
      <w:r w:rsidR="004C1FF9">
        <w:rPr>
          <w:rFonts w:cs="Arial"/>
        </w:rPr>
        <w:tab/>
      </w:r>
      <w:r w:rsidRPr="003A7CD8">
        <w:rPr>
          <w:rFonts w:cs="Arial"/>
        </w:rPr>
        <w:t xml:space="preserve">Y. </w:t>
      </w:r>
      <w:proofErr w:type="spellStart"/>
      <w:r w:rsidRPr="003A7CD8">
        <w:rPr>
          <w:rFonts w:cs="Arial"/>
        </w:rPr>
        <w:t>Ahn</w:t>
      </w:r>
      <w:proofErr w:type="spellEnd"/>
      <w:r w:rsidRPr="003A7CD8">
        <w:rPr>
          <w:rFonts w:cs="Arial"/>
        </w:rPr>
        <w:t xml:space="preserve">, F. Zhang, B.E. Logan, </w:t>
      </w:r>
      <w:r w:rsidRPr="003A7CD8">
        <w:rPr>
          <w:rFonts w:cs="Arial"/>
          <w:i/>
        </w:rPr>
        <w:t>J. Power Sources</w:t>
      </w:r>
      <w:r w:rsidRPr="003A7CD8">
        <w:rPr>
          <w:rFonts w:cs="Arial"/>
        </w:rPr>
        <w:t xml:space="preserve">, </w:t>
      </w:r>
      <w:r w:rsidRPr="003A7CD8">
        <w:rPr>
          <w:rFonts w:cs="Arial"/>
          <w:b/>
        </w:rPr>
        <w:t>2014</w:t>
      </w:r>
      <w:r w:rsidRPr="003A7CD8">
        <w:rPr>
          <w:rFonts w:cs="Arial"/>
        </w:rPr>
        <w:t>, 247, 655-659.</w:t>
      </w:r>
    </w:p>
    <w:p w:rsidR="00CB4B63" w:rsidRPr="003A7CD8" w:rsidRDefault="00CB4B63" w:rsidP="004C1FF9">
      <w:pPr>
        <w:pStyle w:val="References"/>
        <w:spacing w:line="360" w:lineRule="auto"/>
        <w:ind w:left="720" w:hanging="720"/>
        <w:rPr>
          <w:rFonts w:cs="Arial"/>
        </w:rPr>
      </w:pPr>
      <w:r w:rsidRPr="003A7CD8">
        <w:rPr>
          <w:rFonts w:cs="Arial"/>
        </w:rPr>
        <w:t>[24]</w:t>
      </w:r>
      <w:r w:rsidRPr="003A7CD8">
        <w:rPr>
          <w:rFonts w:cs="Arial"/>
        </w:rPr>
        <w:tab/>
      </w:r>
      <w:r w:rsidR="004C1FF9">
        <w:rPr>
          <w:rFonts w:cs="Arial"/>
        </w:rPr>
        <w:tab/>
      </w:r>
      <w:r w:rsidRPr="003A7CD8">
        <w:rPr>
          <w:rFonts w:cs="Arial"/>
        </w:rPr>
        <w:t xml:space="preserve">F. Zhang, T. Saito, S. Cheng, M.A. </w:t>
      </w:r>
      <w:proofErr w:type="spellStart"/>
      <w:r w:rsidRPr="003A7CD8">
        <w:rPr>
          <w:rFonts w:cs="Arial"/>
        </w:rPr>
        <w:t>Hickner</w:t>
      </w:r>
      <w:proofErr w:type="spellEnd"/>
      <w:r w:rsidRPr="003A7CD8">
        <w:rPr>
          <w:rFonts w:cs="Arial"/>
        </w:rPr>
        <w:t xml:space="preserve">, B.E. Logan, </w:t>
      </w:r>
      <w:r w:rsidRPr="003A7CD8">
        <w:rPr>
          <w:rFonts w:cs="Arial"/>
          <w:i/>
        </w:rPr>
        <w:t>Environ. Sci. Technol.</w:t>
      </w:r>
      <w:r w:rsidRPr="003A7CD8">
        <w:rPr>
          <w:rFonts w:cs="Arial"/>
        </w:rPr>
        <w:t xml:space="preserve"> </w:t>
      </w:r>
      <w:r w:rsidRPr="003A7CD8">
        <w:rPr>
          <w:rFonts w:cs="Arial"/>
          <w:b/>
        </w:rPr>
        <w:t>2010</w:t>
      </w:r>
      <w:r w:rsidRPr="003A7CD8">
        <w:rPr>
          <w:rFonts w:cs="Arial"/>
        </w:rPr>
        <w:t xml:space="preserve">, 44, 1490-1495. </w:t>
      </w:r>
    </w:p>
    <w:p w:rsidR="00CB4B63" w:rsidRPr="003A7CD8" w:rsidRDefault="00CB4B63" w:rsidP="004C1FF9">
      <w:pPr>
        <w:pStyle w:val="References"/>
        <w:spacing w:line="360" w:lineRule="auto"/>
        <w:ind w:left="720" w:hanging="720"/>
        <w:rPr>
          <w:rFonts w:cs="Arial"/>
        </w:rPr>
      </w:pPr>
      <w:r w:rsidRPr="003A7CD8">
        <w:rPr>
          <w:rFonts w:cs="Arial"/>
        </w:rPr>
        <w:t>[25]</w:t>
      </w:r>
      <w:r w:rsidRPr="003A7CD8">
        <w:rPr>
          <w:rFonts w:cs="Arial"/>
        </w:rPr>
        <w:tab/>
      </w:r>
      <w:r w:rsidR="004C1FF9">
        <w:rPr>
          <w:rFonts w:cs="Arial"/>
        </w:rPr>
        <w:tab/>
      </w:r>
      <w:r w:rsidRPr="003A7CD8">
        <w:rPr>
          <w:rFonts w:cs="Arial"/>
        </w:rPr>
        <w:t xml:space="preserve">R.J. Boyle, H. Brown, R. Newman in </w:t>
      </w:r>
      <w:r w:rsidRPr="003A7CD8">
        <w:rPr>
          <w:rFonts w:cs="Arial"/>
          <w:i/>
        </w:rPr>
        <w:t>Milk and Eggs: The American Revival of Tempera Painting 1930-1950,</w:t>
      </w:r>
      <w:r w:rsidRPr="003A7CD8">
        <w:rPr>
          <w:rFonts w:cs="Arial"/>
        </w:rPr>
        <w:t xml:space="preserve"> University of Washington Press, Washington USA, </w:t>
      </w:r>
      <w:r w:rsidRPr="003A7CD8">
        <w:rPr>
          <w:rFonts w:cs="Arial"/>
          <w:b/>
        </w:rPr>
        <w:t>2002</w:t>
      </w:r>
      <w:r w:rsidRPr="003A7CD8">
        <w:rPr>
          <w:rFonts w:cs="Arial"/>
        </w:rPr>
        <w:t xml:space="preserve">. </w:t>
      </w:r>
    </w:p>
    <w:p w:rsidR="00CB4B63" w:rsidRPr="003A7CD8" w:rsidRDefault="00CB4B63" w:rsidP="004C1FF9">
      <w:pPr>
        <w:pStyle w:val="References"/>
        <w:spacing w:line="360" w:lineRule="auto"/>
        <w:ind w:left="720" w:hanging="720"/>
        <w:rPr>
          <w:rFonts w:cs="Arial"/>
        </w:rPr>
      </w:pPr>
      <w:r w:rsidRPr="003A7CD8">
        <w:rPr>
          <w:rFonts w:cs="Arial"/>
        </w:rPr>
        <w:t>[26]</w:t>
      </w:r>
      <w:r w:rsidRPr="003A7CD8">
        <w:rPr>
          <w:rFonts w:cs="Arial"/>
        </w:rPr>
        <w:tab/>
      </w:r>
      <w:r w:rsidR="004C1FF9">
        <w:rPr>
          <w:rFonts w:cs="Arial"/>
        </w:rPr>
        <w:tab/>
      </w:r>
      <w:r w:rsidRPr="003A7CD8">
        <w:rPr>
          <w:rFonts w:cs="Arial"/>
        </w:rPr>
        <w:t xml:space="preserve">G. Papaharalabos, J. </w:t>
      </w:r>
      <w:proofErr w:type="spellStart"/>
      <w:r w:rsidRPr="003A7CD8">
        <w:rPr>
          <w:rFonts w:cs="Arial"/>
        </w:rPr>
        <w:t>Greenman</w:t>
      </w:r>
      <w:proofErr w:type="spellEnd"/>
      <w:r w:rsidRPr="003A7CD8">
        <w:rPr>
          <w:rFonts w:cs="Arial"/>
        </w:rPr>
        <w:t xml:space="preserve">, A. Stinchcombe, I. Horsfield, C. </w:t>
      </w:r>
      <w:proofErr w:type="spellStart"/>
      <w:r w:rsidRPr="003A7CD8">
        <w:rPr>
          <w:rFonts w:cs="Arial"/>
        </w:rPr>
        <w:t>Melhuish</w:t>
      </w:r>
      <w:proofErr w:type="spellEnd"/>
      <w:r w:rsidRPr="003A7CD8">
        <w:rPr>
          <w:rFonts w:cs="Arial"/>
        </w:rPr>
        <w:t xml:space="preserve">, I. Ieropoulos, </w:t>
      </w:r>
      <w:r w:rsidRPr="003A7CD8">
        <w:rPr>
          <w:rFonts w:cs="Arial"/>
          <w:i/>
        </w:rPr>
        <w:t>J. Power Sources</w:t>
      </w:r>
      <w:r w:rsidRPr="003A7CD8">
        <w:rPr>
          <w:rFonts w:cs="Arial"/>
        </w:rPr>
        <w:t xml:space="preserve">, </w:t>
      </w:r>
      <w:r w:rsidRPr="003A7CD8">
        <w:rPr>
          <w:rFonts w:cs="Arial"/>
          <w:b/>
        </w:rPr>
        <w:t>2014</w:t>
      </w:r>
      <w:r w:rsidRPr="003A7CD8">
        <w:rPr>
          <w:rFonts w:cs="Arial"/>
        </w:rPr>
        <w:t>, 272, 34-38.</w:t>
      </w:r>
    </w:p>
    <w:p w:rsidR="00CB4B63" w:rsidRPr="003A7CD8" w:rsidRDefault="00CB4B63" w:rsidP="003A7CD8">
      <w:pPr>
        <w:pStyle w:val="References"/>
        <w:spacing w:line="360" w:lineRule="auto"/>
        <w:rPr>
          <w:rFonts w:cs="Arial"/>
        </w:rPr>
      </w:pPr>
      <w:r w:rsidRPr="003A7CD8">
        <w:rPr>
          <w:rFonts w:cs="Arial"/>
        </w:rPr>
        <w:t>[27]</w:t>
      </w:r>
      <w:r w:rsidRPr="003A7CD8">
        <w:rPr>
          <w:rFonts w:cs="Arial"/>
        </w:rPr>
        <w:tab/>
      </w:r>
      <w:r w:rsidR="004C1FF9">
        <w:rPr>
          <w:rFonts w:cs="Arial"/>
        </w:rPr>
        <w:tab/>
      </w:r>
      <w:r w:rsidRPr="003A7CD8">
        <w:rPr>
          <w:rFonts w:cs="Arial"/>
        </w:rPr>
        <w:t xml:space="preserve">I. Ieropoulos, J. </w:t>
      </w:r>
      <w:proofErr w:type="spellStart"/>
      <w:r w:rsidRPr="003A7CD8">
        <w:rPr>
          <w:rFonts w:cs="Arial"/>
        </w:rPr>
        <w:t>Greenman</w:t>
      </w:r>
      <w:proofErr w:type="spellEnd"/>
      <w:r w:rsidRPr="003A7CD8">
        <w:rPr>
          <w:rFonts w:cs="Arial"/>
        </w:rPr>
        <w:t xml:space="preserve">, C. </w:t>
      </w:r>
      <w:proofErr w:type="spellStart"/>
      <w:r w:rsidRPr="003A7CD8">
        <w:rPr>
          <w:rFonts w:cs="Arial"/>
        </w:rPr>
        <w:t>Melhuish</w:t>
      </w:r>
      <w:proofErr w:type="spellEnd"/>
      <w:r w:rsidRPr="003A7CD8">
        <w:rPr>
          <w:rFonts w:cs="Arial"/>
        </w:rPr>
        <w:t xml:space="preserve">, </w:t>
      </w:r>
      <w:r w:rsidRPr="003A7CD8">
        <w:rPr>
          <w:rFonts w:cs="Arial"/>
          <w:i/>
        </w:rPr>
        <w:t xml:space="preserve">Int. J. </w:t>
      </w:r>
      <w:proofErr w:type="spellStart"/>
      <w:r w:rsidRPr="003A7CD8">
        <w:rPr>
          <w:rFonts w:cs="Arial"/>
          <w:i/>
        </w:rPr>
        <w:t>Energ</w:t>
      </w:r>
      <w:proofErr w:type="spellEnd"/>
      <w:r w:rsidRPr="003A7CD8">
        <w:rPr>
          <w:rFonts w:cs="Arial"/>
          <w:i/>
        </w:rPr>
        <w:t>. Res</w:t>
      </w:r>
      <w:r w:rsidRPr="003A7CD8">
        <w:rPr>
          <w:rFonts w:cs="Arial"/>
        </w:rPr>
        <w:t xml:space="preserve">. </w:t>
      </w:r>
      <w:r w:rsidRPr="003A7CD8">
        <w:rPr>
          <w:rFonts w:cs="Arial"/>
          <w:b/>
        </w:rPr>
        <w:t>2008</w:t>
      </w:r>
      <w:r w:rsidRPr="003A7CD8">
        <w:rPr>
          <w:rFonts w:cs="Arial"/>
        </w:rPr>
        <w:t>, 32, 1228-1240.</w:t>
      </w:r>
    </w:p>
    <w:p w:rsidR="00CB4B63" w:rsidRPr="003A7CD8" w:rsidRDefault="00CB4B63" w:rsidP="004C1FF9">
      <w:pPr>
        <w:pStyle w:val="References"/>
        <w:spacing w:line="360" w:lineRule="auto"/>
        <w:ind w:left="720" w:hanging="720"/>
        <w:rPr>
          <w:rFonts w:cs="Arial"/>
        </w:rPr>
      </w:pPr>
      <w:r w:rsidRPr="003A7CD8">
        <w:rPr>
          <w:rFonts w:cs="Arial"/>
        </w:rPr>
        <w:t>[28]</w:t>
      </w:r>
      <w:r w:rsidRPr="003A7CD8">
        <w:rPr>
          <w:rFonts w:cs="Arial"/>
        </w:rPr>
        <w:tab/>
      </w:r>
      <w:r w:rsidR="004C1FF9">
        <w:rPr>
          <w:rFonts w:cs="Arial"/>
        </w:rPr>
        <w:tab/>
      </w:r>
      <w:r w:rsidRPr="003A7CD8">
        <w:rPr>
          <w:rFonts w:cs="Arial"/>
        </w:rPr>
        <w:t xml:space="preserve">L.D. Chambers, J. Winfield, I. Ieropoulos, J. Rossiter,  </w:t>
      </w:r>
      <w:r w:rsidRPr="003A7CD8">
        <w:rPr>
          <w:rFonts w:cs="Arial"/>
          <w:i/>
        </w:rPr>
        <w:t>Proc. SPIE 9056</w:t>
      </w:r>
      <w:r w:rsidRPr="003A7CD8">
        <w:rPr>
          <w:rFonts w:cs="Arial"/>
        </w:rPr>
        <w:t xml:space="preserve">, </w:t>
      </w:r>
      <w:r w:rsidRPr="003A7CD8">
        <w:rPr>
          <w:rFonts w:cs="Arial"/>
          <w:b/>
        </w:rPr>
        <w:t>2014</w:t>
      </w:r>
      <w:r w:rsidRPr="003A7CD8">
        <w:rPr>
          <w:rFonts w:cs="Arial"/>
        </w:rPr>
        <w:t>, doi:10.1117/12.2045104.</w:t>
      </w:r>
    </w:p>
    <w:p w:rsidR="00CB4B63" w:rsidRPr="003A7CD8" w:rsidRDefault="00CB4B63" w:rsidP="004C1FF9">
      <w:pPr>
        <w:pStyle w:val="References"/>
        <w:spacing w:line="360" w:lineRule="auto"/>
        <w:ind w:left="720" w:hanging="720"/>
        <w:rPr>
          <w:rFonts w:eastAsiaTheme="minorHAnsi" w:cs="Arial"/>
        </w:rPr>
      </w:pPr>
      <w:r w:rsidRPr="003A7CD8">
        <w:rPr>
          <w:rFonts w:cs="Arial"/>
        </w:rPr>
        <w:lastRenderedPageBreak/>
        <w:t>[29]</w:t>
      </w:r>
      <w:r w:rsidRPr="003A7CD8">
        <w:rPr>
          <w:rFonts w:cs="Arial"/>
        </w:rPr>
        <w:tab/>
      </w:r>
      <w:r w:rsidR="004C1FF9">
        <w:rPr>
          <w:rFonts w:cs="Arial"/>
        </w:rPr>
        <w:tab/>
      </w:r>
      <w:r w:rsidRPr="003A7CD8">
        <w:rPr>
          <w:rFonts w:cs="Arial"/>
        </w:rPr>
        <w:t xml:space="preserve">C. Santoro, I. Ieropoulos, J. </w:t>
      </w:r>
      <w:proofErr w:type="spellStart"/>
      <w:r w:rsidRPr="003A7CD8">
        <w:rPr>
          <w:rFonts w:cs="Arial"/>
        </w:rPr>
        <w:t>Greenman</w:t>
      </w:r>
      <w:proofErr w:type="spellEnd"/>
      <w:r w:rsidRPr="003A7CD8">
        <w:rPr>
          <w:rFonts w:cs="Arial"/>
        </w:rPr>
        <w:t xml:space="preserve">, P. </w:t>
      </w:r>
      <w:proofErr w:type="spellStart"/>
      <w:r w:rsidRPr="003A7CD8">
        <w:rPr>
          <w:rFonts w:cs="Arial"/>
        </w:rPr>
        <w:t>Cristiani</w:t>
      </w:r>
      <w:proofErr w:type="spellEnd"/>
      <w:r w:rsidRPr="003A7CD8">
        <w:rPr>
          <w:rFonts w:cs="Arial"/>
        </w:rPr>
        <w:t xml:space="preserve">, T. </w:t>
      </w:r>
      <w:proofErr w:type="spellStart"/>
      <w:r w:rsidRPr="003A7CD8">
        <w:rPr>
          <w:rFonts w:cs="Arial"/>
        </w:rPr>
        <w:t>Vadas</w:t>
      </w:r>
      <w:proofErr w:type="spellEnd"/>
      <w:r w:rsidRPr="003A7CD8">
        <w:rPr>
          <w:rFonts w:cs="Arial"/>
        </w:rPr>
        <w:t xml:space="preserve">, A. Mackay, B. Li,  </w:t>
      </w:r>
      <w:r w:rsidRPr="003A7CD8">
        <w:rPr>
          <w:rFonts w:cs="Arial"/>
          <w:i/>
          <w:iCs/>
        </w:rPr>
        <w:t>J. Power Sources</w:t>
      </w:r>
      <w:r w:rsidRPr="003A7CD8">
        <w:rPr>
          <w:rFonts w:cs="Arial"/>
        </w:rPr>
        <w:t xml:space="preserve">, </w:t>
      </w:r>
      <w:r w:rsidRPr="003A7CD8">
        <w:rPr>
          <w:rFonts w:cs="Arial"/>
          <w:b/>
        </w:rPr>
        <w:t>2013</w:t>
      </w:r>
      <w:r w:rsidRPr="003A7CD8">
        <w:rPr>
          <w:rFonts w:cs="Arial"/>
        </w:rPr>
        <w:t>, 238 190-196.</w:t>
      </w:r>
    </w:p>
    <w:p w:rsidR="00CB4B63" w:rsidRPr="003A7CD8" w:rsidRDefault="00CB4B63" w:rsidP="004C1FF9">
      <w:pPr>
        <w:pStyle w:val="References"/>
        <w:spacing w:line="360" w:lineRule="auto"/>
        <w:ind w:left="720" w:hanging="720"/>
        <w:rPr>
          <w:rFonts w:cs="Arial"/>
        </w:rPr>
      </w:pPr>
      <w:r w:rsidRPr="003A7CD8">
        <w:rPr>
          <w:rFonts w:cs="Arial"/>
        </w:rPr>
        <w:t>[30]</w:t>
      </w:r>
      <w:r w:rsidRPr="003A7CD8">
        <w:rPr>
          <w:rFonts w:cs="Arial"/>
        </w:rPr>
        <w:tab/>
      </w:r>
      <w:r w:rsidR="004C1FF9">
        <w:rPr>
          <w:rFonts w:cs="Arial"/>
        </w:rPr>
        <w:tab/>
      </w:r>
      <w:r w:rsidRPr="003A7CD8">
        <w:rPr>
          <w:rFonts w:cs="Arial"/>
        </w:rPr>
        <w:t xml:space="preserve">P. </w:t>
      </w:r>
      <w:proofErr w:type="spellStart"/>
      <w:r w:rsidRPr="003A7CD8">
        <w:rPr>
          <w:rFonts w:cs="Arial"/>
        </w:rPr>
        <w:t>Kuntke</w:t>
      </w:r>
      <w:proofErr w:type="spellEnd"/>
      <w:r w:rsidRPr="003A7CD8">
        <w:rPr>
          <w:rFonts w:cs="Arial"/>
        </w:rPr>
        <w:t xml:space="preserve">, K. M. </w:t>
      </w:r>
      <w:proofErr w:type="spellStart"/>
      <w:r w:rsidRPr="003A7CD8">
        <w:rPr>
          <w:rFonts w:cs="Arial"/>
        </w:rPr>
        <w:t>Smiech</w:t>
      </w:r>
      <w:proofErr w:type="spellEnd"/>
      <w:r w:rsidRPr="003A7CD8">
        <w:rPr>
          <w:rFonts w:cs="Arial"/>
        </w:rPr>
        <w:t xml:space="preserve">, H. </w:t>
      </w:r>
      <w:proofErr w:type="spellStart"/>
      <w:r w:rsidRPr="003A7CD8">
        <w:rPr>
          <w:rFonts w:cs="Arial"/>
        </w:rPr>
        <w:t>Bruning</w:t>
      </w:r>
      <w:proofErr w:type="spellEnd"/>
      <w:r w:rsidRPr="003A7CD8">
        <w:rPr>
          <w:rFonts w:cs="Arial"/>
        </w:rPr>
        <w:t xml:space="preserve">, G. Zeeman, M. </w:t>
      </w:r>
      <w:proofErr w:type="spellStart"/>
      <w:r w:rsidRPr="003A7CD8">
        <w:rPr>
          <w:rFonts w:cs="Arial"/>
        </w:rPr>
        <w:t>Saakes</w:t>
      </w:r>
      <w:proofErr w:type="spellEnd"/>
      <w:r w:rsidRPr="003A7CD8">
        <w:rPr>
          <w:rFonts w:cs="Arial"/>
        </w:rPr>
        <w:t xml:space="preserve">, T.H.J.A. </w:t>
      </w:r>
      <w:proofErr w:type="spellStart"/>
      <w:r w:rsidRPr="003A7CD8">
        <w:rPr>
          <w:rFonts w:cs="Arial"/>
        </w:rPr>
        <w:t>Sleutels</w:t>
      </w:r>
      <w:proofErr w:type="spellEnd"/>
      <w:r w:rsidRPr="003A7CD8">
        <w:rPr>
          <w:rFonts w:cs="Arial"/>
        </w:rPr>
        <w:t xml:space="preserve">, H.V.M. </w:t>
      </w:r>
      <w:proofErr w:type="spellStart"/>
      <w:r w:rsidRPr="003A7CD8">
        <w:rPr>
          <w:rFonts w:cs="Arial"/>
        </w:rPr>
        <w:t>Hamelers</w:t>
      </w:r>
      <w:proofErr w:type="spellEnd"/>
      <w:r w:rsidRPr="003A7CD8">
        <w:rPr>
          <w:rFonts w:cs="Arial"/>
        </w:rPr>
        <w:t xml:space="preserve">, C.J.N. </w:t>
      </w:r>
      <w:proofErr w:type="spellStart"/>
      <w:r w:rsidRPr="003A7CD8">
        <w:rPr>
          <w:rFonts w:cs="Arial"/>
        </w:rPr>
        <w:t>Buisrnan</w:t>
      </w:r>
      <w:proofErr w:type="spellEnd"/>
      <w:r w:rsidRPr="003A7CD8">
        <w:rPr>
          <w:rFonts w:cs="Arial"/>
        </w:rPr>
        <w:t xml:space="preserve">, </w:t>
      </w:r>
      <w:r w:rsidRPr="003A7CD8">
        <w:rPr>
          <w:rFonts w:cs="Arial"/>
          <w:i/>
          <w:iCs/>
        </w:rPr>
        <w:t xml:space="preserve">Water Res, </w:t>
      </w:r>
      <w:r w:rsidRPr="003A7CD8">
        <w:rPr>
          <w:rFonts w:cs="Arial"/>
          <w:b/>
          <w:iCs/>
        </w:rPr>
        <w:t>2012,</w:t>
      </w:r>
      <w:r w:rsidRPr="003A7CD8">
        <w:rPr>
          <w:rFonts w:cs="Arial"/>
          <w:i/>
          <w:iCs/>
        </w:rPr>
        <w:t xml:space="preserve"> </w:t>
      </w:r>
      <w:r w:rsidRPr="003A7CD8">
        <w:rPr>
          <w:rFonts w:cs="Arial"/>
        </w:rPr>
        <w:t>46, 2627-2636.</w:t>
      </w:r>
    </w:p>
    <w:p w:rsidR="00CB4B63" w:rsidRPr="003A7CD8" w:rsidRDefault="00CB4B63" w:rsidP="003A7CD8">
      <w:pPr>
        <w:spacing w:before="120" w:after="120" w:line="360" w:lineRule="auto"/>
        <w:rPr>
          <w:rFonts w:cs="Arial"/>
        </w:rPr>
      </w:pPr>
      <w:r w:rsidRPr="003A7CD8">
        <w:rPr>
          <w:rFonts w:cs="Arial"/>
        </w:rPr>
        <w:t xml:space="preserve">[31] </w:t>
      </w:r>
      <w:r w:rsidR="004C1FF9">
        <w:rPr>
          <w:rFonts w:cs="Arial"/>
        </w:rPr>
        <w:tab/>
      </w:r>
      <w:r w:rsidRPr="003A7CD8">
        <w:rPr>
          <w:rFonts w:cs="Arial"/>
        </w:rPr>
        <w:t xml:space="preserve">Y. Fan, S. Han, H. Liu, </w:t>
      </w:r>
      <w:r w:rsidRPr="003A7CD8">
        <w:rPr>
          <w:rStyle w:val="st"/>
          <w:rFonts w:cs="Arial"/>
          <w:i/>
        </w:rPr>
        <w:t>Energy Environ. Sci</w:t>
      </w:r>
      <w:r w:rsidRPr="003A7CD8">
        <w:rPr>
          <w:rStyle w:val="st"/>
          <w:rFonts w:cs="Arial"/>
        </w:rPr>
        <w:t xml:space="preserve">., </w:t>
      </w:r>
      <w:r w:rsidRPr="003A7CD8">
        <w:rPr>
          <w:rFonts w:cs="Arial"/>
          <w:b/>
        </w:rPr>
        <w:t>2012</w:t>
      </w:r>
      <w:r w:rsidRPr="003A7CD8">
        <w:rPr>
          <w:rFonts w:cs="Arial"/>
        </w:rPr>
        <w:t>, 5, 8273-8280.</w:t>
      </w:r>
    </w:p>
    <w:p w:rsidR="00CB4B63" w:rsidRPr="003A7CD8" w:rsidRDefault="00CB4B63" w:rsidP="004C1FF9">
      <w:pPr>
        <w:spacing w:before="120" w:after="120" w:line="360" w:lineRule="auto"/>
        <w:ind w:left="720" w:hanging="720"/>
        <w:rPr>
          <w:rFonts w:cs="Arial"/>
        </w:rPr>
      </w:pPr>
      <w:r w:rsidRPr="003A7CD8">
        <w:rPr>
          <w:rFonts w:cs="Arial"/>
        </w:rPr>
        <w:t xml:space="preserve">[32] </w:t>
      </w:r>
      <w:r w:rsidR="004C1FF9">
        <w:rPr>
          <w:rFonts w:cs="Arial"/>
        </w:rPr>
        <w:tab/>
      </w:r>
      <w:r w:rsidRPr="003A7CD8">
        <w:rPr>
          <w:rFonts w:cs="Arial"/>
        </w:rPr>
        <w:t xml:space="preserve">B.E. Logan, B. </w:t>
      </w:r>
      <w:proofErr w:type="spellStart"/>
      <w:r w:rsidRPr="003A7CD8">
        <w:rPr>
          <w:rFonts w:cs="Arial"/>
        </w:rPr>
        <w:t>Hamelers</w:t>
      </w:r>
      <w:proofErr w:type="spellEnd"/>
      <w:r w:rsidRPr="003A7CD8">
        <w:rPr>
          <w:rFonts w:cs="Arial"/>
        </w:rPr>
        <w:t xml:space="preserve">, R. </w:t>
      </w:r>
      <w:proofErr w:type="spellStart"/>
      <w:r w:rsidRPr="003A7CD8">
        <w:rPr>
          <w:rFonts w:cs="Arial"/>
        </w:rPr>
        <w:t>Rozendal</w:t>
      </w:r>
      <w:proofErr w:type="spellEnd"/>
      <w:r w:rsidRPr="003A7CD8">
        <w:rPr>
          <w:rFonts w:cs="Arial"/>
        </w:rPr>
        <w:t xml:space="preserve">, U. </w:t>
      </w:r>
      <w:proofErr w:type="spellStart"/>
      <w:r w:rsidRPr="003A7CD8">
        <w:rPr>
          <w:rFonts w:cs="Arial"/>
        </w:rPr>
        <w:t>Schröder</w:t>
      </w:r>
      <w:proofErr w:type="spellEnd"/>
      <w:r w:rsidRPr="003A7CD8">
        <w:rPr>
          <w:rFonts w:cs="Arial"/>
        </w:rPr>
        <w:t xml:space="preserve">, J. Keller, S. </w:t>
      </w:r>
      <w:proofErr w:type="spellStart"/>
      <w:r w:rsidRPr="003A7CD8">
        <w:rPr>
          <w:rFonts w:cs="Arial"/>
        </w:rPr>
        <w:t>Freguia</w:t>
      </w:r>
      <w:proofErr w:type="spellEnd"/>
      <w:r w:rsidRPr="003A7CD8">
        <w:rPr>
          <w:rFonts w:cs="Arial"/>
        </w:rPr>
        <w:t xml:space="preserve">, P. </w:t>
      </w:r>
      <w:proofErr w:type="spellStart"/>
      <w:r w:rsidRPr="003A7CD8">
        <w:rPr>
          <w:rFonts w:cs="Arial"/>
        </w:rPr>
        <w:t>Aelterman</w:t>
      </w:r>
      <w:proofErr w:type="spellEnd"/>
      <w:r w:rsidRPr="003A7CD8">
        <w:rPr>
          <w:rFonts w:cs="Arial"/>
        </w:rPr>
        <w:t xml:space="preserve">, W. </w:t>
      </w:r>
      <w:proofErr w:type="spellStart"/>
      <w:r w:rsidRPr="003A7CD8">
        <w:rPr>
          <w:rFonts w:cs="Arial"/>
        </w:rPr>
        <w:t>Verstraete</w:t>
      </w:r>
      <w:proofErr w:type="spellEnd"/>
      <w:r w:rsidRPr="003A7CD8">
        <w:rPr>
          <w:rFonts w:cs="Arial"/>
        </w:rPr>
        <w:t xml:space="preserve">, K.  </w:t>
      </w:r>
      <w:proofErr w:type="spellStart"/>
      <w:r w:rsidRPr="003A7CD8">
        <w:rPr>
          <w:rFonts w:cs="Arial"/>
        </w:rPr>
        <w:t>Rabaey</w:t>
      </w:r>
      <w:proofErr w:type="spellEnd"/>
      <w:r w:rsidRPr="003A7CD8">
        <w:rPr>
          <w:rFonts w:cs="Arial"/>
        </w:rPr>
        <w:t xml:space="preserve">, </w:t>
      </w:r>
      <w:r w:rsidRPr="003A7CD8">
        <w:rPr>
          <w:rFonts w:cs="Arial"/>
          <w:i/>
          <w:iCs/>
        </w:rPr>
        <w:t xml:space="preserve">Environ. Sci. Technol. </w:t>
      </w:r>
      <w:r w:rsidRPr="003A7CD8">
        <w:rPr>
          <w:rFonts w:cs="Arial"/>
          <w:b/>
          <w:iCs/>
        </w:rPr>
        <w:t xml:space="preserve">2006, </w:t>
      </w:r>
      <w:r w:rsidRPr="003A7CD8">
        <w:rPr>
          <w:rFonts w:cs="Arial"/>
        </w:rPr>
        <w:t>40, 5181-5192.</w:t>
      </w:r>
    </w:p>
    <w:p w:rsidR="00CB4B63" w:rsidRPr="003A7CD8" w:rsidRDefault="00CB4B63" w:rsidP="003A7CD8">
      <w:pPr>
        <w:pStyle w:val="References"/>
        <w:spacing w:line="360" w:lineRule="auto"/>
        <w:ind w:left="0" w:firstLine="0"/>
        <w:rPr>
          <w:rFonts w:cs="Arial"/>
        </w:rPr>
      </w:pPr>
      <w:r w:rsidRPr="003A7CD8">
        <w:rPr>
          <w:rFonts w:cs="Arial"/>
        </w:rPr>
        <w:t>[33]</w:t>
      </w:r>
      <w:r w:rsidRPr="003A7CD8">
        <w:rPr>
          <w:rFonts w:cs="Arial"/>
        </w:rPr>
        <w:tab/>
      </w:r>
      <w:r w:rsidR="004C1FF9">
        <w:rPr>
          <w:rFonts w:cs="Arial"/>
        </w:rPr>
        <w:tab/>
      </w:r>
      <w:bookmarkStart w:id="0" w:name="_GoBack"/>
      <w:bookmarkEnd w:id="0"/>
      <w:r w:rsidRPr="003A7CD8">
        <w:rPr>
          <w:rFonts w:cs="Arial"/>
        </w:rPr>
        <w:t xml:space="preserve">N. </w:t>
      </w:r>
      <w:proofErr w:type="spellStart"/>
      <w:r w:rsidRPr="003A7CD8">
        <w:rPr>
          <w:rFonts w:cs="Arial"/>
        </w:rPr>
        <w:t>Degrenne</w:t>
      </w:r>
      <w:proofErr w:type="spellEnd"/>
      <w:r w:rsidRPr="003A7CD8">
        <w:rPr>
          <w:rFonts w:cs="Arial"/>
        </w:rPr>
        <w:t xml:space="preserve">, F. </w:t>
      </w:r>
      <w:proofErr w:type="spellStart"/>
      <w:r w:rsidRPr="003A7CD8">
        <w:rPr>
          <w:rFonts w:cs="Arial"/>
        </w:rPr>
        <w:t>Buret</w:t>
      </w:r>
      <w:proofErr w:type="spellEnd"/>
      <w:r w:rsidRPr="003A7CD8">
        <w:rPr>
          <w:rFonts w:cs="Arial"/>
        </w:rPr>
        <w:t xml:space="preserve">, B. Allard, P. </w:t>
      </w:r>
      <w:proofErr w:type="spellStart"/>
      <w:r w:rsidRPr="003A7CD8">
        <w:rPr>
          <w:rFonts w:cs="Arial"/>
        </w:rPr>
        <w:t>Bevilacqua</w:t>
      </w:r>
      <w:proofErr w:type="spellEnd"/>
      <w:r w:rsidRPr="003A7CD8">
        <w:rPr>
          <w:rFonts w:cs="Arial"/>
        </w:rPr>
        <w:t xml:space="preserve">, </w:t>
      </w:r>
      <w:r w:rsidRPr="003A7CD8">
        <w:rPr>
          <w:rFonts w:cs="Arial"/>
          <w:i/>
        </w:rPr>
        <w:t>J. Power. Sources</w:t>
      </w:r>
      <w:r w:rsidRPr="003A7CD8">
        <w:rPr>
          <w:rFonts w:cs="Arial"/>
        </w:rPr>
        <w:t xml:space="preserve">, </w:t>
      </w:r>
      <w:r w:rsidRPr="003A7CD8">
        <w:rPr>
          <w:rFonts w:cs="Arial"/>
          <w:b/>
        </w:rPr>
        <w:t>2012</w:t>
      </w:r>
      <w:r w:rsidRPr="003A7CD8">
        <w:rPr>
          <w:rFonts w:cs="Arial"/>
        </w:rPr>
        <w:t>, 205, 188-193.</w:t>
      </w:r>
    </w:p>
    <w:p w:rsidR="00CB4B63" w:rsidRPr="00CB4B63" w:rsidRDefault="00CB4B63" w:rsidP="00CB4B63"/>
    <w:p w:rsidR="00525570" w:rsidRDefault="00525570"/>
    <w:sectPr w:rsidR="00525570" w:rsidSect="002E02C6">
      <w:headerReference w:type="even" r:id="rId14"/>
      <w:headerReference w:type="default" r:id="rId15"/>
      <w:pgSz w:w="11906" w:h="16838" w:code="9"/>
      <w:pgMar w:top="1134" w:right="1417" w:bottom="1134" w:left="1417"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2F9" w:rsidRDefault="00D222F9">
      <w:pPr>
        <w:spacing w:after="0" w:line="240" w:lineRule="auto"/>
      </w:pPr>
      <w:r>
        <w:separator/>
      </w:r>
    </w:p>
  </w:endnote>
  <w:endnote w:type="continuationSeparator" w:id="0">
    <w:p w:rsidR="00D222F9" w:rsidRDefault="00D2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2F9" w:rsidRDefault="00D222F9">
      <w:pPr>
        <w:spacing w:after="0" w:line="240" w:lineRule="auto"/>
      </w:pPr>
      <w:r>
        <w:separator/>
      </w:r>
    </w:p>
  </w:footnote>
  <w:footnote w:type="continuationSeparator" w:id="0">
    <w:p w:rsidR="00D222F9" w:rsidRDefault="00D22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52E" w:rsidRPr="00C8278A" w:rsidRDefault="00FF173E" w:rsidP="00FB4551">
    <w:pPr>
      <w:pStyle w:val="Header"/>
      <w:pBdr>
        <w:bottom w:val="single" w:sz="36" w:space="1" w:color="C0C0C0"/>
      </w:pBdr>
      <w:rPr>
        <w:rFonts w:ascii="Arial Narrow" w:hAnsi="Arial Narrow" w:cs="Arial"/>
        <w:b/>
        <w:bCs/>
        <w:color w:val="C0C0C0"/>
        <w:sz w:val="36"/>
        <w:szCs w:val="36"/>
      </w:rPr>
    </w:pPr>
    <w:r w:rsidRPr="00412952">
      <w:rPr>
        <w:rFonts w:ascii="Arial Narrow" w:hAnsi="Arial Narrow" w:cs="Arial"/>
        <w:b/>
        <w:noProof/>
        <w:color w:val="C0C0C0"/>
        <w:sz w:val="40"/>
        <w:szCs w:val="36"/>
        <w:lang w:eastAsia="en-GB"/>
      </w:rPr>
      <w:drawing>
        <wp:inline distT="0" distB="0" distL="0" distR="0">
          <wp:extent cx="14382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19100"/>
                  </a:xfrm>
                  <a:prstGeom prst="rect">
                    <a:avLst/>
                  </a:prstGeom>
                  <a:noFill/>
                  <a:ln>
                    <a:noFill/>
                  </a:ln>
                </pic:spPr>
              </pic:pic>
            </a:graphicData>
          </a:graphic>
        </wp:inline>
      </w:drawing>
    </w:r>
    <w:r w:rsidR="003D7DC5">
      <w:rPr>
        <w:rFonts w:ascii="Arial Narrow" w:hAnsi="Arial Narrow" w:cs="Arial"/>
        <w:b/>
        <w:bCs/>
        <w:color w:val="C0C0C0"/>
        <w:sz w:val="40"/>
        <w:szCs w:val="36"/>
      </w:rPr>
      <w:tab/>
    </w:r>
    <w:r w:rsidR="003D7DC5">
      <w:rPr>
        <w:rFonts w:ascii="Arial Narrow" w:hAnsi="Arial Narrow" w:cs="Arial"/>
        <w:b/>
        <w:bCs/>
        <w:color w:val="C0C0C0"/>
        <w:sz w:val="40"/>
        <w:szCs w:val="36"/>
      </w:rPr>
      <w:tab/>
      <w:t xml:space="preserve">                            </w:t>
    </w:r>
    <w:r w:rsidR="003D7DC5" w:rsidRPr="00FB4551">
      <w:rPr>
        <w:rFonts w:ascii="Arial" w:hAnsi="Arial" w:cs="Arial"/>
        <w:b/>
        <w:bCs/>
        <w:color w:val="C0C0C0"/>
      </w:rPr>
      <w:t>www.chemsuschem.org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52E" w:rsidRDefault="003D7DC5">
    <w:pPr>
      <w:pStyle w:val="Header"/>
    </w:pPr>
    <w:r>
      <w:tab/>
    </w:r>
    <w:r>
      <w:fldChar w:fldCharType="begin"/>
    </w:r>
    <w:r>
      <w:instrText xml:space="preserve"> PAGE  \* MERGEFORMAT </w:instrText>
    </w:r>
    <w:r>
      <w:fldChar w:fldCharType="separate"/>
    </w:r>
    <w:r w:rsidR="004C1FF9">
      <w:rPr>
        <w:noProof/>
      </w:rPr>
      <w:t>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D8C89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A2D57"/>
    <w:multiLevelType w:val="hybridMultilevel"/>
    <w:tmpl w:val="B79C6C26"/>
    <w:lvl w:ilvl="0" w:tplc="89C4A5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61261A"/>
    <w:multiLevelType w:val="hybridMultilevel"/>
    <w:tmpl w:val="E79A981A"/>
    <w:lvl w:ilvl="0" w:tplc="FF52BB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3D2FEF"/>
    <w:multiLevelType w:val="singleLevel"/>
    <w:tmpl w:val="4154ACF8"/>
    <w:lvl w:ilvl="0">
      <w:start w:val="1"/>
      <w:numFmt w:val="decimal"/>
      <w:lvlText w:val="%1"/>
      <w:lvlJc w:val="left"/>
      <w:pPr>
        <w:tabs>
          <w:tab w:val="num" w:pos="360"/>
        </w:tabs>
        <w:ind w:left="360" w:hanging="360"/>
      </w:pPr>
      <w:rPr>
        <w:rFonts w:hint="default"/>
      </w:rPr>
    </w:lvl>
  </w:abstractNum>
  <w:abstractNum w:abstractNumId="4" w15:restartNumberingAfterBreak="0">
    <w:nsid w:val="487C7D53"/>
    <w:multiLevelType w:val="hybridMultilevel"/>
    <w:tmpl w:val="FAECC558"/>
    <w:lvl w:ilvl="0" w:tplc="3BB27C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787171"/>
    <w:multiLevelType w:val="hybridMultilevel"/>
    <w:tmpl w:val="DE9A3840"/>
    <w:lvl w:ilvl="0" w:tplc="3BF456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3E"/>
    <w:rsid w:val="003A7CD8"/>
    <w:rsid w:val="003D7DC5"/>
    <w:rsid w:val="004C1FF9"/>
    <w:rsid w:val="00525570"/>
    <w:rsid w:val="00604441"/>
    <w:rsid w:val="00655B44"/>
    <w:rsid w:val="00921919"/>
    <w:rsid w:val="00CB4B63"/>
    <w:rsid w:val="00D222F9"/>
    <w:rsid w:val="00EA621C"/>
    <w:rsid w:val="00FF1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0AE41-A779-4D4A-9906-E8264FE5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3E"/>
  </w:style>
  <w:style w:type="paragraph" w:styleId="Heading1">
    <w:name w:val="heading 1"/>
    <w:basedOn w:val="Normal"/>
    <w:next w:val="Normal"/>
    <w:link w:val="Heading1Char"/>
    <w:uiPriority w:val="9"/>
    <w:qFormat/>
    <w:rsid w:val="00FF173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F173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F173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F173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FF173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F173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F173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F173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F173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73E"/>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F173E"/>
    <w:rPr>
      <w:rFonts w:asciiTheme="majorHAnsi" w:eastAsiaTheme="majorEastAsia" w:hAnsiTheme="majorHAnsi" w:cstheme="majorBidi"/>
      <w:color w:val="2E74B5" w:themeColor="accent1" w:themeShade="BF"/>
      <w:sz w:val="32"/>
      <w:szCs w:val="32"/>
    </w:rPr>
  </w:style>
  <w:style w:type="paragraph" w:customStyle="1" w:styleId="Authors">
    <w:name w:val="Authors"/>
    <w:basedOn w:val="P1withoutIndendation"/>
    <w:next w:val="Abstract"/>
    <w:rsid w:val="00FF173E"/>
  </w:style>
  <w:style w:type="paragraph" w:customStyle="1" w:styleId="Dedication">
    <w:name w:val="Dedication"/>
    <w:basedOn w:val="P1withoutIndendation"/>
    <w:rsid w:val="00FF173E"/>
    <w:rPr>
      <w:i/>
    </w:rPr>
  </w:style>
  <w:style w:type="paragraph" w:customStyle="1" w:styleId="History">
    <w:name w:val="History"/>
    <w:basedOn w:val="Normal"/>
    <w:rsid w:val="00FF173E"/>
    <w:pPr>
      <w:spacing w:before="240" w:after="240" w:line="480" w:lineRule="exact"/>
    </w:pPr>
  </w:style>
  <w:style w:type="paragraph" w:customStyle="1" w:styleId="Adress">
    <w:name w:val="Adress"/>
    <w:basedOn w:val="Normal"/>
    <w:rsid w:val="00FF173E"/>
    <w:pPr>
      <w:spacing w:before="120" w:after="120" w:line="480" w:lineRule="exact"/>
      <w:ind w:left="709" w:hanging="709"/>
    </w:pPr>
    <w:rPr>
      <w:i/>
    </w:rPr>
  </w:style>
  <w:style w:type="paragraph" w:customStyle="1" w:styleId="P1withoutIndendation">
    <w:name w:val="P1 without Indendation"/>
    <w:basedOn w:val="Normal"/>
    <w:next w:val="Normal"/>
    <w:rsid w:val="00FF173E"/>
    <w:pPr>
      <w:spacing w:before="120" w:after="120" w:line="480" w:lineRule="exact"/>
    </w:pPr>
  </w:style>
  <w:style w:type="paragraph" w:customStyle="1" w:styleId="References">
    <w:name w:val="References"/>
    <w:basedOn w:val="Normal"/>
    <w:link w:val="ReferencesChar"/>
    <w:qFormat/>
    <w:rsid w:val="00FF173E"/>
    <w:pPr>
      <w:tabs>
        <w:tab w:val="left" w:pos="567"/>
      </w:tabs>
      <w:spacing w:before="120" w:after="120" w:line="480" w:lineRule="exact"/>
      <w:ind w:left="567" w:hanging="567"/>
    </w:pPr>
    <w:rPr>
      <w:lang w:val="x-none"/>
    </w:rPr>
  </w:style>
  <w:style w:type="paragraph" w:customStyle="1" w:styleId="Acknowledgement">
    <w:name w:val="Acknowledgement"/>
    <w:basedOn w:val="P1withoutIndendation"/>
    <w:next w:val="Normal"/>
    <w:rsid w:val="00FF173E"/>
    <w:rPr>
      <w:i/>
    </w:rPr>
  </w:style>
  <w:style w:type="paragraph" w:customStyle="1" w:styleId="ExperimentalSection">
    <w:name w:val="ExperimentalSection"/>
    <w:basedOn w:val="Normal"/>
    <w:rsid w:val="00FF173E"/>
    <w:pPr>
      <w:spacing w:after="240" w:line="200" w:lineRule="exact"/>
      <w:jc w:val="both"/>
    </w:pPr>
    <w:rPr>
      <w:rFonts w:ascii="Arial" w:hAnsi="Arial"/>
      <w:sz w:val="15"/>
      <w:szCs w:val="14"/>
    </w:rPr>
  </w:style>
  <w:style w:type="paragraph" w:customStyle="1" w:styleId="Biography">
    <w:name w:val="Biography"/>
    <w:basedOn w:val="P1withoutIndendation"/>
    <w:next w:val="Normal"/>
    <w:rsid w:val="00FF173E"/>
    <w:pPr>
      <w:spacing w:before="240" w:after="240"/>
    </w:pPr>
  </w:style>
  <w:style w:type="paragraph" w:customStyle="1" w:styleId="SchemeCaption">
    <w:name w:val="SchemeCaption"/>
    <w:basedOn w:val="Normal"/>
    <w:rsid w:val="00FF173E"/>
    <w:pPr>
      <w:spacing w:before="120" w:after="120" w:line="480" w:lineRule="exact"/>
    </w:pPr>
  </w:style>
  <w:style w:type="paragraph" w:customStyle="1" w:styleId="FigureCaption">
    <w:name w:val="FigureCaption"/>
    <w:basedOn w:val="P1withoutIndendation"/>
    <w:link w:val="FigureCaptionChar"/>
    <w:rsid w:val="00FF173E"/>
    <w:pPr>
      <w:spacing w:before="240" w:after="240"/>
    </w:pPr>
    <w:rPr>
      <w:lang w:val="x-none"/>
    </w:rPr>
  </w:style>
  <w:style w:type="paragraph" w:customStyle="1" w:styleId="TableCaption">
    <w:name w:val="TableCaption"/>
    <w:basedOn w:val="Normal"/>
    <w:rsid w:val="00FF173E"/>
    <w:pPr>
      <w:pBdr>
        <w:top w:val="single" w:sz="4" w:space="1" w:color="auto"/>
        <w:left w:val="single" w:sz="4" w:space="4" w:color="auto"/>
        <w:right w:val="single" w:sz="4" w:space="4" w:color="auto"/>
      </w:pBdr>
      <w:shd w:val="clear" w:color="auto" w:fill="B3B3B3"/>
      <w:spacing w:before="120" w:after="120" w:line="480" w:lineRule="exact"/>
    </w:pPr>
  </w:style>
  <w:style w:type="paragraph" w:customStyle="1" w:styleId="TableHead">
    <w:name w:val="TableHead"/>
    <w:basedOn w:val="Normal"/>
    <w:next w:val="Normal"/>
    <w:rsid w:val="00FF173E"/>
    <w:pPr>
      <w:pBdr>
        <w:left w:val="single" w:sz="4" w:space="4" w:color="auto"/>
        <w:bottom w:val="single" w:sz="24" w:space="1" w:color="auto"/>
        <w:right w:val="single" w:sz="4" w:space="4" w:color="auto"/>
      </w:pBdr>
      <w:spacing w:before="120" w:after="120" w:line="480" w:lineRule="exact"/>
    </w:pPr>
  </w:style>
  <w:style w:type="paragraph" w:customStyle="1" w:styleId="TableBody">
    <w:name w:val="TableBody"/>
    <w:basedOn w:val="P1withoutIndendation"/>
    <w:rsid w:val="00FF173E"/>
    <w:pPr>
      <w:pBdr>
        <w:left w:val="single" w:sz="4" w:space="4" w:color="auto"/>
        <w:right w:val="single" w:sz="4" w:space="4" w:color="auto"/>
      </w:pBdr>
    </w:pPr>
  </w:style>
  <w:style w:type="paragraph" w:customStyle="1" w:styleId="TableFoot">
    <w:name w:val="TableFoot"/>
    <w:basedOn w:val="Normal"/>
    <w:rsid w:val="00FF173E"/>
    <w:pPr>
      <w:pBdr>
        <w:top w:val="single" w:sz="4" w:space="1" w:color="auto"/>
        <w:left w:val="single" w:sz="4" w:space="4" w:color="auto"/>
        <w:bottom w:val="single" w:sz="4" w:space="1" w:color="auto"/>
        <w:right w:val="single" w:sz="4" w:space="4" w:color="auto"/>
      </w:pBdr>
      <w:spacing w:before="120" w:after="240" w:line="480" w:lineRule="exact"/>
    </w:pPr>
  </w:style>
  <w:style w:type="paragraph" w:customStyle="1" w:styleId="Keywords">
    <w:name w:val="Keywords"/>
    <w:basedOn w:val="P1withoutIndendation"/>
    <w:rsid w:val="00FF173E"/>
    <w:pPr>
      <w:shd w:val="clear" w:color="auto" w:fill="B3B3B3"/>
    </w:pPr>
  </w:style>
  <w:style w:type="paragraph" w:customStyle="1" w:styleId="ManuscriptID">
    <w:name w:val="ManuscriptID"/>
    <w:basedOn w:val="P1withoutIndendation"/>
    <w:next w:val="Normal"/>
    <w:rsid w:val="00FF173E"/>
  </w:style>
  <w:style w:type="paragraph" w:customStyle="1" w:styleId="Box">
    <w:name w:val="Box"/>
    <w:basedOn w:val="P1withoutIndendation"/>
    <w:next w:val="Normal"/>
    <w:rsid w:val="00FF173E"/>
    <w:pPr>
      <w:spacing w:before="240" w:after="240"/>
      <w:ind w:left="1134" w:right="1134"/>
    </w:pPr>
  </w:style>
  <w:style w:type="paragraph" w:customStyle="1" w:styleId="Boxgrey">
    <w:name w:val="Box grey"/>
    <w:basedOn w:val="P1withoutIndendation"/>
    <w:next w:val="Normal"/>
    <w:rsid w:val="00FF173E"/>
    <w:pPr>
      <w:shd w:val="clear" w:color="auto" w:fill="E6E6E6"/>
      <w:spacing w:before="240" w:after="240"/>
    </w:pPr>
  </w:style>
  <w:style w:type="paragraph" w:customStyle="1" w:styleId="TableOfContentText">
    <w:name w:val="TableOfContentText"/>
    <w:basedOn w:val="Normal"/>
    <w:rsid w:val="00FF173E"/>
    <w:pPr>
      <w:spacing w:before="120" w:after="120" w:line="480" w:lineRule="exact"/>
    </w:pPr>
  </w:style>
  <w:style w:type="paragraph" w:customStyle="1" w:styleId="Boxsummary">
    <w:name w:val="Box summary"/>
    <w:basedOn w:val="P1withoutIndendation"/>
    <w:next w:val="Normal"/>
    <w:rsid w:val="00FF173E"/>
    <w:pPr>
      <w:pBdr>
        <w:top w:val="single" w:sz="24" w:space="1" w:color="auto"/>
        <w:bottom w:val="single" w:sz="24" w:space="1" w:color="auto"/>
      </w:pBdr>
      <w:spacing w:before="240" w:after="240"/>
      <w:ind w:right="4536"/>
    </w:pPr>
  </w:style>
  <w:style w:type="paragraph" w:customStyle="1" w:styleId="Categ">
    <w:name w:val="Categ"/>
    <w:basedOn w:val="P1withoutIndendation"/>
    <w:next w:val="P1withoutIndendation"/>
    <w:rsid w:val="00FF173E"/>
  </w:style>
  <w:style w:type="paragraph" w:customStyle="1" w:styleId="CoverPicShowsText">
    <w:name w:val="CoverPicShowsText"/>
    <w:basedOn w:val="P1withoutIndendation"/>
    <w:next w:val="Normal"/>
    <w:rsid w:val="00FF173E"/>
  </w:style>
  <w:style w:type="paragraph" w:customStyle="1" w:styleId="Equation">
    <w:name w:val="Equation"/>
    <w:basedOn w:val="P1withoutIndendation"/>
    <w:next w:val="Normal"/>
    <w:rsid w:val="00FF173E"/>
    <w:pPr>
      <w:spacing w:before="240" w:after="240"/>
    </w:pPr>
  </w:style>
  <w:style w:type="paragraph" w:customStyle="1" w:styleId="Footnoote">
    <w:name w:val="Footnoote"/>
    <w:basedOn w:val="Adress"/>
    <w:rsid w:val="00FF173E"/>
  </w:style>
  <w:style w:type="paragraph" w:customStyle="1" w:styleId="H2">
    <w:name w:val="H2"/>
    <w:basedOn w:val="H1"/>
    <w:next w:val="Normal"/>
    <w:rsid w:val="00FF173E"/>
  </w:style>
  <w:style w:type="paragraph" w:customStyle="1" w:styleId="H3">
    <w:name w:val="H3"/>
    <w:basedOn w:val="H1"/>
    <w:next w:val="Normal"/>
    <w:rsid w:val="00FF173E"/>
    <w:rPr>
      <w:sz w:val="20"/>
      <w:szCs w:val="20"/>
    </w:rPr>
  </w:style>
  <w:style w:type="paragraph" w:customStyle="1" w:styleId="H4">
    <w:name w:val="H4"/>
    <w:basedOn w:val="H1"/>
    <w:next w:val="Normal"/>
    <w:rsid w:val="00FF173E"/>
    <w:rPr>
      <w:sz w:val="18"/>
      <w:szCs w:val="18"/>
    </w:rPr>
  </w:style>
  <w:style w:type="paragraph" w:customStyle="1" w:styleId="H5">
    <w:name w:val="H5"/>
    <w:basedOn w:val="H1"/>
    <w:next w:val="Normal"/>
    <w:rsid w:val="00FF173E"/>
    <w:rPr>
      <w:sz w:val="16"/>
      <w:szCs w:val="16"/>
    </w:rPr>
  </w:style>
  <w:style w:type="paragraph" w:customStyle="1" w:styleId="HAcknowledgement">
    <w:name w:val="HAcknowledgement"/>
    <w:basedOn w:val="H1"/>
    <w:next w:val="Acknowledgement"/>
    <w:rsid w:val="00FF173E"/>
  </w:style>
  <w:style w:type="paragraph" w:customStyle="1" w:styleId="Headline">
    <w:name w:val="Headline"/>
    <w:basedOn w:val="P1withoutIndendation"/>
    <w:next w:val="Normal"/>
    <w:rsid w:val="00FF173E"/>
  </w:style>
  <w:style w:type="paragraph" w:customStyle="1" w:styleId="HExperimentalSection">
    <w:name w:val="HExperimentalSection"/>
    <w:basedOn w:val="H1"/>
    <w:next w:val="Normal"/>
    <w:rsid w:val="00FF173E"/>
  </w:style>
  <w:style w:type="paragraph" w:styleId="Header">
    <w:name w:val="header"/>
    <w:basedOn w:val="Normal"/>
    <w:link w:val="HeaderChar"/>
    <w:uiPriority w:val="99"/>
    <w:unhideWhenUsed/>
    <w:rsid w:val="00FF173E"/>
    <w:pPr>
      <w:tabs>
        <w:tab w:val="center" w:pos="4703"/>
        <w:tab w:val="right" w:pos="9406"/>
      </w:tabs>
    </w:pPr>
    <w:rPr>
      <w:rFonts w:eastAsia="MS Mincho"/>
      <w:lang w:eastAsia="ja-JP"/>
    </w:rPr>
  </w:style>
  <w:style w:type="character" w:customStyle="1" w:styleId="HeaderChar">
    <w:name w:val="Header Char"/>
    <w:basedOn w:val="DefaultParagraphFont"/>
    <w:link w:val="Header"/>
    <w:uiPriority w:val="99"/>
    <w:rsid w:val="00FF173E"/>
    <w:rPr>
      <w:rFonts w:ascii="Times New Roman" w:eastAsia="MS Mincho" w:hAnsi="Times New Roman" w:cs="Times New Roman"/>
      <w:sz w:val="24"/>
      <w:szCs w:val="24"/>
      <w:lang w:val="de-DE" w:eastAsia="ja-JP"/>
    </w:rPr>
  </w:style>
  <w:style w:type="paragraph" w:styleId="Footer">
    <w:name w:val="footer"/>
    <w:basedOn w:val="Normal"/>
    <w:link w:val="FooterChar"/>
    <w:uiPriority w:val="99"/>
    <w:unhideWhenUsed/>
    <w:rsid w:val="00FF173E"/>
    <w:pPr>
      <w:tabs>
        <w:tab w:val="center" w:pos="4703"/>
        <w:tab w:val="right" w:pos="9406"/>
      </w:tabs>
    </w:pPr>
    <w:rPr>
      <w:rFonts w:eastAsia="MS Mincho"/>
      <w:lang w:eastAsia="ja-JP"/>
    </w:rPr>
  </w:style>
  <w:style w:type="character" w:customStyle="1" w:styleId="FooterChar">
    <w:name w:val="Footer Char"/>
    <w:basedOn w:val="DefaultParagraphFont"/>
    <w:link w:val="Footer"/>
    <w:uiPriority w:val="99"/>
    <w:rsid w:val="00FF173E"/>
    <w:rPr>
      <w:rFonts w:ascii="Times New Roman" w:eastAsia="MS Mincho" w:hAnsi="Times New Roman" w:cs="Times New Roman"/>
      <w:sz w:val="24"/>
      <w:szCs w:val="24"/>
      <w:lang w:val="de-DE" w:eastAsia="ja-JP"/>
    </w:rPr>
  </w:style>
  <w:style w:type="paragraph" w:styleId="BalloonText">
    <w:name w:val="Balloon Text"/>
    <w:basedOn w:val="Normal"/>
    <w:link w:val="BalloonTextChar"/>
    <w:uiPriority w:val="99"/>
    <w:semiHidden/>
    <w:unhideWhenUsed/>
    <w:rsid w:val="00FF173E"/>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rsid w:val="00FF173E"/>
    <w:rPr>
      <w:rFonts w:ascii="Tahoma" w:eastAsia="MS Mincho" w:hAnsi="Tahoma" w:cs="Tahoma"/>
      <w:sz w:val="16"/>
      <w:szCs w:val="16"/>
      <w:lang w:val="de-DE" w:eastAsia="ja-JP"/>
    </w:rPr>
  </w:style>
  <w:style w:type="paragraph" w:customStyle="1" w:styleId="List1">
    <w:name w:val="List1"/>
    <w:basedOn w:val="P1withoutIndendation"/>
    <w:rsid w:val="00FF173E"/>
    <w:pPr>
      <w:tabs>
        <w:tab w:val="left" w:pos="567"/>
      </w:tabs>
      <w:spacing w:before="240"/>
      <w:ind w:left="567" w:hanging="567"/>
    </w:pPr>
  </w:style>
  <w:style w:type="paragraph" w:customStyle="1" w:styleId="Notation">
    <w:name w:val="Notation"/>
    <w:basedOn w:val="P1withoutIndendation"/>
    <w:next w:val="Normal"/>
    <w:rsid w:val="00FF173E"/>
  </w:style>
  <w:style w:type="paragraph" w:customStyle="1" w:styleId="P2">
    <w:name w:val="P2"/>
    <w:basedOn w:val="Normal"/>
    <w:rsid w:val="00FF173E"/>
    <w:pPr>
      <w:spacing w:before="120" w:after="120" w:line="480" w:lineRule="exact"/>
      <w:ind w:firstLine="709"/>
    </w:pPr>
  </w:style>
  <w:style w:type="paragraph" w:customStyle="1" w:styleId="Abstract">
    <w:name w:val="Abstract"/>
    <w:basedOn w:val="P1withoutIndendation"/>
    <w:next w:val="Normal"/>
    <w:rsid w:val="00FF173E"/>
    <w:pPr>
      <w:shd w:val="clear" w:color="auto" w:fill="B3B3B3"/>
      <w:spacing w:before="240" w:after="240"/>
    </w:pPr>
  </w:style>
  <w:style w:type="paragraph" w:customStyle="1" w:styleId="H1">
    <w:name w:val="H1"/>
    <w:basedOn w:val="Normal"/>
    <w:next w:val="Normal"/>
    <w:rsid w:val="00FF173E"/>
    <w:pPr>
      <w:tabs>
        <w:tab w:val="left" w:pos="709"/>
      </w:tabs>
      <w:spacing w:before="240" w:after="120" w:line="480" w:lineRule="exact"/>
      <w:ind w:left="709" w:hanging="709"/>
    </w:pPr>
    <w:rPr>
      <w:b/>
    </w:rPr>
  </w:style>
  <w:style w:type="paragraph" w:customStyle="1" w:styleId="P1">
    <w:name w:val="P1"/>
    <w:basedOn w:val="Normal"/>
    <w:rsid w:val="00FF173E"/>
    <w:pPr>
      <w:spacing w:before="120" w:after="120" w:line="480" w:lineRule="exact"/>
      <w:ind w:firstLine="709"/>
    </w:pPr>
  </w:style>
  <w:style w:type="character" w:styleId="Hyperlink">
    <w:name w:val="Hyperlink"/>
    <w:uiPriority w:val="99"/>
    <w:unhideWhenUsed/>
    <w:rsid w:val="00FF173E"/>
    <w:rPr>
      <w:color w:val="0000FF"/>
      <w:u w:val="single"/>
    </w:rPr>
  </w:style>
  <w:style w:type="paragraph" w:styleId="CommentText">
    <w:name w:val="annotation text"/>
    <w:basedOn w:val="Normal"/>
    <w:link w:val="CommentTextChar"/>
    <w:uiPriority w:val="99"/>
    <w:semiHidden/>
    <w:unhideWhenUsed/>
    <w:rsid w:val="00FF173E"/>
    <w:pPr>
      <w:spacing w:after="200"/>
    </w:pPr>
    <w:rPr>
      <w:rFonts w:ascii="Calibri" w:eastAsia="Calibri" w:hAnsi="Calibri"/>
      <w:sz w:val="20"/>
      <w:szCs w:val="20"/>
      <w:lang w:val="x-none"/>
    </w:rPr>
  </w:style>
  <w:style w:type="character" w:customStyle="1" w:styleId="CommentTextChar">
    <w:name w:val="Comment Text Char"/>
    <w:basedOn w:val="DefaultParagraphFont"/>
    <w:link w:val="CommentText"/>
    <w:uiPriority w:val="99"/>
    <w:semiHidden/>
    <w:rsid w:val="00FF173E"/>
    <w:rPr>
      <w:rFonts w:ascii="Calibri" w:eastAsia="Calibri" w:hAnsi="Calibri" w:cs="Times New Roman"/>
      <w:sz w:val="20"/>
      <w:szCs w:val="20"/>
      <w:lang w:val="x-none"/>
    </w:rPr>
  </w:style>
  <w:style w:type="paragraph" w:styleId="NormalWeb">
    <w:name w:val="Normal (Web)"/>
    <w:basedOn w:val="Normal"/>
    <w:uiPriority w:val="99"/>
    <w:semiHidden/>
    <w:unhideWhenUsed/>
    <w:rsid w:val="00FF173E"/>
    <w:pPr>
      <w:spacing w:before="100" w:beforeAutospacing="1" w:after="100" w:afterAutospacing="1"/>
    </w:pPr>
    <w:rPr>
      <w:lang w:eastAsia="en-GB"/>
    </w:rPr>
  </w:style>
  <w:style w:type="paragraph" w:customStyle="1" w:styleId="P2withoutIndendation">
    <w:name w:val="P2 without Indendation"/>
    <w:basedOn w:val="Normal"/>
    <w:rsid w:val="00FF173E"/>
    <w:pPr>
      <w:spacing w:before="120" w:after="120" w:line="480" w:lineRule="exact"/>
    </w:pPr>
  </w:style>
  <w:style w:type="character" w:styleId="HTMLCite">
    <w:name w:val="HTML Cite"/>
    <w:uiPriority w:val="99"/>
    <w:semiHidden/>
    <w:unhideWhenUsed/>
    <w:rsid w:val="00FF173E"/>
    <w:rPr>
      <w:i/>
      <w:iCs/>
    </w:rPr>
  </w:style>
  <w:style w:type="paragraph" w:customStyle="1" w:styleId="Quotation">
    <w:name w:val="Quotation"/>
    <w:basedOn w:val="P1withoutIndendation"/>
    <w:next w:val="P1"/>
    <w:rsid w:val="00FF173E"/>
    <w:pPr>
      <w:spacing w:before="240" w:after="240"/>
    </w:pPr>
  </w:style>
  <w:style w:type="paragraph" w:customStyle="1" w:styleId="RunningTitleleft">
    <w:name w:val="Running Title left"/>
    <w:basedOn w:val="Normal"/>
    <w:rsid w:val="00FF173E"/>
    <w:pPr>
      <w:spacing w:before="120" w:after="120" w:line="480" w:lineRule="exact"/>
    </w:pPr>
  </w:style>
  <w:style w:type="paragraph" w:styleId="PlainText">
    <w:name w:val="Plain Text"/>
    <w:basedOn w:val="Normal"/>
    <w:link w:val="PlainTextChar"/>
    <w:uiPriority w:val="99"/>
    <w:unhideWhenUsed/>
    <w:rsid w:val="00FF173E"/>
    <w:rPr>
      <w:rFonts w:ascii="Calibri" w:eastAsia="Calibri" w:hAnsi="Calibri"/>
      <w:szCs w:val="21"/>
      <w:lang w:val="x-none"/>
    </w:rPr>
  </w:style>
  <w:style w:type="character" w:customStyle="1" w:styleId="PlainTextChar">
    <w:name w:val="Plain Text Char"/>
    <w:basedOn w:val="DefaultParagraphFont"/>
    <w:link w:val="PlainText"/>
    <w:uiPriority w:val="99"/>
    <w:rsid w:val="00FF173E"/>
    <w:rPr>
      <w:rFonts w:ascii="Calibri" w:eastAsia="Calibri" w:hAnsi="Calibri" w:cs="Times New Roman"/>
      <w:szCs w:val="21"/>
      <w:lang w:val="x-none"/>
    </w:rPr>
  </w:style>
  <w:style w:type="paragraph" w:customStyle="1" w:styleId="RunningTitleright">
    <w:name w:val="Running Title right"/>
    <w:basedOn w:val="Normal"/>
    <w:next w:val="Normal"/>
    <w:rsid w:val="00FF173E"/>
    <w:pPr>
      <w:spacing w:before="120" w:after="120" w:line="480" w:lineRule="exact"/>
    </w:pPr>
  </w:style>
  <w:style w:type="paragraph" w:customStyle="1" w:styleId="Title1">
    <w:name w:val="Title1"/>
    <w:basedOn w:val="Normal"/>
    <w:next w:val="Normal"/>
    <w:rsid w:val="00FF173E"/>
    <w:pPr>
      <w:spacing w:before="120" w:after="120" w:line="480" w:lineRule="exact"/>
    </w:pPr>
    <w:rPr>
      <w:b/>
      <w:sz w:val="28"/>
      <w:szCs w:val="28"/>
    </w:rPr>
  </w:style>
  <w:style w:type="paragraph" w:customStyle="1" w:styleId="Spread">
    <w:name w:val="Spread"/>
    <w:basedOn w:val="P1withoutIndendation"/>
    <w:rsid w:val="00FF173E"/>
  </w:style>
  <w:style w:type="paragraph" w:customStyle="1" w:styleId="SectionHeader">
    <w:name w:val="SectionHeader"/>
    <w:basedOn w:val="Title1"/>
    <w:next w:val="Title1"/>
    <w:rsid w:val="00FF173E"/>
  </w:style>
  <w:style w:type="paragraph" w:customStyle="1" w:styleId="SectionAuthors">
    <w:name w:val="SectionAuthors"/>
    <w:basedOn w:val="P1withoutIndendation"/>
    <w:next w:val="Boxgrey"/>
    <w:rsid w:val="00FF173E"/>
  </w:style>
  <w:style w:type="paragraph" w:customStyle="1" w:styleId="IssueHighlight">
    <w:name w:val="IssueHighlight"/>
    <w:basedOn w:val="Headline"/>
    <w:rsid w:val="00FF173E"/>
  </w:style>
  <w:style w:type="paragraph" w:customStyle="1" w:styleId="InsideCover">
    <w:name w:val="InsideCover"/>
    <w:basedOn w:val="Normal"/>
    <w:rsid w:val="00FF173E"/>
    <w:rPr>
      <w:rFonts w:ascii="Courier New" w:hAnsi="Courier New"/>
    </w:rPr>
  </w:style>
  <w:style w:type="paragraph" w:customStyle="1" w:styleId="OriginalMS">
    <w:name w:val="OriginalMS"/>
    <w:basedOn w:val="Normal"/>
    <w:rsid w:val="00FF173E"/>
    <w:rPr>
      <w:rFonts w:ascii="Courier New" w:hAnsi="Courier New"/>
    </w:rPr>
  </w:style>
  <w:style w:type="paragraph" w:customStyle="1" w:styleId="VIP">
    <w:name w:val="VIP"/>
    <w:basedOn w:val="P1withoutIndendation"/>
    <w:next w:val="Normal"/>
    <w:rsid w:val="00FF173E"/>
    <w:rPr>
      <w:rFonts w:ascii="Courier New" w:hAnsi="Courier New"/>
    </w:rPr>
  </w:style>
  <w:style w:type="paragraph" w:customStyle="1" w:styleId="Twitter">
    <w:name w:val="Twitter"/>
    <w:basedOn w:val="TableOfContentText"/>
    <w:rsid w:val="00FF173E"/>
  </w:style>
  <w:style w:type="character" w:styleId="EndnoteReference">
    <w:name w:val="endnote reference"/>
    <w:uiPriority w:val="99"/>
    <w:semiHidden/>
    <w:unhideWhenUsed/>
    <w:rsid w:val="00FF173E"/>
    <w:rPr>
      <w:vertAlign w:val="superscript"/>
    </w:rPr>
  </w:style>
  <w:style w:type="character" w:customStyle="1" w:styleId="ReferencesChar">
    <w:name w:val="References Char"/>
    <w:link w:val="References"/>
    <w:rsid w:val="00FF173E"/>
    <w:rPr>
      <w:rFonts w:ascii="Times New Roman" w:eastAsia="Times New Roman" w:hAnsi="Times New Roman" w:cs="Times New Roman"/>
      <w:sz w:val="24"/>
      <w:szCs w:val="24"/>
      <w:lang w:val="x-none" w:eastAsia="de-DE"/>
    </w:rPr>
  </w:style>
  <w:style w:type="character" w:customStyle="1" w:styleId="FigureCaptionChar">
    <w:name w:val="FigureCaption Char"/>
    <w:link w:val="FigureCaption"/>
    <w:rsid w:val="00FF173E"/>
    <w:rPr>
      <w:rFonts w:ascii="Times New Roman" w:eastAsia="Times New Roman" w:hAnsi="Times New Roman" w:cs="Times New Roman"/>
      <w:sz w:val="24"/>
      <w:szCs w:val="24"/>
      <w:lang w:val="x-none" w:eastAsia="de-DE"/>
    </w:rPr>
  </w:style>
  <w:style w:type="character" w:styleId="CommentReference">
    <w:name w:val="annotation reference"/>
    <w:uiPriority w:val="99"/>
    <w:semiHidden/>
    <w:unhideWhenUsed/>
    <w:rsid w:val="00FF173E"/>
    <w:rPr>
      <w:sz w:val="18"/>
      <w:szCs w:val="18"/>
    </w:rPr>
  </w:style>
  <w:style w:type="paragraph" w:styleId="CommentSubject">
    <w:name w:val="annotation subject"/>
    <w:basedOn w:val="CommentText"/>
    <w:next w:val="CommentText"/>
    <w:link w:val="CommentSubjectChar"/>
    <w:uiPriority w:val="99"/>
    <w:semiHidden/>
    <w:unhideWhenUsed/>
    <w:rsid w:val="00FF173E"/>
    <w:pPr>
      <w:spacing w:after="0"/>
    </w:pPr>
    <w:rPr>
      <w:rFonts w:ascii="Times New Roman" w:eastAsia="Times New Roman" w:hAnsi="Times New Roman"/>
      <w:b/>
      <w:bCs/>
      <w:lang w:val="de-DE" w:eastAsia="de-DE"/>
    </w:rPr>
  </w:style>
  <w:style w:type="character" w:customStyle="1" w:styleId="CommentSubjectChar">
    <w:name w:val="Comment Subject Char"/>
    <w:basedOn w:val="CommentTextChar"/>
    <w:link w:val="CommentSubject"/>
    <w:uiPriority w:val="99"/>
    <w:semiHidden/>
    <w:rsid w:val="00FF173E"/>
    <w:rPr>
      <w:rFonts w:ascii="Times New Roman" w:eastAsia="Times New Roman" w:hAnsi="Times New Roman" w:cs="Times New Roman"/>
      <w:b/>
      <w:bCs/>
      <w:sz w:val="20"/>
      <w:szCs w:val="20"/>
      <w:lang w:val="de-DE" w:eastAsia="de-DE"/>
    </w:rPr>
  </w:style>
  <w:style w:type="character" w:customStyle="1" w:styleId="Heading3Char">
    <w:name w:val="Heading 3 Char"/>
    <w:basedOn w:val="DefaultParagraphFont"/>
    <w:link w:val="Heading3"/>
    <w:uiPriority w:val="9"/>
    <w:semiHidden/>
    <w:rsid w:val="00FF173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F173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FF173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F173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F173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F173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F173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F173E"/>
    <w:pPr>
      <w:spacing w:line="240" w:lineRule="auto"/>
    </w:pPr>
    <w:rPr>
      <w:b/>
      <w:bCs/>
      <w:smallCaps/>
      <w:color w:val="44546A" w:themeColor="text2"/>
    </w:rPr>
  </w:style>
  <w:style w:type="paragraph" w:styleId="Title">
    <w:name w:val="Title"/>
    <w:basedOn w:val="Normal"/>
    <w:next w:val="Normal"/>
    <w:link w:val="TitleChar"/>
    <w:uiPriority w:val="10"/>
    <w:qFormat/>
    <w:rsid w:val="00FF173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F173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F173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F173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FF173E"/>
    <w:rPr>
      <w:b/>
      <w:bCs/>
    </w:rPr>
  </w:style>
  <w:style w:type="character" w:styleId="Emphasis">
    <w:name w:val="Emphasis"/>
    <w:basedOn w:val="DefaultParagraphFont"/>
    <w:uiPriority w:val="20"/>
    <w:qFormat/>
    <w:rsid w:val="00FF173E"/>
    <w:rPr>
      <w:i/>
      <w:iCs/>
    </w:rPr>
  </w:style>
  <w:style w:type="paragraph" w:styleId="NoSpacing">
    <w:name w:val="No Spacing"/>
    <w:uiPriority w:val="1"/>
    <w:qFormat/>
    <w:rsid w:val="00FF173E"/>
    <w:pPr>
      <w:spacing w:after="0" w:line="240" w:lineRule="auto"/>
    </w:pPr>
  </w:style>
  <w:style w:type="paragraph" w:styleId="Quote">
    <w:name w:val="Quote"/>
    <w:basedOn w:val="Normal"/>
    <w:next w:val="Normal"/>
    <w:link w:val="QuoteChar"/>
    <w:uiPriority w:val="29"/>
    <w:qFormat/>
    <w:rsid w:val="00FF173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F173E"/>
    <w:rPr>
      <w:color w:val="44546A" w:themeColor="text2"/>
      <w:sz w:val="24"/>
      <w:szCs w:val="24"/>
    </w:rPr>
  </w:style>
  <w:style w:type="paragraph" w:styleId="IntenseQuote">
    <w:name w:val="Intense Quote"/>
    <w:basedOn w:val="Normal"/>
    <w:next w:val="Normal"/>
    <w:link w:val="IntenseQuoteChar"/>
    <w:uiPriority w:val="30"/>
    <w:qFormat/>
    <w:rsid w:val="00FF173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F173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F173E"/>
    <w:rPr>
      <w:i/>
      <w:iCs/>
      <w:color w:val="595959" w:themeColor="text1" w:themeTint="A6"/>
    </w:rPr>
  </w:style>
  <w:style w:type="character" w:styleId="IntenseEmphasis">
    <w:name w:val="Intense Emphasis"/>
    <w:basedOn w:val="DefaultParagraphFont"/>
    <w:uiPriority w:val="21"/>
    <w:qFormat/>
    <w:rsid w:val="00FF173E"/>
    <w:rPr>
      <w:b/>
      <w:bCs/>
      <w:i/>
      <w:iCs/>
    </w:rPr>
  </w:style>
  <w:style w:type="character" w:styleId="SubtleReference">
    <w:name w:val="Subtle Reference"/>
    <w:basedOn w:val="DefaultParagraphFont"/>
    <w:uiPriority w:val="31"/>
    <w:qFormat/>
    <w:rsid w:val="00FF173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F173E"/>
    <w:rPr>
      <w:b/>
      <w:bCs/>
      <w:smallCaps/>
      <w:color w:val="44546A" w:themeColor="text2"/>
      <w:u w:val="single"/>
    </w:rPr>
  </w:style>
  <w:style w:type="character" w:styleId="BookTitle">
    <w:name w:val="Book Title"/>
    <w:basedOn w:val="DefaultParagraphFont"/>
    <w:uiPriority w:val="33"/>
    <w:qFormat/>
    <w:rsid w:val="00FF173E"/>
    <w:rPr>
      <w:b/>
      <w:bCs/>
      <w:smallCaps/>
      <w:spacing w:val="10"/>
    </w:rPr>
  </w:style>
  <w:style w:type="paragraph" w:styleId="TOCHeading">
    <w:name w:val="TOC Heading"/>
    <w:basedOn w:val="Heading1"/>
    <w:next w:val="Normal"/>
    <w:uiPriority w:val="39"/>
    <w:semiHidden/>
    <w:unhideWhenUsed/>
    <w:qFormat/>
    <w:rsid w:val="00FF173E"/>
    <w:pPr>
      <w:outlineLvl w:val="9"/>
    </w:pPr>
  </w:style>
  <w:style w:type="character" w:customStyle="1" w:styleId="st">
    <w:name w:val="st"/>
    <w:basedOn w:val="DefaultParagraphFont"/>
    <w:rsid w:val="00CB4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20</Pages>
  <Words>5370</Words>
  <Characters>30612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Winfield</dc:creator>
  <cp:keywords/>
  <dc:description/>
  <cp:lastModifiedBy>Jonathan Winfield</cp:lastModifiedBy>
  <cp:revision>2</cp:revision>
  <dcterms:created xsi:type="dcterms:W3CDTF">2015-07-24T09:50:00Z</dcterms:created>
  <dcterms:modified xsi:type="dcterms:W3CDTF">2015-07-24T15:54:00Z</dcterms:modified>
</cp:coreProperties>
</file>