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A2" w:rsidRPr="000A190F" w:rsidRDefault="009750A2" w:rsidP="00844B1B">
      <w:pPr>
        <w:spacing w:before="100" w:beforeAutospacing="1" w:after="100" w:afterAutospacing="1" w:line="336" w:lineRule="auto"/>
        <w:rPr>
          <w:rFonts w:eastAsia="Times New Roman" w:cs="Arial"/>
          <w:color w:val="111111"/>
          <w:szCs w:val="24"/>
          <w:lang w:eastAsia="en-GB"/>
        </w:rPr>
      </w:pPr>
      <w:bookmarkStart w:id="0" w:name="_GoBack"/>
      <w:bookmarkEnd w:id="0"/>
      <w:r w:rsidRPr="000A190F">
        <w:rPr>
          <w:rFonts w:eastAsia="Times New Roman" w:cs="Arial"/>
          <w:color w:val="111111"/>
          <w:szCs w:val="24"/>
          <w:lang w:eastAsia="en-GB"/>
        </w:rPr>
        <w:t>Rachel Sales</w:t>
      </w:r>
    </w:p>
    <w:p w:rsidR="009750A2" w:rsidRPr="000A190F" w:rsidRDefault="009750A2" w:rsidP="00844B1B">
      <w:pPr>
        <w:spacing w:before="100" w:beforeAutospacing="1" w:after="100" w:afterAutospacing="1" w:line="336" w:lineRule="auto"/>
        <w:rPr>
          <w:rFonts w:eastAsia="Times New Roman" w:cs="Arial"/>
          <w:color w:val="111111"/>
          <w:szCs w:val="24"/>
          <w:lang w:eastAsia="en-GB"/>
        </w:rPr>
      </w:pPr>
      <w:r w:rsidRPr="000A190F">
        <w:rPr>
          <w:rFonts w:eastAsia="Times New Roman" w:cs="Arial"/>
          <w:color w:val="111111"/>
          <w:szCs w:val="24"/>
          <w:lang w:eastAsia="en-GB"/>
        </w:rPr>
        <w:t>University of the West of England, Bristol.</w:t>
      </w:r>
    </w:p>
    <w:p w:rsidR="009750A2" w:rsidRPr="000A190F" w:rsidRDefault="009750A2" w:rsidP="00844B1B">
      <w:pPr>
        <w:spacing w:before="100" w:beforeAutospacing="1" w:after="100" w:afterAutospacing="1" w:line="336" w:lineRule="auto"/>
        <w:rPr>
          <w:rFonts w:eastAsia="Times New Roman" w:cs="Arial"/>
          <w:b/>
          <w:color w:val="111111"/>
          <w:sz w:val="28"/>
          <w:szCs w:val="28"/>
          <w:lang w:eastAsia="en-GB"/>
        </w:rPr>
      </w:pPr>
      <w:r w:rsidRPr="000A190F">
        <w:rPr>
          <w:rFonts w:eastAsia="Times New Roman" w:cs="Arial"/>
          <w:b/>
          <w:color w:val="111111"/>
          <w:sz w:val="28"/>
          <w:szCs w:val="28"/>
          <w:lang w:eastAsia="en-GB"/>
        </w:rPr>
        <w:t>Title</w:t>
      </w:r>
    </w:p>
    <w:p w:rsidR="00C36299" w:rsidRPr="0092330B" w:rsidRDefault="00C36299" w:rsidP="003D7961">
      <w:pPr>
        <w:rPr>
          <w:rFonts w:cs="Arial"/>
          <w:sz w:val="28"/>
          <w:szCs w:val="28"/>
        </w:rPr>
      </w:pPr>
      <w:r w:rsidRPr="0092330B">
        <w:rPr>
          <w:rFonts w:cs="Arial"/>
          <w:sz w:val="28"/>
          <w:szCs w:val="28"/>
        </w:rPr>
        <w:t xml:space="preserve">Being-in-the-world-of-marking: </w:t>
      </w:r>
      <w:r w:rsidR="003D7961" w:rsidRPr="0092330B">
        <w:rPr>
          <w:rFonts w:cs="Arial"/>
          <w:sz w:val="28"/>
          <w:szCs w:val="28"/>
        </w:rPr>
        <w:t xml:space="preserve">New academics’ experiences of assessment &amp; </w:t>
      </w:r>
      <w:r w:rsidR="00664767" w:rsidRPr="0092330B">
        <w:rPr>
          <w:rFonts w:cs="Arial"/>
          <w:sz w:val="28"/>
          <w:szCs w:val="28"/>
        </w:rPr>
        <w:t xml:space="preserve">feedback. </w:t>
      </w:r>
    </w:p>
    <w:p w:rsidR="00844B1B" w:rsidRPr="000A190F" w:rsidRDefault="00844B1B" w:rsidP="00844B1B">
      <w:pPr>
        <w:spacing w:before="100" w:beforeAutospacing="1" w:after="100" w:afterAutospacing="1" w:line="336" w:lineRule="auto"/>
        <w:rPr>
          <w:rFonts w:eastAsia="Times New Roman" w:cs="Arial"/>
          <w:color w:val="111111"/>
          <w:szCs w:val="24"/>
          <w:lang w:eastAsia="en-GB"/>
        </w:rPr>
      </w:pPr>
      <w:r w:rsidRPr="000A190F">
        <w:rPr>
          <w:rFonts w:eastAsia="Times New Roman" w:cs="Arial"/>
          <w:b/>
          <w:bCs/>
          <w:color w:val="111111"/>
          <w:szCs w:val="24"/>
          <w:lang w:eastAsia="en-GB"/>
        </w:rPr>
        <w:t>Abstract</w:t>
      </w:r>
      <w:r w:rsidR="00685BD2" w:rsidRPr="000A190F">
        <w:rPr>
          <w:rFonts w:eastAsia="Times New Roman" w:cs="Arial"/>
          <w:b/>
          <w:bCs/>
          <w:color w:val="111111"/>
          <w:szCs w:val="24"/>
          <w:lang w:eastAsia="en-GB"/>
        </w:rPr>
        <w:t xml:space="preserve"> </w:t>
      </w:r>
    </w:p>
    <w:p w:rsidR="00EC6FED" w:rsidRPr="000A190F" w:rsidRDefault="006E4E99" w:rsidP="00EC6FED">
      <w:r w:rsidRPr="000A190F">
        <w:t>For a novice academic, the first experience of marking can be as memorable a</w:t>
      </w:r>
      <w:r w:rsidR="00D11886" w:rsidRPr="000A190F">
        <w:t>s preparing for and giving the</w:t>
      </w:r>
      <w:r w:rsidRPr="000A190F">
        <w:t xml:space="preserve"> first teaching session. Yet, while academic reflections and narratives abound for the latter, there is a paucity of literature regarding the former. This study begins to address this lack of literature through an exploration </w:t>
      </w:r>
      <w:r w:rsidR="007F39BE" w:rsidRPr="000A190F">
        <w:t>of</w:t>
      </w:r>
      <w:r w:rsidRPr="000A190F">
        <w:t xml:space="preserve"> six newly appointed academics</w:t>
      </w:r>
      <w:r w:rsidR="007F39BE">
        <w:t>’</w:t>
      </w:r>
      <w:r w:rsidRPr="000A190F">
        <w:t xml:space="preserve"> </w:t>
      </w:r>
      <w:r w:rsidR="007F39BE" w:rsidRPr="000A190F">
        <w:t>experiences</w:t>
      </w:r>
      <w:r w:rsidR="007F39BE">
        <w:t xml:space="preserve"> </w:t>
      </w:r>
      <w:r w:rsidRPr="000A190F">
        <w:t xml:space="preserve">as they begin to mark students’ coursework. </w:t>
      </w:r>
      <w:r w:rsidR="00EC6FED" w:rsidRPr="000A190F">
        <w:t xml:space="preserve">The concept of being-in-the-world-of-marking demonstrates conceptually </w:t>
      </w:r>
      <w:r w:rsidR="007F39BE" w:rsidRPr="000A190F">
        <w:t>the</w:t>
      </w:r>
      <w:r w:rsidR="007F39BE">
        <w:t>ir</w:t>
      </w:r>
      <w:r w:rsidR="00EC6FED" w:rsidRPr="000A190F">
        <w:t xml:space="preserve"> experiences as they began to come to know themselves as markers and academics; not through the learning of facts about marking, but through their understanding and self-interpretation of their own and others’ marking practices. The experiences shared </w:t>
      </w:r>
      <w:r w:rsidR="00D11886" w:rsidRPr="000A190F">
        <w:t xml:space="preserve">in this paper </w:t>
      </w:r>
      <w:r w:rsidR="00EC6FED" w:rsidRPr="000A190F">
        <w:t>support and further develop previous res</w:t>
      </w:r>
      <w:r w:rsidR="00D11886" w:rsidRPr="000A190F">
        <w:t xml:space="preserve">earch findings, highlighting a </w:t>
      </w:r>
      <w:r w:rsidR="00EC6FED" w:rsidRPr="000A190F">
        <w:t>need for additional training</w:t>
      </w:r>
      <w:r w:rsidR="00664767">
        <w:t>,</w:t>
      </w:r>
      <w:r w:rsidR="00EC6FED" w:rsidRPr="000A190F">
        <w:t xml:space="preserve"> guidance</w:t>
      </w:r>
      <w:r w:rsidR="00664767">
        <w:t xml:space="preserve"> and</w:t>
      </w:r>
      <w:r w:rsidR="00D11886" w:rsidRPr="000A190F">
        <w:t xml:space="preserve"> r</w:t>
      </w:r>
      <w:r w:rsidR="00EC6FED" w:rsidRPr="000A190F">
        <w:t xml:space="preserve">einforcing the necessity </w:t>
      </w:r>
      <w:r w:rsidR="00664767">
        <w:t xml:space="preserve">to offer newly appointed academics </w:t>
      </w:r>
      <w:r w:rsidR="00EC6FED" w:rsidRPr="000A190F">
        <w:t xml:space="preserve">formal and informal mentorship in the theory and practice of assessment. </w:t>
      </w:r>
    </w:p>
    <w:p w:rsidR="00BC4ED7" w:rsidRPr="000A190F" w:rsidRDefault="00844B1B" w:rsidP="00844B1B">
      <w:pPr>
        <w:spacing w:before="100" w:beforeAutospacing="1" w:after="100" w:afterAutospacing="1" w:line="336" w:lineRule="auto"/>
        <w:rPr>
          <w:rFonts w:eastAsia="Times New Roman" w:cs="Arial"/>
          <w:color w:val="111111"/>
          <w:szCs w:val="24"/>
          <w:lang w:eastAsia="en-GB"/>
        </w:rPr>
      </w:pPr>
      <w:r w:rsidRPr="000A190F">
        <w:rPr>
          <w:rFonts w:eastAsia="Times New Roman" w:cs="Arial"/>
          <w:b/>
          <w:bCs/>
          <w:color w:val="111111"/>
          <w:szCs w:val="24"/>
          <w:lang w:eastAsia="en-GB"/>
        </w:rPr>
        <w:t>Keywords</w:t>
      </w:r>
    </w:p>
    <w:p w:rsidR="006E4E99" w:rsidRPr="000A190F" w:rsidRDefault="006E4E99" w:rsidP="00844B1B">
      <w:pPr>
        <w:spacing w:before="100" w:beforeAutospacing="1" w:after="100" w:afterAutospacing="1" w:line="336" w:lineRule="auto"/>
        <w:rPr>
          <w:rFonts w:eastAsia="Times New Roman" w:cs="Arial"/>
          <w:color w:val="111111"/>
          <w:szCs w:val="24"/>
          <w:lang w:eastAsia="en-GB"/>
        </w:rPr>
      </w:pPr>
      <w:r w:rsidRPr="000A190F">
        <w:rPr>
          <w:rFonts w:eastAsia="Times New Roman" w:cs="Arial"/>
          <w:color w:val="111111"/>
          <w:szCs w:val="24"/>
          <w:lang w:eastAsia="en-GB"/>
        </w:rPr>
        <w:t xml:space="preserve">Transition, socialisation, </w:t>
      </w:r>
      <w:r w:rsidR="00CE1CCC">
        <w:rPr>
          <w:rFonts w:eastAsia="Times New Roman" w:cs="Arial"/>
          <w:color w:val="111111"/>
          <w:szCs w:val="24"/>
          <w:lang w:eastAsia="en-GB"/>
        </w:rPr>
        <w:t xml:space="preserve">newly appointed academics, </w:t>
      </w:r>
      <w:r w:rsidRPr="000A190F">
        <w:rPr>
          <w:rFonts w:eastAsia="Times New Roman" w:cs="Arial"/>
          <w:color w:val="111111"/>
          <w:szCs w:val="24"/>
          <w:lang w:eastAsia="en-GB"/>
        </w:rPr>
        <w:t>assessment and feedback.</w:t>
      </w:r>
    </w:p>
    <w:p w:rsidR="006E4E99" w:rsidRPr="000A190F" w:rsidRDefault="006E4E99">
      <w:pPr>
        <w:spacing w:line="276" w:lineRule="auto"/>
        <w:jc w:val="left"/>
        <w:rPr>
          <w:rFonts w:eastAsia="Times New Roman" w:cs="Arial"/>
          <w:b/>
          <w:bCs/>
          <w:color w:val="111111"/>
          <w:szCs w:val="24"/>
          <w:lang w:eastAsia="en-GB"/>
        </w:rPr>
      </w:pPr>
      <w:r w:rsidRPr="000A190F">
        <w:rPr>
          <w:rFonts w:eastAsia="Times New Roman" w:cs="Arial"/>
          <w:b/>
          <w:bCs/>
          <w:color w:val="111111"/>
          <w:szCs w:val="24"/>
          <w:lang w:eastAsia="en-GB"/>
        </w:rPr>
        <w:br w:type="page"/>
      </w:r>
    </w:p>
    <w:p w:rsidR="009750A2" w:rsidRPr="000A190F" w:rsidRDefault="006E4E99">
      <w:pPr>
        <w:rPr>
          <w:rFonts w:eastAsia="Times New Roman" w:cs="Arial"/>
          <w:b/>
          <w:bCs/>
          <w:color w:val="111111"/>
          <w:szCs w:val="24"/>
          <w:lang w:eastAsia="en-GB"/>
        </w:rPr>
      </w:pPr>
      <w:r w:rsidRPr="000A190F">
        <w:rPr>
          <w:rFonts w:eastAsia="Times New Roman" w:cs="Arial"/>
          <w:b/>
          <w:bCs/>
          <w:color w:val="111111"/>
          <w:szCs w:val="24"/>
          <w:lang w:eastAsia="en-GB"/>
        </w:rPr>
        <w:lastRenderedPageBreak/>
        <w:t>Title</w:t>
      </w:r>
    </w:p>
    <w:p w:rsidR="003D7961" w:rsidRPr="0092330B" w:rsidRDefault="003D7961" w:rsidP="003D7961">
      <w:pPr>
        <w:rPr>
          <w:rFonts w:cs="Arial"/>
          <w:sz w:val="28"/>
          <w:szCs w:val="28"/>
        </w:rPr>
      </w:pPr>
      <w:r w:rsidRPr="0092330B">
        <w:rPr>
          <w:rFonts w:cs="Arial"/>
          <w:sz w:val="28"/>
          <w:szCs w:val="28"/>
        </w:rPr>
        <w:t xml:space="preserve">Being-in-the-world-of-marking: New academics’ experiences of assessment &amp; </w:t>
      </w:r>
      <w:r w:rsidR="00664767" w:rsidRPr="0092330B">
        <w:rPr>
          <w:rFonts w:cs="Arial"/>
          <w:sz w:val="28"/>
          <w:szCs w:val="28"/>
        </w:rPr>
        <w:t xml:space="preserve">feedback. </w:t>
      </w:r>
    </w:p>
    <w:p w:rsidR="00844B1B" w:rsidRPr="000A190F" w:rsidRDefault="00844B1B" w:rsidP="00844B1B">
      <w:pPr>
        <w:spacing w:before="100" w:beforeAutospacing="1" w:after="100" w:afterAutospacing="1" w:line="336" w:lineRule="auto"/>
        <w:rPr>
          <w:rFonts w:eastAsia="Times New Roman" w:cs="Arial"/>
          <w:color w:val="111111"/>
          <w:szCs w:val="24"/>
          <w:lang w:eastAsia="en-GB"/>
        </w:rPr>
      </w:pPr>
      <w:r w:rsidRPr="000A190F">
        <w:rPr>
          <w:rFonts w:eastAsia="Times New Roman" w:cs="Arial"/>
          <w:b/>
          <w:bCs/>
          <w:color w:val="111111"/>
          <w:szCs w:val="24"/>
          <w:lang w:eastAsia="en-GB"/>
        </w:rPr>
        <w:t xml:space="preserve">Introduction </w:t>
      </w:r>
      <w:r w:rsidR="00911D58" w:rsidRPr="000A190F">
        <w:rPr>
          <w:rFonts w:eastAsia="Times New Roman" w:cs="Arial"/>
          <w:b/>
          <w:bCs/>
          <w:color w:val="111111"/>
          <w:szCs w:val="24"/>
          <w:lang w:eastAsia="en-GB"/>
        </w:rPr>
        <w:t>and background</w:t>
      </w:r>
    </w:p>
    <w:p w:rsidR="00A27A3D" w:rsidRPr="007B0875" w:rsidRDefault="00357CA9" w:rsidP="006E4E99">
      <w:pPr>
        <w:rPr>
          <w:rFonts w:eastAsia="Calibri" w:cs="Arial"/>
        </w:rPr>
      </w:pPr>
      <w:r w:rsidRPr="000A190F">
        <w:t xml:space="preserve">Assessment </w:t>
      </w:r>
      <w:r w:rsidRPr="000A190F">
        <w:rPr>
          <w:rStyle w:val="DHSCRevisionChar"/>
          <w:rFonts w:cs="Arial"/>
        </w:rPr>
        <w:t xml:space="preserve">higher education </w:t>
      </w:r>
      <w:r w:rsidRPr="000A190F">
        <w:t>is a process that</w:t>
      </w:r>
      <w:r>
        <w:t xml:space="preserve"> can inform</w:t>
      </w:r>
      <w:r w:rsidRPr="000A190F">
        <w:t xml:space="preserve"> student learning</w:t>
      </w:r>
      <w:r>
        <w:t>, act</w:t>
      </w:r>
      <w:r w:rsidRPr="000A190F">
        <w:t xml:space="preserve"> as an </w:t>
      </w:r>
      <w:r w:rsidRPr="002130E4">
        <w:rPr>
          <w:rStyle w:val="DHSCRevisionChar"/>
          <w:rFonts w:cs="Arial"/>
        </w:rPr>
        <w:t>outcome to certify learning has taken place,</w:t>
      </w:r>
      <w:r w:rsidRPr="002130E4">
        <w:rPr>
          <w:rStyle w:val="DHSCRevisionChar"/>
          <w:rFonts w:cs="Arial"/>
          <w:lang w:val="en-GB"/>
        </w:rPr>
        <w:t xml:space="preserve"> and </w:t>
      </w:r>
      <w:r w:rsidRPr="002130E4">
        <w:rPr>
          <w:rStyle w:val="DHSCRevisionChar"/>
          <w:rFonts w:cs="Arial"/>
        </w:rPr>
        <w:t>ensure</w:t>
      </w:r>
      <w:r w:rsidR="00D11886" w:rsidRPr="002130E4">
        <w:rPr>
          <w:rStyle w:val="DHSCRevisionChar"/>
          <w:rFonts w:cs="Arial"/>
        </w:rPr>
        <w:t xml:space="preserve"> that academic and professional standards are maintained (Leach, Neutze and Zepka, 2001). </w:t>
      </w:r>
      <w:r w:rsidR="007B0875" w:rsidRPr="002130E4">
        <w:rPr>
          <w:rStyle w:val="DHSCRevisionChar"/>
          <w:rFonts w:cs="Arial"/>
          <w:lang w:val="en-GB"/>
        </w:rPr>
        <w:t>In</w:t>
      </w:r>
      <w:r w:rsidRPr="002130E4">
        <w:rPr>
          <w:rStyle w:val="DHSCRevisionChar"/>
          <w:rFonts w:cs="Arial"/>
          <w:lang w:val="en-GB"/>
        </w:rPr>
        <w:t xml:space="preserve"> the United Kingdom</w:t>
      </w:r>
      <w:r w:rsidR="00A678D5" w:rsidRPr="002130E4">
        <w:rPr>
          <w:rStyle w:val="DHSCRevisionChar"/>
          <w:rFonts w:cs="Arial"/>
          <w:lang w:val="en-GB"/>
        </w:rPr>
        <w:t xml:space="preserve"> (UK)</w:t>
      </w:r>
      <w:r w:rsidRPr="002130E4">
        <w:rPr>
          <w:rStyle w:val="DHSCRevisionChar"/>
          <w:rFonts w:cs="Arial"/>
          <w:lang w:val="en-GB"/>
        </w:rPr>
        <w:t xml:space="preserve"> </w:t>
      </w:r>
      <w:r w:rsidR="007B0875" w:rsidRPr="002130E4">
        <w:rPr>
          <w:rStyle w:val="DHSCRevisionChar"/>
          <w:rFonts w:cs="Arial"/>
        </w:rPr>
        <w:t>assessment</w:t>
      </w:r>
      <w:r w:rsidR="007B0875" w:rsidRPr="002130E4">
        <w:rPr>
          <w:rStyle w:val="DHSCRevisionChar"/>
          <w:rFonts w:cs="Arial"/>
          <w:lang w:val="en-GB"/>
        </w:rPr>
        <w:t xml:space="preserve"> as a process and a practice </w:t>
      </w:r>
      <w:r w:rsidR="00A27A3D" w:rsidRPr="002130E4">
        <w:rPr>
          <w:rStyle w:val="DHSCRevisionChar"/>
          <w:rFonts w:cs="Arial"/>
        </w:rPr>
        <w:t xml:space="preserve">takes place within the context of quality reviews </w:t>
      </w:r>
      <w:r w:rsidR="00E526B5">
        <w:rPr>
          <w:rStyle w:val="DHSCRevisionChar"/>
          <w:rFonts w:cs="Arial"/>
          <w:lang w:val="en-GB"/>
        </w:rPr>
        <w:t xml:space="preserve">that are </w:t>
      </w:r>
      <w:r w:rsidR="00E526B5" w:rsidRPr="000A190F">
        <w:rPr>
          <w:rStyle w:val="DHSCRevisionChar"/>
          <w:rFonts w:cs="Arial"/>
        </w:rPr>
        <w:t>reveal</w:t>
      </w:r>
      <w:r w:rsidR="00E526B5">
        <w:rPr>
          <w:rStyle w:val="DHSCRevisionChar"/>
          <w:rFonts w:cs="Arial"/>
          <w:lang w:val="en-GB"/>
        </w:rPr>
        <w:t>ing</w:t>
      </w:r>
      <w:r w:rsidR="00A27A3D" w:rsidRPr="000A190F">
        <w:rPr>
          <w:rStyle w:val="DHSCRevisionChar"/>
          <w:rFonts w:cs="Arial"/>
        </w:rPr>
        <w:t xml:space="preserve"> student dissatisfaction with </w:t>
      </w:r>
      <w:r w:rsidR="00E526B5" w:rsidRPr="000A190F">
        <w:rPr>
          <w:rStyle w:val="DHSCRevisionChar"/>
          <w:rFonts w:cs="Arial"/>
        </w:rPr>
        <w:t>the</w:t>
      </w:r>
      <w:r w:rsidR="00E526B5">
        <w:rPr>
          <w:rStyle w:val="DHSCRevisionChar"/>
          <w:rFonts w:cs="Arial"/>
          <w:lang w:val="en-GB"/>
        </w:rPr>
        <w:t>ir</w:t>
      </w:r>
      <w:r w:rsidR="00A27A3D" w:rsidRPr="000A190F">
        <w:rPr>
          <w:rStyle w:val="DHSCRevisionChar"/>
          <w:rFonts w:cs="Arial"/>
        </w:rPr>
        <w:t xml:space="preserve"> experience</w:t>
      </w:r>
      <w:r w:rsidR="00E526B5">
        <w:rPr>
          <w:rStyle w:val="DHSCRevisionChar"/>
          <w:rFonts w:cs="Arial"/>
          <w:lang w:val="en-GB"/>
        </w:rPr>
        <w:t>s</w:t>
      </w:r>
      <w:r w:rsidR="00A27A3D" w:rsidRPr="000A190F">
        <w:rPr>
          <w:rStyle w:val="DHSCRevisionChar"/>
          <w:rFonts w:cs="Arial"/>
        </w:rPr>
        <w:t xml:space="preserve"> of assessment and feedback</w:t>
      </w:r>
      <w:r w:rsidR="00D11886" w:rsidRPr="000A190F">
        <w:rPr>
          <w:rStyle w:val="DHSCRevisionChar"/>
          <w:rFonts w:cs="Arial"/>
          <w:lang w:val="en-GB"/>
        </w:rPr>
        <w:t xml:space="preserve"> </w:t>
      </w:r>
      <w:r w:rsidR="00D11886" w:rsidRPr="000A190F">
        <w:rPr>
          <w:rStyle w:val="DHSCRevisionChar"/>
          <w:rFonts w:cs="Arial"/>
        </w:rPr>
        <w:t>(HEFCE, 2011</w:t>
      </w:r>
      <w:r w:rsidR="00D11886" w:rsidRPr="000A190F">
        <w:rPr>
          <w:rStyle w:val="DHSCRevisionChar"/>
          <w:rFonts w:cs="Arial"/>
          <w:lang w:val="en-GB"/>
        </w:rPr>
        <w:t xml:space="preserve">; </w:t>
      </w:r>
      <w:r w:rsidR="00D11886" w:rsidRPr="000A190F">
        <w:rPr>
          <w:rStyle w:val="DHSCRevisionChar"/>
          <w:rFonts w:cs="Arial"/>
        </w:rPr>
        <w:t>NUS, 2012)</w:t>
      </w:r>
      <w:r w:rsidR="00A27A3D" w:rsidRPr="000A190F">
        <w:rPr>
          <w:rStyle w:val="DHSCRevisionChar"/>
          <w:rFonts w:cs="Arial"/>
        </w:rPr>
        <w:t>.</w:t>
      </w:r>
      <w:r w:rsidR="00A27A3D" w:rsidRPr="000A190F">
        <w:t xml:space="preserve"> </w:t>
      </w:r>
      <w:r w:rsidR="00193CBD" w:rsidRPr="000A190F">
        <w:t>Price, Handley and Millar</w:t>
      </w:r>
      <w:r w:rsidR="00193CBD" w:rsidRPr="000A190F">
        <w:rPr>
          <w:i/>
        </w:rPr>
        <w:t>,</w:t>
      </w:r>
      <w:r w:rsidR="00193CBD">
        <w:t xml:space="preserve"> (2011) </w:t>
      </w:r>
      <w:r w:rsidR="00193CBD" w:rsidRPr="000A190F">
        <w:rPr>
          <w:rStyle w:val="DHSCRevisionChar"/>
          <w:rFonts w:cs="Arial"/>
        </w:rPr>
        <w:t>indicate</w:t>
      </w:r>
      <w:r w:rsidR="00193CBD" w:rsidRPr="000A190F">
        <w:t xml:space="preserve"> </w:t>
      </w:r>
      <w:r w:rsidR="00193CBD">
        <w:t xml:space="preserve">the </w:t>
      </w:r>
      <w:r w:rsidR="00193CBD" w:rsidRPr="000A190F">
        <w:t xml:space="preserve">repeated low scores </w:t>
      </w:r>
      <w:r w:rsidR="00193CBD">
        <w:t xml:space="preserve">in these surveys </w:t>
      </w:r>
      <w:r w:rsidR="00193CBD" w:rsidRPr="000A190F">
        <w:t xml:space="preserve">are leaving </w:t>
      </w:r>
      <w:r w:rsidR="00193CBD">
        <w:t xml:space="preserve">academic </w:t>
      </w:r>
      <w:r w:rsidR="00193CBD" w:rsidRPr="000A190F">
        <w:t xml:space="preserve">staff unsure and disillusioned about how to engage students </w:t>
      </w:r>
      <w:r w:rsidR="00193CBD" w:rsidRPr="000A190F">
        <w:rPr>
          <w:rStyle w:val="DHSCRevisionChar"/>
          <w:rFonts w:cs="Arial"/>
        </w:rPr>
        <w:t>in both the</w:t>
      </w:r>
      <w:r w:rsidR="00193CBD" w:rsidRPr="000A190F">
        <w:t xml:space="preserve"> assessment </w:t>
      </w:r>
      <w:r w:rsidR="00193CBD" w:rsidRPr="000A190F">
        <w:rPr>
          <w:rStyle w:val="DHSCRevisionChar"/>
          <w:rFonts w:cs="Arial"/>
        </w:rPr>
        <w:t>process</w:t>
      </w:r>
      <w:r w:rsidR="00193CBD" w:rsidRPr="000A190F">
        <w:t xml:space="preserve"> and feedback. </w:t>
      </w:r>
      <w:r w:rsidR="00A27A3D" w:rsidRPr="000A190F">
        <w:rPr>
          <w:rStyle w:val="DHSCRevisionChar"/>
          <w:rFonts w:cs="Arial"/>
        </w:rPr>
        <w:t>Freeman and Dobbins (2013) suggest that the presentation of student satisfaction</w:t>
      </w:r>
      <w:r w:rsidR="00A678D5">
        <w:rPr>
          <w:rStyle w:val="DHSCRevisionChar"/>
          <w:rFonts w:cs="Arial"/>
          <w:lang w:val="en-GB"/>
        </w:rPr>
        <w:t xml:space="preserve"> in the UK</w:t>
      </w:r>
      <w:r w:rsidR="007B0875">
        <w:rPr>
          <w:rStyle w:val="DHSCRevisionChar"/>
          <w:rFonts w:cs="Arial"/>
        </w:rPr>
        <w:t xml:space="preserve"> </w:t>
      </w:r>
      <w:r w:rsidR="007B0875">
        <w:rPr>
          <w:rStyle w:val="DHSCRevisionChar"/>
          <w:rFonts w:cs="Arial"/>
          <w:lang w:val="en-GB"/>
        </w:rPr>
        <w:t>through</w:t>
      </w:r>
      <w:r w:rsidR="00A27A3D" w:rsidRPr="000A190F">
        <w:rPr>
          <w:rStyle w:val="DHSCRevisionChar"/>
          <w:rFonts w:cs="Arial"/>
        </w:rPr>
        <w:t xml:space="preserve"> league tables </w:t>
      </w:r>
      <w:r w:rsidR="00193CBD">
        <w:rPr>
          <w:rStyle w:val="DHSCRevisionChar"/>
          <w:rFonts w:cs="Arial"/>
          <w:lang w:val="en-GB"/>
        </w:rPr>
        <w:t xml:space="preserve">summarising </w:t>
      </w:r>
      <w:r w:rsidR="00A27A3D" w:rsidRPr="000A190F">
        <w:rPr>
          <w:rStyle w:val="DHSCRevisionChar"/>
          <w:rFonts w:cs="Arial"/>
        </w:rPr>
        <w:t>average numerical values is preventing an understanding of the complexities that surround students’ experiences</w:t>
      </w:r>
      <w:r w:rsidR="00A678D5">
        <w:rPr>
          <w:rStyle w:val="DHSCRevisionChar"/>
          <w:rFonts w:cs="Arial"/>
          <w:lang w:val="en-GB"/>
        </w:rPr>
        <w:t xml:space="preserve"> </w:t>
      </w:r>
      <w:r w:rsidR="00193CBD">
        <w:rPr>
          <w:rStyle w:val="DHSCRevisionChar"/>
          <w:rFonts w:cs="Arial"/>
          <w:lang w:val="en-GB"/>
        </w:rPr>
        <w:t xml:space="preserve">of </w:t>
      </w:r>
      <w:r w:rsidR="00A678D5">
        <w:rPr>
          <w:rStyle w:val="DHSCRevisionChar"/>
          <w:rFonts w:cs="Arial"/>
          <w:lang w:val="en-GB"/>
        </w:rPr>
        <w:t>assessment and feedback</w:t>
      </w:r>
      <w:r w:rsidR="00A27A3D" w:rsidRPr="000A190F">
        <w:rPr>
          <w:rStyle w:val="DHSCRevisionChar"/>
          <w:rFonts w:cs="Arial"/>
        </w:rPr>
        <w:t xml:space="preserve">. </w:t>
      </w:r>
    </w:p>
    <w:p w:rsidR="009106BA" w:rsidRDefault="007125D8" w:rsidP="00357CA9">
      <w:r>
        <w:rPr>
          <w:rStyle w:val="DHSCRevisionChar"/>
          <w:rFonts w:cs="Arial"/>
          <w:lang w:val="en-GB"/>
        </w:rPr>
        <w:t xml:space="preserve">The processes and practices of assessment </w:t>
      </w:r>
      <w:r w:rsidRPr="000A190F">
        <w:t xml:space="preserve">in higher education </w:t>
      </w:r>
      <w:r>
        <w:rPr>
          <w:rStyle w:val="DHSCRevisionChar"/>
          <w:rFonts w:cs="Arial"/>
          <w:lang w:val="en-GB"/>
        </w:rPr>
        <w:t>are underpinned b</w:t>
      </w:r>
      <w:r>
        <w:t>y a</w:t>
      </w:r>
      <w:r w:rsidRPr="000A190F">
        <w:t xml:space="preserve"> </w:t>
      </w:r>
      <w:r>
        <w:t xml:space="preserve">wide range of evidence </w:t>
      </w:r>
      <w:r w:rsidRPr="000A190F">
        <w:t xml:space="preserve">(Bloxham and Boyd, 2007; Bloxham, 2009; Clouder </w:t>
      </w:r>
      <w:r w:rsidRPr="000A190F">
        <w:rPr>
          <w:i/>
        </w:rPr>
        <w:t xml:space="preserve">et al. </w:t>
      </w:r>
      <w:r w:rsidRPr="000A190F">
        <w:t xml:space="preserve">2012; Crisp, 2012; Flint and Johnson, 2011; HEA, 2012; </w:t>
      </w:r>
      <w:r w:rsidRPr="000A190F">
        <w:rPr>
          <w:rStyle w:val="RevisedTextChar"/>
          <w:rFonts w:cs="Arial"/>
          <w:color w:val="auto"/>
        </w:rPr>
        <w:t>QAA, 2011</w:t>
      </w:r>
      <w:r w:rsidRPr="000A190F">
        <w:t xml:space="preserve">). </w:t>
      </w:r>
      <w:r>
        <w:t>Literature that reinforces that t</w:t>
      </w:r>
      <w:r w:rsidR="004A73C4" w:rsidRPr="000A190F">
        <w:rPr>
          <w:rStyle w:val="NoSpacingChar"/>
          <w:rFonts w:eastAsia="Calibri" w:cs="Arial"/>
          <w:szCs w:val="24"/>
        </w:rPr>
        <w:t xml:space="preserve">here is </w:t>
      </w:r>
      <w:r>
        <w:rPr>
          <w:rStyle w:val="NoSpacingChar"/>
          <w:rFonts w:eastAsia="Calibri" w:cs="Arial"/>
          <w:szCs w:val="24"/>
        </w:rPr>
        <w:t xml:space="preserve">no doubt of </w:t>
      </w:r>
      <w:r w:rsidR="007B0875">
        <w:t>central importance</w:t>
      </w:r>
      <w:r w:rsidR="004A73C4" w:rsidRPr="000A190F">
        <w:t xml:space="preserve"> of assessment within the university experience</w:t>
      </w:r>
      <w:r>
        <w:t xml:space="preserve"> for students and staff</w:t>
      </w:r>
      <w:r w:rsidR="004A73C4" w:rsidRPr="000A190F">
        <w:t xml:space="preserve"> </w:t>
      </w:r>
      <w:r>
        <w:rPr>
          <w:rStyle w:val="DHSCRevisionChar"/>
          <w:rFonts w:cs="Arial"/>
        </w:rPr>
        <w:t>or th</w:t>
      </w:r>
      <w:r>
        <w:rPr>
          <w:rStyle w:val="DHSCRevisionChar"/>
          <w:rFonts w:cs="Arial"/>
          <w:lang w:val="en-GB"/>
        </w:rPr>
        <w:t xml:space="preserve">at it </w:t>
      </w:r>
      <w:r w:rsidRPr="000A190F">
        <w:rPr>
          <w:rStyle w:val="DHSCRevisionChar"/>
          <w:rFonts w:cs="Arial"/>
        </w:rPr>
        <w:t>consumes</w:t>
      </w:r>
      <w:r w:rsidRPr="000A190F">
        <w:t xml:space="preserve"> </w:t>
      </w:r>
      <w:r w:rsidR="004A73C4" w:rsidRPr="000A190F">
        <w:t xml:space="preserve">considerable and time </w:t>
      </w:r>
      <w:r>
        <w:t xml:space="preserve">and </w:t>
      </w:r>
      <w:r w:rsidRPr="000A190F">
        <w:t>effort</w:t>
      </w:r>
      <w:r>
        <w:t xml:space="preserve"> for all concerned </w:t>
      </w:r>
      <w:r w:rsidR="004A73C4" w:rsidRPr="000A190F">
        <w:t>(</w:t>
      </w:r>
      <w:r w:rsidR="00A27A3D" w:rsidRPr="000A190F">
        <w:t>Bloxham, Boyd and Orr 2011</w:t>
      </w:r>
      <w:r w:rsidR="004A73C4" w:rsidRPr="000A190F">
        <w:t xml:space="preserve">). </w:t>
      </w:r>
      <w:r w:rsidR="004A73C4" w:rsidRPr="000A190F">
        <w:rPr>
          <w:rStyle w:val="DHSCRevisionChar"/>
          <w:rFonts w:cs="Arial"/>
          <w:szCs w:val="24"/>
        </w:rPr>
        <w:t>M</w:t>
      </w:r>
      <w:r w:rsidR="004A73C4" w:rsidRPr="000A190F">
        <w:t xml:space="preserve">arking, as a key element of assessment can be </w:t>
      </w:r>
      <w:r w:rsidR="004A73C4" w:rsidRPr="000A190F">
        <w:rPr>
          <w:i/>
        </w:rPr>
        <w:t>“the most significant quality event in the lives of students and academics”</w:t>
      </w:r>
      <w:r w:rsidR="004A73C4" w:rsidRPr="000A190F">
        <w:t xml:space="preserve"> (Flemming, 1999:83) and one that carries an emotional burden for lecturers as they bring “</w:t>
      </w:r>
      <w:r w:rsidR="004A73C4" w:rsidRPr="000A190F">
        <w:rPr>
          <w:i/>
        </w:rPr>
        <w:t>a great deal of themselves to the process</w:t>
      </w:r>
      <w:r w:rsidR="004A73C4" w:rsidRPr="000A190F">
        <w:t>” (Hand and Clewes, 2000:12). However, assessment and marking are often regarded as chores (Smi</w:t>
      </w:r>
      <w:r w:rsidR="00193CBD">
        <w:t xml:space="preserve">th and Coombe, 2006), </w:t>
      </w:r>
      <w:r w:rsidR="00193CBD" w:rsidRPr="000A190F">
        <w:t>disliked by both students and teachers (Gibbs and Simpson, 2004</w:t>
      </w:r>
      <w:r w:rsidR="00193CBD">
        <w:t>), and v</w:t>
      </w:r>
      <w:r w:rsidR="004A73C4" w:rsidRPr="000A190F">
        <w:t xml:space="preserve">iewed as </w:t>
      </w:r>
      <w:r w:rsidR="00A27A3D" w:rsidRPr="000A190F">
        <w:t>a task</w:t>
      </w:r>
      <w:r w:rsidR="004A73C4" w:rsidRPr="000A190F">
        <w:t xml:space="preserve"> for completion rather than </w:t>
      </w:r>
      <w:r w:rsidR="00A27A3D" w:rsidRPr="000A190F">
        <w:t>a learning opportunity</w:t>
      </w:r>
      <w:r w:rsidR="004A73C4" w:rsidRPr="000A190F">
        <w:t xml:space="preserve">, </w:t>
      </w:r>
      <w:r w:rsidR="00A27A3D" w:rsidRPr="000A190F">
        <w:t xml:space="preserve">that </w:t>
      </w:r>
      <w:r w:rsidR="003D7961" w:rsidRPr="000A190F">
        <w:t xml:space="preserve">is </w:t>
      </w:r>
      <w:r w:rsidR="00A27A3D" w:rsidRPr="000A190F">
        <w:t>often</w:t>
      </w:r>
      <w:r w:rsidR="004A73C4" w:rsidRPr="000A190F">
        <w:t xml:space="preserve">.  </w:t>
      </w:r>
    </w:p>
    <w:p w:rsidR="009106BA" w:rsidRPr="00AC1B22" w:rsidRDefault="00193CBD" w:rsidP="009106BA">
      <w:r w:rsidRPr="000A190F">
        <w:t xml:space="preserve">For a novice academic, the first experience of marking can be as memorable as preparing for and giving their first teaching session. Yet, while academic reflections and narratives abound for the latter, there is a paucity of literature regarding the former. </w:t>
      </w:r>
      <w:r w:rsidR="009106BA" w:rsidRPr="003E4C13">
        <w:t>A recurring theme in the professional development of newly appointed academics is the need for support and instruction in the practical aspects of teaching such as marking (Garrow and Tawse, 2009</w:t>
      </w:r>
      <w:r w:rsidR="009106BA">
        <w:t>;</w:t>
      </w:r>
      <w:r w:rsidR="009106BA" w:rsidRPr="0040320D">
        <w:t xml:space="preserve"> </w:t>
      </w:r>
      <w:r w:rsidR="009106BA" w:rsidRPr="003E4C13">
        <w:t>Jawitze, 2007; LaRocco and Bruns, 2006; M</w:t>
      </w:r>
      <w:r w:rsidR="009106BA">
        <w:t>cArthur-Rouse, 2008</w:t>
      </w:r>
      <w:r w:rsidR="009106BA" w:rsidRPr="003E4C13">
        <w:t xml:space="preserve">). </w:t>
      </w:r>
      <w:r w:rsidR="009106BA" w:rsidRPr="00AC1B22">
        <w:rPr>
          <w:rStyle w:val="NoSpacingChar"/>
          <w:rFonts w:eastAsia="Calibri"/>
        </w:rPr>
        <w:t xml:space="preserve">All </w:t>
      </w:r>
      <w:r w:rsidR="009106BA" w:rsidRPr="00AC1B22">
        <w:t xml:space="preserve">newly appointed academics being inducted into higher education in the </w:t>
      </w:r>
      <w:r w:rsidR="00300087">
        <w:t xml:space="preserve">UK </w:t>
      </w:r>
      <w:r w:rsidR="009106BA" w:rsidRPr="00AC1B22">
        <w:t xml:space="preserve">are required to attend an accredited programme to support their transition into higher education. </w:t>
      </w:r>
      <w:r w:rsidR="009106BA" w:rsidRPr="00AC1B22">
        <w:rPr>
          <w:rStyle w:val="NoSpacingChar"/>
          <w:rFonts w:eastAsia="Calibri"/>
        </w:rPr>
        <w:t>Successful completion of such programmes has become an accepted standard and is often a requirement of probation (Comber and Walsh, 2008; Orr-Ewing, Simmons and Taylor, 2008).</w:t>
      </w:r>
      <w:r w:rsidR="009106BA" w:rsidRPr="00AC1B22">
        <w:t xml:space="preserve"> However, there has been limited exploration of the marking aspect</w:t>
      </w:r>
      <w:r w:rsidR="007125D8">
        <w:t>s</w:t>
      </w:r>
      <w:r w:rsidR="009106BA" w:rsidRPr="00AC1B22">
        <w:t xml:space="preserve"> of teaching and learning within academic development programmes as these often treat assessment as separate </w:t>
      </w:r>
      <w:r w:rsidR="009106BA" w:rsidRPr="00AC1B22">
        <w:rPr>
          <w:rStyle w:val="DHSCRevisionChar"/>
        </w:rPr>
        <w:t>from</w:t>
      </w:r>
      <w:r w:rsidR="009106BA" w:rsidRPr="00AC1B22">
        <w:t xml:space="preserve"> teaching and learning (Stefani, 2004). </w:t>
      </w:r>
      <w:r w:rsidR="009106BA" w:rsidRPr="00AC1B22">
        <w:rPr>
          <w:rStyle w:val="DHSCRevisionChar"/>
        </w:rPr>
        <w:t>Therefore, offering little to assist a ‘new academic’ with the processes of assessment and marking of written assignments.</w:t>
      </w:r>
    </w:p>
    <w:p w:rsidR="001E0501" w:rsidRPr="00AC1B22" w:rsidRDefault="00193CBD" w:rsidP="001E0501">
      <w:r w:rsidRPr="000A190F">
        <w:rPr>
          <w:rStyle w:val="DHSCRevisionChar"/>
          <w:rFonts w:cs="Arial"/>
        </w:rPr>
        <w:lastRenderedPageBreak/>
        <w:t xml:space="preserve">Through </w:t>
      </w:r>
      <w:r w:rsidRPr="000A190F">
        <w:rPr>
          <w:rStyle w:val="DHSCRevisionChar"/>
          <w:rFonts w:cs="Arial"/>
          <w:lang w:val="en-GB"/>
        </w:rPr>
        <w:t xml:space="preserve">this study </w:t>
      </w:r>
      <w:r w:rsidRPr="000A190F">
        <w:rPr>
          <w:rStyle w:val="DHSCRevisionChar"/>
          <w:rFonts w:cs="Arial"/>
        </w:rPr>
        <w:t>I</w:t>
      </w:r>
      <w:r w:rsidR="00300087">
        <w:rPr>
          <w:rStyle w:val="DHSCRevisionChar"/>
          <w:rFonts w:cs="Arial"/>
          <w:lang w:val="en-GB"/>
        </w:rPr>
        <w:t xml:space="preserve"> hope to</w:t>
      </w:r>
      <w:r w:rsidRPr="000A190F">
        <w:rPr>
          <w:rStyle w:val="DHSCRevisionChar"/>
          <w:rFonts w:cs="Arial"/>
        </w:rPr>
        <w:t xml:space="preserve"> begin to address this lack of literature </w:t>
      </w:r>
      <w:r>
        <w:rPr>
          <w:rStyle w:val="DHSCRevisionChar"/>
          <w:rFonts w:cs="Arial"/>
          <w:lang w:val="en-GB"/>
        </w:rPr>
        <w:t>by</w:t>
      </w:r>
      <w:r w:rsidRPr="000A190F">
        <w:rPr>
          <w:rStyle w:val="DHSCRevisionChar"/>
          <w:rFonts w:cs="Arial"/>
          <w:lang w:val="en-GB"/>
        </w:rPr>
        <w:t xml:space="preserve"> sharing the </w:t>
      </w:r>
      <w:r w:rsidRPr="000A190F">
        <w:rPr>
          <w:rStyle w:val="DHSCRevisionChar"/>
          <w:rFonts w:cs="Arial"/>
        </w:rPr>
        <w:t>experiences of six newly appointed academics as they beg</w:t>
      </w:r>
      <w:r w:rsidRPr="000A190F">
        <w:rPr>
          <w:rStyle w:val="DHSCRevisionChar"/>
          <w:rFonts w:cs="Arial"/>
          <w:lang w:val="en-GB"/>
        </w:rPr>
        <w:t>an</w:t>
      </w:r>
      <w:r w:rsidRPr="000A190F">
        <w:rPr>
          <w:rStyle w:val="DHSCRevisionChar"/>
          <w:rFonts w:cs="Arial"/>
        </w:rPr>
        <w:t xml:space="preserve"> to mark. </w:t>
      </w:r>
      <w:r w:rsidR="00357CA9" w:rsidRPr="000A190F">
        <w:t>T</w:t>
      </w:r>
      <w:r w:rsidR="00357CA9" w:rsidRPr="000A190F">
        <w:rPr>
          <w:rStyle w:val="NoSpacingChar"/>
          <w:rFonts w:eastAsia="Calibri" w:cs="Arial"/>
        </w:rPr>
        <w:t xml:space="preserve">he aim of the study was the exploration of the lived experience of newly appointed academics </w:t>
      </w:r>
      <w:r w:rsidR="00357CA9" w:rsidRPr="000A190F">
        <w:t xml:space="preserve">within a post 1992 university </w:t>
      </w:r>
      <w:r w:rsidR="00357CA9" w:rsidRPr="000A190F">
        <w:rPr>
          <w:rStyle w:val="NoSpacingChar"/>
          <w:rFonts w:eastAsia="Calibri" w:cs="Arial"/>
        </w:rPr>
        <w:t xml:space="preserve">to gain an insight into the phenomena of being new and marking.  </w:t>
      </w:r>
      <w:r w:rsidR="001E0501" w:rsidRPr="00AC1B22">
        <w:t>The term</w:t>
      </w:r>
      <w:r w:rsidR="001E0501">
        <w:t xml:space="preserve"> ‘marks’ and ‘grades</w:t>
      </w:r>
      <w:r w:rsidR="001E0501" w:rsidRPr="00AC1B22">
        <w:t xml:space="preserve">’ are used interchangeably throughout </w:t>
      </w:r>
      <w:r w:rsidR="001E0501">
        <w:t xml:space="preserve">the paper </w:t>
      </w:r>
      <w:r w:rsidR="001E0501" w:rsidRPr="00AC1B22">
        <w:t>in r</w:t>
      </w:r>
      <w:r w:rsidR="001E0501">
        <w:t>ecognition of the use of these terms to describe the act and result of assessment.</w:t>
      </w:r>
    </w:p>
    <w:p w:rsidR="000B1C7A" w:rsidRPr="000A190F" w:rsidRDefault="00D11886" w:rsidP="000B1C7A">
      <w:pPr>
        <w:pStyle w:val="Heading2"/>
        <w:rPr>
          <w:rFonts w:cs="Arial"/>
        </w:rPr>
      </w:pPr>
      <w:r w:rsidRPr="000A190F">
        <w:rPr>
          <w:rFonts w:cs="Arial"/>
        </w:rPr>
        <w:t>Research Question</w:t>
      </w:r>
    </w:p>
    <w:p w:rsidR="00685BD2" w:rsidRPr="000A190F" w:rsidRDefault="00685BD2" w:rsidP="00685BD2">
      <w:pPr>
        <w:numPr>
          <w:ilvl w:val="0"/>
          <w:numId w:val="1"/>
        </w:numPr>
        <w:spacing w:after="0"/>
        <w:rPr>
          <w:rFonts w:cs="Arial"/>
          <w:szCs w:val="24"/>
        </w:rPr>
      </w:pPr>
      <w:r w:rsidRPr="000A190F">
        <w:rPr>
          <w:rFonts w:cs="Arial"/>
          <w:szCs w:val="24"/>
        </w:rPr>
        <w:t xml:space="preserve">What are the lived experiences of newly appointed academics when they are marking student coursework?  </w:t>
      </w:r>
    </w:p>
    <w:p w:rsidR="00685BD2" w:rsidRPr="000A190F" w:rsidRDefault="00685BD2" w:rsidP="00685BD2">
      <w:pPr>
        <w:numPr>
          <w:ilvl w:val="0"/>
          <w:numId w:val="1"/>
        </w:numPr>
        <w:spacing w:after="0"/>
        <w:rPr>
          <w:rFonts w:cs="Arial"/>
          <w:szCs w:val="24"/>
        </w:rPr>
      </w:pPr>
      <w:r w:rsidRPr="000A190F">
        <w:rPr>
          <w:rFonts w:cs="Arial"/>
          <w:szCs w:val="24"/>
        </w:rPr>
        <w:t>Are there lived experiences that alter a newly appointed academic’s perception of student assessment?</w:t>
      </w:r>
    </w:p>
    <w:p w:rsidR="00C36299" w:rsidRPr="000A190F" w:rsidRDefault="00C36299" w:rsidP="00C36299">
      <w:pPr>
        <w:pStyle w:val="Heading2"/>
        <w:rPr>
          <w:rFonts w:cs="Arial"/>
        </w:rPr>
      </w:pPr>
      <w:r w:rsidRPr="000A190F">
        <w:rPr>
          <w:rFonts w:cs="Arial"/>
        </w:rPr>
        <w:t>Method</w:t>
      </w:r>
    </w:p>
    <w:p w:rsidR="001E0501" w:rsidRPr="00AC1B22" w:rsidRDefault="00911D58" w:rsidP="001E0501">
      <w:pPr>
        <w:pStyle w:val="DHSCNormal"/>
      </w:pPr>
      <w:r w:rsidRPr="000A190F">
        <w:t xml:space="preserve">A Heideggerian </w:t>
      </w:r>
      <w:r w:rsidR="005E5C00" w:rsidRPr="000A190F">
        <w:t>interpretive phenomenological</w:t>
      </w:r>
      <w:r w:rsidRPr="000A190F">
        <w:t xml:space="preserve"> approach was used for the </w:t>
      </w:r>
      <w:r w:rsidR="005E5C00" w:rsidRPr="000A190F">
        <w:t xml:space="preserve">study </w:t>
      </w:r>
      <w:r w:rsidRPr="000A190F">
        <w:t xml:space="preserve">in keeping with </w:t>
      </w:r>
      <w:r w:rsidR="00D11886" w:rsidRPr="000A190F">
        <w:t>my aim</w:t>
      </w:r>
      <w:r w:rsidRPr="000A190F">
        <w:t xml:space="preserve"> to explore the lived experience of newly appointed academics. Heidegger’s </w:t>
      </w:r>
      <w:r w:rsidR="005E5C00" w:rsidRPr="000A190F">
        <w:t xml:space="preserve">philosophical influence throughout </w:t>
      </w:r>
      <w:r w:rsidRPr="000A190F">
        <w:t xml:space="preserve">the study </w:t>
      </w:r>
      <w:r w:rsidR="005E5C00" w:rsidRPr="000A190F">
        <w:t xml:space="preserve">ensured that </w:t>
      </w:r>
      <w:r w:rsidRPr="000A190F">
        <w:t xml:space="preserve">all aspects of </w:t>
      </w:r>
      <w:r w:rsidR="005E5C00" w:rsidRPr="000A190F">
        <w:t xml:space="preserve">the research was a journey rather than a predetermined process (Smythe </w:t>
      </w:r>
      <w:r w:rsidR="005E5C00" w:rsidRPr="000A190F">
        <w:rPr>
          <w:i/>
        </w:rPr>
        <w:t>et al</w:t>
      </w:r>
      <w:r w:rsidR="005E5C00" w:rsidRPr="000A190F">
        <w:t xml:space="preserve">. 2008): a journey that </w:t>
      </w:r>
      <w:r w:rsidR="00D1127B">
        <w:t xml:space="preserve">had a </w:t>
      </w:r>
      <w:r w:rsidR="005E5C00" w:rsidRPr="000A190F">
        <w:t>function of discovery (Heidegger</w:t>
      </w:r>
      <w:r w:rsidR="00D11886" w:rsidRPr="000A190F">
        <w:t>,</w:t>
      </w:r>
      <w:r w:rsidR="005E5C00" w:rsidRPr="000A190F">
        <w:t xml:space="preserve"> 1962)</w:t>
      </w:r>
      <w:r w:rsidRPr="000A190F">
        <w:t>.</w:t>
      </w:r>
      <w:r w:rsidR="006E4E99" w:rsidRPr="000A190F">
        <w:t xml:space="preserve"> </w:t>
      </w:r>
      <w:r w:rsidR="004E33F4" w:rsidRPr="000A190F">
        <w:t xml:space="preserve">In choosing interpretive phenomenology as the methodological and philosophical influences for this study, I committed to an approach which required a search for an understanding of being involved in marking as a new academic, rather than an understanding of what is known about marking. </w:t>
      </w:r>
    </w:p>
    <w:p w:rsidR="00D11886" w:rsidRDefault="00B415DE" w:rsidP="006E4E99">
      <w:r w:rsidRPr="000A190F">
        <w:t xml:space="preserve">Purposive sampling, using set inclusion and exclusion criteria ensured the selection of participants who had particular characteristics and were able to share their experiences of </w:t>
      </w:r>
      <w:r w:rsidRPr="000A190F">
        <w:rPr>
          <w:rStyle w:val="DHSCRevisionChar"/>
          <w:rFonts w:cs="Arial"/>
        </w:rPr>
        <w:t>marking as</w:t>
      </w:r>
      <w:r w:rsidRPr="000A190F">
        <w:t xml:space="preserve"> newly appointed academics. </w:t>
      </w:r>
      <w:r w:rsidR="00634F4C" w:rsidRPr="000A190F">
        <w:t xml:space="preserve">Three </w:t>
      </w:r>
      <w:r w:rsidR="005E4A11" w:rsidRPr="000A190F">
        <w:t xml:space="preserve">conversational </w:t>
      </w:r>
      <w:r w:rsidR="00634F4C" w:rsidRPr="000A190F">
        <w:t xml:space="preserve">interviews were </w:t>
      </w:r>
      <w:r w:rsidR="00685BD2" w:rsidRPr="000A190F">
        <w:t>undertaken with each of the six participants to facilitate</w:t>
      </w:r>
      <w:r w:rsidR="005E4A11" w:rsidRPr="000A190F">
        <w:t xml:space="preserve"> an in-depth exploration</w:t>
      </w:r>
      <w:r w:rsidR="00685BD2" w:rsidRPr="000A190F">
        <w:t xml:space="preserve"> of their temporal experience</w:t>
      </w:r>
      <w:r w:rsidR="00685BD2" w:rsidRPr="000A190F">
        <w:rPr>
          <w:rStyle w:val="DHSCRevisionChar"/>
          <w:rFonts w:cs="Arial"/>
        </w:rPr>
        <w:t>s</w:t>
      </w:r>
      <w:r w:rsidR="00685BD2" w:rsidRPr="000A190F">
        <w:t xml:space="preserve"> through repeated interviews as they</w:t>
      </w:r>
      <w:r w:rsidR="00634F4C" w:rsidRPr="000A190F">
        <w:t xml:space="preserve"> allow for explorations of meaning and experience and in-depth exploration of phenomena (</w:t>
      </w:r>
      <w:r w:rsidR="005E4A11" w:rsidRPr="000A190F">
        <w:t>Kvale and Brinkmann, 2009</w:t>
      </w:r>
      <w:r w:rsidR="00634F4C" w:rsidRPr="000A190F">
        <w:rPr>
          <w:rStyle w:val="DHSCRevisionChar"/>
          <w:rFonts w:cs="Arial"/>
        </w:rPr>
        <w:t>).</w:t>
      </w:r>
      <w:r w:rsidR="00634F4C" w:rsidRPr="000A190F">
        <w:t xml:space="preserve"> </w:t>
      </w:r>
      <w:r w:rsidR="00D1127B" w:rsidRPr="00AC1B22">
        <w:t xml:space="preserve">Interviews are the preferred method of data collection in </w:t>
      </w:r>
      <w:r w:rsidR="00D1127B" w:rsidRPr="00AC1B22">
        <w:rPr>
          <w:rStyle w:val="DHSCRevisionChar"/>
        </w:rPr>
        <w:t xml:space="preserve">a </w:t>
      </w:r>
      <w:r w:rsidR="00D1127B" w:rsidRPr="00AC1B22">
        <w:t xml:space="preserve">phenomenological enquiry as they allow for </w:t>
      </w:r>
      <w:r w:rsidR="00D1127B">
        <w:t xml:space="preserve">an </w:t>
      </w:r>
      <w:r w:rsidR="00D1127B" w:rsidRPr="00AC1B22">
        <w:t xml:space="preserve">in-depth exploration of </w:t>
      </w:r>
      <w:r w:rsidR="00D1127B">
        <w:t xml:space="preserve">experience </w:t>
      </w:r>
      <w:r w:rsidR="00D1127B" w:rsidRPr="00AC1B22">
        <w:t>(</w:t>
      </w:r>
      <w:r w:rsidR="00D1127B">
        <w:t>Norlyk and Harder, 2010</w:t>
      </w:r>
      <w:r w:rsidR="00D1127B" w:rsidRPr="00AC1B22">
        <w:rPr>
          <w:rStyle w:val="DHSCRevisionChar"/>
        </w:rPr>
        <w:t>).</w:t>
      </w:r>
      <w:r w:rsidR="00D1127B" w:rsidRPr="00AC1B22">
        <w:t xml:space="preserve"> </w:t>
      </w:r>
      <w:r w:rsidR="004E33F4">
        <w:t>Each interview</w:t>
      </w:r>
      <w:r w:rsidR="00634F4C" w:rsidRPr="000A190F">
        <w:t xml:space="preserve"> focused on asking participants to discuss their experiences of being </w:t>
      </w:r>
      <w:r w:rsidR="004E33F4">
        <w:t xml:space="preserve">new and </w:t>
      </w:r>
      <w:r w:rsidR="00634F4C" w:rsidRPr="000A190F">
        <w:t>involved in</w:t>
      </w:r>
      <w:r w:rsidR="004E33F4">
        <w:t xml:space="preserve"> assessment and</w:t>
      </w:r>
      <w:r w:rsidR="00634F4C" w:rsidRPr="000A190F">
        <w:t xml:space="preserve"> marking. </w:t>
      </w:r>
    </w:p>
    <w:p w:rsidR="003118EE" w:rsidRDefault="004E33F4" w:rsidP="006E4E99">
      <w:r w:rsidRPr="000A190F">
        <w:t xml:space="preserve">The University of the West of England’s ethics committee granted approval for the study, and each aspect of the study was undertaken with an awareness and respect of accepted ethical principles and guidance (BERA, 2004). </w:t>
      </w:r>
      <w:r w:rsidR="00634F4C" w:rsidRPr="000A190F">
        <w:t xml:space="preserve">The interviews were digitally recorded conversations </w:t>
      </w:r>
      <w:r w:rsidR="007E5241">
        <w:t xml:space="preserve">and </w:t>
      </w:r>
      <w:r w:rsidR="00634F4C" w:rsidRPr="000A190F">
        <w:t xml:space="preserve">transcribed verbatim. </w:t>
      </w:r>
      <w:r w:rsidR="00685BD2" w:rsidRPr="000A190F">
        <w:rPr>
          <w:rStyle w:val="RevisedTextChar"/>
          <w:rFonts w:cs="Arial"/>
          <w:color w:val="auto"/>
        </w:rPr>
        <w:t>Braun and Clarke’s (200</w:t>
      </w:r>
      <w:r w:rsidR="00B415DE" w:rsidRPr="000A190F">
        <w:rPr>
          <w:rStyle w:val="RevisedTextChar"/>
          <w:rFonts w:cs="Arial"/>
          <w:color w:val="auto"/>
        </w:rPr>
        <w:t xml:space="preserve">6) </w:t>
      </w:r>
      <w:r w:rsidR="00D11886" w:rsidRPr="000A190F">
        <w:rPr>
          <w:rStyle w:val="RevisedTextChar"/>
          <w:rFonts w:cs="Arial"/>
          <w:color w:val="auto"/>
          <w:lang w:val="en-GB"/>
        </w:rPr>
        <w:t xml:space="preserve">six </w:t>
      </w:r>
      <w:r w:rsidR="00B415DE" w:rsidRPr="000A190F">
        <w:rPr>
          <w:rStyle w:val="RevisedTextChar"/>
          <w:rFonts w:cs="Arial"/>
          <w:color w:val="auto"/>
        </w:rPr>
        <w:t xml:space="preserve">phases of thematic analysis </w:t>
      </w:r>
      <w:r w:rsidR="00685BD2" w:rsidRPr="000A190F">
        <w:rPr>
          <w:rStyle w:val="RevisedTextChar"/>
          <w:rFonts w:cs="Arial"/>
          <w:color w:val="auto"/>
        </w:rPr>
        <w:t>guided my approach as this</w:t>
      </w:r>
      <w:r w:rsidR="00D11886" w:rsidRPr="000A190F">
        <w:rPr>
          <w:rStyle w:val="RevisedTextChar"/>
          <w:rFonts w:cs="Arial"/>
          <w:color w:val="auto"/>
        </w:rPr>
        <w:t xml:space="preserve"> gave </w:t>
      </w:r>
      <w:r w:rsidR="00685BD2" w:rsidRPr="000A190F">
        <w:rPr>
          <w:rStyle w:val="RevisedTextChar"/>
          <w:rFonts w:cs="Arial"/>
          <w:color w:val="auto"/>
        </w:rPr>
        <w:t>a flexible structure to approach and re-visit the data.</w:t>
      </w:r>
      <w:r w:rsidR="00685BD2" w:rsidRPr="000A190F">
        <w:t xml:space="preserve"> </w:t>
      </w:r>
      <w:bookmarkStart w:id="1" w:name="_Toc353632583"/>
      <w:bookmarkStart w:id="2" w:name="_Ref347992319"/>
      <w:r w:rsidR="00B415DE" w:rsidRPr="000A190F">
        <w:rPr>
          <w:rStyle w:val="RevisedTextChar"/>
          <w:rFonts w:cs="Arial"/>
          <w:color w:val="auto"/>
        </w:rPr>
        <w:t>Through</w:t>
      </w:r>
      <w:r w:rsidR="00B415DE" w:rsidRPr="000A190F">
        <w:rPr>
          <w:rStyle w:val="DHSCRevisionChar"/>
          <w:rFonts w:cs="Arial"/>
        </w:rPr>
        <w:t xml:space="preserve"> </w:t>
      </w:r>
      <w:r w:rsidR="00D11886" w:rsidRPr="000A190F">
        <w:rPr>
          <w:rStyle w:val="DHSCRevisionChar"/>
          <w:rFonts w:cs="Arial"/>
          <w:lang w:val="en-GB"/>
        </w:rPr>
        <w:t xml:space="preserve">each </w:t>
      </w:r>
      <w:r w:rsidR="00B415DE" w:rsidRPr="000A190F">
        <w:rPr>
          <w:rStyle w:val="DHSCRevisionChar"/>
          <w:rFonts w:cs="Arial"/>
        </w:rPr>
        <w:t xml:space="preserve">immersion with the data </w:t>
      </w:r>
      <w:r w:rsidR="00B415DE" w:rsidRPr="000A190F">
        <w:rPr>
          <w:rStyle w:val="DHSCRevisionChar"/>
          <w:rFonts w:cs="Arial"/>
          <w:lang w:val="en-GB"/>
        </w:rPr>
        <w:t xml:space="preserve">I would </w:t>
      </w:r>
      <w:r w:rsidR="00B415DE" w:rsidRPr="000A190F">
        <w:rPr>
          <w:rStyle w:val="RevisedTextChar"/>
          <w:rFonts w:cs="Arial"/>
          <w:color w:val="auto"/>
        </w:rPr>
        <w:t xml:space="preserve">read, re-read, listen and re-listen to each of the interviews </w:t>
      </w:r>
      <w:r w:rsidR="00B415DE" w:rsidRPr="000A190F">
        <w:rPr>
          <w:rStyle w:val="RevisedTextChar"/>
          <w:rFonts w:cs="Arial"/>
          <w:color w:val="auto"/>
          <w:lang w:val="en-GB"/>
        </w:rPr>
        <w:t xml:space="preserve">with an aim </w:t>
      </w:r>
      <w:r w:rsidR="00B415DE" w:rsidRPr="000A190F">
        <w:rPr>
          <w:rStyle w:val="RevisedTextChar"/>
          <w:rFonts w:cs="Arial"/>
          <w:color w:val="auto"/>
        </w:rPr>
        <w:t>to</w:t>
      </w:r>
      <w:r w:rsidR="00B415DE" w:rsidRPr="000A190F">
        <w:rPr>
          <w:rStyle w:val="DHSCRevisionChar"/>
          <w:rFonts w:cs="Arial"/>
        </w:rPr>
        <w:t xml:space="preserve"> </w:t>
      </w:r>
      <w:r w:rsidR="00B415DE" w:rsidRPr="000A190F">
        <w:rPr>
          <w:rStyle w:val="RevisedTextChar"/>
          <w:rFonts w:cs="Arial"/>
          <w:color w:val="auto"/>
        </w:rPr>
        <w:t>preserve the uniqueness of</w:t>
      </w:r>
      <w:r w:rsidR="00D11886" w:rsidRPr="000A190F">
        <w:rPr>
          <w:rStyle w:val="RevisedTextChar"/>
          <w:rFonts w:cs="Arial"/>
          <w:color w:val="auto"/>
          <w:lang w:val="en-GB"/>
        </w:rPr>
        <w:t xml:space="preserve"> the </w:t>
      </w:r>
      <w:r w:rsidR="00B415DE" w:rsidRPr="000A190F">
        <w:rPr>
          <w:rStyle w:val="RevisedTextChar"/>
          <w:rFonts w:cs="Arial"/>
          <w:color w:val="auto"/>
        </w:rPr>
        <w:t>participant’s experience, while at the same time permitting an understanding of the sen</w:t>
      </w:r>
      <w:r w:rsidR="00D11886" w:rsidRPr="000A190F">
        <w:rPr>
          <w:rStyle w:val="RevisedTextChar"/>
          <w:rFonts w:cs="Arial"/>
          <w:color w:val="auto"/>
        </w:rPr>
        <w:t>se of marking as a new academic</w:t>
      </w:r>
      <w:r w:rsidR="00B415DE" w:rsidRPr="000A190F">
        <w:rPr>
          <w:rStyle w:val="RevisedTextChar"/>
          <w:rFonts w:cs="Arial"/>
          <w:color w:val="auto"/>
        </w:rPr>
        <w:t xml:space="preserve">. </w:t>
      </w:r>
      <w:r w:rsidR="00B415DE" w:rsidRPr="000A190F">
        <w:t xml:space="preserve">The intention within my analysis </w:t>
      </w:r>
      <w:r w:rsidR="00B415DE" w:rsidRPr="000A190F">
        <w:rPr>
          <w:rStyle w:val="RevisedTextChar"/>
          <w:rFonts w:cs="Arial"/>
          <w:color w:val="auto"/>
        </w:rPr>
        <w:t>was</w:t>
      </w:r>
      <w:r w:rsidR="00B415DE" w:rsidRPr="000A190F">
        <w:t xml:space="preserve"> to produce texts which interpreted rich and evocative descriptions of actions, behaviours, intentions, and experiences evoking a ‘</w:t>
      </w:r>
      <w:r w:rsidR="00B415DE" w:rsidRPr="000A190F">
        <w:rPr>
          <w:i/>
        </w:rPr>
        <w:t>phenomenological nod’</w:t>
      </w:r>
      <w:r w:rsidR="00B415DE" w:rsidRPr="000A190F">
        <w:t xml:space="preserve"> that might resonate with others (</w:t>
      </w:r>
      <w:r w:rsidR="00116349" w:rsidRPr="000A190F">
        <w:t>Ajjawi and Higgs, 2007</w:t>
      </w:r>
      <w:r w:rsidR="00D11886" w:rsidRPr="000A190F">
        <w:t>).</w:t>
      </w:r>
      <w:r>
        <w:t xml:space="preserve"> </w:t>
      </w:r>
      <w:r w:rsidRPr="00A92EC2">
        <w:t xml:space="preserve">Therefore, in line with the phenomenological </w:t>
      </w:r>
      <w:r w:rsidR="00A92EC2" w:rsidRPr="00A92EC2">
        <w:t xml:space="preserve">philosophical and methodological </w:t>
      </w:r>
      <w:r w:rsidRPr="00A92EC2">
        <w:t xml:space="preserve">influences </w:t>
      </w:r>
      <w:r w:rsidR="00A92EC2" w:rsidRPr="00A92EC2">
        <w:t xml:space="preserve">of the study </w:t>
      </w:r>
      <w:r w:rsidR="00A92EC2" w:rsidRPr="00A92EC2">
        <w:lastRenderedPageBreak/>
        <w:t>participants’ experiences are shared within this paper through verbatim quotes</w:t>
      </w:r>
      <w:r w:rsidR="005822AE">
        <w:t xml:space="preserve"> that are interwoven into the discussions and findings </w:t>
      </w:r>
      <w:r w:rsidR="003118EE">
        <w:t>to</w:t>
      </w:r>
      <w:r w:rsidR="00A92EC2" w:rsidRPr="00A92EC2">
        <w:t xml:space="preserve"> represent the </w:t>
      </w:r>
      <w:r w:rsidR="003118EE">
        <w:t xml:space="preserve">experiences of </w:t>
      </w:r>
      <w:r w:rsidR="003118EE" w:rsidRPr="000A190F">
        <w:t>being-</w:t>
      </w:r>
      <w:r w:rsidR="003118EE">
        <w:t>new-</w:t>
      </w:r>
      <w:r w:rsidR="003118EE" w:rsidRPr="000A190F">
        <w:t>in-the-world-of-marking</w:t>
      </w:r>
      <w:r w:rsidR="003118EE">
        <w:t>.</w:t>
      </w:r>
    </w:p>
    <w:bookmarkEnd w:id="1"/>
    <w:bookmarkEnd w:id="2"/>
    <w:p w:rsidR="00C36299" w:rsidRPr="000A190F" w:rsidRDefault="00C36299" w:rsidP="00C36299">
      <w:pPr>
        <w:pStyle w:val="Heading2"/>
        <w:rPr>
          <w:rFonts w:cs="Arial"/>
        </w:rPr>
      </w:pPr>
      <w:r w:rsidRPr="000A190F">
        <w:rPr>
          <w:rFonts w:cs="Arial"/>
        </w:rPr>
        <w:t>Findings and discussion</w:t>
      </w:r>
    </w:p>
    <w:p w:rsidR="003E0BE9" w:rsidRPr="000A190F" w:rsidRDefault="00DB7C30" w:rsidP="003E0BE9">
      <w:pPr>
        <w:rPr>
          <w:rStyle w:val="DHSCRevisionChar"/>
          <w:lang w:val="en-GB"/>
        </w:rPr>
      </w:pPr>
      <w:bookmarkStart w:id="3" w:name="_Toc366421707"/>
      <w:r w:rsidRPr="000A190F">
        <w:rPr>
          <w:rStyle w:val="DHSCRevisionChar"/>
        </w:rPr>
        <w:t xml:space="preserve">One of the challenges of assessment processes in higher education is that everyone who has been through it </w:t>
      </w:r>
      <w:r w:rsidRPr="000A190F">
        <w:rPr>
          <w:rStyle w:val="DHSCRevisionChar"/>
          <w:i/>
        </w:rPr>
        <w:t xml:space="preserve">“has picked up approaches to it, by observing what colleagues do” </w:t>
      </w:r>
      <w:r w:rsidRPr="000A190F">
        <w:rPr>
          <w:rStyle w:val="DHSCRevisionChar"/>
        </w:rPr>
        <w:t>(Koh, 2010:208).</w:t>
      </w:r>
      <w:r w:rsidRPr="000A190F">
        <w:rPr>
          <w:szCs w:val="24"/>
        </w:rPr>
        <w:t xml:space="preserve"> </w:t>
      </w:r>
      <w:r w:rsidRPr="000A190F">
        <w:t xml:space="preserve">When discussing the practical aspects of marking, the participants would </w:t>
      </w:r>
      <w:r w:rsidR="003E0BE9" w:rsidRPr="000A190F">
        <w:t xml:space="preserve">often </w:t>
      </w:r>
      <w:r w:rsidRPr="000A190F">
        <w:t xml:space="preserve">use the interviews as opportunities to voice their developing understanding and critical observations of their own and others marking practices. </w:t>
      </w:r>
      <w:r w:rsidR="004E33F4">
        <w:t xml:space="preserve">This is </w:t>
      </w:r>
      <w:r w:rsidR="004E33F4" w:rsidRPr="000A190F">
        <w:rPr>
          <w:rStyle w:val="DHSCRevisionChar"/>
        </w:rPr>
        <w:t>consistent</w:t>
      </w:r>
      <w:r w:rsidRPr="000A190F">
        <w:rPr>
          <w:rStyle w:val="DHSCRevisionChar"/>
        </w:rPr>
        <w:t xml:space="preserve"> with a study by</w:t>
      </w:r>
      <w:r w:rsidRPr="000A190F">
        <w:t xml:space="preserve"> Siler and Kleiner’s (2001), </w:t>
      </w:r>
      <w:r w:rsidR="004E33F4">
        <w:t xml:space="preserve">where </w:t>
      </w:r>
      <w:r w:rsidRPr="000A190F">
        <w:t xml:space="preserve">participants </w:t>
      </w:r>
      <w:r w:rsidR="004E33F4">
        <w:t xml:space="preserve">similarly </w:t>
      </w:r>
      <w:r w:rsidRPr="000A190F">
        <w:t>expressed surprise at the amount of m</w:t>
      </w:r>
      <w:r w:rsidR="00A92EC2">
        <w:t>arking that they had been given</w:t>
      </w:r>
      <w:r w:rsidRPr="000A190F">
        <w:t xml:space="preserve">. </w:t>
      </w:r>
      <w:r w:rsidRPr="000A190F">
        <w:rPr>
          <w:rStyle w:val="DHSCRevisionChar"/>
        </w:rPr>
        <w:t xml:space="preserve">During each of the interviews, the allocation and planning of marking was frequently the topic of conversation. </w:t>
      </w:r>
    </w:p>
    <w:p w:rsidR="00DB7C30" w:rsidRPr="000A190F" w:rsidRDefault="00DB7C30" w:rsidP="003E0BE9">
      <w:pPr>
        <w:pStyle w:val="Quote"/>
        <w:rPr>
          <w:i w:val="0"/>
          <w:color w:val="auto"/>
          <w:szCs w:val="24"/>
        </w:rPr>
      </w:pPr>
      <w:r w:rsidRPr="000A190F">
        <w:rPr>
          <w:i w:val="0"/>
          <w:color w:val="auto"/>
        </w:rPr>
        <w:t xml:space="preserve">I just think all of the paperwork that has been put in front of me. You want to do this and you need to do that and don’t do this and don’t do that and. So far I have not been able to achieve half of what people have sort of said to me but I just think it will come. You know it will be done. I got a list of what I need to do, prioritise same as on the ward, you prioritise and that can change from one hour to another you may have to change your priorities. That is how I look at it, if it gets done, it gets done, but sometimes it won’t get done and as long as it is not an essential. </w:t>
      </w:r>
      <w:r w:rsidRPr="000A190F">
        <w:rPr>
          <w:i w:val="0"/>
          <w:color w:val="auto"/>
          <w:szCs w:val="24"/>
        </w:rPr>
        <w:t>(Mary: 1.1.42/1.1.43/1.1.44/1.1.45).</w:t>
      </w:r>
    </w:p>
    <w:p w:rsidR="00DB7C30" w:rsidRPr="000A190F" w:rsidRDefault="00DB7C30" w:rsidP="00DB7C30">
      <w:r w:rsidRPr="000A190F">
        <w:t xml:space="preserve">Alison’s reflection on </w:t>
      </w:r>
      <w:r w:rsidRPr="000A190F">
        <w:rPr>
          <w:rStyle w:val="DHSCRevisionChar"/>
        </w:rPr>
        <w:t xml:space="preserve">her </w:t>
      </w:r>
      <w:r w:rsidRPr="000A190F">
        <w:t xml:space="preserve">first year shared how she was still developing ways to manage </w:t>
      </w:r>
      <w:r w:rsidRPr="000A190F">
        <w:rPr>
          <w:rStyle w:val="DHSCRevisionChar"/>
        </w:rPr>
        <w:t>the</w:t>
      </w:r>
      <w:r w:rsidRPr="000A190F">
        <w:t xml:space="preserve"> fluctuating workloads that she had </w:t>
      </w:r>
      <w:r w:rsidR="007E5241" w:rsidRPr="000A190F">
        <w:t>experienced,</w:t>
      </w:r>
      <w:r w:rsidR="007E5241">
        <w:t xml:space="preserve"> as she was not familiar with the assessment timescales of the modules that she was teaching in</w:t>
      </w:r>
      <w:r w:rsidRPr="000A190F">
        <w:t>.</w:t>
      </w:r>
    </w:p>
    <w:p w:rsidR="00DB7C30" w:rsidRPr="000A190F" w:rsidRDefault="00DB7C30" w:rsidP="00DB7C30">
      <w:pPr>
        <w:pStyle w:val="Quote"/>
        <w:keepLines w:val="0"/>
        <w:rPr>
          <w:i w:val="0"/>
          <w:color w:val="auto"/>
        </w:rPr>
      </w:pPr>
      <w:r w:rsidRPr="000A190F">
        <w:rPr>
          <w:i w:val="0"/>
          <w:color w:val="auto"/>
        </w:rPr>
        <w:t>I think one of the things which I still haven’t got quite on board. I need to write down the times when the marking is coming. Because I was not aware of when they were. A colleague of mine said the same thing. We had no idea when the marking is because when you go onto a module it is ‘oh yes, come onto my module, do this, do that’. But nobody actually if you are new to the whole system, nobody actually says well of course in May and in June or April/May you are going to have all of this marking. You don’t realise until a couple of weeks before and well, these are coming in, and that coming in. I have learnt now that I have got to look and write down when I am going to be marking. (Alison: 2.3.154/2.3.155).</w:t>
      </w:r>
    </w:p>
    <w:p w:rsidR="00DB7C30" w:rsidRPr="000A190F" w:rsidRDefault="00DB7C30" w:rsidP="00DB7C30">
      <w:r w:rsidRPr="000A190F">
        <w:t>When first marking, particip</w:t>
      </w:r>
      <w:r w:rsidR="007E5241">
        <w:t xml:space="preserve">ants attempted to mark in the </w:t>
      </w:r>
      <w:r w:rsidRPr="000A190F">
        <w:t>offices</w:t>
      </w:r>
      <w:r w:rsidR="007E5241">
        <w:t xml:space="preserve"> that they shared with other staff</w:t>
      </w:r>
      <w:r w:rsidRPr="000A190F">
        <w:t xml:space="preserve"> but found this distracting, nevertheless there was a sense of uncertainty about marking off campus or at home. Participants expressed a sense of uncertainty about the need to seek permission to mark at home as the level of autonomy in relation to when and where to work was a concept with which they were unfamiliar in their previous roles. </w:t>
      </w:r>
    </w:p>
    <w:p w:rsidR="00DB7C30" w:rsidRPr="000A190F" w:rsidRDefault="00DB7C30" w:rsidP="00DB7C30">
      <w:pPr>
        <w:pStyle w:val="Quote"/>
        <w:rPr>
          <w:i w:val="0"/>
          <w:color w:val="auto"/>
        </w:rPr>
      </w:pPr>
      <w:r w:rsidRPr="000A190F">
        <w:rPr>
          <w:i w:val="0"/>
          <w:color w:val="auto"/>
        </w:rPr>
        <w:lastRenderedPageBreak/>
        <w:t>I have been given very clear advice about slotting it in my diary marking days. I am assuming everybody does. But I guess as you get nearer to those days it is very easy to put something else in. And think well the marking will slip …a lot of the marking gets done at home. I mean actually it is good place to do the marking at home because you don’t have the same distraction. But I think a lot of the marking gets done in home in personal time at home. (Fifi: 3.2.30).</w:t>
      </w:r>
    </w:p>
    <w:p w:rsidR="004708AD" w:rsidRPr="000A190F" w:rsidRDefault="003118EE" w:rsidP="004708AD">
      <w:r>
        <w:t>P</w:t>
      </w:r>
      <w:r w:rsidR="004708AD" w:rsidRPr="000A190F">
        <w:t xml:space="preserve">articipants </w:t>
      </w:r>
      <w:r>
        <w:t>expressed surprise at</w:t>
      </w:r>
      <w:r w:rsidR="004708AD" w:rsidRPr="000A190F">
        <w:t xml:space="preserve"> the subjective and external factors</w:t>
      </w:r>
      <w:r>
        <w:t xml:space="preserve"> that </w:t>
      </w:r>
      <w:r w:rsidR="004708AD" w:rsidRPr="000A190F">
        <w:t xml:space="preserve">they felt could influence their </w:t>
      </w:r>
      <w:r w:rsidRPr="000A190F">
        <w:t>judgements,</w:t>
      </w:r>
      <w:r>
        <w:t xml:space="preserve"> as this was not an aspect of assessment that they had previously explored or experiences</w:t>
      </w:r>
      <w:r w:rsidR="004708AD" w:rsidRPr="000A190F">
        <w:t xml:space="preserve">. Marking as a judgement and the role of judgement in markers’ decision making receives ‘scant attention’ despite frequently cited concerns about the reliability of marking (Brooks, 2012). </w:t>
      </w:r>
      <w:r w:rsidR="004708AD" w:rsidRPr="000A190F">
        <w:rPr>
          <w:rStyle w:val="DHSCRevisionChar"/>
        </w:rPr>
        <w:t>Marking coursework</w:t>
      </w:r>
      <w:r w:rsidR="004708AD" w:rsidRPr="000A190F">
        <w:t xml:space="preserve"> involves more than </w:t>
      </w:r>
      <w:r w:rsidR="004708AD" w:rsidRPr="000A190F">
        <w:rPr>
          <w:rStyle w:val="DHSCRevisionChar"/>
        </w:rPr>
        <w:t xml:space="preserve">mere </w:t>
      </w:r>
      <w:r w:rsidR="004708AD" w:rsidRPr="000A190F">
        <w:t xml:space="preserve">checking for accuracy of content or for achievement against set criteria </w:t>
      </w:r>
      <w:r w:rsidR="004708AD" w:rsidRPr="000A190F">
        <w:rPr>
          <w:rStyle w:val="DHSCRevisionChar"/>
        </w:rPr>
        <w:t>and learning outcomes.</w:t>
      </w:r>
      <w:r w:rsidR="004708AD" w:rsidRPr="000A190F">
        <w:t xml:space="preserve"> Students’ academic and scholarship skills are also under scrutiny to ensure they have the ability to express themselves adequately. This introduces a subjective element which can affect the reliability of assessment  as </w:t>
      </w:r>
      <w:r w:rsidR="004708AD" w:rsidRPr="000A190F">
        <w:rPr>
          <w:rStyle w:val="DHSCRevisionChar"/>
        </w:rPr>
        <w:t xml:space="preserve">this </w:t>
      </w:r>
      <w:r w:rsidR="004708AD" w:rsidRPr="000A190F">
        <w:t xml:space="preserve">is dependent on an individual marker’s judgement (Quinn, 2000) and may account for Woolf’s (2004) description of  the assessment of academic performance as closer to an art than a science. </w:t>
      </w:r>
    </w:p>
    <w:p w:rsidR="004708AD" w:rsidRPr="000A190F" w:rsidRDefault="004708AD" w:rsidP="004708AD">
      <w:pPr>
        <w:pStyle w:val="Quote"/>
        <w:rPr>
          <w:i w:val="0"/>
          <w:color w:val="auto"/>
          <w:lang w:val="en-GB"/>
        </w:rPr>
      </w:pPr>
      <w:r w:rsidRPr="000A190F">
        <w:rPr>
          <w:i w:val="0"/>
          <w:color w:val="auto"/>
        </w:rPr>
        <w:t>I am reading these assignments, and I am seeing errors in grammar, errors in sentence construction. Very descriptive assignments and I am thinking I have been very hard. I hadn’t actually got to the point of scoring them. I have gone through I have made comments. I have highlighted things but I haven’t actually got to the point of scoring them. Because I thought maybe I would need to read several to get a feel for the standard maybe. So that is as far as I have got. I have read five and I have kind of gone through them. I have looked at them and made comments and things. I don’t know they are riddled with grammar and grammatical errors and the sentence construction is not good and I am not sure whether that at undergraduate level we make allowance for that or whether we are very you know tough. (Fifi: 3.1.7/3.1.8).</w:t>
      </w:r>
    </w:p>
    <w:p w:rsidR="00A04580" w:rsidRDefault="00A04580" w:rsidP="00DB7C30">
      <w:r w:rsidRPr="000A190F">
        <w:t>Fifi’s account of</w:t>
      </w:r>
      <w:r w:rsidRPr="000A190F">
        <w:rPr>
          <w:rStyle w:val="DHSCRevisionChar"/>
        </w:rPr>
        <w:t xml:space="preserve"> her</w:t>
      </w:r>
      <w:r w:rsidRPr="000A190F">
        <w:t xml:space="preserve"> experience of marking illustrates recognition</w:t>
      </w:r>
      <w:r w:rsidRPr="000A190F">
        <w:rPr>
          <w:rStyle w:val="DHSCRevisionChar"/>
        </w:rPr>
        <w:t xml:space="preserve"> of the </w:t>
      </w:r>
      <w:r w:rsidRPr="000A190F">
        <w:t xml:space="preserve">frustrations caused </w:t>
      </w:r>
      <w:r w:rsidRPr="000A190F">
        <w:rPr>
          <w:rStyle w:val="DHSCRevisionChar"/>
        </w:rPr>
        <w:t xml:space="preserve">by </w:t>
      </w:r>
      <w:r w:rsidRPr="000A190F">
        <w:t xml:space="preserve">poor grammar, syntax, </w:t>
      </w:r>
      <w:r w:rsidRPr="000A190F">
        <w:rPr>
          <w:rStyle w:val="DHSCRevisionChar"/>
        </w:rPr>
        <w:t xml:space="preserve">and </w:t>
      </w:r>
      <w:r w:rsidRPr="000A190F">
        <w:t xml:space="preserve">presentation, highlighting that </w:t>
      </w:r>
      <w:r w:rsidRPr="000A190F">
        <w:rPr>
          <w:rStyle w:val="DHSCRevisionChar"/>
        </w:rPr>
        <w:t>tacit assessment expectation could influence judgement</w:t>
      </w:r>
      <w:r w:rsidRPr="000A190F">
        <w:t xml:space="preserve"> (Hunter and Dochety, 2011).</w:t>
      </w:r>
      <w:r>
        <w:t xml:space="preserve"> Fifi’s also recognised that whilst the assessment of students’ academic skills were included within assessment criteria she noted that she could also allow poor academic skills to effect the overall perception she felt for the work being assessed.</w:t>
      </w:r>
    </w:p>
    <w:p w:rsidR="004708AD" w:rsidRPr="000A190F" w:rsidRDefault="004708AD" w:rsidP="00DB7C30">
      <w:pPr>
        <w:rPr>
          <w:rStyle w:val="DHSCRevisionChar"/>
        </w:rPr>
      </w:pPr>
      <w:r w:rsidRPr="000A190F">
        <w:rPr>
          <w:rStyle w:val="DHSCRevisionChar"/>
        </w:rPr>
        <w:t>P</w:t>
      </w:r>
      <w:r w:rsidRPr="000A190F">
        <w:t xml:space="preserve">articipants referred to the marking criteria used within the faculty as giving a structure and guidance to their judgements. Price (2005) suggests that when using marking </w:t>
      </w:r>
      <w:r w:rsidRPr="000A190F">
        <w:rPr>
          <w:rStyle w:val="DHSCRevisionChar"/>
        </w:rPr>
        <w:t>criteria,</w:t>
      </w:r>
      <w:r w:rsidRPr="000A190F">
        <w:t xml:space="preserve"> the grades awarded by new staff are similar to experienced markers using the same criteria. This similarity may be because novice markers rely on explicit criteria of the marking grids taking a ‘rule based’ approach using </w:t>
      </w:r>
      <w:r w:rsidRPr="000A190F">
        <w:rPr>
          <w:rStyle w:val="DHSCRevisionChar"/>
        </w:rPr>
        <w:t>assessment criteria,</w:t>
      </w:r>
      <w:r w:rsidRPr="000A190F">
        <w:t xml:space="preserve"> </w:t>
      </w:r>
      <w:r w:rsidRPr="000A190F">
        <w:rPr>
          <w:rStyle w:val="DHSCRevisionChar"/>
        </w:rPr>
        <w:t>whereas an</w:t>
      </w:r>
      <w:r w:rsidRPr="000A190F">
        <w:t xml:space="preserve"> </w:t>
      </w:r>
      <w:r w:rsidRPr="000A190F">
        <w:rPr>
          <w:rStyle w:val="DHSCRevisionChar"/>
        </w:rPr>
        <w:t>experienced marker may initially take an intuitive or impressionistic approach using their own implicit criteria (Smith, 2001), then use the criteria to support their judgements rather than marking criteria</w:t>
      </w:r>
      <w:r w:rsidRPr="000A190F">
        <w:t>.</w:t>
      </w:r>
      <w:r w:rsidR="00DB7C30" w:rsidRPr="000A190F">
        <w:t xml:space="preserve"> </w:t>
      </w:r>
      <w:r w:rsidRPr="000A190F">
        <w:t xml:space="preserve">Each of the participants shared experiences of double marking situations where, when they met up with the second marker, </w:t>
      </w:r>
      <w:r w:rsidRPr="000A190F">
        <w:rPr>
          <w:rStyle w:val="DHSCRevisionChar"/>
        </w:rPr>
        <w:t>they</w:t>
      </w:r>
      <w:r w:rsidRPr="000A190F">
        <w:t xml:space="preserve"> </w:t>
      </w:r>
      <w:r w:rsidRPr="000A190F">
        <w:rPr>
          <w:rStyle w:val="DHSCRevisionChar"/>
        </w:rPr>
        <w:t xml:space="preserve">had been </w:t>
      </w:r>
      <w:r w:rsidRPr="000A190F">
        <w:t xml:space="preserve">reassured by the similarities in the grades </w:t>
      </w:r>
      <w:r w:rsidRPr="000A190F">
        <w:rPr>
          <w:rStyle w:val="DHSCRevisionChar"/>
        </w:rPr>
        <w:t>both had awarded.</w:t>
      </w:r>
      <w:r w:rsidRPr="000A190F">
        <w:t xml:space="preserve"> </w:t>
      </w:r>
      <w:r w:rsidRPr="000A190F">
        <w:rPr>
          <w:rStyle w:val="DHSCRevisionChar"/>
        </w:rPr>
        <w:t xml:space="preserve">A similarity of marks between two markers does not necessarily </w:t>
      </w:r>
      <w:r w:rsidRPr="000A190F">
        <w:rPr>
          <w:rStyle w:val="DHSCRevisionChar"/>
        </w:rPr>
        <w:lastRenderedPageBreak/>
        <w:t xml:space="preserve">mean that the system is reliable (Rust, 2007) as a lack of confidence may prevent a less experienced marker from questioning a marker who is </w:t>
      </w:r>
      <w:r w:rsidRPr="000A190F">
        <w:t>perceived to have more experience and knowledge (</w:t>
      </w:r>
      <w:r w:rsidR="004E5439" w:rsidRPr="000A190F">
        <w:t>Orr, 2007</w:t>
      </w:r>
      <w:r w:rsidRPr="000A190F">
        <w:t xml:space="preserve">). </w:t>
      </w:r>
      <w:r w:rsidRPr="000A190F">
        <w:rPr>
          <w:rStyle w:val="DHSCRevisionChar"/>
        </w:rPr>
        <w:t>The following extract from Alison’s second interview captures how she did not feel confident enough in her own judgements to raise a student’s mark.</w:t>
      </w:r>
    </w:p>
    <w:p w:rsidR="004708AD" w:rsidRPr="000A190F" w:rsidRDefault="004708AD" w:rsidP="004708AD">
      <w:pPr>
        <w:pStyle w:val="Quote"/>
        <w:keepLines w:val="0"/>
        <w:ind w:left="510" w:right="510"/>
        <w:rPr>
          <w:i w:val="0"/>
          <w:color w:val="auto"/>
        </w:rPr>
      </w:pPr>
      <w:r w:rsidRPr="000A190F">
        <w:rPr>
          <w:i w:val="0"/>
          <w:color w:val="auto"/>
        </w:rPr>
        <w:t>I feel a bit blind, although I can quite easily see when something is coming in which is totally inadequate. That’s fine and I can quite easily understand when somebody hasn’t gone looking at the three different theories and discussing and analysing. I can understand that. It is, when it gets to the passes. The good and the very good, that’s difficult for me. I think maybe I am marking too high when I look at some others. But that will come up apparent with the second marker. Because some of the ones that I have thought very good, something on par I was looking at when I did my second marking in the last couple of days, which is much easier of course. Because the person I am working with, that I am second marking with, is very experienced. But then I am looking at what? This sort thing or something like that. I think I would have given higher too, and that we tend to down mark anyway don’t we? It seems to me anyway. (Alison: 2.2.56/2.2.57/2.2.58).</w:t>
      </w:r>
    </w:p>
    <w:p w:rsidR="003E0BE9" w:rsidRPr="000A190F" w:rsidRDefault="003E0BE9" w:rsidP="00DB7C30">
      <w:r w:rsidRPr="000A190F">
        <w:rPr>
          <w:rStyle w:val="DHSCRevisionChar"/>
        </w:rPr>
        <w:t xml:space="preserve">Markers can be described as belonging to one of two camps: either ‘Hawks’ or ‘Doves’ (Owen, Stefaniak and Corrigan, 2010), or, ‘Hard’ or ‘Soft’ (Bloxham and Boyd, 2007). As previously mentioned </w:t>
      </w:r>
      <w:r w:rsidRPr="000A190F">
        <w:t>Crook, Gross and Dymott (2006), and Carless (2006) report that students hold a perception of biased and subjective marking: that academics can be influenced by how hardworking or lazy they believe students to be, or that staff can give marks for differing qualities such as the quality of presentation, or accuracy, or citations and references. There is limited research evidence to support or challenge these suggestions despite a growing concern amongst students that assessment practices can be unfair (Flint and Johnson, 2011).</w:t>
      </w:r>
    </w:p>
    <w:p w:rsidR="004708AD" w:rsidRPr="000A190F" w:rsidRDefault="004708AD" w:rsidP="00DB7C30">
      <w:r w:rsidRPr="000A190F">
        <w:t xml:space="preserve">Participants often referred to one script within a batch that had produced a wide variance in marks. In the interview halfway through her first year, Marie shared an experience of marking with someone who Marie felt had more experience than her.  </w:t>
      </w:r>
    </w:p>
    <w:p w:rsidR="004708AD" w:rsidRPr="000A190F" w:rsidRDefault="004708AD" w:rsidP="004708AD">
      <w:pPr>
        <w:pStyle w:val="Quote"/>
        <w:ind w:left="510" w:right="510"/>
        <w:rPr>
          <w:i w:val="0"/>
          <w:color w:val="auto"/>
        </w:rPr>
      </w:pPr>
      <w:r w:rsidRPr="000A190F">
        <w:rPr>
          <w:i w:val="0"/>
          <w:color w:val="auto"/>
        </w:rPr>
        <w:t>There was one that stuck out; there was one that was a seventy five. They’d given them a forty four. This person has nine years’ experience, and I have six months so we had a chat and in the end the person ended up getting quite a high sixty. They went it’s been one of those bad days where I just read them, and I wasn’t really concentrating, and now that you’ve pointed this out. I was sat there thinking. What do you mean you’re having a bad day! if you were this persons only marker…., that person would have only got forty four. (Marie: 6.2.85/6.2.86/6.2.87/6.2.88).</w:t>
      </w:r>
    </w:p>
    <w:p w:rsidR="004708AD" w:rsidRPr="000A190F" w:rsidRDefault="004708AD" w:rsidP="00DB7C30">
      <w:r w:rsidRPr="000A190F">
        <w:t xml:space="preserve">For Marie this experience highlighted the external and internal influences can occur when marking written work. Helen was not surprised that two academics could come to different grades, </w:t>
      </w:r>
      <w:r w:rsidR="0030788D">
        <w:t xml:space="preserve">but </w:t>
      </w:r>
      <w:r w:rsidRPr="000A190F">
        <w:t>she was surprised at the reaction of the other marker to the different marks.</w:t>
      </w:r>
    </w:p>
    <w:p w:rsidR="004708AD" w:rsidRPr="000A190F" w:rsidRDefault="004708AD" w:rsidP="004708AD">
      <w:pPr>
        <w:pStyle w:val="Quote"/>
        <w:ind w:left="510" w:right="510"/>
        <w:rPr>
          <w:i w:val="0"/>
          <w:color w:val="auto"/>
        </w:rPr>
      </w:pPr>
      <w:r w:rsidRPr="000A190F">
        <w:rPr>
          <w:rStyle w:val="IntenseQuoteChar"/>
          <w:bCs w:val="0"/>
          <w:i w:val="0"/>
          <w:iCs/>
          <w:color w:val="auto"/>
        </w:rPr>
        <w:lastRenderedPageBreak/>
        <w:t>I think it is very understandable. Because you are what you do aren’t you? You know marking on one level. It is a task and is very un-emotive. On the other hand marking is about your judgement, your preferences. You’re putting yourself, your stamp of approval and acceptance on something. And you’re making your own personal public. So if someone else says ‘well actually, I think you are about 20 marks out’ that is harsh, it feels harsh to that person. It is the same way if I passed an essay and someone said ‘this is fail, what were you thinking?’ You know I would be, oh my god, really, show me, show me. But I suppose it is a different reaction isn’t ‘oh my god show me show me’ is quite</w:t>
      </w:r>
      <w:r w:rsidRPr="000A190F">
        <w:rPr>
          <w:i w:val="0"/>
          <w:color w:val="auto"/>
        </w:rPr>
        <w:t xml:space="preserve"> a different reaction to ‘how very dare you question my authority? (Helen: 5.3.138/5.3.139).</w:t>
      </w:r>
    </w:p>
    <w:p w:rsidR="002130E4" w:rsidRPr="00430389" w:rsidRDefault="004708AD" w:rsidP="002130E4">
      <w:r w:rsidRPr="000A190F">
        <w:t>Helen’s description of marking as “</w:t>
      </w:r>
      <w:r w:rsidRPr="000A190F">
        <w:rPr>
          <w:rStyle w:val="IntenseQuoteChar"/>
          <w:bCs w:val="0"/>
          <w:i/>
          <w:iCs w:val="0"/>
        </w:rPr>
        <w:t>making your own personal public”</w:t>
      </w:r>
      <w:r w:rsidRPr="000A190F">
        <w:t xml:space="preserve"> reflects  Hand and Clewes (2000) observation that markers bring a great deal of themselves into the task of marking using their own belief and value systems to assess the quality of a piece of work.</w:t>
      </w:r>
      <w:r w:rsidR="00DB7C30" w:rsidRPr="000A190F">
        <w:t xml:space="preserve"> </w:t>
      </w:r>
      <w:r w:rsidR="002130E4" w:rsidRPr="00430389">
        <w:t xml:space="preserve">The assumption that internal moderation processes (such as the double marking described my Helen) can ensure consistency and fairness </w:t>
      </w:r>
      <w:r w:rsidR="002130E4">
        <w:t xml:space="preserve">is also </w:t>
      </w:r>
      <w:r w:rsidR="002130E4" w:rsidRPr="00430389">
        <w:t>challenged</w:t>
      </w:r>
      <w:r w:rsidR="002130E4">
        <w:t xml:space="preserve"> within the literature. A</w:t>
      </w:r>
      <w:r w:rsidR="002130E4" w:rsidRPr="00430389">
        <w:t xml:space="preserve">s these processes remain reliant on the subjective and value based judgements of individuals (Bloxham, 2009; Brooks, 2004; Orr, 2007), and often only focus on what happened at the time of assessment, without considering the entire assessment lifecycle (Smith, 2012). </w:t>
      </w:r>
    </w:p>
    <w:p w:rsidR="004708AD" w:rsidRPr="000A190F" w:rsidRDefault="002130E4" w:rsidP="00DB7C30">
      <w:r w:rsidRPr="000A190F">
        <w:t>When</w:t>
      </w:r>
      <w:r w:rsidR="004708AD" w:rsidRPr="000A190F">
        <w:t xml:space="preserve"> awarding students a fail grade</w:t>
      </w:r>
      <w:r>
        <w:t xml:space="preserve"> </w:t>
      </w:r>
      <w:r w:rsidRPr="000A190F">
        <w:t>Mary struggled,</w:t>
      </w:r>
      <w:r>
        <w:t xml:space="preserve"> as she</w:t>
      </w:r>
      <w:r w:rsidR="004708AD" w:rsidRPr="000A190F">
        <w:t xml:space="preserve"> wonder</w:t>
      </w:r>
      <w:r>
        <w:t>ed</w:t>
      </w:r>
      <w:r w:rsidR="004708AD" w:rsidRPr="000A190F">
        <w:t xml:space="preserve"> if it was something that she had or had not done. Alison similarly expressed unease and concern for the students as she felt her inexperience might let them down and that this would be unfair on the students. </w:t>
      </w:r>
    </w:p>
    <w:p w:rsidR="004708AD" w:rsidRPr="000A190F" w:rsidRDefault="004708AD" w:rsidP="004708AD">
      <w:pPr>
        <w:pStyle w:val="Quote"/>
        <w:ind w:left="680" w:right="680"/>
        <w:rPr>
          <w:rStyle w:val="DHSCRevisionChar"/>
          <w:i w:val="0"/>
          <w:color w:val="auto"/>
        </w:rPr>
      </w:pPr>
      <w:r w:rsidRPr="000A190F">
        <w:rPr>
          <w:i w:val="0"/>
          <w:color w:val="auto"/>
        </w:rPr>
        <w:t>Wouldn’t want to under mark someone who had done an excellent piece of work. I have had one in particular which to me is coming across as a really good piece of work. I have tended to mark good as sort of mid 60s. I haven’t you know, we will see how that goes and I think I wouldn’t want to not give someone the credit that they don’t deserve. I wouldn’t want to over credit somebody else who you know that’s my concern. I feel that if I am not experienced then I am not giving them exactly what I should be giving them. (Alison: 2.2.110/2.2.111/2.2.112).</w:t>
      </w:r>
    </w:p>
    <w:p w:rsidR="004708AD" w:rsidRPr="000A190F" w:rsidRDefault="004708AD" w:rsidP="00DB7C30">
      <w:r w:rsidRPr="000A190F">
        <w:rPr>
          <w:rStyle w:val="DHSCRevisionChar"/>
        </w:rPr>
        <w:t>The c</w:t>
      </w:r>
      <w:r w:rsidRPr="000A190F">
        <w:t xml:space="preserve">oncern for students </w:t>
      </w:r>
      <w:r w:rsidRPr="000A190F">
        <w:rPr>
          <w:rStyle w:val="DHSCRevisionChar"/>
        </w:rPr>
        <w:t>as well as</w:t>
      </w:r>
      <w:r w:rsidRPr="000A190F">
        <w:t xml:space="preserve"> the fear and self-doubt that Alison, Mary </w:t>
      </w:r>
      <w:r w:rsidRPr="000A190F">
        <w:rPr>
          <w:rStyle w:val="DHSCRevisionChar"/>
        </w:rPr>
        <w:t>and Marie</w:t>
      </w:r>
      <w:r w:rsidRPr="000A190F">
        <w:t xml:space="preserve"> expressed in relation to work they felt </w:t>
      </w:r>
      <w:r w:rsidRPr="000A190F">
        <w:rPr>
          <w:rStyle w:val="DHSCRevisionChar"/>
        </w:rPr>
        <w:t>to be</w:t>
      </w:r>
      <w:r w:rsidRPr="000A190F">
        <w:t xml:space="preserve"> below standard is evident in the </w:t>
      </w:r>
      <w:r w:rsidRPr="000A190F">
        <w:rPr>
          <w:rStyle w:val="DHSCRevisionChar"/>
        </w:rPr>
        <w:t>literature concerning failing students in practice (</w:t>
      </w:r>
      <w:r w:rsidRPr="000A190F">
        <w:t>Duffy, 2003;</w:t>
      </w:r>
      <w:r w:rsidR="008E7333" w:rsidRPr="000A190F">
        <w:t xml:space="preserve"> Hawe, 2003</w:t>
      </w:r>
      <w:r w:rsidRPr="000A190F">
        <w:t>). Ilott and Murphy (1997) describe failing a student as one of most challenging responsibilities in assessment and one that is rarely “</w:t>
      </w:r>
      <w:r w:rsidRPr="000A190F">
        <w:rPr>
          <w:i/>
        </w:rPr>
        <w:t xml:space="preserve">done lightly or without misgiving” </w:t>
      </w:r>
      <w:r w:rsidRPr="000A190F">
        <w:t xml:space="preserve">(Ilott and Murphy, 1997:307). Mary’s hesitation to fail </w:t>
      </w:r>
      <w:r w:rsidRPr="000A190F">
        <w:rPr>
          <w:rStyle w:val="DHSCRevisionChar"/>
        </w:rPr>
        <w:t>a</w:t>
      </w:r>
      <w:r w:rsidRPr="000A190F">
        <w:t xml:space="preserve"> student</w:t>
      </w:r>
      <w:r w:rsidRPr="000A190F">
        <w:rPr>
          <w:rStyle w:val="DHSCRevisionChar"/>
        </w:rPr>
        <w:t>’</w:t>
      </w:r>
      <w:r w:rsidRPr="000A190F">
        <w:t xml:space="preserve">s work illustrates this. </w:t>
      </w:r>
    </w:p>
    <w:p w:rsidR="004708AD" w:rsidRPr="000A190F" w:rsidRDefault="004708AD" w:rsidP="004708AD">
      <w:pPr>
        <w:pStyle w:val="Quote"/>
        <w:keepLines w:val="0"/>
        <w:rPr>
          <w:i w:val="0"/>
          <w:color w:val="auto"/>
        </w:rPr>
      </w:pPr>
      <w:r w:rsidRPr="000A190F">
        <w:rPr>
          <w:i w:val="0"/>
          <w:color w:val="auto"/>
        </w:rPr>
        <w:t>I am really reluctant to fail someone. I think 40, I will give them 40. Just enough to pass and then I look at the guidelines and I think it clearly says this is the formula that I have got to follow. You have got to stop putting the emotion in there i.e. you want the best for your students. You have got this format, use it as a tool and then you know, I know in my heart that I have got to fail it, but part of me, you know, ohh its awful failing someone. But when I read the guidelines it makes me think, this is the justification I can see the weakness in what they have set out. (Mary: 1.2.119/1.2.120/1.2.121/1.2.122).</w:t>
      </w:r>
    </w:p>
    <w:p w:rsidR="004708AD" w:rsidRDefault="004708AD" w:rsidP="00DB7C30">
      <w:bookmarkStart w:id="4" w:name="_Toc315687683"/>
      <w:bookmarkStart w:id="5" w:name="_Toc308619691"/>
      <w:r w:rsidRPr="000A190F">
        <w:lastRenderedPageBreak/>
        <w:t xml:space="preserve">Each of the participants in this study repeatedly expressed </w:t>
      </w:r>
      <w:r w:rsidR="003118EE">
        <w:t xml:space="preserve">reduced </w:t>
      </w:r>
      <w:r w:rsidRPr="000A190F">
        <w:t xml:space="preserve">confidence in their ability </w:t>
      </w:r>
      <w:r w:rsidRPr="000A190F">
        <w:rPr>
          <w:rStyle w:val="DHSCRevisionChar"/>
        </w:rPr>
        <w:t>to be competent at work</w:t>
      </w:r>
      <w:r w:rsidRPr="000A190F">
        <w:t xml:space="preserve"> as they were learning new ways to build on their existing skills </w:t>
      </w:r>
      <w:r w:rsidRPr="000A190F">
        <w:rPr>
          <w:rStyle w:val="DHSCRevisionChar"/>
        </w:rPr>
        <w:t xml:space="preserve">during their probationary period. </w:t>
      </w:r>
      <w:r w:rsidRPr="000A190F">
        <w:t xml:space="preserve">There was no one experience highlighted as having a significant impact on the confidence of the newly appointed academics. Remmik </w:t>
      </w:r>
      <w:r w:rsidRPr="000A190F">
        <w:rPr>
          <w:i/>
        </w:rPr>
        <w:t>et al.</w:t>
      </w:r>
      <w:r w:rsidRPr="000A190F">
        <w:t xml:space="preserve"> (2011) suggest that the experience</w:t>
      </w:r>
      <w:r w:rsidRPr="000A190F">
        <w:rPr>
          <w:rStyle w:val="DHSCRevisionChar"/>
        </w:rPr>
        <w:t>s</w:t>
      </w:r>
      <w:r w:rsidRPr="000A190F">
        <w:t xml:space="preserve"> of an academic’s socialisation and transition into higher education </w:t>
      </w:r>
      <w:r w:rsidRPr="000A190F">
        <w:rPr>
          <w:rStyle w:val="DHSCRevisionChar"/>
        </w:rPr>
        <w:t>can</w:t>
      </w:r>
      <w:r w:rsidRPr="000A190F">
        <w:t xml:space="preserve"> influence their identity as academics as well as their concepts of </w:t>
      </w:r>
      <w:r w:rsidRPr="000A190F">
        <w:rPr>
          <w:rStyle w:val="DHSCRevisionChar"/>
        </w:rPr>
        <w:t xml:space="preserve">teaching </w:t>
      </w:r>
      <w:r w:rsidRPr="000A190F">
        <w:t xml:space="preserve">and </w:t>
      </w:r>
      <w:r w:rsidRPr="000A190F">
        <w:rPr>
          <w:rStyle w:val="DHSCRevisionChar"/>
        </w:rPr>
        <w:t>learning</w:t>
      </w:r>
      <w:r w:rsidRPr="000A190F">
        <w:t>. The fears that Mary expressed when she described ‘waiting for a tap on the shoulder’ are a common theme in the literature exploring tra</w:t>
      </w:r>
      <w:r w:rsidR="003118EE">
        <w:t>nsitions in to higher education, o</w:t>
      </w:r>
      <w:r w:rsidR="003118EE" w:rsidRPr="000A190F">
        <w:t>ften</w:t>
      </w:r>
      <w:r w:rsidRPr="000A190F">
        <w:t xml:space="preserve"> described or labelled as an </w:t>
      </w:r>
      <w:r w:rsidR="003118EE">
        <w:t>‘</w:t>
      </w:r>
      <w:r w:rsidRPr="000A190F">
        <w:t>imposter syndrome</w:t>
      </w:r>
      <w:r w:rsidR="003118EE">
        <w:t>’</w:t>
      </w:r>
      <w:r w:rsidRPr="000A190F">
        <w:t xml:space="preserve"> or </w:t>
      </w:r>
      <w:r w:rsidR="003118EE">
        <w:t>‘</w:t>
      </w:r>
      <w:r w:rsidRPr="000A190F">
        <w:t>phenomenon</w:t>
      </w:r>
      <w:r w:rsidR="003118EE">
        <w:t>’</w:t>
      </w:r>
      <w:r w:rsidRPr="000A190F">
        <w:t xml:space="preserve"> (Forbes and Jessup, 2004). Zorn (2005) suggests five factors within academia contribute to early career academics feeling like an imposter in their role:</w:t>
      </w:r>
      <w:r w:rsidRPr="000A190F">
        <w:rPr>
          <w:rStyle w:val="DHSCRevisionChar"/>
        </w:rPr>
        <w:t xml:space="preserve"> </w:t>
      </w:r>
      <w:r w:rsidRPr="000A190F">
        <w:t xml:space="preserve"> aggressive competitiveness, scholarly isolation, highly specialised fields of practice, process valued over product and a lack of mentoring. Clemans, Berry and Loughran, (2010) </w:t>
      </w:r>
      <w:r w:rsidRPr="000A190F">
        <w:rPr>
          <w:rStyle w:val="DHSCRevisionChar"/>
        </w:rPr>
        <w:t>suggest</w:t>
      </w:r>
      <w:r w:rsidRPr="000A190F">
        <w:t xml:space="preserve"> that such feelings </w:t>
      </w:r>
      <w:r w:rsidRPr="000A190F">
        <w:rPr>
          <w:rStyle w:val="DHSCRevisionChar"/>
        </w:rPr>
        <w:t>of being an imposter</w:t>
      </w:r>
      <w:r w:rsidRPr="000A190F">
        <w:t xml:space="preserve"> are often evident when professionals who held a self-belief and sense of identity as an expert within </w:t>
      </w:r>
      <w:r w:rsidRPr="000A190F">
        <w:rPr>
          <w:rStyle w:val="DHSCRevisionChar"/>
        </w:rPr>
        <w:t>one</w:t>
      </w:r>
      <w:r w:rsidRPr="000A190F">
        <w:t xml:space="preserve"> field of practice, move to a new field of practice. </w:t>
      </w:r>
      <w:bookmarkEnd w:id="4"/>
      <w:bookmarkEnd w:id="5"/>
    </w:p>
    <w:p w:rsidR="00F0104D" w:rsidRPr="00AC1B22" w:rsidRDefault="00F0104D" w:rsidP="00F0104D">
      <w:pPr>
        <w:pStyle w:val="DHSCNormal"/>
      </w:pPr>
      <w:r>
        <w:t>Levels</w:t>
      </w:r>
      <w:r w:rsidRPr="00AC1B22">
        <w:t xml:space="preserve"> of support </w:t>
      </w:r>
      <w:r>
        <w:t xml:space="preserve">for the new staff </w:t>
      </w:r>
      <w:r w:rsidRPr="00AC1B22">
        <w:t xml:space="preserve">varied. For example, Adam felt supported and knew he could contact his mentor at any time; </w:t>
      </w:r>
      <w:r w:rsidRPr="00AC1B22">
        <w:rPr>
          <w:rStyle w:val="DHSCRevisionChar"/>
        </w:rPr>
        <w:t xml:space="preserve">yet </w:t>
      </w:r>
      <w:r w:rsidRPr="00AC1B22">
        <w:t>the follo</w:t>
      </w:r>
      <w:r w:rsidRPr="00AC1B22">
        <w:rPr>
          <w:rStyle w:val="DHSCRevisionChar"/>
        </w:rPr>
        <w:t>wing</w:t>
      </w:r>
      <w:r w:rsidRPr="00AC1B22">
        <w:t xml:space="preserve"> quote represents his reluctance to do so as he did not want to feel that he was imposing. This was a common theme amongst participants, as they would often create their own support networks to supplement the formal systems during their probationary period. </w:t>
      </w:r>
    </w:p>
    <w:p w:rsidR="00F0104D" w:rsidRPr="00AC1B22" w:rsidRDefault="00F0104D" w:rsidP="00F0104D">
      <w:pPr>
        <w:pStyle w:val="Quote"/>
        <w:keepLines w:val="0"/>
        <w:rPr>
          <w:i w:val="0"/>
          <w:color w:val="auto"/>
        </w:rPr>
      </w:pPr>
      <w:r w:rsidRPr="00AC1B22">
        <w:rPr>
          <w:i w:val="0"/>
          <w:color w:val="auto"/>
          <w:u w:color="95B3D7"/>
        </w:rPr>
        <w:t xml:space="preserve">I am sure she would not mind me dropping by and just saying that I have got this question, can you answer it for me? Although I try not to do it too often because it gets a bit irritating, having been that with practice students doing it every morning. There are other people that I can ask quick questions too. But she will also be observing me doing some practice things, that’s the sort of agreement that’s set down. I suppose there are some people in the department that have been more supportive than others. I mean there are some that you definitely get a feel for who will give you a relative amount of information, but then you feel that you are imposing if you ask too much, so I suppose you get a feel for who is likely to be more helpful. </w:t>
      </w:r>
      <w:r w:rsidRPr="00AC1B22">
        <w:rPr>
          <w:i w:val="0"/>
          <w:color w:val="auto"/>
        </w:rPr>
        <w:t>(</w:t>
      </w:r>
      <w:r>
        <w:rPr>
          <w:i w:val="0"/>
          <w:color w:val="auto"/>
          <w:u w:color="95B3D7"/>
        </w:rPr>
        <w:t>Adam:</w:t>
      </w:r>
      <w:r w:rsidRPr="00AC1B22">
        <w:rPr>
          <w:i w:val="0"/>
          <w:color w:val="auto"/>
        </w:rPr>
        <w:t>4.1.20/4.1.21/4.1.22/4.1.23/4.1.24).</w:t>
      </w:r>
    </w:p>
    <w:p w:rsidR="00F0104D" w:rsidRPr="00AC1B22" w:rsidRDefault="00F0104D" w:rsidP="00F0104D">
      <w:pPr>
        <w:pStyle w:val="DHSCNormal"/>
      </w:pPr>
      <w:r>
        <w:t>Each p</w:t>
      </w:r>
      <w:r w:rsidRPr="00AC1B22">
        <w:t xml:space="preserve">articipant shared their experiences and perceptions of the support they were receiving in their new roles. Price (2005) </w:t>
      </w:r>
      <w:r w:rsidRPr="00AC1B22">
        <w:rPr>
          <w:rStyle w:val="DHSCRevisionChar"/>
        </w:rPr>
        <w:t xml:space="preserve">found </w:t>
      </w:r>
      <w:r w:rsidRPr="00AC1B22">
        <w:t xml:space="preserve">that module leaders varied in the </w:t>
      </w:r>
      <w:r w:rsidRPr="00AC1B22">
        <w:rPr>
          <w:rStyle w:val="DHSCRevisionChar"/>
        </w:rPr>
        <w:t>amount of</w:t>
      </w:r>
      <w:r w:rsidRPr="00AC1B22">
        <w:t xml:space="preserve"> support and guidance they</w:t>
      </w:r>
      <w:r>
        <w:t xml:space="preserve"> give </w:t>
      </w:r>
      <w:r w:rsidRPr="00AC1B22">
        <w:t xml:space="preserve">to markers, </w:t>
      </w:r>
      <w:r w:rsidRPr="00AC1B22">
        <w:rPr>
          <w:rStyle w:val="DHSCRevisionChar"/>
        </w:rPr>
        <w:t xml:space="preserve">and this </w:t>
      </w:r>
      <w:r w:rsidRPr="00AC1B22">
        <w:t xml:space="preserve">is reflected in the experiences of the participants in this study. </w:t>
      </w:r>
      <w:r w:rsidRPr="00AC1B22">
        <w:rPr>
          <w:rStyle w:val="DHSCRevisionChar"/>
        </w:rPr>
        <w:t xml:space="preserve">Only two of the participants </w:t>
      </w:r>
      <w:r w:rsidRPr="00AC1B22">
        <w:t xml:space="preserve">experienced structured support and guidance in relation to their marking and feedback from a module leader. Fifi would often refer positively to the module leader who had encouraged her to mark five scripts from a previous cohort, so that she could familiarise herself with the assessment in a simulated context. </w:t>
      </w:r>
      <w:r w:rsidRPr="00AC1B22">
        <w:rPr>
          <w:rStyle w:val="DHSCRevisionChar"/>
        </w:rPr>
        <w:t>An</w:t>
      </w:r>
      <w:r w:rsidRPr="00AC1B22">
        <w:t xml:space="preserve"> experience </w:t>
      </w:r>
      <w:r w:rsidRPr="00AC1B22">
        <w:rPr>
          <w:rStyle w:val="DHSCRevisionChar"/>
        </w:rPr>
        <w:t>that</w:t>
      </w:r>
      <w:r w:rsidRPr="00AC1B22">
        <w:t xml:space="preserve"> made her feel supported, as it encouraged her in thinking about the responsibility of marking in a simulated </w:t>
      </w:r>
      <w:r w:rsidRPr="00AC1B22">
        <w:rPr>
          <w:rStyle w:val="DHSCRevisionChar"/>
        </w:rPr>
        <w:t>environment, w</w:t>
      </w:r>
      <w:r w:rsidRPr="00AC1B22">
        <w:t xml:space="preserve">ithout the fear of her novice judgements impacting student’s degree classification. </w:t>
      </w:r>
    </w:p>
    <w:p w:rsidR="00F0104D" w:rsidRDefault="00F0104D" w:rsidP="00DB7C30"/>
    <w:p w:rsidR="003F780C" w:rsidRPr="003F780C" w:rsidRDefault="003F780C" w:rsidP="003F780C">
      <w:pPr>
        <w:rPr>
          <w:rStyle w:val="DHSCRevisionChar"/>
          <w:color w:val="F79646" w:themeColor="accent6"/>
          <w:lang w:val="en-GB"/>
        </w:rPr>
      </w:pPr>
      <w:r w:rsidRPr="000A190F">
        <w:lastRenderedPageBreak/>
        <w:t xml:space="preserve">The experiences shared and explored in this paper relate to how six newly appointed academics within </w:t>
      </w:r>
      <w:r>
        <w:t>a higher educatio</w:t>
      </w:r>
      <w:r w:rsidRPr="000A190F">
        <w:t xml:space="preserve">n context came to know themselves as novice academics not through the learning of facts about marking but through their </w:t>
      </w:r>
      <w:r w:rsidRPr="0030788D">
        <w:t xml:space="preserve">experiences and understanding and their self-interpretation(s) of assessment practices within higher education. </w:t>
      </w:r>
      <w:r w:rsidRPr="0030788D">
        <w:rPr>
          <w:rStyle w:val="DHSCRevisionChar"/>
        </w:rPr>
        <w:t xml:space="preserve">Four common themes emerged from </w:t>
      </w:r>
      <w:r w:rsidRPr="0030788D">
        <w:rPr>
          <w:rStyle w:val="DHSCRevisionChar"/>
          <w:lang w:val="en-GB"/>
        </w:rPr>
        <w:t xml:space="preserve">participants experiences </w:t>
      </w:r>
      <w:r w:rsidRPr="0030788D">
        <w:rPr>
          <w:rStyle w:val="DHSCRevisionChar"/>
        </w:rPr>
        <w:t xml:space="preserve">confidence, processes, </w:t>
      </w:r>
      <w:r w:rsidRPr="0030788D">
        <w:rPr>
          <w:rStyle w:val="DHSCRevisionChar"/>
          <w:lang w:val="en-GB"/>
        </w:rPr>
        <w:t>judgments and accountability/</w:t>
      </w:r>
      <w:r w:rsidRPr="0030788D">
        <w:rPr>
          <w:rStyle w:val="DHSCRevisionChar"/>
        </w:rPr>
        <w:t>responsibility</w:t>
      </w:r>
      <w:r w:rsidRPr="0030788D">
        <w:rPr>
          <w:rStyle w:val="DHSCRevisionChar"/>
          <w:lang w:val="en-GB"/>
        </w:rPr>
        <w:t xml:space="preserve"> (Figure 1</w:t>
      </w:r>
      <w:r w:rsidRPr="0030788D">
        <w:rPr>
          <w:rStyle w:val="DHSCRevisionChar"/>
        </w:rPr>
        <w:t>)</w:t>
      </w:r>
      <w:r w:rsidRPr="0030788D">
        <w:rPr>
          <w:rStyle w:val="DHSCRevisionChar"/>
          <w:lang w:val="en-GB"/>
        </w:rPr>
        <w:t xml:space="preserve">. </w:t>
      </w:r>
    </w:p>
    <w:p w:rsidR="003F780C" w:rsidRPr="003F780C" w:rsidRDefault="003F780C" w:rsidP="003F780C">
      <w:pPr>
        <w:pStyle w:val="Caption"/>
        <w:keepNext/>
        <w:rPr>
          <w:color w:val="auto"/>
          <w:sz w:val="24"/>
          <w:szCs w:val="24"/>
        </w:rPr>
      </w:pPr>
      <w:r w:rsidRPr="003F780C">
        <w:rPr>
          <w:color w:val="auto"/>
          <w:sz w:val="24"/>
          <w:szCs w:val="24"/>
        </w:rPr>
        <w:t xml:space="preserve">Figure </w:t>
      </w:r>
      <w:r w:rsidRPr="003F780C">
        <w:rPr>
          <w:color w:val="auto"/>
          <w:sz w:val="24"/>
          <w:szCs w:val="24"/>
        </w:rPr>
        <w:fldChar w:fldCharType="begin"/>
      </w:r>
      <w:r w:rsidRPr="003F780C">
        <w:rPr>
          <w:color w:val="auto"/>
          <w:sz w:val="24"/>
          <w:szCs w:val="24"/>
        </w:rPr>
        <w:instrText xml:space="preserve"> SEQ Figure \* ARABIC </w:instrText>
      </w:r>
      <w:r w:rsidRPr="003F780C">
        <w:rPr>
          <w:color w:val="auto"/>
          <w:sz w:val="24"/>
          <w:szCs w:val="24"/>
        </w:rPr>
        <w:fldChar w:fldCharType="separate"/>
      </w:r>
      <w:r w:rsidR="00C67974">
        <w:rPr>
          <w:noProof/>
          <w:color w:val="auto"/>
          <w:sz w:val="24"/>
          <w:szCs w:val="24"/>
        </w:rPr>
        <w:t>1</w:t>
      </w:r>
      <w:r w:rsidRPr="003F780C">
        <w:rPr>
          <w:color w:val="auto"/>
          <w:sz w:val="24"/>
          <w:szCs w:val="24"/>
        </w:rPr>
        <w:fldChar w:fldCharType="end"/>
      </w:r>
      <w:r w:rsidRPr="003F780C">
        <w:rPr>
          <w:color w:val="auto"/>
          <w:sz w:val="24"/>
          <w:szCs w:val="24"/>
        </w:rPr>
        <w:t xml:space="preserve"> Themes</w:t>
      </w:r>
    </w:p>
    <w:p w:rsidR="003F780C" w:rsidRDefault="009D7259" w:rsidP="003F780C">
      <w:pPr>
        <w:rPr>
          <w:color w:val="F79646" w:themeColor="accent6"/>
        </w:rPr>
      </w:pPr>
      <w:r>
        <w:rPr>
          <w:color w:val="F79646" w:themeColor="accent6"/>
        </w:rPr>
        <w:t xml:space="preserve">                           </w:t>
      </w:r>
      <w:r w:rsidR="003F780C">
        <w:rPr>
          <w:b/>
          <w:noProof/>
          <w:lang w:eastAsia="en-GB"/>
        </w:rPr>
        <w:drawing>
          <wp:inline distT="0" distB="0" distL="0" distR="0" wp14:anchorId="2BEC614E" wp14:editId="265DBF9C">
            <wp:extent cx="3795823" cy="2573079"/>
            <wp:effectExtent l="0" t="0" r="14605" b="177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F780C" w:rsidRPr="000A190F" w:rsidRDefault="003F780C" w:rsidP="003F780C">
      <w:pPr>
        <w:rPr>
          <w:rFonts w:eastAsia="Calibri" w:cs="Arial"/>
        </w:rPr>
      </w:pPr>
      <w:r w:rsidRPr="000A190F">
        <w:t xml:space="preserve">The similarities expressed </w:t>
      </w:r>
      <w:r>
        <w:t xml:space="preserve">within these themes </w:t>
      </w:r>
      <w:r w:rsidRPr="000A190F">
        <w:t xml:space="preserve">often focused on practical considerations that related to developing new skills and using new processes </w:t>
      </w:r>
      <w:r w:rsidRPr="000A190F">
        <w:rPr>
          <w:rFonts w:cs="Arial"/>
        </w:rPr>
        <w:t xml:space="preserve">as well as a need for academic staff to develop insights into and an awareness of the philosophies and theories that underpin assessment strategies. </w:t>
      </w:r>
      <w:r w:rsidR="00C914C2" w:rsidRPr="0019141D">
        <w:t>While there was no one experience that can be stated as altering respondents’ perception of student assessment, each participant grew in confidence and repeatedly expressed how their existing confidence in personal ability had been affected</w:t>
      </w:r>
      <w:r w:rsidR="00C914C2" w:rsidRPr="00AC1B22">
        <w:t xml:space="preserve">. </w:t>
      </w:r>
      <w:r w:rsidRPr="000A190F">
        <w:rPr>
          <w:rFonts w:cs="Arial"/>
        </w:rPr>
        <w:t>Towards the end of each of the participants’ first year, they began to develop personal coping strategies.</w:t>
      </w:r>
      <w:r w:rsidRPr="000A190F">
        <w:rPr>
          <w:rStyle w:val="RevisedTextChar"/>
          <w:rFonts w:cs="Arial"/>
        </w:rPr>
        <w:t xml:space="preserve"> </w:t>
      </w:r>
      <w:r w:rsidRPr="000A190F">
        <w:rPr>
          <w:rFonts w:cs="Arial"/>
        </w:rPr>
        <w:t xml:space="preserve">There was also recognition that they were again learning new ways to use </w:t>
      </w:r>
      <w:r w:rsidRPr="000A190F">
        <w:rPr>
          <w:rStyle w:val="DHSCRevisionChar"/>
          <w:rFonts w:cs="Arial"/>
        </w:rPr>
        <w:t>their existing</w:t>
      </w:r>
      <w:r w:rsidRPr="000A190F">
        <w:rPr>
          <w:rFonts w:cs="Arial"/>
        </w:rPr>
        <w:t xml:space="preserve"> professional skills through experience and time. </w:t>
      </w:r>
    </w:p>
    <w:p w:rsidR="00BF5419" w:rsidRDefault="00BF5419" w:rsidP="00BF5419">
      <w:pPr>
        <w:pStyle w:val="Heading2"/>
      </w:pPr>
      <w:r w:rsidRPr="000A190F">
        <w:t>Implications for future practice</w:t>
      </w:r>
    </w:p>
    <w:p w:rsidR="00BD6CB8" w:rsidRPr="009D7259" w:rsidRDefault="00BD6CB8" w:rsidP="00BD6CB8">
      <w:pPr>
        <w:pStyle w:val="DHSCNormal"/>
        <w:rPr>
          <w:i/>
        </w:rPr>
      </w:pPr>
      <w:r w:rsidRPr="009D7259">
        <w:t>Effective mentorship is accepted principle in the support of newly appointed academics as</w:t>
      </w:r>
    </w:p>
    <w:p w:rsidR="00BD6CB8" w:rsidRPr="009D7259" w:rsidRDefault="00BD6CB8" w:rsidP="00BD6CB8">
      <w:pPr>
        <w:pStyle w:val="Quote"/>
        <w:rPr>
          <w:color w:val="auto"/>
        </w:rPr>
      </w:pPr>
      <w:r w:rsidRPr="009D7259">
        <w:rPr>
          <w:color w:val="auto"/>
        </w:rPr>
        <w:t>“mentorship can be the single most influential way to ensure the development and retention of newly appointed academics”</w:t>
      </w:r>
    </w:p>
    <w:p w:rsidR="00BD6CB8" w:rsidRPr="009D7259" w:rsidRDefault="00BD6CB8" w:rsidP="00BD6CB8">
      <w:pPr>
        <w:pStyle w:val="Quote"/>
        <w:rPr>
          <w:i w:val="0"/>
          <w:color w:val="auto"/>
          <w:highlight w:val="yellow"/>
        </w:rPr>
      </w:pPr>
      <w:r w:rsidRPr="009D7259">
        <w:rPr>
          <w:color w:val="auto"/>
        </w:rPr>
        <w:t xml:space="preserve">                                                           </w:t>
      </w:r>
      <w:r w:rsidRPr="009D7259">
        <w:rPr>
          <w:i w:val="0"/>
          <w:color w:val="auto"/>
        </w:rPr>
        <w:t xml:space="preserve">  (Dunham-Taylor et al. 2008:337).</w:t>
      </w:r>
    </w:p>
    <w:p w:rsidR="00BD6CB8" w:rsidRPr="00F0104D" w:rsidRDefault="00BD6CB8" w:rsidP="00BD6CB8">
      <w:pPr>
        <w:pStyle w:val="DHSCNormal"/>
        <w:rPr>
          <w:rStyle w:val="DHSCRevisionChar"/>
          <w:rFonts w:cs="Arial"/>
          <w:lang w:val="en-GB"/>
        </w:rPr>
      </w:pPr>
      <w:r>
        <w:t>T</w:t>
      </w:r>
      <w:r w:rsidRPr="006436FC">
        <w:t xml:space="preserve">ensions are often reported for both the mentor and </w:t>
      </w:r>
      <w:r w:rsidRPr="006436FC">
        <w:rPr>
          <w:rStyle w:val="DHSCRevisionChar"/>
          <w:szCs w:val="24"/>
        </w:rPr>
        <w:t xml:space="preserve">mentee </w:t>
      </w:r>
      <w:r w:rsidRPr="006436FC">
        <w:t>such as lack of time (Le Maistre and Paré, 2010);</w:t>
      </w:r>
      <w:r w:rsidRPr="006436FC">
        <w:rPr>
          <w:rStyle w:val="DHSCRevisionChar"/>
          <w:szCs w:val="24"/>
        </w:rPr>
        <w:t xml:space="preserve"> a lack of</w:t>
      </w:r>
      <w:r w:rsidRPr="006436FC">
        <w:t xml:space="preserve"> commitment </w:t>
      </w:r>
      <w:r w:rsidRPr="006436FC">
        <w:rPr>
          <w:rStyle w:val="DHSCRevisionChar"/>
          <w:szCs w:val="24"/>
        </w:rPr>
        <w:t>from the mentor</w:t>
      </w:r>
      <w:r w:rsidRPr="006436FC">
        <w:t xml:space="preserve"> (Billings and Kowalki, 2008) and non-compatible personalities and value sets (</w:t>
      </w:r>
      <w:r>
        <w:t xml:space="preserve">Anibas, Brenner and Zorn, 2009). Yet </w:t>
      </w:r>
      <w:r w:rsidRPr="006436FC">
        <w:t>effective mentoring</w:t>
      </w:r>
      <w:r w:rsidRPr="006436FC">
        <w:rPr>
          <w:rStyle w:val="DHSCRevisionChar"/>
          <w:szCs w:val="24"/>
        </w:rPr>
        <w:t xml:space="preserve">ng of </w:t>
      </w:r>
      <w:r w:rsidRPr="006436FC">
        <w:t xml:space="preserve">newly appointed staff in the workplace is recognised as benefitting both </w:t>
      </w:r>
      <w:r w:rsidRPr="006436FC">
        <w:rPr>
          <w:rStyle w:val="DHSCRevisionChar"/>
          <w:szCs w:val="24"/>
        </w:rPr>
        <w:t xml:space="preserve">the </w:t>
      </w:r>
      <w:r w:rsidRPr="006436FC">
        <w:t xml:space="preserve">organisation and the individual mentor/mentee </w:t>
      </w:r>
      <w:r w:rsidRPr="006436FC">
        <w:rPr>
          <w:rFonts w:cs="Arial"/>
        </w:rPr>
        <w:lastRenderedPageBreak/>
        <w:t>(Barkham, 2005; Davey and Ham, 2010;</w:t>
      </w:r>
      <w:r w:rsidR="009D7259">
        <w:rPr>
          <w:rFonts w:cs="Arial"/>
        </w:rPr>
        <w:t xml:space="preserve"> </w:t>
      </w:r>
      <w:r w:rsidRPr="006436FC">
        <w:rPr>
          <w:rFonts w:cs="Arial"/>
        </w:rPr>
        <w:t xml:space="preserve">Remmik </w:t>
      </w:r>
      <w:r w:rsidRPr="006436FC">
        <w:rPr>
          <w:rFonts w:cs="Arial"/>
          <w:i/>
        </w:rPr>
        <w:t>et al.</w:t>
      </w:r>
      <w:r w:rsidRPr="006436FC">
        <w:rPr>
          <w:rFonts w:cs="Arial"/>
        </w:rPr>
        <w:t xml:space="preserve"> 2011; Suplee and Gardner, 2009</w:t>
      </w:r>
      <w:r>
        <w:rPr>
          <w:rFonts w:cs="Arial"/>
        </w:rPr>
        <w:t xml:space="preserve">). </w:t>
      </w:r>
      <w:r w:rsidR="00F0104D" w:rsidRPr="00AC1B22">
        <w:t xml:space="preserve">Similar to Barlow and Antoniou’s (2007) findings, participants in this study felt that the formal induction processes were an exercise that needed completing </w:t>
      </w:r>
      <w:r w:rsidR="00F0104D" w:rsidRPr="00AC1B22">
        <w:rPr>
          <w:rStyle w:val="DHSCRevisionChar"/>
        </w:rPr>
        <w:t>rather than bespoke learning tools for their development</w:t>
      </w:r>
      <w:r w:rsidR="00F0104D" w:rsidRPr="00AC1B22">
        <w:t xml:space="preserve">. Although each participant valued the allocation of a probation mentor, they often mentioned that they did not fully use their mentors as they tended to use </w:t>
      </w:r>
      <w:r w:rsidR="00F0104D" w:rsidRPr="00AC1B22">
        <w:rPr>
          <w:rStyle w:val="DHSCRevisionChar"/>
        </w:rPr>
        <w:t xml:space="preserve">other </w:t>
      </w:r>
      <w:r w:rsidR="00F0104D" w:rsidRPr="00AC1B22">
        <w:t xml:space="preserve">informal support mechanisms. </w:t>
      </w:r>
      <w:r w:rsidR="00F0104D" w:rsidRPr="00AC1B22">
        <w:rPr>
          <w:rStyle w:val="DHSCRevisionChar"/>
        </w:rPr>
        <w:t xml:space="preserve">The use of informal support mechanisms rather than the allocated probation mentors suggests that the mentorship needs of the newly appointed academic </w:t>
      </w:r>
      <w:r>
        <w:rPr>
          <w:rStyle w:val="DHSCRevisionChar"/>
          <w:lang w:val="en-GB"/>
        </w:rPr>
        <w:t xml:space="preserve">shared within the study were </w:t>
      </w:r>
      <w:r w:rsidR="00F0104D" w:rsidRPr="00AC1B22">
        <w:rPr>
          <w:rStyle w:val="DHSCRevisionChar"/>
        </w:rPr>
        <w:t>not being met by</w:t>
      </w:r>
      <w:r>
        <w:rPr>
          <w:rStyle w:val="DHSCRevisionChar"/>
        </w:rPr>
        <w:t xml:space="preserve"> the current mentorship systems</w:t>
      </w:r>
      <w:r>
        <w:rPr>
          <w:rStyle w:val="DHSCRevisionChar"/>
          <w:lang w:val="en-GB"/>
        </w:rPr>
        <w:t xml:space="preserve"> and that as a support mechanism further work is needed to develop and explore the mentorship nee</w:t>
      </w:r>
      <w:r w:rsidR="00C67974">
        <w:rPr>
          <w:rStyle w:val="DHSCRevisionChar"/>
          <w:lang w:val="en-GB"/>
        </w:rPr>
        <w:t>ds of newly appointed academics.</w:t>
      </w:r>
    </w:p>
    <w:bookmarkEnd w:id="3"/>
    <w:p w:rsidR="00C36299" w:rsidRPr="000A190F" w:rsidRDefault="00C36299" w:rsidP="00E74301">
      <w:pPr>
        <w:pStyle w:val="Heading2"/>
        <w:rPr>
          <w:rFonts w:cs="Arial"/>
        </w:rPr>
      </w:pPr>
      <w:r w:rsidRPr="000A190F">
        <w:rPr>
          <w:rFonts w:cs="Arial"/>
        </w:rPr>
        <w:t>Conclusion</w:t>
      </w:r>
    </w:p>
    <w:p w:rsidR="00751619" w:rsidRPr="000A190F" w:rsidRDefault="00751619" w:rsidP="00751619">
      <w:r w:rsidRPr="000A190F">
        <w:t>The findings from the experiences shared in this paper suggest that despite the increased significance of assessment feedback in response to continued student dissatisfaction</w:t>
      </w:r>
      <w:r w:rsidRPr="000A190F">
        <w:rPr>
          <w:rStyle w:val="DHSCRevisionChar"/>
        </w:rPr>
        <w:t xml:space="preserve">, </w:t>
      </w:r>
      <w:r>
        <w:t>new staff need and want</w:t>
      </w:r>
      <w:r w:rsidRPr="000A190F">
        <w:t xml:space="preserve"> guidance on what is meant by </w:t>
      </w:r>
      <w:r w:rsidRPr="000A190F">
        <w:rPr>
          <w:rStyle w:val="DHSCRevisionChar"/>
        </w:rPr>
        <w:t>effective</w:t>
      </w:r>
      <w:r w:rsidRPr="000A190F">
        <w:t xml:space="preserve"> feedback. It has not been possible to describe in detail the level of professional experience that each of the participants had before entering the university in order to protect their identity. However it was evident throughout all of the interviews that it was the experience of being assessed rather than being an assessor that they drew </w:t>
      </w:r>
      <w:r w:rsidRPr="000A190F">
        <w:rPr>
          <w:rStyle w:val="DHSCRevisionChar"/>
        </w:rPr>
        <w:t>upon, h</w:t>
      </w:r>
      <w:r w:rsidRPr="000A190F">
        <w:t>ighlighting that learning was temporal and influenced by their experience and understanding of assessment and marking. When discussing the practical aspects of marking, participants often used the interviews as opportunities to voice their developing understanding of their own and others marking practices. Frequently expressing surprise at</w:t>
      </w:r>
      <w:r w:rsidRPr="000A190F">
        <w:rPr>
          <w:rStyle w:val="DHSCRevisionChar"/>
        </w:rPr>
        <w:t xml:space="preserve"> how </w:t>
      </w:r>
      <w:r w:rsidRPr="000A190F">
        <w:t xml:space="preserve">the external and subjective influences they were </w:t>
      </w:r>
      <w:r w:rsidRPr="000A190F">
        <w:rPr>
          <w:rStyle w:val="DHSCRevisionChar"/>
        </w:rPr>
        <w:t xml:space="preserve">experiencing </w:t>
      </w:r>
      <w:r w:rsidRPr="000A190F">
        <w:t xml:space="preserve">could influence their judgements. </w:t>
      </w:r>
    </w:p>
    <w:p w:rsidR="00BD6CB8" w:rsidRDefault="00BF5419" w:rsidP="00BD6CB8">
      <w:pPr>
        <w:rPr>
          <w:rStyle w:val="DHSCRevisionChar"/>
          <w:rFonts w:cs="Arial"/>
          <w:lang w:val="en-GB"/>
        </w:rPr>
      </w:pPr>
      <w:r w:rsidRPr="000A190F">
        <w:t xml:space="preserve">The concept “being-in-the-world-of-marking” conceptually demonstrated the experiences of these </w:t>
      </w:r>
      <w:r w:rsidR="00C67974" w:rsidRPr="000A190F">
        <w:t>novice academics</w:t>
      </w:r>
      <w:r w:rsidRPr="000A190F">
        <w:t xml:space="preserve"> as they began to come to know themselves as markers and academics; not through the learning of facts about marking, but through understanding and self-interpretation of their own and others’ marking practices. The experiences detailed in this paper are consistent with literature that suggests that mentorship is the key to a newly appointed academic’s successful induction, transition, and socialisation into higher education. However, it must be noted that the extracts from participants’ interviews shared are not intended as representative illustrations of all newly appointed academics; rather they are examples of six newly appointed academics’ experiences within a post 1992 university. </w:t>
      </w:r>
      <w:r w:rsidR="00BD6CB8" w:rsidRPr="000A190F">
        <w:rPr>
          <w:rStyle w:val="DHSCRevisionChar"/>
          <w:rFonts w:cs="Arial"/>
        </w:rPr>
        <w:t xml:space="preserve">Through illustrating the participants lived experiences of </w:t>
      </w:r>
      <w:r w:rsidR="00BD6CB8" w:rsidRPr="000A190F">
        <w:rPr>
          <w:rFonts w:cs="Arial"/>
        </w:rPr>
        <w:t>being-in-the-world-of-marking</w:t>
      </w:r>
      <w:r w:rsidR="00BD6CB8" w:rsidRPr="000A190F">
        <w:rPr>
          <w:rStyle w:val="DHSCRevisionChar"/>
          <w:rFonts w:cs="Arial"/>
        </w:rPr>
        <w:t xml:space="preserve">, this </w:t>
      </w:r>
      <w:r w:rsidR="00BD6CB8" w:rsidRPr="000A190F">
        <w:rPr>
          <w:rStyle w:val="DHSCRevisionChar"/>
          <w:rFonts w:cs="Arial"/>
          <w:lang w:val="en-GB"/>
        </w:rPr>
        <w:t>paper</w:t>
      </w:r>
      <w:r w:rsidR="00BD6CB8" w:rsidRPr="000A190F">
        <w:rPr>
          <w:rStyle w:val="DHSCRevisionChar"/>
          <w:rFonts w:cs="Arial"/>
        </w:rPr>
        <w:t xml:space="preserve"> adds to current evidence informing our understanding and awareness of the nee</w:t>
      </w:r>
      <w:r w:rsidR="00BD6CB8">
        <w:rPr>
          <w:rStyle w:val="DHSCRevisionChar"/>
          <w:rFonts w:cs="Arial"/>
        </w:rPr>
        <w:t>ds of newly appointed academics</w:t>
      </w:r>
      <w:r w:rsidR="00BD6CB8" w:rsidRPr="000A190F">
        <w:rPr>
          <w:rStyle w:val="DHSCRevisionChar"/>
          <w:rFonts w:cs="Arial"/>
        </w:rPr>
        <w:t xml:space="preserve">. </w:t>
      </w:r>
    </w:p>
    <w:p w:rsidR="00844B1B" w:rsidRPr="000A190F" w:rsidRDefault="00844B1B" w:rsidP="00C36299">
      <w:pPr>
        <w:pStyle w:val="Heading2"/>
        <w:rPr>
          <w:rFonts w:eastAsia="Times New Roman" w:cs="Arial"/>
          <w:lang w:eastAsia="en-GB"/>
        </w:rPr>
      </w:pPr>
      <w:r w:rsidRPr="000A190F">
        <w:rPr>
          <w:rFonts w:eastAsia="Times New Roman" w:cs="Arial"/>
          <w:lang w:eastAsia="en-GB"/>
        </w:rPr>
        <w:t>Acknowledgements</w:t>
      </w:r>
    </w:p>
    <w:p w:rsidR="003E0BE9" w:rsidRPr="000A190F" w:rsidRDefault="003E0BE9" w:rsidP="00C914C2">
      <w:pPr>
        <w:spacing w:before="100" w:beforeAutospacing="1" w:after="100" w:afterAutospacing="1"/>
      </w:pPr>
      <w:r w:rsidRPr="000A190F">
        <w:t>The author is very grateful to the staff who participated in this study for their time and for sharing their experiences.</w:t>
      </w:r>
    </w:p>
    <w:p w:rsidR="00C36299" w:rsidRPr="000A190F" w:rsidRDefault="00C36299">
      <w:pPr>
        <w:rPr>
          <w:rFonts w:eastAsia="Times New Roman" w:cs="Arial"/>
          <w:b/>
          <w:bCs/>
          <w:color w:val="111111"/>
          <w:szCs w:val="24"/>
          <w:lang w:eastAsia="en-GB"/>
        </w:rPr>
      </w:pPr>
      <w:r w:rsidRPr="000A190F">
        <w:rPr>
          <w:rFonts w:eastAsia="Times New Roman" w:cs="Arial"/>
          <w:b/>
          <w:bCs/>
          <w:color w:val="111111"/>
          <w:szCs w:val="24"/>
          <w:lang w:eastAsia="en-GB"/>
        </w:rPr>
        <w:br w:type="page"/>
      </w:r>
    </w:p>
    <w:p w:rsidR="00844B1B" w:rsidRPr="000A190F" w:rsidRDefault="00844B1B" w:rsidP="00844B1B">
      <w:pPr>
        <w:spacing w:before="100" w:beforeAutospacing="1" w:after="100" w:afterAutospacing="1" w:line="336" w:lineRule="auto"/>
        <w:rPr>
          <w:rFonts w:eastAsia="Times New Roman" w:cs="Arial"/>
          <w:color w:val="111111"/>
          <w:szCs w:val="24"/>
          <w:lang w:eastAsia="en-GB"/>
        </w:rPr>
      </w:pPr>
      <w:r w:rsidRPr="000A190F">
        <w:rPr>
          <w:rFonts w:eastAsia="Times New Roman" w:cs="Arial"/>
          <w:b/>
          <w:bCs/>
          <w:color w:val="111111"/>
          <w:szCs w:val="24"/>
          <w:lang w:eastAsia="en-GB"/>
        </w:rPr>
        <w:lastRenderedPageBreak/>
        <w:t>References</w:t>
      </w:r>
    </w:p>
    <w:p w:rsidR="00116349" w:rsidRPr="000A190F" w:rsidRDefault="00116349" w:rsidP="00116349">
      <w:pPr>
        <w:ind w:right="-143"/>
        <w:jc w:val="left"/>
        <w:rPr>
          <w:rFonts w:cs="Arial"/>
          <w:szCs w:val="24"/>
        </w:rPr>
      </w:pPr>
      <w:r w:rsidRPr="000A190F">
        <w:rPr>
          <w:rFonts w:cs="Arial"/>
          <w:szCs w:val="24"/>
        </w:rPr>
        <w:t xml:space="preserve">Ajjawi, R. and Higgs, J. (2007) Using Hermeneutic Phenomenology to Investigate How Experienced Practitioners Learn to Communicate Clinical Reasoning. </w:t>
      </w:r>
      <w:r w:rsidRPr="000A190F">
        <w:rPr>
          <w:rFonts w:cs="Arial"/>
          <w:i/>
          <w:iCs/>
          <w:szCs w:val="24"/>
        </w:rPr>
        <w:t>Qualitative Report</w:t>
      </w:r>
      <w:r w:rsidR="0092330B">
        <w:rPr>
          <w:rFonts w:cs="Arial"/>
          <w:szCs w:val="24"/>
        </w:rPr>
        <w:t>. 12 (4):</w:t>
      </w:r>
      <w:r w:rsidRPr="000A190F">
        <w:rPr>
          <w:rFonts w:cs="Arial"/>
          <w:szCs w:val="24"/>
        </w:rPr>
        <w:t xml:space="preserve"> 612-638.</w:t>
      </w:r>
    </w:p>
    <w:p w:rsidR="009D7259" w:rsidRPr="00AC1B22" w:rsidRDefault="009D7259" w:rsidP="009D7259">
      <w:pPr>
        <w:jc w:val="left"/>
        <w:rPr>
          <w:rFonts w:cs="Arial"/>
          <w:szCs w:val="24"/>
        </w:rPr>
      </w:pPr>
      <w:r w:rsidRPr="00AC1B22">
        <w:rPr>
          <w:rFonts w:cs="Arial"/>
          <w:szCs w:val="24"/>
        </w:rPr>
        <w:t>Anibas, M., Brenner, G. and Zorn, C. (2009) Experience</w:t>
      </w:r>
      <w:r>
        <w:rPr>
          <w:rFonts w:cs="Arial"/>
          <w:szCs w:val="24"/>
        </w:rPr>
        <w:t>s</w:t>
      </w:r>
      <w:r w:rsidRPr="00AC1B22">
        <w:rPr>
          <w:rFonts w:cs="Arial"/>
          <w:szCs w:val="24"/>
        </w:rPr>
        <w:t xml:space="preserve"> Described by Novice Teaching Academic Staff in Baccalaureate Nursing Education: A focus on Mentoring. </w:t>
      </w:r>
      <w:r w:rsidRPr="00AC1B22">
        <w:rPr>
          <w:rFonts w:cs="Arial"/>
          <w:i/>
          <w:szCs w:val="24"/>
        </w:rPr>
        <w:t>Journal of Professional Nursing.</w:t>
      </w:r>
      <w:r>
        <w:rPr>
          <w:rFonts w:cs="Arial"/>
          <w:szCs w:val="24"/>
        </w:rPr>
        <w:t xml:space="preserve"> 25 (4): </w:t>
      </w:r>
      <w:r w:rsidRPr="00AC1B22">
        <w:rPr>
          <w:rFonts w:cs="Arial"/>
          <w:szCs w:val="24"/>
        </w:rPr>
        <w:t xml:space="preserve">211-217. </w:t>
      </w:r>
    </w:p>
    <w:p w:rsidR="00116349" w:rsidRPr="000A190F" w:rsidRDefault="00116349" w:rsidP="00116349">
      <w:pPr>
        <w:jc w:val="left"/>
        <w:rPr>
          <w:rFonts w:cs="Arial"/>
          <w:szCs w:val="24"/>
        </w:rPr>
      </w:pPr>
      <w:r w:rsidRPr="000A190F">
        <w:rPr>
          <w:rFonts w:cs="Arial"/>
          <w:szCs w:val="24"/>
        </w:rPr>
        <w:t xml:space="preserve">Banonis, B. (1989) The lived experience of recovering from addiction: a phenomenological study. </w:t>
      </w:r>
      <w:r w:rsidRPr="000A190F">
        <w:rPr>
          <w:rFonts w:cs="Arial"/>
          <w:i/>
          <w:szCs w:val="24"/>
        </w:rPr>
        <w:t>Nursing Science Quarterly.</w:t>
      </w:r>
      <w:r w:rsidR="0092330B">
        <w:rPr>
          <w:rFonts w:cs="Arial"/>
          <w:szCs w:val="24"/>
        </w:rPr>
        <w:t xml:space="preserve"> 2 (1):</w:t>
      </w:r>
      <w:r w:rsidRPr="000A190F">
        <w:rPr>
          <w:rFonts w:cs="Arial"/>
          <w:szCs w:val="24"/>
        </w:rPr>
        <w:t xml:space="preserve"> 37–43.</w:t>
      </w:r>
    </w:p>
    <w:p w:rsidR="009D7259" w:rsidRPr="00AC1B22" w:rsidRDefault="009D7259" w:rsidP="009D7259">
      <w:pPr>
        <w:jc w:val="left"/>
        <w:rPr>
          <w:rFonts w:cs="Arial"/>
          <w:szCs w:val="24"/>
        </w:rPr>
      </w:pPr>
      <w:r w:rsidRPr="00AC1B22">
        <w:rPr>
          <w:rFonts w:cs="Arial"/>
          <w:szCs w:val="24"/>
        </w:rPr>
        <w:t xml:space="preserve">Barlow, J. and Antoniou, M. (2007) Room for improvement: the experiences of new lecturers in higher education. </w:t>
      </w:r>
      <w:r w:rsidRPr="00AC1B22">
        <w:rPr>
          <w:rFonts w:cs="Arial"/>
          <w:i/>
          <w:iCs/>
          <w:szCs w:val="24"/>
        </w:rPr>
        <w:t>Innovations in Education and Teaching International</w:t>
      </w:r>
      <w:r>
        <w:rPr>
          <w:rFonts w:cs="Arial"/>
          <w:szCs w:val="24"/>
        </w:rPr>
        <w:t xml:space="preserve">. 44 (1): </w:t>
      </w:r>
      <w:r w:rsidRPr="00AC1B22">
        <w:rPr>
          <w:rFonts w:cs="Arial"/>
          <w:szCs w:val="24"/>
        </w:rPr>
        <w:t xml:space="preserve">67-77. </w:t>
      </w:r>
    </w:p>
    <w:p w:rsidR="00BD6CB8" w:rsidRPr="00AC1B22" w:rsidRDefault="00BD6CB8" w:rsidP="00BD6CB8">
      <w:pPr>
        <w:jc w:val="left"/>
        <w:rPr>
          <w:rFonts w:cs="Arial"/>
          <w:szCs w:val="24"/>
        </w:rPr>
      </w:pPr>
      <w:r w:rsidRPr="00AC1B22">
        <w:rPr>
          <w:rFonts w:cs="Arial"/>
          <w:szCs w:val="24"/>
        </w:rPr>
        <w:t xml:space="preserve">Barkham, J. (2005) Reflections and interpretations on life in academia: a mentee speaks. </w:t>
      </w:r>
      <w:r w:rsidRPr="00AC1B22">
        <w:rPr>
          <w:rFonts w:cs="Arial"/>
          <w:i/>
          <w:iCs/>
          <w:szCs w:val="24"/>
        </w:rPr>
        <w:t>Mentoring and Training</w:t>
      </w:r>
      <w:r>
        <w:rPr>
          <w:rFonts w:cs="Arial"/>
          <w:szCs w:val="24"/>
        </w:rPr>
        <w:t xml:space="preserve">. 13 (3): </w:t>
      </w:r>
      <w:r w:rsidRPr="00AC1B22">
        <w:rPr>
          <w:rFonts w:cs="Arial"/>
          <w:szCs w:val="24"/>
        </w:rPr>
        <w:t xml:space="preserve">331-344. </w:t>
      </w:r>
    </w:p>
    <w:p w:rsidR="00116349" w:rsidRPr="000A190F" w:rsidRDefault="00116349" w:rsidP="00116349">
      <w:pPr>
        <w:jc w:val="left"/>
        <w:rPr>
          <w:rFonts w:cs="Arial"/>
          <w:szCs w:val="24"/>
        </w:rPr>
      </w:pPr>
      <w:r w:rsidRPr="000A190F">
        <w:rPr>
          <w:rFonts w:cs="Arial"/>
          <w:szCs w:val="24"/>
        </w:rPr>
        <w:t xml:space="preserve">BERA (2004) </w:t>
      </w:r>
      <w:r w:rsidRPr="000A190F">
        <w:rPr>
          <w:rFonts w:cs="Arial"/>
          <w:bCs/>
          <w:i/>
          <w:szCs w:val="24"/>
        </w:rPr>
        <w:t>Revised Ethical Guidelines for Educational Research</w:t>
      </w:r>
      <w:r w:rsidRPr="000A190F">
        <w:rPr>
          <w:rFonts w:cs="Arial"/>
          <w:bCs/>
          <w:szCs w:val="24"/>
        </w:rPr>
        <w:t>.</w:t>
      </w:r>
      <w:r w:rsidRPr="000A190F">
        <w:rPr>
          <w:rFonts w:cs="Arial"/>
          <w:szCs w:val="24"/>
        </w:rPr>
        <w:t xml:space="preserve"> [Online] Available from: </w:t>
      </w:r>
      <w:hyperlink r:id="rId13" w:history="1">
        <w:r w:rsidRPr="000A190F">
          <w:rPr>
            <w:rStyle w:val="Hyperlink"/>
            <w:rFonts w:cs="Arial"/>
            <w:szCs w:val="24"/>
          </w:rPr>
          <w:t>http://www.bera.ac.uk/publications</w:t>
        </w:r>
      </w:hyperlink>
      <w:r w:rsidRPr="000A190F">
        <w:rPr>
          <w:rFonts w:cs="Arial"/>
          <w:szCs w:val="24"/>
        </w:rPr>
        <w:t xml:space="preserve">  [Accessed 9 January 2009].</w:t>
      </w:r>
    </w:p>
    <w:p w:rsidR="009D7259" w:rsidRPr="00AC1B22" w:rsidRDefault="009D7259" w:rsidP="009D7259">
      <w:pPr>
        <w:jc w:val="left"/>
        <w:rPr>
          <w:rFonts w:cs="Arial"/>
          <w:szCs w:val="24"/>
        </w:rPr>
      </w:pPr>
      <w:r w:rsidRPr="00AC1B22">
        <w:rPr>
          <w:rFonts w:cs="Arial"/>
          <w:szCs w:val="24"/>
        </w:rPr>
        <w:t xml:space="preserve">Billings, D. and Kowalski, K. (2008) Developing Your Career as a Nurse Educator: The Importance of Having (or Being) a Mentor. </w:t>
      </w:r>
      <w:r w:rsidRPr="00AC1B22">
        <w:rPr>
          <w:rFonts w:cs="Arial"/>
          <w:i/>
          <w:szCs w:val="24"/>
        </w:rPr>
        <w:t>Journal of Continuing Education in Nursing</w:t>
      </w:r>
      <w:r>
        <w:rPr>
          <w:rFonts w:cs="Arial"/>
          <w:szCs w:val="24"/>
        </w:rPr>
        <w:t xml:space="preserve">. 39 (11): </w:t>
      </w:r>
      <w:r w:rsidRPr="00AC1B22">
        <w:rPr>
          <w:rFonts w:cs="Arial"/>
          <w:szCs w:val="24"/>
        </w:rPr>
        <w:t xml:space="preserve">490-491. </w:t>
      </w:r>
    </w:p>
    <w:p w:rsidR="00116349" w:rsidRPr="000A190F" w:rsidRDefault="00116349" w:rsidP="00116349">
      <w:pPr>
        <w:jc w:val="left"/>
        <w:rPr>
          <w:rFonts w:cs="Arial"/>
          <w:szCs w:val="24"/>
        </w:rPr>
      </w:pPr>
      <w:r w:rsidRPr="000A190F">
        <w:rPr>
          <w:rFonts w:cs="Arial"/>
          <w:szCs w:val="24"/>
        </w:rPr>
        <w:t xml:space="preserve">Bloxham, S. (2009) Marking and moderation in the UK: false assumptions and wasted resources. </w:t>
      </w:r>
      <w:r w:rsidRPr="000A190F">
        <w:rPr>
          <w:rFonts w:cs="Arial"/>
          <w:i/>
          <w:iCs/>
          <w:szCs w:val="24"/>
        </w:rPr>
        <w:t>Assessment &amp; Evaluation in Higher Education</w:t>
      </w:r>
      <w:r w:rsidR="0092330B">
        <w:rPr>
          <w:rFonts w:cs="Arial"/>
          <w:szCs w:val="24"/>
        </w:rPr>
        <w:t>. 34 (2):</w:t>
      </w:r>
      <w:r w:rsidRPr="000A190F">
        <w:rPr>
          <w:rFonts w:cs="Arial"/>
          <w:szCs w:val="24"/>
        </w:rPr>
        <w:t xml:space="preserve">209-220. </w:t>
      </w:r>
    </w:p>
    <w:p w:rsidR="00116349" w:rsidRPr="000A190F" w:rsidRDefault="00116349" w:rsidP="00116349">
      <w:pPr>
        <w:jc w:val="left"/>
        <w:rPr>
          <w:rFonts w:cs="Arial"/>
          <w:szCs w:val="24"/>
        </w:rPr>
      </w:pPr>
      <w:r w:rsidRPr="000A190F">
        <w:rPr>
          <w:rFonts w:cs="Arial"/>
          <w:szCs w:val="24"/>
        </w:rPr>
        <w:t xml:space="preserve">Bloxham, S. and </w:t>
      </w:r>
      <w:r w:rsidRPr="000A190F">
        <w:rPr>
          <w:rFonts w:cs="Arial"/>
          <w:bCs/>
          <w:szCs w:val="24"/>
        </w:rPr>
        <w:t>Boyd</w:t>
      </w:r>
      <w:r w:rsidRPr="000A190F">
        <w:rPr>
          <w:rFonts w:cs="Arial"/>
          <w:szCs w:val="24"/>
        </w:rPr>
        <w:t xml:space="preserve">, P. (2007) </w:t>
      </w:r>
      <w:r w:rsidRPr="000A190F">
        <w:rPr>
          <w:rFonts w:cs="Arial"/>
          <w:i/>
          <w:szCs w:val="24"/>
        </w:rPr>
        <w:t>Developing Effective Assessment in Higher Education: a practical guide</w:t>
      </w:r>
      <w:r w:rsidRPr="000A190F">
        <w:rPr>
          <w:rFonts w:cs="Arial"/>
          <w:szCs w:val="24"/>
        </w:rPr>
        <w:t>.  London: Mc Graw Hill / Open University Press.</w:t>
      </w:r>
    </w:p>
    <w:p w:rsidR="00116349" w:rsidRPr="000A190F" w:rsidRDefault="00116349" w:rsidP="00116349">
      <w:pPr>
        <w:jc w:val="left"/>
        <w:rPr>
          <w:rFonts w:cs="Arial"/>
          <w:szCs w:val="24"/>
        </w:rPr>
      </w:pPr>
      <w:r w:rsidRPr="000A190F">
        <w:rPr>
          <w:rFonts w:cs="Arial"/>
          <w:szCs w:val="24"/>
        </w:rPr>
        <w:t xml:space="preserve">Bloxham, S., Boyd, P. and Orr, S. (2011) Mark my words: the role of assessment criteria in UK higher education grading practices. </w:t>
      </w:r>
      <w:r w:rsidRPr="000A190F">
        <w:rPr>
          <w:rFonts w:cs="Arial"/>
          <w:i/>
          <w:iCs/>
          <w:szCs w:val="24"/>
        </w:rPr>
        <w:t>Studies in Higher Education</w:t>
      </w:r>
      <w:r w:rsidR="0092330B">
        <w:rPr>
          <w:rFonts w:cs="Arial"/>
          <w:szCs w:val="24"/>
        </w:rPr>
        <w:t>. 36 (6):</w:t>
      </w:r>
      <w:r w:rsidRPr="000A190F">
        <w:rPr>
          <w:rFonts w:cs="Arial"/>
          <w:szCs w:val="24"/>
        </w:rPr>
        <w:t xml:space="preserve"> 655-670.</w:t>
      </w:r>
    </w:p>
    <w:p w:rsidR="00116349" w:rsidRPr="000A190F" w:rsidRDefault="00116349" w:rsidP="00116349">
      <w:pPr>
        <w:jc w:val="left"/>
        <w:rPr>
          <w:rFonts w:cs="Arial"/>
          <w:szCs w:val="24"/>
        </w:rPr>
      </w:pPr>
      <w:r w:rsidRPr="000A190F">
        <w:rPr>
          <w:rFonts w:cs="Arial"/>
          <w:szCs w:val="24"/>
        </w:rPr>
        <w:t xml:space="preserve">Braun, V. and Clarke, V. (2006) Using thematic analysis in psychology. </w:t>
      </w:r>
      <w:r w:rsidRPr="000A190F">
        <w:rPr>
          <w:rFonts w:cs="Arial"/>
          <w:i/>
          <w:szCs w:val="24"/>
        </w:rPr>
        <w:t>Qualitative Research in Psychology.</w:t>
      </w:r>
      <w:r w:rsidR="0092330B">
        <w:rPr>
          <w:rFonts w:cs="Arial"/>
          <w:szCs w:val="24"/>
        </w:rPr>
        <w:t xml:space="preserve"> 3 (2):</w:t>
      </w:r>
      <w:r w:rsidRPr="000A190F">
        <w:rPr>
          <w:rFonts w:cs="Arial"/>
          <w:szCs w:val="24"/>
        </w:rPr>
        <w:t>77-101.</w:t>
      </w:r>
    </w:p>
    <w:p w:rsidR="002130E4" w:rsidRPr="00AC1B22" w:rsidRDefault="002130E4" w:rsidP="002130E4">
      <w:pPr>
        <w:jc w:val="left"/>
        <w:rPr>
          <w:rFonts w:cs="Arial"/>
          <w:szCs w:val="24"/>
        </w:rPr>
      </w:pPr>
      <w:r w:rsidRPr="00AC1B22">
        <w:rPr>
          <w:rFonts w:cs="Arial"/>
          <w:szCs w:val="24"/>
        </w:rPr>
        <w:t xml:space="preserve">Brooks, V. (2004) Double marking revisited. </w:t>
      </w:r>
      <w:r w:rsidRPr="00AC1B22">
        <w:rPr>
          <w:rFonts w:cs="Arial"/>
          <w:i/>
          <w:szCs w:val="24"/>
        </w:rPr>
        <w:t>British Journal of Educational Studies.</w:t>
      </w:r>
      <w:r>
        <w:rPr>
          <w:rFonts w:cs="Arial"/>
          <w:szCs w:val="24"/>
        </w:rPr>
        <w:t xml:space="preserve"> 52 (1): </w:t>
      </w:r>
      <w:r w:rsidRPr="00AC1B22">
        <w:rPr>
          <w:rFonts w:cs="Arial"/>
          <w:szCs w:val="24"/>
        </w:rPr>
        <w:t>29-46.</w:t>
      </w:r>
    </w:p>
    <w:p w:rsidR="00116349" w:rsidRPr="000A190F" w:rsidRDefault="00116349" w:rsidP="00116349">
      <w:pPr>
        <w:jc w:val="left"/>
        <w:rPr>
          <w:rFonts w:cs="Arial"/>
          <w:szCs w:val="24"/>
        </w:rPr>
      </w:pPr>
      <w:r w:rsidRPr="000A190F">
        <w:rPr>
          <w:rFonts w:cs="Arial"/>
          <w:szCs w:val="24"/>
        </w:rPr>
        <w:t xml:space="preserve">Brooks, V. (2012) Marking as judgement. </w:t>
      </w:r>
      <w:r w:rsidRPr="000A190F">
        <w:rPr>
          <w:rFonts w:cs="Arial"/>
          <w:i/>
          <w:szCs w:val="24"/>
        </w:rPr>
        <w:t>Research Papers in Education.</w:t>
      </w:r>
      <w:r w:rsidR="0092330B">
        <w:rPr>
          <w:rFonts w:cs="Arial"/>
          <w:szCs w:val="24"/>
        </w:rPr>
        <w:t xml:space="preserve"> 27 (1):</w:t>
      </w:r>
      <w:r w:rsidRPr="000A190F">
        <w:rPr>
          <w:rFonts w:cs="Arial"/>
          <w:szCs w:val="24"/>
        </w:rPr>
        <w:t>63-80.</w:t>
      </w:r>
    </w:p>
    <w:p w:rsidR="00116349" w:rsidRPr="000A190F" w:rsidRDefault="00116349" w:rsidP="00116349">
      <w:pPr>
        <w:jc w:val="left"/>
        <w:rPr>
          <w:rFonts w:cs="Arial"/>
          <w:szCs w:val="24"/>
        </w:rPr>
      </w:pPr>
      <w:r w:rsidRPr="000A190F">
        <w:rPr>
          <w:rFonts w:cs="Arial"/>
          <w:szCs w:val="24"/>
        </w:rPr>
        <w:t xml:space="preserve">Clemans, A., Berry, A. and Loughran, J. (2010) Lost and found in transition: the professional journey of teacher educators. </w:t>
      </w:r>
      <w:r w:rsidRPr="000A190F">
        <w:rPr>
          <w:rFonts w:cs="Arial"/>
          <w:i/>
          <w:iCs/>
          <w:szCs w:val="24"/>
        </w:rPr>
        <w:t>Professional Development in Education</w:t>
      </w:r>
      <w:r w:rsidR="0092330B">
        <w:rPr>
          <w:rFonts w:cs="Arial"/>
          <w:szCs w:val="24"/>
        </w:rPr>
        <w:t>. 36 (1):</w:t>
      </w:r>
      <w:r w:rsidRPr="000A190F">
        <w:rPr>
          <w:rFonts w:cs="Arial"/>
          <w:szCs w:val="24"/>
        </w:rPr>
        <w:t xml:space="preserve">211-218. </w:t>
      </w:r>
    </w:p>
    <w:p w:rsidR="00116349" w:rsidRPr="000A190F" w:rsidRDefault="00116349" w:rsidP="00116349">
      <w:pPr>
        <w:jc w:val="left"/>
        <w:rPr>
          <w:rFonts w:cs="Arial"/>
          <w:szCs w:val="24"/>
        </w:rPr>
      </w:pPr>
      <w:r w:rsidRPr="000A190F">
        <w:rPr>
          <w:rFonts w:cs="Arial"/>
          <w:szCs w:val="24"/>
        </w:rPr>
        <w:t xml:space="preserve">Clouder, L., Broughan, C., Jewell, S. and Steventon, G. eds., (2012) </w:t>
      </w:r>
      <w:r w:rsidRPr="000A190F">
        <w:rPr>
          <w:rFonts w:cs="Arial"/>
          <w:i/>
          <w:szCs w:val="24"/>
        </w:rPr>
        <w:t>Improving Student Engagement and Development Through Assessment: Theory and practice in higher education</w:t>
      </w:r>
      <w:r w:rsidRPr="000A190F">
        <w:rPr>
          <w:rFonts w:cs="Arial"/>
          <w:szCs w:val="24"/>
        </w:rPr>
        <w:t>. London: Routledge.</w:t>
      </w:r>
    </w:p>
    <w:p w:rsidR="00764347" w:rsidRPr="00AC1B22" w:rsidRDefault="00764347" w:rsidP="00764347">
      <w:pPr>
        <w:jc w:val="left"/>
        <w:rPr>
          <w:rFonts w:cs="Arial"/>
          <w:szCs w:val="24"/>
        </w:rPr>
      </w:pPr>
      <w:r w:rsidRPr="00AC1B22">
        <w:rPr>
          <w:rFonts w:cs="Arial"/>
          <w:szCs w:val="24"/>
        </w:rPr>
        <w:lastRenderedPageBreak/>
        <w:t xml:space="preserve">Comber, D. and Walsh, L. (2008) Enhancing educational development for new academic staff through the inclusion and comparison of disciplinary pedagogies. </w:t>
      </w:r>
      <w:r w:rsidRPr="00AC1B22">
        <w:rPr>
          <w:rFonts w:cs="Arial"/>
          <w:i/>
          <w:iCs/>
          <w:szCs w:val="24"/>
        </w:rPr>
        <w:t>Scottish Higher Education Enhancement Research (Sheer) Phase 2</w:t>
      </w:r>
      <w:r>
        <w:rPr>
          <w:rFonts w:cs="Arial"/>
          <w:szCs w:val="24"/>
        </w:rPr>
        <w:t>:</w:t>
      </w:r>
      <w:r w:rsidRPr="00AC1B22">
        <w:rPr>
          <w:rFonts w:cs="Arial"/>
          <w:szCs w:val="24"/>
        </w:rPr>
        <w:t xml:space="preserve"> 1-67. </w:t>
      </w:r>
    </w:p>
    <w:p w:rsidR="00116349" w:rsidRPr="000A190F" w:rsidRDefault="00116349" w:rsidP="00116349">
      <w:pPr>
        <w:jc w:val="left"/>
        <w:rPr>
          <w:rFonts w:cs="Arial"/>
          <w:szCs w:val="24"/>
        </w:rPr>
      </w:pPr>
      <w:r w:rsidRPr="000A190F">
        <w:rPr>
          <w:rFonts w:cs="Arial"/>
          <w:szCs w:val="24"/>
        </w:rPr>
        <w:t xml:space="preserve">Crisp, G. (2012) Integrative assessment: reframing assessment practice for current and future learning. </w:t>
      </w:r>
      <w:r w:rsidRPr="000A190F">
        <w:rPr>
          <w:rFonts w:cs="Arial"/>
          <w:i/>
          <w:iCs/>
          <w:szCs w:val="24"/>
        </w:rPr>
        <w:t>Assessment &amp; Evaluation in Higher Education</w:t>
      </w:r>
      <w:r w:rsidR="0092330B">
        <w:rPr>
          <w:rFonts w:cs="Arial"/>
          <w:szCs w:val="24"/>
        </w:rPr>
        <w:t>. 37 (1):</w:t>
      </w:r>
      <w:r w:rsidRPr="000A190F">
        <w:rPr>
          <w:rFonts w:cs="Arial"/>
          <w:szCs w:val="24"/>
        </w:rPr>
        <w:t>33-43.</w:t>
      </w:r>
    </w:p>
    <w:p w:rsidR="00116349" w:rsidRPr="000A190F" w:rsidRDefault="00116349" w:rsidP="00116349">
      <w:pPr>
        <w:jc w:val="left"/>
        <w:rPr>
          <w:rFonts w:cs="Arial"/>
          <w:szCs w:val="24"/>
        </w:rPr>
      </w:pPr>
      <w:r w:rsidRPr="000A190F">
        <w:rPr>
          <w:rFonts w:cs="Arial"/>
          <w:szCs w:val="24"/>
        </w:rPr>
        <w:t xml:space="preserve">Crook, C., Gross, H. and Dymott, R. (2006) Assessment relationships in higher education: the tension of process and practice. </w:t>
      </w:r>
      <w:r w:rsidRPr="000A190F">
        <w:rPr>
          <w:rFonts w:cs="Arial"/>
          <w:i/>
          <w:iCs/>
          <w:szCs w:val="24"/>
        </w:rPr>
        <w:t>British Educational Research Journal</w:t>
      </w:r>
      <w:r w:rsidR="0092330B">
        <w:rPr>
          <w:rFonts w:cs="Arial"/>
          <w:szCs w:val="24"/>
        </w:rPr>
        <w:t>. 32 (1):</w:t>
      </w:r>
      <w:r w:rsidRPr="000A190F">
        <w:rPr>
          <w:rFonts w:cs="Arial"/>
          <w:szCs w:val="24"/>
        </w:rPr>
        <w:t xml:space="preserve">95-114. </w:t>
      </w:r>
    </w:p>
    <w:p w:rsidR="00BD6CB8" w:rsidRPr="00AC1B22" w:rsidRDefault="00BD6CB8" w:rsidP="00BD6CB8">
      <w:pPr>
        <w:jc w:val="left"/>
        <w:rPr>
          <w:rFonts w:cs="Arial"/>
          <w:szCs w:val="24"/>
        </w:rPr>
      </w:pPr>
      <w:r w:rsidRPr="00AC1B22">
        <w:rPr>
          <w:rFonts w:cs="Arial"/>
          <w:szCs w:val="24"/>
        </w:rPr>
        <w:t>Davey, R. and Ham, V. (2010) ‘It’</w:t>
      </w:r>
      <w:r>
        <w:rPr>
          <w:rFonts w:cs="Arial"/>
          <w:szCs w:val="24"/>
        </w:rPr>
        <w:t>s all about paying attention!’.t</w:t>
      </w:r>
      <w:r w:rsidRPr="00AC1B22">
        <w:rPr>
          <w:rFonts w:cs="Arial"/>
          <w:szCs w:val="24"/>
        </w:rPr>
        <w:t xml:space="preserve">o what? The 6 Ms of mentoring the professional learning of teacher educators. </w:t>
      </w:r>
      <w:r w:rsidRPr="00AC1B22">
        <w:rPr>
          <w:rFonts w:cs="Arial"/>
          <w:i/>
          <w:szCs w:val="24"/>
        </w:rPr>
        <w:t xml:space="preserve">Professional Development in Education. </w:t>
      </w:r>
      <w:r>
        <w:rPr>
          <w:rFonts w:cs="Arial"/>
          <w:szCs w:val="24"/>
        </w:rPr>
        <w:t xml:space="preserve">36 (1): </w:t>
      </w:r>
      <w:r w:rsidRPr="00AC1B22">
        <w:rPr>
          <w:rFonts w:cs="Arial"/>
          <w:szCs w:val="24"/>
        </w:rPr>
        <w:t>229-244.</w:t>
      </w:r>
    </w:p>
    <w:p w:rsidR="00116349" w:rsidRPr="000A190F" w:rsidRDefault="00116349" w:rsidP="00116349">
      <w:pPr>
        <w:jc w:val="left"/>
        <w:rPr>
          <w:rFonts w:cs="Arial"/>
          <w:szCs w:val="24"/>
        </w:rPr>
      </w:pPr>
      <w:r w:rsidRPr="000A190F">
        <w:rPr>
          <w:rFonts w:cs="Arial"/>
          <w:szCs w:val="24"/>
        </w:rPr>
        <w:t xml:space="preserve">Duffy, K. (2003) </w:t>
      </w:r>
      <w:r w:rsidRPr="000A190F">
        <w:rPr>
          <w:rFonts w:cs="Arial"/>
          <w:i/>
          <w:szCs w:val="24"/>
        </w:rPr>
        <w:t>Failing Students: a Qualitative Study of Factors that Influence the Decisions Regarding Assessment of Students’ Competence in Practice.</w:t>
      </w:r>
      <w:r w:rsidRPr="000A190F">
        <w:rPr>
          <w:rFonts w:cs="Arial"/>
          <w:szCs w:val="24"/>
        </w:rPr>
        <w:t xml:space="preserve"> [online] Available from: </w:t>
      </w:r>
      <w:hyperlink r:id="rId14" w:history="1">
        <w:r w:rsidRPr="000A190F">
          <w:rPr>
            <w:rStyle w:val="Hyperlink"/>
            <w:rFonts w:cs="Arial"/>
            <w:szCs w:val="24"/>
          </w:rPr>
          <w:t>nmc-uk.org</w:t>
        </w:r>
      </w:hyperlink>
      <w:r w:rsidRPr="000A190F">
        <w:rPr>
          <w:rFonts w:cs="Arial"/>
          <w:szCs w:val="24"/>
        </w:rPr>
        <w:t xml:space="preserve"> [Accessed 9 May 2008].</w:t>
      </w:r>
    </w:p>
    <w:p w:rsidR="009D7259" w:rsidRPr="00AC1B22" w:rsidRDefault="009D7259" w:rsidP="009D7259">
      <w:pPr>
        <w:jc w:val="left"/>
        <w:rPr>
          <w:rFonts w:cs="Arial"/>
          <w:szCs w:val="24"/>
        </w:rPr>
      </w:pPr>
      <w:r w:rsidRPr="00AC1B22">
        <w:rPr>
          <w:rFonts w:cs="Arial"/>
          <w:szCs w:val="24"/>
        </w:rPr>
        <w:t xml:space="preserve">Dunham-Taylor, J., Lynn, C., Moore, P., McDaniel, S. and Walker, J. (2008) What Goes Around Comes Around: Improving Faculty Retention Through More Effective Mentoring. </w:t>
      </w:r>
      <w:r w:rsidRPr="00AC1B22">
        <w:rPr>
          <w:rFonts w:cs="Arial"/>
          <w:i/>
          <w:iCs/>
          <w:szCs w:val="24"/>
        </w:rPr>
        <w:t>Journal of Professional Nursing</w:t>
      </w:r>
      <w:r>
        <w:rPr>
          <w:rFonts w:cs="Arial"/>
          <w:szCs w:val="24"/>
        </w:rPr>
        <w:t xml:space="preserve">. 24 (6): </w:t>
      </w:r>
      <w:r w:rsidRPr="00AC1B22">
        <w:rPr>
          <w:rFonts w:cs="Arial"/>
          <w:szCs w:val="24"/>
        </w:rPr>
        <w:t xml:space="preserve">337-346. </w:t>
      </w:r>
    </w:p>
    <w:p w:rsidR="00116349" w:rsidRPr="000A190F" w:rsidRDefault="00116349" w:rsidP="00116349">
      <w:pPr>
        <w:jc w:val="left"/>
        <w:rPr>
          <w:rFonts w:cs="Arial"/>
          <w:szCs w:val="24"/>
        </w:rPr>
      </w:pPr>
      <w:r w:rsidRPr="000A190F">
        <w:rPr>
          <w:rFonts w:cs="Arial"/>
          <w:szCs w:val="24"/>
        </w:rPr>
        <w:t xml:space="preserve">Flemming, N. (1999) Biases in marking students’ written work: Quality? In: Brown, S. and Glasner, A. eds., (1999) </w:t>
      </w:r>
      <w:r w:rsidRPr="000A190F">
        <w:rPr>
          <w:rFonts w:cs="Arial"/>
          <w:i/>
          <w:iCs/>
          <w:szCs w:val="24"/>
        </w:rPr>
        <w:t>Assessment Matters in Higher Education: Choosing and using Diverse Approaches</w:t>
      </w:r>
      <w:r w:rsidRPr="000A190F">
        <w:rPr>
          <w:rFonts w:cs="Arial"/>
          <w:szCs w:val="24"/>
        </w:rPr>
        <w:t>. Buckingham: Society for Research into Higher Educatio</w:t>
      </w:r>
      <w:r w:rsidR="0092330B">
        <w:rPr>
          <w:rFonts w:cs="Arial"/>
          <w:szCs w:val="24"/>
        </w:rPr>
        <w:t>n and Open University Press:</w:t>
      </w:r>
      <w:r w:rsidRPr="000A190F">
        <w:rPr>
          <w:rFonts w:cs="Arial"/>
          <w:szCs w:val="24"/>
        </w:rPr>
        <w:t>83-92.</w:t>
      </w:r>
    </w:p>
    <w:p w:rsidR="00116349" w:rsidRPr="000A190F" w:rsidRDefault="00116349" w:rsidP="00116349">
      <w:pPr>
        <w:jc w:val="left"/>
        <w:rPr>
          <w:rFonts w:cs="Arial"/>
          <w:szCs w:val="24"/>
        </w:rPr>
      </w:pPr>
      <w:r w:rsidRPr="000A190F">
        <w:rPr>
          <w:rFonts w:cs="Arial"/>
          <w:szCs w:val="24"/>
        </w:rPr>
        <w:t xml:space="preserve">Flint, N. and Johnson, B. (2011) </w:t>
      </w:r>
      <w:r w:rsidRPr="000A190F">
        <w:rPr>
          <w:rFonts w:cs="Arial"/>
          <w:i/>
          <w:szCs w:val="24"/>
        </w:rPr>
        <w:t>Towards fairer university assessment. Recognizing the concerns of students.</w:t>
      </w:r>
      <w:r w:rsidRPr="000A190F">
        <w:rPr>
          <w:rFonts w:cs="Arial"/>
          <w:szCs w:val="24"/>
        </w:rPr>
        <w:t xml:space="preserve"> Oxon. Routledge.</w:t>
      </w:r>
    </w:p>
    <w:p w:rsidR="00116349" w:rsidRPr="000A190F" w:rsidRDefault="00116349" w:rsidP="00116349">
      <w:pPr>
        <w:jc w:val="left"/>
        <w:rPr>
          <w:rFonts w:cs="Arial"/>
          <w:szCs w:val="24"/>
        </w:rPr>
      </w:pPr>
      <w:r w:rsidRPr="000A190F">
        <w:rPr>
          <w:rFonts w:cs="Arial"/>
          <w:szCs w:val="24"/>
        </w:rPr>
        <w:t xml:space="preserve">Forbes, V. and Jessup, A. (2004) From Expert to Novice: The Unnerving Transition from Experienced RN to Neophyte APN. </w:t>
      </w:r>
      <w:r w:rsidRPr="000A190F">
        <w:rPr>
          <w:rFonts w:cs="Arial"/>
          <w:i/>
          <w:iCs/>
          <w:szCs w:val="24"/>
        </w:rPr>
        <w:t>Journal of Holistic Nursing</w:t>
      </w:r>
      <w:r w:rsidR="0092330B">
        <w:rPr>
          <w:rFonts w:cs="Arial"/>
          <w:szCs w:val="24"/>
        </w:rPr>
        <w:t>. 22 (2):</w:t>
      </w:r>
      <w:r w:rsidRPr="000A190F">
        <w:rPr>
          <w:rFonts w:cs="Arial"/>
          <w:szCs w:val="24"/>
        </w:rPr>
        <w:t xml:space="preserve">180-185. </w:t>
      </w:r>
    </w:p>
    <w:p w:rsidR="00116349" w:rsidRPr="000A190F" w:rsidRDefault="00116349" w:rsidP="00116349">
      <w:pPr>
        <w:jc w:val="left"/>
        <w:rPr>
          <w:rFonts w:cs="Arial"/>
          <w:szCs w:val="24"/>
        </w:rPr>
      </w:pPr>
      <w:r w:rsidRPr="000A190F">
        <w:rPr>
          <w:rFonts w:cs="Arial"/>
          <w:szCs w:val="24"/>
        </w:rPr>
        <w:t xml:space="preserve">Freeman, R. and Dobbins, K. (2013) Are we serious about enhancing courses? Using the principles of assessment for learning to enhance course evaluation. </w:t>
      </w:r>
      <w:r w:rsidRPr="000A190F">
        <w:rPr>
          <w:rFonts w:cs="Arial"/>
          <w:i/>
          <w:iCs/>
          <w:szCs w:val="24"/>
        </w:rPr>
        <w:t>Assessment &amp; Evaluation in Higher Education</w:t>
      </w:r>
      <w:r w:rsidR="0092330B">
        <w:rPr>
          <w:rFonts w:cs="Arial"/>
          <w:szCs w:val="24"/>
        </w:rPr>
        <w:t>. 38 (2):</w:t>
      </w:r>
      <w:r w:rsidRPr="000A190F">
        <w:rPr>
          <w:rFonts w:cs="Arial"/>
          <w:szCs w:val="24"/>
        </w:rPr>
        <w:t xml:space="preserve">142-151. </w:t>
      </w:r>
    </w:p>
    <w:p w:rsidR="00300087" w:rsidRDefault="00300087" w:rsidP="00116349">
      <w:pPr>
        <w:jc w:val="left"/>
        <w:rPr>
          <w:rFonts w:cs="Arial"/>
          <w:szCs w:val="24"/>
        </w:rPr>
      </w:pPr>
      <w:r w:rsidRPr="00FD5F64">
        <w:rPr>
          <w:rFonts w:cs="Arial"/>
        </w:rPr>
        <w:t xml:space="preserve">Garrow, A. and Tawse, S. (2009) An exploration of the assessment experiences of new academics as they engage with a community of practice in higher education. </w:t>
      </w:r>
      <w:r w:rsidRPr="00FD5F64">
        <w:rPr>
          <w:rFonts w:cs="Arial"/>
          <w:i/>
          <w:iCs/>
        </w:rPr>
        <w:t>Nurse Education Today</w:t>
      </w:r>
      <w:r>
        <w:rPr>
          <w:rFonts w:cs="Arial"/>
        </w:rPr>
        <w:t>. 29 (6):</w:t>
      </w:r>
      <w:r w:rsidRPr="00FD5F64">
        <w:rPr>
          <w:rFonts w:cs="Arial"/>
        </w:rPr>
        <w:t xml:space="preserve"> 580-584. </w:t>
      </w:r>
    </w:p>
    <w:p w:rsidR="00116349" w:rsidRPr="000A190F" w:rsidRDefault="00116349" w:rsidP="00116349">
      <w:pPr>
        <w:jc w:val="left"/>
        <w:rPr>
          <w:rFonts w:cs="Arial"/>
          <w:szCs w:val="24"/>
        </w:rPr>
      </w:pPr>
      <w:r w:rsidRPr="000A190F">
        <w:rPr>
          <w:rFonts w:cs="Arial"/>
          <w:szCs w:val="24"/>
        </w:rPr>
        <w:t xml:space="preserve">Gibbs, G. and Simpson, C. (2004) Conditions under which assessment supports students learning. </w:t>
      </w:r>
      <w:r w:rsidRPr="000A190F">
        <w:rPr>
          <w:rFonts w:cs="Arial"/>
          <w:i/>
          <w:iCs/>
          <w:szCs w:val="24"/>
        </w:rPr>
        <w:t>Learning and Teaching in Higher Education</w:t>
      </w:r>
      <w:r w:rsidR="0092330B">
        <w:rPr>
          <w:rFonts w:cs="Arial"/>
          <w:szCs w:val="24"/>
        </w:rPr>
        <w:t>. 1 (1):</w:t>
      </w:r>
      <w:r w:rsidRPr="000A190F">
        <w:rPr>
          <w:rFonts w:cs="Arial"/>
          <w:szCs w:val="24"/>
        </w:rPr>
        <w:t xml:space="preserve">3-31. </w:t>
      </w:r>
    </w:p>
    <w:p w:rsidR="00116349" w:rsidRPr="000A190F" w:rsidRDefault="00116349" w:rsidP="00116349">
      <w:pPr>
        <w:jc w:val="left"/>
        <w:rPr>
          <w:rFonts w:cs="Arial"/>
          <w:szCs w:val="24"/>
        </w:rPr>
      </w:pPr>
      <w:r w:rsidRPr="000A190F">
        <w:rPr>
          <w:rFonts w:cs="Arial"/>
          <w:szCs w:val="24"/>
        </w:rPr>
        <w:t xml:space="preserve">Hand, L. and Clewes, D. (2000) Marking the Difference: an investigation of the criteria used for assessing undergraduate dissertations in a business school. </w:t>
      </w:r>
      <w:r w:rsidRPr="000A190F">
        <w:rPr>
          <w:rFonts w:cs="Arial"/>
          <w:i/>
          <w:iCs/>
          <w:szCs w:val="24"/>
        </w:rPr>
        <w:t xml:space="preserve">Assessment &amp; Evaluation in Higher Education. </w:t>
      </w:r>
      <w:r w:rsidR="0092330B">
        <w:rPr>
          <w:rFonts w:cs="Arial"/>
          <w:szCs w:val="24"/>
        </w:rPr>
        <w:t>25 (1):</w:t>
      </w:r>
      <w:r w:rsidRPr="000A190F">
        <w:rPr>
          <w:rFonts w:cs="Arial"/>
          <w:szCs w:val="24"/>
        </w:rPr>
        <w:t>5-21.</w:t>
      </w:r>
    </w:p>
    <w:p w:rsidR="00116349" w:rsidRPr="000A190F" w:rsidRDefault="00116349" w:rsidP="00116349">
      <w:pPr>
        <w:jc w:val="left"/>
        <w:rPr>
          <w:rFonts w:cs="Arial"/>
          <w:szCs w:val="24"/>
        </w:rPr>
      </w:pPr>
      <w:r w:rsidRPr="000A190F">
        <w:rPr>
          <w:rFonts w:cs="Arial"/>
          <w:szCs w:val="24"/>
        </w:rPr>
        <w:t xml:space="preserve">Hawe, E. (2003) 'It's Pretty Difficult to Fail': The reluctance of lecturers to award a failing grade </w:t>
      </w:r>
      <w:r w:rsidRPr="000A190F">
        <w:rPr>
          <w:rFonts w:cs="Arial"/>
          <w:i/>
          <w:iCs/>
          <w:szCs w:val="24"/>
        </w:rPr>
        <w:t>Assessment &amp; Evaluation in Higher Education</w:t>
      </w:r>
      <w:r w:rsidR="0092330B">
        <w:rPr>
          <w:rFonts w:cs="Arial"/>
          <w:szCs w:val="24"/>
        </w:rPr>
        <w:t>. 28 (4):</w:t>
      </w:r>
      <w:r w:rsidRPr="000A190F">
        <w:rPr>
          <w:rFonts w:cs="Arial"/>
          <w:szCs w:val="24"/>
        </w:rPr>
        <w:t xml:space="preserve">371-382. </w:t>
      </w:r>
    </w:p>
    <w:p w:rsidR="00116349" w:rsidRPr="000A190F" w:rsidRDefault="00116349" w:rsidP="00116349">
      <w:pPr>
        <w:jc w:val="left"/>
        <w:rPr>
          <w:rFonts w:cs="Arial"/>
          <w:szCs w:val="24"/>
        </w:rPr>
      </w:pPr>
      <w:r w:rsidRPr="000A190F">
        <w:rPr>
          <w:rFonts w:cs="Arial"/>
          <w:szCs w:val="24"/>
        </w:rPr>
        <w:t xml:space="preserve">HEA (2012) </w:t>
      </w:r>
      <w:r w:rsidRPr="000A190F">
        <w:rPr>
          <w:rFonts w:cs="Arial"/>
          <w:i/>
          <w:szCs w:val="24"/>
        </w:rPr>
        <w:t xml:space="preserve">A Marked Improvement: Transforming assessment in higher education. </w:t>
      </w:r>
      <w:r w:rsidRPr="000A190F">
        <w:rPr>
          <w:rFonts w:cs="Arial"/>
          <w:szCs w:val="24"/>
        </w:rPr>
        <w:t xml:space="preserve">[online] Available from:   </w:t>
      </w:r>
      <w:hyperlink r:id="rId15" w:history="1">
        <w:r w:rsidRPr="000A190F">
          <w:rPr>
            <w:rStyle w:val="Hyperlink"/>
            <w:rFonts w:cs="Arial"/>
            <w:szCs w:val="24"/>
          </w:rPr>
          <w:t>http://www.heacademy.ac.uk</w:t>
        </w:r>
      </w:hyperlink>
      <w:r w:rsidRPr="000A190F">
        <w:rPr>
          <w:rFonts w:cs="Arial"/>
          <w:szCs w:val="24"/>
        </w:rPr>
        <w:t xml:space="preserve">  [Accessed 13 January 2013].</w:t>
      </w:r>
    </w:p>
    <w:p w:rsidR="00116349" w:rsidRPr="000A190F" w:rsidRDefault="00116349" w:rsidP="00116349">
      <w:pPr>
        <w:jc w:val="left"/>
        <w:rPr>
          <w:rFonts w:cs="Arial"/>
          <w:szCs w:val="24"/>
        </w:rPr>
      </w:pPr>
      <w:r w:rsidRPr="000A190F">
        <w:rPr>
          <w:rFonts w:cs="Arial"/>
          <w:szCs w:val="24"/>
        </w:rPr>
        <w:lastRenderedPageBreak/>
        <w:t xml:space="preserve">HEFCE (2011) </w:t>
      </w:r>
      <w:r w:rsidRPr="000A190F">
        <w:rPr>
          <w:rFonts w:cs="Arial"/>
          <w:i/>
          <w:szCs w:val="24"/>
        </w:rPr>
        <w:t>National Student Survey Findings and trends 2006 to 2010.</w:t>
      </w:r>
      <w:r w:rsidRPr="000A190F">
        <w:rPr>
          <w:rFonts w:cs="Arial"/>
          <w:szCs w:val="24"/>
        </w:rPr>
        <w:t xml:space="preserve"> [online] Available from: </w:t>
      </w:r>
      <w:hyperlink r:id="rId16" w:history="1">
        <w:r w:rsidRPr="000A190F">
          <w:rPr>
            <w:rStyle w:val="Hyperlink"/>
            <w:rFonts w:cs="Arial"/>
            <w:szCs w:val="24"/>
          </w:rPr>
          <w:t>http://www.hefce.ac.uk/pubs/hefce/2011/11_11/</w:t>
        </w:r>
      </w:hyperlink>
      <w:hyperlink r:id="rId17" w:tgtFrame="_blank" w:history="1"/>
      <w:r w:rsidRPr="000A190F">
        <w:rPr>
          <w:rFonts w:cs="Arial"/>
          <w:szCs w:val="24"/>
        </w:rPr>
        <w:t xml:space="preserve"> [Accessed 17 December 2011].</w:t>
      </w:r>
    </w:p>
    <w:p w:rsidR="00116349" w:rsidRPr="000A190F" w:rsidRDefault="00116349" w:rsidP="00116349">
      <w:pPr>
        <w:jc w:val="left"/>
        <w:rPr>
          <w:rFonts w:cs="Arial"/>
          <w:szCs w:val="24"/>
        </w:rPr>
      </w:pPr>
      <w:r w:rsidRPr="000A190F">
        <w:rPr>
          <w:rFonts w:cs="Arial"/>
          <w:szCs w:val="24"/>
        </w:rPr>
        <w:t xml:space="preserve">Heidegger, M. (1962) </w:t>
      </w:r>
      <w:r w:rsidRPr="000A190F">
        <w:rPr>
          <w:rFonts w:cs="Arial"/>
          <w:i/>
          <w:szCs w:val="24"/>
        </w:rPr>
        <w:t>Being and Time.</w:t>
      </w:r>
      <w:r w:rsidRPr="000A190F">
        <w:rPr>
          <w:rFonts w:cs="Arial"/>
          <w:szCs w:val="24"/>
        </w:rPr>
        <w:t xml:space="preserve"> Translated from the German by John Macquarrie and Edward Robinson. Oxford: Blackwell.</w:t>
      </w:r>
    </w:p>
    <w:p w:rsidR="00116349" w:rsidRPr="000A190F" w:rsidRDefault="00116349" w:rsidP="00116349">
      <w:pPr>
        <w:jc w:val="left"/>
        <w:rPr>
          <w:rFonts w:cs="Arial"/>
          <w:szCs w:val="24"/>
        </w:rPr>
      </w:pPr>
      <w:r w:rsidRPr="000A190F">
        <w:rPr>
          <w:rFonts w:cs="Arial"/>
          <w:szCs w:val="24"/>
        </w:rPr>
        <w:t xml:space="preserve">Hunter, K. and Docherty, P. (2011) Reducing variation in the assessment of student writing. </w:t>
      </w:r>
      <w:r w:rsidRPr="000A190F">
        <w:rPr>
          <w:rFonts w:cs="Arial"/>
          <w:i/>
          <w:iCs/>
          <w:szCs w:val="24"/>
        </w:rPr>
        <w:t>Assessment &amp; Evaluation in Higher Education</w:t>
      </w:r>
      <w:r w:rsidR="0092330B">
        <w:rPr>
          <w:rFonts w:cs="Arial"/>
          <w:szCs w:val="24"/>
        </w:rPr>
        <w:t>. 36 (1):</w:t>
      </w:r>
      <w:r w:rsidRPr="000A190F">
        <w:rPr>
          <w:rFonts w:cs="Arial"/>
          <w:szCs w:val="24"/>
        </w:rPr>
        <w:t>109-124.</w:t>
      </w:r>
    </w:p>
    <w:p w:rsidR="00116349" w:rsidRPr="000A190F" w:rsidRDefault="00116349" w:rsidP="00116349">
      <w:pPr>
        <w:jc w:val="left"/>
        <w:rPr>
          <w:rFonts w:cs="Arial"/>
          <w:szCs w:val="24"/>
        </w:rPr>
      </w:pPr>
      <w:r w:rsidRPr="000A190F">
        <w:rPr>
          <w:rFonts w:cs="Arial"/>
          <w:szCs w:val="24"/>
        </w:rPr>
        <w:t xml:space="preserve">Ilott, I. and Murphy, R. (1997) Feelings and failing in professional training: the assessor's dilemma. </w:t>
      </w:r>
      <w:r w:rsidRPr="000A190F">
        <w:rPr>
          <w:rFonts w:cs="Arial"/>
          <w:i/>
          <w:iCs/>
          <w:szCs w:val="24"/>
        </w:rPr>
        <w:t>Assessment &amp; Evaluation in Higher Education</w:t>
      </w:r>
      <w:r w:rsidR="0092330B">
        <w:rPr>
          <w:rFonts w:cs="Arial"/>
          <w:szCs w:val="24"/>
        </w:rPr>
        <w:t>. 22 (3):</w:t>
      </w:r>
      <w:r w:rsidRPr="000A190F">
        <w:rPr>
          <w:rFonts w:cs="Arial"/>
          <w:szCs w:val="24"/>
        </w:rPr>
        <w:t xml:space="preserve">307-317. </w:t>
      </w:r>
    </w:p>
    <w:p w:rsidR="00300087" w:rsidRDefault="00300087" w:rsidP="00116349">
      <w:pPr>
        <w:jc w:val="left"/>
        <w:rPr>
          <w:rFonts w:cs="Arial"/>
          <w:szCs w:val="24"/>
        </w:rPr>
      </w:pPr>
      <w:r w:rsidRPr="00FD5F64">
        <w:rPr>
          <w:rFonts w:cs="Arial"/>
        </w:rPr>
        <w:t xml:space="preserve">Jawitz, J. (2007) New academics negotiating communities of practice: learning to swim with the big fish. </w:t>
      </w:r>
      <w:r w:rsidRPr="00FD5F64">
        <w:rPr>
          <w:rFonts w:cs="Arial"/>
          <w:i/>
          <w:iCs/>
        </w:rPr>
        <w:t>Teaching in Higher Education</w:t>
      </w:r>
      <w:r>
        <w:rPr>
          <w:rFonts w:cs="Arial"/>
        </w:rPr>
        <w:t>. 12 (2):</w:t>
      </w:r>
      <w:r w:rsidRPr="00FD5F64">
        <w:rPr>
          <w:rFonts w:cs="Arial"/>
        </w:rPr>
        <w:t xml:space="preserve">185-197. </w:t>
      </w:r>
    </w:p>
    <w:p w:rsidR="00116349" w:rsidRPr="000A190F" w:rsidRDefault="00116349" w:rsidP="00116349">
      <w:pPr>
        <w:jc w:val="left"/>
        <w:rPr>
          <w:rFonts w:cs="Arial"/>
          <w:szCs w:val="24"/>
        </w:rPr>
      </w:pPr>
      <w:r w:rsidRPr="000A190F">
        <w:rPr>
          <w:rFonts w:cs="Arial"/>
          <w:szCs w:val="24"/>
        </w:rPr>
        <w:t xml:space="preserve">Koh, L. (2010) Academic staff perspectives of formative assessment in nurse education. </w:t>
      </w:r>
      <w:r w:rsidRPr="000A190F">
        <w:rPr>
          <w:rFonts w:cs="Arial"/>
          <w:i/>
          <w:iCs/>
          <w:szCs w:val="24"/>
        </w:rPr>
        <w:t>Nurse Education in Practice</w:t>
      </w:r>
      <w:r w:rsidR="0092330B">
        <w:rPr>
          <w:rFonts w:cs="Arial"/>
          <w:szCs w:val="24"/>
        </w:rPr>
        <w:t>. 10 (4):</w:t>
      </w:r>
      <w:r w:rsidRPr="000A190F">
        <w:rPr>
          <w:rFonts w:cs="Arial"/>
          <w:szCs w:val="24"/>
        </w:rPr>
        <w:t xml:space="preserve">205-209. </w:t>
      </w:r>
    </w:p>
    <w:p w:rsidR="00116349" w:rsidRPr="000A190F" w:rsidRDefault="00116349" w:rsidP="00116349">
      <w:pPr>
        <w:jc w:val="left"/>
        <w:rPr>
          <w:rFonts w:cs="Arial"/>
          <w:szCs w:val="24"/>
        </w:rPr>
      </w:pPr>
      <w:r w:rsidRPr="000A190F">
        <w:rPr>
          <w:rFonts w:cs="Arial"/>
          <w:szCs w:val="24"/>
        </w:rPr>
        <w:t xml:space="preserve">Kvale, S. and Brinkman, S. (2009) </w:t>
      </w:r>
      <w:r w:rsidRPr="000A190F">
        <w:rPr>
          <w:rFonts w:cs="Arial"/>
          <w:i/>
          <w:szCs w:val="24"/>
        </w:rPr>
        <w:t>Interviews: Learning the Craft of Qualitative Research Interviewing</w:t>
      </w:r>
      <w:r w:rsidRPr="000A190F">
        <w:rPr>
          <w:rFonts w:cs="Arial"/>
          <w:szCs w:val="24"/>
        </w:rPr>
        <w:t>: 2nd ed. London: Sage Publishing.</w:t>
      </w:r>
    </w:p>
    <w:p w:rsidR="00300087" w:rsidRDefault="00300087" w:rsidP="00116349">
      <w:pPr>
        <w:jc w:val="left"/>
        <w:rPr>
          <w:rFonts w:cs="Arial"/>
          <w:szCs w:val="24"/>
        </w:rPr>
      </w:pPr>
      <w:r w:rsidRPr="00FD5F64">
        <w:rPr>
          <w:rFonts w:cs="Arial"/>
        </w:rPr>
        <w:t xml:space="preserve">LaRocco, D. and Bruns, D. (2006) Practitioner to professor: an examination of second career academics' entry to academia. </w:t>
      </w:r>
      <w:r w:rsidRPr="00FD5F64">
        <w:rPr>
          <w:rFonts w:cs="Arial"/>
          <w:i/>
          <w:iCs/>
        </w:rPr>
        <w:t>Education</w:t>
      </w:r>
      <w:r>
        <w:rPr>
          <w:rFonts w:cs="Arial"/>
        </w:rPr>
        <w:t xml:space="preserve">. 126 (4): </w:t>
      </w:r>
      <w:r w:rsidRPr="00FD5F64">
        <w:rPr>
          <w:rFonts w:cs="Arial"/>
        </w:rPr>
        <w:t xml:space="preserve">626-639. </w:t>
      </w:r>
    </w:p>
    <w:p w:rsidR="009D7259" w:rsidRPr="00AC1B22" w:rsidRDefault="009D7259" w:rsidP="009D7259">
      <w:pPr>
        <w:jc w:val="left"/>
        <w:rPr>
          <w:rFonts w:cs="Arial"/>
          <w:szCs w:val="24"/>
        </w:rPr>
      </w:pPr>
      <w:r w:rsidRPr="00AC1B22">
        <w:rPr>
          <w:rFonts w:cs="Arial"/>
          <w:szCs w:val="24"/>
        </w:rPr>
        <w:t xml:space="preserve">Le Maistre, C. and Paré, A. (2010) Whatever it takes: how beginning teachers learn to survive. </w:t>
      </w:r>
      <w:r w:rsidRPr="00AC1B22">
        <w:rPr>
          <w:rFonts w:cs="Arial"/>
          <w:i/>
          <w:iCs/>
          <w:szCs w:val="24"/>
        </w:rPr>
        <w:t>Teaching and Teacher Education</w:t>
      </w:r>
      <w:r>
        <w:rPr>
          <w:rFonts w:cs="Arial"/>
          <w:szCs w:val="24"/>
        </w:rPr>
        <w:t xml:space="preserve">. 26 (3): </w:t>
      </w:r>
      <w:r w:rsidRPr="00AC1B22">
        <w:rPr>
          <w:rFonts w:cs="Arial"/>
          <w:szCs w:val="24"/>
        </w:rPr>
        <w:t xml:space="preserve">559-564. </w:t>
      </w:r>
    </w:p>
    <w:p w:rsidR="00116349" w:rsidRPr="000A190F" w:rsidRDefault="00116349" w:rsidP="00116349">
      <w:pPr>
        <w:jc w:val="left"/>
        <w:rPr>
          <w:rFonts w:cs="Arial"/>
          <w:szCs w:val="24"/>
        </w:rPr>
      </w:pPr>
      <w:r w:rsidRPr="000A190F">
        <w:rPr>
          <w:rFonts w:cs="Arial"/>
          <w:szCs w:val="24"/>
        </w:rPr>
        <w:t xml:space="preserve">Leach, L., Neutze, G. and Zepke, N. (2001) Assessment and Empowerment: some critical questions. </w:t>
      </w:r>
      <w:r w:rsidRPr="000A190F">
        <w:rPr>
          <w:rFonts w:cs="Arial"/>
          <w:i/>
          <w:iCs/>
          <w:szCs w:val="24"/>
        </w:rPr>
        <w:t xml:space="preserve">Assessment &amp; Evaluation in Higher Education. </w:t>
      </w:r>
      <w:r w:rsidR="0092330B">
        <w:rPr>
          <w:rFonts w:cs="Arial"/>
          <w:szCs w:val="24"/>
        </w:rPr>
        <w:t>26 (4):</w:t>
      </w:r>
      <w:r w:rsidRPr="000A190F">
        <w:rPr>
          <w:rFonts w:cs="Arial"/>
          <w:szCs w:val="24"/>
        </w:rPr>
        <w:t>293-305.</w:t>
      </w:r>
    </w:p>
    <w:p w:rsidR="00764347" w:rsidRDefault="00764347" w:rsidP="00116349">
      <w:pPr>
        <w:jc w:val="left"/>
        <w:rPr>
          <w:rFonts w:cs="Arial"/>
          <w:szCs w:val="24"/>
        </w:rPr>
      </w:pPr>
      <w:r w:rsidRPr="00FD5F64">
        <w:rPr>
          <w:rFonts w:cs="Arial"/>
        </w:rPr>
        <w:t xml:space="preserve">McArthur-Rouse, F. (2008) From expert to novice: An exploration of the experiences of new academic staff to a department of adult nursing studies. </w:t>
      </w:r>
      <w:r w:rsidRPr="00FD5F64">
        <w:rPr>
          <w:rFonts w:cs="Arial"/>
          <w:i/>
          <w:iCs/>
        </w:rPr>
        <w:t>Nurse Education Today</w:t>
      </w:r>
      <w:r>
        <w:rPr>
          <w:rFonts w:cs="Arial"/>
        </w:rPr>
        <w:t xml:space="preserve">. 28 (4): </w:t>
      </w:r>
      <w:r w:rsidRPr="00FD5F64">
        <w:rPr>
          <w:rFonts w:cs="Arial"/>
        </w:rPr>
        <w:t xml:space="preserve">401-408. </w:t>
      </w:r>
    </w:p>
    <w:p w:rsidR="00A73E6F" w:rsidRPr="00AC1B22" w:rsidRDefault="00A73E6F" w:rsidP="00A73E6F">
      <w:pPr>
        <w:jc w:val="left"/>
        <w:rPr>
          <w:rFonts w:cs="Arial"/>
          <w:szCs w:val="24"/>
        </w:rPr>
      </w:pPr>
      <w:r w:rsidRPr="00AC1B22">
        <w:rPr>
          <w:rFonts w:cs="Arial"/>
          <w:szCs w:val="24"/>
        </w:rPr>
        <w:t xml:space="preserve">Norlyk, A. and Harder, I. (2010) What Makes a Phenomenological Study Phenomenological? An Analysis of Peer-Reviewed Empirical Nursing Studies </w:t>
      </w:r>
      <w:r w:rsidRPr="00AC1B22">
        <w:rPr>
          <w:rFonts w:cs="Arial"/>
          <w:i/>
          <w:iCs/>
          <w:szCs w:val="24"/>
        </w:rPr>
        <w:t>Qualitative Health Research</w:t>
      </w:r>
      <w:r>
        <w:rPr>
          <w:rFonts w:cs="Arial"/>
          <w:szCs w:val="24"/>
        </w:rPr>
        <w:t xml:space="preserve">. 20 (3): </w:t>
      </w:r>
      <w:r w:rsidRPr="00AC1B22">
        <w:rPr>
          <w:rFonts w:cs="Arial"/>
          <w:szCs w:val="24"/>
        </w:rPr>
        <w:t xml:space="preserve">420-431. </w:t>
      </w:r>
    </w:p>
    <w:p w:rsidR="00116349" w:rsidRPr="000A190F" w:rsidRDefault="00116349" w:rsidP="00116349">
      <w:pPr>
        <w:jc w:val="left"/>
        <w:rPr>
          <w:rFonts w:cs="Arial"/>
          <w:szCs w:val="24"/>
        </w:rPr>
      </w:pPr>
      <w:r w:rsidRPr="000A190F">
        <w:rPr>
          <w:rFonts w:cs="Arial"/>
          <w:szCs w:val="24"/>
        </w:rPr>
        <w:t xml:space="preserve">NUS (2012) </w:t>
      </w:r>
      <w:r w:rsidRPr="000A190F">
        <w:rPr>
          <w:rFonts w:cs="Arial"/>
          <w:i/>
          <w:szCs w:val="24"/>
        </w:rPr>
        <w:t xml:space="preserve">Student Experience Research 2012 Part 1: Teaching and Learning </w:t>
      </w:r>
      <w:r w:rsidRPr="000A190F">
        <w:rPr>
          <w:rFonts w:cs="Arial"/>
          <w:szCs w:val="24"/>
        </w:rPr>
        <w:t xml:space="preserve">[online] Available from:  </w:t>
      </w:r>
      <w:hyperlink r:id="rId18" w:history="1">
        <w:r w:rsidRPr="000A190F">
          <w:rPr>
            <w:rStyle w:val="Hyperlink"/>
            <w:rFonts w:cs="Arial"/>
            <w:szCs w:val="24"/>
          </w:rPr>
          <w:t>http://www.nus.org.uk/</w:t>
        </w:r>
      </w:hyperlink>
      <w:r w:rsidRPr="000A190F">
        <w:rPr>
          <w:rFonts w:cs="Arial"/>
          <w:szCs w:val="24"/>
        </w:rPr>
        <w:t xml:space="preserve">  [Accessed 13 January 2013].</w:t>
      </w:r>
    </w:p>
    <w:p w:rsidR="00116349" w:rsidRPr="000A190F" w:rsidRDefault="00116349" w:rsidP="00116349">
      <w:pPr>
        <w:jc w:val="left"/>
        <w:rPr>
          <w:rFonts w:cs="Arial"/>
          <w:szCs w:val="24"/>
        </w:rPr>
      </w:pPr>
      <w:r w:rsidRPr="000A190F">
        <w:rPr>
          <w:rFonts w:cs="Arial"/>
          <w:szCs w:val="24"/>
        </w:rPr>
        <w:t xml:space="preserve">Orr, S. (2007) Assessment moderation: constructing the marks and constructing the students. </w:t>
      </w:r>
      <w:r w:rsidRPr="000A190F">
        <w:rPr>
          <w:rFonts w:cs="Arial"/>
          <w:i/>
          <w:iCs/>
          <w:szCs w:val="24"/>
        </w:rPr>
        <w:t>Assessment &amp; Evaluation in Higher Education</w:t>
      </w:r>
      <w:r w:rsidRPr="000A190F">
        <w:rPr>
          <w:rFonts w:cs="Arial"/>
          <w:szCs w:val="24"/>
        </w:rPr>
        <w:t>.</w:t>
      </w:r>
      <w:r w:rsidR="0092330B">
        <w:rPr>
          <w:rFonts w:cs="Arial"/>
          <w:szCs w:val="24"/>
        </w:rPr>
        <w:t xml:space="preserve"> 32 (6):</w:t>
      </w:r>
      <w:r w:rsidRPr="000A190F">
        <w:rPr>
          <w:rFonts w:cs="Arial"/>
          <w:szCs w:val="24"/>
        </w:rPr>
        <w:t xml:space="preserve">645-656. </w:t>
      </w:r>
    </w:p>
    <w:p w:rsidR="00764347" w:rsidRDefault="00764347" w:rsidP="00116349">
      <w:pPr>
        <w:jc w:val="left"/>
        <w:rPr>
          <w:rFonts w:cs="Arial"/>
          <w:szCs w:val="24"/>
        </w:rPr>
      </w:pPr>
      <w:r w:rsidRPr="00AC1B22">
        <w:rPr>
          <w:rFonts w:cs="Arial"/>
          <w:szCs w:val="24"/>
        </w:rPr>
        <w:t xml:space="preserve">Orr-Ewing, M., Simmons, J. and Taylor, A. (2008) Changing professional identities from expert to novice: on becoming a lecturer in higher education. </w:t>
      </w:r>
      <w:r w:rsidRPr="00AC1B22">
        <w:rPr>
          <w:rFonts w:cs="Arial"/>
          <w:i/>
          <w:iCs/>
          <w:szCs w:val="24"/>
        </w:rPr>
        <w:t>New Redland Papers</w:t>
      </w:r>
      <w:r>
        <w:rPr>
          <w:rFonts w:cs="Arial"/>
          <w:szCs w:val="24"/>
        </w:rPr>
        <w:t xml:space="preserve">. Winter (2): 28-34. </w:t>
      </w:r>
    </w:p>
    <w:p w:rsidR="00116349" w:rsidRPr="000A190F" w:rsidRDefault="00116349" w:rsidP="00116349">
      <w:pPr>
        <w:jc w:val="left"/>
        <w:rPr>
          <w:rFonts w:cs="Arial"/>
          <w:szCs w:val="24"/>
        </w:rPr>
      </w:pPr>
      <w:r w:rsidRPr="000A190F">
        <w:rPr>
          <w:rFonts w:cs="Arial"/>
          <w:szCs w:val="24"/>
        </w:rPr>
        <w:t xml:space="preserve">Owen, C., Stefaniak, J. and Corrigan, G. (2010) Marking identifiable scripts: following up student concerns. </w:t>
      </w:r>
      <w:r w:rsidRPr="000A190F">
        <w:rPr>
          <w:rFonts w:cs="Arial"/>
          <w:i/>
          <w:szCs w:val="24"/>
        </w:rPr>
        <w:t>Assessment &amp; Evaluation in Higher Education</w:t>
      </w:r>
      <w:r w:rsidR="0092330B">
        <w:rPr>
          <w:rFonts w:cs="Arial"/>
          <w:szCs w:val="24"/>
        </w:rPr>
        <w:t>. 35 (1):</w:t>
      </w:r>
      <w:r w:rsidRPr="000A190F">
        <w:rPr>
          <w:rFonts w:cs="Arial"/>
          <w:szCs w:val="24"/>
        </w:rPr>
        <w:t xml:space="preserve">33-40. </w:t>
      </w:r>
    </w:p>
    <w:p w:rsidR="00116349" w:rsidRPr="000A190F" w:rsidRDefault="00116349" w:rsidP="00116349">
      <w:pPr>
        <w:jc w:val="left"/>
        <w:rPr>
          <w:rFonts w:cs="Arial"/>
          <w:szCs w:val="24"/>
        </w:rPr>
      </w:pPr>
      <w:r w:rsidRPr="000A190F">
        <w:rPr>
          <w:rFonts w:cs="Arial"/>
          <w:szCs w:val="24"/>
        </w:rPr>
        <w:lastRenderedPageBreak/>
        <w:t xml:space="preserve">Price, M. (2005) Assessment standards: the role of communities of practice and the scholarship of assessment. </w:t>
      </w:r>
      <w:r w:rsidRPr="000A190F">
        <w:rPr>
          <w:rFonts w:cs="Arial"/>
          <w:i/>
          <w:iCs/>
          <w:szCs w:val="24"/>
        </w:rPr>
        <w:t>Assessment &amp; Evaluation in Higher Education</w:t>
      </w:r>
      <w:r w:rsidRPr="000A190F">
        <w:rPr>
          <w:rFonts w:cs="Arial"/>
          <w:szCs w:val="24"/>
        </w:rPr>
        <w:t>. 30 (3)</w:t>
      </w:r>
      <w:r w:rsidR="0092330B">
        <w:rPr>
          <w:rFonts w:cs="Arial"/>
          <w:szCs w:val="24"/>
        </w:rPr>
        <w:t>:</w:t>
      </w:r>
      <w:r w:rsidRPr="000A190F">
        <w:rPr>
          <w:rFonts w:cs="Arial"/>
          <w:szCs w:val="24"/>
        </w:rPr>
        <w:t xml:space="preserve"> 215-230. </w:t>
      </w:r>
    </w:p>
    <w:p w:rsidR="00116349" w:rsidRPr="000A190F" w:rsidRDefault="00116349" w:rsidP="00116349">
      <w:pPr>
        <w:jc w:val="left"/>
        <w:rPr>
          <w:rFonts w:cs="Arial"/>
          <w:szCs w:val="24"/>
        </w:rPr>
      </w:pPr>
      <w:r w:rsidRPr="000A190F">
        <w:rPr>
          <w:rFonts w:cs="Arial"/>
          <w:szCs w:val="24"/>
        </w:rPr>
        <w:t xml:space="preserve">Price, M., Handley, K. and Millar, J. (2011) Feedback: focusing attention on engagement. </w:t>
      </w:r>
      <w:r w:rsidRPr="000A190F">
        <w:rPr>
          <w:rFonts w:cs="Arial"/>
          <w:i/>
          <w:iCs/>
          <w:szCs w:val="24"/>
        </w:rPr>
        <w:t>Studies in Higher Education</w:t>
      </w:r>
      <w:r w:rsidR="0092330B">
        <w:rPr>
          <w:rFonts w:cs="Arial"/>
          <w:szCs w:val="24"/>
        </w:rPr>
        <w:t>. 36 (8):</w:t>
      </w:r>
      <w:r w:rsidRPr="000A190F">
        <w:rPr>
          <w:rFonts w:cs="Arial"/>
          <w:szCs w:val="24"/>
        </w:rPr>
        <w:t>879-896.</w:t>
      </w:r>
    </w:p>
    <w:p w:rsidR="00116349" w:rsidRPr="000A190F" w:rsidRDefault="00116349" w:rsidP="00116349">
      <w:pPr>
        <w:jc w:val="left"/>
        <w:rPr>
          <w:rFonts w:cs="Arial"/>
          <w:szCs w:val="24"/>
        </w:rPr>
      </w:pPr>
      <w:r w:rsidRPr="000A190F">
        <w:rPr>
          <w:rFonts w:cs="Arial"/>
          <w:szCs w:val="24"/>
        </w:rPr>
        <w:t xml:space="preserve">QAA. (2011) </w:t>
      </w:r>
      <w:r w:rsidRPr="000A190F">
        <w:rPr>
          <w:rFonts w:cs="Arial"/>
          <w:i/>
          <w:szCs w:val="24"/>
        </w:rPr>
        <w:t>Understanding assessment: its role in safeguarding academic standards and quality in higher education. A guide for early career staff.</w:t>
      </w:r>
      <w:r w:rsidRPr="000A190F">
        <w:rPr>
          <w:rFonts w:cs="Arial"/>
          <w:szCs w:val="24"/>
        </w:rPr>
        <w:t xml:space="preserve"> [online]. Quality Assurance Agency.  Available from: </w:t>
      </w:r>
      <w:hyperlink r:id="rId19" w:history="1">
        <w:r w:rsidRPr="000A190F">
          <w:rPr>
            <w:rStyle w:val="Hyperlink"/>
            <w:rFonts w:cs="Arial"/>
            <w:szCs w:val="24"/>
          </w:rPr>
          <w:t>http://www.qaa.ac.uk</w:t>
        </w:r>
      </w:hyperlink>
      <w:r w:rsidRPr="000A190F">
        <w:rPr>
          <w:rFonts w:cs="Arial"/>
          <w:szCs w:val="24"/>
        </w:rPr>
        <w:t xml:space="preserve"> [Accessed 13 October 2011].</w:t>
      </w:r>
    </w:p>
    <w:p w:rsidR="00116349" w:rsidRPr="000A190F" w:rsidRDefault="00116349" w:rsidP="00116349">
      <w:pPr>
        <w:jc w:val="left"/>
        <w:rPr>
          <w:rFonts w:cs="Arial"/>
          <w:szCs w:val="24"/>
        </w:rPr>
      </w:pPr>
      <w:r w:rsidRPr="000A190F">
        <w:rPr>
          <w:rFonts w:cs="Arial"/>
          <w:szCs w:val="24"/>
        </w:rPr>
        <w:t xml:space="preserve">Quinn, F. (2000) </w:t>
      </w:r>
      <w:r w:rsidRPr="000A190F">
        <w:rPr>
          <w:rFonts w:cs="Arial"/>
          <w:i/>
          <w:iCs/>
          <w:szCs w:val="24"/>
        </w:rPr>
        <w:t xml:space="preserve">Principles and Practice of Nurse Education. </w:t>
      </w:r>
      <w:r w:rsidRPr="000A190F">
        <w:rPr>
          <w:rFonts w:cs="Arial"/>
          <w:iCs/>
          <w:szCs w:val="24"/>
        </w:rPr>
        <w:t>4th ed.</w:t>
      </w:r>
      <w:r w:rsidRPr="000A190F">
        <w:rPr>
          <w:rFonts w:cs="Arial"/>
          <w:szCs w:val="24"/>
        </w:rPr>
        <w:t xml:space="preserve"> Cheltenham. Nelson Thornes Ltd.</w:t>
      </w:r>
    </w:p>
    <w:p w:rsidR="00116349" w:rsidRPr="000A190F" w:rsidRDefault="00116349" w:rsidP="00116349">
      <w:pPr>
        <w:jc w:val="left"/>
        <w:rPr>
          <w:rFonts w:cs="Arial"/>
          <w:szCs w:val="24"/>
        </w:rPr>
      </w:pPr>
      <w:r w:rsidRPr="000A190F">
        <w:rPr>
          <w:rFonts w:cs="Arial"/>
          <w:szCs w:val="24"/>
        </w:rPr>
        <w:t xml:space="preserve">Remmik, M., Karm, M., Haamer, A. and Lepp, L. (2011) Early-Career academics' learning in academic communities. </w:t>
      </w:r>
      <w:r w:rsidRPr="000A190F">
        <w:rPr>
          <w:rFonts w:cs="Arial"/>
          <w:i/>
          <w:iCs/>
          <w:szCs w:val="24"/>
        </w:rPr>
        <w:t>International Journal for Academic Development</w:t>
      </w:r>
      <w:r w:rsidR="0092330B">
        <w:rPr>
          <w:rFonts w:cs="Arial"/>
          <w:szCs w:val="24"/>
        </w:rPr>
        <w:t>. 16 (3):</w:t>
      </w:r>
      <w:r w:rsidRPr="000A190F">
        <w:rPr>
          <w:rFonts w:cs="Arial"/>
          <w:szCs w:val="24"/>
        </w:rPr>
        <w:t xml:space="preserve">187-199. </w:t>
      </w:r>
    </w:p>
    <w:p w:rsidR="00116349" w:rsidRPr="000A190F" w:rsidRDefault="00116349" w:rsidP="00116349">
      <w:pPr>
        <w:jc w:val="left"/>
        <w:rPr>
          <w:rFonts w:cs="Arial"/>
          <w:szCs w:val="24"/>
        </w:rPr>
      </w:pPr>
      <w:r w:rsidRPr="000A190F">
        <w:rPr>
          <w:rFonts w:cs="Arial"/>
          <w:szCs w:val="24"/>
        </w:rPr>
        <w:t xml:space="preserve">Rust, C. (2007) Towards a scholarship of assessment. </w:t>
      </w:r>
      <w:r w:rsidRPr="000A190F">
        <w:rPr>
          <w:rFonts w:cs="Arial"/>
          <w:i/>
          <w:iCs/>
          <w:szCs w:val="24"/>
        </w:rPr>
        <w:t>Assessment &amp; Evaluation in Higher Education</w:t>
      </w:r>
      <w:r w:rsidR="0092330B">
        <w:rPr>
          <w:rFonts w:cs="Arial"/>
          <w:szCs w:val="24"/>
        </w:rPr>
        <w:t>. 32 (2):</w:t>
      </w:r>
      <w:r w:rsidRPr="000A190F">
        <w:rPr>
          <w:rFonts w:cs="Arial"/>
          <w:szCs w:val="24"/>
        </w:rPr>
        <w:t xml:space="preserve">229-237. </w:t>
      </w:r>
    </w:p>
    <w:p w:rsidR="00116349" w:rsidRPr="000A190F" w:rsidRDefault="00116349" w:rsidP="00116349">
      <w:pPr>
        <w:jc w:val="left"/>
        <w:rPr>
          <w:rFonts w:cs="Arial"/>
          <w:szCs w:val="24"/>
        </w:rPr>
      </w:pPr>
      <w:r w:rsidRPr="000A190F">
        <w:rPr>
          <w:rFonts w:cs="Arial"/>
          <w:szCs w:val="24"/>
        </w:rPr>
        <w:t xml:space="preserve">Siler, B. and Kleiner, C. (2001) Novice faculty: Encountering expectations in academia. </w:t>
      </w:r>
      <w:r w:rsidRPr="000A190F">
        <w:rPr>
          <w:rFonts w:cs="Arial"/>
          <w:i/>
          <w:iCs/>
          <w:szCs w:val="24"/>
        </w:rPr>
        <w:t>Journal of Nursing Education</w:t>
      </w:r>
      <w:r w:rsidR="0092330B">
        <w:rPr>
          <w:rFonts w:cs="Arial"/>
          <w:szCs w:val="24"/>
        </w:rPr>
        <w:t>. 40 (9):</w:t>
      </w:r>
      <w:r w:rsidRPr="000A190F">
        <w:rPr>
          <w:rFonts w:cs="Arial"/>
          <w:szCs w:val="24"/>
        </w:rPr>
        <w:t xml:space="preserve">397- 403. </w:t>
      </w:r>
    </w:p>
    <w:p w:rsidR="00116349" w:rsidRPr="000A190F" w:rsidRDefault="00116349" w:rsidP="00116349">
      <w:pPr>
        <w:jc w:val="left"/>
        <w:rPr>
          <w:rFonts w:cs="Arial"/>
          <w:szCs w:val="24"/>
        </w:rPr>
      </w:pPr>
      <w:r w:rsidRPr="000A190F">
        <w:rPr>
          <w:rFonts w:cs="Arial"/>
          <w:szCs w:val="24"/>
        </w:rPr>
        <w:t xml:space="preserve">Smith, E. (2001) The role of tacit and explicit knowledge in the workplace. </w:t>
      </w:r>
      <w:r w:rsidRPr="000A190F">
        <w:rPr>
          <w:rFonts w:cs="Arial"/>
          <w:i/>
          <w:szCs w:val="24"/>
        </w:rPr>
        <w:t>Journal of Knowledge Management.</w:t>
      </w:r>
      <w:r w:rsidRPr="000A190F">
        <w:rPr>
          <w:rFonts w:cs="Arial"/>
          <w:szCs w:val="24"/>
        </w:rPr>
        <w:t xml:space="preserve"> 5 (4), pp. 311-321. </w:t>
      </w:r>
    </w:p>
    <w:p w:rsidR="000A190F" w:rsidRDefault="000A190F" w:rsidP="000A190F">
      <w:pPr>
        <w:jc w:val="left"/>
        <w:rPr>
          <w:rFonts w:cs="Arial"/>
          <w:szCs w:val="24"/>
        </w:rPr>
      </w:pPr>
      <w:r w:rsidRPr="000A190F">
        <w:rPr>
          <w:rFonts w:cs="Arial"/>
          <w:szCs w:val="24"/>
        </w:rPr>
        <w:t xml:space="preserve">Smith, E. and Coombe, K. (2006) Quality and qualms in the marking of university assignments by sessional staff: an exploratory study. </w:t>
      </w:r>
      <w:r w:rsidRPr="000A190F">
        <w:rPr>
          <w:rFonts w:cs="Arial"/>
          <w:i/>
          <w:iCs/>
          <w:szCs w:val="24"/>
        </w:rPr>
        <w:t>Higher Education</w:t>
      </w:r>
      <w:r w:rsidR="0092330B">
        <w:rPr>
          <w:rFonts w:cs="Arial"/>
          <w:szCs w:val="24"/>
        </w:rPr>
        <w:t>. 51 (1):</w:t>
      </w:r>
      <w:r w:rsidRPr="000A190F">
        <w:rPr>
          <w:rFonts w:cs="Arial"/>
          <w:szCs w:val="24"/>
        </w:rPr>
        <w:t xml:space="preserve">45-69. </w:t>
      </w:r>
    </w:p>
    <w:p w:rsidR="002130E4" w:rsidRPr="00AC1B22" w:rsidRDefault="002130E4" w:rsidP="002130E4">
      <w:pPr>
        <w:jc w:val="left"/>
        <w:rPr>
          <w:rFonts w:cs="Arial"/>
          <w:szCs w:val="24"/>
        </w:rPr>
      </w:pPr>
      <w:r w:rsidRPr="00AC1B22">
        <w:rPr>
          <w:rFonts w:cs="Arial"/>
          <w:szCs w:val="24"/>
        </w:rPr>
        <w:t xml:space="preserve">Smith, C. (2012) Why should we bother with assessment moderation? </w:t>
      </w:r>
      <w:r w:rsidRPr="00AC1B22">
        <w:rPr>
          <w:rFonts w:cs="Arial"/>
          <w:i/>
          <w:iCs/>
          <w:szCs w:val="24"/>
        </w:rPr>
        <w:t xml:space="preserve">Nurse </w:t>
      </w:r>
      <w:r w:rsidRPr="00AC1B22">
        <w:rPr>
          <w:rFonts w:cs="Arial"/>
          <w:i/>
          <w:szCs w:val="24"/>
        </w:rPr>
        <w:t>Education Today.</w:t>
      </w:r>
      <w:r>
        <w:rPr>
          <w:rFonts w:cs="Arial"/>
          <w:szCs w:val="24"/>
        </w:rPr>
        <w:t xml:space="preserve"> 32 (6): </w:t>
      </w:r>
      <w:r w:rsidRPr="00AC1B22">
        <w:rPr>
          <w:rFonts w:cs="Arial"/>
          <w:szCs w:val="24"/>
        </w:rPr>
        <w:t xml:space="preserve">e45-e48. </w:t>
      </w:r>
    </w:p>
    <w:p w:rsidR="00116349" w:rsidRPr="000A190F" w:rsidRDefault="00116349" w:rsidP="00116349">
      <w:pPr>
        <w:jc w:val="left"/>
        <w:rPr>
          <w:rFonts w:cs="Arial"/>
          <w:szCs w:val="24"/>
        </w:rPr>
      </w:pPr>
      <w:r w:rsidRPr="000A190F">
        <w:rPr>
          <w:rFonts w:cs="Arial"/>
          <w:szCs w:val="24"/>
        </w:rPr>
        <w:t>Smythe, E., Ironside, P., Sims, S., Swenson, M. and Spence, D. (2008) Doing Heideggerian hermeneutic research: A discussion paper.</w:t>
      </w:r>
      <w:r w:rsidRPr="000A190F">
        <w:rPr>
          <w:rFonts w:cs="Arial"/>
          <w:i/>
          <w:szCs w:val="24"/>
        </w:rPr>
        <w:t xml:space="preserve"> International Journal of Nursing Studies.</w:t>
      </w:r>
      <w:r w:rsidR="0092330B">
        <w:rPr>
          <w:rFonts w:cs="Arial"/>
          <w:szCs w:val="24"/>
        </w:rPr>
        <w:t xml:space="preserve"> 45 (9):</w:t>
      </w:r>
      <w:r w:rsidRPr="000A190F">
        <w:rPr>
          <w:rFonts w:cs="Arial"/>
          <w:szCs w:val="24"/>
        </w:rPr>
        <w:t>1389-1397.</w:t>
      </w:r>
    </w:p>
    <w:p w:rsidR="00764347" w:rsidRDefault="00764347" w:rsidP="00116349">
      <w:pPr>
        <w:jc w:val="left"/>
        <w:rPr>
          <w:rFonts w:cs="Arial"/>
          <w:szCs w:val="24"/>
        </w:rPr>
      </w:pPr>
      <w:r w:rsidRPr="00AC1B22">
        <w:rPr>
          <w:rFonts w:cs="Arial"/>
          <w:szCs w:val="24"/>
        </w:rPr>
        <w:t xml:space="preserve">Stefani, L. (2004) Assessment of student learning: promoting a scholarly approach. </w:t>
      </w:r>
      <w:r w:rsidRPr="00AC1B22">
        <w:rPr>
          <w:rFonts w:cs="Arial"/>
          <w:i/>
          <w:iCs/>
          <w:szCs w:val="24"/>
        </w:rPr>
        <w:t>Learning and Teaching in Higher Education</w:t>
      </w:r>
      <w:r>
        <w:rPr>
          <w:rFonts w:cs="Arial"/>
          <w:szCs w:val="24"/>
        </w:rPr>
        <w:t xml:space="preserve">. 1: </w:t>
      </w:r>
      <w:r w:rsidRPr="00AC1B22">
        <w:rPr>
          <w:rFonts w:cs="Arial"/>
          <w:szCs w:val="24"/>
        </w:rPr>
        <w:t xml:space="preserve">51-66. </w:t>
      </w:r>
    </w:p>
    <w:p w:rsidR="009D7259" w:rsidRPr="00AC1B22" w:rsidRDefault="009D7259" w:rsidP="009D7259">
      <w:pPr>
        <w:jc w:val="left"/>
        <w:rPr>
          <w:rFonts w:cs="Arial"/>
          <w:szCs w:val="24"/>
        </w:rPr>
      </w:pPr>
      <w:r w:rsidRPr="00AC1B22">
        <w:rPr>
          <w:rFonts w:cs="Arial"/>
          <w:szCs w:val="24"/>
        </w:rPr>
        <w:t xml:space="preserve">Suplee, P. and Gardner, M. (2009) Fostering a smooth transition to the faculty. </w:t>
      </w:r>
      <w:r w:rsidRPr="00AC1B22">
        <w:rPr>
          <w:rFonts w:cs="Arial"/>
          <w:i/>
          <w:iCs/>
          <w:szCs w:val="24"/>
        </w:rPr>
        <w:t>Journal of Continuing Education in Nursing</w:t>
      </w:r>
      <w:r>
        <w:rPr>
          <w:rFonts w:cs="Arial"/>
          <w:szCs w:val="24"/>
        </w:rPr>
        <w:t xml:space="preserve">. 40 (11): </w:t>
      </w:r>
      <w:r w:rsidRPr="00AC1B22">
        <w:rPr>
          <w:rFonts w:cs="Arial"/>
          <w:szCs w:val="24"/>
        </w:rPr>
        <w:t xml:space="preserve">514-520. </w:t>
      </w:r>
    </w:p>
    <w:p w:rsidR="00116349" w:rsidRPr="000A190F" w:rsidRDefault="00116349" w:rsidP="00116349">
      <w:pPr>
        <w:jc w:val="left"/>
        <w:rPr>
          <w:rFonts w:cs="Arial"/>
          <w:szCs w:val="24"/>
        </w:rPr>
      </w:pPr>
      <w:r w:rsidRPr="000A190F">
        <w:rPr>
          <w:rFonts w:cs="Arial"/>
          <w:szCs w:val="24"/>
        </w:rPr>
        <w:t xml:space="preserve">Woolf, H. (2004) Assessment criteria: reflections on current practices. </w:t>
      </w:r>
      <w:r w:rsidRPr="000A190F">
        <w:rPr>
          <w:rFonts w:cs="Arial"/>
          <w:i/>
          <w:szCs w:val="24"/>
        </w:rPr>
        <w:t>Assessment &amp; Evaluation in Higher Education</w:t>
      </w:r>
      <w:r w:rsidR="0092330B">
        <w:rPr>
          <w:rFonts w:cs="Arial"/>
          <w:szCs w:val="24"/>
        </w:rPr>
        <w:t>. 29 (4):</w:t>
      </w:r>
      <w:r w:rsidRPr="000A190F">
        <w:rPr>
          <w:rFonts w:cs="Arial"/>
          <w:szCs w:val="24"/>
        </w:rPr>
        <w:t xml:space="preserve"> 479-493. </w:t>
      </w:r>
    </w:p>
    <w:p w:rsidR="00116349" w:rsidRPr="00AC1B22" w:rsidRDefault="00116349" w:rsidP="00116349">
      <w:pPr>
        <w:jc w:val="left"/>
        <w:rPr>
          <w:rFonts w:cs="Arial"/>
          <w:szCs w:val="24"/>
        </w:rPr>
      </w:pPr>
      <w:r w:rsidRPr="000A190F">
        <w:rPr>
          <w:rFonts w:cs="Arial"/>
          <w:szCs w:val="24"/>
        </w:rPr>
        <w:t xml:space="preserve">Zorn, D. (2005) Academic culture feeds the imposter phenomenon. </w:t>
      </w:r>
      <w:r w:rsidRPr="000A190F">
        <w:rPr>
          <w:rFonts w:cs="Arial"/>
          <w:i/>
          <w:iCs/>
          <w:szCs w:val="24"/>
        </w:rPr>
        <w:t>Academic Leader</w:t>
      </w:r>
      <w:r w:rsidR="0092330B">
        <w:rPr>
          <w:rFonts w:cs="Arial"/>
          <w:szCs w:val="24"/>
        </w:rPr>
        <w:t>. 21 (8):</w:t>
      </w:r>
      <w:r w:rsidRPr="000A190F">
        <w:rPr>
          <w:rFonts w:cs="Arial"/>
          <w:szCs w:val="24"/>
        </w:rPr>
        <w:t>1-2.</w:t>
      </w:r>
      <w:r w:rsidRPr="00AC1B22">
        <w:rPr>
          <w:rFonts w:cs="Arial"/>
          <w:szCs w:val="24"/>
        </w:rPr>
        <w:t xml:space="preserve"> </w:t>
      </w:r>
    </w:p>
    <w:p w:rsidR="006E4E99" w:rsidRPr="006E4E99" w:rsidRDefault="006E4E99">
      <w:pPr>
        <w:rPr>
          <w:rFonts w:cs="Arial"/>
          <w:szCs w:val="24"/>
        </w:rPr>
      </w:pPr>
    </w:p>
    <w:sectPr w:rsidR="006E4E99" w:rsidRPr="006E4E9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E4" w:rsidRDefault="004337E4" w:rsidP="00D65FD2">
      <w:pPr>
        <w:spacing w:after="0"/>
      </w:pPr>
      <w:r>
        <w:separator/>
      </w:r>
    </w:p>
  </w:endnote>
  <w:endnote w:type="continuationSeparator" w:id="0">
    <w:p w:rsidR="004337E4" w:rsidRDefault="004337E4" w:rsidP="00D65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960668"/>
      <w:docPartObj>
        <w:docPartGallery w:val="Page Numbers (Bottom of Page)"/>
        <w:docPartUnique/>
      </w:docPartObj>
    </w:sdtPr>
    <w:sdtEndPr>
      <w:rPr>
        <w:noProof/>
      </w:rPr>
    </w:sdtEndPr>
    <w:sdtContent>
      <w:p w:rsidR="00BD6CB8" w:rsidRDefault="00BD6CB8">
        <w:pPr>
          <w:pStyle w:val="Footer"/>
          <w:jc w:val="right"/>
        </w:pPr>
        <w:r>
          <w:fldChar w:fldCharType="begin"/>
        </w:r>
        <w:r>
          <w:instrText xml:space="preserve"> PAGE   \* MERGEFORMAT </w:instrText>
        </w:r>
        <w:r>
          <w:fldChar w:fldCharType="separate"/>
        </w:r>
        <w:r w:rsidR="007C6CDA">
          <w:rPr>
            <w:noProof/>
          </w:rPr>
          <w:t>1</w:t>
        </w:r>
        <w:r>
          <w:rPr>
            <w:noProof/>
          </w:rPr>
          <w:fldChar w:fldCharType="end"/>
        </w:r>
      </w:p>
    </w:sdtContent>
  </w:sdt>
  <w:p w:rsidR="00BD6CB8" w:rsidRDefault="00BD6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E4" w:rsidRDefault="004337E4" w:rsidP="00D65FD2">
      <w:pPr>
        <w:spacing w:after="0"/>
      </w:pPr>
      <w:r>
        <w:separator/>
      </w:r>
    </w:p>
  </w:footnote>
  <w:footnote w:type="continuationSeparator" w:id="0">
    <w:p w:rsidR="004337E4" w:rsidRDefault="004337E4" w:rsidP="00D65F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317"/>
    <w:multiLevelType w:val="hybridMultilevel"/>
    <w:tmpl w:val="7148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A658B5"/>
    <w:multiLevelType w:val="hybridMultilevel"/>
    <w:tmpl w:val="B0B83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2034B0"/>
    <w:multiLevelType w:val="hybridMultilevel"/>
    <w:tmpl w:val="E224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2E3A04"/>
    <w:multiLevelType w:val="hybridMultilevel"/>
    <w:tmpl w:val="CEE6C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1B"/>
    <w:rsid w:val="000A190F"/>
    <w:rsid w:val="000B1C7A"/>
    <w:rsid w:val="00116349"/>
    <w:rsid w:val="00193CBD"/>
    <w:rsid w:val="001A152C"/>
    <w:rsid w:val="001E0501"/>
    <w:rsid w:val="002130E4"/>
    <w:rsid w:val="00272446"/>
    <w:rsid w:val="00300087"/>
    <w:rsid w:val="0030788D"/>
    <w:rsid w:val="003118EE"/>
    <w:rsid w:val="003308FF"/>
    <w:rsid w:val="0033503A"/>
    <w:rsid w:val="00347CB4"/>
    <w:rsid w:val="00357CA9"/>
    <w:rsid w:val="003947AE"/>
    <w:rsid w:val="003D7961"/>
    <w:rsid w:val="003E0BE9"/>
    <w:rsid w:val="003E6F15"/>
    <w:rsid w:val="003F780C"/>
    <w:rsid w:val="00406663"/>
    <w:rsid w:val="004337E4"/>
    <w:rsid w:val="004708AD"/>
    <w:rsid w:val="004A73C4"/>
    <w:rsid w:val="004B6700"/>
    <w:rsid w:val="004E33F4"/>
    <w:rsid w:val="004E5439"/>
    <w:rsid w:val="00570DF3"/>
    <w:rsid w:val="005822AE"/>
    <w:rsid w:val="005E4A11"/>
    <w:rsid w:val="005E5C00"/>
    <w:rsid w:val="005F1ECA"/>
    <w:rsid w:val="00634F4C"/>
    <w:rsid w:val="00664767"/>
    <w:rsid w:val="00685BD2"/>
    <w:rsid w:val="006E4E99"/>
    <w:rsid w:val="007106AB"/>
    <w:rsid w:val="007125D8"/>
    <w:rsid w:val="00751619"/>
    <w:rsid w:val="00764347"/>
    <w:rsid w:val="007B0875"/>
    <w:rsid w:val="007C6CDA"/>
    <w:rsid w:val="007E5241"/>
    <w:rsid w:val="007F39BE"/>
    <w:rsid w:val="00844B1B"/>
    <w:rsid w:val="00881D61"/>
    <w:rsid w:val="00886CB5"/>
    <w:rsid w:val="008E7333"/>
    <w:rsid w:val="009106BA"/>
    <w:rsid w:val="00911D58"/>
    <w:rsid w:val="0092330B"/>
    <w:rsid w:val="009750A2"/>
    <w:rsid w:val="009C239E"/>
    <w:rsid w:val="009C67CD"/>
    <w:rsid w:val="009C7A89"/>
    <w:rsid w:val="009D7259"/>
    <w:rsid w:val="00A04580"/>
    <w:rsid w:val="00A2338E"/>
    <w:rsid w:val="00A27A3D"/>
    <w:rsid w:val="00A678D5"/>
    <w:rsid w:val="00A73E6F"/>
    <w:rsid w:val="00A92EC2"/>
    <w:rsid w:val="00B415DE"/>
    <w:rsid w:val="00BC4ED7"/>
    <w:rsid w:val="00BD6CB8"/>
    <w:rsid w:val="00BF5419"/>
    <w:rsid w:val="00C36299"/>
    <w:rsid w:val="00C67974"/>
    <w:rsid w:val="00C7408A"/>
    <w:rsid w:val="00C914C2"/>
    <w:rsid w:val="00CA0A49"/>
    <w:rsid w:val="00CB3852"/>
    <w:rsid w:val="00CE1CCC"/>
    <w:rsid w:val="00D1127B"/>
    <w:rsid w:val="00D11886"/>
    <w:rsid w:val="00D65FD2"/>
    <w:rsid w:val="00DB7C30"/>
    <w:rsid w:val="00E526B5"/>
    <w:rsid w:val="00E74301"/>
    <w:rsid w:val="00E91B85"/>
    <w:rsid w:val="00EC6FED"/>
    <w:rsid w:val="00F0104D"/>
    <w:rsid w:val="00F10CD4"/>
    <w:rsid w:val="00F139AD"/>
    <w:rsid w:val="00F425AA"/>
    <w:rsid w:val="00F64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99"/>
    <w:pPr>
      <w:spacing w:line="240" w:lineRule="auto"/>
      <w:jc w:val="both"/>
    </w:pPr>
    <w:rPr>
      <w:rFonts w:ascii="Arial" w:hAnsi="Arial"/>
      <w:sz w:val="24"/>
    </w:rPr>
  </w:style>
  <w:style w:type="paragraph" w:styleId="Heading1">
    <w:name w:val="heading 1"/>
    <w:basedOn w:val="Normal"/>
    <w:next w:val="Normal"/>
    <w:link w:val="Heading1Char"/>
    <w:uiPriority w:val="9"/>
    <w:qFormat/>
    <w:rsid w:val="00C3629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E4E99"/>
    <w:pPr>
      <w:keepNext/>
      <w:keepLines/>
      <w:spacing w:before="200" w:after="240"/>
      <w:outlineLvl w:val="1"/>
    </w:pPr>
    <w:rPr>
      <w:rFonts w:eastAsiaTheme="majorEastAsia" w:cstheme="majorBidi"/>
      <w:b/>
      <w:bCs/>
      <w:szCs w:val="26"/>
    </w:rPr>
  </w:style>
  <w:style w:type="paragraph" w:styleId="Heading3">
    <w:name w:val="heading 3"/>
    <w:basedOn w:val="Normal"/>
    <w:next w:val="Normal"/>
    <w:link w:val="Heading3Char"/>
    <w:unhideWhenUsed/>
    <w:qFormat/>
    <w:rsid w:val="004708AD"/>
    <w:pPr>
      <w:keepNext/>
      <w:keepLines/>
      <w:spacing w:before="200" w:after="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E99"/>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C36299"/>
    <w:rPr>
      <w:rFonts w:ascii="Arial" w:eastAsiaTheme="majorEastAsia" w:hAnsi="Arial" w:cstheme="majorBidi"/>
      <w:b/>
      <w:bCs/>
      <w:sz w:val="28"/>
      <w:szCs w:val="28"/>
    </w:rPr>
  </w:style>
  <w:style w:type="paragraph" w:customStyle="1" w:styleId="DHSCNormal">
    <w:name w:val="DHSC Normal"/>
    <w:basedOn w:val="Normal"/>
    <w:next w:val="Normal"/>
    <w:autoRedefine/>
    <w:qFormat/>
    <w:rsid w:val="009106BA"/>
    <w:pPr>
      <w:spacing w:before="240" w:after="240"/>
    </w:pPr>
    <w:rPr>
      <w:rFonts w:eastAsia="Calibri" w:cs="Tahoma"/>
      <w:bCs/>
      <w:shd w:val="clear" w:color="auto" w:fill="FFFFFF"/>
    </w:rPr>
  </w:style>
  <w:style w:type="paragraph" w:styleId="NoSpacing">
    <w:name w:val="No Spacing"/>
    <w:aliases w:val="DHSC REVISIONS,DHSC Normal Revions"/>
    <w:link w:val="NoSpacingChar"/>
    <w:uiPriority w:val="1"/>
    <w:qFormat/>
    <w:rsid w:val="00C36299"/>
    <w:pPr>
      <w:spacing w:after="0" w:line="240" w:lineRule="auto"/>
    </w:pPr>
    <w:rPr>
      <w:rFonts w:ascii="Arial" w:eastAsia="Times New Roman" w:hAnsi="Arial" w:cs="Times New Roman"/>
      <w:sz w:val="24"/>
      <w:lang w:val="en-US"/>
    </w:rPr>
  </w:style>
  <w:style w:type="character" w:customStyle="1" w:styleId="NoSpacingChar">
    <w:name w:val="No Spacing Char"/>
    <w:aliases w:val="DHSC REVISIONS Char,DHSC Normal Revions Char"/>
    <w:link w:val="NoSpacing"/>
    <w:uiPriority w:val="1"/>
    <w:rsid w:val="00C36299"/>
    <w:rPr>
      <w:rFonts w:ascii="Arial" w:eastAsia="Times New Roman" w:hAnsi="Arial" w:cs="Times New Roman"/>
      <w:sz w:val="24"/>
      <w:lang w:val="en-US"/>
    </w:rPr>
  </w:style>
  <w:style w:type="paragraph" w:customStyle="1" w:styleId="Paperdrafts">
    <w:name w:val="Paper drafts"/>
    <w:basedOn w:val="DHSCNormal"/>
    <w:link w:val="PaperdraftsChar"/>
    <w:qFormat/>
    <w:rsid w:val="004A73C4"/>
    <w:rPr>
      <w:rFonts w:cs="Times New Roman"/>
      <w:bCs w:val="0"/>
      <w:color w:val="31849B" w:themeColor="accent5" w:themeShade="BF"/>
      <w:lang w:val="x-none"/>
    </w:rPr>
  </w:style>
  <w:style w:type="character" w:customStyle="1" w:styleId="PaperdraftsChar">
    <w:name w:val="Paper drafts Char"/>
    <w:link w:val="Paperdrafts"/>
    <w:rsid w:val="004A73C4"/>
    <w:rPr>
      <w:rFonts w:ascii="Arial" w:eastAsia="Calibri" w:hAnsi="Arial" w:cs="Times New Roman"/>
      <w:color w:val="31849B" w:themeColor="accent5" w:themeShade="BF"/>
      <w:sz w:val="24"/>
      <w:lang w:val="x-none"/>
    </w:rPr>
  </w:style>
  <w:style w:type="character" w:customStyle="1" w:styleId="Heading3Char">
    <w:name w:val="Heading 3 Char"/>
    <w:basedOn w:val="DefaultParagraphFont"/>
    <w:link w:val="Heading3"/>
    <w:rsid w:val="004708AD"/>
    <w:rPr>
      <w:rFonts w:ascii="Arial" w:eastAsiaTheme="majorEastAsia" w:hAnsi="Arial" w:cstheme="majorBidi"/>
      <w:bCs/>
      <w:sz w:val="24"/>
    </w:rPr>
  </w:style>
  <w:style w:type="paragraph" w:styleId="Quote">
    <w:name w:val="Quote"/>
    <w:aliases w:val="DHSC Quote,Quote1 revised,Quote1"/>
    <w:basedOn w:val="Normal"/>
    <w:next w:val="Normal"/>
    <w:link w:val="QuoteChar"/>
    <w:uiPriority w:val="29"/>
    <w:qFormat/>
    <w:rsid w:val="004A73C4"/>
    <w:pPr>
      <w:keepLines/>
      <w:spacing w:before="120" w:after="120"/>
      <w:ind w:left="567" w:right="567"/>
    </w:pPr>
    <w:rPr>
      <w:rFonts w:eastAsia="Calibri" w:cs="Times New Roman"/>
      <w:i/>
      <w:iCs/>
      <w:color w:val="FF0000"/>
      <w:lang w:val="x-none"/>
    </w:rPr>
  </w:style>
  <w:style w:type="character" w:customStyle="1" w:styleId="QuoteChar">
    <w:name w:val="Quote Char"/>
    <w:aliases w:val="DHSC Quote Char,Quote1 revised Char,Quote1 Char"/>
    <w:basedOn w:val="DefaultParagraphFont"/>
    <w:link w:val="Quote"/>
    <w:uiPriority w:val="29"/>
    <w:rsid w:val="004A73C4"/>
    <w:rPr>
      <w:rFonts w:ascii="Arial" w:eastAsia="Calibri" w:hAnsi="Arial" w:cs="Times New Roman"/>
      <w:i/>
      <w:iCs/>
      <w:color w:val="FF0000"/>
      <w:sz w:val="24"/>
      <w:lang w:val="x-none"/>
    </w:rPr>
  </w:style>
  <w:style w:type="paragraph" w:customStyle="1" w:styleId="DHSCRevision">
    <w:name w:val="DHSC Revision"/>
    <w:basedOn w:val="DHSCNormal"/>
    <w:link w:val="DHSCRevisionChar"/>
    <w:qFormat/>
    <w:rsid w:val="004A73C4"/>
    <w:rPr>
      <w:rFonts w:cs="Times New Roman"/>
      <w:bCs w:val="0"/>
      <w:lang w:val="x-none"/>
    </w:rPr>
  </w:style>
  <w:style w:type="character" w:customStyle="1" w:styleId="DHSCRevisionChar">
    <w:name w:val="DHSC Revision Char"/>
    <w:link w:val="DHSCRevision"/>
    <w:rsid w:val="004A73C4"/>
    <w:rPr>
      <w:rFonts w:ascii="Arial" w:eastAsia="Calibri" w:hAnsi="Arial" w:cs="Times New Roman"/>
      <w:sz w:val="24"/>
      <w:lang w:val="x-none"/>
    </w:rPr>
  </w:style>
  <w:style w:type="character" w:styleId="CommentReference">
    <w:name w:val="annotation reference"/>
    <w:uiPriority w:val="99"/>
    <w:unhideWhenUsed/>
    <w:rsid w:val="004A73C4"/>
    <w:rPr>
      <w:sz w:val="16"/>
      <w:szCs w:val="16"/>
    </w:rPr>
  </w:style>
  <w:style w:type="paragraph" w:styleId="IntenseQuote">
    <w:name w:val="Intense Quote"/>
    <w:basedOn w:val="Normal"/>
    <w:next w:val="Normal"/>
    <w:link w:val="IntenseQuoteChar"/>
    <w:uiPriority w:val="30"/>
    <w:qFormat/>
    <w:rsid w:val="004A73C4"/>
    <w:pPr>
      <w:framePr w:wrap="notBeside" w:vAnchor="text" w:hAnchor="text" w:y="1"/>
      <w:spacing w:before="240" w:after="360"/>
      <w:ind w:left="1134" w:right="1134"/>
    </w:pPr>
    <w:rPr>
      <w:rFonts w:eastAsia="Calibri" w:cs="Times New Roman"/>
      <w:bCs/>
      <w:iCs/>
      <w:lang w:val="x-none"/>
    </w:rPr>
  </w:style>
  <w:style w:type="character" w:customStyle="1" w:styleId="IntenseQuoteChar">
    <w:name w:val="Intense Quote Char"/>
    <w:basedOn w:val="DefaultParagraphFont"/>
    <w:link w:val="IntenseQuote"/>
    <w:uiPriority w:val="30"/>
    <w:rsid w:val="004A73C4"/>
    <w:rPr>
      <w:rFonts w:ascii="Arial" w:eastAsia="Calibri" w:hAnsi="Arial" w:cs="Times New Roman"/>
      <w:bCs/>
      <w:iCs/>
      <w:sz w:val="24"/>
      <w:lang w:val="x-none"/>
    </w:rPr>
  </w:style>
  <w:style w:type="paragraph" w:customStyle="1" w:styleId="RevisedText">
    <w:name w:val="Revised Text"/>
    <w:basedOn w:val="DHSCNormal"/>
    <w:link w:val="RevisedTextChar"/>
    <w:qFormat/>
    <w:rsid w:val="004A73C4"/>
    <w:rPr>
      <w:rFonts w:cs="Times New Roman"/>
      <w:bCs w:val="0"/>
      <w:color w:val="FF0000"/>
      <w:lang w:val="x-none"/>
    </w:rPr>
  </w:style>
  <w:style w:type="character" w:customStyle="1" w:styleId="RevisedTextChar">
    <w:name w:val="Revised Text Char"/>
    <w:link w:val="RevisedText"/>
    <w:rsid w:val="004A73C4"/>
    <w:rPr>
      <w:rFonts w:ascii="Arial" w:eastAsia="Calibri" w:hAnsi="Arial" w:cs="Times New Roman"/>
      <w:color w:val="FF0000"/>
      <w:sz w:val="24"/>
      <w:lang w:val="x-none"/>
    </w:rPr>
  </w:style>
  <w:style w:type="paragraph" w:styleId="FootnoteText">
    <w:name w:val="footnote text"/>
    <w:basedOn w:val="Normal"/>
    <w:link w:val="FootnoteTextChar"/>
    <w:uiPriority w:val="99"/>
    <w:semiHidden/>
    <w:rsid w:val="00D65FD2"/>
    <w:pPr>
      <w:spacing w:after="0"/>
    </w:pPr>
    <w:rPr>
      <w:rFonts w:eastAsia="Times New Roman" w:cs="Times New Roman"/>
      <w:sz w:val="20"/>
      <w:szCs w:val="20"/>
      <w:lang w:val="x-none" w:eastAsia="en-GB"/>
    </w:rPr>
  </w:style>
  <w:style w:type="character" w:customStyle="1" w:styleId="FootnoteTextChar">
    <w:name w:val="Footnote Text Char"/>
    <w:basedOn w:val="DefaultParagraphFont"/>
    <w:link w:val="FootnoteText"/>
    <w:uiPriority w:val="99"/>
    <w:semiHidden/>
    <w:rsid w:val="00D65FD2"/>
    <w:rPr>
      <w:rFonts w:ascii="Arial" w:eastAsia="Times New Roman" w:hAnsi="Arial" w:cs="Times New Roman"/>
      <w:sz w:val="20"/>
      <w:szCs w:val="20"/>
      <w:lang w:val="x-none" w:eastAsia="en-GB"/>
    </w:rPr>
  </w:style>
  <w:style w:type="character" w:styleId="FootnoteReference">
    <w:name w:val="footnote reference"/>
    <w:uiPriority w:val="99"/>
    <w:semiHidden/>
    <w:rsid w:val="00D65FD2"/>
    <w:rPr>
      <w:vertAlign w:val="superscript"/>
    </w:rPr>
  </w:style>
  <w:style w:type="character" w:styleId="Hyperlink">
    <w:name w:val="Hyperlink"/>
    <w:uiPriority w:val="99"/>
    <w:unhideWhenUsed/>
    <w:rsid w:val="00116349"/>
    <w:rPr>
      <w:color w:val="0000FF"/>
      <w:u w:val="single"/>
    </w:rPr>
  </w:style>
  <w:style w:type="character" w:styleId="Strong">
    <w:name w:val="Strong"/>
    <w:uiPriority w:val="22"/>
    <w:qFormat/>
    <w:rsid w:val="00116349"/>
    <w:rPr>
      <w:b/>
      <w:bCs/>
      <w:sz w:val="16"/>
    </w:rPr>
  </w:style>
  <w:style w:type="table" w:styleId="TableGrid">
    <w:name w:val="Table Grid"/>
    <w:basedOn w:val="TableNormal"/>
    <w:uiPriority w:val="59"/>
    <w:rsid w:val="00C74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7408A"/>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uiPriority w:val="34"/>
    <w:qFormat/>
    <w:rsid w:val="00C7408A"/>
    <w:pPr>
      <w:ind w:left="720"/>
      <w:contextualSpacing/>
    </w:pPr>
  </w:style>
  <w:style w:type="paragraph" w:styleId="Header">
    <w:name w:val="header"/>
    <w:basedOn w:val="Normal"/>
    <w:link w:val="HeaderChar"/>
    <w:uiPriority w:val="99"/>
    <w:unhideWhenUsed/>
    <w:rsid w:val="00357CA9"/>
    <w:pPr>
      <w:tabs>
        <w:tab w:val="center" w:pos="4513"/>
        <w:tab w:val="right" w:pos="9026"/>
      </w:tabs>
      <w:spacing w:after="0"/>
    </w:pPr>
  </w:style>
  <w:style w:type="character" w:customStyle="1" w:styleId="HeaderChar">
    <w:name w:val="Header Char"/>
    <w:basedOn w:val="DefaultParagraphFont"/>
    <w:link w:val="Header"/>
    <w:uiPriority w:val="99"/>
    <w:rsid w:val="00357CA9"/>
    <w:rPr>
      <w:rFonts w:ascii="Arial" w:hAnsi="Arial"/>
      <w:sz w:val="24"/>
    </w:rPr>
  </w:style>
  <w:style w:type="paragraph" w:styleId="Footer">
    <w:name w:val="footer"/>
    <w:basedOn w:val="Normal"/>
    <w:link w:val="FooterChar"/>
    <w:uiPriority w:val="99"/>
    <w:unhideWhenUsed/>
    <w:rsid w:val="00357CA9"/>
    <w:pPr>
      <w:tabs>
        <w:tab w:val="center" w:pos="4513"/>
        <w:tab w:val="right" w:pos="9026"/>
      </w:tabs>
      <w:spacing w:after="0"/>
    </w:pPr>
  </w:style>
  <w:style w:type="character" w:customStyle="1" w:styleId="FooterChar">
    <w:name w:val="Footer Char"/>
    <w:basedOn w:val="DefaultParagraphFont"/>
    <w:link w:val="Footer"/>
    <w:uiPriority w:val="99"/>
    <w:rsid w:val="00357CA9"/>
    <w:rPr>
      <w:rFonts w:ascii="Arial" w:hAnsi="Arial"/>
      <w:sz w:val="24"/>
    </w:rPr>
  </w:style>
  <w:style w:type="paragraph" w:styleId="CommentText">
    <w:name w:val="annotation text"/>
    <w:basedOn w:val="Normal"/>
    <w:link w:val="CommentTextChar"/>
    <w:uiPriority w:val="99"/>
    <w:semiHidden/>
    <w:unhideWhenUsed/>
    <w:rsid w:val="009106BA"/>
    <w:rPr>
      <w:sz w:val="20"/>
      <w:szCs w:val="20"/>
    </w:rPr>
  </w:style>
  <w:style w:type="character" w:customStyle="1" w:styleId="CommentTextChar">
    <w:name w:val="Comment Text Char"/>
    <w:basedOn w:val="DefaultParagraphFont"/>
    <w:link w:val="CommentText"/>
    <w:uiPriority w:val="99"/>
    <w:semiHidden/>
    <w:rsid w:val="009106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106BA"/>
    <w:rPr>
      <w:b/>
      <w:bCs/>
    </w:rPr>
  </w:style>
  <w:style w:type="character" w:customStyle="1" w:styleId="CommentSubjectChar">
    <w:name w:val="Comment Subject Char"/>
    <w:basedOn w:val="CommentTextChar"/>
    <w:link w:val="CommentSubject"/>
    <w:uiPriority w:val="99"/>
    <w:semiHidden/>
    <w:rsid w:val="009106BA"/>
    <w:rPr>
      <w:rFonts w:ascii="Arial" w:hAnsi="Arial"/>
      <w:b/>
      <w:bCs/>
      <w:sz w:val="20"/>
      <w:szCs w:val="20"/>
    </w:rPr>
  </w:style>
  <w:style w:type="paragraph" w:styleId="BalloonText">
    <w:name w:val="Balloon Text"/>
    <w:basedOn w:val="Normal"/>
    <w:link w:val="BalloonTextChar"/>
    <w:uiPriority w:val="99"/>
    <w:semiHidden/>
    <w:unhideWhenUsed/>
    <w:rsid w:val="009106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6BA"/>
    <w:rPr>
      <w:rFonts w:ascii="Tahoma" w:hAnsi="Tahoma" w:cs="Tahoma"/>
      <w:sz w:val="16"/>
      <w:szCs w:val="16"/>
    </w:rPr>
  </w:style>
  <w:style w:type="paragraph" w:styleId="Caption">
    <w:name w:val="caption"/>
    <w:basedOn w:val="Normal"/>
    <w:next w:val="Normal"/>
    <w:uiPriority w:val="35"/>
    <w:semiHidden/>
    <w:unhideWhenUsed/>
    <w:qFormat/>
    <w:rsid w:val="00A2338E"/>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99"/>
    <w:pPr>
      <w:spacing w:line="240" w:lineRule="auto"/>
      <w:jc w:val="both"/>
    </w:pPr>
    <w:rPr>
      <w:rFonts w:ascii="Arial" w:hAnsi="Arial"/>
      <w:sz w:val="24"/>
    </w:rPr>
  </w:style>
  <w:style w:type="paragraph" w:styleId="Heading1">
    <w:name w:val="heading 1"/>
    <w:basedOn w:val="Normal"/>
    <w:next w:val="Normal"/>
    <w:link w:val="Heading1Char"/>
    <w:uiPriority w:val="9"/>
    <w:qFormat/>
    <w:rsid w:val="00C36299"/>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E4E99"/>
    <w:pPr>
      <w:keepNext/>
      <w:keepLines/>
      <w:spacing w:before="200" w:after="240"/>
      <w:outlineLvl w:val="1"/>
    </w:pPr>
    <w:rPr>
      <w:rFonts w:eastAsiaTheme="majorEastAsia" w:cstheme="majorBidi"/>
      <w:b/>
      <w:bCs/>
      <w:szCs w:val="26"/>
    </w:rPr>
  </w:style>
  <w:style w:type="paragraph" w:styleId="Heading3">
    <w:name w:val="heading 3"/>
    <w:basedOn w:val="Normal"/>
    <w:next w:val="Normal"/>
    <w:link w:val="Heading3Char"/>
    <w:unhideWhenUsed/>
    <w:qFormat/>
    <w:rsid w:val="004708AD"/>
    <w:pPr>
      <w:keepNext/>
      <w:keepLines/>
      <w:spacing w:before="200" w:after="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E99"/>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C36299"/>
    <w:rPr>
      <w:rFonts w:ascii="Arial" w:eastAsiaTheme="majorEastAsia" w:hAnsi="Arial" w:cstheme="majorBidi"/>
      <w:b/>
      <w:bCs/>
      <w:sz w:val="28"/>
      <w:szCs w:val="28"/>
    </w:rPr>
  </w:style>
  <w:style w:type="paragraph" w:customStyle="1" w:styleId="DHSCNormal">
    <w:name w:val="DHSC Normal"/>
    <w:basedOn w:val="Normal"/>
    <w:next w:val="Normal"/>
    <w:autoRedefine/>
    <w:qFormat/>
    <w:rsid w:val="009106BA"/>
    <w:pPr>
      <w:spacing w:before="240" w:after="240"/>
    </w:pPr>
    <w:rPr>
      <w:rFonts w:eastAsia="Calibri" w:cs="Tahoma"/>
      <w:bCs/>
      <w:shd w:val="clear" w:color="auto" w:fill="FFFFFF"/>
    </w:rPr>
  </w:style>
  <w:style w:type="paragraph" w:styleId="NoSpacing">
    <w:name w:val="No Spacing"/>
    <w:aliases w:val="DHSC REVISIONS,DHSC Normal Revions"/>
    <w:link w:val="NoSpacingChar"/>
    <w:uiPriority w:val="1"/>
    <w:qFormat/>
    <w:rsid w:val="00C36299"/>
    <w:pPr>
      <w:spacing w:after="0" w:line="240" w:lineRule="auto"/>
    </w:pPr>
    <w:rPr>
      <w:rFonts w:ascii="Arial" w:eastAsia="Times New Roman" w:hAnsi="Arial" w:cs="Times New Roman"/>
      <w:sz w:val="24"/>
      <w:lang w:val="en-US"/>
    </w:rPr>
  </w:style>
  <w:style w:type="character" w:customStyle="1" w:styleId="NoSpacingChar">
    <w:name w:val="No Spacing Char"/>
    <w:aliases w:val="DHSC REVISIONS Char,DHSC Normal Revions Char"/>
    <w:link w:val="NoSpacing"/>
    <w:uiPriority w:val="1"/>
    <w:rsid w:val="00C36299"/>
    <w:rPr>
      <w:rFonts w:ascii="Arial" w:eastAsia="Times New Roman" w:hAnsi="Arial" w:cs="Times New Roman"/>
      <w:sz w:val="24"/>
      <w:lang w:val="en-US"/>
    </w:rPr>
  </w:style>
  <w:style w:type="paragraph" w:customStyle="1" w:styleId="Paperdrafts">
    <w:name w:val="Paper drafts"/>
    <w:basedOn w:val="DHSCNormal"/>
    <w:link w:val="PaperdraftsChar"/>
    <w:qFormat/>
    <w:rsid w:val="004A73C4"/>
    <w:rPr>
      <w:rFonts w:cs="Times New Roman"/>
      <w:bCs w:val="0"/>
      <w:color w:val="31849B" w:themeColor="accent5" w:themeShade="BF"/>
      <w:lang w:val="x-none"/>
    </w:rPr>
  </w:style>
  <w:style w:type="character" w:customStyle="1" w:styleId="PaperdraftsChar">
    <w:name w:val="Paper drafts Char"/>
    <w:link w:val="Paperdrafts"/>
    <w:rsid w:val="004A73C4"/>
    <w:rPr>
      <w:rFonts w:ascii="Arial" w:eastAsia="Calibri" w:hAnsi="Arial" w:cs="Times New Roman"/>
      <w:color w:val="31849B" w:themeColor="accent5" w:themeShade="BF"/>
      <w:sz w:val="24"/>
      <w:lang w:val="x-none"/>
    </w:rPr>
  </w:style>
  <w:style w:type="character" w:customStyle="1" w:styleId="Heading3Char">
    <w:name w:val="Heading 3 Char"/>
    <w:basedOn w:val="DefaultParagraphFont"/>
    <w:link w:val="Heading3"/>
    <w:rsid w:val="004708AD"/>
    <w:rPr>
      <w:rFonts w:ascii="Arial" w:eastAsiaTheme="majorEastAsia" w:hAnsi="Arial" w:cstheme="majorBidi"/>
      <w:bCs/>
      <w:sz w:val="24"/>
    </w:rPr>
  </w:style>
  <w:style w:type="paragraph" w:styleId="Quote">
    <w:name w:val="Quote"/>
    <w:aliases w:val="DHSC Quote,Quote1 revised,Quote1"/>
    <w:basedOn w:val="Normal"/>
    <w:next w:val="Normal"/>
    <w:link w:val="QuoteChar"/>
    <w:uiPriority w:val="29"/>
    <w:qFormat/>
    <w:rsid w:val="004A73C4"/>
    <w:pPr>
      <w:keepLines/>
      <w:spacing w:before="120" w:after="120"/>
      <w:ind w:left="567" w:right="567"/>
    </w:pPr>
    <w:rPr>
      <w:rFonts w:eastAsia="Calibri" w:cs="Times New Roman"/>
      <w:i/>
      <w:iCs/>
      <w:color w:val="FF0000"/>
      <w:lang w:val="x-none"/>
    </w:rPr>
  </w:style>
  <w:style w:type="character" w:customStyle="1" w:styleId="QuoteChar">
    <w:name w:val="Quote Char"/>
    <w:aliases w:val="DHSC Quote Char,Quote1 revised Char,Quote1 Char"/>
    <w:basedOn w:val="DefaultParagraphFont"/>
    <w:link w:val="Quote"/>
    <w:uiPriority w:val="29"/>
    <w:rsid w:val="004A73C4"/>
    <w:rPr>
      <w:rFonts w:ascii="Arial" w:eastAsia="Calibri" w:hAnsi="Arial" w:cs="Times New Roman"/>
      <w:i/>
      <w:iCs/>
      <w:color w:val="FF0000"/>
      <w:sz w:val="24"/>
      <w:lang w:val="x-none"/>
    </w:rPr>
  </w:style>
  <w:style w:type="paragraph" w:customStyle="1" w:styleId="DHSCRevision">
    <w:name w:val="DHSC Revision"/>
    <w:basedOn w:val="DHSCNormal"/>
    <w:link w:val="DHSCRevisionChar"/>
    <w:qFormat/>
    <w:rsid w:val="004A73C4"/>
    <w:rPr>
      <w:rFonts w:cs="Times New Roman"/>
      <w:bCs w:val="0"/>
      <w:lang w:val="x-none"/>
    </w:rPr>
  </w:style>
  <w:style w:type="character" w:customStyle="1" w:styleId="DHSCRevisionChar">
    <w:name w:val="DHSC Revision Char"/>
    <w:link w:val="DHSCRevision"/>
    <w:rsid w:val="004A73C4"/>
    <w:rPr>
      <w:rFonts w:ascii="Arial" w:eastAsia="Calibri" w:hAnsi="Arial" w:cs="Times New Roman"/>
      <w:sz w:val="24"/>
      <w:lang w:val="x-none"/>
    </w:rPr>
  </w:style>
  <w:style w:type="character" w:styleId="CommentReference">
    <w:name w:val="annotation reference"/>
    <w:uiPriority w:val="99"/>
    <w:unhideWhenUsed/>
    <w:rsid w:val="004A73C4"/>
    <w:rPr>
      <w:sz w:val="16"/>
      <w:szCs w:val="16"/>
    </w:rPr>
  </w:style>
  <w:style w:type="paragraph" w:styleId="IntenseQuote">
    <w:name w:val="Intense Quote"/>
    <w:basedOn w:val="Normal"/>
    <w:next w:val="Normal"/>
    <w:link w:val="IntenseQuoteChar"/>
    <w:uiPriority w:val="30"/>
    <w:qFormat/>
    <w:rsid w:val="004A73C4"/>
    <w:pPr>
      <w:framePr w:wrap="notBeside" w:vAnchor="text" w:hAnchor="text" w:y="1"/>
      <w:spacing w:before="240" w:after="360"/>
      <w:ind w:left="1134" w:right="1134"/>
    </w:pPr>
    <w:rPr>
      <w:rFonts w:eastAsia="Calibri" w:cs="Times New Roman"/>
      <w:bCs/>
      <w:iCs/>
      <w:lang w:val="x-none"/>
    </w:rPr>
  </w:style>
  <w:style w:type="character" w:customStyle="1" w:styleId="IntenseQuoteChar">
    <w:name w:val="Intense Quote Char"/>
    <w:basedOn w:val="DefaultParagraphFont"/>
    <w:link w:val="IntenseQuote"/>
    <w:uiPriority w:val="30"/>
    <w:rsid w:val="004A73C4"/>
    <w:rPr>
      <w:rFonts w:ascii="Arial" w:eastAsia="Calibri" w:hAnsi="Arial" w:cs="Times New Roman"/>
      <w:bCs/>
      <w:iCs/>
      <w:sz w:val="24"/>
      <w:lang w:val="x-none"/>
    </w:rPr>
  </w:style>
  <w:style w:type="paragraph" w:customStyle="1" w:styleId="RevisedText">
    <w:name w:val="Revised Text"/>
    <w:basedOn w:val="DHSCNormal"/>
    <w:link w:val="RevisedTextChar"/>
    <w:qFormat/>
    <w:rsid w:val="004A73C4"/>
    <w:rPr>
      <w:rFonts w:cs="Times New Roman"/>
      <w:bCs w:val="0"/>
      <w:color w:val="FF0000"/>
      <w:lang w:val="x-none"/>
    </w:rPr>
  </w:style>
  <w:style w:type="character" w:customStyle="1" w:styleId="RevisedTextChar">
    <w:name w:val="Revised Text Char"/>
    <w:link w:val="RevisedText"/>
    <w:rsid w:val="004A73C4"/>
    <w:rPr>
      <w:rFonts w:ascii="Arial" w:eastAsia="Calibri" w:hAnsi="Arial" w:cs="Times New Roman"/>
      <w:color w:val="FF0000"/>
      <w:sz w:val="24"/>
      <w:lang w:val="x-none"/>
    </w:rPr>
  </w:style>
  <w:style w:type="paragraph" w:styleId="FootnoteText">
    <w:name w:val="footnote text"/>
    <w:basedOn w:val="Normal"/>
    <w:link w:val="FootnoteTextChar"/>
    <w:uiPriority w:val="99"/>
    <w:semiHidden/>
    <w:rsid w:val="00D65FD2"/>
    <w:pPr>
      <w:spacing w:after="0"/>
    </w:pPr>
    <w:rPr>
      <w:rFonts w:eastAsia="Times New Roman" w:cs="Times New Roman"/>
      <w:sz w:val="20"/>
      <w:szCs w:val="20"/>
      <w:lang w:val="x-none" w:eastAsia="en-GB"/>
    </w:rPr>
  </w:style>
  <w:style w:type="character" w:customStyle="1" w:styleId="FootnoteTextChar">
    <w:name w:val="Footnote Text Char"/>
    <w:basedOn w:val="DefaultParagraphFont"/>
    <w:link w:val="FootnoteText"/>
    <w:uiPriority w:val="99"/>
    <w:semiHidden/>
    <w:rsid w:val="00D65FD2"/>
    <w:rPr>
      <w:rFonts w:ascii="Arial" w:eastAsia="Times New Roman" w:hAnsi="Arial" w:cs="Times New Roman"/>
      <w:sz w:val="20"/>
      <w:szCs w:val="20"/>
      <w:lang w:val="x-none" w:eastAsia="en-GB"/>
    </w:rPr>
  </w:style>
  <w:style w:type="character" w:styleId="FootnoteReference">
    <w:name w:val="footnote reference"/>
    <w:uiPriority w:val="99"/>
    <w:semiHidden/>
    <w:rsid w:val="00D65FD2"/>
    <w:rPr>
      <w:vertAlign w:val="superscript"/>
    </w:rPr>
  </w:style>
  <w:style w:type="character" w:styleId="Hyperlink">
    <w:name w:val="Hyperlink"/>
    <w:uiPriority w:val="99"/>
    <w:unhideWhenUsed/>
    <w:rsid w:val="00116349"/>
    <w:rPr>
      <w:color w:val="0000FF"/>
      <w:u w:val="single"/>
    </w:rPr>
  </w:style>
  <w:style w:type="character" w:styleId="Strong">
    <w:name w:val="Strong"/>
    <w:uiPriority w:val="22"/>
    <w:qFormat/>
    <w:rsid w:val="00116349"/>
    <w:rPr>
      <w:b/>
      <w:bCs/>
      <w:sz w:val="16"/>
    </w:rPr>
  </w:style>
  <w:style w:type="table" w:styleId="TableGrid">
    <w:name w:val="Table Grid"/>
    <w:basedOn w:val="TableNormal"/>
    <w:uiPriority w:val="59"/>
    <w:rsid w:val="00C74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7408A"/>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uiPriority w:val="34"/>
    <w:qFormat/>
    <w:rsid w:val="00C7408A"/>
    <w:pPr>
      <w:ind w:left="720"/>
      <w:contextualSpacing/>
    </w:pPr>
  </w:style>
  <w:style w:type="paragraph" w:styleId="Header">
    <w:name w:val="header"/>
    <w:basedOn w:val="Normal"/>
    <w:link w:val="HeaderChar"/>
    <w:uiPriority w:val="99"/>
    <w:unhideWhenUsed/>
    <w:rsid w:val="00357CA9"/>
    <w:pPr>
      <w:tabs>
        <w:tab w:val="center" w:pos="4513"/>
        <w:tab w:val="right" w:pos="9026"/>
      </w:tabs>
      <w:spacing w:after="0"/>
    </w:pPr>
  </w:style>
  <w:style w:type="character" w:customStyle="1" w:styleId="HeaderChar">
    <w:name w:val="Header Char"/>
    <w:basedOn w:val="DefaultParagraphFont"/>
    <w:link w:val="Header"/>
    <w:uiPriority w:val="99"/>
    <w:rsid w:val="00357CA9"/>
    <w:rPr>
      <w:rFonts w:ascii="Arial" w:hAnsi="Arial"/>
      <w:sz w:val="24"/>
    </w:rPr>
  </w:style>
  <w:style w:type="paragraph" w:styleId="Footer">
    <w:name w:val="footer"/>
    <w:basedOn w:val="Normal"/>
    <w:link w:val="FooterChar"/>
    <w:uiPriority w:val="99"/>
    <w:unhideWhenUsed/>
    <w:rsid w:val="00357CA9"/>
    <w:pPr>
      <w:tabs>
        <w:tab w:val="center" w:pos="4513"/>
        <w:tab w:val="right" w:pos="9026"/>
      </w:tabs>
      <w:spacing w:after="0"/>
    </w:pPr>
  </w:style>
  <w:style w:type="character" w:customStyle="1" w:styleId="FooterChar">
    <w:name w:val="Footer Char"/>
    <w:basedOn w:val="DefaultParagraphFont"/>
    <w:link w:val="Footer"/>
    <w:uiPriority w:val="99"/>
    <w:rsid w:val="00357CA9"/>
    <w:rPr>
      <w:rFonts w:ascii="Arial" w:hAnsi="Arial"/>
      <w:sz w:val="24"/>
    </w:rPr>
  </w:style>
  <w:style w:type="paragraph" w:styleId="CommentText">
    <w:name w:val="annotation text"/>
    <w:basedOn w:val="Normal"/>
    <w:link w:val="CommentTextChar"/>
    <w:uiPriority w:val="99"/>
    <w:semiHidden/>
    <w:unhideWhenUsed/>
    <w:rsid w:val="009106BA"/>
    <w:rPr>
      <w:sz w:val="20"/>
      <w:szCs w:val="20"/>
    </w:rPr>
  </w:style>
  <w:style w:type="character" w:customStyle="1" w:styleId="CommentTextChar">
    <w:name w:val="Comment Text Char"/>
    <w:basedOn w:val="DefaultParagraphFont"/>
    <w:link w:val="CommentText"/>
    <w:uiPriority w:val="99"/>
    <w:semiHidden/>
    <w:rsid w:val="009106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106BA"/>
    <w:rPr>
      <w:b/>
      <w:bCs/>
    </w:rPr>
  </w:style>
  <w:style w:type="character" w:customStyle="1" w:styleId="CommentSubjectChar">
    <w:name w:val="Comment Subject Char"/>
    <w:basedOn w:val="CommentTextChar"/>
    <w:link w:val="CommentSubject"/>
    <w:uiPriority w:val="99"/>
    <w:semiHidden/>
    <w:rsid w:val="009106BA"/>
    <w:rPr>
      <w:rFonts w:ascii="Arial" w:hAnsi="Arial"/>
      <w:b/>
      <w:bCs/>
      <w:sz w:val="20"/>
      <w:szCs w:val="20"/>
    </w:rPr>
  </w:style>
  <w:style w:type="paragraph" w:styleId="BalloonText">
    <w:name w:val="Balloon Text"/>
    <w:basedOn w:val="Normal"/>
    <w:link w:val="BalloonTextChar"/>
    <w:uiPriority w:val="99"/>
    <w:semiHidden/>
    <w:unhideWhenUsed/>
    <w:rsid w:val="009106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6BA"/>
    <w:rPr>
      <w:rFonts w:ascii="Tahoma" w:hAnsi="Tahoma" w:cs="Tahoma"/>
      <w:sz w:val="16"/>
      <w:szCs w:val="16"/>
    </w:rPr>
  </w:style>
  <w:style w:type="paragraph" w:styleId="Caption">
    <w:name w:val="caption"/>
    <w:basedOn w:val="Normal"/>
    <w:next w:val="Normal"/>
    <w:uiPriority w:val="35"/>
    <w:semiHidden/>
    <w:unhideWhenUsed/>
    <w:qFormat/>
    <w:rsid w:val="00A2338E"/>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bera.ac.uk/publications" TargetMode="External"/><Relationship Id="rId18" Type="http://schemas.openxmlformats.org/officeDocument/2006/relationships/hyperlink" Target="http://www.nus.org.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jiscmail.ac.uk/cgi-bin/webadmin?A2=DYSLEXIA;" TargetMode="External"/><Relationship Id="rId2" Type="http://schemas.openxmlformats.org/officeDocument/2006/relationships/styles" Target="styles.xml"/><Relationship Id="rId16" Type="http://schemas.openxmlformats.org/officeDocument/2006/relationships/hyperlink" Target="http://www.hefce.ac.uk/pubs/hefce/2011/11_1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heacademy.ac.uk" TargetMode="External"/><Relationship Id="rId10" Type="http://schemas.openxmlformats.org/officeDocument/2006/relationships/diagramQuickStyle" Target="diagrams/quickStyle1.xml"/><Relationship Id="rId19" Type="http://schemas.openxmlformats.org/officeDocument/2006/relationships/hyperlink" Target="http://www.qaa.ac.uk"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mc-uk.org/"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7C2455-4F69-476E-832D-37DB9BB08623}"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en-GB"/>
        </a:p>
      </dgm:t>
    </dgm:pt>
    <dgm:pt modelId="{F4CF093B-2FD1-4D8A-A5E4-0A7CBD4D3885}">
      <dgm:prSet phldrT="[Text]" custT="1"/>
      <dgm:spPr/>
      <dgm:t>
        <a:bodyPr/>
        <a:lstStyle/>
        <a:p>
          <a:pPr algn="l"/>
          <a:r>
            <a:rPr lang="en-GB" sz="1000" b="1">
              <a:latin typeface="Arial" panose="020B0604020202020204" pitchFamily="34" charset="0"/>
              <a:cs typeface="Arial" panose="020B0604020202020204" pitchFamily="34" charset="0"/>
            </a:rPr>
            <a:t>Judgements</a:t>
          </a:r>
          <a:endParaRPr lang="en-GB" sz="1000">
            <a:latin typeface="Arial" panose="020B0604020202020204" pitchFamily="34" charset="0"/>
            <a:cs typeface="Arial" panose="020B0604020202020204" pitchFamily="34" charset="0"/>
          </a:endParaRPr>
        </a:p>
      </dgm:t>
    </dgm:pt>
    <dgm:pt modelId="{D4C94D84-AE70-412C-A91D-47429A3054C8}" type="parTrans" cxnId="{F9E47255-8F63-4BE5-96A9-B902349ECEAF}">
      <dgm:prSet/>
      <dgm:spPr/>
      <dgm:t>
        <a:bodyPr/>
        <a:lstStyle/>
        <a:p>
          <a:pPr algn="l"/>
          <a:endParaRPr lang="en-GB" sz="1000">
            <a:latin typeface="Arial" panose="020B0604020202020204" pitchFamily="34" charset="0"/>
            <a:cs typeface="Arial" panose="020B0604020202020204" pitchFamily="34" charset="0"/>
          </a:endParaRPr>
        </a:p>
      </dgm:t>
    </dgm:pt>
    <dgm:pt modelId="{E22B9267-C4D7-44AA-93AF-771F8386CD71}" type="sibTrans" cxnId="{F9E47255-8F63-4BE5-96A9-B902349ECEAF}">
      <dgm:prSet/>
      <dgm:spPr/>
      <dgm:t>
        <a:bodyPr/>
        <a:lstStyle/>
        <a:p>
          <a:pPr algn="l"/>
          <a:endParaRPr lang="en-GB" sz="1000">
            <a:latin typeface="Arial" panose="020B0604020202020204" pitchFamily="34" charset="0"/>
            <a:cs typeface="Arial" panose="020B0604020202020204" pitchFamily="34" charset="0"/>
          </a:endParaRPr>
        </a:p>
      </dgm:t>
    </dgm:pt>
    <dgm:pt modelId="{B3877D86-1B60-421D-BB80-8F66150751CB}">
      <dgm:prSet phldrT="[Text]" custT="1"/>
      <dgm:spPr/>
      <dgm:t>
        <a:bodyPr/>
        <a:lstStyle/>
        <a:p>
          <a:pPr algn="l"/>
          <a:r>
            <a:rPr lang="en-GB" sz="1000">
              <a:latin typeface="Arial" panose="020B0604020202020204" pitchFamily="34" charset="0"/>
              <a:cs typeface="Arial" panose="020B0604020202020204" pitchFamily="34" charset="0"/>
            </a:rPr>
            <a:t>Marks and Grades</a:t>
          </a:r>
        </a:p>
      </dgm:t>
    </dgm:pt>
    <dgm:pt modelId="{ED017F95-0B52-4BD0-B71E-C8B4BA5AFE7E}" type="parTrans" cxnId="{0049379D-F27F-4199-9300-D428B5F2CDAA}">
      <dgm:prSet/>
      <dgm:spPr/>
      <dgm:t>
        <a:bodyPr/>
        <a:lstStyle/>
        <a:p>
          <a:pPr algn="l"/>
          <a:endParaRPr lang="en-GB" sz="1000">
            <a:latin typeface="Arial" panose="020B0604020202020204" pitchFamily="34" charset="0"/>
            <a:cs typeface="Arial" panose="020B0604020202020204" pitchFamily="34" charset="0"/>
          </a:endParaRPr>
        </a:p>
      </dgm:t>
    </dgm:pt>
    <dgm:pt modelId="{77594FFC-3F7E-4668-9D2F-3D0C087049EC}" type="sibTrans" cxnId="{0049379D-F27F-4199-9300-D428B5F2CDAA}">
      <dgm:prSet/>
      <dgm:spPr/>
      <dgm:t>
        <a:bodyPr/>
        <a:lstStyle/>
        <a:p>
          <a:pPr algn="l"/>
          <a:endParaRPr lang="en-GB" sz="1000">
            <a:latin typeface="Arial" panose="020B0604020202020204" pitchFamily="34" charset="0"/>
            <a:cs typeface="Arial" panose="020B0604020202020204" pitchFamily="34" charset="0"/>
          </a:endParaRPr>
        </a:p>
      </dgm:t>
    </dgm:pt>
    <dgm:pt modelId="{C3B85E9F-E19C-4333-9B54-44701D39FDE7}">
      <dgm:prSet phldrT="[Text]" custT="1"/>
      <dgm:spPr/>
      <dgm:t>
        <a:bodyPr/>
        <a:lstStyle/>
        <a:p>
          <a:pPr algn="l"/>
          <a:r>
            <a:rPr lang="en-GB" sz="1000" b="1">
              <a:latin typeface="Arial" panose="020B0604020202020204" pitchFamily="34" charset="0"/>
              <a:cs typeface="Arial" panose="020B0604020202020204" pitchFamily="34" charset="0"/>
            </a:rPr>
            <a:t>Accountability and Responsibility</a:t>
          </a:r>
          <a:endParaRPr lang="en-GB" sz="1000">
            <a:latin typeface="Arial" panose="020B0604020202020204" pitchFamily="34" charset="0"/>
            <a:cs typeface="Arial" panose="020B0604020202020204" pitchFamily="34" charset="0"/>
          </a:endParaRPr>
        </a:p>
      </dgm:t>
    </dgm:pt>
    <dgm:pt modelId="{8220308D-84D5-4FAD-BDCF-6F3F9974B427}" type="parTrans" cxnId="{EEAA622D-3C10-4765-95AF-8A759A757C5C}">
      <dgm:prSet/>
      <dgm:spPr/>
      <dgm:t>
        <a:bodyPr/>
        <a:lstStyle/>
        <a:p>
          <a:pPr algn="l"/>
          <a:endParaRPr lang="en-GB" sz="1000">
            <a:latin typeface="Arial" panose="020B0604020202020204" pitchFamily="34" charset="0"/>
            <a:cs typeface="Arial" panose="020B0604020202020204" pitchFamily="34" charset="0"/>
          </a:endParaRPr>
        </a:p>
      </dgm:t>
    </dgm:pt>
    <dgm:pt modelId="{3557E797-2865-47D4-97BA-A2021A0865AD}" type="sibTrans" cxnId="{EEAA622D-3C10-4765-95AF-8A759A757C5C}">
      <dgm:prSet/>
      <dgm:spPr/>
      <dgm:t>
        <a:bodyPr/>
        <a:lstStyle/>
        <a:p>
          <a:pPr algn="l"/>
          <a:endParaRPr lang="en-GB" sz="1000">
            <a:latin typeface="Arial" panose="020B0604020202020204" pitchFamily="34" charset="0"/>
            <a:cs typeface="Arial" panose="020B0604020202020204" pitchFamily="34" charset="0"/>
          </a:endParaRPr>
        </a:p>
      </dgm:t>
    </dgm:pt>
    <dgm:pt modelId="{C17DC1EB-E87D-4095-9730-F8DEF003A505}">
      <dgm:prSet phldrT="[Text]" custT="1"/>
      <dgm:spPr/>
      <dgm:t>
        <a:bodyPr/>
        <a:lstStyle/>
        <a:p>
          <a:pPr algn="l"/>
          <a:r>
            <a:rPr lang="en-GB" sz="1000">
              <a:latin typeface="Arial" panose="020B0604020202020204" pitchFamily="34" charset="0"/>
              <a:cs typeface="Arial" panose="020B0604020202020204" pitchFamily="34" charset="0"/>
            </a:rPr>
            <a:t>Consequences</a:t>
          </a:r>
        </a:p>
      </dgm:t>
    </dgm:pt>
    <dgm:pt modelId="{0057EB90-012B-45E0-A36E-E1659AD7B59B}" type="parTrans" cxnId="{C2BD1154-F3C5-4578-B224-73A79593FC54}">
      <dgm:prSet/>
      <dgm:spPr/>
      <dgm:t>
        <a:bodyPr/>
        <a:lstStyle/>
        <a:p>
          <a:pPr algn="l"/>
          <a:endParaRPr lang="en-GB" sz="1000">
            <a:latin typeface="Arial" panose="020B0604020202020204" pitchFamily="34" charset="0"/>
            <a:cs typeface="Arial" panose="020B0604020202020204" pitchFamily="34" charset="0"/>
          </a:endParaRPr>
        </a:p>
      </dgm:t>
    </dgm:pt>
    <dgm:pt modelId="{F3BB1B28-B07D-41B6-AFD1-C24DF53987E5}" type="sibTrans" cxnId="{C2BD1154-F3C5-4578-B224-73A79593FC54}">
      <dgm:prSet/>
      <dgm:spPr/>
      <dgm:t>
        <a:bodyPr/>
        <a:lstStyle/>
        <a:p>
          <a:pPr algn="l"/>
          <a:endParaRPr lang="en-GB" sz="1000">
            <a:latin typeface="Arial" panose="020B0604020202020204" pitchFamily="34" charset="0"/>
            <a:cs typeface="Arial" panose="020B0604020202020204" pitchFamily="34" charset="0"/>
          </a:endParaRPr>
        </a:p>
      </dgm:t>
    </dgm:pt>
    <dgm:pt modelId="{50C4DB90-EC4D-49FB-BD5E-7DCFDE0731D2}">
      <dgm:prSet phldrT="[Text]" custT="1"/>
      <dgm:spPr/>
      <dgm:t>
        <a:bodyPr/>
        <a:lstStyle/>
        <a:p>
          <a:pPr algn="l"/>
          <a:r>
            <a:rPr lang="en-GB" sz="1000" b="1">
              <a:latin typeface="Arial" panose="020B0604020202020204" pitchFamily="34" charset="0"/>
              <a:cs typeface="Arial" panose="020B0604020202020204" pitchFamily="34" charset="0"/>
            </a:rPr>
            <a:t>Confidence</a:t>
          </a:r>
          <a:endParaRPr lang="en-GB" sz="1000">
            <a:latin typeface="Arial" panose="020B0604020202020204" pitchFamily="34" charset="0"/>
            <a:cs typeface="Arial" panose="020B0604020202020204" pitchFamily="34" charset="0"/>
          </a:endParaRPr>
        </a:p>
      </dgm:t>
    </dgm:pt>
    <dgm:pt modelId="{23616E73-93FB-4030-9CE1-4C190160D6DA}" type="parTrans" cxnId="{F022AB04-2446-496A-868B-16996C68F27F}">
      <dgm:prSet/>
      <dgm:spPr/>
      <dgm:t>
        <a:bodyPr/>
        <a:lstStyle/>
        <a:p>
          <a:pPr algn="l"/>
          <a:endParaRPr lang="en-GB" sz="1000">
            <a:latin typeface="Arial" panose="020B0604020202020204" pitchFamily="34" charset="0"/>
            <a:cs typeface="Arial" panose="020B0604020202020204" pitchFamily="34" charset="0"/>
          </a:endParaRPr>
        </a:p>
      </dgm:t>
    </dgm:pt>
    <dgm:pt modelId="{A822C21F-DD0F-4C9D-BE02-0B5F43E174D1}" type="sibTrans" cxnId="{F022AB04-2446-496A-868B-16996C68F27F}">
      <dgm:prSet/>
      <dgm:spPr/>
      <dgm:t>
        <a:bodyPr/>
        <a:lstStyle/>
        <a:p>
          <a:pPr algn="l"/>
          <a:endParaRPr lang="en-GB" sz="1000">
            <a:latin typeface="Arial" panose="020B0604020202020204" pitchFamily="34" charset="0"/>
            <a:cs typeface="Arial" panose="020B0604020202020204" pitchFamily="34" charset="0"/>
          </a:endParaRPr>
        </a:p>
      </dgm:t>
    </dgm:pt>
    <dgm:pt modelId="{50BE18E6-5FE6-44A5-B78B-9286FD1B7705}">
      <dgm:prSet phldrT="[Text]" custT="1"/>
      <dgm:spPr/>
      <dgm:t>
        <a:bodyPr/>
        <a:lstStyle/>
        <a:p>
          <a:pPr algn="l"/>
          <a:r>
            <a:rPr lang="en-GB" sz="1000">
              <a:latin typeface="Arial" panose="020B0604020202020204" pitchFamily="34" charset="0"/>
              <a:cs typeface="Arial" panose="020B0604020202020204" pitchFamily="34" charset="0"/>
            </a:rPr>
            <a:t>Support</a:t>
          </a:r>
        </a:p>
      </dgm:t>
    </dgm:pt>
    <dgm:pt modelId="{BE804D53-F7A5-4C6B-8A56-3AA82A9680CA}" type="parTrans" cxnId="{A20F9F51-6B5C-4DC8-9B30-937C1731380C}">
      <dgm:prSet/>
      <dgm:spPr/>
      <dgm:t>
        <a:bodyPr/>
        <a:lstStyle/>
        <a:p>
          <a:pPr algn="l"/>
          <a:endParaRPr lang="en-GB" sz="1000">
            <a:latin typeface="Arial" panose="020B0604020202020204" pitchFamily="34" charset="0"/>
            <a:cs typeface="Arial" panose="020B0604020202020204" pitchFamily="34" charset="0"/>
          </a:endParaRPr>
        </a:p>
      </dgm:t>
    </dgm:pt>
    <dgm:pt modelId="{D819D16D-1318-4740-B866-21AEB1843EF1}" type="sibTrans" cxnId="{A20F9F51-6B5C-4DC8-9B30-937C1731380C}">
      <dgm:prSet/>
      <dgm:spPr/>
      <dgm:t>
        <a:bodyPr/>
        <a:lstStyle/>
        <a:p>
          <a:pPr algn="l"/>
          <a:endParaRPr lang="en-GB" sz="1000">
            <a:latin typeface="Arial" panose="020B0604020202020204" pitchFamily="34" charset="0"/>
            <a:cs typeface="Arial" panose="020B0604020202020204" pitchFamily="34" charset="0"/>
          </a:endParaRPr>
        </a:p>
      </dgm:t>
    </dgm:pt>
    <dgm:pt modelId="{CE15285E-B033-491F-B467-8B46509976F4}">
      <dgm:prSet custT="1"/>
      <dgm:spPr/>
      <dgm:t>
        <a:bodyPr/>
        <a:lstStyle/>
        <a:p>
          <a:pPr algn="l"/>
          <a:r>
            <a:rPr lang="en-GB" sz="1000">
              <a:latin typeface="Arial" panose="020B0604020202020204" pitchFamily="34" charset="0"/>
              <a:cs typeface="Arial" panose="020B0604020202020204" pitchFamily="34" charset="0"/>
            </a:rPr>
            <a:t>Marking with others</a:t>
          </a:r>
        </a:p>
      </dgm:t>
    </dgm:pt>
    <dgm:pt modelId="{8F59CC92-851F-40D4-BE85-BF81BFBB73B7}" type="parTrans" cxnId="{6324222A-0400-47EF-8BED-9006E48D41E1}">
      <dgm:prSet/>
      <dgm:spPr/>
      <dgm:t>
        <a:bodyPr/>
        <a:lstStyle/>
        <a:p>
          <a:pPr algn="l"/>
          <a:endParaRPr lang="en-GB" sz="1000">
            <a:latin typeface="Arial" panose="020B0604020202020204" pitchFamily="34" charset="0"/>
            <a:cs typeface="Arial" panose="020B0604020202020204" pitchFamily="34" charset="0"/>
          </a:endParaRPr>
        </a:p>
      </dgm:t>
    </dgm:pt>
    <dgm:pt modelId="{9A7DFDD5-D54D-4531-8726-8FCCCFDB727E}" type="sibTrans" cxnId="{6324222A-0400-47EF-8BED-9006E48D41E1}">
      <dgm:prSet/>
      <dgm:spPr/>
      <dgm:t>
        <a:bodyPr/>
        <a:lstStyle/>
        <a:p>
          <a:pPr algn="l"/>
          <a:endParaRPr lang="en-GB" sz="1000">
            <a:latin typeface="Arial" panose="020B0604020202020204" pitchFamily="34" charset="0"/>
            <a:cs typeface="Arial" panose="020B0604020202020204" pitchFamily="34" charset="0"/>
          </a:endParaRPr>
        </a:p>
      </dgm:t>
    </dgm:pt>
    <dgm:pt modelId="{EE5E41F4-9B03-4B53-B014-67D2286A7CC1}">
      <dgm:prSet custT="1"/>
      <dgm:spPr/>
      <dgm:t>
        <a:bodyPr/>
        <a:lstStyle/>
        <a:p>
          <a:pPr algn="l"/>
          <a:r>
            <a:rPr lang="en-GB" sz="1000">
              <a:latin typeface="Arial" panose="020B0604020202020204" pitchFamily="34" charset="0"/>
              <a:cs typeface="Arial" panose="020B0604020202020204" pitchFamily="34" charset="0"/>
            </a:rPr>
            <a:t>Anonymous Marking</a:t>
          </a:r>
        </a:p>
      </dgm:t>
    </dgm:pt>
    <dgm:pt modelId="{3E118B65-C0F8-458F-A5CF-107F80D4912F}" type="parTrans" cxnId="{30DA3C5C-4E50-4399-AC71-E6CDF37BFC64}">
      <dgm:prSet/>
      <dgm:spPr/>
      <dgm:t>
        <a:bodyPr/>
        <a:lstStyle/>
        <a:p>
          <a:pPr algn="l"/>
          <a:endParaRPr lang="en-GB" sz="1000">
            <a:latin typeface="Arial" panose="020B0604020202020204" pitchFamily="34" charset="0"/>
            <a:cs typeface="Arial" panose="020B0604020202020204" pitchFamily="34" charset="0"/>
          </a:endParaRPr>
        </a:p>
      </dgm:t>
    </dgm:pt>
    <dgm:pt modelId="{E17B4A84-A325-41AD-AF6B-0F8FF0A08E03}" type="sibTrans" cxnId="{30DA3C5C-4E50-4399-AC71-E6CDF37BFC64}">
      <dgm:prSet/>
      <dgm:spPr/>
      <dgm:t>
        <a:bodyPr/>
        <a:lstStyle/>
        <a:p>
          <a:pPr algn="l"/>
          <a:endParaRPr lang="en-GB" sz="1000">
            <a:latin typeface="Arial" panose="020B0604020202020204" pitchFamily="34" charset="0"/>
            <a:cs typeface="Arial" panose="020B0604020202020204" pitchFamily="34" charset="0"/>
          </a:endParaRPr>
        </a:p>
      </dgm:t>
    </dgm:pt>
    <dgm:pt modelId="{9DC81C84-5BDD-437A-8863-924135C3F9C8}">
      <dgm:prSet custT="1"/>
      <dgm:spPr/>
      <dgm:t>
        <a:bodyPr/>
        <a:lstStyle/>
        <a:p>
          <a:pPr algn="l"/>
          <a:r>
            <a:rPr lang="en-GB" sz="1000">
              <a:latin typeface="Arial" panose="020B0604020202020204" pitchFamily="34" charset="0"/>
              <a:cs typeface="Arial" panose="020B0604020202020204" pitchFamily="34" charset="0"/>
            </a:rPr>
            <a:t>Concern for the student</a:t>
          </a:r>
        </a:p>
      </dgm:t>
    </dgm:pt>
    <dgm:pt modelId="{D8C04E38-D15C-4ACF-91BC-51AC4F57781F}" type="parTrans" cxnId="{3FB1DE9C-55D7-4559-85DD-EA7C3760F19B}">
      <dgm:prSet/>
      <dgm:spPr/>
      <dgm:t>
        <a:bodyPr/>
        <a:lstStyle/>
        <a:p>
          <a:pPr algn="l"/>
          <a:endParaRPr lang="en-GB" sz="1000">
            <a:latin typeface="Arial" panose="020B0604020202020204" pitchFamily="34" charset="0"/>
            <a:cs typeface="Arial" panose="020B0604020202020204" pitchFamily="34" charset="0"/>
          </a:endParaRPr>
        </a:p>
      </dgm:t>
    </dgm:pt>
    <dgm:pt modelId="{3C19F45D-9A4F-486A-822B-D325F64ACB8B}" type="sibTrans" cxnId="{3FB1DE9C-55D7-4559-85DD-EA7C3760F19B}">
      <dgm:prSet/>
      <dgm:spPr/>
      <dgm:t>
        <a:bodyPr/>
        <a:lstStyle/>
        <a:p>
          <a:pPr algn="l"/>
          <a:endParaRPr lang="en-GB" sz="1000">
            <a:latin typeface="Arial" panose="020B0604020202020204" pitchFamily="34" charset="0"/>
            <a:cs typeface="Arial" panose="020B0604020202020204" pitchFamily="34" charset="0"/>
          </a:endParaRPr>
        </a:p>
      </dgm:t>
    </dgm:pt>
    <dgm:pt modelId="{BC3D2F57-A927-474D-82E9-1399F9C77C2D}">
      <dgm:prSet custT="1"/>
      <dgm:spPr/>
      <dgm:t>
        <a:bodyPr/>
        <a:lstStyle/>
        <a:p>
          <a:pPr algn="l"/>
          <a:r>
            <a:rPr lang="en-GB" sz="1000">
              <a:latin typeface="Arial" panose="020B0604020202020204" pitchFamily="34" charset="0"/>
              <a:cs typeface="Arial" panose="020B0604020202020204" pitchFamily="34" charset="0"/>
            </a:rPr>
            <a:t>Fear of being found out</a:t>
          </a:r>
        </a:p>
      </dgm:t>
    </dgm:pt>
    <dgm:pt modelId="{D3ABCDBB-A511-453A-9B6F-866268372B49}" type="parTrans" cxnId="{C0677939-F75D-4969-B54D-DB2D77287534}">
      <dgm:prSet/>
      <dgm:spPr/>
      <dgm:t>
        <a:bodyPr/>
        <a:lstStyle/>
        <a:p>
          <a:pPr algn="l"/>
          <a:endParaRPr lang="en-GB" sz="1000">
            <a:latin typeface="Arial" panose="020B0604020202020204" pitchFamily="34" charset="0"/>
            <a:cs typeface="Arial" panose="020B0604020202020204" pitchFamily="34" charset="0"/>
          </a:endParaRPr>
        </a:p>
      </dgm:t>
    </dgm:pt>
    <dgm:pt modelId="{DCE1ED67-0795-44C5-AFD8-A67ED49F69B8}" type="sibTrans" cxnId="{C0677939-F75D-4969-B54D-DB2D77287534}">
      <dgm:prSet/>
      <dgm:spPr/>
      <dgm:t>
        <a:bodyPr/>
        <a:lstStyle/>
        <a:p>
          <a:pPr algn="l"/>
          <a:endParaRPr lang="en-GB" sz="1000">
            <a:latin typeface="Arial" panose="020B0604020202020204" pitchFamily="34" charset="0"/>
            <a:cs typeface="Arial" panose="020B0604020202020204" pitchFamily="34" charset="0"/>
          </a:endParaRPr>
        </a:p>
      </dgm:t>
    </dgm:pt>
    <dgm:pt modelId="{9A5BB96C-93B6-4156-AECA-ADE58A2C6DB6}">
      <dgm:prSet custT="1"/>
      <dgm:spPr/>
      <dgm:t>
        <a:bodyPr/>
        <a:lstStyle/>
        <a:p>
          <a:pPr algn="l"/>
          <a:r>
            <a:rPr lang="en-GB" sz="1000" b="1">
              <a:latin typeface="Arial" panose="020B0604020202020204" pitchFamily="34" charset="0"/>
              <a:cs typeface="Arial" panose="020B0604020202020204" pitchFamily="34" charset="0"/>
            </a:rPr>
            <a:t>Processes</a:t>
          </a:r>
        </a:p>
      </dgm:t>
    </dgm:pt>
    <dgm:pt modelId="{CEFB1968-1D0A-40E7-979B-E5377B38691C}" type="parTrans" cxnId="{6A1CEC58-CD2F-403A-9D13-2B35EEF43439}">
      <dgm:prSet/>
      <dgm:spPr/>
      <dgm:t>
        <a:bodyPr/>
        <a:lstStyle/>
        <a:p>
          <a:pPr algn="l"/>
          <a:endParaRPr lang="en-GB" sz="1000">
            <a:latin typeface="Arial" panose="020B0604020202020204" pitchFamily="34" charset="0"/>
            <a:cs typeface="Arial" panose="020B0604020202020204" pitchFamily="34" charset="0"/>
          </a:endParaRPr>
        </a:p>
      </dgm:t>
    </dgm:pt>
    <dgm:pt modelId="{F8459EE9-3D9D-4235-8E18-A512DF0099AC}" type="sibTrans" cxnId="{6A1CEC58-CD2F-403A-9D13-2B35EEF43439}">
      <dgm:prSet/>
      <dgm:spPr/>
      <dgm:t>
        <a:bodyPr/>
        <a:lstStyle/>
        <a:p>
          <a:pPr algn="l"/>
          <a:endParaRPr lang="en-GB" sz="1000">
            <a:latin typeface="Arial" panose="020B0604020202020204" pitchFamily="34" charset="0"/>
            <a:cs typeface="Arial" panose="020B0604020202020204" pitchFamily="34" charset="0"/>
          </a:endParaRPr>
        </a:p>
      </dgm:t>
    </dgm:pt>
    <dgm:pt modelId="{5773857B-ED9F-48DD-8228-D7496C3820BA}">
      <dgm:prSet custT="1"/>
      <dgm:spPr/>
      <dgm:t>
        <a:bodyPr/>
        <a:lstStyle/>
        <a:p>
          <a:pPr algn="l"/>
          <a:r>
            <a:rPr lang="en-GB" sz="1000">
              <a:latin typeface="Arial" panose="020B0604020202020204" pitchFamily="34" charset="0"/>
              <a:cs typeface="Arial" panose="020B0604020202020204" pitchFamily="34" charset="0"/>
            </a:rPr>
            <a:t>A Time and a Place to Mark</a:t>
          </a:r>
        </a:p>
      </dgm:t>
    </dgm:pt>
    <dgm:pt modelId="{06731424-12CD-4DFC-AFBB-51728C8C35D0}" type="parTrans" cxnId="{90D62615-29A9-4D26-A674-9F3DFFA7D286}">
      <dgm:prSet/>
      <dgm:spPr/>
      <dgm:t>
        <a:bodyPr/>
        <a:lstStyle/>
        <a:p>
          <a:pPr algn="l"/>
          <a:endParaRPr lang="en-GB" sz="1000">
            <a:latin typeface="Arial" panose="020B0604020202020204" pitchFamily="34" charset="0"/>
            <a:cs typeface="Arial" panose="020B0604020202020204" pitchFamily="34" charset="0"/>
          </a:endParaRPr>
        </a:p>
      </dgm:t>
    </dgm:pt>
    <dgm:pt modelId="{609A098B-3FD4-4337-8E38-48F9950F4B59}" type="sibTrans" cxnId="{90D62615-29A9-4D26-A674-9F3DFFA7D286}">
      <dgm:prSet/>
      <dgm:spPr/>
      <dgm:t>
        <a:bodyPr/>
        <a:lstStyle/>
        <a:p>
          <a:pPr algn="l"/>
          <a:endParaRPr lang="en-GB" sz="1000">
            <a:latin typeface="Arial" panose="020B0604020202020204" pitchFamily="34" charset="0"/>
            <a:cs typeface="Arial" panose="020B0604020202020204" pitchFamily="34" charset="0"/>
          </a:endParaRPr>
        </a:p>
      </dgm:t>
    </dgm:pt>
    <dgm:pt modelId="{B443F82D-EFE3-4C1A-990A-06C5E3268326}">
      <dgm:prSet custT="1"/>
      <dgm:spPr/>
      <dgm:t>
        <a:bodyPr/>
        <a:lstStyle/>
        <a:p>
          <a:pPr algn="l"/>
          <a:r>
            <a:rPr lang="en-GB" sz="1000">
              <a:latin typeface="Arial" panose="020B0604020202020204" pitchFamily="34" charset="0"/>
              <a:cs typeface="Arial" panose="020B0604020202020204" pitchFamily="34" charset="0"/>
            </a:rPr>
            <a:t>Online marking</a:t>
          </a:r>
        </a:p>
      </dgm:t>
    </dgm:pt>
    <dgm:pt modelId="{703B2B8E-E3DF-47EC-AFAF-B2E5B2C9635F}" type="parTrans" cxnId="{20B50622-DE70-4498-A168-9C35975AA0ED}">
      <dgm:prSet/>
      <dgm:spPr/>
      <dgm:t>
        <a:bodyPr/>
        <a:lstStyle/>
        <a:p>
          <a:pPr algn="l"/>
          <a:endParaRPr lang="en-GB" sz="1000">
            <a:latin typeface="Arial" panose="020B0604020202020204" pitchFamily="34" charset="0"/>
            <a:cs typeface="Arial" panose="020B0604020202020204" pitchFamily="34" charset="0"/>
          </a:endParaRPr>
        </a:p>
      </dgm:t>
    </dgm:pt>
    <dgm:pt modelId="{634C3681-1264-4BA2-BBF3-C71BD3727EA2}" type="sibTrans" cxnId="{20B50622-DE70-4498-A168-9C35975AA0ED}">
      <dgm:prSet/>
      <dgm:spPr/>
      <dgm:t>
        <a:bodyPr/>
        <a:lstStyle/>
        <a:p>
          <a:pPr algn="l"/>
          <a:endParaRPr lang="en-GB" sz="1000">
            <a:latin typeface="Arial" panose="020B0604020202020204" pitchFamily="34" charset="0"/>
            <a:cs typeface="Arial" panose="020B0604020202020204" pitchFamily="34" charset="0"/>
          </a:endParaRPr>
        </a:p>
      </dgm:t>
    </dgm:pt>
    <dgm:pt modelId="{59FFD545-BFD7-46D5-BEC5-3493003FAF0D}">
      <dgm:prSet phldrT="[Text]" custT="1"/>
      <dgm:spPr/>
      <dgm:t>
        <a:bodyPr/>
        <a:lstStyle/>
        <a:p>
          <a:pPr algn="l"/>
          <a:r>
            <a:rPr lang="en-GB" sz="1000">
              <a:latin typeface="Arial" panose="020B0604020202020204" pitchFamily="34" charset="0"/>
              <a:cs typeface="Arial" panose="020B0604020202020204" pitchFamily="34" charset="0"/>
            </a:rPr>
            <a:t>Role/Identity</a:t>
          </a:r>
        </a:p>
      </dgm:t>
    </dgm:pt>
    <dgm:pt modelId="{94347D2C-A50E-4C77-86C0-372787047D4A}" type="parTrans" cxnId="{D94DCAEF-2A00-46D4-AF15-D4C53A8ADBB1}">
      <dgm:prSet/>
      <dgm:spPr/>
      <dgm:t>
        <a:bodyPr/>
        <a:lstStyle/>
        <a:p>
          <a:endParaRPr lang="en-GB"/>
        </a:p>
      </dgm:t>
    </dgm:pt>
    <dgm:pt modelId="{966DBCA5-E172-46DD-A2AE-34571056A24C}" type="sibTrans" cxnId="{D94DCAEF-2A00-46D4-AF15-D4C53A8ADBB1}">
      <dgm:prSet/>
      <dgm:spPr/>
      <dgm:t>
        <a:bodyPr/>
        <a:lstStyle/>
        <a:p>
          <a:endParaRPr lang="en-GB"/>
        </a:p>
      </dgm:t>
    </dgm:pt>
    <dgm:pt modelId="{5F2201DF-0551-45E6-B4FE-5F44D03CD865}">
      <dgm:prSet custT="1"/>
      <dgm:spPr/>
      <dgm:t>
        <a:bodyPr/>
        <a:lstStyle/>
        <a:p>
          <a:pPr algn="l"/>
          <a:r>
            <a:rPr lang="en-GB" sz="1000">
              <a:latin typeface="Arial" panose="020B0604020202020204" pitchFamily="34" charset="0"/>
              <a:cs typeface="Arial" panose="020B0604020202020204" pitchFamily="34" charset="0"/>
            </a:rPr>
            <a:t>Volume of marking</a:t>
          </a:r>
        </a:p>
      </dgm:t>
    </dgm:pt>
    <dgm:pt modelId="{84421ED7-9BE3-4816-967A-07D100B97C8B}" type="parTrans" cxnId="{919EB540-68B4-4131-9FC4-43A95D94E01F}">
      <dgm:prSet/>
      <dgm:spPr/>
      <dgm:t>
        <a:bodyPr/>
        <a:lstStyle/>
        <a:p>
          <a:endParaRPr lang="en-GB"/>
        </a:p>
      </dgm:t>
    </dgm:pt>
    <dgm:pt modelId="{214CE457-7AE7-4283-AE7E-1CA27CA3010B}" type="sibTrans" cxnId="{919EB540-68B4-4131-9FC4-43A95D94E01F}">
      <dgm:prSet/>
      <dgm:spPr/>
      <dgm:t>
        <a:bodyPr/>
        <a:lstStyle/>
        <a:p>
          <a:endParaRPr lang="en-GB"/>
        </a:p>
      </dgm:t>
    </dgm:pt>
    <dgm:pt modelId="{503FAB63-5644-4ED6-9DDD-E3AE88E123A8}">
      <dgm:prSet phldrT="[Text]" custT="1"/>
      <dgm:spPr/>
      <dgm:t>
        <a:bodyPr/>
        <a:lstStyle/>
        <a:p>
          <a:pPr algn="l"/>
          <a:r>
            <a:rPr lang="en-GB" sz="1000">
              <a:latin typeface="Arial" panose="020B0604020202020204" pitchFamily="34" charset="0"/>
              <a:cs typeface="Arial" panose="020B0604020202020204" pitchFamily="34" charset="0"/>
            </a:rPr>
            <a:t>Failing work</a:t>
          </a:r>
        </a:p>
      </dgm:t>
    </dgm:pt>
    <dgm:pt modelId="{B7363948-AB4B-4454-A89C-D9C976B3603E}" type="parTrans" cxnId="{55072179-6BCA-4BEF-8229-518CAADC8231}">
      <dgm:prSet/>
      <dgm:spPr/>
      <dgm:t>
        <a:bodyPr/>
        <a:lstStyle/>
        <a:p>
          <a:endParaRPr lang="en-GB"/>
        </a:p>
      </dgm:t>
    </dgm:pt>
    <dgm:pt modelId="{FE0374C1-3978-49FD-8874-BFB82538D17F}" type="sibTrans" cxnId="{55072179-6BCA-4BEF-8229-518CAADC8231}">
      <dgm:prSet/>
      <dgm:spPr/>
      <dgm:t>
        <a:bodyPr/>
        <a:lstStyle/>
        <a:p>
          <a:endParaRPr lang="en-GB"/>
        </a:p>
      </dgm:t>
    </dgm:pt>
    <dgm:pt modelId="{6FC45AD2-BAEC-4633-902E-7577C0D1A83B}" type="pres">
      <dgm:prSet presAssocID="{E07C2455-4F69-476E-832D-37DB9BB08623}" presName="Name0" presStyleCnt="0">
        <dgm:presLayoutVars>
          <dgm:dir/>
          <dgm:animLvl val="lvl"/>
          <dgm:resizeHandles val="exact"/>
        </dgm:presLayoutVars>
      </dgm:prSet>
      <dgm:spPr/>
      <dgm:t>
        <a:bodyPr/>
        <a:lstStyle/>
        <a:p>
          <a:endParaRPr lang="en-GB"/>
        </a:p>
      </dgm:t>
    </dgm:pt>
    <dgm:pt modelId="{128CCBEF-3DB0-4FBF-9A33-46D55BD6E82C}" type="pres">
      <dgm:prSet presAssocID="{F4CF093B-2FD1-4D8A-A5E4-0A7CBD4D3885}" presName="linNode" presStyleCnt="0"/>
      <dgm:spPr/>
    </dgm:pt>
    <dgm:pt modelId="{FC611401-59F4-4F3D-929A-818B62CD6F2B}" type="pres">
      <dgm:prSet presAssocID="{F4CF093B-2FD1-4D8A-A5E4-0A7CBD4D3885}" presName="parentText" presStyleLbl="node1" presStyleIdx="0" presStyleCnt="4">
        <dgm:presLayoutVars>
          <dgm:chMax val="1"/>
          <dgm:bulletEnabled val="1"/>
        </dgm:presLayoutVars>
      </dgm:prSet>
      <dgm:spPr/>
      <dgm:t>
        <a:bodyPr/>
        <a:lstStyle/>
        <a:p>
          <a:endParaRPr lang="en-GB"/>
        </a:p>
      </dgm:t>
    </dgm:pt>
    <dgm:pt modelId="{5DE47BDD-CB32-4187-9FB1-09ABA86A85AE}" type="pres">
      <dgm:prSet presAssocID="{F4CF093B-2FD1-4D8A-A5E4-0A7CBD4D3885}" presName="descendantText" presStyleLbl="alignAccFollowNode1" presStyleIdx="0" presStyleCnt="4">
        <dgm:presLayoutVars>
          <dgm:bulletEnabled val="1"/>
        </dgm:presLayoutVars>
      </dgm:prSet>
      <dgm:spPr/>
      <dgm:t>
        <a:bodyPr/>
        <a:lstStyle/>
        <a:p>
          <a:endParaRPr lang="en-GB"/>
        </a:p>
      </dgm:t>
    </dgm:pt>
    <dgm:pt modelId="{FE95532C-8C8D-4CA3-8E2C-7F0992B11762}" type="pres">
      <dgm:prSet presAssocID="{E22B9267-C4D7-44AA-93AF-771F8386CD71}" presName="sp" presStyleCnt="0"/>
      <dgm:spPr/>
    </dgm:pt>
    <dgm:pt modelId="{DDC93E70-4A51-4FEA-BB71-FB4A308D06A6}" type="pres">
      <dgm:prSet presAssocID="{C3B85E9F-E19C-4333-9B54-44701D39FDE7}" presName="linNode" presStyleCnt="0"/>
      <dgm:spPr/>
    </dgm:pt>
    <dgm:pt modelId="{F89D2E39-882E-4334-869B-40C66C44467F}" type="pres">
      <dgm:prSet presAssocID="{C3B85E9F-E19C-4333-9B54-44701D39FDE7}" presName="parentText" presStyleLbl="node1" presStyleIdx="1" presStyleCnt="4">
        <dgm:presLayoutVars>
          <dgm:chMax val="1"/>
          <dgm:bulletEnabled val="1"/>
        </dgm:presLayoutVars>
      </dgm:prSet>
      <dgm:spPr/>
      <dgm:t>
        <a:bodyPr/>
        <a:lstStyle/>
        <a:p>
          <a:endParaRPr lang="en-GB"/>
        </a:p>
      </dgm:t>
    </dgm:pt>
    <dgm:pt modelId="{C0EC9DE5-DA95-4D78-82F5-F739F769C516}" type="pres">
      <dgm:prSet presAssocID="{C3B85E9F-E19C-4333-9B54-44701D39FDE7}" presName="descendantText" presStyleLbl="alignAccFollowNode1" presStyleIdx="1" presStyleCnt="4">
        <dgm:presLayoutVars>
          <dgm:bulletEnabled val="1"/>
        </dgm:presLayoutVars>
      </dgm:prSet>
      <dgm:spPr/>
      <dgm:t>
        <a:bodyPr/>
        <a:lstStyle/>
        <a:p>
          <a:endParaRPr lang="en-GB"/>
        </a:p>
      </dgm:t>
    </dgm:pt>
    <dgm:pt modelId="{53C00BB2-9570-45B2-B81A-886F6E7A9224}" type="pres">
      <dgm:prSet presAssocID="{3557E797-2865-47D4-97BA-A2021A0865AD}" presName="sp" presStyleCnt="0"/>
      <dgm:spPr/>
    </dgm:pt>
    <dgm:pt modelId="{965BD572-B0EE-4475-A887-E72AA31AEDAD}" type="pres">
      <dgm:prSet presAssocID="{50C4DB90-EC4D-49FB-BD5E-7DCFDE0731D2}" presName="linNode" presStyleCnt="0"/>
      <dgm:spPr/>
    </dgm:pt>
    <dgm:pt modelId="{410F4DF3-474E-412F-992B-455B3FE2FB71}" type="pres">
      <dgm:prSet presAssocID="{50C4DB90-EC4D-49FB-BD5E-7DCFDE0731D2}" presName="parentText" presStyleLbl="node1" presStyleIdx="2" presStyleCnt="4">
        <dgm:presLayoutVars>
          <dgm:chMax val="1"/>
          <dgm:bulletEnabled val="1"/>
        </dgm:presLayoutVars>
      </dgm:prSet>
      <dgm:spPr/>
      <dgm:t>
        <a:bodyPr/>
        <a:lstStyle/>
        <a:p>
          <a:endParaRPr lang="en-GB"/>
        </a:p>
      </dgm:t>
    </dgm:pt>
    <dgm:pt modelId="{48BB620D-8E81-4BE3-BEDD-412C71E37C4C}" type="pres">
      <dgm:prSet presAssocID="{50C4DB90-EC4D-49FB-BD5E-7DCFDE0731D2}" presName="descendantText" presStyleLbl="alignAccFollowNode1" presStyleIdx="2" presStyleCnt="4">
        <dgm:presLayoutVars>
          <dgm:bulletEnabled val="1"/>
        </dgm:presLayoutVars>
      </dgm:prSet>
      <dgm:spPr/>
      <dgm:t>
        <a:bodyPr/>
        <a:lstStyle/>
        <a:p>
          <a:endParaRPr lang="en-GB"/>
        </a:p>
      </dgm:t>
    </dgm:pt>
    <dgm:pt modelId="{21F5220A-9699-4749-8B3B-90132E375004}" type="pres">
      <dgm:prSet presAssocID="{A822C21F-DD0F-4C9D-BE02-0B5F43E174D1}" presName="sp" presStyleCnt="0"/>
      <dgm:spPr/>
    </dgm:pt>
    <dgm:pt modelId="{5A713EAD-DF36-4F15-83B5-75F6EA34F4B2}" type="pres">
      <dgm:prSet presAssocID="{9A5BB96C-93B6-4156-AECA-ADE58A2C6DB6}" presName="linNode" presStyleCnt="0"/>
      <dgm:spPr/>
    </dgm:pt>
    <dgm:pt modelId="{2570D78C-4870-407C-94EC-3C683ADF97F0}" type="pres">
      <dgm:prSet presAssocID="{9A5BB96C-93B6-4156-AECA-ADE58A2C6DB6}" presName="parentText" presStyleLbl="node1" presStyleIdx="3" presStyleCnt="4">
        <dgm:presLayoutVars>
          <dgm:chMax val="1"/>
          <dgm:bulletEnabled val="1"/>
        </dgm:presLayoutVars>
      </dgm:prSet>
      <dgm:spPr/>
      <dgm:t>
        <a:bodyPr/>
        <a:lstStyle/>
        <a:p>
          <a:endParaRPr lang="en-GB"/>
        </a:p>
      </dgm:t>
    </dgm:pt>
    <dgm:pt modelId="{3376E114-8DA8-4DFF-9BE0-D3540519099E}" type="pres">
      <dgm:prSet presAssocID="{9A5BB96C-93B6-4156-AECA-ADE58A2C6DB6}" presName="descendantText" presStyleLbl="alignAccFollowNode1" presStyleIdx="3" presStyleCnt="4">
        <dgm:presLayoutVars>
          <dgm:bulletEnabled val="1"/>
        </dgm:presLayoutVars>
      </dgm:prSet>
      <dgm:spPr/>
      <dgm:t>
        <a:bodyPr/>
        <a:lstStyle/>
        <a:p>
          <a:endParaRPr lang="en-GB"/>
        </a:p>
      </dgm:t>
    </dgm:pt>
  </dgm:ptLst>
  <dgm:cxnLst>
    <dgm:cxn modelId="{8A89B5CE-69FF-40DA-924B-4E86670D0D5F}" type="presOf" srcId="{C17DC1EB-E87D-4095-9730-F8DEF003A505}" destId="{C0EC9DE5-DA95-4D78-82F5-F739F769C516}" srcOrd="0" destOrd="0" presId="urn:microsoft.com/office/officeart/2005/8/layout/vList5"/>
    <dgm:cxn modelId="{30DA3C5C-4E50-4399-AC71-E6CDF37BFC64}" srcId="{F4CF093B-2FD1-4D8A-A5E4-0A7CBD4D3885}" destId="{EE5E41F4-9B03-4B53-B014-67D2286A7CC1}" srcOrd="2" destOrd="0" parTransId="{3E118B65-C0F8-458F-A5CF-107F80D4912F}" sibTransId="{E17B4A84-A325-41AD-AF6B-0F8FF0A08E03}"/>
    <dgm:cxn modelId="{1A2A731E-A4B6-4780-88CA-B6DF6599DE11}" type="presOf" srcId="{5F2201DF-0551-45E6-B4FE-5F44D03CD865}" destId="{3376E114-8DA8-4DFF-9BE0-D3540519099E}" srcOrd="0" destOrd="2" presId="urn:microsoft.com/office/officeart/2005/8/layout/vList5"/>
    <dgm:cxn modelId="{F022AB04-2446-496A-868B-16996C68F27F}" srcId="{E07C2455-4F69-476E-832D-37DB9BB08623}" destId="{50C4DB90-EC4D-49FB-BD5E-7DCFDE0731D2}" srcOrd="2" destOrd="0" parTransId="{23616E73-93FB-4030-9CE1-4C190160D6DA}" sibTransId="{A822C21F-DD0F-4C9D-BE02-0B5F43E174D1}"/>
    <dgm:cxn modelId="{BD60DCF7-2D43-4D7B-8088-97840A027478}" type="presOf" srcId="{E07C2455-4F69-476E-832D-37DB9BB08623}" destId="{6FC45AD2-BAEC-4633-902E-7577C0D1A83B}" srcOrd="0" destOrd="0" presId="urn:microsoft.com/office/officeart/2005/8/layout/vList5"/>
    <dgm:cxn modelId="{C8B2F7C1-2D98-4363-8D0D-3D6F1BBA0510}" type="presOf" srcId="{BC3D2F57-A927-474D-82E9-1399F9C77C2D}" destId="{48BB620D-8E81-4BE3-BEDD-412C71E37C4C}" srcOrd="0" destOrd="2" presId="urn:microsoft.com/office/officeart/2005/8/layout/vList5"/>
    <dgm:cxn modelId="{D94DCAEF-2A00-46D4-AF15-D4C53A8ADBB1}" srcId="{50C4DB90-EC4D-49FB-BD5E-7DCFDE0731D2}" destId="{59FFD545-BFD7-46D5-BEC5-3493003FAF0D}" srcOrd="1" destOrd="0" parTransId="{94347D2C-A50E-4C77-86C0-372787047D4A}" sibTransId="{966DBCA5-E172-46DD-A2AE-34571056A24C}"/>
    <dgm:cxn modelId="{C0677939-F75D-4969-B54D-DB2D77287534}" srcId="{50C4DB90-EC4D-49FB-BD5E-7DCFDE0731D2}" destId="{BC3D2F57-A927-474D-82E9-1399F9C77C2D}" srcOrd="2" destOrd="0" parTransId="{D3ABCDBB-A511-453A-9B6F-866268372B49}" sibTransId="{DCE1ED67-0795-44C5-AFD8-A67ED49F69B8}"/>
    <dgm:cxn modelId="{F9E47255-8F63-4BE5-96A9-B902349ECEAF}" srcId="{E07C2455-4F69-476E-832D-37DB9BB08623}" destId="{F4CF093B-2FD1-4D8A-A5E4-0A7CBD4D3885}" srcOrd="0" destOrd="0" parTransId="{D4C94D84-AE70-412C-A91D-47429A3054C8}" sibTransId="{E22B9267-C4D7-44AA-93AF-771F8386CD71}"/>
    <dgm:cxn modelId="{2B5EB8C6-5D87-41CE-92A0-2A48F311532A}" type="presOf" srcId="{B443F82D-EFE3-4C1A-990A-06C5E3268326}" destId="{3376E114-8DA8-4DFF-9BE0-D3540519099E}" srcOrd="0" destOrd="1" presId="urn:microsoft.com/office/officeart/2005/8/layout/vList5"/>
    <dgm:cxn modelId="{5D1EDBB2-F45E-4EEF-BA09-7D7310A8B76C}" type="presOf" srcId="{9A5BB96C-93B6-4156-AECA-ADE58A2C6DB6}" destId="{2570D78C-4870-407C-94EC-3C683ADF97F0}" srcOrd="0" destOrd="0" presId="urn:microsoft.com/office/officeart/2005/8/layout/vList5"/>
    <dgm:cxn modelId="{A20F9F51-6B5C-4DC8-9B30-937C1731380C}" srcId="{50C4DB90-EC4D-49FB-BD5E-7DCFDE0731D2}" destId="{50BE18E6-5FE6-44A5-B78B-9286FD1B7705}" srcOrd="0" destOrd="0" parTransId="{BE804D53-F7A5-4C6B-8A56-3AA82A9680CA}" sibTransId="{D819D16D-1318-4740-B866-21AEB1843EF1}"/>
    <dgm:cxn modelId="{55072179-6BCA-4BEF-8229-518CAADC8231}" srcId="{C3B85E9F-E19C-4333-9B54-44701D39FDE7}" destId="{503FAB63-5644-4ED6-9DDD-E3AE88E123A8}" srcOrd="1" destOrd="0" parTransId="{B7363948-AB4B-4454-A89C-D9C976B3603E}" sibTransId="{FE0374C1-3978-49FD-8874-BFB82538D17F}"/>
    <dgm:cxn modelId="{9DE1EA46-9E01-43DF-882D-5AA1B21160C9}" type="presOf" srcId="{50BE18E6-5FE6-44A5-B78B-9286FD1B7705}" destId="{48BB620D-8E81-4BE3-BEDD-412C71E37C4C}" srcOrd="0" destOrd="0" presId="urn:microsoft.com/office/officeart/2005/8/layout/vList5"/>
    <dgm:cxn modelId="{8971BA54-EA24-42FA-ACD2-33DB29046723}" type="presOf" srcId="{59FFD545-BFD7-46D5-BEC5-3493003FAF0D}" destId="{48BB620D-8E81-4BE3-BEDD-412C71E37C4C}" srcOrd="0" destOrd="1" presId="urn:microsoft.com/office/officeart/2005/8/layout/vList5"/>
    <dgm:cxn modelId="{88DA156C-502C-4C2B-B93A-EAAFA95B893E}" type="presOf" srcId="{EE5E41F4-9B03-4B53-B014-67D2286A7CC1}" destId="{5DE47BDD-CB32-4187-9FB1-09ABA86A85AE}" srcOrd="0" destOrd="2" presId="urn:microsoft.com/office/officeart/2005/8/layout/vList5"/>
    <dgm:cxn modelId="{6324222A-0400-47EF-8BED-9006E48D41E1}" srcId="{F4CF093B-2FD1-4D8A-A5E4-0A7CBD4D3885}" destId="{CE15285E-B033-491F-B467-8B46509976F4}" srcOrd="1" destOrd="0" parTransId="{8F59CC92-851F-40D4-BE85-BF81BFBB73B7}" sibTransId="{9A7DFDD5-D54D-4531-8726-8FCCCFDB727E}"/>
    <dgm:cxn modelId="{EEAA622D-3C10-4765-95AF-8A759A757C5C}" srcId="{E07C2455-4F69-476E-832D-37DB9BB08623}" destId="{C3B85E9F-E19C-4333-9B54-44701D39FDE7}" srcOrd="1" destOrd="0" parTransId="{8220308D-84D5-4FAD-BDCF-6F3F9974B427}" sibTransId="{3557E797-2865-47D4-97BA-A2021A0865AD}"/>
    <dgm:cxn modelId="{3FB1DE9C-55D7-4559-85DD-EA7C3760F19B}" srcId="{C3B85E9F-E19C-4333-9B54-44701D39FDE7}" destId="{9DC81C84-5BDD-437A-8863-924135C3F9C8}" srcOrd="2" destOrd="0" parTransId="{D8C04E38-D15C-4ACF-91BC-51AC4F57781F}" sibTransId="{3C19F45D-9A4F-486A-822B-D325F64ACB8B}"/>
    <dgm:cxn modelId="{0049379D-F27F-4199-9300-D428B5F2CDAA}" srcId="{F4CF093B-2FD1-4D8A-A5E4-0A7CBD4D3885}" destId="{B3877D86-1B60-421D-BB80-8F66150751CB}" srcOrd="0" destOrd="0" parTransId="{ED017F95-0B52-4BD0-B71E-C8B4BA5AFE7E}" sibTransId="{77594FFC-3F7E-4668-9D2F-3D0C087049EC}"/>
    <dgm:cxn modelId="{8AC32014-F02E-4241-BE98-78613A0B20CC}" type="presOf" srcId="{9DC81C84-5BDD-437A-8863-924135C3F9C8}" destId="{C0EC9DE5-DA95-4D78-82F5-F739F769C516}" srcOrd="0" destOrd="2" presId="urn:microsoft.com/office/officeart/2005/8/layout/vList5"/>
    <dgm:cxn modelId="{919EB540-68B4-4131-9FC4-43A95D94E01F}" srcId="{9A5BB96C-93B6-4156-AECA-ADE58A2C6DB6}" destId="{5F2201DF-0551-45E6-B4FE-5F44D03CD865}" srcOrd="2" destOrd="0" parTransId="{84421ED7-9BE3-4816-967A-07D100B97C8B}" sibTransId="{214CE457-7AE7-4283-AE7E-1CA27CA3010B}"/>
    <dgm:cxn modelId="{688D3A72-3BE4-4083-B43B-CF250CE2F55C}" type="presOf" srcId="{5773857B-ED9F-48DD-8228-D7496C3820BA}" destId="{3376E114-8DA8-4DFF-9BE0-D3540519099E}" srcOrd="0" destOrd="0" presId="urn:microsoft.com/office/officeart/2005/8/layout/vList5"/>
    <dgm:cxn modelId="{002DB0E4-D87C-40B6-83F5-D6EB0DDBE7EB}" type="presOf" srcId="{CE15285E-B033-491F-B467-8B46509976F4}" destId="{5DE47BDD-CB32-4187-9FB1-09ABA86A85AE}" srcOrd="0" destOrd="1" presId="urn:microsoft.com/office/officeart/2005/8/layout/vList5"/>
    <dgm:cxn modelId="{4E07618D-6EA3-4940-9748-BD7BA43CD375}" type="presOf" srcId="{C3B85E9F-E19C-4333-9B54-44701D39FDE7}" destId="{F89D2E39-882E-4334-869B-40C66C44467F}" srcOrd="0" destOrd="0" presId="urn:microsoft.com/office/officeart/2005/8/layout/vList5"/>
    <dgm:cxn modelId="{00B0E224-DC2A-451F-8694-72EBDCC1B5C3}" type="presOf" srcId="{503FAB63-5644-4ED6-9DDD-E3AE88E123A8}" destId="{C0EC9DE5-DA95-4D78-82F5-F739F769C516}" srcOrd="0" destOrd="1" presId="urn:microsoft.com/office/officeart/2005/8/layout/vList5"/>
    <dgm:cxn modelId="{66E0797C-0F33-4195-A4BF-F75727B94A2F}" type="presOf" srcId="{B3877D86-1B60-421D-BB80-8F66150751CB}" destId="{5DE47BDD-CB32-4187-9FB1-09ABA86A85AE}" srcOrd="0" destOrd="0" presId="urn:microsoft.com/office/officeart/2005/8/layout/vList5"/>
    <dgm:cxn modelId="{13057295-E71F-40F3-A392-0A7BC923C474}" type="presOf" srcId="{F4CF093B-2FD1-4D8A-A5E4-0A7CBD4D3885}" destId="{FC611401-59F4-4F3D-929A-818B62CD6F2B}" srcOrd="0" destOrd="0" presId="urn:microsoft.com/office/officeart/2005/8/layout/vList5"/>
    <dgm:cxn modelId="{20B50622-DE70-4498-A168-9C35975AA0ED}" srcId="{9A5BB96C-93B6-4156-AECA-ADE58A2C6DB6}" destId="{B443F82D-EFE3-4C1A-990A-06C5E3268326}" srcOrd="1" destOrd="0" parTransId="{703B2B8E-E3DF-47EC-AFAF-B2E5B2C9635F}" sibTransId="{634C3681-1264-4BA2-BBF3-C71BD3727EA2}"/>
    <dgm:cxn modelId="{48E7B6DC-0BEB-4C77-BE0A-AFE791C00FDA}" type="presOf" srcId="{50C4DB90-EC4D-49FB-BD5E-7DCFDE0731D2}" destId="{410F4DF3-474E-412F-992B-455B3FE2FB71}" srcOrd="0" destOrd="0" presId="urn:microsoft.com/office/officeart/2005/8/layout/vList5"/>
    <dgm:cxn modelId="{C2BD1154-F3C5-4578-B224-73A79593FC54}" srcId="{C3B85E9F-E19C-4333-9B54-44701D39FDE7}" destId="{C17DC1EB-E87D-4095-9730-F8DEF003A505}" srcOrd="0" destOrd="0" parTransId="{0057EB90-012B-45E0-A36E-E1659AD7B59B}" sibTransId="{F3BB1B28-B07D-41B6-AFD1-C24DF53987E5}"/>
    <dgm:cxn modelId="{6A1CEC58-CD2F-403A-9D13-2B35EEF43439}" srcId="{E07C2455-4F69-476E-832D-37DB9BB08623}" destId="{9A5BB96C-93B6-4156-AECA-ADE58A2C6DB6}" srcOrd="3" destOrd="0" parTransId="{CEFB1968-1D0A-40E7-979B-E5377B38691C}" sibTransId="{F8459EE9-3D9D-4235-8E18-A512DF0099AC}"/>
    <dgm:cxn modelId="{90D62615-29A9-4D26-A674-9F3DFFA7D286}" srcId="{9A5BB96C-93B6-4156-AECA-ADE58A2C6DB6}" destId="{5773857B-ED9F-48DD-8228-D7496C3820BA}" srcOrd="0" destOrd="0" parTransId="{06731424-12CD-4DFC-AFBB-51728C8C35D0}" sibTransId="{609A098B-3FD4-4337-8E38-48F9950F4B59}"/>
    <dgm:cxn modelId="{D55CA0BB-95FB-4D24-88EA-68049F513C74}" type="presParOf" srcId="{6FC45AD2-BAEC-4633-902E-7577C0D1A83B}" destId="{128CCBEF-3DB0-4FBF-9A33-46D55BD6E82C}" srcOrd="0" destOrd="0" presId="urn:microsoft.com/office/officeart/2005/8/layout/vList5"/>
    <dgm:cxn modelId="{752C4281-B63E-46C2-A71B-9C15FCA6C813}" type="presParOf" srcId="{128CCBEF-3DB0-4FBF-9A33-46D55BD6E82C}" destId="{FC611401-59F4-4F3D-929A-818B62CD6F2B}" srcOrd="0" destOrd="0" presId="urn:microsoft.com/office/officeart/2005/8/layout/vList5"/>
    <dgm:cxn modelId="{DB503C60-68E5-44E2-8BED-2244D064E186}" type="presParOf" srcId="{128CCBEF-3DB0-4FBF-9A33-46D55BD6E82C}" destId="{5DE47BDD-CB32-4187-9FB1-09ABA86A85AE}" srcOrd="1" destOrd="0" presId="urn:microsoft.com/office/officeart/2005/8/layout/vList5"/>
    <dgm:cxn modelId="{E8DF3D8D-12FD-4774-8C00-1DC93FE8B062}" type="presParOf" srcId="{6FC45AD2-BAEC-4633-902E-7577C0D1A83B}" destId="{FE95532C-8C8D-4CA3-8E2C-7F0992B11762}" srcOrd="1" destOrd="0" presId="urn:microsoft.com/office/officeart/2005/8/layout/vList5"/>
    <dgm:cxn modelId="{46421BDE-70F0-411E-B9BA-94270933C8D2}" type="presParOf" srcId="{6FC45AD2-BAEC-4633-902E-7577C0D1A83B}" destId="{DDC93E70-4A51-4FEA-BB71-FB4A308D06A6}" srcOrd="2" destOrd="0" presId="urn:microsoft.com/office/officeart/2005/8/layout/vList5"/>
    <dgm:cxn modelId="{8B79DAA9-4D9F-40BF-B6EF-F25B3E35DFAD}" type="presParOf" srcId="{DDC93E70-4A51-4FEA-BB71-FB4A308D06A6}" destId="{F89D2E39-882E-4334-869B-40C66C44467F}" srcOrd="0" destOrd="0" presId="urn:microsoft.com/office/officeart/2005/8/layout/vList5"/>
    <dgm:cxn modelId="{125E22B5-5399-42AE-830A-E019B997F58C}" type="presParOf" srcId="{DDC93E70-4A51-4FEA-BB71-FB4A308D06A6}" destId="{C0EC9DE5-DA95-4D78-82F5-F739F769C516}" srcOrd="1" destOrd="0" presId="urn:microsoft.com/office/officeart/2005/8/layout/vList5"/>
    <dgm:cxn modelId="{7EFE5886-A717-4DA7-BC2B-E1593FC0CC8C}" type="presParOf" srcId="{6FC45AD2-BAEC-4633-902E-7577C0D1A83B}" destId="{53C00BB2-9570-45B2-B81A-886F6E7A9224}" srcOrd="3" destOrd="0" presId="urn:microsoft.com/office/officeart/2005/8/layout/vList5"/>
    <dgm:cxn modelId="{FBC69B5B-B61C-4E69-B20E-7D68BF48A197}" type="presParOf" srcId="{6FC45AD2-BAEC-4633-902E-7577C0D1A83B}" destId="{965BD572-B0EE-4475-A887-E72AA31AEDAD}" srcOrd="4" destOrd="0" presId="urn:microsoft.com/office/officeart/2005/8/layout/vList5"/>
    <dgm:cxn modelId="{839C337B-BB49-4B31-A98F-023FBBBED39B}" type="presParOf" srcId="{965BD572-B0EE-4475-A887-E72AA31AEDAD}" destId="{410F4DF3-474E-412F-992B-455B3FE2FB71}" srcOrd="0" destOrd="0" presId="urn:microsoft.com/office/officeart/2005/8/layout/vList5"/>
    <dgm:cxn modelId="{EEB0C8FA-9BF0-4102-9FDA-0E075BDF0C24}" type="presParOf" srcId="{965BD572-B0EE-4475-A887-E72AA31AEDAD}" destId="{48BB620D-8E81-4BE3-BEDD-412C71E37C4C}" srcOrd="1" destOrd="0" presId="urn:microsoft.com/office/officeart/2005/8/layout/vList5"/>
    <dgm:cxn modelId="{706C8FFA-256B-4408-98CA-1B6644CF88A9}" type="presParOf" srcId="{6FC45AD2-BAEC-4633-902E-7577C0D1A83B}" destId="{21F5220A-9699-4749-8B3B-90132E375004}" srcOrd="5" destOrd="0" presId="urn:microsoft.com/office/officeart/2005/8/layout/vList5"/>
    <dgm:cxn modelId="{26556FF7-172C-4540-A3F4-CA8036D79391}" type="presParOf" srcId="{6FC45AD2-BAEC-4633-902E-7577C0D1A83B}" destId="{5A713EAD-DF36-4F15-83B5-75F6EA34F4B2}" srcOrd="6" destOrd="0" presId="urn:microsoft.com/office/officeart/2005/8/layout/vList5"/>
    <dgm:cxn modelId="{2785A851-C014-4A00-AE60-E34009127EBD}" type="presParOf" srcId="{5A713EAD-DF36-4F15-83B5-75F6EA34F4B2}" destId="{2570D78C-4870-407C-94EC-3C683ADF97F0}" srcOrd="0" destOrd="0" presId="urn:microsoft.com/office/officeart/2005/8/layout/vList5"/>
    <dgm:cxn modelId="{23565B38-D3E1-4273-B28E-9402CD012A77}" type="presParOf" srcId="{5A713EAD-DF36-4F15-83B5-75F6EA34F4B2}" destId="{3376E114-8DA8-4DFF-9BE0-D3540519099E}"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E47BDD-CB32-4187-9FB1-09ABA86A85AE}">
      <dsp:nvSpPr>
        <dsp:cNvPr id="0" name=""/>
        <dsp:cNvSpPr/>
      </dsp:nvSpPr>
      <dsp:spPr>
        <a:xfrm rot="5400000">
          <a:off x="2333400" y="-903676"/>
          <a:ext cx="495518" cy="2429326"/>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Marks and Grades</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Marking with others</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Anonymous Marking</a:t>
          </a:r>
        </a:p>
      </dsp:txBody>
      <dsp:txXfrm rot="-5400000">
        <a:off x="1366497" y="87416"/>
        <a:ext cx="2405137" cy="447140"/>
      </dsp:txXfrm>
    </dsp:sp>
    <dsp:sp modelId="{FC611401-59F4-4F3D-929A-818B62CD6F2B}">
      <dsp:nvSpPr>
        <dsp:cNvPr id="0" name=""/>
        <dsp:cNvSpPr/>
      </dsp:nvSpPr>
      <dsp:spPr>
        <a:xfrm>
          <a:off x="0" y="1287"/>
          <a:ext cx="1366496" cy="61939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en-GB" sz="1000" b="1" kern="1200">
              <a:latin typeface="Arial" panose="020B0604020202020204" pitchFamily="34" charset="0"/>
              <a:cs typeface="Arial" panose="020B0604020202020204" pitchFamily="34" charset="0"/>
            </a:rPr>
            <a:t>Judgements</a:t>
          </a:r>
          <a:endParaRPr lang="en-GB" sz="1000" kern="1200">
            <a:latin typeface="Arial" panose="020B0604020202020204" pitchFamily="34" charset="0"/>
            <a:cs typeface="Arial" panose="020B0604020202020204" pitchFamily="34" charset="0"/>
          </a:endParaRPr>
        </a:p>
      </dsp:txBody>
      <dsp:txXfrm>
        <a:off x="30237" y="31524"/>
        <a:ext cx="1306022" cy="558924"/>
      </dsp:txXfrm>
    </dsp:sp>
    <dsp:sp modelId="{C0EC9DE5-DA95-4D78-82F5-F739F769C516}">
      <dsp:nvSpPr>
        <dsp:cNvPr id="0" name=""/>
        <dsp:cNvSpPr/>
      </dsp:nvSpPr>
      <dsp:spPr>
        <a:xfrm rot="5400000">
          <a:off x="2333400" y="-253308"/>
          <a:ext cx="495518" cy="2429326"/>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Consequences</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Failing work</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Concern for the student</a:t>
          </a:r>
        </a:p>
      </dsp:txBody>
      <dsp:txXfrm rot="-5400000">
        <a:off x="1366497" y="737784"/>
        <a:ext cx="2405137" cy="447140"/>
      </dsp:txXfrm>
    </dsp:sp>
    <dsp:sp modelId="{F89D2E39-882E-4334-869B-40C66C44467F}">
      <dsp:nvSpPr>
        <dsp:cNvPr id="0" name=""/>
        <dsp:cNvSpPr/>
      </dsp:nvSpPr>
      <dsp:spPr>
        <a:xfrm>
          <a:off x="0" y="651656"/>
          <a:ext cx="1366496" cy="61939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en-GB" sz="1000" b="1" kern="1200">
              <a:latin typeface="Arial" panose="020B0604020202020204" pitchFamily="34" charset="0"/>
              <a:cs typeface="Arial" panose="020B0604020202020204" pitchFamily="34" charset="0"/>
            </a:rPr>
            <a:t>Accountability and Responsibility</a:t>
          </a:r>
          <a:endParaRPr lang="en-GB" sz="1000" kern="1200">
            <a:latin typeface="Arial" panose="020B0604020202020204" pitchFamily="34" charset="0"/>
            <a:cs typeface="Arial" panose="020B0604020202020204" pitchFamily="34" charset="0"/>
          </a:endParaRPr>
        </a:p>
      </dsp:txBody>
      <dsp:txXfrm>
        <a:off x="30237" y="681893"/>
        <a:ext cx="1306022" cy="558924"/>
      </dsp:txXfrm>
    </dsp:sp>
    <dsp:sp modelId="{48BB620D-8E81-4BE3-BEDD-412C71E37C4C}">
      <dsp:nvSpPr>
        <dsp:cNvPr id="0" name=""/>
        <dsp:cNvSpPr/>
      </dsp:nvSpPr>
      <dsp:spPr>
        <a:xfrm rot="5400000">
          <a:off x="2333400" y="397060"/>
          <a:ext cx="495518" cy="2429326"/>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Support</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Role/Identity</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Fear of being found out</a:t>
          </a:r>
        </a:p>
      </dsp:txBody>
      <dsp:txXfrm rot="-5400000">
        <a:off x="1366497" y="1388153"/>
        <a:ext cx="2405137" cy="447140"/>
      </dsp:txXfrm>
    </dsp:sp>
    <dsp:sp modelId="{410F4DF3-474E-412F-992B-455B3FE2FB71}">
      <dsp:nvSpPr>
        <dsp:cNvPr id="0" name=""/>
        <dsp:cNvSpPr/>
      </dsp:nvSpPr>
      <dsp:spPr>
        <a:xfrm>
          <a:off x="0" y="1302024"/>
          <a:ext cx="1366496" cy="61939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en-GB" sz="1000" b="1" kern="1200">
              <a:latin typeface="Arial" panose="020B0604020202020204" pitchFamily="34" charset="0"/>
              <a:cs typeface="Arial" panose="020B0604020202020204" pitchFamily="34" charset="0"/>
            </a:rPr>
            <a:t>Confidence</a:t>
          </a:r>
          <a:endParaRPr lang="en-GB" sz="1000" kern="1200">
            <a:latin typeface="Arial" panose="020B0604020202020204" pitchFamily="34" charset="0"/>
            <a:cs typeface="Arial" panose="020B0604020202020204" pitchFamily="34" charset="0"/>
          </a:endParaRPr>
        </a:p>
      </dsp:txBody>
      <dsp:txXfrm>
        <a:off x="30237" y="1332261"/>
        <a:ext cx="1306022" cy="558924"/>
      </dsp:txXfrm>
    </dsp:sp>
    <dsp:sp modelId="{3376E114-8DA8-4DFF-9BE0-D3540519099E}">
      <dsp:nvSpPr>
        <dsp:cNvPr id="0" name=""/>
        <dsp:cNvSpPr/>
      </dsp:nvSpPr>
      <dsp:spPr>
        <a:xfrm rot="5400000">
          <a:off x="2333400" y="1047428"/>
          <a:ext cx="495518" cy="2429326"/>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 Time and a Place to Mark</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Online marking</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Volume of marking</a:t>
          </a:r>
        </a:p>
      </dsp:txBody>
      <dsp:txXfrm rot="-5400000">
        <a:off x="1366497" y="2038521"/>
        <a:ext cx="2405137" cy="447140"/>
      </dsp:txXfrm>
    </dsp:sp>
    <dsp:sp modelId="{2570D78C-4870-407C-94EC-3C683ADF97F0}">
      <dsp:nvSpPr>
        <dsp:cNvPr id="0" name=""/>
        <dsp:cNvSpPr/>
      </dsp:nvSpPr>
      <dsp:spPr>
        <a:xfrm>
          <a:off x="0" y="1952392"/>
          <a:ext cx="1366496" cy="619398"/>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l" defTabSz="444500">
            <a:lnSpc>
              <a:spcPct val="90000"/>
            </a:lnSpc>
            <a:spcBef>
              <a:spcPct val="0"/>
            </a:spcBef>
            <a:spcAft>
              <a:spcPct val="35000"/>
            </a:spcAft>
          </a:pPr>
          <a:r>
            <a:rPr lang="en-GB" sz="1000" b="1" kern="1200">
              <a:latin typeface="Arial" panose="020B0604020202020204" pitchFamily="34" charset="0"/>
              <a:cs typeface="Arial" panose="020B0604020202020204" pitchFamily="34" charset="0"/>
            </a:rPr>
            <a:t>Processes</a:t>
          </a:r>
        </a:p>
      </dsp:txBody>
      <dsp:txXfrm>
        <a:off x="30237" y="1982629"/>
        <a:ext cx="1306022" cy="55892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5945</Words>
  <Characters>33888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Sales</dc:creator>
  <cp:lastModifiedBy>Rachel</cp:lastModifiedBy>
  <cp:revision>2</cp:revision>
  <cp:lastPrinted>2013-12-15T19:24:00Z</cp:lastPrinted>
  <dcterms:created xsi:type="dcterms:W3CDTF">2014-01-02T18:55:00Z</dcterms:created>
  <dcterms:modified xsi:type="dcterms:W3CDTF">2014-01-02T18:55:00Z</dcterms:modified>
</cp:coreProperties>
</file>