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p14">
  <w:body>
    <w:p w:rsidRPr="00B46BA7" w:rsidR="00B46BA7" w:rsidP="035DD17A" w:rsidRDefault="00A92537" w14:paraId="578CFB22" w14:textId="77777777">
      <w:pPr>
        <w:pStyle w:val="xmsonormal"/>
        <w:shd w:val="clear" w:color="auto" w:fill="FFFFFF" w:themeFill="background1"/>
        <w:spacing w:before="0" w:beforeAutospacing="off" w:after="0" w:afterAutospacing="off"/>
        <w:jc w:val="center"/>
        <w:rPr>
          <w:rFonts w:ascii="Calibri Light" w:hAnsi="Calibri Light" w:cs="Calibri Light" w:asciiTheme="majorAscii" w:hAnsiTheme="majorAscii" w:cstheme="majorAscii"/>
          <w:sz w:val="32"/>
          <w:szCs w:val="32"/>
        </w:rPr>
      </w:pPr>
      <w:r w:rsidRPr="035DD17A" w:rsidR="00A92537">
        <w:rPr>
          <w:rFonts w:ascii="Calibri Light" w:hAnsi="Calibri Light" w:cs="Calibri Light" w:asciiTheme="majorAscii" w:hAnsiTheme="majorAscii" w:cstheme="majorAscii"/>
          <w:b w:val="1"/>
          <w:bCs w:val="1"/>
          <w:sz w:val="32"/>
          <w:szCs w:val="32"/>
          <w:bdr w:val="none" w:color="auto" w:sz="0" w:space="0" w:frame="1"/>
        </w:rPr>
        <w:t>ASSESSING THE IMPACTS OF CITIZEN-LED POLICIES ON EMISSIONS, AIR QUALITY AND HEALTH</w:t>
      </w:r>
    </w:p>
    <w:p w:rsidRPr="002A63DA" w:rsidR="003E3A73" w:rsidP="00FE3A5D" w:rsidRDefault="003E3A73" w14:paraId="568B356C" w14:textId="77777777">
      <w:pPr>
        <w:jc w:val="center"/>
        <w:rPr>
          <w:lang w:val="en-GB"/>
        </w:rPr>
      </w:pPr>
    </w:p>
    <w:p w:rsidRPr="002A63DA" w:rsidR="00283A6A" w:rsidP="00FE3A5D" w:rsidRDefault="00A92537" w14:paraId="358D438E" w14:textId="77777777">
      <w:pPr>
        <w:jc w:val="center"/>
        <w:rPr>
          <w:lang w:val="pt-PT"/>
        </w:rPr>
      </w:pPr>
      <w:r w:rsidRPr="035DD17A" w:rsidR="00A92537">
        <w:rPr>
          <w:lang w:val="pt-PT"/>
        </w:rPr>
        <w:t>K. Oliveira</w:t>
      </w:r>
      <w:r w:rsidRPr="035DD17A" w:rsidR="00A92537">
        <w:rPr>
          <w:vertAlign w:val="superscript"/>
          <w:lang w:val="pt-PT"/>
        </w:rPr>
        <w:t>1</w:t>
      </w:r>
      <w:r w:rsidRPr="035DD17A" w:rsidR="00865C00">
        <w:rPr>
          <w:vertAlign w:val="superscript"/>
          <w:lang w:val="pt-PT"/>
        </w:rPr>
        <w:t>*</w:t>
      </w:r>
      <w:r w:rsidRPr="035DD17A" w:rsidR="00A92537">
        <w:rPr>
          <w:lang w:val="pt-PT"/>
        </w:rPr>
        <w:t>, V. Rodrigues</w:t>
      </w:r>
      <w:r w:rsidRPr="035DD17A" w:rsidR="003E3A73">
        <w:rPr>
          <w:vertAlign w:val="superscript"/>
          <w:lang w:val="pt-PT"/>
        </w:rPr>
        <w:t>1</w:t>
      </w:r>
      <w:r w:rsidRPr="035DD17A" w:rsidR="00A92537">
        <w:rPr>
          <w:lang w:val="pt-PT"/>
        </w:rPr>
        <w:t>, S</w:t>
      </w:r>
      <w:r w:rsidRPr="035DD17A" w:rsidR="0872818E">
        <w:rPr>
          <w:lang w:val="pt-PT"/>
        </w:rPr>
        <w:t>.</w:t>
      </w:r>
      <w:r w:rsidRPr="035DD17A" w:rsidR="0872818E">
        <w:rPr>
          <w:rFonts w:ascii="Calibri" w:hAnsi="Calibri" w:eastAsia="Calibri" w:cs="Calibri"/>
          <w:color w:val="333333"/>
          <w:lang w:val="pt-PT"/>
        </w:rPr>
        <w:t xml:space="preserve"> Slingerland</w:t>
      </w:r>
      <w:r w:rsidRPr="035DD17A" w:rsidR="004A4DE8">
        <w:rPr>
          <w:rFonts w:ascii="Calibri" w:hAnsi="Calibri" w:eastAsia="Calibri" w:cs="Calibri"/>
          <w:color w:val="333333"/>
          <w:vertAlign w:val="superscript"/>
          <w:lang w:val="pt-PT"/>
        </w:rPr>
        <w:t>2</w:t>
      </w:r>
      <w:r w:rsidRPr="035DD17A" w:rsidR="00A92537">
        <w:rPr>
          <w:lang w:val="pt-PT"/>
        </w:rPr>
        <w:t>, K. Vanherle</w:t>
      </w:r>
      <w:r w:rsidRPr="035DD17A" w:rsidR="004A4DE8">
        <w:rPr>
          <w:vertAlign w:val="superscript"/>
          <w:lang w:val="pt-PT"/>
        </w:rPr>
        <w:t>3</w:t>
      </w:r>
      <w:r w:rsidRPr="035DD17A" w:rsidR="005E2ABC">
        <w:rPr>
          <w:lang w:val="pt-PT"/>
        </w:rPr>
        <w:t>, J. Soares</w:t>
      </w:r>
      <w:r w:rsidRPr="035DD17A" w:rsidR="004A4DE8">
        <w:rPr>
          <w:vertAlign w:val="superscript"/>
          <w:lang w:val="pt-PT"/>
        </w:rPr>
        <w:t>4</w:t>
      </w:r>
      <w:r w:rsidRPr="035DD17A" w:rsidR="005E2ABC">
        <w:rPr>
          <w:lang w:val="pt-PT"/>
        </w:rPr>
        <w:t>, S. Rafael</w:t>
      </w:r>
      <w:r w:rsidRPr="035DD17A" w:rsidR="005E2ABC">
        <w:rPr>
          <w:vertAlign w:val="superscript"/>
          <w:lang w:val="pt-PT"/>
        </w:rPr>
        <w:t>1</w:t>
      </w:r>
      <w:r w:rsidRPr="035DD17A" w:rsidR="00A92537">
        <w:rPr>
          <w:lang w:val="pt-PT"/>
        </w:rPr>
        <w:t>, C. Trozzi</w:t>
      </w:r>
      <w:r w:rsidRPr="035DD17A" w:rsidR="004A4DE8">
        <w:rPr>
          <w:vertAlign w:val="superscript"/>
          <w:lang w:val="pt-PT"/>
        </w:rPr>
        <w:t>5</w:t>
      </w:r>
      <w:r w:rsidRPr="035DD17A" w:rsidR="00A92537">
        <w:rPr>
          <w:lang w:val="pt-PT"/>
        </w:rPr>
        <w:t xml:space="preserve">, </w:t>
      </w:r>
      <w:r w:rsidRPr="035DD17A" w:rsidR="00695569">
        <w:rPr>
          <w:lang w:val="pt-PT"/>
        </w:rPr>
        <w:t>E</w:t>
      </w:r>
      <w:r w:rsidRPr="035DD17A" w:rsidR="002C4767">
        <w:rPr>
          <w:lang w:val="pt-PT"/>
        </w:rPr>
        <w:t>. A.</w:t>
      </w:r>
      <w:r w:rsidRPr="035DD17A" w:rsidR="00695569">
        <w:rPr>
          <w:lang w:val="pt-PT"/>
        </w:rPr>
        <w:t xml:space="preserve"> Bouman</w:t>
      </w:r>
      <w:r w:rsidRPr="035DD17A" w:rsidR="00C51ED1">
        <w:rPr>
          <w:vertAlign w:val="superscript"/>
          <w:lang w:val="pt-PT"/>
        </w:rPr>
        <w:t>4</w:t>
      </w:r>
      <w:r w:rsidRPr="035DD17A" w:rsidR="00695569">
        <w:rPr>
          <w:lang w:val="pt-PT"/>
        </w:rPr>
        <w:t xml:space="preserve">, </w:t>
      </w:r>
      <w:r w:rsidRPr="035DD17A" w:rsidR="00A92537">
        <w:rPr>
          <w:lang w:val="pt-PT"/>
        </w:rPr>
        <w:t>J. Ferreira</w:t>
      </w:r>
      <w:r w:rsidRPr="035DD17A" w:rsidR="003E3A73">
        <w:rPr>
          <w:vertAlign w:val="superscript"/>
          <w:lang w:val="pt-PT"/>
        </w:rPr>
        <w:t>1</w:t>
      </w:r>
      <w:r w:rsidRPr="035DD17A" w:rsidR="008626BB">
        <w:rPr>
          <w:lang w:val="pt-PT"/>
        </w:rPr>
        <w:t>,</w:t>
      </w:r>
      <w:r w:rsidRPr="035DD17A" w:rsidR="00B93FFE">
        <w:rPr>
          <w:lang w:val="pt-PT"/>
        </w:rPr>
        <w:t xml:space="preserve"> A. Kewo</w:t>
      </w:r>
      <w:r w:rsidRPr="035DD17A" w:rsidR="00B93FFE">
        <w:rPr>
          <w:vertAlign w:val="superscript"/>
          <w:lang w:val="pt-PT"/>
        </w:rPr>
        <w:t>6</w:t>
      </w:r>
      <w:r w:rsidRPr="035DD17A" w:rsidR="00B93FFE">
        <w:rPr>
          <w:lang w:val="pt-PT"/>
        </w:rPr>
        <w:t>, P. S. Nielsen</w:t>
      </w:r>
      <w:r w:rsidRPr="035DD17A" w:rsidR="00B93FFE">
        <w:rPr>
          <w:vertAlign w:val="superscript"/>
          <w:lang w:val="pt-PT"/>
        </w:rPr>
        <w:t>6</w:t>
      </w:r>
      <w:r w:rsidRPr="035DD17A" w:rsidR="00B93FFE">
        <w:rPr>
          <w:lang w:val="pt-PT"/>
        </w:rPr>
        <w:t>, I. Diafas</w:t>
      </w:r>
      <w:r w:rsidRPr="035DD17A" w:rsidR="00B93FFE">
        <w:rPr>
          <w:vertAlign w:val="superscript"/>
          <w:lang w:val="pt-PT"/>
        </w:rPr>
        <w:t>7</w:t>
      </w:r>
      <w:r w:rsidRPr="035DD17A" w:rsidR="00B93FFE">
        <w:rPr>
          <w:lang w:val="pt-PT"/>
        </w:rPr>
        <w:t xml:space="preserve">, </w:t>
      </w:r>
      <w:r w:rsidRPr="035DD17A" w:rsidR="00535ED3">
        <w:rPr>
          <w:lang w:val="pt-PT"/>
        </w:rPr>
        <w:t>A. Monteiro</w:t>
      </w:r>
      <w:r w:rsidRPr="035DD17A" w:rsidR="00535ED3">
        <w:rPr>
          <w:vertAlign w:val="superscript"/>
          <w:lang w:val="pt-PT"/>
        </w:rPr>
        <w:t>1</w:t>
      </w:r>
      <w:r w:rsidRPr="035DD17A" w:rsidR="00535ED3">
        <w:rPr>
          <w:lang w:val="pt-PT"/>
        </w:rPr>
        <w:t xml:space="preserve">, </w:t>
      </w:r>
      <w:r w:rsidRPr="035DD17A" w:rsidR="00902EAA">
        <w:rPr>
          <w:lang w:val="pt-PT"/>
        </w:rPr>
        <w:t>A.I. Miranda</w:t>
      </w:r>
      <w:r w:rsidRPr="035DD17A" w:rsidR="00B50765">
        <w:rPr>
          <w:vertAlign w:val="superscript"/>
          <w:lang w:val="pt-PT"/>
        </w:rPr>
        <w:t>1</w:t>
      </w:r>
      <w:r w:rsidRPr="035DD17A" w:rsidR="00A92537">
        <w:rPr>
          <w:lang w:val="pt-PT"/>
        </w:rPr>
        <w:t xml:space="preserve">, </w:t>
      </w:r>
      <w:r w:rsidRPr="035DD17A" w:rsidR="005E2ABC">
        <w:rPr>
          <w:lang w:val="pt-PT"/>
        </w:rPr>
        <w:t xml:space="preserve">M. </w:t>
      </w:r>
      <w:r w:rsidRPr="035DD17A" w:rsidR="00A92537">
        <w:rPr>
          <w:lang w:val="pt-PT"/>
        </w:rPr>
        <w:t>Lopes</w:t>
      </w:r>
      <w:r w:rsidRPr="035DD17A" w:rsidR="003E3A73">
        <w:rPr>
          <w:vertAlign w:val="superscript"/>
          <w:lang w:val="pt-PT"/>
        </w:rPr>
        <w:t>1</w:t>
      </w:r>
      <w:r w:rsidRPr="035DD17A" w:rsidR="00A92537">
        <w:rPr>
          <w:lang w:val="pt-PT"/>
        </w:rPr>
        <w:t xml:space="preserve"> </w:t>
      </w:r>
      <w:proofErr w:type="spellStart"/>
      <w:r w:rsidRPr="035DD17A" w:rsidR="00FC138F">
        <w:rPr>
          <w:lang w:val="pt-PT"/>
        </w:rPr>
        <w:t>and</w:t>
      </w:r>
      <w:proofErr w:type="spellEnd"/>
      <w:r w:rsidRPr="035DD17A" w:rsidR="00FC138F">
        <w:rPr>
          <w:lang w:val="pt-PT"/>
        </w:rPr>
        <w:t xml:space="preserve"> E. Hayes</w:t>
      </w:r>
      <w:r w:rsidRPr="035DD17A" w:rsidR="00B93FFE">
        <w:rPr>
          <w:vertAlign w:val="superscript"/>
          <w:lang w:val="pt-PT"/>
        </w:rPr>
        <w:t>8</w:t>
      </w:r>
    </w:p>
    <w:p w:rsidRPr="002A63DA" w:rsidR="003E3A73" w:rsidP="00FE3A5D" w:rsidRDefault="00A92537" w14:paraId="076577D4" w14:textId="77777777">
      <w:pPr>
        <w:jc w:val="center"/>
        <w:rPr>
          <w:lang w:val="en-GB"/>
        </w:rPr>
      </w:pPr>
      <w:r w:rsidRPr="035DD17A" w:rsidR="00A92537">
        <w:rPr>
          <w:vertAlign w:val="superscript"/>
          <w:lang w:val="en-GB"/>
        </w:rPr>
        <w:t>1</w:t>
      </w:r>
      <w:r w:rsidRPr="035DD17A" w:rsidR="00A92537">
        <w:rPr>
          <w:lang w:val="en-GB"/>
        </w:rPr>
        <w:t>CESAM &amp; Department of Environment and Planning, University of Aveiro, Aveiro, Portugal</w:t>
      </w:r>
    </w:p>
    <w:p w:rsidRPr="002A63DA" w:rsidR="003E3A73" w:rsidP="00FE3A5D" w:rsidRDefault="00A92537" w14:paraId="5AB2C04E" w14:textId="77777777">
      <w:pPr>
        <w:jc w:val="center"/>
        <w:rPr>
          <w:lang w:val="en-GB"/>
        </w:rPr>
      </w:pPr>
      <w:r w:rsidRPr="035DD17A" w:rsidR="00A92537">
        <w:rPr>
          <w:vertAlign w:val="superscript"/>
          <w:lang w:val="en-GB"/>
        </w:rPr>
        <w:t>2</w:t>
      </w:r>
      <w:r w:rsidRPr="035DD17A" w:rsidR="004A4DE8">
        <w:rPr>
          <w:lang w:val="en-GB"/>
        </w:rPr>
        <w:t xml:space="preserve">Institute for Environmental Studies, Vrije Universiteit Amsterdam, Amsterdam, Netherlands and </w:t>
      </w:r>
      <w:proofErr w:type="spellStart"/>
      <w:r w:rsidRPr="035DD17A" w:rsidR="004A4DE8">
        <w:rPr>
          <w:lang w:val="en-GB"/>
        </w:rPr>
        <w:t>Trinomics</w:t>
      </w:r>
      <w:proofErr w:type="spellEnd"/>
      <w:r w:rsidRPr="035DD17A" w:rsidR="004A4DE8">
        <w:rPr>
          <w:lang w:val="en-GB"/>
        </w:rPr>
        <w:t xml:space="preserve"> B.V., Rotterdam, Netherlands</w:t>
      </w:r>
    </w:p>
    <w:p w:rsidRPr="002A63DA" w:rsidR="003E3A73" w:rsidP="00FE3A5D" w:rsidRDefault="00A92537" w14:paraId="16884455" w14:textId="77777777">
      <w:pPr>
        <w:jc w:val="center"/>
        <w:rPr>
          <w:lang w:val="en-GB"/>
        </w:rPr>
      </w:pPr>
      <w:r w:rsidRPr="035DD17A" w:rsidR="00A92537">
        <w:rPr>
          <w:vertAlign w:val="superscript"/>
          <w:lang w:val="en-GB"/>
        </w:rPr>
        <w:t>3</w:t>
      </w:r>
      <w:r w:rsidRPr="035DD17A" w:rsidR="004A4DE8">
        <w:rPr>
          <w:vertAlign w:val="superscript"/>
          <w:lang w:val="en-GB"/>
        </w:rPr>
        <w:t xml:space="preserve"> </w:t>
      </w:r>
      <w:r w:rsidRPr="035DD17A" w:rsidR="009A39C8">
        <w:rPr>
          <w:lang w:val="en-GB"/>
        </w:rPr>
        <w:t xml:space="preserve">Transport &amp; Mobility Leuven, </w:t>
      </w:r>
      <w:proofErr w:type="spellStart"/>
      <w:r w:rsidRPr="035DD17A" w:rsidR="009A39C8">
        <w:rPr>
          <w:lang w:val="en-GB"/>
        </w:rPr>
        <w:t>Diestsesteenweg</w:t>
      </w:r>
      <w:proofErr w:type="spellEnd"/>
      <w:r w:rsidRPr="035DD17A" w:rsidR="009A39C8">
        <w:rPr>
          <w:lang w:val="en-GB"/>
        </w:rPr>
        <w:t xml:space="preserve"> 57, 3000 Leuven, Belgium</w:t>
      </w:r>
      <w:r w:rsidRPr="035DD17A" w:rsidR="004A4DE8">
        <w:rPr>
          <w:lang w:val="en-GB"/>
        </w:rPr>
        <w:t xml:space="preserve"> </w:t>
      </w:r>
    </w:p>
    <w:p w:rsidRPr="002A63DA" w:rsidR="003E3A73" w:rsidP="00FE3A5D" w:rsidRDefault="00A92537" w14:paraId="04B23C1C" w14:textId="77777777">
      <w:pPr>
        <w:jc w:val="center"/>
        <w:rPr>
          <w:lang w:val="en-GB"/>
        </w:rPr>
      </w:pPr>
      <w:r w:rsidRPr="035DD17A" w:rsidR="00A92537">
        <w:rPr>
          <w:vertAlign w:val="superscript"/>
          <w:lang w:val="en-GB"/>
        </w:rPr>
        <w:t>4</w:t>
      </w:r>
      <w:r w:rsidRPr="035DD17A" w:rsidR="004A4DE8">
        <w:rPr>
          <w:lang w:val="en-GB"/>
        </w:rPr>
        <w:t xml:space="preserve"> Environmental Impacts and Sustainability, Norwegian Institute for Air Research, </w:t>
      </w:r>
      <w:r w:rsidRPr="035DD17A" w:rsidR="004A4DE8">
        <w:rPr>
          <w:lang w:val="en-GB"/>
        </w:rPr>
        <w:t>Kjeller</w:t>
      </w:r>
      <w:r w:rsidRPr="035DD17A" w:rsidR="004A4DE8">
        <w:rPr>
          <w:lang w:val="en-GB"/>
        </w:rPr>
        <w:t>, Norway</w:t>
      </w:r>
    </w:p>
    <w:p w:rsidRPr="002A63DA" w:rsidR="004A4DE8" w:rsidP="004A4DE8" w:rsidRDefault="00A92537" w14:paraId="44B8BFBC" w14:textId="77777777">
      <w:pPr>
        <w:jc w:val="center"/>
        <w:rPr>
          <w:lang w:val="en-GB"/>
        </w:rPr>
      </w:pPr>
      <w:r w:rsidRPr="035DD17A" w:rsidR="00A92537">
        <w:rPr>
          <w:vertAlign w:val="superscript"/>
          <w:lang w:val="en-GB"/>
        </w:rPr>
        <w:t>5</w:t>
      </w:r>
      <w:r w:rsidRPr="035DD17A" w:rsidR="00A92537">
        <w:rPr>
          <w:lang w:val="en-GB"/>
        </w:rPr>
        <w:t xml:space="preserve"> </w:t>
      </w:r>
      <w:r w:rsidRPr="035DD17A" w:rsidR="0039738D">
        <w:rPr>
          <w:lang w:val="en-GB"/>
        </w:rPr>
        <w:t>Techne Consulting, Rome, Italy</w:t>
      </w:r>
    </w:p>
    <w:p w:rsidRPr="002A63DA" w:rsidR="00B93FFE" w:rsidP="004A4DE8" w:rsidRDefault="00A92537" w14:paraId="7EA066A9" w14:textId="77777777">
      <w:pPr>
        <w:jc w:val="center"/>
        <w:rPr>
          <w:lang w:val="en-GB"/>
        </w:rPr>
      </w:pPr>
      <w:r w:rsidRPr="035DD17A" w:rsidR="00A92537">
        <w:rPr>
          <w:vertAlign w:val="superscript"/>
          <w:lang w:val="en-GB"/>
        </w:rPr>
        <w:t>6</w:t>
      </w:r>
      <w:r w:rsidRPr="035DD17A" w:rsidR="00A92537">
        <w:rPr>
          <w:lang w:val="en-GB"/>
        </w:rPr>
        <w:t xml:space="preserve"> DTU Management, Technical University of Denmark, 2800 Kongens Lyngby, Denmark</w:t>
      </w:r>
    </w:p>
    <w:p w:rsidRPr="002A63DA" w:rsidR="00B93FFE" w:rsidP="00B93FFE" w:rsidRDefault="00A92537" w14:paraId="6A8F59A7" w14:textId="77777777">
      <w:pPr>
        <w:jc w:val="center"/>
        <w:rPr>
          <w:lang w:val="en-GB"/>
        </w:rPr>
      </w:pPr>
      <w:r w:rsidRPr="035DD17A" w:rsidR="00A92537">
        <w:rPr>
          <w:vertAlign w:val="superscript"/>
          <w:lang w:val="en-GB"/>
        </w:rPr>
        <w:t xml:space="preserve">7 </w:t>
      </w:r>
      <w:r w:rsidRPr="035DD17A" w:rsidR="00EC36B0">
        <w:rPr>
          <w:lang w:val="en-GB"/>
        </w:rPr>
        <w:t>PBL Netherlands Environmental Assessment Agency, The Netherlands</w:t>
      </w:r>
    </w:p>
    <w:p w:rsidRPr="002A63DA" w:rsidR="00902EAA" w:rsidP="00EC64BC" w:rsidRDefault="00A92537" w14:paraId="186F4A0A" w14:textId="77777777">
      <w:pPr>
        <w:jc w:val="center"/>
        <w:rPr>
          <w:lang w:val="en-GB"/>
        </w:rPr>
      </w:pPr>
      <w:r w:rsidRPr="035DD17A" w:rsidR="00A92537">
        <w:rPr>
          <w:vertAlign w:val="superscript"/>
          <w:lang w:val="en-GB"/>
        </w:rPr>
        <w:t>8</w:t>
      </w:r>
      <w:r w:rsidRPr="035DD17A" w:rsidR="004A4DE8">
        <w:rPr>
          <w:vertAlign w:val="superscript"/>
          <w:lang w:val="en-GB"/>
        </w:rPr>
        <w:t xml:space="preserve"> </w:t>
      </w:r>
      <w:r w:rsidRPr="035DD17A" w:rsidR="00EC64BC">
        <w:rPr>
          <w:lang w:val="en-GB"/>
        </w:rPr>
        <w:t>University of the West of England, Bristol, United Kingdom</w:t>
      </w:r>
    </w:p>
    <w:p w:rsidRPr="002A63DA" w:rsidR="00C703D5" w:rsidP="00093D83" w:rsidRDefault="00A92537" w14:paraId="00782A78" w14:textId="77777777">
      <w:pPr>
        <w:jc w:val="center"/>
        <w:rPr>
          <w:color w:val="0000FF"/>
          <w:sz w:val="18"/>
          <w:szCs w:val="18"/>
          <w:u w:val="single"/>
          <w:lang w:val="en-GB"/>
        </w:rPr>
      </w:pPr>
      <w:r w:rsidRPr="035DD17A" w:rsidR="00A92537">
        <w:rPr>
          <w:lang w:val="en-GB"/>
        </w:rPr>
        <w:t xml:space="preserve">*Corresponding author: </w:t>
      </w:r>
      <w:r w:rsidRPr="035DD17A" w:rsidR="00B24564">
        <w:rPr>
          <w:lang w:val="en-GB"/>
        </w:rPr>
        <w:t>Kevin Oliveira</w:t>
      </w:r>
      <w:r w:rsidRPr="035DD17A" w:rsidR="00A92537">
        <w:rPr>
          <w:lang w:val="en-GB"/>
        </w:rPr>
        <w:t xml:space="preserve">, e-mail: </w:t>
      </w:r>
      <w:hyperlink r:id="R02133117b7444dbe">
        <w:r w:rsidRPr="035DD17A" w:rsidR="00865C00">
          <w:rPr>
            <w:rStyle w:val="Hyperlink"/>
            <w:lang w:val="en-GB"/>
          </w:rPr>
          <w:t>kevinoliveira@ua.pt</w:t>
        </w:r>
      </w:hyperlink>
    </w:p>
    <w:p w:rsidRPr="002A63DA" w:rsidR="003E3A73" w:rsidP="00325510" w:rsidRDefault="003E3A73" w14:paraId="1D01DFFD" w14:textId="77777777">
      <w:pPr>
        <w:rPr>
          <w:lang w:val="en-GB"/>
        </w:rPr>
      </w:pPr>
    </w:p>
    <w:p w:rsidRPr="002A63DA" w:rsidR="003E3A73" w:rsidP="00D64C71" w:rsidRDefault="00A92537" w14:paraId="6BFAAEB2" w14:textId="77777777">
      <w:pPr>
        <w:pStyle w:val="Heading2"/>
        <w:numPr>
          <w:numId w:val="0"/>
        </w:numPr>
        <w:rPr>
          <w:lang w:val="en-GB"/>
        </w:rPr>
      </w:pPr>
      <w:r w:rsidRPr="035DD17A" w:rsidR="00A92537">
        <w:rPr>
          <w:lang w:val="en-GB"/>
        </w:rPr>
        <w:t>Abstract</w:t>
      </w:r>
    </w:p>
    <w:p w:rsidRPr="002A63DA" w:rsidR="005A0B84" w:rsidP="005A0B84" w:rsidRDefault="00A92537" w14:paraId="0B0CDA71" w14:textId="77777777">
      <w:pPr>
        <w:pStyle w:val="CommentText"/>
        <w:rPr>
          <w:sz w:val="22"/>
          <w:szCs w:val="22"/>
          <w:lang w:val="en-GB"/>
        </w:rPr>
      </w:pPr>
      <w:r w:rsidRPr="035DD17A" w:rsidR="00A92537">
        <w:rPr>
          <w:sz w:val="22"/>
          <w:szCs w:val="22"/>
          <w:lang w:val="en-GB"/>
        </w:rPr>
        <w:t xml:space="preserve">Air pollution is a global challenge, and especially urban areas are particularly affected by acute episodes. Traditional approaches </w:t>
      </w:r>
      <w:r w:rsidRPr="035DD17A" w:rsidR="00751DCD">
        <w:rPr>
          <w:sz w:val="22"/>
          <w:szCs w:val="22"/>
          <w:lang w:val="en-GB"/>
        </w:rPr>
        <w:t xml:space="preserve">used to mitigate </w:t>
      </w:r>
      <w:r w:rsidRPr="035DD17A" w:rsidR="00A92537">
        <w:rPr>
          <w:sz w:val="22"/>
          <w:szCs w:val="22"/>
          <w:lang w:val="en-GB"/>
        </w:rPr>
        <w:t xml:space="preserve">air </w:t>
      </w:r>
      <w:r w:rsidRPr="035DD17A" w:rsidR="00751DCD">
        <w:rPr>
          <w:sz w:val="22"/>
          <w:szCs w:val="22"/>
          <w:lang w:val="en-GB"/>
        </w:rPr>
        <w:t xml:space="preserve">pollution </w:t>
      </w:r>
      <w:r w:rsidRPr="035DD17A" w:rsidR="00A92537">
        <w:rPr>
          <w:sz w:val="22"/>
          <w:szCs w:val="22"/>
          <w:lang w:val="en-GB"/>
        </w:rPr>
        <w:t xml:space="preserve">primarily consider the technical aspects of the problem but not the role of citizen behaviour and day-to-day practices. </w:t>
      </w:r>
      <w:proofErr w:type="spellStart"/>
      <w:r w:rsidRPr="035DD17A" w:rsidR="00A92537">
        <w:rPr>
          <w:sz w:val="22"/>
          <w:szCs w:val="22"/>
          <w:lang w:val="en-GB"/>
        </w:rPr>
        <w:t>ClairCity</w:t>
      </w:r>
      <w:proofErr w:type="spellEnd"/>
      <w:r w:rsidRPr="035DD17A" w:rsidR="00A92537">
        <w:rPr>
          <w:sz w:val="22"/>
          <w:szCs w:val="22"/>
          <w:lang w:val="en-GB"/>
        </w:rPr>
        <w:t xml:space="preserve">, a Horizon 2020 funded project, created an impact assessment framework considering the role of citizen behaviour to create future scenarios, aiming to improve urban environments and the wellbeing and health of its inhabitants. This framework was applied to six pilot cases: Bristol, Amsterdam, Ljubljana, Sosnowiec, Aveiro Region and Liguria Region, considering three-time horizons: 2025, 2035 and 2050. The scenarios </w:t>
      </w:r>
      <w:r w:rsidRPr="035DD17A" w:rsidR="00751DCD">
        <w:rPr>
          <w:sz w:val="22"/>
          <w:szCs w:val="22"/>
          <w:lang w:val="en-GB"/>
        </w:rPr>
        <w:t>approach include</w:t>
      </w:r>
      <w:r w:rsidRPr="035DD17A" w:rsidR="003F0B01">
        <w:rPr>
          <w:sz w:val="22"/>
          <w:szCs w:val="22"/>
          <w:lang w:val="en-GB"/>
        </w:rPr>
        <w:t>s</w:t>
      </w:r>
      <w:r w:rsidRPr="035DD17A" w:rsidR="00A92537">
        <w:rPr>
          <w:sz w:val="22"/>
          <w:szCs w:val="22"/>
          <w:lang w:val="en-GB"/>
        </w:rPr>
        <w:t xml:space="preserve"> the Business </w:t>
      </w:r>
      <w:proofErr w:type="gramStart"/>
      <w:r w:rsidRPr="035DD17A" w:rsidR="00A92537">
        <w:rPr>
          <w:sz w:val="22"/>
          <w:szCs w:val="22"/>
          <w:lang w:val="en-GB"/>
        </w:rPr>
        <w:t>As</w:t>
      </w:r>
      <w:proofErr w:type="gramEnd"/>
      <w:r w:rsidRPr="035DD17A" w:rsidR="00A92537">
        <w:rPr>
          <w:sz w:val="22"/>
          <w:szCs w:val="22"/>
          <w:lang w:val="en-GB"/>
        </w:rPr>
        <w:t xml:space="preserve"> Usual (BAU) scenario and a Final Unified Policy Scenarios (FUPS) established by citizens, decision-makers, local planners and stakeholders based on data collected through a citizen and stakeholder co-creation process. Therefore, this paper aims to present the </w:t>
      </w:r>
      <w:proofErr w:type="spellStart"/>
      <w:r w:rsidRPr="035DD17A" w:rsidR="00A92537">
        <w:rPr>
          <w:sz w:val="22"/>
          <w:szCs w:val="22"/>
          <w:lang w:val="en-GB"/>
        </w:rPr>
        <w:t>ClairCity</w:t>
      </w:r>
      <w:proofErr w:type="spellEnd"/>
      <w:r w:rsidRPr="035DD17A" w:rsidR="00A92537">
        <w:rPr>
          <w:sz w:val="22"/>
          <w:szCs w:val="22"/>
          <w:lang w:val="en-GB"/>
        </w:rPr>
        <w:t xml:space="preserve"> outcomes, analysing the quantified impacts of selected measures in terms of emissions, air quality, population exposure, and health. </w:t>
      </w:r>
    </w:p>
    <w:p w:rsidRPr="002A63DA" w:rsidR="005A0B84" w:rsidP="005A0B84" w:rsidRDefault="00A92537" w14:paraId="0724CEFC" w14:textId="77777777">
      <w:pPr>
        <w:rPr>
          <w:lang w:val="en-GB"/>
        </w:rPr>
      </w:pPr>
      <w:r w:rsidRPr="035DD17A" w:rsidR="00A92537">
        <w:rPr>
          <w:lang w:val="en-GB"/>
        </w:rPr>
        <w:t>Each case study has established a particular set of measures with different levels of ambition, therefore different levels of success were achieved towards the control and mitigation of their specific air pollution problems. The transport sector was the most addressed by the measures showing substantial improvements for NO</w:t>
      </w:r>
      <w:r w:rsidRPr="035DD17A" w:rsidR="00A92537">
        <w:rPr>
          <w:vertAlign w:val="subscript"/>
          <w:lang w:val="en-GB"/>
        </w:rPr>
        <w:t>2</w:t>
      </w:r>
      <w:r w:rsidRPr="035DD17A" w:rsidR="00A92537">
        <w:rPr>
          <w:lang w:val="en-GB"/>
        </w:rPr>
        <w:t xml:space="preserve">, already with the BAU scenarios, and overall, even better results when applying the </w:t>
      </w:r>
      <w:proofErr w:type="gramStart"/>
      <w:r w:rsidRPr="035DD17A" w:rsidR="00A92537">
        <w:rPr>
          <w:lang w:val="en-GB"/>
        </w:rPr>
        <w:t>citizen-led</w:t>
      </w:r>
      <w:proofErr w:type="gramEnd"/>
      <w:r w:rsidRPr="035DD17A" w:rsidR="00A92537">
        <w:rPr>
          <w:lang w:val="en-GB"/>
        </w:rPr>
        <w:t xml:space="preserve"> FUPS scenarios. In some cases, due to a lack of ambition for the residential and commercial sector, the results </w:t>
      </w:r>
      <w:r w:rsidRPr="035DD17A" w:rsidR="00F32D81">
        <w:rPr>
          <w:lang w:val="en-GB"/>
        </w:rPr>
        <w:t>were not sufficient to fulfil the WHO guidelines</w:t>
      </w:r>
      <w:r w:rsidRPr="035DD17A" w:rsidR="00A92537">
        <w:rPr>
          <w:lang w:val="en-GB"/>
        </w:rPr>
        <w:t xml:space="preserve">. </w:t>
      </w:r>
    </w:p>
    <w:p w:rsidRPr="002A63DA" w:rsidR="005A0B84" w:rsidP="005A0B84" w:rsidRDefault="00A92537" w14:paraId="2A255A49" w14:textId="77777777">
      <w:pPr>
        <w:rPr>
          <w:lang w:val="en-GB"/>
        </w:rPr>
      </w:pPr>
      <w:r w:rsidR="00A92537">
        <w:rPr/>
        <w:t>Overall, it was found in all cities that the co-created scenarios would lead to environmental improvements in terms of air quality and citizens’ health compared to the baseline year of 2015.</w:t>
      </w:r>
      <w:r w:rsidR="00BB0D40">
        <w:rPr/>
        <w:t xml:space="preserve"> However</w:t>
      </w:r>
      <w:r w:rsidR="00777CBB">
        <w:rPr/>
        <w:t xml:space="preserve">, in some cases, the health impacts were lower than </w:t>
      </w:r>
      <w:r w:rsidR="00F33F1F">
        <w:rPr/>
        <w:t>air quality</w:t>
      </w:r>
      <w:r w:rsidR="00777CBB">
        <w:rPr/>
        <w:t xml:space="preserve"> due to the implementation of the measures not affecting the most densely populated areas</w:t>
      </w:r>
      <w:r w:rsidR="00BB0D40">
        <w:rPr/>
        <w:t>.</w:t>
      </w:r>
      <w:r w:rsidRPr="035DD17A" w:rsidR="00A92537">
        <w:rPr>
          <w:lang w:val="en-GB"/>
        </w:rPr>
        <w:t xml:space="preserve"> Benefits from the FUPS comparing to the BAU scenario were found to be highest in Amsterdam and Bristol, with further NO</w:t>
      </w:r>
      <w:r w:rsidRPr="035DD17A" w:rsidR="00A92537">
        <w:rPr>
          <w:vertAlign w:val="subscript"/>
          <w:lang w:val="en-GB"/>
        </w:rPr>
        <w:t>2</w:t>
      </w:r>
      <w:r w:rsidRPr="035DD17A" w:rsidR="00A92537">
        <w:rPr>
          <w:lang w:val="en-GB"/>
        </w:rPr>
        <w:t xml:space="preserve"> and PM10 emission reductions around 10% to 16% by 2025 and 19% to 28% by 2050, compared to BAU.</w:t>
      </w:r>
    </w:p>
    <w:p w:rsidRPr="002A63DA" w:rsidR="003E3A73" w:rsidP="00325510" w:rsidRDefault="00A92537" w14:paraId="760579F5" w14:textId="77777777">
      <w:pPr>
        <w:rPr>
          <w:lang w:val="en-GB"/>
        </w:rPr>
      </w:pPr>
      <w:r w:rsidRPr="035DD17A" w:rsidR="00A92537">
        <w:rPr>
          <w:b w:val="1"/>
          <w:bCs w:val="1"/>
          <w:lang w:val="en-GB"/>
        </w:rPr>
        <w:t>Keywords:</w:t>
      </w:r>
      <w:r w:rsidRPr="035DD17A" w:rsidR="00A92537">
        <w:rPr>
          <w:lang w:val="en-GB"/>
        </w:rPr>
        <w:t xml:space="preserve"> </w:t>
      </w:r>
      <w:r w:rsidRPr="035DD17A" w:rsidR="00B2096C">
        <w:rPr>
          <w:lang w:val="en-GB"/>
        </w:rPr>
        <w:t>C</w:t>
      </w:r>
      <w:r w:rsidRPr="035DD17A" w:rsidR="00E64072">
        <w:rPr>
          <w:lang w:val="en-GB"/>
        </w:rPr>
        <w:t>itizen</w:t>
      </w:r>
      <w:r w:rsidRPr="035DD17A" w:rsidR="005B34B3">
        <w:rPr>
          <w:lang w:val="en-GB"/>
        </w:rPr>
        <w:t xml:space="preserve"> engagement,</w:t>
      </w:r>
      <w:r w:rsidRPr="035DD17A" w:rsidR="009A39C8">
        <w:rPr>
          <w:lang w:val="en-GB"/>
        </w:rPr>
        <w:t xml:space="preserve"> </w:t>
      </w:r>
      <w:r w:rsidRPr="035DD17A" w:rsidR="004E7814">
        <w:rPr>
          <w:lang w:val="en-GB"/>
        </w:rPr>
        <w:t>impact assessment</w:t>
      </w:r>
      <w:r w:rsidRPr="035DD17A" w:rsidR="009A39C8">
        <w:rPr>
          <w:lang w:val="en-GB"/>
        </w:rPr>
        <w:t>,</w:t>
      </w:r>
      <w:r w:rsidRPr="035DD17A" w:rsidR="005B34B3">
        <w:rPr>
          <w:lang w:val="en-GB"/>
        </w:rPr>
        <w:t xml:space="preserve"> </w:t>
      </w:r>
      <w:r w:rsidRPr="035DD17A" w:rsidR="009A39C8">
        <w:rPr>
          <w:lang w:val="en-GB"/>
        </w:rPr>
        <w:t xml:space="preserve">urban emissions, </w:t>
      </w:r>
      <w:r w:rsidRPr="035DD17A" w:rsidR="005B34B3">
        <w:rPr>
          <w:lang w:val="en-GB"/>
        </w:rPr>
        <w:t>air pollution reduction</w:t>
      </w:r>
      <w:r w:rsidRPr="035DD17A" w:rsidR="00A92537">
        <w:rPr>
          <w:lang w:val="en-GB"/>
        </w:rPr>
        <w:t xml:space="preserve">, health </w:t>
      </w:r>
      <w:r w:rsidRPr="035DD17A" w:rsidR="005B34B3">
        <w:rPr>
          <w:lang w:val="en-GB"/>
        </w:rPr>
        <w:t>benefits</w:t>
      </w:r>
      <w:r w:rsidRPr="035DD17A" w:rsidR="004E7814">
        <w:rPr>
          <w:lang w:val="en-GB"/>
        </w:rPr>
        <w:t>, European cities</w:t>
      </w:r>
    </w:p>
    <w:p w:rsidRPr="002A63DA" w:rsidR="00EC36B0" w:rsidP="00325510" w:rsidRDefault="00EC36B0" w14:paraId="4B24AB3B" w14:textId="77777777">
      <w:pPr>
        <w:rPr>
          <w:lang w:val="en-GB"/>
        </w:rPr>
      </w:pPr>
    </w:p>
    <w:p w:rsidRPr="002A63DA" w:rsidR="003E3A73" w:rsidP="00D64C71" w:rsidRDefault="00A92537" w14:paraId="58C9E0C1" w14:textId="77777777">
      <w:pPr>
        <w:pStyle w:val="Heading2"/>
        <w:numPr>
          <w:ilvl w:val="0"/>
          <w:numId w:val="32"/>
        </w:numPr>
        <w:rPr>
          <w:lang w:val="en-GB"/>
        </w:rPr>
      </w:pPr>
      <w:r w:rsidRPr="035DD17A" w:rsidR="00A92537">
        <w:rPr>
          <w:lang w:val="en-GB"/>
        </w:rPr>
        <w:t>Introduction</w:t>
      </w:r>
    </w:p>
    <w:p w:rsidRPr="002A63DA" w:rsidR="00B112DE" w:rsidP="00B112DE" w:rsidRDefault="00A92537" w14:paraId="53C042A6" w14:textId="77777777">
      <w:pPr>
        <w:rPr>
          <w:lang w:val="en-GB"/>
        </w:rPr>
      </w:pPr>
      <w:r w:rsidRPr="035DD17A" w:rsidR="00A92537">
        <w:rPr>
          <w:lang w:val="en-GB"/>
        </w:rPr>
        <w:t xml:space="preserve">Air quality remains poor in various areas, and many European cities are still affected by severe air pollution episodes, despite </w:t>
      </w:r>
      <w:r w:rsidRPr="035DD17A" w:rsidR="004E7814">
        <w:rPr>
          <w:lang w:val="en-GB"/>
        </w:rPr>
        <w:t>notable</w:t>
      </w:r>
      <w:r w:rsidRPr="035DD17A" w:rsidR="00A92537">
        <w:rPr>
          <w:lang w:val="en-GB"/>
        </w:rPr>
        <w:t xml:space="preserve"> reductions in emissions and ambient concentrations over </w:t>
      </w:r>
      <w:r w:rsidRPr="035DD17A" w:rsidR="00371581">
        <w:rPr>
          <w:lang w:val="en-GB"/>
        </w:rPr>
        <w:t>recent</w:t>
      </w:r>
      <w:r w:rsidRPr="035DD17A" w:rsidR="00A92537">
        <w:rPr>
          <w:lang w:val="en-GB"/>
        </w:rPr>
        <w:t xml:space="preserve"> decades. Urban areas are of particular concern </w:t>
      </w:r>
      <w:r w:rsidRPr="035DD17A" w:rsidR="00371581">
        <w:rPr>
          <w:lang w:val="en-GB"/>
        </w:rPr>
        <w:t xml:space="preserve">due to </w:t>
      </w:r>
      <w:r w:rsidRPr="035DD17A" w:rsidR="00A92537">
        <w:rPr>
          <w:lang w:val="en-GB"/>
        </w:rPr>
        <w:t xml:space="preserve">higher population densities </w:t>
      </w:r>
      <w:r w:rsidRPr="035DD17A" w:rsidR="00371581">
        <w:rPr>
          <w:lang w:val="en-GB"/>
        </w:rPr>
        <w:t xml:space="preserve">with </w:t>
      </w:r>
      <w:r w:rsidRPr="035DD17A" w:rsidR="00A92537">
        <w:rPr>
          <w:lang w:val="en-GB"/>
        </w:rPr>
        <w:t>8 % and 77%</w:t>
      </w:r>
      <w:r w:rsidRPr="035DD17A" w:rsidR="007C4296">
        <w:rPr>
          <w:lang w:val="en-GB"/>
        </w:rPr>
        <w:t xml:space="preserve"> </w:t>
      </w:r>
      <w:r w:rsidRPr="035DD17A">
        <w:rPr>
          <w:lang w:val="en-GB"/>
        </w:rPr>
        <w:fldChar w:fldCharType="begin" w:fldLock="true"/>
      </w:r>
      <w:r w:rsidRPr="035DD17A">
        <w:rPr>
          <w:lang w:val="en-GB"/>
        </w:rPr>
        <w:instrText xml:space="preserve">ADDIN CSL_CITATION {"citationItems":[{"id":"ITEM-1","itemData":{"ISBN":"978-92-9480-292-7","abstract":"This report presents an overview and analysis of air quality in Europe from 2002 to 2011. It reviews progress towards meeting the requirements of the air quality directives and gives an overview of policies and measures introduced at European level to improve air quality and minimise impacts. An overview of the latest findings and estimates of the effects of air pollution on health and its impacts on ecosystems is also given.","author":[{"dropping-particle":"","family":"EEA","given":"","non-dropping-particle":"","parse-names":false,"suffix":""}],"container-title":"European Environment Agency","id":"ITEM-1","issue":"No 09/2020","issued":{"date-parts":[["2020"]]},"number-of-pages":"162","title":"Air quality in Europe - 2020 report","type":"book"},"uris":["http://www.mendeley.com/documents/?uuid=21600e22-c916-40f5-9c42-12f3c23b45a2"]}],"mendeley":{"formattedCitation":"(EEA, 2020)","plainTextFormattedCitation":"(EEA, 2020)","previouslyFormattedCitation":"(EEA, 2020)"},"properties":{"noteIndex":0},"schema":"https://github.com/citation-style-language/schema/raw/master/csl-citation.json"}</w:instrText>
      </w:r>
      <w:r w:rsidRPr="035DD17A">
        <w:rPr>
          <w:lang w:val="en-GB"/>
        </w:rPr>
        <w:fldChar w:fldCharType="separate"/>
      </w:r>
      <w:r w:rsidRPr="035DD17A" w:rsidR="007C4296">
        <w:rPr>
          <w:noProof/>
          <w:lang w:val="en-GB"/>
        </w:rPr>
        <w:t>(EEA, 2020)</w:t>
      </w:r>
      <w:r w:rsidRPr="035DD17A">
        <w:rPr>
          <w:lang w:val="en-GB"/>
        </w:rPr>
        <w:fldChar w:fldCharType="end"/>
      </w:r>
      <w:r w:rsidRPr="035DD17A" w:rsidR="007C4296">
        <w:rPr>
          <w:lang w:val="en-GB"/>
        </w:rPr>
        <w:t>, in 2018,</w:t>
      </w:r>
      <w:r w:rsidRPr="035DD17A" w:rsidR="00A92537">
        <w:rPr>
          <w:lang w:val="en-GB"/>
        </w:rPr>
        <w:t xml:space="preserve"> of the EU-28 urban population exposed to PM2.5 concentrations that exceed the EU </w:t>
      </w:r>
      <w:r w:rsidRPr="035DD17A" w:rsidR="00371581">
        <w:rPr>
          <w:lang w:val="en-GB"/>
        </w:rPr>
        <w:t>L</w:t>
      </w:r>
      <w:r w:rsidRPr="035DD17A" w:rsidR="00A92537">
        <w:rPr>
          <w:lang w:val="en-GB"/>
        </w:rPr>
        <w:t xml:space="preserve">imit </w:t>
      </w:r>
      <w:r w:rsidRPr="035DD17A" w:rsidR="00371581">
        <w:rPr>
          <w:lang w:val="en-GB"/>
        </w:rPr>
        <w:t>V</w:t>
      </w:r>
      <w:r w:rsidRPr="035DD17A" w:rsidR="00A92537">
        <w:rPr>
          <w:lang w:val="en-GB"/>
        </w:rPr>
        <w:t xml:space="preserve">alue established by the </w:t>
      </w:r>
      <w:r w:rsidRPr="035DD17A" w:rsidR="00371581">
        <w:rPr>
          <w:lang w:val="en-GB"/>
        </w:rPr>
        <w:t xml:space="preserve">EU Directive </w:t>
      </w:r>
      <w:r w:rsidRPr="035DD17A" w:rsidR="00A92537">
        <w:rPr>
          <w:lang w:val="en-GB"/>
        </w:rPr>
        <w:t>2008/50/</w:t>
      </w:r>
      <w:r w:rsidRPr="035DD17A" w:rsidR="00371581">
        <w:rPr>
          <w:lang w:val="en-GB"/>
        </w:rPr>
        <w:t>EC</w:t>
      </w:r>
      <w:r w:rsidRPr="035DD17A" w:rsidR="00A92537">
        <w:rPr>
          <w:lang w:val="en-GB"/>
        </w:rPr>
        <w:t xml:space="preserve"> </w:t>
      </w:r>
      <w:r w:rsidRPr="035DD17A">
        <w:rPr>
          <w:lang w:val="en-GB"/>
        </w:rPr>
        <w:fldChar w:fldCharType="begin" w:fldLock="true"/>
      </w:r>
      <w:r w:rsidRPr="035DD17A">
        <w:rPr>
          <w:lang w:val="en-GB"/>
        </w:rPr>
        <w:instrText xml:space="preserve">ADDIN CSL_CITATION {"citationItems":[{"id":"ITEM-1","itemData":{"URL":"https://eur-lex.europa.eu/eli/dir/2008/50/oj","accessed":{"date-parts":[["2021","2","21"]]},"author":[{"dropping-particle":"","family":"EU","given":"","non-dropping-particle":"","parse-names":false,"suffix":""}],"container-title":"OJ L 152","id":"ITEM-1","issued":{"date-parts":[["2008","6","11"]]},"page":"1-44","title":"Directive 2008/50/EC of the European Parliament and of the Council of 21 May 2008 on ambient air quality and cleaner air for Europe","type":"webpage"},"uris":["http://www.mendeley.com/documents/?uuid=0c7b0b8a-8fa7-3358-bdea-a2d152f5605f"]}],"mendeley":{"formattedCitation":"(EU, 2008)","plainTextFormattedCitation":"(EU, 2008)","previouslyFormattedCitation":"(EU, 2008)"},"properties":{"noteIndex":0},"schema":"https://github.com/citation-style-language/schema/raw/master/csl-citation.json"}</w:instrText>
      </w:r>
      <w:r w:rsidRPr="035DD17A">
        <w:rPr>
          <w:lang w:val="en-GB"/>
        </w:rPr>
        <w:fldChar w:fldCharType="separate"/>
      </w:r>
      <w:r w:rsidRPr="035DD17A" w:rsidR="00A92537">
        <w:rPr>
          <w:noProof/>
          <w:lang w:val="en-GB"/>
        </w:rPr>
        <w:t>(EU, 2008)</w:t>
      </w:r>
      <w:r w:rsidRPr="035DD17A">
        <w:rPr>
          <w:lang w:val="en-GB"/>
        </w:rPr>
        <w:fldChar w:fldCharType="end"/>
      </w:r>
      <w:r w:rsidRPr="035DD17A" w:rsidR="00A92537">
        <w:rPr>
          <w:lang w:val="en-GB"/>
        </w:rPr>
        <w:t xml:space="preserve"> and the stricter </w:t>
      </w:r>
      <w:r w:rsidRPr="035DD17A" w:rsidR="00371581">
        <w:rPr>
          <w:lang w:val="en-GB"/>
        </w:rPr>
        <w:t xml:space="preserve">PM2.5 </w:t>
      </w:r>
      <w:r w:rsidRPr="035DD17A" w:rsidR="00A92537">
        <w:rPr>
          <w:lang w:val="en-GB"/>
        </w:rPr>
        <w:t xml:space="preserve">limits established by the WHO Air Quality Guidelines </w:t>
      </w:r>
      <w:r w:rsidRPr="035DD17A">
        <w:rPr>
          <w:lang w:val="en-GB"/>
        </w:rPr>
        <w:fldChar w:fldCharType="begin" w:fldLock="true"/>
      </w:r>
      <w:r w:rsidRPr="035DD17A">
        <w:rPr>
          <w:lang w:val="en-GB"/>
        </w:rPr>
        <w:instrText xml:space="preserve">ADDIN CSL_CITATION {"citationItems":[{"id":"ITEM-1","itemData":{"URL":"https://apps.who.int/iris/bitstream/handle/10665/69477/WHO_SDE_PHE_OEH_06.02_eng.pdf;jsessionid=C9A622837270C3630216CD4A48F5124A?sequence=1","accessed":{"date-parts":[["2021","2","21"]]},"author":[{"dropping-particle":"","family":"WHO","given":"","non-dropping-particle":"","parse-names":false,"suffix":""}],"id":"ITEM-1","issued":{"date-parts":[["2006"]]},"title":"Air quality guidelines: Global update 2005 — Particulate matter, ozone, nitrogen dioxide and sulphur dioxide","type":"webpage"},"uris":["http://www.mendeley.com/documents/?uuid=5ed2da89-a636-3221-8157-1e58239eba97"]}],"mendeley":{"formattedCitation":"(WHO, 2006)","plainTextFormattedCitation":"(WHO, 2006)","previouslyFormattedCitation":"(WHO, 2006)"},"properties":{"noteIndex":0},"schema":"https://github.com/citation-style-language/schema/raw/master/csl-citation.json"}</w:instrText>
      </w:r>
      <w:r w:rsidRPr="035DD17A">
        <w:rPr>
          <w:lang w:val="en-GB"/>
        </w:rPr>
        <w:fldChar w:fldCharType="separate"/>
      </w:r>
      <w:r w:rsidRPr="035DD17A" w:rsidR="00A92537">
        <w:rPr>
          <w:noProof/>
          <w:lang w:val="en-GB"/>
        </w:rPr>
        <w:t>(WHO, 2006)</w:t>
      </w:r>
      <w:r w:rsidRPr="035DD17A">
        <w:rPr>
          <w:lang w:val="en-GB"/>
        </w:rPr>
        <w:fldChar w:fldCharType="end"/>
      </w:r>
      <w:r w:rsidRPr="035DD17A" w:rsidR="00A92537">
        <w:rPr>
          <w:lang w:val="en-GB"/>
        </w:rPr>
        <w:t xml:space="preserve">, respectively. </w:t>
      </w:r>
      <w:r w:rsidRPr="035DD17A" w:rsidR="00C90957">
        <w:rPr>
          <w:lang w:val="en-GB"/>
        </w:rPr>
        <w:t>In fact, a</w:t>
      </w:r>
      <w:r w:rsidRPr="035DD17A" w:rsidR="00A92537">
        <w:rPr>
          <w:lang w:val="en-GB"/>
        </w:rPr>
        <w:t xml:space="preserve">ir pollution </w:t>
      </w:r>
      <w:r w:rsidRPr="035DD17A" w:rsidR="005C0EEC">
        <w:rPr>
          <w:lang w:val="en-GB"/>
        </w:rPr>
        <w:t>represents one of the biggest environmental risks to health</w:t>
      </w:r>
      <w:r w:rsidRPr="035DD17A" w:rsidR="00A92537">
        <w:rPr>
          <w:lang w:val="en-GB"/>
        </w:rPr>
        <w:t>, responsible for around 400</w:t>
      </w:r>
      <w:r w:rsidRPr="035DD17A" w:rsidR="00371581">
        <w:rPr>
          <w:lang w:val="en-GB"/>
        </w:rPr>
        <w:t>,</w:t>
      </w:r>
      <w:r w:rsidRPr="035DD17A" w:rsidR="00A92537">
        <w:rPr>
          <w:lang w:val="en-GB"/>
        </w:rPr>
        <w:t xml:space="preserve">000 premature deaths per year in the EEA-39 (excluding Turkey) as a result of exposure to PM2.5 </w:t>
      </w:r>
      <w:r w:rsidRPr="035DD17A">
        <w:rPr>
          <w:lang w:val="en-GB"/>
        </w:rPr>
        <w:fldChar w:fldCharType="begin" w:fldLock="true"/>
      </w:r>
      <w:r w:rsidRPr="035DD17A">
        <w:rPr>
          <w:lang w:val="en-GB"/>
        </w:rPr>
        <w:instrText xml:space="preserve">ADDIN CSL_CITATION {"citationItems":[{"id":"ITEM-1","itemData":{"abstract":"Globally, 6.5 million deaths were attributable to the joint effects of household (HAP) and ambient air pollution (AAP) in 2012. The Western Pacific and South East Asian regions bear most of the burden with 2.4 and 2.2 million deaths, respectively. About 700 000 deaths occur in Africa, almost 400 000 in the Eastern Mediterranean region, 268 000 in Europe and 150 000 in the Americas. The remaining deaths occur in high-income countries of Europe (311 000), Americas (45 000), Western Pacific (44 000), and Eastern Mediterranean (10 000) (Figure 1). Regional crude and age-standardized 1 death rates are shown in Figures 2 and 3. Both are available at","author":[{"dropping-particle":"","family":"WHO","given":"","non-dropping-particle":"","parse-names":false,"suffix":""}],"container-title":"World Health Organization","id":"ITEM-1","issue":"May","issued":{"date-parts":[["2018"]]},"page":"1-5","title":"Burden of disease from the joint effects of household and ambient Air pollution for 2016 Summary of results.","type":"article-journal","volume":"2"},"uris":["http://www.mendeley.com/documents/?uuid=55d93bed-928e-3f84-8e78-1c9e6ac63321"]},{"id":"ITEM-2","itemData":{"ISBN":"978-92-9480-292-7","abstract":"This report presents an overview and analysis of air quality in Europe from 2002 to 2011. It reviews progress towards meeting the requirements of the air quality directives and gives an overview of policies and measures introduced at European level to improve air quality and minimise impacts. An overview of the latest findings and estimates of the effects of air pollution on health and its impacts on ecosystems is also given.","author":[{"dropping-particle":"","family":"EEA","given":"","non-dropping-particle":"","parse-names":false,"suffix":""}],"container-title":"European Environment Agency","id":"ITEM-2","issue":"No 09/2020","issued":{"date-parts":[["2020"]]},"number-of-pages":"162","title":"Air quality in Europe - 2020 report","type":"book"},"uris":["http://www.mendeley.com/documents/?uuid=21600e22-c916-40f5-9c42-12f3c23b45a2"]}],"mendeley":{"formattedCitation":"(EEA, 2020; WHO, 2018)","plainTextFormattedCitation":"(EEA, 2020; WHO, 2018)","previouslyFormattedCitation":"(EEA, 2020; WHO, 2018)"},"properties":{"noteIndex":0},"schema":"https://github.com/citation-style-language/schema/raw/master/csl-citation.json"}</w:instrText>
      </w:r>
      <w:r w:rsidRPr="035DD17A">
        <w:rPr>
          <w:lang w:val="en-GB"/>
        </w:rPr>
        <w:fldChar w:fldCharType="separate"/>
      </w:r>
      <w:r w:rsidRPr="035DD17A" w:rsidR="00A92537">
        <w:rPr>
          <w:noProof/>
          <w:lang w:val="en-GB"/>
        </w:rPr>
        <w:t>(EEA, 2020; WHO, 2018)</w:t>
      </w:r>
      <w:r w:rsidRPr="035DD17A">
        <w:rPr>
          <w:lang w:val="en-GB"/>
        </w:rPr>
        <w:fldChar w:fldCharType="end"/>
      </w:r>
      <w:r w:rsidRPr="035DD17A" w:rsidR="00A92537">
        <w:rPr>
          <w:lang w:val="en-GB"/>
        </w:rPr>
        <w:t xml:space="preserve">. </w:t>
      </w:r>
    </w:p>
    <w:p w:rsidRPr="002A63DA" w:rsidR="00AC1B9C" w:rsidP="00B112DE" w:rsidRDefault="00A92537" w14:paraId="11C9C1C9" w14:textId="629B0347">
      <w:pPr>
        <w:rPr>
          <w:lang w:val="en-GB"/>
        </w:rPr>
      </w:pPr>
      <w:r w:rsidRPr="035DD17A" w:rsidR="00A92537">
        <w:rPr>
          <w:lang w:val="en-GB"/>
        </w:rPr>
        <w:t xml:space="preserve">In cities, the </w:t>
      </w:r>
      <w:r w:rsidRPr="035DD17A" w:rsidR="005C0EEC">
        <w:rPr>
          <w:lang w:val="en-GB"/>
        </w:rPr>
        <w:t xml:space="preserve">main </w:t>
      </w:r>
      <w:r w:rsidRPr="035DD17A" w:rsidR="00A92537">
        <w:rPr>
          <w:lang w:val="en-GB"/>
        </w:rPr>
        <w:t xml:space="preserve">problems </w:t>
      </w:r>
      <w:r w:rsidRPr="035DD17A" w:rsidR="005C0EEC">
        <w:rPr>
          <w:lang w:val="en-GB"/>
        </w:rPr>
        <w:t xml:space="preserve">are </w:t>
      </w:r>
      <w:r w:rsidRPr="035DD17A" w:rsidR="00A92537">
        <w:rPr>
          <w:lang w:val="en-GB"/>
        </w:rPr>
        <w:t xml:space="preserve">associated </w:t>
      </w:r>
      <w:r w:rsidRPr="035DD17A" w:rsidR="005C0EEC">
        <w:rPr>
          <w:lang w:val="en-GB"/>
        </w:rPr>
        <w:t xml:space="preserve">to </w:t>
      </w:r>
      <w:r w:rsidRPr="035DD17A" w:rsidR="00A92537">
        <w:rPr>
          <w:lang w:val="en-GB"/>
        </w:rPr>
        <w:t>NO</w:t>
      </w:r>
      <w:r w:rsidRPr="035DD17A" w:rsidR="00A92537">
        <w:rPr>
          <w:vertAlign w:val="subscript"/>
          <w:lang w:val="en-GB"/>
        </w:rPr>
        <w:t>2</w:t>
      </w:r>
      <w:r w:rsidRPr="035DD17A" w:rsidR="00A92537">
        <w:rPr>
          <w:lang w:val="en-GB"/>
        </w:rPr>
        <w:t>, PM10, and PM2.5</w:t>
      </w:r>
      <w:r w:rsidRPr="035DD17A" w:rsidR="005C0EEC">
        <w:rPr>
          <w:lang w:val="en-GB"/>
        </w:rPr>
        <w:t xml:space="preserve"> pollutants</w:t>
      </w:r>
      <w:r w:rsidRPr="035DD17A" w:rsidR="00A92537">
        <w:rPr>
          <w:lang w:val="en-GB"/>
        </w:rPr>
        <w:t xml:space="preserve">, mainly </w:t>
      </w:r>
      <w:r w:rsidRPr="035DD17A" w:rsidR="00463874">
        <w:rPr>
          <w:lang w:val="en-GB"/>
        </w:rPr>
        <w:t xml:space="preserve">related </w:t>
      </w:r>
      <w:r w:rsidRPr="035DD17A" w:rsidR="00A92537">
        <w:rPr>
          <w:lang w:val="en-GB"/>
        </w:rPr>
        <w:t>to transport and residential combustion</w:t>
      </w:r>
      <w:r w:rsidRPr="035DD17A" w:rsidR="004E151F">
        <w:rPr>
          <w:lang w:val="en-GB"/>
        </w:rPr>
        <w:t xml:space="preserve"> </w:t>
      </w:r>
      <w:r w:rsidRPr="035DD17A" w:rsidR="00463874">
        <w:rPr>
          <w:lang w:val="en-GB"/>
        </w:rPr>
        <w:t xml:space="preserve">sectors </w:t>
      </w:r>
      <w:r w:rsidRPr="035DD17A">
        <w:rPr>
          <w:lang w:val="en-GB"/>
        </w:rPr>
        <w:fldChar w:fldCharType="begin" w:fldLock="true"/>
      </w:r>
      <w:r w:rsidRPr="035DD17A">
        <w:rPr>
          <w:lang w:val="en-GB"/>
        </w:rPr>
        <w:instrText xml:space="preserve">ADDIN CSL_CITATION {"citationItems":[{"id":"ITEM-1","itemData":{"ISBN":"978-92-9480-292-7","abstract":"This report presents an overview and analysis of air quality in Europe from 2002 to 2011. It reviews progress towards meeting the requirements of the air quality directives and gives an overview of policies and measures introduced at European level to improve air quality and minimise impacts. An overview of the latest findings and estimates of the effects of air pollution on health and its impacts on ecosystems is also given.","author":[{"dropping-particle":"","family":"EEA","given":"","non-dropping-particle":"","parse-names":false,"suffix":""}],"container-title":"European Environment Agency","id":"ITEM-1","issue":"No 09/2020","issued":{"date-parts":[["2020"]]},"number-of-pages":"162","title":"Air quality in Europe - 2020 report","type":"book"},"uris":["http://www.mendeley.com/documents/?uuid=21600e22-c916-40f5-9c42-12f3c23b45a2"]}],"mendeley":{"formattedCitation":"(EEA, 2020)","plainTextFormattedCitation":"(EEA, 2020)","previouslyFormattedCitation":"(EEA, 2020)"},"properties":{"noteIndex":0},"schema":"https://github.com/citation-style-language/schema/raw/master/csl-citation.json"}</w:instrText>
      </w:r>
      <w:r w:rsidRPr="035DD17A">
        <w:rPr>
          <w:lang w:val="en-GB"/>
        </w:rPr>
        <w:fldChar w:fldCharType="separate"/>
      </w:r>
      <w:r w:rsidRPr="035DD17A" w:rsidR="004E151F">
        <w:rPr>
          <w:noProof/>
          <w:lang w:val="en-GB"/>
        </w:rPr>
        <w:t>(EEA, 2020)</w:t>
      </w:r>
      <w:r w:rsidRPr="035DD17A">
        <w:rPr>
          <w:lang w:val="en-GB"/>
        </w:rPr>
        <w:fldChar w:fldCharType="end"/>
      </w:r>
      <w:r w:rsidRPr="035DD17A" w:rsidR="00A92537">
        <w:rPr>
          <w:lang w:val="en-GB"/>
        </w:rPr>
        <w:t xml:space="preserve">. </w:t>
      </w:r>
      <w:r w:rsidRPr="035DD17A">
        <w:rPr>
          <w:lang w:val="en-GB"/>
        </w:rPr>
        <w:fldChar w:fldCharType="begin" w:fldLock="true"/>
      </w:r>
      <w:r w:rsidRPr="035DD17A">
        <w:rPr>
          <w:lang w:val="en-GB"/>
        </w:rPr>
        <w:instrText xml:space="preserve">ADDIN CSL_CITATION {"citationItems":[{"id":"ITEM-1","itemData":{"DOI":"10.1016/j.atmosenv.2018.05.062","ISSN":"18732844","abstract":"Many European cities suffer from poor air quality and still exceed the European standards prescribed by the Air Quality Directive, and the guidelines recommended by the World Health Organization (WHO). This is especially the case for PM2.5, focus of this work. While international, national and local level actions to reduce air pollution have undoubtedly resulted in an overall improvement of the air quality over the years, there are still problems, which are localised in specific regions and many cities. A key issue is to determine at which scale to act in order to abate these remaining air pollution problems most effectively. Central to this, for cities, is a quantitative assessment of the different origins of air pollution (urban, regional, national and transboundary) to support the design of efficient, effective air quality plans, which are a legal obligation for countries and regions whenever exceedances occur. The “Screening for High Emission Reduction Potentials for Air quality” tool (SHERPA) is used in this work to quantify the origins of air pollution in cities and regions, both from a spatial (urban, country…) and sectoral (transport, residential, agriculture…) perspectives. For PM2.5 we conclude that (1) for many cities, local actions at the city scale are an effective means of improving air quality in that city; (2) the target sectors and scales to abate air pollution are city specific, even for cities that are located in the same country. Consequently, it is important to take into account these city-specific circumstances when designing air quality plans and (3) for many cities, sectoral measures addressing agriculture at country or EU scale would have a clear benefit on urban air quality.","author":[{"dropping-particle":"","family":"Thunis","given":"P.","non-dropping-particle":"","parse-names":false,"suffix":""},{"dropping-particle":"","family":"Degraeuwe","given":"B.","non-dropping-particle":"","parse-names":false,"suffix":""},{"dropping-particle":"","family":"Pisoni","given":"E.","non-dropping-particle":"","parse-names":false,"suffix":""},{"dropping-particle":"","family":"Trombetti","given":"M.","non-dropping-particle":"","parse-names":false,"suffix":""},{"dropping-particle":"","family":"Peduzzi","given":"E.","non-dropping-particle":"","parse-names":false,"suffix":""},{"dropping-particle":"","family":"Belis","given":"C. A.","non-dropping-particle":"","parse-names":false,"suffix":""},{"dropping-particle":"","family":"Wilson","given":"J.","non-dropping-particle":"","parse-names":false,"suffix":""},{"dropping-particle":"","family":"Clappier","given":"A.","non-dropping-particle":"","parse-names":false,"suffix":""},{"dropping-particle":"","family":"Vignati","given":"E.","non-dropping-particle":"","parse-names":false,"suffix":""}],"container-title":"Atmospheric Environment","id":"ITEM-1","issued":{"date-parts":[["2018","8","1"]]},"page":"93-106","publisher":"Elsevier Ltd","title":"PM2.5 source allocation in European cities: A SHERPA modelling study","type":"article-journal","volume":"187"},"uris":["http://www.mendeley.com/documents/?uuid=41ec682f-fd2a-3516-8e55-e4c72b244d22"]}],"mendeley":{"formattedCitation":"(Thunis et al., 2018)","manualFormatting":"Thunis et al. (2018)","plainTextFormattedCitation":"(Thunis et al., 2018)","previouslyFormattedCitation":"(Thunis et al., 2018)"},"properties":{"noteIndex":0},"schema":"https://github.com/citation-style-language/schema/raw/master/csl-citation.json"}</w:instrText>
      </w:r>
      <w:r w:rsidRPr="035DD17A">
        <w:rPr>
          <w:lang w:val="en-GB"/>
        </w:rPr>
        <w:fldChar w:fldCharType="separate"/>
      </w:r>
      <w:r w:rsidRPr="035DD17A" w:rsidR="00A92537">
        <w:rPr>
          <w:noProof/>
          <w:lang w:val="en-GB"/>
        </w:rPr>
        <w:t>Thunis et al. (2018)</w:t>
      </w:r>
      <w:r w:rsidRPr="035DD17A">
        <w:rPr>
          <w:lang w:val="en-GB"/>
        </w:rPr>
        <w:fldChar w:fldCharType="end"/>
      </w:r>
      <w:r w:rsidRPr="035DD17A" w:rsidR="00A92537">
        <w:rPr>
          <w:lang w:val="en-GB"/>
        </w:rPr>
        <w:t xml:space="preserve"> showed that cities could have an essential role by taking actions to resolve air pollution problems.</w:t>
      </w:r>
      <w:r w:rsidRPr="035DD17A" w:rsidR="00074F54">
        <w:rPr>
          <w:lang w:val="en-GB"/>
        </w:rPr>
        <w:t xml:space="preserve"> </w:t>
      </w:r>
      <w:r w:rsidRPr="035DD17A" w:rsidR="00A92537">
        <w:rPr>
          <w:lang w:val="en-GB"/>
        </w:rPr>
        <w:t>A lot of research has been done to assess the impact of traffic management control strategies in urban areas</w:t>
      </w:r>
      <w:r w:rsidRPr="035DD17A" w:rsidR="004D4EF3">
        <w:rPr>
          <w:lang w:val="en-GB"/>
        </w:rPr>
        <w:t xml:space="preserve"> </w:t>
      </w:r>
      <w:r w:rsidRPr="035DD17A">
        <w:rPr>
          <w:lang w:val="en-GB"/>
        </w:rPr>
        <w:fldChar w:fldCharType="begin" w:fldLock="true"/>
      </w:r>
      <w:r w:rsidRPr="035DD17A">
        <w:rPr>
          <w:lang w:val="en-GB"/>
        </w:rPr>
        <w:instrText xml:space="preserve">ADDIN CSL_CITATION {"citationItems":[{"id":"ITEM-1","itemData":{"DOI":"10.1016/j.jth.2017.08.001","ISSN":"22141405","abstract":"This paper reviews the effectiveness of traffic management strategies (TMS) for mitigating emissions, ambient concentrations, human exposure, and health effects of traffic-related air pollution in urban areas. The objective is to summarize the evidence base for a range of moderate-scale strategies broadly relevant to municipal and regional government decision-making. A systematic literature search was carried out to identify empirical studies of TMS effects on emissions, air quality, exposure, or health. Identified studies were reviewed to assess the state of evidence that TMS can improve urban air quality and pollution-related health outcomes for exposed populations. Overall, the evidence base is weak for these effects. There is limited evidence of effects on emissions for 7 of the 22 studied strategies, and limited evidence of effects on air quality for 2 of the strategies: area road pricing and low emission zones. Insufficient evidence exists for all other TMS and effects. Existing evidence suggests that aggressive area-based TMS such as low emission zones are needed to generate substantial air quality benefits, and that TMS must be implemented with care to avoid unintended detrimental and rebound effects. The evidence base is limited by a lack of ex post evaluations of implemented strategies, lack of evaluation of exposure and health impacts, small intervention effects relative to the influences of other factors, and insufficient evaluation of spillover and indirect effects. Evolving vehicle fleets add further uncertainty to the long-range effects of TMS on air quality. Effects of TMS on measured population exposure and public health outcomes have not been well-studied. An evidence-based approach to transportation systems planning necessitates additional resource allocation to ex post evaluations and performance monitoring for air quality impacts of traffic management strategies.","author":[{"dropping-particle":"","family":"York Bigazzi","given":"Alexander","non-dropping-particle":"","parse-names":false,"suffix":""},{"dropping-particle":"","family":"Rouleau","given":"Mathieu","non-dropping-particle":"","parse-names":false,"suffix":""}],"container-title":"Journal of Transport and Health","id":"ITEM-1","issued":{"date-parts":[["2017","12","1"]]},"page":"111-124","publisher":"Elsevier Ltd","title":"Can traffic management strategies improve urban air quality? A review of the evidence","type":"article","volume":"7"},"uris":["http://www.mendeley.com/documents/?uuid=7c0eb438-3c87-35d4-8e47-94d12598185a"]}],"mendeley":{"formattedCitation":"(York Bigazzi and Rouleau, 2017)","plainTextFormattedCitation":"(York Bigazzi and Rouleau, 2017)","previouslyFormattedCitation":"(York Bigazzi and Rouleau, 2017)"},"properties":{"noteIndex":0},"schema":"https://github.com/citation-style-language/schema/raw/master/csl-citation.json"}</w:instrText>
      </w:r>
      <w:r w:rsidRPr="035DD17A">
        <w:rPr>
          <w:lang w:val="en-GB"/>
        </w:rPr>
        <w:fldChar w:fldCharType="separate"/>
      </w:r>
      <w:r w:rsidRPr="035DD17A" w:rsidR="004D4EF3">
        <w:rPr>
          <w:noProof/>
          <w:lang w:val="en-GB"/>
        </w:rPr>
        <w:t>(York Bigazzi and Rouleau, 2017)</w:t>
      </w:r>
      <w:r w:rsidRPr="035DD17A">
        <w:rPr>
          <w:lang w:val="en-GB"/>
        </w:rPr>
        <w:fldChar w:fldCharType="end"/>
      </w:r>
      <w:r w:rsidRPr="035DD17A" w:rsidR="004A2B1B">
        <w:rPr>
          <w:lang w:val="en-GB"/>
        </w:rPr>
        <w:t xml:space="preserve"> and even</w:t>
      </w:r>
      <w:r w:rsidRPr="035DD17A" w:rsidR="002E3336">
        <w:rPr>
          <w:lang w:val="en-GB"/>
        </w:rPr>
        <w:t xml:space="preserve"> on background concentrations</w:t>
      </w:r>
      <w:r w:rsidRPr="035DD17A" w:rsidR="00A92537">
        <w:rPr>
          <w:lang w:val="en-GB"/>
        </w:rPr>
        <w:t xml:space="preserve"> </w:t>
      </w:r>
      <w:r w:rsidRPr="035DD17A">
        <w:rPr>
          <w:lang w:val="en-GB"/>
        </w:rPr>
        <w:fldChar w:fldCharType="begin" w:fldLock="true"/>
      </w:r>
      <w:r w:rsidRPr="035DD17A">
        <w:rPr>
          <w:lang w:val="en-GB"/>
        </w:rPr>
        <w:instrText xml:space="preserve">ADDIN CSL_CITATION {"citationItems":[{"id":"ITEM-1","itemData":{"DOI":"10.1016/j.jth.2017.08.001","ISSN":"22141405","abstract":"This paper reviews the effectiveness of traffic management strategies (TMS) for mitigating emissions, ambient concentrations, human exposure, and health effects of traffic-related air pollution in urban areas. The objective is to summarize the evidence base for a range of moderate-scale strategies broadly relevant to municipal and regional government decision-making. A systematic literature search was carried out to identify empirical studies of TMS effects on emissions, air quality, exposure, or health. Identified studies were reviewed to assess the state of evidence that TMS can improve urban air quality and pollution-related health outcomes for exposed populations. Overall, the evidence base is weak for these effects. There is limited evidence of effects on emissions for 7 of the 22 studied strategies, and limited evidence of effects on air quality for 2 of the strategies: area road pricing and low emission zones. Insufficient evidence exists for all other TMS and effects. Existing evidence suggests that aggressive area-based TMS such as low emission zones are needed to generate substantial air quality benefits, and that TMS must be implemented with care to avoid unintended detrimental and rebound effects. The evidence base is limited by a lack of ex post evaluations of implemented strategies, lack of evaluation of exposure and health impacts, small intervention effects relative to the influences of other factors, and insufficient evaluation of spillover and indirect effects. Evolving vehicle fleets add further uncertainty to the long-range effects of TMS on air quality. Effects of TMS on measured population exposure and public health outcomes have not been well-studied. An evidence-based approach to transportation systems planning necessitates additional resource allocation to ex post evaluations and performance monitoring for air quality impacts of traffic management strategies.","author":[{"dropping-particle":"","family":"York Bigazzi","given":"Alexander","non-dropping-particle":"","parse-names":false,"suffix":""},{"dropping-particle":"","family":"Rouleau","given":"Mathieu","non-dropping-particle":"","parse-names":false,"suffix":""}],"container-title":"Journal of Transport and Health","id":"ITEM-1","issued":{"date-parts":[["2017","12","1"]]},"page":"111-124","publisher":"Elsevier Ltd","title":"Can traffic management strategies improve urban air quality? A review of the evidence","type":"article","volume":"7"},"uris":["http://www.mendeley.com/documents/?uuid=7c0eb438-3c87-35d4-8e47-94d12598185a"]},{"id":"ITEM-2","itemData":{"DOI":"10.1016/j.jenvman.2018.10.039","ISSN":"10958630","PMID":"30343220","abstract":"Air quality in European cities is still a challenge, with various urban areas frequently exceeding the PM2.5 and NO2 concentration levels allowed by the European Union Air Quality Standards. This is a problem both in terms of legislation compliance, but also in terms of health of citizens, as it has been recently estimated that 400 to 450 thousand people die prematurely every year due to poor air quality. Air quality in cities can be improved with a number of interventions, at different sectoral (industry, traffic, residential, etc …) and geographical (international, European, national, local, etc.) levels. In this paper we explore the potential of city level plans to improve mobility and air quality (excluding electro-mobility options, not considered in this study). We applied the “Sustainable Urban Mobility Plans” (SUMPs) framework to 642 cities in Europe and modelled how the measures they include may impact at first on mobility and emissions at urban level, and then on urban background concentrations of PM2.5 and NO2. Results show that annual averages moderately improve for both pollutants, with reductions of urban background concentrations up to 2% for PM2.5 and close to 4% for NO2. The impact on NO2 at street level (that will be higher than on urban background) is not evaluated in this work. The air quality improvement of the simulated SUMP would only partially alleviate air quality problems in urban areas, but such a reduction in the emissions of air pollutants should still be considered as a positive result of SUMPs, given that they correspond to a set of low-cost measures that can be implemented at local level. Furthermore, the introduction of electro-mobility options (not considered here) would increase the impact on air quality. Other types of benefits, such as reduced fuel consumption, greenhouse gas emissions, higher impact at street level or accident rates reduction further add to the overall positive impact.","author":[{"dropping-particle":"","family":"Pisoni","given":"E.","non-dropping-particle":"","parse-names":false,"suffix":""},{"dropping-particle":"","family":"Christidis","given":"P.","non-dropping-particle":"","parse-names":false,"suffix":""},{"dropping-particle":"","family":"Thunis","given":"P.","non-dropping-particle":"","parse-names":false,"suffix":""},{"dropping-particle":"","family":"Trombetti","given":"M.","non-dropping-particle":"","parse-names":false,"suffix":""}],"container-title":"Journal of Environmental Management","id":"ITEM-2","issued":{"date-parts":[["2019","2","1"]]},"page":"249-255","publisher":"Academic Press","title":"Evaluating the impact of “Sustainable Urban Mobility Plans” on urban background air quality","type":"article-journal","volume":"231"},"uris":["http://www.mendeley.com/documents/?uuid=ba656ac3-99a0-3c92-83a4-4a1cfb69acd6"]}],"mendeley":{"formattedCitation":"(Pisoni et al., 2019; York Bigazzi and Rouleau, 2017)","manualFormatting":"(Pisoni et al., 2019)","plainTextFormattedCitation":"(Pisoni et al., 2019; York Bigazzi and Rouleau, 2017)","previouslyFormattedCitation":"(Pisoni et al., 2019; York Bigazzi and Rouleau, 2017)"},"properties":{"noteIndex":0},"schema":"https://github.com/citation-style-language/schema/raw/master/csl-citation.json"}</w:instrText>
      </w:r>
      <w:r w:rsidRPr="035DD17A">
        <w:rPr>
          <w:lang w:val="en-GB"/>
        </w:rPr>
        <w:fldChar w:fldCharType="separate"/>
      </w:r>
      <w:r w:rsidRPr="035DD17A" w:rsidR="00A92537">
        <w:rPr>
          <w:noProof/>
          <w:lang w:val="en-GB"/>
        </w:rPr>
        <w:t>(Pisoni et al., 2019)</w:t>
      </w:r>
      <w:r w:rsidRPr="035DD17A">
        <w:rPr>
          <w:lang w:val="en-GB"/>
        </w:rPr>
        <w:fldChar w:fldCharType="end"/>
      </w:r>
      <w:r w:rsidRPr="035DD17A" w:rsidR="00A92537">
        <w:rPr>
          <w:lang w:val="en-GB"/>
        </w:rPr>
        <w:t>.</w:t>
      </w:r>
      <w:r w:rsidRPr="035DD17A" w:rsidR="00495906">
        <w:rPr>
          <w:noProof/>
          <w:lang w:val="en-GB"/>
        </w:rPr>
        <w:t xml:space="preserve"> </w:t>
      </w:r>
      <w:r w:rsidRPr="035DD17A" w:rsidR="00371581">
        <w:rPr>
          <w:lang w:val="en-GB"/>
        </w:rPr>
        <w:t>Road transport</w:t>
      </w:r>
      <w:r w:rsidRPr="035DD17A" w:rsidR="00B11A14">
        <w:rPr>
          <w:lang w:val="en-GB"/>
        </w:rPr>
        <w:t xml:space="preserve"> technological measures show an expected reduction of emissions below 20%, for some measures, </w:t>
      </w:r>
      <w:r w:rsidRPr="035DD17A" w:rsidR="00544A82">
        <w:rPr>
          <w:lang w:val="en-GB"/>
        </w:rPr>
        <w:t>while</w:t>
      </w:r>
      <w:r w:rsidRPr="035DD17A" w:rsidR="00B11A14">
        <w:rPr>
          <w:lang w:val="en-GB"/>
        </w:rPr>
        <w:t xml:space="preserve"> low emission zones and pricings are expected to be more effective</w:t>
      </w:r>
      <w:r w:rsidRPr="035DD17A" w:rsidR="00371581">
        <w:rPr>
          <w:lang w:val="en-GB"/>
        </w:rPr>
        <w:t>,</w:t>
      </w:r>
      <w:r w:rsidRPr="035DD17A" w:rsidR="00B11A14">
        <w:rPr>
          <w:lang w:val="en-GB"/>
        </w:rPr>
        <w:t xml:space="preserve"> reaching up to 50% of reductions</w:t>
      </w:r>
      <w:r w:rsidRPr="035DD17A" w:rsidR="00371581">
        <w:rPr>
          <w:lang w:val="en-GB"/>
        </w:rPr>
        <w:t xml:space="preserve"> (</w:t>
      </w:r>
      <w:r w:rsidRPr="035DD17A">
        <w:rPr>
          <w:lang w:val="en-GB"/>
        </w:rPr>
        <w:fldChar w:fldCharType="begin" w:fldLock="true"/>
      </w:r>
      <w:r w:rsidRPr="035DD17A">
        <w:rPr>
          <w:lang w:val="en-GB"/>
        </w:rPr>
        <w:instrText xml:space="preserve">ADDIN CSL_CITATION {"citationItems":[{"id":"ITEM-1","itemData":{"DOI":"10.1016/j.jth.2017.08.001","ISSN":"22141405","abstract":"This paper reviews the effectiveness of traffic management strategies (TMS) for mitigating emissions, ambient concentrations, human exposure, and health effects of traffic-related air pollution in urban areas. The objective is to summarize the evidence base for a range of moderate-scale strategies broadly relevant to municipal and regional government decision-making. A systematic literature search was carried out to identify empirical studies of TMS effects on emissions, air quality, exposure, or health. Identified studies were reviewed to assess the state of evidence that TMS can improve urban air quality and pollution-related health outcomes for exposed populations. Overall, the evidence base is weak for these effects. There is limited evidence of effects on emissions for 7 of the 22 studied strategies, and limited evidence of effects on air quality for 2 of the strategies: area road pricing and low emission zones. Insufficient evidence exists for all other TMS and effects. Existing evidence suggests that aggressive area-based TMS such as low emission zones are needed to generate substantial air quality benefits, and that TMS must be implemented with care to avoid unintended detrimental and rebound effects. The evidence base is limited by a lack of ex post evaluations of implemented strategies, lack of evaluation of exposure and health impacts, small intervention effects relative to the influences of other factors, and insufficient evaluation of spillover and indirect effects. Evolving vehicle fleets add further uncertainty to the long-range effects of TMS on air quality. Effects of TMS on measured population exposure and public health outcomes have not been well-studied. An evidence-based approach to transportation systems planning necessitates additional resource allocation to ex post evaluations and performance monitoring for air quality impacts of traffic management strategies.","author":[{"dropping-particle":"","family":"York Bigazzi","given":"Alexander","non-dropping-particle":"","parse-names":false,"suffix":""},{"dropping-particle":"","family":"Rouleau","given":"Mathieu","non-dropping-particle":"","parse-names":false,"suffix":""}],"container-title":"Journal of Transport and Health","id":"ITEM-1","issued":{"date-parts":[["2017","12","1"]]},"page":"111-124","publisher":"Elsevier Ltd","title":"Can traffic management strategies improve urban air quality? A review of the evidence","type":"article","volume":"7"},"uris":["http://www.mendeley.com/documents/?uuid=7c0eb438-3c87-35d4-8e47-94d12598185a"]}],"mendeley":{"formattedCitation":"(York Bigazzi and Rouleau, 2017)","manualFormatting":"York Bigazzi and Rouleau (2017)","plainTextFormattedCitation":"(York Bigazzi and Rouleau, 2017)","previouslyFormattedCitation":"(York Bigazzi and Rouleau, 2017)"},"properties":{"noteIndex":0},"schema":"https://github.com/citation-style-language/schema/raw/master/csl-citation.json"}</w:instrText>
      </w:r>
      <w:r w:rsidRPr="035DD17A">
        <w:rPr>
          <w:lang w:val="en-GB"/>
        </w:rPr>
        <w:fldChar w:fldCharType="separate"/>
      </w:r>
      <w:r w:rsidRPr="035DD17A" w:rsidR="00371581">
        <w:rPr>
          <w:noProof/>
          <w:lang w:val="en-GB"/>
        </w:rPr>
        <w:t>York Bigazzi and Rouleau (2017)</w:t>
      </w:r>
      <w:r w:rsidRPr="035DD17A">
        <w:rPr>
          <w:lang w:val="en-GB"/>
        </w:rPr>
        <w:fldChar w:fldCharType="end"/>
      </w:r>
      <w:r w:rsidRPr="035DD17A" w:rsidR="00371581">
        <w:rPr>
          <w:lang w:val="en-GB"/>
        </w:rPr>
        <w:t>)</w:t>
      </w:r>
      <w:r w:rsidRPr="035DD17A" w:rsidR="00B11A14">
        <w:rPr>
          <w:lang w:val="en-GB"/>
        </w:rPr>
        <w:t xml:space="preserve">. These measures were expected to lead </w:t>
      </w:r>
      <w:r w:rsidRPr="035DD17A" w:rsidR="00323905">
        <w:rPr>
          <w:lang w:val="en-GB"/>
        </w:rPr>
        <w:t xml:space="preserve">from 10% </w:t>
      </w:r>
      <w:r w:rsidRPr="035DD17A" w:rsidR="00B11A14">
        <w:rPr>
          <w:lang w:val="en-GB"/>
        </w:rPr>
        <w:t xml:space="preserve">up to 25% of air quality improvements. </w:t>
      </w:r>
      <w:r w:rsidRPr="035DD17A">
        <w:rPr>
          <w:lang w:val="en-GB"/>
        </w:rPr>
        <w:fldChar w:fldCharType="begin" w:fldLock="true"/>
      </w:r>
      <w:r w:rsidRPr="035DD17A">
        <w:rPr>
          <w:lang w:val="en-GB"/>
        </w:rPr>
        <w:instrText xml:space="preserve">ADDIN CSL_CITATION {"citationItems":[{"id":"ITEM-1","itemData":{"DOI":"10.1016/j.trd.2020.102536","ISSN":"13619209","abstract":"In the German project Traffic Development and the Environment an advanced model chain was built up that includes traffic models, fleet composition developments, new driving technologies, and emission factors in order to produce spatio-temporal emission distributions for use in atmospheric chemistry transport models. This novel model chain was first used to calculate current day traffic emissions in Germany and then to develop consistent future scenarios for 2040. In all scenarios, NOx emissions from traffic decrease by approximately 80% while PM emissions show a lower reduction. The scenarios Free Play, which is based on a free market economics logic, and Regulated Shift, which considers stricter environmental regulations, represent large differences in traffic emissions. NOx emissions will be 32% lower and PM emissions 13% lower in the Regulated Shift scenario compared to the Free Play. The data can be combined with other anthropogenic emissions for investigating air quality with chemistry transport models.","author":[{"dropping-particle":"","family":"Matthias","given":"Volker","non-dropping-particle":"","parse-names":false,"suffix":""},{"dropping-particle":"","family":"Bieser","given":"Johannes","non-dropping-particle":"","parse-names":false,"suffix":""},{"dropping-particle":"","family":"Mocanu","given":"Tudor","non-dropping-particle":"","parse-names":false,"suffix":""},{"dropping-particle":"","family":"Pregger","given":"Thomas","non-dropping-particle":"","parse-names":false,"suffix":""},{"dropping-particle":"","family":"Quante","given":"Markus","non-dropping-particle":"","parse-names":false,"suffix":""},{"dropping-particle":"","family":"Ramacher","given":"Martin O.P.","non-dropping-particle":"","parse-names":false,"suffix":""},{"dropping-particle":"","family":"Seum","given":"Stefan","non-dropping-particle":"","parse-names":false,"suffix":""},{"dropping-particle":"","family":"Winkler","given":"Christian","non-dropping-particle":"","parse-names":false,"suffix":""}],"container-title":"Transportation Research Part D: Transport and Environment","id":"ITEM-1","issued":{"date-parts":[["2020","10","1"]]},"publisher":"Elsevier Ltd","title":"Modelling road transport emissions in Germany – Current day situation and scenarios for 2040","type":"article-journal","volume":"87"},"uris":["http://www.mendeley.com/documents/?uuid=fd93f062-0d41-38ab-81f9-954d517a914f"]}],"mendeley":{"formattedCitation":"(Matthias et al., 2020)","manualFormatting":"Matthias et al. (2020)","plainTextFormattedCitation":"(Matthias et al., 2020)","previouslyFormattedCitation":"(Matthias et al., 2020)"},"properties":{"noteIndex":0},"schema":"https://github.com/citation-style-language/schema/raw/master/csl-citation.json"}</w:instrText>
      </w:r>
      <w:r w:rsidRPr="035DD17A">
        <w:rPr>
          <w:lang w:val="en-GB"/>
        </w:rPr>
        <w:fldChar w:fldCharType="separate"/>
      </w:r>
      <w:r w:rsidRPr="035DD17A" w:rsidR="00916C0A">
        <w:rPr>
          <w:noProof/>
          <w:lang w:val="en-GB"/>
        </w:rPr>
        <w:t>Matthias et al. (2020)</w:t>
      </w:r>
      <w:r w:rsidRPr="035DD17A">
        <w:rPr>
          <w:lang w:val="en-GB"/>
        </w:rPr>
        <w:fldChar w:fldCharType="end"/>
      </w:r>
      <w:r w:rsidRPr="035DD17A" w:rsidR="00B11A14">
        <w:rPr>
          <w:lang w:val="en-GB"/>
        </w:rPr>
        <w:t xml:space="preserve"> concluded by applying traffic measures that in the future, NOx emissions from transport are expected to be highly reduced, while PM emissions show </w:t>
      </w:r>
      <w:r w:rsidRPr="035DD17A" w:rsidR="00371581">
        <w:rPr>
          <w:lang w:val="en-GB"/>
        </w:rPr>
        <w:t>less</w:t>
      </w:r>
      <w:r w:rsidRPr="035DD17A" w:rsidR="00B11A14">
        <w:rPr>
          <w:lang w:val="en-GB"/>
        </w:rPr>
        <w:t xml:space="preserve"> reduction </w:t>
      </w:r>
      <w:r w:rsidRPr="035DD17A" w:rsidR="00371581">
        <w:rPr>
          <w:lang w:val="en-GB"/>
        </w:rPr>
        <w:t>due to</w:t>
      </w:r>
      <w:r w:rsidRPr="035DD17A" w:rsidR="00B11A14">
        <w:rPr>
          <w:lang w:val="en-GB"/>
        </w:rPr>
        <w:t xml:space="preserve"> non-exhaust particle emission, </w:t>
      </w:r>
      <w:r w:rsidRPr="035DD17A" w:rsidR="00371581">
        <w:rPr>
          <w:lang w:val="en-GB"/>
        </w:rPr>
        <w:t>i.e</w:t>
      </w:r>
      <w:r w:rsidRPr="035DD17A" w:rsidR="1B5A3C14">
        <w:rPr>
          <w:lang w:val="en-GB"/>
        </w:rPr>
        <w:t>.,</w:t>
      </w:r>
      <w:r w:rsidRPr="035DD17A" w:rsidR="00B11A14">
        <w:rPr>
          <w:lang w:val="en-GB"/>
        </w:rPr>
        <w:t xml:space="preserve"> brake, tire, and street wear.  </w:t>
      </w:r>
    </w:p>
    <w:p w:rsidRPr="002A63DA" w:rsidR="00A77F0A" w:rsidP="00A77F0A" w:rsidRDefault="00A92537" w14:paraId="041BE994" w14:textId="2E8DE068">
      <w:pPr>
        <w:rPr>
          <w:lang w:val="en-GB"/>
        </w:rPr>
      </w:pPr>
      <w:r w:rsidRPr="035DD17A" w:rsidR="00A92537">
        <w:rPr>
          <w:lang w:val="en-GB"/>
        </w:rPr>
        <w:t>To tackle PM emissions in urban areas, it is essential to consider the residential heating sector, especially due to the increased practice of household biomass burning as it is a cheaper alternative to the primary energy sources (e.g</w:t>
      </w:r>
      <w:r w:rsidRPr="035DD17A" w:rsidR="495B9768">
        <w:rPr>
          <w:lang w:val="en-GB"/>
        </w:rPr>
        <w:t>.,</w:t>
      </w:r>
      <w:r w:rsidRPr="035DD17A" w:rsidR="00A92537">
        <w:rPr>
          <w:lang w:val="en-GB"/>
        </w:rPr>
        <w:t xml:space="preserve"> oil and natural gas) and as the emergence of solid fuel-burning for recreational or atheistic purposes. </w:t>
      </w:r>
      <w:r w:rsidRPr="035DD17A" w:rsidR="003E1DB1">
        <w:rPr>
          <w:lang w:val="en-GB"/>
        </w:rPr>
        <w:t>Domestic w</w:t>
      </w:r>
      <w:r w:rsidRPr="035DD17A" w:rsidR="008A5B6F">
        <w:rPr>
          <w:lang w:val="en-GB"/>
        </w:rPr>
        <w:t xml:space="preserve">ood combustion is a major source of ambient </w:t>
      </w:r>
      <w:r w:rsidRPr="035DD17A" w:rsidR="00A92537">
        <w:rPr>
          <w:lang w:val="en-GB"/>
        </w:rPr>
        <w:t>PM</w:t>
      </w:r>
      <w:r w:rsidRPr="035DD17A" w:rsidR="008A5B6F">
        <w:rPr>
          <w:lang w:val="en-GB"/>
        </w:rPr>
        <w:t>, mainly during winter, accounting for 20–30% of local heating-season ambient PM2.5 levels, var</w:t>
      </w:r>
      <w:r w:rsidRPr="035DD17A" w:rsidR="00AB4BAD">
        <w:rPr>
          <w:lang w:val="en-GB"/>
        </w:rPr>
        <w:t>ying</w:t>
      </w:r>
      <w:r w:rsidRPr="035DD17A" w:rsidR="008A5B6F">
        <w:rPr>
          <w:lang w:val="en-GB"/>
        </w:rPr>
        <w:t xml:space="preserve"> by location </w:t>
      </w:r>
      <w:r w:rsidRPr="035DD17A">
        <w:rPr>
          <w:lang w:val="en-GB"/>
        </w:rPr>
        <w:fldChar w:fldCharType="begin" w:fldLock="true"/>
      </w:r>
      <w:r w:rsidRPr="035DD17A">
        <w:rPr>
          <w:lang w:val="en-GB"/>
        </w:rPr>
        <w:instrText xml:space="preserve">ADDIN CSL_CITATION {"citationItems":[{"id":"ITEM-1","itemData":{"URL":"https://www.euro.who.int/en/publications/abstracts/residential-heating-with-wood-and-coal-health-impacts-and-policy-options-in-europe-and-north-america","accessed":{"date-parts":[["2021","2","21"]]},"author":[{"dropping-particle":"","family":"WHO","given":"","non-dropping-particle":"","parse-names":false,"suffix":""}],"id":"ITEM-1","issued":{"date-parts":[["2015"]]},"title":"Residential heating with wood and coal: health impacts and policy options in Europe and North America","type":"webpage"},"uris":["http://www.mendeley.com/documents/?uuid=4a49015f-36f7-3a27-8d28-a455cafec357"]}],"mendeley":{"formattedCitation":"(WHO, 2015)","plainTextFormattedCitation":"(WHO, 2015)","previouslyFormattedCitation":"(WHO, 2015)"},"properties":{"noteIndex":0},"schema":"https://github.com/citation-style-language/schema/raw/master/csl-citation.json"}</w:instrText>
      </w:r>
      <w:r w:rsidRPr="035DD17A">
        <w:rPr>
          <w:lang w:val="en-GB"/>
        </w:rPr>
        <w:fldChar w:fldCharType="separate"/>
      </w:r>
      <w:r w:rsidRPr="035DD17A" w:rsidR="008A5B6F">
        <w:rPr>
          <w:noProof/>
          <w:lang w:val="en-GB"/>
        </w:rPr>
        <w:t>(WHO, 2015)</w:t>
      </w:r>
      <w:r w:rsidRPr="035DD17A">
        <w:rPr>
          <w:lang w:val="en-GB"/>
        </w:rPr>
        <w:fldChar w:fldCharType="end"/>
      </w:r>
      <w:r w:rsidRPr="035DD17A" w:rsidR="008A5B6F">
        <w:rPr>
          <w:lang w:val="en-GB"/>
        </w:rPr>
        <w:t xml:space="preserve">, but not always perceived as a problem by citizens </w:t>
      </w:r>
      <w:r w:rsidRPr="035DD17A">
        <w:rPr>
          <w:lang w:val="en-GB"/>
        </w:rPr>
        <w:fldChar w:fldCharType="begin" w:fldLock="true"/>
      </w:r>
      <w:r w:rsidRPr="035DD17A">
        <w:rPr>
          <w:lang w:val="en-GB"/>
        </w:rPr>
        <w:instrText xml:space="preserve">ADDIN CSL_CITATION {"citationItems":[{"id":"ITEM-1","itemData":{"DOI":"10.5281/ZENODO.3972897","author":[{"dropping-particle":"","family":"Slingerland","given":"Stephan","non-dropping-particle":"","parse-names":false,"suffix":""},{"dropping-particle":"","family":"Artola","given":"Irati","non-dropping-particle":"","parse-names":false,"suffix":""},{"dropping-particle":"","family":"Bolscher","given":"Hans","non-dropping-particle":"","parse-names":false,"suffix":""},{"dropping-particle":"","family":"Rodrigues","given":"Vera","non-dropping-particle":"","parse-names":false,"suffix":""},{"dropping-particle":"","family":"Oliveira","given":"Kevin","non-dropping-particle":"","parse-names":false,"suffix":""},{"dropping-particle":"","family":"Lopes","given":"Myriam","non-dropping-particle":"","parse-names":false,"suffix":""},{"dropping-particle":"","family":"Csobod","given":"Eva","non-dropping-particle":"","parse-names":false,"suffix":""},{"dropping-particle":"","family":"Trozzi","given":"Carlo","non-dropping-particle":"","parse-names":false,"suffix":""},{"dropping-particle":"","family":"Knudsen","given":"Svein","non-dropping-particle":"","parse-names":false,"suffix":""},{"dropping-particle":"","family":"Soares","given":"Joana","non-dropping-particle":"","parse-names":false,"suffix":""}],"id":"ITEM-1","issued":{"date-parts":[["2020","1","30"]]},"title":"D7.4 Final City Policy Package – First City","type":"article-journal"},"uris":["http://www.mendeley.com/documents/?uuid=cbc0195d-42d0-30a1-98cf-1efe54fed5fc"]}],"mendeley":{"formattedCitation":"(Slingerland et al., 2020)","plainTextFormattedCitation":"(Slingerland et al., 2020)","previouslyFormattedCitation":"(Slingerland et al., 2020)"},"properties":{"noteIndex":0},"schema":"https://github.com/citation-style-language/schema/raw/master/csl-citation.json"}</w:instrText>
      </w:r>
      <w:r w:rsidRPr="035DD17A">
        <w:rPr>
          <w:lang w:val="en-GB"/>
        </w:rPr>
        <w:fldChar w:fldCharType="separate"/>
      </w:r>
      <w:r w:rsidRPr="035DD17A" w:rsidR="008A5B6F">
        <w:rPr>
          <w:noProof/>
          <w:lang w:val="en-GB"/>
        </w:rPr>
        <w:t>(Slingerland et al., 2020)</w:t>
      </w:r>
      <w:r w:rsidRPr="035DD17A">
        <w:rPr>
          <w:lang w:val="en-GB"/>
        </w:rPr>
        <w:fldChar w:fldCharType="end"/>
      </w:r>
      <w:r w:rsidRPr="035DD17A" w:rsidR="008A5B6F">
        <w:rPr>
          <w:lang w:val="en-GB"/>
        </w:rPr>
        <w:t xml:space="preserve">. </w:t>
      </w:r>
      <w:r w:rsidRPr="035DD17A" w:rsidR="00A92537">
        <w:rPr>
          <w:lang w:val="en-GB"/>
        </w:rPr>
        <w:t xml:space="preserve">As shown by </w:t>
      </w:r>
      <w:r w:rsidRPr="035DD17A">
        <w:rPr>
          <w:lang w:val="en-GB"/>
        </w:rPr>
        <w:fldChar w:fldCharType="begin" w:fldLock="true"/>
      </w:r>
      <w:r w:rsidRPr="035DD17A">
        <w:rPr>
          <w:lang w:val="en-GB"/>
        </w:rPr>
        <w:instrText xml:space="preserve">ADDIN CSL_CITATION {"citationItems":[{"id":"ITEM-1","itemData":{"DOI":"10.1016/j.atmosres.2017.08.027","ISSN":"01698095","abstract":"Residential biomass burning has been pointed out as one of the largest sources of fine particles in the global troposphere with serious impacts on air quality, climate and human health. Quantitative estimations of the contribution of this source to the atmospheric particulate matter levels are hard to obtain, because emission factors vary greatly with wood type, combustion equipment and operating conditions. Updated information should improve not only regional and global biomass burning emission inventories, but also the input for atmospheric models. In this work, an extensive tabulation of particulate matter emission factors obtained worldwide is presented and critically evaluated. Existing quantifications and the suitability of specific organic markers to assign the input of residential biomass combustion to the ambient carbonaceous aerosol are also discussed. Based on these organic markers or other tracers, estimates of the contribution of this sector to observed particulate levels by receptor models for different regions around the world are compiled. Key areas requiring future research are highlighted and briefly discussed.","author":[{"dropping-particle":"","family":"Vicente","given":"E. D.","non-dropping-particle":"","parse-names":false,"suffix":""},{"dropping-particle":"","family":"Alves","given":"C. A.","non-dropping-particle":"","parse-names":false,"suffix":""}],"container-title":"Atmospheric Research","id":"ITEM-1","issued":{"date-parts":[["2018","1","1"]]},"page":"159-185","publisher":"Elsevier Ltd","title":"An overview of particulate emissions from residential biomass combustion","type":"article","volume":"199"},"uris":["http://www.mendeley.com/documents/?uuid=cee60ac3-c002-3b1c-bcd3-6873c3d263ed"]}],"mendeley":{"formattedCitation":"(Vicente and Alves, 2018)","manualFormatting":"Vicente and Alves (2018)","plainTextFormattedCitation":"(Vicente and Alves, 2018)","previouslyFormattedCitation":"(Vicente and Alves, 2018)"},"properties":{"noteIndex":0},"schema":"https://github.com/citation-style-language/schema/raw/master/csl-citation.json"}</w:instrText>
      </w:r>
      <w:r w:rsidRPr="035DD17A">
        <w:rPr>
          <w:lang w:val="en-GB"/>
        </w:rPr>
        <w:fldChar w:fldCharType="separate"/>
      </w:r>
      <w:r w:rsidRPr="035DD17A" w:rsidR="00D454FF">
        <w:rPr>
          <w:noProof/>
          <w:lang w:val="en-GB"/>
        </w:rPr>
        <w:t>Vicente and Alves (2018)</w:t>
      </w:r>
      <w:r w:rsidRPr="035DD17A">
        <w:rPr>
          <w:lang w:val="en-GB"/>
        </w:rPr>
        <w:fldChar w:fldCharType="end"/>
      </w:r>
      <w:r w:rsidRPr="035DD17A" w:rsidR="00A92537">
        <w:rPr>
          <w:lang w:val="en-GB"/>
        </w:rPr>
        <w:t>, several technological improvements can be made to reduce residential biomass combustion PM emissions. However, some of these technologies are not well-developed for domestic scale applications, would increase costs and maintenance and may even raise safety issues. Therefore, national governments and regional authorities should support voluntary woodstove and fireplace replacement/retrofit programs to motivate households to replace older technologies with safer, more efficient, cleaner-burning technologies.</w:t>
      </w:r>
      <w:r w:rsidRPr="035DD17A" w:rsidR="00F0027A">
        <w:rPr>
          <w:lang w:val="en-GB"/>
        </w:rPr>
        <w:t xml:space="preserve"> Even</w:t>
      </w:r>
      <w:r w:rsidRPr="035DD17A" w:rsidR="00665A93">
        <w:rPr>
          <w:lang w:val="en-GB"/>
        </w:rPr>
        <w:t xml:space="preserve"> w</w:t>
      </w:r>
      <w:r w:rsidRPr="035DD17A" w:rsidR="00F0027A">
        <w:rPr>
          <w:lang w:val="en-GB"/>
        </w:rPr>
        <w:t xml:space="preserve">ith </w:t>
      </w:r>
      <w:bookmarkStart w:name="OLE_LINK1" w:id="0"/>
      <w:r w:rsidRPr="035DD17A" w:rsidR="00F0027A">
        <w:rPr>
          <w:lang w:val="en-GB"/>
        </w:rPr>
        <w:t xml:space="preserve">the recent </w:t>
      </w:r>
      <w:r w:rsidRPr="035DD17A" w:rsidR="00665A93">
        <w:rPr>
          <w:lang w:val="en-GB"/>
        </w:rPr>
        <w:t xml:space="preserve">standardisation </w:t>
      </w:r>
      <w:bookmarkEnd w:id="0"/>
      <w:r w:rsidRPr="035DD17A" w:rsidR="00665A93">
        <w:rPr>
          <w:lang w:val="en-GB"/>
        </w:rPr>
        <w:t xml:space="preserve">framework </w:t>
      </w:r>
      <w:r w:rsidRPr="035DD17A" w:rsidR="00B709D8">
        <w:rPr>
          <w:lang w:val="en-GB"/>
        </w:rPr>
        <w:t xml:space="preserve">of requirements for domestic heating systems </w:t>
      </w:r>
      <w:r w:rsidRPr="035DD17A" w:rsidR="00FE2D91">
        <w:rPr>
          <w:lang w:val="en-GB"/>
        </w:rPr>
        <w:t xml:space="preserve">set </w:t>
      </w:r>
      <w:r w:rsidRPr="035DD17A" w:rsidR="00665A93">
        <w:rPr>
          <w:lang w:val="en-GB"/>
        </w:rPr>
        <w:t>by the European Committee</w:t>
      </w:r>
      <w:r w:rsidRPr="035DD17A" w:rsidR="008A2E49">
        <w:rPr>
          <w:lang w:val="en-GB"/>
        </w:rPr>
        <w:t xml:space="preserve"> </w:t>
      </w:r>
      <w:r w:rsidRPr="035DD17A">
        <w:rPr>
          <w:lang w:val="en-GB"/>
        </w:rPr>
        <w:fldChar w:fldCharType="begin" w:fldLock="true"/>
      </w:r>
      <w:r w:rsidRPr="035DD17A">
        <w:rPr>
          <w:lang w:val="en-GB"/>
        </w:rPr>
        <w:instrText xml:space="preserve">ADDIN CSL_CITATION {"citationItems":[{"id":"ITEM-1","itemData":{"URL":"https://eur-lex.europa.eu/legal-content/EN/ALL/?uri=celex:32009L0125","accessed":{"date-parts":[["2021","4","1"]]},"author":[{"dropping-particle":"","family":"Council Directive 2009/125/EC","given":"","non-dropping-particle":"","parse-names":false,"suffix":""}],"container-title":"OJ L 285","id":"ITEM-1","issued":{"date-parts":[["2009","10","31"]]},"page":"10-35","title":"Directive 2009/125/EC of the European Parliament and of the Council of 21 October 2009 establishing a framework for the setting of ecodesign requirements for energy-related products","type":"webpage"},"uris":["http://www.mendeley.com/documents/?uuid=df2083d9-6511-36da-863e-199e162a3f71"]}],"mendeley":{"formattedCitation":"(Council Directive 2009/125/EC, 2009)","plainTextFormattedCitation":"(Council Directive 2009/125/EC, 2009)","previouslyFormattedCitation":"(Council Directive 2009/125/EC, 2009)"},"properties":{"noteIndex":0},"schema":"https://github.com/citation-style-language/schema/raw/master/csl-citation.json"}</w:instrText>
      </w:r>
      <w:r w:rsidRPr="035DD17A">
        <w:rPr>
          <w:lang w:val="en-GB"/>
        </w:rPr>
        <w:fldChar w:fldCharType="separate"/>
      </w:r>
      <w:r w:rsidRPr="035DD17A" w:rsidR="007A164F">
        <w:rPr>
          <w:noProof/>
          <w:lang w:val="en-GB"/>
        </w:rPr>
        <w:t>(Council Directive 2009/125/EC, 2009)</w:t>
      </w:r>
      <w:r w:rsidRPr="035DD17A">
        <w:rPr>
          <w:lang w:val="en-GB"/>
        </w:rPr>
        <w:fldChar w:fldCharType="end"/>
      </w:r>
      <w:r w:rsidRPr="035DD17A" w:rsidR="00FE2D91">
        <w:rPr>
          <w:lang w:val="en-GB"/>
        </w:rPr>
        <w:t xml:space="preserve">, the </w:t>
      </w:r>
      <w:r w:rsidRPr="035DD17A" w:rsidR="004B5FA2">
        <w:rPr>
          <w:lang w:val="en-GB"/>
        </w:rPr>
        <w:t xml:space="preserve">citizen </w:t>
      </w:r>
      <w:r w:rsidRPr="035DD17A" w:rsidR="00FE2D91">
        <w:rPr>
          <w:lang w:val="en-GB"/>
        </w:rPr>
        <w:t xml:space="preserve">behaviour change </w:t>
      </w:r>
      <w:r w:rsidRPr="035DD17A" w:rsidR="009133A9">
        <w:rPr>
          <w:lang w:val="en-GB"/>
        </w:rPr>
        <w:t xml:space="preserve">is </w:t>
      </w:r>
      <w:r w:rsidRPr="035DD17A" w:rsidR="00B709D8">
        <w:rPr>
          <w:lang w:val="en-GB"/>
        </w:rPr>
        <w:t>necessary</w:t>
      </w:r>
      <w:r w:rsidRPr="035DD17A" w:rsidR="00FE2D91">
        <w:rPr>
          <w:lang w:val="en-GB"/>
        </w:rPr>
        <w:t xml:space="preserve"> to face this </w:t>
      </w:r>
      <w:r w:rsidRPr="035DD17A" w:rsidR="009445BE">
        <w:rPr>
          <w:lang w:val="en-GB"/>
        </w:rPr>
        <w:t>problem</w:t>
      </w:r>
      <w:r w:rsidRPr="035DD17A" w:rsidR="006B1F79">
        <w:rPr>
          <w:lang w:val="en-GB"/>
        </w:rPr>
        <w:t xml:space="preserve"> </w:t>
      </w:r>
      <w:r w:rsidRPr="035DD17A">
        <w:rPr>
          <w:lang w:val="en-GB"/>
        </w:rPr>
        <w:fldChar w:fldCharType="begin" w:fldLock="true"/>
      </w:r>
      <w:r w:rsidRPr="035DD17A">
        <w:rPr>
          <w:lang w:val="en-GB"/>
        </w:rPr>
        <w:instrText xml:space="preserve">ADDIN CSL_CITATION {"citationItems":[{"id":"ITEM-1","itemData":{"DOI":"10.1016/j.atmosres.2017.08.027","ISSN":"01698095","abstract":"Residential biomass burning has been pointed out as one of the largest sources of fine particles in the global troposphere with serious impacts on air quality, climate and human health. Quantitative estimations of the contribution of this source to the atmospheric particulate matter levels are hard to obtain, because emission factors vary greatly with wood type, combustion equipment and operating conditions. Updated information should improve not only regional and global biomass burning emission inventories, but also the input for atmospheric models. In this work, an extensive tabulation of particulate matter emission factors obtained worldwide is presented and critically evaluated. Existing quantifications and the suitability of specific organic markers to assign the input of residential biomass combustion to the ambient carbonaceous aerosol are also discussed. Based on these organic markers or other tracers, estimates of the contribution of this sector to observed particulate levels by receptor models for different regions around the world are compiled. Key areas requiring future research are highlighted and briefly discussed.","author":[{"dropping-particle":"","family":"Vicente","given":"E. D.","non-dropping-particle":"","parse-names":false,"suffix":""},{"dropping-particle":"","family":"Alves","given":"C. A.","non-dropping-particle":"","parse-names":false,"suffix":""}],"container-title":"Atmospheric Research","id":"ITEM-1","issued":{"date-parts":[["2018","1","1"]]},"page":"159-185","publisher":"Elsevier Ltd","title":"An overview of particulate emissions from residential biomass combustion","type":"article","volume":"199"},"uris":["http://www.mendeley.com/documents/?uuid=cee60ac3-c002-3b1c-bcd3-6873c3d263ed"]}],"mendeley":{"formattedCitation":"(Vicente and Alves, 2018)","plainTextFormattedCitation":"(Vicente and Alves, 2018)","previouslyFormattedCitation":"(Vicente and Alves, 2018)"},"properties":{"noteIndex":0},"schema":"https://github.com/citation-style-language/schema/raw/master/csl-citation.json"}</w:instrText>
      </w:r>
      <w:r w:rsidRPr="035DD17A">
        <w:rPr>
          <w:lang w:val="en-GB"/>
        </w:rPr>
        <w:fldChar w:fldCharType="separate"/>
      </w:r>
      <w:r w:rsidRPr="035DD17A" w:rsidR="006B1F79">
        <w:rPr>
          <w:noProof/>
          <w:lang w:val="en-GB"/>
        </w:rPr>
        <w:t>(Vicente and Alves, 2018)</w:t>
      </w:r>
      <w:r w:rsidRPr="035DD17A">
        <w:rPr>
          <w:lang w:val="en-GB"/>
        </w:rPr>
        <w:fldChar w:fldCharType="end"/>
      </w:r>
      <w:r w:rsidRPr="035DD17A" w:rsidR="009445BE">
        <w:rPr>
          <w:lang w:val="en-GB"/>
        </w:rPr>
        <w:t>.</w:t>
      </w:r>
    </w:p>
    <w:p w:rsidRPr="002A63DA" w:rsidR="00B112DE" w:rsidP="00B112DE" w:rsidRDefault="00A92537" w14:paraId="3DDC9707" w14:textId="4BCE81B9">
      <w:pPr>
        <w:rPr>
          <w:lang w:val="en-GB"/>
        </w:rPr>
      </w:pPr>
      <w:r w:rsidRPr="035DD17A" w:rsidR="00A92537">
        <w:rPr>
          <w:lang w:val="en-GB"/>
        </w:rPr>
        <w:t xml:space="preserve">Understanding how populations live and the societal factors that influence daily behaviours is the key to reduce emissions and improve air quality </w:t>
      </w:r>
      <w:r w:rsidRPr="035DD17A">
        <w:rPr>
          <w:lang w:val="en-GB"/>
        </w:rPr>
        <w:fldChar w:fldCharType="begin" w:fldLock="true"/>
      </w:r>
      <w:r w:rsidRPr="035DD17A">
        <w:rPr>
          <w:lang w:val="en-GB"/>
        </w:rPr>
        <w:instrText xml:space="preserve">ADDIN CSL_CITATION {"citationItems":[{"id":"ITEM-1","itemData":{"DOI":"10.5281/ZENODO.4268329","author":[{"dropping-particle":"","family":"Fogg-Rogers","given":"Laura","non-dropping-particle":"","parse-names":false,"suffix":""},{"dropping-particle":"","family":"Sardo","given":"Margarida","non-dropping-particle":"","parse-names":false,"suffix":""},{"dropping-particle":"","family":"Laggan","given":"Sophie","non-dropping-particle":"","parse-names":false,"suffix":""},{"dropping-particle":"","family":"Boushel","given":"Corra","non-dropping-particle":"","parse-names":false,"suffix":""},{"dropping-particle":"","family":"Judge","given":"David","non-dropping-particle":"","parse-names":false,"suffix":""}],"id":"ITEM-1","issued":{"date-parts":[["2020","6","10"]]},"title":"D2.8 ClairCity FInal Evaluation Report","type":"article-journal"},"uris":["http://www.mendeley.com/documents/?uuid=54df3dfc-eca3-3ded-8f07-4da478bf0074"]}],"mendeley":{"formattedCitation":"(Fogg-Rogers et al., 2020)","plainTextFormattedCitation":"(Fogg-Rogers et al., 2020)","previouslyFormattedCitation":"(Fogg-Rogers et al., 2020)"},"properties":{"noteIndex":0},"schema":"https://github.com/citation-style-language/schema/raw/master/csl-citation.json"}</w:instrText>
      </w:r>
      <w:r w:rsidRPr="035DD17A">
        <w:rPr>
          <w:lang w:val="en-GB"/>
        </w:rPr>
        <w:fldChar w:fldCharType="separate"/>
      </w:r>
      <w:r w:rsidRPr="035DD17A" w:rsidR="00A92537">
        <w:rPr>
          <w:noProof/>
          <w:lang w:val="en-GB"/>
        </w:rPr>
        <w:t>(Fogg-Rogers et al., 2020)</w:t>
      </w:r>
      <w:r w:rsidRPr="035DD17A">
        <w:rPr>
          <w:lang w:val="en-GB"/>
        </w:rPr>
        <w:fldChar w:fldCharType="end"/>
      </w:r>
      <w:r w:rsidRPr="035DD17A" w:rsidR="00A92537">
        <w:rPr>
          <w:lang w:val="en-GB"/>
        </w:rPr>
        <w:t xml:space="preserve"> and therefore comprehend the reasons for high levels of air pollution in cities is crucial for decision-making on urban air quality management </w:t>
      </w:r>
      <w:r w:rsidRPr="035DD17A">
        <w:rPr>
          <w:lang w:val="en-GB"/>
        </w:rPr>
        <w:fldChar w:fldCharType="begin" w:fldLock="true"/>
      </w:r>
      <w:r w:rsidRPr="035DD17A">
        <w:rPr>
          <w:lang w:val="en-GB"/>
        </w:rPr>
        <w:instrText xml:space="preserve">ADDIN CSL_CITATION {"citationItems":[{"id":"ITEM-1","itemData":{"ISBN":"9789294800596","abstract":"This report was prepared by the European Environment Agency (EEA) and its European Topic Centre on Air Pollution and Climate Change Mitigation (ETC/ACM). The EEA project manager was Evrim Doğan Öztürk and the ETC/ACM manager was Mar Viana","author":[{"dropping-particle":"","family":"EEA","given":"","non-dropping-particle":"","parse-names":false,"suffix":""}],"container-title":"EEA Report No 24/2018","id":"ITEM-1","issue":"24","issued":{"date-parts":[["2018"]]},"number-of-pages":"52","title":"Europe's urban air quality — re-assessing implementation challenges in cities","type":"book"},"uris":["http://www.mendeley.com/documents/?uuid=843cb39d-41c6-4cd2-8366-795d7323e81e"]}],"mendeley":{"formattedCitation":"(EEA, 2018)","plainTextFormattedCitation":"(EEA, 2018)","previouslyFormattedCitation":"(EEA, 2018)"},"properties":{"noteIndex":0},"schema":"https://github.com/citation-style-language/schema/raw/master/csl-citation.json"}</w:instrText>
      </w:r>
      <w:r w:rsidRPr="035DD17A">
        <w:rPr>
          <w:lang w:val="en-GB"/>
        </w:rPr>
        <w:fldChar w:fldCharType="separate"/>
      </w:r>
      <w:r w:rsidRPr="035DD17A" w:rsidR="00A92537">
        <w:rPr>
          <w:noProof/>
          <w:lang w:val="en-GB"/>
        </w:rPr>
        <w:t>(EEA, 2018)</w:t>
      </w:r>
      <w:r w:rsidRPr="035DD17A">
        <w:rPr>
          <w:lang w:val="en-GB"/>
        </w:rPr>
        <w:fldChar w:fldCharType="end"/>
      </w:r>
      <w:r w:rsidRPr="035DD17A" w:rsidR="00A92537">
        <w:rPr>
          <w:lang w:val="en-GB"/>
        </w:rPr>
        <w:t>.</w:t>
      </w:r>
      <w:r w:rsidRPr="035DD17A" w:rsidR="00356F9D">
        <w:rPr>
          <w:lang w:val="en-GB"/>
        </w:rPr>
        <w:t xml:space="preserve"> </w:t>
      </w:r>
      <w:r w:rsidRPr="035DD17A" w:rsidR="00A92537">
        <w:rPr>
          <w:lang w:val="en-GB"/>
        </w:rPr>
        <w:t xml:space="preserve">Initiatives targeting public awareness and behavioural changes have led to growing support and demand for measures to improve air quality </w:t>
      </w:r>
      <w:r w:rsidRPr="035DD17A">
        <w:rPr>
          <w:lang w:val="en-GB"/>
        </w:rPr>
        <w:fldChar w:fldCharType="begin" w:fldLock="true"/>
      </w:r>
      <w:r w:rsidRPr="035DD17A">
        <w:rPr>
          <w:lang w:val="en-GB"/>
        </w:rPr>
        <w:instrText xml:space="preserve">ADDIN CSL_CITATION {"citationItems":[{"id":"ITEM-1","itemData":{"ISBN":"978-92-9480-088-6","abstract":"This report presents an updated overview and analysis of air quality in Europe from 2000 to 2017. It reviews the progress made towards meeting the air quality standards established in the two EU Ambient Air Quality Directives and towards the World Health Organization (WHO) air quality guidelines (AQGs). It also presents the latest findings and estimates of population and ecosystem exposure to the air pollutants with the greatest impacts. The evaluation of the status of air quality is based mainly on reported ambient air measurements, in conjunction with modelling data and data on anthropogenic emissions and the trends they exhibit over time. The Air quality in Europe report is only possible thanks to countries' official reporting of data. We would like to recognise and acknowledge the support from the air quality experts in the reporting countries.","author":[{"dropping-particle":"","family":"EEA","given":"","non-dropping-particle":"","parse-names":false,"suffix":""}],"id":"ITEM-1","issue":"10","issued":{"date-parts":[["2019"]]},"number-of-pages":"104","title":"Air quality in Europe — 2019 report","type":"book"},"uris":["http://www.mendeley.com/documents/?uuid=bef84b9b-5f32-4f25-af5a-c85c99c8ff75"]}],"mendeley":{"formattedCitation":"(EEA, 2019)","plainTextFormattedCitation":"(EEA, 2019)","previouslyFormattedCitation":"(EEA, 2019)"},"properties":{"noteIndex":0},"schema":"https://github.com/citation-style-language/schema/raw/master/csl-citation.json"}</w:instrText>
      </w:r>
      <w:r w:rsidRPr="035DD17A">
        <w:rPr>
          <w:lang w:val="en-GB"/>
        </w:rPr>
        <w:fldChar w:fldCharType="separate"/>
      </w:r>
      <w:r w:rsidRPr="035DD17A" w:rsidR="00A92537">
        <w:rPr>
          <w:noProof/>
          <w:lang w:val="en-GB"/>
        </w:rPr>
        <w:t>(EEA, 2019)</w:t>
      </w:r>
      <w:r w:rsidRPr="035DD17A">
        <w:rPr>
          <w:lang w:val="en-GB"/>
        </w:rPr>
        <w:fldChar w:fldCharType="end"/>
      </w:r>
      <w:r w:rsidRPr="035DD17A" w:rsidR="00A92537">
        <w:rPr>
          <w:lang w:val="en-GB"/>
        </w:rPr>
        <w:t xml:space="preserve">.  The </w:t>
      </w:r>
      <w:r w:rsidRPr="035DD17A" w:rsidR="00A92537">
        <w:rPr>
          <w:lang w:val="en-GB"/>
        </w:rPr>
        <w:t>ClairCity</w:t>
      </w:r>
      <w:r w:rsidRPr="035DD17A" w:rsidR="00A92537">
        <w:rPr>
          <w:lang w:val="en-GB"/>
        </w:rPr>
        <w:t xml:space="preserve"> project</w:t>
      </w:r>
      <w:r w:rsidRPr="035DD17A" w:rsidR="00265A9D">
        <w:rPr>
          <w:lang w:val="en-GB"/>
        </w:rPr>
        <w:t xml:space="preserve">, </w:t>
      </w:r>
      <w:r w:rsidRPr="035DD17A" w:rsidR="00A92537">
        <w:rPr>
          <w:lang w:val="en-GB"/>
        </w:rPr>
        <w:t xml:space="preserve">funded under EU Horizon 2020, aimed to put citizens’ behaviour and activities at the core of </w:t>
      </w:r>
      <w:r w:rsidRPr="035DD17A" w:rsidR="7E69E307">
        <w:rPr>
          <w:lang w:val="en-GB"/>
        </w:rPr>
        <w:t>policymaking</w:t>
      </w:r>
      <w:r w:rsidRPr="035DD17A" w:rsidR="00A92537">
        <w:rPr>
          <w:lang w:val="en-GB"/>
        </w:rPr>
        <w:t xml:space="preserve"> in six European countries</w:t>
      </w:r>
      <w:r w:rsidRPr="035DD17A" w:rsidR="00CC4F05">
        <w:rPr>
          <w:lang w:val="en-GB"/>
        </w:rPr>
        <w:t xml:space="preserve"> </w:t>
      </w:r>
      <w:r w:rsidRPr="035DD17A">
        <w:rPr>
          <w:lang w:val="en-GB"/>
        </w:rPr>
        <w:fldChar w:fldCharType="begin" w:fldLock="true"/>
      </w:r>
      <w:r w:rsidRPr="035DD17A">
        <w:rPr>
          <w:lang w:val="en-GB"/>
        </w:rPr>
        <w:instrText xml:space="preserve">ADDIN CSL_CITATION {"citationItems":[{"id":"ITEM-1","itemData":{"URL":"http://www.claircity.eu/outputs/","accessed":{"date-parts":[["2021","4","20"]]},"author":[{"dropping-particle":"","family":"ClairCity","given":"","non-dropping-particle":"","parse-names":false,"suffix":""}],"id":"ITEM-1","issued":{"date-parts":[["2020"]]},"title":"Outputs - ClairCity","type":"webpage"},"uris":["http://www.mendeley.com/documents/?uuid=50075c41-0edf-3cb0-a5a0-1dbb69724c02"]}],"mendeley":{"formattedCitation":"(ClairCity, 2020)","plainTextFormattedCitation":"(ClairCity, 2020)","previouslyFormattedCitation":"(ClairCity, 2020)"},"properties":{"noteIndex":0},"schema":"https://github.com/citation-style-language/schema/raw/master/csl-citation.json"}</w:instrText>
      </w:r>
      <w:r w:rsidRPr="035DD17A">
        <w:rPr>
          <w:lang w:val="en-GB"/>
        </w:rPr>
        <w:fldChar w:fldCharType="separate"/>
      </w:r>
      <w:r w:rsidRPr="035DD17A" w:rsidR="00CC4F05">
        <w:rPr>
          <w:noProof/>
          <w:lang w:val="en-GB"/>
        </w:rPr>
        <w:t>(ClairCity, 2020)</w:t>
      </w:r>
      <w:r w:rsidRPr="035DD17A">
        <w:rPr>
          <w:lang w:val="en-GB"/>
        </w:rPr>
        <w:fldChar w:fldCharType="end"/>
      </w:r>
      <w:r w:rsidRPr="035DD17A" w:rsidR="00A92537">
        <w:rPr>
          <w:lang w:val="en-GB"/>
        </w:rPr>
        <w:t>. The six pilot case stud</w:t>
      </w:r>
      <w:r w:rsidRPr="035DD17A" w:rsidR="00AE3829">
        <w:rPr>
          <w:lang w:val="en-GB"/>
        </w:rPr>
        <w:t>y</w:t>
      </w:r>
      <w:r w:rsidRPr="035DD17A" w:rsidR="00A92537">
        <w:rPr>
          <w:lang w:val="en-GB"/>
        </w:rPr>
        <w:t xml:space="preserve"> </w:t>
      </w:r>
      <w:r w:rsidRPr="035DD17A" w:rsidR="00264EA5">
        <w:rPr>
          <w:lang w:val="en-GB"/>
        </w:rPr>
        <w:t xml:space="preserve">areas </w:t>
      </w:r>
      <w:r w:rsidRPr="035DD17A" w:rsidR="00A92537">
        <w:rPr>
          <w:lang w:val="en-GB"/>
        </w:rPr>
        <w:t>examined are Bristol (United Kingdom), Amsterdam (Netherlands), Ljubljana (Slovenia), Sosnowiec (Poland), Aveiro Region (Portugal) and Liguria Region (Italy).</w:t>
      </w:r>
      <w:bookmarkStart w:name="_Hlk65603569" w:id="1"/>
      <w:r w:rsidRPr="035DD17A" w:rsidR="00356F9D">
        <w:rPr>
          <w:lang w:val="en-GB"/>
        </w:rPr>
        <w:t xml:space="preserve"> The </w:t>
      </w:r>
      <w:r w:rsidRPr="035DD17A" w:rsidR="00356F9D">
        <w:rPr>
          <w:lang w:val="en-GB"/>
        </w:rPr>
        <w:t>ClairCity</w:t>
      </w:r>
      <w:r w:rsidRPr="035DD17A" w:rsidR="00356F9D">
        <w:rPr>
          <w:lang w:val="en-GB"/>
        </w:rPr>
        <w:t xml:space="preserve"> </w:t>
      </w:r>
      <w:r w:rsidRPr="035DD17A" w:rsidR="004665DB">
        <w:rPr>
          <w:lang w:val="en-GB"/>
        </w:rPr>
        <w:t>co-design</w:t>
      </w:r>
      <w:r w:rsidRPr="035DD17A" w:rsidR="00A04680">
        <w:rPr>
          <w:lang w:val="en-GB"/>
        </w:rPr>
        <w:t>ed</w:t>
      </w:r>
      <w:r w:rsidRPr="035DD17A" w:rsidR="004665DB">
        <w:rPr>
          <w:lang w:val="en-GB"/>
        </w:rPr>
        <w:t xml:space="preserve"> </w:t>
      </w:r>
      <w:r w:rsidRPr="035DD17A" w:rsidR="00356F9D">
        <w:rPr>
          <w:lang w:val="en-GB"/>
        </w:rPr>
        <w:t xml:space="preserve">framework led to a creation of a policy package for each case study, consisting of a set of policies designed by </w:t>
      </w:r>
      <w:r w:rsidRPr="035DD17A" w:rsidR="004665DB">
        <w:rPr>
          <w:lang w:val="en-GB"/>
        </w:rPr>
        <w:t xml:space="preserve">citizens, </w:t>
      </w:r>
      <w:r w:rsidRPr="035DD17A" w:rsidR="00356F9D">
        <w:rPr>
          <w:lang w:val="en-GB"/>
        </w:rPr>
        <w:t xml:space="preserve">decision-makers, local planners and stakeholders based on data collected through </w:t>
      </w:r>
      <w:r w:rsidRPr="035DD17A" w:rsidR="004665DB">
        <w:rPr>
          <w:lang w:val="en-GB"/>
        </w:rPr>
        <w:t>multi-stakeholder collaboration</w:t>
      </w:r>
      <w:r w:rsidRPr="035DD17A" w:rsidR="00356F9D">
        <w:rPr>
          <w:lang w:val="en-GB"/>
        </w:rPr>
        <w:t xml:space="preserve"> processes</w:t>
      </w:r>
      <w:bookmarkEnd w:id="1"/>
      <w:r w:rsidRPr="035DD17A" w:rsidR="00CC4F05">
        <w:rPr>
          <w:lang w:val="en-GB"/>
        </w:rPr>
        <w:t>.</w:t>
      </w:r>
    </w:p>
    <w:p w:rsidRPr="002A63DA" w:rsidR="00B112DE" w:rsidP="00B112DE" w:rsidRDefault="00A92537" w14:paraId="529AAD3A" w14:textId="482F0172">
      <w:pPr>
        <w:rPr>
          <w:color w:val="auto"/>
          <w:lang w:val="en-GB"/>
        </w:rPr>
      </w:pPr>
      <w:r w:rsidRPr="035DD17A" w:rsidR="276F3043">
        <w:rPr>
          <w:lang w:val="en-GB"/>
        </w:rPr>
        <w:t xml:space="preserve">This paper tries to bring 'citizen-inclusive policy making' as an important focus point for future air quality policy plans development to improve air quality and reach expected objectives. </w:t>
      </w:r>
      <w:r w:rsidRPr="035DD17A" w:rsidR="276F3043">
        <w:rPr>
          <w:lang w:val="en-GB"/>
        </w:rPr>
        <w:t xml:space="preserve">The main objective of this paper is to quantify, understand and compare the impacts from </w:t>
      </w:r>
      <w:r w:rsidRPr="035DD17A" w:rsidR="276F3043">
        <w:rPr>
          <w:lang w:val="en-GB"/>
        </w:rPr>
        <w:t xml:space="preserve"> citizen-led policy package, which account for behavioural changes for the short and long term. The analysis focuses on emissions, air quality, population exposure, and health for the six case studies.</w:t>
      </w:r>
      <w:r w:rsidRPr="035DD17A" w:rsidR="276F3043">
        <w:rPr>
          <w:lang w:val="en-GB"/>
        </w:rPr>
        <w:t xml:space="preserve"> The paper is structured into four main sections: Section 2 describes the methodology behind the BAU and FUPS scenarios, the methods and tools adapted for the emission estimation, air quality modelling assessment, population exposure and health impact assessment. Section 3 shows the results and discussion by applying both scenarios analysing reductions achieved in terms of emission, air quality and population exposure, but also the improvements in terms of health impacts. The main conclusions are presented in section 4.</w:t>
      </w:r>
    </w:p>
    <w:p w:rsidRPr="002A63DA" w:rsidR="00D311DB" w:rsidP="00E87F79" w:rsidRDefault="00D311DB" w14:paraId="12F46111" w14:textId="77777777">
      <w:pPr>
        <w:rPr>
          <w:color w:val="auto"/>
          <w:lang w:val="en-GB"/>
        </w:rPr>
      </w:pPr>
    </w:p>
    <w:p w:rsidRPr="002A63DA" w:rsidR="00ED6BB6" w:rsidP="00ED6BB6" w:rsidRDefault="00A92537" w14:paraId="443C783B" w14:textId="77777777">
      <w:pPr>
        <w:pStyle w:val="Heading2"/>
        <w:rPr>
          <w:lang w:val="en-GB"/>
        </w:rPr>
      </w:pPr>
      <w:r w:rsidRPr="035DD17A" w:rsidR="00A92537">
        <w:rPr>
          <w:lang w:val="en-GB"/>
        </w:rPr>
        <w:t>Methodology</w:t>
      </w:r>
    </w:p>
    <w:p w:rsidRPr="002A63DA" w:rsidR="0003461E" w:rsidP="035DD17A" w:rsidRDefault="3C687D85" w14:paraId="5EDD4BF8" w14:textId="15890258">
      <w:pPr>
        <w:rPr>
          <w:lang w:val="en-GB"/>
        </w:rPr>
      </w:pPr>
      <w:r w:rsidRPr="035DD17A" w:rsidR="276F3043">
        <w:rPr>
          <w:lang w:val="en-GB"/>
        </w:rPr>
        <w:t>This section presents a summary of the engagement processes (</w:t>
      </w:r>
      <w:r w:rsidRPr="035DD17A" w:rsidR="276F3043">
        <w:rPr>
          <w:lang w:val="en-GB"/>
        </w:rPr>
        <w:t>section 2.1), then describes how the measures were obtained to build the scenarios (</w:t>
      </w:r>
      <w:r w:rsidRPr="035DD17A" w:rsidR="276F3043">
        <w:rPr>
          <w:lang w:val="en-GB"/>
        </w:rPr>
        <w:t>section 2.2), and how they were interpreted to quantify the variability in terms of emission (</w:t>
      </w:r>
      <w:r w:rsidRPr="035DD17A" w:rsidR="276F3043">
        <w:rPr>
          <w:lang w:val="en-GB"/>
        </w:rPr>
        <w:t>section 2.3), the impacts on air quality (</w:t>
      </w:r>
      <w:r w:rsidRPr="035DD17A" w:rsidR="276F3043">
        <w:rPr>
          <w:lang w:val="en-GB"/>
        </w:rPr>
        <w:t>section 2.4) and the respective impacts on population exposure and health (</w:t>
      </w:r>
      <w:r w:rsidRPr="035DD17A" w:rsidR="276F3043">
        <w:rPr>
          <w:lang w:val="en-GB"/>
        </w:rPr>
        <w:t xml:space="preserve">section 2.5). The results from the quantification framework will be further presented and discussed in section 3. </w:t>
      </w:r>
      <w:r w:rsidRPr="035DD17A" w:rsidR="276F3043">
        <w:rPr>
          <w:lang w:val="en-GB"/>
        </w:rPr>
        <w:t xml:space="preserve">A schematic representation of the </w:t>
      </w:r>
      <w:r w:rsidRPr="035DD17A" w:rsidR="276F3043">
        <w:rPr>
          <w:lang w:val="en-GB"/>
        </w:rPr>
        <w:t>ClairCity</w:t>
      </w:r>
      <w:r w:rsidRPr="035DD17A" w:rsidR="276F3043">
        <w:rPr>
          <w:lang w:val="en-GB"/>
        </w:rPr>
        <w:t xml:space="preserve"> </w:t>
      </w:r>
      <w:r w:rsidRPr="035DD17A" w:rsidR="276F3043">
        <w:rPr>
          <w:lang w:val="en-GB"/>
        </w:rPr>
        <w:t xml:space="preserve">methodology flow is presented in Figure </w:t>
      </w:r>
      <w:r w:rsidRPr="035DD17A" w:rsidR="276F3043">
        <w:rPr>
          <w:lang w:val="en-GB"/>
        </w:rPr>
        <w:t>S1</w:t>
      </w:r>
      <w:r w:rsidRPr="035DD17A" w:rsidR="276F3043">
        <w:rPr>
          <w:lang w:val="en-GB"/>
        </w:rPr>
        <w:t xml:space="preserve"> of the supplementary material, showing the connection between the engagement process and the scenario co-creation.</w:t>
      </w:r>
      <w:r w:rsidRPr="035DD17A" w:rsidR="276F3043">
        <w:rPr>
          <w:lang w:val="en-GB"/>
        </w:rPr>
        <w:t xml:space="preserve"> </w:t>
      </w:r>
      <w:r w:rsidRPr="035DD17A" w:rsidR="276F3043">
        <w:rPr>
          <w:lang w:val="en-GB"/>
        </w:rPr>
        <w:t xml:space="preserve">This work is focused on the </w:t>
      </w:r>
      <w:r w:rsidRPr="035DD17A" w:rsidR="1D088860">
        <w:rPr>
          <w:lang w:val="en-GB"/>
        </w:rPr>
        <w:t>i</w:t>
      </w:r>
      <w:r w:rsidRPr="035DD17A" w:rsidR="276F3043">
        <w:rPr>
          <w:lang w:val="en-GB"/>
        </w:rPr>
        <w:t xml:space="preserve">mpact </w:t>
      </w:r>
      <w:r w:rsidRPr="035DD17A" w:rsidR="2058F837">
        <w:rPr>
          <w:lang w:val="en-GB"/>
        </w:rPr>
        <w:t>a</w:t>
      </w:r>
      <w:r w:rsidRPr="035DD17A" w:rsidR="276F3043">
        <w:rPr>
          <w:lang w:val="en-GB"/>
        </w:rPr>
        <w:t>ssessment step</w:t>
      </w:r>
      <w:r w:rsidRPr="035DD17A" w:rsidR="276F3043">
        <w:rPr>
          <w:lang w:val="en-GB"/>
        </w:rPr>
        <w:t xml:space="preserve">. </w:t>
      </w:r>
    </w:p>
    <w:p w:rsidRPr="002A63DA" w:rsidR="00E24ECC" w:rsidP="00E24ECC" w:rsidRDefault="00A92537" w14:paraId="6AB84F72" w14:textId="77777777">
      <w:pPr>
        <w:pStyle w:val="Heading3"/>
        <w:rPr>
          <w:lang w:val="en-GB"/>
        </w:rPr>
      </w:pPr>
      <w:r w:rsidRPr="035DD17A" w:rsidR="00A92537">
        <w:rPr>
          <w:lang w:val="en-GB"/>
        </w:rPr>
        <w:t>2.1 Engagement processes</w:t>
      </w:r>
    </w:p>
    <w:p w:rsidRPr="002A63DA" w:rsidR="00E24ECC" w:rsidP="00E24ECC" w:rsidRDefault="00A92537" w14:paraId="3BCCA6E6" w14:textId="3FD75950">
      <w:pPr>
        <w:rPr>
          <w:lang w:val="en-GB"/>
        </w:rPr>
      </w:pPr>
      <w:r w:rsidRPr="002A63DA" w:rsidR="00A92537">
        <w:rPr>
          <w:lang w:val="en-GB"/>
        </w:rPr>
        <w:t xml:space="preserve">The engagement and co-creation process in </w:t>
      </w:r>
      <w:r w:rsidRPr="002A63DA" w:rsidR="00A92537">
        <w:rPr>
          <w:lang w:val="en-GB"/>
        </w:rPr>
        <w:t>ClairCity</w:t>
      </w:r>
      <w:r w:rsidRPr="002A63DA" w:rsidR="00A92537">
        <w:rPr>
          <w:lang w:val="en-GB"/>
        </w:rPr>
        <w:t xml:space="preserve"> </w:t>
      </w:r>
      <w:r w:rsidRPr="002A63DA" w:rsidR="24524085">
        <w:rPr>
          <w:lang w:val="en-GB"/>
        </w:rPr>
        <w:t>were</w:t>
      </w:r>
      <w:r w:rsidRPr="002A63DA" w:rsidR="00A92537">
        <w:rPr>
          <w:lang w:val="en-GB"/>
        </w:rPr>
        <w:t xml:space="preserve"> performed in three key phases with several activities which work towards achieving a final policy package</w:t>
      </w:r>
      <w:r w:rsidRPr="002A63DA" w:rsidR="00CF6435">
        <w:rPr>
          <w:lang w:val="en-GB"/>
        </w:rPr>
        <w:t xml:space="preserve">, as schematically represented in </w:t>
      </w:r>
      <w:r w:rsidRPr="002A63DA" w:rsidR="009F691F">
        <w:rPr>
          <w:lang w:val="en-GB"/>
        </w:rPr>
        <w:fldChar w:fldCharType="begin"/>
      </w:r>
      <w:r w:rsidRPr="002A63DA" w:rsidR="009F691F">
        <w:rPr>
          <w:lang w:val="en-GB"/>
        </w:rPr>
        <w:instrText xml:space="preserve"> REF _Ref77860932 \h </w:instrText>
      </w:r>
      <w:r w:rsidRPr="002A63DA" w:rsidR="00A45EE2">
        <w:rPr>
          <w:lang w:val="en-GB"/>
        </w:rPr>
        <w:instrText xml:space="preserve"> \* MERGEFORMAT </w:instrText>
      </w:r>
      <w:r w:rsidRPr="002A63DA" w:rsidR="009F691F">
        <w:rPr>
          <w:lang w:val="en-GB"/>
        </w:rPr>
      </w:r>
      <w:r w:rsidRPr="002A63DA" w:rsidR="009F691F">
        <w:rPr>
          <w:lang w:val="en-GB"/>
        </w:rPr>
        <w:fldChar w:fldCharType="separate"/>
      </w:r>
      <w:r w:rsidRPr="002A63DA" w:rsidR="00C83CFF">
        <w:rPr/>
        <w:t xml:space="preserve">Figure </w:t>
      </w:r>
      <w:r w:rsidRPr="002A63DA" w:rsidR="00C83CFF">
        <w:rPr>
          <w:noProof/>
        </w:rPr>
        <w:t>1</w:t>
      </w:r>
      <w:r w:rsidRPr="002A63DA" w:rsidR="009F691F">
        <w:rPr>
          <w:lang w:val="en-GB"/>
        </w:rPr>
        <w:fldChar w:fldCharType="end"/>
      </w:r>
      <w:r w:rsidRPr="002A63DA" w:rsidR="00A92537">
        <w:rPr>
          <w:lang w:val="en-GB"/>
        </w:rPr>
        <w:t xml:space="preserve">. More details can be found in </w:t>
      </w:r>
      <w:r w:rsidRPr="002A63DA">
        <w:rPr>
          <w:lang w:val="en-GB"/>
        </w:rPr>
        <w:fldChar w:fldCharType="begin" w:fldLock="1"/>
      </w:r>
      <w:r w:rsidRPr="002A63DA">
        <w:rPr>
          <w:lang w:val="en-GB"/>
        </w:rPr>
        <w:instrText>ADDIN CSL_CITATION {"citationItems":[{"id":"ITEM-1","itemData":{"DOI":"10.5281/ZENODO.3972927","author":[{"dropping-particle":"","family":"Artola","given":"Irati","non-dropping-particle":"","parse-names":false,"suffix":""},{"dropping-particle":"","family":"Slingerland","given":"Stephan","non-dropping-particle":"","parse-names":false,"suffix":""}],"id":"ITEM-1","issued":{"date-parts":[["2019","11","22"]]},"title":"D6.6 Policy Workshop – Last City","type":"article-journal"},"uris":["http://www.mendeley.com/documents/?uuid=f498de93-e91c-34ec-843d-c88e52c7b385"]}],"mendeley":{"formattedCitation":"(Artola and Slingerland, 2019)","manualFormatting":"Artola and Slingerland (2019)","plainTextFormattedCitation":"(Artola and Slingerland, 2019)","previouslyFormattedCitation":"(Artola and Slingerland, 2019)"},"properties":{"noteIndex":0},"schema":"https://github.com/citation-style-language/schema/raw/master/csl-citation.json"}</w:instrText>
      </w:r>
      <w:r w:rsidRPr="002A63DA">
        <w:rPr>
          <w:lang w:val="en-GB"/>
        </w:rPr>
        <w:fldChar w:fldCharType="separate"/>
      </w:r>
      <w:r w:rsidRPr="002A63DA" w:rsidR="00A92537">
        <w:rPr>
          <w:noProof/>
          <w:lang w:val="en-GB"/>
        </w:rPr>
        <w:t>Artola and Slingerland (2019)</w:t>
      </w:r>
      <w:r w:rsidRPr="002A63DA">
        <w:rPr>
          <w:lang w:val="en-GB"/>
        </w:rPr>
        <w:fldChar w:fldCharType="end"/>
      </w:r>
      <w:r w:rsidRPr="002A63DA" w:rsidR="00A92537">
        <w:rPr>
          <w:lang w:val="en-GB"/>
        </w:rPr>
        <w:t xml:space="preserve">. This process has been adapted and applied across all six case study areas and consists of: </w:t>
      </w:r>
    </w:p>
    <w:p w:rsidRPr="002A63DA" w:rsidR="00E24ECC" w:rsidP="00E24ECC" w:rsidRDefault="00A92537" w14:paraId="352BA145" w14:textId="77777777">
      <w:pPr>
        <w:pStyle w:val="ListParagraph"/>
        <w:numPr>
          <w:ilvl w:val="0"/>
          <w:numId w:val="19"/>
        </w:numPr>
        <w:rPr>
          <w:lang w:val="en-GB"/>
        </w:rPr>
      </w:pPr>
      <w:r w:rsidRPr="035DD17A" w:rsidR="00A92537">
        <w:rPr>
          <w:lang w:val="en-GB"/>
        </w:rPr>
        <w:t xml:space="preserve">Establishing the baseline situation for each </w:t>
      </w:r>
      <w:r w:rsidRPr="035DD17A" w:rsidR="00A92537">
        <w:rPr>
          <w:lang w:val="en-GB"/>
        </w:rPr>
        <w:t>city;</w:t>
      </w:r>
    </w:p>
    <w:p w:rsidRPr="002A63DA" w:rsidR="00E24ECC" w:rsidP="00E24ECC" w:rsidRDefault="00A92537" w14:paraId="65D69421" w14:textId="77777777">
      <w:pPr>
        <w:pStyle w:val="ListParagraph"/>
        <w:numPr>
          <w:ilvl w:val="0"/>
          <w:numId w:val="19"/>
        </w:numPr>
        <w:rPr>
          <w:lang w:val="en-GB"/>
        </w:rPr>
      </w:pPr>
      <w:r w:rsidRPr="035DD17A" w:rsidR="00A92537">
        <w:rPr>
          <w:lang w:val="en-GB"/>
        </w:rPr>
        <w:t xml:space="preserve">Citizen and Stakeholder Engagement &amp; Co-creation of </w:t>
      </w:r>
      <w:r w:rsidRPr="035DD17A" w:rsidR="00A92537">
        <w:rPr>
          <w:lang w:val="en-GB"/>
        </w:rPr>
        <w:t>Scenarios;</w:t>
      </w:r>
    </w:p>
    <w:p w:rsidRPr="002A63DA" w:rsidR="00E24ECC" w:rsidP="00E24ECC" w:rsidRDefault="00A92537" w14:paraId="73FD9B70" w14:textId="77777777">
      <w:pPr>
        <w:pStyle w:val="ListParagraph"/>
        <w:numPr>
          <w:ilvl w:val="0"/>
          <w:numId w:val="19"/>
        </w:numPr>
        <w:rPr>
          <w:lang w:val="en-GB"/>
        </w:rPr>
      </w:pPr>
      <w:r w:rsidRPr="035DD17A" w:rsidR="00A92537">
        <w:rPr>
          <w:lang w:val="en-GB"/>
        </w:rPr>
        <w:t xml:space="preserve">Quantified Policy Package, Evaluation and Mutual Learning, Policy </w:t>
      </w:r>
      <w:r w:rsidRPr="035DD17A" w:rsidR="00A92537">
        <w:rPr>
          <w:lang w:val="en-GB"/>
        </w:rPr>
        <w:t>Recommendations;</w:t>
      </w:r>
    </w:p>
    <w:p w:rsidRPr="006E6928" w:rsidR="00E24ECC" w:rsidP="3778D635" w:rsidRDefault="00A92537" w14:paraId="36E04877" w14:textId="6D94BE08">
      <w:pPr>
        <w:rPr>
          <w:vertAlign w:val="subscript"/>
          <w:lang w:val="en-GB"/>
        </w:rPr>
      </w:pPr>
      <w:r w:rsidRPr="035DD17A" w:rsidR="00A92537">
        <w:rPr>
          <w:lang w:val="en-GB"/>
        </w:rPr>
        <w:t>In Phase 1, data on city characteristics, demographics, air quality and climate change situation, as well as historical and current policy and citizen engagement landscape, were collected to quantify the baseline air pollutants emissions and concentrations, public health impacts, and current policies. Phase 2 focused on engaging citizens and key stakeholders in order to: understand citizens' current behaviours, practices</w:t>
      </w:r>
      <w:r w:rsidRPr="035DD17A" w:rsidR="6B12BDD1">
        <w:rPr>
          <w:lang w:val="en-GB"/>
        </w:rPr>
        <w:t>,</w:t>
      </w:r>
      <w:r w:rsidRPr="035DD17A" w:rsidR="00A92537">
        <w:rPr>
          <w:lang w:val="en-GB"/>
        </w:rPr>
        <w:t xml:space="preserve"> and activities; enabling citizens and stakeholders to co-create and provide information about desired future behaviours and future policies; and raising awareness of the environmental challenges and their solutions. For this purpose, in addition to the Skylines Game and the </w:t>
      </w:r>
      <w:r w:rsidRPr="035DD17A" w:rsidR="00A92537">
        <w:rPr>
          <w:lang w:val="en-GB"/>
        </w:rPr>
        <w:t>GreenAnt</w:t>
      </w:r>
      <w:r w:rsidRPr="035DD17A" w:rsidR="00A92537">
        <w:rPr>
          <w:lang w:val="en-GB"/>
        </w:rPr>
        <w:t xml:space="preserve"> A</w:t>
      </w:r>
      <w:r w:rsidRPr="035DD17A" w:rsidR="009F691F">
        <w:rPr>
          <w:lang w:val="en-GB"/>
        </w:rPr>
        <w:t>pp</w:t>
      </w:r>
      <w:r w:rsidRPr="035DD17A" w:rsidR="00A92537">
        <w:rPr>
          <w:lang w:val="en-GB"/>
        </w:rPr>
        <w:t xml:space="preserve">, 2-round Delphi surveys and a Delphi workshop were carried out with citizens to get their views and opinions on their city/region needs, challenges and barriers. The engagement process was crucial for the project goals. The results from these activities were surmised towards achieving consensus and processed into qualitative ‘citizen </w:t>
      </w:r>
      <w:r w:rsidRPr="035DD17A" w:rsidR="00A92537">
        <w:rPr>
          <w:lang w:val="en-GB"/>
        </w:rPr>
        <w:t>scenarios’</w:t>
      </w:r>
      <w:r w:rsidRPr="035DD17A" w:rsidR="00A92537">
        <w:rPr>
          <w:lang w:val="en-GB"/>
        </w:rPr>
        <w:t>. These were subsequently discussed in workshops with stakeholders – Mutual Learning Workshops and Stakeholders Dialogue Workshops</w:t>
      </w:r>
      <w:r w:rsidRPr="035DD17A" w:rsidR="00A27677">
        <w:rPr>
          <w:lang w:val="en-GB"/>
        </w:rPr>
        <w:t xml:space="preserve"> (SDW)</w:t>
      </w:r>
      <w:r w:rsidRPr="035DD17A" w:rsidR="00A92537">
        <w:rPr>
          <w:lang w:val="en-GB"/>
        </w:rPr>
        <w:t>, and with policymakers - Policy Workshops (PW), regarding opportunities, barriers and limitations to their implementation, as well as their prioritisation and planning.</w:t>
      </w:r>
      <w:r w:rsidRPr="035DD17A" w:rsidR="00591681">
        <w:rPr>
          <w:lang w:val="en-GB"/>
        </w:rPr>
        <w:t xml:space="preserve"> </w:t>
      </w:r>
      <w:r w:rsidRPr="035DD17A" w:rsidR="00D70981">
        <w:rPr>
          <w:lang w:val="en-GB"/>
        </w:rPr>
        <w:t xml:space="preserve">The SDW originated </w:t>
      </w:r>
      <w:r w:rsidRPr="035DD17A" w:rsidR="007B0A34">
        <w:rPr>
          <w:lang w:val="en-GB"/>
        </w:rPr>
        <w:t>scenarios</w:t>
      </w:r>
      <w:r w:rsidRPr="035DD17A" w:rsidR="0052251F">
        <w:rPr>
          <w:lang w:val="en-GB"/>
        </w:rPr>
        <w:t xml:space="preserve"> with different levels of ambition</w:t>
      </w:r>
      <w:r w:rsidRPr="035DD17A" w:rsidR="00C56929">
        <w:rPr>
          <w:lang w:val="en-GB"/>
        </w:rPr>
        <w:t xml:space="preserve">, which </w:t>
      </w:r>
      <w:r w:rsidRPr="035DD17A" w:rsidR="0050511C">
        <w:rPr>
          <w:lang w:val="en-GB"/>
        </w:rPr>
        <w:t>were</w:t>
      </w:r>
      <w:r w:rsidRPr="035DD17A" w:rsidR="002F132A">
        <w:rPr>
          <w:lang w:val="en-GB"/>
        </w:rPr>
        <w:t xml:space="preserve"> </w:t>
      </w:r>
      <w:r w:rsidRPr="035DD17A" w:rsidR="00C56929">
        <w:rPr>
          <w:lang w:val="en-GB"/>
        </w:rPr>
        <w:t xml:space="preserve">later </w:t>
      </w:r>
      <w:r w:rsidRPr="035DD17A" w:rsidR="002F132A">
        <w:rPr>
          <w:lang w:val="en-GB"/>
        </w:rPr>
        <w:t>quantified</w:t>
      </w:r>
      <w:r w:rsidRPr="035DD17A" w:rsidR="009B57FC">
        <w:rPr>
          <w:lang w:val="en-GB"/>
        </w:rPr>
        <w:t xml:space="preserve"> and</w:t>
      </w:r>
      <w:r w:rsidRPr="035DD17A" w:rsidR="00213EFB">
        <w:rPr>
          <w:lang w:val="en-GB"/>
        </w:rPr>
        <w:t xml:space="preserve"> presented </w:t>
      </w:r>
      <w:r w:rsidRPr="035DD17A" w:rsidR="00685EE4">
        <w:rPr>
          <w:lang w:val="en-GB"/>
        </w:rPr>
        <w:t xml:space="preserve">as an input </w:t>
      </w:r>
      <w:r w:rsidRPr="035DD17A" w:rsidR="00F36381">
        <w:rPr>
          <w:lang w:val="en-GB"/>
        </w:rPr>
        <w:t xml:space="preserve">for the </w:t>
      </w:r>
      <w:r w:rsidRPr="035DD17A" w:rsidR="007A7959">
        <w:rPr>
          <w:lang w:val="en-GB"/>
        </w:rPr>
        <w:t>PW</w:t>
      </w:r>
      <w:r w:rsidRPr="035DD17A" w:rsidR="00D16901">
        <w:rPr>
          <w:lang w:val="en-GB"/>
        </w:rPr>
        <w:t xml:space="preserve"> to help part</w:t>
      </w:r>
      <w:r w:rsidRPr="035DD17A" w:rsidR="00194A63">
        <w:rPr>
          <w:lang w:val="en-GB"/>
        </w:rPr>
        <w:t>icipants choose</w:t>
      </w:r>
      <w:r w:rsidRPr="035DD17A" w:rsidR="007C3521">
        <w:rPr>
          <w:lang w:val="en-GB"/>
        </w:rPr>
        <w:t xml:space="preserve"> between the level of ambition</w:t>
      </w:r>
      <w:r w:rsidRPr="035DD17A" w:rsidR="008A4FCA">
        <w:rPr>
          <w:lang w:val="en-GB"/>
        </w:rPr>
        <w:t xml:space="preserve"> of each measure</w:t>
      </w:r>
      <w:r w:rsidRPr="035DD17A" w:rsidR="0020796F">
        <w:rPr>
          <w:lang w:val="en-GB"/>
        </w:rPr>
        <w:t xml:space="preserve"> and</w:t>
      </w:r>
      <w:r w:rsidRPr="035DD17A" w:rsidR="00586B5C">
        <w:rPr>
          <w:lang w:val="en-GB"/>
        </w:rPr>
        <w:t xml:space="preserve"> to be</w:t>
      </w:r>
      <w:r w:rsidRPr="035DD17A" w:rsidR="00B732FD">
        <w:rPr>
          <w:lang w:val="en-GB"/>
        </w:rPr>
        <w:t xml:space="preserve"> further</w:t>
      </w:r>
      <w:r w:rsidRPr="035DD17A" w:rsidR="00586B5C">
        <w:rPr>
          <w:lang w:val="en-GB"/>
        </w:rPr>
        <w:t xml:space="preserve"> </w:t>
      </w:r>
      <w:r w:rsidRPr="035DD17A" w:rsidR="00BB66E9">
        <w:rPr>
          <w:lang w:val="en-GB"/>
        </w:rPr>
        <w:t>integrated into</w:t>
      </w:r>
      <w:r w:rsidRPr="035DD17A" w:rsidR="00EC646D">
        <w:rPr>
          <w:lang w:val="en-GB"/>
        </w:rPr>
        <w:t xml:space="preserve"> </w:t>
      </w:r>
      <w:r w:rsidRPr="035DD17A" w:rsidR="00A50561">
        <w:rPr>
          <w:lang w:val="en-GB"/>
        </w:rPr>
        <w:t>phase 3</w:t>
      </w:r>
      <w:r w:rsidRPr="035DD17A" w:rsidR="007A7959">
        <w:rPr>
          <w:lang w:val="en-GB"/>
        </w:rPr>
        <w:t>.</w:t>
      </w:r>
      <w:r w:rsidRPr="035DD17A" w:rsidR="00915EC9">
        <w:rPr>
          <w:lang w:val="en-GB"/>
        </w:rPr>
        <w:t xml:space="preserve"> </w:t>
      </w:r>
      <w:r w:rsidRPr="035DD17A" w:rsidR="00F2622E">
        <w:rPr>
          <w:lang w:val="en-GB"/>
        </w:rPr>
        <w:t>Th</w:t>
      </w:r>
      <w:r w:rsidRPr="035DD17A" w:rsidR="000A3AE1">
        <w:rPr>
          <w:lang w:val="en-GB"/>
        </w:rPr>
        <w:t xml:space="preserve">e </w:t>
      </w:r>
      <w:r w:rsidRPr="035DD17A" w:rsidR="00625DEE">
        <w:rPr>
          <w:lang w:val="en-GB"/>
        </w:rPr>
        <w:t xml:space="preserve">impact assessment </w:t>
      </w:r>
      <w:r w:rsidRPr="035DD17A" w:rsidR="008D5FCA">
        <w:rPr>
          <w:lang w:val="en-GB"/>
        </w:rPr>
        <w:t>between</w:t>
      </w:r>
      <w:r w:rsidRPr="035DD17A" w:rsidR="00884A29">
        <w:rPr>
          <w:lang w:val="en-GB"/>
        </w:rPr>
        <w:t xml:space="preserve"> </w:t>
      </w:r>
      <w:r w:rsidRPr="035DD17A" w:rsidR="00042802">
        <w:rPr>
          <w:lang w:val="en-GB"/>
        </w:rPr>
        <w:t xml:space="preserve">different </w:t>
      </w:r>
      <w:r w:rsidRPr="035DD17A" w:rsidR="00DA1407">
        <w:rPr>
          <w:lang w:val="en-GB"/>
        </w:rPr>
        <w:t>stages</w:t>
      </w:r>
      <w:r w:rsidRPr="035DD17A" w:rsidR="0041056A">
        <w:rPr>
          <w:lang w:val="en-GB"/>
        </w:rPr>
        <w:t>,</w:t>
      </w:r>
      <w:r w:rsidRPr="035DD17A" w:rsidR="00DA2AC8">
        <w:rPr>
          <w:lang w:val="en-GB"/>
        </w:rPr>
        <w:t xml:space="preserve"> </w:t>
      </w:r>
      <w:r w:rsidRPr="035DD17A" w:rsidR="0041056A">
        <w:rPr>
          <w:lang w:val="en-GB"/>
        </w:rPr>
        <w:t xml:space="preserve">as shown in figure S1 </w:t>
      </w:r>
      <w:r w:rsidRPr="035DD17A" w:rsidR="00DA2AC8">
        <w:rPr>
          <w:lang w:val="en-GB"/>
        </w:rPr>
        <w:t>of the supplementary material</w:t>
      </w:r>
      <w:r w:rsidRPr="035DD17A" w:rsidR="0045720E">
        <w:rPr>
          <w:lang w:val="en-GB"/>
        </w:rPr>
        <w:t>,</w:t>
      </w:r>
      <w:r w:rsidRPr="035DD17A" w:rsidR="00A84C8A">
        <w:rPr>
          <w:lang w:val="en-GB"/>
        </w:rPr>
        <w:t xml:space="preserve"> </w:t>
      </w:r>
      <w:r w:rsidRPr="035DD17A" w:rsidR="00F073C9">
        <w:rPr>
          <w:lang w:val="en-GB"/>
        </w:rPr>
        <w:t>is an essential</w:t>
      </w:r>
      <w:r w:rsidRPr="035DD17A" w:rsidR="001C33AF">
        <w:rPr>
          <w:lang w:val="en-GB"/>
        </w:rPr>
        <w:t xml:space="preserve"> step</w:t>
      </w:r>
      <w:r w:rsidRPr="035DD17A" w:rsidR="0007386B">
        <w:rPr>
          <w:lang w:val="en-GB"/>
        </w:rPr>
        <w:t xml:space="preserve"> in the framework</w:t>
      </w:r>
      <w:r w:rsidRPr="035DD17A" w:rsidR="00AB2DD8">
        <w:rPr>
          <w:lang w:val="en-GB"/>
        </w:rPr>
        <w:t xml:space="preserve">. This </w:t>
      </w:r>
      <w:r w:rsidRPr="035DD17A" w:rsidR="00405173">
        <w:rPr>
          <w:lang w:val="en-GB"/>
        </w:rPr>
        <w:t>allow</w:t>
      </w:r>
      <w:r w:rsidRPr="035DD17A" w:rsidR="00AB549F">
        <w:rPr>
          <w:lang w:val="en-GB"/>
        </w:rPr>
        <w:t xml:space="preserve">s </w:t>
      </w:r>
      <w:r w:rsidRPr="035DD17A" w:rsidR="00277A91">
        <w:rPr>
          <w:lang w:val="en-GB"/>
        </w:rPr>
        <w:t xml:space="preserve">to provide quantified </w:t>
      </w:r>
      <w:r w:rsidRPr="035DD17A" w:rsidR="00FD2FF5">
        <w:rPr>
          <w:lang w:val="en-GB"/>
        </w:rPr>
        <w:t>guideline</w:t>
      </w:r>
      <w:r w:rsidRPr="035DD17A" w:rsidR="001E2FDE">
        <w:rPr>
          <w:lang w:val="en-GB"/>
        </w:rPr>
        <w:t>s</w:t>
      </w:r>
      <w:r w:rsidRPr="035DD17A" w:rsidR="00FD2FF5">
        <w:rPr>
          <w:lang w:val="en-GB"/>
        </w:rPr>
        <w:t xml:space="preserve"> to</w:t>
      </w:r>
      <w:r w:rsidRPr="035DD17A" w:rsidR="000F3AE4">
        <w:rPr>
          <w:lang w:val="en-GB"/>
        </w:rPr>
        <w:t xml:space="preserve"> </w:t>
      </w:r>
      <w:r w:rsidRPr="035DD17A" w:rsidR="00800B74">
        <w:rPr>
          <w:lang w:val="en-GB"/>
        </w:rPr>
        <w:t>assist the debate</w:t>
      </w:r>
      <w:r w:rsidRPr="035DD17A" w:rsidR="00042802">
        <w:rPr>
          <w:lang w:val="en-GB"/>
        </w:rPr>
        <w:t xml:space="preserve"> but also </w:t>
      </w:r>
      <w:r w:rsidRPr="035DD17A" w:rsidR="001C081F">
        <w:rPr>
          <w:lang w:val="en-GB"/>
        </w:rPr>
        <w:t xml:space="preserve">identify </w:t>
      </w:r>
      <w:r w:rsidRPr="035DD17A" w:rsidR="00335044">
        <w:rPr>
          <w:lang w:val="en-GB"/>
        </w:rPr>
        <w:t xml:space="preserve">possible </w:t>
      </w:r>
      <w:r w:rsidRPr="035DD17A" w:rsidR="004C22BB">
        <w:rPr>
          <w:lang w:val="en-GB"/>
        </w:rPr>
        <w:t>limitations</w:t>
      </w:r>
      <w:r w:rsidRPr="035DD17A" w:rsidR="007D29B2">
        <w:rPr>
          <w:lang w:val="en-GB"/>
        </w:rPr>
        <w:t xml:space="preserve"> which improve the quality of</w:t>
      </w:r>
      <w:r w:rsidRPr="035DD17A" w:rsidR="00C93354">
        <w:rPr>
          <w:lang w:val="en-GB"/>
        </w:rPr>
        <w:t xml:space="preserve"> further debates and </w:t>
      </w:r>
      <w:r w:rsidRPr="035DD17A" w:rsidR="006E6928">
        <w:rPr>
          <w:lang w:val="en-GB"/>
        </w:rPr>
        <w:t>results.</w:t>
      </w:r>
      <w:r w:rsidRPr="035DD17A" w:rsidR="004C22BB">
        <w:rPr>
          <w:lang w:val="en-GB"/>
        </w:rPr>
        <w:t xml:space="preserve"> </w:t>
      </w:r>
    </w:p>
    <w:p w:rsidRPr="002A63DA" w:rsidR="00E24ECC" w:rsidP="00E24ECC" w:rsidRDefault="00A92537" w14:paraId="634115A4" w14:textId="6DC49DAD">
      <w:pPr>
        <w:rPr>
          <w:lang w:val="en-GB"/>
        </w:rPr>
      </w:pPr>
      <w:r w:rsidRPr="035DD17A" w:rsidR="00A92537">
        <w:rPr>
          <w:lang w:val="en-GB"/>
        </w:rPr>
        <w:t xml:space="preserve">Phase 3 gathered the evidence and lessons learned from Phase 1 and Phase 2 to reach a quantification of the FUPS in each city. The inclusion of citizens and stakeholders’ suggestions into decision making was evaluated using cutting-edge modelling to understand the impacts on emissions, air quality and health, compared to a policy baseline scenario, as described in the following section 2.2. </w:t>
      </w:r>
      <w:r w:rsidRPr="035DD17A" w:rsidR="00A92537">
        <w:rPr>
          <w:lang w:val="en-GB"/>
        </w:rPr>
        <w:t xml:space="preserve">Then, this </w:t>
      </w:r>
      <w:r w:rsidRPr="035DD17A" w:rsidR="00BC01AD">
        <w:rPr>
          <w:lang w:val="en-GB"/>
        </w:rPr>
        <w:t>assessment</w:t>
      </w:r>
      <w:r w:rsidRPr="035DD17A" w:rsidR="00A92537">
        <w:rPr>
          <w:lang w:val="en-GB"/>
        </w:rPr>
        <w:t xml:space="preserve"> </w:t>
      </w:r>
      <w:r w:rsidRPr="035DD17A" w:rsidR="0023122E">
        <w:rPr>
          <w:lang w:val="en-GB"/>
        </w:rPr>
        <w:t>returned</w:t>
      </w:r>
      <w:r w:rsidRPr="035DD17A" w:rsidR="00A92537">
        <w:rPr>
          <w:lang w:val="en-GB"/>
        </w:rPr>
        <w:t xml:space="preserve"> to policymakers, citizens and influential organisations in each city and region. The policy and political feasibility of the scenarios were discussed together with policymakers in the PW to </w:t>
      </w:r>
      <w:r w:rsidRPr="035DD17A" w:rsidR="00D3569E">
        <w:rPr>
          <w:lang w:val="en-GB"/>
        </w:rPr>
        <w:t>draw</w:t>
      </w:r>
      <w:r w:rsidRPr="035DD17A" w:rsidR="00A92537">
        <w:rPr>
          <w:lang w:val="en-GB"/>
        </w:rPr>
        <w:t xml:space="preserve"> a consensual package of measures – Policy Package –that defined the FUPS for each city/region.</w:t>
      </w:r>
      <w:r w:rsidRPr="035DD17A" w:rsidR="00A92537">
        <w:rPr>
          <w:lang w:val="en-GB"/>
        </w:rPr>
        <w:t xml:space="preserve"> </w:t>
      </w:r>
    </w:p>
    <w:p w:rsidRPr="002A63DA" w:rsidR="009F691F" w:rsidP="009F691F" w:rsidRDefault="00A92537" w14:paraId="52E81B74" w14:textId="77777777">
      <w:pPr>
        <w:keepNext/>
        <w:jc w:val="center"/>
      </w:pPr>
      <w:r w:rsidRPr="002A63DA">
        <w:rPr>
          <w:noProof/>
        </w:rPr>
        <w:drawing>
          <wp:inline distT="0" distB="0" distL="0" distR="0" wp14:anchorId="25D5F3E1" wp14:editId="1BF9BF41">
            <wp:extent cx="5455884" cy="149571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71846" cy="1500090"/>
                    </a:xfrm>
                    <a:prstGeom prst="rect">
                      <a:avLst/>
                    </a:prstGeom>
                    <a:noFill/>
                    <a:ln>
                      <a:noFill/>
                    </a:ln>
                  </pic:spPr>
                </pic:pic>
              </a:graphicData>
            </a:graphic>
          </wp:inline>
        </w:drawing>
      </w:r>
    </w:p>
    <w:p w:rsidRPr="002A63DA" w:rsidR="00770C5B" w:rsidP="035DD17A" w:rsidRDefault="00A92537" w14:paraId="2D721A0B" w14:textId="77777777">
      <w:pPr>
        <w:pStyle w:val="Caption"/>
        <w:rPr>
          <w:b w:val="0"/>
          <w:bCs w:val="0"/>
          <w:sz w:val="22"/>
          <w:szCs w:val="22"/>
        </w:rPr>
      </w:pPr>
      <w:bookmarkStart w:name="_Ref77860932" w:id="3"/>
      <w:r w:rsidR="00A92537">
        <w:rPr/>
        <w:t xml:space="preserve">Figure </w:t>
      </w:r>
      <w:r>
        <w:fldChar w:fldCharType="begin"/>
      </w:r>
      <w:r>
        <w:instrText xml:space="preserve"> SEQ Figure \* ARABIC </w:instrText>
      </w:r>
      <w:r>
        <w:fldChar w:fldCharType="separate"/>
      </w:r>
      <w:r w:rsidRPr="035DD17A" w:rsidR="00C83CFF">
        <w:rPr>
          <w:noProof/>
        </w:rPr>
        <w:t>1</w:t>
      </w:r>
      <w:r>
        <w:fldChar w:fldCharType="end"/>
      </w:r>
      <w:bookmarkEnd w:id="3"/>
      <w:r w:rsidR="00A92537">
        <w:rPr/>
        <w:t>-Schematic representation of the engagement process to obtain the Final Unified Policy Scenario (FUPS) for each city/region.</w:t>
      </w:r>
    </w:p>
    <w:p w:rsidRPr="002A63DA" w:rsidR="00E24ECC" w:rsidP="00E24ECC" w:rsidRDefault="00E24ECC" w14:paraId="0D5DD6DD" w14:textId="77777777">
      <w:pPr>
        <w:rPr>
          <w:lang w:val="en-GB"/>
        </w:rPr>
      </w:pPr>
    </w:p>
    <w:p w:rsidRPr="002A63DA" w:rsidR="00E24ECC" w:rsidP="00E24ECC" w:rsidRDefault="00A92537" w14:paraId="64089EF8" w14:textId="77777777">
      <w:pPr>
        <w:pStyle w:val="Heading3"/>
        <w:rPr>
          <w:lang w:val="en-GB"/>
        </w:rPr>
      </w:pPr>
      <w:r w:rsidRPr="035DD17A" w:rsidR="00A92537">
        <w:rPr>
          <w:lang w:val="en-GB"/>
        </w:rPr>
        <w:t>2.2 Scenarios development</w:t>
      </w:r>
    </w:p>
    <w:p w:rsidRPr="002A63DA" w:rsidR="00072082" w:rsidP="00C12D4D" w:rsidRDefault="00A92537" w14:paraId="39C78342" w14:textId="77777777">
      <w:pPr>
        <w:rPr>
          <w:lang w:val="en-GB"/>
        </w:rPr>
      </w:pPr>
      <w:r w:rsidRPr="035DD17A" w:rsidR="00A92537">
        <w:rPr>
          <w:lang w:val="en-GB"/>
        </w:rPr>
        <w:t xml:space="preserve">The scenarios developed </w:t>
      </w:r>
      <w:r w:rsidRPr="035DD17A" w:rsidR="00265A9D">
        <w:rPr>
          <w:lang w:val="en-GB"/>
        </w:rPr>
        <w:t xml:space="preserve">in the scope of </w:t>
      </w:r>
      <w:r w:rsidRPr="035DD17A" w:rsidR="00C12D4D">
        <w:rPr>
          <w:lang w:val="en-GB"/>
        </w:rPr>
        <w:t xml:space="preserve">the </w:t>
      </w:r>
      <w:r w:rsidRPr="035DD17A" w:rsidR="00C12D4D">
        <w:rPr>
          <w:lang w:val="en-GB"/>
        </w:rPr>
        <w:t>ClairCity</w:t>
      </w:r>
      <w:r w:rsidRPr="035DD17A" w:rsidR="00C12D4D">
        <w:rPr>
          <w:lang w:val="en-GB"/>
        </w:rPr>
        <w:t xml:space="preserve"> </w:t>
      </w:r>
      <w:r w:rsidRPr="035DD17A" w:rsidR="00971A11">
        <w:rPr>
          <w:lang w:val="en-GB"/>
        </w:rPr>
        <w:t xml:space="preserve">project were </w:t>
      </w:r>
      <w:r w:rsidRPr="035DD17A" w:rsidR="004665DB">
        <w:rPr>
          <w:lang w:val="en-GB"/>
        </w:rPr>
        <w:t>co-design</w:t>
      </w:r>
      <w:r w:rsidRPr="035DD17A" w:rsidR="00D22E19">
        <w:rPr>
          <w:lang w:val="en-GB"/>
        </w:rPr>
        <w:t>ed</w:t>
      </w:r>
      <w:r w:rsidRPr="035DD17A" w:rsidR="004665DB">
        <w:rPr>
          <w:lang w:val="en-GB"/>
        </w:rPr>
        <w:t xml:space="preserve"> </w:t>
      </w:r>
      <w:r w:rsidRPr="035DD17A" w:rsidR="00971A11">
        <w:rPr>
          <w:lang w:val="en-GB"/>
        </w:rPr>
        <w:t xml:space="preserve">following a </w:t>
      </w:r>
      <w:r w:rsidRPr="035DD17A" w:rsidR="00C12D4D">
        <w:rPr>
          <w:lang w:val="en-GB"/>
        </w:rPr>
        <w:t>framework</w:t>
      </w:r>
      <w:r w:rsidRPr="035DD17A" w:rsidR="00971A11">
        <w:rPr>
          <w:lang w:val="en-GB"/>
        </w:rPr>
        <w:t xml:space="preserve"> that</w:t>
      </w:r>
      <w:r w:rsidRPr="035DD17A" w:rsidR="00C12D4D">
        <w:rPr>
          <w:lang w:val="en-GB"/>
        </w:rPr>
        <w:t xml:space="preserve"> </w:t>
      </w:r>
      <w:r w:rsidRPr="035DD17A" w:rsidR="00A92537">
        <w:rPr>
          <w:lang w:val="en-GB"/>
        </w:rPr>
        <w:t>can be separated into two different groups:</w:t>
      </w:r>
      <w:r w:rsidRPr="035DD17A" w:rsidR="00DF5591">
        <w:rPr>
          <w:lang w:val="en-GB"/>
        </w:rPr>
        <w:t xml:space="preserve"> (1)</w:t>
      </w:r>
      <w:r w:rsidRPr="035DD17A" w:rsidR="00A92537">
        <w:rPr>
          <w:lang w:val="en-GB"/>
        </w:rPr>
        <w:t xml:space="preserve"> the </w:t>
      </w:r>
      <w:r w:rsidRPr="035DD17A" w:rsidR="004665DB">
        <w:rPr>
          <w:lang w:val="en-GB"/>
        </w:rPr>
        <w:t>Business</w:t>
      </w:r>
      <w:r w:rsidRPr="035DD17A" w:rsidR="00A92537">
        <w:rPr>
          <w:lang w:val="en-GB"/>
        </w:rPr>
        <w:t>-</w:t>
      </w:r>
      <w:r w:rsidRPr="035DD17A" w:rsidR="004665DB">
        <w:rPr>
          <w:lang w:val="en-GB"/>
        </w:rPr>
        <w:t>As</w:t>
      </w:r>
      <w:r w:rsidRPr="035DD17A" w:rsidR="00A92537">
        <w:rPr>
          <w:lang w:val="en-GB"/>
        </w:rPr>
        <w:t>-</w:t>
      </w:r>
      <w:r w:rsidRPr="035DD17A" w:rsidR="004665DB">
        <w:rPr>
          <w:lang w:val="en-GB"/>
        </w:rPr>
        <w:t xml:space="preserve">Usual </w:t>
      </w:r>
      <w:r w:rsidRPr="035DD17A" w:rsidR="00A92537">
        <w:rPr>
          <w:lang w:val="en-GB"/>
        </w:rPr>
        <w:t xml:space="preserve">(BAU) scenarios, which </w:t>
      </w:r>
      <w:r w:rsidRPr="035DD17A" w:rsidR="00ED6BB6">
        <w:rPr>
          <w:lang w:val="en-GB"/>
        </w:rPr>
        <w:t xml:space="preserve">aims to capture the </w:t>
      </w:r>
      <w:r w:rsidRPr="035DD17A" w:rsidR="004665DB">
        <w:rPr>
          <w:lang w:val="en-GB"/>
        </w:rPr>
        <w:t xml:space="preserve">continuation of city policy assuming </w:t>
      </w:r>
      <w:r w:rsidRPr="035DD17A" w:rsidR="00ED6BB6">
        <w:rPr>
          <w:lang w:val="en-GB"/>
        </w:rPr>
        <w:t xml:space="preserve">no </w:t>
      </w:r>
      <w:r w:rsidRPr="035DD17A" w:rsidR="004665DB">
        <w:rPr>
          <w:lang w:val="en-GB"/>
        </w:rPr>
        <w:t xml:space="preserve">additional </w:t>
      </w:r>
      <w:r w:rsidRPr="035DD17A" w:rsidR="00ED6BB6">
        <w:rPr>
          <w:lang w:val="en-GB"/>
        </w:rPr>
        <w:t xml:space="preserve">measures are taken, reflecting the normal trend without </w:t>
      </w:r>
      <w:r w:rsidRPr="035DD17A" w:rsidR="004B73DB">
        <w:rPr>
          <w:lang w:val="en-GB"/>
        </w:rPr>
        <w:t xml:space="preserve">any behavioural </w:t>
      </w:r>
      <w:r w:rsidRPr="035DD17A" w:rsidR="00E310CB">
        <w:rPr>
          <w:lang w:val="en-GB"/>
        </w:rPr>
        <w:t xml:space="preserve">changes, or </w:t>
      </w:r>
      <w:r w:rsidRPr="035DD17A" w:rsidR="00ED6BB6">
        <w:rPr>
          <w:lang w:val="en-GB"/>
        </w:rPr>
        <w:t>any policy</w:t>
      </w:r>
      <w:r w:rsidRPr="035DD17A" w:rsidR="00E310CB">
        <w:rPr>
          <w:lang w:val="en-GB"/>
        </w:rPr>
        <w:t>,</w:t>
      </w:r>
      <w:r w:rsidRPr="035DD17A" w:rsidR="00ED6BB6">
        <w:rPr>
          <w:lang w:val="en-GB"/>
        </w:rPr>
        <w:t xml:space="preserve"> </w:t>
      </w:r>
      <w:r w:rsidRPr="035DD17A" w:rsidR="00E310CB">
        <w:rPr>
          <w:lang w:val="en-GB"/>
        </w:rPr>
        <w:t>neither</w:t>
      </w:r>
      <w:r w:rsidRPr="035DD17A" w:rsidR="00ED6BB6">
        <w:rPr>
          <w:lang w:val="en-GB"/>
        </w:rPr>
        <w:t xml:space="preserve"> interventions beyond the measures already established;</w:t>
      </w:r>
      <w:r w:rsidRPr="035DD17A" w:rsidR="00A92537">
        <w:rPr>
          <w:lang w:val="en-GB"/>
        </w:rPr>
        <w:t xml:space="preserve"> and </w:t>
      </w:r>
      <w:r w:rsidRPr="035DD17A" w:rsidR="00DF5591">
        <w:rPr>
          <w:lang w:val="en-GB"/>
        </w:rPr>
        <w:t xml:space="preserve">(2) </w:t>
      </w:r>
      <w:r w:rsidRPr="035DD17A" w:rsidR="00A92537">
        <w:rPr>
          <w:lang w:val="en-GB"/>
        </w:rPr>
        <w:t>the Final Unified Policy Scenarios (FUPS), which translates the vision and expectations of local citizens</w:t>
      </w:r>
      <w:r w:rsidRPr="035DD17A" w:rsidR="000A0535">
        <w:rPr>
          <w:lang w:val="en-GB"/>
        </w:rPr>
        <w:t>,</w:t>
      </w:r>
      <w:r w:rsidRPr="035DD17A" w:rsidR="00A92537">
        <w:rPr>
          <w:lang w:val="en-GB"/>
        </w:rPr>
        <w:t xml:space="preserve"> stakeholders</w:t>
      </w:r>
      <w:r w:rsidRPr="035DD17A" w:rsidR="000A0535">
        <w:rPr>
          <w:lang w:val="en-GB"/>
        </w:rPr>
        <w:t xml:space="preserve"> and policymakers</w:t>
      </w:r>
      <w:r w:rsidRPr="035DD17A" w:rsidR="00A92537">
        <w:rPr>
          <w:lang w:val="en-GB"/>
        </w:rPr>
        <w:t xml:space="preserve"> based on data collected through </w:t>
      </w:r>
      <w:r w:rsidRPr="035DD17A" w:rsidR="004665DB">
        <w:rPr>
          <w:lang w:val="en-GB"/>
        </w:rPr>
        <w:t>ClairCity</w:t>
      </w:r>
      <w:r w:rsidRPr="035DD17A" w:rsidR="004665DB">
        <w:rPr>
          <w:lang w:val="en-GB"/>
        </w:rPr>
        <w:t xml:space="preserve"> </w:t>
      </w:r>
      <w:r w:rsidRPr="035DD17A" w:rsidR="00A92537">
        <w:rPr>
          <w:lang w:val="en-GB"/>
        </w:rPr>
        <w:t>engagement processes</w:t>
      </w:r>
      <w:r w:rsidRPr="035DD17A" w:rsidR="004665DB">
        <w:rPr>
          <w:lang w:val="en-GB"/>
        </w:rPr>
        <w:t>.</w:t>
      </w:r>
      <w:r w:rsidRPr="035DD17A" w:rsidR="00C12D4D">
        <w:rPr>
          <w:lang w:val="en-GB"/>
        </w:rPr>
        <w:t xml:space="preserve"> The data collected t</w:t>
      </w:r>
      <w:r w:rsidRPr="035DD17A" w:rsidR="00C12D4D">
        <w:rPr>
          <w:color w:val="auto"/>
          <w:lang w:val="en-GB"/>
        </w:rPr>
        <w:t xml:space="preserve">hrough the engagement process from the </w:t>
      </w:r>
      <w:r w:rsidRPr="035DD17A" w:rsidR="00C12D4D">
        <w:rPr>
          <w:color w:val="auto"/>
          <w:lang w:val="en-GB"/>
        </w:rPr>
        <w:t>ClairCity</w:t>
      </w:r>
      <w:r w:rsidRPr="035DD17A" w:rsidR="00C12D4D">
        <w:rPr>
          <w:color w:val="auto"/>
          <w:lang w:val="en-GB"/>
        </w:rPr>
        <w:t xml:space="preserve"> framework</w:t>
      </w:r>
      <w:r w:rsidRPr="035DD17A" w:rsidR="00C12D4D">
        <w:rPr>
          <w:lang w:val="en-GB"/>
        </w:rPr>
        <w:t xml:space="preserve"> estimated the impact of future scenarios considering 3-time horizons: 2025, 2035 and 2050, and was used to support and inform the development of city policy packages. The scenarios were compared</w:t>
      </w:r>
      <w:r w:rsidRPr="035DD17A" w:rsidR="00E840FC">
        <w:rPr>
          <w:lang w:val="en-GB"/>
        </w:rPr>
        <w:t>,</w:t>
      </w:r>
      <w:r w:rsidRPr="035DD17A" w:rsidR="00C12D4D">
        <w:rPr>
          <w:lang w:val="en-GB"/>
        </w:rPr>
        <w:t xml:space="preserve"> considering the impact on the baseline year</w:t>
      </w:r>
      <w:r w:rsidRPr="035DD17A" w:rsidR="00E840FC">
        <w:rPr>
          <w:lang w:val="en-GB"/>
        </w:rPr>
        <w:t xml:space="preserve"> (2015).</w:t>
      </w:r>
    </w:p>
    <w:p w:rsidRPr="002A63DA" w:rsidR="00ED6BB6" w:rsidP="00ED6BB6" w:rsidRDefault="00A92537" w14:paraId="36035BC9" w14:textId="77777777">
      <w:pPr>
        <w:rPr>
          <w:lang w:val="en-GB"/>
        </w:rPr>
      </w:pPr>
      <w:r w:rsidRPr="035DD17A" w:rsidR="00A92537">
        <w:rPr>
          <w:lang w:val="en-GB"/>
        </w:rPr>
        <w:t>As previously mentioned, BAU scenarios take into consideration national and city</w:t>
      </w:r>
      <w:r w:rsidRPr="035DD17A" w:rsidR="0018728F">
        <w:rPr>
          <w:lang w:val="en-GB"/>
        </w:rPr>
        <w:t>-</w:t>
      </w:r>
      <w:r w:rsidRPr="035DD17A" w:rsidR="00A92537">
        <w:rPr>
          <w:lang w:val="en-GB"/>
        </w:rPr>
        <w:t>level measures already defined. Overall, for the six case studies, the scenarios were designed using the projections of greenhouse gas emissions and energy demand from the 7</w:t>
      </w:r>
      <w:r w:rsidRPr="035DD17A" w:rsidR="00A92537">
        <w:rPr>
          <w:vertAlign w:val="superscript"/>
          <w:lang w:val="en-GB"/>
        </w:rPr>
        <w:t>th</w:t>
      </w:r>
      <w:r w:rsidRPr="035DD17A" w:rsidR="00DF5591">
        <w:rPr>
          <w:lang w:val="en-GB"/>
        </w:rPr>
        <w:t xml:space="preserve"> </w:t>
      </w:r>
      <w:r w:rsidRPr="035DD17A" w:rsidR="00A92537">
        <w:rPr>
          <w:lang w:val="en-GB"/>
        </w:rPr>
        <w:t>national communication to United Nations Framework Convention on Climate Change (UNFCCC); from the national measures projections in the frame of the National Emission Ceiling Directive (NECD); and when applicable, other specific case study related measures, as for example, the ban of coal power plants by the Dutch government in 2018, or the permanent shutdown of the Genoa coal thermal power plant</w:t>
      </w:r>
      <w:r w:rsidRPr="035DD17A" w:rsidR="00E0190F">
        <w:rPr>
          <w:lang w:val="en-GB"/>
        </w:rPr>
        <w:t xml:space="preserve"> </w:t>
      </w:r>
      <w:r w:rsidRPr="035DD17A" w:rsidR="005563E8">
        <w:rPr>
          <w:lang w:val="en-GB"/>
        </w:rPr>
        <w:t xml:space="preserve">in 2016 </w:t>
      </w:r>
      <w:r w:rsidRPr="035DD17A">
        <w:rPr>
          <w:lang w:val="en-GB"/>
        </w:rPr>
        <w:fldChar w:fldCharType="begin" w:fldLock="true"/>
      </w:r>
      <w:r w:rsidRPr="035DD17A">
        <w:rPr>
          <w:lang w:val="en-GB"/>
        </w:rPr>
        <w:instrText xml:space="preserve">ADDIN CSL_CITATION {"citationItems":[{"id":"ITEM-1","itemData":{"DOI":"10.5281/ZENODO.3972940","author":[{"dropping-particle":"","family":"Rodrigues","given":"Vera","non-dropping-particle":"","parse-names":false,"suffix":""},{"dropping-particle":"","family":"Lopes","given":"Myriam","non-dropping-particle":"","parse-names":false,"suffix":""},{"dropping-particle":"","family":"Rafael","given":"Sandra","non-dropping-particle":"","parse-names":false,"suffix":""},{"dropping-particle":"","family":"Coelho","given":"Silvia","non-dropping-particle":"","parse-names":false,"suffix":""},{"dropping-particle":"de","family":"Oliveira","given":"Kevin","non-dropping-particle":"","parse-names":false,"suffix":""},{"dropping-particle":"","family":"Vanherle","given":"Kris","non-dropping-particle":"","parse-names":false,"suffix":""},{"dropping-particle":"","family":"Papics","given":"Peter","non-dropping-particle":"","parse-names":false,"suffix":""},{"dropping-particle":"","family":"Himpe","given":"Willem","non-dropping-particle":"","parse-names":false,"suffix":""},{"dropping-particle":"","family":"Diafas","given":"Iason","non-dropping-particle":"","parse-names":false,"suffix":""},{"dropping-particle":"","family":"Kewo","given":"Angreine","non-dropping-particle":"","parse-names":false,"suffix":""},{"dropping-particle":"","family":"Trozzi","given":"Carlo","non-dropping-particle":"","parse-names":false,"suffix":""},{"dropping-particle":"","family":"Piscitello","given":"Enzo","non-dropping-particle":"","parse-names":false,"suffix":""},{"dropping-particle":"","family":"Soares","given":"Joana","non-dropping-particle":"","parse-names":false,"suffix":""}],"id":"ITEM-1","issued":{"date-parts":[["2020","2","28"]]},"title":"D5.7 City Impact Analysis Report","type":"article-journal"},"uris":["http://www.mendeley.com/documents/?uuid=1add67bf-7adb-3949-b043-f3cf84ddc632"]}],"mendeley":{"formattedCitation":"(Rodrigues et al., 2020)","plainTextFormattedCitation":"(Rodrigues et al., 2020)","previouslyFormattedCitation":"(Rodrigues et al., 2020)"},"properties":{"noteIndex":0},"schema":"https://github.com/citation-style-language/schema/raw/master/csl-citation.json"}</w:instrText>
      </w:r>
      <w:r w:rsidRPr="035DD17A">
        <w:rPr>
          <w:lang w:val="en-GB"/>
        </w:rPr>
        <w:fldChar w:fldCharType="separate"/>
      </w:r>
      <w:r w:rsidRPr="035DD17A" w:rsidR="00E22AA2">
        <w:rPr>
          <w:noProof/>
          <w:lang w:val="en-GB"/>
        </w:rPr>
        <w:t>(Rodrigues et al., 2020)</w:t>
      </w:r>
      <w:r w:rsidRPr="035DD17A">
        <w:rPr>
          <w:lang w:val="en-GB"/>
        </w:rPr>
        <w:fldChar w:fldCharType="end"/>
      </w:r>
      <w:r w:rsidRPr="035DD17A" w:rsidR="00A92537">
        <w:rPr>
          <w:lang w:val="en-GB"/>
        </w:rPr>
        <w:t>.</w:t>
      </w:r>
    </w:p>
    <w:p w:rsidRPr="002A63DA" w:rsidR="00ED6BB6" w:rsidP="00ED6BB6" w:rsidRDefault="00A92537" w14:paraId="39E4FB92" w14:textId="2EEEB4C1">
      <w:pPr>
        <w:rPr>
          <w:lang w:val="en-GB"/>
        </w:rPr>
      </w:pPr>
      <w:bookmarkStart w:name="_Hlk64579189" w:id="4"/>
      <w:r w:rsidRPr="035DD17A" w:rsidR="00A92537">
        <w:rPr>
          <w:lang w:val="en-GB"/>
        </w:rPr>
        <w:t>The final policies</w:t>
      </w:r>
      <w:r w:rsidRPr="035DD17A" w:rsidR="00E24ECC">
        <w:rPr>
          <w:lang w:val="en-GB"/>
        </w:rPr>
        <w:t xml:space="preserve"> included in the FUPS</w:t>
      </w:r>
      <w:r w:rsidRPr="035DD17A" w:rsidR="00A92537">
        <w:rPr>
          <w:lang w:val="en-GB"/>
        </w:rPr>
        <w:t xml:space="preserve"> for each case study are presented in </w:t>
      </w:r>
      <w:r w:rsidRPr="035DD17A" w:rsidR="00781221">
        <w:rPr>
          <w:lang w:val="en-GB"/>
        </w:rPr>
        <w:t xml:space="preserve">Table </w:t>
      </w:r>
      <w:r w:rsidRPr="035DD17A" w:rsidR="00B80192">
        <w:rPr>
          <w:lang w:val="en-GB"/>
        </w:rPr>
        <w:t>S1</w:t>
      </w:r>
      <w:r w:rsidRPr="035DD17A" w:rsidR="00DE6DAD">
        <w:rPr>
          <w:lang w:val="en-GB"/>
        </w:rPr>
        <w:t xml:space="preserve"> </w:t>
      </w:r>
      <w:r w:rsidRPr="035DD17A" w:rsidR="00A92537">
        <w:rPr>
          <w:lang w:val="en-GB"/>
        </w:rPr>
        <w:t>of the supplementary material</w:t>
      </w:r>
      <w:r w:rsidRPr="035DD17A" w:rsidR="009B1671">
        <w:rPr>
          <w:lang w:val="en-GB"/>
        </w:rPr>
        <w:t>.</w:t>
      </w:r>
    </w:p>
    <w:bookmarkEnd w:id="4"/>
    <w:p w:rsidRPr="002A63DA" w:rsidR="002C4767" w:rsidP="004B1A4A" w:rsidRDefault="00A92537" w14:paraId="2093E9CE" w14:textId="77777777">
      <w:pPr>
        <w:rPr>
          <w:lang w:val="en-GB"/>
        </w:rPr>
      </w:pPr>
      <w:r w:rsidRPr="035DD17A" w:rsidR="00A92537">
        <w:rPr>
          <w:lang w:val="en-GB"/>
        </w:rPr>
        <w:t xml:space="preserve">Overall, </w:t>
      </w:r>
      <w:r w:rsidRPr="035DD17A" w:rsidR="00E24ECC">
        <w:rPr>
          <w:lang w:val="en-GB"/>
        </w:rPr>
        <w:t xml:space="preserve">for the developed FUPS (see section 2.1), </w:t>
      </w:r>
      <w:r w:rsidRPr="035DD17A" w:rsidR="00A92537">
        <w:rPr>
          <w:lang w:val="en-GB"/>
        </w:rPr>
        <w:t>there was no set of measures to fit all cases equally since each city/region has different priority measures and views on how far they can go implementing those measures. A common ground found across all cities is the focus on the transport sector, whether these are public transport policies, policies targeting private vehicles or policies to foster active travel. All the cities proposed ambitious policies to discourage car use</w:t>
      </w:r>
      <w:r w:rsidRPr="035DD17A" w:rsidR="002D464F">
        <w:rPr>
          <w:lang w:val="en-GB"/>
        </w:rPr>
        <w:t>. Regarding</w:t>
      </w:r>
      <w:r w:rsidRPr="035DD17A" w:rsidR="00A92537">
        <w:rPr>
          <w:lang w:val="en-GB"/>
        </w:rPr>
        <w:t xml:space="preserve"> the energy sector, Bristol, Amsterdam, Sosnowiec and the Liguria Region were quite ambitious, while Ljubljana and Aveiro were less so. When assigning ambition levels for each policy, generally, the reasons for opting for a low ambition level were the cost of implementation of the measures and an unrealistic timeframe proposed in the high ambition </w:t>
      </w:r>
      <w:r w:rsidRPr="035DD17A" w:rsidR="00092D2E">
        <w:rPr>
          <w:lang w:val="en-GB"/>
        </w:rPr>
        <w:t>level</w:t>
      </w:r>
      <w:r w:rsidRPr="035DD17A" w:rsidR="00004C11">
        <w:rPr>
          <w:lang w:val="en-GB"/>
        </w:rPr>
        <w:t xml:space="preserve"> </w:t>
      </w:r>
      <w:r w:rsidRPr="035DD17A">
        <w:rPr>
          <w:lang w:val="en-GB"/>
        </w:rPr>
        <w:fldChar w:fldCharType="begin" w:fldLock="true"/>
      </w:r>
      <w:r w:rsidRPr="035DD17A">
        <w:rPr>
          <w:lang w:val="en-GB"/>
        </w:rPr>
        <w:instrText xml:space="preserve">ADDIN CSL_CITATION {"citationItems":[{"id":"ITEM-1","itemData":{"DOI":"10.5281/ZENODO.3972927","author":[{"dropping-particle":"","family":"Artola","given":"Irati","non-dropping-particle":"","parse-names":false,"suffix":""},{"dropping-particle":"","family":"Slingerland","given":"Stephan","non-dropping-particle":"","parse-names":false,"suffix":""}],"id":"ITEM-1","issued":{"date-parts":[["2019","11","22"]]},"title":"D6.6 Policy Workshop – Last City","type":"article-journal"},"uris":["http://www.mendeley.com/documents/?uuid=f498de93-e91c-34ec-843d-c88e52c7b385"]}],"mendeley":{"formattedCitation":"(Artola and Slingerland, 2019)","plainTextFormattedCitation":"(Artola and Slingerland, 2019)","previouslyFormattedCitation":"(Artola and Slingerland, 2019)"},"properties":{"noteIndex":0},"schema":"https://github.com/citation-style-language/schema/raw/master/csl-citation.json"}</w:instrText>
      </w:r>
      <w:r w:rsidRPr="035DD17A">
        <w:rPr>
          <w:lang w:val="en-GB"/>
        </w:rPr>
        <w:fldChar w:fldCharType="separate"/>
      </w:r>
      <w:r w:rsidRPr="035DD17A" w:rsidR="00004C11">
        <w:rPr>
          <w:noProof/>
          <w:lang w:val="en-GB"/>
        </w:rPr>
        <w:t>(Artola and Slingerland, 2019)</w:t>
      </w:r>
      <w:r w:rsidRPr="035DD17A">
        <w:rPr>
          <w:lang w:val="en-GB"/>
        </w:rPr>
        <w:fldChar w:fldCharType="end"/>
      </w:r>
      <w:r w:rsidRPr="035DD17A" w:rsidR="00A92537">
        <w:rPr>
          <w:lang w:val="en-GB"/>
        </w:rPr>
        <w:t xml:space="preserve">. </w:t>
      </w:r>
      <w:r w:rsidRPr="035DD17A" w:rsidR="00882B92">
        <w:rPr>
          <w:lang w:val="en-GB"/>
        </w:rPr>
        <w:t>F</w:t>
      </w:r>
      <w:r w:rsidRPr="035DD17A" w:rsidR="00A92537">
        <w:rPr>
          <w:lang w:val="en-GB"/>
        </w:rPr>
        <w:t xml:space="preserve">or example, cleaner public transport was given low ambition in all cases. </w:t>
      </w:r>
    </w:p>
    <w:p w:rsidRPr="002A63DA" w:rsidR="002C4767" w:rsidP="004B1A4A" w:rsidRDefault="00A92537" w14:paraId="657D4E8A" w14:textId="77777777">
      <w:pPr>
        <w:rPr>
          <w:lang w:val="en-GB"/>
        </w:rPr>
      </w:pPr>
      <w:r w:rsidRPr="035DD17A" w:rsidR="00A92537">
        <w:rPr>
          <w:lang w:val="en-GB"/>
        </w:rPr>
        <w:t xml:space="preserve">Bristol is the only city with an equality policy, namely "spread economic opportunities across the city". </w:t>
      </w:r>
      <w:r w:rsidRPr="035DD17A" w:rsidR="00882B92">
        <w:rPr>
          <w:lang w:val="en-GB"/>
        </w:rPr>
        <w:t>M</w:t>
      </w:r>
      <w:r w:rsidRPr="035DD17A" w:rsidR="00A92537">
        <w:rPr>
          <w:lang w:val="en-GB"/>
        </w:rPr>
        <w:t xml:space="preserve">ost energy policies are found in Amsterdam, while in Ljubljana deliberately no energy policies were generated, which reflects the dominance of transport policies in the public debate. Sosnowiec was the only case which proposed two measures that can be considered adaptation measures to air pollution, namely: "Free public transport on days with a high level of air pollution by 2020", and "Ban diesel cars from the city </w:t>
      </w:r>
      <w:r w:rsidRPr="035DD17A" w:rsidR="004B1A4A">
        <w:rPr>
          <w:lang w:val="en-GB"/>
        </w:rPr>
        <w:t>centre</w:t>
      </w:r>
      <w:r w:rsidRPr="035DD17A" w:rsidR="00A92537">
        <w:rPr>
          <w:lang w:val="en-GB"/>
        </w:rPr>
        <w:t xml:space="preserve"> on days with poor levels of air pollution by 2050”. </w:t>
      </w:r>
      <w:r w:rsidRPr="035DD17A" w:rsidR="00940655">
        <w:rPr>
          <w:lang w:val="en-GB"/>
        </w:rPr>
        <w:t xml:space="preserve">Liguria region considered high priority shifting private vehicles to electric, and it is partly being facilitated through financial incentives. </w:t>
      </w:r>
      <w:r w:rsidRPr="035DD17A" w:rsidR="00A92537">
        <w:rPr>
          <w:lang w:val="en-GB"/>
        </w:rPr>
        <w:t>Active travel policies mostly regard cycling, with only Aveiro proposing a specific measure to foster walking.</w:t>
      </w:r>
      <w:r w:rsidRPr="035DD17A" w:rsidR="00940655">
        <w:rPr>
          <w:lang w:val="en-GB"/>
        </w:rPr>
        <w:t xml:space="preserve"> </w:t>
      </w:r>
      <w:r w:rsidRPr="035DD17A" w:rsidR="00A92537">
        <w:rPr>
          <w:lang w:val="en-GB"/>
        </w:rPr>
        <w:t xml:space="preserve">Four out of the six case studies (Bristol, Amsterdam, Ljubljana and Liguria) discussed measures around “environmental zones”. </w:t>
      </w:r>
      <w:r w:rsidRPr="035DD17A" w:rsidR="00940655">
        <w:rPr>
          <w:lang w:val="en-GB"/>
        </w:rPr>
        <w:t>Furthermore, t</w:t>
      </w:r>
      <w:r w:rsidRPr="035DD17A" w:rsidR="00A92537">
        <w:rPr>
          <w:lang w:val="en-GB"/>
        </w:rPr>
        <w:t xml:space="preserve">he set of policy measures of Sosnowiec and Aveiro included industry </w:t>
      </w:r>
      <w:r w:rsidRPr="035DD17A" w:rsidR="00A44830">
        <w:rPr>
          <w:lang w:val="en-GB"/>
        </w:rPr>
        <w:t xml:space="preserve">(technological) </w:t>
      </w:r>
      <w:r w:rsidRPr="035DD17A" w:rsidR="00A92537">
        <w:rPr>
          <w:lang w:val="en-GB"/>
        </w:rPr>
        <w:t xml:space="preserve">measures, which do not require behaviour change of citizens. </w:t>
      </w:r>
    </w:p>
    <w:p w:rsidRPr="002A63DA" w:rsidR="00F53093" w:rsidP="000A685F" w:rsidRDefault="00F53093" w14:paraId="133AE1A5" w14:textId="77777777">
      <w:pPr>
        <w:rPr>
          <w:lang w:val="en-GB"/>
        </w:rPr>
      </w:pPr>
    </w:p>
    <w:p w:rsidRPr="002A63DA" w:rsidR="00224782" w:rsidP="00D62B2B" w:rsidRDefault="00A92537" w14:paraId="54EF44CA" w14:textId="77777777">
      <w:pPr>
        <w:pStyle w:val="Heading3"/>
        <w:rPr>
          <w:lang w:val="en-GB"/>
        </w:rPr>
      </w:pPr>
      <w:r w:rsidRPr="035DD17A" w:rsidR="00A92537">
        <w:rPr>
          <w:lang w:val="en-GB"/>
        </w:rPr>
        <w:t>2.</w:t>
      </w:r>
      <w:r w:rsidRPr="035DD17A" w:rsidR="00983BE0">
        <w:rPr>
          <w:lang w:val="en-GB"/>
        </w:rPr>
        <w:t>3</w:t>
      </w:r>
      <w:r w:rsidRPr="035DD17A" w:rsidR="00A92537">
        <w:rPr>
          <w:lang w:val="en-GB"/>
        </w:rPr>
        <w:t xml:space="preserve"> Emission</w:t>
      </w:r>
      <w:r w:rsidRPr="035DD17A" w:rsidR="005843F4">
        <w:rPr>
          <w:lang w:val="en-GB"/>
        </w:rPr>
        <w:t>s estimation</w:t>
      </w:r>
    </w:p>
    <w:p w:rsidRPr="002A63DA" w:rsidR="003820A9" w:rsidP="0086225D" w:rsidRDefault="00A92537" w14:paraId="7A2EEF04" w14:textId="77777777">
      <w:pPr>
        <w:rPr>
          <w:lang w:val="en-GB"/>
        </w:rPr>
      </w:pPr>
      <w:r w:rsidRPr="035DD17A" w:rsidR="00A92537">
        <w:rPr>
          <w:lang w:val="en-GB"/>
        </w:rPr>
        <w:t xml:space="preserve">The </w:t>
      </w:r>
      <w:r w:rsidRPr="035DD17A" w:rsidR="00A92537">
        <w:rPr>
          <w:lang w:val="en-GB"/>
        </w:rPr>
        <w:t>ClairCity</w:t>
      </w:r>
      <w:r w:rsidRPr="035DD17A" w:rsidR="00A92537">
        <w:rPr>
          <w:lang w:val="en-GB"/>
        </w:rPr>
        <w:t xml:space="preserve"> impact assessment framework </w:t>
      </w:r>
      <w:r w:rsidRPr="035DD17A" w:rsidR="00BB0366">
        <w:rPr>
          <w:lang w:val="en-GB"/>
        </w:rPr>
        <w:t>included</w:t>
      </w:r>
      <w:r w:rsidRPr="035DD17A" w:rsidR="00A92537">
        <w:rPr>
          <w:lang w:val="en-GB"/>
        </w:rPr>
        <w:t xml:space="preserve"> the development of an emission inventory considering the</w:t>
      </w:r>
      <w:r w:rsidRPr="035DD17A" w:rsidR="00BB0366">
        <w:rPr>
          <w:lang w:val="en-GB"/>
        </w:rPr>
        <w:t xml:space="preserve"> most</w:t>
      </w:r>
      <w:r w:rsidRPr="035DD17A" w:rsidR="00A92537">
        <w:rPr>
          <w:lang w:val="en-GB"/>
        </w:rPr>
        <w:t xml:space="preserve"> relevant emission sectors</w:t>
      </w:r>
      <w:r w:rsidRPr="035DD17A" w:rsidR="00BB0366">
        <w:rPr>
          <w:lang w:val="en-GB"/>
        </w:rPr>
        <w:t xml:space="preserve"> in urban areas</w:t>
      </w:r>
      <w:r w:rsidRPr="035DD17A" w:rsidR="00A92537">
        <w:rPr>
          <w:lang w:val="en-GB"/>
        </w:rPr>
        <w:t xml:space="preserve">, such as the road transport sector, </w:t>
      </w:r>
      <w:r w:rsidRPr="035DD17A" w:rsidR="00BB0366">
        <w:rPr>
          <w:lang w:val="en-GB"/>
        </w:rPr>
        <w:t xml:space="preserve">the residential, </w:t>
      </w:r>
      <w:r w:rsidRPr="035DD17A" w:rsidR="00F75980">
        <w:rPr>
          <w:lang w:val="en-GB"/>
        </w:rPr>
        <w:t xml:space="preserve">commercial </w:t>
      </w:r>
      <w:r w:rsidRPr="035DD17A" w:rsidR="00BB0366">
        <w:rPr>
          <w:lang w:val="en-GB"/>
        </w:rPr>
        <w:t>and institutional sector</w:t>
      </w:r>
      <w:r w:rsidRPr="035DD17A" w:rsidR="00092D2E">
        <w:rPr>
          <w:lang w:val="en-GB"/>
        </w:rPr>
        <w:t xml:space="preserve"> (IRCI)</w:t>
      </w:r>
      <w:r w:rsidRPr="035DD17A" w:rsidR="00F75980">
        <w:rPr>
          <w:lang w:val="en-GB"/>
        </w:rPr>
        <w:t>,</w:t>
      </w:r>
      <w:r w:rsidRPr="035DD17A" w:rsidR="008D0E4F">
        <w:rPr>
          <w:lang w:val="en-GB"/>
        </w:rPr>
        <w:t xml:space="preserve"> and</w:t>
      </w:r>
      <w:r w:rsidRPr="035DD17A" w:rsidR="00BB0366">
        <w:rPr>
          <w:lang w:val="en-GB"/>
        </w:rPr>
        <w:t xml:space="preserve"> </w:t>
      </w:r>
      <w:r w:rsidRPr="035DD17A" w:rsidR="00A92537">
        <w:rPr>
          <w:lang w:val="en-GB"/>
        </w:rPr>
        <w:t>the industrial sector</w:t>
      </w:r>
      <w:r w:rsidRPr="035DD17A" w:rsidR="008D0E4F">
        <w:rPr>
          <w:lang w:val="en-GB"/>
        </w:rPr>
        <w:t>.</w:t>
      </w:r>
      <w:r w:rsidRPr="035DD17A" w:rsidR="00A92537">
        <w:rPr>
          <w:lang w:val="en-GB"/>
        </w:rPr>
        <w:t xml:space="preserve"> </w:t>
      </w:r>
      <w:r w:rsidRPr="035DD17A" w:rsidR="008D0E4F">
        <w:rPr>
          <w:lang w:val="en-GB"/>
        </w:rPr>
        <w:t>A</w:t>
      </w:r>
      <w:r w:rsidRPr="035DD17A" w:rsidR="00475970">
        <w:rPr>
          <w:lang w:val="en-GB"/>
        </w:rPr>
        <w:t>dditionally</w:t>
      </w:r>
      <w:r w:rsidRPr="035DD17A" w:rsidR="008D0E4F">
        <w:rPr>
          <w:lang w:val="en-GB"/>
        </w:rPr>
        <w:t>,</w:t>
      </w:r>
      <w:r w:rsidRPr="035DD17A" w:rsidR="00A92537">
        <w:rPr>
          <w:lang w:val="en-GB"/>
        </w:rPr>
        <w:t xml:space="preserve"> the shipping sector</w:t>
      </w:r>
      <w:r w:rsidRPr="035DD17A" w:rsidR="006E2D24">
        <w:rPr>
          <w:lang w:val="en-GB"/>
        </w:rPr>
        <w:t xml:space="preserve"> </w:t>
      </w:r>
      <w:r w:rsidRPr="035DD17A" w:rsidR="00C17235">
        <w:rPr>
          <w:lang w:val="en-GB"/>
        </w:rPr>
        <w:t xml:space="preserve">was quantified for the baseline </w:t>
      </w:r>
      <w:r w:rsidRPr="035DD17A" w:rsidR="006E2D24">
        <w:rPr>
          <w:lang w:val="en-GB"/>
        </w:rPr>
        <w:t>for Amsterdam and the Liguria Region</w:t>
      </w:r>
      <w:r w:rsidRPr="035DD17A" w:rsidR="00A92537">
        <w:rPr>
          <w:lang w:val="en-GB"/>
        </w:rPr>
        <w:t>.</w:t>
      </w:r>
      <w:r w:rsidRPr="035DD17A" w:rsidR="005C37D0">
        <w:rPr>
          <w:lang w:val="en-GB"/>
        </w:rPr>
        <w:t xml:space="preserve"> T</w:t>
      </w:r>
      <w:r w:rsidRPr="035DD17A" w:rsidR="006E2D24">
        <w:rPr>
          <w:lang w:val="en-GB"/>
        </w:rPr>
        <w:t xml:space="preserve">he </w:t>
      </w:r>
      <w:r w:rsidRPr="035DD17A" w:rsidR="00720C8E">
        <w:rPr>
          <w:lang w:val="en-GB"/>
        </w:rPr>
        <w:t xml:space="preserve">BAU </w:t>
      </w:r>
      <w:r w:rsidRPr="035DD17A" w:rsidR="006E2D24">
        <w:rPr>
          <w:lang w:val="en-GB"/>
        </w:rPr>
        <w:t xml:space="preserve">scenarios </w:t>
      </w:r>
      <w:r w:rsidRPr="035DD17A" w:rsidR="005C37D0">
        <w:rPr>
          <w:lang w:val="en-GB"/>
        </w:rPr>
        <w:t xml:space="preserve">for the shipping sector </w:t>
      </w:r>
      <w:r w:rsidRPr="035DD17A" w:rsidR="006E2D24">
        <w:rPr>
          <w:lang w:val="en-GB"/>
        </w:rPr>
        <w:t>were only quantified for the Liguria Region</w:t>
      </w:r>
      <w:r w:rsidRPr="035DD17A" w:rsidR="005033B6">
        <w:rPr>
          <w:lang w:val="en-GB"/>
        </w:rPr>
        <w:t xml:space="preserve">, where the International Maritime </w:t>
      </w:r>
      <w:r w:rsidRPr="035DD17A" w:rsidR="00726821">
        <w:rPr>
          <w:lang w:val="en-GB"/>
        </w:rPr>
        <w:t>Organization</w:t>
      </w:r>
      <w:r w:rsidRPr="035DD17A" w:rsidR="005033B6">
        <w:rPr>
          <w:lang w:val="en-GB"/>
        </w:rPr>
        <w:t xml:space="preserve"> Tier 2 and cold ironing implementation </w:t>
      </w:r>
      <w:r w:rsidRPr="035DD17A" w:rsidR="00552D4F">
        <w:rPr>
          <w:lang w:val="en-GB"/>
        </w:rPr>
        <w:t xml:space="preserve">measures </w:t>
      </w:r>
      <w:r w:rsidRPr="035DD17A" w:rsidR="005033B6">
        <w:rPr>
          <w:lang w:val="en-GB"/>
        </w:rPr>
        <w:t>account for reductions of NOx emissions of 15.5% in 2025 and 24.1% in 2050.</w:t>
      </w:r>
    </w:p>
    <w:p w:rsidRPr="002A63DA" w:rsidR="00D151C5" w:rsidP="0086225D" w:rsidRDefault="00A92537" w14:paraId="75947365" w14:textId="77777777">
      <w:pPr>
        <w:rPr>
          <w:lang w:val="en-GB"/>
        </w:rPr>
      </w:pPr>
      <w:r w:rsidRPr="035DD17A" w:rsidR="00A92537">
        <w:rPr>
          <w:lang w:val="en-GB"/>
        </w:rPr>
        <w:t xml:space="preserve">The </w:t>
      </w:r>
      <w:r w:rsidRPr="035DD17A" w:rsidR="00FE48FA">
        <w:rPr>
          <w:lang w:val="en-GB"/>
        </w:rPr>
        <w:t xml:space="preserve">methodology </w:t>
      </w:r>
      <w:r w:rsidRPr="035DD17A" w:rsidR="0003461E">
        <w:rPr>
          <w:lang w:val="en-GB"/>
        </w:rPr>
        <w:t xml:space="preserve">for the scenarios’ emissions quantification </w:t>
      </w:r>
      <w:r w:rsidRPr="035DD17A" w:rsidR="00A92537">
        <w:rPr>
          <w:lang w:val="en-GB"/>
        </w:rPr>
        <w:t>process for each</w:t>
      </w:r>
      <w:r w:rsidRPr="035DD17A" w:rsidR="00FF400F">
        <w:rPr>
          <w:lang w:val="en-GB"/>
        </w:rPr>
        <w:t xml:space="preserve"> </w:t>
      </w:r>
      <w:r w:rsidRPr="035DD17A" w:rsidR="00A92537">
        <w:rPr>
          <w:lang w:val="en-GB"/>
        </w:rPr>
        <w:t>sector will be described next.</w:t>
      </w:r>
      <w:r w:rsidRPr="035DD17A" w:rsidR="00A16503">
        <w:rPr>
          <w:lang w:val="en-GB"/>
        </w:rPr>
        <w:t xml:space="preserve"> The baseline framework also follows the quantification methodology for all case studies described in </w:t>
      </w:r>
      <w:r w:rsidRPr="035DD17A">
        <w:rPr>
          <w:lang w:val="en-GB"/>
        </w:rPr>
        <w:fldChar w:fldCharType="begin" w:fldLock="true"/>
      </w:r>
      <w:r w:rsidRPr="035DD17A">
        <w:rPr>
          <w:lang w:val="en-GB"/>
        </w:rPr>
        <w:instrText xml:space="preserve">ADDIN CSL_CITATION {"citationItems":[{"id":"ITEM-1","itemData":{"DOI":"10.5281/ZENODO.3972940","author":[{"dropping-particle":"","family":"Rodrigues","given":"Vera","non-dropping-particle":"","parse-names":false,"suffix":""},{"dropping-particle":"","family":"Lopes","given":"Myriam","non-dropping-particle":"","parse-names":false,"suffix":""},{"dropping-particle":"","family":"Rafael","given":"Sandra","non-dropping-particle":"","parse-names":false,"suffix":""},{"dropping-particle":"","family":"Coelho","given":"Silvia","non-dropping-particle":"","parse-names":false,"suffix":""},{"dropping-particle":"de","family":"Oliveira","given":"Kevin","non-dropping-particle":"","parse-names":false,"suffix":""},{"dropping-particle":"","family":"Vanherle","given":"Kris","non-dropping-particle":"","parse-names":false,"suffix":""},{"dropping-particle":"","family":"Papics","given":"Peter","non-dropping-particle":"","parse-names":false,"suffix":""},{"dropping-particle":"","family":"Himpe","given":"Willem","non-dropping-particle":"","parse-names":false,"suffix":""},{"dropping-particle":"","family":"Diafas","given":"Iason","non-dropping-particle":"","parse-names":false,"suffix":""},{"dropping-particle":"","family":"Kewo","given":"Angreine","non-dropping-particle":"","parse-names":false,"suffix":""},{"dropping-particle":"","family":"Trozzi","given":"Carlo","non-dropping-particle":"","parse-names":false,"suffix":""},{"dropping-particle":"","family":"Piscitello","given":"Enzo","non-dropping-particle":"","parse-names":false,"suffix":""},{"dropping-particle":"","family":"Soares","given":"Joana","non-dropping-particle":"","parse-names":false,"suffix":""}],"id":"ITEM-1","issued":{"date-parts":[["2020","2","28"]]},"title":"D5.7 City Impact Analysis Report","type":"article-journal"},"uris":["http://www.mendeley.com/documents/?uuid=1add67bf-7adb-3949-b043-f3cf84ddc632"]}],"mendeley":{"formattedCitation":"(Rodrigues et al., 2020)","manualFormatting":"Rodrigues et al., (2020)","plainTextFormattedCitation":"(Rodrigues et al., 2020)","previouslyFormattedCitation":"(Rodrigues et al., 2020)"},"properties":{"noteIndex":0},"schema":"https://github.com/citation-style-language/schema/raw/master/csl-citation.json"}</w:instrText>
      </w:r>
      <w:r w:rsidRPr="035DD17A">
        <w:rPr>
          <w:lang w:val="en-GB"/>
        </w:rPr>
        <w:fldChar w:fldCharType="separate"/>
      </w:r>
      <w:r w:rsidRPr="035DD17A" w:rsidR="00F524E1">
        <w:rPr>
          <w:noProof/>
          <w:lang w:val="en-GB"/>
        </w:rPr>
        <w:t xml:space="preserve">Rodrigues et al. </w:t>
      </w:r>
      <w:r w:rsidRPr="035DD17A" w:rsidR="00EC403A">
        <w:rPr>
          <w:noProof/>
          <w:lang w:val="en-GB"/>
        </w:rPr>
        <w:t>(</w:t>
      </w:r>
      <w:r w:rsidRPr="035DD17A" w:rsidR="00F524E1">
        <w:rPr>
          <w:noProof/>
          <w:lang w:val="en-GB"/>
        </w:rPr>
        <w:t>2020)</w:t>
      </w:r>
      <w:r w:rsidRPr="035DD17A">
        <w:rPr>
          <w:lang w:val="en-GB"/>
        </w:rPr>
        <w:fldChar w:fldCharType="end"/>
      </w:r>
      <w:r w:rsidRPr="035DD17A" w:rsidR="00A16503">
        <w:rPr>
          <w:lang w:val="en-GB"/>
        </w:rPr>
        <w:t>.</w:t>
      </w:r>
    </w:p>
    <w:p w:rsidRPr="002A63DA" w:rsidR="005D678A" w:rsidP="0086225D" w:rsidRDefault="005D678A" w14:paraId="5B1BEF23" w14:textId="77777777">
      <w:pPr>
        <w:rPr>
          <w:lang w:val="en-GB"/>
        </w:rPr>
      </w:pPr>
    </w:p>
    <w:p w:rsidRPr="002A63DA" w:rsidR="001E5D81" w:rsidP="00D64C71" w:rsidRDefault="00A92537" w14:paraId="59B1FEE2" w14:textId="77777777">
      <w:pPr>
        <w:pStyle w:val="Heading4"/>
        <w:rPr>
          <w:lang w:val="en-GB"/>
        </w:rPr>
      </w:pPr>
      <w:r w:rsidRPr="035DD17A" w:rsidR="00A92537">
        <w:rPr>
          <w:lang w:val="en-GB"/>
        </w:rPr>
        <w:t>2.</w:t>
      </w:r>
      <w:r w:rsidRPr="035DD17A" w:rsidR="00983BE0">
        <w:rPr>
          <w:lang w:val="en-GB"/>
        </w:rPr>
        <w:t>3</w:t>
      </w:r>
      <w:r w:rsidRPr="035DD17A" w:rsidR="00A92537">
        <w:rPr>
          <w:lang w:val="en-GB"/>
        </w:rPr>
        <w:t xml:space="preserve">.1 </w:t>
      </w:r>
      <w:r w:rsidRPr="035DD17A" w:rsidR="00E1050A">
        <w:rPr>
          <w:lang w:val="en-GB"/>
        </w:rPr>
        <w:t>Transport</w:t>
      </w:r>
    </w:p>
    <w:p w:rsidRPr="002A63DA" w:rsidR="00B96518" w:rsidP="00B96518" w:rsidRDefault="00A92537" w14:paraId="1C8C16E5" w14:textId="77777777">
      <w:pPr>
        <w:rPr>
          <w:lang w:val="en-GB"/>
        </w:rPr>
      </w:pPr>
      <w:bookmarkStart w:name="_Hlk64579210" w:id="5"/>
      <w:r w:rsidRPr="035DD17A" w:rsidR="00A92537">
        <w:rPr>
          <w:lang w:val="en-GB"/>
        </w:rPr>
        <w:t xml:space="preserve">The transport sector was the most addressed sector by measures of the FUPS, </w:t>
      </w:r>
      <w:bookmarkEnd w:id="5"/>
      <w:r w:rsidRPr="035DD17A" w:rsidR="00A92537">
        <w:rPr>
          <w:lang w:val="en-GB"/>
        </w:rPr>
        <w:t xml:space="preserve">therefore the scenarios accounted for several variations in terms of the vehicle fleet composition and modal choice changes for the future. </w:t>
      </w:r>
    </w:p>
    <w:p w:rsidRPr="002A63DA" w:rsidR="00665D57" w:rsidP="00B96518" w:rsidRDefault="00A92537" w14:paraId="45570D28" w14:textId="4C9407DB">
      <w:pPr>
        <w:rPr>
          <w:lang w:val="en-GB"/>
        </w:rPr>
      </w:pPr>
      <w:r w:rsidRPr="035DD17A" w:rsidR="00A92537">
        <w:rPr>
          <w:lang w:val="en-GB"/>
        </w:rPr>
        <w:t xml:space="preserve">A mode choice model </w:t>
      </w:r>
      <w:r w:rsidRPr="035DD17A">
        <w:rPr>
          <w:lang w:val="en-GB"/>
        </w:rPr>
        <w:fldChar w:fldCharType="begin" w:fldLock="true"/>
      </w:r>
      <w:r w:rsidRPr="035DD17A">
        <w:rPr>
          <w:lang w:val="en-GB"/>
        </w:rPr>
        <w:instrText xml:space="preserve">ADDIN CSL_CITATION {"citationItems":[{"id":"ITEM-1","itemData":{"DOI":"10.1016/j.trpro.2017.05.239","ISSN":"23521465","abstract":"MOVEET is a System Dynamic based analytical tool that addresses the policy problems related to transport and climate change. The tool is capable of estimating transport demand and emissions, as well as forecasting the impacts of policy and technological measures in transport-related sectors, covering all transport modes from the different regions in the world up to 2050. The model consists of 57 regions, many of them representing single countries, i.e. all the European countries and other world major economies. In the model, we consider all transportation modes (road, air, rail, and maritime) that interact through four interrelated modules: Transport Demand, Fleet, Environmental, and Welfare.","author":[{"dropping-particle":"","family":"Purwanto","given":"Joko","non-dropping-particle":"","parse-names":false,"suffix":""},{"dropping-particle":"","family":"Ceuster","given":"Griet","non-dropping-particle":"De","parse-names":false,"suffix":""},{"dropping-particle":"","family":"Vanherle","given":"Kris","non-dropping-particle":"","parse-names":false,"suffix":""}],"container-title":"Transportation Research Procedia","id":"ITEM-1","issued":{"date-parts":[["2017","1","1"]]},"page":"3421-3434","publisher":"Elsevier B.V.","title":"Mobility, Vehicle fleet, Energy use and Emissions forecast Tool (MOVEET)","type":"paper-conference","volume":"25"},"uris":["http://www.mendeley.com/documents/?uuid=506712b3-fdfd-390c-854f-6560e1edd337"]}],"mendeley":{"formattedCitation":"(Purwanto et al., 2017)","plainTextFormattedCitation":"(Purwanto et al., 2017)","previouslyFormattedCitation":"(Purwanto et al., 2017)"},"properties":{"noteIndex":0},"schema":"https://github.com/citation-style-language/schema/raw/master/csl-citation.json"}</w:instrText>
      </w:r>
      <w:r w:rsidRPr="035DD17A">
        <w:rPr>
          <w:lang w:val="en-GB"/>
        </w:rPr>
        <w:fldChar w:fldCharType="separate"/>
      </w:r>
      <w:r w:rsidRPr="035DD17A" w:rsidR="00A92537">
        <w:rPr>
          <w:noProof/>
          <w:lang w:val="en-GB"/>
        </w:rPr>
        <w:t>(Purwanto et al., 2017)</w:t>
      </w:r>
      <w:r w:rsidRPr="035DD17A">
        <w:rPr>
          <w:lang w:val="en-GB"/>
        </w:rPr>
        <w:fldChar w:fldCharType="end"/>
      </w:r>
      <w:r w:rsidRPr="035DD17A" w:rsidR="00A92537">
        <w:rPr>
          <w:lang w:val="en-GB"/>
        </w:rPr>
        <w:t xml:space="preserve"> was used to predict the modal shift (and the mileage change) caused by various policy decisions or scenario</w:t>
      </w:r>
      <w:r w:rsidRPr="035DD17A" w:rsidR="00882B92">
        <w:rPr>
          <w:lang w:val="en-GB"/>
        </w:rPr>
        <w:t xml:space="preserve"> </w:t>
      </w:r>
      <w:r w:rsidRPr="035DD17A" w:rsidR="00A92537">
        <w:rPr>
          <w:lang w:val="en-GB"/>
        </w:rPr>
        <w:t xml:space="preserve">targets. The </w:t>
      </w:r>
      <w:r w:rsidRPr="035DD17A" w:rsidR="006D6E63">
        <w:rPr>
          <w:lang w:val="en-GB"/>
        </w:rPr>
        <w:t xml:space="preserve">model </w:t>
      </w:r>
      <w:r w:rsidRPr="035DD17A" w:rsidR="00A92537">
        <w:rPr>
          <w:lang w:val="en-GB"/>
        </w:rPr>
        <w:t xml:space="preserve">predicts the percentage chances of a traveller choosing a given transport mode, based on a given socioeconomic background (income, car ownership, age, gender, etc.), who travels for a given reason (work, education, shopping, etc.), between two points. </w:t>
      </w:r>
      <w:r w:rsidRPr="035DD17A" w:rsidR="006D6E63">
        <w:rPr>
          <w:lang w:val="en-GB"/>
        </w:rPr>
        <w:t>It</w:t>
      </w:r>
      <w:r w:rsidRPr="035DD17A" w:rsidR="00A92537">
        <w:rPr>
          <w:lang w:val="en-GB"/>
        </w:rPr>
        <w:t xml:space="preserve"> then forecasts transport demand</w:t>
      </w:r>
      <w:r w:rsidRPr="035DD17A" w:rsidR="006D6E63">
        <w:rPr>
          <w:lang w:val="en-GB"/>
        </w:rPr>
        <w:t xml:space="preserve"> and</w:t>
      </w:r>
      <w:r w:rsidRPr="035DD17A" w:rsidR="00A92537">
        <w:rPr>
          <w:lang w:val="en-GB"/>
        </w:rPr>
        <w:t xml:space="preserve"> vehicle fleet size,</w:t>
      </w:r>
      <w:r w:rsidRPr="035DD17A" w:rsidR="006D6E63">
        <w:rPr>
          <w:lang w:val="en-GB"/>
        </w:rPr>
        <w:t xml:space="preserve"> </w:t>
      </w:r>
      <w:r w:rsidRPr="035DD17A" w:rsidR="00A92537">
        <w:rPr>
          <w:lang w:val="en-GB"/>
        </w:rPr>
        <w:t xml:space="preserve">calculating change not only in the percentage of trips over various modes but also the change in total mileage per mode. </w:t>
      </w:r>
      <w:r w:rsidRPr="035DD17A" w:rsidR="00D726EB">
        <w:rPr>
          <w:lang w:val="en-GB"/>
        </w:rPr>
        <w:t>Predicting how mode choices would be influenced by different assumptions made for each measure/scenario</w:t>
      </w:r>
      <w:r w:rsidRPr="035DD17A" w:rsidR="00A92537">
        <w:rPr>
          <w:lang w:val="en-GB"/>
        </w:rPr>
        <w:t xml:space="preserve"> </w:t>
      </w:r>
      <w:r w:rsidRPr="035DD17A" w:rsidR="006D6E63">
        <w:rPr>
          <w:lang w:val="en-GB"/>
        </w:rPr>
        <w:t>allows</w:t>
      </w:r>
      <w:r w:rsidRPr="035DD17A" w:rsidR="00A92537">
        <w:rPr>
          <w:lang w:val="en-GB"/>
        </w:rPr>
        <w:t xml:space="preserve"> </w:t>
      </w:r>
      <w:r w:rsidRPr="035DD17A" w:rsidR="00882B92">
        <w:rPr>
          <w:lang w:val="en-GB"/>
        </w:rPr>
        <w:t>estimating</w:t>
      </w:r>
      <w:r w:rsidRPr="035DD17A" w:rsidR="00A92537">
        <w:rPr>
          <w:lang w:val="en-GB"/>
        </w:rPr>
        <w:t xml:space="preserve"> energy and emission values, which are related to the vehicle kilometres. </w:t>
      </w:r>
    </w:p>
    <w:p w:rsidRPr="002A63DA" w:rsidR="00B96518" w:rsidP="00B96518" w:rsidRDefault="00A92537" w14:paraId="37A099B0" w14:textId="77777777">
      <w:pPr>
        <w:rPr>
          <w:lang w:val="en-GB"/>
        </w:rPr>
      </w:pPr>
      <w:r w:rsidRPr="035DD17A" w:rsidR="00A92537">
        <w:rPr>
          <w:lang w:val="en-GB"/>
        </w:rPr>
        <w:t xml:space="preserve">While the FUPS scenarios account for all the behavioural change idealised by citizens and stakeholders, BAU scenarios assumed no change in the modal split, accounting only for the predicted fleet evolution as stated by </w:t>
      </w:r>
      <w:r w:rsidRPr="035DD17A">
        <w:rPr>
          <w:lang w:val="en-GB"/>
        </w:rPr>
        <w:fldChar w:fldCharType="begin" w:fldLock="true"/>
      </w:r>
      <w:r w:rsidRPr="035DD17A">
        <w:rPr>
          <w:lang w:val="en-GB"/>
        </w:rPr>
        <w:instrText xml:space="preserve">ADDIN CSL_CITATION {"citationItems":[{"id":"ITEM-1","itemData":{"author":[{"dropping-particle":"","family":"McKinsey &amp; Company","given":"","non-dropping-particle":"","parse-names":false,"suffix":""}],"id":"ITEM-1","issued":{"date-parts":[["2012","2"]]},"title":"Mobility of the future Opportunities for automotive OEMs","type":"report"},"uris":["http://www.mendeley.com/documents/?uuid=2ec3ab0b-3879-3450-9d4c-20890060aab4"]}],"mendeley":{"formattedCitation":"(McKinsey &amp; Company, 2012)","manualFormatting":"McKinsey &amp; Company, (2012)","plainTextFormattedCitation":"(McKinsey &amp; Company, 2012)","previouslyFormattedCitation":"(McKinsey &amp; Company, 2012)"},"properties":{"noteIndex":0},"schema":"https://github.com/citation-style-language/schema/raw/master/csl-citation.json"}</w:instrText>
      </w:r>
      <w:r w:rsidRPr="035DD17A">
        <w:rPr>
          <w:lang w:val="en-GB"/>
        </w:rPr>
        <w:fldChar w:fldCharType="separate"/>
      </w:r>
      <w:r w:rsidRPr="035DD17A" w:rsidR="00A92537">
        <w:rPr>
          <w:noProof/>
          <w:lang w:val="en-GB"/>
        </w:rPr>
        <w:t>McKinsey &amp; Company (2012)</w:t>
      </w:r>
      <w:r w:rsidRPr="035DD17A">
        <w:rPr>
          <w:lang w:val="en-GB"/>
        </w:rPr>
        <w:fldChar w:fldCharType="end"/>
      </w:r>
      <w:r w:rsidRPr="035DD17A" w:rsidR="00A92537">
        <w:rPr>
          <w:lang w:val="en-GB"/>
        </w:rPr>
        <w:t xml:space="preserve">. For each scenario, the final emissions were then estimated based on the new modal splits and the resulting mileage changes for the various years. So, the emissions were calculated by following the common COPERT V methodology (https://www.emisia.com) by applying the EU standard vehicle emission factors to the new traffic volumes. </w:t>
      </w:r>
    </w:p>
    <w:p w:rsidRPr="002A63DA" w:rsidR="00B96518" w:rsidP="00B96518" w:rsidRDefault="00A92537" w14:paraId="2734CCD5" w14:textId="77777777">
      <w:pPr>
        <w:rPr>
          <w:lang w:val="en-GB"/>
        </w:rPr>
      </w:pPr>
      <w:r w:rsidRPr="035DD17A" w:rsidR="00A92537">
        <w:rPr>
          <w:lang w:val="en-GB"/>
        </w:rPr>
        <w:t xml:space="preserve">Although different approaches and assumptions had to be made for each case study, all the cities proposed one or multiple measures focusing on four main groups: restrictions of private vehicles, </w:t>
      </w:r>
      <w:bookmarkStart w:name="_Hlk63953981" w:id="6"/>
      <w:r w:rsidRPr="035DD17A" w:rsidR="00A92537">
        <w:rPr>
          <w:lang w:val="en-GB"/>
        </w:rPr>
        <w:t>an improvement in terms of public transportation</w:t>
      </w:r>
      <w:bookmarkEnd w:id="6"/>
      <w:r w:rsidRPr="035DD17A" w:rsidR="00A92537">
        <w:rPr>
          <w:lang w:val="en-GB"/>
        </w:rPr>
        <w:t>, improvements to promote active travel, and encouragement for electric vehicles (EV).</w:t>
      </w:r>
    </w:p>
    <w:p w:rsidRPr="002A63DA" w:rsidR="00B96518" w:rsidP="00B96518" w:rsidRDefault="00A92537" w14:paraId="2FA2BD54" w14:textId="77777777">
      <w:pPr>
        <w:rPr>
          <w:lang w:val="en-GB"/>
        </w:rPr>
      </w:pPr>
      <w:r w:rsidRPr="035DD17A" w:rsidR="00A92537">
        <w:rPr>
          <w:lang w:val="en-GB"/>
        </w:rPr>
        <w:t xml:space="preserve">The </w:t>
      </w:r>
      <w:bookmarkStart w:name="_Hlk63952303" w:id="7"/>
      <w:r w:rsidRPr="035DD17A" w:rsidR="00A92537">
        <w:rPr>
          <w:lang w:val="en-GB"/>
        </w:rPr>
        <w:t xml:space="preserve">restrictions of private vehicles </w:t>
      </w:r>
      <w:bookmarkEnd w:id="7"/>
      <w:r w:rsidRPr="035DD17A" w:rsidR="00A92537">
        <w:rPr>
          <w:lang w:val="en-GB"/>
        </w:rPr>
        <w:t>account for several aspects regarding private transportation. In a lot of cities, the restriction pointed to a ban on most polluting vehicles which resulted in policies ranging from banning the most polluting vehicles (old Euro standard diesel) in low emission zones to completely banning cars with an internal combustion engine. These kinds of measures were all modelled by changing the survival rates and the growth rates in the fleet models. For example, if a city decides to introduce a stepwise ban on diesel cars, so that, e.g., by 2030 only Euro 6 diesel cars are allowed on the roads, then this is modelled by making sure that all Euro 5 or worse diesel vehicles were scrapped out of the fleet by the end of 2029 (for example scrapping all Euro 3 by the end of 2025 and Euro 4 by the end of 2027 as a lead up to put smaller pressure on the new sales that still need to fill the suddenly larger demand-gap). Such scrapping schemes are very easy to model by setting the survival rates for all to be fully scrapped vintages to 0.</w:t>
      </w:r>
    </w:p>
    <w:p w:rsidRPr="002A63DA" w:rsidR="00B96518" w:rsidP="00B96518" w:rsidRDefault="00A92537" w14:paraId="114610F7" w14:textId="77777777">
      <w:pPr>
        <w:rPr>
          <w:lang w:val="en-GB"/>
        </w:rPr>
      </w:pPr>
      <w:r w:rsidRPr="035DD17A" w:rsidR="00A92537">
        <w:rPr>
          <w:lang w:val="en-GB"/>
        </w:rPr>
        <w:t>Cheaper and more efficient public transportation was seen as a common goal between all cities/regions. The idea behind these measures is to induce a modal shift by reducing the use of private vehicles and enhancing the use of public transportation. The improvement of the overall network organisation, as a result of higher frequencies and more fluid routes (e.g., with the introduction of more bus lanes), leads to a strong decrease in waiting and travel times. Furthermore, overcoming the identified problems with the public transportation network is evident to be a suitable alternative to private vehicles, and so, it will lead to a bigger modal shift in the future. Combining a reduction of private vehicles, the improvement of the network and a greener public fleet shows a significant impact on emission reduction.</w:t>
      </w:r>
    </w:p>
    <w:p w:rsidRPr="002A63DA" w:rsidR="00B96518" w:rsidP="00B96518" w:rsidRDefault="00A92537" w14:paraId="48059837" w14:textId="77777777">
      <w:pPr>
        <w:rPr>
          <w:lang w:val="en-GB"/>
        </w:rPr>
      </w:pPr>
      <w:r w:rsidRPr="035DD17A" w:rsidR="00A92537">
        <w:rPr>
          <w:lang w:val="en-GB"/>
        </w:rPr>
        <w:t>To promote active travel, the measures focused mainly on bike lanes and pedestrian routes. The construction of bike lanes or pedestrian routes was seen as an incentive for active travel since it improves the safety of the users, a highly valuable factor in decision making. The attractiveness of better infrastructures in the future, combined with the willingness by the citizens to change, leads to assumptions for the growth of walking/bike trips share. The identified levels of ambition from the citizens for active travel were significantly different between case studies, therefore the growth assumptions by measure for each scenario was heavily influenced by this factor.</w:t>
      </w:r>
    </w:p>
    <w:p w:rsidRPr="002A63DA" w:rsidR="00B96518" w:rsidP="00B96518" w:rsidRDefault="00A92537" w14:paraId="19AD5092" w14:textId="7004E266">
      <w:pPr>
        <w:rPr>
          <w:lang w:val="en-GB"/>
        </w:rPr>
      </w:pPr>
      <w:r w:rsidRPr="035DD17A" w:rsidR="00A92537">
        <w:rPr>
          <w:lang w:val="en-GB"/>
        </w:rPr>
        <w:t>The encouragement of electric vehicles covered different aspects, e.g</w:t>
      </w:r>
      <w:r w:rsidRPr="035DD17A" w:rsidR="4CA69A04">
        <w:rPr>
          <w:lang w:val="en-GB"/>
        </w:rPr>
        <w:t>.,</w:t>
      </w:r>
      <w:r w:rsidRPr="035DD17A" w:rsidR="00A92537">
        <w:rPr>
          <w:lang w:val="en-GB"/>
        </w:rPr>
        <w:t xml:space="preserve"> financial incentives, replacement of fleets, charging facilities, and others. For example, in the Liguria Region, one measure consisted of replacing 50% of vehicles circulating in urban areas with electric automobiles and motorcycles (including sharing) by 2050 and installing an adequate number of recharging stations. The assumption focused on updating the EV sales share progressively to achieve the 50% fleet share by 2050. Overall, the assumption for the scenarios focuses on a fleet evolution, from incentives (as subsidies, advertisement, environmental considerations) that will boost the uptake of vehicles with electric and hybrid powertrains.</w:t>
      </w:r>
    </w:p>
    <w:p w:rsidRPr="002A63DA" w:rsidR="00521242" w:rsidP="00B96518" w:rsidRDefault="00521242" w14:paraId="28F8BBAB" w14:textId="77777777">
      <w:pPr>
        <w:rPr>
          <w:lang w:val="en-GB"/>
        </w:rPr>
      </w:pPr>
    </w:p>
    <w:p w:rsidRPr="002A63DA" w:rsidR="00E1050A" w:rsidP="00D64C71" w:rsidRDefault="00A92537" w14:paraId="694465A9" w14:textId="77777777">
      <w:pPr>
        <w:pStyle w:val="Heading4"/>
        <w:rPr>
          <w:lang w:val="en-GB"/>
        </w:rPr>
      </w:pPr>
      <w:r w:rsidRPr="035DD17A" w:rsidR="00A92537">
        <w:rPr>
          <w:lang w:val="en-GB"/>
        </w:rPr>
        <w:t>2.</w:t>
      </w:r>
      <w:r w:rsidRPr="035DD17A" w:rsidR="00983BE0">
        <w:rPr>
          <w:lang w:val="en-GB"/>
        </w:rPr>
        <w:t>3</w:t>
      </w:r>
      <w:r w:rsidRPr="035DD17A" w:rsidR="00A92537">
        <w:rPr>
          <w:lang w:val="en-GB"/>
        </w:rPr>
        <w:t xml:space="preserve">.2 </w:t>
      </w:r>
      <w:r w:rsidRPr="035DD17A" w:rsidR="00FD33F4">
        <w:rPr>
          <w:lang w:val="en-GB"/>
        </w:rPr>
        <w:t>Industrial, Residential, Commercial &amp; Institutional (IRCI)</w:t>
      </w:r>
    </w:p>
    <w:p w:rsidRPr="002A63DA" w:rsidR="00F4035D" w:rsidP="00F4035D" w:rsidRDefault="00A92537" w14:paraId="7FFCFCBA" w14:textId="77777777">
      <w:pPr>
        <w:rPr>
          <w:lang w:val="en-GB"/>
        </w:rPr>
      </w:pPr>
      <w:r w:rsidRPr="035DD17A" w:rsidR="00A92537">
        <w:rPr>
          <w:lang w:val="en-GB"/>
        </w:rPr>
        <w:t xml:space="preserve">The </w:t>
      </w:r>
      <w:r w:rsidRPr="035DD17A" w:rsidR="00521242">
        <w:rPr>
          <w:lang w:val="en-GB"/>
        </w:rPr>
        <w:t xml:space="preserve">IRCI </w:t>
      </w:r>
      <w:r w:rsidRPr="035DD17A" w:rsidR="00A92537">
        <w:rPr>
          <w:lang w:val="en-GB"/>
        </w:rPr>
        <w:t>emissions were</w:t>
      </w:r>
      <w:r w:rsidRPr="035DD17A" w:rsidR="008E7A4C">
        <w:rPr>
          <w:lang w:val="en-GB"/>
        </w:rPr>
        <w:t xml:space="preserve"> </w:t>
      </w:r>
      <w:r w:rsidRPr="035DD17A" w:rsidR="00A92537">
        <w:rPr>
          <w:lang w:val="en-GB"/>
        </w:rPr>
        <w:t>estimated</w:t>
      </w:r>
      <w:r w:rsidRPr="035DD17A" w:rsidR="008E7A4C">
        <w:rPr>
          <w:lang w:val="en-GB"/>
        </w:rPr>
        <w:t xml:space="preserve"> </w:t>
      </w:r>
      <w:r w:rsidRPr="035DD17A" w:rsidR="00A92537">
        <w:rPr>
          <w:lang w:val="en-GB"/>
        </w:rPr>
        <w:t xml:space="preserve">for </w:t>
      </w:r>
      <w:r w:rsidRPr="035DD17A" w:rsidR="00E00C46">
        <w:rPr>
          <w:lang w:val="en-GB"/>
        </w:rPr>
        <w:t xml:space="preserve">the </w:t>
      </w:r>
      <w:r w:rsidRPr="035DD17A" w:rsidR="00A92537">
        <w:rPr>
          <w:lang w:val="en-GB"/>
        </w:rPr>
        <w:t xml:space="preserve">future </w:t>
      </w:r>
      <w:r w:rsidRPr="035DD17A" w:rsidR="00E00C46">
        <w:rPr>
          <w:lang w:val="en-GB"/>
        </w:rPr>
        <w:t xml:space="preserve">years </w:t>
      </w:r>
      <w:r w:rsidRPr="035DD17A" w:rsidR="00A92537">
        <w:rPr>
          <w:lang w:val="en-GB"/>
        </w:rPr>
        <w:t>for e</w:t>
      </w:r>
      <w:r w:rsidRPr="035DD17A" w:rsidR="0018728F">
        <w:rPr>
          <w:lang w:val="en-GB"/>
        </w:rPr>
        <w:t>very</w:t>
      </w:r>
      <w:r w:rsidRPr="035DD17A" w:rsidR="00A92537">
        <w:rPr>
          <w:lang w:val="en-GB"/>
        </w:rPr>
        <w:t xml:space="preserve"> </w:t>
      </w:r>
      <w:r w:rsidRPr="035DD17A" w:rsidR="0003461E">
        <w:rPr>
          <w:lang w:val="en-GB"/>
        </w:rPr>
        <w:t>single territorial unit</w:t>
      </w:r>
      <w:r w:rsidRPr="035DD17A" w:rsidR="00926F83">
        <w:rPr>
          <w:lang w:val="en-GB"/>
        </w:rPr>
        <w:t xml:space="preserve"> LSOA</w:t>
      </w:r>
      <w:r w:rsidRPr="035DD17A" w:rsidR="00AD6601">
        <w:rPr>
          <w:lang w:val="en-GB"/>
        </w:rPr>
        <w:t xml:space="preserve"> (Bristol)</w:t>
      </w:r>
      <w:r w:rsidRPr="035DD17A" w:rsidR="00926F83">
        <w:rPr>
          <w:lang w:val="en-GB"/>
        </w:rPr>
        <w:t xml:space="preserve">, </w:t>
      </w:r>
      <w:r w:rsidRPr="035DD17A" w:rsidR="00926F83">
        <w:rPr>
          <w:lang w:val="en-GB"/>
        </w:rPr>
        <w:t>buurt</w:t>
      </w:r>
      <w:r w:rsidRPr="035DD17A" w:rsidR="00AD6601">
        <w:rPr>
          <w:lang w:val="en-GB"/>
        </w:rPr>
        <w:t xml:space="preserve"> (Amsterdam)</w:t>
      </w:r>
      <w:r w:rsidRPr="035DD17A" w:rsidR="00926F83">
        <w:rPr>
          <w:lang w:val="en-GB"/>
        </w:rPr>
        <w:t xml:space="preserve">, </w:t>
      </w:r>
      <w:r w:rsidRPr="035DD17A" w:rsidR="00926F83">
        <w:rPr>
          <w:lang w:val="en-GB"/>
        </w:rPr>
        <w:t>naselje</w:t>
      </w:r>
      <w:r w:rsidRPr="035DD17A" w:rsidR="00AD6601">
        <w:rPr>
          <w:lang w:val="en-GB"/>
        </w:rPr>
        <w:t xml:space="preserve"> (Ljubljana)</w:t>
      </w:r>
      <w:r w:rsidRPr="035DD17A" w:rsidR="00926F83">
        <w:rPr>
          <w:lang w:val="en-GB"/>
        </w:rPr>
        <w:t xml:space="preserve">, </w:t>
      </w:r>
      <w:r w:rsidRPr="035DD17A" w:rsidR="00926F83">
        <w:rPr>
          <w:lang w:val="en-GB"/>
        </w:rPr>
        <w:t>gminas</w:t>
      </w:r>
      <w:r w:rsidRPr="035DD17A" w:rsidR="00AD6601">
        <w:rPr>
          <w:lang w:val="en-GB"/>
        </w:rPr>
        <w:t xml:space="preserve"> (Sosnowiec)</w:t>
      </w:r>
      <w:r w:rsidRPr="035DD17A" w:rsidR="00926F83">
        <w:rPr>
          <w:lang w:val="en-GB"/>
        </w:rPr>
        <w:t xml:space="preserve">, </w:t>
      </w:r>
      <w:r w:rsidRPr="035DD17A" w:rsidR="008E0807">
        <w:rPr>
          <w:lang w:val="en-GB"/>
        </w:rPr>
        <w:t>freguesia</w:t>
      </w:r>
      <w:r w:rsidRPr="035DD17A" w:rsidR="008E0807">
        <w:rPr>
          <w:lang w:val="en-GB"/>
        </w:rPr>
        <w:t xml:space="preserve"> (Aveiro region)</w:t>
      </w:r>
      <w:r w:rsidRPr="035DD17A" w:rsidR="00926F83">
        <w:rPr>
          <w:lang w:val="en-GB"/>
        </w:rPr>
        <w:t xml:space="preserve">, and </w:t>
      </w:r>
      <w:r w:rsidRPr="035DD17A" w:rsidR="008E0807">
        <w:rPr>
          <w:lang w:val="en-GB"/>
        </w:rPr>
        <w:t>census section (Liguria region</w:t>
      </w:r>
      <w:r w:rsidRPr="035DD17A" w:rsidR="00926F83">
        <w:rPr>
          <w:lang w:val="en-GB"/>
        </w:rPr>
        <w:t>)</w:t>
      </w:r>
      <w:r w:rsidRPr="035DD17A" w:rsidR="008E0807">
        <w:rPr>
          <w:lang w:val="en-GB"/>
        </w:rPr>
        <w:t>)</w:t>
      </w:r>
      <w:r w:rsidRPr="035DD17A" w:rsidR="0003461E">
        <w:rPr>
          <w:lang w:val="en-GB"/>
        </w:rPr>
        <w:t xml:space="preserve"> </w:t>
      </w:r>
      <w:r w:rsidRPr="035DD17A" w:rsidR="00A92537">
        <w:rPr>
          <w:lang w:val="en-GB"/>
        </w:rPr>
        <w:t xml:space="preserve">for a specific activity starting from the emissions from the baseline year. These estimations use specific projections factors (drivers) of activity level due to activity measures and specific drivers for emission factors related to emission control measures and, if any, additional emissions </w:t>
      </w:r>
      <w:r w:rsidRPr="035DD17A" w:rsidR="0018728F">
        <w:rPr>
          <w:lang w:val="en-GB"/>
        </w:rPr>
        <w:t xml:space="preserve">are </w:t>
      </w:r>
      <w:r w:rsidRPr="035DD17A" w:rsidR="00A92537">
        <w:rPr>
          <w:lang w:val="en-GB"/>
        </w:rPr>
        <w:t>foreseen for a selected new activity. Drivers for activity levels and emission factors can be related to multiple activities. For example, the demographic driver can be used to forecast emissions for the residential sector related to fuel consumption.</w:t>
      </w:r>
    </w:p>
    <w:p w:rsidRPr="002A63DA" w:rsidR="00F4035D" w:rsidP="00F4035D" w:rsidRDefault="00A92537" w14:paraId="277860D6" w14:textId="77777777">
      <w:pPr>
        <w:rPr>
          <w:lang w:val="en-GB"/>
        </w:rPr>
      </w:pPr>
      <w:r w:rsidRPr="035DD17A" w:rsidR="00A92537">
        <w:rPr>
          <w:lang w:val="en-GB"/>
        </w:rPr>
        <w:t>Regarding policy measures for the IRCI sector, Bristol and Amsterdam were the most ambitious case studies. For Bristol</w:t>
      </w:r>
      <w:r w:rsidRPr="035DD17A" w:rsidR="0018728F">
        <w:rPr>
          <w:lang w:val="en-GB"/>
        </w:rPr>
        <w:t>,</w:t>
      </w:r>
      <w:r w:rsidRPr="035DD17A" w:rsidR="00A92537">
        <w:rPr>
          <w:lang w:val="en-GB"/>
        </w:rPr>
        <w:t xml:space="preserve"> the measures focused </w:t>
      </w:r>
      <w:r w:rsidRPr="035DD17A" w:rsidR="008E7A4C">
        <w:rPr>
          <w:lang w:val="en-GB"/>
        </w:rPr>
        <w:t xml:space="preserve">on </w:t>
      </w:r>
      <w:r w:rsidRPr="035DD17A" w:rsidR="00A92537">
        <w:rPr>
          <w:lang w:val="en-GB"/>
        </w:rPr>
        <w:t>increas</w:t>
      </w:r>
      <w:r w:rsidRPr="035DD17A" w:rsidR="008E7A4C">
        <w:rPr>
          <w:lang w:val="en-GB"/>
        </w:rPr>
        <w:t>ing</w:t>
      </w:r>
      <w:r w:rsidRPr="035DD17A" w:rsidR="00A92537">
        <w:rPr>
          <w:lang w:val="en-GB"/>
        </w:rPr>
        <w:t xml:space="preserve"> the production and usage of renewable energy, raise awareness between property developers regarding air pollution and climate change, improve </w:t>
      </w:r>
      <w:r w:rsidRPr="035DD17A" w:rsidR="0018728F">
        <w:rPr>
          <w:lang w:val="en-GB"/>
        </w:rPr>
        <w:t xml:space="preserve">the </w:t>
      </w:r>
      <w:r w:rsidRPr="035DD17A" w:rsidR="00A92537">
        <w:rPr>
          <w:lang w:val="en-GB"/>
        </w:rPr>
        <w:t xml:space="preserve">energy efficiency of housing, and further measures were designed based on the Bristol strategy for carbon neutrality by 2050. For Amsterdam, the measures aimed </w:t>
      </w:r>
      <w:r w:rsidRPr="035DD17A" w:rsidR="0018728F">
        <w:rPr>
          <w:lang w:val="en-GB"/>
        </w:rPr>
        <w:t xml:space="preserve">at </w:t>
      </w:r>
      <w:r w:rsidRPr="035DD17A" w:rsidR="00A92537">
        <w:rPr>
          <w:lang w:val="en-GB"/>
        </w:rPr>
        <w:t>gas</w:t>
      </w:r>
      <w:r w:rsidRPr="035DD17A" w:rsidR="0018728F">
        <w:rPr>
          <w:lang w:val="en-GB"/>
        </w:rPr>
        <w:t>-</w:t>
      </w:r>
      <w:r w:rsidRPr="035DD17A" w:rsidR="00A92537">
        <w:rPr>
          <w:lang w:val="en-GB"/>
        </w:rPr>
        <w:t xml:space="preserve">free policies by 2040, with no fossil fuel for 100% of buildings and residual use of gas allocated to biogas (45%) and </w:t>
      </w:r>
      <w:r w:rsidRPr="035DD17A" w:rsidR="008F75EB">
        <w:rPr>
          <w:lang w:val="en-GB"/>
        </w:rPr>
        <w:t>green gas</w:t>
      </w:r>
      <w:r w:rsidRPr="035DD17A" w:rsidR="00A92537">
        <w:rPr>
          <w:lang w:val="en-GB"/>
        </w:rPr>
        <w:t xml:space="preserve"> (55%). While Sosnowiec aimed for a partial ban of coal on </w:t>
      </w:r>
      <w:r w:rsidRPr="035DD17A" w:rsidR="0018728F">
        <w:rPr>
          <w:lang w:val="en-GB"/>
        </w:rPr>
        <w:t xml:space="preserve">the </w:t>
      </w:r>
      <w:r w:rsidRPr="035DD17A" w:rsidR="00A92537">
        <w:rPr>
          <w:lang w:val="en-GB"/>
        </w:rPr>
        <w:t xml:space="preserve">Residential and Commercial sector. Ljubljana, Liguria </w:t>
      </w:r>
      <w:r w:rsidRPr="035DD17A" w:rsidR="002864E4">
        <w:rPr>
          <w:lang w:val="en-GB"/>
        </w:rPr>
        <w:t xml:space="preserve">Region </w:t>
      </w:r>
      <w:r w:rsidRPr="035DD17A" w:rsidR="00A92537">
        <w:rPr>
          <w:lang w:val="en-GB"/>
        </w:rPr>
        <w:t>and Aveiro Region didn’t include measures concerning the residential and commercial sector to go further than established by the BAU scenarios.</w:t>
      </w:r>
    </w:p>
    <w:p w:rsidRPr="002A63DA" w:rsidR="00F4035D" w:rsidP="00F4035D" w:rsidRDefault="00A92537" w14:paraId="5027AF8F" w14:textId="7B739133">
      <w:pPr>
        <w:rPr>
          <w:lang w:val="en-GB"/>
        </w:rPr>
      </w:pPr>
      <w:r w:rsidRPr="035DD17A" w:rsidR="00A92537">
        <w:rPr>
          <w:lang w:val="en-GB"/>
        </w:rPr>
        <w:t xml:space="preserve">The planned strategies by the governments accounted </w:t>
      </w:r>
      <w:r w:rsidRPr="035DD17A" w:rsidR="0018728F">
        <w:rPr>
          <w:lang w:val="en-GB"/>
        </w:rPr>
        <w:t xml:space="preserve">for </w:t>
      </w:r>
      <w:r w:rsidRPr="035DD17A" w:rsidR="00A92537">
        <w:rPr>
          <w:lang w:val="en-GB"/>
        </w:rPr>
        <w:t xml:space="preserve">in the </w:t>
      </w:r>
      <w:r w:rsidRPr="035DD17A" w:rsidR="0003461E">
        <w:rPr>
          <w:lang w:val="en-GB"/>
        </w:rPr>
        <w:t xml:space="preserve">BAU </w:t>
      </w:r>
      <w:r w:rsidRPr="035DD17A" w:rsidR="000F34DB">
        <w:rPr>
          <w:lang w:val="en-GB"/>
        </w:rPr>
        <w:t>scenarios had</w:t>
      </w:r>
      <w:r w:rsidRPr="035DD17A" w:rsidR="00A92537">
        <w:rPr>
          <w:lang w:val="en-GB"/>
        </w:rPr>
        <w:t xml:space="preserve"> big impacts on the industrial sources in different case studies. For example, in Amsterdam due to </w:t>
      </w:r>
      <w:r w:rsidRPr="035DD17A" w:rsidR="0018728F">
        <w:rPr>
          <w:lang w:val="en-GB"/>
        </w:rPr>
        <w:t xml:space="preserve">the </w:t>
      </w:r>
      <w:r w:rsidRPr="035DD17A" w:rsidR="00A92537">
        <w:rPr>
          <w:lang w:val="en-GB"/>
        </w:rPr>
        <w:t xml:space="preserve">coal ban, the production of electricity with coal as fuel is prohibited from 2030 onwards. Therefore, </w:t>
      </w:r>
      <w:r w:rsidRPr="035DD17A" w:rsidR="0018728F">
        <w:rPr>
          <w:lang w:val="en-GB"/>
        </w:rPr>
        <w:t xml:space="preserve">the </w:t>
      </w:r>
      <w:r w:rsidRPr="035DD17A" w:rsidR="00A92537">
        <w:rPr>
          <w:lang w:val="en-GB"/>
        </w:rPr>
        <w:t xml:space="preserve">two oldest power plants </w:t>
      </w:r>
      <w:r w:rsidRPr="035DD17A" w:rsidR="0037508D">
        <w:rPr>
          <w:lang w:val="en-GB"/>
        </w:rPr>
        <w:t>will</w:t>
      </w:r>
      <w:r w:rsidRPr="035DD17A" w:rsidR="00A92537">
        <w:rPr>
          <w:lang w:val="en-GB"/>
        </w:rPr>
        <w:t xml:space="preserve"> stop electricity production by the end of 2024 </w:t>
      </w:r>
      <w:r w:rsidRPr="035DD17A" w:rsidR="0018728F">
        <w:rPr>
          <w:lang w:val="en-GB"/>
        </w:rPr>
        <w:t>through</w:t>
      </w:r>
      <w:r w:rsidRPr="035DD17A" w:rsidR="00A92537">
        <w:rPr>
          <w:lang w:val="en-GB"/>
        </w:rPr>
        <w:t xml:space="preserve"> coal. In consequence, the BAU scenario accounts for the closure of </w:t>
      </w:r>
      <w:r w:rsidRPr="035DD17A" w:rsidR="002902CF">
        <w:rPr>
          <w:lang w:val="en-GB"/>
        </w:rPr>
        <w:t xml:space="preserve">a </w:t>
      </w:r>
      <w:r w:rsidRPr="035DD17A" w:rsidR="00A92537">
        <w:rPr>
          <w:lang w:val="en-GB"/>
        </w:rPr>
        <w:t>power plant by 2025</w:t>
      </w:r>
      <w:r w:rsidRPr="035DD17A" w:rsidR="00E44555">
        <w:rPr>
          <w:lang w:val="en-GB"/>
        </w:rPr>
        <w:t xml:space="preserve">. </w:t>
      </w:r>
      <w:r w:rsidRPr="035DD17A" w:rsidR="008F75EB">
        <w:rPr>
          <w:lang w:val="en-GB"/>
        </w:rPr>
        <w:t>I</w:t>
      </w:r>
      <w:r w:rsidRPr="035DD17A" w:rsidR="00A92537">
        <w:rPr>
          <w:lang w:val="en-GB"/>
        </w:rPr>
        <w:t>n Liguria</w:t>
      </w:r>
      <w:r w:rsidRPr="035DD17A" w:rsidR="002864E4">
        <w:rPr>
          <w:lang w:val="en-GB"/>
        </w:rPr>
        <w:t xml:space="preserve"> Region</w:t>
      </w:r>
      <w:r w:rsidRPr="035DD17A" w:rsidR="00A92537">
        <w:rPr>
          <w:lang w:val="en-GB"/>
        </w:rPr>
        <w:t>, the BAU scenario accounts for the shutdown of the Genoa Power Plant in 2016</w:t>
      </w:r>
      <w:r w:rsidRPr="035DD17A" w:rsidR="00E44555">
        <w:rPr>
          <w:lang w:val="en-GB"/>
        </w:rPr>
        <w:t xml:space="preserve"> </w:t>
      </w:r>
      <w:r w:rsidRPr="035DD17A">
        <w:rPr>
          <w:lang w:val="en-GB"/>
        </w:rPr>
        <w:fldChar w:fldCharType="begin" w:fldLock="true"/>
      </w:r>
      <w:r w:rsidRPr="035DD17A">
        <w:rPr>
          <w:lang w:val="en-GB"/>
        </w:rPr>
        <w:instrText xml:space="preserve">ADDIN CSL_CITATION {"citationItems":[{"id":"ITEM-1","itemData":{"DOI":"10.5281/ZENODO.3972940","author":[{"dropping-particle":"","family":"Rodrigues","given":"Vera","non-dropping-particle":"","parse-names":false,"suffix":""},{"dropping-particle":"","family":"Lopes","given":"Myriam","non-dropping-particle":"","parse-names":false,"suffix":""},{"dropping-particle":"","family":"Rafael","given":"Sandra","non-dropping-particle":"","parse-names":false,"suffix":""},{"dropping-particle":"","family":"Coelho","given":"Silvia","non-dropping-particle":"","parse-names":false,"suffix":""},{"dropping-particle":"de","family":"Oliveira","given":"Kevin","non-dropping-particle":"","parse-names":false,"suffix":""},{"dropping-particle":"","family":"Vanherle","given":"Kris","non-dropping-particle":"","parse-names":false,"suffix":""},{"dropping-particle":"","family":"Papics","given":"Peter","non-dropping-particle":"","parse-names":false,"suffix":""},{"dropping-particle":"","family":"Himpe","given":"Willem","non-dropping-particle":"","parse-names":false,"suffix":""},{"dropping-particle":"","family":"Diafas","given":"Iason","non-dropping-particle":"","parse-names":false,"suffix":""},{"dropping-particle":"","family":"Kewo","given":"Angreine","non-dropping-particle":"","parse-names":false,"suffix":""},{"dropping-particle":"","family":"Trozzi","given":"Carlo","non-dropping-particle":"","parse-names":false,"suffix":""},{"dropping-particle":"","family":"Piscitello","given":"Enzo","non-dropping-particle":"","parse-names":false,"suffix":""},{"dropping-particle":"","family":"Soares","given":"Joana","non-dropping-particle":"","parse-names":false,"suffix":""}],"id":"ITEM-1","issued":{"date-parts":[["2020","2","28"]]},"title":"D5.7 City Impact Analysis Report","type":"article-journal"},"uris":["http://www.mendeley.com/documents/?uuid=1add67bf-7adb-3949-b043-f3cf84ddc632"]}],"mendeley":{"formattedCitation":"(Rodrigues et al., 2020)","plainTextFormattedCitation":"(Rodrigues et al., 2020)","previouslyFormattedCitation":"(Rodrigues et al., 2020)"},"properties":{"noteIndex":0},"schema":"https://github.com/citation-style-language/schema/raw/master/csl-citation.json"}</w:instrText>
      </w:r>
      <w:r w:rsidRPr="035DD17A">
        <w:rPr>
          <w:lang w:val="en-GB"/>
        </w:rPr>
        <w:fldChar w:fldCharType="separate"/>
      </w:r>
      <w:r w:rsidRPr="035DD17A" w:rsidR="00F524E1">
        <w:rPr>
          <w:noProof/>
          <w:lang w:val="en-GB"/>
        </w:rPr>
        <w:t>(Rodrigues et al., 2020)</w:t>
      </w:r>
      <w:r w:rsidRPr="035DD17A">
        <w:rPr>
          <w:lang w:val="en-GB"/>
        </w:rPr>
        <w:fldChar w:fldCharType="end"/>
      </w:r>
      <w:r w:rsidRPr="035DD17A" w:rsidR="00A92537">
        <w:rPr>
          <w:lang w:val="en-GB"/>
        </w:rPr>
        <w:t>.</w:t>
      </w:r>
    </w:p>
    <w:p w:rsidRPr="002A63DA" w:rsidR="008A4C54" w:rsidP="00F4035D" w:rsidRDefault="00A92537" w14:paraId="1D86D52C" w14:textId="77777777">
      <w:pPr>
        <w:rPr>
          <w:lang w:val="en-GB"/>
        </w:rPr>
      </w:pPr>
      <w:r w:rsidRPr="035DD17A" w:rsidR="00A92537">
        <w:rPr>
          <w:lang w:val="en-GB"/>
        </w:rPr>
        <w:t xml:space="preserve">The cities/region to present FUPS scenarios to go further than the BAU scenarios </w:t>
      </w:r>
      <w:r w:rsidRPr="035DD17A" w:rsidR="008F75EB">
        <w:rPr>
          <w:lang w:val="en-GB"/>
        </w:rPr>
        <w:t xml:space="preserve">for the industrial sector </w:t>
      </w:r>
      <w:r w:rsidRPr="035DD17A" w:rsidR="00A92537">
        <w:rPr>
          <w:lang w:val="en-GB"/>
        </w:rPr>
        <w:t xml:space="preserve">were Sosnowiec and the Aveiro Region. </w:t>
      </w:r>
      <w:r w:rsidRPr="035DD17A" w:rsidR="00A2744C">
        <w:rPr>
          <w:lang w:val="en-GB"/>
        </w:rPr>
        <w:t xml:space="preserve">The Aveiro region presented measures to reduce PM industrial emissions by 15% </w:t>
      </w:r>
      <w:r w:rsidRPr="035DD17A" w:rsidR="0018728F">
        <w:rPr>
          <w:lang w:val="en-GB"/>
        </w:rPr>
        <w:t>i</w:t>
      </w:r>
      <w:r w:rsidRPr="035DD17A" w:rsidR="00A2744C">
        <w:rPr>
          <w:lang w:val="en-GB"/>
        </w:rPr>
        <w:t>n 2025,</w:t>
      </w:r>
      <w:r w:rsidRPr="035DD17A" w:rsidR="00A92537">
        <w:rPr>
          <w:lang w:val="en-GB"/>
        </w:rPr>
        <w:t xml:space="preserve"> and Sosnowiec </w:t>
      </w:r>
      <w:r w:rsidRPr="035DD17A" w:rsidR="003A6E3E">
        <w:rPr>
          <w:lang w:val="en-GB"/>
        </w:rPr>
        <w:t>defined</w:t>
      </w:r>
      <w:r w:rsidRPr="035DD17A" w:rsidR="00A92537">
        <w:rPr>
          <w:lang w:val="en-GB"/>
        </w:rPr>
        <w:t xml:space="preserve"> a measure to reduce industrial emissions by 25% </w:t>
      </w:r>
      <w:r w:rsidRPr="035DD17A" w:rsidR="0018728F">
        <w:rPr>
          <w:lang w:val="en-GB"/>
        </w:rPr>
        <w:t>i</w:t>
      </w:r>
      <w:r w:rsidRPr="035DD17A" w:rsidR="00A92537">
        <w:rPr>
          <w:lang w:val="en-GB"/>
        </w:rPr>
        <w:t>n 2025.</w:t>
      </w:r>
      <w:r w:rsidRPr="035DD17A" w:rsidR="002B3BA0">
        <w:rPr>
          <w:lang w:val="en-GB"/>
        </w:rPr>
        <w:t xml:space="preserve"> </w:t>
      </w:r>
      <w:r w:rsidRPr="035DD17A" w:rsidR="00A92537">
        <w:rPr>
          <w:lang w:val="en-GB"/>
        </w:rPr>
        <w:t xml:space="preserve">One important assumption </w:t>
      </w:r>
      <w:r w:rsidRPr="035DD17A" w:rsidR="003A6E3E">
        <w:rPr>
          <w:lang w:val="en-GB"/>
        </w:rPr>
        <w:t>considered</w:t>
      </w:r>
      <w:r w:rsidRPr="035DD17A" w:rsidR="00A92537">
        <w:rPr>
          <w:lang w:val="en-GB"/>
        </w:rPr>
        <w:t xml:space="preserve"> is without any policy to limit or</w:t>
      </w:r>
      <w:r w:rsidRPr="035DD17A" w:rsidR="00A04311">
        <w:rPr>
          <w:lang w:val="en-GB"/>
        </w:rPr>
        <w:t xml:space="preserve"> to</w:t>
      </w:r>
      <w:r w:rsidRPr="035DD17A" w:rsidR="00A92537">
        <w:rPr>
          <w:lang w:val="en-GB"/>
        </w:rPr>
        <w:t xml:space="preserve"> prohibit the most polluting fuels, no change</w:t>
      </w:r>
      <w:r w:rsidRPr="035DD17A" w:rsidR="00A04311">
        <w:rPr>
          <w:lang w:val="en-GB"/>
        </w:rPr>
        <w:t xml:space="preserve"> was foreseen</w:t>
      </w:r>
      <w:r w:rsidRPr="035DD17A" w:rsidR="00A92537">
        <w:rPr>
          <w:lang w:val="en-GB"/>
        </w:rPr>
        <w:t xml:space="preserve"> in the share of use of the different fuels.</w:t>
      </w:r>
    </w:p>
    <w:p w:rsidRPr="002A63DA" w:rsidR="00521242" w:rsidP="00F4035D" w:rsidRDefault="00521242" w14:paraId="58ACB2C1" w14:textId="77777777">
      <w:pPr>
        <w:rPr>
          <w:lang w:val="en-GB"/>
        </w:rPr>
      </w:pPr>
    </w:p>
    <w:p w:rsidRPr="002A63DA" w:rsidR="00EB155F" w:rsidP="00B95A4A" w:rsidRDefault="00A92537" w14:paraId="745271AC" w14:textId="77777777">
      <w:pPr>
        <w:pStyle w:val="Heading3"/>
        <w:rPr>
          <w:lang w:val="en-GB"/>
        </w:rPr>
      </w:pPr>
      <w:r w:rsidRPr="035DD17A" w:rsidR="00A92537">
        <w:rPr>
          <w:lang w:val="en-GB"/>
        </w:rPr>
        <w:t>2.</w:t>
      </w:r>
      <w:r w:rsidRPr="035DD17A" w:rsidR="00983BE0">
        <w:rPr>
          <w:lang w:val="en-GB"/>
        </w:rPr>
        <w:t>4</w:t>
      </w:r>
      <w:r w:rsidRPr="035DD17A" w:rsidR="00A92537">
        <w:rPr>
          <w:lang w:val="en-GB"/>
        </w:rPr>
        <w:t xml:space="preserve"> Air quality modelling </w:t>
      </w:r>
      <w:r w:rsidRPr="035DD17A" w:rsidR="00C613AD">
        <w:rPr>
          <w:lang w:val="en-GB"/>
        </w:rPr>
        <w:t>assessment</w:t>
      </w:r>
    </w:p>
    <w:p w:rsidRPr="002A63DA" w:rsidR="003266F5" w:rsidP="003266F5" w:rsidRDefault="00A92537" w14:paraId="19DFD257" w14:textId="77777777">
      <w:pPr>
        <w:rPr>
          <w:lang w:val="en-GB"/>
        </w:rPr>
      </w:pPr>
      <w:bookmarkStart w:name="_Hlk65603937" w:id="8"/>
      <w:r w:rsidRPr="035DD17A" w:rsidR="00A92537">
        <w:rPr>
          <w:lang w:val="en-GB"/>
        </w:rPr>
        <w:t xml:space="preserve">To assess the impact of the scenarios on air quality, a hybrid method composed by a numerical approach – using the URBAIR – </w:t>
      </w:r>
      <w:r w:rsidRPr="035DD17A" w:rsidR="00A92537">
        <w:rPr>
          <w:lang w:val="en-GB"/>
        </w:rPr>
        <w:t>URBan</w:t>
      </w:r>
      <w:r w:rsidRPr="035DD17A" w:rsidR="00A92537">
        <w:rPr>
          <w:lang w:val="en-GB"/>
        </w:rPr>
        <w:t xml:space="preserve"> AIR model </w:t>
      </w:r>
      <w:r w:rsidRPr="035DD17A">
        <w:rPr>
          <w:lang w:val="en-GB"/>
        </w:rPr>
        <w:fldChar w:fldCharType="begin" w:fldLock="true"/>
      </w:r>
      <w:r w:rsidRPr="035DD17A">
        <w:rPr>
          <w:lang w:val="en-GB"/>
        </w:rPr>
        <w:instrText xml:space="preserve">ADDIN CSL_CITATION {"citationItems":[{"id":"ITEM-1","itemData":{"DOI":"10.1016/j.atmosenv.2016.02.017","ISSN":"18732844","abstract":"The atmospheric dispersion of NOx and PM10 was simulated with a second generation Gaussian model over a medium-size south-European city. Microscopic traffic models calibrated with GPS data were used to derive typical driving cycles for each road link, while instantaneous emissions were estimated applying a combined Vehicle Specific Power/Co-operative Programme for Monitoring and Evaluation of the Long-range Transmission of Air Pollutants in Europe (VSP/EMEP) methodology. Site-specific background concentrations were estimated using time series analysis and a low-pass filter applied to local observations. Air quality modelling results are compared against measurements at two locations for a 1 week period. 78% of the results are within a factor of two of the observations for 1-h average concentrations, increasing to 94% for daily averages. Correlation significantly improves when background is added, with an average of 0.89 for the 24 h record. The results highlight the potential of detailed traffic and instantaneous exhaust emissions estimates, together with filtered urban background, to provide accurate input data to Gaussian models applied at the urban scale.","author":[{"dropping-particle":"","family":"Borrego","given":"C.","non-dropping-particle":"","parse-names":false,"suffix":""},{"dropping-particle":"","family":"Amorim","given":"J. H.","non-dropping-particle":"","parse-names":false,"suffix":""},{"dropping-particle":"","family":"Tchepel","given":"O.","non-dropping-particle":"","parse-names":false,"suffix":""},{"dropping-particle":"","family":"Dias","given":"D.","non-dropping-particle":"","parse-names":false,"suffix":""},{"dropping-particle":"","family":"Rafael","given":"S.","non-dropping-particle":"","parse-names":false,"suffix":""},{"dropping-particle":"","family":"Sá","given":"E.","non-dropping-particle":"","parse-names":false,"suffix":""},{"dropping-particle":"","family":"Pimentel","given":"C.","non-dropping-particle":"","parse-names":false,"suffix":""},{"dropping-particle":"","family":"Fontes","given":"T.","non-dropping-particle":"","parse-names":false,"suffix":""},{"dropping-particle":"","family":"Fernandes","given":"P.","non-dropping-particle":"","parse-names":false,"suffix":""},{"dropping-particle":"","family":"Pereira","given":"S. R.","non-dropping-particle":"","parse-names":false,"suffix":""},{"dropping-particle":"","family":"Bandeira","given":"J. M.","non-dropping-particle":"","parse-names":false,"suffix":""},{"dropping-particle":"","family":"Coelho","given":"M. C.","non-dropping-particle":"","parse-names":false,"suffix":""}],"container-title":"Atmospheric Environment","id":"ITEM-1","issued":{"date-parts":[["2016","4","1"]]},"page":"341-351","publisher":"Elsevier Ltd","title":"Urban scale air quality modelling using detailed traffic emissions estimates","type":"article-journal","volume":"131"},"uris":["http://www.mendeley.com/documents/?uuid=62f10c13-907f-38a0-946d-7cb5c7b1a271"]},{"id":"ITEM-2","itemData":{"DOI":"10.1016/j.trd.2018.01.027","ISSN":"13619209","abstract":"The aim of this research is the implementation of a GPS-based modelling approach for improving the characterization of vehicle speed spatial variation within urban areas, and a comparison of the resulting emissions with a widely used approach to emission inventory compiling. The ultimate goal of this study is to evaluate and understand the importance of activity data for improving the road transport emission inventory in urban areas. For this purpose, three numerical tools, namely, (i) the microsimulation traffic model (VISSIM); (ii) the mesoscopic emissions model (TREM); and (iii) the air quality model (URBAIR), were linked and applied to a medium-sized European city (Aveiro, Portugal). As an alternative, traffic emissions based on a widely used approach are calculated by assuming a vehicle speed value according to driving mode. The detailed GPS-based modelling approach results in lower total road traffic emissions for the urban area (7.9, 5.4, 4.6 and 3.2% of the total PM10, NOx, CO and VOC daily emissions, respectively). Moreover, an important variation of emissions was observed for all pollutants when analysing the magnitude of the 5th and 95th percentile emission values for the entire urban area, ranging from −15 to 49% for CO, −14 to 31% for VOC, −19 to 46% for NOx and −22 to 52% for PM10. The proposed GPS-based approach reveals the benefits of addressing the spatial and temporal variability of the vehicle speed within urban areas in comparison with vehicle speed data aggregated by a driving mode, demonstrating its usefulness in quantifying and reducing the uncertainty of road transport inventories.","author":[{"dropping-particle":"","family":"Dias","given":"Daniela","non-dropping-particle":"","parse-names":false,"suffix":""},{"dropping-particle":"","family":"Amorim","given":"Jorge Humberto","non-dropping-particle":"","parse-names":false,"suffix":""},{"dropping-particle":"","family":"Sá","given":"Elisa","non-dropping-particle":"","parse-names":false,"suffix":""},{"dropping-particle":"","family":"Borrego","given":"Carlos","non-dropping-particle":"","parse-names":false,"suffix":""},{"dropping-particle":"","family":"Fontes","given":"Tânia","non-dropping-particle":"","parse-names":false,"suffix":""},{"dropping-particle":"","family":"Fernandes","given":"Paulo","non-dropping-particle":"","parse-names":false,"suffix":""},{"dropping-particle":"","family":"Pereira","given":"Sérgio Ramos","non-dropping-particle":"","parse-names":false,"suffix":""},{"dropping-particle":"","family":"Bandeira","given":"Jorge","non-dropping-particle":"","parse-names":false,"suffix":""},{"dropping-particle":"","family":"Coelho","given":"Margarida C.","non-dropping-particle":"","parse-names":false,"suffix":""},{"dropping-particle":"","family":"Tchepel","given":"Oxana","non-dropping-particle":"","parse-names":false,"suffix":""}],"container-title":"Transportation Research Part D: Transport and Environment","id":"ITEM-2","issued":{"date-parts":[["2018","7","1"]]},"page":"27-35","publisher":"Elsevier Ltd","title":"Assessing the importance of transportation activity data for urban emission inventories","type":"article-journal","volume":"62"},"uris":["http://www.mendeley.com/documents/?uuid=e844f367-62b7-308e-971c-849749b71b1f"]}],"mendeley":{"formattedCitation":"(Borrego et al., 2016; Dias et al., 2018)","plainTextFormattedCitation":"(Borrego et al., 2016; Dias et al., 2018)","previouslyFormattedCitation":"(Borrego et al., 2016; Dias et al., 2018)"},"properties":{"noteIndex":0},"schema":"https://github.com/citation-style-language/schema/raw/master/csl-citation.json"}</w:instrText>
      </w:r>
      <w:r w:rsidRPr="035DD17A">
        <w:rPr>
          <w:lang w:val="en-GB"/>
        </w:rPr>
        <w:fldChar w:fldCharType="separate"/>
      </w:r>
      <w:r w:rsidRPr="035DD17A" w:rsidR="00A92537">
        <w:rPr>
          <w:noProof/>
          <w:lang w:val="en-GB"/>
        </w:rPr>
        <w:t>(Borrego et al., 2016; Dias et al., 2018)</w:t>
      </w:r>
      <w:r w:rsidRPr="035DD17A">
        <w:rPr>
          <w:lang w:val="en-GB"/>
        </w:rPr>
        <w:fldChar w:fldCharType="end"/>
      </w:r>
      <w:r w:rsidRPr="035DD17A" w:rsidR="00A92537">
        <w:rPr>
          <w:lang w:val="en-GB"/>
        </w:rPr>
        <w:t xml:space="preserve"> and a weighting approach</w:t>
      </w:r>
      <w:r w:rsidRPr="035DD17A" w:rsidR="00BB757D">
        <w:rPr>
          <w:lang w:val="en-GB"/>
        </w:rPr>
        <w:t>,</w:t>
      </w:r>
      <w:r w:rsidRPr="035DD17A" w:rsidR="00A92537">
        <w:rPr>
          <w:lang w:val="en-GB"/>
        </w:rPr>
        <w:t xml:space="preserve"> was applied. </w:t>
      </w:r>
    </w:p>
    <w:p w:rsidRPr="002A63DA" w:rsidR="003266F5" w:rsidP="003266F5" w:rsidRDefault="3C687D85" w14:paraId="3A951B03" w14:textId="09DBBAA5">
      <w:pPr>
        <w:rPr>
          <w:lang w:val="en-GB"/>
        </w:rPr>
      </w:pPr>
      <w:r w:rsidRPr="035DD17A" w:rsidR="3C687D85">
        <w:rPr>
          <w:lang w:val="en-GB"/>
        </w:rPr>
        <w:t xml:space="preserve">First, the air quality simulations were performed for the entire year of 2015 on an hourly basis considering the meteorological conditions for each hour and emission variability, following the quantification methodology described further in </w:t>
      </w:r>
      <w:r w:rsidRPr="035DD17A">
        <w:rPr>
          <w:lang w:val="en-GB"/>
        </w:rPr>
        <w:fldChar w:fldCharType="begin" w:fldLock="true"/>
      </w:r>
      <w:r w:rsidRPr="035DD17A">
        <w:rPr>
          <w:lang w:val="en-GB"/>
        </w:rPr>
        <w:instrText xml:space="preserve">ADDIN CSL_CITATION {"citationItems":[{"id":"ITEM-1","itemData":{"DOI":"10.5281/ZENODO.3972940","author":[{"dropping-particle":"","family":"Rodrigues","given":"Vera","non-dropping-particle":"","parse-names":false,"suffix":""},{"dropping-particle":"","family":"Lopes","given":"Myriam","non-dropping-particle":"","parse-names":false,"suffix":""},{"dropping-particle":"","family":"Rafael","given":"Sandra","non-dropping-particle":"","parse-names":false,"suffix":""},{"dropping-particle":"","family":"Coelho","given":"Silvia","non-dropping-particle":"","parse-names":false,"suffix":""},{"dropping-particle":"de","family":"Oliveira","given":"Kevin","non-dropping-particle":"","parse-names":false,"suffix":""},{"dropping-particle":"","family":"Vanherle","given":"Kris","non-dropping-particle":"","parse-names":false,"suffix":""},{"dropping-particle":"","family":"Papics","given":"Peter","non-dropping-particle":"","parse-names":false,"suffix":""},{"dropping-particle":"","family":"Himpe","given":"Willem","non-dropping-particle":"","parse-names":false,"suffix":""},{"dropping-particle":"","family":"Diafas","given":"Iason","non-dropping-particle":"","parse-names":false,"suffix":""},{"dropping-particle":"","family":"Kewo","given":"Angreine","non-dropping-particle":"","parse-names":false,"suffix":""},{"dropping-particle":"","family":"Trozzi","given":"Carlo","non-dropping-particle":"","parse-names":false,"suffix":""},{"dropping-particle":"","family":"Piscitello","given":"Enzo","non-dropping-particle":"","parse-names":false,"suffix":""},{"dropping-particle":"","family":"Soares","given":"Joana","non-dropping-particle":"","parse-names":false,"suffix":""}],"id":"ITEM-1","issued":{"date-parts":[["2020","2","28"]]},"title":"D5.7 City Impact Analysis Report","type":"article-journal"},"uris":["http://www.mendeley.com/documents/?uuid=1add67bf-7adb-3949-b043-f3cf84ddc632"]}],"mendeley":{"formattedCitation":"(Rodrigues et al., 2020)","manualFormatting":"Rodrigues et al. (2020)","plainTextFormattedCitation":"(Rodrigues et al., 2020)","previouslyFormattedCitation":"(Rodrigues et al., 2020)"},"properties":{"noteIndex":0},"schema":"https://github.com/citation-style-language/schema/raw/master/csl-citation.json"}</w:instrText>
      </w:r>
      <w:r w:rsidRPr="035DD17A">
        <w:rPr>
          <w:lang w:val="en-GB"/>
        </w:rPr>
        <w:fldChar w:fldCharType="separate"/>
      </w:r>
      <w:r w:rsidRPr="035DD17A" w:rsidR="3C687D85">
        <w:rPr>
          <w:noProof/>
          <w:lang w:val="en-GB"/>
        </w:rPr>
        <w:t xml:space="preserve">Rodrigues et al. (2020) </w:t>
      </w:r>
      <w:r w:rsidRPr="035DD17A">
        <w:rPr>
          <w:lang w:val="en-GB"/>
        </w:rPr>
        <w:fldChar w:fldCharType="end"/>
      </w:r>
      <w:r w:rsidRPr="035DD17A" w:rsidR="3C687D85">
        <w:rPr>
          <w:noProof/>
          <w:lang w:val="en-GB"/>
        </w:rPr>
        <w:t xml:space="preserve">and </w:t>
      </w:r>
      <w:r w:rsidRPr="035DD17A" w:rsidR="3C687D85">
        <w:rPr>
          <w:lang w:val="en-GB"/>
        </w:rPr>
        <w:t>Rafael et al. (2021)</w:t>
      </w:r>
      <w:r w:rsidRPr="035DD17A" w:rsidR="3C687D85">
        <w:rPr>
          <w:lang w:val="en-GB"/>
        </w:rPr>
        <w:t>.</w:t>
      </w:r>
      <w:r w:rsidRPr="035DD17A" w:rsidR="3C687D85">
        <w:rPr>
          <w:lang w:val="en-GB"/>
        </w:rPr>
        <w:t xml:space="preserve"> The URBAIR is a second-generation Gaussian model that has been widely applied to assess air quality at urban scale </w:t>
      </w:r>
      <w:r w:rsidRPr="035DD17A">
        <w:rPr>
          <w:lang w:val="en-GB"/>
        </w:rPr>
        <w:fldChar w:fldCharType="begin" w:fldLock="true"/>
      </w:r>
      <w:r w:rsidRPr="035DD17A">
        <w:rPr>
          <w:lang w:val="en-GB"/>
        </w:rPr>
        <w:instrText xml:space="preserve">ADDIN CSL_CITATION {"citationItems":[{"id":"ITEM-1","itemData":{"DOI":"10.1016/j.atmosenv.2016.02.017","ISSN":"18732844","abstract":"The atmospheric dispersion of NOx and PM10 was simulated with a second generation Gaussian model over a medium-size south-European city. Microscopic traffic models calibrated with GPS data were used to derive typical driving cycles for each road link, while instantaneous emissions were estimated applying a combined Vehicle Specific Power/Co-operative Programme for Monitoring and Evaluation of the Long-range Transmission of Air Pollutants in Europe (VSP/EMEP) methodology. Site-specific background concentrations were estimated using time series analysis and a low-pass filter applied to local observations. Air quality modelling results are compared against measurements at two locations for a 1 week period. 78% of the results are within a factor of two of the observations for 1-h average concentrations, increasing to 94% for daily averages. Correlation significantly improves when background is added, with an average of 0.89 for the 24 h record. The results highlight the potential of detailed traffic and instantaneous exhaust emissions estimates, together with filtered urban background, to provide accurate input data to Gaussian models applied at the urban scale.","author":[{"dropping-particle":"","family":"Borrego","given":"C.","non-dropping-particle":"","parse-names":false,"suffix":""},{"dropping-particle":"","family":"Amorim","given":"J. H.","non-dropping-particle":"","parse-names":false,"suffix":""},{"dropping-particle":"","family":"Tchepel","given":"O.","non-dropping-particle":"","parse-names":false,"suffix":""},{"dropping-particle":"","family":"Dias","given":"D.","non-dropping-particle":"","parse-names":false,"suffix":""},{"dropping-particle":"","family":"Rafael","given":"S.","non-dropping-particle":"","parse-names":false,"suffix":""},{"dropping-particle":"","family":"Sá","given":"E.","non-dropping-particle":"","parse-names":false,"suffix":""},{"dropping-particle":"","family":"Pimentel","given":"C.","non-dropping-particle":"","parse-names":false,"suffix":""},{"dropping-particle":"","family":"Fontes","given":"T.","non-dropping-particle":"","parse-names":false,"suffix":""},{"dropping-particle":"","family":"Fernandes","given":"P.","non-dropping-particle":"","parse-names":false,"suffix":""},{"dropping-particle":"","family":"Pereira","given":"S. R.","non-dropping-particle":"","parse-names":false,"suffix":""},{"dropping-particle":"","family":"Bandeira","given":"J. M.","non-dropping-particle":"","parse-names":false,"suffix":""},{"dropping-particle":"","family":"Coelho","given":"M. C.","non-dropping-particle":"","parse-names":false,"suffix":""}],"container-title":"Atmospheric Environment","id":"ITEM-1","issued":{"date-parts":[["2016","4","1"]]},"page":"341-351","publisher":"Elsevier Ltd","title":"Urban scale air quality modelling using detailed traffic emissions estimates","type":"article-journal","volume":"131"},"uris":["http://www.mendeley.com/documents/?uuid=62f10c13-907f-38a0-946d-7cb5c7b1a271"]},{"id":"ITEM-2","itemData":{"DOI":"10.1016/j.trd.2018.01.027","ISSN":"13619209","abstract":"The aim of this research is the implementation of a GPS-based modelling approach for improving the characterization of vehicle speed spatial variation within urban areas, and a comparison of the resulting emissions with a widely used approach to emission inventory compiling. The ultimate goal of this study is to evaluate and understand the importance of activity data for improving the road transport emission inventory in urban areas. For this purpose, three numerical tools, namely, (i) the microsimulation traffic model (VISSIM); (ii) the mesoscopic emissions model (TREM); and (iii) the air quality model (URBAIR), were linked and applied to a medium-sized European city (Aveiro, Portugal). As an alternative, traffic emissions based on a widely used approach are calculated by assuming a vehicle speed value according to driving mode. The detailed GPS-based modelling approach results in lower total road traffic emissions for the urban area (7.9, 5.4, 4.6 and 3.2% of the total PM10, NOx, CO and VOC daily emissions, respectively). Moreover, an important variation of emissions was observed for all pollutants when analysing the magnitude of the 5th and 95th percentile emission values for the entire urban area, ranging from −15 to 49% for CO, −14 to 31% for VOC, −19 to 46% for NOx and −22 to 52% for PM10. The proposed GPS-based approach reveals the benefits of addressing the spatial and temporal variability of the vehicle speed within urban areas in comparison with vehicle speed data aggregated by a driving mode, demonstrating its usefulness in quantifying and reducing the uncertainty of road transport inventories.","author":[{"dropping-particle":"","family":"Dias","given":"Daniela","non-dropping-particle":"","parse-names":false,"suffix":""},{"dropping-particle":"","family":"Amorim","given":"Jorge Humberto","non-dropping-particle":"","parse-names":false,"suffix":""},{"dropping-particle":"","family":"Sá","given":"Elisa","non-dropping-particle":"","parse-names":false,"suffix":""},{"dropping-particle":"","family":"Borrego","given":"Carlos","non-dropping-particle":"","parse-names":false,"suffix":""},{"dropping-particle":"","family":"Fontes","given":"Tânia","non-dropping-particle":"","parse-names":false,"suffix":""},{"dropping-particle":"","family":"Fernandes","given":"Paulo","non-dropping-particle":"","parse-names":false,"suffix":""},{"dropping-particle":"","family":"Pereira","given":"Sérgio Ramos","non-dropping-particle":"","parse-names":false,"suffix":""},{"dropping-particle":"","family":"Bandeira","given":"Jorge","non-dropping-particle":"","parse-names":false,"suffix":""},{"dropping-particle":"","family":"Coelho","given":"Margarida C.","non-dropping-particle":"","parse-names":false,"suffix":""},{"dropping-particle":"","family":"Tchepel","given":"Oxana","non-dropping-particle":"","parse-names":false,"suffix":""}],"container-title":"Transportation Research Part D: Transport and Environment","id":"ITEM-2","issued":{"date-parts":[["2018","7","1"]]},"page":"27-35","publisher":"Elsevier Ltd","title":"Assessing the importance of transportation activity data for urban emission inventories","type":"article-journal","volume":"62"},"uris":["http://www.mendeley.com/documents/?uuid=e844f367-62b7-308e-971c-849749b71b1f"]}],"mendeley":{"formattedCitation":"(Borrego et al., 2016; Dias et al., 2018)","plainTextFormattedCitation":"(Borrego et al., 2016; Dias et al., 2018)","previouslyFormattedCitation":"(Borrego et al., 2016; Dias et al., 2018)"},"properties":{"noteIndex":0},"schema":"https://github.com/citation-style-language/schema/raw/master/csl-citation.json"}</w:instrText>
      </w:r>
      <w:r w:rsidRPr="035DD17A">
        <w:rPr>
          <w:lang w:val="en-GB"/>
        </w:rPr>
        <w:fldChar w:fldCharType="separate"/>
      </w:r>
      <w:r w:rsidRPr="035DD17A" w:rsidR="3C687D85">
        <w:rPr>
          <w:noProof/>
          <w:lang w:val="en-GB"/>
        </w:rPr>
        <w:t>(Borrego et al., 2016; Dias et al., 2018)</w:t>
      </w:r>
      <w:r w:rsidRPr="035DD17A">
        <w:rPr>
          <w:lang w:val="en-GB"/>
        </w:rPr>
        <w:fldChar w:fldCharType="end"/>
      </w:r>
      <w:r w:rsidRPr="035DD17A" w:rsidR="3C687D85">
        <w:rPr>
          <w:lang w:val="en-GB"/>
        </w:rPr>
        <w:t>. The assessment of air quality was focused on NO</w:t>
      </w:r>
      <w:r w:rsidRPr="035DD17A" w:rsidR="3C687D85">
        <w:rPr>
          <w:vertAlign w:val="subscript"/>
          <w:lang w:val="en-GB"/>
        </w:rPr>
        <w:t>2</w:t>
      </w:r>
      <w:r w:rsidRPr="035DD17A" w:rsidR="3C687D85">
        <w:rPr>
          <w:lang w:val="en-GB"/>
        </w:rPr>
        <w:t>, PM10 and PM2.5 concentrations. The different emission sectors – transport, IRCI, industrial, and shipping (for Amsterdam and the Liguria Region) - were simulated separately in order to have their individual contribution (source-apportionment approach). The air quality simulations were performed for the computational domain over the urban area of each city/ region with a horizontal resolution of 200 m x 200 m, except for the Aveiro Region, which was run with a horizontal resolution of 400 m x 400 m. The computational domains of each city/ region differ in Bristol, Ljubljana, and Sosnowiec domains dimensions are 20 km x 20 km, Amsterdam domain is 25 km x 20 km, Liguria domain is 25 km x 15 km, and Aveiro domain is 40 km x 55 km.</w:t>
      </w:r>
    </w:p>
    <w:p w:rsidRPr="002A63DA" w:rsidR="003266F5" w:rsidP="003266F5" w:rsidRDefault="00A92537" w14:paraId="053A1FE7" w14:textId="77777777">
      <w:pPr>
        <w:rPr>
          <w:lang w:val="en-GB"/>
        </w:rPr>
      </w:pPr>
      <w:r w:rsidRPr="035DD17A" w:rsidR="00A92537">
        <w:rPr>
          <w:lang w:val="en-GB"/>
        </w:rPr>
        <w:t xml:space="preserve">Second, the annual percentual reductions of each emission sector were applied to the annual air quality outputs per sector for each scenario and time-horizon for the six cities/regions. </w:t>
      </w:r>
    </w:p>
    <w:p w:rsidRPr="002A63DA" w:rsidR="00644754" w:rsidP="00644754" w:rsidRDefault="00A92537" w14:paraId="21E6A448" w14:textId="77777777">
      <w:pPr>
        <w:rPr>
          <w:color w:val="auto"/>
        </w:rPr>
      </w:pPr>
      <w:r w:rsidRPr="035DD17A" w:rsidR="00A92537">
        <w:rPr>
          <w:color w:val="auto"/>
          <w:lang w:val="en-GB"/>
        </w:rPr>
        <w:t>It should be noted that this hybrid method can be adopted since</w:t>
      </w:r>
      <w:r w:rsidRPr="035DD17A" w:rsidR="00B019A6">
        <w:rPr>
          <w:color w:val="auto"/>
          <w:lang w:val="en-GB"/>
        </w:rPr>
        <w:t xml:space="preserve"> the focus of the study </w:t>
      </w:r>
      <w:r w:rsidRPr="035DD17A" w:rsidR="00060056">
        <w:rPr>
          <w:color w:val="auto"/>
          <w:lang w:val="en-GB"/>
        </w:rPr>
        <w:t>are</w:t>
      </w:r>
      <w:r w:rsidRPr="035DD17A" w:rsidR="00A92537">
        <w:rPr>
          <w:color w:val="auto"/>
          <w:lang w:val="en-GB"/>
        </w:rPr>
        <w:t xml:space="preserve"> annual metrics. As showed by </w:t>
      </w:r>
      <w:r w:rsidRPr="035DD17A">
        <w:rPr>
          <w:color w:val="auto"/>
        </w:rPr>
        <w:fldChar w:fldCharType="begin" w:fldLock="true"/>
      </w:r>
      <w:r w:rsidRPr="035DD17A">
        <w:rPr>
          <w:color w:val="auto"/>
        </w:rPr>
        <w:instrText xml:space="preserve">ADDIN CSL_CITATION {"citationItems":[{"id":"ITEM-1","itemData":{"DOI":"10.1016/J.ATMOSENV.2014.12.057","ISSN":"1352-2310","abstract":"Air quality models which are nowadays used for a wide range of scopes (i.e. assessment, forecast, planning) see their intrinsic complexity progressively increasing as better knowledge of the atmospheric chemistry processes is gained. As a result of this increased complexity potential non-linearities are implicitly and/or explicitly incorporated in the system. These non-linearities represent a key and challenging aspect of air quality modeling, especially to assess the robustness of the model responses. In this work the importance of non-linear effects in air quality modeling is quantified, especially as a function of time averaging. A methodology is proposed to decompose the concentration change resulting from an emission reduction over a given domain into its linear and non-linear contributions for each precursor as well as in the contribution resulting from the interactions among precursors. Simulations with the LOTOS-EUROS model have been performed by TNO over three regional geographical areas in Europe for this analysis. In all three regions the non-linear effects for PM10 and PM2.5 are shown to be relatively minor for yearly and monthly averages whereas they become significant for daily average values. For Ozone non-linearities become important already for monthly averages in some regions. An approach which explicitly deals with monthly variations seems therefore more appropriate for O3. In general non-linearities are more important at locations where concentrations are the lowest, i.e. at urban locations for O3 and at rural locations for PM10 and PM2.5. Finally the impact of spatial resolution (tested by comparing coarse and fine resolution simulations) on the degree of non-linearity has been shown to be minor as well. The conclusions developed here are model dependent and runs should be repeated with the particular model of interest but the proposed methodology allows with a limited number of runs to identify where efforts should be focused in order to include the relevant terms into a simplified surrogate model for integrated assessment purposes.","author":[{"dropping-particle":"","family":"Thunis","given":"P.","non-dropping-particle":"","parse-names":false,"suffix":""},{"dropping-particle":"","family":"Clappier","given":"A.","non-dropping-particle":"","parse-names":false,"suffix":""},{"dropping-particle":"","family":"Pisoni","given":"E.","non-dropping-particle":"","parse-names":false,"suffix":""},{"dropping-particle":"","family":"Degraeuwe","given":"B.","non-dropping-particle":"","parse-names":false,"suffix":""}],"container-title":"Atmospheric Environment","id":"ITEM-1","issued":{"date-parts":[["2015","2","1"]]},"page":"263-275","publisher":"Pergamon","title":"Quantification of non-linearities as a function of time averaging in regional air quality modeling applications","type":"article-journal","volume":"103"},"uris":["http://www.mendeley.com/documents/?uuid=2b01ffe3-ed7c-38cf-929e-ee401561aef9"]}],"mendeley":{"formattedCitation":"(Thunis et al., 2015)","manualFormatting":"Thunis et al. (2015)","plainTextFormattedCitation":"(Thunis et al., 2015)","previouslyFormattedCitation":"(Thunis et al., 2015)"},"properties":{"noteIndex":0},"schema":"https://github.com/citation-style-language/schema/raw/master/csl-citation.json"}</w:instrText>
      </w:r>
      <w:r w:rsidRPr="035DD17A">
        <w:rPr>
          <w:color w:val="auto"/>
        </w:rPr>
        <w:fldChar w:fldCharType="separate"/>
      </w:r>
      <w:r w:rsidRPr="035DD17A" w:rsidR="00A92537">
        <w:rPr>
          <w:noProof/>
          <w:color w:val="auto"/>
        </w:rPr>
        <w:t>Thunis et al. (2015)</w:t>
      </w:r>
      <w:r w:rsidRPr="035DD17A">
        <w:rPr>
          <w:color w:val="auto"/>
        </w:rPr>
        <w:fldChar w:fldCharType="end"/>
      </w:r>
      <w:r w:rsidRPr="035DD17A" w:rsidR="00A92537">
        <w:rPr>
          <w:color w:val="auto"/>
        </w:rPr>
        <w:t>,</w:t>
      </w:r>
      <w:r w:rsidRPr="035DD17A" w:rsidR="00060056">
        <w:rPr>
          <w:color w:val="auto"/>
        </w:rPr>
        <w:t xml:space="preserve"> </w:t>
      </w:r>
      <w:r w:rsidRPr="035DD17A" w:rsidR="00A92537">
        <w:rPr>
          <w:color w:val="auto"/>
        </w:rPr>
        <w:t xml:space="preserve">linear simplifications could have different impacts depending on the time scales considered. </w:t>
      </w:r>
      <w:r w:rsidRPr="035DD17A" w:rsidR="00A92537">
        <w:rPr>
          <w:color w:val="auto"/>
        </w:rPr>
        <w:t>In particular, when</w:t>
      </w:r>
      <w:r w:rsidRPr="035DD17A" w:rsidR="00A92537">
        <w:rPr>
          <w:color w:val="auto"/>
        </w:rPr>
        <w:t xml:space="preserve"> focusing on long-term averages (annual averages)</w:t>
      </w:r>
      <w:r w:rsidRPr="035DD17A" w:rsidR="00B019A6">
        <w:rPr>
          <w:color w:val="auto"/>
        </w:rPr>
        <w:t>,</w:t>
      </w:r>
      <w:r w:rsidRPr="035DD17A" w:rsidR="00A92537">
        <w:rPr>
          <w:color w:val="auto"/>
        </w:rPr>
        <w:t xml:space="preserve"> can exhibit very low level of non-linearities depending on the pollutant and location</w:t>
      </w:r>
      <w:r w:rsidRPr="035DD17A" w:rsidR="00B019A6">
        <w:rPr>
          <w:color w:val="auto"/>
        </w:rPr>
        <w:t xml:space="preserve">, and so, </w:t>
      </w:r>
      <w:r w:rsidRPr="035DD17A" w:rsidR="00B019A6">
        <w:rPr>
          <w:rFonts w:ascii="Calibri" w:hAnsi="Calibri" w:eastAsia="Calibri" w:cs="Calibri"/>
          <w:lang w:val="en-GB"/>
        </w:rPr>
        <w:t xml:space="preserve">the secondary formation through chemical reactions can be neglected when the annual mean concentrations are calculated. This simplification </w:t>
      </w:r>
      <w:r w:rsidRPr="035DD17A" w:rsidR="00B019A6">
        <w:rPr>
          <w:color w:val="auto"/>
          <w:lang w:val="en-GB"/>
        </w:rPr>
        <w:t xml:space="preserve">guarantees both spatial and temporal distribution of air pollutants concentrations, proving to be less time demanding and requires less computational resources. </w:t>
      </w:r>
      <w:r w:rsidRPr="035DD17A" w:rsidR="00B019A6">
        <w:rPr>
          <w:rFonts w:ascii="Calibri" w:hAnsi="Calibri" w:eastAsia="Calibri" w:cs="Calibri"/>
          <w:lang w:val="en-GB"/>
        </w:rPr>
        <w:t xml:space="preserve">Despite that, </w:t>
      </w:r>
      <w:r w:rsidRPr="035DD17A" w:rsidR="00B019A6">
        <w:rPr>
          <w:color w:val="auto"/>
          <w:lang w:val="en-GB"/>
        </w:rPr>
        <w:t>this hybrid method ha</w:t>
      </w:r>
      <w:r w:rsidRPr="035DD17A" w:rsidR="00060056">
        <w:rPr>
          <w:color w:val="auto"/>
          <w:lang w:val="en-GB"/>
        </w:rPr>
        <w:t>s</w:t>
      </w:r>
      <w:r w:rsidRPr="035DD17A" w:rsidR="00B019A6">
        <w:rPr>
          <w:color w:val="auto"/>
          <w:lang w:val="en-GB"/>
        </w:rPr>
        <w:t xml:space="preserve"> uncertainties associated, which will be discussed further in section</w:t>
      </w:r>
      <w:r w:rsidRPr="035DD17A" w:rsidR="00983BE0">
        <w:rPr>
          <w:color w:val="auto"/>
          <w:lang w:val="en-GB"/>
        </w:rPr>
        <w:t xml:space="preserve"> 3.5</w:t>
      </w:r>
      <w:r w:rsidRPr="035DD17A" w:rsidR="00060056">
        <w:rPr>
          <w:color w:val="auto"/>
          <w:lang w:val="en-GB"/>
        </w:rPr>
        <w:t>.</w:t>
      </w:r>
    </w:p>
    <w:p w:rsidRPr="002A63DA" w:rsidR="003266F5" w:rsidP="003266F5" w:rsidRDefault="00A92537" w14:paraId="28391CF3" w14:textId="77777777">
      <w:pPr>
        <w:rPr>
          <w:lang w:val="en-GB"/>
        </w:rPr>
      </w:pPr>
      <w:r w:rsidRPr="035DD17A" w:rsidR="00A92537">
        <w:rPr>
          <w:lang w:val="en-GB"/>
        </w:rPr>
        <w:t>For each case study, air quality spatial and temporal maps were produced, and different analyses were conducted considering the EU regulated limit values for these specific pollutants and the stricter but voluntary WHO guidelines that are established for PM10 and PM2.5.</w:t>
      </w:r>
    </w:p>
    <w:bookmarkEnd w:id="8"/>
    <w:p w:rsidRPr="002A63DA" w:rsidR="00EB155F" w:rsidP="00B95A4A" w:rsidRDefault="00A92537" w14:paraId="321851FF" w14:textId="77777777">
      <w:pPr>
        <w:pStyle w:val="Heading3"/>
        <w:rPr>
          <w:lang w:val="en-GB"/>
        </w:rPr>
      </w:pPr>
      <w:r w:rsidRPr="035DD17A" w:rsidR="00A92537">
        <w:rPr>
          <w:lang w:val="en-GB"/>
        </w:rPr>
        <w:t>2.</w:t>
      </w:r>
      <w:r w:rsidRPr="035DD17A" w:rsidR="00983BE0">
        <w:rPr>
          <w:lang w:val="en-GB"/>
        </w:rPr>
        <w:t>5</w:t>
      </w:r>
      <w:r w:rsidRPr="035DD17A" w:rsidR="00A92537">
        <w:rPr>
          <w:lang w:val="en-GB"/>
        </w:rPr>
        <w:t xml:space="preserve"> </w:t>
      </w:r>
      <w:r w:rsidRPr="035DD17A" w:rsidR="003520D7">
        <w:rPr>
          <w:lang w:val="en-GB"/>
        </w:rPr>
        <w:t>Population exposure and h</w:t>
      </w:r>
      <w:r w:rsidRPr="035DD17A" w:rsidR="00A92537">
        <w:rPr>
          <w:lang w:val="en-GB"/>
        </w:rPr>
        <w:t xml:space="preserve">ealth impact assessment </w:t>
      </w:r>
    </w:p>
    <w:p w:rsidRPr="002A63DA" w:rsidR="003520D7" w:rsidP="003520D7" w:rsidRDefault="3C687D85" w14:paraId="6A0E748F" w14:textId="77777777">
      <w:pPr>
        <w:rPr>
          <w:rFonts w:cs="Arial"/>
          <w:lang w:val="en-GB"/>
        </w:rPr>
      </w:pPr>
      <w:r w:rsidRPr="035DD17A" w:rsidR="3C687D85">
        <w:rPr>
          <w:rFonts w:cs="Arial"/>
          <w:lang w:val="en-GB"/>
        </w:rPr>
        <w:t>The population potentially exposed to NO</w:t>
      </w:r>
      <w:r w:rsidRPr="035DD17A" w:rsidR="3C687D85">
        <w:rPr>
          <w:rFonts w:cs="Arial"/>
          <w:vertAlign w:val="subscript"/>
          <w:lang w:val="en-GB"/>
        </w:rPr>
        <w:t>2</w:t>
      </w:r>
      <w:r w:rsidRPr="035DD17A" w:rsidR="3C687D85">
        <w:rPr>
          <w:rFonts w:cs="Arial"/>
          <w:lang w:val="en-GB"/>
        </w:rPr>
        <w:t xml:space="preserve">, PM10 and PM2.5 concentrations above the EU legal limit values </w:t>
      </w:r>
      <w:r w:rsidRPr="035DD17A">
        <w:rPr>
          <w:lang w:val="en-GB"/>
        </w:rPr>
        <w:fldChar w:fldCharType="begin" w:fldLock="true"/>
      </w:r>
      <w:r w:rsidRPr="035DD17A">
        <w:rPr>
          <w:lang w:val="en-GB"/>
        </w:rPr>
        <w:instrText xml:space="preserve">ADDIN CSL_CITATION {"citationItems":[{"id":"ITEM-1","itemData":{"URL":"https://eur-lex.europa.eu/eli/dir/2008/50/oj","accessed":{"date-parts":[["2021","2","21"]]},"author":[{"dropping-particle":"","family":"EU","given":"","non-dropping-particle":"","parse-names":false,"suffix":""}],"container-title":"OJ L 152","id":"ITEM-1","issued":{"date-parts":[["2008","6","11"]]},"page":"1-44","title":"Directive 2008/50/EC of the European Parliament and of the Council of 21 May 2008 on ambient air quality and cleaner air for Europe","type":"webpage"},"uris":["http://www.mendeley.com/documents/?uuid=0c7b0b8a-8fa7-3358-bdea-a2d152f5605f"]}],"mendeley":{"formattedCitation":"(EU, 2008)","plainTextFormattedCitation":"(EU, 2008)","previouslyFormattedCitation":"(EU, 2008)"},"properties":{"noteIndex":0},"schema":"https://github.com/citation-style-language/schema/raw/master/csl-citation.json"}</w:instrText>
      </w:r>
      <w:r w:rsidRPr="035DD17A">
        <w:rPr>
          <w:lang w:val="en-GB"/>
        </w:rPr>
        <w:fldChar w:fldCharType="separate"/>
      </w:r>
      <w:r w:rsidRPr="035DD17A" w:rsidR="3C687D85">
        <w:rPr>
          <w:noProof/>
          <w:lang w:val="en-GB"/>
        </w:rPr>
        <w:t>(EU, 2008)</w:t>
      </w:r>
      <w:r w:rsidRPr="035DD17A">
        <w:rPr>
          <w:lang w:val="en-GB"/>
        </w:rPr>
        <w:fldChar w:fldCharType="end"/>
      </w:r>
      <w:r w:rsidRPr="035DD17A" w:rsidR="3C687D85">
        <w:rPr>
          <w:lang w:val="en-GB"/>
        </w:rPr>
        <w:t xml:space="preserve"> </w:t>
      </w:r>
      <w:r w:rsidRPr="035DD17A" w:rsidR="3C687D85">
        <w:rPr>
          <w:rFonts w:cs="Arial"/>
          <w:lang w:val="en-GB"/>
        </w:rPr>
        <w:t xml:space="preserve">and the WHO guidelines </w:t>
      </w:r>
      <w:r w:rsidRPr="035DD17A">
        <w:rPr>
          <w:rFonts w:cs="Arial"/>
          <w:lang w:val="en-GB"/>
        </w:rPr>
        <w:fldChar w:fldCharType="begin" w:fldLock="true"/>
      </w:r>
      <w:r w:rsidRPr="035DD17A">
        <w:rPr>
          <w:rFonts w:cs="Arial"/>
          <w:lang w:val="en-GB"/>
        </w:rPr>
        <w:instrText xml:space="preserve">ADDIN CSL_CITATION {"citationItems":[{"id":"ITEM-1","itemData":{"URL":"https://apps.who.int/iris/bitstream/handle/10665/69477/WHO_SDE_PHE_OEH_06.02_eng.pdf;jsessionid=C9A622837270C3630216CD4A48F5124A?sequence=1","accessed":{"date-parts":[["2021","2","21"]]},"author":[{"dropping-particle":"","family":"WHO","given":"","non-dropping-particle":"","parse-names":false,"suffix":""}],"id":"ITEM-1","issued":{"date-parts":[["2006"]]},"title":"Air quality guidelines: Global update 2005 — Particulate matter, ozone, nitrogen dioxide and sulphur dioxide","type":"webpage"},"uris":["http://www.mendeley.com/documents/?uuid=5ed2da89-a636-3221-8157-1e58239eba97"]}],"mendeley":{"formattedCitation":"(WHO, 2006)","plainTextFormattedCitation":"(WHO, 2006)","previouslyFormattedCitation":"(WHO, 2006)"},"properties":{"noteIndex":0},"schema":"https://github.com/citation-style-language/schema/raw/master/csl-citation.json"}</w:instrText>
      </w:r>
      <w:r w:rsidRPr="035DD17A">
        <w:rPr>
          <w:rFonts w:cs="Arial"/>
          <w:lang w:val="en-GB"/>
        </w:rPr>
        <w:fldChar w:fldCharType="separate"/>
      </w:r>
      <w:r w:rsidRPr="035DD17A" w:rsidR="3C687D85">
        <w:rPr>
          <w:rFonts w:cs="Arial"/>
          <w:noProof/>
          <w:lang w:val="en-GB"/>
        </w:rPr>
        <w:t>(WHO, 2006)</w:t>
      </w:r>
      <w:r w:rsidRPr="035DD17A">
        <w:rPr>
          <w:rFonts w:cs="Arial"/>
          <w:lang w:val="en-GB"/>
        </w:rPr>
        <w:fldChar w:fldCharType="end"/>
      </w:r>
      <w:r w:rsidRPr="035DD17A" w:rsidR="3C687D85">
        <w:rPr>
          <w:rFonts w:cs="Arial"/>
          <w:lang w:val="en-GB"/>
        </w:rPr>
        <w:t xml:space="preserve"> was estimated for all the case studies. The population exposure was estimated considering an annual average of air quality concentrations and population data </w:t>
      </w:r>
      <w:r w:rsidRPr="035DD17A">
        <w:rPr>
          <w:rFonts w:cs="Arial"/>
          <w:lang w:val="en-GB"/>
        </w:rPr>
        <w:fldChar w:fldCharType="begin" w:fldLock="true"/>
      </w:r>
      <w:r w:rsidRPr="035DD17A">
        <w:rPr>
          <w:rFonts w:cs="Arial"/>
          <w:lang w:val="en-GB"/>
        </w:rPr>
        <w:instrText xml:space="preserve">ADDIN CSL_CITATION {"citationItems":[{"id":"ITEM-1","itemData":{"URL":"https://www.ine.pt/xportal/xmain?xpid=INE&amp;xpgid=ine_indicadores&amp;contecto=pi&amp;indOcorrCod=0008273&amp;selTab=tab0","accessed":{"date-parts":[["2021","4","20"]]},"author":[{"dropping-particle":"","family":"INE","given":"","non-dropping-particle":"","parse-names":false,"suffix":""}],"id":"ITEM-1","issued":{"date-parts":[["2011"]]},"title":"Instituto Nacional de Estatístico","type":"webpage"},"uris":["http://www.mendeley.com/documents/?uuid=7211236f-953b-376d-9cc3-01ff915a25b5"]},{"id":"ITEM-2","itemData":{"URL":"https://www.cbs.nl/en-gb/society/population","accessed":{"date-parts":[["2021","4","20"]]},"author":[{"dropping-particle":"","family":"CBS","given":"","non-dropping-particle":"","parse-names":false,"suffix":""}],"id":"ITEM-2","issued":{"date-parts":[["2015"]]},"title":"Statistics Netherlands","type":"webpage"},"uris":["http://www.mendeley.com/documents/?uuid=b93ad2ce-c673-3f15-bd07-a0ee6eca4d4f"]},{"id":"ITEM-3","itemData":{"URL":"http://dati.istat.it/Index.aspx?lang=en&amp;SubSessionId=f924de58-e4ae-4abf-acd9-d2db30b2fddd","accessed":{"date-parts":[["2021","4","20"]]},"author":[{"dropping-particle":"","family":"Istat","given":"","non-dropping-particle":"","parse-names":false,"suffix":""}],"id":"ITEM-3","issued":{"date-parts":[["2011"]]},"title":"Istituto Nazionale di Statistica","type":"webpage"},"uris":["http://www.mendeley.com/documents/?uuid=d431d1f4-db08-352e-83aa-0e5a609d5fb7"]},{"id":"ITEM-4","itemData":{"URL":"https://www.bristol.gov.uk/statistics-census-information/the-population-of-bristol","accessed":{"date-parts":[["2021","4","20"]]},"author":[{"dropping-particle":"","family":"ONS","given":"","non-dropping-particle":"","parse-names":false,"suffix":""}],"id":"ITEM-4","issued":{"date-parts":[["2015"]]},"title":"Office for National Statistics","type":"webpage"},"uris":["http://www.mendeley.com/documents/?uuid=e27b8e41-ff6f-36ff-b63a-e1c682db0c21"]},{"id":"ITEM-5","itemData":{"URL":"https://stat.gov.pl/en/regional-statistics/","accessed":{"date-parts":[["2021","4","20"]]},"author":[{"dropping-particle":"","family":"Statistics Poland","given":"","non-dropping-particle":"","parse-names":false,"suffix":""}],"id":"ITEM-5","issued":{"date-parts":[["2011"]]},"title":"Statistics Poland","type":"webpage"},"uris":["http://www.mendeley.com/documents/?uuid=ea63bf33-d318-358b-b7ac-de7e7517aa16"]},{"id":"ITEM-6","itemData":{"URL":"https://pxweb.stat.si/SiStat/en/Podrocja/Index/100/population","accessed":{"date-parts":[["2021","4","20"]]},"author":[{"dropping-particle":"","family":"SURS","given":"","non-dropping-particle":"","parse-names":false,"suffix":""}],"id":"ITEM-6","issued":{"date-parts":[["2011"]]},"title":"Statistical Office of the Republic of Slovenia","type":"webpage"},"uris":["http://www.mendeley.com/documents/?uuid=10ff695b-8d27-3b6c-a1f6-5e73efa9aabe"]}],"mendeley":{"formattedCitation":"(CBS, 2015; INE, 2011; Istat, 2011; ONS, 2015; Statistics Poland, 2011; SURS, 2011)","plainTextFormattedCitation":"(CBS, 2015; INE, 2011; Istat, 2011; ONS, 2015; Statistics Poland, 2011; SURS, 2011)","previouslyFormattedCitation":"(CBS, 2015; INE, 2011; Istat, 2011; ONS, 2015; Statistics Poland, 2011; SURS, 2011)"},"properties":{"noteIndex":0},"schema":"https://github.com/citation-style-language/schema/raw/master/csl-citation.json"}</w:instrText>
      </w:r>
      <w:r w:rsidRPr="035DD17A">
        <w:rPr>
          <w:rFonts w:cs="Arial"/>
          <w:lang w:val="en-GB"/>
        </w:rPr>
        <w:fldChar w:fldCharType="separate"/>
      </w:r>
      <w:r w:rsidRPr="035DD17A" w:rsidR="3C687D85">
        <w:rPr>
          <w:rFonts w:cs="Arial"/>
          <w:noProof/>
          <w:lang w:val="en-GB"/>
        </w:rPr>
        <w:t>(CBS, 2015; INE, 2011; Istat, 2011; ONS, 2015; Statistics Poland, 2011; SURS, 2011)</w:t>
      </w:r>
      <w:r w:rsidRPr="035DD17A">
        <w:rPr>
          <w:rFonts w:cs="Arial"/>
          <w:lang w:val="en-GB"/>
        </w:rPr>
        <w:fldChar w:fldCharType="end"/>
      </w:r>
      <w:r w:rsidRPr="035DD17A" w:rsidR="3C687D85">
        <w:rPr>
          <w:rFonts w:cs="Arial"/>
          <w:lang w:val="en-GB"/>
        </w:rPr>
        <w:t xml:space="preserve"> distributed by each computational grid cell.</w:t>
      </w:r>
    </w:p>
    <w:p w:rsidRPr="002A63DA" w:rsidR="009C7A6E" w:rsidP="00C24030" w:rsidRDefault="3C687D85" w14:paraId="479A7262" w14:textId="77777777">
      <w:pPr>
        <w:rPr>
          <w:lang w:val="en-GB"/>
        </w:rPr>
      </w:pPr>
      <w:r w:rsidRPr="035DD17A" w:rsidR="3C687D85">
        <w:rPr>
          <w:lang w:val="en-GB"/>
        </w:rPr>
        <w:t>To estimate the health benefits related to each of the individual air pollution reduction scenarios, the following health impact indicators were calculated individually for PM2.5, PM10 and NO</w:t>
      </w:r>
      <w:r w:rsidRPr="035DD17A" w:rsidR="3C687D85">
        <w:rPr>
          <w:vertAlign w:val="subscript"/>
          <w:lang w:val="en-GB"/>
        </w:rPr>
        <w:t>2</w:t>
      </w:r>
      <w:r w:rsidRPr="035DD17A" w:rsidR="3C687D85">
        <w:rPr>
          <w:lang w:val="en-GB"/>
        </w:rPr>
        <w:t xml:space="preserve"> concentrations: </w:t>
      </w:r>
    </w:p>
    <w:p w:rsidRPr="002A63DA" w:rsidR="009C7A6E" w:rsidP="009C7A6E" w:rsidRDefault="00A92537" w14:paraId="0B22EAAD" w14:textId="77777777">
      <w:pPr>
        <w:pStyle w:val="ListParagraph"/>
        <w:numPr>
          <w:ilvl w:val="0"/>
          <w:numId w:val="22"/>
        </w:numPr>
        <w:rPr>
          <w:lang w:val="en-GB"/>
        </w:rPr>
      </w:pPr>
      <w:r w:rsidRPr="035DD17A" w:rsidR="00A92537">
        <w:rPr>
          <w:lang w:val="en-GB"/>
        </w:rPr>
        <w:t>R</w:t>
      </w:r>
      <w:r w:rsidRPr="035DD17A" w:rsidR="00730834">
        <w:rPr>
          <w:lang w:val="en-GB"/>
        </w:rPr>
        <w:t>eduction in mortality is expressed as the reduction in premature deaths</w:t>
      </w:r>
      <w:r w:rsidRPr="035DD17A" w:rsidR="00470C47">
        <w:rPr>
          <w:lang w:val="en-GB"/>
        </w:rPr>
        <w:t>.</w:t>
      </w:r>
    </w:p>
    <w:p w:rsidRPr="002A63DA" w:rsidR="009C7A6E" w:rsidP="009C7A6E" w:rsidRDefault="00A92537" w14:paraId="5591B6DA" w14:textId="77777777">
      <w:pPr>
        <w:pStyle w:val="ListParagraph"/>
        <w:numPr>
          <w:ilvl w:val="0"/>
          <w:numId w:val="22"/>
        </w:numPr>
        <w:rPr>
          <w:lang w:val="en-GB"/>
        </w:rPr>
      </w:pPr>
      <w:r w:rsidRPr="035DD17A" w:rsidR="00A92537">
        <w:rPr>
          <w:lang w:val="en-GB"/>
        </w:rPr>
        <w:t>R</w:t>
      </w:r>
      <w:r w:rsidRPr="035DD17A" w:rsidR="00730834">
        <w:rPr>
          <w:lang w:val="en-GB"/>
        </w:rPr>
        <w:t>eduction in years of life lost (YLL)</w:t>
      </w:r>
      <w:r w:rsidRPr="035DD17A" w:rsidR="00470C47">
        <w:rPr>
          <w:lang w:val="en-GB"/>
        </w:rPr>
        <w:t>.</w:t>
      </w:r>
    </w:p>
    <w:p w:rsidRPr="002A63DA" w:rsidR="003C34AA" w:rsidP="00933FDC" w:rsidRDefault="00A92537" w14:paraId="5220B863" w14:textId="77777777">
      <w:pPr>
        <w:rPr>
          <w:lang w:val="en-GB"/>
        </w:rPr>
      </w:pPr>
      <w:r w:rsidRPr="035DD17A" w:rsidR="00A92537">
        <w:rPr>
          <w:lang w:val="en-GB"/>
        </w:rPr>
        <w:t>Th</w:t>
      </w:r>
      <w:r w:rsidRPr="035DD17A" w:rsidR="003436AC">
        <w:rPr>
          <w:lang w:val="en-GB"/>
        </w:rPr>
        <w:t>ese</w:t>
      </w:r>
      <w:r w:rsidRPr="035DD17A" w:rsidR="00A92537">
        <w:rPr>
          <w:lang w:val="en-GB"/>
        </w:rPr>
        <w:t xml:space="preserve"> mortality health outcomes were estimated based on the methodology described in </w:t>
      </w:r>
      <w:r w:rsidRPr="035DD17A">
        <w:rPr>
          <w:lang w:val="en-GB"/>
        </w:rPr>
        <w:fldChar w:fldCharType="begin" w:fldLock="true"/>
      </w:r>
      <w:r w:rsidRPr="035DD17A">
        <w:rPr>
          <w:lang w:val="en-GB"/>
        </w:rPr>
        <w:instrText xml:space="preserve">ADDIN CSL_CITATION {"citationItems":[{"id":"ITEM-1","itemData":{"ISBN":"9788293752110","author":[{"dropping-particle":"","family":"Soares","given":"Joana","non-dropping-particle":"","parse-names":false,"suffix":""},{"dropping-particle":"","family":"Horálek","given":"Jan","non-dropping-particle":"","parse-names":false,"suffix":""},{"dropping-particle":"","family":"González","given":"Alberto","non-dropping-particle":"","parse-names":false,"suffix":""},{"dropping-particle":"","family":"Ortiz Guerreiro","given":"Cristina","non-dropping-particle":"","parse-names":false,"suffix":""},{"dropping-particle":"","family":"Gsella","given":"Artur","non-dropping-particle":"","parse-names":false,"suffix":""}],"id":"ITEM-1","issue":"November","issued":{"date-parts":[["2019"]]},"title":"Health Risk Assessment of Air Pollution in Europe Methodology description and 2017 results - Eionet Report - ETC/ATNI 2019/13","type":"article-journal"},"uris":["http://www.mendeley.com/documents/?uuid=0817c13a-097a-458e-be12-3c6500bfd35c"]}],"mendeley":{"formattedCitation":"(Soares et al., 2019)","manualFormatting":"Soares et al., (2019)","plainTextFormattedCitation":"(Soares et al., 2019)","previouslyFormattedCitation":"(Soares et al., 2019)"},"properties":{"noteIndex":0},"schema":"https://github.com/citation-style-language/schema/raw/master/csl-citation.json"}</w:instrText>
      </w:r>
      <w:r w:rsidRPr="035DD17A">
        <w:rPr>
          <w:lang w:val="en-GB"/>
        </w:rPr>
        <w:fldChar w:fldCharType="separate"/>
      </w:r>
      <w:r w:rsidRPr="035DD17A" w:rsidR="009710CB">
        <w:rPr>
          <w:noProof/>
          <w:lang w:val="en-GB"/>
        </w:rPr>
        <w:t xml:space="preserve">Soares et al. </w:t>
      </w:r>
      <w:r w:rsidRPr="035DD17A" w:rsidR="00E404C0">
        <w:rPr>
          <w:noProof/>
          <w:lang w:val="en-GB"/>
        </w:rPr>
        <w:t>(</w:t>
      </w:r>
      <w:r w:rsidRPr="035DD17A" w:rsidR="009710CB">
        <w:rPr>
          <w:noProof/>
          <w:lang w:val="en-GB"/>
        </w:rPr>
        <w:t>2019)</w:t>
      </w:r>
      <w:r w:rsidRPr="035DD17A">
        <w:rPr>
          <w:lang w:val="en-GB"/>
        </w:rPr>
        <w:fldChar w:fldCharType="end"/>
      </w:r>
      <w:r w:rsidRPr="035DD17A" w:rsidR="00A92537">
        <w:rPr>
          <w:lang w:val="en-GB"/>
        </w:rPr>
        <w:t xml:space="preserve">. To calculate premature deaths and YLL, population density and demographic data per country, age, and sex was combined with gridded concentrations provided by </w:t>
      </w:r>
      <w:r w:rsidRPr="035DD17A" w:rsidR="0018728F">
        <w:rPr>
          <w:lang w:val="en-GB"/>
        </w:rPr>
        <w:t>the</w:t>
      </w:r>
      <w:r w:rsidRPr="035DD17A" w:rsidR="00D0188A">
        <w:rPr>
          <w:lang w:val="en-GB"/>
        </w:rPr>
        <w:t xml:space="preserve"> air quality estimations from section 2.3 </w:t>
      </w:r>
      <w:r w:rsidRPr="035DD17A" w:rsidR="00A92537">
        <w:rPr>
          <w:lang w:val="en-GB"/>
        </w:rPr>
        <w:t xml:space="preserve">and concentration-response functions. The concentration-response functions follow the recommendations </w:t>
      </w:r>
      <w:r w:rsidRPr="035DD17A" w:rsidR="00E404C0">
        <w:rPr>
          <w:lang w:val="en-GB"/>
        </w:rPr>
        <w:t>from</w:t>
      </w:r>
      <w:r w:rsidRPr="035DD17A" w:rsidR="00A92537">
        <w:rPr>
          <w:lang w:val="en-GB"/>
        </w:rPr>
        <w:t xml:space="preserve"> the HRAPIE project </w:t>
      </w:r>
      <w:r w:rsidRPr="035DD17A">
        <w:rPr>
          <w:lang w:val="en-GB"/>
        </w:rPr>
        <w:fldChar w:fldCharType="begin" w:fldLock="true"/>
      </w:r>
      <w:r w:rsidRPr="035DD17A">
        <w:rPr>
          <w:lang w:val="en-GB"/>
        </w:rPr>
        <w:instrText xml:space="preserve">ADDIN CSL_CITATION {"citationItems":[{"id":"ITEM-1","itemData":{"abstract":"This document presents recommendations for concentration-response functions for key pollutants to be included in cost-benefit analysis supporting the revision of the European Union's air quality policy. It provides a response to a question posed by the European Commission in the framework of the WHO \"Health risks of air pollution in Europe-HRAPIE\" project. The essential background to this response was developed through a review of evidence on health aspects of air pollutants summarized by an earlier WHO project, \"Review of evidence on health aspects of air pollution-REVIHAAP\". This report recommends concentration-response functions and associated background information for several mortality and morbidity effects associated with short-and long-term exposure to particulate matter, ozone and nitrogen dioxide. This publication arises from the HRAPIE project and was co-funded by the European Union. Keywords AIR POLLUTANTS ENVIRONMENTAL HEALTH EVIDENCE-BASED PRACTICE GUIDELINES HEALTH POLICY NITROGEN DIOXIDE OZONE PARTICULATE MATTER Address requests about publications of the WHO Regional Office for Europe to: Publications WHO Regional Office for Europe UN City, Marmorvej 51 DK-2100 Copenhagen Ø, Denmark Alternatively, complete an online request form for documentation, health information, or for permission to quote or translate, on the Regional Office web site (http://www.euro.who.int/pubrequest).","author":[{"dropping-particle":"","family":"WHO","given":"","non-dropping-particle":"","parse-names":false,"suffix":""}],"container-title":"World Health Organization","id":"ITEM-1","issued":{"date-parts":[["2013"]]},"number-of-pages":"1-60","title":"Health risks of air pollution in Europe – HRAPIE project, Recommendations for concentration–response functions for cost–benefit analysis of particulate matter, ozone and nitrogen dioxide","type":"report"},"uris":["http://www.mendeley.com/documents/?uuid=572f3001-66af-37b4-a0f2-65556146d078"]}],"mendeley":{"formattedCitation":"(WHO, 2013)","plainTextFormattedCitation":"(WHO, 2013)","previouslyFormattedCitation":"(WHO, 2013)"},"properties":{"noteIndex":0},"schema":"https://github.com/citation-style-language/schema/raw/master/csl-citation.json"}</w:instrText>
      </w:r>
      <w:r w:rsidRPr="035DD17A">
        <w:rPr>
          <w:lang w:val="en-GB"/>
        </w:rPr>
        <w:fldChar w:fldCharType="separate"/>
      </w:r>
      <w:r w:rsidRPr="035DD17A" w:rsidR="008D47CB">
        <w:rPr>
          <w:noProof/>
          <w:lang w:val="en-GB"/>
        </w:rPr>
        <w:t>(WHO, 2013)</w:t>
      </w:r>
      <w:r w:rsidRPr="035DD17A">
        <w:rPr>
          <w:lang w:val="en-GB"/>
        </w:rPr>
        <w:fldChar w:fldCharType="end"/>
      </w:r>
      <w:r w:rsidRPr="035DD17A" w:rsidR="00A92537">
        <w:rPr>
          <w:lang w:val="en-GB"/>
        </w:rPr>
        <w:t>: for PM2.5, all-cause (natural) mortality is considered in ages above 30, for all concentration levels, assuming an increase in the risk of mortality of 6.2% for a 10 µg.m</w:t>
      </w:r>
      <w:r w:rsidRPr="035DD17A" w:rsidR="00A92537">
        <w:rPr>
          <w:vertAlign w:val="superscript"/>
          <w:lang w:val="en-GB"/>
        </w:rPr>
        <w:t>-3</w:t>
      </w:r>
      <w:r w:rsidRPr="035DD17A" w:rsidR="00A92537">
        <w:rPr>
          <w:lang w:val="en-GB"/>
        </w:rPr>
        <w:t xml:space="preserve"> increase of PM2.5; for PM10, all-cause (natural) mortality is considered in ages above 30, for all concentration levels, assuming an increase in the risk of mortality of 4.0% for a 10 µg.m</w:t>
      </w:r>
      <w:r w:rsidRPr="035DD17A" w:rsidR="00A92537">
        <w:rPr>
          <w:vertAlign w:val="superscript"/>
          <w:lang w:val="en-GB"/>
        </w:rPr>
        <w:t>-3</w:t>
      </w:r>
      <w:r w:rsidRPr="035DD17A" w:rsidR="00A92537">
        <w:rPr>
          <w:lang w:val="en-GB"/>
        </w:rPr>
        <w:t xml:space="preserve"> increase of </w:t>
      </w:r>
      <w:r w:rsidRPr="035DD17A" w:rsidR="009C7A6E">
        <w:rPr>
          <w:lang w:val="en-GB"/>
        </w:rPr>
        <w:t>PM10</w:t>
      </w:r>
      <w:r w:rsidRPr="035DD17A" w:rsidR="00A92537">
        <w:rPr>
          <w:lang w:val="en-GB"/>
        </w:rPr>
        <w:t>; and for NO</w:t>
      </w:r>
      <w:r w:rsidRPr="035DD17A" w:rsidR="00A92537">
        <w:rPr>
          <w:vertAlign w:val="subscript"/>
          <w:lang w:val="en-GB"/>
        </w:rPr>
        <w:t>2</w:t>
      </w:r>
      <w:r w:rsidRPr="035DD17A" w:rsidR="00A92537">
        <w:rPr>
          <w:lang w:val="en-GB"/>
        </w:rPr>
        <w:t>, all-cause (natural) mortality is considered in ages above 30, for concentrations above 20 µg.m</w:t>
      </w:r>
      <w:r w:rsidRPr="035DD17A" w:rsidR="00A92537">
        <w:rPr>
          <w:vertAlign w:val="superscript"/>
          <w:lang w:val="en-GB"/>
        </w:rPr>
        <w:t>-3</w:t>
      </w:r>
      <w:r w:rsidRPr="035DD17A" w:rsidR="00A92537">
        <w:rPr>
          <w:lang w:val="en-GB"/>
        </w:rPr>
        <w:t>, assuming an increase in the risk of mortality of 5.5% for a 10 µg.m</w:t>
      </w:r>
      <w:r w:rsidRPr="035DD17A" w:rsidR="00A92537">
        <w:rPr>
          <w:vertAlign w:val="superscript"/>
          <w:lang w:val="en-GB"/>
        </w:rPr>
        <w:t>-3</w:t>
      </w:r>
      <w:r w:rsidRPr="035DD17A" w:rsidR="00A92537">
        <w:rPr>
          <w:lang w:val="en-GB"/>
        </w:rPr>
        <w:t xml:space="preserve"> increase of NO</w:t>
      </w:r>
      <w:r w:rsidRPr="035DD17A" w:rsidR="00A92537">
        <w:rPr>
          <w:vertAlign w:val="subscript"/>
          <w:lang w:val="en-GB"/>
        </w:rPr>
        <w:t>2</w:t>
      </w:r>
      <w:r w:rsidRPr="035DD17A" w:rsidR="00A92537">
        <w:rPr>
          <w:lang w:val="en-GB"/>
        </w:rPr>
        <w:t>.</w:t>
      </w:r>
    </w:p>
    <w:p w:rsidRPr="002A63DA" w:rsidR="00B9694D" w:rsidP="009C7A6E" w:rsidRDefault="00B9694D" w14:paraId="4C4E9D15" w14:textId="77777777">
      <w:pPr>
        <w:rPr>
          <w:lang w:val="en-GB"/>
        </w:rPr>
      </w:pPr>
    </w:p>
    <w:p w:rsidRPr="002A63DA" w:rsidR="003E3A73" w:rsidP="00CB2A5B" w:rsidRDefault="00A92537" w14:paraId="7EED16C7" w14:textId="77777777">
      <w:pPr>
        <w:pStyle w:val="Heading2"/>
        <w:rPr>
          <w:lang w:val="en-GB"/>
        </w:rPr>
      </w:pPr>
      <w:r w:rsidRPr="035DD17A" w:rsidR="00A92537">
        <w:rPr>
          <w:lang w:val="en-GB"/>
        </w:rPr>
        <w:t>Results</w:t>
      </w:r>
      <w:r w:rsidRPr="035DD17A" w:rsidR="006F76B6">
        <w:rPr>
          <w:lang w:val="en-GB"/>
        </w:rPr>
        <w:t xml:space="preserve"> and</w:t>
      </w:r>
      <w:r w:rsidRPr="035DD17A" w:rsidR="0003461E">
        <w:rPr>
          <w:lang w:val="en-GB"/>
        </w:rPr>
        <w:t xml:space="preserve"> discussion</w:t>
      </w:r>
    </w:p>
    <w:p w:rsidRPr="002A63DA" w:rsidR="00521242" w:rsidP="00D4568A" w:rsidRDefault="00A92537" w14:paraId="688FBC90" w14:textId="0B0A7D31">
      <w:pPr>
        <w:rPr>
          <w:lang w:val="en-GB"/>
        </w:rPr>
      </w:pPr>
      <w:r w:rsidRPr="035DD17A" w:rsidR="276F3043">
        <w:rPr>
          <w:lang w:val="en-GB"/>
        </w:rPr>
        <w:t>This section discusses the potential impacts of implementing the measures comparing to the baseline year in terms of emissions (</w:t>
      </w:r>
      <w:r w:rsidRPr="035DD17A" w:rsidR="276F3043">
        <w:rPr>
          <w:lang w:val="en-GB"/>
        </w:rPr>
        <w:t>section 3.1), air quality (</w:t>
      </w:r>
      <w:r w:rsidRPr="035DD17A" w:rsidR="276F3043">
        <w:rPr>
          <w:lang w:val="en-GB"/>
        </w:rPr>
        <w:t>section 3.2), population exposure (</w:t>
      </w:r>
      <w:r w:rsidRPr="035DD17A" w:rsidR="276F3043">
        <w:rPr>
          <w:lang w:val="en-GB"/>
        </w:rPr>
        <w:t>section 3.3), and health impacts (</w:t>
      </w:r>
      <w:r w:rsidRPr="035DD17A" w:rsidR="276F3043">
        <w:rPr>
          <w:lang w:val="en-GB"/>
        </w:rPr>
        <w:t>section 3.4).</w:t>
      </w:r>
    </w:p>
    <w:p w:rsidRPr="002A63DA" w:rsidR="00AD29D6" w:rsidP="00D64C71" w:rsidRDefault="00A92537" w14:paraId="6D41CC48" w14:textId="77777777">
      <w:pPr>
        <w:pStyle w:val="Heading3"/>
        <w:rPr>
          <w:lang w:val="en-GB"/>
        </w:rPr>
      </w:pPr>
      <w:bookmarkStart w:name="_Ref64476896" w:id="10"/>
      <w:r w:rsidRPr="035DD17A" w:rsidR="00A92537">
        <w:rPr>
          <w:lang w:val="en-GB"/>
        </w:rPr>
        <w:t xml:space="preserve">3.1 Emissions </w:t>
      </w:r>
      <w:bookmarkEnd w:id="10"/>
    </w:p>
    <w:p w:rsidRPr="002A63DA" w:rsidR="005F04F8" w:rsidP="005F04F8" w:rsidRDefault="00A92537" w14:paraId="1046DC8C" w14:textId="77777777">
      <w:pPr>
        <w:rPr>
          <w:lang w:val="en-GB"/>
        </w:rPr>
      </w:pPr>
      <w:r w:rsidRPr="002A63DA">
        <w:rPr>
          <w:lang w:val="en-GB"/>
        </w:rPr>
        <w:fldChar w:fldCharType="begin"/>
      </w:r>
      <w:r w:rsidRPr="002A63DA">
        <w:rPr>
          <w:lang w:val="en-GB"/>
        </w:rPr>
        <w:instrText xml:space="preserve"> REF _Ref64457468 \h </w:instrText>
      </w:r>
      <w:r w:rsidR="002A63DA">
        <w:rPr>
          <w:lang w:val="en-GB"/>
        </w:rPr>
        <w:instrText xml:space="preserve"> \* MERGEFORMAT </w:instrText>
      </w:r>
      <w:r w:rsidRPr="002A63DA">
        <w:rPr>
          <w:lang w:val="en-GB"/>
        </w:rPr>
      </w:r>
      <w:r w:rsidRPr="002A63DA">
        <w:rPr>
          <w:lang w:val="en-GB"/>
        </w:rPr>
        <w:fldChar w:fldCharType="separate"/>
      </w:r>
      <w:r w:rsidRPr="002A63DA" w:rsidR="00C83CFF">
        <w:rPr/>
        <w:t xml:space="preserve">Figure </w:t>
      </w:r>
      <w:r w:rsidRPr="002A63DA" w:rsidR="00C83CFF">
        <w:rPr>
          <w:noProof/>
        </w:rPr>
        <w:t>2</w:t>
      </w:r>
      <w:r w:rsidRPr="002A63DA">
        <w:rPr>
          <w:lang w:val="en-GB"/>
        </w:rPr>
        <w:fldChar w:fldCharType="end"/>
      </w:r>
      <w:r w:rsidRPr="002A63DA" w:rsidR="00A92537">
        <w:rPr>
          <w:lang w:val="en-GB"/>
        </w:rPr>
        <w:t xml:space="preserve"> shows the emission reductions for the transport, residential and commercial sector, for NOx and PM, compared to the baseline for both BAU and FUPS scenarios for all the cities/regions.</w:t>
      </w:r>
    </w:p>
    <w:p w:rsidRPr="002A63DA" w:rsidR="00D34ABB" w:rsidP="005F04F8" w:rsidRDefault="00D34ABB" w14:paraId="09879A0A" w14:textId="77777777">
      <w:pPr>
        <w:rPr>
          <w:lang w:val="en-GB"/>
        </w:rPr>
      </w:pPr>
    </w:p>
    <w:tbl>
      <w:tblPr>
        <w:tblStyle w:val="TableGrid"/>
        <w:tblW w:w="9375" w:type="dxa"/>
        <w:jc w:val="center"/>
        <w:tblLook w:val="04A0" w:firstRow="1" w:lastRow="0" w:firstColumn="1" w:lastColumn="0" w:noHBand="0" w:noVBand="1"/>
      </w:tblPr>
      <w:tblGrid>
        <w:gridCol w:w="4687"/>
        <w:gridCol w:w="4688"/>
      </w:tblGrid>
      <w:tr w:rsidR="00C81F10" w:rsidTr="035DD17A" w14:paraId="094E90D7" w14:textId="77777777">
        <w:trPr>
          <w:trHeight w:val="145"/>
          <w:jc w:val="center"/>
        </w:trPr>
        <w:tc>
          <w:tcPr>
            <w:tcW w:w="9375" w:type="dxa"/>
            <w:gridSpan w:val="2"/>
            <w:tcMar/>
            <w:vAlign w:val="center"/>
          </w:tcPr>
          <w:p w:rsidRPr="002A63DA" w:rsidR="005F699C" w:rsidP="035DD17A" w:rsidRDefault="00A92537" w14:paraId="322D276F" w14:textId="77777777">
            <w:pPr>
              <w:jc w:val="center"/>
              <w:rPr>
                <w:b w:val="1"/>
                <w:bCs w:val="1"/>
                <w:lang w:val="en-GB"/>
              </w:rPr>
            </w:pPr>
            <w:r w:rsidRPr="035DD17A" w:rsidR="00A92537">
              <w:rPr>
                <w:b w:val="1"/>
                <w:bCs w:val="1"/>
                <w:lang w:val="en-GB"/>
              </w:rPr>
              <w:t>Bristol</w:t>
            </w:r>
          </w:p>
        </w:tc>
      </w:tr>
      <w:tr w:rsidR="00C81F10" w:rsidTr="035DD17A" w14:paraId="6017F2FF" w14:textId="77777777">
        <w:trPr>
          <w:trHeight w:val="145"/>
          <w:jc w:val="center"/>
        </w:trPr>
        <w:tc>
          <w:tcPr>
            <w:tcW w:w="4687" w:type="dxa"/>
            <w:tcMar/>
            <w:vAlign w:val="center"/>
          </w:tcPr>
          <w:p w:rsidRPr="002A63DA" w:rsidR="00BA7D09" w:rsidP="00BA7D09" w:rsidRDefault="00A92537" w14:paraId="26172E78" w14:textId="77777777">
            <w:pPr>
              <w:rPr>
                <w:lang w:val="en-GB"/>
              </w:rPr>
            </w:pPr>
            <w:r w:rsidR="00A92537">
              <w:drawing>
                <wp:inline wp14:editId="27832C09" wp14:anchorId="572AE326">
                  <wp:extent cx="2772409" cy="2188313"/>
                  <wp:effectExtent l="0" t="0" r="9525" b="2540"/>
                  <wp:docPr id="6" name="Picture 6" title=""/>
                  <wp:cNvGraphicFramePr>
                    <a:graphicFrameLocks noChangeAspect="1"/>
                  </wp:cNvGraphicFramePr>
                  <a:graphic>
                    <a:graphicData uri="http://schemas.openxmlformats.org/drawingml/2006/picture">
                      <pic:pic>
                        <pic:nvPicPr>
                          <pic:cNvPr id="0" name="Picture 6"/>
                          <pic:cNvPicPr/>
                        </pic:nvPicPr>
                        <pic:blipFill>
                          <a:blip r:embed="R8f29fcc180674ef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2409" cy="2188313"/>
                          </a:xfrm>
                          <a:prstGeom prst="rect">
                            <a:avLst/>
                          </a:prstGeom>
                        </pic:spPr>
                      </pic:pic>
                    </a:graphicData>
                  </a:graphic>
                </wp:inline>
              </w:drawing>
            </w:r>
          </w:p>
        </w:tc>
        <w:tc>
          <w:tcPr>
            <w:tcW w:w="4687" w:type="dxa"/>
            <w:tcMar/>
            <w:vAlign w:val="center"/>
          </w:tcPr>
          <w:p w:rsidRPr="002A63DA" w:rsidR="00BA7D09" w:rsidP="00F64CCF" w:rsidRDefault="00A92537" w14:paraId="625E8B6E" w14:textId="77777777">
            <w:pPr>
              <w:jc w:val="center"/>
              <w:rPr>
                <w:lang w:val="en-GB"/>
              </w:rPr>
            </w:pPr>
            <w:r w:rsidR="00A92537">
              <w:drawing>
                <wp:inline wp14:editId="32DCF66B" wp14:anchorId="2A7C31F5">
                  <wp:extent cx="2753580" cy="2192398"/>
                  <wp:effectExtent l="0" t="0" r="8890" b="0"/>
                  <wp:docPr id="7" name="Picture 7" title=""/>
                  <wp:cNvGraphicFramePr>
                    <a:graphicFrameLocks noChangeAspect="1"/>
                  </wp:cNvGraphicFramePr>
                  <a:graphic>
                    <a:graphicData uri="http://schemas.openxmlformats.org/drawingml/2006/picture">
                      <pic:pic>
                        <pic:nvPicPr>
                          <pic:cNvPr id="0" name="Picture 7"/>
                          <pic:cNvPicPr/>
                        </pic:nvPicPr>
                        <pic:blipFill>
                          <a:blip r:embed="R854d222b8b5f458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53580" cy="2192398"/>
                          </a:xfrm>
                          <a:prstGeom prst="rect">
                            <a:avLst/>
                          </a:prstGeom>
                        </pic:spPr>
                      </pic:pic>
                    </a:graphicData>
                  </a:graphic>
                </wp:inline>
              </w:drawing>
            </w:r>
          </w:p>
        </w:tc>
      </w:tr>
      <w:tr w:rsidR="00C81F10" w:rsidTr="035DD17A" w14:paraId="3F71ACC5" w14:textId="77777777">
        <w:trPr>
          <w:trHeight w:val="145"/>
          <w:jc w:val="center"/>
        </w:trPr>
        <w:tc>
          <w:tcPr>
            <w:tcW w:w="9375" w:type="dxa"/>
            <w:gridSpan w:val="2"/>
            <w:tcMar/>
            <w:vAlign w:val="center"/>
          </w:tcPr>
          <w:p w:rsidRPr="002A63DA" w:rsidR="005F699C" w:rsidP="035DD17A" w:rsidRDefault="00A92537" w14:paraId="11D1FA08" w14:textId="77777777">
            <w:pPr>
              <w:jc w:val="center"/>
              <w:rPr>
                <w:b w:val="1"/>
                <w:bCs w:val="1"/>
                <w:lang w:val="en-GB"/>
              </w:rPr>
            </w:pPr>
            <w:r w:rsidRPr="035DD17A" w:rsidR="00A92537">
              <w:rPr>
                <w:b w:val="1"/>
                <w:bCs w:val="1"/>
                <w:lang w:val="en-GB"/>
              </w:rPr>
              <w:t>Amsterdam</w:t>
            </w:r>
          </w:p>
        </w:tc>
      </w:tr>
      <w:tr w:rsidR="00C81F10" w:rsidTr="035DD17A" w14:paraId="7D03D615" w14:textId="77777777">
        <w:trPr>
          <w:trHeight w:val="3495"/>
          <w:jc w:val="center"/>
        </w:trPr>
        <w:tc>
          <w:tcPr>
            <w:tcW w:w="4687" w:type="dxa"/>
            <w:tcMar/>
            <w:vAlign w:val="center"/>
          </w:tcPr>
          <w:p w:rsidRPr="002A63DA" w:rsidR="00BA7D09" w:rsidP="00F64CCF" w:rsidRDefault="00A92537" w14:paraId="06FDCD53" w14:textId="77777777">
            <w:pPr>
              <w:jc w:val="center"/>
              <w:rPr>
                <w:lang w:val="en-GB"/>
              </w:rPr>
            </w:pPr>
            <w:r w:rsidR="00A92537">
              <w:drawing>
                <wp:inline wp14:editId="07CC339B" wp14:anchorId="7049CFA4">
                  <wp:extent cx="2777584" cy="2192398"/>
                  <wp:effectExtent l="0" t="0" r="3810" b="0"/>
                  <wp:docPr id="8" name="Picture 8" title=""/>
                  <wp:cNvGraphicFramePr>
                    <a:graphicFrameLocks noChangeAspect="1"/>
                  </wp:cNvGraphicFramePr>
                  <a:graphic>
                    <a:graphicData uri="http://schemas.openxmlformats.org/drawingml/2006/picture">
                      <pic:pic>
                        <pic:nvPicPr>
                          <pic:cNvPr id="0" name="Picture 8"/>
                          <pic:cNvPicPr/>
                        </pic:nvPicPr>
                        <pic:blipFill>
                          <a:blip r:embed="Rc0453a49938e47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7584" cy="2192398"/>
                          </a:xfrm>
                          <a:prstGeom prst="rect">
                            <a:avLst/>
                          </a:prstGeom>
                        </pic:spPr>
                      </pic:pic>
                    </a:graphicData>
                  </a:graphic>
                </wp:inline>
              </w:drawing>
            </w:r>
          </w:p>
        </w:tc>
        <w:tc>
          <w:tcPr>
            <w:tcW w:w="4687" w:type="dxa"/>
            <w:tcMar/>
            <w:vAlign w:val="center"/>
          </w:tcPr>
          <w:p w:rsidRPr="002A63DA" w:rsidR="00BA7D09" w:rsidP="00F64CCF" w:rsidRDefault="00A92537" w14:paraId="51BA8EC4" w14:textId="77777777">
            <w:pPr>
              <w:jc w:val="center"/>
              <w:rPr>
                <w:lang w:val="en-GB"/>
              </w:rPr>
            </w:pPr>
            <w:r w:rsidR="00A92537">
              <w:drawing>
                <wp:inline wp14:editId="4ED4B039" wp14:anchorId="22924D9D">
                  <wp:extent cx="2753580" cy="2192398"/>
                  <wp:effectExtent l="0" t="0" r="8890" b="0"/>
                  <wp:docPr id="9" name="Picture 9" title=""/>
                  <wp:cNvGraphicFramePr>
                    <a:graphicFrameLocks noChangeAspect="1"/>
                  </wp:cNvGraphicFramePr>
                  <a:graphic>
                    <a:graphicData uri="http://schemas.openxmlformats.org/drawingml/2006/picture">
                      <pic:pic>
                        <pic:nvPicPr>
                          <pic:cNvPr id="0" name="Picture 9"/>
                          <pic:cNvPicPr/>
                        </pic:nvPicPr>
                        <pic:blipFill>
                          <a:blip r:embed="R359a84664ba44f9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53580" cy="2192398"/>
                          </a:xfrm>
                          <a:prstGeom prst="rect">
                            <a:avLst/>
                          </a:prstGeom>
                        </pic:spPr>
                      </pic:pic>
                    </a:graphicData>
                  </a:graphic>
                </wp:inline>
              </w:drawing>
            </w:r>
          </w:p>
        </w:tc>
      </w:tr>
      <w:tr w:rsidR="00C81F10" w:rsidTr="035DD17A" w14:paraId="7BBD1D3B" w14:textId="77777777">
        <w:trPr>
          <w:trHeight w:val="145"/>
          <w:jc w:val="center"/>
        </w:trPr>
        <w:tc>
          <w:tcPr>
            <w:tcW w:w="9375" w:type="dxa"/>
            <w:gridSpan w:val="2"/>
            <w:tcMar/>
            <w:vAlign w:val="center"/>
          </w:tcPr>
          <w:p w:rsidRPr="002A63DA" w:rsidR="005F699C" w:rsidP="035DD17A" w:rsidRDefault="00A92537" w14:paraId="1738DE84" w14:textId="77777777">
            <w:pPr>
              <w:jc w:val="center"/>
              <w:rPr>
                <w:b w:val="1"/>
                <w:bCs w:val="1"/>
                <w:lang w:val="en-GB"/>
              </w:rPr>
            </w:pPr>
            <w:r w:rsidRPr="035DD17A" w:rsidR="00A92537">
              <w:rPr>
                <w:b w:val="1"/>
                <w:bCs w:val="1"/>
                <w:lang w:val="en-GB"/>
              </w:rPr>
              <w:t>Ljubljana</w:t>
            </w:r>
          </w:p>
        </w:tc>
      </w:tr>
      <w:tr w:rsidR="00C81F10" w:rsidTr="035DD17A" w14:paraId="7FFB0722" w14:textId="77777777">
        <w:trPr>
          <w:trHeight w:val="3495"/>
          <w:jc w:val="center"/>
        </w:trPr>
        <w:tc>
          <w:tcPr>
            <w:tcW w:w="4687" w:type="dxa"/>
            <w:tcMar/>
            <w:vAlign w:val="center"/>
          </w:tcPr>
          <w:p w:rsidRPr="002A63DA" w:rsidR="00BA7D09" w:rsidP="00F64CCF" w:rsidRDefault="00A92537" w14:paraId="211751E1" w14:textId="77777777">
            <w:pPr>
              <w:jc w:val="center"/>
              <w:rPr>
                <w:lang w:val="en-GB"/>
              </w:rPr>
            </w:pPr>
            <w:r w:rsidR="00A92537">
              <w:drawing>
                <wp:inline wp14:editId="5C44ADA3" wp14:anchorId="77236624">
                  <wp:extent cx="2777584" cy="2192398"/>
                  <wp:effectExtent l="0" t="0" r="3810" b="0"/>
                  <wp:docPr id="10" name="Picture 10" title=""/>
                  <wp:cNvGraphicFramePr>
                    <a:graphicFrameLocks noChangeAspect="1"/>
                  </wp:cNvGraphicFramePr>
                  <a:graphic>
                    <a:graphicData uri="http://schemas.openxmlformats.org/drawingml/2006/picture">
                      <pic:pic>
                        <pic:nvPicPr>
                          <pic:cNvPr id="0" name="Picture 10"/>
                          <pic:cNvPicPr/>
                        </pic:nvPicPr>
                        <pic:blipFill>
                          <a:blip r:embed="Rabfdda213f924e7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7584" cy="2192398"/>
                          </a:xfrm>
                          <a:prstGeom prst="rect">
                            <a:avLst/>
                          </a:prstGeom>
                        </pic:spPr>
                      </pic:pic>
                    </a:graphicData>
                  </a:graphic>
                </wp:inline>
              </w:drawing>
            </w:r>
          </w:p>
        </w:tc>
        <w:tc>
          <w:tcPr>
            <w:tcW w:w="4687" w:type="dxa"/>
            <w:tcMar/>
            <w:vAlign w:val="center"/>
          </w:tcPr>
          <w:p w:rsidRPr="002A63DA" w:rsidR="00BA7D09" w:rsidP="00F64CCF" w:rsidRDefault="00A92537" w14:paraId="16ACD884" w14:textId="77777777">
            <w:pPr>
              <w:jc w:val="center"/>
              <w:rPr>
                <w:lang w:val="en-GB"/>
              </w:rPr>
            </w:pPr>
            <w:r w:rsidR="00A92537">
              <w:drawing>
                <wp:inline wp14:editId="41F149A7" wp14:anchorId="711FD6DF">
                  <wp:extent cx="2753580" cy="2192399"/>
                  <wp:effectExtent l="0" t="0" r="8890" b="0"/>
                  <wp:docPr id="11" name="Picture 11" title=""/>
                  <wp:cNvGraphicFramePr>
                    <a:graphicFrameLocks noChangeAspect="1"/>
                  </wp:cNvGraphicFramePr>
                  <a:graphic>
                    <a:graphicData uri="http://schemas.openxmlformats.org/drawingml/2006/picture">
                      <pic:pic>
                        <pic:nvPicPr>
                          <pic:cNvPr id="0" name="Picture 11"/>
                          <pic:cNvPicPr/>
                        </pic:nvPicPr>
                        <pic:blipFill>
                          <a:blip r:embed="Re8e4238455034d6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53580" cy="2192399"/>
                          </a:xfrm>
                          <a:prstGeom prst="rect">
                            <a:avLst/>
                          </a:prstGeom>
                        </pic:spPr>
                      </pic:pic>
                    </a:graphicData>
                  </a:graphic>
                </wp:inline>
              </w:drawing>
            </w:r>
          </w:p>
        </w:tc>
      </w:tr>
      <w:tr w:rsidR="00C81F10" w:rsidTr="035DD17A" w14:paraId="26FEAD90" w14:textId="77777777">
        <w:trPr>
          <w:trHeight w:val="270"/>
          <w:jc w:val="center"/>
        </w:trPr>
        <w:tc>
          <w:tcPr>
            <w:tcW w:w="9375" w:type="dxa"/>
            <w:gridSpan w:val="2"/>
            <w:tcMar/>
            <w:vAlign w:val="center"/>
          </w:tcPr>
          <w:p w:rsidRPr="002A63DA" w:rsidR="005F699C" w:rsidP="035DD17A" w:rsidRDefault="00A92537" w14:paraId="5C4D929E" w14:textId="77777777">
            <w:pPr>
              <w:jc w:val="center"/>
              <w:rPr>
                <w:b w:val="1"/>
                <w:bCs w:val="1"/>
                <w:lang w:val="en-GB"/>
              </w:rPr>
            </w:pPr>
            <w:r w:rsidRPr="035DD17A" w:rsidR="00A92537">
              <w:rPr>
                <w:b w:val="1"/>
                <w:bCs w:val="1"/>
                <w:lang w:val="en-GB"/>
              </w:rPr>
              <w:t>Sosnowiec</w:t>
            </w:r>
          </w:p>
        </w:tc>
      </w:tr>
      <w:tr w:rsidR="00C81F10" w:rsidTr="035DD17A" w14:paraId="6A93266F" w14:textId="77777777">
        <w:trPr>
          <w:trHeight w:val="3482"/>
          <w:jc w:val="center"/>
        </w:trPr>
        <w:tc>
          <w:tcPr>
            <w:tcW w:w="4687" w:type="dxa"/>
            <w:tcMar/>
            <w:vAlign w:val="center"/>
          </w:tcPr>
          <w:p w:rsidRPr="002A63DA" w:rsidR="00BA7D09" w:rsidP="00F64CCF" w:rsidRDefault="00A92537" w14:paraId="135531F3" w14:textId="77777777">
            <w:pPr>
              <w:jc w:val="center"/>
              <w:rPr>
                <w:lang w:val="en-GB"/>
              </w:rPr>
            </w:pPr>
            <w:r w:rsidR="00A92537">
              <w:drawing>
                <wp:inline wp14:editId="4A292877" wp14:anchorId="59BD2CBA">
                  <wp:extent cx="2777584" cy="2192398"/>
                  <wp:effectExtent l="0" t="0" r="3810" b="0"/>
                  <wp:docPr id="12" name="Picture 12" title=""/>
                  <wp:cNvGraphicFramePr>
                    <a:graphicFrameLocks noChangeAspect="1"/>
                  </wp:cNvGraphicFramePr>
                  <a:graphic>
                    <a:graphicData uri="http://schemas.openxmlformats.org/drawingml/2006/picture">
                      <pic:pic>
                        <pic:nvPicPr>
                          <pic:cNvPr id="0" name="Picture 12"/>
                          <pic:cNvPicPr/>
                        </pic:nvPicPr>
                        <pic:blipFill>
                          <a:blip r:embed="Re8528dfe0ec14c8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7584" cy="2192398"/>
                          </a:xfrm>
                          <a:prstGeom prst="rect">
                            <a:avLst/>
                          </a:prstGeom>
                        </pic:spPr>
                      </pic:pic>
                    </a:graphicData>
                  </a:graphic>
                </wp:inline>
              </w:drawing>
            </w:r>
          </w:p>
        </w:tc>
        <w:tc>
          <w:tcPr>
            <w:tcW w:w="4687" w:type="dxa"/>
            <w:tcMar/>
            <w:vAlign w:val="center"/>
          </w:tcPr>
          <w:p w:rsidRPr="002A63DA" w:rsidR="00BA7D09" w:rsidP="00F64CCF" w:rsidRDefault="00A92537" w14:paraId="4669F970" w14:textId="77777777">
            <w:pPr>
              <w:jc w:val="center"/>
              <w:rPr>
                <w:lang w:val="en-GB"/>
              </w:rPr>
            </w:pPr>
            <w:r w:rsidR="00A92537">
              <w:drawing>
                <wp:inline wp14:editId="028484AD" wp14:anchorId="78AEBFD0">
                  <wp:extent cx="2753580" cy="2192399"/>
                  <wp:effectExtent l="0" t="0" r="8890" b="0"/>
                  <wp:docPr id="13" name="Picture 13" title=""/>
                  <wp:cNvGraphicFramePr>
                    <a:graphicFrameLocks noChangeAspect="1"/>
                  </wp:cNvGraphicFramePr>
                  <a:graphic>
                    <a:graphicData uri="http://schemas.openxmlformats.org/drawingml/2006/picture">
                      <pic:pic>
                        <pic:nvPicPr>
                          <pic:cNvPr id="0" name="Picture 13"/>
                          <pic:cNvPicPr/>
                        </pic:nvPicPr>
                        <pic:blipFill>
                          <a:blip r:embed="R0a764c501957431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53580" cy="2192399"/>
                          </a:xfrm>
                          <a:prstGeom prst="rect">
                            <a:avLst/>
                          </a:prstGeom>
                        </pic:spPr>
                      </pic:pic>
                    </a:graphicData>
                  </a:graphic>
                </wp:inline>
              </w:drawing>
            </w:r>
          </w:p>
        </w:tc>
      </w:tr>
      <w:tr w:rsidR="00C81F10" w:rsidTr="035DD17A" w14:paraId="0526011E" w14:textId="77777777">
        <w:trPr>
          <w:trHeight w:val="270"/>
          <w:jc w:val="center"/>
        </w:trPr>
        <w:tc>
          <w:tcPr>
            <w:tcW w:w="9375" w:type="dxa"/>
            <w:gridSpan w:val="2"/>
            <w:tcMar/>
            <w:vAlign w:val="center"/>
          </w:tcPr>
          <w:p w:rsidRPr="002A63DA" w:rsidR="005F699C" w:rsidP="035DD17A" w:rsidRDefault="00A92537" w14:paraId="2A366DFB" w14:textId="77777777">
            <w:pPr>
              <w:jc w:val="center"/>
              <w:rPr>
                <w:b w:val="1"/>
                <w:bCs w:val="1"/>
                <w:lang w:val="en-GB"/>
              </w:rPr>
            </w:pPr>
            <w:r w:rsidRPr="035DD17A" w:rsidR="00A92537">
              <w:rPr>
                <w:b w:val="1"/>
                <w:bCs w:val="1"/>
                <w:lang w:val="en-GB"/>
              </w:rPr>
              <w:t>Aveiro Region</w:t>
            </w:r>
          </w:p>
        </w:tc>
      </w:tr>
      <w:tr w:rsidR="00C81F10" w:rsidTr="035DD17A" w14:paraId="190FE35F" w14:textId="77777777">
        <w:trPr>
          <w:trHeight w:val="3495"/>
          <w:jc w:val="center"/>
        </w:trPr>
        <w:tc>
          <w:tcPr>
            <w:tcW w:w="4687" w:type="dxa"/>
            <w:tcMar/>
            <w:vAlign w:val="center"/>
          </w:tcPr>
          <w:p w:rsidRPr="002A63DA" w:rsidR="00BA7D09" w:rsidP="00F64CCF" w:rsidRDefault="00A92537" w14:paraId="1E058197" w14:textId="77777777">
            <w:pPr>
              <w:jc w:val="center"/>
              <w:rPr>
                <w:lang w:val="en-GB"/>
              </w:rPr>
            </w:pPr>
            <w:r w:rsidR="00A92537">
              <w:drawing>
                <wp:inline wp14:editId="1620ED21" wp14:anchorId="4B17263F">
                  <wp:extent cx="2777584" cy="2192398"/>
                  <wp:effectExtent l="0" t="0" r="3810" b="0"/>
                  <wp:docPr id="14" name="Picture 14" title=""/>
                  <wp:cNvGraphicFramePr>
                    <a:graphicFrameLocks noChangeAspect="1"/>
                  </wp:cNvGraphicFramePr>
                  <a:graphic>
                    <a:graphicData uri="http://schemas.openxmlformats.org/drawingml/2006/picture">
                      <pic:pic>
                        <pic:nvPicPr>
                          <pic:cNvPr id="0" name="Picture 14"/>
                          <pic:cNvPicPr/>
                        </pic:nvPicPr>
                        <pic:blipFill>
                          <a:blip r:embed="R7f095442d065474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7584" cy="2192398"/>
                          </a:xfrm>
                          <a:prstGeom prst="rect">
                            <a:avLst/>
                          </a:prstGeom>
                        </pic:spPr>
                      </pic:pic>
                    </a:graphicData>
                  </a:graphic>
                </wp:inline>
              </w:drawing>
            </w:r>
          </w:p>
        </w:tc>
        <w:tc>
          <w:tcPr>
            <w:tcW w:w="4687" w:type="dxa"/>
            <w:tcMar/>
            <w:vAlign w:val="center"/>
          </w:tcPr>
          <w:p w:rsidRPr="002A63DA" w:rsidR="00BA7D09" w:rsidP="00F64CCF" w:rsidRDefault="00A92537" w14:paraId="54493F58" w14:textId="77777777">
            <w:pPr>
              <w:jc w:val="center"/>
              <w:rPr>
                <w:lang w:val="en-GB"/>
              </w:rPr>
            </w:pPr>
            <w:r w:rsidR="00A92537">
              <w:drawing>
                <wp:inline wp14:editId="3A3BC94B" wp14:anchorId="286CBE40">
                  <wp:extent cx="2753580" cy="2192399"/>
                  <wp:effectExtent l="0" t="0" r="8890" b="0"/>
                  <wp:docPr id="15" name="Picture 15" title=""/>
                  <wp:cNvGraphicFramePr>
                    <a:graphicFrameLocks noChangeAspect="1"/>
                  </wp:cNvGraphicFramePr>
                  <a:graphic>
                    <a:graphicData uri="http://schemas.openxmlformats.org/drawingml/2006/picture">
                      <pic:pic>
                        <pic:nvPicPr>
                          <pic:cNvPr id="0" name="Picture 15"/>
                          <pic:cNvPicPr/>
                        </pic:nvPicPr>
                        <pic:blipFill>
                          <a:blip r:embed="Rbb3adef3121440d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53580" cy="2192399"/>
                          </a:xfrm>
                          <a:prstGeom prst="rect">
                            <a:avLst/>
                          </a:prstGeom>
                        </pic:spPr>
                      </pic:pic>
                    </a:graphicData>
                  </a:graphic>
                </wp:inline>
              </w:drawing>
            </w:r>
          </w:p>
        </w:tc>
      </w:tr>
      <w:tr w:rsidR="00C81F10" w:rsidTr="035DD17A" w14:paraId="37F3302E" w14:textId="77777777">
        <w:trPr>
          <w:trHeight w:val="256"/>
          <w:jc w:val="center"/>
        </w:trPr>
        <w:tc>
          <w:tcPr>
            <w:tcW w:w="9375" w:type="dxa"/>
            <w:gridSpan w:val="2"/>
            <w:tcMar/>
            <w:vAlign w:val="center"/>
          </w:tcPr>
          <w:p w:rsidRPr="002A63DA" w:rsidR="005F699C" w:rsidP="035DD17A" w:rsidRDefault="00A92537" w14:paraId="1192632B" w14:textId="77777777">
            <w:pPr>
              <w:jc w:val="center"/>
              <w:rPr>
                <w:b w:val="1"/>
                <w:bCs w:val="1"/>
                <w:lang w:val="en-GB"/>
              </w:rPr>
            </w:pPr>
            <w:r w:rsidRPr="035DD17A" w:rsidR="00A92537">
              <w:rPr>
                <w:b w:val="1"/>
                <w:bCs w:val="1"/>
                <w:lang w:val="en-GB"/>
              </w:rPr>
              <w:t>Liguria</w:t>
            </w:r>
            <w:r w:rsidRPr="035DD17A" w:rsidR="00CB2A5B">
              <w:rPr>
                <w:b w:val="1"/>
                <w:bCs w:val="1"/>
                <w:lang w:val="en-GB"/>
              </w:rPr>
              <w:t xml:space="preserve"> Region</w:t>
            </w:r>
          </w:p>
        </w:tc>
      </w:tr>
      <w:tr w:rsidR="00C81F10" w:rsidTr="035DD17A" w14:paraId="245F466F" w14:textId="77777777">
        <w:trPr>
          <w:trHeight w:val="3482"/>
          <w:jc w:val="center"/>
        </w:trPr>
        <w:tc>
          <w:tcPr>
            <w:tcW w:w="4687" w:type="dxa"/>
            <w:tcMar/>
            <w:vAlign w:val="center"/>
          </w:tcPr>
          <w:p w:rsidRPr="002A63DA" w:rsidR="00BA7D09" w:rsidP="00F64CCF" w:rsidRDefault="00A92537" w14:paraId="078C1A19" w14:textId="77777777">
            <w:pPr>
              <w:keepNext/>
              <w:jc w:val="center"/>
              <w:rPr>
                <w:lang w:val="en-GB"/>
              </w:rPr>
            </w:pPr>
            <w:r w:rsidR="00A92537">
              <w:drawing>
                <wp:inline wp14:editId="6199B12F" wp14:anchorId="0DD2A879">
                  <wp:extent cx="2777584" cy="2192399"/>
                  <wp:effectExtent l="0" t="0" r="3810" b="0"/>
                  <wp:docPr id="17" name="Picture 17" title=""/>
                  <wp:cNvGraphicFramePr>
                    <a:graphicFrameLocks noChangeAspect="1"/>
                  </wp:cNvGraphicFramePr>
                  <a:graphic>
                    <a:graphicData uri="http://schemas.openxmlformats.org/drawingml/2006/picture">
                      <pic:pic>
                        <pic:nvPicPr>
                          <pic:cNvPr id="0" name="Picture 17"/>
                          <pic:cNvPicPr/>
                        </pic:nvPicPr>
                        <pic:blipFill>
                          <a:blip r:embed="Rb4980de0ef8b4c9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7584" cy="2192399"/>
                          </a:xfrm>
                          <a:prstGeom prst="rect">
                            <a:avLst/>
                          </a:prstGeom>
                        </pic:spPr>
                      </pic:pic>
                    </a:graphicData>
                  </a:graphic>
                </wp:inline>
              </w:drawing>
            </w:r>
          </w:p>
        </w:tc>
        <w:tc>
          <w:tcPr>
            <w:tcW w:w="4687" w:type="dxa"/>
            <w:tcMar/>
            <w:vAlign w:val="center"/>
          </w:tcPr>
          <w:p w:rsidRPr="002A63DA" w:rsidR="00BA7D09" w:rsidP="00F64CCF" w:rsidRDefault="00A92537" w14:paraId="24D1EC34" w14:textId="77777777">
            <w:pPr>
              <w:keepNext/>
              <w:jc w:val="center"/>
              <w:rPr>
                <w:lang w:val="en-GB"/>
              </w:rPr>
            </w:pPr>
            <w:r w:rsidR="00A92537">
              <w:drawing>
                <wp:inline wp14:editId="2ABF8380" wp14:anchorId="4065881E">
                  <wp:extent cx="2753581" cy="2192399"/>
                  <wp:effectExtent l="0" t="0" r="8890" b="0"/>
                  <wp:docPr id="18" name="Picture 18" title=""/>
                  <wp:cNvGraphicFramePr>
                    <a:graphicFrameLocks noChangeAspect="1"/>
                  </wp:cNvGraphicFramePr>
                  <a:graphic>
                    <a:graphicData uri="http://schemas.openxmlformats.org/drawingml/2006/picture">
                      <pic:pic>
                        <pic:nvPicPr>
                          <pic:cNvPr id="0" name="Picture 18"/>
                          <pic:cNvPicPr/>
                        </pic:nvPicPr>
                        <pic:blipFill>
                          <a:blip r:embed="Rbe54ec4f1cbd4f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53581" cy="2192399"/>
                          </a:xfrm>
                          <a:prstGeom prst="rect">
                            <a:avLst/>
                          </a:prstGeom>
                        </pic:spPr>
                      </pic:pic>
                    </a:graphicData>
                  </a:graphic>
                </wp:inline>
              </w:drawing>
            </w:r>
          </w:p>
        </w:tc>
      </w:tr>
    </w:tbl>
    <w:p w:rsidRPr="002A63DA" w:rsidR="005F04F8" w:rsidP="0044485F" w:rsidRDefault="00A92537" w14:paraId="761DC4FF" w14:textId="77777777">
      <w:pPr>
        <w:pStyle w:val="Caption"/>
      </w:pPr>
      <w:bookmarkStart w:name="_Ref64457468" w:id="11"/>
      <w:r w:rsidR="00A92537">
        <w:rPr/>
        <w:t xml:space="preserve">Figure </w:t>
      </w:r>
      <w:r>
        <w:fldChar w:fldCharType="begin"/>
      </w:r>
      <w:r>
        <w:instrText xml:space="preserve"> SEQ Figure \* ARABIC </w:instrText>
      </w:r>
      <w:r>
        <w:fldChar w:fldCharType="separate"/>
      </w:r>
      <w:r w:rsidRPr="035DD17A" w:rsidR="00C83CFF">
        <w:rPr>
          <w:noProof/>
        </w:rPr>
        <w:t>2</w:t>
      </w:r>
      <w:r>
        <w:fldChar w:fldCharType="end"/>
      </w:r>
      <w:bookmarkEnd w:id="11"/>
      <w:r w:rsidR="00A92537">
        <w:rPr/>
        <w:t xml:space="preserve">- </w:t>
      </w:r>
      <w:r w:rsidR="00B112DE">
        <w:rPr/>
        <w:t>Scenario emissions for NOx and PM as a percentage of the baseline emissions after applying the emission reduction measures</w:t>
      </w:r>
    </w:p>
    <w:p w:rsidRPr="002A63DA" w:rsidR="000F2D35" w:rsidP="008D4D92" w:rsidRDefault="00A92537" w14:paraId="6F1B5F13" w14:textId="4E47B620">
      <w:pPr>
        <w:rPr>
          <w:lang w:val="en-GB"/>
        </w:rPr>
      </w:pPr>
      <w:r w:rsidRPr="035DD17A" w:rsidR="00A92537">
        <w:rPr>
          <w:lang w:val="en-GB"/>
        </w:rPr>
        <w:t xml:space="preserve">For Bristol, the FUPS scenario is successful in further decreasing the emissions from transport beyond the reductions already in the BAU. Transport NOx emissions are </w:t>
      </w:r>
      <w:r w:rsidRPr="035DD17A" w:rsidR="0003461E">
        <w:rPr>
          <w:lang w:val="en-GB"/>
        </w:rPr>
        <w:t xml:space="preserve">reduced to about 10% </w:t>
      </w:r>
      <w:r w:rsidRPr="035DD17A" w:rsidR="00A92537">
        <w:rPr>
          <w:lang w:val="en-GB"/>
        </w:rPr>
        <w:t xml:space="preserve">in 2035 compared to 2015 in the FUPS scenario, while the BAU emissions in that year are still 19% of the 2015 emissions. For the </w:t>
      </w:r>
      <w:r w:rsidRPr="035DD17A" w:rsidR="002864E4">
        <w:rPr>
          <w:lang w:val="en-GB"/>
        </w:rPr>
        <w:t>FUPS</w:t>
      </w:r>
      <w:r w:rsidRPr="035DD17A" w:rsidR="00A92537">
        <w:rPr>
          <w:lang w:val="en-GB"/>
        </w:rPr>
        <w:t xml:space="preserve"> scenario, transport emissions are reduced to 5% for NOx and 3% for PM in 2050 compared to 2015.  A side-effect of the </w:t>
      </w:r>
      <w:r w:rsidRPr="035DD17A" w:rsidR="002864E4">
        <w:rPr>
          <w:lang w:val="en-GB"/>
        </w:rPr>
        <w:t>FUPS</w:t>
      </w:r>
      <w:r w:rsidRPr="035DD17A" w:rsidR="00A92537">
        <w:rPr>
          <w:lang w:val="en-GB"/>
        </w:rPr>
        <w:t xml:space="preserve"> scenario is that it increases the importance of emissions from other sources that are not affected by the policy measures. For example, while PM emissions of residential sources overall are decreasing, their slower emission reduction pace compared to transport is making residential sources the dominant sources of PM emissions over time, from about 47% in 2015 to 85% in 2050. </w:t>
      </w:r>
    </w:p>
    <w:p w:rsidRPr="002A63DA" w:rsidR="008D4D92" w:rsidP="035DD17A" w:rsidRDefault="00A92537" w14:paraId="081B403C" w14:textId="36065C1F">
      <w:pPr>
        <w:rPr>
          <w:b w:val="1"/>
          <w:bCs w:val="1"/>
          <w:lang w:val="en-GB"/>
        </w:rPr>
      </w:pPr>
      <w:r w:rsidRPr="035DD17A" w:rsidR="00A92537">
        <w:rPr>
          <w:lang w:val="en-GB"/>
        </w:rPr>
        <w:t>For Amsterdam, the NOx emissions are highly reduced in both scenarios</w:t>
      </w:r>
      <w:r w:rsidRPr="035DD17A" w:rsidR="00D50225">
        <w:rPr>
          <w:lang w:val="en-GB"/>
        </w:rPr>
        <w:t xml:space="preserve"> but</w:t>
      </w:r>
      <w:r w:rsidRPr="035DD17A" w:rsidR="00A92537">
        <w:rPr>
          <w:lang w:val="en-GB"/>
        </w:rPr>
        <w:t xml:space="preserve"> going further</w:t>
      </w:r>
      <w:r w:rsidRPr="035DD17A" w:rsidR="00E910AC">
        <w:rPr>
          <w:lang w:val="en-GB"/>
        </w:rPr>
        <w:t xml:space="preserve"> with</w:t>
      </w:r>
      <w:r w:rsidRPr="035DD17A" w:rsidR="00A92537">
        <w:rPr>
          <w:lang w:val="en-GB"/>
        </w:rPr>
        <w:t xml:space="preserve"> FUPS. The difference between both scenarios is explained mainly due to gas</w:t>
      </w:r>
      <w:r w:rsidRPr="035DD17A" w:rsidR="002902CF">
        <w:rPr>
          <w:lang w:val="en-GB"/>
        </w:rPr>
        <w:t>-</w:t>
      </w:r>
      <w:r w:rsidRPr="035DD17A" w:rsidR="00A92537">
        <w:rPr>
          <w:lang w:val="en-GB"/>
        </w:rPr>
        <w:t>free measures for the residential sector and the transport restriction measures presented by the FUPS scenarios. The PM emissions in the city centre would increase in the BAU scenario as a result of higher emissions from cars (due to the non-exhaust emissions of transport, i.e</w:t>
      </w:r>
      <w:r w:rsidRPr="035DD17A" w:rsidR="243BD21D">
        <w:rPr>
          <w:lang w:val="en-GB"/>
        </w:rPr>
        <w:t>.,</w:t>
      </w:r>
      <w:r w:rsidRPr="035DD17A" w:rsidR="00A92537">
        <w:rPr>
          <w:lang w:val="en-GB"/>
        </w:rPr>
        <w:t xml:space="preserve"> the brake and tyre wear and tear), but would strongly decrease </w:t>
      </w:r>
      <w:r w:rsidRPr="035DD17A" w:rsidR="00E910AC">
        <w:rPr>
          <w:lang w:val="en-GB"/>
        </w:rPr>
        <w:t xml:space="preserve">in the FUPS </w:t>
      </w:r>
      <w:r w:rsidRPr="035DD17A" w:rsidR="00A92537">
        <w:rPr>
          <w:lang w:val="en-GB"/>
        </w:rPr>
        <w:t xml:space="preserve">as a result of the ban of wood burning from residential and commercial sources included as a measure. </w:t>
      </w:r>
    </w:p>
    <w:p w:rsidRPr="002A63DA" w:rsidR="00A36CAB" w:rsidP="00A36CAB" w:rsidRDefault="00A92537" w14:paraId="187BF9AB" w14:textId="77777777">
      <w:r w:rsidR="00A92537">
        <w:rPr/>
        <w:t xml:space="preserve">For Ljubljana, the BAU scenario would reduce NOx emissions to about 62% of 2015 levels in 2025 and about 19% of the base year value in 2050. The FUPS scenario includes no measures related to the IRCI sector, so the changes, when compared to the BAU, are only observed in the transport sector. The FUPS scenario measures as modelled lead to a slight increase of NOx emissions compared to BAU, mainly because the selected measures contribute to a modal shift from private cars to buses, however none promote the replacement of the public transport fleets with electric vehicles. Therefore, when comparing FUPS to BAU, slight increases can be seen in 2025 and even higher in 2035 due to an increase of public transport of 10% by 2027. The PM emissions show a strong decrease in the BAU </w:t>
      </w:r>
      <w:r w:rsidRPr="035DD17A" w:rsidR="00A92537">
        <w:rPr>
          <w:lang w:val="en-GB"/>
        </w:rPr>
        <w:t>with a great reduction of residential solid fuel consumption but would not go further in the FUPS due to the lack of specific measures targeting these emissions</w:t>
      </w:r>
      <w:r w:rsidR="00A92537">
        <w:rPr/>
        <w:t>.</w:t>
      </w:r>
    </w:p>
    <w:p w:rsidRPr="002A63DA" w:rsidR="008D4D92" w:rsidP="008D4D92" w:rsidRDefault="00A92537" w14:paraId="6725CD9D" w14:textId="4BC31C3F">
      <w:pPr>
        <w:rPr>
          <w:lang w:val="en-GB"/>
        </w:rPr>
      </w:pPr>
      <w:r w:rsidRPr="035DD17A" w:rsidR="00A92537">
        <w:rPr>
          <w:lang w:val="en-GB"/>
        </w:rPr>
        <w:t xml:space="preserve">For Sosnowiec, the </w:t>
      </w:r>
      <w:r w:rsidRPr="035DD17A" w:rsidR="002864E4">
        <w:rPr>
          <w:lang w:val="en-GB"/>
        </w:rPr>
        <w:t>FUPS</w:t>
      </w:r>
      <w:r w:rsidRPr="035DD17A" w:rsidR="00A92537">
        <w:rPr>
          <w:lang w:val="en-GB"/>
        </w:rPr>
        <w:t xml:space="preserve"> scenario adds an additional decrease in emissions (e.g</w:t>
      </w:r>
      <w:r w:rsidRPr="035DD17A" w:rsidR="66ED9107">
        <w:rPr>
          <w:lang w:val="en-GB"/>
        </w:rPr>
        <w:t>.,</w:t>
      </w:r>
      <w:r w:rsidRPr="035DD17A" w:rsidR="00A92537">
        <w:rPr>
          <w:lang w:val="en-GB"/>
        </w:rPr>
        <w:t xml:space="preserve"> around 5% in the short term and less in the longer term) beyond the reductions in the BAU. For the NOx emissions, the decrease is mainly due to decreasing transport emissions</w:t>
      </w:r>
      <w:r w:rsidRPr="035DD17A" w:rsidR="005510CF">
        <w:rPr>
          <w:lang w:val="en-GB"/>
        </w:rPr>
        <w:t>,</w:t>
      </w:r>
      <w:r w:rsidRPr="035DD17A" w:rsidR="00A92537">
        <w:rPr>
          <w:lang w:val="en-GB"/>
        </w:rPr>
        <w:t xml:space="preserve"> through measures pushing citizens away from car use towards active travel and public transport</w:t>
      </w:r>
      <w:r w:rsidRPr="035DD17A" w:rsidR="005510CF">
        <w:rPr>
          <w:lang w:val="en-GB"/>
        </w:rPr>
        <w:t xml:space="preserve"> (</w:t>
      </w:r>
      <w:r w:rsidRPr="035DD17A" w:rsidR="00A92537">
        <w:rPr>
          <w:lang w:val="en-GB"/>
        </w:rPr>
        <w:t>being cleaner compared to the BAU due to additional investments in zero-emission buses</w:t>
      </w:r>
      <w:r w:rsidRPr="035DD17A" w:rsidR="005510CF">
        <w:rPr>
          <w:lang w:val="en-GB"/>
        </w:rPr>
        <w:t>)</w:t>
      </w:r>
      <w:r w:rsidRPr="035DD17A" w:rsidR="00A92537">
        <w:rPr>
          <w:lang w:val="en-GB"/>
        </w:rPr>
        <w:t xml:space="preserve">. A similar downward trend is observed for PM emissions. The main driver for the reduction is linked to heating in the residential sector. Already in the BAU, a gradual improvement is expected, leading to stronger reductions with the FUPS scenarios due to more ambitious measures for the replacement of residential heating sources. The FUPS will generate an additional decrease in PM emissions compared to the BAU. However, </w:t>
      </w:r>
      <w:r w:rsidRPr="035DD17A" w:rsidR="0018728F">
        <w:rPr>
          <w:lang w:val="en-GB"/>
        </w:rPr>
        <w:t xml:space="preserve">a </w:t>
      </w:r>
      <w:r w:rsidRPr="035DD17A" w:rsidR="00A92537">
        <w:rPr>
          <w:lang w:val="en-GB"/>
        </w:rPr>
        <w:t xml:space="preserve">decrease in PM emissions from transport will continue to have a limited impact on the </w:t>
      </w:r>
      <w:r w:rsidRPr="035DD17A" w:rsidR="6A1F8019">
        <w:rPr>
          <w:lang w:val="en-GB"/>
        </w:rPr>
        <w:t>ove</w:t>
      </w:r>
      <w:r w:rsidRPr="035DD17A" w:rsidR="00506AAF">
        <w:rPr>
          <w:lang w:val="en-GB"/>
        </w:rPr>
        <w:t>r</w:t>
      </w:r>
      <w:r w:rsidRPr="035DD17A" w:rsidR="6A1F8019">
        <w:rPr>
          <w:lang w:val="en-GB"/>
        </w:rPr>
        <w:t xml:space="preserve">all </w:t>
      </w:r>
      <w:r w:rsidRPr="035DD17A" w:rsidR="00A92537">
        <w:rPr>
          <w:lang w:val="en-GB"/>
        </w:rPr>
        <w:t xml:space="preserve">emissions. </w:t>
      </w:r>
    </w:p>
    <w:p w:rsidRPr="002A63DA" w:rsidR="008D4D92" w:rsidP="008D4D92" w:rsidRDefault="00A92537" w14:paraId="304DFE97" w14:textId="77777777">
      <w:pPr>
        <w:rPr>
          <w:lang w:val="en-GB"/>
        </w:rPr>
      </w:pPr>
      <w:r w:rsidRPr="035DD17A" w:rsidR="00A92537">
        <w:rPr>
          <w:lang w:val="en-GB"/>
        </w:rPr>
        <w:t xml:space="preserve">For the Aveiro Region, the NOx emissions </w:t>
      </w:r>
      <w:r w:rsidRPr="035DD17A" w:rsidR="007815FA">
        <w:rPr>
          <w:lang w:val="en-GB"/>
        </w:rPr>
        <w:t xml:space="preserve">exhibit </w:t>
      </w:r>
      <w:r w:rsidRPr="035DD17A" w:rsidR="00A92537">
        <w:rPr>
          <w:lang w:val="en-GB"/>
        </w:rPr>
        <w:t xml:space="preserve">a </w:t>
      </w:r>
      <w:r w:rsidRPr="035DD17A" w:rsidR="007815FA">
        <w:rPr>
          <w:lang w:val="en-GB"/>
        </w:rPr>
        <w:t xml:space="preserve">significative </w:t>
      </w:r>
      <w:r w:rsidRPr="035DD17A" w:rsidR="00A92537">
        <w:rPr>
          <w:lang w:val="en-GB"/>
        </w:rPr>
        <w:t xml:space="preserve">trend of reduction in both scenarios, </w:t>
      </w:r>
      <w:r w:rsidRPr="035DD17A" w:rsidR="7A452E74">
        <w:rPr>
          <w:lang w:val="en-GB"/>
        </w:rPr>
        <w:t>with</w:t>
      </w:r>
      <w:r w:rsidRPr="035DD17A" w:rsidR="00A92537">
        <w:rPr>
          <w:lang w:val="en-GB"/>
        </w:rPr>
        <w:t xml:space="preserve"> the FUPS scenario </w:t>
      </w:r>
      <w:r w:rsidRPr="035DD17A" w:rsidR="5B61CBD6">
        <w:rPr>
          <w:lang w:val="en-GB"/>
        </w:rPr>
        <w:t>allowing</w:t>
      </w:r>
      <w:r w:rsidRPr="035DD17A" w:rsidR="30F92EF8">
        <w:rPr>
          <w:lang w:val="en-GB"/>
        </w:rPr>
        <w:t xml:space="preserve"> a</w:t>
      </w:r>
      <w:r w:rsidRPr="035DD17A" w:rsidR="00A92537">
        <w:rPr>
          <w:lang w:val="en-GB"/>
        </w:rPr>
        <w:t xml:space="preserve"> slight extra reduction comparing to BAU. Reductions in both scenarios </w:t>
      </w:r>
      <w:r w:rsidRPr="035DD17A" w:rsidR="00F440D6">
        <w:rPr>
          <w:lang w:val="en-GB"/>
        </w:rPr>
        <w:t xml:space="preserve">result mainly </w:t>
      </w:r>
      <w:r w:rsidRPr="035DD17A" w:rsidR="00A92537">
        <w:rPr>
          <w:lang w:val="en-GB"/>
        </w:rPr>
        <w:t xml:space="preserve">from decreasing transport emissions. In the </w:t>
      </w:r>
      <w:r w:rsidRPr="035DD17A" w:rsidR="002864E4">
        <w:rPr>
          <w:lang w:val="en-GB"/>
        </w:rPr>
        <w:t>FUPS</w:t>
      </w:r>
      <w:r w:rsidRPr="035DD17A" w:rsidR="00A92537">
        <w:rPr>
          <w:lang w:val="en-GB"/>
        </w:rPr>
        <w:t xml:space="preserve">, due to the encouragement of a modal </w:t>
      </w:r>
      <w:r w:rsidRPr="035DD17A" w:rsidR="00506AAF">
        <w:rPr>
          <w:lang w:val="en-GB"/>
        </w:rPr>
        <w:t>choice, a</w:t>
      </w:r>
      <w:r w:rsidRPr="035DD17A" w:rsidR="00A92537">
        <w:rPr>
          <w:lang w:val="en-GB"/>
        </w:rPr>
        <w:t xml:space="preserve"> stronger reduction in emissions from cars and an increase in bus emissions</w:t>
      </w:r>
      <w:r w:rsidRPr="035DD17A" w:rsidR="26348993">
        <w:rPr>
          <w:lang w:val="en-GB"/>
        </w:rPr>
        <w:t xml:space="preserve"> w</w:t>
      </w:r>
      <w:r w:rsidRPr="035DD17A" w:rsidR="0018728F">
        <w:rPr>
          <w:lang w:val="en-GB"/>
        </w:rPr>
        <w:t>ere</w:t>
      </w:r>
      <w:r w:rsidRPr="035DD17A" w:rsidR="26348993">
        <w:rPr>
          <w:lang w:val="en-GB"/>
        </w:rPr>
        <w:t xml:space="preserve"> observed</w:t>
      </w:r>
      <w:r w:rsidRPr="035DD17A" w:rsidR="00A92537">
        <w:rPr>
          <w:lang w:val="en-GB"/>
        </w:rPr>
        <w:t xml:space="preserve">, with a net emission reduction. However, by 2050, emission reductions from BAU and FUPS will be almost the same. For PM, the emission reductions are limited for both scenarios, mainly observed for residential solid fuel consumption. The measures in FUPS have a similar effect </w:t>
      </w:r>
      <w:r w:rsidRPr="035DD17A" w:rsidR="00882B92">
        <w:rPr>
          <w:lang w:val="en-GB"/>
        </w:rPr>
        <w:t>to</w:t>
      </w:r>
      <w:r w:rsidRPr="035DD17A" w:rsidR="00AE7349">
        <w:rPr>
          <w:lang w:val="en-GB"/>
        </w:rPr>
        <w:t xml:space="preserve"> </w:t>
      </w:r>
      <w:r w:rsidRPr="035DD17A" w:rsidR="00A92537">
        <w:rPr>
          <w:lang w:val="en-GB"/>
        </w:rPr>
        <w:t xml:space="preserve">BAU due to </w:t>
      </w:r>
      <w:r w:rsidRPr="035DD17A" w:rsidR="0018728F">
        <w:rPr>
          <w:lang w:val="en-GB"/>
        </w:rPr>
        <w:t xml:space="preserve">the </w:t>
      </w:r>
      <w:r w:rsidRPr="035DD17A" w:rsidR="00A92537">
        <w:rPr>
          <w:lang w:val="en-GB"/>
        </w:rPr>
        <w:t>lack of specific measures in FUPS targeting, for example, residential heating. Given the low contribution of transport to PM emissions, the emission savings from transport in the FUPS compared to BAU are negligible in the overall result.</w:t>
      </w:r>
    </w:p>
    <w:p w:rsidRPr="002A63DA" w:rsidR="008D4D92" w:rsidP="008D4D92" w:rsidRDefault="00A92537" w14:paraId="3B2CB8AE" w14:textId="77777777">
      <w:pPr>
        <w:rPr>
          <w:lang w:val="en-GB"/>
        </w:rPr>
      </w:pPr>
      <w:r w:rsidRPr="035DD17A" w:rsidR="00A92537">
        <w:rPr>
          <w:lang w:val="en-GB"/>
        </w:rPr>
        <w:t xml:space="preserve">For </w:t>
      </w:r>
      <w:r w:rsidRPr="035DD17A" w:rsidR="002864E4">
        <w:rPr>
          <w:lang w:val="en-GB"/>
        </w:rPr>
        <w:t xml:space="preserve">the </w:t>
      </w:r>
      <w:r w:rsidRPr="035DD17A" w:rsidR="00A92537">
        <w:rPr>
          <w:lang w:val="en-GB"/>
        </w:rPr>
        <w:t>Liguria</w:t>
      </w:r>
      <w:r w:rsidRPr="035DD17A" w:rsidR="002864E4">
        <w:rPr>
          <w:lang w:val="en-GB"/>
        </w:rPr>
        <w:t xml:space="preserve"> Region</w:t>
      </w:r>
      <w:r w:rsidRPr="035DD17A" w:rsidR="00A92537">
        <w:rPr>
          <w:lang w:val="en-GB"/>
        </w:rPr>
        <w:t xml:space="preserve">, the NOx emissions show a clear trend of reduction </w:t>
      </w:r>
      <w:r w:rsidRPr="035DD17A" w:rsidR="007A5D56">
        <w:rPr>
          <w:lang w:val="en-GB"/>
        </w:rPr>
        <w:t>over the three time-horizons.</w:t>
      </w:r>
      <w:r w:rsidRPr="035DD17A" w:rsidR="00A92537">
        <w:rPr>
          <w:lang w:val="en-GB"/>
        </w:rPr>
        <w:t xml:space="preserve"> The FUPS scenario leads to a limited decrease in emissions beyond the reductions already in the BAU for most sectors. Moreover, the decrease of passenger car NOx emission is offset by a rebound of emissions from buses. This is because FUPS measures increase the use of buses by citizens but present no measures concerning the improvement of public transport emissions. So, buses emissions are expected to increase </w:t>
      </w:r>
      <w:r w:rsidRPr="035DD17A" w:rsidR="0018728F">
        <w:rPr>
          <w:lang w:val="en-GB"/>
        </w:rPr>
        <w:t>in</w:t>
      </w:r>
      <w:r w:rsidRPr="035DD17A" w:rsidR="00A92537">
        <w:rPr>
          <w:lang w:val="en-GB"/>
        </w:rPr>
        <w:t xml:space="preserve"> the FUPS scenario. In 2050, the total emissions in the BAU scenario and the FUPS will be almost the same. A similar trend is observed for PM emissions, without the rebound from bus emissions. This decrease in PM emissions is mainly </w:t>
      </w:r>
      <w:r w:rsidRPr="035DD17A" w:rsidR="0018728F">
        <w:rPr>
          <w:lang w:val="en-GB"/>
        </w:rPr>
        <w:t xml:space="preserve">a </w:t>
      </w:r>
      <w:r w:rsidRPr="035DD17A" w:rsidR="00A92537">
        <w:rPr>
          <w:lang w:val="en-GB"/>
        </w:rPr>
        <w:t xml:space="preserve">result of a decrease in residential emissions linked to heating. The </w:t>
      </w:r>
      <w:r w:rsidRPr="035DD17A" w:rsidR="002864E4">
        <w:rPr>
          <w:lang w:val="en-GB"/>
        </w:rPr>
        <w:t>FUPS</w:t>
      </w:r>
      <w:r w:rsidRPr="035DD17A" w:rsidR="00A92537">
        <w:rPr>
          <w:lang w:val="en-GB"/>
        </w:rPr>
        <w:t xml:space="preserve"> does lead to a slight additional reduction of PM emissions compared to the BAU (2.6%), mainly due to reductions </w:t>
      </w:r>
      <w:r w:rsidRPr="035DD17A" w:rsidR="0018728F">
        <w:rPr>
          <w:lang w:val="en-GB"/>
        </w:rPr>
        <w:t>in</w:t>
      </w:r>
      <w:r w:rsidRPr="035DD17A" w:rsidR="00A92537">
        <w:rPr>
          <w:lang w:val="en-GB"/>
        </w:rPr>
        <w:t xml:space="preserve"> transport emissions. Given the low contribution of transport to PM emissions, the emission savings from transport in the </w:t>
      </w:r>
      <w:r w:rsidRPr="035DD17A" w:rsidR="002864E4">
        <w:rPr>
          <w:lang w:val="en-GB"/>
        </w:rPr>
        <w:t>FUPS</w:t>
      </w:r>
      <w:r w:rsidRPr="035DD17A" w:rsidR="00A92537">
        <w:rPr>
          <w:lang w:val="en-GB"/>
        </w:rPr>
        <w:t xml:space="preserve"> compared to BAU are very small.</w:t>
      </w:r>
    </w:p>
    <w:p w:rsidRPr="002A63DA" w:rsidR="006E75F3" w:rsidP="00325510" w:rsidRDefault="006E75F3" w14:paraId="3DB5AC2D" w14:textId="77777777">
      <w:pPr>
        <w:rPr>
          <w:lang w:val="en-GB"/>
        </w:rPr>
      </w:pPr>
    </w:p>
    <w:p w:rsidRPr="002A63DA" w:rsidR="00EB155F" w:rsidP="00B95A4A" w:rsidRDefault="00A92537" w14:paraId="7D9B0054" w14:textId="77777777">
      <w:pPr>
        <w:pStyle w:val="Heading3"/>
        <w:rPr>
          <w:lang w:val="en-GB"/>
        </w:rPr>
      </w:pPr>
      <w:r w:rsidRPr="035DD17A" w:rsidR="00A92537">
        <w:rPr>
          <w:lang w:val="en-GB"/>
        </w:rPr>
        <w:t xml:space="preserve">3.2 </w:t>
      </w:r>
      <w:r w:rsidRPr="035DD17A" w:rsidR="004343E2">
        <w:rPr>
          <w:lang w:val="en-GB"/>
        </w:rPr>
        <w:t>Air quality outcomes</w:t>
      </w:r>
    </w:p>
    <w:p w:rsidRPr="002A63DA" w:rsidR="00AE7349" w:rsidP="00AE7349" w:rsidRDefault="00A92537" w14:paraId="3E688962" w14:textId="77777777">
      <w:pPr>
        <w:rPr>
          <w:lang w:val="en-GB"/>
        </w:rPr>
      </w:pPr>
      <w:bookmarkStart w:name="_Ref64546157" w:id="12"/>
      <w:r w:rsidRPr="035DD17A" w:rsidR="00A92537">
        <w:rPr>
          <w:lang w:val="en-GB"/>
        </w:rPr>
        <w:t xml:space="preserve">To better understand the </w:t>
      </w:r>
      <w:r w:rsidRPr="035DD17A" w:rsidR="00C37698">
        <w:rPr>
          <w:lang w:val="en-GB"/>
        </w:rPr>
        <w:t xml:space="preserve">impact of the </w:t>
      </w:r>
      <w:r w:rsidRPr="035DD17A" w:rsidR="00A92537">
        <w:rPr>
          <w:lang w:val="en-GB"/>
        </w:rPr>
        <w:t xml:space="preserve">emission reductions described in </w:t>
      </w:r>
      <w:r w:rsidRPr="035DD17A" w:rsidR="00B71D03">
        <w:rPr>
          <w:lang w:val="en-GB"/>
        </w:rPr>
        <w:t>subsection</w:t>
      </w:r>
      <w:r w:rsidRPr="035DD17A" w:rsidR="00A92537">
        <w:rPr>
          <w:lang w:val="en-GB"/>
        </w:rPr>
        <w:t xml:space="preserve"> 3.1 on air quality, the number of computational cells with annual exceedances to the EU limits and WHO guidelines by case study for each scenario is present in </w:t>
      </w:r>
      <w:r w:rsidRPr="035DD17A" w:rsidR="007245A5">
        <w:rPr>
          <w:lang w:val="en-GB"/>
        </w:rPr>
        <w:t>Table 1</w:t>
      </w:r>
      <w:r w:rsidRPr="035DD17A" w:rsidR="00A92537">
        <w:rPr>
          <w:lang w:val="en-GB"/>
        </w:rPr>
        <w:t>. For NO</w:t>
      </w:r>
      <w:r w:rsidRPr="035DD17A" w:rsidR="00A92537">
        <w:rPr>
          <w:vertAlign w:val="subscript"/>
          <w:lang w:val="en-GB"/>
        </w:rPr>
        <w:t>2</w:t>
      </w:r>
      <w:r w:rsidRPr="035DD17A" w:rsidR="00A92537">
        <w:rPr>
          <w:lang w:val="en-GB"/>
        </w:rPr>
        <w:t xml:space="preserve"> the limit values established by the EU and the ones recommended by WHO are equivalent, being 40 μg.m</w:t>
      </w:r>
      <w:r w:rsidRPr="035DD17A" w:rsidR="00A92537">
        <w:rPr>
          <w:vertAlign w:val="superscript"/>
          <w:lang w:val="en-GB"/>
        </w:rPr>
        <w:t>-3</w:t>
      </w:r>
      <w:r w:rsidRPr="035DD17A" w:rsidR="00A92537">
        <w:rPr>
          <w:lang w:val="en-GB"/>
        </w:rPr>
        <w:t xml:space="preserve"> for the annual mean. As for particulate matter, the limits diverge between both standards, with WHO showing stricter limits. PM10 values under the EU annual mean limits are 40 μg.m</w:t>
      </w:r>
      <w:r w:rsidRPr="035DD17A" w:rsidR="00A92537">
        <w:rPr>
          <w:vertAlign w:val="superscript"/>
          <w:lang w:val="en-GB"/>
        </w:rPr>
        <w:t>-3</w:t>
      </w:r>
      <w:r w:rsidRPr="035DD17A" w:rsidR="00A92537">
        <w:rPr>
          <w:lang w:val="en-GB"/>
        </w:rPr>
        <w:t xml:space="preserve"> and under WHO guidelines are 20 μg.m</w:t>
      </w:r>
      <w:r w:rsidRPr="035DD17A" w:rsidR="00A92537">
        <w:rPr>
          <w:vertAlign w:val="superscript"/>
          <w:lang w:val="en-GB"/>
        </w:rPr>
        <w:t>-3</w:t>
      </w:r>
      <w:r w:rsidRPr="035DD17A" w:rsidR="00A92537">
        <w:rPr>
          <w:lang w:val="en-GB"/>
        </w:rPr>
        <w:t>, for PM2.5 the EU established a limit value of 25 μg.m</w:t>
      </w:r>
      <w:r w:rsidRPr="035DD17A" w:rsidR="00A92537">
        <w:rPr>
          <w:vertAlign w:val="superscript"/>
          <w:lang w:val="en-GB"/>
        </w:rPr>
        <w:t>-3</w:t>
      </w:r>
      <w:r w:rsidRPr="035DD17A" w:rsidR="00A92537">
        <w:rPr>
          <w:lang w:val="en-GB"/>
        </w:rPr>
        <w:t xml:space="preserve"> for the annual mean and the WHO recommends 10 μg.m</w:t>
      </w:r>
      <w:r w:rsidRPr="035DD17A" w:rsidR="00A92537">
        <w:rPr>
          <w:vertAlign w:val="superscript"/>
          <w:lang w:val="en-GB"/>
        </w:rPr>
        <w:t>-3</w:t>
      </w:r>
      <w:r w:rsidRPr="035DD17A" w:rsidR="00A92537">
        <w:rPr>
          <w:lang w:val="en-GB"/>
        </w:rPr>
        <w:t>.</w:t>
      </w:r>
    </w:p>
    <w:p w:rsidRPr="002A63DA" w:rsidR="00AD795C" w:rsidP="00AE7349" w:rsidRDefault="00A92537" w14:paraId="4B6B399C" w14:textId="77777777">
      <w:pPr>
        <w:rPr>
          <w:lang w:val="en-GB"/>
        </w:rPr>
      </w:pPr>
      <w:r w:rsidRPr="035DD17A" w:rsidR="00A92537">
        <w:rPr>
          <w:lang w:val="en-GB"/>
        </w:rPr>
        <w:t>Table 1</w:t>
      </w:r>
      <w:r w:rsidRPr="035DD17A" w:rsidR="00CF3361">
        <w:rPr>
          <w:lang w:val="en-GB"/>
        </w:rPr>
        <w:t xml:space="preserve"> shows that mainly PM2.5 is still and will be, even by 2050, a big concern in the cities, especially for Ljubljana, Sosnowiec and the Liguria Region.</w:t>
      </w:r>
    </w:p>
    <w:p w:rsidRPr="002A63DA" w:rsidR="00CF3361" w:rsidP="00AE7349" w:rsidRDefault="00CF3361" w14:paraId="6B8DFAAC" w14:textId="77777777">
      <w:pPr>
        <w:rPr>
          <w:lang w:val="en-GB"/>
        </w:rPr>
      </w:pPr>
    </w:p>
    <w:p w:rsidRPr="002A63DA" w:rsidR="00352AD4" w:rsidP="00352AD4" w:rsidRDefault="00A92537" w14:paraId="40D692FE" w14:textId="77777777">
      <w:pPr>
        <w:pStyle w:val="Caption"/>
      </w:pPr>
      <w:r w:rsidR="00A92537">
        <w:rPr/>
        <w:t xml:space="preserve">Table </w:t>
      </w:r>
      <w:r>
        <w:fldChar w:fldCharType="begin"/>
      </w:r>
      <w:r>
        <w:instrText xml:space="preserve"> SEQ Table \* ARABIC </w:instrText>
      </w:r>
      <w:r>
        <w:fldChar w:fldCharType="separate"/>
      </w:r>
      <w:r w:rsidRPr="035DD17A" w:rsidR="00C83CFF">
        <w:rPr>
          <w:noProof/>
        </w:rPr>
        <w:t>1</w:t>
      </w:r>
      <w:r>
        <w:fldChar w:fldCharType="end"/>
      </w:r>
      <w:bookmarkEnd w:id="12"/>
      <w:r w:rsidR="00A92537">
        <w:rPr/>
        <w:t xml:space="preserve">- </w:t>
      </w:r>
      <w:bookmarkStart w:name="_Hlk64539318" w:id="13"/>
      <w:r w:rsidR="00A92537">
        <w:rPr/>
        <w:t>Number of computational cells</w:t>
      </w:r>
      <w:r w:rsidR="003E0C32">
        <w:rPr/>
        <w:t xml:space="preserve"> (cells with </w:t>
      </w:r>
      <w:r w:rsidR="002C7205">
        <w:rPr/>
        <w:t>0.04km</w:t>
      </w:r>
      <w:r w:rsidRPr="035DD17A" w:rsidR="002C7205">
        <w:rPr>
          <w:vertAlign w:val="superscript"/>
        </w:rPr>
        <w:t>2</w:t>
      </w:r>
      <w:r w:rsidR="002C7205">
        <w:rPr/>
        <w:t>,</w:t>
      </w:r>
      <w:r w:rsidR="003E0C32">
        <w:rPr/>
        <w:t xml:space="preserve"> except for the Aveiro</w:t>
      </w:r>
      <w:r w:rsidR="00A92537">
        <w:rPr/>
        <w:t xml:space="preserve"> </w:t>
      </w:r>
      <w:r w:rsidR="003E0C32">
        <w:rPr/>
        <w:t>Region</w:t>
      </w:r>
      <w:r w:rsidR="002C7205">
        <w:rPr/>
        <w:t xml:space="preserve"> with cells of 0.16km</w:t>
      </w:r>
      <w:r w:rsidRPr="035DD17A" w:rsidR="002C7205">
        <w:rPr>
          <w:vertAlign w:val="superscript"/>
        </w:rPr>
        <w:t>2</w:t>
      </w:r>
      <w:r w:rsidR="002C7205">
        <w:rPr/>
        <w:t xml:space="preserve">) </w:t>
      </w:r>
      <w:r w:rsidR="00A92537">
        <w:rPr/>
        <w:t>with annual exceedances to the EU limits and</w:t>
      </w:r>
      <w:r w:rsidR="00817538">
        <w:rPr/>
        <w:t>, in parenthesis, to the</w:t>
      </w:r>
      <w:r w:rsidR="00A92537">
        <w:rPr/>
        <w:t xml:space="preserve"> WHO guidelines</w:t>
      </w:r>
      <w:r w:rsidR="004C1655">
        <w:rPr/>
        <w:t xml:space="preserve"> </w:t>
      </w:r>
      <w:r w:rsidR="00A92537">
        <w:rPr/>
        <w:t>by case study and scenario</w:t>
      </w:r>
      <w:bookmarkEnd w:id="13"/>
    </w:p>
    <w:tbl>
      <w:tblPr>
        <w:tblStyle w:val="TableGridLight"/>
        <w:tblW w:w="5000" w:type="pct"/>
        <w:tblLook w:val="00A0" w:firstRow="1" w:lastRow="0" w:firstColumn="1" w:lastColumn="0" w:noHBand="0" w:noVBand="0"/>
      </w:tblPr>
      <w:tblGrid>
        <w:gridCol w:w="1159"/>
        <w:gridCol w:w="1098"/>
        <w:gridCol w:w="1363"/>
        <w:gridCol w:w="1116"/>
        <w:gridCol w:w="1257"/>
        <w:gridCol w:w="1423"/>
        <w:gridCol w:w="1934"/>
      </w:tblGrid>
      <w:tr w:rsidR="00C81F10" w:rsidTr="035DD17A" w14:paraId="2D65E5A1" w14:textId="77777777">
        <w:trPr>
          <w:trHeight w:val="20"/>
        </w:trPr>
        <w:tc>
          <w:tcPr>
            <w:tcW w:w="620" w:type="pct"/>
            <w:vMerge w:val="restart"/>
            <w:noWrap/>
            <w:tcMar/>
            <w:hideMark/>
          </w:tcPr>
          <w:p w:rsidRPr="002A63DA" w:rsidR="0096454E" w:rsidP="035DD17A" w:rsidRDefault="0096454E" w14:paraId="02D1F384" w14:textId="77777777">
            <w:pPr>
              <w:jc w:val="center"/>
              <w:rPr>
                <w:rFonts w:cs="Calibri" w:cstheme="minorAscii"/>
                <w:color w:val="auto"/>
                <w:sz w:val="18"/>
                <w:szCs w:val="18"/>
                <w:lang w:val="en-GB" w:eastAsia="pt-PT"/>
              </w:rPr>
            </w:pPr>
          </w:p>
        </w:tc>
        <w:tc>
          <w:tcPr>
            <w:tcW w:w="587" w:type="pct"/>
            <w:noWrap/>
            <w:tcMar/>
            <w:hideMark/>
          </w:tcPr>
          <w:p w:rsidRPr="002A63DA" w:rsidR="0096454E" w:rsidP="035DD17A" w:rsidRDefault="00A92537" w14:paraId="4B77CF3E" w14:textId="77777777">
            <w:pPr>
              <w:jc w:val="center"/>
              <w:rPr>
                <w:rFonts w:cs="Calibri" w:cstheme="minorAscii"/>
                <w:b w:val="1"/>
                <w:bCs w:val="1"/>
                <w:color w:val="000000"/>
                <w:sz w:val="18"/>
                <w:szCs w:val="18"/>
                <w:lang w:val="en-GB" w:eastAsia="pt-PT"/>
              </w:rPr>
            </w:pPr>
            <w:r w:rsidRPr="035DD17A" w:rsidR="00A92537">
              <w:rPr>
                <w:rFonts w:cs="Calibri" w:cstheme="minorAscii"/>
                <w:b w:val="1"/>
                <w:bCs w:val="1"/>
                <w:color w:val="000000" w:themeColor="text1" w:themeTint="FF" w:themeShade="FF"/>
                <w:sz w:val="18"/>
                <w:szCs w:val="18"/>
                <w:lang w:val="en-GB" w:eastAsia="pt-PT"/>
              </w:rPr>
              <w:t>Bristol</w:t>
            </w:r>
          </w:p>
        </w:tc>
        <w:tc>
          <w:tcPr>
            <w:tcW w:w="729" w:type="pct"/>
            <w:noWrap/>
            <w:tcMar/>
            <w:hideMark/>
          </w:tcPr>
          <w:p w:rsidRPr="002A63DA" w:rsidR="0096454E" w:rsidP="035DD17A" w:rsidRDefault="00A92537" w14:paraId="4E565185" w14:textId="77777777">
            <w:pPr>
              <w:jc w:val="center"/>
              <w:rPr>
                <w:rFonts w:cs="Calibri" w:cstheme="minorAscii"/>
                <w:b w:val="1"/>
                <w:bCs w:val="1"/>
                <w:color w:val="000000"/>
                <w:sz w:val="18"/>
                <w:szCs w:val="18"/>
                <w:lang w:val="en-GB" w:eastAsia="pt-PT"/>
              </w:rPr>
            </w:pPr>
            <w:r w:rsidRPr="035DD17A" w:rsidR="00A92537">
              <w:rPr>
                <w:rFonts w:cs="Calibri" w:cstheme="minorAscii"/>
                <w:b w:val="1"/>
                <w:bCs w:val="1"/>
                <w:color w:val="000000" w:themeColor="text1" w:themeTint="FF" w:themeShade="FF"/>
                <w:sz w:val="18"/>
                <w:szCs w:val="18"/>
                <w:lang w:val="en-GB" w:eastAsia="pt-PT"/>
              </w:rPr>
              <w:t>Amsterdam</w:t>
            </w:r>
          </w:p>
        </w:tc>
        <w:tc>
          <w:tcPr>
            <w:tcW w:w="597" w:type="pct"/>
            <w:noWrap/>
            <w:tcMar/>
            <w:hideMark/>
          </w:tcPr>
          <w:p w:rsidRPr="002A63DA" w:rsidR="0096454E" w:rsidP="035DD17A" w:rsidRDefault="00A92537" w14:paraId="60823D8C" w14:textId="77777777">
            <w:pPr>
              <w:jc w:val="center"/>
              <w:rPr>
                <w:rFonts w:cs="Calibri" w:cstheme="minorAscii"/>
                <w:b w:val="1"/>
                <w:bCs w:val="1"/>
                <w:color w:val="000000"/>
                <w:sz w:val="18"/>
                <w:szCs w:val="18"/>
                <w:lang w:val="en-GB" w:eastAsia="pt-PT"/>
              </w:rPr>
            </w:pPr>
            <w:r w:rsidRPr="035DD17A" w:rsidR="00A92537">
              <w:rPr>
                <w:rFonts w:cs="Calibri" w:cstheme="minorAscii"/>
                <w:b w:val="1"/>
                <w:bCs w:val="1"/>
                <w:color w:val="000000" w:themeColor="text1" w:themeTint="FF" w:themeShade="FF"/>
                <w:sz w:val="18"/>
                <w:szCs w:val="18"/>
                <w:lang w:val="en-GB" w:eastAsia="pt-PT"/>
              </w:rPr>
              <w:t>Ljubljana</w:t>
            </w:r>
          </w:p>
        </w:tc>
        <w:tc>
          <w:tcPr>
            <w:tcW w:w="672" w:type="pct"/>
            <w:noWrap/>
            <w:tcMar/>
            <w:hideMark/>
          </w:tcPr>
          <w:p w:rsidRPr="002A63DA" w:rsidR="0096454E" w:rsidP="035DD17A" w:rsidRDefault="00A92537" w14:paraId="7F8002B7" w14:textId="77777777">
            <w:pPr>
              <w:jc w:val="center"/>
              <w:rPr>
                <w:rFonts w:cs="Calibri" w:cstheme="minorAscii"/>
                <w:b w:val="1"/>
                <w:bCs w:val="1"/>
                <w:color w:val="000000"/>
                <w:sz w:val="18"/>
                <w:szCs w:val="18"/>
                <w:lang w:val="en-GB" w:eastAsia="pt-PT"/>
              </w:rPr>
            </w:pPr>
            <w:r w:rsidRPr="035DD17A" w:rsidR="00A92537">
              <w:rPr>
                <w:rFonts w:cs="Calibri" w:cstheme="minorAscii"/>
                <w:b w:val="1"/>
                <w:bCs w:val="1"/>
                <w:color w:val="000000" w:themeColor="text1" w:themeTint="FF" w:themeShade="FF"/>
                <w:sz w:val="18"/>
                <w:szCs w:val="18"/>
                <w:lang w:val="en-GB" w:eastAsia="pt-PT"/>
              </w:rPr>
              <w:t>Sosnowiec</w:t>
            </w:r>
          </w:p>
        </w:tc>
        <w:tc>
          <w:tcPr>
            <w:tcW w:w="761" w:type="pct"/>
            <w:noWrap/>
            <w:tcMar/>
            <w:hideMark/>
          </w:tcPr>
          <w:p w:rsidRPr="002A63DA" w:rsidR="0096454E" w:rsidP="035DD17A" w:rsidRDefault="00A92537" w14:paraId="6CF52508" w14:textId="77777777">
            <w:pPr>
              <w:jc w:val="center"/>
              <w:rPr>
                <w:rFonts w:cs="Calibri" w:cstheme="minorAscii"/>
                <w:b w:val="1"/>
                <w:bCs w:val="1"/>
                <w:color w:val="000000"/>
                <w:sz w:val="18"/>
                <w:szCs w:val="18"/>
                <w:lang w:val="en-GB" w:eastAsia="pt-PT"/>
              </w:rPr>
            </w:pPr>
            <w:r w:rsidRPr="035DD17A" w:rsidR="00A92537">
              <w:rPr>
                <w:rFonts w:cs="Calibri" w:cstheme="minorAscii"/>
                <w:b w:val="1"/>
                <w:bCs w:val="1"/>
                <w:color w:val="000000" w:themeColor="text1" w:themeTint="FF" w:themeShade="FF"/>
                <w:sz w:val="18"/>
                <w:szCs w:val="18"/>
                <w:lang w:val="en-GB" w:eastAsia="pt-PT"/>
              </w:rPr>
              <w:t>Aveiro Region</w:t>
            </w:r>
          </w:p>
        </w:tc>
        <w:tc>
          <w:tcPr>
            <w:tcW w:w="1034" w:type="pct"/>
            <w:noWrap/>
            <w:tcMar/>
            <w:hideMark/>
          </w:tcPr>
          <w:p w:rsidRPr="002A63DA" w:rsidR="0096454E" w:rsidP="035DD17A" w:rsidRDefault="00A92537" w14:paraId="139A9C2B" w14:textId="77777777">
            <w:pPr>
              <w:jc w:val="center"/>
              <w:rPr>
                <w:rFonts w:cs="Calibri" w:cstheme="minorAscii"/>
                <w:b w:val="1"/>
                <w:bCs w:val="1"/>
                <w:color w:val="000000"/>
                <w:sz w:val="18"/>
                <w:szCs w:val="18"/>
                <w:lang w:val="en-GB" w:eastAsia="pt-PT"/>
              </w:rPr>
            </w:pPr>
            <w:r w:rsidRPr="035DD17A" w:rsidR="00A92537">
              <w:rPr>
                <w:rFonts w:cs="Calibri" w:cstheme="minorAscii"/>
                <w:b w:val="1"/>
                <w:bCs w:val="1"/>
                <w:color w:val="000000" w:themeColor="text1" w:themeTint="FF" w:themeShade="FF"/>
                <w:sz w:val="18"/>
                <w:szCs w:val="18"/>
                <w:lang w:val="en-GB" w:eastAsia="pt-PT"/>
              </w:rPr>
              <w:t>Liguria Region</w:t>
            </w:r>
          </w:p>
        </w:tc>
      </w:tr>
      <w:tr w:rsidR="00C81F10" w:rsidTr="035DD17A" w14:paraId="2F9F51C1" w14:textId="77777777">
        <w:trPr>
          <w:trHeight w:val="20"/>
        </w:trPr>
        <w:tc>
          <w:tcPr>
            <w:tcW w:w="620" w:type="pct"/>
            <w:vMerge/>
            <w:noWrap/>
            <w:tcMar/>
            <w:hideMark/>
          </w:tcPr>
          <w:p w:rsidRPr="002A63DA" w:rsidR="0096454E" w:rsidP="0096454E" w:rsidRDefault="0096454E" w14:paraId="39271A52" w14:textId="77777777">
            <w:pPr>
              <w:jc w:val="center"/>
              <w:rPr>
                <w:rFonts w:cstheme="minorHAnsi"/>
                <w:color w:val="000000"/>
                <w:sz w:val="18"/>
                <w:szCs w:val="18"/>
                <w:lang w:val="en-GB" w:eastAsia="pt-PT"/>
              </w:rPr>
            </w:pPr>
          </w:p>
        </w:tc>
        <w:tc>
          <w:tcPr>
            <w:tcW w:w="587" w:type="pct"/>
            <w:noWrap/>
            <w:tcMar/>
            <w:hideMark/>
          </w:tcPr>
          <w:p w:rsidRPr="002A63DA" w:rsidR="0096454E" w:rsidP="035DD17A" w:rsidRDefault="00A92537" w14:paraId="2C29848C"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EU/ (WHO)</w:t>
            </w:r>
          </w:p>
        </w:tc>
        <w:tc>
          <w:tcPr>
            <w:tcW w:w="729" w:type="pct"/>
            <w:noWrap/>
            <w:tcMar/>
            <w:hideMark/>
          </w:tcPr>
          <w:p w:rsidRPr="002A63DA" w:rsidR="0096454E" w:rsidP="035DD17A" w:rsidRDefault="00A92537" w14:paraId="4FCEB0A5"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EU/ (WHO)</w:t>
            </w:r>
          </w:p>
        </w:tc>
        <w:tc>
          <w:tcPr>
            <w:tcW w:w="597" w:type="pct"/>
            <w:noWrap/>
            <w:tcMar/>
            <w:hideMark/>
          </w:tcPr>
          <w:p w:rsidRPr="002A63DA" w:rsidR="0096454E" w:rsidP="035DD17A" w:rsidRDefault="00A92537" w14:paraId="475B9636"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EU/ (WHO)</w:t>
            </w:r>
          </w:p>
        </w:tc>
        <w:tc>
          <w:tcPr>
            <w:tcW w:w="672" w:type="pct"/>
            <w:noWrap/>
            <w:tcMar/>
            <w:hideMark/>
          </w:tcPr>
          <w:p w:rsidRPr="002A63DA" w:rsidR="0096454E" w:rsidP="035DD17A" w:rsidRDefault="00A92537" w14:paraId="1F9E8184"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EU/ (WHO)</w:t>
            </w:r>
          </w:p>
        </w:tc>
        <w:tc>
          <w:tcPr>
            <w:tcW w:w="761" w:type="pct"/>
            <w:noWrap/>
            <w:tcMar/>
            <w:hideMark/>
          </w:tcPr>
          <w:p w:rsidRPr="002A63DA" w:rsidR="0096454E" w:rsidP="035DD17A" w:rsidRDefault="00A92537" w14:paraId="1EDB6E0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EU/ (WHO)</w:t>
            </w:r>
          </w:p>
        </w:tc>
        <w:tc>
          <w:tcPr>
            <w:tcW w:w="1034" w:type="pct"/>
            <w:noWrap/>
            <w:tcMar/>
            <w:hideMark/>
          </w:tcPr>
          <w:p w:rsidRPr="002A63DA" w:rsidR="0096454E" w:rsidP="035DD17A" w:rsidRDefault="00A92537" w14:paraId="6318206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EU/ (WHO)</w:t>
            </w:r>
          </w:p>
        </w:tc>
      </w:tr>
      <w:tr w:rsidR="00C81F10" w:rsidTr="035DD17A" w14:paraId="7F2CDFE4" w14:textId="77777777">
        <w:trPr>
          <w:trHeight w:val="20"/>
        </w:trPr>
        <w:tc>
          <w:tcPr>
            <w:tcW w:w="620" w:type="pct"/>
            <w:vMerge/>
            <w:noWrap/>
            <w:tcMar/>
            <w:hideMark/>
          </w:tcPr>
          <w:p w:rsidRPr="002A63DA" w:rsidR="0096454E" w:rsidP="0096454E" w:rsidRDefault="0096454E" w14:paraId="0E102026" w14:textId="77777777">
            <w:pPr>
              <w:jc w:val="center"/>
              <w:rPr>
                <w:rFonts w:cstheme="minorHAnsi"/>
                <w:color w:val="000000"/>
                <w:sz w:val="18"/>
                <w:szCs w:val="18"/>
                <w:lang w:val="en-GB" w:eastAsia="pt-PT"/>
              </w:rPr>
            </w:pPr>
          </w:p>
        </w:tc>
        <w:tc>
          <w:tcPr>
            <w:tcW w:w="4380" w:type="pct"/>
            <w:gridSpan w:val="6"/>
            <w:noWrap/>
            <w:tcMar/>
            <w:hideMark/>
          </w:tcPr>
          <w:p w:rsidRPr="002A63DA" w:rsidR="0096454E" w:rsidP="035DD17A" w:rsidRDefault="00A92537" w14:paraId="1BAE0CC7"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NO</w:t>
            </w:r>
            <w:r w:rsidRPr="035DD17A" w:rsidR="00A92537">
              <w:rPr>
                <w:rFonts w:cs="Calibri" w:cstheme="minorAscii"/>
                <w:color w:val="000000" w:themeColor="text1" w:themeTint="FF" w:themeShade="FF"/>
                <w:sz w:val="18"/>
                <w:szCs w:val="18"/>
                <w:vertAlign w:val="subscript"/>
                <w:lang w:val="en-GB" w:eastAsia="pt-PT"/>
              </w:rPr>
              <w:t>2</w:t>
            </w:r>
          </w:p>
        </w:tc>
      </w:tr>
      <w:tr w:rsidR="00C81F10" w:rsidTr="035DD17A" w14:paraId="02A88B70" w14:textId="77777777">
        <w:trPr>
          <w:trHeight w:val="20"/>
        </w:trPr>
        <w:tc>
          <w:tcPr>
            <w:tcW w:w="620" w:type="pct"/>
            <w:noWrap/>
            <w:tcMar/>
            <w:hideMark/>
          </w:tcPr>
          <w:p w:rsidRPr="002A63DA" w:rsidR="001559D7" w:rsidP="035DD17A" w:rsidRDefault="00A92537" w14:paraId="77963778"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2015</w:t>
            </w:r>
          </w:p>
        </w:tc>
        <w:tc>
          <w:tcPr>
            <w:tcW w:w="587" w:type="pct"/>
            <w:noWrap/>
            <w:tcMar/>
            <w:hideMark/>
          </w:tcPr>
          <w:p w:rsidRPr="002A63DA" w:rsidR="001559D7" w:rsidP="035DD17A" w:rsidRDefault="00A92537" w14:paraId="58DAEA5B"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231</w:t>
            </w:r>
          </w:p>
        </w:tc>
        <w:tc>
          <w:tcPr>
            <w:tcW w:w="729" w:type="pct"/>
            <w:noWrap/>
            <w:tcMar/>
            <w:hideMark/>
          </w:tcPr>
          <w:p w:rsidRPr="002A63DA" w:rsidR="001559D7" w:rsidP="035DD17A" w:rsidRDefault="00A92537" w14:paraId="615D975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214</w:t>
            </w:r>
          </w:p>
        </w:tc>
        <w:tc>
          <w:tcPr>
            <w:tcW w:w="597" w:type="pct"/>
            <w:noWrap/>
            <w:tcMar/>
            <w:hideMark/>
          </w:tcPr>
          <w:p w:rsidRPr="002A63DA" w:rsidR="001559D7" w:rsidP="035DD17A" w:rsidRDefault="00A92537" w14:paraId="5E832511"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170</w:t>
            </w:r>
          </w:p>
        </w:tc>
        <w:tc>
          <w:tcPr>
            <w:tcW w:w="672" w:type="pct"/>
            <w:noWrap/>
            <w:tcMar/>
            <w:hideMark/>
          </w:tcPr>
          <w:p w:rsidRPr="002A63DA" w:rsidR="001559D7" w:rsidP="035DD17A" w:rsidRDefault="00A92537" w14:paraId="6831D5D0"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915</w:t>
            </w:r>
          </w:p>
        </w:tc>
        <w:tc>
          <w:tcPr>
            <w:tcW w:w="761" w:type="pct"/>
            <w:noWrap/>
            <w:tcMar/>
          </w:tcPr>
          <w:p w:rsidRPr="002A63DA" w:rsidR="001559D7" w:rsidP="035DD17A" w:rsidRDefault="00A92537" w14:paraId="5AE48831"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11</w:t>
            </w:r>
          </w:p>
        </w:tc>
        <w:tc>
          <w:tcPr>
            <w:tcW w:w="1034" w:type="pct"/>
            <w:noWrap/>
            <w:tcMar/>
            <w:hideMark/>
          </w:tcPr>
          <w:p w:rsidRPr="002A63DA" w:rsidR="001559D7" w:rsidP="035DD17A" w:rsidRDefault="00A92537" w14:paraId="0C49B4C4"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97</w:t>
            </w:r>
          </w:p>
        </w:tc>
      </w:tr>
      <w:tr w:rsidR="00C81F10" w:rsidTr="035DD17A" w14:paraId="41C7FA00" w14:textId="77777777">
        <w:trPr>
          <w:trHeight w:val="20"/>
        </w:trPr>
        <w:tc>
          <w:tcPr>
            <w:tcW w:w="620" w:type="pct"/>
            <w:noWrap/>
            <w:tcMar/>
            <w:hideMark/>
          </w:tcPr>
          <w:p w:rsidRPr="002A63DA" w:rsidR="001559D7" w:rsidP="035DD17A" w:rsidRDefault="00A92537" w14:paraId="16F9FF10"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BAU25</w:t>
            </w:r>
          </w:p>
        </w:tc>
        <w:tc>
          <w:tcPr>
            <w:tcW w:w="587" w:type="pct"/>
            <w:noWrap/>
            <w:tcMar/>
            <w:hideMark/>
          </w:tcPr>
          <w:p w:rsidRPr="002A63DA" w:rsidR="001559D7" w:rsidP="035DD17A" w:rsidRDefault="00A92537" w14:paraId="0FBAC536"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5</w:t>
            </w:r>
          </w:p>
        </w:tc>
        <w:tc>
          <w:tcPr>
            <w:tcW w:w="729" w:type="pct"/>
            <w:noWrap/>
            <w:tcMar/>
            <w:hideMark/>
          </w:tcPr>
          <w:p w:rsidRPr="002A63DA" w:rsidR="001559D7" w:rsidP="035DD17A" w:rsidRDefault="00A92537" w14:paraId="0B2C5C2C"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3</w:t>
            </w:r>
          </w:p>
        </w:tc>
        <w:tc>
          <w:tcPr>
            <w:tcW w:w="597" w:type="pct"/>
            <w:noWrap/>
            <w:tcMar/>
            <w:hideMark/>
          </w:tcPr>
          <w:p w:rsidRPr="002A63DA" w:rsidR="001559D7" w:rsidP="035DD17A" w:rsidRDefault="00A92537" w14:paraId="3FD8B64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34</w:t>
            </w:r>
          </w:p>
        </w:tc>
        <w:tc>
          <w:tcPr>
            <w:tcW w:w="672" w:type="pct"/>
            <w:noWrap/>
            <w:tcMar/>
            <w:hideMark/>
          </w:tcPr>
          <w:p w:rsidRPr="002A63DA" w:rsidR="001559D7" w:rsidP="035DD17A" w:rsidRDefault="00A92537" w14:paraId="77D4FD9B"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493</w:t>
            </w:r>
          </w:p>
        </w:tc>
        <w:tc>
          <w:tcPr>
            <w:tcW w:w="761" w:type="pct"/>
            <w:noWrap/>
            <w:tcMar/>
          </w:tcPr>
          <w:p w:rsidRPr="002A63DA" w:rsidR="001559D7" w:rsidP="035DD17A" w:rsidRDefault="00A92537" w14:paraId="41121846"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1034" w:type="pct"/>
            <w:noWrap/>
            <w:tcMar/>
            <w:hideMark/>
          </w:tcPr>
          <w:p w:rsidRPr="002A63DA" w:rsidR="001559D7" w:rsidP="035DD17A" w:rsidRDefault="00A92537" w14:paraId="6E39FDBC"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7</w:t>
            </w:r>
          </w:p>
        </w:tc>
      </w:tr>
      <w:tr w:rsidR="00C81F10" w:rsidTr="035DD17A" w14:paraId="2B56DA1F" w14:textId="77777777">
        <w:trPr>
          <w:trHeight w:val="20"/>
        </w:trPr>
        <w:tc>
          <w:tcPr>
            <w:tcW w:w="620" w:type="pct"/>
            <w:noWrap/>
            <w:tcMar/>
            <w:hideMark/>
          </w:tcPr>
          <w:p w:rsidRPr="002A63DA" w:rsidR="001559D7" w:rsidP="035DD17A" w:rsidRDefault="00A92537" w14:paraId="2FCEB0A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FUPS25</w:t>
            </w:r>
          </w:p>
        </w:tc>
        <w:tc>
          <w:tcPr>
            <w:tcW w:w="587" w:type="pct"/>
            <w:noWrap/>
            <w:tcMar/>
            <w:hideMark/>
          </w:tcPr>
          <w:p w:rsidRPr="002A63DA" w:rsidR="001559D7" w:rsidP="035DD17A" w:rsidRDefault="00A92537" w14:paraId="275B2081"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w:t>
            </w:r>
          </w:p>
        </w:tc>
        <w:tc>
          <w:tcPr>
            <w:tcW w:w="729" w:type="pct"/>
            <w:noWrap/>
            <w:tcMar/>
            <w:hideMark/>
          </w:tcPr>
          <w:p w:rsidRPr="002A63DA" w:rsidR="001559D7" w:rsidP="035DD17A" w:rsidRDefault="00A92537" w14:paraId="6DFAACAF"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597" w:type="pct"/>
            <w:noWrap/>
            <w:tcMar/>
            <w:hideMark/>
          </w:tcPr>
          <w:p w:rsidRPr="002A63DA" w:rsidR="001559D7" w:rsidP="035DD17A" w:rsidRDefault="00A92537" w14:paraId="44BF9BC7"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45</w:t>
            </w:r>
          </w:p>
        </w:tc>
        <w:tc>
          <w:tcPr>
            <w:tcW w:w="672" w:type="pct"/>
            <w:noWrap/>
            <w:tcMar/>
            <w:hideMark/>
          </w:tcPr>
          <w:p w:rsidRPr="002A63DA" w:rsidR="001559D7" w:rsidP="035DD17A" w:rsidRDefault="00A92537" w14:paraId="05C7F1D8"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459</w:t>
            </w:r>
          </w:p>
        </w:tc>
        <w:tc>
          <w:tcPr>
            <w:tcW w:w="761" w:type="pct"/>
            <w:noWrap/>
            <w:tcMar/>
          </w:tcPr>
          <w:p w:rsidRPr="002A63DA" w:rsidR="001559D7" w:rsidP="035DD17A" w:rsidRDefault="00A92537" w14:paraId="6295A90F"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1034" w:type="pct"/>
            <w:noWrap/>
            <w:tcMar/>
            <w:hideMark/>
          </w:tcPr>
          <w:p w:rsidRPr="002A63DA" w:rsidR="001559D7" w:rsidP="035DD17A" w:rsidRDefault="00A92537" w14:paraId="22838A21"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7</w:t>
            </w:r>
          </w:p>
        </w:tc>
      </w:tr>
      <w:tr w:rsidR="00C81F10" w:rsidTr="035DD17A" w14:paraId="5BAAE1AA" w14:textId="77777777">
        <w:trPr>
          <w:trHeight w:val="20"/>
        </w:trPr>
        <w:tc>
          <w:tcPr>
            <w:tcW w:w="620" w:type="pct"/>
            <w:noWrap/>
            <w:tcMar/>
            <w:hideMark/>
          </w:tcPr>
          <w:p w:rsidRPr="002A63DA" w:rsidR="001559D7" w:rsidP="035DD17A" w:rsidRDefault="00A92537" w14:paraId="3DFAB1B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BAU35</w:t>
            </w:r>
          </w:p>
        </w:tc>
        <w:tc>
          <w:tcPr>
            <w:tcW w:w="587" w:type="pct"/>
            <w:noWrap/>
            <w:tcMar/>
            <w:hideMark/>
          </w:tcPr>
          <w:p w:rsidRPr="002A63DA" w:rsidR="001559D7" w:rsidP="035DD17A" w:rsidRDefault="00A92537" w14:paraId="55800315"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729" w:type="pct"/>
            <w:noWrap/>
            <w:tcMar/>
            <w:hideMark/>
          </w:tcPr>
          <w:p w:rsidRPr="002A63DA" w:rsidR="001559D7" w:rsidP="035DD17A" w:rsidRDefault="00A92537" w14:paraId="2B031B6A"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597" w:type="pct"/>
            <w:noWrap/>
            <w:tcMar/>
            <w:hideMark/>
          </w:tcPr>
          <w:p w:rsidRPr="002A63DA" w:rsidR="001559D7" w:rsidP="035DD17A" w:rsidRDefault="00A92537" w14:paraId="313F82BB"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672" w:type="pct"/>
            <w:noWrap/>
            <w:tcMar/>
            <w:hideMark/>
          </w:tcPr>
          <w:p w:rsidRPr="002A63DA" w:rsidR="001559D7" w:rsidP="035DD17A" w:rsidRDefault="00A92537" w14:paraId="6C8715E0"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252</w:t>
            </w:r>
          </w:p>
        </w:tc>
        <w:tc>
          <w:tcPr>
            <w:tcW w:w="761" w:type="pct"/>
            <w:noWrap/>
            <w:tcMar/>
          </w:tcPr>
          <w:p w:rsidRPr="002A63DA" w:rsidR="001559D7" w:rsidP="035DD17A" w:rsidRDefault="00A92537" w14:paraId="155F1954"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1034" w:type="pct"/>
            <w:noWrap/>
            <w:tcMar/>
            <w:hideMark/>
          </w:tcPr>
          <w:p w:rsidRPr="002A63DA" w:rsidR="001559D7" w:rsidP="035DD17A" w:rsidRDefault="00A92537" w14:paraId="7C5B752B"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3</w:t>
            </w:r>
          </w:p>
        </w:tc>
      </w:tr>
      <w:tr w:rsidR="00C81F10" w:rsidTr="035DD17A" w14:paraId="14D04D45" w14:textId="77777777">
        <w:trPr>
          <w:trHeight w:val="20"/>
        </w:trPr>
        <w:tc>
          <w:tcPr>
            <w:tcW w:w="620" w:type="pct"/>
            <w:noWrap/>
            <w:tcMar/>
            <w:hideMark/>
          </w:tcPr>
          <w:p w:rsidRPr="002A63DA" w:rsidR="001559D7" w:rsidP="035DD17A" w:rsidRDefault="00A92537" w14:paraId="45A01817"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FUPS35</w:t>
            </w:r>
          </w:p>
        </w:tc>
        <w:tc>
          <w:tcPr>
            <w:tcW w:w="587" w:type="pct"/>
            <w:noWrap/>
            <w:tcMar/>
            <w:hideMark/>
          </w:tcPr>
          <w:p w:rsidRPr="002A63DA" w:rsidR="001559D7" w:rsidP="035DD17A" w:rsidRDefault="00A92537" w14:paraId="29C9025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729" w:type="pct"/>
            <w:noWrap/>
            <w:tcMar/>
            <w:hideMark/>
          </w:tcPr>
          <w:p w:rsidRPr="002A63DA" w:rsidR="001559D7" w:rsidP="035DD17A" w:rsidRDefault="00A92537" w14:paraId="1F6AE712"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597" w:type="pct"/>
            <w:noWrap/>
            <w:tcMar/>
            <w:hideMark/>
          </w:tcPr>
          <w:p w:rsidRPr="002A63DA" w:rsidR="001559D7" w:rsidP="035DD17A" w:rsidRDefault="00A92537" w14:paraId="632F6AD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672" w:type="pct"/>
            <w:noWrap/>
            <w:tcMar/>
            <w:hideMark/>
          </w:tcPr>
          <w:p w:rsidRPr="002A63DA" w:rsidR="001559D7" w:rsidP="035DD17A" w:rsidRDefault="00A92537" w14:paraId="2D238B82"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214</w:t>
            </w:r>
          </w:p>
        </w:tc>
        <w:tc>
          <w:tcPr>
            <w:tcW w:w="761" w:type="pct"/>
            <w:noWrap/>
            <w:tcMar/>
          </w:tcPr>
          <w:p w:rsidRPr="002A63DA" w:rsidR="001559D7" w:rsidP="035DD17A" w:rsidRDefault="00A92537" w14:paraId="47ABD14B"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1034" w:type="pct"/>
            <w:noWrap/>
            <w:tcMar/>
            <w:hideMark/>
          </w:tcPr>
          <w:p w:rsidRPr="002A63DA" w:rsidR="001559D7" w:rsidP="035DD17A" w:rsidRDefault="00A92537" w14:paraId="258906A2"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3</w:t>
            </w:r>
          </w:p>
        </w:tc>
      </w:tr>
      <w:tr w:rsidR="00C81F10" w:rsidTr="035DD17A" w14:paraId="49B662F3" w14:textId="77777777">
        <w:trPr>
          <w:trHeight w:val="20"/>
        </w:trPr>
        <w:tc>
          <w:tcPr>
            <w:tcW w:w="620" w:type="pct"/>
            <w:noWrap/>
            <w:tcMar/>
            <w:hideMark/>
          </w:tcPr>
          <w:p w:rsidRPr="002A63DA" w:rsidR="001559D7" w:rsidP="035DD17A" w:rsidRDefault="00A92537" w14:paraId="1631106F"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BAU50</w:t>
            </w:r>
          </w:p>
        </w:tc>
        <w:tc>
          <w:tcPr>
            <w:tcW w:w="587" w:type="pct"/>
            <w:noWrap/>
            <w:tcMar/>
            <w:hideMark/>
          </w:tcPr>
          <w:p w:rsidRPr="002A63DA" w:rsidR="001559D7" w:rsidP="035DD17A" w:rsidRDefault="00A92537" w14:paraId="735026EC"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729" w:type="pct"/>
            <w:noWrap/>
            <w:tcMar/>
            <w:hideMark/>
          </w:tcPr>
          <w:p w:rsidRPr="002A63DA" w:rsidR="001559D7" w:rsidP="035DD17A" w:rsidRDefault="00A92537" w14:paraId="64F21934"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2</w:t>
            </w:r>
          </w:p>
        </w:tc>
        <w:tc>
          <w:tcPr>
            <w:tcW w:w="597" w:type="pct"/>
            <w:noWrap/>
            <w:tcMar/>
            <w:hideMark/>
          </w:tcPr>
          <w:p w:rsidRPr="002A63DA" w:rsidR="001559D7" w:rsidP="035DD17A" w:rsidRDefault="00A92537" w14:paraId="36BDC844"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672" w:type="pct"/>
            <w:noWrap/>
            <w:tcMar/>
            <w:hideMark/>
          </w:tcPr>
          <w:p w:rsidRPr="002A63DA" w:rsidR="001559D7" w:rsidP="035DD17A" w:rsidRDefault="00A92537" w14:paraId="29B8B385"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180</w:t>
            </w:r>
          </w:p>
        </w:tc>
        <w:tc>
          <w:tcPr>
            <w:tcW w:w="761" w:type="pct"/>
            <w:noWrap/>
            <w:tcMar/>
          </w:tcPr>
          <w:p w:rsidRPr="002A63DA" w:rsidR="001559D7" w:rsidP="035DD17A" w:rsidRDefault="00A92537" w14:paraId="2DCBAE7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1034" w:type="pct"/>
            <w:noWrap/>
            <w:tcMar/>
            <w:hideMark/>
          </w:tcPr>
          <w:p w:rsidRPr="002A63DA" w:rsidR="001559D7" w:rsidP="035DD17A" w:rsidRDefault="00A92537" w14:paraId="79F1BB96"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2</w:t>
            </w:r>
          </w:p>
        </w:tc>
      </w:tr>
      <w:tr w:rsidR="00C81F10" w:rsidTr="035DD17A" w14:paraId="40DB27DB" w14:textId="77777777">
        <w:trPr>
          <w:trHeight w:val="20"/>
        </w:trPr>
        <w:tc>
          <w:tcPr>
            <w:tcW w:w="620" w:type="pct"/>
            <w:noWrap/>
            <w:tcMar/>
            <w:hideMark/>
          </w:tcPr>
          <w:p w:rsidRPr="002A63DA" w:rsidR="001559D7" w:rsidP="035DD17A" w:rsidRDefault="00A92537" w14:paraId="74FEEF0C"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FUPS50</w:t>
            </w:r>
          </w:p>
        </w:tc>
        <w:tc>
          <w:tcPr>
            <w:tcW w:w="587" w:type="pct"/>
            <w:noWrap/>
            <w:tcMar/>
            <w:hideMark/>
          </w:tcPr>
          <w:p w:rsidRPr="002A63DA" w:rsidR="001559D7" w:rsidP="035DD17A" w:rsidRDefault="00A92537" w14:paraId="73259957"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729" w:type="pct"/>
            <w:noWrap/>
            <w:tcMar/>
            <w:hideMark/>
          </w:tcPr>
          <w:p w:rsidRPr="002A63DA" w:rsidR="001559D7" w:rsidP="035DD17A" w:rsidRDefault="00A92537" w14:paraId="047893B9"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597" w:type="pct"/>
            <w:noWrap/>
            <w:tcMar/>
            <w:hideMark/>
          </w:tcPr>
          <w:p w:rsidRPr="002A63DA" w:rsidR="001559D7" w:rsidP="035DD17A" w:rsidRDefault="00A92537" w14:paraId="20C7D017"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672" w:type="pct"/>
            <w:noWrap/>
            <w:tcMar/>
            <w:hideMark/>
          </w:tcPr>
          <w:p w:rsidRPr="002A63DA" w:rsidR="001559D7" w:rsidP="035DD17A" w:rsidRDefault="00A92537" w14:paraId="2C86B875"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171</w:t>
            </w:r>
          </w:p>
        </w:tc>
        <w:tc>
          <w:tcPr>
            <w:tcW w:w="761" w:type="pct"/>
            <w:noWrap/>
            <w:tcMar/>
          </w:tcPr>
          <w:p w:rsidRPr="002A63DA" w:rsidR="001559D7" w:rsidP="035DD17A" w:rsidRDefault="00A92537" w14:paraId="475F1986"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w:t>
            </w:r>
          </w:p>
        </w:tc>
        <w:tc>
          <w:tcPr>
            <w:tcW w:w="1034" w:type="pct"/>
            <w:noWrap/>
            <w:tcMar/>
            <w:hideMark/>
          </w:tcPr>
          <w:p w:rsidRPr="002A63DA" w:rsidR="001559D7" w:rsidP="035DD17A" w:rsidRDefault="00A92537" w14:paraId="26630C4A"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2</w:t>
            </w:r>
          </w:p>
        </w:tc>
      </w:tr>
      <w:tr w:rsidR="00C81F10" w:rsidTr="035DD17A" w14:paraId="00371F75" w14:textId="77777777">
        <w:trPr>
          <w:trHeight w:val="20"/>
        </w:trPr>
        <w:tc>
          <w:tcPr>
            <w:tcW w:w="620" w:type="pct"/>
            <w:noWrap/>
            <w:tcMar/>
            <w:hideMark/>
          </w:tcPr>
          <w:p w:rsidRPr="002A63DA" w:rsidR="001559D7" w:rsidP="035DD17A" w:rsidRDefault="001559D7" w14:paraId="3294E682" w14:textId="77777777">
            <w:pPr>
              <w:jc w:val="center"/>
              <w:rPr>
                <w:rFonts w:cs="Calibri" w:cstheme="minorAscii"/>
                <w:color w:val="000000"/>
                <w:sz w:val="18"/>
                <w:szCs w:val="18"/>
                <w:lang w:val="en-GB" w:eastAsia="pt-PT"/>
              </w:rPr>
            </w:pPr>
          </w:p>
        </w:tc>
        <w:tc>
          <w:tcPr>
            <w:tcW w:w="4380" w:type="pct"/>
            <w:gridSpan w:val="6"/>
            <w:noWrap/>
            <w:tcMar/>
            <w:hideMark/>
          </w:tcPr>
          <w:p w:rsidRPr="002A63DA" w:rsidR="001559D7" w:rsidP="035DD17A" w:rsidRDefault="00A92537" w14:paraId="155BDCE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PM10</w:t>
            </w:r>
          </w:p>
        </w:tc>
      </w:tr>
      <w:tr w:rsidR="00C81F10" w:rsidTr="035DD17A" w14:paraId="5C81229A" w14:textId="77777777">
        <w:trPr>
          <w:trHeight w:val="20"/>
        </w:trPr>
        <w:tc>
          <w:tcPr>
            <w:tcW w:w="620" w:type="pct"/>
            <w:noWrap/>
            <w:tcMar/>
            <w:hideMark/>
          </w:tcPr>
          <w:p w:rsidRPr="002A63DA" w:rsidR="002902CF" w:rsidP="035DD17A" w:rsidRDefault="00A92537" w14:paraId="5DBE7730"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2015</w:t>
            </w:r>
          </w:p>
        </w:tc>
        <w:tc>
          <w:tcPr>
            <w:tcW w:w="587" w:type="pct"/>
            <w:noWrap/>
            <w:tcMar/>
            <w:hideMark/>
          </w:tcPr>
          <w:p w:rsidRPr="002A63DA" w:rsidR="002902CF" w:rsidP="035DD17A" w:rsidRDefault="00A92537" w14:paraId="6EEF424E"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(16)</w:t>
            </w:r>
          </w:p>
        </w:tc>
        <w:tc>
          <w:tcPr>
            <w:tcW w:w="729" w:type="pct"/>
            <w:noWrap/>
            <w:tcMar/>
            <w:hideMark/>
          </w:tcPr>
          <w:p w:rsidRPr="002A63DA" w:rsidR="002902CF" w:rsidP="035DD17A" w:rsidRDefault="00A92537" w14:paraId="6BCF98B4"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(179)</w:t>
            </w:r>
          </w:p>
        </w:tc>
        <w:tc>
          <w:tcPr>
            <w:tcW w:w="597" w:type="pct"/>
            <w:noWrap/>
            <w:tcMar/>
            <w:hideMark/>
          </w:tcPr>
          <w:p w:rsidRPr="002A63DA" w:rsidR="002902CF" w:rsidP="035DD17A" w:rsidRDefault="00A92537" w14:paraId="162220A9"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(2)</w:t>
            </w:r>
          </w:p>
        </w:tc>
        <w:tc>
          <w:tcPr>
            <w:tcW w:w="672" w:type="pct"/>
            <w:noWrap/>
            <w:tcMar/>
            <w:hideMark/>
          </w:tcPr>
          <w:p w:rsidRPr="002A63DA" w:rsidR="002902CF" w:rsidP="035DD17A" w:rsidRDefault="00A92537" w14:paraId="364BC332"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46 (3800)</w:t>
            </w:r>
          </w:p>
        </w:tc>
        <w:tc>
          <w:tcPr>
            <w:tcW w:w="761" w:type="pct"/>
            <w:noWrap/>
            <w:tcMar/>
          </w:tcPr>
          <w:p w:rsidRPr="002A63DA" w:rsidR="002902CF" w:rsidP="035DD17A" w:rsidRDefault="00A92537" w14:paraId="138C19C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4" w:type="pct"/>
            <w:noWrap/>
            <w:tcMar/>
            <w:hideMark/>
          </w:tcPr>
          <w:p w:rsidRPr="002A63DA" w:rsidR="002902CF" w:rsidP="035DD17A" w:rsidRDefault="00A92537" w14:paraId="00C68FA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3 (924)</w:t>
            </w:r>
          </w:p>
        </w:tc>
      </w:tr>
      <w:tr w:rsidR="00C81F10" w:rsidTr="035DD17A" w14:paraId="4AFBF824" w14:textId="77777777">
        <w:trPr>
          <w:trHeight w:val="20"/>
        </w:trPr>
        <w:tc>
          <w:tcPr>
            <w:tcW w:w="620" w:type="pct"/>
            <w:noWrap/>
            <w:tcMar/>
            <w:hideMark/>
          </w:tcPr>
          <w:p w:rsidRPr="002A63DA" w:rsidR="00754D36" w:rsidP="035DD17A" w:rsidRDefault="00A92537" w14:paraId="6119453C"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BAU25</w:t>
            </w:r>
          </w:p>
        </w:tc>
        <w:tc>
          <w:tcPr>
            <w:tcW w:w="587" w:type="pct"/>
            <w:noWrap/>
            <w:tcMar/>
            <w:hideMark/>
          </w:tcPr>
          <w:p w:rsidRPr="002A63DA" w:rsidR="00754D36" w:rsidP="035DD17A" w:rsidRDefault="00A92537" w14:paraId="21820B8E"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(8)</w:t>
            </w:r>
          </w:p>
        </w:tc>
        <w:tc>
          <w:tcPr>
            <w:tcW w:w="729" w:type="pct"/>
            <w:noWrap/>
            <w:tcMar/>
            <w:hideMark/>
          </w:tcPr>
          <w:p w:rsidRPr="002A63DA" w:rsidR="00754D36" w:rsidP="035DD17A" w:rsidRDefault="00A92537" w14:paraId="15020AA0"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(37)</w:t>
            </w:r>
          </w:p>
        </w:tc>
        <w:tc>
          <w:tcPr>
            <w:tcW w:w="597" w:type="pct"/>
            <w:noWrap/>
            <w:tcMar/>
            <w:hideMark/>
          </w:tcPr>
          <w:p w:rsidRPr="002A63DA" w:rsidR="00754D36" w:rsidP="035DD17A" w:rsidRDefault="00A92537" w14:paraId="0A5E4CE8"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672" w:type="pct"/>
            <w:noWrap/>
            <w:tcMar/>
            <w:hideMark/>
          </w:tcPr>
          <w:p w:rsidRPr="002A63DA" w:rsidR="00754D36" w:rsidP="035DD17A" w:rsidRDefault="00A92537" w14:paraId="5EB91D45"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16 (2670)</w:t>
            </w:r>
          </w:p>
        </w:tc>
        <w:tc>
          <w:tcPr>
            <w:tcW w:w="761" w:type="pct"/>
            <w:noWrap/>
            <w:tcMar/>
          </w:tcPr>
          <w:p w:rsidRPr="002A63DA" w:rsidR="00754D36" w:rsidP="035DD17A" w:rsidRDefault="00A92537" w14:paraId="7EA4DAB8"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4" w:type="pct"/>
            <w:noWrap/>
            <w:tcMar/>
            <w:hideMark/>
          </w:tcPr>
          <w:p w:rsidRPr="002A63DA" w:rsidR="00754D36" w:rsidP="035DD17A" w:rsidRDefault="00A92537" w14:paraId="1567D250"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 (656)</w:t>
            </w:r>
          </w:p>
        </w:tc>
      </w:tr>
      <w:tr w:rsidR="00C81F10" w:rsidTr="035DD17A" w14:paraId="52D1DF9D" w14:textId="77777777">
        <w:trPr>
          <w:trHeight w:val="20"/>
        </w:trPr>
        <w:tc>
          <w:tcPr>
            <w:tcW w:w="620" w:type="pct"/>
            <w:noWrap/>
            <w:tcMar/>
            <w:hideMark/>
          </w:tcPr>
          <w:p w:rsidRPr="002A63DA" w:rsidR="00754D36" w:rsidP="035DD17A" w:rsidRDefault="00A92537" w14:paraId="3F6B55F2"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FUPS25</w:t>
            </w:r>
          </w:p>
        </w:tc>
        <w:tc>
          <w:tcPr>
            <w:tcW w:w="587" w:type="pct"/>
            <w:noWrap/>
            <w:tcMar/>
            <w:hideMark/>
          </w:tcPr>
          <w:p w:rsidRPr="002A63DA" w:rsidR="00754D36" w:rsidP="035DD17A" w:rsidRDefault="00A92537" w14:paraId="13CCE8BA"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729" w:type="pct"/>
            <w:noWrap/>
            <w:tcMar/>
            <w:hideMark/>
          </w:tcPr>
          <w:p w:rsidRPr="002A63DA" w:rsidR="00754D36" w:rsidP="035DD17A" w:rsidRDefault="00A92537" w14:paraId="3708E9CF"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(35)</w:t>
            </w:r>
          </w:p>
        </w:tc>
        <w:tc>
          <w:tcPr>
            <w:tcW w:w="597" w:type="pct"/>
            <w:noWrap/>
            <w:tcMar/>
            <w:hideMark/>
          </w:tcPr>
          <w:p w:rsidRPr="002A63DA" w:rsidR="00754D36" w:rsidP="035DD17A" w:rsidRDefault="00A92537" w14:paraId="6BFE738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672" w:type="pct"/>
            <w:noWrap/>
            <w:tcMar/>
            <w:hideMark/>
          </w:tcPr>
          <w:p w:rsidRPr="002A63DA" w:rsidR="00754D36" w:rsidP="035DD17A" w:rsidRDefault="00A92537" w14:paraId="1BA3E1C2"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14 (2505)</w:t>
            </w:r>
          </w:p>
        </w:tc>
        <w:tc>
          <w:tcPr>
            <w:tcW w:w="761" w:type="pct"/>
            <w:noWrap/>
            <w:tcMar/>
          </w:tcPr>
          <w:p w:rsidRPr="002A63DA" w:rsidR="00754D36" w:rsidP="035DD17A" w:rsidRDefault="00A92537" w14:paraId="79189AE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4" w:type="pct"/>
            <w:noWrap/>
            <w:tcMar/>
            <w:hideMark/>
          </w:tcPr>
          <w:p w:rsidRPr="002A63DA" w:rsidR="00754D36" w:rsidP="035DD17A" w:rsidRDefault="00A92537" w14:paraId="3FFC72EE"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 (661)</w:t>
            </w:r>
          </w:p>
        </w:tc>
      </w:tr>
      <w:tr w:rsidR="00C81F10" w:rsidTr="035DD17A" w14:paraId="2D13FAAE" w14:textId="77777777">
        <w:trPr>
          <w:trHeight w:val="20"/>
        </w:trPr>
        <w:tc>
          <w:tcPr>
            <w:tcW w:w="620" w:type="pct"/>
            <w:noWrap/>
            <w:tcMar/>
            <w:hideMark/>
          </w:tcPr>
          <w:p w:rsidRPr="002A63DA" w:rsidR="00754D36" w:rsidP="035DD17A" w:rsidRDefault="00A92537" w14:paraId="587C6AFE"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BAU35</w:t>
            </w:r>
          </w:p>
        </w:tc>
        <w:tc>
          <w:tcPr>
            <w:tcW w:w="587" w:type="pct"/>
            <w:noWrap/>
            <w:tcMar/>
            <w:hideMark/>
          </w:tcPr>
          <w:p w:rsidRPr="002A63DA" w:rsidR="00754D36" w:rsidP="035DD17A" w:rsidRDefault="00A92537" w14:paraId="38216DC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(5)</w:t>
            </w:r>
          </w:p>
        </w:tc>
        <w:tc>
          <w:tcPr>
            <w:tcW w:w="729" w:type="pct"/>
            <w:noWrap/>
            <w:tcMar/>
            <w:hideMark/>
          </w:tcPr>
          <w:p w:rsidRPr="002A63DA" w:rsidR="00754D36" w:rsidP="035DD17A" w:rsidRDefault="00A92537" w14:paraId="757CA35C"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(35)</w:t>
            </w:r>
          </w:p>
        </w:tc>
        <w:tc>
          <w:tcPr>
            <w:tcW w:w="597" w:type="pct"/>
            <w:noWrap/>
            <w:tcMar/>
            <w:hideMark/>
          </w:tcPr>
          <w:p w:rsidRPr="002A63DA" w:rsidR="00754D36" w:rsidP="035DD17A" w:rsidRDefault="00A92537" w14:paraId="4993F23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672" w:type="pct"/>
            <w:noWrap/>
            <w:tcMar/>
            <w:hideMark/>
          </w:tcPr>
          <w:p w:rsidRPr="002A63DA" w:rsidR="00754D36" w:rsidP="035DD17A" w:rsidRDefault="00A92537" w14:paraId="4BC0E4B4"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5 (1740)</w:t>
            </w:r>
          </w:p>
        </w:tc>
        <w:tc>
          <w:tcPr>
            <w:tcW w:w="761" w:type="pct"/>
            <w:noWrap/>
            <w:tcMar/>
          </w:tcPr>
          <w:p w:rsidRPr="002A63DA" w:rsidR="00754D36" w:rsidP="035DD17A" w:rsidRDefault="00A92537" w14:paraId="42129F5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4" w:type="pct"/>
            <w:noWrap/>
            <w:tcMar/>
            <w:hideMark/>
          </w:tcPr>
          <w:p w:rsidRPr="002A63DA" w:rsidR="00754D36" w:rsidP="035DD17A" w:rsidRDefault="00A92537" w14:paraId="5F7881AF"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(541)</w:t>
            </w:r>
          </w:p>
        </w:tc>
      </w:tr>
      <w:tr w:rsidR="00C81F10" w:rsidTr="035DD17A" w14:paraId="1FCBE735" w14:textId="77777777">
        <w:trPr>
          <w:trHeight w:val="20"/>
        </w:trPr>
        <w:tc>
          <w:tcPr>
            <w:tcW w:w="620" w:type="pct"/>
            <w:noWrap/>
            <w:tcMar/>
            <w:hideMark/>
          </w:tcPr>
          <w:p w:rsidRPr="002A63DA" w:rsidR="00754D36" w:rsidP="035DD17A" w:rsidRDefault="00A92537" w14:paraId="7284B276"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FUPS35</w:t>
            </w:r>
          </w:p>
        </w:tc>
        <w:tc>
          <w:tcPr>
            <w:tcW w:w="587" w:type="pct"/>
            <w:noWrap/>
            <w:tcMar/>
            <w:hideMark/>
          </w:tcPr>
          <w:p w:rsidRPr="002A63DA" w:rsidR="00754D36" w:rsidP="035DD17A" w:rsidRDefault="00A92537" w14:paraId="67BF3D1F"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729" w:type="pct"/>
            <w:noWrap/>
            <w:tcMar/>
            <w:hideMark/>
          </w:tcPr>
          <w:p w:rsidRPr="002A63DA" w:rsidR="00754D36" w:rsidP="035DD17A" w:rsidRDefault="00A92537" w14:paraId="2E98A99A"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(35)</w:t>
            </w:r>
          </w:p>
        </w:tc>
        <w:tc>
          <w:tcPr>
            <w:tcW w:w="597" w:type="pct"/>
            <w:noWrap/>
            <w:tcMar/>
            <w:hideMark/>
          </w:tcPr>
          <w:p w:rsidRPr="002A63DA" w:rsidR="00754D36" w:rsidP="035DD17A" w:rsidRDefault="00A92537" w14:paraId="31AF3C88"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672" w:type="pct"/>
            <w:noWrap/>
            <w:tcMar/>
            <w:hideMark/>
          </w:tcPr>
          <w:p w:rsidRPr="002A63DA" w:rsidR="00754D36" w:rsidP="035DD17A" w:rsidRDefault="00A92537" w14:paraId="2AB2011A"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5 (1547)</w:t>
            </w:r>
          </w:p>
        </w:tc>
        <w:tc>
          <w:tcPr>
            <w:tcW w:w="761" w:type="pct"/>
            <w:noWrap/>
            <w:tcMar/>
          </w:tcPr>
          <w:p w:rsidRPr="002A63DA" w:rsidR="00754D36" w:rsidP="035DD17A" w:rsidRDefault="00A92537" w14:paraId="09E1182B"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4" w:type="pct"/>
            <w:noWrap/>
            <w:tcMar/>
            <w:hideMark/>
          </w:tcPr>
          <w:p w:rsidRPr="002A63DA" w:rsidR="00754D36" w:rsidP="035DD17A" w:rsidRDefault="00A92537" w14:paraId="1B68D54F"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(536)</w:t>
            </w:r>
          </w:p>
        </w:tc>
      </w:tr>
      <w:tr w:rsidR="00C81F10" w:rsidTr="035DD17A" w14:paraId="14677A55" w14:textId="77777777">
        <w:trPr>
          <w:trHeight w:val="20"/>
        </w:trPr>
        <w:tc>
          <w:tcPr>
            <w:tcW w:w="620" w:type="pct"/>
            <w:noWrap/>
            <w:tcMar/>
            <w:hideMark/>
          </w:tcPr>
          <w:p w:rsidRPr="002A63DA" w:rsidR="00754D36" w:rsidP="035DD17A" w:rsidRDefault="00A92537" w14:paraId="6C7195DF"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BAU50</w:t>
            </w:r>
          </w:p>
        </w:tc>
        <w:tc>
          <w:tcPr>
            <w:tcW w:w="587" w:type="pct"/>
            <w:noWrap/>
            <w:tcMar/>
            <w:hideMark/>
          </w:tcPr>
          <w:p w:rsidRPr="002A63DA" w:rsidR="00754D36" w:rsidP="035DD17A" w:rsidRDefault="00A92537" w14:paraId="5C8F8000"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w:t>
            </w:r>
          </w:p>
        </w:tc>
        <w:tc>
          <w:tcPr>
            <w:tcW w:w="729" w:type="pct"/>
            <w:noWrap/>
            <w:tcMar/>
            <w:hideMark/>
          </w:tcPr>
          <w:p w:rsidRPr="002A63DA" w:rsidR="00754D36" w:rsidP="035DD17A" w:rsidRDefault="00A92537" w14:paraId="082E60BC"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(35)</w:t>
            </w:r>
          </w:p>
        </w:tc>
        <w:tc>
          <w:tcPr>
            <w:tcW w:w="597" w:type="pct"/>
            <w:noWrap/>
            <w:tcMar/>
            <w:hideMark/>
          </w:tcPr>
          <w:p w:rsidRPr="002A63DA" w:rsidR="00754D36" w:rsidP="035DD17A" w:rsidRDefault="00A92537" w14:paraId="7641D2E0"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672" w:type="pct"/>
            <w:noWrap/>
            <w:tcMar/>
            <w:hideMark/>
          </w:tcPr>
          <w:p w:rsidRPr="002A63DA" w:rsidR="00754D36" w:rsidP="035DD17A" w:rsidRDefault="00A92537" w14:paraId="5643DF9F"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4 (1385)</w:t>
            </w:r>
          </w:p>
        </w:tc>
        <w:tc>
          <w:tcPr>
            <w:tcW w:w="761" w:type="pct"/>
            <w:noWrap/>
            <w:tcMar/>
          </w:tcPr>
          <w:p w:rsidRPr="002A63DA" w:rsidR="00754D36" w:rsidP="035DD17A" w:rsidRDefault="00A92537" w14:paraId="04E6C788"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4" w:type="pct"/>
            <w:noWrap/>
            <w:tcMar/>
            <w:hideMark/>
          </w:tcPr>
          <w:p w:rsidRPr="002A63DA" w:rsidR="00754D36" w:rsidP="035DD17A" w:rsidRDefault="00A92537" w14:paraId="24816E0C"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(553)</w:t>
            </w:r>
          </w:p>
        </w:tc>
      </w:tr>
      <w:tr w:rsidR="00C81F10" w:rsidTr="035DD17A" w14:paraId="29009C16" w14:textId="77777777">
        <w:trPr>
          <w:trHeight w:val="20"/>
        </w:trPr>
        <w:tc>
          <w:tcPr>
            <w:tcW w:w="620" w:type="pct"/>
            <w:noWrap/>
            <w:tcMar/>
            <w:hideMark/>
          </w:tcPr>
          <w:p w:rsidRPr="002A63DA" w:rsidR="00754D36" w:rsidP="035DD17A" w:rsidRDefault="00A92537" w14:paraId="60CCDCA7"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FUPS50</w:t>
            </w:r>
          </w:p>
        </w:tc>
        <w:tc>
          <w:tcPr>
            <w:tcW w:w="587" w:type="pct"/>
            <w:noWrap/>
            <w:tcMar/>
            <w:hideMark/>
          </w:tcPr>
          <w:p w:rsidRPr="002A63DA" w:rsidR="00754D36" w:rsidP="035DD17A" w:rsidRDefault="00A92537" w14:paraId="2E39E157"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729" w:type="pct"/>
            <w:noWrap/>
            <w:tcMar/>
            <w:hideMark/>
          </w:tcPr>
          <w:p w:rsidRPr="002A63DA" w:rsidR="00754D36" w:rsidP="035DD17A" w:rsidRDefault="00A92537" w14:paraId="7D8684F1"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(35)</w:t>
            </w:r>
          </w:p>
        </w:tc>
        <w:tc>
          <w:tcPr>
            <w:tcW w:w="597" w:type="pct"/>
            <w:noWrap/>
            <w:tcMar/>
            <w:hideMark/>
          </w:tcPr>
          <w:p w:rsidRPr="002A63DA" w:rsidR="00754D36" w:rsidP="035DD17A" w:rsidRDefault="00A92537" w14:paraId="2CA7168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672" w:type="pct"/>
            <w:noWrap/>
            <w:tcMar/>
            <w:hideMark/>
          </w:tcPr>
          <w:p w:rsidRPr="002A63DA" w:rsidR="00754D36" w:rsidP="035DD17A" w:rsidRDefault="00A92537" w14:paraId="2118E296"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3 (1245)</w:t>
            </w:r>
          </w:p>
        </w:tc>
        <w:tc>
          <w:tcPr>
            <w:tcW w:w="761" w:type="pct"/>
            <w:noWrap/>
            <w:tcMar/>
          </w:tcPr>
          <w:p w:rsidRPr="002A63DA" w:rsidR="00754D36" w:rsidP="035DD17A" w:rsidRDefault="00A92537" w14:paraId="52B95348"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4" w:type="pct"/>
            <w:noWrap/>
            <w:tcMar/>
            <w:hideMark/>
          </w:tcPr>
          <w:p w:rsidRPr="002A63DA" w:rsidR="00754D36" w:rsidP="035DD17A" w:rsidRDefault="00A92537" w14:paraId="2ABCD33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(514)</w:t>
            </w:r>
          </w:p>
        </w:tc>
      </w:tr>
      <w:tr w:rsidR="00C81F10" w:rsidTr="035DD17A" w14:paraId="1A9F2C79" w14:textId="77777777">
        <w:trPr>
          <w:trHeight w:val="20"/>
        </w:trPr>
        <w:tc>
          <w:tcPr>
            <w:tcW w:w="620" w:type="pct"/>
            <w:noWrap/>
            <w:tcMar/>
            <w:hideMark/>
          </w:tcPr>
          <w:p w:rsidRPr="002A63DA" w:rsidR="002902CF" w:rsidP="035DD17A" w:rsidRDefault="002902CF" w14:paraId="1770B210" w14:textId="77777777">
            <w:pPr>
              <w:jc w:val="center"/>
              <w:rPr>
                <w:rFonts w:cs="Calibri" w:cstheme="minorAscii"/>
                <w:color w:val="000000"/>
                <w:sz w:val="18"/>
                <w:szCs w:val="18"/>
                <w:lang w:val="en-GB" w:eastAsia="pt-PT"/>
              </w:rPr>
            </w:pPr>
          </w:p>
        </w:tc>
        <w:tc>
          <w:tcPr>
            <w:tcW w:w="4380" w:type="pct"/>
            <w:gridSpan w:val="6"/>
            <w:noWrap/>
            <w:tcMar/>
            <w:hideMark/>
          </w:tcPr>
          <w:p w:rsidRPr="002A63DA" w:rsidR="002902CF" w:rsidP="035DD17A" w:rsidRDefault="00A92537" w14:paraId="596BE0E2"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PM2.5</w:t>
            </w:r>
          </w:p>
        </w:tc>
      </w:tr>
      <w:tr w:rsidR="00C81F10" w:rsidTr="035DD17A" w14:paraId="7D831F98" w14:textId="77777777">
        <w:trPr>
          <w:trHeight w:val="20"/>
        </w:trPr>
        <w:tc>
          <w:tcPr>
            <w:tcW w:w="620" w:type="pct"/>
            <w:noWrap/>
            <w:tcMar/>
            <w:hideMark/>
          </w:tcPr>
          <w:p w:rsidRPr="002A63DA" w:rsidR="002902CF" w:rsidP="035DD17A" w:rsidRDefault="00A92537" w14:paraId="6779E6C9" w14:textId="77777777">
            <w:pPr>
              <w:jc w:val="center"/>
              <w:rPr>
                <w:rFonts w:cs="Calibri" w:cstheme="minorAscii"/>
                <w:color w:val="000000"/>
                <w:sz w:val="18"/>
                <w:szCs w:val="18"/>
                <w:lang w:val="en-GB" w:eastAsia="pt-PT"/>
              </w:rPr>
            </w:pPr>
            <w:bookmarkStart w:name="_Hlk64990111" w:id="14"/>
            <w:r w:rsidRPr="035DD17A" w:rsidR="00A92537">
              <w:rPr>
                <w:rFonts w:cs="Calibri" w:cstheme="minorAscii"/>
                <w:color w:val="000000" w:themeColor="text1" w:themeTint="FF" w:themeShade="FF"/>
                <w:sz w:val="18"/>
                <w:szCs w:val="18"/>
                <w:lang w:val="en-GB" w:eastAsia="pt-PT"/>
              </w:rPr>
              <w:t>2015</w:t>
            </w:r>
          </w:p>
        </w:tc>
        <w:tc>
          <w:tcPr>
            <w:tcW w:w="587" w:type="pct"/>
            <w:noWrap/>
            <w:tcMar/>
            <w:hideMark/>
          </w:tcPr>
          <w:p w:rsidRPr="002A63DA" w:rsidR="002902CF" w:rsidP="035DD17A" w:rsidRDefault="00A92537" w14:paraId="4A979C2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(655)</w:t>
            </w:r>
          </w:p>
        </w:tc>
        <w:tc>
          <w:tcPr>
            <w:tcW w:w="729" w:type="pct"/>
            <w:noWrap/>
            <w:tcMar/>
            <w:hideMark/>
          </w:tcPr>
          <w:p w:rsidRPr="002A63DA" w:rsidR="002902CF" w:rsidP="035DD17A" w:rsidRDefault="00A92537" w14:paraId="354DD2DE"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(3609)</w:t>
            </w:r>
          </w:p>
        </w:tc>
        <w:tc>
          <w:tcPr>
            <w:tcW w:w="597" w:type="pct"/>
            <w:noWrap/>
            <w:tcMar/>
            <w:hideMark/>
          </w:tcPr>
          <w:p w:rsidRPr="002A63DA" w:rsidR="002902CF" w:rsidP="035DD17A" w:rsidRDefault="00A92537" w14:paraId="059F548F"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(3792)</w:t>
            </w:r>
          </w:p>
        </w:tc>
        <w:tc>
          <w:tcPr>
            <w:tcW w:w="672" w:type="pct"/>
            <w:noWrap/>
            <w:tcMar/>
            <w:hideMark/>
          </w:tcPr>
          <w:p w:rsidRPr="002A63DA" w:rsidR="002902CF" w:rsidP="035DD17A" w:rsidRDefault="00A92537" w14:paraId="4C7BB77B"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372 (5755)</w:t>
            </w:r>
          </w:p>
        </w:tc>
        <w:tc>
          <w:tcPr>
            <w:tcW w:w="761" w:type="pct"/>
            <w:noWrap/>
            <w:tcMar/>
          </w:tcPr>
          <w:p w:rsidRPr="002A63DA" w:rsidR="002902CF" w:rsidP="035DD17A" w:rsidRDefault="00A92537" w14:paraId="413AD91A"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(1997)</w:t>
            </w:r>
          </w:p>
        </w:tc>
        <w:tc>
          <w:tcPr>
            <w:tcW w:w="1034" w:type="pct"/>
            <w:noWrap/>
            <w:tcMar/>
            <w:hideMark/>
          </w:tcPr>
          <w:p w:rsidRPr="002A63DA" w:rsidR="002902CF" w:rsidP="035DD17A" w:rsidRDefault="00A92537" w14:paraId="09A7981C"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5 (2637)</w:t>
            </w:r>
          </w:p>
        </w:tc>
      </w:tr>
      <w:tr w:rsidR="00C81F10" w:rsidTr="035DD17A" w14:paraId="60A9DC11" w14:textId="77777777">
        <w:trPr>
          <w:trHeight w:val="20"/>
        </w:trPr>
        <w:tc>
          <w:tcPr>
            <w:tcW w:w="620" w:type="pct"/>
            <w:noWrap/>
            <w:tcMar/>
            <w:hideMark/>
          </w:tcPr>
          <w:p w:rsidRPr="002A63DA" w:rsidR="002902CF" w:rsidP="035DD17A" w:rsidRDefault="00A92537" w14:paraId="2A5FF79E"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BAU25</w:t>
            </w:r>
          </w:p>
        </w:tc>
        <w:tc>
          <w:tcPr>
            <w:tcW w:w="587" w:type="pct"/>
            <w:noWrap/>
            <w:tcMar/>
            <w:hideMark/>
          </w:tcPr>
          <w:p w:rsidRPr="002A63DA" w:rsidR="002902CF" w:rsidP="035DD17A" w:rsidRDefault="00A92537" w14:paraId="3EAB235E"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(406)</w:t>
            </w:r>
          </w:p>
        </w:tc>
        <w:tc>
          <w:tcPr>
            <w:tcW w:w="729" w:type="pct"/>
            <w:noWrap/>
            <w:tcMar/>
            <w:hideMark/>
          </w:tcPr>
          <w:p w:rsidRPr="002A63DA" w:rsidR="002902CF" w:rsidP="035DD17A" w:rsidRDefault="00A92537" w14:paraId="4678A51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(2261)</w:t>
            </w:r>
          </w:p>
        </w:tc>
        <w:tc>
          <w:tcPr>
            <w:tcW w:w="597" w:type="pct"/>
            <w:noWrap/>
            <w:tcMar/>
            <w:hideMark/>
          </w:tcPr>
          <w:p w:rsidRPr="002A63DA" w:rsidR="002902CF" w:rsidP="035DD17A" w:rsidRDefault="00A92537" w14:paraId="1D632CD1"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(3792)</w:t>
            </w:r>
          </w:p>
        </w:tc>
        <w:tc>
          <w:tcPr>
            <w:tcW w:w="672" w:type="pct"/>
            <w:noWrap/>
            <w:tcMar/>
            <w:hideMark/>
          </w:tcPr>
          <w:p w:rsidRPr="002A63DA" w:rsidR="002902CF" w:rsidP="035DD17A" w:rsidRDefault="00A92537" w14:paraId="00BB1B42"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170 (5755)</w:t>
            </w:r>
          </w:p>
        </w:tc>
        <w:tc>
          <w:tcPr>
            <w:tcW w:w="761" w:type="pct"/>
            <w:noWrap/>
            <w:tcMar/>
          </w:tcPr>
          <w:p w:rsidRPr="002A63DA" w:rsidR="002902CF" w:rsidP="035DD17A" w:rsidRDefault="00A92537" w14:paraId="25115179"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(279)</w:t>
            </w:r>
          </w:p>
        </w:tc>
        <w:tc>
          <w:tcPr>
            <w:tcW w:w="1034" w:type="pct"/>
            <w:noWrap/>
            <w:tcMar/>
            <w:hideMark/>
          </w:tcPr>
          <w:p w:rsidRPr="002A63DA" w:rsidR="002902CF" w:rsidP="035DD17A" w:rsidRDefault="00A92537" w14:paraId="246F6607"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3 (2637)</w:t>
            </w:r>
          </w:p>
        </w:tc>
      </w:tr>
      <w:tr w:rsidR="00C81F10" w:rsidTr="035DD17A" w14:paraId="53E67C95" w14:textId="77777777">
        <w:trPr>
          <w:trHeight w:val="20"/>
        </w:trPr>
        <w:tc>
          <w:tcPr>
            <w:tcW w:w="620" w:type="pct"/>
            <w:noWrap/>
            <w:tcMar/>
            <w:hideMark/>
          </w:tcPr>
          <w:p w:rsidRPr="002A63DA" w:rsidR="002902CF" w:rsidP="035DD17A" w:rsidRDefault="00A92537" w14:paraId="6F6C5F3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FUPS25</w:t>
            </w:r>
          </w:p>
        </w:tc>
        <w:tc>
          <w:tcPr>
            <w:tcW w:w="587" w:type="pct"/>
            <w:noWrap/>
            <w:tcMar/>
            <w:hideMark/>
          </w:tcPr>
          <w:p w:rsidRPr="002A63DA" w:rsidR="002902CF" w:rsidP="035DD17A" w:rsidRDefault="00A92537" w14:paraId="2B8E8E4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(192)</w:t>
            </w:r>
          </w:p>
        </w:tc>
        <w:tc>
          <w:tcPr>
            <w:tcW w:w="729" w:type="pct"/>
            <w:noWrap/>
            <w:tcMar/>
            <w:hideMark/>
          </w:tcPr>
          <w:p w:rsidRPr="002A63DA" w:rsidR="002902CF" w:rsidP="035DD17A" w:rsidRDefault="00A92537" w14:paraId="16F477C9"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(55)</w:t>
            </w:r>
          </w:p>
        </w:tc>
        <w:tc>
          <w:tcPr>
            <w:tcW w:w="597" w:type="pct"/>
            <w:noWrap/>
            <w:tcMar/>
            <w:hideMark/>
          </w:tcPr>
          <w:p w:rsidRPr="002A63DA" w:rsidR="002902CF" w:rsidP="035DD17A" w:rsidRDefault="00A92537" w14:paraId="3BA40C86"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(3792)</w:t>
            </w:r>
          </w:p>
        </w:tc>
        <w:tc>
          <w:tcPr>
            <w:tcW w:w="672" w:type="pct"/>
            <w:noWrap/>
            <w:tcMar/>
            <w:hideMark/>
          </w:tcPr>
          <w:p w:rsidRPr="002A63DA" w:rsidR="002902CF" w:rsidP="035DD17A" w:rsidRDefault="00A92537" w14:paraId="1F81347E"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155 (5755)</w:t>
            </w:r>
          </w:p>
        </w:tc>
        <w:tc>
          <w:tcPr>
            <w:tcW w:w="761" w:type="pct"/>
            <w:noWrap/>
            <w:tcMar/>
          </w:tcPr>
          <w:p w:rsidRPr="002A63DA" w:rsidR="002902CF" w:rsidP="035DD17A" w:rsidRDefault="00A92537" w14:paraId="3AC7880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(234)</w:t>
            </w:r>
          </w:p>
        </w:tc>
        <w:tc>
          <w:tcPr>
            <w:tcW w:w="1034" w:type="pct"/>
            <w:noWrap/>
            <w:tcMar/>
            <w:hideMark/>
          </w:tcPr>
          <w:p w:rsidRPr="002A63DA" w:rsidR="002902CF" w:rsidP="035DD17A" w:rsidRDefault="00A92537" w14:paraId="13B9A47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3 (2637)</w:t>
            </w:r>
          </w:p>
        </w:tc>
      </w:tr>
      <w:tr w:rsidR="00C81F10" w:rsidTr="035DD17A" w14:paraId="390F444C" w14:textId="77777777">
        <w:trPr>
          <w:trHeight w:val="20"/>
        </w:trPr>
        <w:tc>
          <w:tcPr>
            <w:tcW w:w="620" w:type="pct"/>
            <w:noWrap/>
            <w:tcMar/>
            <w:hideMark/>
          </w:tcPr>
          <w:p w:rsidRPr="002A63DA" w:rsidR="002902CF" w:rsidP="035DD17A" w:rsidRDefault="00A92537" w14:paraId="4C4651CB"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BAU35</w:t>
            </w:r>
          </w:p>
        </w:tc>
        <w:tc>
          <w:tcPr>
            <w:tcW w:w="587" w:type="pct"/>
            <w:noWrap/>
            <w:tcMar/>
            <w:hideMark/>
          </w:tcPr>
          <w:p w:rsidRPr="002A63DA" w:rsidR="002902CF" w:rsidP="035DD17A" w:rsidRDefault="00A92537" w14:paraId="40BCC7A4"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(338)</w:t>
            </w:r>
          </w:p>
        </w:tc>
        <w:tc>
          <w:tcPr>
            <w:tcW w:w="729" w:type="pct"/>
            <w:noWrap/>
            <w:tcMar/>
            <w:hideMark/>
          </w:tcPr>
          <w:p w:rsidRPr="002A63DA" w:rsidR="002902CF" w:rsidP="035DD17A" w:rsidRDefault="00A92537" w14:paraId="2543B1D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(1616)</w:t>
            </w:r>
          </w:p>
        </w:tc>
        <w:tc>
          <w:tcPr>
            <w:tcW w:w="597" w:type="pct"/>
            <w:noWrap/>
            <w:tcMar/>
            <w:hideMark/>
          </w:tcPr>
          <w:p w:rsidRPr="002A63DA" w:rsidR="002902CF" w:rsidP="035DD17A" w:rsidRDefault="00A92537" w14:paraId="3109BDED"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(3792)</w:t>
            </w:r>
          </w:p>
        </w:tc>
        <w:tc>
          <w:tcPr>
            <w:tcW w:w="672" w:type="pct"/>
            <w:noWrap/>
            <w:tcMar/>
            <w:hideMark/>
          </w:tcPr>
          <w:p w:rsidRPr="002A63DA" w:rsidR="002902CF" w:rsidP="035DD17A" w:rsidRDefault="00A92537" w14:paraId="5DC7F181"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69 (5755)</w:t>
            </w:r>
          </w:p>
        </w:tc>
        <w:tc>
          <w:tcPr>
            <w:tcW w:w="761" w:type="pct"/>
            <w:noWrap/>
            <w:tcMar/>
          </w:tcPr>
          <w:p w:rsidRPr="002A63DA" w:rsidR="002902CF" w:rsidP="035DD17A" w:rsidRDefault="00A92537" w14:paraId="5A88DBD8"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(250)</w:t>
            </w:r>
          </w:p>
        </w:tc>
        <w:tc>
          <w:tcPr>
            <w:tcW w:w="1034" w:type="pct"/>
            <w:noWrap/>
            <w:tcMar/>
            <w:hideMark/>
          </w:tcPr>
          <w:p w:rsidRPr="002A63DA" w:rsidR="002902CF" w:rsidP="035DD17A" w:rsidRDefault="00A92537" w14:paraId="4F66E295"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 (2637)</w:t>
            </w:r>
          </w:p>
        </w:tc>
      </w:tr>
      <w:tr w:rsidR="00C81F10" w:rsidTr="035DD17A" w14:paraId="18D04B4D" w14:textId="77777777">
        <w:trPr>
          <w:trHeight w:val="20"/>
        </w:trPr>
        <w:tc>
          <w:tcPr>
            <w:tcW w:w="620" w:type="pct"/>
            <w:noWrap/>
            <w:tcMar/>
            <w:hideMark/>
          </w:tcPr>
          <w:p w:rsidRPr="002A63DA" w:rsidR="002902CF" w:rsidP="035DD17A" w:rsidRDefault="00A92537" w14:paraId="19BBED1B"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FUPS35</w:t>
            </w:r>
          </w:p>
        </w:tc>
        <w:tc>
          <w:tcPr>
            <w:tcW w:w="587" w:type="pct"/>
            <w:noWrap/>
            <w:tcMar/>
            <w:hideMark/>
          </w:tcPr>
          <w:p w:rsidRPr="002A63DA" w:rsidR="002902CF" w:rsidP="035DD17A" w:rsidRDefault="00A92537" w14:paraId="5983E1F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(100)</w:t>
            </w:r>
          </w:p>
        </w:tc>
        <w:tc>
          <w:tcPr>
            <w:tcW w:w="729" w:type="pct"/>
            <w:noWrap/>
            <w:tcMar/>
            <w:hideMark/>
          </w:tcPr>
          <w:p w:rsidRPr="002A63DA" w:rsidR="002902CF" w:rsidP="035DD17A" w:rsidRDefault="00A92537" w14:paraId="33800982"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(11)</w:t>
            </w:r>
          </w:p>
        </w:tc>
        <w:tc>
          <w:tcPr>
            <w:tcW w:w="597" w:type="pct"/>
            <w:noWrap/>
            <w:tcMar/>
            <w:hideMark/>
          </w:tcPr>
          <w:p w:rsidRPr="002A63DA" w:rsidR="002902CF" w:rsidP="035DD17A" w:rsidRDefault="00A92537" w14:paraId="51F99F16"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(3792)</w:t>
            </w:r>
          </w:p>
        </w:tc>
        <w:tc>
          <w:tcPr>
            <w:tcW w:w="672" w:type="pct"/>
            <w:noWrap/>
            <w:tcMar/>
            <w:hideMark/>
          </w:tcPr>
          <w:p w:rsidRPr="002A63DA" w:rsidR="002902CF" w:rsidP="035DD17A" w:rsidRDefault="00A92537" w14:paraId="7058E72E"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65 (5755)</w:t>
            </w:r>
          </w:p>
        </w:tc>
        <w:tc>
          <w:tcPr>
            <w:tcW w:w="761" w:type="pct"/>
            <w:noWrap/>
            <w:tcMar/>
          </w:tcPr>
          <w:p w:rsidRPr="002A63DA" w:rsidR="002902CF" w:rsidP="035DD17A" w:rsidRDefault="00A92537" w14:paraId="1DA9C7E6"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(61)</w:t>
            </w:r>
          </w:p>
        </w:tc>
        <w:tc>
          <w:tcPr>
            <w:tcW w:w="1034" w:type="pct"/>
            <w:noWrap/>
            <w:tcMar/>
            <w:hideMark/>
          </w:tcPr>
          <w:p w:rsidRPr="002A63DA" w:rsidR="002902CF" w:rsidP="035DD17A" w:rsidRDefault="00A92537" w14:paraId="15668385"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 (2637)</w:t>
            </w:r>
          </w:p>
        </w:tc>
      </w:tr>
      <w:tr w:rsidR="00C81F10" w:rsidTr="035DD17A" w14:paraId="2D558A70" w14:textId="77777777">
        <w:trPr>
          <w:trHeight w:val="20"/>
        </w:trPr>
        <w:tc>
          <w:tcPr>
            <w:tcW w:w="620" w:type="pct"/>
            <w:noWrap/>
            <w:tcMar/>
            <w:hideMark/>
          </w:tcPr>
          <w:p w:rsidRPr="002A63DA" w:rsidR="002902CF" w:rsidP="035DD17A" w:rsidRDefault="00A92537" w14:paraId="09E5957A"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BAU50</w:t>
            </w:r>
          </w:p>
        </w:tc>
        <w:tc>
          <w:tcPr>
            <w:tcW w:w="587" w:type="pct"/>
            <w:noWrap/>
            <w:tcMar/>
            <w:hideMark/>
          </w:tcPr>
          <w:p w:rsidRPr="002A63DA" w:rsidR="002902CF" w:rsidP="035DD17A" w:rsidRDefault="00A92537" w14:paraId="47A42E41"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(249)</w:t>
            </w:r>
          </w:p>
        </w:tc>
        <w:tc>
          <w:tcPr>
            <w:tcW w:w="729" w:type="pct"/>
            <w:noWrap/>
            <w:tcMar/>
            <w:hideMark/>
          </w:tcPr>
          <w:p w:rsidRPr="002A63DA" w:rsidR="002902CF" w:rsidP="035DD17A" w:rsidRDefault="00A92537" w14:paraId="008F51A7"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(1394)</w:t>
            </w:r>
          </w:p>
        </w:tc>
        <w:tc>
          <w:tcPr>
            <w:tcW w:w="597" w:type="pct"/>
            <w:noWrap/>
            <w:tcMar/>
            <w:hideMark/>
          </w:tcPr>
          <w:p w:rsidRPr="002A63DA" w:rsidR="002902CF" w:rsidP="035DD17A" w:rsidRDefault="00A92537" w14:paraId="153C2593"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(3792)</w:t>
            </w:r>
          </w:p>
        </w:tc>
        <w:tc>
          <w:tcPr>
            <w:tcW w:w="672" w:type="pct"/>
            <w:noWrap/>
            <w:tcMar/>
            <w:hideMark/>
          </w:tcPr>
          <w:p w:rsidRPr="002A63DA" w:rsidR="002902CF" w:rsidP="035DD17A" w:rsidRDefault="00A92537" w14:paraId="3F7A2AD5"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47 (5755)</w:t>
            </w:r>
          </w:p>
        </w:tc>
        <w:tc>
          <w:tcPr>
            <w:tcW w:w="761" w:type="pct"/>
            <w:noWrap/>
            <w:tcMar/>
          </w:tcPr>
          <w:p w:rsidRPr="002A63DA" w:rsidR="002902CF" w:rsidP="035DD17A" w:rsidRDefault="00A92537" w14:paraId="4CC9F5B9"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(267)</w:t>
            </w:r>
          </w:p>
        </w:tc>
        <w:tc>
          <w:tcPr>
            <w:tcW w:w="1034" w:type="pct"/>
            <w:noWrap/>
            <w:tcMar/>
            <w:hideMark/>
          </w:tcPr>
          <w:p w:rsidRPr="002A63DA" w:rsidR="002902CF" w:rsidP="035DD17A" w:rsidRDefault="00A92537" w14:paraId="7AE48F2C"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 (2637)</w:t>
            </w:r>
          </w:p>
        </w:tc>
      </w:tr>
      <w:tr w:rsidR="00C81F10" w:rsidTr="035DD17A" w14:paraId="2966808F" w14:textId="77777777">
        <w:trPr>
          <w:trHeight w:val="20"/>
        </w:trPr>
        <w:tc>
          <w:tcPr>
            <w:tcW w:w="620" w:type="pct"/>
            <w:noWrap/>
            <w:tcMar/>
            <w:hideMark/>
          </w:tcPr>
          <w:p w:rsidRPr="002A63DA" w:rsidR="002902CF" w:rsidP="035DD17A" w:rsidRDefault="00A92537" w14:paraId="45ACC37A"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FUPS50</w:t>
            </w:r>
          </w:p>
        </w:tc>
        <w:tc>
          <w:tcPr>
            <w:tcW w:w="587" w:type="pct"/>
            <w:noWrap/>
            <w:tcMar/>
            <w:hideMark/>
          </w:tcPr>
          <w:p w:rsidRPr="002A63DA" w:rsidR="002902CF" w:rsidP="035DD17A" w:rsidRDefault="00A92537" w14:paraId="0FD40287"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(21)</w:t>
            </w:r>
          </w:p>
        </w:tc>
        <w:tc>
          <w:tcPr>
            <w:tcW w:w="729" w:type="pct"/>
            <w:noWrap/>
            <w:tcMar/>
            <w:hideMark/>
          </w:tcPr>
          <w:p w:rsidRPr="002A63DA" w:rsidR="002902CF" w:rsidP="035DD17A" w:rsidRDefault="00A92537" w14:paraId="5371BB66"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(13)</w:t>
            </w:r>
          </w:p>
        </w:tc>
        <w:tc>
          <w:tcPr>
            <w:tcW w:w="597" w:type="pct"/>
            <w:noWrap/>
            <w:tcMar/>
            <w:hideMark/>
          </w:tcPr>
          <w:p w:rsidRPr="002A63DA" w:rsidR="002902CF" w:rsidP="035DD17A" w:rsidRDefault="00A92537" w14:paraId="4D2F2766"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(3792)</w:t>
            </w:r>
          </w:p>
        </w:tc>
        <w:tc>
          <w:tcPr>
            <w:tcW w:w="672" w:type="pct"/>
            <w:noWrap/>
            <w:tcMar/>
            <w:hideMark/>
          </w:tcPr>
          <w:p w:rsidRPr="002A63DA" w:rsidR="002902CF" w:rsidP="035DD17A" w:rsidRDefault="00A92537" w14:paraId="25074AC0"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45 (5755)</w:t>
            </w:r>
          </w:p>
        </w:tc>
        <w:tc>
          <w:tcPr>
            <w:tcW w:w="761" w:type="pct"/>
            <w:noWrap/>
            <w:tcMar/>
          </w:tcPr>
          <w:p w:rsidRPr="002A63DA" w:rsidR="002902CF" w:rsidP="035DD17A" w:rsidRDefault="00A92537" w14:paraId="23CB614C"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(71)</w:t>
            </w:r>
          </w:p>
        </w:tc>
        <w:tc>
          <w:tcPr>
            <w:tcW w:w="1034" w:type="pct"/>
            <w:noWrap/>
            <w:tcMar/>
            <w:hideMark/>
          </w:tcPr>
          <w:p w:rsidRPr="002A63DA" w:rsidR="002902CF" w:rsidP="035DD17A" w:rsidRDefault="00A92537" w14:paraId="4C606744" w14:textId="77777777">
            <w:pPr>
              <w:jc w:val="center"/>
              <w:rPr>
                <w:rFonts w:cs="Calibri" w:cstheme="minorAsci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1 (2637)</w:t>
            </w:r>
          </w:p>
        </w:tc>
      </w:tr>
      <w:bookmarkEnd w:id="14"/>
    </w:tbl>
    <w:p w:rsidRPr="002A63DA" w:rsidR="002F2D54" w:rsidP="002F2D54" w:rsidRDefault="002F2D54" w14:paraId="5C5EB428" w14:textId="77777777">
      <w:pPr>
        <w:rPr>
          <w:lang w:val="en-GB"/>
        </w:rPr>
      </w:pPr>
    </w:p>
    <w:p w:rsidRPr="002A63DA" w:rsidR="002F2D54" w:rsidP="002F2D54" w:rsidRDefault="00A92537" w14:paraId="383243F0" w14:textId="77777777">
      <w:pPr>
        <w:rPr>
          <w:lang w:val="en-GB"/>
        </w:rPr>
      </w:pPr>
      <w:r w:rsidRPr="035DD17A" w:rsidR="00A92537">
        <w:rPr>
          <w:lang w:val="en-GB"/>
        </w:rPr>
        <w:t>For NO</w:t>
      </w:r>
      <w:r w:rsidRPr="035DD17A" w:rsidR="00A92537">
        <w:rPr>
          <w:vertAlign w:val="subscript"/>
          <w:lang w:val="en-GB"/>
        </w:rPr>
        <w:t>2</w:t>
      </w:r>
      <w:r w:rsidRPr="035DD17A" w:rsidR="00A92537">
        <w:rPr>
          <w:lang w:val="en-GB"/>
        </w:rPr>
        <w:t xml:space="preserve">, in 2015 all the cities/regions presented some </w:t>
      </w:r>
      <w:r w:rsidRPr="035DD17A" w:rsidR="007A5D56">
        <w:rPr>
          <w:lang w:val="en-GB"/>
        </w:rPr>
        <w:t xml:space="preserve">exceedances </w:t>
      </w:r>
      <w:r w:rsidRPr="035DD17A" w:rsidR="00A92537">
        <w:rPr>
          <w:lang w:val="en-GB"/>
        </w:rPr>
        <w:t xml:space="preserve">problems in some areas of the domain. By 2025, </w:t>
      </w:r>
      <w:r w:rsidRPr="035DD17A" w:rsidR="0018728F">
        <w:rPr>
          <w:lang w:val="en-GB"/>
        </w:rPr>
        <w:t>significant reductions are</w:t>
      </w:r>
      <w:r w:rsidRPr="035DD17A" w:rsidR="00A92537">
        <w:rPr>
          <w:lang w:val="en-GB"/>
        </w:rPr>
        <w:t xml:space="preserve"> showing a big impact of the measures from both scenarios, resolving the NO</w:t>
      </w:r>
      <w:r w:rsidRPr="035DD17A" w:rsidR="00A92537">
        <w:rPr>
          <w:vertAlign w:val="subscript"/>
          <w:lang w:val="en-GB"/>
        </w:rPr>
        <w:t xml:space="preserve">2 </w:t>
      </w:r>
      <w:r w:rsidRPr="035DD17A" w:rsidR="00F779B5">
        <w:rPr>
          <w:lang w:val="en-GB"/>
        </w:rPr>
        <w:t>issues</w:t>
      </w:r>
      <w:r w:rsidRPr="035DD17A" w:rsidR="00A92537">
        <w:rPr>
          <w:lang w:val="en-GB"/>
        </w:rPr>
        <w:t xml:space="preserve"> for </w:t>
      </w:r>
      <w:r w:rsidRPr="035DD17A" w:rsidR="00A92537">
        <w:rPr>
          <w:lang w:val="en-GB"/>
        </w:rPr>
        <w:t>the majority of</w:t>
      </w:r>
      <w:r w:rsidRPr="035DD17A" w:rsidR="00A92537">
        <w:rPr>
          <w:lang w:val="en-GB"/>
        </w:rPr>
        <w:t xml:space="preserve"> the case studies. By 2050, Sosnowiec, although with a big reduction of the number of cells with exceedances (</w:t>
      </w:r>
      <w:r w:rsidRPr="035DD17A" w:rsidR="0018728F">
        <w:rPr>
          <w:lang w:val="en-GB"/>
        </w:rPr>
        <w:t xml:space="preserve">a </w:t>
      </w:r>
      <w:r w:rsidRPr="035DD17A" w:rsidR="00A92537">
        <w:rPr>
          <w:lang w:val="en-GB"/>
        </w:rPr>
        <w:t xml:space="preserve">reduction around 81% from 2015), is the only case study that still presents some major </w:t>
      </w:r>
      <w:r w:rsidRPr="035DD17A" w:rsidR="00F779B5">
        <w:rPr>
          <w:lang w:val="en-GB"/>
        </w:rPr>
        <w:t>exceedances</w:t>
      </w:r>
      <w:r w:rsidRPr="035DD17A" w:rsidR="00A92537">
        <w:rPr>
          <w:lang w:val="en-GB"/>
        </w:rPr>
        <w:t xml:space="preserve"> </w:t>
      </w:r>
      <w:r w:rsidRPr="035DD17A" w:rsidR="00F779B5">
        <w:rPr>
          <w:lang w:val="en-GB"/>
        </w:rPr>
        <w:t xml:space="preserve">to </w:t>
      </w:r>
      <w:r w:rsidRPr="035DD17A" w:rsidR="00A92537">
        <w:rPr>
          <w:lang w:val="en-GB"/>
        </w:rPr>
        <w:t>NO</w:t>
      </w:r>
      <w:r w:rsidRPr="035DD17A" w:rsidR="00A92537">
        <w:rPr>
          <w:vertAlign w:val="subscript"/>
          <w:lang w:val="en-GB"/>
        </w:rPr>
        <w:t>2</w:t>
      </w:r>
      <w:r w:rsidRPr="035DD17A" w:rsidR="00A92537">
        <w:rPr>
          <w:lang w:val="en-GB"/>
        </w:rPr>
        <w:t xml:space="preserve">. The </w:t>
      </w:r>
      <w:r w:rsidRPr="035DD17A" w:rsidR="00AE7349">
        <w:rPr>
          <w:lang w:val="en-GB"/>
        </w:rPr>
        <w:t xml:space="preserve">potential </w:t>
      </w:r>
      <w:r w:rsidRPr="035DD17A" w:rsidR="00A92537">
        <w:rPr>
          <w:lang w:val="en-GB"/>
        </w:rPr>
        <w:t xml:space="preserve">problems in Sosnowiec by 2050 </w:t>
      </w:r>
      <w:r w:rsidRPr="035DD17A" w:rsidR="00AE7349">
        <w:rPr>
          <w:lang w:val="en-GB"/>
        </w:rPr>
        <w:t xml:space="preserve">are </w:t>
      </w:r>
      <w:r w:rsidRPr="035DD17A" w:rsidR="00A92537">
        <w:rPr>
          <w:lang w:val="en-GB"/>
        </w:rPr>
        <w:t xml:space="preserve">caused mainly by the residential sector, which indicates a necessity </w:t>
      </w:r>
      <w:r w:rsidRPr="035DD17A" w:rsidR="0018728F">
        <w:rPr>
          <w:lang w:val="en-GB"/>
        </w:rPr>
        <w:t>for</w:t>
      </w:r>
      <w:r w:rsidRPr="035DD17A" w:rsidR="00A92537">
        <w:rPr>
          <w:lang w:val="en-GB"/>
        </w:rPr>
        <w:t xml:space="preserve"> more ambitious measures for that sector. </w:t>
      </w:r>
    </w:p>
    <w:p w:rsidRPr="002A63DA" w:rsidR="002F2D54" w:rsidP="002F2D54" w:rsidRDefault="00A92537" w14:paraId="7B652D1E" w14:textId="77777777">
      <w:pPr>
        <w:rPr>
          <w:lang w:val="en-GB"/>
        </w:rPr>
      </w:pPr>
      <w:r w:rsidRPr="035DD17A" w:rsidR="00A92537">
        <w:rPr>
          <w:lang w:val="en-GB"/>
        </w:rPr>
        <w:t xml:space="preserve">For PM10 and PM2.5, when looking at the EU legal limit concentrations for the baseline, only Sosnowiec shows </w:t>
      </w:r>
      <w:r w:rsidRPr="035DD17A" w:rsidR="00F779B5">
        <w:rPr>
          <w:lang w:val="en-GB"/>
        </w:rPr>
        <w:t>exceedances of</w:t>
      </w:r>
      <w:r w:rsidRPr="035DD17A" w:rsidR="00A92537">
        <w:rPr>
          <w:lang w:val="en-GB"/>
        </w:rPr>
        <w:t xml:space="preserve"> particulate matter and </w:t>
      </w:r>
      <w:r w:rsidRPr="035DD17A" w:rsidR="002864E4">
        <w:rPr>
          <w:lang w:val="en-GB"/>
        </w:rPr>
        <w:t xml:space="preserve">the </w:t>
      </w:r>
      <w:r w:rsidRPr="035DD17A" w:rsidR="00A92537">
        <w:rPr>
          <w:lang w:val="en-GB"/>
        </w:rPr>
        <w:t xml:space="preserve">Liguria </w:t>
      </w:r>
      <w:r w:rsidRPr="035DD17A" w:rsidR="002864E4">
        <w:rPr>
          <w:lang w:val="en-GB"/>
        </w:rPr>
        <w:t xml:space="preserve">Region </w:t>
      </w:r>
      <w:r w:rsidRPr="035DD17A" w:rsidR="00A92537">
        <w:rPr>
          <w:lang w:val="en-GB"/>
        </w:rPr>
        <w:t xml:space="preserve">with a </w:t>
      </w:r>
      <w:r w:rsidRPr="035DD17A" w:rsidR="004C76BE">
        <w:rPr>
          <w:lang w:val="en-GB"/>
        </w:rPr>
        <w:t>located</w:t>
      </w:r>
      <w:r w:rsidRPr="035DD17A" w:rsidR="00A92537">
        <w:rPr>
          <w:lang w:val="en-GB"/>
        </w:rPr>
        <w:t xml:space="preserve"> problem in a reduced area (3 cells for PM10 and 5 cells for PM2.5 that are exceeding the EU annual limits) of the domain. The application of the scenarios improves the PM10 concentrations significantly, showing no exceedances by 2035 in </w:t>
      </w:r>
      <w:r w:rsidRPr="035DD17A" w:rsidR="0018728F">
        <w:rPr>
          <w:lang w:val="en-GB"/>
        </w:rPr>
        <w:t xml:space="preserve">the </w:t>
      </w:r>
      <w:r w:rsidRPr="035DD17A" w:rsidR="00A92537">
        <w:rPr>
          <w:lang w:val="en-GB"/>
        </w:rPr>
        <w:t>Liguria</w:t>
      </w:r>
      <w:r w:rsidRPr="035DD17A" w:rsidR="002864E4">
        <w:rPr>
          <w:lang w:val="en-GB"/>
        </w:rPr>
        <w:t xml:space="preserve"> Region</w:t>
      </w:r>
      <w:r w:rsidRPr="035DD17A" w:rsidR="00A92537">
        <w:rPr>
          <w:lang w:val="en-GB"/>
        </w:rPr>
        <w:t>, and by 2050 with FUPS scenarios, only 3 cells are exceeding the EU limits in Sosnowiec. On the other hand, when applying the stricter WHO guidelines</w:t>
      </w:r>
      <w:r w:rsidRPr="035DD17A" w:rsidR="007E0771">
        <w:rPr>
          <w:lang w:val="en-GB"/>
        </w:rPr>
        <w:t xml:space="preserve"> limit, Table 2 shows that mainly PM2.5 is still and will be, even by 2050, a big concern in the cities, especially for Ljubljana, Sosnowiec and the Liguria Region.</w:t>
      </w:r>
      <w:r w:rsidRPr="035DD17A" w:rsidR="00A92537">
        <w:rPr>
          <w:lang w:val="en-GB"/>
        </w:rPr>
        <w:t xml:space="preserve"> </w:t>
      </w:r>
    </w:p>
    <w:p w:rsidRPr="002A63DA" w:rsidR="00EA7B1C" w:rsidP="00EA7B1C" w:rsidRDefault="00A92537" w14:paraId="7380DD6B" w14:textId="2AC56BFD">
      <w:pPr>
        <w:rPr>
          <w:lang w:val="en-GB"/>
        </w:rPr>
      </w:pPr>
      <w:r w:rsidRPr="002A63DA">
        <w:rPr>
          <w:lang w:val="en-GB"/>
        </w:rPr>
        <w:fldChar w:fldCharType="begin"/>
      </w:r>
      <w:r w:rsidRPr="002A63DA">
        <w:rPr>
          <w:lang w:val="en-GB"/>
        </w:rPr>
        <w:instrText xml:space="preserve"> REF _Ref64546189 \h </w:instrText>
      </w:r>
      <w:r w:rsidR="002A63DA">
        <w:rPr>
          <w:lang w:val="en-GB"/>
        </w:rPr>
        <w:instrText xml:space="preserve"> \* MERGEFORMAT </w:instrText>
      </w:r>
      <w:r w:rsidRPr="002A63DA">
        <w:rPr>
          <w:lang w:val="en-GB"/>
        </w:rPr>
      </w:r>
      <w:r w:rsidRPr="002A63DA">
        <w:rPr>
          <w:lang w:val="en-GB"/>
        </w:rPr>
        <w:fldChar w:fldCharType="separate"/>
      </w:r>
      <w:r w:rsidRPr="002A63DA" w:rsidR="00C83CFF">
        <w:rPr/>
        <w:t xml:space="preserve">Figure </w:t>
      </w:r>
      <w:r w:rsidRPr="002A63DA" w:rsidR="00C83CFF">
        <w:rPr>
          <w:noProof/>
        </w:rPr>
        <w:t>3</w:t>
      </w:r>
      <w:r w:rsidRPr="002A63DA">
        <w:rPr>
          <w:lang w:val="en-GB"/>
        </w:rPr>
        <w:fldChar w:fldCharType="end"/>
      </w:r>
      <w:r w:rsidRPr="002A63DA" w:rsidR="00A92537">
        <w:rPr>
          <w:lang w:val="en-GB"/>
        </w:rPr>
        <w:t xml:space="preserve"> shows the </w:t>
      </w:r>
      <w:r w:rsidRPr="002A63DA" w:rsidR="001559D7">
        <w:rPr>
          <w:lang w:val="en-GB"/>
        </w:rPr>
        <w:t xml:space="preserve">percentage of </w:t>
      </w:r>
      <w:r w:rsidRPr="002A63DA" w:rsidR="00A92537">
        <w:rPr>
          <w:lang w:val="en-GB"/>
        </w:rPr>
        <w:t xml:space="preserve">reduction of the </w:t>
      </w:r>
      <w:r w:rsidRPr="002A63DA" w:rsidR="00AE7349">
        <w:rPr>
          <w:lang w:val="en-GB"/>
        </w:rPr>
        <w:t xml:space="preserve">maximum </w:t>
      </w:r>
      <w:r w:rsidRPr="002A63DA" w:rsidR="004C76BE">
        <w:rPr>
          <w:lang w:val="en-GB"/>
        </w:rPr>
        <w:t xml:space="preserve">concentration value for the </w:t>
      </w:r>
      <w:r w:rsidRPr="002A63DA" w:rsidR="00F779B5">
        <w:rPr>
          <w:lang w:val="en-GB"/>
        </w:rPr>
        <w:t xml:space="preserve">annual average </w:t>
      </w:r>
      <w:r w:rsidRPr="002A63DA" w:rsidR="00A92537">
        <w:rPr>
          <w:lang w:val="en-GB"/>
        </w:rPr>
        <w:t>compared to 2015 of NO</w:t>
      </w:r>
      <w:r w:rsidRPr="002A63DA" w:rsidR="00A92537">
        <w:rPr>
          <w:vertAlign w:val="subscript"/>
          <w:lang w:val="en-GB"/>
        </w:rPr>
        <w:t>2</w:t>
      </w:r>
      <w:r w:rsidRPr="002A63DA" w:rsidR="00A92537">
        <w:rPr>
          <w:lang w:val="en-GB"/>
        </w:rPr>
        <w:t xml:space="preserve">, PM10 and PM2.5 for each case study when applying BAU and FUPS scenarios for the three-time horizons (2025, 2035, and 2050). </w:t>
      </w:r>
    </w:p>
    <w:p w:rsidRPr="002A63DA" w:rsidR="00EA7B1C" w:rsidP="00EA7B1C" w:rsidRDefault="00A92537" w14:paraId="31BB4616" w14:textId="77777777">
      <w:pPr>
        <w:rPr>
          <w:lang w:val="en-GB"/>
        </w:rPr>
      </w:pPr>
      <w:r w:rsidRPr="035DD17A" w:rsidR="00A92537">
        <w:rPr>
          <w:lang w:val="en-GB"/>
        </w:rPr>
        <w:t xml:space="preserve">Overall, the reductions of the </w:t>
      </w:r>
      <w:r w:rsidRPr="035DD17A" w:rsidR="00AE7349">
        <w:rPr>
          <w:lang w:val="en-GB"/>
        </w:rPr>
        <w:t xml:space="preserve">maximum value </w:t>
      </w:r>
      <w:r w:rsidRPr="035DD17A" w:rsidR="00A92537">
        <w:rPr>
          <w:lang w:val="en-GB"/>
        </w:rPr>
        <w:t>range between 19% and 85% for NO</w:t>
      </w:r>
      <w:r w:rsidRPr="035DD17A" w:rsidR="00A92537">
        <w:rPr>
          <w:vertAlign w:val="subscript"/>
          <w:lang w:val="en-GB"/>
        </w:rPr>
        <w:t>2</w:t>
      </w:r>
      <w:r w:rsidRPr="035DD17A" w:rsidR="00A92537">
        <w:rPr>
          <w:lang w:val="en-GB"/>
        </w:rPr>
        <w:t>, 5% and 40% for PM10, and between 3% and 43% for PM2.5, showing generally bigger reductions for the FUPS comparing to BAU scenarios.</w:t>
      </w:r>
    </w:p>
    <w:p w:rsidRPr="002A63DA" w:rsidR="002F2D54" w:rsidP="002F2D54" w:rsidRDefault="002F2D54" w14:paraId="787C8957" w14:textId="77777777">
      <w:pPr>
        <w:rPr>
          <w:lang w:val="en-GB"/>
        </w:rPr>
      </w:pPr>
    </w:p>
    <w:p w:rsidRPr="002A63DA" w:rsidR="00E32DEF" w:rsidP="002F2D54" w:rsidRDefault="00A92537" w14:paraId="5CADB628" w14:textId="77777777">
      <w:pPr>
        <w:keepNext/>
        <w:jc w:val="center"/>
        <w:rPr>
          <w:lang w:val="en-GB"/>
        </w:rPr>
      </w:pPr>
      <w:r w:rsidRPr="002A63DA">
        <w:rPr>
          <w:noProof/>
        </w:rPr>
        <w:drawing>
          <wp:inline distT="0" distB="0" distL="0" distR="0" wp14:anchorId="01F35556" wp14:editId="6F1D6595">
            <wp:extent cx="5943600" cy="3164205"/>
            <wp:effectExtent l="0" t="0" r="0" b="17145"/>
            <wp:docPr id="2" name="Chart 2">
              <a:extLst xmlns:a="http://schemas.openxmlformats.org/drawingml/2006/main">
                <a:ext uri="{FF2B5EF4-FFF2-40B4-BE49-F238E27FC236}">
                  <a16:creationId xmlns:a16="http://schemas.microsoft.com/office/drawing/2014/main" id="{BCE5880D-CB5E-4267-9548-9F243DB476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2A63DA" w:rsidR="0042426B">
        <w:rPr>
          <w:noProof/>
          <w:lang w:val="en-GB"/>
        </w:rPr>
        <w:t xml:space="preserve"> </w:t>
      </w:r>
    </w:p>
    <w:p w:rsidRPr="002A63DA" w:rsidR="00E32DEF" w:rsidP="00E32DEF" w:rsidRDefault="00A92537" w14:paraId="0F31F793" w14:textId="77777777">
      <w:pPr>
        <w:pStyle w:val="Caption"/>
      </w:pPr>
      <w:bookmarkStart w:name="_Ref64546189" w:id="15"/>
      <w:r w:rsidR="00A92537">
        <w:rPr/>
        <w:t xml:space="preserve">Figure </w:t>
      </w:r>
      <w:r>
        <w:fldChar w:fldCharType="begin"/>
      </w:r>
      <w:r>
        <w:instrText xml:space="preserve"> SEQ Figure \* ARABIC </w:instrText>
      </w:r>
      <w:r>
        <w:fldChar w:fldCharType="separate"/>
      </w:r>
      <w:r w:rsidRPr="035DD17A" w:rsidR="00C83CFF">
        <w:rPr>
          <w:noProof/>
        </w:rPr>
        <w:t>3</w:t>
      </w:r>
      <w:r>
        <w:fldChar w:fldCharType="end"/>
      </w:r>
      <w:bookmarkEnd w:id="15"/>
      <w:r w:rsidR="00A92537">
        <w:rPr/>
        <w:t xml:space="preserve">- </w:t>
      </w:r>
      <w:r w:rsidR="001559D7">
        <w:rPr/>
        <w:t>R</w:t>
      </w:r>
      <w:r w:rsidR="00A92537">
        <w:rPr/>
        <w:t xml:space="preserve">eduction </w:t>
      </w:r>
      <w:r w:rsidR="001559D7">
        <w:rPr/>
        <w:t xml:space="preserve">(in %) </w:t>
      </w:r>
      <w:r w:rsidR="00A92537">
        <w:rPr/>
        <w:t xml:space="preserve">for each scenario (2025, 2035, 2050) of the </w:t>
      </w:r>
      <w:bookmarkStart w:name="_Hlk64543985" w:id="16"/>
      <w:r w:rsidR="00AE7349">
        <w:rPr/>
        <w:t xml:space="preserve">maximum annual average concentration in the domain </w:t>
      </w:r>
      <w:r w:rsidR="008F28FB">
        <w:rPr/>
        <w:t>of NO</w:t>
      </w:r>
      <w:r w:rsidRPr="035DD17A" w:rsidR="008F28FB">
        <w:rPr>
          <w:vertAlign w:val="subscript"/>
        </w:rPr>
        <w:t>2</w:t>
      </w:r>
      <w:r w:rsidR="008F28FB">
        <w:rPr/>
        <w:t xml:space="preserve">, PM10 and PM2.5 </w:t>
      </w:r>
      <w:bookmarkEnd w:id="16"/>
      <w:r w:rsidR="00A92537">
        <w:rPr/>
        <w:t>in each case study.</w:t>
      </w:r>
    </w:p>
    <w:p w:rsidRPr="002A63DA" w:rsidR="002F2D54" w:rsidP="002F2D54" w:rsidRDefault="00A92537" w14:paraId="0AF36A1E" w14:textId="77777777">
      <w:pPr>
        <w:rPr>
          <w:lang w:val="en-GB"/>
        </w:rPr>
      </w:pPr>
      <w:r w:rsidRPr="035DD17A" w:rsidR="00A92537">
        <w:rPr>
          <w:lang w:val="en-GB"/>
        </w:rPr>
        <w:t xml:space="preserve"> By looking at the reductions is possible to identify the cities/regions with the most ambitious/efficient measures. For example, Bristol FUPS</w:t>
      </w:r>
      <w:r w:rsidRPr="035DD17A" w:rsidR="00523D0F">
        <w:rPr>
          <w:lang w:val="en-GB"/>
        </w:rPr>
        <w:t>s</w:t>
      </w:r>
      <w:r w:rsidRPr="035DD17A" w:rsidR="00A92537">
        <w:rPr>
          <w:lang w:val="en-GB"/>
        </w:rPr>
        <w:t xml:space="preserve"> </w:t>
      </w:r>
      <w:r w:rsidRPr="035DD17A" w:rsidR="00E1454E">
        <w:rPr>
          <w:lang w:val="en-GB"/>
        </w:rPr>
        <w:t>shows</w:t>
      </w:r>
      <w:r w:rsidRPr="035DD17A" w:rsidR="00A92537">
        <w:rPr>
          <w:lang w:val="en-GB"/>
        </w:rPr>
        <w:t xml:space="preserve"> a significant improvement when compared to </w:t>
      </w:r>
      <w:r w:rsidRPr="035DD17A" w:rsidR="0018728F">
        <w:rPr>
          <w:lang w:val="en-GB"/>
        </w:rPr>
        <w:t xml:space="preserve">the </w:t>
      </w:r>
      <w:r w:rsidRPr="035DD17A" w:rsidR="00A92537">
        <w:rPr>
          <w:lang w:val="en-GB"/>
        </w:rPr>
        <w:t xml:space="preserve">BAU scenario, being even more evident when looking at PM. While the Aveiro Region shows </w:t>
      </w:r>
      <w:r w:rsidRPr="035DD17A" w:rsidR="0056449C">
        <w:rPr>
          <w:lang w:val="en-GB"/>
        </w:rPr>
        <w:t>huge</w:t>
      </w:r>
      <w:r w:rsidRPr="035DD17A" w:rsidR="00A92537">
        <w:rPr>
          <w:lang w:val="en-GB"/>
        </w:rPr>
        <w:t xml:space="preserve"> reductions for NO</w:t>
      </w:r>
      <w:r w:rsidRPr="035DD17A" w:rsidR="00A92537">
        <w:rPr>
          <w:vertAlign w:val="subscript"/>
          <w:lang w:val="en-GB"/>
        </w:rPr>
        <w:t>2</w:t>
      </w:r>
      <w:r w:rsidRPr="035DD17A" w:rsidR="00A92537">
        <w:rPr>
          <w:lang w:val="en-GB"/>
        </w:rPr>
        <w:t>, when looking at PM10 and PM2.5</w:t>
      </w:r>
      <w:r w:rsidRPr="035DD17A" w:rsidR="0056449C">
        <w:rPr>
          <w:lang w:val="en-GB"/>
        </w:rPr>
        <w:t>, it</w:t>
      </w:r>
      <w:r w:rsidRPr="035DD17A" w:rsidR="00A92537">
        <w:rPr>
          <w:lang w:val="en-GB"/>
        </w:rPr>
        <w:t xml:space="preserve"> is one of the least ambitious, as previously explained, by presenting no measures for the residential and commercial sector for the FUPS scenario. Sosnowiec and </w:t>
      </w:r>
      <w:r w:rsidRPr="035DD17A" w:rsidR="002864E4">
        <w:rPr>
          <w:lang w:val="en-GB"/>
        </w:rPr>
        <w:t xml:space="preserve">the </w:t>
      </w:r>
      <w:r w:rsidRPr="035DD17A" w:rsidR="00A92537">
        <w:rPr>
          <w:lang w:val="en-GB"/>
        </w:rPr>
        <w:t xml:space="preserve">Liguria </w:t>
      </w:r>
      <w:r w:rsidRPr="035DD17A" w:rsidR="002864E4">
        <w:rPr>
          <w:lang w:val="en-GB"/>
        </w:rPr>
        <w:t xml:space="preserve">Region </w:t>
      </w:r>
      <w:r w:rsidRPr="035DD17A" w:rsidR="00A92537">
        <w:rPr>
          <w:lang w:val="en-GB"/>
        </w:rPr>
        <w:t xml:space="preserve">show the </w:t>
      </w:r>
      <w:r w:rsidRPr="035DD17A" w:rsidR="0056449C">
        <w:rPr>
          <w:lang w:val="en-GB"/>
        </w:rPr>
        <w:t>high</w:t>
      </w:r>
      <w:r w:rsidRPr="035DD17A" w:rsidR="00A92537">
        <w:rPr>
          <w:lang w:val="en-GB"/>
        </w:rPr>
        <w:t xml:space="preserve">est reductions of the maximum value for PM10 and PM2.5 </w:t>
      </w:r>
      <w:r w:rsidRPr="035DD17A" w:rsidR="0056449C">
        <w:rPr>
          <w:lang w:val="en-GB"/>
        </w:rPr>
        <w:t xml:space="preserve">concentrations </w:t>
      </w:r>
      <w:r w:rsidRPr="035DD17A" w:rsidR="00A92537">
        <w:rPr>
          <w:lang w:val="en-GB"/>
        </w:rPr>
        <w:t xml:space="preserve">while </w:t>
      </w:r>
      <w:r w:rsidRPr="035DD17A" w:rsidR="0056449C">
        <w:rPr>
          <w:lang w:val="en-GB"/>
        </w:rPr>
        <w:t xml:space="preserve">exhibiting </w:t>
      </w:r>
      <w:r w:rsidRPr="035DD17A" w:rsidR="00A92537">
        <w:rPr>
          <w:lang w:val="en-GB"/>
        </w:rPr>
        <w:t>a low reduction in terms of NO</w:t>
      </w:r>
      <w:r w:rsidRPr="035DD17A" w:rsidR="00A92537">
        <w:rPr>
          <w:vertAlign w:val="subscript"/>
          <w:lang w:val="en-GB"/>
        </w:rPr>
        <w:t>2</w:t>
      </w:r>
      <w:r w:rsidRPr="035DD17A" w:rsidR="00A92537">
        <w:rPr>
          <w:lang w:val="en-GB"/>
        </w:rPr>
        <w:t>.</w:t>
      </w:r>
    </w:p>
    <w:p w:rsidRPr="002A63DA" w:rsidR="00EC53ED" w:rsidP="00325510" w:rsidRDefault="00EC53ED" w14:paraId="373ABEB7" w14:textId="77777777">
      <w:pPr>
        <w:rPr>
          <w:lang w:val="en-GB"/>
        </w:rPr>
      </w:pPr>
    </w:p>
    <w:p w:rsidRPr="002A63DA" w:rsidR="00AD29D6" w:rsidP="00B95A4A" w:rsidRDefault="00A92537" w14:paraId="63B346B3" w14:textId="77777777">
      <w:pPr>
        <w:pStyle w:val="Heading3"/>
        <w:rPr>
          <w:lang w:val="en-GB"/>
        </w:rPr>
      </w:pPr>
      <w:r w:rsidRPr="035DD17A" w:rsidR="00A92537">
        <w:rPr>
          <w:lang w:val="en-GB"/>
        </w:rPr>
        <w:t>3.3 Population exposure</w:t>
      </w:r>
    </w:p>
    <w:p w:rsidRPr="002A63DA" w:rsidR="00F32DF3" w:rsidP="00911D5D" w:rsidRDefault="00A92537" w14:paraId="6FAC2128" w14:textId="77777777">
      <w:pPr>
        <w:rPr>
          <w:lang w:val="en-GB"/>
        </w:rPr>
      </w:pPr>
      <w:r w:rsidRPr="002A63DA" w:rsidR="00A92537">
        <w:rPr>
          <w:lang w:val="en-GB"/>
        </w:rPr>
        <w:t xml:space="preserve">Directly related </w:t>
      </w:r>
      <w:r w:rsidRPr="002A63DA" w:rsidR="0018728F">
        <w:rPr>
          <w:lang w:val="en-GB"/>
        </w:rPr>
        <w:t>to</w:t>
      </w:r>
      <w:r w:rsidRPr="002A63DA" w:rsidR="00A92537">
        <w:rPr>
          <w:lang w:val="en-GB"/>
        </w:rPr>
        <w:t xml:space="preserve"> air quality outcomes </w:t>
      </w:r>
      <w:r w:rsidRPr="002A63DA" w:rsidR="00A730BD">
        <w:rPr>
          <w:lang w:val="en-GB"/>
        </w:rPr>
        <w:t>is</w:t>
      </w:r>
      <w:r w:rsidRPr="002A63DA" w:rsidR="00A92537">
        <w:rPr>
          <w:lang w:val="en-GB"/>
        </w:rPr>
        <w:t xml:space="preserve"> the population</w:t>
      </w:r>
      <w:r w:rsidRPr="002A63DA" w:rsidR="00A730BD">
        <w:rPr>
          <w:lang w:val="en-GB"/>
        </w:rPr>
        <w:t xml:space="preserve"> </w:t>
      </w:r>
      <w:r w:rsidRPr="002A63DA" w:rsidR="00A92537">
        <w:rPr>
          <w:lang w:val="en-GB"/>
        </w:rPr>
        <w:t>exposure</w:t>
      </w:r>
      <w:r w:rsidRPr="002A63DA" w:rsidR="00330266">
        <w:rPr>
          <w:lang w:val="en-GB"/>
        </w:rPr>
        <w:t xml:space="preserve">. </w:t>
      </w:r>
      <w:r w:rsidRPr="002A63DA" w:rsidR="00A730BD">
        <w:rPr>
          <w:lang w:val="en-GB"/>
        </w:rPr>
        <w:fldChar w:fldCharType="begin"/>
      </w:r>
      <w:r w:rsidRPr="002A63DA" w:rsidR="00A730BD">
        <w:rPr>
          <w:lang w:val="en-GB"/>
        </w:rPr>
        <w:instrText xml:space="preserve"> REF _Ref64493505 \h </w:instrText>
      </w:r>
      <w:r w:rsidR="002A63DA">
        <w:rPr>
          <w:lang w:val="en-GB"/>
        </w:rPr>
        <w:instrText xml:space="preserve"> \* MERGEFORMAT </w:instrText>
      </w:r>
      <w:r w:rsidRPr="002A63DA" w:rsidR="00A730BD">
        <w:rPr>
          <w:lang w:val="en-GB"/>
        </w:rPr>
      </w:r>
      <w:r w:rsidRPr="002A63DA" w:rsidR="00A730BD">
        <w:rPr>
          <w:lang w:val="en-GB"/>
        </w:rPr>
        <w:fldChar w:fldCharType="separate"/>
      </w:r>
      <w:r w:rsidRPr="002A63DA" w:rsidR="00C83CFF">
        <w:rPr/>
        <w:t xml:space="preserve">Table </w:t>
      </w:r>
      <w:r w:rsidRPr="002A63DA" w:rsidR="00C83CFF">
        <w:rPr>
          <w:noProof/>
        </w:rPr>
        <w:t>2</w:t>
      </w:r>
      <w:r w:rsidRPr="002A63DA" w:rsidR="00A730BD">
        <w:rPr>
          <w:lang w:val="en-GB"/>
        </w:rPr>
        <w:fldChar w:fldCharType="end"/>
      </w:r>
      <w:r w:rsidRPr="002A63DA" w:rsidR="00330266">
        <w:rPr>
          <w:lang w:val="en-GB"/>
        </w:rPr>
        <w:t xml:space="preserve"> shows the percentage of population potentially exposed to the annual NO</w:t>
      </w:r>
      <w:r w:rsidRPr="002A63DA" w:rsidR="00330266">
        <w:rPr>
          <w:vertAlign w:val="subscript"/>
          <w:lang w:val="en-GB"/>
        </w:rPr>
        <w:t>2</w:t>
      </w:r>
      <w:r w:rsidRPr="002A63DA" w:rsidR="00330266">
        <w:rPr>
          <w:lang w:val="en-GB"/>
        </w:rPr>
        <w:t>, PM10 and PM2.5 concentrations considering the EU limits and WHO guidelines (in parentheses) for each scenario.</w:t>
      </w:r>
      <w:r w:rsidRPr="002A63DA" w:rsidR="00F779B5">
        <w:rPr>
          <w:lang w:val="en-GB"/>
        </w:rPr>
        <w:t xml:space="preserve"> </w:t>
      </w:r>
      <w:r w:rsidRPr="002A63DA" w:rsidR="00A92537">
        <w:rPr>
          <w:lang w:val="en-GB"/>
        </w:rPr>
        <w:t xml:space="preserve">The status of population exposure is distinguishable in the 6 cities and regions under study. </w:t>
      </w:r>
    </w:p>
    <w:p w:rsidRPr="002A63DA" w:rsidR="00151C97" w:rsidP="00151C97" w:rsidRDefault="00A92537" w14:paraId="3980FD75" w14:textId="77777777">
      <w:pPr>
        <w:rPr>
          <w:lang w:val="en-GB"/>
        </w:rPr>
      </w:pPr>
      <w:r w:rsidRPr="002A63DA" w:rsidR="00A92537">
        <w:rPr>
          <w:lang w:val="en-GB"/>
        </w:rPr>
        <w:t xml:space="preserve">A general reduction of the population potentially exposed was obtained in the BAU scenario when compared with the baseline, with an average </w:t>
      </w:r>
      <w:r w:rsidRPr="002A63DA" w:rsidR="00A92537">
        <w:rPr>
          <w:color w:val="auto"/>
          <w:lang w:val="en-GB"/>
        </w:rPr>
        <w:t xml:space="preserve">reduction of 6%, 8% and 9% </w:t>
      </w:r>
      <w:r w:rsidRPr="002A63DA" w:rsidR="00A92537">
        <w:rPr>
          <w:lang w:val="en-GB"/>
        </w:rPr>
        <w:t>for the three time</w:t>
      </w:r>
      <w:r w:rsidRPr="002A63DA" w:rsidR="00882B92">
        <w:rPr>
          <w:lang w:val="en-GB"/>
        </w:rPr>
        <w:t>-</w:t>
      </w:r>
      <w:r w:rsidRPr="002A63DA" w:rsidR="00A92537">
        <w:rPr>
          <w:lang w:val="en-GB"/>
        </w:rPr>
        <w:t>horizons (2025, 2035 and 2050), respectively. This improvement is explained by the overall reduction of PM10, PM2.5 and NO</w:t>
      </w:r>
      <w:r w:rsidRPr="002A63DA" w:rsidR="00A92537">
        <w:rPr>
          <w:vertAlign w:val="subscript"/>
          <w:lang w:val="en-GB"/>
        </w:rPr>
        <w:t>2</w:t>
      </w:r>
      <w:r w:rsidRPr="002A63DA" w:rsidR="00A92537">
        <w:rPr>
          <w:lang w:val="en-GB"/>
        </w:rPr>
        <w:t xml:space="preserve"> concentrations due to the reduction in transport and residential combustion emissions, as discussed in section </w:t>
      </w:r>
      <w:r w:rsidRPr="002A63DA">
        <w:rPr>
          <w:lang w:val="en-GB"/>
        </w:rPr>
        <w:fldChar w:fldCharType="begin"/>
      </w:r>
      <w:r w:rsidRPr="002A63DA">
        <w:rPr>
          <w:lang w:val="en-GB"/>
        </w:rPr>
        <w:instrText xml:space="preserve"> REF _Ref64476896 \h  \* MERGEFORMAT </w:instrText>
      </w:r>
      <w:r w:rsidRPr="002A63DA">
        <w:rPr>
          <w:lang w:val="en-GB"/>
        </w:rPr>
      </w:r>
      <w:r w:rsidRPr="002A63DA">
        <w:rPr>
          <w:lang w:val="en-GB"/>
        </w:rPr>
        <w:fldChar w:fldCharType="separate"/>
      </w:r>
      <w:r w:rsidRPr="002A63DA" w:rsidR="00C83CFF">
        <w:rPr>
          <w:lang w:val="en-GB"/>
        </w:rPr>
        <w:t xml:space="preserve">3.1</w:t>
      </w:r>
      <w:r w:rsidRPr="002A63DA" w:rsidR="00C83CFF">
        <w:rPr>
          <w:lang w:val="en-GB"/>
        </w:rPr>
        <w:t xml:space="preserve"> </w:t>
      </w:r>
      <w:r w:rsidRPr="002A63DA">
        <w:rPr>
          <w:lang w:val="en-GB"/>
        </w:rPr>
        <w:fldChar w:fldCharType="end"/>
      </w:r>
      <w:r w:rsidRPr="002A63DA" w:rsidR="00A92537">
        <w:rPr>
          <w:lang w:val="en-GB"/>
        </w:rPr>
        <w:t>. For the BAU scenarios, Sosnowiec will still be the city that has the highest rate of population potentially exposed to PM10, PM2.5 and NO</w:t>
      </w:r>
      <w:r w:rsidRPr="002A63DA" w:rsidR="00A92537">
        <w:rPr>
          <w:vertAlign w:val="subscript"/>
          <w:lang w:val="en-GB"/>
        </w:rPr>
        <w:t>2</w:t>
      </w:r>
      <w:r w:rsidRPr="002A63DA" w:rsidR="00A92537">
        <w:rPr>
          <w:lang w:val="en-GB"/>
        </w:rPr>
        <w:t xml:space="preserve"> concentrations. The percentage of exposure ranges between 44.9% (BAU 2025) and 28.3% (BAU 2050) for NO</w:t>
      </w:r>
      <w:r w:rsidRPr="002A63DA" w:rsidR="00A92537">
        <w:rPr>
          <w:vertAlign w:val="subscript"/>
          <w:lang w:val="en-GB"/>
        </w:rPr>
        <w:t>2</w:t>
      </w:r>
      <w:r w:rsidRPr="002A63DA" w:rsidR="00A92537">
        <w:rPr>
          <w:lang w:val="en-GB"/>
        </w:rPr>
        <w:t>; for PM10 and PM2.5 the percentage of exposure is higher than 2%, reaching 100% for PM2.5 regarding the WHO standard. For the remaining cities and regions, the population exposed to high levels of NO</w:t>
      </w:r>
      <w:r w:rsidRPr="002A63DA" w:rsidR="00A92537">
        <w:rPr>
          <w:vertAlign w:val="subscript"/>
          <w:lang w:val="en-GB"/>
        </w:rPr>
        <w:t>2</w:t>
      </w:r>
      <w:r w:rsidRPr="002A63DA" w:rsidR="00A92537">
        <w:rPr>
          <w:lang w:val="en-GB"/>
        </w:rPr>
        <w:t>, PM10 and PM2.5 concentrations are less than 1% for BAU 2025, BAU 2035 and BAU 2050 when the EU annual limit values are considered. For the PM10 WHO target, the Liguria Region showed a high rate of population exposure, varying between 63.5% (BAU 2025) and 55.3% (BAU 2050). As observed in the baseline, PM2.5 will still be the most critical pollutant in the BAUs, for all the cities and regions except Aveiro Region, having more than 10% of the population exposed to PM2.5 concentrations above 20 µg.m</w:t>
      </w:r>
      <w:r w:rsidRPr="002A63DA" w:rsidR="00A92537">
        <w:rPr>
          <w:vertAlign w:val="superscript"/>
          <w:lang w:val="en-GB"/>
        </w:rPr>
        <w:t>-3</w:t>
      </w:r>
      <w:r w:rsidRPr="002A63DA" w:rsidR="00A92537">
        <w:rPr>
          <w:lang w:val="en-GB"/>
        </w:rPr>
        <w:t>.</w:t>
      </w:r>
    </w:p>
    <w:p w:rsidRPr="002A63DA" w:rsidR="00151C97" w:rsidP="00151C97" w:rsidRDefault="00A92537" w14:paraId="24884A25" w14:textId="77777777">
      <w:pPr>
        <w:rPr>
          <w:lang w:val="en-GB"/>
        </w:rPr>
      </w:pPr>
      <w:r w:rsidRPr="035DD17A" w:rsidR="00A92537">
        <w:rPr>
          <w:lang w:val="en-GB"/>
        </w:rPr>
        <w:t xml:space="preserve">FUPS also showed a trend of reduction of the population exposure, with significant reductions for Bristol and Amsterdam when compared to BAUs. In FUPS scenarios, Sosnowiec, Ljubljana and the Liguria Region showed no major reductions in the percentage of population exposure compared to BAUs. This outcome is explained by the low ambition of the overall measures regarding transport and energy, not going further than the established in BAUs. On the other hand, for the remaining cases – Bristol, Amsterdam and Aveiro Region, FUPS showed a substantial reduction compared to BAU for the three time-horizons, and by 2050 less than 1% of the population will be exposed to the EU and WHO annual standards for PM2.5 and PM10. </w:t>
      </w:r>
    </w:p>
    <w:p w:rsidRPr="002A63DA" w:rsidR="007B3645" w:rsidP="00A038AF" w:rsidRDefault="007B3645" w14:paraId="1B9142B6" w14:textId="77777777">
      <w:pPr>
        <w:rPr>
          <w:lang w:val="en-GB"/>
        </w:rPr>
      </w:pPr>
    </w:p>
    <w:p w:rsidRPr="002A63DA" w:rsidR="007B3645" w:rsidP="00A730BD" w:rsidRDefault="00A92537" w14:paraId="2EB90EB8" w14:textId="77777777">
      <w:pPr>
        <w:pStyle w:val="Caption"/>
      </w:pPr>
      <w:bookmarkStart w:name="_Ref64493505" w:id="17"/>
      <w:r w:rsidR="00A92537">
        <w:rPr/>
        <w:t xml:space="preserve">Table </w:t>
      </w:r>
      <w:r>
        <w:fldChar w:fldCharType="begin"/>
      </w:r>
      <w:r>
        <w:instrText xml:space="preserve"> SEQ Table \* ARABIC </w:instrText>
      </w:r>
      <w:r>
        <w:fldChar w:fldCharType="separate"/>
      </w:r>
      <w:r w:rsidRPr="035DD17A" w:rsidR="00C83CFF">
        <w:rPr>
          <w:noProof/>
        </w:rPr>
        <w:t>2</w:t>
      </w:r>
      <w:r>
        <w:fldChar w:fldCharType="end"/>
      </w:r>
      <w:bookmarkEnd w:id="17"/>
      <w:r w:rsidR="00A92537">
        <w:rPr/>
        <w:t xml:space="preserve">- </w:t>
      </w:r>
      <w:r w:rsidR="00151C97">
        <w:rPr/>
        <w:t>Population potentially exposed (expressed in percentage) to the annual NO</w:t>
      </w:r>
      <w:r w:rsidRPr="035DD17A" w:rsidR="00151C97">
        <w:rPr>
          <w:vertAlign w:val="subscript"/>
        </w:rPr>
        <w:t>2</w:t>
      </w:r>
      <w:r w:rsidR="00151C97">
        <w:rPr/>
        <w:t>, PM10 and PM2.5 concentrations considering the EU limits and WHO guidelines (in parentheses) for each scenario in the 6 cities/regions.</w:t>
      </w:r>
    </w:p>
    <w:tbl>
      <w:tblPr>
        <w:tblStyle w:val="TableGridLight"/>
        <w:tblW w:w="7058" w:type="dxa"/>
        <w:jc w:val="center"/>
        <w:tblLook w:val="04A0" w:firstRow="1" w:lastRow="0" w:firstColumn="1" w:lastColumn="0" w:noHBand="0" w:noVBand="1"/>
      </w:tblPr>
      <w:tblGrid>
        <w:gridCol w:w="915"/>
        <w:gridCol w:w="795"/>
        <w:gridCol w:w="1110"/>
        <w:gridCol w:w="930"/>
        <w:gridCol w:w="1035"/>
        <w:gridCol w:w="1002"/>
        <w:gridCol w:w="1271"/>
      </w:tblGrid>
      <w:tr w:rsidR="00C81F10" w:rsidTr="035DD17A" w14:paraId="691C09B3" w14:textId="77777777">
        <w:trPr>
          <w:trHeight w:val="227"/>
          <w:jc w:val="center"/>
        </w:trPr>
        <w:tc>
          <w:tcPr>
            <w:tcW w:w="915" w:type="dxa"/>
            <w:vMerge w:val="restart"/>
            <w:noWrap/>
            <w:tcMar/>
            <w:hideMark/>
          </w:tcPr>
          <w:p w:rsidRPr="002A63DA" w:rsidR="00D45D8A" w:rsidP="00323905" w:rsidRDefault="00D45D8A" w14:paraId="0C767114" w14:textId="77777777">
            <w:pPr>
              <w:jc w:val="center"/>
              <w:rPr>
                <w:rFonts w:ascii="Calibri" w:hAnsi="Calibri" w:eastAsia="Times New Roman" w:cs="Calibri"/>
                <w:color w:val="000000"/>
                <w:sz w:val="18"/>
                <w:szCs w:val="18"/>
                <w:lang w:val="en-GB" w:eastAsia="pt-PT"/>
              </w:rPr>
            </w:pPr>
          </w:p>
        </w:tc>
        <w:tc>
          <w:tcPr>
            <w:tcW w:w="795" w:type="dxa"/>
            <w:noWrap/>
            <w:tcMar/>
            <w:hideMark/>
          </w:tcPr>
          <w:p w:rsidRPr="002A63DA" w:rsidR="00D45D8A" w:rsidP="00323905" w:rsidRDefault="00A92537" w14:paraId="36DCC3A3" w14:textId="77777777">
            <w:pPr>
              <w:jc w:val="center"/>
              <w:rPr>
                <w:rFonts w:ascii="Calibri" w:hAnsi="Calibri" w:eastAsia="Times New Roman" w:cs="Calibri"/>
                <w:b w:val="1"/>
                <w:bCs w:val="1"/>
                <w:color w:val="000000"/>
                <w:sz w:val="18"/>
                <w:szCs w:val="18"/>
                <w:lang w:val="en-GB" w:eastAsia="pt-PT"/>
              </w:rPr>
            </w:pPr>
            <w:r w:rsidRPr="035DD17A" w:rsidR="00A92537">
              <w:rPr>
                <w:rFonts w:ascii="Calibri" w:hAnsi="Calibri" w:eastAsia="Times New Roman" w:cs="Calibri"/>
                <w:b w:val="1"/>
                <w:bCs w:val="1"/>
                <w:color w:val="000000" w:themeColor="text1" w:themeTint="FF" w:themeShade="FF"/>
                <w:sz w:val="18"/>
                <w:szCs w:val="18"/>
                <w:lang w:val="en-GB" w:eastAsia="pt-PT"/>
              </w:rPr>
              <w:t>Bristol</w:t>
            </w:r>
          </w:p>
        </w:tc>
        <w:tc>
          <w:tcPr>
            <w:tcW w:w="1110" w:type="dxa"/>
            <w:noWrap/>
            <w:tcMar/>
            <w:hideMark/>
          </w:tcPr>
          <w:p w:rsidRPr="002A63DA" w:rsidR="00D45D8A" w:rsidP="00323905" w:rsidRDefault="00A92537" w14:paraId="4E4A26F8" w14:textId="77777777">
            <w:pPr>
              <w:jc w:val="center"/>
              <w:rPr>
                <w:rFonts w:ascii="Calibri" w:hAnsi="Calibri" w:eastAsia="Times New Roman" w:cs="Calibri"/>
                <w:b w:val="1"/>
                <w:bCs w:val="1"/>
                <w:color w:val="000000"/>
                <w:sz w:val="18"/>
                <w:szCs w:val="18"/>
                <w:lang w:val="en-GB" w:eastAsia="pt-PT"/>
              </w:rPr>
            </w:pPr>
            <w:r w:rsidRPr="035DD17A" w:rsidR="00A92537">
              <w:rPr>
                <w:rFonts w:ascii="Calibri" w:hAnsi="Calibri" w:eastAsia="Times New Roman" w:cs="Calibri"/>
                <w:b w:val="1"/>
                <w:bCs w:val="1"/>
                <w:color w:val="000000" w:themeColor="text1" w:themeTint="FF" w:themeShade="FF"/>
                <w:sz w:val="18"/>
                <w:szCs w:val="18"/>
                <w:lang w:val="en-GB" w:eastAsia="pt-PT"/>
              </w:rPr>
              <w:t>Amsterdam</w:t>
            </w:r>
          </w:p>
        </w:tc>
        <w:tc>
          <w:tcPr>
            <w:tcW w:w="930" w:type="dxa"/>
            <w:noWrap/>
            <w:tcMar/>
            <w:hideMark/>
          </w:tcPr>
          <w:p w:rsidRPr="002A63DA" w:rsidR="00D45D8A" w:rsidP="00323905" w:rsidRDefault="00A92537" w14:paraId="0DC5E15F" w14:textId="77777777">
            <w:pPr>
              <w:jc w:val="center"/>
              <w:rPr>
                <w:rFonts w:ascii="Calibri" w:hAnsi="Calibri" w:eastAsia="Times New Roman" w:cs="Calibri"/>
                <w:b w:val="1"/>
                <w:bCs w:val="1"/>
                <w:color w:val="000000"/>
                <w:sz w:val="18"/>
                <w:szCs w:val="18"/>
                <w:lang w:val="en-GB" w:eastAsia="pt-PT"/>
              </w:rPr>
            </w:pPr>
            <w:r w:rsidRPr="035DD17A" w:rsidR="00A92537">
              <w:rPr>
                <w:rFonts w:ascii="Calibri" w:hAnsi="Calibri" w:eastAsia="Times New Roman" w:cs="Calibri"/>
                <w:b w:val="1"/>
                <w:bCs w:val="1"/>
                <w:color w:val="000000" w:themeColor="text1" w:themeTint="FF" w:themeShade="FF"/>
                <w:sz w:val="18"/>
                <w:szCs w:val="18"/>
                <w:lang w:val="en-GB" w:eastAsia="pt-PT"/>
              </w:rPr>
              <w:t>Ljubljana</w:t>
            </w:r>
          </w:p>
        </w:tc>
        <w:tc>
          <w:tcPr>
            <w:tcW w:w="1035" w:type="dxa"/>
            <w:noWrap/>
            <w:tcMar/>
            <w:hideMark/>
          </w:tcPr>
          <w:p w:rsidRPr="002A63DA" w:rsidR="00D45D8A" w:rsidP="00323905" w:rsidRDefault="00A92537" w14:paraId="7B63B4DA" w14:textId="77777777">
            <w:pPr>
              <w:jc w:val="center"/>
              <w:rPr>
                <w:rFonts w:ascii="Calibri" w:hAnsi="Calibri" w:eastAsia="Times New Roman" w:cs="Calibri"/>
                <w:b w:val="1"/>
                <w:bCs w:val="1"/>
                <w:color w:val="000000"/>
                <w:sz w:val="18"/>
                <w:szCs w:val="18"/>
                <w:lang w:val="en-GB" w:eastAsia="pt-PT"/>
              </w:rPr>
            </w:pPr>
            <w:r w:rsidRPr="035DD17A" w:rsidR="00A92537">
              <w:rPr>
                <w:rFonts w:ascii="Calibri" w:hAnsi="Calibri" w:eastAsia="Times New Roman" w:cs="Calibri"/>
                <w:b w:val="1"/>
                <w:bCs w:val="1"/>
                <w:color w:val="000000" w:themeColor="text1" w:themeTint="FF" w:themeShade="FF"/>
                <w:sz w:val="18"/>
                <w:szCs w:val="18"/>
                <w:lang w:val="en-GB" w:eastAsia="pt-PT"/>
              </w:rPr>
              <w:t>Sosnowiec</w:t>
            </w:r>
          </w:p>
        </w:tc>
        <w:tc>
          <w:tcPr>
            <w:tcW w:w="1002" w:type="dxa"/>
            <w:noWrap/>
            <w:tcMar/>
            <w:hideMark/>
          </w:tcPr>
          <w:p w:rsidRPr="002A63DA" w:rsidR="00D45D8A" w:rsidP="00323905" w:rsidRDefault="00A92537" w14:paraId="3B1E0A01" w14:textId="77777777">
            <w:pPr>
              <w:jc w:val="center"/>
              <w:rPr>
                <w:rFonts w:ascii="Calibri" w:hAnsi="Calibri" w:eastAsia="Times New Roman" w:cs="Calibri"/>
                <w:b w:val="1"/>
                <w:bCs w:val="1"/>
                <w:color w:val="000000"/>
                <w:sz w:val="18"/>
                <w:szCs w:val="18"/>
                <w:lang w:val="en-GB" w:eastAsia="pt-PT"/>
              </w:rPr>
            </w:pPr>
            <w:r w:rsidRPr="035DD17A" w:rsidR="00A92537">
              <w:rPr>
                <w:rFonts w:ascii="Calibri" w:hAnsi="Calibri" w:eastAsia="Times New Roman" w:cs="Calibri"/>
                <w:b w:val="1"/>
                <w:bCs w:val="1"/>
                <w:color w:val="000000" w:themeColor="text1" w:themeTint="FF" w:themeShade="FF"/>
                <w:sz w:val="18"/>
                <w:szCs w:val="18"/>
                <w:lang w:val="en-GB" w:eastAsia="pt-PT"/>
              </w:rPr>
              <w:t>Aveiro Region</w:t>
            </w:r>
          </w:p>
        </w:tc>
        <w:tc>
          <w:tcPr>
            <w:tcW w:w="1271" w:type="dxa"/>
            <w:noWrap/>
            <w:tcMar/>
            <w:hideMark/>
          </w:tcPr>
          <w:p w:rsidRPr="002A63DA" w:rsidR="00D45D8A" w:rsidP="00323905" w:rsidRDefault="00A92537" w14:paraId="0A72971E" w14:textId="77777777">
            <w:pPr>
              <w:jc w:val="center"/>
              <w:rPr>
                <w:rFonts w:ascii="Calibri" w:hAnsi="Calibri" w:eastAsia="Times New Roman" w:cs="Calibri"/>
                <w:b w:val="1"/>
                <w:bCs w:val="1"/>
                <w:color w:val="000000"/>
                <w:sz w:val="18"/>
                <w:szCs w:val="18"/>
                <w:lang w:val="en-GB" w:eastAsia="pt-PT"/>
              </w:rPr>
            </w:pPr>
            <w:r w:rsidRPr="035DD17A" w:rsidR="00A92537">
              <w:rPr>
                <w:rFonts w:ascii="Calibri" w:hAnsi="Calibri" w:eastAsia="Times New Roman" w:cs="Calibri"/>
                <w:b w:val="1"/>
                <w:bCs w:val="1"/>
                <w:color w:val="000000" w:themeColor="text1" w:themeTint="FF" w:themeShade="FF"/>
                <w:sz w:val="18"/>
                <w:szCs w:val="18"/>
                <w:lang w:val="en-GB" w:eastAsia="pt-PT"/>
              </w:rPr>
              <w:t>Liguria Region</w:t>
            </w:r>
          </w:p>
        </w:tc>
      </w:tr>
      <w:tr w:rsidR="00C81F10" w:rsidTr="035DD17A" w14:paraId="32B1248A" w14:textId="77777777">
        <w:trPr>
          <w:trHeight w:val="227"/>
          <w:jc w:val="center"/>
        </w:trPr>
        <w:tc>
          <w:tcPr>
            <w:tcW w:w="915" w:type="dxa"/>
            <w:vMerge/>
            <w:tcMar/>
            <w:hideMark/>
          </w:tcPr>
          <w:p w:rsidRPr="002A63DA" w:rsidR="00D45D8A" w:rsidP="00323905" w:rsidRDefault="00D45D8A" w14:paraId="73AD13E2" w14:textId="77777777">
            <w:pPr>
              <w:jc w:val="center"/>
              <w:rPr>
                <w:rFonts w:ascii="Calibri" w:hAnsi="Calibri" w:eastAsia="Times New Roman" w:cs="Calibri"/>
                <w:color w:val="000000"/>
                <w:sz w:val="18"/>
                <w:szCs w:val="18"/>
                <w:lang w:val="en-GB" w:eastAsia="pt-PT"/>
              </w:rPr>
            </w:pPr>
          </w:p>
        </w:tc>
        <w:tc>
          <w:tcPr>
            <w:tcW w:w="6143" w:type="dxa"/>
            <w:gridSpan w:val="6"/>
            <w:noWrap/>
            <w:tcMar/>
            <w:hideMark/>
          </w:tcPr>
          <w:p w:rsidRPr="002A63DA" w:rsidR="00D45D8A" w:rsidP="00323905" w:rsidRDefault="00A92537" w14:paraId="51E0A89B"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 xml:space="preserve">% </w:t>
            </w:r>
            <w:r w:rsidRPr="035DD17A" w:rsidR="00A92537">
              <w:rPr>
                <w:rFonts w:ascii="Calibri" w:hAnsi="Calibri" w:eastAsia="Times New Roman" w:cs="Calibri"/>
                <w:color w:val="000000" w:themeColor="text1" w:themeTint="FF" w:themeShade="FF"/>
                <w:sz w:val="18"/>
                <w:szCs w:val="18"/>
                <w:lang w:val="en-GB" w:eastAsia="pt-PT"/>
              </w:rPr>
              <w:t>of</w:t>
            </w:r>
            <w:r w:rsidRPr="035DD17A" w:rsidR="00A92537">
              <w:rPr>
                <w:rFonts w:ascii="Calibri" w:hAnsi="Calibri" w:eastAsia="Times New Roman" w:cs="Calibri"/>
                <w:color w:val="000000" w:themeColor="text1" w:themeTint="FF" w:themeShade="FF"/>
                <w:sz w:val="18"/>
                <w:szCs w:val="18"/>
                <w:lang w:val="en-GB" w:eastAsia="pt-PT"/>
              </w:rPr>
              <w:t xml:space="preserve"> population potentially exposed to NO</w:t>
            </w:r>
            <w:r w:rsidRPr="035DD17A" w:rsidR="00A92537">
              <w:rPr>
                <w:rFonts w:ascii="Calibri" w:hAnsi="Calibri" w:eastAsia="Times New Roman" w:cs="Calibri"/>
                <w:color w:val="000000" w:themeColor="text1" w:themeTint="FF" w:themeShade="FF"/>
                <w:sz w:val="18"/>
                <w:szCs w:val="18"/>
                <w:vertAlign w:val="subscript"/>
                <w:lang w:val="en-GB" w:eastAsia="pt-PT"/>
              </w:rPr>
              <w:t>2</w:t>
            </w:r>
          </w:p>
        </w:tc>
      </w:tr>
      <w:tr w:rsidR="00C81F10" w:rsidTr="035DD17A" w14:paraId="4B0811AE" w14:textId="77777777">
        <w:trPr>
          <w:trHeight w:val="227"/>
          <w:jc w:val="center"/>
        </w:trPr>
        <w:tc>
          <w:tcPr>
            <w:tcW w:w="915" w:type="dxa"/>
            <w:noWrap/>
            <w:tcMar/>
            <w:hideMark/>
          </w:tcPr>
          <w:p w:rsidRPr="002A63DA" w:rsidR="00D45D8A" w:rsidP="00323905" w:rsidRDefault="00A92537" w14:paraId="50D3A0FE"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Baseline</w:t>
            </w:r>
          </w:p>
        </w:tc>
        <w:tc>
          <w:tcPr>
            <w:tcW w:w="795" w:type="dxa"/>
            <w:noWrap/>
            <w:tcMar/>
            <w:hideMark/>
          </w:tcPr>
          <w:p w:rsidRPr="002A63DA" w:rsidR="00D45D8A" w:rsidP="00323905" w:rsidRDefault="00A92537" w14:paraId="61D40876"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5</w:t>
            </w:r>
          </w:p>
        </w:tc>
        <w:tc>
          <w:tcPr>
            <w:tcW w:w="1110" w:type="dxa"/>
            <w:noWrap/>
            <w:tcMar/>
            <w:hideMark/>
          </w:tcPr>
          <w:p w:rsidRPr="002A63DA" w:rsidR="00D45D8A" w:rsidP="00323905" w:rsidRDefault="00A92537" w14:paraId="1E558F0E"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3</w:t>
            </w:r>
          </w:p>
        </w:tc>
        <w:tc>
          <w:tcPr>
            <w:tcW w:w="930" w:type="dxa"/>
            <w:noWrap/>
            <w:tcMar/>
            <w:hideMark/>
          </w:tcPr>
          <w:p w:rsidRPr="002A63DA" w:rsidR="00D45D8A" w:rsidP="00323905" w:rsidRDefault="00A92537" w14:paraId="535DCD0C"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5</w:t>
            </w:r>
          </w:p>
        </w:tc>
        <w:tc>
          <w:tcPr>
            <w:tcW w:w="1035" w:type="dxa"/>
            <w:noWrap/>
            <w:tcMar/>
            <w:hideMark/>
          </w:tcPr>
          <w:p w:rsidRPr="002A63DA" w:rsidR="00D45D8A" w:rsidP="00323905" w:rsidRDefault="00A92537" w14:paraId="509031B4"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59</w:t>
            </w:r>
          </w:p>
        </w:tc>
        <w:tc>
          <w:tcPr>
            <w:tcW w:w="1002" w:type="dxa"/>
            <w:noWrap/>
            <w:tcMar/>
            <w:hideMark/>
          </w:tcPr>
          <w:p w:rsidRPr="002A63DA" w:rsidR="00D45D8A" w:rsidP="00323905" w:rsidRDefault="00A92537" w14:paraId="46CFB941"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1</w:t>
            </w:r>
          </w:p>
        </w:tc>
        <w:tc>
          <w:tcPr>
            <w:tcW w:w="1271" w:type="dxa"/>
            <w:noWrap/>
            <w:tcMar/>
            <w:hideMark/>
          </w:tcPr>
          <w:p w:rsidRPr="002A63DA" w:rsidR="00D45D8A" w:rsidP="00323905" w:rsidRDefault="00A92537" w14:paraId="2A02DDEA"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8</w:t>
            </w:r>
          </w:p>
        </w:tc>
      </w:tr>
      <w:tr w:rsidR="00C81F10" w:rsidTr="035DD17A" w14:paraId="71EA2416" w14:textId="77777777">
        <w:trPr>
          <w:trHeight w:val="227"/>
          <w:jc w:val="center"/>
        </w:trPr>
        <w:tc>
          <w:tcPr>
            <w:tcW w:w="915" w:type="dxa"/>
            <w:noWrap/>
            <w:tcMar/>
            <w:hideMark/>
          </w:tcPr>
          <w:p w:rsidRPr="002A63DA" w:rsidR="00D45D8A" w:rsidP="00323905" w:rsidRDefault="00A92537" w14:paraId="0F9B187B"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BAU 25</w:t>
            </w:r>
          </w:p>
        </w:tc>
        <w:tc>
          <w:tcPr>
            <w:tcW w:w="795" w:type="dxa"/>
            <w:noWrap/>
            <w:tcMar/>
            <w:hideMark/>
          </w:tcPr>
          <w:p w:rsidRPr="002A63DA" w:rsidR="00D45D8A" w:rsidP="00323905" w:rsidRDefault="00A92537" w14:paraId="4C06D91C"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110" w:type="dxa"/>
            <w:noWrap/>
            <w:tcMar/>
            <w:hideMark/>
          </w:tcPr>
          <w:p w:rsidRPr="002A63DA" w:rsidR="00D45D8A" w:rsidP="00323905" w:rsidRDefault="00A92537" w14:paraId="3DC3EA61"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930" w:type="dxa"/>
            <w:noWrap/>
            <w:tcMar/>
            <w:hideMark/>
          </w:tcPr>
          <w:p w:rsidRPr="002A63DA" w:rsidR="00D45D8A" w:rsidP="00323905" w:rsidRDefault="00A92537" w14:paraId="20035199"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80</w:t>
            </w:r>
          </w:p>
        </w:tc>
        <w:tc>
          <w:tcPr>
            <w:tcW w:w="1035" w:type="dxa"/>
            <w:noWrap/>
            <w:tcMar/>
            <w:hideMark/>
          </w:tcPr>
          <w:p w:rsidRPr="002A63DA" w:rsidR="00D45D8A" w:rsidP="00323905" w:rsidRDefault="00A92537" w14:paraId="3A5E2390"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45</w:t>
            </w:r>
          </w:p>
        </w:tc>
        <w:tc>
          <w:tcPr>
            <w:tcW w:w="1002" w:type="dxa"/>
            <w:noWrap/>
            <w:tcMar/>
            <w:hideMark/>
          </w:tcPr>
          <w:p w:rsidRPr="002A63DA" w:rsidR="00D45D8A" w:rsidP="00323905" w:rsidRDefault="00A92537" w14:paraId="48872201"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271" w:type="dxa"/>
            <w:noWrap/>
            <w:tcMar/>
            <w:hideMark/>
          </w:tcPr>
          <w:p w:rsidRPr="002A63DA" w:rsidR="00D45D8A" w:rsidP="00323905" w:rsidRDefault="00A92537" w14:paraId="03306047"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25</w:t>
            </w:r>
          </w:p>
        </w:tc>
      </w:tr>
      <w:tr w:rsidR="00C81F10" w:rsidTr="035DD17A" w14:paraId="6C704E16" w14:textId="77777777">
        <w:trPr>
          <w:trHeight w:val="227"/>
          <w:jc w:val="center"/>
        </w:trPr>
        <w:tc>
          <w:tcPr>
            <w:tcW w:w="915" w:type="dxa"/>
            <w:noWrap/>
            <w:tcMar/>
            <w:hideMark/>
          </w:tcPr>
          <w:p w:rsidRPr="002A63DA" w:rsidR="00D45D8A" w:rsidP="00323905" w:rsidRDefault="00A92537" w14:paraId="3E7744D9"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FUPS 25</w:t>
            </w:r>
          </w:p>
        </w:tc>
        <w:tc>
          <w:tcPr>
            <w:tcW w:w="795" w:type="dxa"/>
            <w:noWrap/>
            <w:tcMar/>
            <w:hideMark/>
          </w:tcPr>
          <w:p w:rsidRPr="002A63DA" w:rsidR="00D45D8A" w:rsidP="00323905" w:rsidRDefault="00A92537" w14:paraId="0099161F"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110" w:type="dxa"/>
            <w:noWrap/>
            <w:tcMar/>
            <w:hideMark/>
          </w:tcPr>
          <w:p w:rsidRPr="002A63DA" w:rsidR="00D45D8A" w:rsidP="00323905" w:rsidRDefault="00A92537" w14:paraId="0BF25C36"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930" w:type="dxa"/>
            <w:noWrap/>
            <w:tcMar/>
            <w:hideMark/>
          </w:tcPr>
          <w:p w:rsidRPr="002A63DA" w:rsidR="00D45D8A" w:rsidP="00323905" w:rsidRDefault="00A92537" w14:paraId="6BC838E4"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80</w:t>
            </w:r>
          </w:p>
        </w:tc>
        <w:tc>
          <w:tcPr>
            <w:tcW w:w="1035" w:type="dxa"/>
            <w:noWrap/>
            <w:tcMar/>
            <w:hideMark/>
          </w:tcPr>
          <w:p w:rsidRPr="002A63DA" w:rsidR="00D45D8A" w:rsidP="00323905" w:rsidRDefault="00A92537" w14:paraId="7B3B6DC9"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44</w:t>
            </w:r>
          </w:p>
        </w:tc>
        <w:tc>
          <w:tcPr>
            <w:tcW w:w="1002" w:type="dxa"/>
            <w:noWrap/>
            <w:tcMar/>
            <w:hideMark/>
          </w:tcPr>
          <w:p w:rsidRPr="002A63DA" w:rsidR="00D45D8A" w:rsidP="00323905" w:rsidRDefault="00A92537" w14:paraId="31EFB048"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271" w:type="dxa"/>
            <w:noWrap/>
            <w:tcMar/>
            <w:hideMark/>
          </w:tcPr>
          <w:p w:rsidRPr="002A63DA" w:rsidR="00D45D8A" w:rsidP="00323905" w:rsidRDefault="00A92537" w14:paraId="534A8229"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&lt;1</w:t>
            </w:r>
          </w:p>
        </w:tc>
      </w:tr>
      <w:tr w:rsidR="00C81F10" w:rsidTr="035DD17A" w14:paraId="6859A731" w14:textId="77777777">
        <w:trPr>
          <w:trHeight w:val="227"/>
          <w:jc w:val="center"/>
        </w:trPr>
        <w:tc>
          <w:tcPr>
            <w:tcW w:w="915" w:type="dxa"/>
            <w:noWrap/>
            <w:tcMar/>
            <w:hideMark/>
          </w:tcPr>
          <w:p w:rsidRPr="002A63DA" w:rsidR="00D45D8A" w:rsidP="00323905" w:rsidRDefault="00A92537" w14:paraId="2B70911D"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BAU 35</w:t>
            </w:r>
          </w:p>
        </w:tc>
        <w:tc>
          <w:tcPr>
            <w:tcW w:w="795" w:type="dxa"/>
            <w:noWrap/>
            <w:tcMar/>
            <w:hideMark/>
          </w:tcPr>
          <w:p w:rsidRPr="002A63DA" w:rsidR="00D45D8A" w:rsidP="00323905" w:rsidRDefault="00A92537" w14:paraId="187BC766"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110" w:type="dxa"/>
            <w:noWrap/>
            <w:tcMar/>
            <w:hideMark/>
          </w:tcPr>
          <w:p w:rsidRPr="002A63DA" w:rsidR="00D45D8A" w:rsidP="00323905" w:rsidRDefault="00A92537" w14:paraId="5F9D60EE"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930" w:type="dxa"/>
            <w:noWrap/>
            <w:tcMar/>
            <w:hideMark/>
          </w:tcPr>
          <w:p w:rsidRPr="002A63DA" w:rsidR="00D45D8A" w:rsidP="00323905" w:rsidRDefault="00A92537" w14:paraId="339C723D"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035" w:type="dxa"/>
            <w:noWrap/>
            <w:tcMar/>
            <w:hideMark/>
          </w:tcPr>
          <w:p w:rsidRPr="002A63DA" w:rsidR="00D45D8A" w:rsidP="00323905" w:rsidRDefault="00A92537" w14:paraId="13D75798"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34</w:t>
            </w:r>
          </w:p>
        </w:tc>
        <w:tc>
          <w:tcPr>
            <w:tcW w:w="1002" w:type="dxa"/>
            <w:noWrap/>
            <w:tcMar/>
            <w:hideMark/>
          </w:tcPr>
          <w:p w:rsidRPr="002A63DA" w:rsidR="00D45D8A" w:rsidP="00323905" w:rsidRDefault="00A92537" w14:paraId="474815FE"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271" w:type="dxa"/>
            <w:noWrap/>
            <w:tcMar/>
            <w:hideMark/>
          </w:tcPr>
          <w:p w:rsidRPr="002A63DA" w:rsidR="00D45D8A" w:rsidP="00323905" w:rsidRDefault="00A92537" w14:paraId="33809ED2"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r>
      <w:tr w:rsidR="00C81F10" w:rsidTr="035DD17A" w14:paraId="424C6ABD" w14:textId="77777777">
        <w:trPr>
          <w:trHeight w:val="227"/>
          <w:jc w:val="center"/>
        </w:trPr>
        <w:tc>
          <w:tcPr>
            <w:tcW w:w="915" w:type="dxa"/>
            <w:noWrap/>
            <w:tcMar/>
            <w:hideMark/>
          </w:tcPr>
          <w:p w:rsidRPr="002A63DA" w:rsidR="00D45D8A" w:rsidP="00323905" w:rsidRDefault="00A92537" w14:paraId="526FF8E3"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FUPS 35</w:t>
            </w:r>
          </w:p>
        </w:tc>
        <w:tc>
          <w:tcPr>
            <w:tcW w:w="795" w:type="dxa"/>
            <w:noWrap/>
            <w:tcMar/>
            <w:hideMark/>
          </w:tcPr>
          <w:p w:rsidRPr="002A63DA" w:rsidR="00D45D8A" w:rsidP="00323905" w:rsidRDefault="00A92537" w14:paraId="2CAC007F"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110" w:type="dxa"/>
            <w:noWrap/>
            <w:tcMar/>
            <w:hideMark/>
          </w:tcPr>
          <w:p w:rsidRPr="002A63DA" w:rsidR="00D45D8A" w:rsidP="00323905" w:rsidRDefault="00A92537" w14:paraId="5D9BCE6B"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930" w:type="dxa"/>
            <w:noWrap/>
            <w:tcMar/>
            <w:hideMark/>
          </w:tcPr>
          <w:p w:rsidRPr="002A63DA" w:rsidR="00D45D8A" w:rsidP="00323905" w:rsidRDefault="00A92537" w14:paraId="3D4AC73F"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035" w:type="dxa"/>
            <w:noWrap/>
            <w:tcMar/>
            <w:hideMark/>
          </w:tcPr>
          <w:p w:rsidRPr="002A63DA" w:rsidR="00D45D8A" w:rsidP="00323905" w:rsidRDefault="00A92537" w14:paraId="78CA96B2"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31</w:t>
            </w:r>
          </w:p>
        </w:tc>
        <w:tc>
          <w:tcPr>
            <w:tcW w:w="1002" w:type="dxa"/>
            <w:noWrap/>
            <w:tcMar/>
            <w:hideMark/>
          </w:tcPr>
          <w:p w:rsidRPr="002A63DA" w:rsidR="00D45D8A" w:rsidP="00323905" w:rsidRDefault="00A92537" w14:paraId="0F043090"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271" w:type="dxa"/>
            <w:noWrap/>
            <w:tcMar/>
            <w:hideMark/>
          </w:tcPr>
          <w:p w:rsidRPr="002A63DA" w:rsidR="00D45D8A" w:rsidP="00323905" w:rsidRDefault="00A92537" w14:paraId="2EC7CE91"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5</w:t>
            </w:r>
          </w:p>
        </w:tc>
      </w:tr>
      <w:tr w:rsidR="00C81F10" w:rsidTr="035DD17A" w14:paraId="66F3D2D5" w14:textId="77777777">
        <w:trPr>
          <w:trHeight w:val="227"/>
          <w:jc w:val="center"/>
        </w:trPr>
        <w:tc>
          <w:tcPr>
            <w:tcW w:w="915" w:type="dxa"/>
            <w:noWrap/>
            <w:tcMar/>
            <w:hideMark/>
          </w:tcPr>
          <w:p w:rsidRPr="002A63DA" w:rsidR="00D45D8A" w:rsidP="00323905" w:rsidRDefault="00A92537" w14:paraId="08A7BB3E"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BAU 50</w:t>
            </w:r>
          </w:p>
        </w:tc>
        <w:tc>
          <w:tcPr>
            <w:tcW w:w="795" w:type="dxa"/>
            <w:noWrap/>
            <w:tcMar/>
            <w:hideMark/>
          </w:tcPr>
          <w:p w:rsidRPr="002A63DA" w:rsidR="00D45D8A" w:rsidP="00323905" w:rsidRDefault="00A92537" w14:paraId="25C6E030"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110" w:type="dxa"/>
            <w:noWrap/>
            <w:tcMar/>
            <w:hideMark/>
          </w:tcPr>
          <w:p w:rsidRPr="002A63DA" w:rsidR="00D45D8A" w:rsidP="00323905" w:rsidRDefault="00A92537" w14:paraId="599360C9"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930" w:type="dxa"/>
            <w:noWrap/>
            <w:tcMar/>
            <w:hideMark/>
          </w:tcPr>
          <w:p w:rsidRPr="002A63DA" w:rsidR="00D45D8A" w:rsidP="00323905" w:rsidRDefault="00A92537" w14:paraId="05F4E693"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035" w:type="dxa"/>
            <w:noWrap/>
            <w:tcMar/>
            <w:hideMark/>
          </w:tcPr>
          <w:p w:rsidRPr="002A63DA" w:rsidR="00D45D8A" w:rsidP="00323905" w:rsidRDefault="00A92537" w14:paraId="1F3E49EE"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28</w:t>
            </w:r>
          </w:p>
        </w:tc>
        <w:tc>
          <w:tcPr>
            <w:tcW w:w="1002" w:type="dxa"/>
            <w:noWrap/>
            <w:tcMar/>
            <w:hideMark/>
          </w:tcPr>
          <w:p w:rsidRPr="002A63DA" w:rsidR="00D45D8A" w:rsidP="00323905" w:rsidRDefault="00A92537" w14:paraId="33A6EF9A"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271" w:type="dxa"/>
            <w:noWrap/>
            <w:tcMar/>
            <w:hideMark/>
          </w:tcPr>
          <w:p w:rsidRPr="002A63DA" w:rsidR="00D45D8A" w:rsidP="00323905" w:rsidRDefault="00A92537" w14:paraId="2642AD01"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r>
      <w:tr w:rsidR="00C81F10" w:rsidTr="035DD17A" w14:paraId="24E5F150" w14:textId="77777777">
        <w:trPr>
          <w:trHeight w:val="227"/>
          <w:jc w:val="center"/>
        </w:trPr>
        <w:tc>
          <w:tcPr>
            <w:tcW w:w="915" w:type="dxa"/>
            <w:noWrap/>
            <w:tcMar/>
            <w:hideMark/>
          </w:tcPr>
          <w:p w:rsidRPr="002A63DA" w:rsidR="00D45D8A" w:rsidP="00323905" w:rsidRDefault="00A92537" w14:paraId="32EC1C8E"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FUPS 50</w:t>
            </w:r>
          </w:p>
        </w:tc>
        <w:tc>
          <w:tcPr>
            <w:tcW w:w="795" w:type="dxa"/>
            <w:noWrap/>
            <w:tcMar/>
            <w:hideMark/>
          </w:tcPr>
          <w:p w:rsidRPr="002A63DA" w:rsidR="00D45D8A" w:rsidP="00323905" w:rsidRDefault="00A92537" w14:paraId="271051FF"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110" w:type="dxa"/>
            <w:noWrap/>
            <w:tcMar/>
            <w:hideMark/>
          </w:tcPr>
          <w:p w:rsidRPr="002A63DA" w:rsidR="00D45D8A" w:rsidP="00323905" w:rsidRDefault="00A92537" w14:paraId="38267862"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930" w:type="dxa"/>
            <w:noWrap/>
            <w:tcMar/>
            <w:hideMark/>
          </w:tcPr>
          <w:p w:rsidRPr="002A63DA" w:rsidR="00D45D8A" w:rsidP="00323905" w:rsidRDefault="00A92537" w14:paraId="36E50BCA"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035" w:type="dxa"/>
            <w:noWrap/>
            <w:tcMar/>
            <w:hideMark/>
          </w:tcPr>
          <w:p w:rsidRPr="002A63DA" w:rsidR="00D45D8A" w:rsidP="00323905" w:rsidRDefault="00A92537" w14:paraId="0C02031A"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28</w:t>
            </w:r>
          </w:p>
        </w:tc>
        <w:tc>
          <w:tcPr>
            <w:tcW w:w="1002" w:type="dxa"/>
            <w:noWrap/>
            <w:tcMar/>
            <w:hideMark/>
          </w:tcPr>
          <w:p w:rsidRPr="002A63DA" w:rsidR="00D45D8A" w:rsidP="00323905" w:rsidRDefault="00A92537" w14:paraId="443DB132"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c>
          <w:tcPr>
            <w:tcW w:w="1271" w:type="dxa"/>
            <w:noWrap/>
            <w:tcMar/>
            <w:hideMark/>
          </w:tcPr>
          <w:p w:rsidRPr="002A63DA" w:rsidR="00D45D8A" w:rsidP="00323905" w:rsidRDefault="00A92537" w14:paraId="0DC3A036"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w:t>
            </w:r>
          </w:p>
        </w:tc>
      </w:tr>
      <w:tr w:rsidR="00C81F10" w:rsidTr="035DD17A" w14:paraId="24DB93E7" w14:textId="77777777">
        <w:trPr>
          <w:trHeight w:val="227"/>
          <w:jc w:val="center"/>
        </w:trPr>
        <w:tc>
          <w:tcPr>
            <w:tcW w:w="915" w:type="dxa"/>
            <w:noWrap/>
            <w:tcMar/>
            <w:hideMark/>
          </w:tcPr>
          <w:p w:rsidRPr="002A63DA" w:rsidR="00D45D8A" w:rsidP="00323905" w:rsidRDefault="00D45D8A" w14:paraId="24675EA9" w14:textId="77777777">
            <w:pPr>
              <w:jc w:val="center"/>
              <w:rPr>
                <w:rFonts w:ascii="Calibri" w:hAnsi="Calibri" w:eastAsia="Times New Roman" w:cs="Calibri"/>
                <w:color w:val="000000"/>
                <w:sz w:val="18"/>
                <w:szCs w:val="18"/>
                <w:lang w:val="en-GB" w:eastAsia="pt-PT"/>
              </w:rPr>
            </w:pPr>
          </w:p>
        </w:tc>
        <w:tc>
          <w:tcPr>
            <w:tcW w:w="6143" w:type="dxa"/>
            <w:gridSpan w:val="6"/>
            <w:noWrap/>
            <w:tcMar/>
            <w:hideMark/>
          </w:tcPr>
          <w:p w:rsidRPr="002A63DA" w:rsidR="00D45D8A" w:rsidP="00323905" w:rsidRDefault="00A92537" w14:paraId="2CA72FA5"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 xml:space="preserve">% </w:t>
            </w:r>
            <w:r w:rsidRPr="035DD17A" w:rsidR="00A92537">
              <w:rPr>
                <w:rFonts w:ascii="Calibri" w:hAnsi="Calibri" w:eastAsia="Times New Roman" w:cs="Calibri"/>
                <w:color w:val="000000" w:themeColor="text1" w:themeTint="FF" w:themeShade="FF"/>
                <w:sz w:val="18"/>
                <w:szCs w:val="18"/>
                <w:lang w:val="en-GB" w:eastAsia="pt-PT"/>
              </w:rPr>
              <w:t>of</w:t>
            </w:r>
            <w:r w:rsidRPr="035DD17A" w:rsidR="00A92537">
              <w:rPr>
                <w:rFonts w:ascii="Calibri" w:hAnsi="Calibri" w:eastAsia="Times New Roman" w:cs="Calibri"/>
                <w:color w:val="000000" w:themeColor="text1" w:themeTint="FF" w:themeShade="FF"/>
                <w:sz w:val="18"/>
                <w:szCs w:val="18"/>
                <w:lang w:val="en-GB" w:eastAsia="pt-PT"/>
              </w:rPr>
              <w:t xml:space="preserve"> population potentially exposed to PM10</w:t>
            </w:r>
          </w:p>
        </w:tc>
      </w:tr>
      <w:tr w:rsidR="00C81F10" w:rsidTr="035DD17A" w14:paraId="28FD3328" w14:textId="77777777">
        <w:trPr>
          <w:trHeight w:val="227"/>
          <w:jc w:val="center"/>
        </w:trPr>
        <w:tc>
          <w:tcPr>
            <w:tcW w:w="915" w:type="dxa"/>
            <w:noWrap/>
            <w:tcMar/>
            <w:hideMark/>
          </w:tcPr>
          <w:p w:rsidRPr="002A63DA" w:rsidR="00D45D8A" w:rsidP="00323905" w:rsidRDefault="00A92537" w14:paraId="16C5B8EC"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Baseline</w:t>
            </w:r>
          </w:p>
        </w:tc>
        <w:tc>
          <w:tcPr>
            <w:tcW w:w="795" w:type="dxa"/>
            <w:noWrap/>
            <w:tcMar/>
            <w:hideMark/>
          </w:tcPr>
          <w:p w:rsidRPr="002A63DA" w:rsidR="00D45D8A" w:rsidP="035DD17A" w:rsidRDefault="00A92537" w14:paraId="3A53EB75"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1110" w:type="dxa"/>
            <w:noWrap/>
            <w:tcMar/>
            <w:hideMark/>
          </w:tcPr>
          <w:p w:rsidRPr="002A63DA" w:rsidR="00D45D8A" w:rsidP="035DD17A" w:rsidRDefault="00A92537" w14:paraId="407CCA69"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(2)</w:t>
            </w:r>
          </w:p>
        </w:tc>
        <w:tc>
          <w:tcPr>
            <w:tcW w:w="930" w:type="dxa"/>
            <w:noWrap/>
            <w:tcMar/>
            <w:hideMark/>
          </w:tcPr>
          <w:p w:rsidRPr="002A63DA" w:rsidR="00D45D8A" w:rsidP="035DD17A" w:rsidRDefault="00A92537" w14:paraId="0E6DEEFF"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5" w:type="dxa"/>
            <w:noWrap/>
            <w:tcMar/>
            <w:hideMark/>
          </w:tcPr>
          <w:p w:rsidRPr="002A63DA" w:rsidR="00D45D8A" w:rsidP="035DD17A" w:rsidRDefault="00A92537" w14:paraId="2A765FBD"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13 (95)</w:t>
            </w:r>
          </w:p>
        </w:tc>
        <w:tc>
          <w:tcPr>
            <w:tcW w:w="1002" w:type="dxa"/>
            <w:noWrap/>
            <w:tcMar/>
            <w:hideMark/>
          </w:tcPr>
          <w:p w:rsidRPr="002A63DA" w:rsidR="00D45D8A" w:rsidP="035DD17A" w:rsidRDefault="00A92537" w14:paraId="1A43AADB"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271" w:type="dxa"/>
            <w:noWrap/>
            <w:tcMar/>
            <w:hideMark/>
          </w:tcPr>
          <w:p w:rsidRPr="002A63DA" w:rsidR="00D45D8A" w:rsidP="035DD17A" w:rsidRDefault="00A92537" w14:paraId="30FE5B31"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&lt;1 (78)</w:t>
            </w:r>
          </w:p>
        </w:tc>
      </w:tr>
      <w:tr w:rsidR="00C81F10" w:rsidTr="035DD17A" w14:paraId="179017D4" w14:textId="77777777">
        <w:trPr>
          <w:trHeight w:val="227"/>
          <w:jc w:val="center"/>
        </w:trPr>
        <w:tc>
          <w:tcPr>
            <w:tcW w:w="915" w:type="dxa"/>
            <w:noWrap/>
            <w:tcMar/>
            <w:hideMark/>
          </w:tcPr>
          <w:p w:rsidRPr="002A63DA" w:rsidR="00D45D8A" w:rsidP="00323905" w:rsidRDefault="00A92537" w14:paraId="14A03C88"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BAU 25</w:t>
            </w:r>
          </w:p>
        </w:tc>
        <w:tc>
          <w:tcPr>
            <w:tcW w:w="795" w:type="dxa"/>
            <w:noWrap/>
            <w:tcMar/>
            <w:hideMark/>
          </w:tcPr>
          <w:p w:rsidRPr="002A63DA" w:rsidR="00D45D8A" w:rsidP="035DD17A" w:rsidRDefault="00A92537" w14:paraId="623EED51"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1110" w:type="dxa"/>
            <w:noWrap/>
            <w:tcMar/>
            <w:hideMark/>
          </w:tcPr>
          <w:p w:rsidRPr="002A63DA" w:rsidR="00D45D8A" w:rsidP="035DD17A" w:rsidRDefault="00A92537" w14:paraId="23233A4F"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930" w:type="dxa"/>
            <w:noWrap/>
            <w:tcMar/>
            <w:hideMark/>
          </w:tcPr>
          <w:p w:rsidRPr="002A63DA" w:rsidR="00D45D8A" w:rsidP="035DD17A" w:rsidRDefault="00A92537" w14:paraId="1980A22C"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5" w:type="dxa"/>
            <w:noWrap/>
            <w:tcMar/>
            <w:hideMark/>
          </w:tcPr>
          <w:p w:rsidRPr="002A63DA" w:rsidR="00D45D8A" w:rsidP="035DD17A" w:rsidRDefault="00A92537" w14:paraId="76DA31AC"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6 (89)</w:t>
            </w:r>
          </w:p>
        </w:tc>
        <w:tc>
          <w:tcPr>
            <w:tcW w:w="1002" w:type="dxa"/>
            <w:noWrap/>
            <w:tcMar/>
            <w:hideMark/>
          </w:tcPr>
          <w:p w:rsidRPr="002A63DA" w:rsidR="00D45D8A" w:rsidP="035DD17A" w:rsidRDefault="00A92537" w14:paraId="2BB07C76"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271" w:type="dxa"/>
            <w:noWrap/>
            <w:tcMar/>
            <w:hideMark/>
          </w:tcPr>
          <w:p w:rsidRPr="002A63DA" w:rsidR="00D45D8A" w:rsidP="035DD17A" w:rsidRDefault="00A92537" w14:paraId="2CA380C7"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(64)</w:t>
            </w:r>
          </w:p>
        </w:tc>
      </w:tr>
      <w:tr w:rsidR="00C81F10" w:rsidTr="035DD17A" w14:paraId="106DF299" w14:textId="77777777">
        <w:trPr>
          <w:trHeight w:val="227"/>
          <w:jc w:val="center"/>
        </w:trPr>
        <w:tc>
          <w:tcPr>
            <w:tcW w:w="915" w:type="dxa"/>
            <w:noWrap/>
            <w:tcMar/>
            <w:hideMark/>
          </w:tcPr>
          <w:p w:rsidRPr="002A63DA" w:rsidR="00D45D8A" w:rsidP="00323905" w:rsidRDefault="00A92537" w14:paraId="0DEEE913"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FUPS 25</w:t>
            </w:r>
          </w:p>
        </w:tc>
        <w:tc>
          <w:tcPr>
            <w:tcW w:w="795" w:type="dxa"/>
            <w:noWrap/>
            <w:tcMar/>
            <w:hideMark/>
          </w:tcPr>
          <w:p w:rsidRPr="002A63DA" w:rsidR="00D45D8A" w:rsidP="035DD17A" w:rsidRDefault="00A92537" w14:paraId="21703534"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110" w:type="dxa"/>
            <w:noWrap/>
            <w:tcMar/>
            <w:hideMark/>
          </w:tcPr>
          <w:p w:rsidRPr="002A63DA" w:rsidR="00D45D8A" w:rsidP="035DD17A" w:rsidRDefault="00A92537" w14:paraId="68B5C150"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930" w:type="dxa"/>
            <w:noWrap/>
            <w:tcMar/>
            <w:hideMark/>
          </w:tcPr>
          <w:p w:rsidRPr="002A63DA" w:rsidR="00D45D8A" w:rsidP="035DD17A" w:rsidRDefault="00A92537" w14:paraId="1FC60776"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5" w:type="dxa"/>
            <w:noWrap/>
            <w:tcMar/>
            <w:hideMark/>
          </w:tcPr>
          <w:p w:rsidRPr="002A63DA" w:rsidR="00D45D8A" w:rsidP="035DD17A" w:rsidRDefault="00A92537" w14:paraId="0B18F4D7"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5 (88)</w:t>
            </w:r>
          </w:p>
        </w:tc>
        <w:tc>
          <w:tcPr>
            <w:tcW w:w="1002" w:type="dxa"/>
            <w:noWrap/>
            <w:tcMar/>
            <w:hideMark/>
          </w:tcPr>
          <w:p w:rsidRPr="002A63DA" w:rsidR="00D45D8A" w:rsidP="035DD17A" w:rsidRDefault="00A92537" w14:paraId="57758DB5"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271" w:type="dxa"/>
            <w:noWrap/>
            <w:tcMar/>
            <w:hideMark/>
          </w:tcPr>
          <w:p w:rsidRPr="002A63DA" w:rsidR="00D45D8A" w:rsidP="035DD17A" w:rsidRDefault="00A92537" w14:paraId="53CA3C08"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(64)</w:t>
            </w:r>
          </w:p>
        </w:tc>
      </w:tr>
      <w:tr w:rsidR="00C81F10" w:rsidTr="035DD17A" w14:paraId="4299ECCC" w14:textId="77777777">
        <w:trPr>
          <w:trHeight w:val="227"/>
          <w:jc w:val="center"/>
        </w:trPr>
        <w:tc>
          <w:tcPr>
            <w:tcW w:w="915" w:type="dxa"/>
            <w:noWrap/>
            <w:tcMar/>
            <w:hideMark/>
          </w:tcPr>
          <w:p w:rsidRPr="002A63DA" w:rsidR="00D45D8A" w:rsidP="00323905" w:rsidRDefault="00A92537" w14:paraId="65009C70"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BAU 35</w:t>
            </w:r>
          </w:p>
        </w:tc>
        <w:tc>
          <w:tcPr>
            <w:tcW w:w="795" w:type="dxa"/>
            <w:noWrap/>
            <w:tcMar/>
            <w:hideMark/>
          </w:tcPr>
          <w:p w:rsidRPr="002A63DA" w:rsidR="00D45D8A" w:rsidP="035DD17A" w:rsidRDefault="00A92537" w14:paraId="637E721E"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1110" w:type="dxa"/>
            <w:noWrap/>
            <w:tcMar/>
            <w:hideMark/>
          </w:tcPr>
          <w:p w:rsidRPr="002A63DA" w:rsidR="00D45D8A" w:rsidP="035DD17A" w:rsidRDefault="00A92537" w14:paraId="04ECC54A"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930" w:type="dxa"/>
            <w:noWrap/>
            <w:tcMar/>
            <w:hideMark/>
          </w:tcPr>
          <w:p w:rsidRPr="002A63DA" w:rsidR="00D45D8A" w:rsidP="035DD17A" w:rsidRDefault="00A92537" w14:paraId="0A5959F0"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5" w:type="dxa"/>
            <w:noWrap/>
            <w:tcMar/>
            <w:hideMark/>
          </w:tcPr>
          <w:p w:rsidRPr="002A63DA" w:rsidR="00D45D8A" w:rsidP="035DD17A" w:rsidRDefault="00A92537" w14:paraId="20DC0C8E"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3 (80)</w:t>
            </w:r>
          </w:p>
        </w:tc>
        <w:tc>
          <w:tcPr>
            <w:tcW w:w="1002" w:type="dxa"/>
            <w:noWrap/>
            <w:tcMar/>
            <w:hideMark/>
          </w:tcPr>
          <w:p w:rsidRPr="002A63DA" w:rsidR="00D45D8A" w:rsidP="035DD17A" w:rsidRDefault="00A92537" w14:paraId="34DA5830"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271" w:type="dxa"/>
            <w:noWrap/>
            <w:tcMar/>
            <w:hideMark/>
          </w:tcPr>
          <w:p w:rsidRPr="002A63DA" w:rsidR="00D45D8A" w:rsidP="035DD17A" w:rsidRDefault="00A92537" w14:paraId="3775F08C"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(54)</w:t>
            </w:r>
          </w:p>
        </w:tc>
      </w:tr>
      <w:tr w:rsidR="00C81F10" w:rsidTr="035DD17A" w14:paraId="3EF83F03" w14:textId="77777777">
        <w:trPr>
          <w:trHeight w:val="227"/>
          <w:jc w:val="center"/>
        </w:trPr>
        <w:tc>
          <w:tcPr>
            <w:tcW w:w="915" w:type="dxa"/>
            <w:noWrap/>
            <w:tcMar/>
            <w:hideMark/>
          </w:tcPr>
          <w:p w:rsidRPr="002A63DA" w:rsidR="00D45D8A" w:rsidP="00323905" w:rsidRDefault="00A92537" w14:paraId="261E21F5"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FUPS 35</w:t>
            </w:r>
          </w:p>
        </w:tc>
        <w:tc>
          <w:tcPr>
            <w:tcW w:w="795" w:type="dxa"/>
            <w:noWrap/>
            <w:tcMar/>
            <w:hideMark/>
          </w:tcPr>
          <w:p w:rsidRPr="002A63DA" w:rsidR="00D45D8A" w:rsidP="035DD17A" w:rsidRDefault="00A92537" w14:paraId="6D09714B"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110" w:type="dxa"/>
            <w:noWrap/>
            <w:tcMar/>
            <w:hideMark/>
          </w:tcPr>
          <w:p w:rsidRPr="002A63DA" w:rsidR="00D45D8A" w:rsidP="035DD17A" w:rsidRDefault="00A92537" w14:paraId="1E4C3A6B"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930" w:type="dxa"/>
            <w:noWrap/>
            <w:tcMar/>
            <w:hideMark/>
          </w:tcPr>
          <w:p w:rsidRPr="002A63DA" w:rsidR="00D45D8A" w:rsidP="035DD17A" w:rsidRDefault="00A92537" w14:paraId="6D69CB33"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5" w:type="dxa"/>
            <w:noWrap/>
            <w:tcMar/>
            <w:hideMark/>
          </w:tcPr>
          <w:p w:rsidRPr="002A63DA" w:rsidR="00D45D8A" w:rsidP="035DD17A" w:rsidRDefault="00A92537" w14:paraId="0EA54370"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3 (78)</w:t>
            </w:r>
          </w:p>
        </w:tc>
        <w:tc>
          <w:tcPr>
            <w:tcW w:w="1002" w:type="dxa"/>
            <w:noWrap/>
            <w:tcMar/>
            <w:hideMark/>
          </w:tcPr>
          <w:p w:rsidRPr="002A63DA" w:rsidR="00D45D8A" w:rsidP="035DD17A" w:rsidRDefault="00A92537" w14:paraId="7518E658"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271" w:type="dxa"/>
            <w:noWrap/>
            <w:tcMar/>
            <w:hideMark/>
          </w:tcPr>
          <w:p w:rsidRPr="002A63DA" w:rsidR="00D45D8A" w:rsidP="035DD17A" w:rsidRDefault="00A92537" w14:paraId="5749A2D2"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(54)</w:t>
            </w:r>
          </w:p>
        </w:tc>
      </w:tr>
      <w:tr w:rsidR="00C81F10" w:rsidTr="035DD17A" w14:paraId="3F45923B" w14:textId="77777777">
        <w:trPr>
          <w:trHeight w:val="227"/>
          <w:jc w:val="center"/>
        </w:trPr>
        <w:tc>
          <w:tcPr>
            <w:tcW w:w="915" w:type="dxa"/>
            <w:noWrap/>
            <w:tcMar/>
            <w:hideMark/>
          </w:tcPr>
          <w:p w:rsidRPr="002A63DA" w:rsidR="00D45D8A" w:rsidP="00323905" w:rsidRDefault="00A92537" w14:paraId="54961F12"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BAU 50</w:t>
            </w:r>
          </w:p>
        </w:tc>
        <w:tc>
          <w:tcPr>
            <w:tcW w:w="795" w:type="dxa"/>
            <w:noWrap/>
            <w:tcMar/>
            <w:hideMark/>
          </w:tcPr>
          <w:p w:rsidRPr="002A63DA" w:rsidR="00D45D8A" w:rsidP="035DD17A" w:rsidRDefault="00A92537" w14:paraId="1E32CC3C"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1110" w:type="dxa"/>
            <w:noWrap/>
            <w:tcMar/>
            <w:hideMark/>
          </w:tcPr>
          <w:p w:rsidRPr="002A63DA" w:rsidR="00D45D8A" w:rsidP="035DD17A" w:rsidRDefault="00A92537" w14:paraId="1DD1D358"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930" w:type="dxa"/>
            <w:noWrap/>
            <w:tcMar/>
            <w:hideMark/>
          </w:tcPr>
          <w:p w:rsidRPr="002A63DA" w:rsidR="00D45D8A" w:rsidP="035DD17A" w:rsidRDefault="00A92537" w14:paraId="15A59DA1"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5" w:type="dxa"/>
            <w:noWrap/>
            <w:tcMar/>
            <w:hideMark/>
          </w:tcPr>
          <w:p w:rsidRPr="002A63DA" w:rsidR="00D45D8A" w:rsidP="035DD17A" w:rsidRDefault="00A92537" w14:paraId="0D9CE7FB"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2 (75)</w:t>
            </w:r>
          </w:p>
        </w:tc>
        <w:tc>
          <w:tcPr>
            <w:tcW w:w="1002" w:type="dxa"/>
            <w:noWrap/>
            <w:tcMar/>
            <w:hideMark/>
          </w:tcPr>
          <w:p w:rsidRPr="002A63DA" w:rsidR="00D45D8A" w:rsidP="035DD17A" w:rsidRDefault="00A92537" w14:paraId="577C4E64"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271" w:type="dxa"/>
            <w:noWrap/>
            <w:tcMar/>
            <w:hideMark/>
          </w:tcPr>
          <w:p w:rsidRPr="002A63DA" w:rsidR="00D45D8A" w:rsidP="035DD17A" w:rsidRDefault="00A92537" w14:paraId="56D833BC"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(55)</w:t>
            </w:r>
          </w:p>
        </w:tc>
      </w:tr>
      <w:tr w:rsidR="00C81F10" w:rsidTr="035DD17A" w14:paraId="77221C55" w14:textId="77777777">
        <w:trPr>
          <w:trHeight w:val="227"/>
          <w:jc w:val="center"/>
        </w:trPr>
        <w:tc>
          <w:tcPr>
            <w:tcW w:w="915" w:type="dxa"/>
            <w:noWrap/>
            <w:tcMar/>
            <w:hideMark/>
          </w:tcPr>
          <w:p w:rsidRPr="002A63DA" w:rsidR="00D45D8A" w:rsidP="00323905" w:rsidRDefault="00A92537" w14:paraId="6B07C097"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FUPS 50</w:t>
            </w:r>
          </w:p>
        </w:tc>
        <w:tc>
          <w:tcPr>
            <w:tcW w:w="795" w:type="dxa"/>
            <w:noWrap/>
            <w:tcMar/>
            <w:hideMark/>
          </w:tcPr>
          <w:p w:rsidRPr="002A63DA" w:rsidR="00D45D8A" w:rsidP="035DD17A" w:rsidRDefault="00A92537" w14:paraId="237454EC"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110" w:type="dxa"/>
            <w:noWrap/>
            <w:tcMar/>
            <w:hideMark/>
          </w:tcPr>
          <w:p w:rsidRPr="002A63DA" w:rsidR="00D45D8A" w:rsidP="035DD17A" w:rsidRDefault="00A92537" w14:paraId="40EAA326"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930" w:type="dxa"/>
            <w:noWrap/>
            <w:tcMar/>
            <w:hideMark/>
          </w:tcPr>
          <w:p w:rsidRPr="002A63DA" w:rsidR="00D45D8A" w:rsidP="035DD17A" w:rsidRDefault="00A92537" w14:paraId="0481B23D"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035" w:type="dxa"/>
            <w:noWrap/>
            <w:tcMar/>
            <w:hideMark/>
          </w:tcPr>
          <w:p w:rsidRPr="002A63DA" w:rsidR="00D45D8A" w:rsidP="035DD17A" w:rsidRDefault="00A92537" w14:paraId="7E9F81EF"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2 (73)</w:t>
            </w:r>
          </w:p>
        </w:tc>
        <w:tc>
          <w:tcPr>
            <w:tcW w:w="1002" w:type="dxa"/>
            <w:noWrap/>
            <w:tcMar/>
            <w:hideMark/>
          </w:tcPr>
          <w:p w:rsidRPr="002A63DA" w:rsidR="00D45D8A" w:rsidP="035DD17A" w:rsidRDefault="00A92537" w14:paraId="48489B5F" w14:textId="77777777">
            <w:pPr>
              <w:jc w:val="center"/>
              <w:rPr>
                <w:rFonts w:ascii="Calibri" w:hAnsi="Calibri" w:cs="Calibri"/>
                <w:color w:val="000000"/>
                <w:sz w:val="18"/>
                <w:szCs w:val="18"/>
                <w:lang w:val="en-GB" w:eastAsia="pt-PT"/>
              </w:rPr>
            </w:pPr>
            <w:r w:rsidRPr="035DD17A" w:rsidR="00A92537">
              <w:rPr>
                <w:rFonts w:cs="Calibri" w:cstheme="minorAscii"/>
                <w:color w:val="000000" w:themeColor="text1" w:themeTint="FF" w:themeShade="FF"/>
                <w:sz w:val="18"/>
                <w:szCs w:val="18"/>
                <w:lang w:val="en-GB" w:eastAsia="pt-PT"/>
              </w:rPr>
              <w:t>- (-)</w:t>
            </w:r>
          </w:p>
        </w:tc>
        <w:tc>
          <w:tcPr>
            <w:tcW w:w="1271" w:type="dxa"/>
            <w:noWrap/>
            <w:tcMar/>
            <w:hideMark/>
          </w:tcPr>
          <w:p w:rsidRPr="002A63DA" w:rsidR="00D45D8A" w:rsidP="035DD17A" w:rsidRDefault="00A92537" w14:paraId="247D5492"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(53)</w:t>
            </w:r>
          </w:p>
        </w:tc>
      </w:tr>
      <w:tr w:rsidR="00C81F10" w:rsidTr="035DD17A" w14:paraId="5A01B077" w14:textId="77777777">
        <w:trPr>
          <w:trHeight w:val="227"/>
          <w:jc w:val="center"/>
        </w:trPr>
        <w:tc>
          <w:tcPr>
            <w:tcW w:w="915" w:type="dxa"/>
            <w:noWrap/>
            <w:tcMar/>
            <w:hideMark/>
          </w:tcPr>
          <w:p w:rsidRPr="002A63DA" w:rsidR="00D45D8A" w:rsidP="00323905" w:rsidRDefault="00D45D8A" w14:paraId="72A5EB07" w14:textId="77777777">
            <w:pPr>
              <w:jc w:val="center"/>
              <w:rPr>
                <w:rFonts w:ascii="Calibri" w:hAnsi="Calibri" w:eastAsia="Times New Roman" w:cs="Calibri"/>
                <w:color w:val="000000"/>
                <w:sz w:val="18"/>
                <w:szCs w:val="18"/>
                <w:lang w:val="en-GB" w:eastAsia="pt-PT"/>
              </w:rPr>
            </w:pPr>
          </w:p>
        </w:tc>
        <w:tc>
          <w:tcPr>
            <w:tcW w:w="6143" w:type="dxa"/>
            <w:gridSpan w:val="6"/>
            <w:noWrap/>
            <w:tcMar/>
            <w:hideMark/>
          </w:tcPr>
          <w:p w:rsidRPr="002A63DA" w:rsidR="00D45D8A" w:rsidP="00323905" w:rsidRDefault="00A92537" w14:paraId="62365903"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 xml:space="preserve">% </w:t>
            </w:r>
            <w:r w:rsidRPr="035DD17A" w:rsidR="00A92537">
              <w:rPr>
                <w:rFonts w:ascii="Calibri" w:hAnsi="Calibri" w:eastAsia="Times New Roman" w:cs="Calibri"/>
                <w:color w:val="000000" w:themeColor="text1" w:themeTint="FF" w:themeShade="FF"/>
                <w:sz w:val="18"/>
                <w:szCs w:val="18"/>
                <w:lang w:val="en-GB" w:eastAsia="pt-PT"/>
              </w:rPr>
              <w:t>of</w:t>
            </w:r>
            <w:r w:rsidRPr="035DD17A" w:rsidR="00A92537">
              <w:rPr>
                <w:rFonts w:ascii="Calibri" w:hAnsi="Calibri" w:eastAsia="Times New Roman" w:cs="Calibri"/>
                <w:color w:val="000000" w:themeColor="text1" w:themeTint="FF" w:themeShade="FF"/>
                <w:sz w:val="18"/>
                <w:szCs w:val="18"/>
                <w:lang w:val="en-GB" w:eastAsia="pt-PT"/>
              </w:rPr>
              <w:t xml:space="preserve"> population potentially exposed to PM2.5</w:t>
            </w:r>
          </w:p>
        </w:tc>
      </w:tr>
      <w:tr w:rsidR="00C81F10" w:rsidTr="035DD17A" w14:paraId="0122E017" w14:textId="77777777">
        <w:trPr>
          <w:trHeight w:val="227"/>
          <w:jc w:val="center"/>
        </w:trPr>
        <w:tc>
          <w:tcPr>
            <w:tcW w:w="915" w:type="dxa"/>
            <w:noWrap/>
            <w:tcMar/>
            <w:hideMark/>
          </w:tcPr>
          <w:p w:rsidRPr="002A63DA" w:rsidR="00D45D8A" w:rsidP="00323905" w:rsidRDefault="00A92537" w14:paraId="0DDBA00C"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Baseline</w:t>
            </w:r>
          </w:p>
        </w:tc>
        <w:tc>
          <w:tcPr>
            <w:tcW w:w="795" w:type="dxa"/>
            <w:noWrap/>
            <w:tcMar/>
            <w:hideMark/>
          </w:tcPr>
          <w:p w:rsidRPr="002A63DA" w:rsidR="00D45D8A" w:rsidP="035DD17A" w:rsidRDefault="00A92537" w14:paraId="3D97A588"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(25)</w:t>
            </w:r>
          </w:p>
        </w:tc>
        <w:tc>
          <w:tcPr>
            <w:tcW w:w="1110" w:type="dxa"/>
            <w:noWrap/>
            <w:tcMar/>
            <w:hideMark/>
          </w:tcPr>
          <w:p w:rsidRPr="002A63DA" w:rsidR="00D45D8A" w:rsidP="035DD17A" w:rsidRDefault="00A92537" w14:paraId="7DB61C95"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(71)</w:t>
            </w:r>
          </w:p>
        </w:tc>
        <w:tc>
          <w:tcPr>
            <w:tcW w:w="930" w:type="dxa"/>
            <w:noWrap/>
            <w:tcMar/>
            <w:hideMark/>
          </w:tcPr>
          <w:p w:rsidRPr="002A63DA" w:rsidR="00D45D8A" w:rsidP="035DD17A" w:rsidRDefault="00A92537" w14:paraId="4E737996"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c>
          <w:tcPr>
            <w:tcW w:w="1035" w:type="dxa"/>
            <w:noWrap/>
            <w:tcMar/>
            <w:hideMark/>
          </w:tcPr>
          <w:p w:rsidRPr="002A63DA" w:rsidR="00D45D8A" w:rsidP="035DD17A" w:rsidRDefault="00A92537" w14:paraId="3F0C5A44"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13 (100)</w:t>
            </w:r>
          </w:p>
        </w:tc>
        <w:tc>
          <w:tcPr>
            <w:tcW w:w="1002" w:type="dxa"/>
            <w:noWrap/>
            <w:tcMar/>
            <w:hideMark/>
          </w:tcPr>
          <w:p w:rsidRPr="002A63DA" w:rsidR="00D45D8A" w:rsidP="035DD17A" w:rsidRDefault="00A92537" w14:paraId="57EFB652"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(49)</w:t>
            </w:r>
          </w:p>
        </w:tc>
        <w:tc>
          <w:tcPr>
            <w:tcW w:w="1271" w:type="dxa"/>
            <w:noWrap/>
            <w:tcMar/>
            <w:hideMark/>
          </w:tcPr>
          <w:p w:rsidRPr="002A63DA" w:rsidR="00D45D8A" w:rsidP="035DD17A" w:rsidRDefault="00A92537" w14:paraId="22325CE7"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&lt;1 (100)</w:t>
            </w:r>
          </w:p>
        </w:tc>
      </w:tr>
      <w:tr w:rsidR="00C81F10" w:rsidTr="035DD17A" w14:paraId="3F7CAB60" w14:textId="77777777">
        <w:trPr>
          <w:trHeight w:val="227"/>
          <w:jc w:val="center"/>
        </w:trPr>
        <w:tc>
          <w:tcPr>
            <w:tcW w:w="915" w:type="dxa"/>
            <w:noWrap/>
            <w:tcMar/>
            <w:hideMark/>
          </w:tcPr>
          <w:p w:rsidRPr="002A63DA" w:rsidR="00D45D8A" w:rsidP="00323905" w:rsidRDefault="00A92537" w14:paraId="31FB817D"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BAU 25</w:t>
            </w:r>
          </w:p>
        </w:tc>
        <w:tc>
          <w:tcPr>
            <w:tcW w:w="795" w:type="dxa"/>
            <w:noWrap/>
            <w:tcMar/>
            <w:hideMark/>
          </w:tcPr>
          <w:p w:rsidRPr="002A63DA" w:rsidR="00D45D8A" w:rsidP="035DD17A" w:rsidRDefault="00A92537" w14:paraId="18A3558E"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(18)</w:t>
            </w:r>
          </w:p>
        </w:tc>
        <w:tc>
          <w:tcPr>
            <w:tcW w:w="1110" w:type="dxa"/>
            <w:noWrap/>
            <w:tcMar/>
            <w:hideMark/>
          </w:tcPr>
          <w:p w:rsidRPr="002A63DA" w:rsidR="00D45D8A" w:rsidP="035DD17A" w:rsidRDefault="00A92537" w14:paraId="4D15EFF4"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(59)</w:t>
            </w:r>
          </w:p>
        </w:tc>
        <w:tc>
          <w:tcPr>
            <w:tcW w:w="930" w:type="dxa"/>
            <w:noWrap/>
            <w:tcMar/>
            <w:hideMark/>
          </w:tcPr>
          <w:p w:rsidRPr="002A63DA" w:rsidR="00D45D8A" w:rsidP="035DD17A" w:rsidRDefault="00A92537" w14:paraId="5DA35126"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c>
          <w:tcPr>
            <w:tcW w:w="1035" w:type="dxa"/>
            <w:noWrap/>
            <w:tcMar/>
            <w:hideMark/>
          </w:tcPr>
          <w:p w:rsidRPr="002A63DA" w:rsidR="00D45D8A" w:rsidP="035DD17A" w:rsidRDefault="00A92537" w14:paraId="5D6CF75E"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29 (100)</w:t>
            </w:r>
          </w:p>
        </w:tc>
        <w:tc>
          <w:tcPr>
            <w:tcW w:w="1002" w:type="dxa"/>
            <w:noWrap/>
            <w:tcMar/>
            <w:hideMark/>
          </w:tcPr>
          <w:p w:rsidRPr="002A63DA" w:rsidR="00D45D8A" w:rsidP="035DD17A" w:rsidRDefault="00A92537" w14:paraId="385AC5D0"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(9)</w:t>
            </w:r>
          </w:p>
        </w:tc>
        <w:tc>
          <w:tcPr>
            <w:tcW w:w="1271" w:type="dxa"/>
            <w:noWrap/>
            <w:tcMar/>
            <w:hideMark/>
          </w:tcPr>
          <w:p w:rsidRPr="002A63DA" w:rsidR="00D45D8A" w:rsidP="035DD17A" w:rsidRDefault="00A92537" w14:paraId="0D638F49"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r>
      <w:tr w:rsidR="00C81F10" w:rsidTr="035DD17A" w14:paraId="3D2AEBAD" w14:textId="77777777">
        <w:trPr>
          <w:trHeight w:val="227"/>
          <w:jc w:val="center"/>
        </w:trPr>
        <w:tc>
          <w:tcPr>
            <w:tcW w:w="915" w:type="dxa"/>
            <w:noWrap/>
            <w:tcMar/>
            <w:hideMark/>
          </w:tcPr>
          <w:p w:rsidRPr="002A63DA" w:rsidR="00D45D8A" w:rsidP="00323905" w:rsidRDefault="00A92537" w14:paraId="2CC76322"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FUPS 25</w:t>
            </w:r>
          </w:p>
        </w:tc>
        <w:tc>
          <w:tcPr>
            <w:tcW w:w="795" w:type="dxa"/>
            <w:noWrap/>
            <w:tcMar/>
            <w:hideMark/>
          </w:tcPr>
          <w:p w:rsidRPr="002A63DA" w:rsidR="00D45D8A" w:rsidP="035DD17A" w:rsidRDefault="00A92537" w14:paraId="7832E059"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w:t>
            </w:r>
          </w:p>
        </w:tc>
        <w:tc>
          <w:tcPr>
            <w:tcW w:w="1110" w:type="dxa"/>
            <w:noWrap/>
            <w:tcMar/>
            <w:hideMark/>
          </w:tcPr>
          <w:p w:rsidRPr="002A63DA" w:rsidR="00D45D8A" w:rsidP="035DD17A" w:rsidRDefault="00A92537" w14:paraId="52D59DBB"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930" w:type="dxa"/>
            <w:noWrap/>
            <w:tcMar/>
            <w:hideMark/>
          </w:tcPr>
          <w:p w:rsidRPr="002A63DA" w:rsidR="00D45D8A" w:rsidP="035DD17A" w:rsidRDefault="00A92537" w14:paraId="6811023F"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c>
          <w:tcPr>
            <w:tcW w:w="1035" w:type="dxa"/>
            <w:noWrap/>
            <w:tcMar/>
            <w:hideMark/>
          </w:tcPr>
          <w:p w:rsidRPr="002A63DA" w:rsidR="00D45D8A" w:rsidP="035DD17A" w:rsidRDefault="00A92537" w14:paraId="6F9019A1"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28 (100)</w:t>
            </w:r>
          </w:p>
        </w:tc>
        <w:tc>
          <w:tcPr>
            <w:tcW w:w="1002" w:type="dxa"/>
            <w:noWrap/>
            <w:tcMar/>
            <w:hideMark/>
          </w:tcPr>
          <w:p w:rsidRPr="002A63DA" w:rsidR="00D45D8A" w:rsidP="035DD17A" w:rsidRDefault="00A92537" w14:paraId="0634212A"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(7)</w:t>
            </w:r>
          </w:p>
        </w:tc>
        <w:tc>
          <w:tcPr>
            <w:tcW w:w="1271" w:type="dxa"/>
            <w:noWrap/>
            <w:tcMar/>
            <w:hideMark/>
          </w:tcPr>
          <w:p w:rsidRPr="002A63DA" w:rsidR="00D45D8A" w:rsidP="035DD17A" w:rsidRDefault="00A92537" w14:paraId="18E8FC7C"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r>
      <w:tr w:rsidR="00C81F10" w:rsidTr="035DD17A" w14:paraId="0E02DC3B" w14:textId="77777777">
        <w:trPr>
          <w:trHeight w:val="227"/>
          <w:jc w:val="center"/>
        </w:trPr>
        <w:tc>
          <w:tcPr>
            <w:tcW w:w="915" w:type="dxa"/>
            <w:noWrap/>
            <w:tcMar/>
            <w:hideMark/>
          </w:tcPr>
          <w:p w:rsidRPr="002A63DA" w:rsidR="00D45D8A" w:rsidP="00323905" w:rsidRDefault="00A92537" w14:paraId="32A02264"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BAU 35</w:t>
            </w:r>
          </w:p>
        </w:tc>
        <w:tc>
          <w:tcPr>
            <w:tcW w:w="795" w:type="dxa"/>
            <w:noWrap/>
            <w:tcMar/>
            <w:hideMark/>
          </w:tcPr>
          <w:p w:rsidRPr="002A63DA" w:rsidR="00D45D8A" w:rsidP="035DD17A" w:rsidRDefault="00A92537" w14:paraId="4454284D"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(15)</w:t>
            </w:r>
          </w:p>
        </w:tc>
        <w:tc>
          <w:tcPr>
            <w:tcW w:w="1110" w:type="dxa"/>
            <w:noWrap/>
            <w:tcMar/>
            <w:hideMark/>
          </w:tcPr>
          <w:p w:rsidRPr="002A63DA" w:rsidR="00D45D8A" w:rsidP="035DD17A" w:rsidRDefault="00A92537" w14:paraId="6B9AE0DF"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(50)</w:t>
            </w:r>
          </w:p>
        </w:tc>
        <w:tc>
          <w:tcPr>
            <w:tcW w:w="930" w:type="dxa"/>
            <w:noWrap/>
            <w:tcMar/>
            <w:hideMark/>
          </w:tcPr>
          <w:p w:rsidRPr="002A63DA" w:rsidR="00D45D8A" w:rsidP="035DD17A" w:rsidRDefault="00A92537" w14:paraId="2FB1AF1E"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c>
          <w:tcPr>
            <w:tcW w:w="1035" w:type="dxa"/>
            <w:noWrap/>
            <w:tcMar/>
            <w:hideMark/>
          </w:tcPr>
          <w:p w:rsidRPr="002A63DA" w:rsidR="00D45D8A" w:rsidP="035DD17A" w:rsidRDefault="00A92537" w14:paraId="4E97DF26"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16 (100)</w:t>
            </w:r>
          </w:p>
        </w:tc>
        <w:tc>
          <w:tcPr>
            <w:tcW w:w="1002" w:type="dxa"/>
            <w:noWrap/>
            <w:tcMar/>
            <w:hideMark/>
          </w:tcPr>
          <w:p w:rsidRPr="002A63DA" w:rsidR="00D45D8A" w:rsidP="035DD17A" w:rsidRDefault="00A92537" w14:paraId="3358990F"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(8)</w:t>
            </w:r>
          </w:p>
        </w:tc>
        <w:tc>
          <w:tcPr>
            <w:tcW w:w="1271" w:type="dxa"/>
            <w:noWrap/>
            <w:tcMar/>
            <w:hideMark/>
          </w:tcPr>
          <w:p w:rsidRPr="002A63DA" w:rsidR="00D45D8A" w:rsidP="035DD17A" w:rsidRDefault="00A92537" w14:paraId="68F4AFA3"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r>
      <w:tr w:rsidR="00C81F10" w:rsidTr="035DD17A" w14:paraId="6935BF5D" w14:textId="77777777">
        <w:trPr>
          <w:trHeight w:val="227"/>
          <w:jc w:val="center"/>
        </w:trPr>
        <w:tc>
          <w:tcPr>
            <w:tcW w:w="915" w:type="dxa"/>
            <w:noWrap/>
            <w:tcMar/>
            <w:hideMark/>
          </w:tcPr>
          <w:p w:rsidRPr="002A63DA" w:rsidR="00D45D8A" w:rsidP="00323905" w:rsidRDefault="00A92537" w14:paraId="1EC77902"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FUPS 35</w:t>
            </w:r>
          </w:p>
        </w:tc>
        <w:tc>
          <w:tcPr>
            <w:tcW w:w="795" w:type="dxa"/>
            <w:noWrap/>
            <w:tcMar/>
            <w:hideMark/>
          </w:tcPr>
          <w:p w:rsidRPr="002A63DA" w:rsidR="00D45D8A" w:rsidP="035DD17A" w:rsidRDefault="00A92537" w14:paraId="657A16B1"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(5)</w:t>
            </w:r>
          </w:p>
        </w:tc>
        <w:tc>
          <w:tcPr>
            <w:tcW w:w="1110" w:type="dxa"/>
            <w:noWrap/>
            <w:tcMar/>
            <w:hideMark/>
          </w:tcPr>
          <w:p w:rsidRPr="002A63DA" w:rsidR="00D45D8A" w:rsidP="035DD17A" w:rsidRDefault="00A92537" w14:paraId="17C583C2"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930" w:type="dxa"/>
            <w:noWrap/>
            <w:tcMar/>
            <w:hideMark/>
          </w:tcPr>
          <w:p w:rsidRPr="002A63DA" w:rsidR="00D45D8A" w:rsidP="035DD17A" w:rsidRDefault="00A92537" w14:paraId="0F5C5BD5"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c>
          <w:tcPr>
            <w:tcW w:w="1035" w:type="dxa"/>
            <w:noWrap/>
            <w:tcMar/>
            <w:hideMark/>
          </w:tcPr>
          <w:p w:rsidRPr="002A63DA" w:rsidR="00D45D8A" w:rsidP="035DD17A" w:rsidRDefault="00A92537" w14:paraId="653BB040"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16 (100)</w:t>
            </w:r>
          </w:p>
        </w:tc>
        <w:tc>
          <w:tcPr>
            <w:tcW w:w="1002" w:type="dxa"/>
            <w:noWrap/>
            <w:tcMar/>
            <w:hideMark/>
          </w:tcPr>
          <w:p w:rsidRPr="002A63DA" w:rsidR="00D45D8A" w:rsidP="035DD17A" w:rsidRDefault="00A92537" w14:paraId="3DE57818"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w:t>
            </w:r>
          </w:p>
        </w:tc>
        <w:tc>
          <w:tcPr>
            <w:tcW w:w="1271" w:type="dxa"/>
            <w:noWrap/>
            <w:tcMar/>
            <w:hideMark/>
          </w:tcPr>
          <w:p w:rsidRPr="002A63DA" w:rsidR="00D45D8A" w:rsidP="035DD17A" w:rsidRDefault="00A92537" w14:paraId="273CF953"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r>
      <w:tr w:rsidR="00C81F10" w:rsidTr="035DD17A" w14:paraId="0265F8EC" w14:textId="77777777">
        <w:trPr>
          <w:trHeight w:val="227"/>
          <w:jc w:val="center"/>
        </w:trPr>
        <w:tc>
          <w:tcPr>
            <w:tcW w:w="915" w:type="dxa"/>
            <w:noWrap/>
            <w:tcMar/>
            <w:hideMark/>
          </w:tcPr>
          <w:p w:rsidRPr="002A63DA" w:rsidR="00D45D8A" w:rsidP="00323905" w:rsidRDefault="00A92537" w14:paraId="4DFB474C"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BAU 50</w:t>
            </w:r>
          </w:p>
        </w:tc>
        <w:tc>
          <w:tcPr>
            <w:tcW w:w="795" w:type="dxa"/>
            <w:noWrap/>
            <w:tcMar/>
            <w:hideMark/>
          </w:tcPr>
          <w:p w:rsidRPr="002A63DA" w:rsidR="00D45D8A" w:rsidP="035DD17A" w:rsidRDefault="00A92537" w14:paraId="3BEB19C2"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(12)</w:t>
            </w:r>
          </w:p>
        </w:tc>
        <w:tc>
          <w:tcPr>
            <w:tcW w:w="1110" w:type="dxa"/>
            <w:noWrap/>
            <w:tcMar/>
            <w:hideMark/>
          </w:tcPr>
          <w:p w:rsidRPr="002A63DA" w:rsidR="00D45D8A" w:rsidP="035DD17A" w:rsidRDefault="00A92537" w14:paraId="4547F793"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(47)</w:t>
            </w:r>
          </w:p>
        </w:tc>
        <w:tc>
          <w:tcPr>
            <w:tcW w:w="930" w:type="dxa"/>
            <w:noWrap/>
            <w:tcMar/>
            <w:hideMark/>
          </w:tcPr>
          <w:p w:rsidRPr="002A63DA" w:rsidR="00D45D8A" w:rsidP="035DD17A" w:rsidRDefault="00A92537" w14:paraId="74F1A2E8"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c>
          <w:tcPr>
            <w:tcW w:w="1035" w:type="dxa"/>
            <w:noWrap/>
            <w:tcMar/>
            <w:hideMark/>
          </w:tcPr>
          <w:p w:rsidRPr="002A63DA" w:rsidR="00D45D8A" w:rsidP="035DD17A" w:rsidRDefault="00A92537" w14:paraId="75039CAF"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13 (100)</w:t>
            </w:r>
          </w:p>
        </w:tc>
        <w:tc>
          <w:tcPr>
            <w:tcW w:w="1002" w:type="dxa"/>
            <w:noWrap/>
            <w:tcMar/>
            <w:hideMark/>
          </w:tcPr>
          <w:p w:rsidRPr="002A63DA" w:rsidR="00D45D8A" w:rsidP="035DD17A" w:rsidRDefault="00A92537" w14:paraId="269ECFE6"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(8)</w:t>
            </w:r>
          </w:p>
        </w:tc>
        <w:tc>
          <w:tcPr>
            <w:tcW w:w="1271" w:type="dxa"/>
            <w:noWrap/>
            <w:tcMar/>
            <w:hideMark/>
          </w:tcPr>
          <w:p w:rsidRPr="002A63DA" w:rsidR="00D45D8A" w:rsidP="035DD17A" w:rsidRDefault="00A92537" w14:paraId="359A7ACE"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r>
      <w:tr w:rsidR="00C81F10" w:rsidTr="035DD17A" w14:paraId="7A4C419E" w14:textId="77777777">
        <w:trPr>
          <w:trHeight w:val="227"/>
          <w:jc w:val="center"/>
        </w:trPr>
        <w:tc>
          <w:tcPr>
            <w:tcW w:w="915" w:type="dxa"/>
            <w:noWrap/>
            <w:tcMar/>
            <w:hideMark/>
          </w:tcPr>
          <w:p w:rsidRPr="002A63DA" w:rsidR="00D45D8A" w:rsidP="00323905" w:rsidRDefault="00A92537" w14:paraId="1D0B1F2C" w14:textId="77777777">
            <w:pPr>
              <w:jc w:val="center"/>
              <w:rPr>
                <w:rFonts w:ascii="Calibri" w:hAnsi="Calibri" w:eastAsia="Times New Roman" w:cs="Calibri"/>
                <w:color w:val="000000"/>
                <w:sz w:val="18"/>
                <w:szCs w:val="18"/>
                <w:lang w:val="en-GB" w:eastAsia="pt-PT"/>
              </w:rPr>
            </w:pPr>
            <w:r w:rsidRPr="035DD17A" w:rsidR="00A92537">
              <w:rPr>
                <w:rFonts w:ascii="Calibri" w:hAnsi="Calibri" w:eastAsia="Times New Roman" w:cs="Calibri"/>
                <w:color w:val="000000" w:themeColor="text1" w:themeTint="FF" w:themeShade="FF"/>
                <w:sz w:val="18"/>
                <w:szCs w:val="18"/>
                <w:lang w:val="en-GB" w:eastAsia="pt-PT"/>
              </w:rPr>
              <w:t>FUPS 50</w:t>
            </w:r>
          </w:p>
        </w:tc>
        <w:tc>
          <w:tcPr>
            <w:tcW w:w="795" w:type="dxa"/>
            <w:noWrap/>
            <w:tcMar/>
            <w:hideMark/>
          </w:tcPr>
          <w:p w:rsidRPr="002A63DA" w:rsidR="00D45D8A" w:rsidP="035DD17A" w:rsidRDefault="00A92537" w14:paraId="4EB79F9F"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w:t>
            </w:r>
          </w:p>
        </w:tc>
        <w:tc>
          <w:tcPr>
            <w:tcW w:w="1110" w:type="dxa"/>
            <w:noWrap/>
            <w:tcMar/>
            <w:hideMark/>
          </w:tcPr>
          <w:p w:rsidRPr="002A63DA" w:rsidR="00D45D8A" w:rsidP="035DD17A" w:rsidRDefault="00A92537" w14:paraId="75736FEC"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(&lt;1)</w:t>
            </w:r>
          </w:p>
        </w:tc>
        <w:tc>
          <w:tcPr>
            <w:tcW w:w="930" w:type="dxa"/>
            <w:noWrap/>
            <w:tcMar/>
            <w:hideMark/>
          </w:tcPr>
          <w:p w:rsidRPr="002A63DA" w:rsidR="00D45D8A" w:rsidP="035DD17A" w:rsidRDefault="00A92537" w14:paraId="6899B6C7"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c>
          <w:tcPr>
            <w:tcW w:w="1035" w:type="dxa"/>
            <w:noWrap/>
            <w:tcMar/>
            <w:hideMark/>
          </w:tcPr>
          <w:p w:rsidRPr="002A63DA" w:rsidR="00D45D8A" w:rsidP="035DD17A" w:rsidRDefault="00A92537" w14:paraId="6C05EED8"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13 (100)</w:t>
            </w:r>
          </w:p>
        </w:tc>
        <w:tc>
          <w:tcPr>
            <w:tcW w:w="1002" w:type="dxa"/>
            <w:noWrap/>
            <w:tcMar/>
            <w:hideMark/>
          </w:tcPr>
          <w:p w:rsidRPr="002A63DA" w:rsidR="00D45D8A" w:rsidP="035DD17A" w:rsidRDefault="00A92537" w14:paraId="3AA8CCA8"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(2)</w:t>
            </w:r>
          </w:p>
        </w:tc>
        <w:tc>
          <w:tcPr>
            <w:tcW w:w="1271" w:type="dxa"/>
            <w:noWrap/>
            <w:tcMar/>
            <w:hideMark/>
          </w:tcPr>
          <w:p w:rsidRPr="002A63DA" w:rsidR="00D45D8A" w:rsidP="035DD17A" w:rsidRDefault="00A92537" w14:paraId="78C009FE" w14:textId="77777777">
            <w:pPr>
              <w:jc w:val="center"/>
              <w:rPr>
                <w:rFonts w:ascii="Calibri" w:hAnsi="Calibri" w:cs="Calibri"/>
                <w:color w:val="000000"/>
                <w:sz w:val="18"/>
                <w:szCs w:val="18"/>
                <w:lang w:val="en-GB" w:eastAsia="pt-PT"/>
              </w:rPr>
            </w:pPr>
            <w:r w:rsidRPr="035DD17A" w:rsidR="00A92537">
              <w:rPr>
                <w:rFonts w:ascii="Calibri" w:hAnsi="Calibri" w:cs="Calibri"/>
                <w:color w:val="000000" w:themeColor="text1" w:themeTint="FF" w:themeShade="FF"/>
                <w:sz w:val="18"/>
                <w:szCs w:val="18"/>
                <w:lang w:val="en-GB" w:eastAsia="pt-PT"/>
              </w:rPr>
              <w:t>- (100)</w:t>
            </w:r>
          </w:p>
        </w:tc>
      </w:tr>
    </w:tbl>
    <w:p w:rsidRPr="002A63DA" w:rsidR="00EE245B" w:rsidP="00A038AF" w:rsidRDefault="00EE245B" w14:paraId="5A7E3D69" w14:textId="77777777">
      <w:pPr>
        <w:rPr>
          <w:lang w:val="en-GB"/>
        </w:rPr>
      </w:pPr>
    </w:p>
    <w:p w:rsidRPr="002A63DA" w:rsidR="00730834" w:rsidP="00B95A4A" w:rsidRDefault="00A92537" w14:paraId="3806DE74" w14:textId="77777777">
      <w:pPr>
        <w:pStyle w:val="Heading3"/>
        <w:rPr>
          <w:lang w:val="en-GB"/>
        </w:rPr>
      </w:pPr>
      <w:r w:rsidRPr="035DD17A" w:rsidR="00A92537">
        <w:rPr>
          <w:lang w:val="en-GB"/>
        </w:rPr>
        <w:t>3.4 Health impact</w:t>
      </w:r>
    </w:p>
    <w:p w:rsidRPr="002A63DA" w:rsidR="00730834" w:rsidP="00F869A6" w:rsidRDefault="00A92537" w14:paraId="7A90E4E6" w14:textId="77777777">
      <w:pPr>
        <w:rPr>
          <w:lang w:val="en-GB"/>
        </w:rPr>
      </w:pPr>
      <w:r w:rsidRPr="002A63DA" w:rsidR="00A92537">
        <w:rPr>
          <w:lang w:val="en-GB"/>
        </w:rPr>
        <w:t xml:space="preserve">Health impacts were estimated for the baseline and the future emission scenarios. </w:t>
      </w:r>
      <w:r w:rsidRPr="002A63DA" w:rsidR="00A92537">
        <w:rPr>
          <w:rFonts w:cs="Arial"/>
          <w:lang w:val="en-GB"/>
        </w:rPr>
        <w:t xml:space="preserve">The health impact assessment for </w:t>
      </w:r>
      <w:r w:rsidRPr="002A63DA" w:rsidR="00151C97">
        <w:rPr>
          <w:rFonts w:cs="Arial"/>
          <w:lang w:val="en-GB"/>
        </w:rPr>
        <w:t>the baseline</w:t>
      </w:r>
      <w:r w:rsidRPr="002A63DA" w:rsidR="007265C4">
        <w:rPr>
          <w:lang w:val="en-GB"/>
        </w:rPr>
        <w:t xml:space="preserve">, with </w:t>
      </w:r>
      <w:r w:rsidRPr="002A63DA" w:rsidR="00882B92">
        <w:rPr>
          <w:lang w:val="en-GB"/>
        </w:rPr>
        <w:t xml:space="preserve">the </w:t>
      </w:r>
      <w:r w:rsidRPr="002A63DA" w:rsidR="00262746">
        <w:rPr>
          <w:lang w:val="en-GB"/>
        </w:rPr>
        <w:t xml:space="preserve">number of premature deaths </w:t>
      </w:r>
      <w:r w:rsidRPr="002A63DA" w:rsidR="007265C4">
        <w:rPr>
          <w:lang w:val="en-GB"/>
        </w:rPr>
        <w:t>(PD) and life-years lost (YLL),</w:t>
      </w:r>
      <w:r w:rsidRPr="002A63DA" w:rsidR="00A92537">
        <w:rPr>
          <w:lang w:val="en-GB"/>
        </w:rPr>
        <w:t xml:space="preserve"> is presented in </w:t>
      </w:r>
      <w:r w:rsidRPr="002A63DA" w:rsidR="003976A6">
        <w:rPr>
          <w:lang w:val="en-GB"/>
        </w:rPr>
        <w:fldChar w:fldCharType="begin"/>
      </w:r>
      <w:r w:rsidRPr="002A63DA" w:rsidR="003976A6">
        <w:rPr>
          <w:lang w:val="en-GB"/>
        </w:rPr>
        <w:instrText xml:space="preserve"> REF _Ref64497203 \h </w:instrText>
      </w:r>
      <w:r w:rsidRPr="002A63DA" w:rsidR="007265C4">
        <w:rPr>
          <w:lang w:val="en-GB"/>
        </w:rPr>
        <w:instrText xml:space="preserve"> \* MERGEFORMAT </w:instrText>
      </w:r>
      <w:r w:rsidRPr="002A63DA" w:rsidR="003976A6">
        <w:rPr>
          <w:lang w:val="en-GB"/>
        </w:rPr>
      </w:r>
      <w:r w:rsidRPr="002A63DA" w:rsidR="003976A6">
        <w:rPr>
          <w:lang w:val="en-GB"/>
        </w:rPr>
        <w:fldChar w:fldCharType="separate"/>
      </w:r>
      <w:r w:rsidRPr="002A63DA" w:rsidR="00C83CFF">
        <w:rPr>
          <w:lang w:val="en-GB"/>
        </w:rPr>
        <w:t>Table 3</w:t>
      </w:r>
      <w:r w:rsidRPr="002A63DA" w:rsidR="003976A6">
        <w:rPr>
          <w:lang w:val="en-GB"/>
        </w:rPr>
        <w:fldChar w:fldCharType="end"/>
      </w:r>
      <w:r w:rsidRPr="002A63DA" w:rsidR="00827A09">
        <w:rPr>
          <w:lang w:val="en-GB"/>
        </w:rPr>
        <w:t>.</w:t>
      </w:r>
      <w:r w:rsidRPr="002A63DA" w:rsidR="003976A6">
        <w:rPr>
          <w:lang w:val="en-GB"/>
        </w:rPr>
        <w:t xml:space="preserve"> </w:t>
      </w:r>
      <w:r w:rsidRPr="002A63DA" w:rsidR="00827A09">
        <w:rPr>
          <w:lang w:val="en-GB"/>
        </w:rPr>
        <w:t>The</w:t>
      </w:r>
      <w:r w:rsidRPr="002A63DA" w:rsidR="00A92537">
        <w:rPr>
          <w:lang w:val="en-GB"/>
        </w:rPr>
        <w:t xml:space="preserve"> </w:t>
      </w:r>
      <w:r w:rsidRPr="002A63DA" w:rsidR="007265C4">
        <w:rPr>
          <w:lang w:val="en-GB"/>
        </w:rPr>
        <w:t xml:space="preserve">health </w:t>
      </w:r>
      <w:r w:rsidRPr="002A63DA" w:rsidR="00A92537">
        <w:rPr>
          <w:lang w:val="en-GB"/>
        </w:rPr>
        <w:t>benefit</w:t>
      </w:r>
      <w:r w:rsidRPr="002A63DA" w:rsidR="007265C4">
        <w:rPr>
          <w:lang w:val="en-GB"/>
        </w:rPr>
        <w:t>s</w:t>
      </w:r>
      <w:r w:rsidRPr="002A63DA" w:rsidR="00572C62">
        <w:rPr>
          <w:lang w:val="en-GB"/>
        </w:rPr>
        <w:t xml:space="preserve"> </w:t>
      </w:r>
      <w:r w:rsidRPr="002A63DA" w:rsidR="00A92537">
        <w:rPr>
          <w:lang w:val="en-GB"/>
        </w:rPr>
        <w:t>from implementing emission control measures for PM2.5, PM10 and NO</w:t>
      </w:r>
      <w:r w:rsidRPr="002A63DA" w:rsidR="00A92537">
        <w:rPr>
          <w:vertAlign w:val="subscript"/>
          <w:lang w:val="en-GB"/>
        </w:rPr>
        <w:t>2</w:t>
      </w:r>
      <w:r w:rsidRPr="002A63DA" w:rsidR="00A92537">
        <w:rPr>
          <w:lang w:val="en-GB"/>
        </w:rPr>
        <w:t xml:space="preserve"> in 2025, 2035 and 2050 are presented in </w:t>
      </w:r>
      <w:r w:rsidRPr="002A63DA" w:rsidR="003976A6">
        <w:rPr>
          <w:lang w:val="en-GB"/>
        </w:rPr>
        <w:fldChar w:fldCharType="begin"/>
      </w:r>
      <w:r w:rsidRPr="002A63DA" w:rsidR="003976A6">
        <w:rPr>
          <w:lang w:val="en-GB"/>
        </w:rPr>
        <w:instrText xml:space="preserve"> REF _Ref64497230 \h </w:instrText>
      </w:r>
      <w:r w:rsidRPr="002A63DA" w:rsidR="006528C4">
        <w:rPr>
          <w:lang w:val="en-GB"/>
        </w:rPr>
        <w:instrText xml:space="preserve"> \* MERGEFORMAT </w:instrText>
      </w:r>
      <w:r w:rsidRPr="002A63DA" w:rsidR="003976A6">
        <w:rPr>
          <w:lang w:val="en-GB"/>
        </w:rPr>
      </w:r>
      <w:r w:rsidRPr="002A63DA" w:rsidR="003976A6">
        <w:rPr>
          <w:lang w:val="en-GB"/>
        </w:rPr>
        <w:fldChar w:fldCharType="separate"/>
      </w:r>
      <w:r w:rsidRPr="002A63DA" w:rsidR="00C83CFF">
        <w:rPr>
          <w:lang w:val="en-GB"/>
        </w:rPr>
        <w:t xml:space="preserve">Figure </w:t>
      </w:r>
      <w:r w:rsidRPr="002A63DA" w:rsidR="00C83CFF">
        <w:rPr>
          <w:noProof/>
          <w:lang w:val="en-GB"/>
        </w:rPr>
        <w:t>4</w:t>
      </w:r>
      <w:r w:rsidRPr="002A63DA" w:rsidR="003976A6">
        <w:rPr>
          <w:lang w:val="en-GB"/>
        </w:rPr>
        <w:fldChar w:fldCharType="end"/>
      </w:r>
      <w:r w:rsidRPr="002A63DA" w:rsidR="00A92537">
        <w:rPr>
          <w:lang w:val="en-GB"/>
        </w:rPr>
        <w:t xml:space="preserve">. The benefit is estimated by benchmarking the future health outcome values with the values estimated for 2015. </w:t>
      </w:r>
    </w:p>
    <w:p w:rsidRPr="002A63DA" w:rsidR="00756F73" w:rsidP="007265C4" w:rsidRDefault="00A92537" w14:paraId="23AA46D0" w14:textId="77777777">
      <w:pPr>
        <w:pStyle w:val="Caption"/>
      </w:pPr>
      <w:bookmarkStart w:name="_Ref64497203" w:id="18"/>
      <w:r w:rsidR="00A92537">
        <w:rPr/>
        <w:t xml:space="preserve">Table </w:t>
      </w:r>
      <w:r>
        <w:fldChar w:fldCharType="begin"/>
      </w:r>
      <w:r>
        <w:instrText xml:space="preserve"> SEQ Table \* ARABIC </w:instrText>
      </w:r>
      <w:r>
        <w:fldChar w:fldCharType="separate"/>
      </w:r>
      <w:r w:rsidRPr="035DD17A" w:rsidR="00C83CFF">
        <w:rPr>
          <w:noProof/>
        </w:rPr>
        <w:t>3</w:t>
      </w:r>
      <w:r>
        <w:fldChar w:fldCharType="end"/>
      </w:r>
      <w:bookmarkEnd w:id="18"/>
      <w:r w:rsidR="00A92537">
        <w:rPr/>
        <w:t>-Health outcomes related with exposure to PM2.5, PM10, and NO</w:t>
      </w:r>
      <w:r w:rsidRPr="035DD17A" w:rsidR="00A92537">
        <w:rPr>
          <w:vertAlign w:val="subscript"/>
        </w:rPr>
        <w:t>2</w:t>
      </w:r>
      <w:r w:rsidR="00A92537">
        <w:rPr/>
        <w:t xml:space="preserve"> concentration levels in 2015 (baseline</w:t>
      </w:r>
      <w:r w:rsidR="000934BC">
        <w:rPr/>
        <w:t>).</w:t>
      </w:r>
    </w:p>
    <w:tbl>
      <w:tblPr>
        <w:tblStyle w:val="TableGridLight"/>
        <w:tblW w:w="0" w:type="auto"/>
        <w:jc w:val="center"/>
        <w:tblLook w:val="04A0" w:firstRow="1" w:lastRow="0" w:firstColumn="1" w:lastColumn="0" w:noHBand="0" w:noVBand="1"/>
      </w:tblPr>
      <w:tblGrid>
        <w:gridCol w:w="1239"/>
        <w:gridCol w:w="1343"/>
        <w:gridCol w:w="754"/>
        <w:gridCol w:w="700"/>
        <w:gridCol w:w="622"/>
        <w:gridCol w:w="1172"/>
        <w:gridCol w:w="1343"/>
        <w:gridCol w:w="754"/>
        <w:gridCol w:w="700"/>
        <w:gridCol w:w="723"/>
      </w:tblGrid>
      <w:tr w:rsidR="00C81F10" w:rsidTr="035DD17A" w14:paraId="1C2EF3CF" w14:textId="77777777">
        <w:trPr>
          <w:trHeight w:val="20"/>
          <w:jc w:val="center"/>
        </w:trPr>
        <w:tc>
          <w:tcPr>
            <w:tcW w:w="0" w:type="auto"/>
            <w:gridSpan w:val="2"/>
            <w:tcMar/>
            <w:hideMark/>
          </w:tcPr>
          <w:p w:rsidRPr="002A63DA" w:rsidR="00A23AA7" w:rsidP="035DD17A" w:rsidRDefault="00A92537" w14:paraId="566B6BC2"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Baseline</w:t>
            </w:r>
          </w:p>
        </w:tc>
        <w:tc>
          <w:tcPr>
            <w:tcW w:w="0" w:type="auto"/>
            <w:tcMar/>
            <w:hideMark/>
          </w:tcPr>
          <w:p w:rsidRPr="002A63DA" w:rsidR="00A23AA7" w:rsidP="035DD17A" w:rsidRDefault="00A92537" w14:paraId="7211D547"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PM2.5</w:t>
            </w:r>
          </w:p>
        </w:tc>
        <w:tc>
          <w:tcPr>
            <w:tcW w:w="0" w:type="auto"/>
            <w:tcMar/>
            <w:hideMark/>
          </w:tcPr>
          <w:p w:rsidRPr="002A63DA" w:rsidR="00A23AA7" w:rsidP="035DD17A" w:rsidRDefault="00A92537" w14:paraId="313002E6"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PM10</w:t>
            </w:r>
          </w:p>
        </w:tc>
        <w:tc>
          <w:tcPr>
            <w:tcW w:w="0" w:type="auto"/>
            <w:tcMar/>
            <w:hideMark/>
          </w:tcPr>
          <w:p w:rsidRPr="002A63DA" w:rsidR="00A23AA7" w:rsidP="035DD17A" w:rsidRDefault="00A92537" w14:paraId="19EC0002"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NO</w:t>
            </w:r>
            <w:r w:rsidRPr="035DD17A" w:rsidR="00A92537">
              <w:rPr>
                <w:rFonts w:eastAsia="Times New Roman" w:cs="Calibri" w:cstheme="minorAscii"/>
                <w:b w:val="1"/>
                <w:bCs w:val="1"/>
                <w:color w:val="000000" w:themeColor="text1" w:themeTint="FF" w:themeShade="FF"/>
                <w:sz w:val="20"/>
                <w:szCs w:val="20"/>
                <w:vertAlign w:val="subscript"/>
                <w:lang w:val="en-GB" w:eastAsia="nb-NO"/>
              </w:rPr>
              <w:t>2</w:t>
            </w:r>
          </w:p>
        </w:tc>
        <w:tc>
          <w:tcPr>
            <w:tcW w:w="0" w:type="auto"/>
            <w:gridSpan w:val="2"/>
            <w:tcMar/>
            <w:hideMark/>
          </w:tcPr>
          <w:p w:rsidRPr="002A63DA" w:rsidR="00A23AA7" w:rsidP="035DD17A" w:rsidRDefault="00A23AA7" w14:paraId="0DC90706" w14:textId="77777777">
            <w:pPr>
              <w:jc w:val="center"/>
              <w:rPr>
                <w:rFonts w:eastAsia="Times New Roman" w:cs="Calibri" w:cstheme="minorAscii"/>
                <w:b w:val="1"/>
                <w:bCs w:val="1"/>
                <w:color w:val="000000"/>
                <w:sz w:val="20"/>
                <w:szCs w:val="20"/>
                <w:lang w:val="en-GB" w:eastAsia="nb-NO"/>
              </w:rPr>
            </w:pPr>
          </w:p>
        </w:tc>
        <w:tc>
          <w:tcPr>
            <w:tcW w:w="0" w:type="auto"/>
            <w:tcMar/>
            <w:hideMark/>
          </w:tcPr>
          <w:p w:rsidRPr="002A63DA" w:rsidR="00A23AA7" w:rsidP="035DD17A" w:rsidRDefault="00A92537" w14:paraId="741F30CA"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PM2.5</w:t>
            </w:r>
          </w:p>
        </w:tc>
        <w:tc>
          <w:tcPr>
            <w:tcW w:w="0" w:type="auto"/>
            <w:tcMar/>
            <w:hideMark/>
          </w:tcPr>
          <w:p w:rsidRPr="002A63DA" w:rsidR="00A23AA7" w:rsidP="035DD17A" w:rsidRDefault="00A92537" w14:paraId="6B9FBDC0"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PM10</w:t>
            </w:r>
          </w:p>
        </w:tc>
        <w:tc>
          <w:tcPr>
            <w:tcW w:w="0" w:type="auto"/>
            <w:tcMar/>
            <w:hideMark/>
          </w:tcPr>
          <w:p w:rsidRPr="002A63DA" w:rsidR="00A23AA7" w:rsidP="035DD17A" w:rsidRDefault="00A92537" w14:paraId="6A3F5F11"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NO</w:t>
            </w:r>
            <w:r w:rsidRPr="035DD17A" w:rsidR="00A92537">
              <w:rPr>
                <w:rFonts w:eastAsia="Times New Roman" w:cs="Calibri" w:cstheme="minorAscii"/>
                <w:b w:val="1"/>
                <w:bCs w:val="1"/>
                <w:color w:val="000000" w:themeColor="text1" w:themeTint="FF" w:themeShade="FF"/>
                <w:sz w:val="20"/>
                <w:szCs w:val="20"/>
                <w:vertAlign w:val="subscript"/>
                <w:lang w:val="en-GB" w:eastAsia="nb-NO"/>
              </w:rPr>
              <w:t>2</w:t>
            </w:r>
          </w:p>
        </w:tc>
      </w:tr>
      <w:tr w:rsidR="00C81F10" w:rsidTr="035DD17A" w14:paraId="596136D8" w14:textId="77777777">
        <w:trPr>
          <w:trHeight w:val="20"/>
          <w:jc w:val="center"/>
        </w:trPr>
        <w:tc>
          <w:tcPr>
            <w:tcW w:w="0" w:type="auto"/>
            <w:vMerge w:val="restart"/>
            <w:tcMar/>
            <w:hideMark/>
          </w:tcPr>
          <w:p w:rsidRPr="002A63DA" w:rsidR="00A23AA7" w:rsidP="035DD17A" w:rsidRDefault="00A92537" w14:paraId="504BFD80"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Bristol</w:t>
            </w:r>
          </w:p>
          <w:p w:rsidRPr="002A63DA" w:rsidR="00A23AA7" w:rsidP="035DD17A" w:rsidRDefault="00A92537" w14:paraId="0E490546"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w:t>
            </w:r>
            <w:r w:rsidRPr="035DD17A" w:rsidR="00A92537">
              <w:rPr>
                <w:rFonts w:eastAsia="Times New Roman" w:cs="Calibri" w:cstheme="minorAscii"/>
                <w:b w:val="1"/>
                <w:bCs w:val="1"/>
                <w:color w:val="000000" w:themeColor="text1" w:themeTint="FF" w:themeShade="FF"/>
                <w:sz w:val="20"/>
                <w:szCs w:val="20"/>
                <w:lang w:val="en-GB" w:eastAsia="nb-NO"/>
              </w:rPr>
              <w:t>pop</w:t>
            </w:r>
            <w:r w:rsidRPr="035DD17A" w:rsidR="00A92537">
              <w:rPr>
                <w:rFonts w:eastAsia="Times New Roman" w:cs="Calibri" w:cstheme="minorAscii"/>
                <w:b w:val="1"/>
                <w:bCs w:val="1"/>
                <w:color w:val="000000" w:themeColor="text1" w:themeTint="FF" w:themeShade="FF"/>
                <w:sz w:val="20"/>
                <w:szCs w:val="20"/>
                <w:lang w:val="en-GB" w:eastAsia="nb-NO"/>
              </w:rPr>
              <w:t>. 675908)</w:t>
            </w:r>
          </w:p>
        </w:tc>
        <w:tc>
          <w:tcPr>
            <w:tcW w:w="0" w:type="auto"/>
            <w:tcMar/>
            <w:hideMark/>
          </w:tcPr>
          <w:p w:rsidRPr="002A63DA" w:rsidR="00A23AA7" w:rsidP="035DD17A" w:rsidRDefault="00A92537" w14:paraId="225C05E1"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PD</w:t>
            </w:r>
          </w:p>
        </w:tc>
        <w:tc>
          <w:tcPr>
            <w:tcW w:w="0" w:type="auto"/>
            <w:tcMar/>
            <w:hideMark/>
          </w:tcPr>
          <w:p w:rsidRPr="002A63DA" w:rsidR="00A23AA7" w:rsidP="035DD17A" w:rsidRDefault="00A92537" w14:paraId="3F5A4C19"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577</w:t>
            </w:r>
          </w:p>
        </w:tc>
        <w:tc>
          <w:tcPr>
            <w:tcW w:w="0" w:type="auto"/>
            <w:tcMar/>
            <w:hideMark/>
          </w:tcPr>
          <w:p w:rsidRPr="002A63DA" w:rsidR="00A23AA7" w:rsidP="035DD17A" w:rsidRDefault="00A92537" w14:paraId="0626403D"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290</w:t>
            </w:r>
          </w:p>
        </w:tc>
        <w:tc>
          <w:tcPr>
            <w:tcW w:w="0" w:type="auto"/>
            <w:tcMar/>
            <w:hideMark/>
          </w:tcPr>
          <w:p w:rsidRPr="002A63DA" w:rsidR="00A23AA7" w:rsidP="035DD17A" w:rsidRDefault="00A92537" w14:paraId="047B1FE2"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439</w:t>
            </w:r>
          </w:p>
        </w:tc>
        <w:tc>
          <w:tcPr>
            <w:tcW w:w="0" w:type="auto"/>
            <w:vMerge w:val="restart"/>
            <w:tcMar/>
            <w:hideMark/>
          </w:tcPr>
          <w:p w:rsidRPr="002A63DA" w:rsidR="00A23AA7" w:rsidP="035DD17A" w:rsidRDefault="00A92537" w14:paraId="0282CBAA"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Liguria Region</w:t>
            </w:r>
          </w:p>
          <w:p w:rsidRPr="002A63DA" w:rsidR="00A23AA7" w:rsidP="035DD17A" w:rsidRDefault="00A92537" w14:paraId="6ECBF2D3"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w:t>
            </w:r>
            <w:r w:rsidRPr="035DD17A" w:rsidR="00A92537">
              <w:rPr>
                <w:rFonts w:eastAsia="Times New Roman" w:cs="Calibri" w:cstheme="minorAscii"/>
                <w:b w:val="1"/>
                <w:bCs w:val="1"/>
                <w:color w:val="000000" w:themeColor="text1" w:themeTint="FF" w:themeShade="FF"/>
                <w:sz w:val="20"/>
                <w:szCs w:val="20"/>
                <w:lang w:val="en-GB" w:eastAsia="nb-NO"/>
              </w:rPr>
              <w:t>pop</w:t>
            </w:r>
            <w:r w:rsidRPr="035DD17A" w:rsidR="00A92537">
              <w:rPr>
                <w:rFonts w:eastAsia="Times New Roman" w:cs="Calibri" w:cstheme="minorAscii"/>
                <w:b w:val="1"/>
                <w:bCs w:val="1"/>
                <w:color w:val="000000" w:themeColor="text1" w:themeTint="FF" w:themeShade="FF"/>
                <w:sz w:val="20"/>
                <w:szCs w:val="20"/>
                <w:lang w:val="en-GB" w:eastAsia="nb-NO"/>
              </w:rPr>
              <w:t>. 566483)</w:t>
            </w:r>
          </w:p>
        </w:tc>
        <w:tc>
          <w:tcPr>
            <w:tcW w:w="0" w:type="auto"/>
            <w:tcMar/>
            <w:hideMark/>
          </w:tcPr>
          <w:p w:rsidRPr="002A63DA" w:rsidR="00A23AA7" w:rsidP="035DD17A" w:rsidRDefault="00A92537" w14:paraId="212F8018"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PD</w:t>
            </w:r>
          </w:p>
        </w:tc>
        <w:tc>
          <w:tcPr>
            <w:tcW w:w="0" w:type="auto"/>
            <w:tcMar/>
            <w:hideMark/>
          </w:tcPr>
          <w:p w:rsidRPr="002A63DA" w:rsidR="00A23AA7" w:rsidP="035DD17A" w:rsidRDefault="00A92537" w14:paraId="3651D171"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590</w:t>
            </w:r>
          </w:p>
        </w:tc>
        <w:tc>
          <w:tcPr>
            <w:tcW w:w="0" w:type="auto"/>
            <w:tcMar/>
            <w:hideMark/>
          </w:tcPr>
          <w:p w:rsidRPr="002A63DA" w:rsidR="00A23AA7" w:rsidP="035DD17A" w:rsidRDefault="00A92537" w14:paraId="7BDCA2C8"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506</w:t>
            </w:r>
          </w:p>
        </w:tc>
        <w:tc>
          <w:tcPr>
            <w:tcW w:w="0" w:type="auto"/>
            <w:tcMar/>
            <w:hideMark/>
          </w:tcPr>
          <w:p w:rsidRPr="002A63DA" w:rsidR="00A23AA7" w:rsidP="035DD17A" w:rsidRDefault="00A92537" w14:paraId="5A5DBE7A"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418</w:t>
            </w:r>
          </w:p>
        </w:tc>
      </w:tr>
      <w:tr w:rsidR="00C81F10" w:rsidTr="035DD17A" w14:paraId="182A051A" w14:textId="77777777">
        <w:trPr>
          <w:trHeight w:val="20"/>
          <w:jc w:val="center"/>
        </w:trPr>
        <w:tc>
          <w:tcPr>
            <w:tcW w:w="0" w:type="auto"/>
            <w:vMerge/>
            <w:tcMar/>
            <w:hideMark/>
          </w:tcPr>
          <w:p w:rsidRPr="002A63DA" w:rsidR="00A23AA7" w:rsidP="00E32DEF" w:rsidRDefault="00A23AA7" w14:paraId="0181E539" w14:textId="77777777">
            <w:pPr>
              <w:jc w:val="center"/>
              <w:rPr>
                <w:rFonts w:eastAsia="Times New Roman" w:cstheme="minorHAnsi"/>
                <w:b/>
                <w:bCs/>
                <w:color w:val="000000"/>
                <w:sz w:val="20"/>
                <w:szCs w:val="20"/>
                <w:lang w:val="en-GB" w:eastAsia="nb-NO"/>
              </w:rPr>
            </w:pPr>
          </w:p>
        </w:tc>
        <w:tc>
          <w:tcPr>
            <w:tcW w:w="0" w:type="auto"/>
            <w:tcMar/>
            <w:hideMark/>
          </w:tcPr>
          <w:p w:rsidRPr="002A63DA" w:rsidR="00A23AA7" w:rsidP="035DD17A" w:rsidRDefault="00A92537" w14:paraId="6F436CA2"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YLL</w:t>
            </w:r>
          </w:p>
        </w:tc>
        <w:tc>
          <w:tcPr>
            <w:tcW w:w="0" w:type="auto"/>
            <w:tcMar/>
            <w:hideMark/>
          </w:tcPr>
          <w:p w:rsidRPr="002A63DA" w:rsidR="00A23AA7" w:rsidP="035DD17A" w:rsidRDefault="00A92537" w14:paraId="08AB7426"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6170</w:t>
            </w:r>
          </w:p>
        </w:tc>
        <w:tc>
          <w:tcPr>
            <w:tcW w:w="0" w:type="auto"/>
            <w:tcMar/>
            <w:hideMark/>
          </w:tcPr>
          <w:p w:rsidRPr="002A63DA" w:rsidR="00A23AA7" w:rsidP="035DD17A" w:rsidRDefault="00A92537" w14:paraId="34938709"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3102</w:t>
            </w:r>
          </w:p>
        </w:tc>
        <w:tc>
          <w:tcPr>
            <w:tcW w:w="0" w:type="auto"/>
            <w:tcMar/>
            <w:hideMark/>
          </w:tcPr>
          <w:p w:rsidRPr="002A63DA" w:rsidR="00A23AA7" w:rsidP="035DD17A" w:rsidRDefault="00A92537" w14:paraId="1AB024B6"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4696</w:t>
            </w:r>
          </w:p>
        </w:tc>
        <w:tc>
          <w:tcPr>
            <w:tcW w:w="0" w:type="auto"/>
            <w:vMerge/>
            <w:tcMar/>
            <w:hideMark/>
          </w:tcPr>
          <w:p w:rsidRPr="002A63DA" w:rsidR="00A23AA7" w:rsidP="00E32DEF" w:rsidRDefault="00A23AA7" w14:paraId="727D15AF" w14:textId="77777777">
            <w:pPr>
              <w:jc w:val="center"/>
              <w:rPr>
                <w:rFonts w:eastAsia="Times New Roman" w:cstheme="minorHAnsi"/>
                <w:b/>
                <w:bCs/>
                <w:color w:val="000000"/>
                <w:sz w:val="20"/>
                <w:szCs w:val="20"/>
                <w:lang w:val="en-GB" w:eastAsia="nb-NO"/>
              </w:rPr>
            </w:pPr>
          </w:p>
        </w:tc>
        <w:tc>
          <w:tcPr>
            <w:tcW w:w="0" w:type="auto"/>
            <w:tcMar/>
            <w:hideMark/>
          </w:tcPr>
          <w:p w:rsidRPr="002A63DA" w:rsidR="00A23AA7" w:rsidP="035DD17A" w:rsidRDefault="00A92537" w14:paraId="43B5C3EC"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YLL</w:t>
            </w:r>
          </w:p>
        </w:tc>
        <w:tc>
          <w:tcPr>
            <w:tcW w:w="0" w:type="auto"/>
            <w:tcMar/>
            <w:hideMark/>
          </w:tcPr>
          <w:p w:rsidRPr="002A63DA" w:rsidR="00A23AA7" w:rsidP="035DD17A" w:rsidRDefault="00A92537" w14:paraId="2F2A1D8F"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5014</w:t>
            </w:r>
          </w:p>
        </w:tc>
        <w:tc>
          <w:tcPr>
            <w:tcW w:w="0" w:type="auto"/>
            <w:tcMar/>
            <w:hideMark/>
          </w:tcPr>
          <w:p w:rsidRPr="002A63DA" w:rsidR="00A23AA7" w:rsidP="035DD17A" w:rsidRDefault="00A92537" w14:paraId="7DBCD535"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4294</w:t>
            </w:r>
          </w:p>
        </w:tc>
        <w:tc>
          <w:tcPr>
            <w:tcW w:w="0" w:type="auto"/>
            <w:tcMar/>
            <w:hideMark/>
          </w:tcPr>
          <w:p w:rsidRPr="002A63DA" w:rsidR="00A23AA7" w:rsidP="035DD17A" w:rsidRDefault="00A92537" w14:paraId="504C3F6C"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3549</w:t>
            </w:r>
          </w:p>
        </w:tc>
      </w:tr>
      <w:tr w:rsidR="00C81F10" w:rsidTr="035DD17A" w14:paraId="62306378" w14:textId="77777777">
        <w:trPr>
          <w:trHeight w:val="20"/>
          <w:jc w:val="center"/>
        </w:trPr>
        <w:tc>
          <w:tcPr>
            <w:tcW w:w="0" w:type="auto"/>
            <w:vMerge/>
            <w:tcMar/>
            <w:hideMark/>
          </w:tcPr>
          <w:p w:rsidRPr="002A63DA" w:rsidR="00A23AA7" w:rsidP="00E32DEF" w:rsidRDefault="00A23AA7" w14:paraId="1F127B62" w14:textId="77777777">
            <w:pPr>
              <w:jc w:val="center"/>
              <w:rPr>
                <w:rFonts w:eastAsia="Times New Roman" w:cstheme="minorHAnsi"/>
                <w:b/>
                <w:bCs/>
                <w:color w:val="000000"/>
                <w:sz w:val="20"/>
                <w:szCs w:val="20"/>
                <w:lang w:val="en-GB" w:eastAsia="nb-NO"/>
              </w:rPr>
            </w:pPr>
          </w:p>
        </w:tc>
        <w:tc>
          <w:tcPr>
            <w:tcW w:w="0" w:type="auto"/>
            <w:tcMar/>
            <w:hideMark/>
          </w:tcPr>
          <w:p w:rsidRPr="002A63DA" w:rsidR="00A23AA7" w:rsidP="035DD17A" w:rsidRDefault="00A92537" w14:paraId="23141646"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YLL/1e5 inhabitants</w:t>
            </w:r>
          </w:p>
        </w:tc>
        <w:tc>
          <w:tcPr>
            <w:tcW w:w="0" w:type="auto"/>
            <w:tcMar/>
            <w:hideMark/>
          </w:tcPr>
          <w:p w:rsidRPr="002A63DA" w:rsidR="00A23AA7" w:rsidP="035DD17A" w:rsidRDefault="00A92537" w14:paraId="54A753B2"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913</w:t>
            </w:r>
          </w:p>
        </w:tc>
        <w:tc>
          <w:tcPr>
            <w:tcW w:w="0" w:type="auto"/>
            <w:tcMar/>
            <w:hideMark/>
          </w:tcPr>
          <w:p w:rsidRPr="002A63DA" w:rsidR="00A23AA7" w:rsidP="035DD17A" w:rsidRDefault="00A92537" w14:paraId="3242AC75"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459</w:t>
            </w:r>
          </w:p>
        </w:tc>
        <w:tc>
          <w:tcPr>
            <w:tcW w:w="0" w:type="auto"/>
            <w:tcMar/>
            <w:hideMark/>
          </w:tcPr>
          <w:p w:rsidRPr="002A63DA" w:rsidR="00A23AA7" w:rsidP="035DD17A" w:rsidRDefault="00A92537" w14:paraId="42DEC159"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695</w:t>
            </w:r>
          </w:p>
        </w:tc>
        <w:tc>
          <w:tcPr>
            <w:tcW w:w="0" w:type="auto"/>
            <w:vMerge/>
            <w:tcMar/>
            <w:hideMark/>
          </w:tcPr>
          <w:p w:rsidRPr="002A63DA" w:rsidR="00A23AA7" w:rsidP="00E32DEF" w:rsidRDefault="00A23AA7" w14:paraId="76AC39B0" w14:textId="77777777">
            <w:pPr>
              <w:jc w:val="center"/>
              <w:rPr>
                <w:rFonts w:eastAsia="Times New Roman" w:cstheme="minorHAnsi"/>
                <w:color w:val="000000"/>
                <w:sz w:val="20"/>
                <w:szCs w:val="20"/>
                <w:lang w:val="en-GB" w:eastAsia="nb-NO"/>
              </w:rPr>
            </w:pPr>
          </w:p>
        </w:tc>
        <w:tc>
          <w:tcPr>
            <w:tcW w:w="0" w:type="auto"/>
            <w:tcMar/>
            <w:hideMark/>
          </w:tcPr>
          <w:p w:rsidRPr="002A63DA" w:rsidR="00A23AA7" w:rsidP="035DD17A" w:rsidRDefault="00A92537" w14:paraId="482E0448"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YLL/1e5 inhabitants</w:t>
            </w:r>
          </w:p>
        </w:tc>
        <w:tc>
          <w:tcPr>
            <w:tcW w:w="0" w:type="auto"/>
            <w:tcMar/>
            <w:hideMark/>
          </w:tcPr>
          <w:p w:rsidRPr="002A63DA" w:rsidR="00A23AA7" w:rsidP="035DD17A" w:rsidRDefault="00A92537" w14:paraId="28671500"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885</w:t>
            </w:r>
          </w:p>
        </w:tc>
        <w:tc>
          <w:tcPr>
            <w:tcW w:w="0" w:type="auto"/>
            <w:tcMar/>
            <w:hideMark/>
          </w:tcPr>
          <w:p w:rsidRPr="002A63DA" w:rsidR="00A23AA7" w:rsidP="035DD17A" w:rsidRDefault="00A92537" w14:paraId="159D687C"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758</w:t>
            </w:r>
          </w:p>
        </w:tc>
        <w:tc>
          <w:tcPr>
            <w:tcW w:w="0" w:type="auto"/>
            <w:tcMar/>
            <w:hideMark/>
          </w:tcPr>
          <w:p w:rsidRPr="002A63DA" w:rsidR="00A23AA7" w:rsidP="035DD17A" w:rsidRDefault="00A92537" w14:paraId="52BE1B76"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626</w:t>
            </w:r>
          </w:p>
        </w:tc>
      </w:tr>
      <w:tr w:rsidR="00C81F10" w:rsidTr="035DD17A" w14:paraId="54B44D42" w14:textId="77777777">
        <w:trPr>
          <w:trHeight w:val="20"/>
          <w:jc w:val="center"/>
        </w:trPr>
        <w:tc>
          <w:tcPr>
            <w:tcW w:w="0" w:type="auto"/>
            <w:vMerge w:val="restart"/>
            <w:tcMar/>
            <w:hideMark/>
          </w:tcPr>
          <w:p w:rsidRPr="002A63DA" w:rsidR="00E32DEF" w:rsidP="035DD17A" w:rsidRDefault="00A92537" w14:paraId="7564D81E"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Amsterdam</w:t>
            </w:r>
          </w:p>
          <w:p w:rsidRPr="002A63DA" w:rsidR="00E32DEF" w:rsidP="035DD17A" w:rsidRDefault="00A92537" w14:paraId="38C3FBD2"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w:t>
            </w:r>
            <w:r w:rsidRPr="035DD17A" w:rsidR="00A92537">
              <w:rPr>
                <w:rFonts w:eastAsia="Times New Roman" w:cs="Calibri" w:cstheme="minorAscii"/>
                <w:b w:val="1"/>
                <w:bCs w:val="1"/>
                <w:color w:val="000000" w:themeColor="text1" w:themeTint="FF" w:themeShade="FF"/>
                <w:sz w:val="20"/>
                <w:szCs w:val="20"/>
                <w:lang w:val="en-GB" w:eastAsia="nb-NO"/>
              </w:rPr>
              <w:t>pop</w:t>
            </w:r>
            <w:r w:rsidRPr="035DD17A" w:rsidR="00A92537">
              <w:rPr>
                <w:rFonts w:eastAsia="Times New Roman" w:cs="Calibri" w:cstheme="minorAscii"/>
                <w:b w:val="1"/>
                <w:bCs w:val="1"/>
                <w:color w:val="000000" w:themeColor="text1" w:themeTint="FF" w:themeShade="FF"/>
                <w:sz w:val="20"/>
                <w:szCs w:val="20"/>
                <w:lang w:val="en-GB" w:eastAsia="nb-NO"/>
              </w:rPr>
              <w:t>. 838153)</w:t>
            </w:r>
          </w:p>
        </w:tc>
        <w:tc>
          <w:tcPr>
            <w:tcW w:w="0" w:type="auto"/>
            <w:tcMar/>
            <w:hideMark/>
          </w:tcPr>
          <w:p w:rsidRPr="002A63DA" w:rsidR="00E32DEF" w:rsidP="035DD17A" w:rsidRDefault="00A92537" w14:paraId="51A08A1E"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PD</w:t>
            </w:r>
          </w:p>
        </w:tc>
        <w:tc>
          <w:tcPr>
            <w:tcW w:w="0" w:type="auto"/>
            <w:tcMar/>
            <w:hideMark/>
          </w:tcPr>
          <w:p w:rsidRPr="002A63DA" w:rsidR="00E32DEF" w:rsidP="035DD17A" w:rsidRDefault="00A92537" w14:paraId="16DF9125"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568</w:t>
            </w:r>
          </w:p>
        </w:tc>
        <w:tc>
          <w:tcPr>
            <w:tcW w:w="0" w:type="auto"/>
            <w:tcMar/>
            <w:hideMark/>
          </w:tcPr>
          <w:p w:rsidRPr="002A63DA" w:rsidR="00E32DEF" w:rsidP="035DD17A" w:rsidRDefault="00A92537" w14:paraId="19CFEFAB"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557</w:t>
            </w:r>
          </w:p>
        </w:tc>
        <w:tc>
          <w:tcPr>
            <w:tcW w:w="0" w:type="auto"/>
            <w:tcMar/>
            <w:hideMark/>
          </w:tcPr>
          <w:p w:rsidRPr="002A63DA" w:rsidR="00E32DEF" w:rsidP="035DD17A" w:rsidRDefault="00A92537" w14:paraId="592A2193"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697</w:t>
            </w:r>
          </w:p>
        </w:tc>
        <w:tc>
          <w:tcPr>
            <w:tcW w:w="0" w:type="auto"/>
            <w:vMerge w:val="restart"/>
            <w:tcMar/>
            <w:hideMark/>
          </w:tcPr>
          <w:p w:rsidRPr="002A63DA" w:rsidR="00E32DEF" w:rsidP="035DD17A" w:rsidRDefault="00A92537" w14:paraId="4056F5EB"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Ljubljana</w:t>
            </w:r>
          </w:p>
          <w:p w:rsidRPr="002A63DA" w:rsidR="00E32DEF" w:rsidP="035DD17A" w:rsidRDefault="00A92537" w14:paraId="63251954"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w:t>
            </w:r>
            <w:r w:rsidRPr="035DD17A" w:rsidR="00A92537">
              <w:rPr>
                <w:rFonts w:eastAsia="Times New Roman" w:cs="Calibri" w:cstheme="minorAscii"/>
                <w:b w:val="1"/>
                <w:bCs w:val="1"/>
                <w:color w:val="000000" w:themeColor="text1" w:themeTint="FF" w:themeShade="FF"/>
                <w:sz w:val="20"/>
                <w:szCs w:val="20"/>
                <w:lang w:val="en-GB" w:eastAsia="nb-NO"/>
              </w:rPr>
              <w:t>pop</w:t>
            </w:r>
            <w:r w:rsidRPr="035DD17A" w:rsidR="00A92537">
              <w:rPr>
                <w:rFonts w:eastAsia="Times New Roman" w:cs="Calibri" w:cstheme="minorAscii"/>
                <w:b w:val="1"/>
                <w:bCs w:val="1"/>
                <w:color w:val="000000" w:themeColor="text1" w:themeTint="FF" w:themeShade="FF"/>
                <w:sz w:val="20"/>
                <w:szCs w:val="20"/>
                <w:lang w:val="en-GB" w:eastAsia="nb-NO"/>
              </w:rPr>
              <w:t>. 314691)</w:t>
            </w:r>
          </w:p>
        </w:tc>
        <w:tc>
          <w:tcPr>
            <w:tcW w:w="0" w:type="auto"/>
            <w:tcMar/>
            <w:hideMark/>
          </w:tcPr>
          <w:p w:rsidRPr="002A63DA" w:rsidR="00E32DEF" w:rsidP="035DD17A" w:rsidRDefault="00A92537" w14:paraId="21498701"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PD</w:t>
            </w:r>
          </w:p>
        </w:tc>
        <w:tc>
          <w:tcPr>
            <w:tcW w:w="0" w:type="auto"/>
            <w:tcMar/>
            <w:hideMark/>
          </w:tcPr>
          <w:p w:rsidRPr="002A63DA" w:rsidR="00E32DEF" w:rsidP="035DD17A" w:rsidRDefault="00A92537" w14:paraId="1CCD02E3"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255</w:t>
            </w:r>
          </w:p>
        </w:tc>
        <w:tc>
          <w:tcPr>
            <w:tcW w:w="0" w:type="auto"/>
            <w:tcMar/>
            <w:hideMark/>
          </w:tcPr>
          <w:p w:rsidRPr="002A63DA" w:rsidR="00E32DEF" w:rsidP="035DD17A" w:rsidRDefault="00A92537" w14:paraId="7FF489EA"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185</w:t>
            </w:r>
          </w:p>
        </w:tc>
        <w:tc>
          <w:tcPr>
            <w:tcW w:w="0" w:type="auto"/>
            <w:tcMar/>
            <w:hideMark/>
          </w:tcPr>
          <w:p w:rsidRPr="002A63DA" w:rsidR="00E32DEF" w:rsidP="035DD17A" w:rsidRDefault="00A92537" w14:paraId="635BD2D6"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219</w:t>
            </w:r>
          </w:p>
        </w:tc>
      </w:tr>
      <w:tr w:rsidR="00C81F10" w:rsidTr="035DD17A" w14:paraId="5EBBB434" w14:textId="77777777">
        <w:trPr>
          <w:trHeight w:val="20"/>
          <w:jc w:val="center"/>
        </w:trPr>
        <w:tc>
          <w:tcPr>
            <w:tcW w:w="0" w:type="auto"/>
            <w:vMerge/>
            <w:tcMar/>
            <w:hideMark/>
          </w:tcPr>
          <w:p w:rsidRPr="002A63DA" w:rsidR="00E32DEF" w:rsidP="00E32DEF" w:rsidRDefault="00E32DEF" w14:paraId="2404BDF0" w14:textId="77777777">
            <w:pPr>
              <w:jc w:val="center"/>
              <w:rPr>
                <w:rFonts w:eastAsia="Times New Roman" w:cstheme="minorHAnsi"/>
                <w:b/>
                <w:bCs/>
                <w:color w:val="000000"/>
                <w:sz w:val="20"/>
                <w:szCs w:val="20"/>
                <w:lang w:val="en-GB" w:eastAsia="nb-NO"/>
              </w:rPr>
            </w:pPr>
          </w:p>
        </w:tc>
        <w:tc>
          <w:tcPr>
            <w:tcW w:w="0" w:type="auto"/>
            <w:tcMar/>
            <w:hideMark/>
          </w:tcPr>
          <w:p w:rsidRPr="002A63DA" w:rsidR="00E32DEF" w:rsidP="035DD17A" w:rsidRDefault="00A92537" w14:paraId="64F7554F"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YLL</w:t>
            </w:r>
          </w:p>
        </w:tc>
        <w:tc>
          <w:tcPr>
            <w:tcW w:w="0" w:type="auto"/>
            <w:tcMar/>
            <w:hideMark/>
          </w:tcPr>
          <w:p w:rsidRPr="002A63DA" w:rsidR="00E32DEF" w:rsidP="035DD17A" w:rsidRDefault="00A92537" w14:paraId="7F90AF95"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5933</w:t>
            </w:r>
          </w:p>
        </w:tc>
        <w:tc>
          <w:tcPr>
            <w:tcW w:w="0" w:type="auto"/>
            <w:tcMar/>
            <w:hideMark/>
          </w:tcPr>
          <w:p w:rsidRPr="002A63DA" w:rsidR="00E32DEF" w:rsidP="035DD17A" w:rsidRDefault="00A92537" w14:paraId="6CACD8F1"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5821</w:t>
            </w:r>
          </w:p>
        </w:tc>
        <w:tc>
          <w:tcPr>
            <w:tcW w:w="0" w:type="auto"/>
            <w:tcMar/>
            <w:hideMark/>
          </w:tcPr>
          <w:p w:rsidRPr="002A63DA" w:rsidR="00E32DEF" w:rsidP="035DD17A" w:rsidRDefault="00A92537" w14:paraId="3E0B9275"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7277</w:t>
            </w:r>
          </w:p>
        </w:tc>
        <w:tc>
          <w:tcPr>
            <w:tcW w:w="0" w:type="auto"/>
            <w:vMerge/>
            <w:tcMar/>
            <w:hideMark/>
          </w:tcPr>
          <w:p w:rsidRPr="002A63DA" w:rsidR="00E32DEF" w:rsidP="00E32DEF" w:rsidRDefault="00E32DEF" w14:paraId="5CFE648D" w14:textId="77777777">
            <w:pPr>
              <w:jc w:val="center"/>
              <w:rPr>
                <w:rFonts w:eastAsia="Times New Roman" w:cstheme="minorHAnsi"/>
                <w:b/>
                <w:bCs/>
                <w:color w:val="000000"/>
                <w:sz w:val="20"/>
                <w:szCs w:val="20"/>
                <w:lang w:val="en-GB" w:eastAsia="nb-NO"/>
              </w:rPr>
            </w:pPr>
          </w:p>
        </w:tc>
        <w:tc>
          <w:tcPr>
            <w:tcW w:w="0" w:type="auto"/>
            <w:tcMar/>
            <w:hideMark/>
          </w:tcPr>
          <w:p w:rsidRPr="002A63DA" w:rsidR="00E32DEF" w:rsidP="035DD17A" w:rsidRDefault="00A92537" w14:paraId="26644B18"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YLL</w:t>
            </w:r>
          </w:p>
        </w:tc>
        <w:tc>
          <w:tcPr>
            <w:tcW w:w="0" w:type="auto"/>
            <w:tcMar/>
            <w:hideMark/>
          </w:tcPr>
          <w:p w:rsidRPr="002A63DA" w:rsidR="00E32DEF" w:rsidP="035DD17A" w:rsidRDefault="00A92537" w14:paraId="70A19156"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2687</w:t>
            </w:r>
          </w:p>
        </w:tc>
        <w:tc>
          <w:tcPr>
            <w:tcW w:w="0" w:type="auto"/>
            <w:tcMar/>
            <w:hideMark/>
          </w:tcPr>
          <w:p w:rsidRPr="002A63DA" w:rsidR="00E32DEF" w:rsidP="035DD17A" w:rsidRDefault="00A92537" w14:paraId="0151843C"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1950</w:t>
            </w:r>
          </w:p>
        </w:tc>
        <w:tc>
          <w:tcPr>
            <w:tcW w:w="0" w:type="auto"/>
            <w:tcMar/>
            <w:hideMark/>
          </w:tcPr>
          <w:p w:rsidRPr="002A63DA" w:rsidR="00E32DEF" w:rsidP="035DD17A" w:rsidRDefault="00A92537" w14:paraId="2F4AAC2B"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2306</w:t>
            </w:r>
          </w:p>
        </w:tc>
      </w:tr>
      <w:tr w:rsidR="00C81F10" w:rsidTr="035DD17A" w14:paraId="6F3AE7FB" w14:textId="77777777">
        <w:trPr>
          <w:trHeight w:val="20"/>
          <w:jc w:val="center"/>
        </w:trPr>
        <w:tc>
          <w:tcPr>
            <w:tcW w:w="0" w:type="auto"/>
            <w:vMerge/>
            <w:tcMar/>
            <w:hideMark/>
          </w:tcPr>
          <w:p w:rsidRPr="002A63DA" w:rsidR="00E32DEF" w:rsidP="00E32DEF" w:rsidRDefault="00E32DEF" w14:paraId="61FD1847" w14:textId="77777777">
            <w:pPr>
              <w:jc w:val="center"/>
              <w:rPr>
                <w:rFonts w:eastAsia="Times New Roman" w:cstheme="minorHAnsi"/>
                <w:b/>
                <w:bCs/>
                <w:color w:val="000000"/>
                <w:sz w:val="20"/>
                <w:szCs w:val="20"/>
                <w:lang w:val="en-GB" w:eastAsia="nb-NO"/>
              </w:rPr>
            </w:pPr>
          </w:p>
        </w:tc>
        <w:tc>
          <w:tcPr>
            <w:tcW w:w="0" w:type="auto"/>
            <w:tcMar/>
            <w:hideMark/>
          </w:tcPr>
          <w:p w:rsidRPr="002A63DA" w:rsidR="00E32DEF" w:rsidP="035DD17A" w:rsidRDefault="00A92537" w14:paraId="459934CF"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YLL/1e5 inhabitants</w:t>
            </w:r>
          </w:p>
        </w:tc>
        <w:tc>
          <w:tcPr>
            <w:tcW w:w="0" w:type="auto"/>
            <w:tcMar/>
            <w:hideMark/>
          </w:tcPr>
          <w:p w:rsidRPr="002A63DA" w:rsidR="00E32DEF" w:rsidP="035DD17A" w:rsidRDefault="00A92537" w14:paraId="218BBAF3"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708</w:t>
            </w:r>
          </w:p>
        </w:tc>
        <w:tc>
          <w:tcPr>
            <w:tcW w:w="0" w:type="auto"/>
            <w:tcMar/>
            <w:hideMark/>
          </w:tcPr>
          <w:p w:rsidRPr="002A63DA" w:rsidR="00E32DEF" w:rsidP="035DD17A" w:rsidRDefault="00A92537" w14:paraId="088FB647"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695</w:t>
            </w:r>
          </w:p>
        </w:tc>
        <w:tc>
          <w:tcPr>
            <w:tcW w:w="0" w:type="auto"/>
            <w:tcMar/>
            <w:hideMark/>
          </w:tcPr>
          <w:p w:rsidRPr="002A63DA" w:rsidR="00E32DEF" w:rsidP="035DD17A" w:rsidRDefault="00A92537" w14:paraId="0C50658A"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868</w:t>
            </w:r>
          </w:p>
        </w:tc>
        <w:tc>
          <w:tcPr>
            <w:tcW w:w="0" w:type="auto"/>
            <w:vMerge/>
            <w:tcMar/>
            <w:hideMark/>
          </w:tcPr>
          <w:p w:rsidRPr="002A63DA" w:rsidR="00E32DEF" w:rsidP="00E32DEF" w:rsidRDefault="00E32DEF" w14:paraId="035404E7" w14:textId="77777777">
            <w:pPr>
              <w:rPr>
                <w:rFonts w:eastAsia="Times New Roman" w:cstheme="minorHAnsi"/>
                <w:color w:val="000000"/>
                <w:sz w:val="20"/>
                <w:szCs w:val="20"/>
                <w:lang w:val="en-GB" w:eastAsia="nb-NO"/>
              </w:rPr>
            </w:pPr>
          </w:p>
        </w:tc>
        <w:tc>
          <w:tcPr>
            <w:tcW w:w="0" w:type="auto"/>
            <w:tcMar/>
            <w:hideMark/>
          </w:tcPr>
          <w:p w:rsidRPr="002A63DA" w:rsidR="00E32DEF" w:rsidP="035DD17A" w:rsidRDefault="00A92537" w14:paraId="494CB403"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YLL/1e5 inhabitants</w:t>
            </w:r>
          </w:p>
        </w:tc>
        <w:tc>
          <w:tcPr>
            <w:tcW w:w="0" w:type="auto"/>
            <w:tcMar/>
            <w:hideMark/>
          </w:tcPr>
          <w:p w:rsidRPr="002A63DA" w:rsidR="00E32DEF" w:rsidP="035DD17A" w:rsidRDefault="00A92537" w14:paraId="1EA2A35F"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854</w:t>
            </w:r>
          </w:p>
        </w:tc>
        <w:tc>
          <w:tcPr>
            <w:tcW w:w="0" w:type="auto"/>
            <w:tcMar/>
            <w:hideMark/>
          </w:tcPr>
          <w:p w:rsidRPr="002A63DA" w:rsidR="00E32DEF" w:rsidP="035DD17A" w:rsidRDefault="00A92537" w14:paraId="60623A8B"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620</w:t>
            </w:r>
          </w:p>
        </w:tc>
        <w:tc>
          <w:tcPr>
            <w:tcW w:w="0" w:type="auto"/>
            <w:tcMar/>
            <w:hideMark/>
          </w:tcPr>
          <w:p w:rsidRPr="002A63DA" w:rsidR="00E32DEF" w:rsidP="035DD17A" w:rsidRDefault="00A92537" w14:paraId="336CC7D4"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733</w:t>
            </w:r>
          </w:p>
        </w:tc>
      </w:tr>
      <w:tr w:rsidR="00C81F10" w:rsidTr="035DD17A" w14:paraId="76BCC12C" w14:textId="77777777">
        <w:trPr>
          <w:trHeight w:val="20"/>
          <w:jc w:val="center"/>
        </w:trPr>
        <w:tc>
          <w:tcPr>
            <w:tcW w:w="0" w:type="auto"/>
            <w:vMerge w:val="restart"/>
            <w:tcMar/>
            <w:hideMark/>
          </w:tcPr>
          <w:p w:rsidRPr="002A63DA" w:rsidR="006F7E38" w:rsidP="035DD17A" w:rsidRDefault="00A92537" w14:paraId="41E26B77"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 xml:space="preserve">Aveiro Region </w:t>
            </w:r>
          </w:p>
          <w:p w:rsidRPr="002A63DA" w:rsidR="00730834" w:rsidP="035DD17A" w:rsidRDefault="00A92537" w14:paraId="264181A2"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w:t>
            </w:r>
            <w:r w:rsidRPr="035DD17A" w:rsidR="00A92537">
              <w:rPr>
                <w:rFonts w:eastAsia="Times New Roman" w:cs="Calibri" w:cstheme="minorAscii"/>
                <w:b w:val="1"/>
                <w:bCs w:val="1"/>
                <w:color w:val="000000" w:themeColor="text1" w:themeTint="FF" w:themeShade="FF"/>
                <w:sz w:val="20"/>
                <w:szCs w:val="20"/>
                <w:lang w:val="en-GB" w:eastAsia="nb-NO"/>
              </w:rPr>
              <w:t>pop</w:t>
            </w:r>
            <w:r w:rsidRPr="035DD17A" w:rsidR="00A92537">
              <w:rPr>
                <w:rFonts w:eastAsia="Times New Roman" w:cs="Calibri" w:cstheme="minorAscii"/>
                <w:b w:val="1"/>
                <w:bCs w:val="1"/>
                <w:color w:val="000000" w:themeColor="text1" w:themeTint="FF" w:themeShade="FF"/>
                <w:sz w:val="20"/>
                <w:szCs w:val="20"/>
                <w:lang w:val="en-GB" w:eastAsia="nb-NO"/>
              </w:rPr>
              <w:t>. 347589)</w:t>
            </w:r>
          </w:p>
        </w:tc>
        <w:tc>
          <w:tcPr>
            <w:tcW w:w="0" w:type="auto"/>
            <w:tcMar/>
            <w:hideMark/>
          </w:tcPr>
          <w:p w:rsidRPr="002A63DA" w:rsidR="00730834" w:rsidP="035DD17A" w:rsidRDefault="00A92537" w14:paraId="3A16EFAE"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PD</w:t>
            </w:r>
          </w:p>
        </w:tc>
        <w:tc>
          <w:tcPr>
            <w:tcW w:w="0" w:type="auto"/>
            <w:tcMar/>
            <w:hideMark/>
          </w:tcPr>
          <w:p w:rsidRPr="002A63DA" w:rsidR="00730834" w:rsidP="035DD17A" w:rsidRDefault="00A92537" w14:paraId="1CF5B929"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194</w:t>
            </w:r>
          </w:p>
        </w:tc>
        <w:tc>
          <w:tcPr>
            <w:tcW w:w="0" w:type="auto"/>
            <w:tcMar/>
            <w:hideMark/>
          </w:tcPr>
          <w:p w:rsidRPr="002A63DA" w:rsidR="00730834" w:rsidP="035DD17A" w:rsidRDefault="00A92537" w14:paraId="19CD104C"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154</w:t>
            </w:r>
          </w:p>
        </w:tc>
        <w:tc>
          <w:tcPr>
            <w:tcW w:w="0" w:type="auto"/>
            <w:tcMar/>
            <w:hideMark/>
          </w:tcPr>
          <w:p w:rsidRPr="002A63DA" w:rsidR="00730834" w:rsidP="035DD17A" w:rsidRDefault="00A92537" w14:paraId="6AF6E223"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63</w:t>
            </w:r>
          </w:p>
        </w:tc>
        <w:tc>
          <w:tcPr>
            <w:tcW w:w="0" w:type="auto"/>
            <w:vMerge w:val="restart"/>
            <w:tcMar/>
            <w:hideMark/>
          </w:tcPr>
          <w:p w:rsidRPr="002A63DA" w:rsidR="00E32DEF" w:rsidP="035DD17A" w:rsidRDefault="00A92537" w14:paraId="1C4E5134"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Sosnowiec</w:t>
            </w:r>
          </w:p>
          <w:p w:rsidRPr="002A63DA" w:rsidR="00730834" w:rsidP="035DD17A" w:rsidRDefault="00A92537" w14:paraId="038DEE5E"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w:t>
            </w:r>
            <w:r w:rsidRPr="035DD17A" w:rsidR="00A92537">
              <w:rPr>
                <w:rFonts w:eastAsia="Times New Roman" w:cs="Calibri" w:cstheme="minorAscii"/>
                <w:b w:val="1"/>
                <w:bCs w:val="1"/>
                <w:color w:val="000000" w:themeColor="text1" w:themeTint="FF" w:themeShade="FF"/>
                <w:sz w:val="20"/>
                <w:szCs w:val="20"/>
                <w:lang w:val="en-GB" w:eastAsia="nb-NO"/>
              </w:rPr>
              <w:t>pop</w:t>
            </w:r>
            <w:r w:rsidRPr="035DD17A" w:rsidR="00A92537">
              <w:rPr>
                <w:rFonts w:eastAsia="Times New Roman" w:cs="Calibri" w:cstheme="minorAscii"/>
                <w:b w:val="1"/>
                <w:bCs w:val="1"/>
                <w:color w:val="000000" w:themeColor="text1" w:themeTint="FF" w:themeShade="FF"/>
                <w:sz w:val="20"/>
                <w:szCs w:val="20"/>
                <w:lang w:val="en-GB" w:eastAsia="nb-NO"/>
              </w:rPr>
              <w:t>. 624542)</w:t>
            </w:r>
          </w:p>
        </w:tc>
        <w:tc>
          <w:tcPr>
            <w:tcW w:w="0" w:type="auto"/>
            <w:tcMar/>
            <w:hideMark/>
          </w:tcPr>
          <w:p w:rsidRPr="002A63DA" w:rsidR="00730834" w:rsidP="035DD17A" w:rsidRDefault="00A92537" w14:paraId="76FE41A5"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PD</w:t>
            </w:r>
          </w:p>
        </w:tc>
        <w:tc>
          <w:tcPr>
            <w:tcW w:w="0" w:type="auto"/>
            <w:tcMar/>
            <w:hideMark/>
          </w:tcPr>
          <w:p w:rsidRPr="002A63DA" w:rsidR="00730834" w:rsidP="035DD17A" w:rsidRDefault="00A92537" w14:paraId="13294B4F"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879</w:t>
            </w:r>
          </w:p>
        </w:tc>
        <w:tc>
          <w:tcPr>
            <w:tcW w:w="0" w:type="auto"/>
            <w:tcMar/>
            <w:hideMark/>
          </w:tcPr>
          <w:p w:rsidRPr="002A63DA" w:rsidR="00730834" w:rsidP="035DD17A" w:rsidRDefault="00A92537" w14:paraId="323ACC9F"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664</w:t>
            </w:r>
          </w:p>
        </w:tc>
        <w:tc>
          <w:tcPr>
            <w:tcW w:w="0" w:type="auto"/>
            <w:tcMar/>
            <w:hideMark/>
          </w:tcPr>
          <w:p w:rsidRPr="002A63DA" w:rsidR="00730834" w:rsidP="035DD17A" w:rsidRDefault="00A92537" w14:paraId="14C8CF13"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1194</w:t>
            </w:r>
          </w:p>
        </w:tc>
      </w:tr>
      <w:tr w:rsidR="00C81F10" w:rsidTr="035DD17A" w14:paraId="2FB2E906" w14:textId="77777777">
        <w:trPr>
          <w:trHeight w:val="20"/>
          <w:jc w:val="center"/>
        </w:trPr>
        <w:tc>
          <w:tcPr>
            <w:tcW w:w="0" w:type="auto"/>
            <w:vMerge/>
            <w:tcMar/>
            <w:hideMark/>
          </w:tcPr>
          <w:p w:rsidRPr="002A63DA" w:rsidR="00730834" w:rsidP="00E32DEF" w:rsidRDefault="00730834" w14:paraId="424BBACE" w14:textId="77777777">
            <w:pPr>
              <w:jc w:val="center"/>
              <w:rPr>
                <w:rFonts w:eastAsia="Times New Roman" w:cstheme="minorHAnsi"/>
                <w:b/>
                <w:bCs/>
                <w:color w:val="000000"/>
                <w:sz w:val="20"/>
                <w:szCs w:val="20"/>
                <w:lang w:val="en-GB" w:eastAsia="nb-NO"/>
              </w:rPr>
            </w:pPr>
          </w:p>
        </w:tc>
        <w:tc>
          <w:tcPr>
            <w:tcW w:w="0" w:type="auto"/>
            <w:tcMar/>
            <w:hideMark/>
          </w:tcPr>
          <w:p w:rsidRPr="002A63DA" w:rsidR="00730834" w:rsidP="035DD17A" w:rsidRDefault="00A92537" w14:paraId="6E4A5A8F"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YLL</w:t>
            </w:r>
          </w:p>
        </w:tc>
        <w:tc>
          <w:tcPr>
            <w:tcW w:w="0" w:type="auto"/>
            <w:tcMar/>
            <w:hideMark/>
          </w:tcPr>
          <w:p w:rsidRPr="002A63DA" w:rsidR="00730834" w:rsidP="035DD17A" w:rsidRDefault="00A92537" w14:paraId="3581051A"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2235</w:t>
            </w:r>
          </w:p>
        </w:tc>
        <w:tc>
          <w:tcPr>
            <w:tcW w:w="0" w:type="auto"/>
            <w:tcMar/>
            <w:hideMark/>
          </w:tcPr>
          <w:p w:rsidRPr="002A63DA" w:rsidR="00730834" w:rsidP="035DD17A" w:rsidRDefault="00A92537" w14:paraId="31AD98AD"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1766</w:t>
            </w:r>
          </w:p>
        </w:tc>
        <w:tc>
          <w:tcPr>
            <w:tcW w:w="0" w:type="auto"/>
            <w:tcMar/>
            <w:hideMark/>
          </w:tcPr>
          <w:p w:rsidRPr="002A63DA" w:rsidR="00730834" w:rsidP="035DD17A" w:rsidRDefault="00A92537" w14:paraId="6BC703B4"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720</w:t>
            </w:r>
          </w:p>
        </w:tc>
        <w:tc>
          <w:tcPr>
            <w:tcW w:w="0" w:type="auto"/>
            <w:vMerge/>
            <w:tcMar/>
            <w:hideMark/>
          </w:tcPr>
          <w:p w:rsidRPr="002A63DA" w:rsidR="00730834" w:rsidP="00E32DEF" w:rsidRDefault="00730834" w14:paraId="4CE60EF2" w14:textId="77777777">
            <w:pPr>
              <w:jc w:val="center"/>
              <w:rPr>
                <w:rFonts w:eastAsia="Times New Roman" w:cstheme="minorHAnsi"/>
                <w:b/>
                <w:bCs/>
                <w:color w:val="000000"/>
                <w:sz w:val="20"/>
                <w:szCs w:val="20"/>
                <w:lang w:val="en-GB" w:eastAsia="nb-NO"/>
              </w:rPr>
            </w:pPr>
          </w:p>
        </w:tc>
        <w:tc>
          <w:tcPr>
            <w:tcW w:w="0" w:type="auto"/>
            <w:tcMar/>
            <w:hideMark/>
          </w:tcPr>
          <w:p w:rsidRPr="002A63DA" w:rsidR="00730834" w:rsidP="035DD17A" w:rsidRDefault="00A92537" w14:paraId="30D82BD0"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YLL</w:t>
            </w:r>
          </w:p>
        </w:tc>
        <w:tc>
          <w:tcPr>
            <w:tcW w:w="0" w:type="auto"/>
            <w:tcMar/>
            <w:hideMark/>
          </w:tcPr>
          <w:p w:rsidRPr="002A63DA" w:rsidR="00730834" w:rsidP="035DD17A" w:rsidRDefault="00A92537" w14:paraId="7015927E"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12552</w:t>
            </w:r>
          </w:p>
        </w:tc>
        <w:tc>
          <w:tcPr>
            <w:tcW w:w="0" w:type="auto"/>
            <w:tcMar/>
            <w:hideMark/>
          </w:tcPr>
          <w:p w:rsidRPr="002A63DA" w:rsidR="00730834" w:rsidP="035DD17A" w:rsidRDefault="00A92537" w14:paraId="06A1D401"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9479</w:t>
            </w:r>
          </w:p>
        </w:tc>
        <w:tc>
          <w:tcPr>
            <w:tcW w:w="0" w:type="auto"/>
            <w:tcMar/>
            <w:hideMark/>
          </w:tcPr>
          <w:p w:rsidRPr="002A63DA" w:rsidR="00730834" w:rsidP="035DD17A" w:rsidRDefault="00A92537" w14:paraId="094ED0F4"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17039</w:t>
            </w:r>
          </w:p>
        </w:tc>
      </w:tr>
      <w:tr w:rsidR="00C81F10" w:rsidTr="035DD17A" w14:paraId="23253535" w14:textId="77777777">
        <w:trPr>
          <w:trHeight w:val="20"/>
          <w:jc w:val="center"/>
        </w:trPr>
        <w:tc>
          <w:tcPr>
            <w:tcW w:w="0" w:type="auto"/>
            <w:vMerge/>
            <w:tcMar/>
            <w:hideMark/>
          </w:tcPr>
          <w:p w:rsidRPr="002A63DA" w:rsidR="00730834" w:rsidP="00E32DEF" w:rsidRDefault="00730834" w14:paraId="7DA2507C" w14:textId="77777777">
            <w:pPr>
              <w:jc w:val="center"/>
              <w:rPr>
                <w:rFonts w:eastAsia="Times New Roman" w:cstheme="minorHAnsi"/>
                <w:b/>
                <w:bCs/>
                <w:color w:val="000000"/>
                <w:sz w:val="20"/>
                <w:szCs w:val="20"/>
                <w:lang w:val="en-GB" w:eastAsia="nb-NO"/>
              </w:rPr>
            </w:pPr>
          </w:p>
        </w:tc>
        <w:tc>
          <w:tcPr>
            <w:tcW w:w="0" w:type="auto"/>
            <w:tcMar/>
            <w:hideMark/>
          </w:tcPr>
          <w:p w:rsidRPr="002A63DA" w:rsidR="00730834" w:rsidP="035DD17A" w:rsidRDefault="00A92537" w14:paraId="56F6A5EC"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YLL/1e5 inhabitants</w:t>
            </w:r>
          </w:p>
        </w:tc>
        <w:tc>
          <w:tcPr>
            <w:tcW w:w="0" w:type="auto"/>
            <w:tcMar/>
            <w:hideMark/>
          </w:tcPr>
          <w:p w:rsidRPr="002A63DA" w:rsidR="00730834" w:rsidP="035DD17A" w:rsidRDefault="00A92537" w14:paraId="4F4838C2"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643</w:t>
            </w:r>
          </w:p>
        </w:tc>
        <w:tc>
          <w:tcPr>
            <w:tcW w:w="0" w:type="auto"/>
            <w:tcMar/>
            <w:hideMark/>
          </w:tcPr>
          <w:p w:rsidRPr="002A63DA" w:rsidR="00730834" w:rsidP="035DD17A" w:rsidRDefault="00A92537" w14:paraId="20B64524"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508</w:t>
            </w:r>
          </w:p>
        </w:tc>
        <w:tc>
          <w:tcPr>
            <w:tcW w:w="0" w:type="auto"/>
            <w:tcMar/>
            <w:hideMark/>
          </w:tcPr>
          <w:p w:rsidRPr="002A63DA" w:rsidR="00730834" w:rsidP="035DD17A" w:rsidRDefault="00A92537" w14:paraId="0B8747AE"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207</w:t>
            </w:r>
          </w:p>
        </w:tc>
        <w:tc>
          <w:tcPr>
            <w:tcW w:w="0" w:type="auto"/>
            <w:vMerge/>
            <w:tcMar/>
            <w:hideMark/>
          </w:tcPr>
          <w:p w:rsidRPr="002A63DA" w:rsidR="00730834" w:rsidP="00E32DEF" w:rsidRDefault="00730834" w14:paraId="5FD58A44" w14:textId="77777777">
            <w:pPr>
              <w:jc w:val="center"/>
              <w:rPr>
                <w:rFonts w:eastAsia="Times New Roman" w:cstheme="minorHAnsi"/>
                <w:b/>
                <w:bCs/>
                <w:color w:val="000000"/>
                <w:sz w:val="20"/>
                <w:szCs w:val="20"/>
                <w:lang w:val="en-GB" w:eastAsia="nb-NO"/>
              </w:rPr>
            </w:pPr>
          </w:p>
        </w:tc>
        <w:tc>
          <w:tcPr>
            <w:tcW w:w="0" w:type="auto"/>
            <w:tcMar/>
            <w:hideMark/>
          </w:tcPr>
          <w:p w:rsidRPr="002A63DA" w:rsidR="00730834" w:rsidP="035DD17A" w:rsidRDefault="00A92537" w14:paraId="1E264B6A" w14:textId="77777777">
            <w:pPr>
              <w:jc w:val="center"/>
              <w:rPr>
                <w:rFonts w:eastAsia="Times New Roman" w:cs="Calibri" w:cstheme="minorAscii"/>
                <w:b w:val="1"/>
                <w:bCs w:val="1"/>
                <w:color w:val="000000"/>
                <w:sz w:val="20"/>
                <w:szCs w:val="20"/>
                <w:lang w:val="en-GB" w:eastAsia="nb-NO"/>
              </w:rPr>
            </w:pPr>
            <w:r w:rsidRPr="035DD17A" w:rsidR="00A92537">
              <w:rPr>
                <w:rFonts w:eastAsia="Times New Roman" w:cs="Calibri" w:cstheme="minorAscii"/>
                <w:b w:val="1"/>
                <w:bCs w:val="1"/>
                <w:color w:val="000000" w:themeColor="text1" w:themeTint="FF" w:themeShade="FF"/>
                <w:sz w:val="20"/>
                <w:szCs w:val="20"/>
                <w:lang w:val="en-GB" w:eastAsia="nb-NO"/>
              </w:rPr>
              <w:t>YLL/1e5 inhabitants</w:t>
            </w:r>
          </w:p>
        </w:tc>
        <w:tc>
          <w:tcPr>
            <w:tcW w:w="0" w:type="auto"/>
            <w:tcMar/>
            <w:hideMark/>
          </w:tcPr>
          <w:p w:rsidRPr="002A63DA" w:rsidR="00730834" w:rsidP="035DD17A" w:rsidRDefault="00A92537" w14:paraId="3E27ECE3"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2010</w:t>
            </w:r>
          </w:p>
        </w:tc>
        <w:tc>
          <w:tcPr>
            <w:tcW w:w="0" w:type="auto"/>
            <w:tcMar/>
            <w:hideMark/>
          </w:tcPr>
          <w:p w:rsidRPr="002A63DA" w:rsidR="00730834" w:rsidP="035DD17A" w:rsidRDefault="00A92537" w14:paraId="1CB78FF7"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1518</w:t>
            </w:r>
          </w:p>
        </w:tc>
        <w:tc>
          <w:tcPr>
            <w:tcW w:w="0" w:type="auto"/>
            <w:tcMar/>
            <w:hideMark/>
          </w:tcPr>
          <w:p w:rsidRPr="002A63DA" w:rsidR="00730834" w:rsidP="035DD17A" w:rsidRDefault="00A92537" w14:paraId="491AC5DB" w14:textId="77777777">
            <w:pPr>
              <w:jc w:val="center"/>
              <w:rPr>
                <w:rFonts w:eastAsia="Times New Roman" w:cs="Calibri" w:cstheme="minorAscii"/>
                <w:color w:val="000000"/>
                <w:sz w:val="20"/>
                <w:szCs w:val="20"/>
                <w:lang w:val="en-GB" w:eastAsia="nb-NO"/>
              </w:rPr>
            </w:pPr>
            <w:r w:rsidRPr="035DD17A" w:rsidR="00A92537">
              <w:rPr>
                <w:rFonts w:eastAsia="Times New Roman" w:cs="Calibri" w:cstheme="minorAscii"/>
                <w:color w:val="000000" w:themeColor="text1" w:themeTint="FF" w:themeShade="FF"/>
                <w:sz w:val="20"/>
                <w:szCs w:val="20"/>
                <w:lang w:val="en-GB" w:eastAsia="nb-NO"/>
              </w:rPr>
              <w:t>2728</w:t>
            </w:r>
          </w:p>
        </w:tc>
      </w:tr>
    </w:tbl>
    <w:p w:rsidRPr="002A63DA" w:rsidR="0024476C" w:rsidP="00730834" w:rsidRDefault="0024476C" w14:paraId="6576F324" w14:textId="77777777">
      <w:pPr>
        <w:rPr>
          <w:lang w:val="en-GB"/>
        </w:rPr>
      </w:pPr>
    </w:p>
    <w:p w:rsidRPr="002A63DA" w:rsidR="00827A09" w:rsidP="00384096" w:rsidRDefault="00A92537" w14:paraId="1F5A9175" w14:textId="77777777">
      <w:pPr>
        <w:rPr>
          <w:lang w:val="en-GB"/>
        </w:rPr>
      </w:pPr>
      <w:r w:rsidRPr="002A63DA">
        <w:rPr>
          <w:noProof/>
        </w:rPr>
        <w:drawing>
          <wp:inline distT="0" distB="0" distL="0" distR="0" wp14:anchorId="55CEFED0" wp14:editId="011261E2">
            <wp:extent cx="5943600" cy="2863850"/>
            <wp:effectExtent l="0" t="0" r="0" b="12700"/>
            <wp:docPr id="1" name="Chart 1">
              <a:extLst xmlns:a="http://schemas.openxmlformats.org/drawingml/2006/main">
                <a:ext uri="{FF2B5EF4-FFF2-40B4-BE49-F238E27FC236}">
                  <a16:creationId xmlns:a16="http://schemas.microsoft.com/office/drawing/2014/main" id="{E0BB08C5-EB92-4DA7-A886-FC5518021F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Pr="002A63DA" w:rsidR="00827A09" w:rsidP="00827A09" w:rsidRDefault="00A92537" w14:paraId="708B0620" w14:textId="77777777">
      <w:pPr>
        <w:pStyle w:val="Caption"/>
      </w:pPr>
      <w:bookmarkStart w:name="_Ref64497230" w:id="19"/>
      <w:r w:rsidR="00A92537">
        <w:rPr/>
        <w:t xml:space="preserve">Figure </w:t>
      </w:r>
      <w:r>
        <w:fldChar w:fldCharType="begin"/>
      </w:r>
      <w:r>
        <w:instrText xml:space="preserve"> SEQ Figure \* ARABIC </w:instrText>
      </w:r>
      <w:r>
        <w:fldChar w:fldCharType="separate"/>
      </w:r>
      <w:r w:rsidRPr="035DD17A" w:rsidR="00C83CFF">
        <w:rPr>
          <w:noProof/>
        </w:rPr>
        <w:t>4</w:t>
      </w:r>
      <w:r>
        <w:fldChar w:fldCharType="end"/>
      </w:r>
      <w:bookmarkEnd w:id="19"/>
      <w:r w:rsidR="00A92537">
        <w:rPr/>
        <w:t>-Health benefits from implementing emission control measures in 2020, 2035 and 2050.</w:t>
      </w:r>
    </w:p>
    <w:p w:rsidRPr="002A63DA" w:rsidR="00827A09" w:rsidP="00384096" w:rsidRDefault="00827A09" w14:paraId="2076E48D" w14:textId="77777777">
      <w:pPr>
        <w:rPr>
          <w:lang w:val="en-GB"/>
        </w:rPr>
      </w:pPr>
    </w:p>
    <w:p w:rsidRPr="002A63DA" w:rsidR="00384096" w:rsidP="00384096" w:rsidRDefault="00A92537" w14:paraId="0C2AB07F" w14:textId="77777777">
      <w:pPr>
        <w:rPr>
          <w:lang w:val="en-GB"/>
        </w:rPr>
      </w:pPr>
      <w:r w:rsidRPr="035DD17A" w:rsidR="00A92537">
        <w:rPr>
          <w:lang w:val="en-GB"/>
        </w:rPr>
        <w:t xml:space="preserve">For Bristol, it shows that the </w:t>
      </w:r>
      <w:r w:rsidRPr="035DD17A" w:rsidR="002864E4">
        <w:rPr>
          <w:lang w:val="en-GB"/>
        </w:rPr>
        <w:t>FUPS</w:t>
      </w:r>
      <w:r w:rsidRPr="035DD17A" w:rsidR="00A92537">
        <w:rPr>
          <w:lang w:val="en-GB"/>
        </w:rPr>
        <w:t xml:space="preserve"> scenario significantly improves human health compared to the current situation and the BAU scenario</w:t>
      </w:r>
      <w:r w:rsidRPr="035DD17A" w:rsidR="00151C97">
        <w:rPr>
          <w:lang w:val="en-GB"/>
        </w:rPr>
        <w:t>. For the baseline year</w:t>
      </w:r>
      <w:r w:rsidRPr="035DD17A" w:rsidR="00A92537">
        <w:rPr>
          <w:lang w:val="en-GB"/>
        </w:rPr>
        <w:t xml:space="preserve">, the number of premature deaths as a result of </w:t>
      </w:r>
      <w:r w:rsidRPr="035DD17A" w:rsidR="007129D5">
        <w:rPr>
          <w:lang w:val="en-GB"/>
        </w:rPr>
        <w:t>PM2.5</w:t>
      </w:r>
      <w:r w:rsidRPr="035DD17A" w:rsidR="00A92537">
        <w:rPr>
          <w:sz w:val="14"/>
          <w:szCs w:val="14"/>
          <w:lang w:val="en-GB"/>
        </w:rPr>
        <w:t xml:space="preserve">, </w:t>
      </w:r>
      <w:r w:rsidRPr="035DD17A" w:rsidR="00A92537">
        <w:rPr>
          <w:lang w:val="en-GB"/>
        </w:rPr>
        <w:t>P</w:t>
      </w:r>
      <w:r w:rsidRPr="035DD17A" w:rsidR="007129D5">
        <w:rPr>
          <w:lang w:val="en-GB"/>
        </w:rPr>
        <w:t>M10</w:t>
      </w:r>
      <w:r w:rsidRPr="035DD17A" w:rsidR="00A92537">
        <w:rPr>
          <w:sz w:val="14"/>
          <w:szCs w:val="14"/>
          <w:lang w:val="en-GB"/>
        </w:rPr>
        <w:t xml:space="preserve"> </w:t>
      </w:r>
      <w:r w:rsidRPr="035DD17A" w:rsidR="00A92537">
        <w:rPr>
          <w:lang w:val="en-GB"/>
        </w:rPr>
        <w:t xml:space="preserve">and </w:t>
      </w:r>
      <w:r w:rsidRPr="035DD17A" w:rsidR="007129D5">
        <w:rPr>
          <w:lang w:val="en-GB"/>
        </w:rPr>
        <w:t>NO</w:t>
      </w:r>
      <w:r w:rsidRPr="035DD17A" w:rsidR="007129D5">
        <w:rPr>
          <w:vertAlign w:val="subscript"/>
          <w:lang w:val="en-GB"/>
        </w:rPr>
        <w:t>2</w:t>
      </w:r>
      <w:r w:rsidRPr="035DD17A" w:rsidR="007129D5">
        <w:rPr>
          <w:lang w:val="en-GB"/>
        </w:rPr>
        <w:t xml:space="preserve"> is </w:t>
      </w:r>
      <w:r w:rsidRPr="035DD17A" w:rsidR="00A92537">
        <w:rPr>
          <w:lang w:val="en-GB"/>
        </w:rPr>
        <w:t xml:space="preserve">404, 336 and 429, respectively. The BAU scenario reduces these numbers by 87%, 17% and 26% in 2050 respectively, but the </w:t>
      </w:r>
      <w:r w:rsidRPr="035DD17A" w:rsidR="002864E4">
        <w:rPr>
          <w:lang w:val="en-GB"/>
        </w:rPr>
        <w:t>FUPS</w:t>
      </w:r>
      <w:r w:rsidRPr="035DD17A" w:rsidR="00A92537">
        <w:rPr>
          <w:lang w:val="en-GB"/>
        </w:rPr>
        <w:t xml:space="preserve"> scenario results in far larger reductions: 94%, 79% and 52%. The reduction in the number of premature deaths is higher than the average concentration reduction when comparing the baseline and future emission scenarios. This discrepancy </w:t>
      </w:r>
      <w:r w:rsidRPr="035DD17A" w:rsidR="008D1F8E">
        <w:rPr>
          <w:lang w:val="en-GB"/>
        </w:rPr>
        <w:t xml:space="preserve">confirms </w:t>
      </w:r>
      <w:r w:rsidRPr="035DD17A" w:rsidR="00A92537">
        <w:rPr>
          <w:lang w:val="en-GB"/>
        </w:rPr>
        <w:t>that the</w:t>
      </w:r>
      <w:r w:rsidRPr="035DD17A" w:rsidR="00A92537">
        <w:rPr>
          <w:sz w:val="14"/>
          <w:szCs w:val="14"/>
          <w:lang w:val="en-GB"/>
        </w:rPr>
        <w:t xml:space="preserve"> </w:t>
      </w:r>
      <w:r w:rsidRPr="035DD17A" w:rsidR="00A92537">
        <w:rPr>
          <w:lang w:val="en-GB"/>
        </w:rPr>
        <w:t xml:space="preserve">reduction occurs more in areas with </w:t>
      </w:r>
      <w:r w:rsidRPr="035DD17A" w:rsidR="0018728F">
        <w:rPr>
          <w:lang w:val="en-GB"/>
        </w:rPr>
        <w:t xml:space="preserve">a </w:t>
      </w:r>
      <w:r w:rsidRPr="035DD17A" w:rsidR="00A92537">
        <w:rPr>
          <w:lang w:val="en-GB"/>
        </w:rPr>
        <w:t>high population.</w:t>
      </w:r>
    </w:p>
    <w:p w:rsidRPr="002A63DA" w:rsidR="00384096" w:rsidP="00384096" w:rsidRDefault="00A92537" w14:paraId="5CC19F3F" w14:textId="77777777">
      <w:pPr>
        <w:rPr>
          <w:lang w:val="en-GB"/>
        </w:rPr>
      </w:pPr>
      <w:r w:rsidRPr="035DD17A" w:rsidR="00A92537">
        <w:rPr>
          <w:lang w:val="en-GB"/>
        </w:rPr>
        <w:t xml:space="preserve">For Amsterdam, the </w:t>
      </w:r>
      <w:r w:rsidRPr="035DD17A" w:rsidR="002864E4">
        <w:rPr>
          <w:lang w:val="en-GB"/>
        </w:rPr>
        <w:t>FUPS</w:t>
      </w:r>
      <w:r w:rsidRPr="035DD17A" w:rsidR="00A92537">
        <w:rPr>
          <w:lang w:val="en-GB"/>
        </w:rPr>
        <w:t xml:space="preserve"> scenario significantly improves human health compared to the current situation and the BAU scenario. The health benefit </w:t>
      </w:r>
      <w:r w:rsidRPr="035DD17A" w:rsidR="0018728F">
        <w:rPr>
          <w:lang w:val="en-GB"/>
        </w:rPr>
        <w:t>of</w:t>
      </w:r>
      <w:r w:rsidRPr="035DD17A" w:rsidR="00A92537">
        <w:rPr>
          <w:lang w:val="en-GB"/>
        </w:rPr>
        <w:t xml:space="preserve"> implementing citizen measures in the </w:t>
      </w:r>
      <w:r w:rsidRPr="035DD17A" w:rsidR="002864E4">
        <w:rPr>
          <w:lang w:val="en-GB"/>
        </w:rPr>
        <w:t>FUPS</w:t>
      </w:r>
      <w:r w:rsidRPr="035DD17A" w:rsidR="00A92537">
        <w:rPr>
          <w:lang w:val="en-GB"/>
        </w:rPr>
        <w:t xml:space="preserve"> is considerable. In 2015, the number of premature deaths as a result of PM2.5, PM10 and NO</w:t>
      </w:r>
      <w:r w:rsidRPr="035DD17A" w:rsidR="00A92537">
        <w:rPr>
          <w:vertAlign w:val="subscript"/>
          <w:lang w:val="en-GB"/>
        </w:rPr>
        <w:t>2</w:t>
      </w:r>
      <w:r w:rsidRPr="035DD17A" w:rsidR="00A92537">
        <w:rPr>
          <w:lang w:val="en-GB"/>
        </w:rPr>
        <w:t xml:space="preserve"> is 568, 557, and 697</w:t>
      </w:r>
      <w:r w:rsidRPr="035DD17A" w:rsidR="00203D64">
        <w:rPr>
          <w:lang w:val="en-GB"/>
        </w:rPr>
        <w:t xml:space="preserve">, </w:t>
      </w:r>
      <w:r w:rsidRPr="035DD17A" w:rsidR="00A92537">
        <w:rPr>
          <w:lang w:val="en-GB"/>
        </w:rPr>
        <w:t xml:space="preserve">respectively. In 2050, the BAU scenario reduces these numbers by 8%, 10% and 46%, respectively, but the </w:t>
      </w:r>
      <w:r w:rsidRPr="035DD17A" w:rsidR="002864E4">
        <w:rPr>
          <w:lang w:val="en-GB"/>
        </w:rPr>
        <w:t>FUPS</w:t>
      </w:r>
      <w:r w:rsidRPr="035DD17A" w:rsidR="00A92537">
        <w:rPr>
          <w:lang w:val="en-GB"/>
        </w:rPr>
        <w:t xml:space="preserve"> scenario results in larger reductions: 23% for PM2.5, 17% for PM10, and 84% for NO</w:t>
      </w:r>
      <w:r w:rsidRPr="035DD17A" w:rsidR="00A92537">
        <w:rPr>
          <w:vertAlign w:val="subscript"/>
          <w:lang w:val="en-GB"/>
        </w:rPr>
        <w:t>2</w:t>
      </w:r>
      <w:r w:rsidRPr="035DD17A" w:rsidR="00A92537">
        <w:rPr>
          <w:lang w:val="en-GB"/>
        </w:rPr>
        <w:t xml:space="preserve">. The </w:t>
      </w:r>
      <w:r w:rsidRPr="035DD17A" w:rsidR="002864E4">
        <w:rPr>
          <w:lang w:val="en-GB"/>
        </w:rPr>
        <w:t>FUPS</w:t>
      </w:r>
      <w:r w:rsidRPr="035DD17A" w:rsidR="00A92537">
        <w:rPr>
          <w:lang w:val="en-GB"/>
        </w:rPr>
        <w:t xml:space="preserve"> scenario is therefore effective in reducing </w:t>
      </w:r>
      <w:r w:rsidRPr="035DD17A" w:rsidR="0018728F">
        <w:rPr>
          <w:lang w:val="en-GB"/>
        </w:rPr>
        <w:t xml:space="preserve">the </w:t>
      </w:r>
      <w:r w:rsidRPr="035DD17A" w:rsidR="00A92537">
        <w:rPr>
          <w:lang w:val="en-GB"/>
        </w:rPr>
        <w:t>long-term health effects of NO</w:t>
      </w:r>
      <w:r w:rsidRPr="035DD17A" w:rsidR="00A92537">
        <w:rPr>
          <w:vertAlign w:val="subscript"/>
          <w:lang w:val="en-GB"/>
        </w:rPr>
        <w:t>2</w:t>
      </w:r>
      <w:r w:rsidRPr="035DD17A" w:rsidR="00A92537">
        <w:rPr>
          <w:lang w:val="en-GB"/>
        </w:rPr>
        <w:t xml:space="preserve"> as well as PM concentrations. The health benefit from the emissions reduction is in line with the concentration levels reduction predicted for Amsterdam. However, the reduction </w:t>
      </w:r>
      <w:r w:rsidRPr="035DD17A" w:rsidR="0018728F">
        <w:rPr>
          <w:lang w:val="en-GB"/>
        </w:rPr>
        <w:t>i</w:t>
      </w:r>
      <w:r w:rsidRPr="035DD17A" w:rsidR="00A92537">
        <w:rPr>
          <w:lang w:val="en-GB"/>
        </w:rPr>
        <w:t xml:space="preserve">n the number </w:t>
      </w:r>
      <w:r w:rsidRPr="035DD17A" w:rsidR="0018728F">
        <w:rPr>
          <w:lang w:val="en-GB"/>
        </w:rPr>
        <w:t xml:space="preserve">of </w:t>
      </w:r>
      <w:r w:rsidRPr="035DD17A" w:rsidR="00A92537">
        <w:rPr>
          <w:lang w:val="en-GB"/>
        </w:rPr>
        <w:t xml:space="preserve">premature deaths and the numbers of years of life lost is far more than </w:t>
      </w:r>
      <w:r w:rsidRPr="035DD17A" w:rsidR="0018728F">
        <w:rPr>
          <w:lang w:val="en-GB"/>
        </w:rPr>
        <w:t xml:space="preserve">the </w:t>
      </w:r>
      <w:r w:rsidRPr="035DD17A" w:rsidR="00A92537">
        <w:rPr>
          <w:lang w:val="en-GB"/>
        </w:rPr>
        <w:t>average concentration levels reduction. This is explained by the emission reduction measures targeting the more densely populated areas, thus benefiting the population health.</w:t>
      </w:r>
    </w:p>
    <w:p w:rsidRPr="002A63DA" w:rsidR="00384096" w:rsidP="00384096" w:rsidRDefault="00A92537" w14:paraId="0B072D0D" w14:textId="77777777">
      <w:pPr>
        <w:rPr>
          <w:lang w:val="en-GB"/>
        </w:rPr>
      </w:pPr>
      <w:r w:rsidRPr="035DD17A" w:rsidR="00A92537">
        <w:rPr>
          <w:lang w:val="en-GB"/>
        </w:rPr>
        <w:t xml:space="preserve">For Ljubljana, the health improvements </w:t>
      </w:r>
      <w:r w:rsidRPr="035DD17A" w:rsidR="008D1F8E">
        <w:rPr>
          <w:lang w:val="en-GB"/>
        </w:rPr>
        <w:t>derived from</w:t>
      </w:r>
      <w:r w:rsidRPr="035DD17A" w:rsidR="00A92537">
        <w:rPr>
          <w:lang w:val="en-GB"/>
        </w:rPr>
        <w:t xml:space="preserve"> PM10 and PM2.5 </w:t>
      </w:r>
      <w:r w:rsidRPr="035DD17A" w:rsidR="008D1F8E">
        <w:rPr>
          <w:lang w:val="en-GB"/>
        </w:rPr>
        <w:t xml:space="preserve">concentration reductions </w:t>
      </w:r>
      <w:r w:rsidRPr="035DD17A" w:rsidR="00A92537">
        <w:rPr>
          <w:lang w:val="en-GB"/>
        </w:rPr>
        <w:t xml:space="preserve">are the same for both scenarios, </w:t>
      </w:r>
      <w:r w:rsidRPr="035DD17A" w:rsidR="007B33C4">
        <w:rPr>
          <w:lang w:val="en-GB"/>
        </w:rPr>
        <w:t xml:space="preserve">showing </w:t>
      </w:r>
      <w:r w:rsidRPr="035DD17A" w:rsidR="00A92537">
        <w:rPr>
          <w:lang w:val="en-GB"/>
        </w:rPr>
        <w:t xml:space="preserve">only </w:t>
      </w:r>
      <w:r w:rsidRPr="035DD17A" w:rsidR="007B33C4">
        <w:rPr>
          <w:lang w:val="en-GB"/>
        </w:rPr>
        <w:t xml:space="preserve">a </w:t>
      </w:r>
      <w:r w:rsidRPr="035DD17A" w:rsidR="00A92537">
        <w:rPr>
          <w:lang w:val="en-GB"/>
        </w:rPr>
        <w:t>slight difference for NO</w:t>
      </w:r>
      <w:r w:rsidRPr="035DD17A" w:rsidR="00A92537">
        <w:rPr>
          <w:vertAlign w:val="subscript"/>
          <w:lang w:val="en-GB"/>
        </w:rPr>
        <w:t>2</w:t>
      </w:r>
      <w:r w:rsidRPr="035DD17A" w:rsidR="00A92537">
        <w:rPr>
          <w:lang w:val="en-GB"/>
        </w:rPr>
        <w:t>.</w:t>
      </w:r>
      <w:r w:rsidRPr="035DD17A" w:rsidR="0018728F">
        <w:rPr>
          <w:lang w:val="en-GB"/>
        </w:rPr>
        <w:t xml:space="preserve"> </w:t>
      </w:r>
      <w:r w:rsidRPr="035DD17A" w:rsidR="00A92537">
        <w:rPr>
          <w:lang w:val="en-GB"/>
        </w:rPr>
        <w:t xml:space="preserve">The health benefit from implementing the control measures behind the future emission scenarios is considerable. </w:t>
      </w:r>
      <w:r w:rsidRPr="035DD17A" w:rsidR="00151C97">
        <w:rPr>
          <w:lang w:val="en-GB"/>
        </w:rPr>
        <w:t>For the baseline year</w:t>
      </w:r>
      <w:r w:rsidRPr="035DD17A" w:rsidR="00A92537">
        <w:rPr>
          <w:lang w:val="en-GB"/>
        </w:rPr>
        <w:t>, the number of premature deaths as a result of PM2.5, PM10 and NO</w:t>
      </w:r>
      <w:r w:rsidRPr="035DD17A" w:rsidR="00A92537">
        <w:rPr>
          <w:vertAlign w:val="subscript"/>
          <w:lang w:val="en-GB"/>
        </w:rPr>
        <w:t xml:space="preserve">2 </w:t>
      </w:r>
      <w:r w:rsidRPr="035DD17A" w:rsidR="00A92537">
        <w:rPr>
          <w:lang w:val="en-GB"/>
        </w:rPr>
        <w:t xml:space="preserve">is 169, 185 and 219, respectively. The scenarios, in 2050, respectively, reduce these numbers by </w:t>
      </w:r>
      <w:r w:rsidRPr="035DD17A" w:rsidR="000934BC">
        <w:rPr>
          <w:lang w:val="en-GB"/>
        </w:rPr>
        <w:t xml:space="preserve">3%, 5% and 67% (64% for the FUPS). </w:t>
      </w:r>
      <w:r w:rsidRPr="035DD17A" w:rsidR="00A92537">
        <w:rPr>
          <w:lang w:val="en-GB"/>
        </w:rPr>
        <w:t>The health benefit from the reduction o</w:t>
      </w:r>
      <w:r w:rsidRPr="035DD17A" w:rsidR="0018728F">
        <w:rPr>
          <w:lang w:val="en-GB"/>
        </w:rPr>
        <w:t>f</w:t>
      </w:r>
      <w:r w:rsidRPr="035DD17A" w:rsidR="00A92537">
        <w:rPr>
          <w:lang w:val="en-GB"/>
        </w:rPr>
        <w:t xml:space="preserve"> emissions is in line with the reduction of concentration levels predicted for Ljubljana. </w:t>
      </w:r>
    </w:p>
    <w:p w:rsidRPr="002A63DA" w:rsidR="00384096" w:rsidP="00384096" w:rsidRDefault="00A92537" w14:paraId="2D57F42F" w14:textId="77777777">
      <w:pPr>
        <w:rPr>
          <w:lang w:val="en-GB"/>
        </w:rPr>
      </w:pPr>
      <w:r w:rsidRPr="035DD17A" w:rsidR="00A92537">
        <w:rPr>
          <w:lang w:val="en-GB"/>
        </w:rPr>
        <w:t>For Sosnowiec, the FUPS scenarios significantly improve human health compared to the current situation, however</w:t>
      </w:r>
      <w:r w:rsidRPr="035DD17A" w:rsidR="0018728F">
        <w:rPr>
          <w:lang w:val="en-GB"/>
        </w:rPr>
        <w:t>,</w:t>
      </w:r>
      <w:r w:rsidRPr="035DD17A" w:rsidR="00A92537">
        <w:rPr>
          <w:lang w:val="en-GB"/>
        </w:rPr>
        <w:t xml:space="preserve"> offers only a moderate improvement over the BAU. The health benefits from implementing the control measures behind the future emission scenarios (BAU and </w:t>
      </w:r>
      <w:r w:rsidRPr="035DD17A" w:rsidR="002864E4">
        <w:rPr>
          <w:lang w:val="en-GB"/>
        </w:rPr>
        <w:t>FUPS</w:t>
      </w:r>
      <w:r w:rsidRPr="035DD17A" w:rsidR="00A92537">
        <w:rPr>
          <w:lang w:val="en-GB"/>
        </w:rPr>
        <w:t>) are considerable for NO</w:t>
      </w:r>
      <w:r w:rsidRPr="035DD17A" w:rsidR="00A92537">
        <w:rPr>
          <w:vertAlign w:val="subscript"/>
          <w:lang w:val="en-GB"/>
        </w:rPr>
        <w:t>2</w:t>
      </w:r>
      <w:r w:rsidRPr="035DD17A" w:rsidR="00A92537">
        <w:rPr>
          <w:lang w:val="en-GB"/>
        </w:rPr>
        <w:t xml:space="preserve"> but not as significant for neither PM10 nor PM2.5. </w:t>
      </w:r>
      <w:r w:rsidRPr="035DD17A" w:rsidR="00284829">
        <w:rPr>
          <w:lang w:val="en-GB"/>
        </w:rPr>
        <w:t>For the baseline year</w:t>
      </w:r>
      <w:r w:rsidRPr="035DD17A" w:rsidR="00A92537">
        <w:rPr>
          <w:lang w:val="en-GB"/>
        </w:rPr>
        <w:t>, the number of premature deaths as a result of PM2.5, PM10 and NO</w:t>
      </w:r>
      <w:r w:rsidRPr="035DD17A" w:rsidR="00A92537">
        <w:rPr>
          <w:vertAlign w:val="subscript"/>
          <w:lang w:val="en-GB"/>
        </w:rPr>
        <w:t>2</w:t>
      </w:r>
      <w:r w:rsidRPr="035DD17A" w:rsidR="00A92537">
        <w:rPr>
          <w:lang w:val="en-GB"/>
        </w:rPr>
        <w:t xml:space="preserve"> is 879, 664 and 1 194, respectively. The BAU scenario reduces these numbers by 18% (19% for the FUPS), 21% and 40% (41% for the FUPS) by 2050 respectively.</w:t>
      </w:r>
    </w:p>
    <w:p w:rsidRPr="002A63DA" w:rsidR="00384096" w:rsidP="00384096" w:rsidRDefault="00A92537" w14:paraId="223F8C36" w14:textId="77777777">
      <w:pPr>
        <w:rPr>
          <w:lang w:val="en-GB"/>
        </w:rPr>
      </w:pPr>
      <w:r w:rsidRPr="035DD17A" w:rsidR="00A92537">
        <w:rPr>
          <w:lang w:val="en-GB"/>
        </w:rPr>
        <w:t xml:space="preserve">For the Aveiro Region, both </w:t>
      </w:r>
      <w:r w:rsidRPr="035DD17A" w:rsidR="002864E4">
        <w:rPr>
          <w:lang w:val="en-GB"/>
        </w:rPr>
        <w:t>FUPS</w:t>
      </w:r>
      <w:r w:rsidRPr="035DD17A" w:rsidR="00A92537">
        <w:rPr>
          <w:lang w:val="en-GB"/>
        </w:rPr>
        <w:t xml:space="preserve"> and BAU scenarios lead to moderate improvements in human health when considering exposure to PM concentrations, but substantially improves human health when considering exposure to NO</w:t>
      </w:r>
      <w:r w:rsidRPr="035DD17A" w:rsidR="00A92537">
        <w:rPr>
          <w:vertAlign w:val="subscript"/>
          <w:lang w:val="en-GB"/>
        </w:rPr>
        <w:t>2</w:t>
      </w:r>
      <w:r w:rsidRPr="035DD17A" w:rsidR="00A92537">
        <w:rPr>
          <w:lang w:val="en-GB"/>
        </w:rPr>
        <w:t xml:space="preserve"> concentrations. </w:t>
      </w:r>
      <w:r w:rsidRPr="035DD17A" w:rsidR="00284829">
        <w:rPr>
          <w:lang w:val="en-GB"/>
        </w:rPr>
        <w:t>For the baseline year</w:t>
      </w:r>
      <w:r w:rsidRPr="035DD17A" w:rsidR="00A92537">
        <w:rPr>
          <w:lang w:val="en-GB"/>
        </w:rPr>
        <w:t>, the number of premature deaths as a result of PM2.5, PM10 and NO</w:t>
      </w:r>
      <w:r w:rsidRPr="035DD17A" w:rsidR="00A92537">
        <w:rPr>
          <w:vertAlign w:val="subscript"/>
          <w:lang w:val="en-GB"/>
        </w:rPr>
        <w:t>2</w:t>
      </w:r>
      <w:r w:rsidRPr="035DD17A" w:rsidR="00A92537">
        <w:rPr>
          <w:lang w:val="en-GB"/>
        </w:rPr>
        <w:t xml:space="preserve"> is 194, 154, and 63, respectively. The health benefit from implementing the control measures behind the future emission scenarios (BAU and </w:t>
      </w:r>
      <w:r w:rsidRPr="035DD17A" w:rsidR="002864E4">
        <w:rPr>
          <w:lang w:val="en-GB"/>
        </w:rPr>
        <w:t>FUPS</w:t>
      </w:r>
      <w:r w:rsidRPr="035DD17A" w:rsidR="00A92537">
        <w:rPr>
          <w:lang w:val="en-GB"/>
        </w:rPr>
        <w:t>) is considerable for NO</w:t>
      </w:r>
      <w:r w:rsidRPr="035DD17A" w:rsidR="00A92537">
        <w:rPr>
          <w:vertAlign w:val="subscript"/>
          <w:lang w:val="en-GB"/>
        </w:rPr>
        <w:t>2</w:t>
      </w:r>
      <w:r w:rsidRPr="035DD17A" w:rsidR="00A92537">
        <w:rPr>
          <w:lang w:val="en-GB"/>
        </w:rPr>
        <w:t xml:space="preserve"> but moderate for particulate matter. I</w:t>
      </w:r>
      <w:r w:rsidRPr="035DD17A" w:rsidR="00CE2527">
        <w:rPr>
          <w:lang w:val="en-GB"/>
        </w:rPr>
        <w:t>n</w:t>
      </w:r>
      <w:r w:rsidRPr="035DD17A" w:rsidR="00A92537">
        <w:rPr>
          <w:lang w:val="en-GB"/>
        </w:rPr>
        <w:t xml:space="preserve"> 2050, the BAU scenario will reduce premature deaths as </w:t>
      </w:r>
      <w:r w:rsidRPr="035DD17A" w:rsidR="0018728F">
        <w:rPr>
          <w:lang w:val="en-GB"/>
        </w:rPr>
        <w:t xml:space="preserve">a </w:t>
      </w:r>
      <w:r w:rsidRPr="035DD17A" w:rsidR="00A92537">
        <w:rPr>
          <w:lang w:val="en-GB"/>
        </w:rPr>
        <w:t>result of PM2.5, PM10 and NO</w:t>
      </w:r>
      <w:r w:rsidRPr="035DD17A" w:rsidR="00A92537">
        <w:rPr>
          <w:vertAlign w:val="subscript"/>
          <w:lang w:val="en-GB"/>
        </w:rPr>
        <w:t>2</w:t>
      </w:r>
      <w:r w:rsidRPr="035DD17A" w:rsidR="00A92537">
        <w:rPr>
          <w:lang w:val="en-GB"/>
        </w:rPr>
        <w:t xml:space="preserve"> by 2% (3% for the FUPS), 5% (7% for the FUPS) and 100% in 2050 respectively, when compared to the baseline. </w:t>
      </w:r>
    </w:p>
    <w:p w:rsidRPr="002A63DA" w:rsidR="00CA0A47" w:rsidP="00325510" w:rsidRDefault="00A92537" w14:paraId="7AF2C4FC" w14:textId="77777777">
      <w:pPr>
        <w:rPr>
          <w:lang w:val="en-GB"/>
        </w:rPr>
      </w:pPr>
      <w:r w:rsidRPr="035DD17A" w:rsidR="00A92537">
        <w:rPr>
          <w:lang w:val="en-GB"/>
        </w:rPr>
        <w:t xml:space="preserve">For </w:t>
      </w:r>
      <w:r w:rsidRPr="035DD17A" w:rsidR="00A23AA7">
        <w:rPr>
          <w:lang w:val="en-GB"/>
        </w:rPr>
        <w:t xml:space="preserve">the </w:t>
      </w:r>
      <w:r w:rsidRPr="035DD17A" w:rsidR="00A92537">
        <w:rPr>
          <w:lang w:val="en-GB"/>
        </w:rPr>
        <w:t>Liguria</w:t>
      </w:r>
      <w:r w:rsidRPr="035DD17A" w:rsidR="00A23AA7">
        <w:rPr>
          <w:lang w:val="en-GB"/>
        </w:rPr>
        <w:t xml:space="preserve"> Region</w:t>
      </w:r>
      <w:r w:rsidRPr="035DD17A" w:rsidR="00A92537">
        <w:rPr>
          <w:lang w:val="en-GB"/>
        </w:rPr>
        <w:t xml:space="preserve">, the positive impact on human health prompted by the </w:t>
      </w:r>
      <w:r w:rsidRPr="035DD17A" w:rsidR="002864E4">
        <w:rPr>
          <w:lang w:val="en-GB"/>
        </w:rPr>
        <w:t>FUPS</w:t>
      </w:r>
      <w:r w:rsidRPr="035DD17A" w:rsidR="00A92537">
        <w:rPr>
          <w:lang w:val="en-GB"/>
        </w:rPr>
        <w:t xml:space="preserve"> and the BAU scenario </w:t>
      </w:r>
      <w:r w:rsidRPr="035DD17A" w:rsidR="0018728F">
        <w:rPr>
          <w:lang w:val="en-GB"/>
        </w:rPr>
        <w:t>is</w:t>
      </w:r>
      <w:r w:rsidRPr="035DD17A" w:rsidR="00A92537">
        <w:rPr>
          <w:lang w:val="en-GB"/>
        </w:rPr>
        <w:t xml:space="preserve"> virtually the same. The health benefit from implementing the control measures behind the future emission scenarios (BAU and FUPS) is considerable for NO</w:t>
      </w:r>
      <w:r w:rsidRPr="035DD17A" w:rsidR="00A92537">
        <w:rPr>
          <w:vertAlign w:val="subscript"/>
          <w:lang w:val="en-GB"/>
        </w:rPr>
        <w:t>2</w:t>
      </w:r>
      <w:r w:rsidRPr="035DD17A" w:rsidR="00A92537">
        <w:rPr>
          <w:lang w:val="en-GB"/>
        </w:rPr>
        <w:t xml:space="preserve"> but not as significant for neither PM10 nor PM2.5. </w:t>
      </w:r>
      <w:r w:rsidRPr="035DD17A" w:rsidR="00284829">
        <w:rPr>
          <w:lang w:val="en-GB"/>
        </w:rPr>
        <w:t>For the baseline year</w:t>
      </w:r>
      <w:r w:rsidRPr="035DD17A" w:rsidR="00A92537">
        <w:rPr>
          <w:lang w:val="en-GB"/>
        </w:rPr>
        <w:t>, the number of premature deaths as a result of PM2.5, PM10 and NO</w:t>
      </w:r>
      <w:r w:rsidRPr="035DD17A" w:rsidR="00A92537">
        <w:rPr>
          <w:vertAlign w:val="subscript"/>
          <w:lang w:val="en-GB"/>
        </w:rPr>
        <w:t>2</w:t>
      </w:r>
      <w:r w:rsidRPr="035DD17A" w:rsidR="00A92537">
        <w:rPr>
          <w:lang w:val="en-GB"/>
        </w:rPr>
        <w:t xml:space="preserve"> were 590, 506, and 418, respectively. By 2050, the BAU scenario will reduce these premature deaths by </w:t>
      </w:r>
      <w:r w:rsidRPr="035DD17A" w:rsidR="007B33C4">
        <w:rPr>
          <w:lang w:val="en-GB"/>
        </w:rPr>
        <w:t>6</w:t>
      </w:r>
      <w:r w:rsidRPr="035DD17A" w:rsidR="00A92537">
        <w:rPr>
          <w:lang w:val="en-GB"/>
        </w:rPr>
        <w:t xml:space="preserve">%, 10% (11% for the FUPS), and </w:t>
      </w:r>
      <w:r w:rsidRPr="035DD17A" w:rsidR="007B33C4">
        <w:rPr>
          <w:lang w:val="en-GB"/>
        </w:rPr>
        <w:t>79</w:t>
      </w:r>
      <w:r w:rsidRPr="035DD17A" w:rsidR="00A92537">
        <w:rPr>
          <w:lang w:val="en-GB"/>
        </w:rPr>
        <w:t xml:space="preserve">%, respectively. The health benefits from the emissions reduction in terms of the number of premature deaths and the number of years of life lost </w:t>
      </w:r>
      <w:r w:rsidRPr="035DD17A" w:rsidR="0018728F">
        <w:rPr>
          <w:lang w:val="en-GB"/>
        </w:rPr>
        <w:t>are</w:t>
      </w:r>
      <w:r w:rsidRPr="035DD17A" w:rsidR="00A92537">
        <w:rPr>
          <w:lang w:val="en-GB"/>
        </w:rPr>
        <w:t xml:space="preserve"> lower than average concentration levels reduction. </w:t>
      </w:r>
    </w:p>
    <w:p w:rsidRPr="002A63DA" w:rsidR="002602EF" w:rsidP="002602EF" w:rsidRDefault="00A92537" w14:paraId="4E7C01CA" w14:textId="77777777">
      <w:pPr>
        <w:pStyle w:val="Heading3"/>
        <w:rPr>
          <w:color w:val="000000" w:themeColor="text1"/>
          <w:lang w:val="en-GB"/>
        </w:rPr>
      </w:pPr>
      <w:r w:rsidRPr="035DD17A" w:rsidR="00A92537">
        <w:rPr>
          <w:color w:val="000000" w:themeColor="text1" w:themeTint="FF" w:themeShade="FF"/>
          <w:lang w:val="en-GB"/>
        </w:rPr>
        <w:t xml:space="preserve">3.5 </w:t>
      </w:r>
      <w:bookmarkStart w:name="_Hlk77759557" w:id="20"/>
      <w:r w:rsidRPr="035DD17A" w:rsidR="00A92537">
        <w:rPr>
          <w:color w:val="000000" w:themeColor="text1" w:themeTint="FF" w:themeShade="FF"/>
          <w:lang w:val="en-GB"/>
        </w:rPr>
        <w:t xml:space="preserve">Lessons </w:t>
      </w:r>
      <w:r w:rsidRPr="035DD17A" w:rsidR="00461DB2">
        <w:rPr>
          <w:color w:val="000000" w:themeColor="text1" w:themeTint="FF" w:themeShade="FF"/>
          <w:lang w:val="en-GB"/>
        </w:rPr>
        <w:t xml:space="preserve">learned and recommendations </w:t>
      </w:r>
      <w:bookmarkEnd w:id="20"/>
    </w:p>
    <w:p w:rsidRPr="002A63DA" w:rsidR="000203BC" w:rsidP="002B2E9D" w:rsidRDefault="00A92537" w14:paraId="065D812C" w14:textId="77777777">
      <w:pPr>
        <w:spacing w:line="259" w:lineRule="auto"/>
        <w:rPr>
          <w:lang w:val="en-GB"/>
        </w:rPr>
      </w:pPr>
      <w:r w:rsidRPr="035DD17A" w:rsidR="00A92537">
        <w:rPr>
          <w:lang w:val="en-GB"/>
        </w:rPr>
        <w:t>For future application of the</w:t>
      </w:r>
      <w:r w:rsidRPr="035DD17A" w:rsidR="2DA15230">
        <w:rPr>
          <w:lang w:val="en-GB"/>
        </w:rPr>
        <w:t xml:space="preserve"> proposed</w:t>
      </w:r>
      <w:r w:rsidRPr="035DD17A" w:rsidR="00A92537">
        <w:rPr>
          <w:lang w:val="en-GB"/>
        </w:rPr>
        <w:t xml:space="preserve"> methodology, it is necessary to consider the existence of limitations and a set of recommendations are advised.</w:t>
      </w:r>
    </w:p>
    <w:p w:rsidRPr="002A63DA" w:rsidR="000203BC" w:rsidP="000203BC" w:rsidRDefault="00A92537" w14:paraId="4C311FD8" w14:textId="0F7EBBD6">
      <w:pPr>
        <w:rPr>
          <w:lang w:val="en-GB"/>
        </w:rPr>
      </w:pPr>
      <w:r w:rsidRPr="035DD17A" w:rsidR="00A92537">
        <w:rPr>
          <w:lang w:val="en-GB"/>
        </w:rPr>
        <w:t xml:space="preserve">When looking </w:t>
      </w:r>
      <w:r w:rsidRPr="035DD17A" w:rsidR="006A7680">
        <w:rPr>
          <w:lang w:val="en-GB"/>
        </w:rPr>
        <w:t>at</w:t>
      </w:r>
      <w:r w:rsidRPr="035DD17A" w:rsidR="00A92537">
        <w:rPr>
          <w:lang w:val="en-GB"/>
        </w:rPr>
        <w:t xml:space="preserve"> the social aspect, public engagement is a critical step for the success of the results but also a big source of uncertainty. To fully realise the goal of citizen-led air pollution reduction in cities, researchers and policymakers need to work hard to ensure </w:t>
      </w:r>
      <w:r w:rsidRPr="035DD17A" w:rsidR="73C764D9">
        <w:rPr>
          <w:lang w:val="en-GB"/>
        </w:rPr>
        <w:t xml:space="preserve">that the </w:t>
      </w:r>
      <w:r w:rsidRPr="035DD17A" w:rsidR="00A92537">
        <w:rPr>
          <w:lang w:val="en-GB"/>
        </w:rPr>
        <w:t>engagement is reflective of city demographics</w:t>
      </w:r>
      <w:r w:rsidRPr="035DD17A" w:rsidR="00F729BF">
        <w:rPr>
          <w:lang w:val="en-GB"/>
        </w:rPr>
        <w:t xml:space="preserve"> by including different age and socioeconomic groups</w:t>
      </w:r>
      <w:r w:rsidRPr="035DD17A" w:rsidR="00A92537">
        <w:rPr>
          <w:lang w:val="en-GB"/>
        </w:rPr>
        <w:t xml:space="preserve">. </w:t>
      </w:r>
      <w:r w:rsidRPr="035DD17A" w:rsidR="00805BC5">
        <w:rPr>
          <w:lang w:val="en-GB"/>
        </w:rPr>
        <w:t>E</w:t>
      </w:r>
      <w:r w:rsidRPr="035DD17A" w:rsidR="00A92537">
        <w:rPr>
          <w:lang w:val="en-GB"/>
        </w:rPr>
        <w:t>ngagement activities should be designed accordingly to the target audience, since the more enjoyable the engagement activities are, the more people gain understanding about the issues and show more willingness to change and improve their behaviour.</w:t>
      </w:r>
    </w:p>
    <w:p w:rsidRPr="002A63DA" w:rsidR="001B4601" w:rsidP="00276219" w:rsidRDefault="00A92537" w14:paraId="139F776A" w14:textId="7461AFB3">
      <w:r w:rsidR="00A92537">
        <w:rPr/>
        <w:t xml:space="preserve">During the engagement process, it was evident that citizens </w:t>
      </w:r>
      <w:r w:rsidR="00125EBA">
        <w:rPr/>
        <w:t>wer</w:t>
      </w:r>
      <w:r w:rsidR="00A92537">
        <w:rPr/>
        <w:t xml:space="preserve">e not always keen on policies that require investment or a significant change of </w:t>
      </w:r>
      <w:r w:rsidRPr="035DD17A" w:rsidR="00A92537">
        <w:rPr>
          <w:lang w:val="en-GB"/>
        </w:rPr>
        <w:t>behaviour</w:t>
      </w:r>
      <w:r w:rsidR="00A92537">
        <w:rPr/>
        <w:t xml:space="preserve">, while for policymakers, the main barriers were the investment costs and the implementation deadlines. Therefore, it is important to set </w:t>
      </w:r>
      <w:r w:rsidR="006E614B">
        <w:rPr/>
        <w:t>a guidance</w:t>
      </w:r>
      <w:r w:rsidR="00A92537">
        <w:rPr/>
        <w:t xml:space="preserve"> in the discussion to find common ground between both parties</w:t>
      </w:r>
      <w:r w:rsidR="006E614B">
        <w:rPr/>
        <w:t>, allowing to filter out unreasonable policies</w:t>
      </w:r>
      <w:r w:rsidR="00A92537">
        <w:rPr/>
        <w:t xml:space="preserve">. However, in the case of very high environmental ambitions, such as in Amsterdam, it was also found </w:t>
      </w:r>
      <w:r w:rsidR="003E7342">
        <w:rPr/>
        <w:t xml:space="preserve">that </w:t>
      </w:r>
      <w:r w:rsidR="00A92537">
        <w:rPr/>
        <w:t xml:space="preserve">there might still be a substantial gap between what policymakers </w:t>
      </w:r>
      <w:r w:rsidR="00DD541E">
        <w:rPr/>
        <w:t xml:space="preserve">wish </w:t>
      </w:r>
      <w:r w:rsidR="00A92537">
        <w:rPr/>
        <w:t xml:space="preserve">and the </w:t>
      </w:r>
      <w:r w:rsidR="004D64A6">
        <w:rPr/>
        <w:t>specific</w:t>
      </w:r>
      <w:r w:rsidR="00A92537">
        <w:rPr/>
        <w:t xml:space="preserve"> contribution that citizens are willing to make by changing </w:t>
      </w:r>
      <w:r w:rsidRPr="035DD17A" w:rsidR="00A92537">
        <w:rPr>
          <w:lang w:val="en-GB"/>
        </w:rPr>
        <w:t>behaviour</w:t>
      </w:r>
      <w:r w:rsidR="00A92537">
        <w:rPr/>
        <w:t>.</w:t>
      </w:r>
    </w:p>
    <w:p w:rsidR="46692385" w:rsidP="6EC3257D" w:rsidRDefault="00A92537" w14:paraId="0F578F4C" w14:textId="40E9AFC3">
      <w:r w:rsidR="00A92537">
        <w:rPr/>
        <w:t xml:space="preserve">For future replications of this </w:t>
      </w:r>
      <w:r w:rsidR="00F729BF">
        <w:rPr/>
        <w:t>methodology,</w:t>
      </w:r>
      <w:r w:rsidR="00A92537">
        <w:rPr/>
        <w:t xml:space="preserve"> it is important at first to examine what are citizens’ most desired policies to be applied in the future, setting different ambition levels for each measure, </w:t>
      </w:r>
      <w:r w:rsidR="002A215A">
        <w:rPr/>
        <w:t xml:space="preserve">and </w:t>
      </w:r>
      <w:r w:rsidRPr="035DD17A" w:rsidR="002A215A">
        <w:rPr>
          <w:lang w:val="en-GB"/>
        </w:rPr>
        <w:t>a</w:t>
      </w:r>
      <w:r w:rsidRPr="035DD17A" w:rsidR="00A92537">
        <w:rPr>
          <w:lang w:val="en-GB"/>
        </w:rPr>
        <w:t>nalyse</w:t>
      </w:r>
      <w:r w:rsidR="00A92537">
        <w:rPr/>
        <w:t xml:space="preserve"> </w:t>
      </w:r>
      <w:r w:rsidR="31FD8161">
        <w:rPr/>
        <w:t>into</w:t>
      </w:r>
      <w:r w:rsidR="00A92537">
        <w:rPr/>
        <w:t xml:space="preserve"> what extent these coincide with existing policies. Second, presenting the citizen scenarios to policymakers with different ambition levels so policymakers can discuss implementation barriers and enabling factors and then choose the more feasible ones. At last, it is important to i</w:t>
      </w:r>
      <w:r w:rsidR="001923F1">
        <w:rPr/>
        <w:t>dentify policy options that do seem to have relatively little popular support or that are subject to public debate. Consider if the implementation of such options should be pursued and, if so, what should be done to increase support for them</w:t>
      </w:r>
      <w:r w:rsidR="001A1BF8">
        <w:rPr/>
        <w:t xml:space="preserve"> </w:t>
      </w:r>
      <w:r w:rsidRPr="035DD17A">
        <w:rPr>
          <w:color w:val="auto"/>
        </w:rPr>
        <w:fldChar w:fldCharType="begin" w:fldLock="true"/>
      </w:r>
      <w:r w:rsidRPr="035DD17A">
        <w:rPr>
          <w:color w:val="auto"/>
        </w:rPr>
        <w:instrText xml:space="preserve">ADDIN CSL_CITATION {"citationItems":[{"id":"ITEM-1","itemData":{"DOI":"10.5281/ZENODO.3972951","author":[{"dropping-particle":"","family":"Slingerland","given":"Stephan","non-dropping-particle":"","parse-names":false,"suffix":""},{"dropping-particle":"","family":"Artola","given":"Irati","non-dropping-particle":"","parse-names":false,"suffix":""}],"id":"ITEM-1","issued":{"date-parts":[["2020","6","24"]]},"title":"D7.6 Final Cross–City Policy Analysis Report","type":"article-journal"},"uris":["http://www.mendeley.com/documents/?uuid=9032d3dd-6f85-3e8f-b370-cad2cb580dc9"]}],"mendeley":{"formattedCitation":"(Slingerland and Artola, 2020)","plainTextFormattedCitation":"(Slingerland and Artola, 2020)"},"properties":{"noteIndex":0},"schema":"https://github.com/citation-style-language/schema/raw/master/csl-citation.json"}</w:instrText>
      </w:r>
      <w:r w:rsidRPr="035DD17A">
        <w:rPr>
          <w:color w:val="auto"/>
        </w:rPr>
        <w:fldChar w:fldCharType="separate"/>
      </w:r>
      <w:r w:rsidRPr="035DD17A" w:rsidR="001A1BF8">
        <w:rPr>
          <w:noProof/>
          <w:color w:val="auto"/>
        </w:rPr>
        <w:t>(Slingerland and Artola, 2020)</w:t>
      </w:r>
      <w:r w:rsidRPr="035DD17A">
        <w:rPr>
          <w:color w:val="auto"/>
        </w:rPr>
        <w:fldChar w:fldCharType="end"/>
      </w:r>
      <w:r w:rsidR="438BF6C5">
        <w:rPr/>
        <w:t>.</w:t>
      </w:r>
      <w:r w:rsidR="367E93E6">
        <w:rPr/>
        <w:t xml:space="preserve"> </w:t>
      </w:r>
    </w:p>
    <w:p w:rsidR="367E93E6" w:rsidP="3F2EEFBD" w:rsidRDefault="367E93E6" w14:paraId="1501C7E4" w14:textId="67FE34F8">
      <w:r w:rsidR="276F3043">
        <w:rPr/>
        <w:t xml:space="preserve">The co-creation of the scenarios should always follow an iterative process by returning the quantification results back to those involved, to calibrate the vision of citizens, stakeholders, and policymakers, as opposed to a unilateral process of involvement. </w:t>
      </w:r>
      <w:r w:rsidR="276F3043">
        <w:rPr/>
        <w:t>In the framework of this work, a debate was held between citizens and stakeholders (the Stakeholder Dialogue Workshop) during the scenarios building process, to discuss the results of the Delphi</w:t>
      </w:r>
      <w:r w:rsidR="276F3043">
        <w:rPr/>
        <w:t xml:space="preserve"> and</w:t>
      </w:r>
      <w:r w:rsidR="51CD072A">
        <w:rPr/>
        <w:t xml:space="preserve"> </w:t>
      </w:r>
      <w:r w:rsidR="276F3043">
        <w:rPr/>
        <w:t xml:space="preserve">Mutual Learning </w:t>
      </w:r>
      <w:r w:rsidR="49142F07">
        <w:rPr/>
        <w:t>Workshop evidence and</w:t>
      </w:r>
      <w:r w:rsidR="276F3043">
        <w:rPr/>
        <w:t xml:space="preserve"> co-create scenarios. The scenarios generated in the SDW </w:t>
      </w:r>
      <w:r w:rsidR="0C4489D1">
        <w:rPr/>
        <w:t>were</w:t>
      </w:r>
      <w:r w:rsidR="276F3043">
        <w:rPr/>
        <w:t xml:space="preserve"> quantified and then returned to the local citizens/stakeholders to discuss at a Policy Workshop and to agree a single Final Unified Policy Scenario. Performing an impact assessment between steps of the co-creation process, allowed to provide quantified evidence to guide the debate between the different </w:t>
      </w:r>
      <w:r w:rsidR="276F3043">
        <w:rPr/>
        <w:t>players</w:t>
      </w:r>
      <w:r w:rsidR="276F3043">
        <w:rPr/>
        <w:t>. This may also help to point out possible gaps or less effective measures</w:t>
      </w:r>
      <w:r w:rsidR="276F3043">
        <w:rPr/>
        <w:t xml:space="preserve"> to improve air quality</w:t>
      </w:r>
      <w:r w:rsidR="276F3043">
        <w:rPr/>
        <w:t xml:space="preserve">, </w:t>
      </w:r>
      <w:r w:rsidR="276F3043">
        <w:rPr/>
        <w:t>which</w:t>
      </w:r>
      <w:r w:rsidR="276F3043">
        <w:rPr/>
        <w:t xml:space="preserve"> should </w:t>
      </w:r>
      <w:r w:rsidR="276F3043">
        <w:rPr/>
        <w:t xml:space="preserve">be known to an effective </w:t>
      </w:r>
      <w:r w:rsidR="276F3043">
        <w:rPr/>
        <w:t>air quality management</w:t>
      </w:r>
      <w:r w:rsidR="276F3043">
        <w:rPr/>
        <w:t>.</w:t>
      </w:r>
    </w:p>
    <w:p w:rsidRPr="002A63DA" w:rsidR="00461DB2" w:rsidP="035DD17A" w:rsidRDefault="00A92537" w14:paraId="338EE6F7" w14:textId="66B64346">
      <w:pPr>
        <w:rPr>
          <w:lang w:val="en-GB"/>
        </w:rPr>
      </w:pPr>
      <w:r w:rsidR="00A92537">
        <w:rPr/>
        <w:t xml:space="preserve">The impact analysis of the scenarios in terms of emission, concentrations, health impacts and costs </w:t>
      </w:r>
      <w:r w:rsidR="000B16BE">
        <w:rPr/>
        <w:t>are</w:t>
      </w:r>
      <w:r w:rsidR="00A92537">
        <w:rPr/>
        <w:t xml:space="preserve"> highly relevant to quantify the importance of the measures and to support decision making. </w:t>
      </w:r>
      <w:r w:rsidR="00EA3E7B">
        <w:rPr/>
        <w:t xml:space="preserve">It is relevant to mention that the whole process, from </w:t>
      </w:r>
      <w:r w:rsidRPr="035DD17A" w:rsidR="00EA3E7B">
        <w:rPr>
          <w:lang w:val="en-GB"/>
        </w:rPr>
        <w:t>behaviour</w:t>
      </w:r>
      <w:r w:rsidR="00EA3E7B">
        <w:rPr/>
        <w:t xml:space="preserve"> quantification to the air quality</w:t>
      </w:r>
      <w:r w:rsidR="00195B81">
        <w:rPr/>
        <w:t xml:space="preserve"> and health</w:t>
      </w:r>
      <w:r w:rsidR="00EA3E7B">
        <w:rPr/>
        <w:t xml:space="preserve"> assessment presents uncertainties associated. </w:t>
      </w:r>
      <w:r w:rsidR="00DC7910">
        <w:rPr/>
        <w:t xml:space="preserve">The modelling </w:t>
      </w:r>
      <w:r w:rsidR="00143CD7">
        <w:rPr/>
        <w:t xml:space="preserve">framework, as presented before, proved to be an efficient way to support the choice of citizens and stakeholders in </w:t>
      </w:r>
      <w:r w:rsidR="00073B56">
        <w:rPr/>
        <w:t>the</w:t>
      </w:r>
      <w:r w:rsidR="00143CD7">
        <w:rPr/>
        <w:t xml:space="preserve"> participatory process</w:t>
      </w:r>
      <w:r w:rsidR="00073B56">
        <w:rPr/>
        <w:t xml:space="preserve"> of the </w:t>
      </w:r>
      <w:r w:rsidR="00073B56">
        <w:rPr/>
        <w:t>ClairCity</w:t>
      </w:r>
      <w:r w:rsidR="00073B56">
        <w:rPr/>
        <w:t xml:space="preserve"> project. </w:t>
      </w:r>
      <w:r w:rsidR="001A1495">
        <w:rPr/>
        <w:t>However</w:t>
      </w:r>
      <w:r w:rsidR="00073B56">
        <w:rPr/>
        <w:t xml:space="preserve">, several uncertainties are associated to it. </w:t>
      </w:r>
      <w:r w:rsidR="00EA3E7B">
        <w:rPr/>
        <w:t xml:space="preserve">The emission inventories usually represent one of the largest sources of uncertainty in the air quality modelling chain </w:t>
      </w:r>
      <w:r w:rsidRPr="035DD17A">
        <w:rPr>
          <w:color w:val="auto"/>
        </w:rPr>
        <w:fldChar w:fldCharType="begin" w:fldLock="true"/>
      </w:r>
      <w:r w:rsidRPr="035DD17A">
        <w:rPr>
          <w:color w:val="auto"/>
        </w:rPr>
        <w:instrText xml:space="preserve">ADDIN CSL_CITATION {"citationItems":[{"id":"ITEM-1","itemData":{"DOI":"10.1016/S1352-2310(99)00468-9","ISSN":"1352-2310","abstract":"Photochemical air quality models play a central role in both schentific investigation of how pollutants evlove in the atmosphere as well as developing policies to manage air quality. In the past 30 years, these models have evolved from rather crude representations of the physics and chemistry impacting trace species to their current state: comprehensive, but not complete. The evolution has included advancements in not only the level of process descriptions, but also the computational implementation, including numerical methods. As part of the NARSTO Critical Reviews, this article discusses the current strengths and weaknesses of air quality models and the modeling process. Current Eulerian models are found to represent well the primary processes impacting the evolution of trace species in most cases though some exceptions may exist. For example, sub-grid-scale processes, such as concentrated power plant plumes, are treated only approximately. It is not apparent how much such approximations affect their results and the polices based upon those results. A significant weakness has been in how investigators have addressed, and communicated, such uncertainties. Studies find that major uncertainties are due to model inputs, e.g., emissions and meteorology, more so than the model itself. One of the primary weakness identified is in the modeling process, not the models. Evaluation has been limited both due to data constraints. Seldom is there ample observational data to conduct a detailed model intercomparison using consistent data (e.g., the same emissions and meteorology). Further model advancement, and development of greater confidence in the use of models, is hampered by the lack of thorough evaluation and intercomparisons. Model advances are seen in the use of new tools for extending the interpretation of model results, e.g., process and sensitivity analysis, modeling systems to facilitate their use, and extension of model capabilities, e.g., aerosol dynamics capabilities and sub-grid-scale representations. Another possible direction that is the development and widespread use of a community model acting as a platform for multiple groups and agencies to collaborate and progress more rapidly. Copyright (C) 2000 Elsevier Science B.V.","author":[{"dropping-particle":"","family":"Russell","given":"Armistead","non-dropping-particle":"","parse-names":false,"suffix":""},{"dropping-particle":"","family":"Dennis","given":"Robin","non-dropping-particle":"","parse-names":false,"suffix":""}],"container-title":"Atmospheric Environment","id":"ITEM-1","issue":"12-14","issued":{"date-parts":[["2000","1","1"]]},"page":"2283-2324","publisher":"Pergamon","title":"NARSTO critical review of photochemical models and modeling","type":"article-journal","volume":"34"},"uris":["http://www.mendeley.com/documents/?uuid=b5fede41-51f6-3fbf-8e50-04d03c6b89ff"]}],"mendeley":{"formattedCitation":"(Russell and Dennis, 2000)","plainTextFormattedCitation":"(Russell and Dennis, 2000)","previouslyFormattedCitation":"(Russell and Dennis, 2000)"},"properties":{"noteIndex":0},"schema":"https://github.com/citation-style-language/schema/raw/master/csl-citation.json"}</w:instrText>
      </w:r>
      <w:r w:rsidRPr="035DD17A">
        <w:rPr>
          <w:color w:val="auto"/>
        </w:rPr>
        <w:fldChar w:fldCharType="separate"/>
      </w:r>
      <w:r w:rsidRPr="035DD17A" w:rsidR="00EA3E7B">
        <w:rPr>
          <w:noProof/>
          <w:color w:val="auto"/>
        </w:rPr>
        <w:t>(Russell and Dennis, 2000)</w:t>
      </w:r>
      <w:r w:rsidRPr="035DD17A">
        <w:rPr>
          <w:color w:val="auto"/>
        </w:rPr>
        <w:fldChar w:fldCharType="end"/>
      </w:r>
      <w:r w:rsidR="2D9720ED">
        <w:rPr/>
        <w:t xml:space="preserve">. </w:t>
      </w:r>
      <w:r w:rsidR="136E3CDD">
        <w:rPr/>
        <w:t xml:space="preserve"> </w:t>
      </w:r>
      <w:r w:rsidR="73FC2FB5">
        <w:rPr/>
        <w:t xml:space="preserve">Then, for the air quality approach inherent </w:t>
      </w:r>
      <w:r w:rsidRPr="035DD17A" w:rsidR="73FC2FB5">
        <w:rPr>
          <w:lang w:val="en-GB"/>
        </w:rPr>
        <w:t>uncertainties are linked to the air quality models, through difficulties in representing all the atmospheric processes which are depending on the spatial and temporal scale</w:t>
      </w:r>
      <w:r w:rsidRPr="035DD17A" w:rsidR="46692385">
        <w:rPr>
          <w:lang w:val="en-GB"/>
        </w:rPr>
        <w:t xml:space="preserve">. Moreover, </w:t>
      </w:r>
      <w:r w:rsidRPr="035DD17A" w:rsidR="73FC2FB5">
        <w:rPr>
          <w:lang w:val="en-GB"/>
        </w:rPr>
        <w:t xml:space="preserve">the health </w:t>
      </w:r>
      <w:r w:rsidRPr="035DD17A" w:rsidR="46692385">
        <w:rPr>
          <w:lang w:val="en-GB"/>
        </w:rPr>
        <w:t xml:space="preserve">impact </w:t>
      </w:r>
      <w:r w:rsidRPr="035DD17A" w:rsidR="73FC2FB5">
        <w:rPr>
          <w:lang w:val="en-GB"/>
        </w:rPr>
        <w:t>quantification</w:t>
      </w:r>
      <w:r w:rsidRPr="035DD17A" w:rsidR="46692385">
        <w:rPr>
          <w:lang w:val="en-GB"/>
        </w:rPr>
        <w:t xml:space="preserve"> shows </w:t>
      </w:r>
      <w:r w:rsidRPr="035DD17A" w:rsidR="73FC2FB5">
        <w:rPr>
          <w:lang w:val="en-GB"/>
        </w:rPr>
        <w:t>uncertainties</w:t>
      </w:r>
      <w:r w:rsidRPr="035DD17A" w:rsidR="46692385">
        <w:rPr>
          <w:lang w:val="en-GB"/>
        </w:rPr>
        <w:t xml:space="preserve"> due to </w:t>
      </w:r>
      <w:r w:rsidRPr="035DD17A" w:rsidR="136E3CDD">
        <w:rPr>
          <w:lang w:val="en-GB"/>
        </w:rPr>
        <w:t xml:space="preserve">a lack of </w:t>
      </w:r>
      <w:r w:rsidRPr="035DD17A" w:rsidR="46692385">
        <w:rPr>
          <w:lang w:val="en-GB"/>
        </w:rPr>
        <w:t xml:space="preserve">specific </w:t>
      </w:r>
      <w:r w:rsidRPr="035DD17A" w:rsidR="73FC2FB5">
        <w:rPr>
          <w:lang w:val="en-GB"/>
        </w:rPr>
        <w:t xml:space="preserve">epidemiological data </w:t>
      </w:r>
      <w:r w:rsidRPr="035DD17A" w:rsidR="46692385">
        <w:rPr>
          <w:lang w:val="en-GB"/>
        </w:rPr>
        <w:t>for</w:t>
      </w:r>
      <w:r w:rsidRPr="035DD17A" w:rsidR="73FC2FB5">
        <w:rPr>
          <w:lang w:val="en-GB"/>
        </w:rPr>
        <w:t xml:space="preserve"> </w:t>
      </w:r>
      <w:r w:rsidRPr="035DD17A" w:rsidR="46692385">
        <w:rPr>
          <w:lang w:val="en-GB"/>
        </w:rPr>
        <w:t>each</w:t>
      </w:r>
      <w:r w:rsidRPr="035DD17A" w:rsidR="73FC2FB5">
        <w:rPr>
          <w:lang w:val="en-GB"/>
        </w:rPr>
        <w:t xml:space="preserve"> study site</w:t>
      </w:r>
      <w:r w:rsidRPr="035DD17A" w:rsidR="46692385">
        <w:rPr>
          <w:lang w:val="en-GB"/>
        </w:rPr>
        <w:t>.</w:t>
      </w:r>
      <w:r w:rsidRPr="035DD17A" w:rsidR="136E3CDD">
        <w:rPr>
          <w:lang w:val="en-GB"/>
        </w:rPr>
        <w:t xml:space="preserve"> </w:t>
      </w:r>
    </w:p>
    <w:p w:rsidRPr="002A63DA" w:rsidR="00461DB2" w:rsidP="035DD17A" w:rsidRDefault="5E096DD1" w14:paraId="24BA4CE4" w14:textId="2B6E4167">
      <w:pPr/>
      <w:r w:rsidRPr="035DD17A" w:rsidR="5E096DD1">
        <w:rPr>
          <w:lang w:val="en-GB"/>
        </w:rPr>
        <w:t>I</w:t>
      </w:r>
      <w:r w:rsidRPr="035DD17A" w:rsidR="5E096DD1">
        <w:rPr>
          <w:lang w:val="en-GB"/>
        </w:rPr>
        <w:t xml:space="preserve">n order to handle these uncertainties, </w:t>
      </w:r>
      <w:r w:rsidRPr="035DD17A" w:rsidR="32735D5C">
        <w:rPr>
          <w:lang w:val="en-GB"/>
        </w:rPr>
        <w:t xml:space="preserve">the assessment and </w:t>
      </w:r>
      <w:r w:rsidR="32735D5C">
        <w:rPr/>
        <w:t>communication of uncertainties should play a key role in the discussion of the results.</w:t>
      </w:r>
      <w:r w:rsidR="2441A216">
        <w:rPr/>
        <w:t xml:space="preserve"> This was carefully addressed during the whole </w:t>
      </w:r>
      <w:r w:rsidR="2441A216">
        <w:rPr/>
        <w:t>ClairCity</w:t>
      </w:r>
      <w:r w:rsidR="2441A216">
        <w:rPr/>
        <w:t xml:space="preserve"> framework, even though they were not quantified for each step. Uncertainties were addressed for the baseline year when estimating emissions, by comparing the results with national and European emission inventories; when simulating air quality, through a process of model </w:t>
      </w:r>
      <w:r w:rsidR="154271D3">
        <w:rPr/>
        <w:t xml:space="preserve">calibration, </w:t>
      </w:r>
      <w:r w:rsidR="2441A216">
        <w:rPr/>
        <w:t>verification and validation, by compari</w:t>
      </w:r>
      <w:r w:rsidR="37FA3149">
        <w:rPr/>
        <w:t>ng</w:t>
      </w:r>
      <w:r w:rsidR="2441A216">
        <w:rPr/>
        <w:t xml:space="preserve"> with </w:t>
      </w:r>
      <w:r w:rsidR="684BE9C5">
        <w:rPr/>
        <w:t xml:space="preserve">available </w:t>
      </w:r>
      <w:r w:rsidR="2441A216">
        <w:rPr/>
        <w:t>air quality measurements</w:t>
      </w:r>
      <w:r w:rsidR="50BB285F">
        <w:rPr/>
        <w:t>;</w:t>
      </w:r>
      <w:r w:rsidR="2441A216">
        <w:rPr/>
        <w:t xml:space="preserve"> when assessing health indicators, through </w:t>
      </w:r>
      <w:r w:rsidR="24E77A8A">
        <w:rPr/>
        <w:t>a</w:t>
      </w:r>
      <w:r w:rsidR="2441A216">
        <w:rPr/>
        <w:t xml:space="preserve"> benchmark with the annual estimates for premature deaths and years of lost life reported by the European Environment Agency. These uncertainties were communicated to citizens, stakeholders, decision- and policymakers during the engagement and co-creation activities. The outcomes of these d</w:t>
      </w:r>
      <w:r w:rsidR="3091CD1A">
        <w:rPr/>
        <w:t>ebate</w:t>
      </w:r>
      <w:r w:rsidR="2441A216">
        <w:rPr/>
        <w:t xml:space="preserve">s, depending on the level of expertise of the attendees </w:t>
      </w:r>
      <w:r w:rsidR="41BBF81C">
        <w:rPr/>
        <w:t>i</w:t>
      </w:r>
      <w:r w:rsidR="2441A216">
        <w:rPr/>
        <w:t xml:space="preserve">n those activities, allowed the modelers to </w:t>
      </w:r>
      <w:r w:rsidR="3CD0A0C7">
        <w:rPr/>
        <w:t>double-check</w:t>
      </w:r>
      <w:r w:rsidR="2441A216">
        <w:rPr/>
        <w:t xml:space="preserve"> their input data, simulations and results, contributing to their improvement.</w:t>
      </w:r>
    </w:p>
    <w:p w:rsidRPr="002A63DA" w:rsidR="00461DB2" w:rsidP="035DD17A" w:rsidRDefault="00461DB2" w14:paraId="7B3D1199" w14:textId="2E6F9960">
      <w:pPr/>
    </w:p>
    <w:p w:rsidRPr="002A63DA" w:rsidR="00EB155F" w:rsidP="00CB2A5B" w:rsidRDefault="00A92537" w14:paraId="70D90401" w14:textId="77777777">
      <w:pPr>
        <w:pStyle w:val="Heading2"/>
        <w:rPr>
          <w:lang w:val="en-GB"/>
        </w:rPr>
      </w:pPr>
      <w:r w:rsidRPr="035DD17A" w:rsidR="00A92537">
        <w:rPr>
          <w:lang w:val="en-GB"/>
        </w:rPr>
        <w:t>Conclusions</w:t>
      </w:r>
    </w:p>
    <w:p w:rsidRPr="002A63DA" w:rsidR="00223DB3" w:rsidP="00223DB3" w:rsidRDefault="00A92537" w14:paraId="507B8A15" w14:textId="77777777">
      <w:pPr>
        <w:rPr>
          <w:lang w:val="en-GB"/>
        </w:rPr>
      </w:pPr>
      <w:r w:rsidRPr="035DD17A" w:rsidR="00A92537">
        <w:rPr>
          <w:lang w:val="en-GB"/>
        </w:rPr>
        <w:t xml:space="preserve">This work focuses on the quantification of impacts on emissions, air quality and human health </w:t>
      </w:r>
      <w:r w:rsidRPr="035DD17A" w:rsidR="00411F29">
        <w:rPr>
          <w:lang w:val="en-GB"/>
        </w:rPr>
        <w:t>for</w:t>
      </w:r>
      <w:r w:rsidRPr="035DD17A" w:rsidR="00A92537">
        <w:rPr>
          <w:lang w:val="en-GB"/>
        </w:rPr>
        <w:t xml:space="preserve"> the </w:t>
      </w:r>
      <w:r w:rsidRPr="035DD17A" w:rsidR="00A92537">
        <w:rPr>
          <w:lang w:val="en-GB"/>
        </w:rPr>
        <w:t>ClairCity</w:t>
      </w:r>
      <w:r w:rsidRPr="035DD17A" w:rsidR="00A92537">
        <w:rPr>
          <w:lang w:val="en-GB"/>
        </w:rPr>
        <w:t xml:space="preserve"> future scenarios. </w:t>
      </w:r>
      <w:r w:rsidRPr="035DD17A" w:rsidR="00A92537">
        <w:rPr>
          <w:lang w:val="en-GB"/>
        </w:rPr>
        <w:t>ClairCity</w:t>
      </w:r>
      <w:r w:rsidRPr="035DD17A" w:rsidR="00A92537">
        <w:rPr>
          <w:lang w:val="en-GB"/>
        </w:rPr>
        <w:t xml:space="preserve"> scenarios were established following a co-creation approach consisting of 3 main vectors: </w:t>
      </w:r>
      <w:r w:rsidRPr="035DD17A" w:rsidR="00A92537">
        <w:rPr>
          <w:lang w:val="en-GB"/>
        </w:rPr>
        <w:t>i</w:t>
      </w:r>
      <w:r w:rsidRPr="035DD17A" w:rsidR="00A92537">
        <w:rPr>
          <w:lang w:val="en-GB"/>
        </w:rPr>
        <w:t>) establish the baseline, ii) engage citizens, stakeholders and local policymakers, iii) deliver the Policy Package.</w:t>
      </w:r>
      <w:r w:rsidRPr="035DD17A" w:rsidR="00411F29">
        <w:rPr>
          <w:lang w:val="en-GB"/>
        </w:rPr>
        <w:t xml:space="preserve"> The assessment of the existing problems for the baseline in each city/region marked the first phase of the scenario’s framework. Then, a</w:t>
      </w:r>
      <w:r w:rsidRPr="035DD17A" w:rsidR="00A92537">
        <w:rPr>
          <w:lang w:val="en-GB"/>
        </w:rPr>
        <w:t xml:space="preserve">long the process, a set of measures and policies with different levels of ambition were proposed to policymakers. These measures came from citizens and stakeholder's consultation. In general, policymakers found the measures realistic which indicates some common ground between citizens’ visions for their future city and what policymakers consider implementable. Any eventual disagreement lied mostly on timeframe and ambition level, </w:t>
      </w:r>
      <w:r w:rsidRPr="035DD17A" w:rsidR="00A92537">
        <w:rPr>
          <w:lang w:val="en-GB"/>
        </w:rPr>
        <w:t>e.g.</w:t>
      </w:r>
      <w:r w:rsidRPr="035DD17A" w:rsidR="00A92537">
        <w:rPr>
          <w:lang w:val="en-GB"/>
        </w:rPr>
        <w:t xml:space="preserve"> citizens typically wanted more ambitious measures and faster implementations. </w:t>
      </w:r>
    </w:p>
    <w:p w:rsidRPr="002A63DA" w:rsidR="00223DB3" w:rsidP="00223DB3" w:rsidRDefault="00A92537" w14:paraId="2E6D1AE0" w14:textId="77777777">
      <w:pPr>
        <w:rPr>
          <w:lang w:val="en-GB"/>
        </w:rPr>
      </w:pPr>
      <w:r w:rsidRPr="035DD17A" w:rsidR="00A92537">
        <w:rPr>
          <w:lang w:val="en-GB"/>
        </w:rPr>
        <w:t xml:space="preserve">Bristol and Amsterdam stand out by having ambitious local policies that go beyond the legal obligations on a national and EU level. The ambition set for the final scenario is significantly higher than the BAU targets. On other hand, the remaining 4 cities/ regions tend to impose the same level of ambition in the final scenario as in the already established BAU policies. Furthermore, both Bristol and Amsterdam were the </w:t>
      </w:r>
      <w:r w:rsidRPr="035DD17A" w:rsidR="00A92537">
        <w:rPr>
          <w:lang w:val="en-GB"/>
        </w:rPr>
        <w:t>ClairCity</w:t>
      </w:r>
      <w:r w:rsidRPr="035DD17A" w:rsidR="00A92537">
        <w:rPr>
          <w:lang w:val="en-GB"/>
        </w:rPr>
        <w:t xml:space="preserve"> pilots with higher concern and ambition regarding reducing residential emissions, which is a sector of great concern in other cities. </w:t>
      </w:r>
    </w:p>
    <w:p w:rsidRPr="002A63DA" w:rsidR="00223DB3" w:rsidP="00223DB3" w:rsidRDefault="00A92537" w14:paraId="2AACD5A6" w14:textId="77777777">
      <w:pPr>
        <w:rPr>
          <w:lang w:val="en-GB"/>
        </w:rPr>
      </w:pPr>
      <w:r w:rsidRPr="035DD17A" w:rsidR="00A92537">
        <w:rPr>
          <w:lang w:val="en-GB"/>
        </w:rPr>
        <w:t xml:space="preserve">Concerning the residential practices, Ljubljana, Aveiro and Liguria had no measures affecting this sector on their Policy Packages. Consequently, the reductions on PM emissions and concentrations are similar both in BAU and FUPS scenarios, and thus there are no benefits from the FUPS. This means that either from now to 2050, citizens, stakeholders, and local policymakers will need to work harder towards more ambitious policies and targets to solve their air quality issues. Additionally, in Sosnowiec, despite the measure aiming to ban coal for residential heating accounted on their Policy Package, this seems to be insufficient to address their PM pollution problems.    </w:t>
      </w:r>
    </w:p>
    <w:p w:rsidRPr="002A63DA" w:rsidR="00223DB3" w:rsidP="00223DB3" w:rsidRDefault="00A92537" w14:paraId="438D05B7" w14:textId="77777777">
      <w:pPr>
        <w:rPr>
          <w:lang w:val="en-GB"/>
        </w:rPr>
      </w:pPr>
      <w:r w:rsidRPr="035DD17A" w:rsidR="00A92537">
        <w:rPr>
          <w:lang w:val="en-GB"/>
        </w:rPr>
        <w:t>The population will benefit the most in terms of NO</w:t>
      </w:r>
      <w:r w:rsidRPr="035DD17A" w:rsidR="00A92537">
        <w:rPr>
          <w:vertAlign w:val="subscript"/>
          <w:lang w:val="en-GB"/>
        </w:rPr>
        <w:t>2</w:t>
      </w:r>
      <w:r w:rsidRPr="035DD17A" w:rsidR="00A92537">
        <w:rPr>
          <w:lang w:val="en-GB"/>
        </w:rPr>
        <w:t xml:space="preserve"> exposure for all the cities. The benefit in terms of population exposed to particulate matter varies a lot across the study areas, with only Bristol and Amsterdam showing substantial differences between fine and coarse particulate matter. Three areas target the pollutants with the highest health impact on their population: Amsterdam (NO</w:t>
      </w:r>
      <w:r w:rsidRPr="035DD17A" w:rsidR="00A92537">
        <w:rPr>
          <w:vertAlign w:val="subscript"/>
          <w:lang w:val="en-GB"/>
        </w:rPr>
        <w:t>2</w:t>
      </w:r>
      <w:r w:rsidRPr="035DD17A" w:rsidR="00A92537">
        <w:rPr>
          <w:lang w:val="en-GB"/>
        </w:rPr>
        <w:t>), Bristol and Sosnowiec (PM2.5); Aveiro Region and Liguria Region are mostly targeting the pollutant with the least health impact (NO</w:t>
      </w:r>
      <w:r w:rsidRPr="035DD17A" w:rsidR="00A92537">
        <w:rPr>
          <w:vertAlign w:val="subscript"/>
          <w:lang w:val="en-GB"/>
        </w:rPr>
        <w:t>2</w:t>
      </w:r>
      <w:r w:rsidRPr="035DD17A" w:rsidR="00A92537">
        <w:rPr>
          <w:lang w:val="en-GB"/>
        </w:rPr>
        <w:t>). This limited health benefit from emission control measures is either due to low emission reductions or the measures being implemented in low populated areas.</w:t>
      </w:r>
    </w:p>
    <w:p w:rsidRPr="002A63DA" w:rsidR="00223DB3" w:rsidP="00223DB3" w:rsidRDefault="00A92537" w14:paraId="1421111A" w14:textId="77777777">
      <w:pPr>
        <w:rPr>
          <w:lang w:val="en-GB"/>
        </w:rPr>
      </w:pPr>
      <w:r w:rsidRPr="035DD17A" w:rsidR="00A92537">
        <w:rPr>
          <w:lang w:val="en-GB"/>
        </w:rPr>
        <w:t>Overall, the main findings of this paper highlight a decreasing trend of NO</w:t>
      </w:r>
      <w:r w:rsidRPr="035DD17A" w:rsidR="00A92537">
        <w:rPr>
          <w:vertAlign w:val="subscript"/>
          <w:lang w:val="en-GB"/>
        </w:rPr>
        <w:t>2</w:t>
      </w:r>
      <w:r w:rsidRPr="035DD17A" w:rsidR="00A92537">
        <w:rPr>
          <w:lang w:val="en-GB"/>
        </w:rPr>
        <w:t xml:space="preserve">, PM10 and PM2.5 up to 2050 considering the implementation of the already established BAU scenario. These achievements will be possible due to a set of policies </w:t>
      </w:r>
      <w:r w:rsidRPr="035DD17A" w:rsidR="00A92537">
        <w:rPr>
          <w:lang w:val="en-GB"/>
        </w:rPr>
        <w:t>technologically-centred</w:t>
      </w:r>
      <w:r w:rsidRPr="035DD17A" w:rsidR="00A92537">
        <w:rPr>
          <w:lang w:val="en-GB"/>
        </w:rPr>
        <w:t xml:space="preserve">. On the other hand, future policy scenarios centred on citizens visions, followed by stakeholders and </w:t>
      </w:r>
      <w:r w:rsidRPr="035DD17A" w:rsidR="00A92537">
        <w:rPr>
          <w:lang w:val="en-GB"/>
        </w:rPr>
        <w:t>policymakers</w:t>
      </w:r>
      <w:r w:rsidRPr="035DD17A" w:rsidR="00A92537">
        <w:rPr>
          <w:lang w:val="en-GB"/>
        </w:rPr>
        <w:t xml:space="preserve"> calibration may have a crucial impact towards clean air in European cities. However, this requires further ambition from those players. In addition, the implementation of the recommendations from </w:t>
      </w:r>
      <w:r w:rsidRPr="035DD17A" w:rsidR="00A92537">
        <w:rPr>
          <w:lang w:val="en-GB"/>
        </w:rPr>
        <w:t>ClairCity</w:t>
      </w:r>
      <w:r w:rsidRPr="035DD17A" w:rsidR="00A92537">
        <w:rPr>
          <w:lang w:val="en-GB"/>
        </w:rPr>
        <w:t xml:space="preserve"> will lead to better support, more effective and more cost-effective air quality policies from now until 2050. Within the six pilot cities, </w:t>
      </w:r>
      <w:r w:rsidRPr="035DD17A" w:rsidR="00A92537">
        <w:rPr>
          <w:lang w:val="en-GB"/>
        </w:rPr>
        <w:t>ClairCity</w:t>
      </w:r>
      <w:r w:rsidRPr="035DD17A" w:rsidR="00A92537">
        <w:rPr>
          <w:lang w:val="en-GB"/>
        </w:rPr>
        <w:t xml:space="preserve"> has quantified how EU Air Quality Directives targets can be achieved through low-cost high-gain behaviour changes, bringing significant benefits through several different health outcome pathways, and demonstrate how this is adaptable across any city.</w:t>
      </w:r>
    </w:p>
    <w:p w:rsidRPr="002A63DA" w:rsidR="00391111" w:rsidP="00391111" w:rsidRDefault="00A92537" w14:paraId="5399E132" w14:textId="77777777">
      <w:r w:rsidR="00A92537">
        <w:rPr/>
        <w:t xml:space="preserve">The scope of this work was to quantify the impacts of defined </w:t>
      </w:r>
      <w:r w:rsidR="00A92537">
        <w:rPr/>
        <w:t>scenarios as a whole, so</w:t>
      </w:r>
      <w:r w:rsidR="00A92537">
        <w:rPr/>
        <w:t xml:space="preserve"> for further investigation, it would be extremely relevant to quantify each measure, and to link each one to a specific emission reduction.</w:t>
      </w:r>
    </w:p>
    <w:p w:rsidRPr="002A63DA" w:rsidR="003224E5" w:rsidP="00325510" w:rsidRDefault="003224E5" w14:paraId="51611155" w14:textId="77777777">
      <w:pPr>
        <w:rPr>
          <w:lang w:val="en-GB"/>
        </w:rPr>
      </w:pPr>
    </w:p>
    <w:p w:rsidRPr="002A63DA" w:rsidR="0066615E" w:rsidP="0066615E" w:rsidRDefault="00A92537" w14:paraId="13E2BF60" w14:textId="77777777">
      <w:pPr>
        <w:pStyle w:val="Heading2"/>
        <w:numPr>
          <w:numId w:val="0"/>
        </w:numPr>
        <w:rPr>
          <w:lang w:val="en-GB"/>
        </w:rPr>
      </w:pPr>
      <w:r w:rsidRPr="035DD17A" w:rsidR="00A92537">
        <w:rPr>
          <w:lang w:val="en-GB"/>
        </w:rPr>
        <w:t xml:space="preserve">Acknowledgements </w:t>
      </w:r>
    </w:p>
    <w:p w:rsidRPr="002A63DA" w:rsidR="006F2D86" w:rsidP="006F2D86" w:rsidRDefault="00A92537" w14:paraId="7CD48303" w14:textId="77777777">
      <w:pPr>
        <w:rPr>
          <w:rFonts w:cs="Times New Roman"/>
        </w:rPr>
      </w:pPr>
      <w:r w:rsidRPr="035DD17A" w:rsidR="00A92537">
        <w:rPr>
          <w:lang w:val="en-GB"/>
        </w:rPr>
        <w:t xml:space="preserve">This work was partially supported by the </w:t>
      </w:r>
      <w:r w:rsidRPr="035DD17A" w:rsidR="00A92537">
        <w:rPr>
          <w:lang w:val="en-GB"/>
        </w:rPr>
        <w:t>ClairCity</w:t>
      </w:r>
      <w:r w:rsidRPr="035DD17A" w:rsidR="00A92537">
        <w:rPr>
          <w:lang w:val="en-GB"/>
        </w:rPr>
        <w:t xml:space="preserve"> project. </w:t>
      </w:r>
      <w:r w:rsidRPr="035DD17A" w:rsidR="00A92537">
        <w:rPr>
          <w:lang w:val="en-GB"/>
        </w:rPr>
        <w:t>ClairCity</w:t>
      </w:r>
      <w:r w:rsidRPr="035DD17A" w:rsidR="00A92537">
        <w:rPr>
          <w:lang w:val="en-GB"/>
        </w:rPr>
        <w:t xml:space="preserve"> has received funding from the European Union's Horizon 2020 research and innovation programme under grant agreement No. 689289. Thanks are due to FCT/MCTES for the financial support to </w:t>
      </w:r>
      <w:r w:rsidRPr="035DD17A" w:rsidR="002773B5">
        <w:rPr>
          <w:lang w:val="en-GB"/>
        </w:rPr>
        <w:t xml:space="preserve">CESAM </w:t>
      </w:r>
      <w:r w:rsidRPr="035DD17A" w:rsidR="00A92537">
        <w:rPr>
          <w:lang w:val="en-GB"/>
        </w:rPr>
        <w:t>(UIDP/50017/2020 + UIDB/50017/2020), through national funds</w:t>
      </w:r>
      <w:r w:rsidRPr="035DD17A" w:rsidR="002773B5">
        <w:rPr>
          <w:lang w:val="en-GB"/>
        </w:rPr>
        <w:t xml:space="preserve">, and </w:t>
      </w:r>
      <w:r w:rsidRPr="035DD17A" w:rsidR="002773B5">
        <w:rPr>
          <w:rFonts w:cs="Times New Roman"/>
        </w:rPr>
        <w:t>for the contracts granted to Sandra Rafael (</w:t>
      </w:r>
      <w:r w:rsidRPr="035DD17A" w:rsidR="002773B5">
        <w:rPr>
          <w:rFonts w:cs="Times New Roman"/>
        </w:rPr>
        <w:t>2020.02543.CEECIND</w:t>
      </w:r>
      <w:r w:rsidRPr="035DD17A" w:rsidR="002773B5">
        <w:rPr>
          <w:rFonts w:cs="Times New Roman"/>
        </w:rPr>
        <w:t>) and Joana Ferreira (2020.00622.CEECIND).</w:t>
      </w:r>
    </w:p>
    <w:p w:rsidRPr="002A63DA" w:rsidR="006F2D86" w:rsidP="006F2D86" w:rsidRDefault="00A92537" w14:paraId="7FB312AE" w14:textId="77777777">
      <w:pPr>
        <w:rPr>
          <w:lang w:val="en-GB"/>
        </w:rPr>
      </w:pPr>
      <w:r w:rsidRPr="035DD17A" w:rsidR="00A92537">
        <w:rPr>
          <w:lang w:val="en-GB"/>
        </w:rPr>
        <w:t xml:space="preserve">The authors would also like to thank all the </w:t>
      </w:r>
      <w:r w:rsidRPr="035DD17A" w:rsidR="00A92537">
        <w:rPr>
          <w:lang w:val="en-GB"/>
        </w:rPr>
        <w:t>ClairCity</w:t>
      </w:r>
      <w:r w:rsidRPr="035DD17A" w:rsidR="00A92537">
        <w:rPr>
          <w:lang w:val="en-GB"/>
        </w:rPr>
        <w:t xml:space="preserve"> partners</w:t>
      </w:r>
      <w:r w:rsidRPr="035DD17A" w:rsidR="00AE718C">
        <w:rPr>
          <w:lang w:val="en-GB"/>
        </w:rPr>
        <w:t>.</w:t>
      </w:r>
    </w:p>
    <w:p w:rsidRPr="002A63DA" w:rsidR="00E13011" w:rsidP="00325510" w:rsidRDefault="00E13011" w14:paraId="13E0A283" w14:textId="77777777">
      <w:pPr>
        <w:rPr>
          <w:lang w:val="en-GB"/>
        </w:rPr>
      </w:pPr>
    </w:p>
    <w:p w:rsidRPr="002A63DA" w:rsidR="003E3A73" w:rsidP="00D64C71" w:rsidRDefault="00A92537" w14:paraId="2BC73476" w14:textId="77777777">
      <w:pPr>
        <w:pStyle w:val="Heading2"/>
        <w:numPr>
          <w:numId w:val="0"/>
        </w:numPr>
        <w:rPr>
          <w:lang w:val="da-DK"/>
        </w:rPr>
      </w:pPr>
      <w:r w:rsidRPr="035DD17A" w:rsidR="00A92537">
        <w:rPr>
          <w:lang w:val="da-DK"/>
        </w:rPr>
        <w:t xml:space="preserve">References </w:t>
      </w:r>
    </w:p>
    <w:p w:rsidR="001A1BF8" w:rsidP="035DD17A" w:rsidRDefault="00A92537" w14:paraId="1434678A" w14:textId="77777777">
      <w:pPr>
        <w:widowControl w:val="0"/>
        <w:autoSpaceDE w:val="0"/>
        <w:autoSpaceDN w:val="0"/>
        <w:adjustRightInd w:val="0"/>
        <w:ind w:left="480" w:hanging="480"/>
        <w:rPr>
          <w:rFonts w:ascii="Calibri" w:hAnsi="Calibri" w:cs="Calibri"/>
          <w:noProof/>
        </w:rPr>
      </w:pPr>
      <w:r w:rsidRPr="035DD17A">
        <w:rPr>
          <w:strike w:val="1"/>
          <w:lang w:val="en-GB"/>
        </w:rPr>
        <w:fldChar w:fldCharType="begin" w:fldLock="true"/>
      </w:r>
      <w:r w:rsidRPr="035DD17A">
        <w:rPr>
          <w:strike w:val="1"/>
          <w:lang w:val="en-GB"/>
        </w:rPr>
        <w:instrText xml:space="preserve">ADDIN Mendeley Bibliography CSL_BIBLIOGRAPHY </w:instrText>
      </w:r>
      <w:r w:rsidRPr="035DD17A">
        <w:rPr>
          <w:strike w:val="1"/>
          <w:lang w:val="en-GB"/>
        </w:rPr>
        <w:fldChar w:fldCharType="separate"/>
      </w:r>
      <w:r w:rsidRPr="035DD17A" w:rsidR="00A92537">
        <w:rPr>
          <w:rFonts w:ascii="Calibri" w:hAnsi="Calibri" w:cs="Calibri"/>
          <w:noProof/>
        </w:rPr>
        <w:t>Artola, I., Slingerland, S., 2019. D6.6 Policy Workshop – Last City. https://doi.org/10.5281/ZENODO.3972927</w:t>
      </w:r>
    </w:p>
    <w:p w:rsidRPr="002A63DA" w:rsidR="001A1BF8" w:rsidP="035DD17A" w:rsidRDefault="00A92537" w14:paraId="3974D65A"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lang w:val="pt-PT"/>
        </w:rPr>
        <w:t xml:space="preserve">Borrego, C., Amorim, J.H., Tchepel, O., Dias, D., Rafael, S., Sá, E., Pimentel, C., Fontes, T., Fernandes, P., Pereira, S.R., Bandeira, J.M., Coelho, M.C., 2016. </w:t>
      </w:r>
      <w:r w:rsidRPr="035DD17A" w:rsidR="00A92537">
        <w:rPr>
          <w:rFonts w:ascii="Calibri" w:hAnsi="Calibri" w:cs="Calibri"/>
          <w:noProof/>
        </w:rPr>
        <w:t>Urban scale air quality modelling using detailed traffic emissions estimates. Atmos. Environ. 131, 341–351. https://doi.org/10.1016/j.atmosenv.2016.02.017</w:t>
      </w:r>
    </w:p>
    <w:p w:rsidRPr="002A63DA" w:rsidR="001A1BF8" w:rsidP="035DD17A" w:rsidRDefault="00A92537" w14:paraId="524FFD88"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CBS, 2015. Statistics Netherlands [WWW Document]. URL https://www.cbs.nl/en-gb/society/population (accessed 4.20.21).</w:t>
      </w:r>
    </w:p>
    <w:p w:rsidRPr="002A63DA" w:rsidR="001A1BF8" w:rsidP="035DD17A" w:rsidRDefault="00A92537" w14:paraId="61BE2525"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ClairCity, 2020. Outputs - ClairCity [WWW Document]. URL http://www.claircity.eu/outputs/ (accessed 4.20.21).</w:t>
      </w:r>
    </w:p>
    <w:p w:rsidRPr="002A63DA" w:rsidR="001A1BF8" w:rsidP="035DD17A" w:rsidRDefault="00A92537" w14:paraId="56A3D501"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Council Directive 2009/125/EC, 2009. Directive 2009/125/EC of the European Parliament and of the Council of 21 October 2009 establishing a framework for the setting of ecodesign requirements for energy-related products [WWW Document]. OJ L 285. URL https://eur-lex.europa.eu/legal-content/EN/ALL/?uri=celex:32009L0125 (accessed 4.1.21).</w:t>
      </w:r>
    </w:p>
    <w:p w:rsidRPr="002A63DA" w:rsidR="001A1BF8" w:rsidP="035DD17A" w:rsidRDefault="00A92537" w14:paraId="662F7C06"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lang w:val="pt-PT"/>
        </w:rPr>
        <w:t xml:space="preserve">Dias, D., Amorim, J.H., Sá, E., Borrego, C., Fontes, T., Fernandes, P., Pereira, S.R., Bandeira, J., Coelho, M.C., Tchepel, O., 2018. </w:t>
      </w:r>
      <w:r w:rsidRPr="035DD17A" w:rsidR="00A92537">
        <w:rPr>
          <w:rFonts w:ascii="Calibri" w:hAnsi="Calibri" w:cs="Calibri"/>
          <w:noProof/>
        </w:rPr>
        <w:t>Assessing the importance of transportation activity data for urban emission inventories. Transp. Res. Part D Transp. Environ. 62, 27–35. https://doi.org/10.1016/j.trd.2018.01.027</w:t>
      </w:r>
    </w:p>
    <w:p w:rsidRPr="002A63DA" w:rsidR="001A1BF8" w:rsidP="035DD17A" w:rsidRDefault="00A92537" w14:paraId="46B5EB44"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EEA, 2020. Air quality in Europe - 2020 report, European Environment Agency.</w:t>
      </w:r>
    </w:p>
    <w:p w:rsidRPr="002A63DA" w:rsidR="001A1BF8" w:rsidP="035DD17A" w:rsidRDefault="00A92537" w14:paraId="4C0F578F"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EEA, 2019. Air quality in Europe — 2019 report.</w:t>
      </w:r>
    </w:p>
    <w:p w:rsidRPr="002A63DA" w:rsidR="001A1BF8" w:rsidP="035DD17A" w:rsidRDefault="00A92537" w14:paraId="039EEA36"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EEA, 2018. Europe’s urban air quality — re-assessing implementation challenges in cities, EEA Report No 24/2018.</w:t>
      </w:r>
    </w:p>
    <w:p w:rsidRPr="002A63DA" w:rsidR="001A1BF8" w:rsidP="035DD17A" w:rsidRDefault="00A92537" w14:paraId="028BC441"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EU, 2008. Directive 2008/50/EC of the European Parliament and of the Council of 21 May 2008 on ambient air quality and cleaner air for Europe [WWW Document]. OJ L 152. URL https://eur-lex.europa.eu/eli/dir/2008/50/oj (accessed 2.21.21).</w:t>
      </w:r>
    </w:p>
    <w:p w:rsidRPr="002A63DA" w:rsidR="001A1BF8" w:rsidP="035DD17A" w:rsidRDefault="00A92537" w14:paraId="46F4B2A7"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Fogg-Rogers, L., Sardo, M., Laggan, S., Boushel, C., Judge, D., 2020. D2.8 ClairCity FInal Evaluation Report. https://doi.org/10.5281/ZENODO.4268329</w:t>
      </w:r>
    </w:p>
    <w:p w:rsidRPr="002A63DA" w:rsidR="001A1BF8" w:rsidP="035DD17A" w:rsidRDefault="00A92537" w14:paraId="34767D9F"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 xml:space="preserve">INE, 2011. </w:t>
      </w:r>
      <w:r w:rsidRPr="035DD17A" w:rsidR="00A92537">
        <w:rPr>
          <w:rFonts w:ascii="Calibri" w:hAnsi="Calibri" w:cs="Calibri"/>
          <w:noProof/>
          <w:lang w:val="pt-PT"/>
        </w:rPr>
        <w:t xml:space="preserve">Instituto Nacional de Estatístico [WWW Document]. </w:t>
      </w:r>
      <w:r w:rsidRPr="035DD17A" w:rsidR="00A92537">
        <w:rPr>
          <w:rFonts w:ascii="Calibri" w:hAnsi="Calibri" w:cs="Calibri"/>
          <w:noProof/>
        </w:rPr>
        <w:t>URL https://www.ine.pt/xportal/xmain?xpid=INE&amp;xpgid=ine_indicadores&amp;contecto=pi&amp;indOcorrCod=0008273&amp;selTab=tab0 (accessed 4.20.21).</w:t>
      </w:r>
    </w:p>
    <w:p w:rsidRPr="002A63DA" w:rsidR="001A1BF8" w:rsidP="035DD17A" w:rsidRDefault="00A92537" w14:paraId="40BE1C25"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lang w:val="pt-PT"/>
        </w:rPr>
        <w:t xml:space="preserve">Istat, 2011. Istituto Nazionale di Statistica [WWW Document]. </w:t>
      </w:r>
      <w:r w:rsidRPr="035DD17A" w:rsidR="00A92537">
        <w:rPr>
          <w:rFonts w:ascii="Calibri" w:hAnsi="Calibri" w:cs="Calibri"/>
          <w:noProof/>
        </w:rPr>
        <w:t>URL http://dati.istat.it/Index.aspx?lang=en&amp;SubSessionId=f924de58-e4ae-4abf-acd9-d2db30b2fddd (accessed 4.20.21).</w:t>
      </w:r>
    </w:p>
    <w:p w:rsidRPr="002A63DA" w:rsidR="001A1BF8" w:rsidP="035DD17A" w:rsidRDefault="00A92537" w14:paraId="584A9A0C"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lang w:val="pt-PT"/>
        </w:rPr>
        <w:t xml:space="preserve">Matthias, V., Bieser, J., Mocanu, T., Pregger, T., Quante, M., Ramacher, M.O.P., Seum, S., Winkler, C., 2020. </w:t>
      </w:r>
      <w:r w:rsidRPr="035DD17A" w:rsidR="00A92537">
        <w:rPr>
          <w:rFonts w:ascii="Calibri" w:hAnsi="Calibri" w:cs="Calibri"/>
          <w:noProof/>
        </w:rPr>
        <w:t>Modelling road transport emissions in Germany – Current day situation and scenarios for 2040. Transp. Res. Part D Transp. Environ. 87. https://doi.org/10.1016/j.trd.2020.102536</w:t>
      </w:r>
    </w:p>
    <w:p w:rsidRPr="002A63DA" w:rsidR="001A1BF8" w:rsidP="035DD17A" w:rsidRDefault="00A92537" w14:paraId="410499B2"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McKinsey &amp; Company, 2012. Mobility of the future Opportunities for automotive OEMs.</w:t>
      </w:r>
    </w:p>
    <w:p w:rsidRPr="002A63DA" w:rsidR="001A1BF8" w:rsidP="035DD17A" w:rsidRDefault="00A92537" w14:paraId="68892B9C"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ONS, 2015. Office for National Statistics [WWW Document]. URL https://www.bristol.gov.uk/statistics-census-information/the-population-of-bristol (accessed 4.20.21).</w:t>
      </w:r>
    </w:p>
    <w:p w:rsidRPr="00591681" w:rsidR="001A1BF8" w:rsidP="035DD17A" w:rsidRDefault="00A92537" w14:paraId="715AF9BA" w14:textId="77777777">
      <w:pPr>
        <w:widowControl w:val="0"/>
        <w:autoSpaceDE w:val="0"/>
        <w:autoSpaceDN w:val="0"/>
        <w:adjustRightInd w:val="0"/>
        <w:ind w:left="480" w:hanging="480"/>
        <w:rPr>
          <w:rFonts w:ascii="Calibri" w:hAnsi="Calibri" w:cs="Calibri"/>
          <w:noProof/>
          <w:lang w:val="es-ES"/>
        </w:rPr>
      </w:pPr>
      <w:r w:rsidRPr="035DD17A" w:rsidR="00A92537">
        <w:rPr>
          <w:rFonts w:ascii="Calibri" w:hAnsi="Calibri" w:cs="Calibri"/>
          <w:noProof/>
        </w:rPr>
        <w:t xml:space="preserve">Pisoni, E., Christidis, P., Thunis, P., Trombetti, M., 2019. Evaluating the impact of “Sustainable Urban Mobility Plans” on urban background air quality. </w:t>
      </w:r>
      <w:r w:rsidRPr="035DD17A" w:rsidR="00A92537">
        <w:rPr>
          <w:rFonts w:ascii="Calibri" w:hAnsi="Calibri" w:cs="Calibri"/>
          <w:noProof/>
          <w:lang w:val="es-ES"/>
        </w:rPr>
        <w:t>J. Environ. Manage. 231, 249–255. https://doi.org/10.1016/j.jenvman.2018.10.039</w:t>
      </w:r>
    </w:p>
    <w:p w:rsidR="001A1BF8" w:rsidP="035DD17A" w:rsidRDefault="00A92537" w14:paraId="4A2B50A7" w14:textId="77777777">
      <w:pPr>
        <w:widowControl w:val="0"/>
        <w:autoSpaceDE w:val="0"/>
        <w:autoSpaceDN w:val="0"/>
        <w:adjustRightInd w:val="0"/>
        <w:ind w:left="480" w:hanging="480"/>
        <w:rPr>
          <w:rFonts w:ascii="Calibri" w:hAnsi="Calibri" w:cs="Calibri"/>
          <w:noProof/>
          <w:lang w:val="pt-PT"/>
        </w:rPr>
      </w:pPr>
      <w:r w:rsidRPr="035DD17A" w:rsidR="00A92537">
        <w:rPr>
          <w:rFonts w:ascii="Calibri" w:hAnsi="Calibri" w:cs="Calibri"/>
          <w:noProof/>
          <w:lang w:val="es-ES"/>
        </w:rPr>
        <w:t xml:space="preserve">Purwanto, J., De Ceuster, G., Vanherle, K., 2017. </w:t>
      </w:r>
      <w:r w:rsidRPr="035DD17A" w:rsidR="00A92537">
        <w:rPr>
          <w:rFonts w:ascii="Calibri" w:hAnsi="Calibri" w:cs="Calibri"/>
          <w:noProof/>
        </w:rPr>
        <w:t xml:space="preserve">Mobility, Vehicle fleet, Energy use and Emissions forecast Tool (MOVEET), in: Transportation Research Procedia. </w:t>
      </w:r>
      <w:r w:rsidRPr="035DD17A" w:rsidR="00A92537">
        <w:rPr>
          <w:rFonts w:ascii="Calibri" w:hAnsi="Calibri" w:cs="Calibri"/>
          <w:noProof/>
          <w:lang w:val="pt-PT"/>
        </w:rPr>
        <w:t>Elsevier BV, pp. 3421–3434. https://doi.org/10.1016/j.trpro.2017.05.239</w:t>
      </w:r>
    </w:p>
    <w:p w:rsidRPr="002A63DA" w:rsidR="00564E22" w:rsidP="035DD17A" w:rsidRDefault="00564E22" w14:paraId="50D7DBF0" w14:textId="7A6A288D">
      <w:pPr>
        <w:widowControl w:val="0"/>
        <w:autoSpaceDE w:val="0"/>
        <w:autoSpaceDN w:val="0"/>
        <w:adjustRightInd w:val="0"/>
        <w:ind w:left="480" w:hanging="480"/>
        <w:rPr>
          <w:rFonts w:ascii="Calibri" w:hAnsi="Calibri" w:cs="Calibri"/>
          <w:noProof/>
        </w:rPr>
      </w:pPr>
      <w:r w:rsidRPr="035DD17A" w:rsidR="00564E22">
        <w:rPr>
          <w:lang w:val="en-GB"/>
        </w:rPr>
        <w:t xml:space="preserve">Rafael S., Rodrigues V., Oliveira K., Coelho S., Lopes M. (2021). </w:t>
      </w:r>
      <w:r w:rsidR="00564E22">
        <w:rPr/>
        <w:t xml:space="preserve">How to compute long-term averages for air quality assessment at urban areas?. Science of The Total Environment, 795. Article number 148603. </w:t>
      </w:r>
      <w:r w:rsidR="00564E22">
        <w:rPr/>
        <w:t>https://doi.org/10.1016/j.scitotenv.2021.148603</w:t>
      </w:r>
      <w:r w:rsidR="00564E22">
        <w:rPr/>
        <w:t>.</w:t>
      </w:r>
    </w:p>
    <w:p w:rsidRPr="002A63DA" w:rsidR="001A1BF8" w:rsidP="035DD17A" w:rsidRDefault="00A92537" w14:paraId="7AC1E8B6"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lang w:val="pt-PT"/>
        </w:rPr>
        <w:t xml:space="preserve">Rodrigues, V., Lopes, M., Rafael, S., Coelho, S., Oliveira, K. de, Vanherle, K., Papics, P., Himpe, W., Diafas, I., Kewo, A., Trozzi, C., Piscitello, E., Soares, J., 2020. </w:t>
      </w:r>
      <w:r w:rsidRPr="035DD17A" w:rsidR="00A92537">
        <w:rPr>
          <w:rFonts w:ascii="Calibri" w:hAnsi="Calibri" w:cs="Calibri"/>
          <w:noProof/>
        </w:rPr>
        <w:t>D5.7 City Impact Analysis Report. https://doi.org/10.5281/ZENODO.3972940</w:t>
      </w:r>
    </w:p>
    <w:p w:rsidRPr="002A63DA" w:rsidR="001A1BF8" w:rsidP="035DD17A" w:rsidRDefault="00A92537" w14:paraId="7C098A58" w14:textId="77777777">
      <w:pPr>
        <w:widowControl w:val="0"/>
        <w:autoSpaceDE w:val="0"/>
        <w:autoSpaceDN w:val="0"/>
        <w:adjustRightInd w:val="0"/>
        <w:ind w:left="480" w:hanging="480"/>
        <w:rPr>
          <w:rFonts w:ascii="Calibri" w:hAnsi="Calibri" w:cs="Calibri"/>
          <w:noProof/>
          <w:lang w:val="pt-PT"/>
        </w:rPr>
      </w:pPr>
      <w:r w:rsidRPr="035DD17A" w:rsidR="00A92537">
        <w:rPr>
          <w:rFonts w:ascii="Calibri" w:hAnsi="Calibri" w:cs="Calibri"/>
          <w:noProof/>
        </w:rPr>
        <w:t xml:space="preserve">Russell, A., Dennis, R., 2000. NARSTO critical review of photochemical models and modeling. </w:t>
      </w:r>
      <w:r w:rsidRPr="035DD17A" w:rsidR="00A92537">
        <w:rPr>
          <w:rFonts w:ascii="Calibri" w:hAnsi="Calibri" w:cs="Calibri"/>
          <w:noProof/>
          <w:lang w:val="pt-PT"/>
        </w:rPr>
        <w:t>Atmos. Environ. 34, 2283–2324. https://doi.org/10.1016/S1352-2310(99)00468-9</w:t>
      </w:r>
    </w:p>
    <w:p w:rsidRPr="002A63DA" w:rsidR="001A1BF8" w:rsidP="035DD17A" w:rsidRDefault="00A92537" w14:paraId="150D5878"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lang w:val="pt-PT"/>
        </w:rPr>
        <w:t xml:space="preserve">Slingerland, S., Artola, I., 2020. </w:t>
      </w:r>
      <w:r w:rsidRPr="035DD17A" w:rsidR="00A92537">
        <w:rPr>
          <w:rFonts w:ascii="Calibri" w:hAnsi="Calibri" w:cs="Calibri"/>
          <w:noProof/>
        </w:rPr>
        <w:t>D7.6 Final Cross–City Policy Analysis Report. https://doi.org/10.5281/ZENODO.3972951</w:t>
      </w:r>
    </w:p>
    <w:p w:rsidRPr="002A63DA" w:rsidR="001A1BF8" w:rsidP="035DD17A" w:rsidRDefault="00A92537" w14:paraId="3C07A8DE"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lang w:val="pt-PT"/>
        </w:rPr>
        <w:t xml:space="preserve">Slingerland, S., Artola, I., Bolscher, H., Rodrigues, V., Oliveira, K., Lopes, M., Csobod, E., Trozzi, C., Knudsen, S., Soares, J., 2020. </w:t>
      </w:r>
      <w:r w:rsidRPr="035DD17A" w:rsidR="00A92537">
        <w:rPr>
          <w:rFonts w:ascii="Calibri" w:hAnsi="Calibri" w:cs="Calibri"/>
          <w:noProof/>
        </w:rPr>
        <w:t>D7.4 Final City Policy Package – First City. https://doi.org/10.5281/ZENODO.3972897</w:t>
      </w:r>
    </w:p>
    <w:p w:rsidRPr="002A63DA" w:rsidR="001A1BF8" w:rsidP="035DD17A" w:rsidRDefault="00A92537" w14:paraId="0CE62C1C"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lang w:val="pt-PT"/>
        </w:rPr>
        <w:t xml:space="preserve">Soares, J., Horálek, J., González, A., Ortiz Guerreiro, C., Gsella, A., 2019. </w:t>
      </w:r>
      <w:r w:rsidRPr="035DD17A" w:rsidR="00A92537">
        <w:rPr>
          <w:rFonts w:ascii="Calibri" w:hAnsi="Calibri" w:cs="Calibri"/>
          <w:noProof/>
        </w:rPr>
        <w:t>Health Risk Assessment of Air Pollution in Europe Methodology description and 2017 results - Eionet Report - ETC/ATNI 2019/13.</w:t>
      </w:r>
    </w:p>
    <w:p w:rsidRPr="002A63DA" w:rsidR="001A1BF8" w:rsidP="035DD17A" w:rsidRDefault="00A92537" w14:paraId="7536F161"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Statistics Poland, 2011. Statistics Poland [WWW Document]. URL https://stat.gov.pl/en/regional-statistics/ (accessed 4.20.21).</w:t>
      </w:r>
    </w:p>
    <w:p w:rsidRPr="002A63DA" w:rsidR="001A1BF8" w:rsidP="035DD17A" w:rsidRDefault="00A92537" w14:paraId="57D713D1"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SURS, 2011. Statistical Office of the Republic of Slovenia [WWW Document]. URL https://pxweb.stat.si/SiStat/en/Podrocja/Index/100/population (accessed 4.20.21).</w:t>
      </w:r>
    </w:p>
    <w:p w:rsidRPr="002A63DA" w:rsidR="001A1BF8" w:rsidP="035DD17A" w:rsidRDefault="00A92537" w14:paraId="7120233F"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Thunis, P., Clappier, A., Pisoni, E., Degraeuwe, B., 2015. Quantification of non-linearities as a function of time averaging in regional air quality modeling applications. Atmos. Environ. 103, 263–275. https://doi.org/10.1016/J.ATMOSENV.2014.12.057</w:t>
      </w:r>
    </w:p>
    <w:p w:rsidRPr="002A63DA" w:rsidR="001A1BF8" w:rsidP="035DD17A" w:rsidRDefault="00A92537" w14:paraId="78F51E6C" w14:textId="77777777">
      <w:pPr>
        <w:widowControl w:val="0"/>
        <w:autoSpaceDE w:val="0"/>
        <w:autoSpaceDN w:val="0"/>
        <w:adjustRightInd w:val="0"/>
        <w:ind w:left="480" w:hanging="480"/>
        <w:rPr>
          <w:rFonts w:ascii="Calibri" w:hAnsi="Calibri" w:cs="Calibri"/>
          <w:noProof/>
          <w:lang w:val="pt-PT"/>
        </w:rPr>
      </w:pPr>
      <w:r w:rsidRPr="035DD17A" w:rsidR="00A92537">
        <w:rPr>
          <w:rFonts w:ascii="Calibri" w:hAnsi="Calibri" w:cs="Calibri"/>
          <w:noProof/>
        </w:rPr>
        <w:t xml:space="preserve">Thunis, P., Degraeuwe, B., Pisoni, E., Trombetti, M., Peduzzi, E., Belis, C.A., Wilson, J., Clappier, A., Vignati, E., 2018. PM2.5 source allocation in European cities: A SHERPA modelling study. </w:t>
      </w:r>
      <w:r w:rsidRPr="035DD17A" w:rsidR="00A92537">
        <w:rPr>
          <w:rFonts w:ascii="Calibri" w:hAnsi="Calibri" w:cs="Calibri"/>
          <w:noProof/>
          <w:lang w:val="pt-PT"/>
        </w:rPr>
        <w:t>Atmos. Environ. 187, 93–106. https://doi.org/10.1016/j.atmosenv.2018.05.062</w:t>
      </w:r>
    </w:p>
    <w:p w:rsidRPr="002A63DA" w:rsidR="001A1BF8" w:rsidP="035DD17A" w:rsidRDefault="00A92537" w14:paraId="6E9CFCDC"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lang w:val="pt-PT"/>
        </w:rPr>
        <w:t xml:space="preserve">Vicente, E.D., Alves, C.A., 2018. </w:t>
      </w:r>
      <w:r w:rsidRPr="035DD17A" w:rsidR="00A92537">
        <w:rPr>
          <w:rFonts w:ascii="Calibri" w:hAnsi="Calibri" w:cs="Calibri"/>
          <w:noProof/>
        </w:rPr>
        <w:t>An overview of particulate emissions from residential biomass combustion. Atmos. Res. https://doi.org/10.1016/j.atmosres.2017.08.027</w:t>
      </w:r>
    </w:p>
    <w:p w:rsidRPr="002A63DA" w:rsidR="001A1BF8" w:rsidP="035DD17A" w:rsidRDefault="00A92537" w14:paraId="179D65DB"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WHO, 2018. Burden of disease from the joint effects of household and ambient Air pollution for 2016 Summary of results. World Heal. Organ. 2, 1–5.</w:t>
      </w:r>
    </w:p>
    <w:p w:rsidRPr="002A63DA" w:rsidR="001A1BF8" w:rsidP="035DD17A" w:rsidRDefault="00A92537" w14:paraId="0C59459F"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WHO, 2015. Residential heating with wood and coal: health impacts and policy options in Europe and North America [WWW Document]. URL https://www.euro.who.int/en/publications/abstracts/residential-heating-with-wood-and-coal-health-impacts-and-policy-options-in-europe-and-north-america (accessed 2.21.21).</w:t>
      </w:r>
    </w:p>
    <w:p w:rsidRPr="002A63DA" w:rsidR="001A1BF8" w:rsidP="035DD17A" w:rsidRDefault="00A92537" w14:paraId="57D0AE0A"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WHO, 2013. Health risks of air pollution in Europe – HRAPIE project, Recommendations for concentration–response functions for cost–benefit analysis of particulate matter, ozone and nitrogen dioxide, World Health Organization.</w:t>
      </w:r>
    </w:p>
    <w:p w:rsidRPr="002A63DA" w:rsidR="001A1BF8" w:rsidP="035DD17A" w:rsidRDefault="00A92537" w14:paraId="7BB1A832"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WHO, 2006. Air quality guidelines: Global update 2005 — Particulate matter, ozone, nitrogen dioxide and sulphur dioxide [WWW Document]. URL https://apps.who.int/iris/bitstream/handle/10665/69477/WHO_SDE_PHE_OEH_06.02_eng.pdf;jsessionid=C9A622837270C3630216CD4A48F5124A?sequence=1 (accessed 2.21.21).</w:t>
      </w:r>
    </w:p>
    <w:p w:rsidRPr="002A63DA" w:rsidR="001A1BF8" w:rsidP="001A1BF8" w:rsidRDefault="00A92537" w14:paraId="698E7BF3" w14:textId="77777777">
      <w:pPr>
        <w:widowControl w:val="0"/>
        <w:autoSpaceDE w:val="0"/>
        <w:autoSpaceDN w:val="0"/>
        <w:adjustRightInd w:val="0"/>
        <w:ind w:left="480" w:hanging="480"/>
        <w:rPr>
          <w:rFonts w:ascii="Calibri" w:hAnsi="Calibri" w:cs="Calibri"/>
          <w:noProof/>
        </w:rPr>
      </w:pPr>
      <w:r w:rsidRPr="035DD17A" w:rsidR="00A92537">
        <w:rPr>
          <w:rFonts w:ascii="Calibri" w:hAnsi="Calibri" w:cs="Calibri"/>
          <w:noProof/>
        </w:rPr>
        <w:t>York Bigazzi, A., Rouleau, M., 2017. Can traffic management strategies improve urban air quality? A review of the evidence. J. Transp. Heal. https://doi.org/10.1016/j.jth.2017.08.001</w:t>
      </w:r>
    </w:p>
    <w:p w:rsidRPr="00EC36B0" w:rsidR="00281D93" w:rsidP="00D22CF4" w:rsidRDefault="00A92537" w14:paraId="1A3607CD" w14:textId="77777777">
      <w:pPr>
        <w:rPr>
          <w:strike w:val="1"/>
          <w:lang w:val="en-GB"/>
        </w:rPr>
      </w:pPr>
      <w:r w:rsidRPr="035DD17A">
        <w:rPr>
          <w:strike w:val="1"/>
          <w:lang w:val="en-GB"/>
        </w:rPr>
        <w:fldChar w:fldCharType="end"/>
      </w:r>
    </w:p>
    <w:sectPr w:rsidRPr="00EC36B0" w:rsidR="00281D93" w:rsidSect="004343E2">
      <w:footerReference w:type="default" r:id="rId31"/>
      <w:pgSz w:w="12240" w:h="15840" w:orient="portrait"/>
      <w:pgMar w:top="1440" w:right="1440" w:bottom="1440" w:left="1440" w:header="720" w:footer="720" w:gutter="0"/>
      <w:lnNumType w:countBy="1" w:restart="continuous"/>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5DA3" w:rsidRDefault="003D5DA3" w14:paraId="12BA5909" w14:textId="77777777">
      <w:pPr>
        <w:spacing w:after="0"/>
      </w:pPr>
      <w:r>
        <w:separator/>
      </w:r>
    </w:p>
  </w:endnote>
  <w:endnote w:type="continuationSeparator" w:id="0">
    <w:p w:rsidR="003D5DA3" w:rsidRDefault="003D5DA3" w14:paraId="34588AD4" w14:textId="77777777">
      <w:pPr>
        <w:spacing w:after="0"/>
      </w:pPr>
      <w:r>
        <w:continuationSeparator/>
      </w:r>
    </w:p>
  </w:endnote>
  <w:endnote w:type="continuationNotice" w:id="1">
    <w:p w:rsidR="003D5DA3" w:rsidRDefault="003D5DA3" w14:paraId="033B316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ercu Pro">
    <w:altName w:val="Calibri"/>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528D" w:rsidP="00697661" w:rsidRDefault="00E9528D" w14:paraId="510C7E51" w14:textId="77777777">
    <w:pPr>
      <w:pStyle w:val="Footer"/>
    </w:pPr>
  </w:p>
  <w:p w:rsidR="00E9528D" w:rsidP="00697661" w:rsidRDefault="00E9528D" w14:paraId="6756CBCE" w14:textId="77777777">
    <w:pPr>
      <w:pStyle w:val="Footer"/>
    </w:pPr>
  </w:p>
  <w:p w:rsidR="00E9528D" w:rsidP="00697661" w:rsidRDefault="00E9528D" w14:paraId="07D58AA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5DA3" w:rsidRDefault="003D5DA3" w14:paraId="02B3E72F" w14:textId="77777777">
      <w:pPr>
        <w:spacing w:after="0"/>
      </w:pPr>
      <w:r>
        <w:separator/>
      </w:r>
    </w:p>
  </w:footnote>
  <w:footnote w:type="continuationSeparator" w:id="0">
    <w:p w:rsidR="003D5DA3" w:rsidRDefault="003D5DA3" w14:paraId="26481AB0" w14:textId="77777777">
      <w:pPr>
        <w:spacing w:after="0"/>
      </w:pPr>
      <w:r>
        <w:continuationSeparator/>
      </w:r>
    </w:p>
  </w:footnote>
  <w:footnote w:type="continuationNotice" w:id="1">
    <w:p w:rsidR="003D5DA3" w:rsidRDefault="003D5DA3" w14:paraId="77B7E51B"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893BA"/>
    <w:multiLevelType w:val="hybridMultilevel"/>
    <w:tmpl w:val="8754523B"/>
    <w:lvl w:ilvl="0" w:tplc="FF4CB0FA">
      <w:start w:val="1"/>
      <w:numFmt w:val="bullet"/>
      <w:lvlText w:val="•"/>
      <w:lvlJc w:val="left"/>
    </w:lvl>
    <w:lvl w:ilvl="1" w:tplc="06A2B27A">
      <w:numFmt w:val="decimal"/>
      <w:lvlText w:val=""/>
      <w:lvlJc w:val="left"/>
    </w:lvl>
    <w:lvl w:ilvl="2" w:tplc="7534EBA2">
      <w:numFmt w:val="decimal"/>
      <w:lvlText w:val=""/>
      <w:lvlJc w:val="left"/>
    </w:lvl>
    <w:lvl w:ilvl="3" w:tplc="283ABAFC">
      <w:numFmt w:val="decimal"/>
      <w:lvlText w:val=""/>
      <w:lvlJc w:val="left"/>
    </w:lvl>
    <w:lvl w:ilvl="4" w:tplc="09845426">
      <w:numFmt w:val="decimal"/>
      <w:lvlText w:val=""/>
      <w:lvlJc w:val="left"/>
    </w:lvl>
    <w:lvl w:ilvl="5" w:tplc="AC8E4118">
      <w:numFmt w:val="decimal"/>
      <w:lvlText w:val=""/>
      <w:lvlJc w:val="left"/>
    </w:lvl>
    <w:lvl w:ilvl="6" w:tplc="808E27D2">
      <w:numFmt w:val="decimal"/>
      <w:lvlText w:val=""/>
      <w:lvlJc w:val="left"/>
    </w:lvl>
    <w:lvl w:ilvl="7" w:tplc="FFA0300C">
      <w:numFmt w:val="decimal"/>
      <w:lvlText w:val=""/>
      <w:lvlJc w:val="left"/>
    </w:lvl>
    <w:lvl w:ilvl="8" w:tplc="B5DE8C06">
      <w:numFmt w:val="decimal"/>
      <w:lvlText w:val=""/>
      <w:lvlJc w:val="left"/>
    </w:lvl>
  </w:abstractNum>
  <w:abstractNum w:abstractNumId="1" w15:restartNumberingAfterBreak="0">
    <w:nsid w:val="8A0B667B"/>
    <w:multiLevelType w:val="hybridMultilevel"/>
    <w:tmpl w:val="F0C4D0F5"/>
    <w:lvl w:ilvl="0" w:tplc="EDC68AB4">
      <w:start w:val="1"/>
      <w:numFmt w:val="ideographDigital"/>
      <w:lvlText w:val=""/>
      <w:lvlJc w:val="left"/>
    </w:lvl>
    <w:lvl w:ilvl="1" w:tplc="931645D6">
      <w:numFmt w:val="decimal"/>
      <w:lvlText w:val=""/>
      <w:lvlJc w:val="left"/>
    </w:lvl>
    <w:lvl w:ilvl="2" w:tplc="AAEA5D96">
      <w:numFmt w:val="decimal"/>
      <w:lvlText w:val=""/>
      <w:lvlJc w:val="left"/>
    </w:lvl>
    <w:lvl w:ilvl="3" w:tplc="BD3AF24A">
      <w:numFmt w:val="decimal"/>
      <w:lvlText w:val=""/>
      <w:lvlJc w:val="left"/>
    </w:lvl>
    <w:lvl w:ilvl="4" w:tplc="80F25DA8">
      <w:numFmt w:val="decimal"/>
      <w:lvlText w:val=""/>
      <w:lvlJc w:val="left"/>
    </w:lvl>
    <w:lvl w:ilvl="5" w:tplc="5C00EA58">
      <w:numFmt w:val="decimal"/>
      <w:lvlText w:val=""/>
      <w:lvlJc w:val="left"/>
    </w:lvl>
    <w:lvl w:ilvl="6" w:tplc="C3504620">
      <w:numFmt w:val="decimal"/>
      <w:lvlText w:val=""/>
      <w:lvlJc w:val="left"/>
    </w:lvl>
    <w:lvl w:ilvl="7" w:tplc="95567416">
      <w:numFmt w:val="decimal"/>
      <w:lvlText w:val=""/>
      <w:lvlJc w:val="left"/>
    </w:lvl>
    <w:lvl w:ilvl="8" w:tplc="F29ABEEC">
      <w:numFmt w:val="decimal"/>
      <w:lvlText w:val=""/>
      <w:lvlJc w:val="left"/>
    </w:lvl>
  </w:abstractNum>
  <w:abstractNum w:abstractNumId="2" w15:restartNumberingAfterBreak="0">
    <w:nsid w:val="96B08C44"/>
    <w:multiLevelType w:val="hybridMultilevel"/>
    <w:tmpl w:val="693987DB"/>
    <w:lvl w:ilvl="0" w:tplc="1BEE0348">
      <w:start w:val="1"/>
      <w:numFmt w:val="bullet"/>
      <w:lvlText w:val="•"/>
      <w:lvlJc w:val="left"/>
    </w:lvl>
    <w:lvl w:ilvl="1" w:tplc="4E6AA6B4">
      <w:numFmt w:val="decimal"/>
      <w:lvlText w:val=""/>
      <w:lvlJc w:val="left"/>
    </w:lvl>
    <w:lvl w:ilvl="2" w:tplc="CFE29672">
      <w:numFmt w:val="decimal"/>
      <w:lvlText w:val=""/>
      <w:lvlJc w:val="left"/>
    </w:lvl>
    <w:lvl w:ilvl="3" w:tplc="069AA58C">
      <w:numFmt w:val="decimal"/>
      <w:lvlText w:val=""/>
      <w:lvlJc w:val="left"/>
    </w:lvl>
    <w:lvl w:ilvl="4" w:tplc="844CE07A">
      <w:numFmt w:val="decimal"/>
      <w:lvlText w:val=""/>
      <w:lvlJc w:val="left"/>
    </w:lvl>
    <w:lvl w:ilvl="5" w:tplc="63BC8CC2">
      <w:numFmt w:val="decimal"/>
      <w:lvlText w:val=""/>
      <w:lvlJc w:val="left"/>
    </w:lvl>
    <w:lvl w:ilvl="6" w:tplc="6D54C80A">
      <w:numFmt w:val="decimal"/>
      <w:lvlText w:val=""/>
      <w:lvlJc w:val="left"/>
    </w:lvl>
    <w:lvl w:ilvl="7" w:tplc="D50CDD6A">
      <w:numFmt w:val="decimal"/>
      <w:lvlText w:val=""/>
      <w:lvlJc w:val="left"/>
    </w:lvl>
    <w:lvl w:ilvl="8" w:tplc="EF10C6AA">
      <w:numFmt w:val="decimal"/>
      <w:lvlText w:val=""/>
      <w:lvlJc w:val="left"/>
    </w:lvl>
  </w:abstractNum>
  <w:abstractNum w:abstractNumId="3" w15:restartNumberingAfterBreak="0">
    <w:nsid w:val="AEACACEC"/>
    <w:multiLevelType w:val="hybridMultilevel"/>
    <w:tmpl w:val="9BB166BB"/>
    <w:lvl w:ilvl="0" w:tplc="56045E70">
      <w:start w:val="1"/>
      <w:numFmt w:val="bullet"/>
      <w:lvlText w:val="•"/>
      <w:lvlJc w:val="left"/>
    </w:lvl>
    <w:lvl w:ilvl="1" w:tplc="8760E09E">
      <w:numFmt w:val="decimal"/>
      <w:lvlText w:val=""/>
      <w:lvlJc w:val="left"/>
    </w:lvl>
    <w:lvl w:ilvl="2" w:tplc="C3226DA4">
      <w:numFmt w:val="decimal"/>
      <w:lvlText w:val=""/>
      <w:lvlJc w:val="left"/>
    </w:lvl>
    <w:lvl w:ilvl="3" w:tplc="A802CC88">
      <w:numFmt w:val="decimal"/>
      <w:lvlText w:val=""/>
      <w:lvlJc w:val="left"/>
    </w:lvl>
    <w:lvl w:ilvl="4" w:tplc="15802EDC">
      <w:numFmt w:val="decimal"/>
      <w:lvlText w:val=""/>
      <w:lvlJc w:val="left"/>
    </w:lvl>
    <w:lvl w:ilvl="5" w:tplc="291A2CDC">
      <w:numFmt w:val="decimal"/>
      <w:lvlText w:val=""/>
      <w:lvlJc w:val="left"/>
    </w:lvl>
    <w:lvl w:ilvl="6" w:tplc="4FA4D684">
      <w:numFmt w:val="decimal"/>
      <w:lvlText w:val=""/>
      <w:lvlJc w:val="left"/>
    </w:lvl>
    <w:lvl w:ilvl="7" w:tplc="461A9F94">
      <w:numFmt w:val="decimal"/>
      <w:lvlText w:val=""/>
      <w:lvlJc w:val="left"/>
    </w:lvl>
    <w:lvl w:ilvl="8" w:tplc="92B009F2">
      <w:numFmt w:val="decimal"/>
      <w:lvlText w:val=""/>
      <w:lvlJc w:val="left"/>
    </w:lvl>
  </w:abstractNum>
  <w:abstractNum w:abstractNumId="4" w15:restartNumberingAfterBreak="0">
    <w:nsid w:val="B20EAF9B"/>
    <w:multiLevelType w:val="hybridMultilevel"/>
    <w:tmpl w:val="B6AB3D7B"/>
    <w:lvl w:ilvl="0" w:tplc="5080A196">
      <w:start w:val="1"/>
      <w:numFmt w:val="bullet"/>
      <w:lvlText w:val="•"/>
      <w:lvlJc w:val="left"/>
    </w:lvl>
    <w:lvl w:ilvl="1" w:tplc="9B825F02">
      <w:numFmt w:val="decimal"/>
      <w:lvlText w:val=""/>
      <w:lvlJc w:val="left"/>
    </w:lvl>
    <w:lvl w:ilvl="2" w:tplc="4F14221E">
      <w:numFmt w:val="decimal"/>
      <w:lvlText w:val=""/>
      <w:lvlJc w:val="left"/>
    </w:lvl>
    <w:lvl w:ilvl="3" w:tplc="3F74BBB6">
      <w:numFmt w:val="decimal"/>
      <w:lvlText w:val=""/>
      <w:lvlJc w:val="left"/>
    </w:lvl>
    <w:lvl w:ilvl="4" w:tplc="E152BCD2">
      <w:numFmt w:val="decimal"/>
      <w:lvlText w:val=""/>
      <w:lvlJc w:val="left"/>
    </w:lvl>
    <w:lvl w:ilvl="5" w:tplc="76309486">
      <w:numFmt w:val="decimal"/>
      <w:lvlText w:val=""/>
      <w:lvlJc w:val="left"/>
    </w:lvl>
    <w:lvl w:ilvl="6" w:tplc="6BEEFF36">
      <w:numFmt w:val="decimal"/>
      <w:lvlText w:val=""/>
      <w:lvlJc w:val="left"/>
    </w:lvl>
    <w:lvl w:ilvl="7" w:tplc="5B44950A">
      <w:numFmt w:val="decimal"/>
      <w:lvlText w:val=""/>
      <w:lvlJc w:val="left"/>
    </w:lvl>
    <w:lvl w:ilvl="8" w:tplc="13109448">
      <w:numFmt w:val="decimal"/>
      <w:lvlText w:val=""/>
      <w:lvlJc w:val="left"/>
    </w:lvl>
  </w:abstractNum>
  <w:abstractNum w:abstractNumId="5" w15:restartNumberingAfterBreak="0">
    <w:nsid w:val="DFFA2392"/>
    <w:multiLevelType w:val="hybridMultilevel"/>
    <w:tmpl w:val="186F4CDC"/>
    <w:lvl w:ilvl="0" w:tplc="3C5E52A8">
      <w:start w:val="1"/>
      <w:numFmt w:val="ideographDigital"/>
      <w:lvlText w:val="•"/>
      <w:lvlJc w:val="left"/>
    </w:lvl>
    <w:lvl w:ilvl="1" w:tplc="4B686266">
      <w:numFmt w:val="decimal"/>
      <w:lvlText w:val=""/>
      <w:lvlJc w:val="left"/>
    </w:lvl>
    <w:lvl w:ilvl="2" w:tplc="558C6A8C">
      <w:numFmt w:val="decimal"/>
      <w:lvlText w:val=""/>
      <w:lvlJc w:val="left"/>
    </w:lvl>
    <w:lvl w:ilvl="3" w:tplc="F06C0238">
      <w:numFmt w:val="decimal"/>
      <w:lvlText w:val=""/>
      <w:lvlJc w:val="left"/>
    </w:lvl>
    <w:lvl w:ilvl="4" w:tplc="8506D2D0">
      <w:numFmt w:val="decimal"/>
      <w:lvlText w:val=""/>
      <w:lvlJc w:val="left"/>
    </w:lvl>
    <w:lvl w:ilvl="5" w:tplc="25A23AF4">
      <w:numFmt w:val="decimal"/>
      <w:lvlText w:val=""/>
      <w:lvlJc w:val="left"/>
    </w:lvl>
    <w:lvl w:ilvl="6" w:tplc="13920816">
      <w:numFmt w:val="decimal"/>
      <w:lvlText w:val=""/>
      <w:lvlJc w:val="left"/>
    </w:lvl>
    <w:lvl w:ilvl="7" w:tplc="91EE0286">
      <w:numFmt w:val="decimal"/>
      <w:lvlText w:val=""/>
      <w:lvlJc w:val="left"/>
    </w:lvl>
    <w:lvl w:ilvl="8" w:tplc="3ED28F02">
      <w:numFmt w:val="decimal"/>
      <w:lvlText w:val=""/>
      <w:lvlJc w:val="left"/>
    </w:lvl>
  </w:abstractNum>
  <w:abstractNum w:abstractNumId="6" w15:restartNumberingAfterBreak="0">
    <w:nsid w:val="033F3395"/>
    <w:multiLevelType w:val="hybridMultilevel"/>
    <w:tmpl w:val="68E8E40C"/>
    <w:lvl w:ilvl="0" w:tplc="3C004134">
      <w:numFmt w:val="bullet"/>
      <w:lvlText w:val="-"/>
      <w:lvlJc w:val="left"/>
      <w:pPr>
        <w:ind w:left="720" w:hanging="360"/>
      </w:pPr>
      <w:rPr>
        <w:rFonts w:hint="default" w:ascii="Calibri" w:hAnsi="Calibri" w:cs="Calibri" w:eastAsiaTheme="minorHAnsi"/>
      </w:rPr>
    </w:lvl>
    <w:lvl w:ilvl="1" w:tplc="C06C966C" w:tentative="1">
      <w:start w:val="1"/>
      <w:numFmt w:val="bullet"/>
      <w:lvlText w:val="o"/>
      <w:lvlJc w:val="left"/>
      <w:pPr>
        <w:ind w:left="1440" w:hanging="360"/>
      </w:pPr>
      <w:rPr>
        <w:rFonts w:hint="default" w:ascii="Courier New" w:hAnsi="Courier New" w:cs="Courier New"/>
      </w:rPr>
    </w:lvl>
    <w:lvl w:ilvl="2" w:tplc="1B88A524" w:tentative="1">
      <w:start w:val="1"/>
      <w:numFmt w:val="bullet"/>
      <w:lvlText w:val=""/>
      <w:lvlJc w:val="left"/>
      <w:pPr>
        <w:ind w:left="2160" w:hanging="360"/>
      </w:pPr>
      <w:rPr>
        <w:rFonts w:hint="default" w:ascii="Wingdings" w:hAnsi="Wingdings"/>
      </w:rPr>
    </w:lvl>
    <w:lvl w:ilvl="3" w:tplc="D87823D8" w:tentative="1">
      <w:start w:val="1"/>
      <w:numFmt w:val="bullet"/>
      <w:lvlText w:val=""/>
      <w:lvlJc w:val="left"/>
      <w:pPr>
        <w:ind w:left="2880" w:hanging="360"/>
      </w:pPr>
      <w:rPr>
        <w:rFonts w:hint="default" w:ascii="Symbol" w:hAnsi="Symbol"/>
      </w:rPr>
    </w:lvl>
    <w:lvl w:ilvl="4" w:tplc="56C093FA" w:tentative="1">
      <w:start w:val="1"/>
      <w:numFmt w:val="bullet"/>
      <w:lvlText w:val="o"/>
      <w:lvlJc w:val="left"/>
      <w:pPr>
        <w:ind w:left="3600" w:hanging="360"/>
      </w:pPr>
      <w:rPr>
        <w:rFonts w:hint="default" w:ascii="Courier New" w:hAnsi="Courier New" w:cs="Courier New"/>
      </w:rPr>
    </w:lvl>
    <w:lvl w:ilvl="5" w:tplc="5BBCAE08" w:tentative="1">
      <w:start w:val="1"/>
      <w:numFmt w:val="bullet"/>
      <w:lvlText w:val=""/>
      <w:lvlJc w:val="left"/>
      <w:pPr>
        <w:ind w:left="4320" w:hanging="360"/>
      </w:pPr>
      <w:rPr>
        <w:rFonts w:hint="default" w:ascii="Wingdings" w:hAnsi="Wingdings"/>
      </w:rPr>
    </w:lvl>
    <w:lvl w:ilvl="6" w:tplc="E40AE87E" w:tentative="1">
      <w:start w:val="1"/>
      <w:numFmt w:val="bullet"/>
      <w:lvlText w:val=""/>
      <w:lvlJc w:val="left"/>
      <w:pPr>
        <w:ind w:left="5040" w:hanging="360"/>
      </w:pPr>
      <w:rPr>
        <w:rFonts w:hint="default" w:ascii="Symbol" w:hAnsi="Symbol"/>
      </w:rPr>
    </w:lvl>
    <w:lvl w:ilvl="7" w:tplc="C6680D0E" w:tentative="1">
      <w:start w:val="1"/>
      <w:numFmt w:val="bullet"/>
      <w:lvlText w:val="o"/>
      <w:lvlJc w:val="left"/>
      <w:pPr>
        <w:ind w:left="5760" w:hanging="360"/>
      </w:pPr>
      <w:rPr>
        <w:rFonts w:hint="default" w:ascii="Courier New" w:hAnsi="Courier New" w:cs="Courier New"/>
      </w:rPr>
    </w:lvl>
    <w:lvl w:ilvl="8" w:tplc="1DA460CC" w:tentative="1">
      <w:start w:val="1"/>
      <w:numFmt w:val="bullet"/>
      <w:lvlText w:val=""/>
      <w:lvlJc w:val="left"/>
      <w:pPr>
        <w:ind w:left="6480" w:hanging="360"/>
      </w:pPr>
      <w:rPr>
        <w:rFonts w:hint="default" w:ascii="Wingdings" w:hAnsi="Wingdings"/>
      </w:rPr>
    </w:lvl>
  </w:abstractNum>
  <w:abstractNum w:abstractNumId="7" w15:restartNumberingAfterBreak="0">
    <w:nsid w:val="05182B2B"/>
    <w:multiLevelType w:val="hybridMultilevel"/>
    <w:tmpl w:val="77DE1CFA"/>
    <w:lvl w:ilvl="0" w:tplc="9058E3E6">
      <w:start w:val="1"/>
      <w:numFmt w:val="decimal"/>
      <w:lvlText w:val="%1."/>
      <w:lvlJc w:val="left"/>
      <w:pPr>
        <w:ind w:left="720" w:hanging="360"/>
      </w:pPr>
      <w:rPr>
        <w:rFonts w:hint="default"/>
      </w:rPr>
    </w:lvl>
    <w:lvl w:ilvl="1" w:tplc="9A1E1C86" w:tentative="1">
      <w:start w:val="1"/>
      <w:numFmt w:val="lowerLetter"/>
      <w:lvlText w:val="%2."/>
      <w:lvlJc w:val="left"/>
      <w:pPr>
        <w:ind w:left="1440" w:hanging="360"/>
      </w:pPr>
    </w:lvl>
    <w:lvl w:ilvl="2" w:tplc="9D7A01C4" w:tentative="1">
      <w:start w:val="1"/>
      <w:numFmt w:val="lowerRoman"/>
      <w:lvlText w:val="%3."/>
      <w:lvlJc w:val="right"/>
      <w:pPr>
        <w:ind w:left="2160" w:hanging="180"/>
      </w:pPr>
    </w:lvl>
    <w:lvl w:ilvl="3" w:tplc="22B497DE" w:tentative="1">
      <w:start w:val="1"/>
      <w:numFmt w:val="decimal"/>
      <w:lvlText w:val="%4."/>
      <w:lvlJc w:val="left"/>
      <w:pPr>
        <w:ind w:left="2880" w:hanging="360"/>
      </w:pPr>
    </w:lvl>
    <w:lvl w:ilvl="4" w:tplc="ABEE6A04" w:tentative="1">
      <w:start w:val="1"/>
      <w:numFmt w:val="lowerLetter"/>
      <w:lvlText w:val="%5."/>
      <w:lvlJc w:val="left"/>
      <w:pPr>
        <w:ind w:left="3600" w:hanging="360"/>
      </w:pPr>
    </w:lvl>
    <w:lvl w:ilvl="5" w:tplc="ADB208B4" w:tentative="1">
      <w:start w:val="1"/>
      <w:numFmt w:val="lowerRoman"/>
      <w:lvlText w:val="%6."/>
      <w:lvlJc w:val="right"/>
      <w:pPr>
        <w:ind w:left="4320" w:hanging="180"/>
      </w:pPr>
    </w:lvl>
    <w:lvl w:ilvl="6" w:tplc="3D567E88" w:tentative="1">
      <w:start w:val="1"/>
      <w:numFmt w:val="decimal"/>
      <w:lvlText w:val="%7."/>
      <w:lvlJc w:val="left"/>
      <w:pPr>
        <w:ind w:left="5040" w:hanging="360"/>
      </w:pPr>
    </w:lvl>
    <w:lvl w:ilvl="7" w:tplc="C046F5CC" w:tentative="1">
      <w:start w:val="1"/>
      <w:numFmt w:val="lowerLetter"/>
      <w:lvlText w:val="%8."/>
      <w:lvlJc w:val="left"/>
      <w:pPr>
        <w:ind w:left="5760" w:hanging="360"/>
      </w:pPr>
    </w:lvl>
    <w:lvl w:ilvl="8" w:tplc="2168EFD8" w:tentative="1">
      <w:start w:val="1"/>
      <w:numFmt w:val="lowerRoman"/>
      <w:lvlText w:val="%9."/>
      <w:lvlJc w:val="right"/>
      <w:pPr>
        <w:ind w:left="6480" w:hanging="180"/>
      </w:pPr>
    </w:lvl>
  </w:abstractNum>
  <w:abstractNum w:abstractNumId="8" w15:restartNumberingAfterBreak="0">
    <w:nsid w:val="05BA6F6B"/>
    <w:multiLevelType w:val="multilevel"/>
    <w:tmpl w:val="B05424A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02811CE"/>
    <w:multiLevelType w:val="hybridMultilevel"/>
    <w:tmpl w:val="7D14FC54"/>
    <w:lvl w:ilvl="0" w:tplc="0696F132">
      <w:start w:val="1"/>
      <w:numFmt w:val="decimal"/>
      <w:lvlText w:val="%1."/>
      <w:lvlJc w:val="left"/>
      <w:pPr>
        <w:ind w:left="720" w:hanging="360"/>
      </w:pPr>
    </w:lvl>
    <w:lvl w:ilvl="1" w:tplc="B626706E" w:tentative="1">
      <w:start w:val="1"/>
      <w:numFmt w:val="lowerLetter"/>
      <w:lvlText w:val="%2."/>
      <w:lvlJc w:val="left"/>
      <w:pPr>
        <w:ind w:left="1440" w:hanging="360"/>
      </w:pPr>
    </w:lvl>
    <w:lvl w:ilvl="2" w:tplc="C6FEB2A8" w:tentative="1">
      <w:start w:val="1"/>
      <w:numFmt w:val="lowerRoman"/>
      <w:lvlText w:val="%3."/>
      <w:lvlJc w:val="right"/>
      <w:pPr>
        <w:ind w:left="2160" w:hanging="180"/>
      </w:pPr>
    </w:lvl>
    <w:lvl w:ilvl="3" w:tplc="813EAB4E" w:tentative="1">
      <w:start w:val="1"/>
      <w:numFmt w:val="decimal"/>
      <w:lvlText w:val="%4."/>
      <w:lvlJc w:val="left"/>
      <w:pPr>
        <w:ind w:left="2880" w:hanging="360"/>
      </w:pPr>
    </w:lvl>
    <w:lvl w:ilvl="4" w:tplc="3ED25ACA" w:tentative="1">
      <w:start w:val="1"/>
      <w:numFmt w:val="lowerLetter"/>
      <w:lvlText w:val="%5."/>
      <w:lvlJc w:val="left"/>
      <w:pPr>
        <w:ind w:left="3600" w:hanging="360"/>
      </w:pPr>
    </w:lvl>
    <w:lvl w:ilvl="5" w:tplc="624C662C" w:tentative="1">
      <w:start w:val="1"/>
      <w:numFmt w:val="lowerRoman"/>
      <w:lvlText w:val="%6."/>
      <w:lvlJc w:val="right"/>
      <w:pPr>
        <w:ind w:left="4320" w:hanging="180"/>
      </w:pPr>
    </w:lvl>
    <w:lvl w:ilvl="6" w:tplc="1F2ACFE0" w:tentative="1">
      <w:start w:val="1"/>
      <w:numFmt w:val="decimal"/>
      <w:lvlText w:val="%7."/>
      <w:lvlJc w:val="left"/>
      <w:pPr>
        <w:ind w:left="5040" w:hanging="360"/>
      </w:pPr>
    </w:lvl>
    <w:lvl w:ilvl="7" w:tplc="3A60FC28" w:tentative="1">
      <w:start w:val="1"/>
      <w:numFmt w:val="lowerLetter"/>
      <w:lvlText w:val="%8."/>
      <w:lvlJc w:val="left"/>
      <w:pPr>
        <w:ind w:left="5760" w:hanging="360"/>
      </w:pPr>
    </w:lvl>
    <w:lvl w:ilvl="8" w:tplc="33640362" w:tentative="1">
      <w:start w:val="1"/>
      <w:numFmt w:val="lowerRoman"/>
      <w:lvlText w:val="%9."/>
      <w:lvlJc w:val="right"/>
      <w:pPr>
        <w:ind w:left="6480" w:hanging="180"/>
      </w:pPr>
    </w:lvl>
  </w:abstractNum>
  <w:abstractNum w:abstractNumId="10" w15:restartNumberingAfterBreak="0">
    <w:nsid w:val="14A538FD"/>
    <w:multiLevelType w:val="multilevel"/>
    <w:tmpl w:val="42C840EE"/>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19F7A8D"/>
    <w:multiLevelType w:val="hybridMultilevel"/>
    <w:tmpl w:val="698445A8"/>
    <w:lvl w:ilvl="0" w:tplc="DBF4A518">
      <w:start w:val="1"/>
      <w:numFmt w:val="bullet"/>
      <w:lvlText w:val=""/>
      <w:lvlJc w:val="left"/>
      <w:pPr>
        <w:ind w:left="720" w:hanging="360"/>
      </w:pPr>
      <w:rPr>
        <w:rFonts w:hint="default" w:ascii="Symbol" w:hAnsi="Symbol"/>
      </w:rPr>
    </w:lvl>
    <w:lvl w:ilvl="1" w:tplc="14EE2F36" w:tentative="1">
      <w:start w:val="1"/>
      <w:numFmt w:val="bullet"/>
      <w:lvlText w:val="o"/>
      <w:lvlJc w:val="left"/>
      <w:pPr>
        <w:ind w:left="1440" w:hanging="360"/>
      </w:pPr>
      <w:rPr>
        <w:rFonts w:hint="default" w:ascii="Courier New" w:hAnsi="Courier New" w:cs="Courier New"/>
      </w:rPr>
    </w:lvl>
    <w:lvl w:ilvl="2" w:tplc="A440960E" w:tentative="1">
      <w:start w:val="1"/>
      <w:numFmt w:val="bullet"/>
      <w:lvlText w:val=""/>
      <w:lvlJc w:val="left"/>
      <w:pPr>
        <w:ind w:left="2160" w:hanging="360"/>
      </w:pPr>
      <w:rPr>
        <w:rFonts w:hint="default" w:ascii="Wingdings" w:hAnsi="Wingdings"/>
      </w:rPr>
    </w:lvl>
    <w:lvl w:ilvl="3" w:tplc="273A570E" w:tentative="1">
      <w:start w:val="1"/>
      <w:numFmt w:val="bullet"/>
      <w:lvlText w:val=""/>
      <w:lvlJc w:val="left"/>
      <w:pPr>
        <w:ind w:left="2880" w:hanging="360"/>
      </w:pPr>
      <w:rPr>
        <w:rFonts w:hint="default" w:ascii="Symbol" w:hAnsi="Symbol"/>
      </w:rPr>
    </w:lvl>
    <w:lvl w:ilvl="4" w:tplc="34643A52" w:tentative="1">
      <w:start w:val="1"/>
      <w:numFmt w:val="bullet"/>
      <w:lvlText w:val="o"/>
      <w:lvlJc w:val="left"/>
      <w:pPr>
        <w:ind w:left="3600" w:hanging="360"/>
      </w:pPr>
      <w:rPr>
        <w:rFonts w:hint="default" w:ascii="Courier New" w:hAnsi="Courier New" w:cs="Courier New"/>
      </w:rPr>
    </w:lvl>
    <w:lvl w:ilvl="5" w:tplc="E296137A" w:tentative="1">
      <w:start w:val="1"/>
      <w:numFmt w:val="bullet"/>
      <w:lvlText w:val=""/>
      <w:lvlJc w:val="left"/>
      <w:pPr>
        <w:ind w:left="4320" w:hanging="360"/>
      </w:pPr>
      <w:rPr>
        <w:rFonts w:hint="default" w:ascii="Wingdings" w:hAnsi="Wingdings"/>
      </w:rPr>
    </w:lvl>
    <w:lvl w:ilvl="6" w:tplc="98A43D34" w:tentative="1">
      <w:start w:val="1"/>
      <w:numFmt w:val="bullet"/>
      <w:lvlText w:val=""/>
      <w:lvlJc w:val="left"/>
      <w:pPr>
        <w:ind w:left="5040" w:hanging="360"/>
      </w:pPr>
      <w:rPr>
        <w:rFonts w:hint="default" w:ascii="Symbol" w:hAnsi="Symbol"/>
      </w:rPr>
    </w:lvl>
    <w:lvl w:ilvl="7" w:tplc="5BBEF872" w:tentative="1">
      <w:start w:val="1"/>
      <w:numFmt w:val="bullet"/>
      <w:lvlText w:val="o"/>
      <w:lvlJc w:val="left"/>
      <w:pPr>
        <w:ind w:left="5760" w:hanging="360"/>
      </w:pPr>
      <w:rPr>
        <w:rFonts w:hint="default" w:ascii="Courier New" w:hAnsi="Courier New" w:cs="Courier New"/>
      </w:rPr>
    </w:lvl>
    <w:lvl w:ilvl="8" w:tplc="F63E357A" w:tentative="1">
      <w:start w:val="1"/>
      <w:numFmt w:val="bullet"/>
      <w:lvlText w:val=""/>
      <w:lvlJc w:val="left"/>
      <w:pPr>
        <w:ind w:left="6480" w:hanging="360"/>
      </w:pPr>
      <w:rPr>
        <w:rFonts w:hint="default" w:ascii="Wingdings" w:hAnsi="Wingdings"/>
      </w:rPr>
    </w:lvl>
  </w:abstractNum>
  <w:abstractNum w:abstractNumId="12" w15:restartNumberingAfterBreak="0">
    <w:nsid w:val="220D720C"/>
    <w:multiLevelType w:val="hybridMultilevel"/>
    <w:tmpl w:val="0C4AE254"/>
    <w:lvl w:ilvl="0" w:tplc="797046F0">
      <w:start w:val="1"/>
      <w:numFmt w:val="decimal"/>
      <w:lvlText w:val="%1."/>
      <w:lvlJc w:val="left"/>
      <w:pPr>
        <w:ind w:left="720" w:hanging="360"/>
      </w:pPr>
      <w:rPr>
        <w:rFonts w:hint="default"/>
        <w:u w:color="538135"/>
      </w:rPr>
    </w:lvl>
    <w:lvl w:ilvl="1" w:tplc="C0F86318">
      <w:start w:val="1"/>
      <w:numFmt w:val="lowerLetter"/>
      <w:lvlText w:val="%2."/>
      <w:lvlJc w:val="left"/>
      <w:pPr>
        <w:ind w:left="1440" w:hanging="360"/>
      </w:pPr>
    </w:lvl>
    <w:lvl w:ilvl="2" w:tplc="F656E676" w:tentative="1">
      <w:start w:val="1"/>
      <w:numFmt w:val="lowerRoman"/>
      <w:lvlText w:val="%3."/>
      <w:lvlJc w:val="right"/>
      <w:pPr>
        <w:ind w:left="2160" w:hanging="180"/>
      </w:pPr>
    </w:lvl>
    <w:lvl w:ilvl="3" w:tplc="E0D6291A" w:tentative="1">
      <w:start w:val="1"/>
      <w:numFmt w:val="decimal"/>
      <w:lvlText w:val="%4."/>
      <w:lvlJc w:val="left"/>
      <w:pPr>
        <w:ind w:left="2880" w:hanging="360"/>
      </w:pPr>
    </w:lvl>
    <w:lvl w:ilvl="4" w:tplc="2974D1A8" w:tentative="1">
      <w:start w:val="1"/>
      <w:numFmt w:val="lowerLetter"/>
      <w:lvlText w:val="%5."/>
      <w:lvlJc w:val="left"/>
      <w:pPr>
        <w:ind w:left="3600" w:hanging="360"/>
      </w:pPr>
    </w:lvl>
    <w:lvl w:ilvl="5" w:tplc="955C5DFC" w:tentative="1">
      <w:start w:val="1"/>
      <w:numFmt w:val="lowerRoman"/>
      <w:lvlText w:val="%6."/>
      <w:lvlJc w:val="right"/>
      <w:pPr>
        <w:ind w:left="4320" w:hanging="180"/>
      </w:pPr>
    </w:lvl>
    <w:lvl w:ilvl="6" w:tplc="E41222BC" w:tentative="1">
      <w:start w:val="1"/>
      <w:numFmt w:val="decimal"/>
      <w:lvlText w:val="%7."/>
      <w:lvlJc w:val="left"/>
      <w:pPr>
        <w:ind w:left="5040" w:hanging="360"/>
      </w:pPr>
    </w:lvl>
    <w:lvl w:ilvl="7" w:tplc="E362AD9A" w:tentative="1">
      <w:start w:val="1"/>
      <w:numFmt w:val="lowerLetter"/>
      <w:lvlText w:val="%8."/>
      <w:lvlJc w:val="left"/>
      <w:pPr>
        <w:ind w:left="5760" w:hanging="360"/>
      </w:pPr>
    </w:lvl>
    <w:lvl w:ilvl="8" w:tplc="9BF815BE" w:tentative="1">
      <w:start w:val="1"/>
      <w:numFmt w:val="lowerRoman"/>
      <w:lvlText w:val="%9."/>
      <w:lvlJc w:val="right"/>
      <w:pPr>
        <w:ind w:left="6480" w:hanging="180"/>
      </w:pPr>
    </w:lvl>
  </w:abstractNum>
  <w:abstractNum w:abstractNumId="13" w15:restartNumberingAfterBreak="0">
    <w:nsid w:val="265F3525"/>
    <w:multiLevelType w:val="hybridMultilevel"/>
    <w:tmpl w:val="4E602C1A"/>
    <w:lvl w:ilvl="0" w:tplc="9E98D952">
      <w:start w:val="1"/>
      <w:numFmt w:val="bullet"/>
      <w:lvlText w:val="-"/>
      <w:lvlJc w:val="left"/>
      <w:pPr>
        <w:ind w:left="720" w:hanging="360"/>
      </w:pPr>
      <w:rPr>
        <w:rFonts w:hint="default" w:ascii="Calibri" w:hAnsi="Calibri" w:cs="Calibri" w:eastAsiaTheme="minorHAnsi"/>
      </w:rPr>
    </w:lvl>
    <w:lvl w:ilvl="1" w:tplc="A9FE1606" w:tentative="1">
      <w:start w:val="1"/>
      <w:numFmt w:val="bullet"/>
      <w:lvlText w:val="o"/>
      <w:lvlJc w:val="left"/>
      <w:pPr>
        <w:ind w:left="1440" w:hanging="360"/>
      </w:pPr>
      <w:rPr>
        <w:rFonts w:hint="default" w:ascii="Courier New" w:hAnsi="Courier New" w:cs="Courier New"/>
      </w:rPr>
    </w:lvl>
    <w:lvl w:ilvl="2" w:tplc="2966877E" w:tentative="1">
      <w:start w:val="1"/>
      <w:numFmt w:val="bullet"/>
      <w:lvlText w:val=""/>
      <w:lvlJc w:val="left"/>
      <w:pPr>
        <w:ind w:left="2160" w:hanging="360"/>
      </w:pPr>
      <w:rPr>
        <w:rFonts w:hint="default" w:ascii="Wingdings" w:hAnsi="Wingdings"/>
      </w:rPr>
    </w:lvl>
    <w:lvl w:ilvl="3" w:tplc="8DA8EB72" w:tentative="1">
      <w:start w:val="1"/>
      <w:numFmt w:val="bullet"/>
      <w:lvlText w:val=""/>
      <w:lvlJc w:val="left"/>
      <w:pPr>
        <w:ind w:left="2880" w:hanging="360"/>
      </w:pPr>
      <w:rPr>
        <w:rFonts w:hint="default" w:ascii="Symbol" w:hAnsi="Symbol"/>
      </w:rPr>
    </w:lvl>
    <w:lvl w:ilvl="4" w:tplc="FB081E0A" w:tentative="1">
      <w:start w:val="1"/>
      <w:numFmt w:val="bullet"/>
      <w:lvlText w:val="o"/>
      <w:lvlJc w:val="left"/>
      <w:pPr>
        <w:ind w:left="3600" w:hanging="360"/>
      </w:pPr>
      <w:rPr>
        <w:rFonts w:hint="default" w:ascii="Courier New" w:hAnsi="Courier New" w:cs="Courier New"/>
      </w:rPr>
    </w:lvl>
    <w:lvl w:ilvl="5" w:tplc="B7BC1B5A" w:tentative="1">
      <w:start w:val="1"/>
      <w:numFmt w:val="bullet"/>
      <w:lvlText w:val=""/>
      <w:lvlJc w:val="left"/>
      <w:pPr>
        <w:ind w:left="4320" w:hanging="360"/>
      </w:pPr>
      <w:rPr>
        <w:rFonts w:hint="default" w:ascii="Wingdings" w:hAnsi="Wingdings"/>
      </w:rPr>
    </w:lvl>
    <w:lvl w:ilvl="6" w:tplc="BB7AD0F2" w:tentative="1">
      <w:start w:val="1"/>
      <w:numFmt w:val="bullet"/>
      <w:lvlText w:val=""/>
      <w:lvlJc w:val="left"/>
      <w:pPr>
        <w:ind w:left="5040" w:hanging="360"/>
      </w:pPr>
      <w:rPr>
        <w:rFonts w:hint="default" w:ascii="Symbol" w:hAnsi="Symbol"/>
      </w:rPr>
    </w:lvl>
    <w:lvl w:ilvl="7" w:tplc="84CC1DC0" w:tentative="1">
      <w:start w:val="1"/>
      <w:numFmt w:val="bullet"/>
      <w:lvlText w:val="o"/>
      <w:lvlJc w:val="left"/>
      <w:pPr>
        <w:ind w:left="5760" w:hanging="360"/>
      </w:pPr>
      <w:rPr>
        <w:rFonts w:hint="default" w:ascii="Courier New" w:hAnsi="Courier New" w:cs="Courier New"/>
      </w:rPr>
    </w:lvl>
    <w:lvl w:ilvl="8" w:tplc="B8BA3BDE" w:tentative="1">
      <w:start w:val="1"/>
      <w:numFmt w:val="bullet"/>
      <w:lvlText w:val=""/>
      <w:lvlJc w:val="left"/>
      <w:pPr>
        <w:ind w:left="6480" w:hanging="360"/>
      </w:pPr>
      <w:rPr>
        <w:rFonts w:hint="default" w:ascii="Wingdings" w:hAnsi="Wingdings"/>
      </w:rPr>
    </w:lvl>
  </w:abstractNum>
  <w:abstractNum w:abstractNumId="14" w15:restartNumberingAfterBreak="0">
    <w:nsid w:val="2C7C4C2E"/>
    <w:multiLevelType w:val="hybridMultilevel"/>
    <w:tmpl w:val="A1AA751E"/>
    <w:lvl w:ilvl="0" w:tplc="834C7358">
      <w:start w:val="1"/>
      <w:numFmt w:val="decimal"/>
      <w:lvlText w:val="%1."/>
      <w:lvlJc w:val="left"/>
      <w:pPr>
        <w:ind w:left="1080" w:hanging="720"/>
      </w:pPr>
      <w:rPr>
        <w:rFonts w:hint="default"/>
      </w:rPr>
    </w:lvl>
    <w:lvl w:ilvl="1" w:tplc="544E97CA" w:tentative="1">
      <w:start w:val="1"/>
      <w:numFmt w:val="lowerLetter"/>
      <w:lvlText w:val="%2."/>
      <w:lvlJc w:val="left"/>
      <w:pPr>
        <w:ind w:left="1440" w:hanging="360"/>
      </w:pPr>
    </w:lvl>
    <w:lvl w:ilvl="2" w:tplc="87E6F026" w:tentative="1">
      <w:start w:val="1"/>
      <w:numFmt w:val="lowerRoman"/>
      <w:lvlText w:val="%3."/>
      <w:lvlJc w:val="right"/>
      <w:pPr>
        <w:ind w:left="2160" w:hanging="180"/>
      </w:pPr>
    </w:lvl>
    <w:lvl w:ilvl="3" w:tplc="7382D308" w:tentative="1">
      <w:start w:val="1"/>
      <w:numFmt w:val="decimal"/>
      <w:lvlText w:val="%4."/>
      <w:lvlJc w:val="left"/>
      <w:pPr>
        <w:ind w:left="2880" w:hanging="360"/>
      </w:pPr>
    </w:lvl>
    <w:lvl w:ilvl="4" w:tplc="986009B6" w:tentative="1">
      <w:start w:val="1"/>
      <w:numFmt w:val="lowerLetter"/>
      <w:lvlText w:val="%5."/>
      <w:lvlJc w:val="left"/>
      <w:pPr>
        <w:ind w:left="3600" w:hanging="360"/>
      </w:pPr>
    </w:lvl>
    <w:lvl w:ilvl="5" w:tplc="F7EE3178" w:tentative="1">
      <w:start w:val="1"/>
      <w:numFmt w:val="lowerRoman"/>
      <w:lvlText w:val="%6."/>
      <w:lvlJc w:val="right"/>
      <w:pPr>
        <w:ind w:left="4320" w:hanging="180"/>
      </w:pPr>
    </w:lvl>
    <w:lvl w:ilvl="6" w:tplc="22C8CE0A" w:tentative="1">
      <w:start w:val="1"/>
      <w:numFmt w:val="decimal"/>
      <w:lvlText w:val="%7."/>
      <w:lvlJc w:val="left"/>
      <w:pPr>
        <w:ind w:left="5040" w:hanging="360"/>
      </w:pPr>
    </w:lvl>
    <w:lvl w:ilvl="7" w:tplc="0CC40152" w:tentative="1">
      <w:start w:val="1"/>
      <w:numFmt w:val="lowerLetter"/>
      <w:lvlText w:val="%8."/>
      <w:lvlJc w:val="left"/>
      <w:pPr>
        <w:ind w:left="5760" w:hanging="360"/>
      </w:pPr>
    </w:lvl>
    <w:lvl w:ilvl="8" w:tplc="007AC338" w:tentative="1">
      <w:start w:val="1"/>
      <w:numFmt w:val="lowerRoman"/>
      <w:lvlText w:val="%9."/>
      <w:lvlJc w:val="right"/>
      <w:pPr>
        <w:ind w:left="6480" w:hanging="180"/>
      </w:pPr>
    </w:lvl>
  </w:abstractNum>
  <w:abstractNum w:abstractNumId="15" w15:restartNumberingAfterBreak="0">
    <w:nsid w:val="33F75777"/>
    <w:multiLevelType w:val="multilevel"/>
    <w:tmpl w:val="29AC27AE"/>
    <w:lvl w:ilvl="0">
      <w:start w:val="1"/>
      <w:numFmt w:val="bullet"/>
      <w:lvlText w:val=""/>
      <w:lvlJc w:val="left"/>
      <w:pPr>
        <w:ind w:left="717" w:hanging="360"/>
      </w:pPr>
      <w:rPr>
        <w:rFonts w:hint="default" w:ascii="Symbol" w:hAnsi="Symbol"/>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6" w15:restartNumberingAfterBreak="0">
    <w:nsid w:val="37BB3BDD"/>
    <w:multiLevelType w:val="hybridMultilevel"/>
    <w:tmpl w:val="B2F044F4"/>
    <w:lvl w:ilvl="0" w:tplc="84008A4A">
      <w:start w:val="1"/>
      <w:numFmt w:val="bullet"/>
      <w:lvlText w:val=""/>
      <w:lvlJc w:val="left"/>
      <w:pPr>
        <w:ind w:left="720" w:hanging="360"/>
      </w:pPr>
      <w:rPr>
        <w:rFonts w:hint="default" w:ascii="Symbol" w:hAnsi="Symbol"/>
      </w:rPr>
    </w:lvl>
    <w:lvl w:ilvl="1" w:tplc="CA56C668" w:tentative="1">
      <w:start w:val="1"/>
      <w:numFmt w:val="bullet"/>
      <w:lvlText w:val="o"/>
      <w:lvlJc w:val="left"/>
      <w:pPr>
        <w:ind w:left="1440" w:hanging="360"/>
      </w:pPr>
      <w:rPr>
        <w:rFonts w:hint="default" w:ascii="Courier New" w:hAnsi="Courier New" w:cs="Courier New"/>
      </w:rPr>
    </w:lvl>
    <w:lvl w:ilvl="2" w:tplc="FBEE7A1E" w:tentative="1">
      <w:start w:val="1"/>
      <w:numFmt w:val="bullet"/>
      <w:lvlText w:val=""/>
      <w:lvlJc w:val="left"/>
      <w:pPr>
        <w:ind w:left="2160" w:hanging="360"/>
      </w:pPr>
      <w:rPr>
        <w:rFonts w:hint="default" w:ascii="Wingdings" w:hAnsi="Wingdings"/>
      </w:rPr>
    </w:lvl>
    <w:lvl w:ilvl="3" w:tplc="72825282" w:tentative="1">
      <w:start w:val="1"/>
      <w:numFmt w:val="bullet"/>
      <w:lvlText w:val=""/>
      <w:lvlJc w:val="left"/>
      <w:pPr>
        <w:ind w:left="2880" w:hanging="360"/>
      </w:pPr>
      <w:rPr>
        <w:rFonts w:hint="default" w:ascii="Symbol" w:hAnsi="Symbol"/>
      </w:rPr>
    </w:lvl>
    <w:lvl w:ilvl="4" w:tplc="9DD8FDF4" w:tentative="1">
      <w:start w:val="1"/>
      <w:numFmt w:val="bullet"/>
      <w:lvlText w:val="o"/>
      <w:lvlJc w:val="left"/>
      <w:pPr>
        <w:ind w:left="3600" w:hanging="360"/>
      </w:pPr>
      <w:rPr>
        <w:rFonts w:hint="default" w:ascii="Courier New" w:hAnsi="Courier New" w:cs="Courier New"/>
      </w:rPr>
    </w:lvl>
    <w:lvl w:ilvl="5" w:tplc="0F6E5D24" w:tentative="1">
      <w:start w:val="1"/>
      <w:numFmt w:val="bullet"/>
      <w:lvlText w:val=""/>
      <w:lvlJc w:val="left"/>
      <w:pPr>
        <w:ind w:left="4320" w:hanging="360"/>
      </w:pPr>
      <w:rPr>
        <w:rFonts w:hint="default" w:ascii="Wingdings" w:hAnsi="Wingdings"/>
      </w:rPr>
    </w:lvl>
    <w:lvl w:ilvl="6" w:tplc="CC94F84C" w:tentative="1">
      <w:start w:val="1"/>
      <w:numFmt w:val="bullet"/>
      <w:lvlText w:val=""/>
      <w:lvlJc w:val="left"/>
      <w:pPr>
        <w:ind w:left="5040" w:hanging="360"/>
      </w:pPr>
      <w:rPr>
        <w:rFonts w:hint="default" w:ascii="Symbol" w:hAnsi="Symbol"/>
      </w:rPr>
    </w:lvl>
    <w:lvl w:ilvl="7" w:tplc="28DE4CBE" w:tentative="1">
      <w:start w:val="1"/>
      <w:numFmt w:val="bullet"/>
      <w:lvlText w:val="o"/>
      <w:lvlJc w:val="left"/>
      <w:pPr>
        <w:ind w:left="5760" w:hanging="360"/>
      </w:pPr>
      <w:rPr>
        <w:rFonts w:hint="default" w:ascii="Courier New" w:hAnsi="Courier New" w:cs="Courier New"/>
      </w:rPr>
    </w:lvl>
    <w:lvl w:ilvl="8" w:tplc="937205B2" w:tentative="1">
      <w:start w:val="1"/>
      <w:numFmt w:val="bullet"/>
      <w:lvlText w:val=""/>
      <w:lvlJc w:val="left"/>
      <w:pPr>
        <w:ind w:left="6480" w:hanging="360"/>
      </w:pPr>
      <w:rPr>
        <w:rFonts w:hint="default" w:ascii="Wingdings" w:hAnsi="Wingdings"/>
      </w:rPr>
    </w:lvl>
  </w:abstractNum>
  <w:abstractNum w:abstractNumId="17" w15:restartNumberingAfterBreak="0">
    <w:nsid w:val="38A433DF"/>
    <w:multiLevelType w:val="hybridMultilevel"/>
    <w:tmpl w:val="5FDCDC78"/>
    <w:lvl w:ilvl="0" w:tplc="C7D4BFD8">
      <w:start w:val="1"/>
      <w:numFmt w:val="bullet"/>
      <w:lvlText w:val=""/>
      <w:lvlJc w:val="left"/>
      <w:pPr>
        <w:ind w:left="720" w:hanging="360"/>
      </w:pPr>
      <w:rPr>
        <w:rFonts w:hint="default" w:ascii="Symbol" w:hAnsi="Symbol"/>
      </w:rPr>
    </w:lvl>
    <w:lvl w:ilvl="1" w:tplc="55786A56" w:tentative="1">
      <w:start w:val="1"/>
      <w:numFmt w:val="bullet"/>
      <w:lvlText w:val="o"/>
      <w:lvlJc w:val="left"/>
      <w:pPr>
        <w:ind w:left="1440" w:hanging="360"/>
      </w:pPr>
      <w:rPr>
        <w:rFonts w:hint="default" w:ascii="Courier New" w:hAnsi="Courier New" w:cs="Courier New"/>
      </w:rPr>
    </w:lvl>
    <w:lvl w:ilvl="2" w:tplc="0706AEF4" w:tentative="1">
      <w:start w:val="1"/>
      <w:numFmt w:val="bullet"/>
      <w:lvlText w:val=""/>
      <w:lvlJc w:val="left"/>
      <w:pPr>
        <w:ind w:left="2160" w:hanging="360"/>
      </w:pPr>
      <w:rPr>
        <w:rFonts w:hint="default" w:ascii="Wingdings" w:hAnsi="Wingdings"/>
      </w:rPr>
    </w:lvl>
    <w:lvl w:ilvl="3" w:tplc="6038DFE8" w:tentative="1">
      <w:start w:val="1"/>
      <w:numFmt w:val="bullet"/>
      <w:lvlText w:val=""/>
      <w:lvlJc w:val="left"/>
      <w:pPr>
        <w:ind w:left="2880" w:hanging="360"/>
      </w:pPr>
      <w:rPr>
        <w:rFonts w:hint="default" w:ascii="Symbol" w:hAnsi="Symbol"/>
      </w:rPr>
    </w:lvl>
    <w:lvl w:ilvl="4" w:tplc="5BE6EB7C" w:tentative="1">
      <w:start w:val="1"/>
      <w:numFmt w:val="bullet"/>
      <w:lvlText w:val="o"/>
      <w:lvlJc w:val="left"/>
      <w:pPr>
        <w:ind w:left="3600" w:hanging="360"/>
      </w:pPr>
      <w:rPr>
        <w:rFonts w:hint="default" w:ascii="Courier New" w:hAnsi="Courier New" w:cs="Courier New"/>
      </w:rPr>
    </w:lvl>
    <w:lvl w:ilvl="5" w:tplc="879CF990" w:tentative="1">
      <w:start w:val="1"/>
      <w:numFmt w:val="bullet"/>
      <w:lvlText w:val=""/>
      <w:lvlJc w:val="left"/>
      <w:pPr>
        <w:ind w:left="4320" w:hanging="360"/>
      </w:pPr>
      <w:rPr>
        <w:rFonts w:hint="default" w:ascii="Wingdings" w:hAnsi="Wingdings"/>
      </w:rPr>
    </w:lvl>
    <w:lvl w:ilvl="6" w:tplc="AD309788" w:tentative="1">
      <w:start w:val="1"/>
      <w:numFmt w:val="bullet"/>
      <w:lvlText w:val=""/>
      <w:lvlJc w:val="left"/>
      <w:pPr>
        <w:ind w:left="5040" w:hanging="360"/>
      </w:pPr>
      <w:rPr>
        <w:rFonts w:hint="default" w:ascii="Symbol" w:hAnsi="Symbol"/>
      </w:rPr>
    </w:lvl>
    <w:lvl w:ilvl="7" w:tplc="D7DED8DC" w:tentative="1">
      <w:start w:val="1"/>
      <w:numFmt w:val="bullet"/>
      <w:lvlText w:val="o"/>
      <w:lvlJc w:val="left"/>
      <w:pPr>
        <w:ind w:left="5760" w:hanging="360"/>
      </w:pPr>
      <w:rPr>
        <w:rFonts w:hint="default" w:ascii="Courier New" w:hAnsi="Courier New" w:cs="Courier New"/>
      </w:rPr>
    </w:lvl>
    <w:lvl w:ilvl="8" w:tplc="FF62FFD8" w:tentative="1">
      <w:start w:val="1"/>
      <w:numFmt w:val="bullet"/>
      <w:lvlText w:val=""/>
      <w:lvlJc w:val="left"/>
      <w:pPr>
        <w:ind w:left="6480" w:hanging="360"/>
      </w:pPr>
      <w:rPr>
        <w:rFonts w:hint="default" w:ascii="Wingdings" w:hAnsi="Wingdings"/>
      </w:rPr>
    </w:lvl>
  </w:abstractNum>
  <w:abstractNum w:abstractNumId="18" w15:restartNumberingAfterBreak="0">
    <w:nsid w:val="41B34304"/>
    <w:multiLevelType w:val="hybridMultilevel"/>
    <w:tmpl w:val="5594AAB0"/>
    <w:lvl w:ilvl="0" w:tplc="760664BE">
      <w:start w:val="1"/>
      <w:numFmt w:val="decimal"/>
      <w:lvlText w:val="%1."/>
      <w:lvlJc w:val="left"/>
      <w:pPr>
        <w:ind w:left="720" w:hanging="360"/>
      </w:pPr>
      <w:rPr>
        <w:rFonts w:hint="default"/>
        <w:u w:color="538135"/>
      </w:rPr>
    </w:lvl>
    <w:lvl w:ilvl="1" w:tplc="2590711C" w:tentative="1">
      <w:start w:val="1"/>
      <w:numFmt w:val="lowerLetter"/>
      <w:lvlText w:val="%2."/>
      <w:lvlJc w:val="left"/>
      <w:pPr>
        <w:ind w:left="1440" w:hanging="360"/>
      </w:pPr>
    </w:lvl>
    <w:lvl w:ilvl="2" w:tplc="B5E81312" w:tentative="1">
      <w:start w:val="1"/>
      <w:numFmt w:val="lowerRoman"/>
      <w:lvlText w:val="%3."/>
      <w:lvlJc w:val="right"/>
      <w:pPr>
        <w:ind w:left="2160" w:hanging="180"/>
      </w:pPr>
    </w:lvl>
    <w:lvl w:ilvl="3" w:tplc="114E6514" w:tentative="1">
      <w:start w:val="1"/>
      <w:numFmt w:val="decimal"/>
      <w:lvlText w:val="%4."/>
      <w:lvlJc w:val="left"/>
      <w:pPr>
        <w:ind w:left="2880" w:hanging="360"/>
      </w:pPr>
    </w:lvl>
    <w:lvl w:ilvl="4" w:tplc="2C3A144A" w:tentative="1">
      <w:start w:val="1"/>
      <w:numFmt w:val="lowerLetter"/>
      <w:lvlText w:val="%5."/>
      <w:lvlJc w:val="left"/>
      <w:pPr>
        <w:ind w:left="3600" w:hanging="360"/>
      </w:pPr>
    </w:lvl>
    <w:lvl w:ilvl="5" w:tplc="B9DA7EB2" w:tentative="1">
      <w:start w:val="1"/>
      <w:numFmt w:val="lowerRoman"/>
      <w:lvlText w:val="%6."/>
      <w:lvlJc w:val="right"/>
      <w:pPr>
        <w:ind w:left="4320" w:hanging="180"/>
      </w:pPr>
    </w:lvl>
    <w:lvl w:ilvl="6" w:tplc="056C73F0" w:tentative="1">
      <w:start w:val="1"/>
      <w:numFmt w:val="decimal"/>
      <w:lvlText w:val="%7."/>
      <w:lvlJc w:val="left"/>
      <w:pPr>
        <w:ind w:left="5040" w:hanging="360"/>
      </w:pPr>
    </w:lvl>
    <w:lvl w:ilvl="7" w:tplc="57D60190" w:tentative="1">
      <w:start w:val="1"/>
      <w:numFmt w:val="lowerLetter"/>
      <w:lvlText w:val="%8."/>
      <w:lvlJc w:val="left"/>
      <w:pPr>
        <w:ind w:left="5760" w:hanging="360"/>
      </w:pPr>
    </w:lvl>
    <w:lvl w:ilvl="8" w:tplc="4E1ABE90" w:tentative="1">
      <w:start w:val="1"/>
      <w:numFmt w:val="lowerRoman"/>
      <w:lvlText w:val="%9."/>
      <w:lvlJc w:val="right"/>
      <w:pPr>
        <w:ind w:left="6480" w:hanging="180"/>
      </w:pPr>
    </w:lvl>
  </w:abstractNum>
  <w:abstractNum w:abstractNumId="19" w15:restartNumberingAfterBreak="0">
    <w:nsid w:val="437B0102"/>
    <w:multiLevelType w:val="hybridMultilevel"/>
    <w:tmpl w:val="A76E97F0"/>
    <w:lvl w:ilvl="0" w:tplc="DB2CA13A">
      <w:start w:val="1"/>
      <w:numFmt w:val="decimal"/>
      <w:lvlText w:val="%1."/>
      <w:lvlJc w:val="left"/>
      <w:pPr>
        <w:ind w:left="720" w:hanging="360"/>
      </w:pPr>
    </w:lvl>
    <w:lvl w:ilvl="1" w:tplc="A22E2B76" w:tentative="1">
      <w:start w:val="1"/>
      <w:numFmt w:val="lowerLetter"/>
      <w:lvlText w:val="%2."/>
      <w:lvlJc w:val="left"/>
      <w:pPr>
        <w:ind w:left="1440" w:hanging="360"/>
      </w:pPr>
    </w:lvl>
    <w:lvl w:ilvl="2" w:tplc="B67E96D8" w:tentative="1">
      <w:start w:val="1"/>
      <w:numFmt w:val="lowerRoman"/>
      <w:lvlText w:val="%3."/>
      <w:lvlJc w:val="right"/>
      <w:pPr>
        <w:ind w:left="2160" w:hanging="180"/>
      </w:pPr>
    </w:lvl>
    <w:lvl w:ilvl="3" w:tplc="45F4ED12" w:tentative="1">
      <w:start w:val="1"/>
      <w:numFmt w:val="decimal"/>
      <w:lvlText w:val="%4."/>
      <w:lvlJc w:val="left"/>
      <w:pPr>
        <w:ind w:left="2880" w:hanging="360"/>
      </w:pPr>
    </w:lvl>
    <w:lvl w:ilvl="4" w:tplc="6270ECA4" w:tentative="1">
      <w:start w:val="1"/>
      <w:numFmt w:val="lowerLetter"/>
      <w:lvlText w:val="%5."/>
      <w:lvlJc w:val="left"/>
      <w:pPr>
        <w:ind w:left="3600" w:hanging="360"/>
      </w:pPr>
    </w:lvl>
    <w:lvl w:ilvl="5" w:tplc="F0AEE0BA" w:tentative="1">
      <w:start w:val="1"/>
      <w:numFmt w:val="lowerRoman"/>
      <w:lvlText w:val="%6."/>
      <w:lvlJc w:val="right"/>
      <w:pPr>
        <w:ind w:left="4320" w:hanging="180"/>
      </w:pPr>
    </w:lvl>
    <w:lvl w:ilvl="6" w:tplc="BCFC930A" w:tentative="1">
      <w:start w:val="1"/>
      <w:numFmt w:val="decimal"/>
      <w:lvlText w:val="%7."/>
      <w:lvlJc w:val="left"/>
      <w:pPr>
        <w:ind w:left="5040" w:hanging="360"/>
      </w:pPr>
    </w:lvl>
    <w:lvl w:ilvl="7" w:tplc="8ECCC4CC" w:tentative="1">
      <w:start w:val="1"/>
      <w:numFmt w:val="lowerLetter"/>
      <w:lvlText w:val="%8."/>
      <w:lvlJc w:val="left"/>
      <w:pPr>
        <w:ind w:left="5760" w:hanging="360"/>
      </w:pPr>
    </w:lvl>
    <w:lvl w:ilvl="8" w:tplc="677EC84C" w:tentative="1">
      <w:start w:val="1"/>
      <w:numFmt w:val="lowerRoman"/>
      <w:lvlText w:val="%9."/>
      <w:lvlJc w:val="right"/>
      <w:pPr>
        <w:ind w:left="6480" w:hanging="180"/>
      </w:pPr>
    </w:lvl>
  </w:abstractNum>
  <w:abstractNum w:abstractNumId="20" w15:restartNumberingAfterBreak="0">
    <w:nsid w:val="475773D2"/>
    <w:multiLevelType w:val="hybridMultilevel"/>
    <w:tmpl w:val="92D76F44"/>
    <w:lvl w:ilvl="0" w:tplc="0CB85D2C">
      <w:start w:val="1"/>
      <w:numFmt w:val="bullet"/>
      <w:lvlText w:val="•"/>
      <w:lvlJc w:val="left"/>
    </w:lvl>
    <w:lvl w:ilvl="1" w:tplc="DD3000E8">
      <w:numFmt w:val="decimal"/>
      <w:lvlText w:val=""/>
      <w:lvlJc w:val="left"/>
    </w:lvl>
    <w:lvl w:ilvl="2" w:tplc="000E95E4">
      <w:numFmt w:val="decimal"/>
      <w:lvlText w:val=""/>
      <w:lvlJc w:val="left"/>
    </w:lvl>
    <w:lvl w:ilvl="3" w:tplc="DDF6B8E4">
      <w:numFmt w:val="decimal"/>
      <w:lvlText w:val=""/>
      <w:lvlJc w:val="left"/>
    </w:lvl>
    <w:lvl w:ilvl="4" w:tplc="AF0E4FFC">
      <w:numFmt w:val="decimal"/>
      <w:lvlText w:val=""/>
      <w:lvlJc w:val="left"/>
    </w:lvl>
    <w:lvl w:ilvl="5" w:tplc="DA301262">
      <w:numFmt w:val="decimal"/>
      <w:lvlText w:val=""/>
      <w:lvlJc w:val="left"/>
    </w:lvl>
    <w:lvl w:ilvl="6" w:tplc="8812B014">
      <w:numFmt w:val="decimal"/>
      <w:lvlText w:val=""/>
      <w:lvlJc w:val="left"/>
    </w:lvl>
    <w:lvl w:ilvl="7" w:tplc="78B88F48">
      <w:numFmt w:val="decimal"/>
      <w:lvlText w:val=""/>
      <w:lvlJc w:val="left"/>
    </w:lvl>
    <w:lvl w:ilvl="8" w:tplc="27265B32">
      <w:numFmt w:val="decimal"/>
      <w:lvlText w:val=""/>
      <w:lvlJc w:val="left"/>
    </w:lvl>
  </w:abstractNum>
  <w:abstractNum w:abstractNumId="21" w15:restartNumberingAfterBreak="0">
    <w:nsid w:val="47804EDA"/>
    <w:multiLevelType w:val="hybridMultilevel"/>
    <w:tmpl w:val="AFE0B650"/>
    <w:lvl w:ilvl="0" w:tplc="B5E22A82">
      <w:start w:val="1"/>
      <w:numFmt w:val="bullet"/>
      <w:lvlText w:val=""/>
      <w:lvlJc w:val="left"/>
      <w:pPr>
        <w:ind w:left="720" w:hanging="360"/>
      </w:pPr>
      <w:rPr>
        <w:rFonts w:hint="default" w:ascii="Symbol" w:hAnsi="Symbol"/>
      </w:rPr>
    </w:lvl>
    <w:lvl w:ilvl="1" w:tplc="218C7EEA" w:tentative="1">
      <w:start w:val="1"/>
      <w:numFmt w:val="bullet"/>
      <w:lvlText w:val="o"/>
      <w:lvlJc w:val="left"/>
      <w:pPr>
        <w:ind w:left="1440" w:hanging="360"/>
      </w:pPr>
      <w:rPr>
        <w:rFonts w:hint="default" w:ascii="Courier New" w:hAnsi="Courier New" w:cs="Courier New"/>
      </w:rPr>
    </w:lvl>
    <w:lvl w:ilvl="2" w:tplc="379226CA" w:tentative="1">
      <w:start w:val="1"/>
      <w:numFmt w:val="bullet"/>
      <w:lvlText w:val=""/>
      <w:lvlJc w:val="left"/>
      <w:pPr>
        <w:ind w:left="2160" w:hanging="360"/>
      </w:pPr>
      <w:rPr>
        <w:rFonts w:hint="default" w:ascii="Wingdings" w:hAnsi="Wingdings"/>
      </w:rPr>
    </w:lvl>
    <w:lvl w:ilvl="3" w:tplc="8BBE9CB8" w:tentative="1">
      <w:start w:val="1"/>
      <w:numFmt w:val="bullet"/>
      <w:lvlText w:val=""/>
      <w:lvlJc w:val="left"/>
      <w:pPr>
        <w:ind w:left="2880" w:hanging="360"/>
      </w:pPr>
      <w:rPr>
        <w:rFonts w:hint="default" w:ascii="Symbol" w:hAnsi="Symbol"/>
      </w:rPr>
    </w:lvl>
    <w:lvl w:ilvl="4" w:tplc="D1AAF9DC" w:tentative="1">
      <w:start w:val="1"/>
      <w:numFmt w:val="bullet"/>
      <w:lvlText w:val="o"/>
      <w:lvlJc w:val="left"/>
      <w:pPr>
        <w:ind w:left="3600" w:hanging="360"/>
      </w:pPr>
      <w:rPr>
        <w:rFonts w:hint="default" w:ascii="Courier New" w:hAnsi="Courier New" w:cs="Courier New"/>
      </w:rPr>
    </w:lvl>
    <w:lvl w:ilvl="5" w:tplc="0F1039D0" w:tentative="1">
      <w:start w:val="1"/>
      <w:numFmt w:val="bullet"/>
      <w:lvlText w:val=""/>
      <w:lvlJc w:val="left"/>
      <w:pPr>
        <w:ind w:left="4320" w:hanging="360"/>
      </w:pPr>
      <w:rPr>
        <w:rFonts w:hint="default" w:ascii="Wingdings" w:hAnsi="Wingdings"/>
      </w:rPr>
    </w:lvl>
    <w:lvl w:ilvl="6" w:tplc="4560C67E" w:tentative="1">
      <w:start w:val="1"/>
      <w:numFmt w:val="bullet"/>
      <w:lvlText w:val=""/>
      <w:lvlJc w:val="left"/>
      <w:pPr>
        <w:ind w:left="5040" w:hanging="360"/>
      </w:pPr>
      <w:rPr>
        <w:rFonts w:hint="default" w:ascii="Symbol" w:hAnsi="Symbol"/>
      </w:rPr>
    </w:lvl>
    <w:lvl w:ilvl="7" w:tplc="5BD2FA7E" w:tentative="1">
      <w:start w:val="1"/>
      <w:numFmt w:val="bullet"/>
      <w:lvlText w:val="o"/>
      <w:lvlJc w:val="left"/>
      <w:pPr>
        <w:ind w:left="5760" w:hanging="360"/>
      </w:pPr>
      <w:rPr>
        <w:rFonts w:hint="default" w:ascii="Courier New" w:hAnsi="Courier New" w:cs="Courier New"/>
      </w:rPr>
    </w:lvl>
    <w:lvl w:ilvl="8" w:tplc="45145D84" w:tentative="1">
      <w:start w:val="1"/>
      <w:numFmt w:val="bullet"/>
      <w:lvlText w:val=""/>
      <w:lvlJc w:val="left"/>
      <w:pPr>
        <w:ind w:left="6480" w:hanging="360"/>
      </w:pPr>
      <w:rPr>
        <w:rFonts w:hint="default" w:ascii="Wingdings" w:hAnsi="Wingdings"/>
      </w:rPr>
    </w:lvl>
  </w:abstractNum>
  <w:abstractNum w:abstractNumId="22" w15:restartNumberingAfterBreak="0">
    <w:nsid w:val="4798618C"/>
    <w:multiLevelType w:val="hybridMultilevel"/>
    <w:tmpl w:val="FAE24290"/>
    <w:lvl w:ilvl="0" w:tplc="430C8ACC">
      <w:start w:val="1"/>
      <w:numFmt w:val="bullet"/>
      <w:lvlText w:val=""/>
      <w:lvlJc w:val="left"/>
      <w:pPr>
        <w:ind w:left="720" w:hanging="360"/>
      </w:pPr>
      <w:rPr>
        <w:rFonts w:hint="default" w:ascii="Symbol" w:hAnsi="Symbol"/>
      </w:rPr>
    </w:lvl>
    <w:lvl w:ilvl="1" w:tplc="59AC73BA" w:tentative="1">
      <w:start w:val="1"/>
      <w:numFmt w:val="bullet"/>
      <w:lvlText w:val="o"/>
      <w:lvlJc w:val="left"/>
      <w:pPr>
        <w:ind w:left="1440" w:hanging="360"/>
      </w:pPr>
      <w:rPr>
        <w:rFonts w:hint="default" w:ascii="Courier New" w:hAnsi="Courier New" w:cs="Courier New"/>
      </w:rPr>
    </w:lvl>
    <w:lvl w:ilvl="2" w:tplc="11F66BC6" w:tentative="1">
      <w:start w:val="1"/>
      <w:numFmt w:val="bullet"/>
      <w:lvlText w:val=""/>
      <w:lvlJc w:val="left"/>
      <w:pPr>
        <w:ind w:left="2160" w:hanging="360"/>
      </w:pPr>
      <w:rPr>
        <w:rFonts w:hint="default" w:ascii="Wingdings" w:hAnsi="Wingdings"/>
      </w:rPr>
    </w:lvl>
    <w:lvl w:ilvl="3" w:tplc="0DB890F4" w:tentative="1">
      <w:start w:val="1"/>
      <w:numFmt w:val="bullet"/>
      <w:lvlText w:val=""/>
      <w:lvlJc w:val="left"/>
      <w:pPr>
        <w:ind w:left="2880" w:hanging="360"/>
      </w:pPr>
      <w:rPr>
        <w:rFonts w:hint="default" w:ascii="Symbol" w:hAnsi="Symbol"/>
      </w:rPr>
    </w:lvl>
    <w:lvl w:ilvl="4" w:tplc="65C6B564" w:tentative="1">
      <w:start w:val="1"/>
      <w:numFmt w:val="bullet"/>
      <w:lvlText w:val="o"/>
      <w:lvlJc w:val="left"/>
      <w:pPr>
        <w:ind w:left="3600" w:hanging="360"/>
      </w:pPr>
      <w:rPr>
        <w:rFonts w:hint="default" w:ascii="Courier New" w:hAnsi="Courier New" w:cs="Courier New"/>
      </w:rPr>
    </w:lvl>
    <w:lvl w:ilvl="5" w:tplc="6A0CD27A" w:tentative="1">
      <w:start w:val="1"/>
      <w:numFmt w:val="bullet"/>
      <w:lvlText w:val=""/>
      <w:lvlJc w:val="left"/>
      <w:pPr>
        <w:ind w:left="4320" w:hanging="360"/>
      </w:pPr>
      <w:rPr>
        <w:rFonts w:hint="default" w:ascii="Wingdings" w:hAnsi="Wingdings"/>
      </w:rPr>
    </w:lvl>
    <w:lvl w:ilvl="6" w:tplc="4A865E68" w:tentative="1">
      <w:start w:val="1"/>
      <w:numFmt w:val="bullet"/>
      <w:lvlText w:val=""/>
      <w:lvlJc w:val="left"/>
      <w:pPr>
        <w:ind w:left="5040" w:hanging="360"/>
      </w:pPr>
      <w:rPr>
        <w:rFonts w:hint="default" w:ascii="Symbol" w:hAnsi="Symbol"/>
      </w:rPr>
    </w:lvl>
    <w:lvl w:ilvl="7" w:tplc="34BC99C2" w:tentative="1">
      <w:start w:val="1"/>
      <w:numFmt w:val="bullet"/>
      <w:lvlText w:val="o"/>
      <w:lvlJc w:val="left"/>
      <w:pPr>
        <w:ind w:left="5760" w:hanging="360"/>
      </w:pPr>
      <w:rPr>
        <w:rFonts w:hint="default" w:ascii="Courier New" w:hAnsi="Courier New" w:cs="Courier New"/>
      </w:rPr>
    </w:lvl>
    <w:lvl w:ilvl="8" w:tplc="523C4088" w:tentative="1">
      <w:start w:val="1"/>
      <w:numFmt w:val="bullet"/>
      <w:lvlText w:val=""/>
      <w:lvlJc w:val="left"/>
      <w:pPr>
        <w:ind w:left="6480" w:hanging="360"/>
      </w:pPr>
      <w:rPr>
        <w:rFonts w:hint="default" w:ascii="Wingdings" w:hAnsi="Wingdings"/>
      </w:rPr>
    </w:lvl>
  </w:abstractNum>
  <w:abstractNum w:abstractNumId="23" w15:restartNumberingAfterBreak="0">
    <w:nsid w:val="4ED1661F"/>
    <w:multiLevelType w:val="hybridMultilevel"/>
    <w:tmpl w:val="B7FA6356"/>
    <w:lvl w:ilvl="0" w:tplc="9788CD36">
      <w:start w:val="1"/>
      <w:numFmt w:val="bullet"/>
      <w:lvlText w:val=""/>
      <w:lvlJc w:val="left"/>
      <w:pPr>
        <w:ind w:left="720" w:hanging="360"/>
      </w:pPr>
      <w:rPr>
        <w:rFonts w:hint="default" w:ascii="Symbol" w:hAnsi="Symbol"/>
      </w:rPr>
    </w:lvl>
    <w:lvl w:ilvl="1" w:tplc="0E9EFE78" w:tentative="1">
      <w:start w:val="1"/>
      <w:numFmt w:val="bullet"/>
      <w:lvlText w:val="o"/>
      <w:lvlJc w:val="left"/>
      <w:pPr>
        <w:ind w:left="1440" w:hanging="360"/>
      </w:pPr>
      <w:rPr>
        <w:rFonts w:hint="default" w:ascii="Courier New" w:hAnsi="Courier New" w:cs="Courier New"/>
      </w:rPr>
    </w:lvl>
    <w:lvl w:ilvl="2" w:tplc="D1264766" w:tentative="1">
      <w:start w:val="1"/>
      <w:numFmt w:val="bullet"/>
      <w:lvlText w:val=""/>
      <w:lvlJc w:val="left"/>
      <w:pPr>
        <w:ind w:left="2160" w:hanging="360"/>
      </w:pPr>
      <w:rPr>
        <w:rFonts w:hint="default" w:ascii="Wingdings" w:hAnsi="Wingdings"/>
      </w:rPr>
    </w:lvl>
    <w:lvl w:ilvl="3" w:tplc="A1B2CDA2" w:tentative="1">
      <w:start w:val="1"/>
      <w:numFmt w:val="bullet"/>
      <w:lvlText w:val=""/>
      <w:lvlJc w:val="left"/>
      <w:pPr>
        <w:ind w:left="2880" w:hanging="360"/>
      </w:pPr>
      <w:rPr>
        <w:rFonts w:hint="default" w:ascii="Symbol" w:hAnsi="Symbol"/>
      </w:rPr>
    </w:lvl>
    <w:lvl w:ilvl="4" w:tplc="54FCBB3E" w:tentative="1">
      <w:start w:val="1"/>
      <w:numFmt w:val="bullet"/>
      <w:lvlText w:val="o"/>
      <w:lvlJc w:val="left"/>
      <w:pPr>
        <w:ind w:left="3600" w:hanging="360"/>
      </w:pPr>
      <w:rPr>
        <w:rFonts w:hint="default" w:ascii="Courier New" w:hAnsi="Courier New" w:cs="Courier New"/>
      </w:rPr>
    </w:lvl>
    <w:lvl w:ilvl="5" w:tplc="B0762DBE" w:tentative="1">
      <w:start w:val="1"/>
      <w:numFmt w:val="bullet"/>
      <w:lvlText w:val=""/>
      <w:lvlJc w:val="left"/>
      <w:pPr>
        <w:ind w:left="4320" w:hanging="360"/>
      </w:pPr>
      <w:rPr>
        <w:rFonts w:hint="default" w:ascii="Wingdings" w:hAnsi="Wingdings"/>
      </w:rPr>
    </w:lvl>
    <w:lvl w:ilvl="6" w:tplc="5170B6E0" w:tentative="1">
      <w:start w:val="1"/>
      <w:numFmt w:val="bullet"/>
      <w:lvlText w:val=""/>
      <w:lvlJc w:val="left"/>
      <w:pPr>
        <w:ind w:left="5040" w:hanging="360"/>
      </w:pPr>
      <w:rPr>
        <w:rFonts w:hint="default" w:ascii="Symbol" w:hAnsi="Symbol"/>
      </w:rPr>
    </w:lvl>
    <w:lvl w:ilvl="7" w:tplc="49DE5156" w:tentative="1">
      <w:start w:val="1"/>
      <w:numFmt w:val="bullet"/>
      <w:lvlText w:val="o"/>
      <w:lvlJc w:val="left"/>
      <w:pPr>
        <w:ind w:left="5760" w:hanging="360"/>
      </w:pPr>
      <w:rPr>
        <w:rFonts w:hint="default" w:ascii="Courier New" w:hAnsi="Courier New" w:cs="Courier New"/>
      </w:rPr>
    </w:lvl>
    <w:lvl w:ilvl="8" w:tplc="B55872BE" w:tentative="1">
      <w:start w:val="1"/>
      <w:numFmt w:val="bullet"/>
      <w:lvlText w:val=""/>
      <w:lvlJc w:val="left"/>
      <w:pPr>
        <w:ind w:left="6480" w:hanging="360"/>
      </w:pPr>
      <w:rPr>
        <w:rFonts w:hint="default" w:ascii="Wingdings" w:hAnsi="Wingdings"/>
      </w:rPr>
    </w:lvl>
  </w:abstractNum>
  <w:abstractNum w:abstractNumId="24" w15:restartNumberingAfterBreak="0">
    <w:nsid w:val="4F9846B9"/>
    <w:multiLevelType w:val="hybridMultilevel"/>
    <w:tmpl w:val="E5523408"/>
    <w:lvl w:ilvl="0" w:tplc="5B4AB99A">
      <w:start w:val="1"/>
      <w:numFmt w:val="bullet"/>
      <w:lvlText w:val=""/>
      <w:lvlJc w:val="left"/>
      <w:pPr>
        <w:ind w:left="720" w:hanging="360"/>
      </w:pPr>
      <w:rPr>
        <w:rFonts w:hint="default" w:ascii="Symbol" w:hAnsi="Symbol"/>
      </w:rPr>
    </w:lvl>
    <w:lvl w:ilvl="1" w:tplc="B8DC4FB4" w:tentative="1">
      <w:start w:val="1"/>
      <w:numFmt w:val="bullet"/>
      <w:lvlText w:val="o"/>
      <w:lvlJc w:val="left"/>
      <w:pPr>
        <w:ind w:left="1440" w:hanging="360"/>
      </w:pPr>
      <w:rPr>
        <w:rFonts w:hint="default" w:ascii="Courier New" w:hAnsi="Courier New" w:cs="Courier New"/>
      </w:rPr>
    </w:lvl>
    <w:lvl w:ilvl="2" w:tplc="062AF81E" w:tentative="1">
      <w:start w:val="1"/>
      <w:numFmt w:val="bullet"/>
      <w:lvlText w:val=""/>
      <w:lvlJc w:val="left"/>
      <w:pPr>
        <w:ind w:left="2160" w:hanging="360"/>
      </w:pPr>
      <w:rPr>
        <w:rFonts w:hint="default" w:ascii="Wingdings" w:hAnsi="Wingdings"/>
      </w:rPr>
    </w:lvl>
    <w:lvl w:ilvl="3" w:tplc="4FE80B42" w:tentative="1">
      <w:start w:val="1"/>
      <w:numFmt w:val="bullet"/>
      <w:lvlText w:val=""/>
      <w:lvlJc w:val="left"/>
      <w:pPr>
        <w:ind w:left="2880" w:hanging="360"/>
      </w:pPr>
      <w:rPr>
        <w:rFonts w:hint="default" w:ascii="Symbol" w:hAnsi="Symbol"/>
      </w:rPr>
    </w:lvl>
    <w:lvl w:ilvl="4" w:tplc="278EE07C" w:tentative="1">
      <w:start w:val="1"/>
      <w:numFmt w:val="bullet"/>
      <w:lvlText w:val="o"/>
      <w:lvlJc w:val="left"/>
      <w:pPr>
        <w:ind w:left="3600" w:hanging="360"/>
      </w:pPr>
      <w:rPr>
        <w:rFonts w:hint="default" w:ascii="Courier New" w:hAnsi="Courier New" w:cs="Courier New"/>
      </w:rPr>
    </w:lvl>
    <w:lvl w:ilvl="5" w:tplc="AE940142" w:tentative="1">
      <w:start w:val="1"/>
      <w:numFmt w:val="bullet"/>
      <w:lvlText w:val=""/>
      <w:lvlJc w:val="left"/>
      <w:pPr>
        <w:ind w:left="4320" w:hanging="360"/>
      </w:pPr>
      <w:rPr>
        <w:rFonts w:hint="default" w:ascii="Wingdings" w:hAnsi="Wingdings"/>
      </w:rPr>
    </w:lvl>
    <w:lvl w:ilvl="6" w:tplc="89B43760" w:tentative="1">
      <w:start w:val="1"/>
      <w:numFmt w:val="bullet"/>
      <w:lvlText w:val=""/>
      <w:lvlJc w:val="left"/>
      <w:pPr>
        <w:ind w:left="5040" w:hanging="360"/>
      </w:pPr>
      <w:rPr>
        <w:rFonts w:hint="default" w:ascii="Symbol" w:hAnsi="Symbol"/>
      </w:rPr>
    </w:lvl>
    <w:lvl w:ilvl="7" w:tplc="B74C573C" w:tentative="1">
      <w:start w:val="1"/>
      <w:numFmt w:val="bullet"/>
      <w:lvlText w:val="o"/>
      <w:lvlJc w:val="left"/>
      <w:pPr>
        <w:ind w:left="5760" w:hanging="360"/>
      </w:pPr>
      <w:rPr>
        <w:rFonts w:hint="default" w:ascii="Courier New" w:hAnsi="Courier New" w:cs="Courier New"/>
      </w:rPr>
    </w:lvl>
    <w:lvl w:ilvl="8" w:tplc="001EB756" w:tentative="1">
      <w:start w:val="1"/>
      <w:numFmt w:val="bullet"/>
      <w:lvlText w:val=""/>
      <w:lvlJc w:val="left"/>
      <w:pPr>
        <w:ind w:left="6480" w:hanging="360"/>
      </w:pPr>
      <w:rPr>
        <w:rFonts w:hint="default" w:ascii="Wingdings" w:hAnsi="Wingdings"/>
      </w:rPr>
    </w:lvl>
  </w:abstractNum>
  <w:abstractNum w:abstractNumId="25" w15:restartNumberingAfterBreak="0">
    <w:nsid w:val="50620DF7"/>
    <w:multiLevelType w:val="hybridMultilevel"/>
    <w:tmpl w:val="5E08DC12"/>
    <w:lvl w:ilvl="0" w:tplc="E886F8F0">
      <w:start w:val="1"/>
      <w:numFmt w:val="decimal"/>
      <w:lvlText w:val="%1."/>
      <w:lvlJc w:val="left"/>
      <w:pPr>
        <w:ind w:left="360" w:hanging="360"/>
      </w:pPr>
    </w:lvl>
    <w:lvl w:ilvl="1" w:tplc="A29A72A4">
      <w:start w:val="1"/>
      <w:numFmt w:val="lowerLetter"/>
      <w:lvlText w:val="%2."/>
      <w:lvlJc w:val="left"/>
      <w:pPr>
        <w:ind w:left="1440" w:hanging="360"/>
      </w:pPr>
    </w:lvl>
    <w:lvl w:ilvl="2" w:tplc="84C4EB2E">
      <w:start w:val="1"/>
      <w:numFmt w:val="lowerRoman"/>
      <w:lvlText w:val="%3."/>
      <w:lvlJc w:val="right"/>
      <w:pPr>
        <w:ind w:left="2160" w:hanging="180"/>
      </w:pPr>
    </w:lvl>
    <w:lvl w:ilvl="3" w:tplc="C134901A">
      <w:start w:val="1"/>
      <w:numFmt w:val="decimal"/>
      <w:lvlText w:val="%4."/>
      <w:lvlJc w:val="left"/>
      <w:pPr>
        <w:ind w:left="2880" w:hanging="360"/>
      </w:pPr>
    </w:lvl>
    <w:lvl w:ilvl="4" w:tplc="CD68936C">
      <w:start w:val="1"/>
      <w:numFmt w:val="lowerLetter"/>
      <w:lvlText w:val="%5."/>
      <w:lvlJc w:val="left"/>
      <w:pPr>
        <w:ind w:left="3600" w:hanging="360"/>
      </w:pPr>
    </w:lvl>
    <w:lvl w:ilvl="5" w:tplc="24D8CA64">
      <w:start w:val="1"/>
      <w:numFmt w:val="lowerRoman"/>
      <w:lvlText w:val="%6."/>
      <w:lvlJc w:val="right"/>
      <w:pPr>
        <w:ind w:left="4320" w:hanging="180"/>
      </w:pPr>
    </w:lvl>
    <w:lvl w:ilvl="6" w:tplc="DB781B4C">
      <w:start w:val="1"/>
      <w:numFmt w:val="decimal"/>
      <w:lvlText w:val="%7."/>
      <w:lvlJc w:val="left"/>
      <w:pPr>
        <w:ind w:left="5040" w:hanging="360"/>
      </w:pPr>
    </w:lvl>
    <w:lvl w:ilvl="7" w:tplc="A0460CBA" w:tentative="1">
      <w:start w:val="1"/>
      <w:numFmt w:val="lowerLetter"/>
      <w:lvlText w:val="%8."/>
      <w:lvlJc w:val="left"/>
      <w:pPr>
        <w:ind w:left="5760" w:hanging="360"/>
      </w:pPr>
    </w:lvl>
    <w:lvl w:ilvl="8" w:tplc="887EC9BA" w:tentative="1">
      <w:start w:val="1"/>
      <w:numFmt w:val="lowerRoman"/>
      <w:lvlText w:val="%9."/>
      <w:lvlJc w:val="right"/>
      <w:pPr>
        <w:ind w:left="6480" w:hanging="180"/>
      </w:pPr>
    </w:lvl>
  </w:abstractNum>
  <w:abstractNum w:abstractNumId="26" w15:restartNumberingAfterBreak="0">
    <w:nsid w:val="53970FDB"/>
    <w:multiLevelType w:val="hybridMultilevel"/>
    <w:tmpl w:val="68E46F50"/>
    <w:lvl w:ilvl="0" w:tplc="EC10A52E">
      <w:start w:val="1"/>
      <w:numFmt w:val="lowerRoman"/>
      <w:lvlText w:val="%1)"/>
      <w:lvlJc w:val="left"/>
      <w:pPr>
        <w:ind w:left="1080" w:hanging="720"/>
      </w:pPr>
      <w:rPr>
        <w:rFonts w:hint="default"/>
      </w:rPr>
    </w:lvl>
    <w:lvl w:ilvl="1" w:tplc="654EBE46" w:tentative="1">
      <w:start w:val="1"/>
      <w:numFmt w:val="lowerLetter"/>
      <w:lvlText w:val="%2."/>
      <w:lvlJc w:val="left"/>
      <w:pPr>
        <w:ind w:left="1440" w:hanging="360"/>
      </w:pPr>
    </w:lvl>
    <w:lvl w:ilvl="2" w:tplc="0366A1EC" w:tentative="1">
      <w:start w:val="1"/>
      <w:numFmt w:val="lowerRoman"/>
      <w:lvlText w:val="%3."/>
      <w:lvlJc w:val="right"/>
      <w:pPr>
        <w:ind w:left="2160" w:hanging="180"/>
      </w:pPr>
    </w:lvl>
    <w:lvl w:ilvl="3" w:tplc="7584C21A" w:tentative="1">
      <w:start w:val="1"/>
      <w:numFmt w:val="decimal"/>
      <w:lvlText w:val="%4."/>
      <w:lvlJc w:val="left"/>
      <w:pPr>
        <w:ind w:left="2880" w:hanging="360"/>
      </w:pPr>
    </w:lvl>
    <w:lvl w:ilvl="4" w:tplc="F8B83868" w:tentative="1">
      <w:start w:val="1"/>
      <w:numFmt w:val="lowerLetter"/>
      <w:lvlText w:val="%5."/>
      <w:lvlJc w:val="left"/>
      <w:pPr>
        <w:ind w:left="3600" w:hanging="360"/>
      </w:pPr>
    </w:lvl>
    <w:lvl w:ilvl="5" w:tplc="5C5477F6" w:tentative="1">
      <w:start w:val="1"/>
      <w:numFmt w:val="lowerRoman"/>
      <w:lvlText w:val="%6."/>
      <w:lvlJc w:val="right"/>
      <w:pPr>
        <w:ind w:left="4320" w:hanging="180"/>
      </w:pPr>
    </w:lvl>
    <w:lvl w:ilvl="6" w:tplc="B7B2AA88" w:tentative="1">
      <w:start w:val="1"/>
      <w:numFmt w:val="decimal"/>
      <w:lvlText w:val="%7."/>
      <w:lvlJc w:val="left"/>
      <w:pPr>
        <w:ind w:left="5040" w:hanging="360"/>
      </w:pPr>
    </w:lvl>
    <w:lvl w:ilvl="7" w:tplc="8F982182" w:tentative="1">
      <w:start w:val="1"/>
      <w:numFmt w:val="lowerLetter"/>
      <w:lvlText w:val="%8."/>
      <w:lvlJc w:val="left"/>
      <w:pPr>
        <w:ind w:left="5760" w:hanging="360"/>
      </w:pPr>
    </w:lvl>
    <w:lvl w:ilvl="8" w:tplc="D0225A06" w:tentative="1">
      <w:start w:val="1"/>
      <w:numFmt w:val="lowerRoman"/>
      <w:lvlText w:val="%9."/>
      <w:lvlJc w:val="right"/>
      <w:pPr>
        <w:ind w:left="6480" w:hanging="180"/>
      </w:pPr>
    </w:lvl>
  </w:abstractNum>
  <w:abstractNum w:abstractNumId="27" w15:restartNumberingAfterBreak="0">
    <w:nsid w:val="5AC32CAD"/>
    <w:multiLevelType w:val="hybridMultilevel"/>
    <w:tmpl w:val="3F922FE4"/>
    <w:lvl w:ilvl="0" w:tplc="170C9236">
      <w:start w:val="1"/>
      <w:numFmt w:val="decimal"/>
      <w:lvlText w:val="%1."/>
      <w:lvlJc w:val="left"/>
      <w:pPr>
        <w:ind w:left="720" w:hanging="360"/>
      </w:pPr>
    </w:lvl>
    <w:lvl w:ilvl="1" w:tplc="A68A6F2C" w:tentative="1">
      <w:start w:val="1"/>
      <w:numFmt w:val="lowerLetter"/>
      <w:lvlText w:val="%2."/>
      <w:lvlJc w:val="left"/>
      <w:pPr>
        <w:ind w:left="1440" w:hanging="360"/>
      </w:pPr>
    </w:lvl>
    <w:lvl w:ilvl="2" w:tplc="54E2FCA0" w:tentative="1">
      <w:start w:val="1"/>
      <w:numFmt w:val="lowerRoman"/>
      <w:lvlText w:val="%3."/>
      <w:lvlJc w:val="right"/>
      <w:pPr>
        <w:ind w:left="2160" w:hanging="180"/>
      </w:pPr>
    </w:lvl>
    <w:lvl w:ilvl="3" w:tplc="42D8DC7C" w:tentative="1">
      <w:start w:val="1"/>
      <w:numFmt w:val="decimal"/>
      <w:lvlText w:val="%4."/>
      <w:lvlJc w:val="left"/>
      <w:pPr>
        <w:ind w:left="2880" w:hanging="360"/>
      </w:pPr>
    </w:lvl>
    <w:lvl w:ilvl="4" w:tplc="3C42FA92" w:tentative="1">
      <w:start w:val="1"/>
      <w:numFmt w:val="lowerLetter"/>
      <w:lvlText w:val="%5."/>
      <w:lvlJc w:val="left"/>
      <w:pPr>
        <w:ind w:left="3600" w:hanging="360"/>
      </w:pPr>
    </w:lvl>
    <w:lvl w:ilvl="5" w:tplc="4A82C42C" w:tentative="1">
      <w:start w:val="1"/>
      <w:numFmt w:val="lowerRoman"/>
      <w:lvlText w:val="%6."/>
      <w:lvlJc w:val="right"/>
      <w:pPr>
        <w:ind w:left="4320" w:hanging="180"/>
      </w:pPr>
    </w:lvl>
    <w:lvl w:ilvl="6" w:tplc="79C28A24" w:tentative="1">
      <w:start w:val="1"/>
      <w:numFmt w:val="decimal"/>
      <w:lvlText w:val="%7."/>
      <w:lvlJc w:val="left"/>
      <w:pPr>
        <w:ind w:left="5040" w:hanging="360"/>
      </w:pPr>
    </w:lvl>
    <w:lvl w:ilvl="7" w:tplc="F45ABFB4" w:tentative="1">
      <w:start w:val="1"/>
      <w:numFmt w:val="lowerLetter"/>
      <w:lvlText w:val="%8."/>
      <w:lvlJc w:val="left"/>
      <w:pPr>
        <w:ind w:left="5760" w:hanging="360"/>
      </w:pPr>
    </w:lvl>
    <w:lvl w:ilvl="8" w:tplc="10FE4494" w:tentative="1">
      <w:start w:val="1"/>
      <w:numFmt w:val="lowerRoman"/>
      <w:lvlText w:val="%9."/>
      <w:lvlJc w:val="right"/>
      <w:pPr>
        <w:ind w:left="6480" w:hanging="180"/>
      </w:pPr>
    </w:lvl>
  </w:abstractNum>
  <w:abstractNum w:abstractNumId="28" w15:restartNumberingAfterBreak="0">
    <w:nsid w:val="5BE51737"/>
    <w:multiLevelType w:val="hybridMultilevel"/>
    <w:tmpl w:val="57222E46"/>
    <w:lvl w:ilvl="0" w:tplc="ED94E16A">
      <w:start w:val="1"/>
      <w:numFmt w:val="decimal"/>
      <w:lvlText w:val="%1."/>
      <w:lvlJc w:val="left"/>
      <w:pPr>
        <w:ind w:left="720" w:hanging="360"/>
      </w:pPr>
      <w:rPr>
        <w:rFonts w:hint="default"/>
      </w:rPr>
    </w:lvl>
    <w:lvl w:ilvl="1" w:tplc="43161004" w:tentative="1">
      <w:start w:val="1"/>
      <w:numFmt w:val="lowerLetter"/>
      <w:lvlText w:val="%2."/>
      <w:lvlJc w:val="left"/>
      <w:pPr>
        <w:ind w:left="1440" w:hanging="360"/>
      </w:pPr>
    </w:lvl>
    <w:lvl w:ilvl="2" w:tplc="ECAAE8FC" w:tentative="1">
      <w:start w:val="1"/>
      <w:numFmt w:val="lowerRoman"/>
      <w:lvlText w:val="%3."/>
      <w:lvlJc w:val="right"/>
      <w:pPr>
        <w:ind w:left="2160" w:hanging="180"/>
      </w:pPr>
    </w:lvl>
    <w:lvl w:ilvl="3" w:tplc="A928E5DC" w:tentative="1">
      <w:start w:val="1"/>
      <w:numFmt w:val="decimal"/>
      <w:lvlText w:val="%4."/>
      <w:lvlJc w:val="left"/>
      <w:pPr>
        <w:ind w:left="2880" w:hanging="360"/>
      </w:pPr>
    </w:lvl>
    <w:lvl w:ilvl="4" w:tplc="A6DCB288" w:tentative="1">
      <w:start w:val="1"/>
      <w:numFmt w:val="lowerLetter"/>
      <w:lvlText w:val="%5."/>
      <w:lvlJc w:val="left"/>
      <w:pPr>
        <w:ind w:left="3600" w:hanging="360"/>
      </w:pPr>
    </w:lvl>
    <w:lvl w:ilvl="5" w:tplc="79DEC244" w:tentative="1">
      <w:start w:val="1"/>
      <w:numFmt w:val="lowerRoman"/>
      <w:lvlText w:val="%6."/>
      <w:lvlJc w:val="right"/>
      <w:pPr>
        <w:ind w:left="4320" w:hanging="180"/>
      </w:pPr>
    </w:lvl>
    <w:lvl w:ilvl="6" w:tplc="3176DEE8" w:tentative="1">
      <w:start w:val="1"/>
      <w:numFmt w:val="decimal"/>
      <w:lvlText w:val="%7."/>
      <w:lvlJc w:val="left"/>
      <w:pPr>
        <w:ind w:left="5040" w:hanging="360"/>
      </w:pPr>
    </w:lvl>
    <w:lvl w:ilvl="7" w:tplc="2A905F36" w:tentative="1">
      <w:start w:val="1"/>
      <w:numFmt w:val="lowerLetter"/>
      <w:lvlText w:val="%8."/>
      <w:lvlJc w:val="left"/>
      <w:pPr>
        <w:ind w:left="5760" w:hanging="360"/>
      </w:pPr>
    </w:lvl>
    <w:lvl w:ilvl="8" w:tplc="2C86693E" w:tentative="1">
      <w:start w:val="1"/>
      <w:numFmt w:val="lowerRoman"/>
      <w:lvlText w:val="%9."/>
      <w:lvlJc w:val="right"/>
      <w:pPr>
        <w:ind w:left="6480" w:hanging="180"/>
      </w:pPr>
    </w:lvl>
  </w:abstractNum>
  <w:abstractNum w:abstractNumId="29" w15:restartNumberingAfterBreak="0">
    <w:nsid w:val="5D2E7AA5"/>
    <w:multiLevelType w:val="hybridMultilevel"/>
    <w:tmpl w:val="D0BAEF6E"/>
    <w:lvl w:ilvl="0" w:tplc="D34A54DE">
      <w:start w:val="1"/>
      <w:numFmt w:val="bullet"/>
      <w:lvlText w:val=""/>
      <w:lvlJc w:val="left"/>
      <w:pPr>
        <w:ind w:left="720" w:hanging="360"/>
      </w:pPr>
      <w:rPr>
        <w:rFonts w:hint="default" w:ascii="Symbol" w:hAnsi="Symbol"/>
      </w:rPr>
    </w:lvl>
    <w:lvl w:ilvl="1" w:tplc="231EB6EE" w:tentative="1">
      <w:start w:val="1"/>
      <w:numFmt w:val="bullet"/>
      <w:lvlText w:val="o"/>
      <w:lvlJc w:val="left"/>
      <w:pPr>
        <w:ind w:left="1440" w:hanging="360"/>
      </w:pPr>
      <w:rPr>
        <w:rFonts w:hint="default" w:ascii="Courier New" w:hAnsi="Courier New" w:cs="Courier New"/>
      </w:rPr>
    </w:lvl>
    <w:lvl w:ilvl="2" w:tplc="61D4A058" w:tentative="1">
      <w:start w:val="1"/>
      <w:numFmt w:val="bullet"/>
      <w:lvlText w:val=""/>
      <w:lvlJc w:val="left"/>
      <w:pPr>
        <w:ind w:left="2160" w:hanging="360"/>
      </w:pPr>
      <w:rPr>
        <w:rFonts w:hint="default" w:ascii="Wingdings" w:hAnsi="Wingdings"/>
      </w:rPr>
    </w:lvl>
    <w:lvl w:ilvl="3" w:tplc="F13649E2" w:tentative="1">
      <w:start w:val="1"/>
      <w:numFmt w:val="bullet"/>
      <w:lvlText w:val=""/>
      <w:lvlJc w:val="left"/>
      <w:pPr>
        <w:ind w:left="2880" w:hanging="360"/>
      </w:pPr>
      <w:rPr>
        <w:rFonts w:hint="default" w:ascii="Symbol" w:hAnsi="Symbol"/>
      </w:rPr>
    </w:lvl>
    <w:lvl w:ilvl="4" w:tplc="F448343E" w:tentative="1">
      <w:start w:val="1"/>
      <w:numFmt w:val="bullet"/>
      <w:lvlText w:val="o"/>
      <w:lvlJc w:val="left"/>
      <w:pPr>
        <w:ind w:left="3600" w:hanging="360"/>
      </w:pPr>
      <w:rPr>
        <w:rFonts w:hint="default" w:ascii="Courier New" w:hAnsi="Courier New" w:cs="Courier New"/>
      </w:rPr>
    </w:lvl>
    <w:lvl w:ilvl="5" w:tplc="9BE4F514" w:tentative="1">
      <w:start w:val="1"/>
      <w:numFmt w:val="bullet"/>
      <w:lvlText w:val=""/>
      <w:lvlJc w:val="left"/>
      <w:pPr>
        <w:ind w:left="4320" w:hanging="360"/>
      </w:pPr>
      <w:rPr>
        <w:rFonts w:hint="default" w:ascii="Wingdings" w:hAnsi="Wingdings"/>
      </w:rPr>
    </w:lvl>
    <w:lvl w:ilvl="6" w:tplc="C58AFA24" w:tentative="1">
      <w:start w:val="1"/>
      <w:numFmt w:val="bullet"/>
      <w:lvlText w:val=""/>
      <w:lvlJc w:val="left"/>
      <w:pPr>
        <w:ind w:left="5040" w:hanging="360"/>
      </w:pPr>
      <w:rPr>
        <w:rFonts w:hint="default" w:ascii="Symbol" w:hAnsi="Symbol"/>
      </w:rPr>
    </w:lvl>
    <w:lvl w:ilvl="7" w:tplc="CF9C3E18" w:tentative="1">
      <w:start w:val="1"/>
      <w:numFmt w:val="bullet"/>
      <w:lvlText w:val="o"/>
      <w:lvlJc w:val="left"/>
      <w:pPr>
        <w:ind w:left="5760" w:hanging="360"/>
      </w:pPr>
      <w:rPr>
        <w:rFonts w:hint="default" w:ascii="Courier New" w:hAnsi="Courier New" w:cs="Courier New"/>
      </w:rPr>
    </w:lvl>
    <w:lvl w:ilvl="8" w:tplc="7F7C2C32" w:tentative="1">
      <w:start w:val="1"/>
      <w:numFmt w:val="bullet"/>
      <w:lvlText w:val=""/>
      <w:lvlJc w:val="left"/>
      <w:pPr>
        <w:ind w:left="6480" w:hanging="360"/>
      </w:pPr>
      <w:rPr>
        <w:rFonts w:hint="default" w:ascii="Wingdings" w:hAnsi="Wingdings"/>
      </w:rPr>
    </w:lvl>
  </w:abstractNum>
  <w:abstractNum w:abstractNumId="30" w15:restartNumberingAfterBreak="0">
    <w:nsid w:val="5EDE3BFA"/>
    <w:multiLevelType w:val="multilevel"/>
    <w:tmpl w:val="3AE016EA"/>
    <w:lvl w:ilvl="0">
      <w:start w:val="1"/>
      <w:numFmt w:val="decimal"/>
      <w:pStyle w:val="Heading2"/>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35A3131"/>
    <w:multiLevelType w:val="multilevel"/>
    <w:tmpl w:val="D448819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59E2BD0"/>
    <w:multiLevelType w:val="hybridMultilevel"/>
    <w:tmpl w:val="EFB21854"/>
    <w:lvl w:ilvl="0" w:tplc="9C9CB9B0">
      <w:start w:val="1"/>
      <w:numFmt w:val="bullet"/>
      <w:lvlText w:val=""/>
      <w:lvlJc w:val="left"/>
      <w:pPr>
        <w:ind w:left="775" w:hanging="360"/>
      </w:pPr>
      <w:rPr>
        <w:rFonts w:hint="default" w:ascii="Symbol" w:hAnsi="Symbol"/>
      </w:rPr>
    </w:lvl>
    <w:lvl w:ilvl="1" w:tplc="17A8C8D6" w:tentative="1">
      <w:start w:val="1"/>
      <w:numFmt w:val="bullet"/>
      <w:lvlText w:val="o"/>
      <w:lvlJc w:val="left"/>
      <w:pPr>
        <w:ind w:left="1495" w:hanging="360"/>
      </w:pPr>
      <w:rPr>
        <w:rFonts w:hint="default" w:ascii="Courier New" w:hAnsi="Courier New" w:cs="Courier New"/>
      </w:rPr>
    </w:lvl>
    <w:lvl w:ilvl="2" w:tplc="527E3A7C" w:tentative="1">
      <w:start w:val="1"/>
      <w:numFmt w:val="bullet"/>
      <w:lvlText w:val=""/>
      <w:lvlJc w:val="left"/>
      <w:pPr>
        <w:ind w:left="2215" w:hanging="360"/>
      </w:pPr>
      <w:rPr>
        <w:rFonts w:hint="default" w:ascii="Wingdings" w:hAnsi="Wingdings"/>
      </w:rPr>
    </w:lvl>
    <w:lvl w:ilvl="3" w:tplc="2812AF0C" w:tentative="1">
      <w:start w:val="1"/>
      <w:numFmt w:val="bullet"/>
      <w:lvlText w:val=""/>
      <w:lvlJc w:val="left"/>
      <w:pPr>
        <w:ind w:left="2935" w:hanging="360"/>
      </w:pPr>
      <w:rPr>
        <w:rFonts w:hint="default" w:ascii="Symbol" w:hAnsi="Symbol"/>
      </w:rPr>
    </w:lvl>
    <w:lvl w:ilvl="4" w:tplc="EEBE8364" w:tentative="1">
      <w:start w:val="1"/>
      <w:numFmt w:val="bullet"/>
      <w:lvlText w:val="o"/>
      <w:lvlJc w:val="left"/>
      <w:pPr>
        <w:ind w:left="3655" w:hanging="360"/>
      </w:pPr>
      <w:rPr>
        <w:rFonts w:hint="default" w:ascii="Courier New" w:hAnsi="Courier New" w:cs="Courier New"/>
      </w:rPr>
    </w:lvl>
    <w:lvl w:ilvl="5" w:tplc="082AB396" w:tentative="1">
      <w:start w:val="1"/>
      <w:numFmt w:val="bullet"/>
      <w:lvlText w:val=""/>
      <w:lvlJc w:val="left"/>
      <w:pPr>
        <w:ind w:left="4375" w:hanging="360"/>
      </w:pPr>
      <w:rPr>
        <w:rFonts w:hint="default" w:ascii="Wingdings" w:hAnsi="Wingdings"/>
      </w:rPr>
    </w:lvl>
    <w:lvl w:ilvl="6" w:tplc="3A0EB738" w:tentative="1">
      <w:start w:val="1"/>
      <w:numFmt w:val="bullet"/>
      <w:lvlText w:val=""/>
      <w:lvlJc w:val="left"/>
      <w:pPr>
        <w:ind w:left="5095" w:hanging="360"/>
      </w:pPr>
      <w:rPr>
        <w:rFonts w:hint="default" w:ascii="Symbol" w:hAnsi="Symbol"/>
      </w:rPr>
    </w:lvl>
    <w:lvl w:ilvl="7" w:tplc="8AF2F6DA" w:tentative="1">
      <w:start w:val="1"/>
      <w:numFmt w:val="bullet"/>
      <w:lvlText w:val="o"/>
      <w:lvlJc w:val="left"/>
      <w:pPr>
        <w:ind w:left="5815" w:hanging="360"/>
      </w:pPr>
      <w:rPr>
        <w:rFonts w:hint="default" w:ascii="Courier New" w:hAnsi="Courier New" w:cs="Courier New"/>
      </w:rPr>
    </w:lvl>
    <w:lvl w:ilvl="8" w:tplc="BA061446" w:tentative="1">
      <w:start w:val="1"/>
      <w:numFmt w:val="bullet"/>
      <w:lvlText w:val=""/>
      <w:lvlJc w:val="left"/>
      <w:pPr>
        <w:ind w:left="6535" w:hanging="360"/>
      </w:pPr>
      <w:rPr>
        <w:rFonts w:hint="default" w:ascii="Wingdings" w:hAnsi="Wingdings"/>
      </w:rPr>
    </w:lvl>
  </w:abstractNum>
  <w:abstractNum w:abstractNumId="33" w15:restartNumberingAfterBreak="0">
    <w:nsid w:val="6D023F1B"/>
    <w:multiLevelType w:val="hybridMultilevel"/>
    <w:tmpl w:val="706C825A"/>
    <w:lvl w:ilvl="0" w:tplc="810E9EF8">
      <w:start w:val="1"/>
      <w:numFmt w:val="bullet"/>
      <w:lvlText w:val=""/>
      <w:lvlJc w:val="left"/>
      <w:pPr>
        <w:ind w:left="720" w:hanging="360"/>
      </w:pPr>
      <w:rPr>
        <w:rFonts w:hint="default" w:ascii="Symbol" w:hAnsi="Symbol"/>
      </w:rPr>
    </w:lvl>
    <w:lvl w:ilvl="1" w:tplc="3F1C63CA" w:tentative="1">
      <w:start w:val="1"/>
      <w:numFmt w:val="bullet"/>
      <w:lvlText w:val="o"/>
      <w:lvlJc w:val="left"/>
      <w:pPr>
        <w:ind w:left="1440" w:hanging="360"/>
      </w:pPr>
      <w:rPr>
        <w:rFonts w:hint="default" w:ascii="Courier New" w:hAnsi="Courier New" w:cs="Courier New"/>
      </w:rPr>
    </w:lvl>
    <w:lvl w:ilvl="2" w:tplc="CF1010A8" w:tentative="1">
      <w:start w:val="1"/>
      <w:numFmt w:val="bullet"/>
      <w:lvlText w:val=""/>
      <w:lvlJc w:val="left"/>
      <w:pPr>
        <w:ind w:left="2160" w:hanging="360"/>
      </w:pPr>
      <w:rPr>
        <w:rFonts w:hint="default" w:ascii="Wingdings" w:hAnsi="Wingdings"/>
      </w:rPr>
    </w:lvl>
    <w:lvl w:ilvl="3" w:tplc="43941A2C" w:tentative="1">
      <w:start w:val="1"/>
      <w:numFmt w:val="bullet"/>
      <w:lvlText w:val=""/>
      <w:lvlJc w:val="left"/>
      <w:pPr>
        <w:ind w:left="2880" w:hanging="360"/>
      </w:pPr>
      <w:rPr>
        <w:rFonts w:hint="default" w:ascii="Symbol" w:hAnsi="Symbol"/>
      </w:rPr>
    </w:lvl>
    <w:lvl w:ilvl="4" w:tplc="4994343C" w:tentative="1">
      <w:start w:val="1"/>
      <w:numFmt w:val="bullet"/>
      <w:lvlText w:val="o"/>
      <w:lvlJc w:val="left"/>
      <w:pPr>
        <w:ind w:left="3600" w:hanging="360"/>
      </w:pPr>
      <w:rPr>
        <w:rFonts w:hint="default" w:ascii="Courier New" w:hAnsi="Courier New" w:cs="Courier New"/>
      </w:rPr>
    </w:lvl>
    <w:lvl w:ilvl="5" w:tplc="3B0A696E" w:tentative="1">
      <w:start w:val="1"/>
      <w:numFmt w:val="bullet"/>
      <w:lvlText w:val=""/>
      <w:lvlJc w:val="left"/>
      <w:pPr>
        <w:ind w:left="4320" w:hanging="360"/>
      </w:pPr>
      <w:rPr>
        <w:rFonts w:hint="default" w:ascii="Wingdings" w:hAnsi="Wingdings"/>
      </w:rPr>
    </w:lvl>
    <w:lvl w:ilvl="6" w:tplc="1D4C6462" w:tentative="1">
      <w:start w:val="1"/>
      <w:numFmt w:val="bullet"/>
      <w:lvlText w:val=""/>
      <w:lvlJc w:val="left"/>
      <w:pPr>
        <w:ind w:left="5040" w:hanging="360"/>
      </w:pPr>
      <w:rPr>
        <w:rFonts w:hint="default" w:ascii="Symbol" w:hAnsi="Symbol"/>
      </w:rPr>
    </w:lvl>
    <w:lvl w:ilvl="7" w:tplc="64DCDC30" w:tentative="1">
      <w:start w:val="1"/>
      <w:numFmt w:val="bullet"/>
      <w:lvlText w:val="o"/>
      <w:lvlJc w:val="left"/>
      <w:pPr>
        <w:ind w:left="5760" w:hanging="360"/>
      </w:pPr>
      <w:rPr>
        <w:rFonts w:hint="default" w:ascii="Courier New" w:hAnsi="Courier New" w:cs="Courier New"/>
      </w:rPr>
    </w:lvl>
    <w:lvl w:ilvl="8" w:tplc="A4F6F97E" w:tentative="1">
      <w:start w:val="1"/>
      <w:numFmt w:val="bullet"/>
      <w:lvlText w:val=""/>
      <w:lvlJc w:val="left"/>
      <w:pPr>
        <w:ind w:left="6480" w:hanging="360"/>
      </w:pPr>
      <w:rPr>
        <w:rFonts w:hint="default" w:ascii="Wingdings" w:hAnsi="Wingdings"/>
      </w:rPr>
    </w:lvl>
  </w:abstractNum>
  <w:abstractNum w:abstractNumId="34" w15:restartNumberingAfterBreak="0">
    <w:nsid w:val="74135598"/>
    <w:multiLevelType w:val="hybridMultilevel"/>
    <w:tmpl w:val="E9F4B25E"/>
    <w:lvl w:ilvl="0" w:tplc="8A36BDC2">
      <w:start w:val="1"/>
      <w:numFmt w:val="decimal"/>
      <w:lvlText w:val="%1."/>
      <w:lvlJc w:val="left"/>
      <w:pPr>
        <w:ind w:left="720" w:hanging="360"/>
      </w:pPr>
    </w:lvl>
    <w:lvl w:ilvl="1" w:tplc="630A0A32" w:tentative="1">
      <w:start w:val="1"/>
      <w:numFmt w:val="lowerLetter"/>
      <w:lvlText w:val="%2."/>
      <w:lvlJc w:val="left"/>
      <w:pPr>
        <w:ind w:left="1440" w:hanging="360"/>
      </w:pPr>
    </w:lvl>
    <w:lvl w:ilvl="2" w:tplc="6044A164" w:tentative="1">
      <w:start w:val="1"/>
      <w:numFmt w:val="lowerRoman"/>
      <w:lvlText w:val="%3."/>
      <w:lvlJc w:val="right"/>
      <w:pPr>
        <w:ind w:left="2160" w:hanging="180"/>
      </w:pPr>
    </w:lvl>
    <w:lvl w:ilvl="3" w:tplc="133E6D84" w:tentative="1">
      <w:start w:val="1"/>
      <w:numFmt w:val="decimal"/>
      <w:lvlText w:val="%4."/>
      <w:lvlJc w:val="left"/>
      <w:pPr>
        <w:ind w:left="2880" w:hanging="360"/>
      </w:pPr>
    </w:lvl>
    <w:lvl w:ilvl="4" w:tplc="DD2EB148" w:tentative="1">
      <w:start w:val="1"/>
      <w:numFmt w:val="lowerLetter"/>
      <w:lvlText w:val="%5."/>
      <w:lvlJc w:val="left"/>
      <w:pPr>
        <w:ind w:left="3600" w:hanging="360"/>
      </w:pPr>
    </w:lvl>
    <w:lvl w:ilvl="5" w:tplc="8D661DE0" w:tentative="1">
      <w:start w:val="1"/>
      <w:numFmt w:val="lowerRoman"/>
      <w:lvlText w:val="%6."/>
      <w:lvlJc w:val="right"/>
      <w:pPr>
        <w:ind w:left="4320" w:hanging="180"/>
      </w:pPr>
    </w:lvl>
    <w:lvl w:ilvl="6" w:tplc="95C07A7A" w:tentative="1">
      <w:start w:val="1"/>
      <w:numFmt w:val="decimal"/>
      <w:lvlText w:val="%7."/>
      <w:lvlJc w:val="left"/>
      <w:pPr>
        <w:ind w:left="5040" w:hanging="360"/>
      </w:pPr>
    </w:lvl>
    <w:lvl w:ilvl="7" w:tplc="121C0042" w:tentative="1">
      <w:start w:val="1"/>
      <w:numFmt w:val="lowerLetter"/>
      <w:lvlText w:val="%8."/>
      <w:lvlJc w:val="left"/>
      <w:pPr>
        <w:ind w:left="5760" w:hanging="360"/>
      </w:pPr>
    </w:lvl>
    <w:lvl w:ilvl="8" w:tplc="4A60D0E0" w:tentative="1">
      <w:start w:val="1"/>
      <w:numFmt w:val="lowerRoman"/>
      <w:lvlText w:val="%9."/>
      <w:lvlJc w:val="right"/>
      <w:pPr>
        <w:ind w:left="6480" w:hanging="180"/>
      </w:pPr>
    </w:lvl>
  </w:abstractNum>
  <w:abstractNum w:abstractNumId="35" w15:restartNumberingAfterBreak="0">
    <w:nsid w:val="766B3563"/>
    <w:multiLevelType w:val="hybridMultilevel"/>
    <w:tmpl w:val="C68A517E"/>
    <w:lvl w:ilvl="0" w:tplc="E5CA1318">
      <w:start w:val="1"/>
      <w:numFmt w:val="bullet"/>
      <w:lvlText w:val=""/>
      <w:lvlJc w:val="left"/>
      <w:pPr>
        <w:ind w:left="720" w:hanging="360"/>
      </w:pPr>
      <w:rPr>
        <w:rFonts w:hint="default" w:ascii="Symbol" w:hAnsi="Symbol"/>
      </w:rPr>
    </w:lvl>
    <w:lvl w:ilvl="1" w:tplc="FB3825D2" w:tentative="1">
      <w:start w:val="1"/>
      <w:numFmt w:val="bullet"/>
      <w:lvlText w:val="o"/>
      <w:lvlJc w:val="left"/>
      <w:pPr>
        <w:ind w:left="1440" w:hanging="360"/>
      </w:pPr>
      <w:rPr>
        <w:rFonts w:hint="default" w:ascii="Courier New" w:hAnsi="Courier New" w:cs="Courier New"/>
      </w:rPr>
    </w:lvl>
    <w:lvl w:ilvl="2" w:tplc="6D84D55E" w:tentative="1">
      <w:start w:val="1"/>
      <w:numFmt w:val="bullet"/>
      <w:lvlText w:val=""/>
      <w:lvlJc w:val="left"/>
      <w:pPr>
        <w:ind w:left="2160" w:hanging="360"/>
      </w:pPr>
      <w:rPr>
        <w:rFonts w:hint="default" w:ascii="Wingdings" w:hAnsi="Wingdings"/>
      </w:rPr>
    </w:lvl>
    <w:lvl w:ilvl="3" w:tplc="0DC0DD62" w:tentative="1">
      <w:start w:val="1"/>
      <w:numFmt w:val="bullet"/>
      <w:lvlText w:val=""/>
      <w:lvlJc w:val="left"/>
      <w:pPr>
        <w:ind w:left="2880" w:hanging="360"/>
      </w:pPr>
      <w:rPr>
        <w:rFonts w:hint="default" w:ascii="Symbol" w:hAnsi="Symbol"/>
      </w:rPr>
    </w:lvl>
    <w:lvl w:ilvl="4" w:tplc="781C433A" w:tentative="1">
      <w:start w:val="1"/>
      <w:numFmt w:val="bullet"/>
      <w:lvlText w:val="o"/>
      <w:lvlJc w:val="left"/>
      <w:pPr>
        <w:ind w:left="3600" w:hanging="360"/>
      </w:pPr>
      <w:rPr>
        <w:rFonts w:hint="default" w:ascii="Courier New" w:hAnsi="Courier New" w:cs="Courier New"/>
      </w:rPr>
    </w:lvl>
    <w:lvl w:ilvl="5" w:tplc="96C6A074" w:tentative="1">
      <w:start w:val="1"/>
      <w:numFmt w:val="bullet"/>
      <w:lvlText w:val=""/>
      <w:lvlJc w:val="left"/>
      <w:pPr>
        <w:ind w:left="4320" w:hanging="360"/>
      </w:pPr>
      <w:rPr>
        <w:rFonts w:hint="default" w:ascii="Wingdings" w:hAnsi="Wingdings"/>
      </w:rPr>
    </w:lvl>
    <w:lvl w:ilvl="6" w:tplc="1A1C089A" w:tentative="1">
      <w:start w:val="1"/>
      <w:numFmt w:val="bullet"/>
      <w:lvlText w:val=""/>
      <w:lvlJc w:val="left"/>
      <w:pPr>
        <w:ind w:left="5040" w:hanging="360"/>
      </w:pPr>
      <w:rPr>
        <w:rFonts w:hint="default" w:ascii="Symbol" w:hAnsi="Symbol"/>
      </w:rPr>
    </w:lvl>
    <w:lvl w:ilvl="7" w:tplc="50E86B88" w:tentative="1">
      <w:start w:val="1"/>
      <w:numFmt w:val="bullet"/>
      <w:lvlText w:val="o"/>
      <w:lvlJc w:val="left"/>
      <w:pPr>
        <w:ind w:left="5760" w:hanging="360"/>
      </w:pPr>
      <w:rPr>
        <w:rFonts w:hint="default" w:ascii="Courier New" w:hAnsi="Courier New" w:cs="Courier New"/>
      </w:rPr>
    </w:lvl>
    <w:lvl w:ilvl="8" w:tplc="B950E388" w:tentative="1">
      <w:start w:val="1"/>
      <w:numFmt w:val="bullet"/>
      <w:lvlText w:val=""/>
      <w:lvlJc w:val="left"/>
      <w:pPr>
        <w:ind w:left="6480" w:hanging="360"/>
      </w:pPr>
      <w:rPr>
        <w:rFonts w:hint="default" w:ascii="Wingdings" w:hAnsi="Wingdings"/>
      </w:rPr>
    </w:lvl>
  </w:abstractNum>
  <w:abstractNum w:abstractNumId="36" w15:restartNumberingAfterBreak="0">
    <w:nsid w:val="768517E0"/>
    <w:multiLevelType w:val="multilevel"/>
    <w:tmpl w:val="B05424A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0FB06D"/>
    <w:multiLevelType w:val="hybridMultilevel"/>
    <w:tmpl w:val="B0F5B407"/>
    <w:lvl w:ilvl="0" w:tplc="E9E6A088">
      <w:start w:val="1"/>
      <w:numFmt w:val="bullet"/>
      <w:lvlText w:val="•"/>
      <w:lvlJc w:val="left"/>
    </w:lvl>
    <w:lvl w:ilvl="1" w:tplc="0B74E436">
      <w:numFmt w:val="decimal"/>
      <w:lvlText w:val=""/>
      <w:lvlJc w:val="left"/>
    </w:lvl>
    <w:lvl w:ilvl="2" w:tplc="998408F8">
      <w:numFmt w:val="decimal"/>
      <w:lvlText w:val=""/>
      <w:lvlJc w:val="left"/>
    </w:lvl>
    <w:lvl w:ilvl="3" w:tplc="8572C5C2">
      <w:numFmt w:val="decimal"/>
      <w:lvlText w:val=""/>
      <w:lvlJc w:val="left"/>
    </w:lvl>
    <w:lvl w:ilvl="4" w:tplc="39FE1B30">
      <w:numFmt w:val="decimal"/>
      <w:lvlText w:val=""/>
      <w:lvlJc w:val="left"/>
    </w:lvl>
    <w:lvl w:ilvl="5" w:tplc="5DF860A6">
      <w:numFmt w:val="decimal"/>
      <w:lvlText w:val=""/>
      <w:lvlJc w:val="left"/>
    </w:lvl>
    <w:lvl w:ilvl="6" w:tplc="4E044E00">
      <w:numFmt w:val="decimal"/>
      <w:lvlText w:val=""/>
      <w:lvlJc w:val="left"/>
    </w:lvl>
    <w:lvl w:ilvl="7" w:tplc="DA14BE20">
      <w:numFmt w:val="decimal"/>
      <w:lvlText w:val=""/>
      <w:lvlJc w:val="left"/>
    </w:lvl>
    <w:lvl w:ilvl="8" w:tplc="4B009574">
      <w:numFmt w:val="decimal"/>
      <w:lvlText w:val=""/>
      <w:lvlJc w:val="left"/>
    </w:lvl>
  </w:abstractNum>
  <w:abstractNum w:abstractNumId="38" w15:restartNumberingAfterBreak="0">
    <w:nsid w:val="7BF2D98C"/>
    <w:multiLevelType w:val="hybridMultilevel"/>
    <w:tmpl w:val="24245721"/>
    <w:lvl w:ilvl="0" w:tplc="F4863F14">
      <w:start w:val="1"/>
      <w:numFmt w:val="bullet"/>
      <w:lvlText w:val="•"/>
      <w:lvlJc w:val="left"/>
    </w:lvl>
    <w:lvl w:ilvl="1" w:tplc="74DEE214">
      <w:numFmt w:val="decimal"/>
      <w:lvlText w:val=""/>
      <w:lvlJc w:val="left"/>
    </w:lvl>
    <w:lvl w:ilvl="2" w:tplc="B424663A">
      <w:numFmt w:val="decimal"/>
      <w:lvlText w:val=""/>
      <w:lvlJc w:val="left"/>
    </w:lvl>
    <w:lvl w:ilvl="3" w:tplc="1646C3F0">
      <w:numFmt w:val="decimal"/>
      <w:lvlText w:val=""/>
      <w:lvlJc w:val="left"/>
    </w:lvl>
    <w:lvl w:ilvl="4" w:tplc="536EF6CA">
      <w:numFmt w:val="decimal"/>
      <w:lvlText w:val=""/>
      <w:lvlJc w:val="left"/>
    </w:lvl>
    <w:lvl w:ilvl="5" w:tplc="3858FCB8">
      <w:numFmt w:val="decimal"/>
      <w:lvlText w:val=""/>
      <w:lvlJc w:val="left"/>
    </w:lvl>
    <w:lvl w:ilvl="6" w:tplc="CB565A3A">
      <w:numFmt w:val="decimal"/>
      <w:lvlText w:val=""/>
      <w:lvlJc w:val="left"/>
    </w:lvl>
    <w:lvl w:ilvl="7" w:tplc="EC4CA7DA">
      <w:numFmt w:val="decimal"/>
      <w:lvlText w:val=""/>
      <w:lvlJc w:val="left"/>
    </w:lvl>
    <w:lvl w:ilvl="8" w:tplc="C9A8AAB8">
      <w:numFmt w:val="decimal"/>
      <w:lvlText w:val=""/>
      <w:lvlJc w:val="left"/>
    </w:lvl>
  </w:abstractNum>
  <w:abstractNum w:abstractNumId="39" w15:restartNumberingAfterBreak="0">
    <w:nsid w:val="7CE5F03A"/>
    <w:multiLevelType w:val="hybridMultilevel"/>
    <w:tmpl w:val="98D1EB32"/>
    <w:lvl w:ilvl="0" w:tplc="CC3EE088">
      <w:start w:val="1"/>
      <w:numFmt w:val="bullet"/>
      <w:lvlText w:val="•"/>
      <w:lvlJc w:val="left"/>
    </w:lvl>
    <w:lvl w:ilvl="1" w:tplc="44EC7952">
      <w:numFmt w:val="decimal"/>
      <w:lvlText w:val=""/>
      <w:lvlJc w:val="left"/>
    </w:lvl>
    <w:lvl w:ilvl="2" w:tplc="B70A9DB2">
      <w:numFmt w:val="decimal"/>
      <w:lvlText w:val=""/>
      <w:lvlJc w:val="left"/>
    </w:lvl>
    <w:lvl w:ilvl="3" w:tplc="6178BC0C">
      <w:numFmt w:val="decimal"/>
      <w:lvlText w:val=""/>
      <w:lvlJc w:val="left"/>
    </w:lvl>
    <w:lvl w:ilvl="4" w:tplc="A6DCB8FA">
      <w:numFmt w:val="decimal"/>
      <w:lvlText w:val=""/>
      <w:lvlJc w:val="left"/>
    </w:lvl>
    <w:lvl w:ilvl="5" w:tplc="F66C50CE">
      <w:numFmt w:val="decimal"/>
      <w:lvlText w:val=""/>
      <w:lvlJc w:val="left"/>
    </w:lvl>
    <w:lvl w:ilvl="6" w:tplc="61F683A6">
      <w:numFmt w:val="decimal"/>
      <w:lvlText w:val=""/>
      <w:lvlJc w:val="left"/>
    </w:lvl>
    <w:lvl w:ilvl="7" w:tplc="F7344890">
      <w:numFmt w:val="decimal"/>
      <w:lvlText w:val=""/>
      <w:lvlJc w:val="left"/>
    </w:lvl>
    <w:lvl w:ilvl="8" w:tplc="2808003E">
      <w:numFmt w:val="decimal"/>
      <w:lvlText w:val=""/>
      <w:lvlJc w:val="left"/>
    </w:lvl>
  </w:abstractNum>
  <w:abstractNum w:abstractNumId="40" w15:restartNumberingAfterBreak="0">
    <w:nsid w:val="7DC554AD"/>
    <w:multiLevelType w:val="multilevel"/>
    <w:tmpl w:val="7CEA93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3"/>
  </w:num>
  <w:num w:numId="3">
    <w:abstractNumId w:val="23"/>
  </w:num>
  <w:num w:numId="4">
    <w:abstractNumId w:val="31"/>
  </w:num>
  <w:num w:numId="5">
    <w:abstractNumId w:val="35"/>
  </w:num>
  <w:num w:numId="6">
    <w:abstractNumId w:val="29"/>
  </w:num>
  <w:num w:numId="7">
    <w:abstractNumId w:val="17"/>
  </w:num>
  <w:num w:numId="8">
    <w:abstractNumId w:val="15"/>
  </w:num>
  <w:num w:numId="9">
    <w:abstractNumId w:val="28"/>
  </w:num>
  <w:num w:numId="10">
    <w:abstractNumId w:val="18"/>
  </w:num>
  <w:num w:numId="11">
    <w:abstractNumId w:val="32"/>
  </w:num>
  <w:num w:numId="12">
    <w:abstractNumId w:val="11"/>
  </w:num>
  <w:num w:numId="13">
    <w:abstractNumId w:val="14"/>
  </w:num>
  <w:num w:numId="14">
    <w:abstractNumId w:val="7"/>
  </w:num>
  <w:num w:numId="15">
    <w:abstractNumId w:val="12"/>
  </w:num>
  <w:num w:numId="16">
    <w:abstractNumId w:val="33"/>
  </w:num>
  <w:num w:numId="17">
    <w:abstractNumId w:val="22"/>
  </w:num>
  <w:num w:numId="18">
    <w:abstractNumId w:val="19"/>
  </w:num>
  <w:num w:numId="19">
    <w:abstractNumId w:val="8"/>
  </w:num>
  <w:num w:numId="20">
    <w:abstractNumId w:val="40"/>
  </w:num>
  <w:num w:numId="21">
    <w:abstractNumId w:val="27"/>
  </w:num>
  <w:num w:numId="22">
    <w:abstractNumId w:val="26"/>
  </w:num>
  <w:num w:numId="23">
    <w:abstractNumId w:val="3"/>
  </w:num>
  <w:num w:numId="24">
    <w:abstractNumId w:val="1"/>
  </w:num>
  <w:num w:numId="25">
    <w:abstractNumId w:val="5"/>
  </w:num>
  <w:num w:numId="26">
    <w:abstractNumId w:val="37"/>
  </w:num>
  <w:num w:numId="27">
    <w:abstractNumId w:val="21"/>
  </w:num>
  <w:num w:numId="28">
    <w:abstractNumId w:val="34"/>
  </w:num>
  <w:num w:numId="29">
    <w:abstractNumId w:val="30"/>
  </w:num>
  <w:num w:numId="30">
    <w:abstractNumId w:val="9"/>
  </w:num>
  <w:num w:numId="31">
    <w:abstractNumId w:val="25"/>
  </w:num>
  <w:num w:numId="32">
    <w:abstractNumId w:val="30"/>
    <w:lvlOverride w:ilvl="0">
      <w:startOverride w:val="1"/>
    </w:lvlOverride>
  </w:num>
  <w:num w:numId="33">
    <w:abstractNumId w:val="30"/>
    <w:lvlOverride w:ilvl="0">
      <w:startOverride w:val="2"/>
    </w:lvlOverride>
    <w:lvlOverride w:ilvl="1">
      <w:startOverride w:val="2"/>
    </w:lvlOverride>
  </w:num>
  <w:num w:numId="34">
    <w:abstractNumId w:val="36"/>
  </w:num>
  <w:num w:numId="35">
    <w:abstractNumId w:val="0"/>
  </w:num>
  <w:num w:numId="36">
    <w:abstractNumId w:val="24"/>
  </w:num>
  <w:num w:numId="37">
    <w:abstractNumId w:val="6"/>
  </w:num>
  <w:num w:numId="38">
    <w:abstractNumId w:val="20"/>
  </w:num>
  <w:num w:numId="39">
    <w:abstractNumId w:val="4"/>
  </w:num>
  <w:num w:numId="40">
    <w:abstractNumId w:val="16"/>
  </w:num>
  <w:num w:numId="41">
    <w:abstractNumId w:val="39"/>
  </w:num>
  <w:num w:numId="42">
    <w:abstractNumId w:val="38"/>
  </w:num>
  <w:num w:numId="43">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E0MLA0sATSpmaWhko6SsGpxcWZ+XkgBSbGtQC7m1y3LQAAAA=="/>
  </w:docVars>
  <w:rsids>
    <w:rsidRoot w:val="00283A6A"/>
    <w:rsid w:val="00004C11"/>
    <w:rsid w:val="0000777D"/>
    <w:rsid w:val="000203BC"/>
    <w:rsid w:val="00020703"/>
    <w:rsid w:val="00024FFB"/>
    <w:rsid w:val="00033E47"/>
    <w:rsid w:val="0003461E"/>
    <w:rsid w:val="00042284"/>
    <w:rsid w:val="00042802"/>
    <w:rsid w:val="000428AC"/>
    <w:rsid w:val="00042D27"/>
    <w:rsid w:val="0004313B"/>
    <w:rsid w:val="000453F2"/>
    <w:rsid w:val="0004680C"/>
    <w:rsid w:val="000471A6"/>
    <w:rsid w:val="0005248F"/>
    <w:rsid w:val="0005731D"/>
    <w:rsid w:val="0005796C"/>
    <w:rsid w:val="00060056"/>
    <w:rsid w:val="000600D3"/>
    <w:rsid w:val="0006280F"/>
    <w:rsid w:val="00063EA1"/>
    <w:rsid w:val="00063F08"/>
    <w:rsid w:val="00065DE7"/>
    <w:rsid w:val="00067772"/>
    <w:rsid w:val="00067E94"/>
    <w:rsid w:val="00070AF7"/>
    <w:rsid w:val="00072082"/>
    <w:rsid w:val="00072984"/>
    <w:rsid w:val="0007386B"/>
    <w:rsid w:val="00073B56"/>
    <w:rsid w:val="00074F54"/>
    <w:rsid w:val="00074FB2"/>
    <w:rsid w:val="000774B3"/>
    <w:rsid w:val="00082CFB"/>
    <w:rsid w:val="000836D6"/>
    <w:rsid w:val="000842B7"/>
    <w:rsid w:val="00084444"/>
    <w:rsid w:val="0008466A"/>
    <w:rsid w:val="000846C8"/>
    <w:rsid w:val="0008576A"/>
    <w:rsid w:val="00090DEB"/>
    <w:rsid w:val="00092D2E"/>
    <w:rsid w:val="00093101"/>
    <w:rsid w:val="000934BC"/>
    <w:rsid w:val="00093D83"/>
    <w:rsid w:val="00094631"/>
    <w:rsid w:val="00094810"/>
    <w:rsid w:val="00095462"/>
    <w:rsid w:val="00095601"/>
    <w:rsid w:val="00095DA9"/>
    <w:rsid w:val="000969A9"/>
    <w:rsid w:val="00096AD3"/>
    <w:rsid w:val="000A03A1"/>
    <w:rsid w:val="000A0535"/>
    <w:rsid w:val="000A1A53"/>
    <w:rsid w:val="000A1DDC"/>
    <w:rsid w:val="000A1FCC"/>
    <w:rsid w:val="000A243D"/>
    <w:rsid w:val="000A3AE1"/>
    <w:rsid w:val="000A685F"/>
    <w:rsid w:val="000A7117"/>
    <w:rsid w:val="000B16BE"/>
    <w:rsid w:val="000B2690"/>
    <w:rsid w:val="000B3461"/>
    <w:rsid w:val="000B70AF"/>
    <w:rsid w:val="000B71EE"/>
    <w:rsid w:val="000B78F5"/>
    <w:rsid w:val="000C17F5"/>
    <w:rsid w:val="000C22E5"/>
    <w:rsid w:val="000C2758"/>
    <w:rsid w:val="000D0566"/>
    <w:rsid w:val="000D4029"/>
    <w:rsid w:val="000D5CB2"/>
    <w:rsid w:val="000D64DA"/>
    <w:rsid w:val="000E0C43"/>
    <w:rsid w:val="000E4227"/>
    <w:rsid w:val="000E4435"/>
    <w:rsid w:val="000E4920"/>
    <w:rsid w:val="000E5B7A"/>
    <w:rsid w:val="000E7F10"/>
    <w:rsid w:val="000F0235"/>
    <w:rsid w:val="000F2D35"/>
    <w:rsid w:val="000F3103"/>
    <w:rsid w:val="000F34DB"/>
    <w:rsid w:val="000F3AE4"/>
    <w:rsid w:val="000F5BB3"/>
    <w:rsid w:val="0010292F"/>
    <w:rsid w:val="00103A9E"/>
    <w:rsid w:val="00121B8D"/>
    <w:rsid w:val="00122F24"/>
    <w:rsid w:val="00123DE1"/>
    <w:rsid w:val="001250B2"/>
    <w:rsid w:val="00125877"/>
    <w:rsid w:val="00125EBA"/>
    <w:rsid w:val="00127B94"/>
    <w:rsid w:val="001303C4"/>
    <w:rsid w:val="00132490"/>
    <w:rsid w:val="00133C6F"/>
    <w:rsid w:val="0013529B"/>
    <w:rsid w:val="00141059"/>
    <w:rsid w:val="00141CF6"/>
    <w:rsid w:val="00142588"/>
    <w:rsid w:val="00143CD7"/>
    <w:rsid w:val="00144161"/>
    <w:rsid w:val="00144ADF"/>
    <w:rsid w:val="00144C98"/>
    <w:rsid w:val="00151C97"/>
    <w:rsid w:val="00154283"/>
    <w:rsid w:val="00154606"/>
    <w:rsid w:val="00154AAF"/>
    <w:rsid w:val="001559D7"/>
    <w:rsid w:val="00156E28"/>
    <w:rsid w:val="00160435"/>
    <w:rsid w:val="00161584"/>
    <w:rsid w:val="001630B7"/>
    <w:rsid w:val="00164B23"/>
    <w:rsid w:val="00166500"/>
    <w:rsid w:val="001762CB"/>
    <w:rsid w:val="00182588"/>
    <w:rsid w:val="0018728F"/>
    <w:rsid w:val="001923F1"/>
    <w:rsid w:val="001933B7"/>
    <w:rsid w:val="00194881"/>
    <w:rsid w:val="00194A63"/>
    <w:rsid w:val="00195B81"/>
    <w:rsid w:val="00196854"/>
    <w:rsid w:val="00197EAF"/>
    <w:rsid w:val="001A1495"/>
    <w:rsid w:val="001A1BF8"/>
    <w:rsid w:val="001A48C8"/>
    <w:rsid w:val="001A5079"/>
    <w:rsid w:val="001A5D65"/>
    <w:rsid w:val="001A627E"/>
    <w:rsid w:val="001A7991"/>
    <w:rsid w:val="001B4601"/>
    <w:rsid w:val="001C081F"/>
    <w:rsid w:val="001C09D7"/>
    <w:rsid w:val="001C33AF"/>
    <w:rsid w:val="001C4C83"/>
    <w:rsid w:val="001D15F1"/>
    <w:rsid w:val="001D222C"/>
    <w:rsid w:val="001D3C7B"/>
    <w:rsid w:val="001D483A"/>
    <w:rsid w:val="001D5FE7"/>
    <w:rsid w:val="001D62C2"/>
    <w:rsid w:val="001E0016"/>
    <w:rsid w:val="001E109C"/>
    <w:rsid w:val="001E2FDE"/>
    <w:rsid w:val="001E3505"/>
    <w:rsid w:val="001E351A"/>
    <w:rsid w:val="001E3963"/>
    <w:rsid w:val="001E5D81"/>
    <w:rsid w:val="001E6687"/>
    <w:rsid w:val="001F325D"/>
    <w:rsid w:val="001F3A23"/>
    <w:rsid w:val="001F5F33"/>
    <w:rsid w:val="001F6D78"/>
    <w:rsid w:val="001F72DD"/>
    <w:rsid w:val="0020288A"/>
    <w:rsid w:val="00203D64"/>
    <w:rsid w:val="002046AD"/>
    <w:rsid w:val="00205DBF"/>
    <w:rsid w:val="0020796F"/>
    <w:rsid w:val="00207BA0"/>
    <w:rsid w:val="00210558"/>
    <w:rsid w:val="002114DD"/>
    <w:rsid w:val="00213EFB"/>
    <w:rsid w:val="0021496A"/>
    <w:rsid w:val="00215796"/>
    <w:rsid w:val="00215913"/>
    <w:rsid w:val="00223DB3"/>
    <w:rsid w:val="00224782"/>
    <w:rsid w:val="00225F31"/>
    <w:rsid w:val="00227891"/>
    <w:rsid w:val="00230954"/>
    <w:rsid w:val="0023122E"/>
    <w:rsid w:val="00233625"/>
    <w:rsid w:val="00233849"/>
    <w:rsid w:val="00240E8B"/>
    <w:rsid w:val="0024476C"/>
    <w:rsid w:val="002551A3"/>
    <w:rsid w:val="002602EF"/>
    <w:rsid w:val="00260909"/>
    <w:rsid w:val="0026134B"/>
    <w:rsid w:val="00262746"/>
    <w:rsid w:val="00264EA5"/>
    <w:rsid w:val="00264EF0"/>
    <w:rsid w:val="00265A9D"/>
    <w:rsid w:val="002745AE"/>
    <w:rsid w:val="00276219"/>
    <w:rsid w:val="002773B5"/>
    <w:rsid w:val="00277A91"/>
    <w:rsid w:val="00277FF1"/>
    <w:rsid w:val="00280A7A"/>
    <w:rsid w:val="00280C1D"/>
    <w:rsid w:val="00281D93"/>
    <w:rsid w:val="00283A6A"/>
    <w:rsid w:val="00284829"/>
    <w:rsid w:val="00286322"/>
    <w:rsid w:val="002864E4"/>
    <w:rsid w:val="00286CCE"/>
    <w:rsid w:val="002902CF"/>
    <w:rsid w:val="00291994"/>
    <w:rsid w:val="00297797"/>
    <w:rsid w:val="002A215A"/>
    <w:rsid w:val="002A3AEA"/>
    <w:rsid w:val="002A62E8"/>
    <w:rsid w:val="002A63DA"/>
    <w:rsid w:val="002A72E8"/>
    <w:rsid w:val="002B133B"/>
    <w:rsid w:val="002B1BBD"/>
    <w:rsid w:val="002B27F1"/>
    <w:rsid w:val="002B2E9D"/>
    <w:rsid w:val="002B3060"/>
    <w:rsid w:val="002B3161"/>
    <w:rsid w:val="002B3BA0"/>
    <w:rsid w:val="002B4836"/>
    <w:rsid w:val="002B650E"/>
    <w:rsid w:val="002B67FA"/>
    <w:rsid w:val="002B6DFA"/>
    <w:rsid w:val="002B7309"/>
    <w:rsid w:val="002B7E44"/>
    <w:rsid w:val="002C400B"/>
    <w:rsid w:val="002C4767"/>
    <w:rsid w:val="002C55D0"/>
    <w:rsid w:val="002C6D68"/>
    <w:rsid w:val="002C7116"/>
    <w:rsid w:val="002C7189"/>
    <w:rsid w:val="002C7205"/>
    <w:rsid w:val="002C780E"/>
    <w:rsid w:val="002C791D"/>
    <w:rsid w:val="002D1ACF"/>
    <w:rsid w:val="002D29BF"/>
    <w:rsid w:val="002D3CA6"/>
    <w:rsid w:val="002D464F"/>
    <w:rsid w:val="002D4761"/>
    <w:rsid w:val="002D568E"/>
    <w:rsid w:val="002D5A32"/>
    <w:rsid w:val="002D64E2"/>
    <w:rsid w:val="002D7348"/>
    <w:rsid w:val="002E0140"/>
    <w:rsid w:val="002E3336"/>
    <w:rsid w:val="002E3AD7"/>
    <w:rsid w:val="002E40C7"/>
    <w:rsid w:val="002E55BE"/>
    <w:rsid w:val="002E5C4A"/>
    <w:rsid w:val="002F132A"/>
    <w:rsid w:val="002F2D54"/>
    <w:rsid w:val="002F34CC"/>
    <w:rsid w:val="002F3F24"/>
    <w:rsid w:val="002F3F65"/>
    <w:rsid w:val="002F54D8"/>
    <w:rsid w:val="0030379F"/>
    <w:rsid w:val="00307B9B"/>
    <w:rsid w:val="00315988"/>
    <w:rsid w:val="00316F08"/>
    <w:rsid w:val="00320D9B"/>
    <w:rsid w:val="00322407"/>
    <w:rsid w:val="003224E5"/>
    <w:rsid w:val="003231BC"/>
    <w:rsid w:val="00323905"/>
    <w:rsid w:val="00324161"/>
    <w:rsid w:val="00325388"/>
    <w:rsid w:val="00325510"/>
    <w:rsid w:val="00325DC5"/>
    <w:rsid w:val="003266F5"/>
    <w:rsid w:val="00327A8B"/>
    <w:rsid w:val="00330266"/>
    <w:rsid w:val="00330A2C"/>
    <w:rsid w:val="00332BDC"/>
    <w:rsid w:val="00335044"/>
    <w:rsid w:val="003358EC"/>
    <w:rsid w:val="00336F19"/>
    <w:rsid w:val="00340182"/>
    <w:rsid w:val="003403E9"/>
    <w:rsid w:val="00342C7F"/>
    <w:rsid w:val="003436AC"/>
    <w:rsid w:val="0035060C"/>
    <w:rsid w:val="00351EA9"/>
    <w:rsid w:val="003520D7"/>
    <w:rsid w:val="00352150"/>
    <w:rsid w:val="00352AD4"/>
    <w:rsid w:val="00352CB4"/>
    <w:rsid w:val="003557CE"/>
    <w:rsid w:val="00356F9D"/>
    <w:rsid w:val="00357116"/>
    <w:rsid w:val="00360ECD"/>
    <w:rsid w:val="00363AD6"/>
    <w:rsid w:val="003645B7"/>
    <w:rsid w:val="003649C1"/>
    <w:rsid w:val="00367E15"/>
    <w:rsid w:val="00371581"/>
    <w:rsid w:val="0037508D"/>
    <w:rsid w:val="0037562A"/>
    <w:rsid w:val="00376722"/>
    <w:rsid w:val="00376CD1"/>
    <w:rsid w:val="0037712D"/>
    <w:rsid w:val="0038030A"/>
    <w:rsid w:val="003820A9"/>
    <w:rsid w:val="00382572"/>
    <w:rsid w:val="00384096"/>
    <w:rsid w:val="003857B5"/>
    <w:rsid w:val="00391111"/>
    <w:rsid w:val="003949F9"/>
    <w:rsid w:val="0039738D"/>
    <w:rsid w:val="003976A6"/>
    <w:rsid w:val="003A2E98"/>
    <w:rsid w:val="003A4AC1"/>
    <w:rsid w:val="003A587C"/>
    <w:rsid w:val="003A6E3E"/>
    <w:rsid w:val="003B2BB7"/>
    <w:rsid w:val="003B3455"/>
    <w:rsid w:val="003B3DB4"/>
    <w:rsid w:val="003B5D41"/>
    <w:rsid w:val="003B633F"/>
    <w:rsid w:val="003C0644"/>
    <w:rsid w:val="003C34AA"/>
    <w:rsid w:val="003C4843"/>
    <w:rsid w:val="003D191F"/>
    <w:rsid w:val="003D2850"/>
    <w:rsid w:val="003D2A25"/>
    <w:rsid w:val="003D3958"/>
    <w:rsid w:val="003D5DA3"/>
    <w:rsid w:val="003E0412"/>
    <w:rsid w:val="003E0C32"/>
    <w:rsid w:val="003E1DB1"/>
    <w:rsid w:val="003E2EEF"/>
    <w:rsid w:val="003E31DE"/>
    <w:rsid w:val="003E3A73"/>
    <w:rsid w:val="003E4C29"/>
    <w:rsid w:val="003E7342"/>
    <w:rsid w:val="003F0B01"/>
    <w:rsid w:val="003F388E"/>
    <w:rsid w:val="003F4FE1"/>
    <w:rsid w:val="003F78DE"/>
    <w:rsid w:val="00400796"/>
    <w:rsid w:val="0040197B"/>
    <w:rsid w:val="00401AA2"/>
    <w:rsid w:val="00402F39"/>
    <w:rsid w:val="00405173"/>
    <w:rsid w:val="00406E2E"/>
    <w:rsid w:val="0041056A"/>
    <w:rsid w:val="00411F29"/>
    <w:rsid w:val="0041341F"/>
    <w:rsid w:val="00413FE4"/>
    <w:rsid w:val="0042426B"/>
    <w:rsid w:val="0042506E"/>
    <w:rsid w:val="00425394"/>
    <w:rsid w:val="00427725"/>
    <w:rsid w:val="00430D26"/>
    <w:rsid w:val="00431317"/>
    <w:rsid w:val="00433F00"/>
    <w:rsid w:val="004343E2"/>
    <w:rsid w:val="004356D2"/>
    <w:rsid w:val="00436679"/>
    <w:rsid w:val="00437F35"/>
    <w:rsid w:val="00441419"/>
    <w:rsid w:val="0044485F"/>
    <w:rsid w:val="00446FDF"/>
    <w:rsid w:val="00447784"/>
    <w:rsid w:val="0045720E"/>
    <w:rsid w:val="00457AC3"/>
    <w:rsid w:val="00461114"/>
    <w:rsid w:val="00461DB2"/>
    <w:rsid w:val="00463874"/>
    <w:rsid w:val="00463DB6"/>
    <w:rsid w:val="004665DB"/>
    <w:rsid w:val="00466F2A"/>
    <w:rsid w:val="0046716A"/>
    <w:rsid w:val="00467916"/>
    <w:rsid w:val="00470C47"/>
    <w:rsid w:val="0047270D"/>
    <w:rsid w:val="004742FD"/>
    <w:rsid w:val="00475970"/>
    <w:rsid w:val="00477B1C"/>
    <w:rsid w:val="00480263"/>
    <w:rsid w:val="0048187C"/>
    <w:rsid w:val="00485E0A"/>
    <w:rsid w:val="0048686C"/>
    <w:rsid w:val="00486C24"/>
    <w:rsid w:val="00491675"/>
    <w:rsid w:val="0049193B"/>
    <w:rsid w:val="00492265"/>
    <w:rsid w:val="0049364E"/>
    <w:rsid w:val="00495906"/>
    <w:rsid w:val="00496015"/>
    <w:rsid w:val="004965AE"/>
    <w:rsid w:val="00497F91"/>
    <w:rsid w:val="004A28FB"/>
    <w:rsid w:val="004A2B1B"/>
    <w:rsid w:val="004A4155"/>
    <w:rsid w:val="004A4DE8"/>
    <w:rsid w:val="004B1A4A"/>
    <w:rsid w:val="004B1C90"/>
    <w:rsid w:val="004B281B"/>
    <w:rsid w:val="004B48F6"/>
    <w:rsid w:val="004B5FA2"/>
    <w:rsid w:val="004B73DB"/>
    <w:rsid w:val="004B74C7"/>
    <w:rsid w:val="004C1655"/>
    <w:rsid w:val="004C22BB"/>
    <w:rsid w:val="004C5AF0"/>
    <w:rsid w:val="004C7084"/>
    <w:rsid w:val="004C76BE"/>
    <w:rsid w:val="004D09EF"/>
    <w:rsid w:val="004D2830"/>
    <w:rsid w:val="004D4EF3"/>
    <w:rsid w:val="004D6016"/>
    <w:rsid w:val="004D64A6"/>
    <w:rsid w:val="004D66FF"/>
    <w:rsid w:val="004D6DC1"/>
    <w:rsid w:val="004E151F"/>
    <w:rsid w:val="004E1AE1"/>
    <w:rsid w:val="004E5DE2"/>
    <w:rsid w:val="004E7814"/>
    <w:rsid w:val="004F17E1"/>
    <w:rsid w:val="004F1E81"/>
    <w:rsid w:val="004F6CA7"/>
    <w:rsid w:val="00500364"/>
    <w:rsid w:val="00501F1D"/>
    <w:rsid w:val="005033B6"/>
    <w:rsid w:val="005036A2"/>
    <w:rsid w:val="005037CA"/>
    <w:rsid w:val="0050511C"/>
    <w:rsid w:val="00506AAF"/>
    <w:rsid w:val="00506ACA"/>
    <w:rsid w:val="00512421"/>
    <w:rsid w:val="00512BFD"/>
    <w:rsid w:val="00512FAD"/>
    <w:rsid w:val="00516CAA"/>
    <w:rsid w:val="00520D5C"/>
    <w:rsid w:val="0052109E"/>
    <w:rsid w:val="00521242"/>
    <w:rsid w:val="0052251F"/>
    <w:rsid w:val="00523D0F"/>
    <w:rsid w:val="0052442B"/>
    <w:rsid w:val="00524C6E"/>
    <w:rsid w:val="00530DCE"/>
    <w:rsid w:val="00531C69"/>
    <w:rsid w:val="00535ED3"/>
    <w:rsid w:val="00537A60"/>
    <w:rsid w:val="00537F6B"/>
    <w:rsid w:val="0054057C"/>
    <w:rsid w:val="00541741"/>
    <w:rsid w:val="005426C2"/>
    <w:rsid w:val="00542917"/>
    <w:rsid w:val="00544A82"/>
    <w:rsid w:val="00547669"/>
    <w:rsid w:val="005510CF"/>
    <w:rsid w:val="00552D4F"/>
    <w:rsid w:val="00555C39"/>
    <w:rsid w:val="005563E8"/>
    <w:rsid w:val="0056449C"/>
    <w:rsid w:val="00564E22"/>
    <w:rsid w:val="005675A8"/>
    <w:rsid w:val="00570FF0"/>
    <w:rsid w:val="00572C62"/>
    <w:rsid w:val="0057723F"/>
    <w:rsid w:val="00581064"/>
    <w:rsid w:val="005843F4"/>
    <w:rsid w:val="00584784"/>
    <w:rsid w:val="00585371"/>
    <w:rsid w:val="00586B5C"/>
    <w:rsid w:val="00587BD9"/>
    <w:rsid w:val="0059027A"/>
    <w:rsid w:val="00591681"/>
    <w:rsid w:val="00593AC0"/>
    <w:rsid w:val="00593CF4"/>
    <w:rsid w:val="0059580F"/>
    <w:rsid w:val="00595840"/>
    <w:rsid w:val="005A0B84"/>
    <w:rsid w:val="005A0D77"/>
    <w:rsid w:val="005A1020"/>
    <w:rsid w:val="005A53DE"/>
    <w:rsid w:val="005A6FB4"/>
    <w:rsid w:val="005B34B3"/>
    <w:rsid w:val="005B4027"/>
    <w:rsid w:val="005B4529"/>
    <w:rsid w:val="005B550A"/>
    <w:rsid w:val="005B6749"/>
    <w:rsid w:val="005B6C42"/>
    <w:rsid w:val="005C0EEC"/>
    <w:rsid w:val="005C37D0"/>
    <w:rsid w:val="005C3B9F"/>
    <w:rsid w:val="005C502D"/>
    <w:rsid w:val="005C572A"/>
    <w:rsid w:val="005C625A"/>
    <w:rsid w:val="005C6D74"/>
    <w:rsid w:val="005D0189"/>
    <w:rsid w:val="005D1A55"/>
    <w:rsid w:val="005D2323"/>
    <w:rsid w:val="005D4B85"/>
    <w:rsid w:val="005D678A"/>
    <w:rsid w:val="005E167C"/>
    <w:rsid w:val="005E1684"/>
    <w:rsid w:val="005E28E0"/>
    <w:rsid w:val="005E2ABC"/>
    <w:rsid w:val="005E4454"/>
    <w:rsid w:val="005E4976"/>
    <w:rsid w:val="005E6198"/>
    <w:rsid w:val="005F04F8"/>
    <w:rsid w:val="005F22BF"/>
    <w:rsid w:val="005F2472"/>
    <w:rsid w:val="005F4AA5"/>
    <w:rsid w:val="005F638E"/>
    <w:rsid w:val="005F699C"/>
    <w:rsid w:val="005F7E54"/>
    <w:rsid w:val="00600529"/>
    <w:rsid w:val="00600E13"/>
    <w:rsid w:val="00602A10"/>
    <w:rsid w:val="00605D48"/>
    <w:rsid w:val="00606B0F"/>
    <w:rsid w:val="00606C44"/>
    <w:rsid w:val="00607099"/>
    <w:rsid w:val="00613309"/>
    <w:rsid w:val="0061344B"/>
    <w:rsid w:val="00613E1F"/>
    <w:rsid w:val="00616C11"/>
    <w:rsid w:val="006200FC"/>
    <w:rsid w:val="00623345"/>
    <w:rsid w:val="00625DEE"/>
    <w:rsid w:val="006263E6"/>
    <w:rsid w:val="00626B5A"/>
    <w:rsid w:val="00635140"/>
    <w:rsid w:val="00640FF7"/>
    <w:rsid w:val="00641C5B"/>
    <w:rsid w:val="006427B7"/>
    <w:rsid w:val="00642C85"/>
    <w:rsid w:val="00644754"/>
    <w:rsid w:val="00645C1E"/>
    <w:rsid w:val="00647002"/>
    <w:rsid w:val="00647504"/>
    <w:rsid w:val="00647809"/>
    <w:rsid w:val="006500CC"/>
    <w:rsid w:val="00651214"/>
    <w:rsid w:val="006514B1"/>
    <w:rsid w:val="006528C4"/>
    <w:rsid w:val="00663001"/>
    <w:rsid w:val="00665A93"/>
    <w:rsid w:val="00665AD9"/>
    <w:rsid w:val="00665D57"/>
    <w:rsid w:val="0066615E"/>
    <w:rsid w:val="006744DB"/>
    <w:rsid w:val="0068045F"/>
    <w:rsid w:val="00681F3E"/>
    <w:rsid w:val="00682346"/>
    <w:rsid w:val="00682F0D"/>
    <w:rsid w:val="0068479D"/>
    <w:rsid w:val="00685EE4"/>
    <w:rsid w:val="00686831"/>
    <w:rsid w:val="0069026F"/>
    <w:rsid w:val="00690EF8"/>
    <w:rsid w:val="00694070"/>
    <w:rsid w:val="00694AC0"/>
    <w:rsid w:val="00695569"/>
    <w:rsid w:val="00697661"/>
    <w:rsid w:val="00697AF8"/>
    <w:rsid w:val="006A089A"/>
    <w:rsid w:val="006A6251"/>
    <w:rsid w:val="006A7680"/>
    <w:rsid w:val="006B0966"/>
    <w:rsid w:val="006B1F79"/>
    <w:rsid w:val="006B51B1"/>
    <w:rsid w:val="006C0340"/>
    <w:rsid w:val="006C08A5"/>
    <w:rsid w:val="006C76AA"/>
    <w:rsid w:val="006D384B"/>
    <w:rsid w:val="006D6E63"/>
    <w:rsid w:val="006E2D24"/>
    <w:rsid w:val="006E4C41"/>
    <w:rsid w:val="006E614B"/>
    <w:rsid w:val="006E6928"/>
    <w:rsid w:val="006E75F3"/>
    <w:rsid w:val="006F2D86"/>
    <w:rsid w:val="006F529D"/>
    <w:rsid w:val="006F5D7F"/>
    <w:rsid w:val="006F68DE"/>
    <w:rsid w:val="006F76B6"/>
    <w:rsid w:val="006F7E38"/>
    <w:rsid w:val="00700EBF"/>
    <w:rsid w:val="0070177E"/>
    <w:rsid w:val="00701A25"/>
    <w:rsid w:val="007020F3"/>
    <w:rsid w:val="00702D4B"/>
    <w:rsid w:val="00706BFC"/>
    <w:rsid w:val="007071D2"/>
    <w:rsid w:val="0071091A"/>
    <w:rsid w:val="007110B2"/>
    <w:rsid w:val="007129D5"/>
    <w:rsid w:val="00713A60"/>
    <w:rsid w:val="0071443B"/>
    <w:rsid w:val="007151B4"/>
    <w:rsid w:val="0071769A"/>
    <w:rsid w:val="007209D8"/>
    <w:rsid w:val="00720C8E"/>
    <w:rsid w:val="007231ED"/>
    <w:rsid w:val="007245A5"/>
    <w:rsid w:val="007265C4"/>
    <w:rsid w:val="00726821"/>
    <w:rsid w:val="00727100"/>
    <w:rsid w:val="00730834"/>
    <w:rsid w:val="00732F16"/>
    <w:rsid w:val="00735340"/>
    <w:rsid w:val="007430AA"/>
    <w:rsid w:val="007448B0"/>
    <w:rsid w:val="00745258"/>
    <w:rsid w:val="007473A5"/>
    <w:rsid w:val="00751DCD"/>
    <w:rsid w:val="0075355A"/>
    <w:rsid w:val="0075416E"/>
    <w:rsid w:val="007549B0"/>
    <w:rsid w:val="00754D36"/>
    <w:rsid w:val="00755DBC"/>
    <w:rsid w:val="00756174"/>
    <w:rsid w:val="00756F73"/>
    <w:rsid w:val="00757E86"/>
    <w:rsid w:val="00760307"/>
    <w:rsid w:val="0076048F"/>
    <w:rsid w:val="0076160E"/>
    <w:rsid w:val="00761B3E"/>
    <w:rsid w:val="00765ED9"/>
    <w:rsid w:val="00770C5B"/>
    <w:rsid w:val="00772A2D"/>
    <w:rsid w:val="00776CF0"/>
    <w:rsid w:val="00777CBB"/>
    <w:rsid w:val="00781221"/>
    <w:rsid w:val="0078159F"/>
    <w:rsid w:val="007815FA"/>
    <w:rsid w:val="00782CD8"/>
    <w:rsid w:val="00782E57"/>
    <w:rsid w:val="0079187F"/>
    <w:rsid w:val="00795AF2"/>
    <w:rsid w:val="007A164F"/>
    <w:rsid w:val="007A2E38"/>
    <w:rsid w:val="007A53CC"/>
    <w:rsid w:val="007A5CF6"/>
    <w:rsid w:val="007A5D56"/>
    <w:rsid w:val="007A7959"/>
    <w:rsid w:val="007B0A34"/>
    <w:rsid w:val="007B1682"/>
    <w:rsid w:val="007B1AEC"/>
    <w:rsid w:val="007B2992"/>
    <w:rsid w:val="007B33C4"/>
    <w:rsid w:val="007B3645"/>
    <w:rsid w:val="007B436C"/>
    <w:rsid w:val="007B473B"/>
    <w:rsid w:val="007B6DA0"/>
    <w:rsid w:val="007B72DD"/>
    <w:rsid w:val="007C3521"/>
    <w:rsid w:val="007C4296"/>
    <w:rsid w:val="007C5390"/>
    <w:rsid w:val="007C68FC"/>
    <w:rsid w:val="007C7992"/>
    <w:rsid w:val="007C7AD3"/>
    <w:rsid w:val="007D0A42"/>
    <w:rsid w:val="007D29B2"/>
    <w:rsid w:val="007D3993"/>
    <w:rsid w:val="007D5C49"/>
    <w:rsid w:val="007D61D7"/>
    <w:rsid w:val="007D6DB7"/>
    <w:rsid w:val="007D7A7F"/>
    <w:rsid w:val="007E0771"/>
    <w:rsid w:val="007E1CC4"/>
    <w:rsid w:val="007E6904"/>
    <w:rsid w:val="007E6F4B"/>
    <w:rsid w:val="007F3F51"/>
    <w:rsid w:val="007F69DA"/>
    <w:rsid w:val="00800B74"/>
    <w:rsid w:val="00801852"/>
    <w:rsid w:val="00805BC5"/>
    <w:rsid w:val="008061E9"/>
    <w:rsid w:val="008063AB"/>
    <w:rsid w:val="00806552"/>
    <w:rsid w:val="008128FC"/>
    <w:rsid w:val="0081482A"/>
    <w:rsid w:val="0081496C"/>
    <w:rsid w:val="008168E2"/>
    <w:rsid w:val="00817538"/>
    <w:rsid w:val="00820B40"/>
    <w:rsid w:val="008242ED"/>
    <w:rsid w:val="008251F3"/>
    <w:rsid w:val="0082535F"/>
    <w:rsid w:val="00827A09"/>
    <w:rsid w:val="008304A5"/>
    <w:rsid w:val="00831D46"/>
    <w:rsid w:val="00836A81"/>
    <w:rsid w:val="00841ED2"/>
    <w:rsid w:val="00844937"/>
    <w:rsid w:val="00844DA4"/>
    <w:rsid w:val="00844F3C"/>
    <w:rsid w:val="0084753C"/>
    <w:rsid w:val="00847AD6"/>
    <w:rsid w:val="00853E10"/>
    <w:rsid w:val="00854E31"/>
    <w:rsid w:val="008603E0"/>
    <w:rsid w:val="00860A85"/>
    <w:rsid w:val="0086157D"/>
    <w:rsid w:val="00861EEB"/>
    <w:rsid w:val="0086225D"/>
    <w:rsid w:val="008626BB"/>
    <w:rsid w:val="00862DF8"/>
    <w:rsid w:val="00865C00"/>
    <w:rsid w:val="00865E27"/>
    <w:rsid w:val="00866132"/>
    <w:rsid w:val="0087190B"/>
    <w:rsid w:val="00873819"/>
    <w:rsid w:val="00875A37"/>
    <w:rsid w:val="00880F88"/>
    <w:rsid w:val="008816A0"/>
    <w:rsid w:val="008821EC"/>
    <w:rsid w:val="00882B92"/>
    <w:rsid w:val="008834EF"/>
    <w:rsid w:val="00884A29"/>
    <w:rsid w:val="008867A0"/>
    <w:rsid w:val="0088690A"/>
    <w:rsid w:val="00887F18"/>
    <w:rsid w:val="00890CAD"/>
    <w:rsid w:val="00890E82"/>
    <w:rsid w:val="00897F90"/>
    <w:rsid w:val="008A1F6A"/>
    <w:rsid w:val="008A2E49"/>
    <w:rsid w:val="008A4C54"/>
    <w:rsid w:val="008A4FCA"/>
    <w:rsid w:val="008A559E"/>
    <w:rsid w:val="008A5B6F"/>
    <w:rsid w:val="008A5F38"/>
    <w:rsid w:val="008A69B9"/>
    <w:rsid w:val="008A70A4"/>
    <w:rsid w:val="008A77A7"/>
    <w:rsid w:val="008B3351"/>
    <w:rsid w:val="008B558E"/>
    <w:rsid w:val="008B65C6"/>
    <w:rsid w:val="008B6680"/>
    <w:rsid w:val="008B7504"/>
    <w:rsid w:val="008C1B96"/>
    <w:rsid w:val="008C1E4B"/>
    <w:rsid w:val="008C2328"/>
    <w:rsid w:val="008C5CC5"/>
    <w:rsid w:val="008C720E"/>
    <w:rsid w:val="008C726A"/>
    <w:rsid w:val="008D0E4F"/>
    <w:rsid w:val="008D1F8E"/>
    <w:rsid w:val="008D47CB"/>
    <w:rsid w:val="008D4D92"/>
    <w:rsid w:val="008D5FCA"/>
    <w:rsid w:val="008D7CCA"/>
    <w:rsid w:val="008D7F38"/>
    <w:rsid w:val="008E0807"/>
    <w:rsid w:val="008E44E7"/>
    <w:rsid w:val="008E6E01"/>
    <w:rsid w:val="008E7A4C"/>
    <w:rsid w:val="008E7A82"/>
    <w:rsid w:val="008F1D13"/>
    <w:rsid w:val="008F28FB"/>
    <w:rsid w:val="008F4EDE"/>
    <w:rsid w:val="008F7001"/>
    <w:rsid w:val="008F75EB"/>
    <w:rsid w:val="00902EAA"/>
    <w:rsid w:val="009063E5"/>
    <w:rsid w:val="009065E1"/>
    <w:rsid w:val="009116F0"/>
    <w:rsid w:val="00911D5D"/>
    <w:rsid w:val="009133A9"/>
    <w:rsid w:val="00915EC9"/>
    <w:rsid w:val="00916BB3"/>
    <w:rsid w:val="00916C0A"/>
    <w:rsid w:val="00922914"/>
    <w:rsid w:val="00926F83"/>
    <w:rsid w:val="009305A0"/>
    <w:rsid w:val="00933FDC"/>
    <w:rsid w:val="00934594"/>
    <w:rsid w:val="009377F7"/>
    <w:rsid w:val="00937AB0"/>
    <w:rsid w:val="0094046D"/>
    <w:rsid w:val="00940655"/>
    <w:rsid w:val="009406F3"/>
    <w:rsid w:val="00943096"/>
    <w:rsid w:val="009445BE"/>
    <w:rsid w:val="00944D45"/>
    <w:rsid w:val="00944FAE"/>
    <w:rsid w:val="00951541"/>
    <w:rsid w:val="0095167F"/>
    <w:rsid w:val="00951E89"/>
    <w:rsid w:val="00951FF2"/>
    <w:rsid w:val="009574DE"/>
    <w:rsid w:val="00963A61"/>
    <w:rsid w:val="0096454E"/>
    <w:rsid w:val="00964A79"/>
    <w:rsid w:val="009667AC"/>
    <w:rsid w:val="009710CB"/>
    <w:rsid w:val="00971A11"/>
    <w:rsid w:val="00972C88"/>
    <w:rsid w:val="0097331F"/>
    <w:rsid w:val="00977C21"/>
    <w:rsid w:val="00980A4F"/>
    <w:rsid w:val="00980CB2"/>
    <w:rsid w:val="00982D1F"/>
    <w:rsid w:val="00983BE0"/>
    <w:rsid w:val="00985A9E"/>
    <w:rsid w:val="00986C24"/>
    <w:rsid w:val="00990458"/>
    <w:rsid w:val="00992D60"/>
    <w:rsid w:val="009949EA"/>
    <w:rsid w:val="00994AE3"/>
    <w:rsid w:val="00994DDD"/>
    <w:rsid w:val="0099502B"/>
    <w:rsid w:val="00995106"/>
    <w:rsid w:val="009A0E8F"/>
    <w:rsid w:val="009A11B3"/>
    <w:rsid w:val="009A2864"/>
    <w:rsid w:val="009A2C72"/>
    <w:rsid w:val="009A39C8"/>
    <w:rsid w:val="009A4C35"/>
    <w:rsid w:val="009A5A62"/>
    <w:rsid w:val="009A708A"/>
    <w:rsid w:val="009A7795"/>
    <w:rsid w:val="009B03ED"/>
    <w:rsid w:val="009B1671"/>
    <w:rsid w:val="009B57FC"/>
    <w:rsid w:val="009B6ED5"/>
    <w:rsid w:val="009C31B7"/>
    <w:rsid w:val="009C43E4"/>
    <w:rsid w:val="009C7A6E"/>
    <w:rsid w:val="009D188F"/>
    <w:rsid w:val="009D2497"/>
    <w:rsid w:val="009D316A"/>
    <w:rsid w:val="009D466F"/>
    <w:rsid w:val="009E5629"/>
    <w:rsid w:val="009E7D76"/>
    <w:rsid w:val="009F0A85"/>
    <w:rsid w:val="009F4C94"/>
    <w:rsid w:val="009F691F"/>
    <w:rsid w:val="009F77A5"/>
    <w:rsid w:val="00A038AF"/>
    <w:rsid w:val="00A04311"/>
    <w:rsid w:val="00A04680"/>
    <w:rsid w:val="00A06548"/>
    <w:rsid w:val="00A0683F"/>
    <w:rsid w:val="00A1141A"/>
    <w:rsid w:val="00A12A18"/>
    <w:rsid w:val="00A135BF"/>
    <w:rsid w:val="00A139B7"/>
    <w:rsid w:val="00A15A66"/>
    <w:rsid w:val="00A15C9A"/>
    <w:rsid w:val="00A16503"/>
    <w:rsid w:val="00A178DD"/>
    <w:rsid w:val="00A20799"/>
    <w:rsid w:val="00A23AA7"/>
    <w:rsid w:val="00A24486"/>
    <w:rsid w:val="00A2744C"/>
    <w:rsid w:val="00A27677"/>
    <w:rsid w:val="00A30E80"/>
    <w:rsid w:val="00A31E77"/>
    <w:rsid w:val="00A3238E"/>
    <w:rsid w:val="00A323F4"/>
    <w:rsid w:val="00A36CAB"/>
    <w:rsid w:val="00A42637"/>
    <w:rsid w:val="00A439BE"/>
    <w:rsid w:val="00A44830"/>
    <w:rsid w:val="00A45EE2"/>
    <w:rsid w:val="00A479C1"/>
    <w:rsid w:val="00A50561"/>
    <w:rsid w:val="00A55610"/>
    <w:rsid w:val="00A55A01"/>
    <w:rsid w:val="00A56213"/>
    <w:rsid w:val="00A60AB6"/>
    <w:rsid w:val="00A62196"/>
    <w:rsid w:val="00A64157"/>
    <w:rsid w:val="00A65894"/>
    <w:rsid w:val="00A72317"/>
    <w:rsid w:val="00A730BD"/>
    <w:rsid w:val="00A74A20"/>
    <w:rsid w:val="00A74C62"/>
    <w:rsid w:val="00A757DE"/>
    <w:rsid w:val="00A762B5"/>
    <w:rsid w:val="00A77F0A"/>
    <w:rsid w:val="00A84C8A"/>
    <w:rsid w:val="00A9224E"/>
    <w:rsid w:val="00A92537"/>
    <w:rsid w:val="00A95BC9"/>
    <w:rsid w:val="00AA1D1D"/>
    <w:rsid w:val="00AA45DE"/>
    <w:rsid w:val="00AA517E"/>
    <w:rsid w:val="00AB1DCD"/>
    <w:rsid w:val="00AB2DD8"/>
    <w:rsid w:val="00AB4BAD"/>
    <w:rsid w:val="00AB549F"/>
    <w:rsid w:val="00AC1B9C"/>
    <w:rsid w:val="00AC6EF4"/>
    <w:rsid w:val="00AC7D95"/>
    <w:rsid w:val="00AD003C"/>
    <w:rsid w:val="00AD29D6"/>
    <w:rsid w:val="00AD39AD"/>
    <w:rsid w:val="00AD3F3B"/>
    <w:rsid w:val="00AD44D0"/>
    <w:rsid w:val="00AD6325"/>
    <w:rsid w:val="00AD6601"/>
    <w:rsid w:val="00AD7306"/>
    <w:rsid w:val="00AD795C"/>
    <w:rsid w:val="00AD7D94"/>
    <w:rsid w:val="00AE3829"/>
    <w:rsid w:val="00AE3B6D"/>
    <w:rsid w:val="00AE5EDE"/>
    <w:rsid w:val="00AE67EC"/>
    <w:rsid w:val="00AE718C"/>
    <w:rsid w:val="00AE7349"/>
    <w:rsid w:val="00AF1EAB"/>
    <w:rsid w:val="00AF3824"/>
    <w:rsid w:val="00AF4018"/>
    <w:rsid w:val="00AF44CC"/>
    <w:rsid w:val="00AF5C89"/>
    <w:rsid w:val="00AF7990"/>
    <w:rsid w:val="00B015B6"/>
    <w:rsid w:val="00B019A6"/>
    <w:rsid w:val="00B0208D"/>
    <w:rsid w:val="00B04479"/>
    <w:rsid w:val="00B05D9F"/>
    <w:rsid w:val="00B07A0C"/>
    <w:rsid w:val="00B112DE"/>
    <w:rsid w:val="00B11A14"/>
    <w:rsid w:val="00B15116"/>
    <w:rsid w:val="00B163F1"/>
    <w:rsid w:val="00B166D5"/>
    <w:rsid w:val="00B2096C"/>
    <w:rsid w:val="00B20E92"/>
    <w:rsid w:val="00B20F62"/>
    <w:rsid w:val="00B212C8"/>
    <w:rsid w:val="00B219C6"/>
    <w:rsid w:val="00B23515"/>
    <w:rsid w:val="00B244F6"/>
    <w:rsid w:val="00B24564"/>
    <w:rsid w:val="00B24E6F"/>
    <w:rsid w:val="00B335ED"/>
    <w:rsid w:val="00B3410C"/>
    <w:rsid w:val="00B3482B"/>
    <w:rsid w:val="00B357C8"/>
    <w:rsid w:val="00B3660D"/>
    <w:rsid w:val="00B40216"/>
    <w:rsid w:val="00B410AD"/>
    <w:rsid w:val="00B4141E"/>
    <w:rsid w:val="00B43C04"/>
    <w:rsid w:val="00B4445E"/>
    <w:rsid w:val="00B4463A"/>
    <w:rsid w:val="00B44AB2"/>
    <w:rsid w:val="00B453B4"/>
    <w:rsid w:val="00B469E9"/>
    <w:rsid w:val="00B46BA7"/>
    <w:rsid w:val="00B46F2D"/>
    <w:rsid w:val="00B50765"/>
    <w:rsid w:val="00B5119E"/>
    <w:rsid w:val="00B52F58"/>
    <w:rsid w:val="00B52FD2"/>
    <w:rsid w:val="00B56601"/>
    <w:rsid w:val="00B63545"/>
    <w:rsid w:val="00B64C8E"/>
    <w:rsid w:val="00B65AE6"/>
    <w:rsid w:val="00B65B32"/>
    <w:rsid w:val="00B6671D"/>
    <w:rsid w:val="00B709D8"/>
    <w:rsid w:val="00B70B11"/>
    <w:rsid w:val="00B71D03"/>
    <w:rsid w:val="00B732FD"/>
    <w:rsid w:val="00B744D3"/>
    <w:rsid w:val="00B80192"/>
    <w:rsid w:val="00B827CF"/>
    <w:rsid w:val="00B83B6D"/>
    <w:rsid w:val="00B847B2"/>
    <w:rsid w:val="00B84C82"/>
    <w:rsid w:val="00B93FFE"/>
    <w:rsid w:val="00B9432E"/>
    <w:rsid w:val="00B9476D"/>
    <w:rsid w:val="00B95A4A"/>
    <w:rsid w:val="00B96518"/>
    <w:rsid w:val="00B9694D"/>
    <w:rsid w:val="00B96DB1"/>
    <w:rsid w:val="00B96EAC"/>
    <w:rsid w:val="00BA07CB"/>
    <w:rsid w:val="00BA21A3"/>
    <w:rsid w:val="00BA31BF"/>
    <w:rsid w:val="00BA3811"/>
    <w:rsid w:val="00BA5C58"/>
    <w:rsid w:val="00BA66AA"/>
    <w:rsid w:val="00BA7D09"/>
    <w:rsid w:val="00BB0366"/>
    <w:rsid w:val="00BB0D40"/>
    <w:rsid w:val="00BB0EC7"/>
    <w:rsid w:val="00BB4F40"/>
    <w:rsid w:val="00BB5172"/>
    <w:rsid w:val="00BB6145"/>
    <w:rsid w:val="00BB66E9"/>
    <w:rsid w:val="00BB757D"/>
    <w:rsid w:val="00BB7F91"/>
    <w:rsid w:val="00BC01AD"/>
    <w:rsid w:val="00BC053D"/>
    <w:rsid w:val="00BC28A1"/>
    <w:rsid w:val="00BC5050"/>
    <w:rsid w:val="00BC770B"/>
    <w:rsid w:val="00BD2B4D"/>
    <w:rsid w:val="00BD3E66"/>
    <w:rsid w:val="00BD747C"/>
    <w:rsid w:val="00BE0261"/>
    <w:rsid w:val="00BE048B"/>
    <w:rsid w:val="00BE4706"/>
    <w:rsid w:val="00BE690D"/>
    <w:rsid w:val="00BE7063"/>
    <w:rsid w:val="00BF2DE9"/>
    <w:rsid w:val="00BF60A3"/>
    <w:rsid w:val="00C02150"/>
    <w:rsid w:val="00C067BE"/>
    <w:rsid w:val="00C06A4B"/>
    <w:rsid w:val="00C12D4D"/>
    <w:rsid w:val="00C1336F"/>
    <w:rsid w:val="00C139DE"/>
    <w:rsid w:val="00C14C2A"/>
    <w:rsid w:val="00C16AD8"/>
    <w:rsid w:val="00C1720B"/>
    <w:rsid w:val="00C17235"/>
    <w:rsid w:val="00C17B22"/>
    <w:rsid w:val="00C23622"/>
    <w:rsid w:val="00C24030"/>
    <w:rsid w:val="00C25D49"/>
    <w:rsid w:val="00C30290"/>
    <w:rsid w:val="00C33269"/>
    <w:rsid w:val="00C33FAD"/>
    <w:rsid w:val="00C37698"/>
    <w:rsid w:val="00C44B1C"/>
    <w:rsid w:val="00C46D61"/>
    <w:rsid w:val="00C47EBF"/>
    <w:rsid w:val="00C51ED1"/>
    <w:rsid w:val="00C52EA8"/>
    <w:rsid w:val="00C54047"/>
    <w:rsid w:val="00C542D0"/>
    <w:rsid w:val="00C562A5"/>
    <w:rsid w:val="00C56929"/>
    <w:rsid w:val="00C571C1"/>
    <w:rsid w:val="00C57EE5"/>
    <w:rsid w:val="00C613AD"/>
    <w:rsid w:val="00C615CD"/>
    <w:rsid w:val="00C6314B"/>
    <w:rsid w:val="00C65447"/>
    <w:rsid w:val="00C703D5"/>
    <w:rsid w:val="00C71CCD"/>
    <w:rsid w:val="00C75FE6"/>
    <w:rsid w:val="00C766CE"/>
    <w:rsid w:val="00C77F20"/>
    <w:rsid w:val="00C80657"/>
    <w:rsid w:val="00C81A52"/>
    <w:rsid w:val="00C81F10"/>
    <w:rsid w:val="00C82C86"/>
    <w:rsid w:val="00C83CFF"/>
    <w:rsid w:val="00C83F8D"/>
    <w:rsid w:val="00C84910"/>
    <w:rsid w:val="00C864CB"/>
    <w:rsid w:val="00C87D35"/>
    <w:rsid w:val="00C90957"/>
    <w:rsid w:val="00C90DB0"/>
    <w:rsid w:val="00C92C81"/>
    <w:rsid w:val="00C93354"/>
    <w:rsid w:val="00C9437F"/>
    <w:rsid w:val="00C9540D"/>
    <w:rsid w:val="00C97FE4"/>
    <w:rsid w:val="00CA0A47"/>
    <w:rsid w:val="00CA20FE"/>
    <w:rsid w:val="00CB03D7"/>
    <w:rsid w:val="00CB2A5B"/>
    <w:rsid w:val="00CB4093"/>
    <w:rsid w:val="00CB4DE8"/>
    <w:rsid w:val="00CB73FD"/>
    <w:rsid w:val="00CC3172"/>
    <w:rsid w:val="00CC4F05"/>
    <w:rsid w:val="00CC579A"/>
    <w:rsid w:val="00CC77F7"/>
    <w:rsid w:val="00CC7BDA"/>
    <w:rsid w:val="00CD140D"/>
    <w:rsid w:val="00CD1C33"/>
    <w:rsid w:val="00CD2E44"/>
    <w:rsid w:val="00CE1E87"/>
    <w:rsid w:val="00CE20E5"/>
    <w:rsid w:val="00CE2527"/>
    <w:rsid w:val="00CE720A"/>
    <w:rsid w:val="00CE72AE"/>
    <w:rsid w:val="00CF01CC"/>
    <w:rsid w:val="00CF17F4"/>
    <w:rsid w:val="00CF29FD"/>
    <w:rsid w:val="00CF2AF8"/>
    <w:rsid w:val="00CF3361"/>
    <w:rsid w:val="00CF6435"/>
    <w:rsid w:val="00CF7FBB"/>
    <w:rsid w:val="00D00E97"/>
    <w:rsid w:val="00D0188A"/>
    <w:rsid w:val="00D01FE0"/>
    <w:rsid w:val="00D04D3C"/>
    <w:rsid w:val="00D151C5"/>
    <w:rsid w:val="00D15667"/>
    <w:rsid w:val="00D16901"/>
    <w:rsid w:val="00D22CF4"/>
    <w:rsid w:val="00D22DB9"/>
    <w:rsid w:val="00D22E19"/>
    <w:rsid w:val="00D23AAC"/>
    <w:rsid w:val="00D311DB"/>
    <w:rsid w:val="00D3122D"/>
    <w:rsid w:val="00D3388C"/>
    <w:rsid w:val="00D34ABB"/>
    <w:rsid w:val="00D3569E"/>
    <w:rsid w:val="00D361B8"/>
    <w:rsid w:val="00D3653A"/>
    <w:rsid w:val="00D3746C"/>
    <w:rsid w:val="00D406DD"/>
    <w:rsid w:val="00D41AC9"/>
    <w:rsid w:val="00D43D9E"/>
    <w:rsid w:val="00D45041"/>
    <w:rsid w:val="00D454FF"/>
    <w:rsid w:val="00D4568A"/>
    <w:rsid w:val="00D45D8A"/>
    <w:rsid w:val="00D466A3"/>
    <w:rsid w:val="00D46D13"/>
    <w:rsid w:val="00D50225"/>
    <w:rsid w:val="00D50D2B"/>
    <w:rsid w:val="00D56CB8"/>
    <w:rsid w:val="00D601D4"/>
    <w:rsid w:val="00D62B2B"/>
    <w:rsid w:val="00D64014"/>
    <w:rsid w:val="00D64119"/>
    <w:rsid w:val="00D64C71"/>
    <w:rsid w:val="00D660B0"/>
    <w:rsid w:val="00D70913"/>
    <w:rsid w:val="00D70981"/>
    <w:rsid w:val="00D726EB"/>
    <w:rsid w:val="00D74CEC"/>
    <w:rsid w:val="00D7623D"/>
    <w:rsid w:val="00D93015"/>
    <w:rsid w:val="00D949CA"/>
    <w:rsid w:val="00D97E4A"/>
    <w:rsid w:val="00DA0AA5"/>
    <w:rsid w:val="00DA1407"/>
    <w:rsid w:val="00DA2AC8"/>
    <w:rsid w:val="00DA30AA"/>
    <w:rsid w:val="00DA52CB"/>
    <w:rsid w:val="00DB1ED6"/>
    <w:rsid w:val="00DB3ED2"/>
    <w:rsid w:val="00DB6377"/>
    <w:rsid w:val="00DB6CFA"/>
    <w:rsid w:val="00DC213D"/>
    <w:rsid w:val="00DC6D4A"/>
    <w:rsid w:val="00DC7910"/>
    <w:rsid w:val="00DC7EC2"/>
    <w:rsid w:val="00DD01BF"/>
    <w:rsid w:val="00DD1088"/>
    <w:rsid w:val="00DD13EA"/>
    <w:rsid w:val="00DD18E1"/>
    <w:rsid w:val="00DD2DCE"/>
    <w:rsid w:val="00DD2E15"/>
    <w:rsid w:val="00DD541E"/>
    <w:rsid w:val="00DD731D"/>
    <w:rsid w:val="00DD743F"/>
    <w:rsid w:val="00DD78C4"/>
    <w:rsid w:val="00DE0F4B"/>
    <w:rsid w:val="00DE5882"/>
    <w:rsid w:val="00DE6DAD"/>
    <w:rsid w:val="00DE75E1"/>
    <w:rsid w:val="00DF4393"/>
    <w:rsid w:val="00DF5591"/>
    <w:rsid w:val="00DF5E49"/>
    <w:rsid w:val="00E007A1"/>
    <w:rsid w:val="00E00C46"/>
    <w:rsid w:val="00E0190F"/>
    <w:rsid w:val="00E0216D"/>
    <w:rsid w:val="00E02223"/>
    <w:rsid w:val="00E035F2"/>
    <w:rsid w:val="00E04606"/>
    <w:rsid w:val="00E07D47"/>
    <w:rsid w:val="00E1050A"/>
    <w:rsid w:val="00E112E2"/>
    <w:rsid w:val="00E113F8"/>
    <w:rsid w:val="00E118ED"/>
    <w:rsid w:val="00E13011"/>
    <w:rsid w:val="00E130EA"/>
    <w:rsid w:val="00E13CEC"/>
    <w:rsid w:val="00E1454E"/>
    <w:rsid w:val="00E20886"/>
    <w:rsid w:val="00E21311"/>
    <w:rsid w:val="00E22AA2"/>
    <w:rsid w:val="00E24ECC"/>
    <w:rsid w:val="00E25A0F"/>
    <w:rsid w:val="00E310CB"/>
    <w:rsid w:val="00E3210D"/>
    <w:rsid w:val="00E32DEF"/>
    <w:rsid w:val="00E3332E"/>
    <w:rsid w:val="00E3457D"/>
    <w:rsid w:val="00E34EBC"/>
    <w:rsid w:val="00E3564D"/>
    <w:rsid w:val="00E403FC"/>
    <w:rsid w:val="00E404C0"/>
    <w:rsid w:val="00E40716"/>
    <w:rsid w:val="00E42481"/>
    <w:rsid w:val="00E43936"/>
    <w:rsid w:val="00E439C8"/>
    <w:rsid w:val="00E44555"/>
    <w:rsid w:val="00E45ABD"/>
    <w:rsid w:val="00E46EA2"/>
    <w:rsid w:val="00E47EA8"/>
    <w:rsid w:val="00E50673"/>
    <w:rsid w:val="00E510DE"/>
    <w:rsid w:val="00E62D34"/>
    <w:rsid w:val="00E64072"/>
    <w:rsid w:val="00E7530C"/>
    <w:rsid w:val="00E759F6"/>
    <w:rsid w:val="00E76570"/>
    <w:rsid w:val="00E83046"/>
    <w:rsid w:val="00E833A3"/>
    <w:rsid w:val="00E840FC"/>
    <w:rsid w:val="00E86BF7"/>
    <w:rsid w:val="00E87F79"/>
    <w:rsid w:val="00E910AC"/>
    <w:rsid w:val="00E913EF"/>
    <w:rsid w:val="00E94BCA"/>
    <w:rsid w:val="00E9528D"/>
    <w:rsid w:val="00E95F06"/>
    <w:rsid w:val="00E95F8D"/>
    <w:rsid w:val="00E9619C"/>
    <w:rsid w:val="00E961F4"/>
    <w:rsid w:val="00EA2854"/>
    <w:rsid w:val="00EA30D4"/>
    <w:rsid w:val="00EA3E7B"/>
    <w:rsid w:val="00EA5230"/>
    <w:rsid w:val="00EA52D3"/>
    <w:rsid w:val="00EA7B1C"/>
    <w:rsid w:val="00EB1031"/>
    <w:rsid w:val="00EB155F"/>
    <w:rsid w:val="00EB2BBD"/>
    <w:rsid w:val="00EB36D2"/>
    <w:rsid w:val="00EB498C"/>
    <w:rsid w:val="00EB6589"/>
    <w:rsid w:val="00EC030C"/>
    <w:rsid w:val="00EC15EE"/>
    <w:rsid w:val="00EC2760"/>
    <w:rsid w:val="00EC36B0"/>
    <w:rsid w:val="00EC39F6"/>
    <w:rsid w:val="00EC3A9D"/>
    <w:rsid w:val="00EC403A"/>
    <w:rsid w:val="00EC506B"/>
    <w:rsid w:val="00EC53ED"/>
    <w:rsid w:val="00EC646D"/>
    <w:rsid w:val="00EC64BC"/>
    <w:rsid w:val="00ED01E1"/>
    <w:rsid w:val="00ED057D"/>
    <w:rsid w:val="00ED28E4"/>
    <w:rsid w:val="00ED2C6D"/>
    <w:rsid w:val="00ED6096"/>
    <w:rsid w:val="00ED6BB6"/>
    <w:rsid w:val="00EE245B"/>
    <w:rsid w:val="00EE2697"/>
    <w:rsid w:val="00EE705A"/>
    <w:rsid w:val="00EE76F0"/>
    <w:rsid w:val="00EE79E1"/>
    <w:rsid w:val="00EF572B"/>
    <w:rsid w:val="00EF59EC"/>
    <w:rsid w:val="00EF66B9"/>
    <w:rsid w:val="00F0027A"/>
    <w:rsid w:val="00F019D0"/>
    <w:rsid w:val="00F0430A"/>
    <w:rsid w:val="00F073C9"/>
    <w:rsid w:val="00F07DCC"/>
    <w:rsid w:val="00F1658C"/>
    <w:rsid w:val="00F1708E"/>
    <w:rsid w:val="00F20923"/>
    <w:rsid w:val="00F2275D"/>
    <w:rsid w:val="00F2596F"/>
    <w:rsid w:val="00F2622E"/>
    <w:rsid w:val="00F27472"/>
    <w:rsid w:val="00F30309"/>
    <w:rsid w:val="00F31655"/>
    <w:rsid w:val="00F32D81"/>
    <w:rsid w:val="00F32DF3"/>
    <w:rsid w:val="00F33F1F"/>
    <w:rsid w:val="00F34EC6"/>
    <w:rsid w:val="00F36381"/>
    <w:rsid w:val="00F37EDC"/>
    <w:rsid w:val="00F4028F"/>
    <w:rsid w:val="00F4035D"/>
    <w:rsid w:val="00F41A4B"/>
    <w:rsid w:val="00F440D6"/>
    <w:rsid w:val="00F44469"/>
    <w:rsid w:val="00F451E7"/>
    <w:rsid w:val="00F524E1"/>
    <w:rsid w:val="00F53093"/>
    <w:rsid w:val="00F552ED"/>
    <w:rsid w:val="00F57CFC"/>
    <w:rsid w:val="00F64CCF"/>
    <w:rsid w:val="00F6503E"/>
    <w:rsid w:val="00F674EF"/>
    <w:rsid w:val="00F729BF"/>
    <w:rsid w:val="00F75980"/>
    <w:rsid w:val="00F769C2"/>
    <w:rsid w:val="00F779B5"/>
    <w:rsid w:val="00F8135C"/>
    <w:rsid w:val="00F841E1"/>
    <w:rsid w:val="00F869A6"/>
    <w:rsid w:val="00F87A43"/>
    <w:rsid w:val="00F924E5"/>
    <w:rsid w:val="00F94D10"/>
    <w:rsid w:val="00F964A3"/>
    <w:rsid w:val="00FA0411"/>
    <w:rsid w:val="00FA6E53"/>
    <w:rsid w:val="00FA6F92"/>
    <w:rsid w:val="00FB48D0"/>
    <w:rsid w:val="00FB5EEA"/>
    <w:rsid w:val="00FB7D6A"/>
    <w:rsid w:val="00FC138F"/>
    <w:rsid w:val="00FC3DE7"/>
    <w:rsid w:val="00FC5ECC"/>
    <w:rsid w:val="00FC694C"/>
    <w:rsid w:val="00FD2FF5"/>
    <w:rsid w:val="00FD33F4"/>
    <w:rsid w:val="00FD63A5"/>
    <w:rsid w:val="00FE11EC"/>
    <w:rsid w:val="00FE2D91"/>
    <w:rsid w:val="00FE3A5D"/>
    <w:rsid w:val="00FE48FA"/>
    <w:rsid w:val="00FE4A7E"/>
    <w:rsid w:val="00FF155E"/>
    <w:rsid w:val="00FF33E8"/>
    <w:rsid w:val="00FF400F"/>
    <w:rsid w:val="00FF43A2"/>
    <w:rsid w:val="00FF6AF0"/>
    <w:rsid w:val="01739741"/>
    <w:rsid w:val="01BA3957"/>
    <w:rsid w:val="0218D790"/>
    <w:rsid w:val="0258DD93"/>
    <w:rsid w:val="035DD17A"/>
    <w:rsid w:val="039CABB0"/>
    <w:rsid w:val="03B5390D"/>
    <w:rsid w:val="03F07A86"/>
    <w:rsid w:val="0404C8DB"/>
    <w:rsid w:val="04A8E3AF"/>
    <w:rsid w:val="04FB0C1E"/>
    <w:rsid w:val="052B3954"/>
    <w:rsid w:val="0584659C"/>
    <w:rsid w:val="0599CFF7"/>
    <w:rsid w:val="06509430"/>
    <w:rsid w:val="06846F01"/>
    <w:rsid w:val="06D2F711"/>
    <w:rsid w:val="070DD3E8"/>
    <w:rsid w:val="07445561"/>
    <w:rsid w:val="07636DA6"/>
    <w:rsid w:val="07655ABE"/>
    <w:rsid w:val="0801E084"/>
    <w:rsid w:val="085616B4"/>
    <w:rsid w:val="086841A6"/>
    <w:rsid w:val="086BA6FC"/>
    <w:rsid w:val="0872818E"/>
    <w:rsid w:val="087EAFE5"/>
    <w:rsid w:val="08D170B9"/>
    <w:rsid w:val="08F0F20A"/>
    <w:rsid w:val="0900B80E"/>
    <w:rsid w:val="09987298"/>
    <w:rsid w:val="09C27125"/>
    <w:rsid w:val="09FC5360"/>
    <w:rsid w:val="0A3F4D61"/>
    <w:rsid w:val="0A515636"/>
    <w:rsid w:val="0A8CEC07"/>
    <w:rsid w:val="0B0990C7"/>
    <w:rsid w:val="0BA75BC2"/>
    <w:rsid w:val="0BA8518B"/>
    <w:rsid w:val="0C0C12A1"/>
    <w:rsid w:val="0C4489D1"/>
    <w:rsid w:val="0C6EAE4E"/>
    <w:rsid w:val="0CE1767C"/>
    <w:rsid w:val="0D5BD4A0"/>
    <w:rsid w:val="0D602856"/>
    <w:rsid w:val="0E09FC43"/>
    <w:rsid w:val="0E26AFC1"/>
    <w:rsid w:val="0E299E53"/>
    <w:rsid w:val="0E3C22A6"/>
    <w:rsid w:val="0ECC37A2"/>
    <w:rsid w:val="102B9623"/>
    <w:rsid w:val="1033F857"/>
    <w:rsid w:val="105198A1"/>
    <w:rsid w:val="10E6AF01"/>
    <w:rsid w:val="1123B046"/>
    <w:rsid w:val="120EEE3B"/>
    <w:rsid w:val="12D52FCD"/>
    <w:rsid w:val="1313F7A6"/>
    <w:rsid w:val="136E3CDD"/>
    <w:rsid w:val="1392454B"/>
    <w:rsid w:val="13D59029"/>
    <w:rsid w:val="1484C644"/>
    <w:rsid w:val="14A8C9DC"/>
    <w:rsid w:val="14DCF9C5"/>
    <w:rsid w:val="14FB9817"/>
    <w:rsid w:val="154271D3"/>
    <w:rsid w:val="15BA5DC7"/>
    <w:rsid w:val="15FA3E50"/>
    <w:rsid w:val="160B5A12"/>
    <w:rsid w:val="163AE968"/>
    <w:rsid w:val="1672B887"/>
    <w:rsid w:val="1716B2EE"/>
    <w:rsid w:val="17636274"/>
    <w:rsid w:val="183436E5"/>
    <w:rsid w:val="18BEC46D"/>
    <w:rsid w:val="18E5723E"/>
    <w:rsid w:val="19C7C739"/>
    <w:rsid w:val="1A2C408B"/>
    <w:rsid w:val="1B1A5BD1"/>
    <w:rsid w:val="1B5A3C14"/>
    <w:rsid w:val="1BB50BE0"/>
    <w:rsid w:val="1CDA65DD"/>
    <w:rsid w:val="1CF9CFDB"/>
    <w:rsid w:val="1D088860"/>
    <w:rsid w:val="1DB13817"/>
    <w:rsid w:val="1DC821FF"/>
    <w:rsid w:val="1E58582E"/>
    <w:rsid w:val="1EA2B6BA"/>
    <w:rsid w:val="1EA45545"/>
    <w:rsid w:val="1FDA6B40"/>
    <w:rsid w:val="203B5FED"/>
    <w:rsid w:val="2048F9A2"/>
    <w:rsid w:val="2058F837"/>
    <w:rsid w:val="20D640CB"/>
    <w:rsid w:val="20DEB33F"/>
    <w:rsid w:val="21A37654"/>
    <w:rsid w:val="21C987C4"/>
    <w:rsid w:val="22124397"/>
    <w:rsid w:val="223486B6"/>
    <w:rsid w:val="22B8CF3A"/>
    <w:rsid w:val="2369115F"/>
    <w:rsid w:val="239D48E4"/>
    <w:rsid w:val="23A4A150"/>
    <w:rsid w:val="243BD21D"/>
    <w:rsid w:val="2441A216"/>
    <w:rsid w:val="24524085"/>
    <w:rsid w:val="245A11CB"/>
    <w:rsid w:val="24A2A9AD"/>
    <w:rsid w:val="24D941A6"/>
    <w:rsid w:val="24E77A8A"/>
    <w:rsid w:val="2504E1C0"/>
    <w:rsid w:val="25C13ACE"/>
    <w:rsid w:val="26348993"/>
    <w:rsid w:val="26ACE7B7"/>
    <w:rsid w:val="26E7E7F1"/>
    <w:rsid w:val="2708CEB9"/>
    <w:rsid w:val="276F3043"/>
    <w:rsid w:val="27F7C8FC"/>
    <w:rsid w:val="27FCDDD0"/>
    <w:rsid w:val="28320F2E"/>
    <w:rsid w:val="297A5FA7"/>
    <w:rsid w:val="2998AE31"/>
    <w:rsid w:val="2A5E832D"/>
    <w:rsid w:val="2AC1D174"/>
    <w:rsid w:val="2B50CD05"/>
    <w:rsid w:val="2B5410E0"/>
    <w:rsid w:val="2B563F16"/>
    <w:rsid w:val="2B8BC31D"/>
    <w:rsid w:val="2C586BF1"/>
    <w:rsid w:val="2CA68EE1"/>
    <w:rsid w:val="2CDE44EA"/>
    <w:rsid w:val="2CF9CF48"/>
    <w:rsid w:val="2D0A31B1"/>
    <w:rsid w:val="2D414933"/>
    <w:rsid w:val="2D594900"/>
    <w:rsid w:val="2D6CAE3B"/>
    <w:rsid w:val="2D9720ED"/>
    <w:rsid w:val="2DA15230"/>
    <w:rsid w:val="2DB04B4A"/>
    <w:rsid w:val="2DCC1390"/>
    <w:rsid w:val="2DD6C8C8"/>
    <w:rsid w:val="2DE16747"/>
    <w:rsid w:val="2DEE4B3A"/>
    <w:rsid w:val="2E9353BE"/>
    <w:rsid w:val="2F31F450"/>
    <w:rsid w:val="2F7D1424"/>
    <w:rsid w:val="2F8A0972"/>
    <w:rsid w:val="30202040"/>
    <w:rsid w:val="30339709"/>
    <w:rsid w:val="303CE555"/>
    <w:rsid w:val="3091CD1A"/>
    <w:rsid w:val="30E39384"/>
    <w:rsid w:val="30F92EF8"/>
    <w:rsid w:val="31609D06"/>
    <w:rsid w:val="31D8B5B6"/>
    <w:rsid w:val="31FD8161"/>
    <w:rsid w:val="32025939"/>
    <w:rsid w:val="323B54BC"/>
    <w:rsid w:val="32735D5C"/>
    <w:rsid w:val="32A16B0A"/>
    <w:rsid w:val="32CB2A21"/>
    <w:rsid w:val="33704AB4"/>
    <w:rsid w:val="33B6B973"/>
    <w:rsid w:val="33D08107"/>
    <w:rsid w:val="33E0863B"/>
    <w:rsid w:val="3441351D"/>
    <w:rsid w:val="348A966E"/>
    <w:rsid w:val="34C1894A"/>
    <w:rsid w:val="352D1ECE"/>
    <w:rsid w:val="3541F97D"/>
    <w:rsid w:val="3577BCBE"/>
    <w:rsid w:val="364C6511"/>
    <w:rsid w:val="366C270C"/>
    <w:rsid w:val="367E93E6"/>
    <w:rsid w:val="368F02A7"/>
    <w:rsid w:val="3778D635"/>
    <w:rsid w:val="37D0E251"/>
    <w:rsid w:val="37FA3149"/>
    <w:rsid w:val="38336DA5"/>
    <w:rsid w:val="38DDA4B0"/>
    <w:rsid w:val="38E39040"/>
    <w:rsid w:val="39164EC1"/>
    <w:rsid w:val="3A71D535"/>
    <w:rsid w:val="3B66B08E"/>
    <w:rsid w:val="3B741D95"/>
    <w:rsid w:val="3B790C37"/>
    <w:rsid w:val="3BAC9F0A"/>
    <w:rsid w:val="3BD895D5"/>
    <w:rsid w:val="3C687D85"/>
    <w:rsid w:val="3C711347"/>
    <w:rsid w:val="3CCB2BF6"/>
    <w:rsid w:val="3CD0A0C7"/>
    <w:rsid w:val="3CE1C7FB"/>
    <w:rsid w:val="3E2A6EDE"/>
    <w:rsid w:val="3EB3463B"/>
    <w:rsid w:val="3ED93139"/>
    <w:rsid w:val="3EEE2836"/>
    <w:rsid w:val="3F119869"/>
    <w:rsid w:val="3F2EEFBD"/>
    <w:rsid w:val="3F40FDB3"/>
    <w:rsid w:val="3FBDD7C5"/>
    <w:rsid w:val="3FD876B5"/>
    <w:rsid w:val="40A168F9"/>
    <w:rsid w:val="41137F39"/>
    <w:rsid w:val="41150D24"/>
    <w:rsid w:val="4190662B"/>
    <w:rsid w:val="41AA927E"/>
    <w:rsid w:val="41BBF81C"/>
    <w:rsid w:val="42622EB7"/>
    <w:rsid w:val="429F11F4"/>
    <w:rsid w:val="42A18EC6"/>
    <w:rsid w:val="42D1D176"/>
    <w:rsid w:val="42FE9F41"/>
    <w:rsid w:val="438BF6C5"/>
    <w:rsid w:val="43D1BB6C"/>
    <w:rsid w:val="43E40D6D"/>
    <w:rsid w:val="44408416"/>
    <w:rsid w:val="4493A2AE"/>
    <w:rsid w:val="44C8336F"/>
    <w:rsid w:val="45342334"/>
    <w:rsid w:val="454D6B61"/>
    <w:rsid w:val="45576840"/>
    <w:rsid w:val="461CB156"/>
    <w:rsid w:val="4633C93E"/>
    <w:rsid w:val="464003A0"/>
    <w:rsid w:val="46692385"/>
    <w:rsid w:val="46733B0E"/>
    <w:rsid w:val="4691F434"/>
    <w:rsid w:val="4696A778"/>
    <w:rsid w:val="46D7F01D"/>
    <w:rsid w:val="46E93BC2"/>
    <w:rsid w:val="46F5F016"/>
    <w:rsid w:val="47091063"/>
    <w:rsid w:val="475A751E"/>
    <w:rsid w:val="4841841F"/>
    <w:rsid w:val="4847769B"/>
    <w:rsid w:val="48519EC8"/>
    <w:rsid w:val="4877C3F9"/>
    <w:rsid w:val="4883F308"/>
    <w:rsid w:val="48A871A8"/>
    <w:rsid w:val="48CC2F00"/>
    <w:rsid w:val="49142F07"/>
    <w:rsid w:val="495B9768"/>
    <w:rsid w:val="499ECAFD"/>
    <w:rsid w:val="4A3F912B"/>
    <w:rsid w:val="4A626940"/>
    <w:rsid w:val="4A785550"/>
    <w:rsid w:val="4AC541ED"/>
    <w:rsid w:val="4ADF3EF5"/>
    <w:rsid w:val="4B1AB566"/>
    <w:rsid w:val="4B7D707C"/>
    <w:rsid w:val="4BE08100"/>
    <w:rsid w:val="4C497FF8"/>
    <w:rsid w:val="4CA69A04"/>
    <w:rsid w:val="4D0AEBBB"/>
    <w:rsid w:val="4D9BAC6C"/>
    <w:rsid w:val="4DA1B113"/>
    <w:rsid w:val="4DB9A623"/>
    <w:rsid w:val="4DCDEEA7"/>
    <w:rsid w:val="4E2A49F0"/>
    <w:rsid w:val="4E2C3C9E"/>
    <w:rsid w:val="4E4BF2AD"/>
    <w:rsid w:val="4E50C630"/>
    <w:rsid w:val="4F88E1CA"/>
    <w:rsid w:val="4FDA3EA3"/>
    <w:rsid w:val="4FF445ED"/>
    <w:rsid w:val="5043E921"/>
    <w:rsid w:val="50A9F983"/>
    <w:rsid w:val="50BB285F"/>
    <w:rsid w:val="50BFE9A4"/>
    <w:rsid w:val="5111D99B"/>
    <w:rsid w:val="5160B91A"/>
    <w:rsid w:val="5183DBC7"/>
    <w:rsid w:val="51CD072A"/>
    <w:rsid w:val="528FB476"/>
    <w:rsid w:val="53971CA2"/>
    <w:rsid w:val="53F0BE81"/>
    <w:rsid w:val="547153CA"/>
    <w:rsid w:val="5516CF71"/>
    <w:rsid w:val="55E860F3"/>
    <w:rsid w:val="55F45E4D"/>
    <w:rsid w:val="55F4C406"/>
    <w:rsid w:val="560D8815"/>
    <w:rsid w:val="56331025"/>
    <w:rsid w:val="5771CD6C"/>
    <w:rsid w:val="5808495D"/>
    <w:rsid w:val="587C30D0"/>
    <w:rsid w:val="589FF847"/>
    <w:rsid w:val="5902F0F5"/>
    <w:rsid w:val="5914966B"/>
    <w:rsid w:val="591E82F5"/>
    <w:rsid w:val="59FB6004"/>
    <w:rsid w:val="5A8B51EC"/>
    <w:rsid w:val="5A9A6D5E"/>
    <w:rsid w:val="5A9F647A"/>
    <w:rsid w:val="5B61CBD6"/>
    <w:rsid w:val="5C78381D"/>
    <w:rsid w:val="5CFD6B33"/>
    <w:rsid w:val="5D381848"/>
    <w:rsid w:val="5DE669D9"/>
    <w:rsid w:val="5E096DD1"/>
    <w:rsid w:val="5EA4895A"/>
    <w:rsid w:val="5EB3B7E3"/>
    <w:rsid w:val="5F059AE5"/>
    <w:rsid w:val="5F3FF68C"/>
    <w:rsid w:val="5F4C2307"/>
    <w:rsid w:val="5FF2135D"/>
    <w:rsid w:val="603C84D3"/>
    <w:rsid w:val="61819620"/>
    <w:rsid w:val="61B0E891"/>
    <w:rsid w:val="61C13F9E"/>
    <w:rsid w:val="625D122F"/>
    <w:rsid w:val="625FE1E4"/>
    <w:rsid w:val="6261E1EA"/>
    <w:rsid w:val="63B314EF"/>
    <w:rsid w:val="63EC77E6"/>
    <w:rsid w:val="6424F46F"/>
    <w:rsid w:val="64384DD2"/>
    <w:rsid w:val="6441F99A"/>
    <w:rsid w:val="64632434"/>
    <w:rsid w:val="6530598F"/>
    <w:rsid w:val="655404D2"/>
    <w:rsid w:val="657EDC19"/>
    <w:rsid w:val="65F1BF73"/>
    <w:rsid w:val="662D98C9"/>
    <w:rsid w:val="6645C518"/>
    <w:rsid w:val="6679B256"/>
    <w:rsid w:val="66A7F4BE"/>
    <w:rsid w:val="66ED9107"/>
    <w:rsid w:val="67020D3C"/>
    <w:rsid w:val="671A939A"/>
    <w:rsid w:val="67593C44"/>
    <w:rsid w:val="678D8FD4"/>
    <w:rsid w:val="67A3A9CE"/>
    <w:rsid w:val="67AEA3AA"/>
    <w:rsid w:val="67E6104C"/>
    <w:rsid w:val="684BE9C5"/>
    <w:rsid w:val="68511947"/>
    <w:rsid w:val="689927C5"/>
    <w:rsid w:val="68E53DC2"/>
    <w:rsid w:val="695169D9"/>
    <w:rsid w:val="69B30C1F"/>
    <w:rsid w:val="69BFE5EF"/>
    <w:rsid w:val="6A0E4F6E"/>
    <w:rsid w:val="6A18AA45"/>
    <w:rsid w:val="6A1F8019"/>
    <w:rsid w:val="6A2DA746"/>
    <w:rsid w:val="6B12BDD1"/>
    <w:rsid w:val="6B2CCDE6"/>
    <w:rsid w:val="6B807214"/>
    <w:rsid w:val="6B98D6CC"/>
    <w:rsid w:val="6C17C33F"/>
    <w:rsid w:val="6C1CA408"/>
    <w:rsid w:val="6C44FA25"/>
    <w:rsid w:val="6CADE96B"/>
    <w:rsid w:val="6CC6CE2B"/>
    <w:rsid w:val="6CD19284"/>
    <w:rsid w:val="6DD102C6"/>
    <w:rsid w:val="6E2656A9"/>
    <w:rsid w:val="6EC3257D"/>
    <w:rsid w:val="6F5A1925"/>
    <w:rsid w:val="6F7683FC"/>
    <w:rsid w:val="70506797"/>
    <w:rsid w:val="705E9CE1"/>
    <w:rsid w:val="709379CB"/>
    <w:rsid w:val="70C7F870"/>
    <w:rsid w:val="70F806AF"/>
    <w:rsid w:val="713EEF89"/>
    <w:rsid w:val="71C35714"/>
    <w:rsid w:val="71C58117"/>
    <w:rsid w:val="71F655F9"/>
    <w:rsid w:val="71FE3103"/>
    <w:rsid w:val="72059FC8"/>
    <w:rsid w:val="720804F2"/>
    <w:rsid w:val="72F7D890"/>
    <w:rsid w:val="73A5F4D3"/>
    <w:rsid w:val="73C764D9"/>
    <w:rsid w:val="73FC2FB5"/>
    <w:rsid w:val="748063C4"/>
    <w:rsid w:val="74941158"/>
    <w:rsid w:val="74AF9426"/>
    <w:rsid w:val="75A0D1FD"/>
    <w:rsid w:val="75AC9668"/>
    <w:rsid w:val="7623C4FA"/>
    <w:rsid w:val="76929946"/>
    <w:rsid w:val="76B721B3"/>
    <w:rsid w:val="76B74622"/>
    <w:rsid w:val="76C752A0"/>
    <w:rsid w:val="76FF183F"/>
    <w:rsid w:val="77023BA6"/>
    <w:rsid w:val="77DA5A58"/>
    <w:rsid w:val="78045934"/>
    <w:rsid w:val="78436EC8"/>
    <w:rsid w:val="7A452E74"/>
    <w:rsid w:val="7A7EC9F5"/>
    <w:rsid w:val="7A962036"/>
    <w:rsid w:val="7B155EEA"/>
    <w:rsid w:val="7B2E6322"/>
    <w:rsid w:val="7B3F31FC"/>
    <w:rsid w:val="7B808399"/>
    <w:rsid w:val="7BBD42E6"/>
    <w:rsid w:val="7C2150E5"/>
    <w:rsid w:val="7C5CC911"/>
    <w:rsid w:val="7C6D017D"/>
    <w:rsid w:val="7D14DC1A"/>
    <w:rsid w:val="7D472BD9"/>
    <w:rsid w:val="7D72A956"/>
    <w:rsid w:val="7DB5FC9A"/>
    <w:rsid w:val="7DCDFE33"/>
    <w:rsid w:val="7DFB704C"/>
    <w:rsid w:val="7E0D00D5"/>
    <w:rsid w:val="7E2DB004"/>
    <w:rsid w:val="7E69E307"/>
    <w:rsid w:val="7EBEFA41"/>
    <w:rsid w:val="7ECB8263"/>
    <w:rsid w:val="7F1187D1"/>
    <w:rsid w:val="7F868B41"/>
    <w:rsid w:val="7FD7C6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65B8"/>
  <w15:chartTrackingRefBased/>
  <w15:docId w15:val="{529AFD70-2380-48BD-887D-0E413E4D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3811"/>
    <w:pPr>
      <w:spacing w:line="240" w:lineRule="auto"/>
      <w:jc w:val="both"/>
    </w:pPr>
    <w:rPr>
      <w:color w:val="000000" w:themeColor="text1"/>
    </w:rPr>
  </w:style>
  <w:style w:type="paragraph" w:styleId="Heading1">
    <w:name w:val="heading 1"/>
    <w:basedOn w:val="Normal"/>
    <w:next w:val="Normal"/>
    <w:link w:val="Heading1Char"/>
    <w:uiPriority w:val="9"/>
    <w:qFormat/>
    <w:rsid w:val="00542917"/>
    <w:pPr>
      <w:keepNext/>
      <w:keepLines/>
      <w:spacing w:before="240" w:after="0"/>
      <w:outlineLvl w:val="0"/>
    </w:pPr>
    <w:rPr>
      <w:rFonts w:asciiTheme="majorHAnsi" w:hAnsiTheme="majorHAnsi" w:eastAsiaTheme="majorEastAsia" w:cstheme="majorBidi"/>
      <w:b/>
      <w:color w:val="auto"/>
      <w:sz w:val="32"/>
      <w:szCs w:val="32"/>
    </w:rPr>
  </w:style>
  <w:style w:type="paragraph" w:styleId="Heading2">
    <w:name w:val="heading 2"/>
    <w:basedOn w:val="Normal"/>
    <w:next w:val="Normal"/>
    <w:link w:val="Heading2Char"/>
    <w:uiPriority w:val="9"/>
    <w:unhideWhenUsed/>
    <w:qFormat/>
    <w:rsid w:val="00CB2A5B"/>
    <w:pPr>
      <w:keepNext/>
      <w:keepLines/>
      <w:numPr>
        <w:numId w:val="29"/>
      </w:numPr>
      <w:spacing w:before="40" w:after="0"/>
      <w:outlineLvl w:val="1"/>
    </w:pPr>
    <w:rPr>
      <w:rFonts w:asciiTheme="majorHAnsi" w:hAnsiTheme="majorHAnsi" w:eastAsiaTheme="majorEastAsia" w:cstheme="majorBidi"/>
      <w:b/>
      <w:color w:val="auto"/>
      <w:sz w:val="26"/>
      <w:szCs w:val="26"/>
    </w:rPr>
  </w:style>
  <w:style w:type="paragraph" w:styleId="Heading3">
    <w:name w:val="heading 3"/>
    <w:basedOn w:val="Normal"/>
    <w:next w:val="Normal"/>
    <w:link w:val="Heading3Char"/>
    <w:uiPriority w:val="9"/>
    <w:unhideWhenUsed/>
    <w:qFormat/>
    <w:rsid w:val="00D64C71"/>
    <w:pPr>
      <w:keepNext/>
      <w:keepLines/>
      <w:spacing w:before="40" w:after="0"/>
      <w:jc w:val="left"/>
      <w:outlineLvl w:val="2"/>
    </w:pPr>
    <w:rPr>
      <w:rFonts w:asciiTheme="majorHAnsi" w:hAnsiTheme="majorHAnsi" w:eastAsiaTheme="majorEastAsia" w:cstheme="majorBidi"/>
      <w:b/>
      <w:color w:val="auto"/>
      <w:sz w:val="24"/>
      <w:szCs w:val="24"/>
    </w:rPr>
  </w:style>
  <w:style w:type="paragraph" w:styleId="Heading4">
    <w:name w:val="heading 4"/>
    <w:basedOn w:val="Normal"/>
    <w:next w:val="Normal"/>
    <w:link w:val="Heading4Char"/>
    <w:uiPriority w:val="9"/>
    <w:unhideWhenUsed/>
    <w:qFormat/>
    <w:rsid w:val="00CB2A5B"/>
    <w:pPr>
      <w:keepNext/>
      <w:keepLines/>
      <w:spacing w:before="40" w:after="0"/>
      <w:outlineLvl w:val="3"/>
    </w:pPr>
    <w:rPr>
      <w:rFonts w:asciiTheme="majorHAnsi" w:hAnsiTheme="majorHAnsi" w:eastAsiaTheme="majorEastAsia" w:cstheme="majorBidi"/>
      <w:b/>
      <w:iCs/>
      <w:color w:val="aut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42917"/>
    <w:rPr>
      <w:rFonts w:asciiTheme="majorHAnsi" w:hAnsiTheme="majorHAnsi" w:eastAsiaTheme="majorEastAsia" w:cstheme="majorBidi"/>
      <w:b/>
      <w:sz w:val="32"/>
      <w:szCs w:val="32"/>
    </w:rPr>
  </w:style>
  <w:style w:type="character" w:styleId="Hyperlink">
    <w:name w:val="Hyperlink"/>
    <w:rsid w:val="003E3A73"/>
    <w:rPr>
      <w:color w:val="0000FF"/>
      <w:u w:val="single"/>
    </w:rPr>
  </w:style>
  <w:style w:type="paragraph" w:styleId="Abstract" w:customStyle="1">
    <w:name w:val="Abstract"/>
    <w:basedOn w:val="BodyText"/>
    <w:rsid w:val="003E3A73"/>
    <w:pPr>
      <w:tabs>
        <w:tab w:val="left" w:pos="284"/>
      </w:tabs>
      <w:suppressAutoHyphens/>
      <w:spacing w:after="0"/>
    </w:pPr>
    <w:rPr>
      <w:rFonts w:ascii="Times New Roman" w:hAnsi="Times New Roman" w:eastAsia="Times New Roman" w:cs="Times New Roman"/>
      <w:sz w:val="16"/>
      <w:szCs w:val="18"/>
      <w:lang w:val="en-GB" w:eastAsia="ar-SA"/>
    </w:rPr>
  </w:style>
  <w:style w:type="paragraph" w:styleId="BodyText">
    <w:name w:val="Body Text"/>
    <w:basedOn w:val="Normal"/>
    <w:link w:val="BodyTextChar"/>
    <w:uiPriority w:val="99"/>
    <w:semiHidden/>
    <w:unhideWhenUsed/>
    <w:rsid w:val="003E3A73"/>
    <w:pPr>
      <w:spacing w:after="120"/>
    </w:pPr>
  </w:style>
  <w:style w:type="character" w:styleId="BodyTextChar" w:customStyle="1">
    <w:name w:val="Body Text Char"/>
    <w:basedOn w:val="DefaultParagraphFont"/>
    <w:link w:val="BodyText"/>
    <w:uiPriority w:val="99"/>
    <w:semiHidden/>
    <w:rsid w:val="003E3A73"/>
  </w:style>
  <w:style w:type="character" w:styleId="Heading2Char" w:customStyle="1">
    <w:name w:val="Heading 2 Char"/>
    <w:basedOn w:val="DefaultParagraphFont"/>
    <w:link w:val="Heading2"/>
    <w:uiPriority w:val="9"/>
    <w:rsid w:val="00CB2A5B"/>
    <w:rPr>
      <w:rFonts w:asciiTheme="majorHAnsi" w:hAnsiTheme="majorHAnsi" w:eastAsiaTheme="majorEastAsia" w:cstheme="majorBidi"/>
      <w:b/>
      <w:sz w:val="26"/>
      <w:szCs w:val="26"/>
    </w:rPr>
  </w:style>
  <w:style w:type="character" w:styleId="Heading3Char" w:customStyle="1">
    <w:name w:val="Heading 3 Char"/>
    <w:basedOn w:val="DefaultParagraphFont"/>
    <w:link w:val="Heading3"/>
    <w:uiPriority w:val="9"/>
    <w:rsid w:val="00CB2A5B"/>
    <w:rPr>
      <w:rFonts w:asciiTheme="majorHAnsi" w:hAnsiTheme="majorHAnsi" w:eastAsiaTheme="majorEastAsia" w:cstheme="majorBidi"/>
      <w:b/>
      <w:sz w:val="24"/>
      <w:szCs w:val="24"/>
    </w:rPr>
  </w:style>
  <w:style w:type="character" w:styleId="Heading4Char" w:customStyle="1">
    <w:name w:val="Heading 4 Char"/>
    <w:basedOn w:val="DefaultParagraphFont"/>
    <w:link w:val="Heading4"/>
    <w:uiPriority w:val="9"/>
    <w:rsid w:val="00CB2A5B"/>
    <w:rPr>
      <w:rFonts w:asciiTheme="majorHAnsi" w:hAnsiTheme="majorHAnsi" w:eastAsiaTheme="majorEastAsia" w:cstheme="majorBidi"/>
      <w:b/>
      <w:iCs/>
    </w:rPr>
  </w:style>
  <w:style w:type="paragraph" w:styleId="ListParagraph">
    <w:name w:val="List Paragraph"/>
    <w:aliases w:val="1st level - Bullet List Paragraph,Bullet 1,Dot pt,FooterText,Heading 2_sj,Lettre d'introduction,List Paragraph Char Char Char,List Paragraph1,Medium Grid 1 - Accent 21,No Spacing1,Numbered Para 1,Paragraphe de liste1"/>
    <w:basedOn w:val="Normal"/>
    <w:link w:val="ListParagraphChar"/>
    <w:uiPriority w:val="34"/>
    <w:qFormat/>
    <w:rsid w:val="003E3A73"/>
    <w:pPr>
      <w:ind w:left="720"/>
      <w:contextualSpacing/>
    </w:pPr>
  </w:style>
  <w:style w:type="paragraph" w:styleId="Header">
    <w:name w:val="header"/>
    <w:basedOn w:val="Normal"/>
    <w:link w:val="HeaderChar"/>
    <w:uiPriority w:val="99"/>
    <w:unhideWhenUsed/>
    <w:rsid w:val="004343E2"/>
    <w:pPr>
      <w:tabs>
        <w:tab w:val="center" w:pos="4680"/>
        <w:tab w:val="right" w:pos="9360"/>
      </w:tabs>
      <w:spacing w:after="0"/>
    </w:pPr>
  </w:style>
  <w:style w:type="character" w:styleId="HeaderChar" w:customStyle="1">
    <w:name w:val="Header Char"/>
    <w:basedOn w:val="DefaultParagraphFont"/>
    <w:link w:val="Header"/>
    <w:uiPriority w:val="99"/>
    <w:rsid w:val="004343E2"/>
  </w:style>
  <w:style w:type="paragraph" w:styleId="Footer">
    <w:name w:val="footer"/>
    <w:basedOn w:val="Normal"/>
    <w:link w:val="FooterChar"/>
    <w:uiPriority w:val="99"/>
    <w:unhideWhenUsed/>
    <w:rsid w:val="004343E2"/>
    <w:pPr>
      <w:tabs>
        <w:tab w:val="center" w:pos="4680"/>
        <w:tab w:val="right" w:pos="9360"/>
      </w:tabs>
      <w:spacing w:after="0"/>
    </w:pPr>
  </w:style>
  <w:style w:type="character" w:styleId="FooterChar" w:customStyle="1">
    <w:name w:val="Footer Char"/>
    <w:basedOn w:val="DefaultParagraphFont"/>
    <w:link w:val="Footer"/>
    <w:uiPriority w:val="99"/>
    <w:rsid w:val="004343E2"/>
  </w:style>
  <w:style w:type="character" w:styleId="LineNumber">
    <w:name w:val="line number"/>
    <w:basedOn w:val="DefaultParagraphFont"/>
    <w:uiPriority w:val="99"/>
    <w:semiHidden/>
    <w:unhideWhenUsed/>
    <w:rsid w:val="004343E2"/>
  </w:style>
  <w:style w:type="character" w:styleId="CommentReference">
    <w:name w:val="annotation reference"/>
    <w:basedOn w:val="DefaultParagraphFont"/>
    <w:uiPriority w:val="99"/>
    <w:semiHidden/>
    <w:unhideWhenUsed/>
    <w:rsid w:val="00122F24"/>
    <w:rPr>
      <w:sz w:val="16"/>
      <w:szCs w:val="16"/>
    </w:rPr>
  </w:style>
  <w:style w:type="paragraph" w:styleId="CommentText">
    <w:name w:val="annotation text"/>
    <w:basedOn w:val="Normal"/>
    <w:link w:val="CommentTextChar"/>
    <w:uiPriority w:val="99"/>
    <w:unhideWhenUsed/>
    <w:rsid w:val="00122F24"/>
    <w:rPr>
      <w:sz w:val="20"/>
      <w:szCs w:val="20"/>
    </w:rPr>
  </w:style>
  <w:style w:type="character" w:styleId="CommentTextChar" w:customStyle="1">
    <w:name w:val="Comment Text Char"/>
    <w:basedOn w:val="DefaultParagraphFont"/>
    <w:link w:val="CommentText"/>
    <w:uiPriority w:val="99"/>
    <w:rsid w:val="00122F24"/>
    <w:rPr>
      <w:sz w:val="20"/>
      <w:szCs w:val="20"/>
    </w:rPr>
  </w:style>
  <w:style w:type="paragraph" w:styleId="CommentSubject">
    <w:name w:val="annotation subject"/>
    <w:basedOn w:val="CommentText"/>
    <w:next w:val="CommentText"/>
    <w:link w:val="CommentSubjectChar"/>
    <w:uiPriority w:val="99"/>
    <w:semiHidden/>
    <w:unhideWhenUsed/>
    <w:rsid w:val="00122F24"/>
    <w:rPr>
      <w:b/>
      <w:bCs/>
    </w:rPr>
  </w:style>
  <w:style w:type="character" w:styleId="CommentSubjectChar" w:customStyle="1">
    <w:name w:val="Comment Subject Char"/>
    <w:basedOn w:val="CommentTextChar"/>
    <w:link w:val="CommentSubject"/>
    <w:uiPriority w:val="99"/>
    <w:semiHidden/>
    <w:rsid w:val="00122F24"/>
    <w:rPr>
      <w:b/>
      <w:bCs/>
      <w:sz w:val="20"/>
      <w:szCs w:val="20"/>
    </w:rPr>
  </w:style>
  <w:style w:type="paragraph" w:styleId="BalloonText">
    <w:name w:val="Balloon Text"/>
    <w:basedOn w:val="Normal"/>
    <w:link w:val="BalloonTextChar"/>
    <w:uiPriority w:val="99"/>
    <w:semiHidden/>
    <w:unhideWhenUsed/>
    <w:rsid w:val="00122F24"/>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2F24"/>
    <w:rPr>
      <w:rFonts w:ascii="Segoe UI" w:hAnsi="Segoe UI" w:cs="Segoe UI"/>
      <w:sz w:val="18"/>
      <w:szCs w:val="18"/>
    </w:rPr>
  </w:style>
  <w:style w:type="paragraph" w:styleId="BodyTextIndent">
    <w:name w:val="Body Text Indent"/>
    <w:basedOn w:val="Normal"/>
    <w:link w:val="BodyTextIndentChar"/>
    <w:uiPriority w:val="99"/>
    <w:semiHidden/>
    <w:unhideWhenUsed/>
    <w:rsid w:val="00352150"/>
    <w:pPr>
      <w:spacing w:after="120"/>
      <w:ind w:left="283"/>
    </w:pPr>
  </w:style>
  <w:style w:type="character" w:styleId="BodyTextIndentChar" w:customStyle="1">
    <w:name w:val="Body Text Indent Char"/>
    <w:basedOn w:val="DefaultParagraphFont"/>
    <w:link w:val="BodyTextIndent"/>
    <w:uiPriority w:val="99"/>
    <w:semiHidden/>
    <w:rsid w:val="00352150"/>
  </w:style>
  <w:style w:type="paragraph" w:styleId="NormalWeb">
    <w:name w:val="Normal (Web)"/>
    <w:basedOn w:val="Normal"/>
    <w:uiPriority w:val="99"/>
    <w:unhideWhenUsed/>
    <w:rsid w:val="008D7F38"/>
    <w:pPr>
      <w:spacing w:before="100" w:beforeAutospacing="1" w:after="100" w:afterAutospacing="1"/>
    </w:pPr>
    <w:rPr>
      <w:rFonts w:ascii="Times New Roman" w:hAnsi="Times New Roman" w:eastAsia="Times New Roman" w:cs="Times New Roman"/>
      <w:sz w:val="24"/>
      <w:szCs w:val="24"/>
      <w:lang w:val="en-GB" w:eastAsia="en-GB"/>
    </w:rPr>
  </w:style>
  <w:style w:type="character" w:styleId="Strong">
    <w:name w:val="Strong"/>
    <w:basedOn w:val="DefaultParagraphFont"/>
    <w:uiPriority w:val="22"/>
    <w:qFormat/>
    <w:rsid w:val="008D7F38"/>
    <w:rPr>
      <w:b/>
      <w:bCs/>
    </w:rPr>
  </w:style>
  <w:style w:type="paragraph" w:styleId="NoSpacing">
    <w:name w:val="No Spacing"/>
    <w:uiPriority w:val="1"/>
    <w:qFormat/>
    <w:rsid w:val="00697661"/>
    <w:pPr>
      <w:spacing w:after="0" w:line="240" w:lineRule="auto"/>
    </w:pPr>
    <w:rPr>
      <w:color w:val="000000" w:themeColor="text1"/>
    </w:rPr>
  </w:style>
  <w:style w:type="character" w:styleId="UnresolvedMention1" w:customStyle="1">
    <w:name w:val="Unresolved Mention1"/>
    <w:basedOn w:val="DefaultParagraphFont"/>
    <w:uiPriority w:val="99"/>
    <w:semiHidden/>
    <w:unhideWhenUsed/>
    <w:rsid w:val="006E4C41"/>
    <w:rPr>
      <w:color w:val="605E5C"/>
      <w:shd w:val="clear" w:color="auto" w:fill="E1DFDD"/>
    </w:rPr>
  </w:style>
  <w:style w:type="character" w:styleId="FootnoteReference">
    <w:name w:val="footnote reference"/>
    <w:aliases w:val="EN Footnote Reference,Exposant 3 Point,FR,FR1,Footnote Reference Number,Footnote Reference Superscript,Footnote number,Footnote reference number,Footnote symbol,Times 10 Point,Voetnootverwijzing,fr,note T,note TESI,o"/>
    <w:link w:val="1"/>
    <w:uiPriority w:val="99"/>
    <w:unhideWhenUsed/>
    <w:rsid w:val="0082535F"/>
    <w:rPr>
      <w:vertAlign w:val="superscript"/>
    </w:rPr>
  </w:style>
  <w:style w:type="paragraph" w:styleId="EndNoteBibliography" w:customStyle="1">
    <w:name w:val="EndNote Bibliography"/>
    <w:basedOn w:val="Normal"/>
    <w:link w:val="EndNoteBibliographyChar"/>
    <w:rsid w:val="0082535F"/>
    <w:pPr>
      <w:jc w:val="left"/>
    </w:pPr>
    <w:rPr>
      <w:rFonts w:ascii="Calibri" w:hAnsi="Calibri" w:cs="Calibri"/>
      <w:noProof/>
      <w:color w:val="auto"/>
    </w:rPr>
  </w:style>
  <w:style w:type="character" w:styleId="EndNoteBibliographyChar" w:customStyle="1">
    <w:name w:val="EndNote Bibliography Char"/>
    <w:basedOn w:val="DefaultParagraphFont"/>
    <w:link w:val="EndNoteBibliography"/>
    <w:rsid w:val="0082535F"/>
    <w:rPr>
      <w:rFonts w:ascii="Calibri" w:hAnsi="Calibri" w:cs="Calibri"/>
      <w:noProof/>
    </w:rPr>
  </w:style>
  <w:style w:type="paragraph" w:styleId="1" w:customStyle="1">
    <w:name w:val="1"/>
    <w:basedOn w:val="Normal"/>
    <w:link w:val="FootnoteReference"/>
    <w:uiPriority w:val="99"/>
    <w:rsid w:val="0082535F"/>
    <w:pPr>
      <w:spacing w:line="240" w:lineRule="exact"/>
    </w:pPr>
    <w:rPr>
      <w:color w:val="auto"/>
      <w:vertAlign w:val="superscript"/>
    </w:rPr>
  </w:style>
  <w:style w:type="paragraph" w:styleId="FootnoteText">
    <w:name w:val="footnote text"/>
    <w:aliases w:val="Footnote ak,Footnotes,Schriftart: 10 pt,Schriftart: 8 pt,Schriftart: 9 pt,WB-Fußnotentext,fn,footnote text"/>
    <w:basedOn w:val="Normal"/>
    <w:link w:val="FootnoteTextChar"/>
    <w:uiPriority w:val="99"/>
    <w:unhideWhenUsed/>
    <w:qFormat/>
    <w:rsid w:val="0082535F"/>
    <w:pPr>
      <w:spacing w:after="0"/>
    </w:pPr>
    <w:rPr>
      <w:sz w:val="20"/>
      <w:szCs w:val="20"/>
    </w:rPr>
  </w:style>
  <w:style w:type="character" w:styleId="FootnoteTextChar" w:customStyle="1">
    <w:name w:val="Footnote Text Char"/>
    <w:aliases w:val="Footnote ak Char,Footnotes Char,Schriftart: 10 pt Char,Schriftart: 8 pt Char,Schriftart: 9 pt Char,WB-Fußnotentext Char,fn Char,footnote text Char"/>
    <w:basedOn w:val="DefaultParagraphFont"/>
    <w:link w:val="FootnoteText"/>
    <w:uiPriority w:val="99"/>
    <w:rsid w:val="0082535F"/>
    <w:rPr>
      <w:color w:val="000000" w:themeColor="text1"/>
      <w:sz w:val="20"/>
      <w:szCs w:val="20"/>
    </w:rPr>
  </w:style>
  <w:style w:type="paragraph" w:styleId="Caption">
    <w:name w:val="caption"/>
    <w:basedOn w:val="Normal"/>
    <w:next w:val="Normal"/>
    <w:uiPriority w:val="35"/>
    <w:unhideWhenUsed/>
    <w:qFormat/>
    <w:rsid w:val="00352AD4"/>
    <w:pPr>
      <w:keepNext/>
      <w:spacing w:after="120"/>
      <w:jc w:val="center"/>
    </w:pPr>
    <w:rPr>
      <w:rFonts w:eastAsia="Calibri" w:cs="Tahoma"/>
      <w:b/>
      <w:iCs/>
      <w:sz w:val="18"/>
      <w:szCs w:val="20"/>
      <w:lang w:val="en-GB" w:eastAsia="en-GB"/>
    </w:rPr>
  </w:style>
  <w:style w:type="table" w:styleId="GridTable5Dark-Accent11" w:customStyle="1">
    <w:name w:val="Grid Table 5 Dark - Accent 11"/>
    <w:basedOn w:val="TableNormal"/>
    <w:uiPriority w:val="50"/>
    <w:rsid w:val="004356D2"/>
    <w:pPr>
      <w:spacing w:after="0" w:line="240" w:lineRule="auto"/>
    </w:pPr>
    <w:rPr>
      <w:lang w:val="en-GB"/>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ListParagraphChar" w:customStyle="1">
    <w:name w:val="List Paragraph Char"/>
    <w:aliases w:val="1st level - Bullet List Paragraph Char,Bullet 1 Char,Dot pt Char,FooterText Char,Heading 2_sj Char,Lettre d'introduction Char,List Paragraph Char Char Char Char,List Paragraph1 Char,Medium Grid 1 - Accent 21 Char,No Spacing1 Char"/>
    <w:basedOn w:val="DefaultParagraphFont"/>
    <w:link w:val="ListParagraph"/>
    <w:uiPriority w:val="34"/>
    <w:rsid w:val="00260909"/>
    <w:rPr>
      <w:color w:val="000000" w:themeColor="text1"/>
    </w:rPr>
  </w:style>
  <w:style w:type="table" w:styleId="ListTable3-Accent51" w:customStyle="1">
    <w:name w:val="List Table 3 - Accent 51"/>
    <w:basedOn w:val="TableNormal"/>
    <w:uiPriority w:val="48"/>
    <w:rsid w:val="00F37EDC"/>
    <w:pPr>
      <w:spacing w:after="0" w:line="240" w:lineRule="auto"/>
    </w:pPr>
    <w:rPr>
      <w:rFonts w:hAnsi="Times New Roman" w:eastAsia="Times New Roman" w:cs="Times New Roman"/>
    </w:rPr>
    <w:tblPr>
      <w:tblStyleRowBandSize w:val="1"/>
      <w:tblStyleColBandSize w:val="1"/>
      <w:tblBorders>
        <w:top w:val="single" w:color="5B9BD5" w:sz="4" w:space="0"/>
        <w:left w:val="single" w:color="5B9BD5" w:sz="4" w:space="0"/>
        <w:bottom w:val="single" w:color="5B9BD5" w:sz="4" w:space="0"/>
        <w:right w:val="single" w:color="5B9BD5" w:sz="4" w:space="0"/>
      </w:tblBorders>
    </w:tblPr>
    <w:tblStylePr w:type="firstRow">
      <w:rPr>
        <w:b/>
        <w:bCs/>
        <w:color w:val="FFFFFF"/>
      </w:rPr>
      <w:tblPr/>
      <w:tcPr>
        <w:shd w:val="clear" w:color="auto" w:fill="5B9BD5"/>
      </w:tcPr>
    </w:tblStylePr>
    <w:tblStylePr w:type="lastRow">
      <w:rPr>
        <w:b/>
        <w:bCs/>
      </w:rPr>
      <w:tblPr/>
      <w:tcPr>
        <w:tcBorders>
          <w:top w:val="double" w:color="5B9BD5"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5B9BD5" w:sz="4" w:space="0"/>
          <w:right w:val="single" w:color="5B9BD5" w:sz="4" w:space="0"/>
        </w:tcBorders>
      </w:tcPr>
    </w:tblStylePr>
    <w:tblStylePr w:type="band1Horz">
      <w:tblPr/>
      <w:tcPr>
        <w:tcBorders>
          <w:top w:val="single" w:color="5B9BD5" w:sz="4" w:space="0"/>
          <w:bottom w:val="single" w:color="5B9BD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sz="4" w:space="0"/>
          <w:left w:val="nil"/>
        </w:tcBorders>
      </w:tcPr>
    </w:tblStylePr>
    <w:tblStylePr w:type="swCell">
      <w:tblPr/>
      <w:tcPr>
        <w:tcBorders>
          <w:top w:val="double" w:color="5B9BD5" w:sz="4" w:space="0"/>
          <w:right w:val="nil"/>
        </w:tcBorders>
      </w:tcPr>
    </w:tblStylePr>
  </w:style>
  <w:style w:type="paragraph" w:styleId="Default" w:customStyle="1">
    <w:name w:val="Default"/>
    <w:rsid w:val="00E3564D"/>
    <w:pPr>
      <w:autoSpaceDE w:val="0"/>
      <w:autoSpaceDN w:val="0"/>
      <w:adjustRightInd w:val="0"/>
      <w:spacing w:after="0" w:line="240" w:lineRule="auto"/>
    </w:pPr>
    <w:rPr>
      <w:rFonts w:ascii="Arial" w:hAnsi="Arial" w:cs="Arial"/>
      <w:color w:val="000000"/>
      <w:sz w:val="24"/>
      <w:szCs w:val="24"/>
      <w:lang w:val="pt-PT"/>
    </w:rPr>
  </w:style>
  <w:style w:type="character" w:styleId="FollowedHyperlink">
    <w:name w:val="FollowedHyperlink"/>
    <w:basedOn w:val="DefaultParagraphFont"/>
    <w:uiPriority w:val="99"/>
    <w:semiHidden/>
    <w:unhideWhenUsed/>
    <w:rsid w:val="00C33269"/>
    <w:rPr>
      <w:color w:val="954F72" w:themeColor="followedHyperlink"/>
      <w:u w:val="single"/>
    </w:rPr>
  </w:style>
  <w:style w:type="character" w:styleId="A8" w:customStyle="1">
    <w:name w:val="A8"/>
    <w:uiPriority w:val="99"/>
    <w:rsid w:val="005F22BF"/>
    <w:rPr>
      <w:rFonts w:cs="Apercu Pro"/>
      <w:color w:val="000000"/>
      <w:sz w:val="20"/>
      <w:szCs w:val="20"/>
    </w:rPr>
  </w:style>
  <w:style w:type="table" w:styleId="TableGrid">
    <w:name w:val="Table Grid"/>
    <w:basedOn w:val="TableNormal"/>
    <w:uiPriority w:val="39"/>
    <w:rsid w:val="005F69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8B668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itle">
    <w:name w:val="Subtitle"/>
    <w:basedOn w:val="Normal"/>
    <w:next w:val="Normal"/>
    <w:link w:val="SubtitleChar"/>
    <w:uiPriority w:val="11"/>
    <w:qFormat/>
    <w:rsid w:val="00352AD4"/>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352AD4"/>
    <w:rPr>
      <w:rFonts w:eastAsiaTheme="minorEastAsia"/>
      <w:color w:val="5A5A5A" w:themeColor="text1" w:themeTint="A5"/>
      <w:spacing w:val="15"/>
    </w:rPr>
  </w:style>
  <w:style w:type="table" w:styleId="TableGridLight">
    <w:name w:val="Grid Table Light"/>
    <w:basedOn w:val="TableNormal"/>
    <w:uiPriority w:val="40"/>
    <w:rsid w:val="00F64CC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2">
    <w:name w:val="Plain Table 2"/>
    <w:basedOn w:val="TableNormal"/>
    <w:uiPriority w:val="42"/>
    <w:rsid w:val="00F64CCF"/>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1">
    <w:name w:val="Plain Table 1"/>
    <w:basedOn w:val="TableNormal"/>
    <w:uiPriority w:val="41"/>
    <w:rsid w:val="007A164F"/>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351EA9"/>
    <w:pPr>
      <w:spacing w:after="0" w:line="240" w:lineRule="auto"/>
    </w:pPr>
    <w:rPr>
      <w:color w:val="000000" w:themeColor="text1"/>
    </w:rPr>
  </w:style>
  <w:style w:type="character" w:styleId="cf01" w:customStyle="1">
    <w:name w:val="cf01"/>
    <w:basedOn w:val="DefaultParagraphFont"/>
    <w:rsid w:val="00777CBB"/>
    <w:rPr>
      <w:rFonts w:hint="default" w:ascii="Segoe UI" w:hAnsi="Segoe UI" w:cs="Segoe UI"/>
      <w:sz w:val="18"/>
      <w:szCs w:val="18"/>
    </w:rPr>
  </w:style>
  <w:style w:type="paragraph" w:styleId="xmsonormal" w:customStyle="1">
    <w:name w:val="x_msonormal"/>
    <w:basedOn w:val="Normal"/>
    <w:rsid w:val="00B46BA7"/>
    <w:pPr>
      <w:spacing w:before="100" w:beforeAutospacing="1" w:after="100" w:afterAutospacing="1"/>
      <w:jc w:val="left"/>
    </w:pPr>
    <w:rPr>
      <w:rFonts w:ascii="Times New Roman" w:hAnsi="Times New Roman" w:eastAsia="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customXml" Target="../customXml/item3.xml" Id="rId3" /><Relationship Type="http://schemas.openxmlformats.org/officeDocument/2006/relationships/theme" Target="theme/theme1.xml" Id="rId34" /><Relationship Type="http://schemas.openxmlformats.org/officeDocument/2006/relationships/settings" Target="settings.xml" Id="rId7"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image" Target="media/image1.emf" Id="rId16" /><Relationship Type="http://schemas.openxmlformats.org/officeDocument/2006/relationships/chart" Target="charts/chart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chart" Target="charts/chart2.xml" Id="rId30" /><Relationship Type="http://schemas.openxmlformats.org/officeDocument/2006/relationships/webSettings" Target="webSettings.xml" Id="rId8" /><Relationship Type="http://schemas.openxmlformats.org/officeDocument/2006/relationships/hyperlink" Target="mailto:kevinoliveira@ua.pt" TargetMode="External" Id="R02133117b7444dbe" /><Relationship Type="http://schemas.openxmlformats.org/officeDocument/2006/relationships/image" Target="/media/imaged.png" Id="R8f29fcc180674ef1" /><Relationship Type="http://schemas.openxmlformats.org/officeDocument/2006/relationships/image" Target="/media/imagee.png" Id="R854d222b8b5f4583" /><Relationship Type="http://schemas.openxmlformats.org/officeDocument/2006/relationships/image" Target="/media/imagef.png" Id="Rc0453a49938e47d9" /><Relationship Type="http://schemas.openxmlformats.org/officeDocument/2006/relationships/image" Target="/media/image10.png" Id="R359a84664ba44f99" /><Relationship Type="http://schemas.openxmlformats.org/officeDocument/2006/relationships/image" Target="/media/image11.png" Id="Rabfdda213f924e77" /><Relationship Type="http://schemas.openxmlformats.org/officeDocument/2006/relationships/image" Target="/media/image12.png" Id="Re8e4238455034d6e" /><Relationship Type="http://schemas.openxmlformats.org/officeDocument/2006/relationships/image" Target="/media/image13.png" Id="Re8528dfe0ec14c8e" /><Relationship Type="http://schemas.openxmlformats.org/officeDocument/2006/relationships/image" Target="/media/image14.png" Id="R0a764c501957431c" /><Relationship Type="http://schemas.openxmlformats.org/officeDocument/2006/relationships/image" Target="/media/image15.png" Id="R7f095442d0654747" /><Relationship Type="http://schemas.openxmlformats.org/officeDocument/2006/relationships/image" Target="/media/image16.png" Id="Rbb3adef3121440d4" /><Relationship Type="http://schemas.openxmlformats.org/officeDocument/2006/relationships/image" Target="/media/image17.png" Id="Rb4980de0ef8b4c9b" /><Relationship Type="http://schemas.openxmlformats.org/officeDocument/2006/relationships/image" Target="/media/image18.png" Id="Rbe54ec4f1cbd4f51" /></Relationships>
</file>

<file path=word/charts/_rels/chart1.xml.rels><?xml version="1.0" encoding="UTF-8" standalone="yes"?>
<Relationships xmlns="http://schemas.openxmlformats.org/package/2006/relationships"><Relationship Id="rId3" Type="http://schemas.openxmlformats.org/officeDocument/2006/relationships/oleObject" Target="https://uapt33090-my.sharepoint.com/personal/kevinoliveira_ua_pt/Documents/Artigo_scenarios/data/Summary_min_max_me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evinoliveira\Desktop\figure%20pape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Sheet3!$L$1</c:f>
              <c:strCache>
                <c:ptCount val="1"/>
                <c:pt idx="0">
                  <c:v>2025 NO2</c:v>
                </c:pt>
              </c:strCache>
            </c:strRef>
          </c:tx>
          <c:spPr>
            <a:solidFill>
              <a:schemeClr val="accent1"/>
            </a:solidFill>
            <a:ln>
              <a:noFill/>
            </a:ln>
            <a:effectLst/>
          </c:spPr>
          <c:invertIfNegative val="0"/>
          <c:cat>
            <c:multiLvlStrRef>
              <c:f>Sheet3!$J$2:$K$13</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Ljubljana</c:v>
                  </c:pt>
                  <c:pt idx="6">
                    <c:v>Sosnowiec</c:v>
                  </c:pt>
                  <c:pt idx="8">
                    <c:v>Aveiro Region</c:v>
                  </c:pt>
                  <c:pt idx="10">
                    <c:v>Liguria Region</c:v>
                  </c:pt>
                </c:lvl>
              </c:multiLvlStrCache>
            </c:multiLvlStrRef>
          </c:cat>
          <c:val>
            <c:numRef>
              <c:f>Sheet3!$L$2:$L$13</c:f>
              <c:numCache>
                <c:formatCode>General</c:formatCode>
                <c:ptCount val="12"/>
                <c:pt idx="0">
                  <c:v>-57.782165185916426</c:v>
                </c:pt>
                <c:pt idx="1">
                  <c:v>-63.387079083031693</c:v>
                </c:pt>
                <c:pt idx="2">
                  <c:v>-36.917866215071975</c:v>
                </c:pt>
                <c:pt idx="3">
                  <c:v>-41.913632514817948</c:v>
                </c:pt>
                <c:pt idx="4">
                  <c:v>-29.968741859859339</c:v>
                </c:pt>
                <c:pt idx="5">
                  <c:v>-27.923938525657721</c:v>
                </c:pt>
                <c:pt idx="6">
                  <c:v>-18.982952903785026</c:v>
                </c:pt>
                <c:pt idx="7">
                  <c:v>-19.686025233554847</c:v>
                </c:pt>
                <c:pt idx="8">
                  <c:v>-42.589703588143529</c:v>
                </c:pt>
                <c:pt idx="9">
                  <c:v>-58.034321372854912</c:v>
                </c:pt>
                <c:pt idx="10">
                  <c:v>-26.676092847885009</c:v>
                </c:pt>
                <c:pt idx="11">
                  <c:v>-26.487569223518324</c:v>
                </c:pt>
              </c:numCache>
            </c:numRef>
          </c:val>
          <c:extLst>
            <c:ext xmlns:c16="http://schemas.microsoft.com/office/drawing/2014/chart" uri="{C3380CC4-5D6E-409C-BE32-E72D297353CC}">
              <c16:uniqueId val="{00000000-F237-425F-A7F0-D7C0EC24B067}"/>
            </c:ext>
          </c:extLst>
        </c:ser>
        <c:ser>
          <c:idx val="1"/>
          <c:order val="1"/>
          <c:tx>
            <c:strRef>
              <c:f>Sheet3!$M$1</c:f>
              <c:strCache>
                <c:ptCount val="1"/>
                <c:pt idx="0">
                  <c:v>2035 NO2</c:v>
                </c:pt>
              </c:strCache>
            </c:strRef>
          </c:tx>
          <c:spPr>
            <a:solidFill>
              <a:schemeClr val="accent2"/>
            </a:solidFill>
            <a:ln>
              <a:noFill/>
            </a:ln>
            <a:effectLst/>
          </c:spPr>
          <c:invertIfNegative val="0"/>
          <c:cat>
            <c:multiLvlStrRef>
              <c:f>Sheet3!$J$2:$K$13</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Ljubljana</c:v>
                  </c:pt>
                  <c:pt idx="6">
                    <c:v>Sosnowiec</c:v>
                  </c:pt>
                  <c:pt idx="8">
                    <c:v>Aveiro Region</c:v>
                  </c:pt>
                  <c:pt idx="10">
                    <c:v>Liguria Region</c:v>
                  </c:pt>
                </c:lvl>
              </c:multiLvlStrCache>
            </c:multiLvlStrRef>
          </c:cat>
          <c:val>
            <c:numRef>
              <c:f>Sheet3!$M$2:$M$13</c:f>
              <c:numCache>
                <c:formatCode>General</c:formatCode>
                <c:ptCount val="12"/>
                <c:pt idx="0">
                  <c:v>-69.946254250301635</c:v>
                </c:pt>
                <c:pt idx="1">
                  <c:v>-77.141603597674674</c:v>
                </c:pt>
                <c:pt idx="2">
                  <c:v>-42.905528002903104</c:v>
                </c:pt>
                <c:pt idx="3">
                  <c:v>-43.244224023224866</c:v>
                </c:pt>
                <c:pt idx="4">
                  <c:v>-51.758270382912222</c:v>
                </c:pt>
                <c:pt idx="5">
                  <c:v>-47.942172440739775</c:v>
                </c:pt>
                <c:pt idx="6">
                  <c:v>-28.580371761533275</c:v>
                </c:pt>
                <c:pt idx="7">
                  <c:v>-30.265819127419817</c:v>
                </c:pt>
                <c:pt idx="8">
                  <c:v>-69.613451204714849</c:v>
                </c:pt>
                <c:pt idx="9">
                  <c:v>-77.951118044721795</c:v>
                </c:pt>
                <c:pt idx="10">
                  <c:v>-28.207847295864269</c:v>
                </c:pt>
                <c:pt idx="11">
                  <c:v>-28.054671851066338</c:v>
                </c:pt>
              </c:numCache>
            </c:numRef>
          </c:val>
          <c:extLst>
            <c:ext xmlns:c16="http://schemas.microsoft.com/office/drawing/2014/chart" uri="{C3380CC4-5D6E-409C-BE32-E72D297353CC}">
              <c16:uniqueId val="{00000001-F237-425F-A7F0-D7C0EC24B067}"/>
            </c:ext>
          </c:extLst>
        </c:ser>
        <c:ser>
          <c:idx val="2"/>
          <c:order val="2"/>
          <c:tx>
            <c:strRef>
              <c:f>Sheet3!$N$1</c:f>
              <c:strCache>
                <c:ptCount val="1"/>
                <c:pt idx="0">
                  <c:v>2050 NO2</c:v>
                </c:pt>
              </c:strCache>
            </c:strRef>
          </c:tx>
          <c:spPr>
            <a:solidFill>
              <a:schemeClr val="accent3"/>
            </a:solidFill>
            <a:ln>
              <a:noFill/>
            </a:ln>
            <a:effectLst/>
          </c:spPr>
          <c:invertIfNegative val="0"/>
          <c:cat>
            <c:multiLvlStrRef>
              <c:f>Sheet3!$J$2:$K$13</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Ljubljana</c:v>
                  </c:pt>
                  <c:pt idx="6">
                    <c:v>Sosnowiec</c:v>
                  </c:pt>
                  <c:pt idx="8">
                    <c:v>Aveiro Region</c:v>
                  </c:pt>
                  <c:pt idx="10">
                    <c:v>Liguria Region</c:v>
                  </c:pt>
                </c:lvl>
              </c:multiLvlStrCache>
            </c:multiLvlStrRef>
          </c:cat>
          <c:val>
            <c:numRef>
              <c:f>Sheet3!$N$2:$N$13</c:f>
              <c:numCache>
                <c:formatCode>General</c:formatCode>
                <c:ptCount val="12"/>
                <c:pt idx="0">
                  <c:v>-75.682790391576177</c:v>
                </c:pt>
                <c:pt idx="1">
                  <c:v>-85.291214215202373</c:v>
                </c:pt>
                <c:pt idx="2">
                  <c:v>-39.78468610136688</c:v>
                </c:pt>
                <c:pt idx="3">
                  <c:v>-53.066408612555946</c:v>
                </c:pt>
                <c:pt idx="4">
                  <c:v>-57.150299557176353</c:v>
                </c:pt>
                <c:pt idx="5">
                  <c:v>-56.629330554831995</c:v>
                </c:pt>
                <c:pt idx="6">
                  <c:v>-30.992969276702297</c:v>
                </c:pt>
                <c:pt idx="7">
                  <c:v>-31.749012809399986</c:v>
                </c:pt>
                <c:pt idx="8">
                  <c:v>-83.099323972958913</c:v>
                </c:pt>
                <c:pt idx="9">
                  <c:v>-84.330039868261395</c:v>
                </c:pt>
                <c:pt idx="10">
                  <c:v>-29.8574290090727</c:v>
                </c:pt>
                <c:pt idx="11">
                  <c:v>-29.8574290090727</c:v>
                </c:pt>
              </c:numCache>
            </c:numRef>
          </c:val>
          <c:extLst>
            <c:ext xmlns:c16="http://schemas.microsoft.com/office/drawing/2014/chart" uri="{C3380CC4-5D6E-409C-BE32-E72D297353CC}">
              <c16:uniqueId val="{00000002-F237-425F-A7F0-D7C0EC24B067}"/>
            </c:ext>
          </c:extLst>
        </c:ser>
        <c:ser>
          <c:idx val="3"/>
          <c:order val="3"/>
          <c:tx>
            <c:strRef>
              <c:f>Sheet3!$O$1</c:f>
              <c:strCache>
                <c:ptCount val="1"/>
                <c:pt idx="0">
                  <c:v>2025 PM10</c:v>
                </c:pt>
              </c:strCache>
            </c:strRef>
          </c:tx>
          <c:spPr>
            <a:solidFill>
              <a:schemeClr val="accent4"/>
            </a:solidFill>
            <a:ln>
              <a:noFill/>
            </a:ln>
            <a:effectLst/>
          </c:spPr>
          <c:invertIfNegative val="0"/>
          <c:cat>
            <c:multiLvlStrRef>
              <c:f>Sheet3!$J$2:$K$13</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Ljubljana</c:v>
                  </c:pt>
                  <c:pt idx="6">
                    <c:v>Sosnowiec</c:v>
                  </c:pt>
                  <c:pt idx="8">
                    <c:v>Aveiro Region</c:v>
                  </c:pt>
                  <c:pt idx="10">
                    <c:v>Liguria Region</c:v>
                  </c:pt>
                </c:lvl>
              </c:multiLvlStrCache>
            </c:multiLvlStrRef>
          </c:cat>
          <c:val>
            <c:numRef>
              <c:f>Sheet3!$O$2:$O$13</c:f>
              <c:numCache>
                <c:formatCode>General</c:formatCode>
                <c:ptCount val="12"/>
                <c:pt idx="0">
                  <c:v>-4.5762037405491389</c:v>
                </c:pt>
                <c:pt idx="1">
                  <c:v>-21.050537206526062</c:v>
                </c:pt>
                <c:pt idx="2">
                  <c:v>-6.3209689629068952</c:v>
                </c:pt>
                <c:pt idx="3">
                  <c:v>-8.0620741862225671</c:v>
                </c:pt>
                <c:pt idx="4">
                  <c:v>-15.704286964129482</c:v>
                </c:pt>
                <c:pt idx="5">
                  <c:v>-15.616797900262469</c:v>
                </c:pt>
                <c:pt idx="6">
                  <c:v>-20.826138929472712</c:v>
                </c:pt>
                <c:pt idx="7">
                  <c:v>-21.769159250896543</c:v>
                </c:pt>
                <c:pt idx="8">
                  <c:v>-5.6818181818181817</c:v>
                </c:pt>
                <c:pt idx="9">
                  <c:v>-5.9090909090909243</c:v>
                </c:pt>
                <c:pt idx="10">
                  <c:v>-18.863409770687937</c:v>
                </c:pt>
                <c:pt idx="11">
                  <c:v>-18.863409770687937</c:v>
                </c:pt>
              </c:numCache>
            </c:numRef>
          </c:val>
          <c:extLst>
            <c:ext xmlns:c16="http://schemas.microsoft.com/office/drawing/2014/chart" uri="{C3380CC4-5D6E-409C-BE32-E72D297353CC}">
              <c16:uniqueId val="{00000003-F237-425F-A7F0-D7C0EC24B067}"/>
            </c:ext>
          </c:extLst>
        </c:ser>
        <c:ser>
          <c:idx val="4"/>
          <c:order val="4"/>
          <c:tx>
            <c:strRef>
              <c:f>Sheet3!$P$1</c:f>
              <c:strCache>
                <c:ptCount val="1"/>
                <c:pt idx="0">
                  <c:v>2035 PM10</c:v>
                </c:pt>
              </c:strCache>
            </c:strRef>
          </c:tx>
          <c:spPr>
            <a:solidFill>
              <a:schemeClr val="accent5"/>
            </a:solidFill>
            <a:ln>
              <a:noFill/>
            </a:ln>
            <a:effectLst/>
          </c:spPr>
          <c:invertIfNegative val="0"/>
          <c:cat>
            <c:multiLvlStrRef>
              <c:f>Sheet3!$J$2:$K$13</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Ljubljana</c:v>
                  </c:pt>
                  <c:pt idx="6">
                    <c:v>Sosnowiec</c:v>
                  </c:pt>
                  <c:pt idx="8">
                    <c:v>Aveiro Region</c:v>
                  </c:pt>
                  <c:pt idx="10">
                    <c:v>Liguria Region</c:v>
                  </c:pt>
                </c:lvl>
              </c:multiLvlStrCache>
            </c:multiLvlStrRef>
          </c:cat>
          <c:val>
            <c:numRef>
              <c:f>Sheet3!$P$2:$P$13</c:f>
              <c:numCache>
                <c:formatCode>General</c:formatCode>
                <c:ptCount val="12"/>
                <c:pt idx="0">
                  <c:v>-6.6056506167926781</c:v>
                </c:pt>
                <c:pt idx="1">
                  <c:v>-27.377636291285313</c:v>
                </c:pt>
                <c:pt idx="2">
                  <c:v>-9.0083270249810852</c:v>
                </c:pt>
                <c:pt idx="3">
                  <c:v>-10.900832702498116</c:v>
                </c:pt>
                <c:pt idx="4">
                  <c:v>-18.285214348206473</c:v>
                </c:pt>
                <c:pt idx="5">
                  <c:v>-18.110236220472444</c:v>
                </c:pt>
                <c:pt idx="6">
                  <c:v>-33.948731571257809</c:v>
                </c:pt>
                <c:pt idx="7">
                  <c:v>-34.758932129100813</c:v>
                </c:pt>
                <c:pt idx="8">
                  <c:v>-6.4772727272727302</c:v>
                </c:pt>
                <c:pt idx="9">
                  <c:v>-16.76136363636364</c:v>
                </c:pt>
                <c:pt idx="10">
                  <c:v>-25.14456630109671</c:v>
                </c:pt>
                <c:pt idx="11">
                  <c:v>-25.14456630109671</c:v>
                </c:pt>
              </c:numCache>
            </c:numRef>
          </c:val>
          <c:extLst>
            <c:ext xmlns:c16="http://schemas.microsoft.com/office/drawing/2014/chart" uri="{C3380CC4-5D6E-409C-BE32-E72D297353CC}">
              <c16:uniqueId val="{00000004-F237-425F-A7F0-D7C0EC24B067}"/>
            </c:ext>
          </c:extLst>
        </c:ser>
        <c:ser>
          <c:idx val="5"/>
          <c:order val="5"/>
          <c:tx>
            <c:strRef>
              <c:f>Sheet3!$Q$1</c:f>
              <c:strCache>
                <c:ptCount val="1"/>
                <c:pt idx="0">
                  <c:v>2050 PM10</c:v>
                </c:pt>
              </c:strCache>
            </c:strRef>
          </c:tx>
          <c:spPr>
            <a:solidFill>
              <a:schemeClr val="accent6"/>
            </a:solidFill>
            <a:ln>
              <a:noFill/>
            </a:ln>
            <a:effectLst/>
          </c:spPr>
          <c:invertIfNegative val="0"/>
          <c:cat>
            <c:multiLvlStrRef>
              <c:f>Sheet3!$J$2:$K$13</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Ljubljana</c:v>
                  </c:pt>
                  <c:pt idx="6">
                    <c:v>Sosnowiec</c:v>
                  </c:pt>
                  <c:pt idx="8">
                    <c:v>Aveiro Region</c:v>
                  </c:pt>
                  <c:pt idx="10">
                    <c:v>Liguria Region</c:v>
                  </c:pt>
                </c:lvl>
              </c:multiLvlStrCache>
            </c:multiLvlStrRef>
          </c:cat>
          <c:val>
            <c:numRef>
              <c:f>Sheet3!$Q$2:$Q$13</c:f>
              <c:numCache>
                <c:formatCode>General</c:formatCode>
                <c:ptCount val="12"/>
                <c:pt idx="0">
                  <c:v>-8.4759251890171061</c:v>
                </c:pt>
                <c:pt idx="1">
                  <c:v>-34.619976124154391</c:v>
                </c:pt>
                <c:pt idx="2">
                  <c:v>-11.582134746404247</c:v>
                </c:pt>
                <c:pt idx="3">
                  <c:v>-13.588190764572305</c:v>
                </c:pt>
                <c:pt idx="4">
                  <c:v>-17.760279965004369</c:v>
                </c:pt>
                <c:pt idx="5">
                  <c:v>-17.541557305336823</c:v>
                </c:pt>
                <c:pt idx="6">
                  <c:v>-39.327931996281052</c:v>
                </c:pt>
                <c:pt idx="7">
                  <c:v>-40.018594766901323</c:v>
                </c:pt>
                <c:pt idx="8">
                  <c:v>-6.3636363636363686</c:v>
                </c:pt>
                <c:pt idx="9">
                  <c:v>-16.64772727272728</c:v>
                </c:pt>
                <c:pt idx="10">
                  <c:v>-25.124626121635096</c:v>
                </c:pt>
                <c:pt idx="11">
                  <c:v>-25.184446660019933</c:v>
                </c:pt>
              </c:numCache>
            </c:numRef>
          </c:val>
          <c:extLst>
            <c:ext xmlns:c16="http://schemas.microsoft.com/office/drawing/2014/chart" uri="{C3380CC4-5D6E-409C-BE32-E72D297353CC}">
              <c16:uniqueId val="{00000005-F237-425F-A7F0-D7C0EC24B067}"/>
            </c:ext>
          </c:extLst>
        </c:ser>
        <c:ser>
          <c:idx val="6"/>
          <c:order val="6"/>
          <c:tx>
            <c:strRef>
              <c:f>Sheet3!$R$1</c:f>
              <c:strCache>
                <c:ptCount val="1"/>
                <c:pt idx="0">
                  <c:v>2025 PM2.5</c:v>
                </c:pt>
              </c:strCache>
            </c:strRef>
          </c:tx>
          <c:spPr>
            <a:solidFill>
              <a:schemeClr val="accent1">
                <a:lumMod val="60000"/>
              </a:schemeClr>
            </a:solidFill>
            <a:ln>
              <a:noFill/>
            </a:ln>
            <a:effectLst/>
          </c:spPr>
          <c:invertIfNegative val="0"/>
          <c:cat>
            <c:multiLvlStrRef>
              <c:f>Sheet3!$J$2:$K$13</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Ljubljana</c:v>
                  </c:pt>
                  <c:pt idx="6">
                    <c:v>Sosnowiec</c:v>
                  </c:pt>
                  <c:pt idx="8">
                    <c:v>Aveiro Region</c:v>
                  </c:pt>
                  <c:pt idx="10">
                    <c:v>Liguria Region</c:v>
                  </c:pt>
                </c:lvl>
              </c:multiLvlStrCache>
            </c:multiLvlStrRef>
          </c:cat>
          <c:val>
            <c:numRef>
              <c:f>Sheet3!$R$2:$R$13</c:f>
              <c:numCache>
                <c:formatCode>General</c:formatCode>
                <c:ptCount val="12"/>
                <c:pt idx="0">
                  <c:v>-5.3363228699551621</c:v>
                </c:pt>
                <c:pt idx="1">
                  <c:v>-25.605381165919283</c:v>
                </c:pt>
                <c:pt idx="2">
                  <c:v>-3.9080459770114926</c:v>
                </c:pt>
                <c:pt idx="3">
                  <c:v>-6.8390804597701029</c:v>
                </c:pt>
                <c:pt idx="4">
                  <c:v>-12.531969309462912</c:v>
                </c:pt>
                <c:pt idx="5">
                  <c:v>-12.531969309462912</c:v>
                </c:pt>
                <c:pt idx="6">
                  <c:v>-19.835775237481887</c:v>
                </c:pt>
                <c:pt idx="7">
                  <c:v>-20.721300917726609</c:v>
                </c:pt>
                <c:pt idx="8">
                  <c:v>-2.8099173553718995</c:v>
                </c:pt>
                <c:pt idx="9">
                  <c:v>-2.8925619834710719</c:v>
                </c:pt>
                <c:pt idx="10">
                  <c:v>-15.578817733990135</c:v>
                </c:pt>
                <c:pt idx="11">
                  <c:v>-15.578817733990135</c:v>
                </c:pt>
              </c:numCache>
            </c:numRef>
          </c:val>
          <c:extLst>
            <c:ext xmlns:c16="http://schemas.microsoft.com/office/drawing/2014/chart" uri="{C3380CC4-5D6E-409C-BE32-E72D297353CC}">
              <c16:uniqueId val="{00000006-F237-425F-A7F0-D7C0EC24B067}"/>
            </c:ext>
          </c:extLst>
        </c:ser>
        <c:ser>
          <c:idx val="7"/>
          <c:order val="7"/>
          <c:tx>
            <c:strRef>
              <c:f>Sheet3!$S$1</c:f>
              <c:strCache>
                <c:ptCount val="1"/>
                <c:pt idx="0">
                  <c:v>2035 PM2.5</c:v>
                </c:pt>
              </c:strCache>
            </c:strRef>
          </c:tx>
          <c:spPr>
            <a:solidFill>
              <a:schemeClr val="accent2">
                <a:lumMod val="60000"/>
              </a:schemeClr>
            </a:solidFill>
            <a:ln>
              <a:noFill/>
            </a:ln>
            <a:effectLst/>
          </c:spPr>
          <c:invertIfNegative val="0"/>
          <c:cat>
            <c:multiLvlStrRef>
              <c:f>Sheet3!$J$2:$K$13</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Ljubljana</c:v>
                  </c:pt>
                  <c:pt idx="6">
                    <c:v>Sosnowiec</c:v>
                  </c:pt>
                  <c:pt idx="8">
                    <c:v>Aveiro Region</c:v>
                  </c:pt>
                  <c:pt idx="10">
                    <c:v>Liguria Region</c:v>
                  </c:pt>
                </c:lvl>
              </c:multiLvlStrCache>
            </c:multiLvlStrRef>
          </c:cat>
          <c:val>
            <c:numRef>
              <c:f>Sheet3!$S$2:$S$13</c:f>
              <c:numCache>
                <c:formatCode>General</c:formatCode>
                <c:ptCount val="12"/>
                <c:pt idx="0">
                  <c:v>-8.0717488789237688</c:v>
                </c:pt>
                <c:pt idx="1">
                  <c:v>-33.587443946188337</c:v>
                </c:pt>
                <c:pt idx="2">
                  <c:v>-8.5057471264367752</c:v>
                </c:pt>
                <c:pt idx="3">
                  <c:v>-11.494252873563209</c:v>
                </c:pt>
                <c:pt idx="4">
                  <c:v>-15.294117647058833</c:v>
                </c:pt>
                <c:pt idx="5">
                  <c:v>-15.191815856777504</c:v>
                </c:pt>
                <c:pt idx="6">
                  <c:v>-32.361938496216389</c:v>
                </c:pt>
                <c:pt idx="7">
                  <c:v>-33.118660441152791</c:v>
                </c:pt>
                <c:pt idx="8">
                  <c:v>-3.2231404958677587</c:v>
                </c:pt>
                <c:pt idx="9">
                  <c:v>-8.6776859504132151</c:v>
                </c:pt>
                <c:pt idx="10">
                  <c:v>-20.812807881773395</c:v>
                </c:pt>
                <c:pt idx="11">
                  <c:v>-20.812807881773395</c:v>
                </c:pt>
              </c:numCache>
            </c:numRef>
          </c:val>
          <c:extLst>
            <c:ext xmlns:c16="http://schemas.microsoft.com/office/drawing/2014/chart" uri="{C3380CC4-5D6E-409C-BE32-E72D297353CC}">
              <c16:uniqueId val="{00000007-F237-425F-A7F0-D7C0EC24B067}"/>
            </c:ext>
          </c:extLst>
        </c:ser>
        <c:ser>
          <c:idx val="8"/>
          <c:order val="8"/>
          <c:tx>
            <c:strRef>
              <c:f>Sheet3!$T$1</c:f>
              <c:strCache>
                <c:ptCount val="1"/>
                <c:pt idx="0">
                  <c:v>2050 PM2.5</c:v>
                </c:pt>
              </c:strCache>
            </c:strRef>
          </c:tx>
          <c:spPr>
            <a:solidFill>
              <a:schemeClr val="accent3">
                <a:lumMod val="60000"/>
              </a:schemeClr>
            </a:solidFill>
            <a:ln>
              <a:noFill/>
            </a:ln>
            <a:effectLst/>
          </c:spPr>
          <c:invertIfNegative val="0"/>
          <c:cat>
            <c:multiLvlStrRef>
              <c:f>Sheet3!$J$2:$K$13</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Ljubljana</c:v>
                  </c:pt>
                  <c:pt idx="6">
                    <c:v>Sosnowiec</c:v>
                  </c:pt>
                  <c:pt idx="8">
                    <c:v>Aveiro Region</c:v>
                  </c:pt>
                  <c:pt idx="10">
                    <c:v>Liguria Region</c:v>
                  </c:pt>
                </c:lvl>
              </c:multiLvlStrCache>
            </c:multiLvlStrRef>
          </c:cat>
          <c:val>
            <c:numRef>
              <c:f>Sheet3!$T$2:$T$13</c:f>
              <c:numCache>
                <c:formatCode>General</c:formatCode>
                <c:ptCount val="12"/>
                <c:pt idx="0">
                  <c:v>-10.493273542600896</c:v>
                </c:pt>
                <c:pt idx="1">
                  <c:v>-42.556053811659197</c:v>
                </c:pt>
                <c:pt idx="2">
                  <c:v>-8.0459770114942462</c:v>
                </c:pt>
                <c:pt idx="3">
                  <c:v>-11.14942528735631</c:v>
                </c:pt>
                <c:pt idx="4">
                  <c:v>-14.987212276214832</c:v>
                </c:pt>
                <c:pt idx="5">
                  <c:v>-14.884910485933503</c:v>
                </c:pt>
                <c:pt idx="6">
                  <c:v>-37.497987441635807</c:v>
                </c:pt>
                <c:pt idx="7">
                  <c:v>-38.142006118177427</c:v>
                </c:pt>
                <c:pt idx="8">
                  <c:v>-3.1404958677685868</c:v>
                </c:pt>
                <c:pt idx="9">
                  <c:v>-8.6776859504132151</c:v>
                </c:pt>
                <c:pt idx="10">
                  <c:v>-20.782019704433488</c:v>
                </c:pt>
                <c:pt idx="11">
                  <c:v>-20.812807881773395</c:v>
                </c:pt>
              </c:numCache>
            </c:numRef>
          </c:val>
          <c:extLst>
            <c:ext xmlns:c16="http://schemas.microsoft.com/office/drawing/2014/chart" uri="{C3380CC4-5D6E-409C-BE32-E72D297353CC}">
              <c16:uniqueId val="{00000008-F237-425F-A7F0-D7C0EC24B067}"/>
            </c:ext>
          </c:extLst>
        </c:ser>
        <c:dLbls>
          <c:showLegendKey val="0"/>
          <c:showVal val="0"/>
          <c:showCatName val="0"/>
          <c:showSerName val="0"/>
          <c:showPercent val="0"/>
          <c:showBubbleSize val="0"/>
        </c:dLbls>
        <c:gapWidth val="219"/>
        <c:overlap val="-27"/>
        <c:axId val="770197439"/>
        <c:axId val="608525615"/>
      </c:barChart>
      <c:catAx>
        <c:axId val="770197439"/>
        <c:scaling>
          <c:orientation val="minMax"/>
        </c:scaling>
        <c:delete val="0"/>
        <c:axPos val="b"/>
        <c:numFmt formatCode="General" sourceLinked="1"/>
        <c:majorTickMark val="none"/>
        <c:minorTickMark val="none"/>
        <c:tickLblPos val="high"/>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525615"/>
        <c:crosses val="autoZero"/>
        <c:auto val="1"/>
        <c:lblAlgn val="ctr"/>
        <c:lblOffset val="100"/>
        <c:noMultiLvlLbl val="0"/>
      </c:catAx>
      <c:valAx>
        <c:axId val="608525615"/>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PT"/>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0197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Health benefits from implementing emission control measures (%)</a:t>
            </a:r>
            <a:endParaRPr lang="pt-PT"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Sheet1!$C$17:$C$18</c:f>
              <c:strCache>
                <c:ptCount val="2"/>
                <c:pt idx="0">
                  <c:v>2025</c:v>
                </c:pt>
                <c:pt idx="1">
                  <c:v>NO2</c:v>
                </c:pt>
              </c:strCache>
            </c:strRef>
          </c:tx>
          <c:spPr>
            <a:solidFill>
              <a:schemeClr val="accent1"/>
            </a:solidFill>
            <a:ln>
              <a:noFill/>
            </a:ln>
            <a:effectLst/>
          </c:spPr>
          <c:invertIfNegative val="0"/>
          <c:cat>
            <c:multiLvlStrRef>
              <c:f>Sheet1!$A$19:$B$30</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Ljubliana</c:v>
                  </c:pt>
                  <c:pt idx="6">
                    <c:v>Sosnowiec</c:v>
                  </c:pt>
                  <c:pt idx="8">
                    <c:v>Aveiro Region </c:v>
                  </c:pt>
                  <c:pt idx="10">
                    <c:v>Liguria Region</c:v>
                  </c:pt>
                </c:lvl>
              </c:multiLvlStrCache>
            </c:multiLvlStrRef>
          </c:cat>
          <c:val>
            <c:numRef>
              <c:f>Sheet1!$C$19:$C$30</c:f>
              <c:numCache>
                <c:formatCode>General</c:formatCode>
                <c:ptCount val="12"/>
                <c:pt idx="0">
                  <c:v>-21</c:v>
                </c:pt>
                <c:pt idx="1">
                  <c:v>-42</c:v>
                </c:pt>
                <c:pt idx="2">
                  <c:v>-42</c:v>
                </c:pt>
                <c:pt idx="3">
                  <c:v>-63</c:v>
                </c:pt>
                <c:pt idx="4">
                  <c:v>-33</c:v>
                </c:pt>
                <c:pt idx="5">
                  <c:v>-31</c:v>
                </c:pt>
                <c:pt idx="6">
                  <c:v>-21</c:v>
                </c:pt>
                <c:pt idx="7">
                  <c:v>-24</c:v>
                </c:pt>
                <c:pt idx="8">
                  <c:v>-85</c:v>
                </c:pt>
                <c:pt idx="9">
                  <c:v>-95</c:v>
                </c:pt>
                <c:pt idx="10">
                  <c:v>-59</c:v>
                </c:pt>
                <c:pt idx="11">
                  <c:v>-57</c:v>
                </c:pt>
              </c:numCache>
            </c:numRef>
          </c:val>
          <c:extLst>
            <c:ext xmlns:c16="http://schemas.microsoft.com/office/drawing/2014/chart" uri="{C3380CC4-5D6E-409C-BE32-E72D297353CC}">
              <c16:uniqueId val="{00000000-557B-4556-91B9-55AB73386689}"/>
            </c:ext>
          </c:extLst>
        </c:ser>
        <c:ser>
          <c:idx val="1"/>
          <c:order val="1"/>
          <c:tx>
            <c:strRef>
              <c:f>Sheet1!$D$17:$D$18</c:f>
              <c:strCache>
                <c:ptCount val="2"/>
                <c:pt idx="0">
                  <c:v>2035</c:v>
                </c:pt>
                <c:pt idx="1">
                  <c:v>NO2</c:v>
                </c:pt>
              </c:strCache>
            </c:strRef>
          </c:tx>
          <c:spPr>
            <a:solidFill>
              <a:schemeClr val="accent2"/>
            </a:solidFill>
            <a:ln>
              <a:noFill/>
            </a:ln>
            <a:effectLst/>
          </c:spPr>
          <c:invertIfNegative val="0"/>
          <c:cat>
            <c:multiLvlStrRef>
              <c:f>Sheet1!$A$19:$B$30</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Ljubliana</c:v>
                  </c:pt>
                  <c:pt idx="6">
                    <c:v>Sosnowiec</c:v>
                  </c:pt>
                  <c:pt idx="8">
                    <c:v>Aveiro Region </c:v>
                  </c:pt>
                  <c:pt idx="10">
                    <c:v>Liguria Region</c:v>
                  </c:pt>
                </c:lvl>
              </c:multiLvlStrCache>
            </c:multiLvlStrRef>
          </c:cat>
          <c:val>
            <c:numRef>
              <c:f>Sheet1!$D$19:$D$30</c:f>
              <c:numCache>
                <c:formatCode>General</c:formatCode>
                <c:ptCount val="12"/>
                <c:pt idx="0">
                  <c:v>-26</c:v>
                </c:pt>
                <c:pt idx="1">
                  <c:v>-49</c:v>
                </c:pt>
                <c:pt idx="2">
                  <c:v>-51</c:v>
                </c:pt>
                <c:pt idx="3">
                  <c:v>-79</c:v>
                </c:pt>
                <c:pt idx="4">
                  <c:v>-58</c:v>
                </c:pt>
                <c:pt idx="5">
                  <c:v>-54</c:v>
                </c:pt>
                <c:pt idx="6">
                  <c:v>-34</c:v>
                </c:pt>
                <c:pt idx="7">
                  <c:v>-37</c:v>
                </c:pt>
                <c:pt idx="8">
                  <c:v>-99</c:v>
                </c:pt>
                <c:pt idx="9">
                  <c:v>-100</c:v>
                </c:pt>
                <c:pt idx="10">
                  <c:v>-73</c:v>
                </c:pt>
                <c:pt idx="11">
                  <c:v>-72</c:v>
                </c:pt>
              </c:numCache>
            </c:numRef>
          </c:val>
          <c:extLst>
            <c:ext xmlns:c16="http://schemas.microsoft.com/office/drawing/2014/chart" uri="{C3380CC4-5D6E-409C-BE32-E72D297353CC}">
              <c16:uniqueId val="{00000001-557B-4556-91B9-55AB73386689}"/>
            </c:ext>
          </c:extLst>
        </c:ser>
        <c:ser>
          <c:idx val="2"/>
          <c:order val="2"/>
          <c:tx>
            <c:strRef>
              <c:f>Sheet1!$E$17:$E$18</c:f>
              <c:strCache>
                <c:ptCount val="2"/>
                <c:pt idx="0">
                  <c:v>2050</c:v>
                </c:pt>
                <c:pt idx="1">
                  <c:v>NO2</c:v>
                </c:pt>
              </c:strCache>
            </c:strRef>
          </c:tx>
          <c:spPr>
            <a:solidFill>
              <a:schemeClr val="accent3"/>
            </a:solidFill>
            <a:ln>
              <a:noFill/>
            </a:ln>
            <a:effectLst/>
          </c:spPr>
          <c:invertIfNegative val="0"/>
          <c:cat>
            <c:multiLvlStrRef>
              <c:f>Sheet1!$A$19:$B$30</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Ljubliana</c:v>
                  </c:pt>
                  <c:pt idx="6">
                    <c:v>Sosnowiec</c:v>
                  </c:pt>
                  <c:pt idx="8">
                    <c:v>Aveiro Region </c:v>
                  </c:pt>
                  <c:pt idx="10">
                    <c:v>Liguria Region</c:v>
                  </c:pt>
                </c:lvl>
              </c:multiLvlStrCache>
            </c:multiLvlStrRef>
          </c:cat>
          <c:val>
            <c:numRef>
              <c:f>Sheet1!$E$19:$E$30</c:f>
              <c:numCache>
                <c:formatCode>General</c:formatCode>
                <c:ptCount val="12"/>
                <c:pt idx="0">
                  <c:v>-27</c:v>
                </c:pt>
                <c:pt idx="1">
                  <c:v>-53</c:v>
                </c:pt>
                <c:pt idx="2">
                  <c:v>-27</c:v>
                </c:pt>
                <c:pt idx="3">
                  <c:v>-53</c:v>
                </c:pt>
                <c:pt idx="4">
                  <c:v>-67</c:v>
                </c:pt>
                <c:pt idx="5">
                  <c:v>-64</c:v>
                </c:pt>
                <c:pt idx="6">
                  <c:v>-40</c:v>
                </c:pt>
                <c:pt idx="7">
                  <c:v>-41</c:v>
                </c:pt>
                <c:pt idx="8">
                  <c:v>-100</c:v>
                </c:pt>
                <c:pt idx="9">
                  <c:v>-100</c:v>
                </c:pt>
                <c:pt idx="10">
                  <c:v>-79</c:v>
                </c:pt>
                <c:pt idx="11">
                  <c:v>-79</c:v>
                </c:pt>
              </c:numCache>
            </c:numRef>
          </c:val>
          <c:extLst>
            <c:ext xmlns:c16="http://schemas.microsoft.com/office/drawing/2014/chart" uri="{C3380CC4-5D6E-409C-BE32-E72D297353CC}">
              <c16:uniqueId val="{00000002-557B-4556-91B9-55AB73386689}"/>
            </c:ext>
          </c:extLst>
        </c:ser>
        <c:ser>
          <c:idx val="3"/>
          <c:order val="3"/>
          <c:tx>
            <c:strRef>
              <c:f>Sheet1!$F$17:$F$18</c:f>
              <c:strCache>
                <c:ptCount val="2"/>
                <c:pt idx="0">
                  <c:v>2025</c:v>
                </c:pt>
                <c:pt idx="1">
                  <c:v>PM10</c:v>
                </c:pt>
              </c:strCache>
            </c:strRef>
          </c:tx>
          <c:spPr>
            <a:solidFill>
              <a:schemeClr val="accent4"/>
            </a:solidFill>
            <a:ln>
              <a:noFill/>
            </a:ln>
            <a:effectLst/>
          </c:spPr>
          <c:invertIfNegative val="0"/>
          <c:cat>
            <c:multiLvlStrRef>
              <c:f>Sheet1!$A$19:$B$30</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Ljubliana</c:v>
                  </c:pt>
                  <c:pt idx="6">
                    <c:v>Sosnowiec</c:v>
                  </c:pt>
                  <c:pt idx="8">
                    <c:v>Aveiro Region </c:v>
                  </c:pt>
                  <c:pt idx="10">
                    <c:v>Liguria Region</c:v>
                  </c:pt>
                </c:lvl>
              </c:multiLvlStrCache>
            </c:multiLvlStrRef>
          </c:cat>
          <c:val>
            <c:numRef>
              <c:f>Sheet1!$F$19:$F$30</c:f>
              <c:numCache>
                <c:formatCode>General</c:formatCode>
                <c:ptCount val="12"/>
                <c:pt idx="0">
                  <c:v>-8</c:v>
                </c:pt>
                <c:pt idx="1">
                  <c:v>-17</c:v>
                </c:pt>
                <c:pt idx="2">
                  <c:v>-6</c:v>
                </c:pt>
                <c:pt idx="3">
                  <c:v>-12</c:v>
                </c:pt>
                <c:pt idx="4">
                  <c:v>-4</c:v>
                </c:pt>
                <c:pt idx="5">
                  <c:v>-4</c:v>
                </c:pt>
                <c:pt idx="6">
                  <c:v>-11</c:v>
                </c:pt>
                <c:pt idx="7">
                  <c:v>-12</c:v>
                </c:pt>
                <c:pt idx="8">
                  <c:v>-5</c:v>
                </c:pt>
                <c:pt idx="9">
                  <c:v>-5</c:v>
                </c:pt>
                <c:pt idx="10">
                  <c:v>-8</c:v>
                </c:pt>
                <c:pt idx="11">
                  <c:v>-8</c:v>
                </c:pt>
              </c:numCache>
            </c:numRef>
          </c:val>
          <c:extLst>
            <c:ext xmlns:c16="http://schemas.microsoft.com/office/drawing/2014/chart" uri="{C3380CC4-5D6E-409C-BE32-E72D297353CC}">
              <c16:uniqueId val="{00000003-557B-4556-91B9-55AB73386689}"/>
            </c:ext>
          </c:extLst>
        </c:ser>
        <c:ser>
          <c:idx val="4"/>
          <c:order val="4"/>
          <c:tx>
            <c:strRef>
              <c:f>Sheet1!$G$17:$G$18</c:f>
              <c:strCache>
                <c:ptCount val="2"/>
                <c:pt idx="0">
                  <c:v>2035</c:v>
                </c:pt>
                <c:pt idx="1">
                  <c:v>PM10</c:v>
                </c:pt>
              </c:strCache>
            </c:strRef>
          </c:tx>
          <c:spPr>
            <a:solidFill>
              <a:schemeClr val="accent5"/>
            </a:solidFill>
            <a:ln>
              <a:noFill/>
            </a:ln>
            <a:effectLst/>
          </c:spPr>
          <c:invertIfNegative val="0"/>
          <c:cat>
            <c:multiLvlStrRef>
              <c:f>Sheet1!$A$19:$B$30</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Ljubliana</c:v>
                  </c:pt>
                  <c:pt idx="6">
                    <c:v>Sosnowiec</c:v>
                  </c:pt>
                  <c:pt idx="8">
                    <c:v>Aveiro Region </c:v>
                  </c:pt>
                  <c:pt idx="10">
                    <c:v>Liguria Region</c:v>
                  </c:pt>
                </c:lvl>
              </c:multiLvlStrCache>
            </c:multiLvlStrRef>
          </c:cat>
          <c:val>
            <c:numRef>
              <c:f>Sheet1!$G$19:$G$30</c:f>
              <c:numCache>
                <c:formatCode>General</c:formatCode>
                <c:ptCount val="12"/>
                <c:pt idx="0">
                  <c:v>-9</c:v>
                </c:pt>
                <c:pt idx="1">
                  <c:v>-19</c:v>
                </c:pt>
                <c:pt idx="2">
                  <c:v>-8</c:v>
                </c:pt>
                <c:pt idx="3">
                  <c:v>-15</c:v>
                </c:pt>
                <c:pt idx="4">
                  <c:v>-5</c:v>
                </c:pt>
                <c:pt idx="5">
                  <c:v>-5</c:v>
                </c:pt>
                <c:pt idx="6">
                  <c:v>-18</c:v>
                </c:pt>
                <c:pt idx="7">
                  <c:v>-19</c:v>
                </c:pt>
                <c:pt idx="8">
                  <c:v>-5</c:v>
                </c:pt>
                <c:pt idx="9">
                  <c:v>-7</c:v>
                </c:pt>
                <c:pt idx="10">
                  <c:v>-11</c:v>
                </c:pt>
                <c:pt idx="11">
                  <c:v>-11</c:v>
                </c:pt>
              </c:numCache>
            </c:numRef>
          </c:val>
          <c:extLst>
            <c:ext xmlns:c16="http://schemas.microsoft.com/office/drawing/2014/chart" uri="{C3380CC4-5D6E-409C-BE32-E72D297353CC}">
              <c16:uniqueId val="{00000004-557B-4556-91B9-55AB73386689}"/>
            </c:ext>
          </c:extLst>
        </c:ser>
        <c:ser>
          <c:idx val="5"/>
          <c:order val="5"/>
          <c:tx>
            <c:strRef>
              <c:f>Sheet1!$H$17:$H$18</c:f>
              <c:strCache>
                <c:ptCount val="2"/>
                <c:pt idx="0">
                  <c:v>2050</c:v>
                </c:pt>
                <c:pt idx="1">
                  <c:v>PM10</c:v>
                </c:pt>
              </c:strCache>
            </c:strRef>
          </c:tx>
          <c:spPr>
            <a:solidFill>
              <a:schemeClr val="accent6"/>
            </a:solidFill>
            <a:ln>
              <a:noFill/>
            </a:ln>
            <a:effectLst/>
          </c:spPr>
          <c:invertIfNegative val="0"/>
          <c:cat>
            <c:multiLvlStrRef>
              <c:f>Sheet1!$A$19:$B$30</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Ljubliana</c:v>
                  </c:pt>
                  <c:pt idx="6">
                    <c:v>Sosnowiec</c:v>
                  </c:pt>
                  <c:pt idx="8">
                    <c:v>Aveiro Region </c:v>
                  </c:pt>
                  <c:pt idx="10">
                    <c:v>Liguria Region</c:v>
                  </c:pt>
                </c:lvl>
              </c:multiLvlStrCache>
            </c:multiLvlStrRef>
          </c:cat>
          <c:val>
            <c:numRef>
              <c:f>Sheet1!$H$19:$H$30</c:f>
              <c:numCache>
                <c:formatCode>General</c:formatCode>
                <c:ptCount val="12"/>
                <c:pt idx="0">
                  <c:v>-9</c:v>
                </c:pt>
                <c:pt idx="1">
                  <c:v>-28</c:v>
                </c:pt>
                <c:pt idx="2">
                  <c:v>-10</c:v>
                </c:pt>
                <c:pt idx="3">
                  <c:v>-17</c:v>
                </c:pt>
                <c:pt idx="4">
                  <c:v>-5</c:v>
                </c:pt>
                <c:pt idx="5">
                  <c:v>-5</c:v>
                </c:pt>
                <c:pt idx="6">
                  <c:v>-21</c:v>
                </c:pt>
                <c:pt idx="7">
                  <c:v>-21</c:v>
                </c:pt>
                <c:pt idx="8">
                  <c:v>-5</c:v>
                </c:pt>
                <c:pt idx="9">
                  <c:v>-7</c:v>
                </c:pt>
                <c:pt idx="10">
                  <c:v>-10</c:v>
                </c:pt>
                <c:pt idx="11">
                  <c:v>-11</c:v>
                </c:pt>
              </c:numCache>
            </c:numRef>
          </c:val>
          <c:extLst>
            <c:ext xmlns:c16="http://schemas.microsoft.com/office/drawing/2014/chart" uri="{C3380CC4-5D6E-409C-BE32-E72D297353CC}">
              <c16:uniqueId val="{00000005-557B-4556-91B9-55AB73386689}"/>
            </c:ext>
          </c:extLst>
        </c:ser>
        <c:ser>
          <c:idx val="6"/>
          <c:order val="6"/>
          <c:tx>
            <c:strRef>
              <c:f>Sheet1!$I$17:$I$18</c:f>
              <c:strCache>
                <c:ptCount val="2"/>
                <c:pt idx="0">
                  <c:v>2025</c:v>
                </c:pt>
                <c:pt idx="1">
                  <c:v>PM2.5</c:v>
                </c:pt>
              </c:strCache>
            </c:strRef>
          </c:tx>
          <c:spPr>
            <a:solidFill>
              <a:schemeClr val="accent1">
                <a:lumMod val="60000"/>
              </a:schemeClr>
            </a:solidFill>
            <a:ln>
              <a:noFill/>
            </a:ln>
            <a:effectLst/>
          </c:spPr>
          <c:invertIfNegative val="0"/>
          <c:cat>
            <c:multiLvlStrRef>
              <c:f>Sheet1!$A$19:$B$30</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Ljubliana</c:v>
                  </c:pt>
                  <c:pt idx="6">
                    <c:v>Sosnowiec</c:v>
                  </c:pt>
                  <c:pt idx="8">
                    <c:v>Aveiro Region </c:v>
                  </c:pt>
                  <c:pt idx="10">
                    <c:v>Liguria Region</c:v>
                  </c:pt>
                </c:lvl>
              </c:multiLvlStrCache>
            </c:multiLvlStrRef>
          </c:cat>
          <c:val>
            <c:numRef>
              <c:f>Sheet1!$I$19:$I$30</c:f>
              <c:numCache>
                <c:formatCode>General</c:formatCode>
                <c:ptCount val="12"/>
                <c:pt idx="0">
                  <c:v>-49</c:v>
                </c:pt>
                <c:pt idx="1">
                  <c:v>-54</c:v>
                </c:pt>
                <c:pt idx="2">
                  <c:v>-4</c:v>
                </c:pt>
                <c:pt idx="3">
                  <c:v>-18</c:v>
                </c:pt>
                <c:pt idx="4">
                  <c:v>-3</c:v>
                </c:pt>
                <c:pt idx="5">
                  <c:v>-3</c:v>
                </c:pt>
                <c:pt idx="6">
                  <c:v>-9</c:v>
                </c:pt>
                <c:pt idx="7">
                  <c:v>-10</c:v>
                </c:pt>
                <c:pt idx="8">
                  <c:v>-2</c:v>
                </c:pt>
                <c:pt idx="9">
                  <c:v>-2</c:v>
                </c:pt>
                <c:pt idx="10">
                  <c:v>-5</c:v>
                </c:pt>
                <c:pt idx="11">
                  <c:v>-5</c:v>
                </c:pt>
              </c:numCache>
            </c:numRef>
          </c:val>
          <c:extLst>
            <c:ext xmlns:c16="http://schemas.microsoft.com/office/drawing/2014/chart" uri="{C3380CC4-5D6E-409C-BE32-E72D297353CC}">
              <c16:uniqueId val="{00000006-557B-4556-91B9-55AB73386689}"/>
            </c:ext>
          </c:extLst>
        </c:ser>
        <c:ser>
          <c:idx val="7"/>
          <c:order val="7"/>
          <c:tx>
            <c:strRef>
              <c:f>Sheet1!$J$17:$J$18</c:f>
              <c:strCache>
                <c:ptCount val="2"/>
                <c:pt idx="0">
                  <c:v>2035</c:v>
                </c:pt>
                <c:pt idx="1">
                  <c:v>PM2.5</c:v>
                </c:pt>
              </c:strCache>
            </c:strRef>
          </c:tx>
          <c:spPr>
            <a:solidFill>
              <a:schemeClr val="accent2">
                <a:lumMod val="60000"/>
              </a:schemeClr>
            </a:solidFill>
            <a:ln>
              <a:noFill/>
            </a:ln>
            <a:effectLst/>
          </c:spPr>
          <c:invertIfNegative val="0"/>
          <c:cat>
            <c:multiLvlStrRef>
              <c:f>Sheet1!$A$19:$B$30</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Ljubliana</c:v>
                  </c:pt>
                  <c:pt idx="6">
                    <c:v>Sosnowiec</c:v>
                  </c:pt>
                  <c:pt idx="8">
                    <c:v>Aveiro Region </c:v>
                  </c:pt>
                  <c:pt idx="10">
                    <c:v>Liguria Region</c:v>
                  </c:pt>
                </c:lvl>
              </c:multiLvlStrCache>
            </c:multiLvlStrRef>
          </c:cat>
          <c:val>
            <c:numRef>
              <c:f>Sheet1!$J$19:$J$30</c:f>
              <c:numCache>
                <c:formatCode>General</c:formatCode>
                <c:ptCount val="12"/>
                <c:pt idx="0">
                  <c:v>-49</c:v>
                </c:pt>
                <c:pt idx="1">
                  <c:v>-55</c:v>
                </c:pt>
                <c:pt idx="2">
                  <c:v>-7</c:v>
                </c:pt>
                <c:pt idx="3">
                  <c:v>-22</c:v>
                </c:pt>
                <c:pt idx="4">
                  <c:v>-3</c:v>
                </c:pt>
                <c:pt idx="5">
                  <c:v>-3</c:v>
                </c:pt>
                <c:pt idx="6">
                  <c:v>-16</c:v>
                </c:pt>
                <c:pt idx="7">
                  <c:v>-16</c:v>
                </c:pt>
                <c:pt idx="8">
                  <c:v>-2</c:v>
                </c:pt>
                <c:pt idx="9">
                  <c:v>-3</c:v>
                </c:pt>
                <c:pt idx="10">
                  <c:v>-6</c:v>
                </c:pt>
                <c:pt idx="11">
                  <c:v>-6</c:v>
                </c:pt>
              </c:numCache>
            </c:numRef>
          </c:val>
          <c:extLst>
            <c:ext xmlns:c16="http://schemas.microsoft.com/office/drawing/2014/chart" uri="{C3380CC4-5D6E-409C-BE32-E72D297353CC}">
              <c16:uniqueId val="{00000007-557B-4556-91B9-55AB73386689}"/>
            </c:ext>
          </c:extLst>
        </c:ser>
        <c:ser>
          <c:idx val="8"/>
          <c:order val="8"/>
          <c:tx>
            <c:strRef>
              <c:f>Sheet1!$K$17:$K$18</c:f>
              <c:strCache>
                <c:ptCount val="2"/>
                <c:pt idx="0">
                  <c:v>2050</c:v>
                </c:pt>
                <c:pt idx="1">
                  <c:v>PM2.5</c:v>
                </c:pt>
              </c:strCache>
            </c:strRef>
          </c:tx>
          <c:spPr>
            <a:solidFill>
              <a:schemeClr val="accent3">
                <a:lumMod val="60000"/>
              </a:schemeClr>
            </a:solidFill>
            <a:ln>
              <a:noFill/>
            </a:ln>
            <a:effectLst/>
          </c:spPr>
          <c:invertIfNegative val="0"/>
          <c:cat>
            <c:multiLvlStrRef>
              <c:f>Sheet1!$A$19:$B$30</c:f>
              <c:multiLvlStrCache>
                <c:ptCount val="12"/>
                <c:lvl>
                  <c:pt idx="0">
                    <c:v>BAU</c:v>
                  </c:pt>
                  <c:pt idx="1">
                    <c:v>FUPS</c:v>
                  </c:pt>
                  <c:pt idx="2">
                    <c:v>BAU</c:v>
                  </c:pt>
                  <c:pt idx="3">
                    <c:v>FUPS</c:v>
                  </c:pt>
                  <c:pt idx="4">
                    <c:v>BAU</c:v>
                  </c:pt>
                  <c:pt idx="5">
                    <c:v>FUPS</c:v>
                  </c:pt>
                  <c:pt idx="6">
                    <c:v>BAU</c:v>
                  </c:pt>
                  <c:pt idx="7">
                    <c:v>FUPS</c:v>
                  </c:pt>
                  <c:pt idx="8">
                    <c:v>BAU</c:v>
                  </c:pt>
                  <c:pt idx="9">
                    <c:v>FUPS</c:v>
                  </c:pt>
                  <c:pt idx="10">
                    <c:v>BAU</c:v>
                  </c:pt>
                  <c:pt idx="11">
                    <c:v>FUPS</c:v>
                  </c:pt>
                </c:lvl>
                <c:lvl>
                  <c:pt idx="0">
                    <c:v>Bristol</c:v>
                  </c:pt>
                  <c:pt idx="2">
                    <c:v>Amsterdam</c:v>
                  </c:pt>
                  <c:pt idx="4">
                    <c:v>Ljubliana</c:v>
                  </c:pt>
                  <c:pt idx="6">
                    <c:v>Sosnowiec</c:v>
                  </c:pt>
                  <c:pt idx="8">
                    <c:v>Aveiro Region </c:v>
                  </c:pt>
                  <c:pt idx="10">
                    <c:v>Liguria Region</c:v>
                  </c:pt>
                </c:lvl>
              </c:multiLvlStrCache>
            </c:multiLvlStrRef>
          </c:cat>
          <c:val>
            <c:numRef>
              <c:f>Sheet1!$K$19:$K$30</c:f>
              <c:numCache>
                <c:formatCode>General</c:formatCode>
                <c:ptCount val="12"/>
                <c:pt idx="0">
                  <c:v>-49</c:v>
                </c:pt>
                <c:pt idx="1">
                  <c:v>-59</c:v>
                </c:pt>
                <c:pt idx="2">
                  <c:v>-8</c:v>
                </c:pt>
                <c:pt idx="3">
                  <c:v>-23</c:v>
                </c:pt>
                <c:pt idx="4">
                  <c:v>-3</c:v>
                </c:pt>
                <c:pt idx="5">
                  <c:v>-3</c:v>
                </c:pt>
                <c:pt idx="6">
                  <c:v>-18</c:v>
                </c:pt>
                <c:pt idx="7">
                  <c:v>-19</c:v>
                </c:pt>
                <c:pt idx="8">
                  <c:v>-2</c:v>
                </c:pt>
                <c:pt idx="9">
                  <c:v>-3</c:v>
                </c:pt>
                <c:pt idx="10">
                  <c:v>-6</c:v>
                </c:pt>
                <c:pt idx="11">
                  <c:v>-6</c:v>
                </c:pt>
              </c:numCache>
            </c:numRef>
          </c:val>
          <c:extLst>
            <c:ext xmlns:c16="http://schemas.microsoft.com/office/drawing/2014/chart" uri="{C3380CC4-5D6E-409C-BE32-E72D297353CC}">
              <c16:uniqueId val="{00000008-557B-4556-91B9-55AB73386689}"/>
            </c:ext>
          </c:extLst>
        </c:ser>
        <c:dLbls>
          <c:showLegendKey val="0"/>
          <c:showVal val="0"/>
          <c:showCatName val="0"/>
          <c:showSerName val="0"/>
          <c:showPercent val="0"/>
          <c:showBubbleSize val="0"/>
        </c:dLbls>
        <c:gapWidth val="219"/>
        <c:overlap val="-27"/>
        <c:axId val="522828832"/>
        <c:axId val="523715728"/>
      </c:barChart>
      <c:catAx>
        <c:axId val="522828832"/>
        <c:scaling>
          <c:orientation val="minMax"/>
        </c:scaling>
        <c:delete val="0"/>
        <c:axPos val="b"/>
        <c:numFmt formatCode="General" sourceLinked="1"/>
        <c:majorTickMark val="none"/>
        <c:minorTickMark val="none"/>
        <c:tickLblPos val="high"/>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715728"/>
        <c:crosses val="autoZero"/>
        <c:auto val="1"/>
        <c:lblAlgn val="ctr"/>
        <c:lblOffset val="100"/>
        <c:noMultiLvlLbl val="0"/>
      </c:catAx>
      <c:valAx>
        <c:axId val="523715728"/>
        <c:scaling>
          <c:orientation val="minMax"/>
          <c:min val="-100"/>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PT"/>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82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FBBCAAAB2EF043AF74C2CFA9FD1685" ma:contentTypeVersion="13" ma:contentTypeDescription="Create a new document." ma:contentTypeScope="" ma:versionID="f7d14e3a85669a76be9203bd52d35d75">
  <xsd:schema xmlns:xsd="http://www.w3.org/2001/XMLSchema" xmlns:xs="http://www.w3.org/2001/XMLSchema" xmlns:p="http://schemas.microsoft.com/office/2006/metadata/properties" xmlns:ns3="cb538431-b7f7-475a-931e-82838b9ef81e" xmlns:ns4="0ab84358-59a1-4394-9e41-57ad53760b8b" targetNamespace="http://schemas.microsoft.com/office/2006/metadata/properties" ma:root="true" ma:fieldsID="916f300dc106333d9af0506809a256fb" ns3:_="" ns4:_="">
    <xsd:import namespace="cb538431-b7f7-475a-931e-82838b9ef81e"/>
    <xsd:import namespace="0ab84358-59a1-4394-9e41-57ad53760b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38431-b7f7-475a-931e-82838b9ef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b84358-59a1-4394-9e41-57ad53760b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A4C79-0B7E-4FF1-B50B-9BC497D30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FAC7D-F463-43EB-9275-18CC4118676A}">
  <ds:schemaRefs>
    <ds:schemaRef ds:uri="http://schemas.microsoft.com/sharepoint/v3/contenttype/forms"/>
  </ds:schemaRefs>
</ds:datastoreItem>
</file>

<file path=customXml/itemProps3.xml><?xml version="1.0" encoding="utf-8"?>
<ds:datastoreItem xmlns:ds="http://schemas.openxmlformats.org/officeDocument/2006/customXml" ds:itemID="{C2CEA899-4128-417E-B17A-FF37E9C4AE2F}">
  <ds:schemaRefs>
    <ds:schemaRef ds:uri="http://schemas.openxmlformats.org/officeDocument/2006/bibliography"/>
  </ds:schemaRefs>
</ds:datastoreItem>
</file>

<file path=customXml/itemProps4.xml><?xml version="1.0" encoding="utf-8"?>
<ds:datastoreItem xmlns:ds="http://schemas.openxmlformats.org/officeDocument/2006/customXml" ds:itemID="{F31700F6-55D4-48D4-9534-624E99DB2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38431-b7f7-475a-931e-82838b9ef81e"/>
    <ds:schemaRef ds:uri="0ab84358-59a1-4394-9e41-57ad53760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Oliveira</dc:creator>
  <keywords/>
  <lastModifiedBy>Kevin Oliveira</lastModifiedBy>
  <revision>139</revision>
  <lastPrinted>2021-07-29T09:04:00.0000000Z</lastPrinted>
  <dcterms:created xsi:type="dcterms:W3CDTF">2021-07-29T03:28:00.0000000Z</dcterms:created>
  <dcterms:modified xsi:type="dcterms:W3CDTF">2021-10-08T15:08:20.0619868Z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0x010100B7FBBCAAAB2EF043AF74C2CFA9FD1685</vt:lpwstr>
  </property>
  <property fmtid="{D5CDD505-2E9C-101B-9397-08002B2CF9AE}" pid="3" name="Mendeley Citation Style_1">
    <vt:lpwstr>http://www.zotero.org/styles/environmental-science-and-policy</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http://www.zotero.org/styles/american-sociological-association</vt:lpwstr>
  </property>
  <property fmtid="{D5CDD505-2E9C-101B-9397-08002B2CF9AE}" pid="8" name="Mendeley Recent Style Id 3_1">
    <vt:lpwstr>http://www.zotero.org/styles/chicago-author-date</vt:lpwstr>
  </property>
  <property fmtid="{D5CDD505-2E9C-101B-9397-08002B2CF9AE}" pid="9" name="Mendeley Recent Style Id 4_1">
    <vt:lpwstr>http://www.zotero.org/styles/harvard-cite-them-right</vt:lpwstr>
  </property>
  <property fmtid="{D5CDD505-2E9C-101B-9397-08002B2CF9AE}" pid="10" name="Mendeley Recent Style Id 5_1">
    <vt:lpwstr>http://www.zotero.org/styles/environmental-science-and-policy</vt:lpwstr>
  </property>
  <property fmtid="{D5CDD505-2E9C-101B-9397-08002B2CF9AE}" pid="11" name="Mendeley Recent Style Id 6_1">
    <vt:lpwstr>http://www.zotero.org/styles/ieee</vt:lpwstr>
  </property>
  <property fmtid="{D5CDD505-2E9C-101B-9397-08002B2CF9AE}" pid="12" name="Mendeley Recent Style Id 7_1">
    <vt:lpwstr>http://www.zotero.org/styles/journal-of-environmental-management</vt:lpwstr>
  </property>
  <property fmtid="{D5CDD505-2E9C-101B-9397-08002B2CF9AE}" pid="13" name="Mendeley Recent Style Id 8_1">
    <vt:lpwstr>http://www.zotero.org/styles/modern-humanities-research-association</vt:lpwstr>
  </property>
  <property fmtid="{D5CDD505-2E9C-101B-9397-08002B2CF9AE}" pid="14" name="Mendeley Recent Style Id 9_1">
    <vt:lpwstr>http://www.zotero.org/styles/modern-language-association</vt:lpwstr>
  </property>
  <property fmtid="{D5CDD505-2E9C-101B-9397-08002B2CF9AE}" pid="15" name="Mendeley Recent Style Name 0_1">
    <vt:lpwstr>American Medical Association 11th edition</vt:lpwstr>
  </property>
  <property fmtid="{D5CDD505-2E9C-101B-9397-08002B2CF9AE}" pid="16" name="Mendeley Recent Style Name 1_1">
    <vt:lpwstr>American Political Science Association</vt:lpwstr>
  </property>
  <property fmtid="{D5CDD505-2E9C-101B-9397-08002B2CF9AE}" pid="17" name="Mendeley Recent Style Name 2_1">
    <vt:lpwstr>American Sociological Association 6th edition</vt:lpwstr>
  </property>
  <property fmtid="{D5CDD505-2E9C-101B-9397-08002B2CF9AE}" pid="18" name="Mendeley Recent Style Name 3_1">
    <vt:lpwstr>Chicago Manual of Style 17th edition (author-date)</vt:lpwstr>
  </property>
  <property fmtid="{D5CDD505-2E9C-101B-9397-08002B2CF9AE}" pid="19" name="Mendeley Recent Style Name 4_1">
    <vt:lpwstr>Cite Them Right 10th edition - Harvard</vt:lpwstr>
  </property>
  <property fmtid="{D5CDD505-2E9C-101B-9397-08002B2CF9AE}" pid="20" name="Mendeley Recent Style Name 5_1">
    <vt:lpwstr>Environmental Science and Policy</vt:lpwstr>
  </property>
  <property fmtid="{D5CDD505-2E9C-101B-9397-08002B2CF9AE}" pid="21" name="Mendeley Recent Style Name 6_1">
    <vt:lpwstr>IEEE</vt:lpwstr>
  </property>
  <property fmtid="{D5CDD505-2E9C-101B-9397-08002B2CF9AE}" pid="22" name="Mendeley Recent Style Name 7_1">
    <vt:lpwstr>Journal of Environmental Management</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Name 9_1">
    <vt:lpwstr>Modern Language Association 8th edition</vt:lpwstr>
  </property>
  <property fmtid="{D5CDD505-2E9C-101B-9397-08002B2CF9AE}" pid="25" name="Mendeley Unique User Id_1">
    <vt:lpwstr>301ef845-0160-358f-af67-0cd2576e3433</vt:lpwstr>
  </property>
</Properties>
</file>