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C" w:rsidRPr="001A177A" w:rsidRDefault="00207A8C" w:rsidP="0020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77A">
        <w:rPr>
          <w:rFonts w:ascii="Times New Roman" w:hAnsi="Times New Roman" w:cs="Times New Roman"/>
          <w:sz w:val="28"/>
          <w:szCs w:val="28"/>
        </w:rPr>
        <w:t>Dr Fiona Spotswood</w:t>
      </w:r>
    </w:p>
    <w:p w:rsidR="00207A8C" w:rsidRPr="001A177A" w:rsidRDefault="00207A8C" w:rsidP="0020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77A">
        <w:rPr>
          <w:rFonts w:ascii="Times New Roman" w:hAnsi="Times New Roman" w:cs="Times New Roman"/>
          <w:sz w:val="28"/>
          <w:szCs w:val="28"/>
        </w:rPr>
        <w:t>Bristol Social Marketing Centre</w:t>
      </w:r>
    </w:p>
    <w:p w:rsidR="00207A8C" w:rsidRPr="001A177A" w:rsidRDefault="00207A8C" w:rsidP="0020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77A">
        <w:rPr>
          <w:rFonts w:ascii="Times New Roman" w:hAnsi="Times New Roman" w:cs="Times New Roman"/>
          <w:sz w:val="28"/>
          <w:szCs w:val="28"/>
        </w:rPr>
        <w:t>Bristol Business School</w:t>
      </w:r>
    </w:p>
    <w:p w:rsidR="00207A8C" w:rsidRPr="001A177A" w:rsidRDefault="00207A8C" w:rsidP="0020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77A">
        <w:rPr>
          <w:rFonts w:ascii="Times New Roman" w:hAnsi="Times New Roman" w:cs="Times New Roman"/>
          <w:sz w:val="28"/>
          <w:szCs w:val="28"/>
        </w:rPr>
        <w:t>University of the West of England</w:t>
      </w:r>
    </w:p>
    <w:p w:rsidR="00207A8C" w:rsidRPr="001A177A" w:rsidRDefault="007F2A41" w:rsidP="0020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7A8C" w:rsidRPr="001A177A">
          <w:rPr>
            <w:rStyle w:val="Hyperlink"/>
            <w:rFonts w:ascii="Times New Roman" w:hAnsi="Times New Roman" w:cs="Times New Roman"/>
            <w:sz w:val="28"/>
            <w:szCs w:val="28"/>
          </w:rPr>
          <w:t>Fiona2.spotswood@uwe.ac.uk</w:t>
        </w:r>
      </w:hyperlink>
      <w:r w:rsidR="00207A8C" w:rsidRPr="001A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8C" w:rsidRPr="001A177A" w:rsidRDefault="00207A8C" w:rsidP="00207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A8C" w:rsidRPr="001A177A" w:rsidRDefault="00207A8C">
      <w:pPr>
        <w:rPr>
          <w:rFonts w:ascii="Times New Roman" w:hAnsi="Times New Roman" w:cs="Times New Roman"/>
          <w:sz w:val="28"/>
          <w:szCs w:val="28"/>
        </w:rPr>
      </w:pPr>
      <w:r w:rsidRPr="001A177A">
        <w:rPr>
          <w:rFonts w:ascii="Times New Roman" w:hAnsi="Times New Roman" w:cs="Times New Roman"/>
          <w:sz w:val="28"/>
          <w:szCs w:val="28"/>
        </w:rPr>
        <w:br w:type="page"/>
      </w:r>
    </w:p>
    <w:p w:rsidR="00207A8C" w:rsidRPr="001A33F9" w:rsidRDefault="00207A8C" w:rsidP="00207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3F9"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3C3631" w:rsidRPr="001A33F9">
        <w:rPr>
          <w:rFonts w:ascii="Times New Roman" w:hAnsi="Times New Roman" w:cs="Times New Roman"/>
          <w:b/>
          <w:sz w:val="24"/>
          <w:szCs w:val="24"/>
        </w:rPr>
        <w:t>sing Social Practice Theory to frame</w:t>
      </w:r>
      <w:r w:rsidRPr="001A33F9">
        <w:rPr>
          <w:rFonts w:ascii="Times New Roman" w:hAnsi="Times New Roman" w:cs="Times New Roman"/>
          <w:b/>
          <w:sz w:val="24"/>
          <w:szCs w:val="24"/>
        </w:rPr>
        <w:t xml:space="preserve"> the contribution of</w:t>
      </w:r>
      <w:r w:rsidR="003C3631" w:rsidRPr="001A33F9">
        <w:rPr>
          <w:rFonts w:ascii="Times New Roman" w:hAnsi="Times New Roman" w:cs="Times New Roman"/>
          <w:b/>
          <w:sz w:val="24"/>
          <w:szCs w:val="24"/>
        </w:rPr>
        <w:t xml:space="preserve"> social marketing in the</w:t>
      </w:r>
      <w:r w:rsidRPr="001A3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95" w:rsidRPr="001A33F9">
        <w:rPr>
          <w:rFonts w:ascii="Times New Roman" w:hAnsi="Times New Roman" w:cs="Times New Roman"/>
          <w:b/>
          <w:sz w:val="24"/>
          <w:szCs w:val="24"/>
        </w:rPr>
        <w:t>multi</w:t>
      </w:r>
      <w:r w:rsidRPr="001A33F9">
        <w:rPr>
          <w:rFonts w:ascii="Times New Roman" w:hAnsi="Times New Roman" w:cs="Times New Roman"/>
          <w:b/>
          <w:sz w:val="24"/>
          <w:szCs w:val="24"/>
        </w:rPr>
        <w:t>disciplinary future</w:t>
      </w:r>
      <w:r w:rsidR="003C3631" w:rsidRPr="001A33F9">
        <w:rPr>
          <w:rFonts w:ascii="Times New Roman" w:hAnsi="Times New Roman" w:cs="Times New Roman"/>
          <w:b/>
          <w:sz w:val="24"/>
          <w:szCs w:val="24"/>
        </w:rPr>
        <w:t xml:space="preserve"> of ‘behaviour change’</w:t>
      </w:r>
    </w:p>
    <w:p w:rsidR="0042765E" w:rsidRPr="001A177A" w:rsidRDefault="0042765E" w:rsidP="00195419">
      <w:pPr>
        <w:shd w:val="clear" w:color="auto" w:fill="FFFFFF"/>
        <w:spacing w:after="0" w:line="250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A177A">
        <w:rPr>
          <w:rFonts w:ascii="Times New Roman" w:hAnsi="Times New Roman" w:cs="Times New Roman"/>
          <w:i/>
          <w:sz w:val="24"/>
          <w:szCs w:val="24"/>
        </w:rPr>
        <w:t>Background</w:t>
      </w:r>
    </w:p>
    <w:p w:rsidR="00183D4F" w:rsidRPr="001A177A" w:rsidRDefault="003C3631" w:rsidP="0019541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</w:pPr>
      <w:r w:rsidRPr="001A177A">
        <w:rPr>
          <w:rFonts w:ascii="Times New Roman" w:hAnsi="Times New Roman" w:cs="Times New Roman"/>
          <w:sz w:val="24"/>
          <w:szCs w:val="24"/>
        </w:rPr>
        <w:t xml:space="preserve">The </w:t>
      </w:r>
      <w:r w:rsidR="007074CD">
        <w:rPr>
          <w:rFonts w:ascii="Times New Roman" w:hAnsi="Times New Roman" w:cs="Times New Roman"/>
          <w:sz w:val="24"/>
          <w:szCs w:val="24"/>
        </w:rPr>
        <w:t xml:space="preserve">2011 </w:t>
      </w:r>
      <w:r w:rsidR="001A33F9">
        <w:rPr>
          <w:rFonts w:ascii="Times New Roman" w:hAnsi="Times New Roman" w:cs="Times New Roman"/>
          <w:sz w:val="24"/>
          <w:szCs w:val="24"/>
        </w:rPr>
        <w:t xml:space="preserve">House of Lords </w:t>
      </w:r>
      <w:r w:rsidRPr="001A33F9">
        <w:rPr>
          <w:rFonts w:ascii="Times New Roman" w:hAnsi="Times New Roman" w:cs="Times New Roman"/>
          <w:i/>
          <w:sz w:val="24"/>
          <w:szCs w:val="24"/>
        </w:rPr>
        <w:t>Behaviour Change</w:t>
      </w:r>
      <w:r w:rsidRPr="001A177A">
        <w:rPr>
          <w:rFonts w:ascii="Times New Roman" w:hAnsi="Times New Roman" w:cs="Times New Roman"/>
          <w:sz w:val="24"/>
          <w:szCs w:val="24"/>
        </w:rPr>
        <w:t xml:space="preserve"> report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1A177A">
        <w:rPr>
          <w:rFonts w:ascii="Times New Roman" w:hAnsi="Times New Roman" w:cs="Times New Roman"/>
          <w:sz w:val="24"/>
          <w:szCs w:val="24"/>
        </w:rPr>
        <w:t xml:space="preserve"> concluded that </w:t>
      </w:r>
      <w:r w:rsidR="00A96D3B">
        <w:rPr>
          <w:rFonts w:ascii="Times New Roman" w:hAnsi="Times New Roman" w:cs="Times New Roman"/>
          <w:sz w:val="24"/>
          <w:szCs w:val="24"/>
        </w:rPr>
        <w:t>‘behaviour change’</w:t>
      </w:r>
      <w:r w:rsidR="001A33F9">
        <w:rPr>
          <w:rFonts w:ascii="Times New Roman" w:hAnsi="Times New Roman" w:cs="Times New Roman"/>
          <w:sz w:val="24"/>
          <w:szCs w:val="24"/>
        </w:rPr>
        <w:t xml:space="preserve"> </w:t>
      </w:r>
      <w:r w:rsidR="00D54B84">
        <w:rPr>
          <w:rFonts w:ascii="Times New Roman" w:hAnsi="Times New Roman" w:cs="Times New Roman"/>
          <w:sz w:val="24"/>
          <w:szCs w:val="24"/>
        </w:rPr>
        <w:t xml:space="preserve">must </w:t>
      </w:r>
      <w:r w:rsidR="00A96D3B">
        <w:rPr>
          <w:rFonts w:ascii="Times New Roman" w:hAnsi="Times New Roman" w:cs="Times New Roman"/>
          <w:sz w:val="24"/>
          <w:szCs w:val="24"/>
        </w:rPr>
        <w:t>become</w:t>
      </w:r>
      <w:r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="000728F3">
        <w:rPr>
          <w:rFonts w:ascii="Times New Roman" w:hAnsi="Times New Roman" w:cs="Times New Roman"/>
          <w:sz w:val="24"/>
          <w:szCs w:val="24"/>
        </w:rPr>
        <w:t>multi-</w:t>
      </w:r>
      <w:r w:rsidR="00A96D3B">
        <w:rPr>
          <w:rFonts w:ascii="Times New Roman" w:hAnsi="Times New Roman" w:cs="Times New Roman"/>
          <w:sz w:val="24"/>
          <w:szCs w:val="24"/>
        </w:rPr>
        <w:t>disciplinary</w:t>
      </w:r>
      <w:r w:rsidR="00D54B84">
        <w:rPr>
          <w:rFonts w:ascii="Times New Roman" w:hAnsi="Times New Roman" w:cs="Times New Roman"/>
          <w:sz w:val="24"/>
          <w:szCs w:val="24"/>
        </w:rPr>
        <w:t xml:space="preserve">, criticising </w:t>
      </w:r>
      <w:r w:rsidRPr="001A177A">
        <w:rPr>
          <w:rFonts w:ascii="Times New Roman" w:hAnsi="Times New Roman" w:cs="Times New Roman"/>
          <w:sz w:val="24"/>
          <w:szCs w:val="24"/>
        </w:rPr>
        <w:t xml:space="preserve">the government’s </w:t>
      </w:r>
      <w:r w:rsidR="00D54B84">
        <w:rPr>
          <w:rFonts w:ascii="Times New Roman" w:hAnsi="Times New Roman" w:cs="Times New Roman"/>
          <w:sz w:val="24"/>
          <w:szCs w:val="24"/>
        </w:rPr>
        <w:t>myopic</w:t>
      </w:r>
      <w:r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="001A33F9">
        <w:rPr>
          <w:rFonts w:ascii="Times New Roman" w:hAnsi="Times New Roman" w:cs="Times New Roman"/>
          <w:sz w:val="24"/>
          <w:szCs w:val="24"/>
        </w:rPr>
        <w:t>commitment to ‘nudge’</w:t>
      </w:r>
      <w:r w:rsidRPr="001A177A">
        <w:rPr>
          <w:rFonts w:ascii="Times New Roman" w:hAnsi="Times New Roman" w:cs="Times New Roman"/>
          <w:sz w:val="24"/>
          <w:szCs w:val="24"/>
        </w:rPr>
        <w:t xml:space="preserve">. </w:t>
      </w:r>
      <w:r w:rsidR="00D44AB2">
        <w:rPr>
          <w:rFonts w:ascii="Times New Roman" w:hAnsi="Times New Roman" w:cs="Times New Roman"/>
          <w:sz w:val="24"/>
          <w:szCs w:val="24"/>
        </w:rPr>
        <w:t>It</w:t>
      </w:r>
      <w:r w:rsidRPr="001A177A">
        <w:rPr>
          <w:rFonts w:ascii="Times New Roman" w:hAnsi="Times New Roman" w:cs="Times New Roman"/>
          <w:sz w:val="24"/>
          <w:szCs w:val="24"/>
        </w:rPr>
        <w:t xml:space="preserve"> emphasised that any </w:t>
      </w:r>
      <w:r w:rsidR="001A33F9">
        <w:rPr>
          <w:rFonts w:ascii="Times New Roman" w:hAnsi="Times New Roman" w:cs="Times New Roman"/>
          <w:sz w:val="24"/>
          <w:szCs w:val="24"/>
        </w:rPr>
        <w:t xml:space="preserve">single-approach </w:t>
      </w:r>
      <w:r w:rsidRPr="001A177A">
        <w:rPr>
          <w:rFonts w:ascii="Times New Roman" w:hAnsi="Times New Roman" w:cs="Times New Roman"/>
          <w:sz w:val="24"/>
          <w:szCs w:val="24"/>
        </w:rPr>
        <w:t xml:space="preserve">strategy </w:t>
      </w:r>
      <w:r w:rsidR="001A33F9">
        <w:rPr>
          <w:rFonts w:ascii="Times New Roman" w:hAnsi="Times New Roman" w:cs="Times New Roman"/>
          <w:sz w:val="24"/>
          <w:szCs w:val="24"/>
        </w:rPr>
        <w:t>will fail</w:t>
      </w:r>
      <w:r w:rsidRPr="001A177A">
        <w:rPr>
          <w:rFonts w:ascii="Times New Roman" w:hAnsi="Times New Roman" w:cs="Times New Roman"/>
          <w:sz w:val="24"/>
          <w:szCs w:val="24"/>
        </w:rPr>
        <w:t xml:space="preserve"> to </w:t>
      </w:r>
      <w:r w:rsidR="001A33F9">
        <w:rPr>
          <w:rFonts w:ascii="Times New Roman" w:hAnsi="Times New Roman" w:cs="Times New Roman"/>
          <w:sz w:val="24"/>
          <w:szCs w:val="24"/>
        </w:rPr>
        <w:t>tackle</w:t>
      </w:r>
      <w:r w:rsidR="00A96D3B">
        <w:rPr>
          <w:rFonts w:ascii="Times New Roman" w:hAnsi="Times New Roman" w:cs="Times New Roman"/>
          <w:sz w:val="24"/>
          <w:szCs w:val="24"/>
        </w:rPr>
        <w:t xml:space="preserve"> </w:t>
      </w:r>
      <w:r w:rsidR="00D52393">
        <w:rPr>
          <w:rFonts w:ascii="Times New Roman" w:hAnsi="Times New Roman" w:cs="Times New Roman"/>
          <w:sz w:val="24"/>
          <w:szCs w:val="24"/>
        </w:rPr>
        <w:t xml:space="preserve">the scale of problems </w:t>
      </w:r>
      <w:r w:rsidR="00D54B84">
        <w:rPr>
          <w:rFonts w:ascii="Times New Roman" w:hAnsi="Times New Roman" w:cs="Times New Roman"/>
          <w:sz w:val="24"/>
          <w:szCs w:val="24"/>
        </w:rPr>
        <w:t>like</w:t>
      </w:r>
      <w:r w:rsidRPr="001A177A">
        <w:rPr>
          <w:rFonts w:ascii="Times New Roman" w:hAnsi="Times New Roman" w:cs="Times New Roman"/>
          <w:sz w:val="24"/>
          <w:szCs w:val="24"/>
        </w:rPr>
        <w:t xml:space="preserve"> incommunicable d</w:t>
      </w:r>
      <w:r w:rsidR="00D54B84">
        <w:rPr>
          <w:rFonts w:ascii="Times New Roman" w:hAnsi="Times New Roman" w:cs="Times New Roman"/>
          <w:sz w:val="24"/>
          <w:szCs w:val="24"/>
        </w:rPr>
        <w:t>isease</w:t>
      </w:r>
      <w:r w:rsidRPr="001A177A">
        <w:rPr>
          <w:rFonts w:ascii="Times New Roman" w:hAnsi="Times New Roman" w:cs="Times New Roman"/>
          <w:sz w:val="24"/>
          <w:szCs w:val="24"/>
        </w:rPr>
        <w:t xml:space="preserve">. Given </w:t>
      </w:r>
      <w:r w:rsidR="00B82DB1">
        <w:rPr>
          <w:rFonts w:ascii="Times New Roman" w:hAnsi="Times New Roman" w:cs="Times New Roman"/>
          <w:sz w:val="24"/>
          <w:szCs w:val="24"/>
        </w:rPr>
        <w:t>this and other calls</w:t>
      </w:r>
      <w:r w:rsidR="00431B37">
        <w:rPr>
          <w:rFonts w:ascii="Times New Roman" w:hAnsi="Times New Roman" w:cs="Times New Roman"/>
          <w:sz w:val="24"/>
          <w:szCs w:val="24"/>
        </w:rPr>
        <w:t xml:space="preserve"> </w:t>
      </w:r>
      <w:r w:rsidR="000728F3">
        <w:rPr>
          <w:rFonts w:ascii="Times New Roman" w:hAnsi="Times New Roman" w:cs="Times New Roman"/>
          <w:sz w:val="24"/>
          <w:szCs w:val="24"/>
        </w:rPr>
        <w:t xml:space="preserve">for </w:t>
      </w:r>
      <w:r w:rsidR="00A96D3B">
        <w:rPr>
          <w:rFonts w:ascii="Times New Roman" w:hAnsi="Times New Roman" w:cs="Times New Roman"/>
          <w:sz w:val="24"/>
          <w:szCs w:val="24"/>
        </w:rPr>
        <w:t>multi-disciplinarity</w:t>
      </w:r>
      <w:r w:rsidR="00431B37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431B37" w:rsidRPr="00431B3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31B37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proofErr w:type="gramStart"/>
      <w:r w:rsidR="000728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28F3">
        <w:rPr>
          <w:rFonts w:ascii="Times New Roman" w:hAnsi="Times New Roman" w:cs="Times New Roman"/>
          <w:sz w:val="24"/>
          <w:szCs w:val="24"/>
        </w:rPr>
        <w:t xml:space="preserve"> </w:t>
      </w:r>
      <w:r w:rsidR="00A96D3B">
        <w:rPr>
          <w:rFonts w:ascii="Times New Roman" w:hAnsi="Times New Roman" w:cs="Times New Roman"/>
          <w:sz w:val="24"/>
          <w:szCs w:val="24"/>
        </w:rPr>
        <w:t xml:space="preserve">the lack of commentary around the </w:t>
      </w:r>
      <w:r w:rsidRPr="001A177A">
        <w:rPr>
          <w:rFonts w:ascii="Times New Roman" w:hAnsi="Times New Roman" w:cs="Times New Roman"/>
          <w:sz w:val="24"/>
          <w:szCs w:val="24"/>
        </w:rPr>
        <w:t>place</w:t>
      </w:r>
      <w:r w:rsidR="001A33F9">
        <w:rPr>
          <w:rFonts w:ascii="Times New Roman" w:hAnsi="Times New Roman" w:cs="Times New Roman"/>
          <w:sz w:val="24"/>
          <w:szCs w:val="24"/>
        </w:rPr>
        <w:t xml:space="preserve"> of social marketing</w:t>
      </w:r>
      <w:r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="00A96D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D3B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A96D3B">
        <w:rPr>
          <w:rFonts w:ascii="Times New Roman" w:hAnsi="Times New Roman" w:cs="Times New Roman"/>
          <w:sz w:val="24"/>
          <w:szCs w:val="24"/>
        </w:rPr>
        <w:t xml:space="preserve">) </w:t>
      </w:r>
      <w:r w:rsidRPr="001A177A">
        <w:rPr>
          <w:rFonts w:ascii="Times New Roman" w:hAnsi="Times New Roman" w:cs="Times New Roman"/>
          <w:sz w:val="24"/>
          <w:szCs w:val="24"/>
        </w:rPr>
        <w:t xml:space="preserve">within a </w:t>
      </w:r>
      <w:r w:rsidR="000728F3">
        <w:rPr>
          <w:rFonts w:ascii="Times New Roman" w:hAnsi="Times New Roman" w:cs="Times New Roman"/>
          <w:sz w:val="24"/>
          <w:szCs w:val="24"/>
        </w:rPr>
        <w:t>multi-</w:t>
      </w:r>
      <w:r w:rsidRPr="001A177A">
        <w:rPr>
          <w:rFonts w:ascii="Times New Roman" w:hAnsi="Times New Roman" w:cs="Times New Roman"/>
          <w:sz w:val="24"/>
          <w:szCs w:val="24"/>
        </w:rPr>
        <w:t>disciplinar</w:t>
      </w:r>
      <w:r w:rsidR="001A33F9">
        <w:rPr>
          <w:rFonts w:ascii="Times New Roman" w:hAnsi="Times New Roman" w:cs="Times New Roman"/>
          <w:sz w:val="24"/>
          <w:szCs w:val="24"/>
        </w:rPr>
        <w:t>y framework</w:t>
      </w:r>
      <w:r w:rsidR="00A96D3B">
        <w:rPr>
          <w:rFonts w:ascii="Times New Roman" w:hAnsi="Times New Roman" w:cs="Times New Roman"/>
          <w:sz w:val="24"/>
          <w:szCs w:val="24"/>
        </w:rPr>
        <w:t xml:space="preserve"> is of concern</w:t>
      </w:r>
      <w:r w:rsidRPr="001A177A">
        <w:rPr>
          <w:rFonts w:ascii="Times New Roman" w:hAnsi="Times New Roman" w:cs="Times New Roman"/>
          <w:sz w:val="24"/>
          <w:szCs w:val="24"/>
        </w:rPr>
        <w:t xml:space="preserve">. Rather, </w:t>
      </w:r>
      <w:r w:rsidR="00183D4F" w:rsidRPr="001A177A">
        <w:rPr>
          <w:rFonts w:ascii="Times New Roman" w:hAnsi="Times New Roman" w:cs="Times New Roman"/>
          <w:sz w:val="24"/>
          <w:szCs w:val="24"/>
        </w:rPr>
        <w:t xml:space="preserve">publications tend to focus </w:t>
      </w:r>
      <w:r w:rsidRPr="001A177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proofErr w:type="gramStart"/>
      <w:r w:rsidRPr="001A177A">
        <w:rPr>
          <w:rFonts w:ascii="Times New Roman" w:hAnsi="Times New Roman" w:cs="Times New Roman"/>
          <w:sz w:val="24"/>
          <w:szCs w:val="24"/>
        </w:rPr>
        <w:t>effectiveness</w:t>
      </w:r>
      <w:r w:rsidR="00431B37">
        <w:rPr>
          <w:rFonts w:ascii="Times New Roman" w:hAnsi="Times New Roman" w:cs="Times New Roman"/>
          <w:i/>
          <w:sz w:val="24"/>
          <w:szCs w:val="24"/>
          <w:vertAlign w:val="superscript"/>
        </w:rPr>
        <w:t>e.</w:t>
      </w:r>
      <w:r w:rsidR="00431B37" w:rsidRPr="00431B37">
        <w:rPr>
          <w:rFonts w:ascii="Times New Roman" w:hAnsi="Times New Roman" w:cs="Times New Roman"/>
          <w:i/>
          <w:sz w:val="24"/>
          <w:szCs w:val="24"/>
          <w:vertAlign w:val="superscript"/>
        </w:rPr>
        <w:t>g</w:t>
      </w:r>
      <w:proofErr w:type="spellEnd"/>
      <w:r w:rsidR="00431B37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1A33F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A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definition</w:t>
      </w:r>
      <w:r w:rsidR="00431B37" w:rsidRPr="00431B37">
        <w:rPr>
          <w:rFonts w:ascii="Times New Roman" w:hAnsi="Times New Roman" w:cs="Times New Roman"/>
          <w:i/>
          <w:sz w:val="24"/>
          <w:szCs w:val="24"/>
          <w:vertAlign w:val="superscript"/>
        </w:rPr>
        <w:t>e.g</w:t>
      </w:r>
      <w:proofErr w:type="spellEnd"/>
      <w:r w:rsidR="00431B37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="001A33F9">
        <w:rPr>
          <w:rStyle w:val="EndnoteReferenc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endnoteReference w:id="5"/>
      </w:r>
      <w:r w:rsidR="00431B37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r w:rsidR="00431B37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6"/>
      </w:r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; innovation of </w:t>
      </w:r>
      <w:proofErr w:type="spellStart"/>
      <w:r w:rsidR="00A96D3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sm</w:t>
      </w:r>
      <w:proofErr w:type="spellEnd"/>
      <w:r w:rsidR="0075636A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5636A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app</w:t>
      </w:r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roaches</w:t>
      </w:r>
      <w:r w:rsidR="00431B37" w:rsidRPr="00431B37">
        <w:rPr>
          <w:rFonts w:ascii="Times New Roman" w:hAnsi="Times New Roman" w:cs="Times New Roman"/>
          <w:i/>
          <w:sz w:val="24"/>
          <w:szCs w:val="24"/>
          <w:vertAlign w:val="superscript"/>
        </w:rPr>
        <w:t>e.g</w:t>
      </w:r>
      <w:proofErr w:type="spellEnd"/>
      <w:r w:rsidR="00431B37">
        <w:rPr>
          <w:rStyle w:val="EndnoteReferenc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.</w:t>
      </w:r>
      <w:r w:rsidR="001A33F9">
        <w:rPr>
          <w:rStyle w:val="EndnoteReferenc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endnoteReference w:id="7"/>
      </w:r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95419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and </w:t>
      </w:r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practitioner </w:t>
      </w:r>
      <w:proofErr w:type="spellStart"/>
      <w:r w:rsidR="00195419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guidance</w:t>
      </w:r>
      <w:r w:rsidR="00431B37" w:rsidRPr="00431B37">
        <w:rPr>
          <w:rFonts w:ascii="Times New Roman" w:hAnsi="Times New Roman" w:cs="Times New Roman"/>
          <w:i/>
          <w:sz w:val="24"/>
          <w:szCs w:val="24"/>
          <w:vertAlign w:val="superscript"/>
        </w:rPr>
        <w:t>e.g</w:t>
      </w:r>
      <w:proofErr w:type="spellEnd"/>
      <w:r w:rsidR="00431B37" w:rsidRPr="00431B37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="001A33F9">
        <w:rPr>
          <w:rStyle w:val="EndnoteReferenc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endnoteReference w:id="8"/>
      </w:r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.</w:t>
      </w:r>
      <w:r w:rsidR="00195419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A3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In response, t</w:t>
      </w:r>
      <w:r w:rsidR="0042765E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his paper </w:t>
      </w:r>
      <w:r w:rsidR="00A96D3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introduces</w:t>
      </w:r>
      <w:r w:rsidR="0042765E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Social Practice Theory </w:t>
      </w:r>
      <w:r w:rsidR="00457D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(SPT) </w:t>
      </w:r>
      <w:r w:rsidR="0042765E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as a framework for scrutinizing </w:t>
      </w:r>
      <w:proofErr w:type="spellStart"/>
      <w:r w:rsidR="00A96D3B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sm’s</w:t>
      </w:r>
      <w:proofErr w:type="spellEnd"/>
      <w:r w:rsidR="0042765E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contribution to </w:t>
      </w:r>
      <w:r w:rsidR="00457D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multi-disciplinary ‘</w:t>
      </w:r>
      <w:r w:rsidR="0042765E" w:rsidRPr="001A17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behaviour change</w:t>
      </w:r>
      <w:r w:rsidR="00457DD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’.</w:t>
      </w:r>
    </w:p>
    <w:p w:rsidR="0042765E" w:rsidRPr="001A177A" w:rsidRDefault="0042765E" w:rsidP="0019541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42765E" w:rsidRPr="001A177A" w:rsidRDefault="0042765E" w:rsidP="0019541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eastAsia="en-GB"/>
        </w:rPr>
      </w:pPr>
      <w:r w:rsidRPr="001A177A"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eastAsia="en-GB"/>
        </w:rPr>
        <w:t>Social Practice Theory</w:t>
      </w:r>
    </w:p>
    <w:p w:rsidR="00EE180C" w:rsidRPr="001A177A" w:rsidRDefault="00A87D92" w:rsidP="00EE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77A">
        <w:rPr>
          <w:rFonts w:ascii="Times New Roman" w:hAnsi="Times New Roman" w:cs="Times New Roman"/>
          <w:sz w:val="24"/>
          <w:szCs w:val="24"/>
        </w:rPr>
        <w:t>Practice theories</w:t>
      </w:r>
      <w:r w:rsidR="001A33F9">
        <w:rPr>
          <w:rFonts w:ascii="Times New Roman" w:hAnsi="Times New Roman" w:cs="Times New Roman"/>
          <w:sz w:val="24"/>
          <w:szCs w:val="24"/>
        </w:rPr>
        <w:t>,</w:t>
      </w:r>
      <w:r w:rsidR="001A33F9" w:rsidRPr="001A33F9">
        <w:rPr>
          <w:rFonts w:ascii="Times New Roman" w:hAnsi="Times New Roman" w:cs="Times New Roman"/>
          <w:sz w:val="24"/>
          <w:szCs w:val="24"/>
        </w:rPr>
        <w:t xml:space="preserve"> </w:t>
      </w:r>
      <w:r w:rsidR="001A33F9">
        <w:rPr>
          <w:rFonts w:ascii="Times New Roman" w:hAnsi="Times New Roman" w:cs="Times New Roman"/>
          <w:sz w:val="24"/>
          <w:szCs w:val="24"/>
        </w:rPr>
        <w:t xml:space="preserve">which </w:t>
      </w:r>
      <w:r w:rsidR="001A33F9" w:rsidRPr="001A177A">
        <w:rPr>
          <w:rFonts w:ascii="Times New Roman" w:hAnsi="Times New Roman" w:cs="Times New Roman"/>
          <w:sz w:val="24"/>
          <w:szCs w:val="24"/>
        </w:rPr>
        <w:t>have recently regained prominence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1A33F9">
        <w:rPr>
          <w:rFonts w:ascii="Times New Roman" w:hAnsi="Times New Roman" w:cs="Times New Roman"/>
          <w:sz w:val="24"/>
          <w:szCs w:val="24"/>
        </w:rPr>
        <w:t>,</w:t>
      </w:r>
      <w:r w:rsidR="001A33F9"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="007074CD">
        <w:rPr>
          <w:rFonts w:ascii="Times New Roman" w:hAnsi="Times New Roman" w:cs="Times New Roman"/>
          <w:sz w:val="24"/>
          <w:szCs w:val="24"/>
        </w:rPr>
        <w:t>are a type of cultural theory</w:t>
      </w:r>
      <w:r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="00F85D30" w:rsidRPr="001A177A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="00F85D30" w:rsidRPr="001A177A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F85D30"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Pr="001A177A">
        <w:rPr>
          <w:rFonts w:ascii="Times New Roman" w:hAnsi="Times New Roman" w:cs="Times New Roman"/>
          <w:sz w:val="24"/>
          <w:szCs w:val="24"/>
        </w:rPr>
        <w:t xml:space="preserve">humans as agents who </w:t>
      </w:r>
      <w:r w:rsidR="006B46D3">
        <w:rPr>
          <w:rFonts w:ascii="Times New Roman" w:hAnsi="Times New Roman" w:cs="Times New Roman"/>
          <w:sz w:val="24"/>
          <w:szCs w:val="24"/>
        </w:rPr>
        <w:t>act</w:t>
      </w:r>
      <w:r w:rsidRPr="001A177A">
        <w:rPr>
          <w:rFonts w:ascii="Times New Roman" w:hAnsi="Times New Roman" w:cs="Times New Roman"/>
          <w:sz w:val="24"/>
          <w:szCs w:val="24"/>
        </w:rPr>
        <w:t xml:space="preserve"> within </w:t>
      </w:r>
      <w:r w:rsidR="00F85D30" w:rsidRPr="001A177A">
        <w:rPr>
          <w:rFonts w:ascii="Times New Roman" w:hAnsi="Times New Roman" w:cs="Times New Roman"/>
          <w:sz w:val="24"/>
          <w:szCs w:val="24"/>
        </w:rPr>
        <w:t>the structures of practice</w:t>
      </w:r>
      <w:r w:rsidR="00240583">
        <w:rPr>
          <w:rFonts w:ascii="Times New Roman" w:hAnsi="Times New Roman" w:cs="Times New Roman"/>
          <w:sz w:val="24"/>
          <w:szCs w:val="24"/>
        </w:rPr>
        <w:t>. Agents ‘carry’</w:t>
      </w:r>
      <w:r w:rsidR="00AD74AC">
        <w:rPr>
          <w:rFonts w:ascii="Times New Roman" w:hAnsi="Times New Roman" w:cs="Times New Roman"/>
          <w:sz w:val="24"/>
          <w:szCs w:val="24"/>
        </w:rPr>
        <w:t xml:space="preserve"> </w:t>
      </w:r>
      <w:r w:rsidR="00F85D30" w:rsidRPr="001A177A">
        <w:rPr>
          <w:rFonts w:ascii="Times New Roman" w:hAnsi="Times New Roman" w:cs="Times New Roman"/>
          <w:sz w:val="24"/>
          <w:szCs w:val="24"/>
        </w:rPr>
        <w:t>practices</w:t>
      </w:r>
      <w:r w:rsidR="00D562B1">
        <w:rPr>
          <w:rFonts w:ascii="Times New Roman" w:hAnsi="Times New Roman" w:cs="Times New Roman"/>
          <w:sz w:val="24"/>
          <w:szCs w:val="24"/>
        </w:rPr>
        <w:t>, which they ‘perform’.</w:t>
      </w:r>
      <w:r w:rsidR="00F85D30" w:rsidRPr="001A177A">
        <w:rPr>
          <w:rFonts w:ascii="Times New Roman" w:hAnsi="Times New Roman" w:cs="Times New Roman"/>
          <w:sz w:val="24"/>
          <w:szCs w:val="24"/>
        </w:rPr>
        <w:t xml:space="preserve"> Thus </w:t>
      </w:r>
      <w:r w:rsidR="000728F3">
        <w:rPr>
          <w:rFonts w:ascii="Times New Roman" w:hAnsi="Times New Roman" w:cs="Times New Roman"/>
          <w:sz w:val="24"/>
          <w:szCs w:val="24"/>
        </w:rPr>
        <w:t xml:space="preserve">understanding society using </w:t>
      </w:r>
      <w:r w:rsidR="00F85D30" w:rsidRPr="001A177A">
        <w:rPr>
          <w:rFonts w:ascii="Times New Roman" w:hAnsi="Times New Roman" w:cs="Times New Roman"/>
          <w:sz w:val="24"/>
          <w:szCs w:val="24"/>
        </w:rPr>
        <w:t xml:space="preserve">SPT </w:t>
      </w:r>
      <w:r w:rsidR="000728F3">
        <w:rPr>
          <w:rFonts w:ascii="Times New Roman" w:hAnsi="Times New Roman" w:cs="Times New Roman"/>
          <w:sz w:val="24"/>
          <w:szCs w:val="24"/>
        </w:rPr>
        <w:t>focus</w:t>
      </w:r>
      <w:r w:rsidR="00B35E2B">
        <w:rPr>
          <w:rFonts w:ascii="Times New Roman" w:hAnsi="Times New Roman" w:cs="Times New Roman"/>
          <w:sz w:val="24"/>
          <w:szCs w:val="24"/>
        </w:rPr>
        <w:t>es</w:t>
      </w:r>
      <w:r w:rsidR="000728F3">
        <w:rPr>
          <w:rFonts w:ascii="Times New Roman" w:hAnsi="Times New Roman" w:cs="Times New Roman"/>
          <w:sz w:val="24"/>
          <w:szCs w:val="24"/>
        </w:rPr>
        <w:t xml:space="preserve"> </w:t>
      </w:r>
      <w:r w:rsidR="00B35E2B">
        <w:rPr>
          <w:rFonts w:ascii="Times New Roman" w:hAnsi="Times New Roman" w:cs="Times New Roman"/>
          <w:sz w:val="24"/>
          <w:szCs w:val="24"/>
        </w:rPr>
        <w:t xml:space="preserve">not </w:t>
      </w:r>
      <w:r w:rsidR="000728F3">
        <w:rPr>
          <w:rFonts w:ascii="Times New Roman" w:hAnsi="Times New Roman" w:cs="Times New Roman"/>
          <w:sz w:val="24"/>
          <w:szCs w:val="24"/>
        </w:rPr>
        <w:t>on</w:t>
      </w:r>
      <w:r w:rsidRPr="001A177A">
        <w:rPr>
          <w:rFonts w:ascii="Times New Roman" w:hAnsi="Times New Roman" w:cs="Times New Roman"/>
          <w:sz w:val="24"/>
          <w:szCs w:val="24"/>
        </w:rPr>
        <w:t xml:space="preserve"> the experience of the individual actor</w:t>
      </w:r>
      <w:r w:rsidR="00F85D30" w:rsidRPr="001A177A">
        <w:rPr>
          <w:rFonts w:ascii="Times New Roman" w:hAnsi="Times New Roman" w:cs="Times New Roman"/>
          <w:sz w:val="24"/>
          <w:szCs w:val="24"/>
        </w:rPr>
        <w:t xml:space="preserve"> </w:t>
      </w:r>
      <w:r w:rsidR="00B35E2B">
        <w:rPr>
          <w:rFonts w:ascii="Times New Roman" w:hAnsi="Times New Roman" w:cs="Times New Roman"/>
          <w:sz w:val="24"/>
          <w:szCs w:val="24"/>
        </w:rPr>
        <w:t>as</w:t>
      </w:r>
      <w:r w:rsidR="00F85D30" w:rsidRPr="001A177A">
        <w:rPr>
          <w:rFonts w:ascii="Times New Roman" w:hAnsi="Times New Roman" w:cs="Times New Roman"/>
          <w:sz w:val="24"/>
          <w:szCs w:val="24"/>
        </w:rPr>
        <w:t xml:space="preserve"> the subject of research or intervention</w:t>
      </w:r>
      <w:r w:rsidRPr="001A177A">
        <w:rPr>
          <w:rFonts w:ascii="Times New Roman" w:hAnsi="Times New Roman" w:cs="Times New Roman"/>
          <w:sz w:val="24"/>
          <w:szCs w:val="24"/>
        </w:rPr>
        <w:t>,</w:t>
      </w:r>
      <w:r w:rsidR="00F85D30" w:rsidRPr="001A177A">
        <w:rPr>
          <w:rFonts w:ascii="Times New Roman" w:hAnsi="Times New Roman" w:cs="Times New Roman"/>
          <w:sz w:val="24"/>
          <w:szCs w:val="24"/>
        </w:rPr>
        <w:t xml:space="preserve"> but </w:t>
      </w:r>
      <w:r w:rsidR="00B35E2B">
        <w:rPr>
          <w:rFonts w:ascii="Times New Roman" w:hAnsi="Times New Roman" w:cs="Times New Roman"/>
          <w:sz w:val="24"/>
          <w:szCs w:val="24"/>
        </w:rPr>
        <w:t xml:space="preserve">on </w:t>
      </w:r>
      <w:r w:rsidRPr="001A177A">
        <w:rPr>
          <w:rFonts w:ascii="Times New Roman" w:hAnsi="Times New Roman" w:cs="Times New Roman"/>
          <w:sz w:val="24"/>
          <w:szCs w:val="24"/>
        </w:rPr>
        <w:t xml:space="preserve">the practice itself. </w:t>
      </w:r>
      <w:r w:rsidR="00E155A1">
        <w:rPr>
          <w:rFonts w:ascii="Times New Roman" w:hAnsi="Times New Roman" w:cs="Times New Roman"/>
          <w:sz w:val="24"/>
          <w:szCs w:val="24"/>
        </w:rPr>
        <w:t>Practices are</w:t>
      </w:r>
      <w:r w:rsidR="00EE180C" w:rsidRPr="001A177A">
        <w:rPr>
          <w:rFonts w:ascii="Times New Roman" w:hAnsi="Times New Roman" w:cs="Times New Roman"/>
          <w:sz w:val="24"/>
          <w:szCs w:val="24"/>
        </w:rPr>
        <w:t xml:space="preserve"> deconstructed into </w:t>
      </w:r>
      <w:r w:rsidR="00EE180C" w:rsidRPr="000728F3">
        <w:rPr>
          <w:rFonts w:ascii="Times New Roman" w:hAnsi="Times New Roman" w:cs="Times New Roman"/>
          <w:sz w:val="24"/>
          <w:szCs w:val="24"/>
        </w:rPr>
        <w:t>“several elements, interconnected to one another”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="001A33F9">
        <w:rPr>
          <w:rFonts w:ascii="Times New Roman" w:hAnsi="Times New Roman" w:cs="Times New Roman"/>
          <w:sz w:val="24"/>
          <w:szCs w:val="24"/>
        </w:rPr>
        <w:t>,</w:t>
      </w:r>
      <w:r w:rsidR="00E155A1">
        <w:rPr>
          <w:rFonts w:ascii="Times New Roman" w:hAnsi="Times New Roman" w:cs="Times New Roman"/>
          <w:sz w:val="24"/>
          <w:szCs w:val="24"/>
        </w:rPr>
        <w:t xml:space="preserve"> and a</w:t>
      </w:r>
      <w:r w:rsidR="00EE180C" w:rsidRPr="001A177A">
        <w:rPr>
          <w:rFonts w:ascii="Times New Roman" w:hAnsi="Times New Roman" w:cs="Times New Roman"/>
          <w:sz w:val="24"/>
          <w:szCs w:val="24"/>
        </w:rPr>
        <w:t>lthough various configurations have been proposed</w:t>
      </w:r>
      <w:r w:rsidR="001A33F9" w:rsidRPr="00615384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="00615384" w:rsidRPr="0061538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15384" w:rsidRPr="00615384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="00EE180C" w:rsidRPr="006153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15384" w:rsidRPr="0061538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15384" w:rsidRPr="00615384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="00615384" w:rsidRPr="0061538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15384" w:rsidRPr="00615384">
        <w:rPr>
          <w:rStyle w:val="EndnoteReference"/>
          <w:rFonts w:ascii="Times New Roman" w:hAnsi="Times New Roman" w:cs="Times New Roman"/>
          <w:sz w:val="24"/>
          <w:szCs w:val="24"/>
        </w:rPr>
        <w:endnoteReference w:id="14"/>
      </w:r>
      <w:r w:rsidR="00615384">
        <w:rPr>
          <w:rFonts w:ascii="Times New Roman" w:hAnsi="Times New Roman" w:cs="Times New Roman"/>
          <w:sz w:val="24"/>
          <w:szCs w:val="24"/>
        </w:rPr>
        <w:t xml:space="preserve"> </w:t>
      </w:r>
      <w:r w:rsidR="00EE180C" w:rsidRPr="001A177A">
        <w:rPr>
          <w:rFonts w:ascii="Times New Roman" w:hAnsi="Times New Roman" w:cs="Times New Roman"/>
          <w:sz w:val="24"/>
          <w:szCs w:val="24"/>
        </w:rPr>
        <w:t xml:space="preserve">the simplified model devised by Shove </w:t>
      </w:r>
      <w:r w:rsidR="00EE180C" w:rsidRPr="001A177A">
        <w:rPr>
          <w:rFonts w:ascii="Times New Roman" w:hAnsi="Times New Roman" w:cs="Times New Roman"/>
          <w:i/>
          <w:sz w:val="24"/>
          <w:szCs w:val="24"/>
        </w:rPr>
        <w:t>et al</w:t>
      </w:r>
      <w:r w:rsidR="001A33F9">
        <w:rPr>
          <w:rStyle w:val="EndnoteReference"/>
          <w:rFonts w:ascii="Times New Roman" w:hAnsi="Times New Roman" w:cs="Times New Roman"/>
          <w:i/>
          <w:sz w:val="24"/>
          <w:szCs w:val="24"/>
        </w:rPr>
        <w:endnoteReference w:id="15"/>
      </w:r>
      <w:r w:rsidR="001A33F9">
        <w:rPr>
          <w:rFonts w:ascii="Times New Roman" w:hAnsi="Times New Roman" w:cs="Times New Roman"/>
          <w:i/>
          <w:sz w:val="24"/>
          <w:szCs w:val="24"/>
        </w:rPr>
        <w:t>,</w:t>
      </w:r>
      <w:r w:rsidR="00EE180C" w:rsidRPr="001A1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583" w:rsidRPr="00240583">
        <w:rPr>
          <w:rFonts w:ascii="Times New Roman" w:hAnsi="Times New Roman" w:cs="Times New Roman"/>
          <w:sz w:val="24"/>
          <w:szCs w:val="24"/>
        </w:rPr>
        <w:t>(</w:t>
      </w:r>
      <w:r w:rsidR="00D52393">
        <w:rPr>
          <w:rFonts w:ascii="Times New Roman" w:hAnsi="Times New Roman" w:cs="Times New Roman"/>
          <w:sz w:val="24"/>
          <w:szCs w:val="24"/>
        </w:rPr>
        <w:t>f</w:t>
      </w:r>
      <w:r w:rsidR="00EE180C">
        <w:rPr>
          <w:rFonts w:ascii="Times New Roman" w:hAnsi="Times New Roman" w:cs="Times New Roman"/>
          <w:sz w:val="24"/>
          <w:szCs w:val="24"/>
        </w:rPr>
        <w:t>igure 1</w:t>
      </w:r>
      <w:r w:rsidR="00240583">
        <w:rPr>
          <w:rFonts w:ascii="Times New Roman" w:hAnsi="Times New Roman" w:cs="Times New Roman"/>
          <w:sz w:val="24"/>
          <w:szCs w:val="24"/>
        </w:rPr>
        <w:t>)</w:t>
      </w:r>
      <w:r w:rsidR="00EE180C" w:rsidRPr="001A177A">
        <w:rPr>
          <w:rFonts w:ascii="Times New Roman" w:hAnsi="Times New Roman" w:cs="Times New Roman"/>
          <w:sz w:val="24"/>
          <w:szCs w:val="24"/>
        </w:rPr>
        <w:t xml:space="preserve">, </w:t>
      </w:r>
      <w:r w:rsidR="007074CD">
        <w:rPr>
          <w:rFonts w:ascii="Times New Roman" w:hAnsi="Times New Roman" w:cs="Times New Roman"/>
          <w:sz w:val="24"/>
          <w:szCs w:val="24"/>
        </w:rPr>
        <w:t>has the most</w:t>
      </w:r>
      <w:r w:rsidR="00EE180C">
        <w:rPr>
          <w:rFonts w:ascii="Times New Roman" w:hAnsi="Times New Roman" w:cs="Times New Roman"/>
          <w:sz w:val="24"/>
          <w:szCs w:val="24"/>
        </w:rPr>
        <w:t xml:space="preserve"> potential when considering </w:t>
      </w:r>
      <w:r w:rsidR="00EE180C" w:rsidRPr="001A177A">
        <w:rPr>
          <w:rFonts w:ascii="Times New Roman" w:hAnsi="Times New Roman" w:cs="Times New Roman"/>
          <w:sz w:val="24"/>
          <w:szCs w:val="24"/>
        </w:rPr>
        <w:t>‘behaviour change’</w:t>
      </w:r>
      <w:r w:rsidR="00EE180C">
        <w:rPr>
          <w:rFonts w:ascii="Times New Roman" w:hAnsi="Times New Roman" w:cs="Times New Roman"/>
          <w:sz w:val="24"/>
          <w:szCs w:val="24"/>
        </w:rPr>
        <w:t xml:space="preserve"> research and intervention/policy response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16"/>
      </w:r>
      <w:r w:rsidR="001A33F9">
        <w:rPr>
          <w:rFonts w:ascii="Times New Roman" w:hAnsi="Times New Roman" w:cs="Times New Roman"/>
          <w:sz w:val="24"/>
          <w:szCs w:val="24"/>
        </w:rPr>
        <w:t>.</w:t>
      </w:r>
      <w:r w:rsidR="00EE180C" w:rsidRPr="001A1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92" w:rsidRPr="001A177A" w:rsidRDefault="00A87D92" w:rsidP="00474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7A">
        <w:rPr>
          <w:rFonts w:ascii="Times New Roman" w:hAnsi="Times New Roman" w:cs="Times New Roman"/>
          <w:b/>
          <w:sz w:val="24"/>
          <w:szCs w:val="24"/>
        </w:rPr>
        <w:t>Figure 1: The Social Practice Framework</w:t>
      </w:r>
    </w:p>
    <w:p w:rsidR="00A87D92" w:rsidRPr="00612270" w:rsidRDefault="00A87D92" w:rsidP="00A87D92">
      <w:pPr>
        <w:rPr>
          <w:rFonts w:ascii="Times New Roman" w:hAnsi="Times New Roman" w:cs="Times New Roman"/>
          <w:sz w:val="24"/>
          <w:szCs w:val="24"/>
        </w:rPr>
      </w:pPr>
      <w:r w:rsidRPr="00612270">
        <w:rPr>
          <w:rFonts w:ascii="Times New Roman" w:hAnsi="Times New Roman" w:cs="Times New Roman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A75E" wp14:editId="3408925F">
                <wp:simplePos x="0" y="0"/>
                <wp:positionH relativeFrom="column">
                  <wp:posOffset>3131820</wp:posOffset>
                </wp:positionH>
                <wp:positionV relativeFrom="paragraph">
                  <wp:posOffset>27305</wp:posOffset>
                </wp:positionV>
                <wp:extent cx="2316480" cy="2517775"/>
                <wp:effectExtent l="0" t="0" r="2667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51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92" w:rsidRDefault="00A87D92" w:rsidP="00A87D9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19C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Materials: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including things, technologies, tangible physical entities, and the stuff of which objects are made</w:t>
                            </w:r>
                          </w:p>
                          <w:p w:rsidR="00A87D92" w:rsidRDefault="00A87D92" w:rsidP="00A87D9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19C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Competences: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which encompass skill, know-how and technique; and</w:t>
                            </w:r>
                          </w:p>
                          <w:p w:rsidR="00A87D92" w:rsidRPr="00C540BB" w:rsidRDefault="00A87D92" w:rsidP="00A87D9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019C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Meanings: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symbolic meanings, ideas and aspirations (Shove </w:t>
                            </w:r>
                            <w:r w:rsidRPr="008201D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et al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2012, p.14)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.6pt;margin-top:2.15pt;width:182.4pt;height:1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" strokecolor="white [3212]">
                <v:textbox>
                  <w:txbxContent>
                    <w:p w:rsidR="00A87D92" w:rsidRDefault="00A87D92" w:rsidP="00A87D9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19C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Materials: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including things, technologies, tangible physical entities, and the stuff of which objects are made</w:t>
                      </w:r>
                    </w:p>
                    <w:p w:rsidR="00A87D92" w:rsidRDefault="00A87D92" w:rsidP="00A87D9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19C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Competences: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which encompass skill, know-how and technique; and</w:t>
                      </w:r>
                    </w:p>
                    <w:p w:rsidR="00A87D92" w:rsidRPr="00C540BB" w:rsidRDefault="00A87D92" w:rsidP="00A87D9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019C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Meanings: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symbolic meanings, ideas and aspirations (Shove </w:t>
                      </w:r>
                      <w:r w:rsidRPr="008201D1">
                        <w:rPr>
                          <w:rFonts w:cstheme="minorHAnsi"/>
                          <w:sz w:val="24"/>
                          <w:szCs w:val="24"/>
                        </w:rPr>
                        <w:t>et al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, 2012, p.14)</w:t>
                      </w:r>
                    </w:p>
                  </w:txbxContent>
                </v:textbox>
              </v:shape>
            </w:pict>
          </mc:Fallback>
        </mc:AlternateContent>
      </w:r>
      <w:r w:rsidRPr="00612270">
        <w:rPr>
          <w:rFonts w:ascii="Times New Roman" w:hAnsi="Times New Roman" w:cs="Times New Roman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41C74" wp14:editId="15247518">
                <wp:simplePos x="0" y="0"/>
                <wp:positionH relativeFrom="column">
                  <wp:posOffset>-68580</wp:posOffset>
                </wp:positionH>
                <wp:positionV relativeFrom="paragraph">
                  <wp:posOffset>-114300</wp:posOffset>
                </wp:positionV>
                <wp:extent cx="5638800" cy="28270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82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7D92" w:rsidRDefault="00A87D92" w:rsidP="00A87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5.4pt;margin-top:-9pt;width:444pt;height:2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qagwIAAA4FAAAOAAAAZHJzL2Uyb0RvYy54bWysVF1v2yAUfZ+0/4B4T/1RJ02sOlUVJ9Ok&#10;bqvW7QcQwDEaBgYkTjftv++CkzR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" filled="f">
                <v:textbox>
                  <w:txbxContent>
                    <w:p w:rsidR="00A87D92" w:rsidRDefault="00A87D92" w:rsidP="00A87D92"/>
                  </w:txbxContent>
                </v:textbox>
              </v:rect>
            </w:pict>
          </mc:Fallback>
        </mc:AlternateContent>
      </w:r>
      <w:r w:rsidRPr="00612270">
        <w:rPr>
          <w:rFonts w:ascii="Times New Roman" w:hAnsi="Times New Roman" w:cs="Times New Roman"/>
          <w:noProof/>
          <w:color w:val="1F497D"/>
          <w:sz w:val="24"/>
          <w:szCs w:val="24"/>
          <w:lang w:eastAsia="en-GB"/>
        </w:rPr>
        <w:drawing>
          <wp:inline distT="0" distB="0" distL="0" distR="0" wp14:anchorId="32ACE339" wp14:editId="2D95E2D1">
            <wp:extent cx="3035300" cy="2696845"/>
            <wp:effectExtent l="0" t="0" r="0" b="8255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C" w:rsidRPr="006B46D3" w:rsidRDefault="00240583" w:rsidP="00EE180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478A" w:rsidRPr="00612270">
        <w:rPr>
          <w:rFonts w:ascii="Times New Roman" w:hAnsi="Times New Roman" w:cs="Times New Roman"/>
          <w:sz w:val="24"/>
          <w:szCs w:val="24"/>
        </w:rPr>
        <w:t xml:space="preserve">he practice of </w:t>
      </w:r>
      <w:r w:rsidR="000728F3" w:rsidRPr="00612270">
        <w:rPr>
          <w:rFonts w:ascii="Times New Roman" w:hAnsi="Times New Roman" w:cs="Times New Roman"/>
          <w:sz w:val="24"/>
          <w:szCs w:val="24"/>
        </w:rPr>
        <w:t>cycling</w:t>
      </w:r>
      <w:r w:rsidR="006219E2">
        <w:rPr>
          <w:rFonts w:ascii="Times New Roman" w:hAnsi="Times New Roman" w:cs="Times New Roman"/>
          <w:sz w:val="24"/>
          <w:szCs w:val="24"/>
        </w:rPr>
        <w:t xml:space="preserve"> is used </w:t>
      </w:r>
      <w:r w:rsidR="007074CD">
        <w:rPr>
          <w:rFonts w:ascii="Times New Roman" w:hAnsi="Times New Roman" w:cs="Times New Roman"/>
          <w:sz w:val="24"/>
          <w:szCs w:val="24"/>
        </w:rPr>
        <w:t>to illustrate</w:t>
      </w:r>
      <w:r w:rsidR="006219E2">
        <w:rPr>
          <w:rFonts w:ascii="Times New Roman" w:hAnsi="Times New Roman" w:cs="Times New Roman"/>
          <w:sz w:val="24"/>
          <w:szCs w:val="24"/>
        </w:rPr>
        <w:t xml:space="preserve">. </w:t>
      </w:r>
      <w:r w:rsidR="007074CD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7074CD">
        <w:rPr>
          <w:rFonts w:ascii="Times New Roman" w:hAnsi="Times New Roman" w:cs="Times New Roman"/>
          <w:sz w:val="24"/>
          <w:szCs w:val="24"/>
        </w:rPr>
        <w:t>c</w:t>
      </w:r>
      <w:r w:rsidR="000728F3" w:rsidRPr="00612270">
        <w:rPr>
          <w:rFonts w:ascii="Times New Roman" w:hAnsi="Times New Roman" w:cs="Times New Roman"/>
          <w:sz w:val="24"/>
          <w:szCs w:val="24"/>
        </w:rPr>
        <w:t>ompetences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728F3" w:rsidRPr="00612270">
        <w:rPr>
          <w:rFonts w:ascii="Times New Roman" w:hAnsi="Times New Roman" w:cs="Times New Roman"/>
          <w:sz w:val="24"/>
          <w:szCs w:val="24"/>
        </w:rPr>
        <w:t xml:space="preserve"> include t</w:t>
      </w:r>
      <w:r w:rsidR="00A87D92" w:rsidRPr="00612270">
        <w:rPr>
          <w:rFonts w:ascii="Times New Roman" w:hAnsi="Times New Roman" w:cs="Times New Roman"/>
          <w:sz w:val="24"/>
          <w:szCs w:val="24"/>
        </w:rPr>
        <w:t xml:space="preserve">he skills necessary for </w:t>
      </w:r>
      <w:r w:rsidR="000728F3" w:rsidRPr="00612270">
        <w:rPr>
          <w:rFonts w:ascii="Times New Roman" w:hAnsi="Times New Roman" w:cs="Times New Roman"/>
          <w:sz w:val="24"/>
          <w:szCs w:val="24"/>
        </w:rPr>
        <w:t xml:space="preserve">riding a bicycle, </w:t>
      </w:r>
      <w:r w:rsidR="00CF753C">
        <w:rPr>
          <w:rFonts w:ascii="Times New Roman" w:hAnsi="Times New Roman" w:cs="Times New Roman"/>
          <w:sz w:val="24"/>
          <w:szCs w:val="24"/>
        </w:rPr>
        <w:t xml:space="preserve">navigation and </w:t>
      </w:r>
      <w:r w:rsidR="000728F3" w:rsidRPr="00612270">
        <w:rPr>
          <w:rFonts w:ascii="Times New Roman" w:hAnsi="Times New Roman" w:cs="Times New Roman"/>
          <w:sz w:val="24"/>
          <w:szCs w:val="24"/>
        </w:rPr>
        <w:t xml:space="preserve">time-management. ‘Materials’ include </w:t>
      </w:r>
      <w:r w:rsidR="00433E69">
        <w:rPr>
          <w:rFonts w:ascii="Times New Roman" w:hAnsi="Times New Roman" w:cs="Times New Roman"/>
          <w:sz w:val="24"/>
          <w:szCs w:val="24"/>
        </w:rPr>
        <w:t>a</w:t>
      </w:r>
      <w:r w:rsidR="007074CD">
        <w:rPr>
          <w:rFonts w:ascii="Times New Roman" w:hAnsi="Times New Roman" w:cs="Times New Roman"/>
          <w:sz w:val="24"/>
          <w:szCs w:val="24"/>
        </w:rPr>
        <w:t xml:space="preserve"> bicycle, </w:t>
      </w:r>
      <w:r w:rsidR="000728F3" w:rsidRPr="00612270">
        <w:rPr>
          <w:rFonts w:ascii="Times New Roman" w:hAnsi="Times New Roman" w:cs="Times New Roman"/>
          <w:sz w:val="24"/>
          <w:szCs w:val="24"/>
        </w:rPr>
        <w:t>the roa</w:t>
      </w:r>
      <w:r w:rsidR="0047478A" w:rsidRPr="00612270">
        <w:rPr>
          <w:rFonts w:ascii="Times New Roman" w:hAnsi="Times New Roman" w:cs="Times New Roman"/>
          <w:sz w:val="24"/>
          <w:szCs w:val="24"/>
        </w:rPr>
        <w:t xml:space="preserve">d network, cycle paths and </w:t>
      </w:r>
      <w:r w:rsidR="000728F3" w:rsidRPr="00612270">
        <w:rPr>
          <w:rFonts w:ascii="Times New Roman" w:hAnsi="Times New Roman" w:cs="Times New Roman"/>
          <w:sz w:val="24"/>
          <w:szCs w:val="24"/>
        </w:rPr>
        <w:t xml:space="preserve">storage. </w:t>
      </w:r>
      <w:r w:rsidR="00A87D92" w:rsidRPr="00612270">
        <w:rPr>
          <w:rFonts w:ascii="Times New Roman" w:hAnsi="Times New Roman" w:cs="Times New Roman"/>
          <w:sz w:val="24"/>
          <w:szCs w:val="24"/>
        </w:rPr>
        <w:t>‘</w:t>
      </w:r>
      <w:r w:rsidR="007074CD">
        <w:rPr>
          <w:rFonts w:ascii="Times New Roman" w:hAnsi="Times New Roman" w:cs="Times New Roman"/>
          <w:sz w:val="24"/>
          <w:szCs w:val="24"/>
        </w:rPr>
        <w:t>M</w:t>
      </w:r>
      <w:r w:rsidR="00A87D92" w:rsidRPr="00612270">
        <w:rPr>
          <w:rFonts w:ascii="Times New Roman" w:hAnsi="Times New Roman" w:cs="Times New Roman"/>
          <w:sz w:val="24"/>
          <w:szCs w:val="24"/>
        </w:rPr>
        <w:t>eanings’</w:t>
      </w:r>
      <w:r w:rsidR="007074CD">
        <w:rPr>
          <w:rFonts w:ascii="Times New Roman" w:hAnsi="Times New Roman" w:cs="Times New Roman"/>
          <w:sz w:val="24"/>
          <w:szCs w:val="24"/>
        </w:rPr>
        <w:t>,</w:t>
      </w:r>
      <w:r w:rsidR="00A87D92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47478A" w:rsidRPr="00612270">
        <w:rPr>
          <w:rFonts w:ascii="Times New Roman" w:hAnsi="Times New Roman" w:cs="Times New Roman"/>
          <w:sz w:val="24"/>
          <w:szCs w:val="24"/>
        </w:rPr>
        <w:t>refe</w:t>
      </w:r>
      <w:r w:rsidR="00D52393">
        <w:rPr>
          <w:rFonts w:ascii="Times New Roman" w:hAnsi="Times New Roman" w:cs="Times New Roman"/>
          <w:sz w:val="24"/>
          <w:szCs w:val="24"/>
        </w:rPr>
        <w:t>r</w:t>
      </w:r>
      <w:r w:rsidR="0047478A" w:rsidRPr="00612270">
        <w:rPr>
          <w:rFonts w:ascii="Times New Roman" w:hAnsi="Times New Roman" w:cs="Times New Roman"/>
          <w:sz w:val="24"/>
          <w:szCs w:val="24"/>
        </w:rPr>
        <w:t>r</w:t>
      </w:r>
      <w:r w:rsidR="007074CD">
        <w:rPr>
          <w:rFonts w:ascii="Times New Roman" w:hAnsi="Times New Roman" w:cs="Times New Roman"/>
          <w:sz w:val="24"/>
          <w:szCs w:val="24"/>
        </w:rPr>
        <w:t>ing</w:t>
      </w:r>
      <w:r w:rsidR="00A87D92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EE180C">
        <w:rPr>
          <w:rFonts w:ascii="Times New Roman" w:hAnsi="Times New Roman" w:cs="Times New Roman"/>
          <w:sz w:val="24"/>
          <w:szCs w:val="24"/>
        </w:rPr>
        <w:t xml:space="preserve">to </w:t>
      </w:r>
      <w:r w:rsidR="00A87D92" w:rsidRPr="00612270">
        <w:rPr>
          <w:rFonts w:ascii="Times New Roman" w:hAnsi="Times New Roman" w:cs="Times New Roman"/>
          <w:sz w:val="24"/>
          <w:szCs w:val="24"/>
        </w:rPr>
        <w:t xml:space="preserve">understandings </w:t>
      </w:r>
      <w:r w:rsidR="00F50D1B">
        <w:rPr>
          <w:rFonts w:ascii="Times New Roman" w:hAnsi="Times New Roman" w:cs="Times New Roman"/>
          <w:sz w:val="24"/>
          <w:szCs w:val="24"/>
        </w:rPr>
        <w:t xml:space="preserve">shared by the group </w:t>
      </w:r>
      <w:r w:rsidR="00A87D92" w:rsidRPr="00612270">
        <w:rPr>
          <w:rFonts w:ascii="Times New Roman" w:hAnsi="Times New Roman" w:cs="Times New Roman"/>
          <w:sz w:val="24"/>
          <w:szCs w:val="24"/>
        </w:rPr>
        <w:t xml:space="preserve">about </w:t>
      </w:r>
      <w:r w:rsidR="002C2908" w:rsidRPr="00612270">
        <w:rPr>
          <w:rFonts w:ascii="Times New Roman" w:hAnsi="Times New Roman" w:cs="Times New Roman"/>
          <w:sz w:val="24"/>
          <w:szCs w:val="24"/>
        </w:rPr>
        <w:t>the practice</w:t>
      </w:r>
      <w:r w:rsidR="007074CD">
        <w:rPr>
          <w:rFonts w:ascii="Times New Roman" w:hAnsi="Times New Roman" w:cs="Times New Roman"/>
          <w:sz w:val="24"/>
          <w:szCs w:val="24"/>
        </w:rPr>
        <w:t xml:space="preserve">, </w:t>
      </w:r>
      <w:r w:rsidR="0047478A" w:rsidRPr="00612270">
        <w:rPr>
          <w:rFonts w:ascii="Times New Roman" w:hAnsi="Times New Roman" w:cs="Times New Roman"/>
          <w:sz w:val="24"/>
          <w:szCs w:val="24"/>
        </w:rPr>
        <w:t>include a sense that cycling is not an appropriate method of commuting for ‘important’ people</w:t>
      </w:r>
      <w:r w:rsidR="00F34623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F34623">
        <w:rPr>
          <w:rFonts w:ascii="Times New Roman" w:hAnsi="Times New Roman" w:cs="Times New Roman"/>
          <w:sz w:val="24"/>
          <w:szCs w:val="24"/>
        </w:rPr>
        <w:t>that cyclists</w:t>
      </w:r>
      <w:proofErr w:type="gramEnd"/>
      <w:r w:rsidR="00F34623">
        <w:rPr>
          <w:rFonts w:ascii="Times New Roman" w:hAnsi="Times New Roman" w:cs="Times New Roman"/>
          <w:sz w:val="24"/>
          <w:szCs w:val="24"/>
        </w:rPr>
        <w:t xml:space="preserve"> are intimidating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17"/>
      </w:r>
      <w:r w:rsidR="001A33F9">
        <w:rPr>
          <w:rFonts w:ascii="Times New Roman" w:hAnsi="Times New Roman" w:cs="Times New Roman"/>
          <w:sz w:val="24"/>
          <w:szCs w:val="24"/>
        </w:rPr>
        <w:t>.</w:t>
      </w:r>
      <w:r w:rsidR="0047478A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7074CD">
        <w:rPr>
          <w:rFonts w:ascii="Times New Roman" w:hAnsi="Times New Roman" w:cs="Times New Roman"/>
          <w:sz w:val="24"/>
          <w:szCs w:val="24"/>
        </w:rPr>
        <w:t>The practice comprises a</w:t>
      </w:r>
      <w:r>
        <w:rPr>
          <w:rFonts w:ascii="Times New Roman" w:hAnsi="Times New Roman" w:cs="Times New Roman"/>
          <w:sz w:val="24"/>
          <w:szCs w:val="24"/>
        </w:rPr>
        <w:t xml:space="preserve"> combination of these elements</w:t>
      </w:r>
      <w:r w:rsidR="00F346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C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7074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C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any element </w:t>
      </w:r>
      <w:r w:rsidR="007074CD">
        <w:rPr>
          <w:rFonts w:ascii="Times New Roman" w:hAnsi="Times New Roman" w:cs="Times New Roman"/>
          <w:sz w:val="24"/>
          <w:szCs w:val="24"/>
        </w:rPr>
        <w:t>will 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CD">
        <w:rPr>
          <w:rFonts w:ascii="Times New Roman" w:hAnsi="Times New Roman" w:cs="Times New Roman"/>
          <w:sz w:val="24"/>
          <w:szCs w:val="24"/>
        </w:rPr>
        <w:t>evolution of the</w:t>
      </w:r>
      <w:r>
        <w:rPr>
          <w:rFonts w:ascii="Times New Roman" w:hAnsi="Times New Roman" w:cs="Times New Roman"/>
          <w:sz w:val="24"/>
          <w:szCs w:val="24"/>
        </w:rPr>
        <w:t xml:space="preserve"> practice. Such d</w:t>
      </w:r>
      <w:r w:rsidR="00EE180C">
        <w:rPr>
          <w:rFonts w:ascii="Times New Roman" w:hAnsi="Times New Roman" w:cs="Times New Roman"/>
          <w:sz w:val="24"/>
          <w:szCs w:val="24"/>
        </w:rPr>
        <w:t>econstructi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074CD">
        <w:rPr>
          <w:rFonts w:ascii="Times New Roman" w:hAnsi="Times New Roman" w:cs="Times New Roman"/>
          <w:sz w:val="24"/>
          <w:szCs w:val="24"/>
        </w:rPr>
        <w:t xml:space="preserve">can enable researchers to </w:t>
      </w:r>
      <w:r w:rsidR="00EE180C">
        <w:rPr>
          <w:rFonts w:ascii="Times New Roman" w:hAnsi="Times New Roman" w:cs="Times New Roman"/>
          <w:sz w:val="24"/>
          <w:szCs w:val="24"/>
        </w:rPr>
        <w:t xml:space="preserve">achieve a holistic understanding of a practice </w:t>
      </w:r>
      <w:r w:rsidR="007074CD">
        <w:rPr>
          <w:rFonts w:ascii="Times New Roman" w:hAnsi="Times New Roman" w:cs="Times New Roman"/>
          <w:sz w:val="24"/>
          <w:szCs w:val="24"/>
        </w:rPr>
        <w:t>and</w:t>
      </w:r>
      <w:r w:rsidR="00EE180C">
        <w:rPr>
          <w:rFonts w:ascii="Times New Roman" w:hAnsi="Times New Roman" w:cs="Times New Roman"/>
          <w:sz w:val="24"/>
          <w:szCs w:val="24"/>
        </w:rPr>
        <w:t xml:space="preserve"> also potentially</w:t>
      </w:r>
      <w:r w:rsidR="006B46D3">
        <w:rPr>
          <w:rFonts w:ascii="Times New Roman" w:hAnsi="Times New Roman" w:cs="Times New Roman"/>
          <w:sz w:val="24"/>
          <w:szCs w:val="24"/>
        </w:rPr>
        <w:t xml:space="preserve">, </w:t>
      </w:r>
      <w:r w:rsidR="00EE180C">
        <w:rPr>
          <w:rFonts w:ascii="Times New Roman" w:hAnsi="Times New Roman" w:cs="Times New Roman"/>
          <w:sz w:val="24"/>
          <w:szCs w:val="24"/>
        </w:rPr>
        <w:t>albeit in an untested way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18"/>
      </w:r>
      <w:r w:rsidR="006B46D3">
        <w:rPr>
          <w:rFonts w:ascii="Times New Roman" w:hAnsi="Times New Roman" w:cs="Times New Roman"/>
          <w:sz w:val="24"/>
          <w:szCs w:val="24"/>
        </w:rPr>
        <w:t>,</w:t>
      </w:r>
      <w:r w:rsidR="007074CD">
        <w:rPr>
          <w:rFonts w:ascii="Times New Roman" w:hAnsi="Times New Roman" w:cs="Times New Roman"/>
          <w:sz w:val="24"/>
          <w:szCs w:val="24"/>
        </w:rPr>
        <w:t xml:space="preserve"> </w:t>
      </w:r>
      <w:r w:rsidR="00EE180C">
        <w:rPr>
          <w:rFonts w:ascii="Times New Roman" w:hAnsi="Times New Roman" w:cs="Times New Roman"/>
          <w:sz w:val="24"/>
          <w:szCs w:val="24"/>
        </w:rPr>
        <w:t xml:space="preserve">examine the </w:t>
      </w:r>
      <w:r w:rsidR="00EE180C">
        <w:rPr>
          <w:rFonts w:ascii="Times New Roman" w:hAnsi="Times New Roman" w:cs="Times New Roman"/>
          <w:sz w:val="24"/>
          <w:szCs w:val="24"/>
        </w:rPr>
        <w:lastRenderedPageBreak/>
        <w:t xml:space="preserve">ways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E180C">
        <w:rPr>
          <w:rFonts w:ascii="Times New Roman" w:hAnsi="Times New Roman" w:cs="Times New Roman"/>
          <w:sz w:val="24"/>
          <w:szCs w:val="24"/>
        </w:rPr>
        <w:t xml:space="preserve"> might be changed </w:t>
      </w:r>
      <w:r w:rsidR="001568A6">
        <w:rPr>
          <w:rFonts w:ascii="Times New Roman" w:hAnsi="Times New Roman" w:cs="Times New Roman"/>
          <w:sz w:val="24"/>
          <w:szCs w:val="24"/>
        </w:rPr>
        <w:t>to</w:t>
      </w:r>
      <w:r w:rsidR="00EE180C">
        <w:rPr>
          <w:rFonts w:ascii="Times New Roman" w:hAnsi="Times New Roman" w:cs="Times New Roman"/>
          <w:sz w:val="24"/>
          <w:szCs w:val="24"/>
        </w:rPr>
        <w:t xml:space="preserve"> benefit society</w:t>
      </w:r>
      <w:r w:rsidR="006B46D3">
        <w:rPr>
          <w:rFonts w:ascii="Times New Roman" w:hAnsi="Times New Roman" w:cs="Times New Roman"/>
          <w:sz w:val="24"/>
          <w:szCs w:val="24"/>
        </w:rPr>
        <w:t xml:space="preserve">. </w:t>
      </w:r>
      <w:r w:rsidR="006B46D3" w:rsidRPr="006B46D3">
        <w:rPr>
          <w:rFonts w:ascii="Times New Roman" w:hAnsi="Times New Roman" w:cs="Times New Roman"/>
          <w:sz w:val="24"/>
          <w:szCs w:val="24"/>
        </w:rPr>
        <w:t>(The approach also holds for social marketers the appeal of avoiding criticisms of political individualism as identified in recent commentary</w:t>
      </w:r>
      <w:r w:rsidR="006B46D3" w:rsidRPr="006B46D3">
        <w:rPr>
          <w:rStyle w:val="EndnoteReference"/>
          <w:rFonts w:ascii="Times New Roman" w:hAnsi="Times New Roman" w:cs="Times New Roman"/>
          <w:sz w:val="24"/>
          <w:szCs w:val="24"/>
        </w:rPr>
        <w:endnoteReference w:id="19"/>
      </w:r>
      <w:r w:rsidR="006B46D3" w:rsidRPr="006B46D3">
        <w:rPr>
          <w:rFonts w:ascii="Times New Roman" w:hAnsi="Times New Roman" w:cs="Times New Roman"/>
          <w:sz w:val="24"/>
          <w:szCs w:val="24"/>
        </w:rPr>
        <w:t>, although examining this potential is not the purpose of this paper).</w:t>
      </w:r>
    </w:p>
    <w:p w:rsidR="0047478A" w:rsidRPr="00612270" w:rsidRDefault="0047478A" w:rsidP="00A87D92">
      <w:pPr>
        <w:rPr>
          <w:rFonts w:ascii="Times New Roman" w:hAnsi="Times New Roman" w:cs="Times New Roman"/>
          <w:i/>
          <w:sz w:val="24"/>
          <w:szCs w:val="24"/>
        </w:rPr>
      </w:pPr>
      <w:r w:rsidRPr="00612270">
        <w:rPr>
          <w:rFonts w:ascii="Times New Roman" w:hAnsi="Times New Roman" w:cs="Times New Roman"/>
          <w:i/>
          <w:sz w:val="24"/>
          <w:szCs w:val="24"/>
        </w:rPr>
        <w:t>The role of social marketing</w:t>
      </w:r>
      <w:r w:rsidR="00240583">
        <w:rPr>
          <w:rFonts w:ascii="Times New Roman" w:hAnsi="Times New Roman" w:cs="Times New Roman"/>
          <w:i/>
          <w:sz w:val="24"/>
          <w:szCs w:val="24"/>
        </w:rPr>
        <w:t xml:space="preserve"> in multi-disciplinary ‘behaviour change’</w:t>
      </w:r>
    </w:p>
    <w:p w:rsidR="00673A29" w:rsidRPr="00612270" w:rsidRDefault="00240583" w:rsidP="00E3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5DA0" w:rsidRPr="00612270">
        <w:rPr>
          <w:rFonts w:ascii="Times New Roman" w:hAnsi="Times New Roman" w:cs="Times New Roman"/>
          <w:sz w:val="24"/>
          <w:szCs w:val="24"/>
        </w:rPr>
        <w:t>SPT framework</w:t>
      </w:r>
      <w:r w:rsidR="00EE1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B5DA0" w:rsidRPr="00612270">
        <w:rPr>
          <w:rFonts w:ascii="Times New Roman" w:hAnsi="Times New Roman" w:cs="Times New Roman"/>
          <w:sz w:val="24"/>
          <w:szCs w:val="24"/>
        </w:rPr>
        <w:t xml:space="preserve">an help identify </w:t>
      </w:r>
      <w:r>
        <w:rPr>
          <w:rFonts w:ascii="Times New Roman" w:hAnsi="Times New Roman" w:cs="Times New Roman"/>
          <w:sz w:val="24"/>
          <w:szCs w:val="24"/>
        </w:rPr>
        <w:t>how</w:t>
      </w:r>
      <w:r w:rsidR="00EE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CD"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combination with </w:t>
      </w:r>
      <w:r w:rsidR="00EE180C">
        <w:rPr>
          <w:rFonts w:ascii="Times New Roman" w:hAnsi="Times New Roman" w:cs="Times New Roman"/>
          <w:sz w:val="24"/>
          <w:szCs w:val="24"/>
        </w:rPr>
        <w:t>other approaches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80C">
        <w:rPr>
          <w:rFonts w:ascii="Times New Roman" w:hAnsi="Times New Roman" w:cs="Times New Roman"/>
          <w:sz w:val="24"/>
          <w:szCs w:val="24"/>
        </w:rPr>
        <w:t xml:space="preserve"> might be used to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EE180C">
        <w:rPr>
          <w:rFonts w:ascii="Times New Roman" w:hAnsi="Times New Roman" w:cs="Times New Roman"/>
          <w:sz w:val="24"/>
          <w:szCs w:val="24"/>
        </w:rPr>
        <w:t xml:space="preserve"> the various elements</w:t>
      </w:r>
      <w:r w:rsidR="00694BF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‘problem’ </w:t>
      </w:r>
      <w:r w:rsidR="00694BF0">
        <w:rPr>
          <w:rFonts w:ascii="Times New Roman" w:hAnsi="Times New Roman" w:cs="Times New Roman"/>
          <w:sz w:val="24"/>
          <w:szCs w:val="24"/>
        </w:rPr>
        <w:t>practice</w:t>
      </w:r>
      <w:r w:rsidR="007074CD">
        <w:rPr>
          <w:rFonts w:ascii="Times New Roman" w:hAnsi="Times New Roman" w:cs="Times New Roman"/>
          <w:sz w:val="24"/>
          <w:szCs w:val="24"/>
        </w:rPr>
        <w:t>s</w:t>
      </w:r>
      <w:r w:rsidR="00DB5DA0" w:rsidRPr="00612270">
        <w:rPr>
          <w:rFonts w:ascii="Times New Roman" w:hAnsi="Times New Roman" w:cs="Times New Roman"/>
          <w:sz w:val="24"/>
          <w:szCs w:val="24"/>
        </w:rPr>
        <w:t xml:space="preserve">. </w:t>
      </w:r>
      <w:r w:rsidR="00EE180C">
        <w:rPr>
          <w:rFonts w:ascii="Times New Roman" w:hAnsi="Times New Roman" w:cs="Times New Roman"/>
          <w:sz w:val="24"/>
          <w:szCs w:val="24"/>
        </w:rPr>
        <w:t>SPT</w:t>
      </w:r>
      <w:r w:rsidR="00DB5DA0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3930BF">
        <w:rPr>
          <w:rFonts w:ascii="Times New Roman" w:hAnsi="Times New Roman" w:cs="Times New Roman"/>
          <w:sz w:val="24"/>
          <w:szCs w:val="24"/>
        </w:rPr>
        <w:t>analysis of</w:t>
      </w:r>
      <w:r w:rsidR="00EE180C">
        <w:rPr>
          <w:rFonts w:ascii="Times New Roman" w:hAnsi="Times New Roman" w:cs="Times New Roman"/>
          <w:sz w:val="24"/>
          <w:szCs w:val="24"/>
        </w:rPr>
        <w:t xml:space="preserve"> </w:t>
      </w:r>
      <w:r w:rsidR="00957F1F">
        <w:rPr>
          <w:rFonts w:ascii="Times New Roman" w:hAnsi="Times New Roman" w:cs="Times New Roman"/>
          <w:sz w:val="24"/>
          <w:szCs w:val="24"/>
        </w:rPr>
        <w:t>the low numbers of</w:t>
      </w:r>
      <w:r>
        <w:rPr>
          <w:rFonts w:ascii="Times New Roman" w:hAnsi="Times New Roman" w:cs="Times New Roman"/>
          <w:sz w:val="24"/>
          <w:szCs w:val="24"/>
        </w:rPr>
        <w:t xml:space="preserve"> British</w:t>
      </w:r>
      <w:r w:rsidR="00957F1F">
        <w:rPr>
          <w:rFonts w:ascii="Times New Roman" w:hAnsi="Times New Roman" w:cs="Times New Roman"/>
          <w:sz w:val="24"/>
          <w:szCs w:val="24"/>
        </w:rPr>
        <w:t xml:space="preserve"> utility</w:t>
      </w:r>
      <w:r w:rsidR="00DF21B2">
        <w:rPr>
          <w:rStyle w:val="EndnoteReference"/>
          <w:rFonts w:ascii="Times New Roman" w:hAnsi="Times New Roman" w:cs="Times New Roman"/>
          <w:sz w:val="24"/>
          <w:szCs w:val="24"/>
        </w:rPr>
        <w:endnoteReference w:id="20"/>
      </w:r>
      <w:r w:rsidR="00957F1F">
        <w:rPr>
          <w:rFonts w:ascii="Times New Roman" w:hAnsi="Times New Roman" w:cs="Times New Roman"/>
          <w:sz w:val="24"/>
          <w:szCs w:val="24"/>
        </w:rPr>
        <w:t xml:space="preserve"> cyclists,</w:t>
      </w:r>
      <w:r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EE180C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7F1F">
        <w:rPr>
          <w:rFonts w:ascii="Times New Roman" w:hAnsi="Times New Roman" w:cs="Times New Roman"/>
          <w:sz w:val="24"/>
          <w:szCs w:val="24"/>
        </w:rPr>
        <w:t xml:space="preserve"> a range of footholds for </w:t>
      </w:r>
      <w:r>
        <w:rPr>
          <w:rFonts w:ascii="Times New Roman" w:hAnsi="Times New Roman" w:cs="Times New Roman"/>
          <w:sz w:val="24"/>
          <w:szCs w:val="24"/>
        </w:rPr>
        <w:t>change</w:t>
      </w:r>
      <w:r w:rsidR="00957F1F">
        <w:rPr>
          <w:rFonts w:ascii="Times New Roman" w:hAnsi="Times New Roman" w:cs="Times New Roman"/>
          <w:sz w:val="24"/>
          <w:szCs w:val="24"/>
        </w:rPr>
        <w:t>, requir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95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multi-disciplinary</w:t>
      </w:r>
      <w:r w:rsidR="00957F1F">
        <w:rPr>
          <w:rFonts w:ascii="Times New Roman" w:hAnsi="Times New Roman" w:cs="Times New Roman"/>
          <w:sz w:val="24"/>
          <w:szCs w:val="24"/>
        </w:rPr>
        <w:t xml:space="preserve"> solutions extending beyond </w:t>
      </w:r>
      <w:proofErr w:type="spellStart"/>
      <w:r w:rsidR="007074CD">
        <w:rPr>
          <w:rFonts w:ascii="Times New Roman" w:hAnsi="Times New Roman" w:cs="Times New Roman"/>
          <w:sz w:val="24"/>
          <w:szCs w:val="24"/>
        </w:rPr>
        <w:t>sm’s</w:t>
      </w:r>
      <w:proofErr w:type="spellEnd"/>
      <w:r w:rsidR="00957F1F">
        <w:rPr>
          <w:rFonts w:ascii="Times New Roman" w:hAnsi="Times New Roman" w:cs="Times New Roman"/>
          <w:sz w:val="24"/>
          <w:szCs w:val="24"/>
        </w:rPr>
        <w:t xml:space="preserve"> core competences.</w:t>
      </w:r>
      <w:r w:rsidR="00A20A18" w:rsidRPr="0061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074CD">
        <w:rPr>
          <w:rFonts w:ascii="Times New Roman" w:hAnsi="Times New Roman" w:cs="Times New Roman"/>
          <w:sz w:val="24"/>
          <w:szCs w:val="24"/>
        </w:rPr>
        <w:t>m</w:t>
      </w:r>
      <w:r w:rsidR="001927F3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0439DE">
        <w:rPr>
          <w:rFonts w:ascii="Times New Roman" w:hAnsi="Times New Roman" w:cs="Times New Roman"/>
          <w:sz w:val="24"/>
          <w:szCs w:val="24"/>
        </w:rPr>
        <w:t>would be suitable</w:t>
      </w:r>
      <w:r w:rsidR="001927F3" w:rsidRPr="00612270">
        <w:rPr>
          <w:rFonts w:ascii="Times New Roman" w:hAnsi="Times New Roman" w:cs="Times New Roman"/>
          <w:sz w:val="24"/>
          <w:szCs w:val="24"/>
        </w:rPr>
        <w:t xml:space="preserve"> for changing the </w:t>
      </w:r>
      <w:r w:rsidR="00DF21B2">
        <w:rPr>
          <w:rFonts w:ascii="Times New Roman" w:hAnsi="Times New Roman" w:cs="Times New Roman"/>
          <w:sz w:val="24"/>
          <w:szCs w:val="24"/>
        </w:rPr>
        <w:t>‘</w:t>
      </w:r>
      <w:r w:rsidR="001927F3" w:rsidRPr="00612270">
        <w:rPr>
          <w:rFonts w:ascii="Times New Roman" w:hAnsi="Times New Roman" w:cs="Times New Roman"/>
          <w:sz w:val="24"/>
          <w:szCs w:val="24"/>
        </w:rPr>
        <w:t>meanings</w:t>
      </w:r>
      <w:r w:rsidR="00DF21B2">
        <w:rPr>
          <w:rFonts w:ascii="Times New Roman" w:hAnsi="Times New Roman" w:cs="Times New Roman"/>
          <w:sz w:val="24"/>
          <w:szCs w:val="24"/>
        </w:rPr>
        <w:t>’</w:t>
      </w:r>
      <w:r w:rsidR="001927F3" w:rsidRPr="00612270">
        <w:rPr>
          <w:rFonts w:ascii="Times New Roman" w:hAnsi="Times New Roman" w:cs="Times New Roman"/>
          <w:sz w:val="24"/>
          <w:szCs w:val="24"/>
        </w:rPr>
        <w:t xml:space="preserve"> around cycling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20A18" w:rsidRPr="00612270">
        <w:rPr>
          <w:rFonts w:ascii="Times New Roman" w:hAnsi="Times New Roman" w:cs="Times New Roman"/>
          <w:sz w:val="24"/>
          <w:szCs w:val="24"/>
        </w:rPr>
        <w:t>y using techniques such as branding and inte</w:t>
      </w:r>
      <w:r w:rsidR="007074CD">
        <w:rPr>
          <w:rFonts w:ascii="Times New Roman" w:hAnsi="Times New Roman" w:cs="Times New Roman"/>
          <w:sz w:val="24"/>
          <w:szCs w:val="24"/>
        </w:rPr>
        <w:t>grated marketing communications</w:t>
      </w:r>
      <w:r w:rsidR="00A20A18" w:rsidRPr="00612270">
        <w:rPr>
          <w:rFonts w:ascii="Times New Roman" w:hAnsi="Times New Roman" w:cs="Times New Roman"/>
          <w:sz w:val="24"/>
          <w:szCs w:val="24"/>
        </w:rPr>
        <w:t xml:space="preserve"> combined with </w:t>
      </w:r>
      <w:r w:rsidR="007074CD">
        <w:rPr>
          <w:rFonts w:ascii="Times New Roman" w:hAnsi="Times New Roman" w:cs="Times New Roman"/>
          <w:sz w:val="24"/>
          <w:szCs w:val="24"/>
        </w:rPr>
        <w:t>insights into consumer behaviour</w:t>
      </w:r>
      <w:r w:rsidR="00A20A18" w:rsidRPr="0061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change </w:t>
      </w:r>
      <w:r w:rsidR="00A20A18" w:rsidRPr="00612270">
        <w:rPr>
          <w:rFonts w:ascii="Times New Roman" w:hAnsi="Times New Roman" w:cs="Times New Roman"/>
          <w:sz w:val="24"/>
          <w:szCs w:val="24"/>
        </w:rPr>
        <w:t>perceptions and attitudes</w:t>
      </w:r>
      <w:r w:rsidR="00855CA0" w:rsidRPr="00612270">
        <w:rPr>
          <w:rFonts w:ascii="Times New Roman" w:hAnsi="Times New Roman" w:cs="Times New Roman"/>
          <w:sz w:val="24"/>
          <w:szCs w:val="24"/>
        </w:rPr>
        <w:t xml:space="preserve">. </w:t>
      </w:r>
      <w:r w:rsidR="000D25E9">
        <w:rPr>
          <w:rFonts w:ascii="Times New Roman" w:hAnsi="Times New Roman" w:cs="Times New Roman"/>
          <w:sz w:val="24"/>
          <w:szCs w:val="24"/>
        </w:rPr>
        <w:t>(</w:t>
      </w:r>
      <w:r w:rsidR="00C77E57" w:rsidRPr="00612270">
        <w:rPr>
          <w:rFonts w:ascii="Times New Roman" w:hAnsi="Times New Roman" w:cs="Times New Roman"/>
          <w:sz w:val="24"/>
          <w:szCs w:val="24"/>
        </w:rPr>
        <w:t>A</w:t>
      </w:r>
      <w:r w:rsidR="00D179ED">
        <w:rPr>
          <w:rFonts w:ascii="Times New Roman" w:hAnsi="Times New Roman" w:cs="Times New Roman"/>
          <w:sz w:val="24"/>
          <w:szCs w:val="24"/>
        </w:rPr>
        <w:t xml:space="preserve"> comparable example </w:t>
      </w:r>
      <w:r w:rsidR="00855CA0" w:rsidRPr="00612270">
        <w:rPr>
          <w:rFonts w:ascii="Times New Roman" w:hAnsi="Times New Roman" w:cs="Times New Roman"/>
          <w:sz w:val="24"/>
          <w:szCs w:val="24"/>
        </w:rPr>
        <w:t xml:space="preserve">of such </w:t>
      </w:r>
      <w:r w:rsidR="00D179ED">
        <w:rPr>
          <w:rFonts w:ascii="Times New Roman" w:hAnsi="Times New Roman" w:cs="Times New Roman"/>
          <w:sz w:val="24"/>
          <w:szCs w:val="24"/>
        </w:rPr>
        <w:t>an approach</w:t>
      </w:r>
      <w:r w:rsidR="00855CA0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C77E57" w:rsidRPr="00612270">
        <w:rPr>
          <w:rFonts w:ascii="Times New Roman" w:hAnsi="Times New Roman" w:cs="Times New Roman"/>
          <w:sz w:val="24"/>
          <w:szCs w:val="24"/>
        </w:rPr>
        <w:t>is</w:t>
      </w:r>
      <w:r w:rsidR="00855CA0" w:rsidRPr="00612270">
        <w:rPr>
          <w:rFonts w:ascii="Times New Roman" w:hAnsi="Times New Roman" w:cs="Times New Roman"/>
          <w:sz w:val="24"/>
          <w:szCs w:val="24"/>
        </w:rPr>
        <w:t xml:space="preserve"> the </w:t>
      </w:r>
      <w:r w:rsidR="00C77E57" w:rsidRPr="00612270">
        <w:rPr>
          <w:rFonts w:ascii="Times New Roman" w:hAnsi="Times New Roman" w:cs="Times New Roman"/>
          <w:sz w:val="24"/>
          <w:szCs w:val="24"/>
        </w:rPr>
        <w:t>‘</w:t>
      </w:r>
      <w:r w:rsidR="00855CA0" w:rsidRPr="00612270">
        <w:rPr>
          <w:rFonts w:ascii="Times New Roman" w:hAnsi="Times New Roman" w:cs="Times New Roman"/>
          <w:sz w:val="24"/>
          <w:szCs w:val="24"/>
        </w:rPr>
        <w:t>Truth</w:t>
      </w:r>
      <w:r w:rsidR="00C77E57" w:rsidRPr="00612270">
        <w:rPr>
          <w:rFonts w:ascii="Times New Roman" w:hAnsi="Times New Roman" w:cs="Times New Roman"/>
          <w:sz w:val="24"/>
          <w:szCs w:val="24"/>
        </w:rPr>
        <w:t>’</w:t>
      </w:r>
      <w:r w:rsidR="00855CA0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C77E57" w:rsidRPr="00612270">
        <w:rPr>
          <w:rFonts w:ascii="Times New Roman" w:hAnsi="Times New Roman" w:cs="Times New Roman"/>
          <w:sz w:val="24"/>
          <w:szCs w:val="24"/>
        </w:rPr>
        <w:t>campaign</w:t>
      </w:r>
      <w:r w:rsidR="00855CA0" w:rsidRPr="00612270">
        <w:rPr>
          <w:rFonts w:ascii="Times New Roman" w:hAnsi="Times New Roman" w:cs="Times New Roman"/>
          <w:sz w:val="24"/>
          <w:szCs w:val="24"/>
        </w:rPr>
        <w:t>, which changed teen perceptions towards smoking</w:t>
      </w:r>
      <w:r w:rsidR="001A33F9">
        <w:rPr>
          <w:rStyle w:val="EndnoteReference"/>
          <w:rFonts w:ascii="Times New Roman" w:hAnsi="Times New Roman" w:cs="Times New Roman"/>
          <w:sz w:val="24"/>
          <w:szCs w:val="24"/>
        </w:rPr>
        <w:endnoteReference w:id="21"/>
      </w:r>
      <w:r w:rsidR="000D25E9">
        <w:rPr>
          <w:rFonts w:ascii="Times New Roman" w:hAnsi="Times New Roman" w:cs="Times New Roman"/>
          <w:sz w:val="24"/>
          <w:szCs w:val="24"/>
        </w:rPr>
        <w:t>)</w:t>
      </w:r>
      <w:r w:rsidR="001A33F9">
        <w:rPr>
          <w:rFonts w:ascii="Times New Roman" w:hAnsi="Times New Roman" w:cs="Times New Roman"/>
          <w:sz w:val="24"/>
          <w:szCs w:val="24"/>
        </w:rPr>
        <w:t>.</w:t>
      </w:r>
      <w:r w:rsidR="000D25E9" w:rsidRPr="000D25E9">
        <w:rPr>
          <w:rFonts w:ascii="Times New Roman" w:hAnsi="Times New Roman" w:cs="Times New Roman"/>
          <w:sz w:val="24"/>
          <w:szCs w:val="24"/>
        </w:rPr>
        <w:t xml:space="preserve"> </w:t>
      </w:r>
      <w:r w:rsidR="000D25E9">
        <w:rPr>
          <w:rFonts w:ascii="Times New Roman" w:hAnsi="Times New Roman" w:cs="Times New Roman"/>
          <w:sz w:val="24"/>
          <w:szCs w:val="24"/>
        </w:rPr>
        <w:t xml:space="preserve">Analysis using SPT may </w:t>
      </w:r>
      <w:r w:rsidR="000D25E9">
        <w:rPr>
          <w:rFonts w:ascii="Times New Roman" w:hAnsi="Times New Roman" w:cs="Times New Roman"/>
          <w:sz w:val="24"/>
          <w:szCs w:val="24"/>
        </w:rPr>
        <w:t xml:space="preserve">also </w:t>
      </w:r>
      <w:r w:rsidR="000D25E9">
        <w:rPr>
          <w:rFonts w:ascii="Times New Roman" w:hAnsi="Times New Roman" w:cs="Times New Roman"/>
          <w:sz w:val="24"/>
          <w:szCs w:val="24"/>
        </w:rPr>
        <w:t xml:space="preserve">illuminate an upstream role for </w:t>
      </w:r>
      <w:proofErr w:type="spellStart"/>
      <w:r w:rsidR="000D25E9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0D25E9">
        <w:rPr>
          <w:rFonts w:ascii="Times New Roman" w:hAnsi="Times New Roman" w:cs="Times New Roman"/>
          <w:sz w:val="24"/>
          <w:szCs w:val="24"/>
        </w:rPr>
        <w:t xml:space="preserve"> to work with local policy makers to establish policies for educational approaches such as adult cycle training.</w:t>
      </w:r>
      <w:r w:rsidR="00855CA0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E37A6F">
        <w:rPr>
          <w:rFonts w:ascii="Times New Roman" w:hAnsi="Times New Roman" w:cs="Times New Roman"/>
          <w:sz w:val="24"/>
          <w:szCs w:val="24"/>
        </w:rPr>
        <w:t xml:space="preserve">However, </w:t>
      </w:r>
      <w:r w:rsidR="00673A29" w:rsidRPr="00612270">
        <w:rPr>
          <w:rFonts w:ascii="Times New Roman" w:hAnsi="Times New Roman" w:cs="Times New Roman"/>
          <w:sz w:val="24"/>
          <w:szCs w:val="24"/>
        </w:rPr>
        <w:t xml:space="preserve">other approaches </w:t>
      </w:r>
      <w:r w:rsidR="00E37A6F">
        <w:rPr>
          <w:rFonts w:ascii="Times New Roman" w:hAnsi="Times New Roman" w:cs="Times New Roman"/>
          <w:sz w:val="24"/>
          <w:szCs w:val="24"/>
        </w:rPr>
        <w:t xml:space="preserve">would be </w:t>
      </w:r>
      <w:r w:rsidR="00673A29" w:rsidRPr="00612270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F4B7A">
        <w:rPr>
          <w:rFonts w:ascii="Times New Roman" w:hAnsi="Times New Roman" w:cs="Times New Roman"/>
          <w:sz w:val="24"/>
          <w:szCs w:val="24"/>
        </w:rPr>
        <w:t xml:space="preserve"> c</w:t>
      </w:r>
      <w:r w:rsidR="00673A29" w:rsidRPr="00612270">
        <w:rPr>
          <w:rFonts w:ascii="Times New Roman" w:hAnsi="Times New Roman" w:cs="Times New Roman"/>
          <w:sz w:val="24"/>
          <w:szCs w:val="24"/>
        </w:rPr>
        <w:t>hange ‘material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3A29" w:rsidRPr="00612270">
        <w:rPr>
          <w:rFonts w:ascii="Times New Roman" w:hAnsi="Times New Roman" w:cs="Times New Roman"/>
          <w:sz w:val="24"/>
          <w:szCs w:val="24"/>
        </w:rPr>
        <w:t>’</w:t>
      </w:r>
      <w:r w:rsidR="000D25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="007F2A41">
        <w:rPr>
          <w:rFonts w:ascii="Times New Roman" w:hAnsi="Times New Roman" w:cs="Times New Roman"/>
          <w:sz w:val="24"/>
          <w:szCs w:val="24"/>
        </w:rPr>
        <w:t>urban planners</w:t>
      </w:r>
      <w:r w:rsidR="00CD6387">
        <w:rPr>
          <w:rFonts w:ascii="Times New Roman" w:hAnsi="Times New Roman" w:cs="Times New Roman"/>
          <w:sz w:val="24"/>
          <w:szCs w:val="24"/>
        </w:rPr>
        <w:t xml:space="preserve"> for </w:t>
      </w:r>
      <w:r w:rsidR="007F2A41">
        <w:rPr>
          <w:rFonts w:ascii="Times New Roman" w:hAnsi="Times New Roman" w:cs="Times New Roman"/>
          <w:sz w:val="24"/>
          <w:szCs w:val="24"/>
        </w:rPr>
        <w:t>designing</w:t>
      </w:r>
      <w:r w:rsidR="000D25E9">
        <w:rPr>
          <w:rFonts w:ascii="Times New Roman" w:hAnsi="Times New Roman" w:cs="Times New Roman"/>
          <w:sz w:val="24"/>
          <w:szCs w:val="24"/>
        </w:rPr>
        <w:t xml:space="preserve"> cycle paths, law enforce</w:t>
      </w:r>
      <w:r w:rsidR="007F2A41">
        <w:rPr>
          <w:rFonts w:ascii="Times New Roman" w:hAnsi="Times New Roman" w:cs="Times New Roman"/>
          <w:sz w:val="24"/>
          <w:szCs w:val="24"/>
        </w:rPr>
        <w:t>rs</w:t>
      </w:r>
      <w:r w:rsidR="000D25E9">
        <w:rPr>
          <w:rFonts w:ascii="Times New Roman" w:hAnsi="Times New Roman" w:cs="Times New Roman"/>
          <w:sz w:val="24"/>
          <w:szCs w:val="24"/>
        </w:rPr>
        <w:t xml:space="preserve"> for restricting driving speeds and engineer</w:t>
      </w:r>
      <w:r w:rsidR="007F2A41">
        <w:rPr>
          <w:rFonts w:ascii="Times New Roman" w:hAnsi="Times New Roman" w:cs="Times New Roman"/>
          <w:sz w:val="24"/>
          <w:szCs w:val="24"/>
        </w:rPr>
        <w:t>s</w:t>
      </w:r>
      <w:r w:rsidR="000D25E9">
        <w:rPr>
          <w:rFonts w:ascii="Times New Roman" w:hAnsi="Times New Roman" w:cs="Times New Roman"/>
          <w:sz w:val="24"/>
          <w:szCs w:val="24"/>
        </w:rPr>
        <w:t xml:space="preserve"> for providing ‘desire-line’ cycle bridges and cycle parking. </w:t>
      </w:r>
      <w:bookmarkStart w:id="1" w:name="_GoBack"/>
      <w:bookmarkEnd w:id="1"/>
    </w:p>
    <w:p w:rsidR="00855CA0" w:rsidRPr="00612270" w:rsidRDefault="0045397C" w:rsidP="0019541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bdr w:val="none" w:sz="0" w:space="0" w:color="auto" w:frame="1"/>
          <w:lang w:eastAsia="en-GB"/>
        </w:rPr>
        <w:t>Conclusion</w:t>
      </w:r>
    </w:p>
    <w:p w:rsidR="00195419" w:rsidRPr="00612270" w:rsidRDefault="00A96D3B" w:rsidP="0045397C">
      <w:pPr>
        <w:shd w:val="clear" w:color="auto" w:fill="FFFFFF"/>
        <w:spacing w:before="240" w:after="0" w:line="2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This paper does not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argue </w:t>
      </w:r>
      <w:r w:rsidR="0024058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that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7074C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sm</w:t>
      </w:r>
      <w:proofErr w:type="spellEnd"/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24058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should be reduced to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social advertising, </w:t>
      </w:r>
      <w:r w:rsidR="0024058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and the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panoply of marketing-based </w:t>
      </w:r>
      <w:r w:rsidR="0061227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approaches</w:t>
      </w:r>
      <w:r w:rsidR="0024058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used by social marketers is wholly acknowledged</w:t>
      </w:r>
      <w:r w:rsidR="00FF4B7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.</w:t>
      </w:r>
      <w:r w:rsidR="0061227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Rather, 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acknowledge</w:t>
      </w:r>
      <w:r w:rsidR="007074C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s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at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stand-alone </w:t>
      </w:r>
      <w:proofErr w:type="spellStart"/>
      <w:r w:rsidR="007074C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sm</w:t>
      </w:r>
      <w:proofErr w:type="spellEnd"/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interventions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have enjoyed limited effectiveness </w:t>
      </w:r>
      <w:r w:rsidR="00855CA0" w:rsidRPr="0045397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on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population-level problems</w:t>
      </w:r>
      <w:r w:rsidR="0076453E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(see</w:t>
      </w:r>
      <w:r>
        <w:rPr>
          <w:rStyle w:val="EndnoteReference"/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endnoteReference w:id="22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), </w:t>
      </w:r>
      <w:r w:rsidR="0076453E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thus it is posited that</w:t>
      </w:r>
      <w:r w:rsidR="0076453E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social marketers </w:t>
      </w:r>
      <w:r w:rsidR="0045397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should routinely </w:t>
      </w:r>
      <w:r w:rsidR="0076453E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consider their contribution to ‘behaviour change’ </w:t>
      </w:r>
      <w:r w:rsidR="0061227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as part of a</w:t>
      </w:r>
      <w:r w:rsidR="0076453E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multi-</w:t>
      </w:r>
      <w:r w:rsidR="007074C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>disciplinary</w:t>
      </w:r>
      <w:r w:rsidR="0061227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 approach</w:t>
      </w:r>
      <w:r w:rsidR="00855CA0" w:rsidRPr="0061227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3-element</w:t>
      </w:r>
      <w:r w:rsidR="00612270" w:rsidRPr="00612270">
        <w:rPr>
          <w:rFonts w:ascii="Times New Roman" w:hAnsi="Times New Roman" w:cs="Times New Roman"/>
          <w:sz w:val="24"/>
          <w:szCs w:val="24"/>
        </w:rPr>
        <w:t xml:space="preserve"> SPT model may provide a useful framework for analysing the potential contribution of </w:t>
      </w:r>
      <w:proofErr w:type="spellStart"/>
      <w:r w:rsidR="007074CD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D54B84">
        <w:rPr>
          <w:rFonts w:ascii="Times New Roman" w:hAnsi="Times New Roman" w:cs="Times New Roman"/>
          <w:sz w:val="24"/>
          <w:szCs w:val="24"/>
        </w:rPr>
        <w:t xml:space="preserve"> by assessing whi</w:t>
      </w:r>
      <w:r w:rsidR="00AC05A7">
        <w:rPr>
          <w:rFonts w:ascii="Times New Roman" w:hAnsi="Times New Roman" w:cs="Times New Roman"/>
          <w:sz w:val="24"/>
          <w:szCs w:val="24"/>
        </w:rPr>
        <w:t xml:space="preserve">ch element(s) </w:t>
      </w:r>
      <w:r>
        <w:rPr>
          <w:rFonts w:ascii="Times New Roman" w:hAnsi="Times New Roman" w:cs="Times New Roman"/>
          <w:sz w:val="24"/>
          <w:szCs w:val="24"/>
        </w:rPr>
        <w:t>would be influenced</w:t>
      </w:r>
      <w:r w:rsidR="00AC05A7">
        <w:rPr>
          <w:rFonts w:ascii="Times New Roman" w:hAnsi="Times New Roman" w:cs="Times New Roman"/>
          <w:sz w:val="24"/>
          <w:szCs w:val="24"/>
        </w:rPr>
        <w:t xml:space="preserve">, </w:t>
      </w:r>
      <w:r w:rsidR="00D54B84">
        <w:rPr>
          <w:rFonts w:ascii="Times New Roman" w:hAnsi="Times New Roman" w:cs="Times New Roman"/>
          <w:sz w:val="24"/>
          <w:szCs w:val="24"/>
        </w:rPr>
        <w:t>and</w:t>
      </w:r>
      <w:r w:rsidR="00612270" w:rsidRPr="00612270">
        <w:rPr>
          <w:rFonts w:ascii="Times New Roman" w:hAnsi="Times New Roman" w:cs="Times New Roman"/>
          <w:sz w:val="24"/>
          <w:szCs w:val="24"/>
        </w:rPr>
        <w:t xml:space="preserve"> for identifying essential </w:t>
      </w:r>
      <w:r w:rsidR="00D54B84">
        <w:rPr>
          <w:rFonts w:ascii="Times New Roman" w:hAnsi="Times New Roman" w:cs="Times New Roman"/>
          <w:sz w:val="24"/>
          <w:szCs w:val="24"/>
        </w:rPr>
        <w:t>collaborators to achieve the</w:t>
      </w:r>
      <w:r w:rsidR="00612270" w:rsidRPr="00612270">
        <w:rPr>
          <w:rFonts w:ascii="Times New Roman" w:hAnsi="Times New Roman" w:cs="Times New Roman"/>
          <w:sz w:val="24"/>
          <w:szCs w:val="24"/>
        </w:rPr>
        <w:t xml:space="preserve"> </w:t>
      </w:r>
      <w:r w:rsidR="00D54B84">
        <w:rPr>
          <w:rFonts w:ascii="Times New Roman" w:hAnsi="Times New Roman" w:cs="Times New Roman"/>
          <w:sz w:val="24"/>
          <w:szCs w:val="24"/>
        </w:rPr>
        <w:t xml:space="preserve">multi-disciplinarity </w:t>
      </w:r>
      <w:r w:rsidR="00612270" w:rsidRPr="00612270">
        <w:rPr>
          <w:rFonts w:ascii="Times New Roman" w:hAnsi="Times New Roman" w:cs="Times New Roman"/>
          <w:sz w:val="24"/>
          <w:szCs w:val="24"/>
        </w:rPr>
        <w:t>that has been called for.</w:t>
      </w:r>
    </w:p>
    <w:p w:rsidR="00612270" w:rsidRPr="001A177A" w:rsidRDefault="00612270" w:rsidP="00C77E57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612270" w:rsidRDefault="00612270">
      <w:pP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br w:type="page"/>
      </w:r>
    </w:p>
    <w:sectPr w:rsidR="0061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BD" w:rsidRDefault="00FA6BBD" w:rsidP="00DF21B2">
      <w:pPr>
        <w:spacing w:after="0" w:line="240" w:lineRule="auto"/>
      </w:pPr>
      <w:r>
        <w:separator/>
      </w:r>
    </w:p>
  </w:endnote>
  <w:endnote w:type="continuationSeparator" w:id="0">
    <w:p w:rsidR="00FA6BBD" w:rsidRDefault="00FA6BBD" w:rsidP="00DF21B2">
      <w:pPr>
        <w:spacing w:after="0" w:line="240" w:lineRule="auto"/>
      </w:pPr>
      <w:r>
        <w:continuationSeparator/>
      </w:r>
    </w:p>
  </w:endnote>
  <w:endnote w:id="1">
    <w:p w:rsidR="00D179ED" w:rsidRPr="00D179ED" w:rsidRDefault="00D179ED" w:rsidP="00EB20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E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431B37" w:rsidRPr="00D179ED">
        <w:rPr>
          <w:rFonts w:ascii="Times New Roman" w:hAnsi="Times New Roman" w:cs="Times New Roman"/>
          <w:sz w:val="24"/>
          <w:szCs w:val="24"/>
        </w:rPr>
        <w:t xml:space="preserve">The House of Lords Science and Technology Select Committee, (2011) </w:t>
      </w:r>
      <w:r w:rsidR="00431B37" w:rsidRPr="00D179ED">
        <w:rPr>
          <w:rFonts w:ascii="Times New Roman" w:hAnsi="Times New Roman" w:cs="Times New Roman"/>
          <w:i/>
          <w:iCs/>
          <w:sz w:val="24"/>
          <w:szCs w:val="24"/>
        </w:rPr>
        <w:t>Behaviour Change</w:t>
      </w:r>
      <w:r w:rsidR="00431B37" w:rsidRPr="00D179ED">
        <w:rPr>
          <w:rFonts w:ascii="Times New Roman" w:hAnsi="Times New Roman" w:cs="Times New Roman"/>
          <w:sz w:val="24"/>
          <w:szCs w:val="24"/>
        </w:rPr>
        <w:t>. Report number: HL Paper 179. London: The Stationary Office Ltd.</w:t>
      </w:r>
    </w:p>
  </w:endnote>
  <w:endnote w:id="2">
    <w:p w:rsidR="00431B37" w:rsidRPr="00D179ED" w:rsidRDefault="00431B37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Nash, J.M., Collins, B.N.,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Loughlin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Solbrig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>, M., Harvey, R., Krishnan-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Sarin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S., Unger, J., Miner, C.,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Rukstalis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Shenassa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Dube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C. and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Spirito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A. (2003), Training the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transdisciplinary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 scientist: A general framework applied to tobacco use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. </w:t>
      </w:r>
      <w:r w:rsidRPr="00D179ED">
        <w:rPr>
          <w:rFonts w:ascii="Times New Roman" w:hAnsi="Times New Roman" w:cs="Times New Roman"/>
          <w:i/>
          <w:iCs/>
          <w:sz w:val="24"/>
          <w:szCs w:val="24"/>
        </w:rPr>
        <w:t>Nicotine and Tobacco Research</w:t>
      </w:r>
      <w:r w:rsidRPr="00D179ED">
        <w:rPr>
          <w:rFonts w:ascii="Times New Roman" w:hAnsi="Times New Roman" w:cs="Times New Roman"/>
          <w:sz w:val="24"/>
          <w:szCs w:val="24"/>
        </w:rPr>
        <w:t xml:space="preserve">, Vol. 5 </w:t>
      </w:r>
      <w:proofErr w:type="gramStart"/>
      <w:r w:rsidRPr="00D179ED">
        <w:rPr>
          <w:rFonts w:ascii="Times New Roman" w:hAnsi="Times New Roman" w:cs="Times New Roman"/>
          <w:sz w:val="24"/>
          <w:szCs w:val="24"/>
        </w:rPr>
        <w:t>Supplement  1</w:t>
      </w:r>
      <w:proofErr w:type="gramEnd"/>
      <w:r w:rsidRPr="00D179ED">
        <w:rPr>
          <w:rFonts w:ascii="Times New Roman" w:hAnsi="Times New Roman" w:cs="Times New Roman"/>
          <w:sz w:val="24"/>
          <w:szCs w:val="24"/>
        </w:rPr>
        <w:t xml:space="preserve">, pp.s41-s53. </w:t>
      </w:r>
    </w:p>
  </w:endnote>
  <w:endnote w:id="3">
    <w:p w:rsidR="00431B37" w:rsidRPr="00D179ED" w:rsidRDefault="00431B37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West, R. (2006) Tobacco control: present and future. </w:t>
      </w:r>
      <w:proofErr w:type="gramStart"/>
      <w:r w:rsidRPr="00D179ED">
        <w:rPr>
          <w:rFonts w:ascii="Times New Roman" w:hAnsi="Times New Roman" w:cs="Times New Roman"/>
          <w:i/>
          <w:iCs/>
          <w:sz w:val="24"/>
          <w:szCs w:val="24"/>
        </w:rPr>
        <w:t>British Medical Bulletin</w:t>
      </w:r>
      <w:r w:rsidRPr="00D179ED">
        <w:rPr>
          <w:rFonts w:ascii="Times New Roman" w:hAnsi="Times New Roman" w:cs="Times New Roman"/>
          <w:sz w:val="24"/>
          <w:szCs w:val="24"/>
        </w:rPr>
        <w:t>, Vol. 77-78, pp.123-136.</w:t>
      </w:r>
      <w:proofErr w:type="gramEnd"/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4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Friedman, A.; </w:t>
      </w:r>
      <w:proofErr w:type="spellStart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>Bozniak</w:t>
      </w:r>
      <w:proofErr w:type="spellEnd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A.; Ford, J.; Hill, A.; Olson, K.; </w:t>
      </w:r>
      <w:proofErr w:type="spellStart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>Ledsky</w:t>
      </w:r>
      <w:proofErr w:type="spellEnd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R.; </w:t>
      </w:r>
      <w:proofErr w:type="spellStart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>Inokuchi</w:t>
      </w:r>
      <w:proofErr w:type="spellEnd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D.; </w:t>
      </w:r>
      <w:proofErr w:type="spellStart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>Brookmeyer</w:t>
      </w:r>
      <w:proofErr w:type="spellEnd"/>
      <w:r w:rsidR="00431B37" w:rsidRPr="00D179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K. (2014), </w:t>
      </w:r>
      <w:r w:rsidR="00431B37" w:rsidRPr="00D179E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Reaching Youth With Sexually Transmitted Disease Testing</w:t>
      </w:r>
      <w:r w:rsidR="00431B37" w:rsidRPr="00D179E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GB"/>
        </w:rPr>
        <w:t xml:space="preserve">: Building on Successes, Challenges, and Lessons Learned From Local Get Yourself Tested Campaigns. </w:t>
      </w:r>
      <w:proofErr w:type="gramStart"/>
      <w:r w:rsidR="00431B37" w:rsidRPr="00D179E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Social Marketing Quarterly, </w:t>
      </w:r>
      <w:r w:rsidR="00431B37" w:rsidRPr="00D179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Vol. 20, pp.116-138.</w:t>
      </w:r>
      <w:proofErr w:type="gramEnd"/>
      <w:r w:rsidR="00431B37" w:rsidRPr="00D179ED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5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431B37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Lefebvre, C. (2011), </w:t>
      </w:r>
      <w:proofErr w:type="gramStart"/>
      <w:r w:rsidR="00431B37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gramEnd"/>
      <w:r w:rsidR="00431B37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integrative model for social marketing. </w:t>
      </w:r>
      <w:proofErr w:type="gramStart"/>
      <w:r w:rsidR="00431B37" w:rsidRPr="00D17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Social Marketing,</w:t>
      </w:r>
      <w:r w:rsidR="00431B37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Vol. 1 No.1, pp.54-72</w:t>
      </w:r>
      <w:r w:rsidR="00EB2025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</w:endnote>
  <w:endnote w:id="6">
    <w:p w:rsidR="00431B37" w:rsidRPr="00D179ED" w:rsidRDefault="00431B37" w:rsidP="00EB20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McAuley</w:t>
      </w:r>
      <w:proofErr w:type="spellEnd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A. (2014) Reflections on a decade in social marketing.</w:t>
      </w:r>
      <w:proofErr w:type="gramEnd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7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Social Marketing</w:t>
      </w:r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4 No. 1, pp.77 – 86</w:t>
      </w:r>
      <w:r w:rsidR="00EB2025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endnote>
  <w:endnote w:id="7">
    <w:p w:rsidR="001A33F9" w:rsidRPr="00D179ED" w:rsidRDefault="001A33F9" w:rsidP="00EB20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1E0B09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Bernhardt, J.M.; Mays, D. and Hall, A.K. (2012), Social marketing at the right place and right time with new media. </w:t>
      </w:r>
      <w:r w:rsidR="001E0B09" w:rsidRPr="00D17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Social Marketing</w:t>
      </w:r>
      <w:r w:rsidR="001E0B09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Vol. 2 No.2, pp.130 </w:t>
      </w:r>
      <w:r w:rsidR="00EB2025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E0B09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137</w:t>
      </w:r>
      <w:r w:rsidR="00EB2025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endnote>
  <w:endnote w:id="8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09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Lynes</w:t>
      </w:r>
      <w:proofErr w:type="spellEnd"/>
      <w:r w:rsidR="001E0B09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J.; Whitney, S. and Murray, D (2014), Developing benchmark criteria for assessing community-based social marketing programs: a look into Jack Johnson’s "All at Once" campaign. </w:t>
      </w:r>
      <w:proofErr w:type="gramStart"/>
      <w:r w:rsidR="001E0B09" w:rsidRPr="00D17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Social Marketing</w:t>
      </w:r>
      <w:r w:rsidR="001E0B09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4 No.2.</w:t>
      </w:r>
      <w:proofErr w:type="gramEnd"/>
    </w:p>
  </w:endnote>
  <w:endnote w:id="9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84" w:rsidRPr="00D179ED">
        <w:rPr>
          <w:rFonts w:ascii="Times New Roman" w:hAnsi="Times New Roman" w:cs="Times New Roman"/>
          <w:sz w:val="24"/>
          <w:szCs w:val="24"/>
        </w:rPr>
        <w:t>Reckwitz</w:t>
      </w:r>
      <w:proofErr w:type="spellEnd"/>
      <w:r w:rsidR="00615384" w:rsidRPr="00D179ED">
        <w:rPr>
          <w:rFonts w:ascii="Times New Roman" w:hAnsi="Times New Roman" w:cs="Times New Roman"/>
          <w:sz w:val="24"/>
          <w:szCs w:val="24"/>
        </w:rPr>
        <w:t xml:space="preserve">, A. (2002), “Toward a theory of social practices: A development in </w:t>
      </w:r>
      <w:proofErr w:type="spellStart"/>
      <w:r w:rsidR="00615384" w:rsidRPr="00D179ED">
        <w:rPr>
          <w:rFonts w:ascii="Times New Roman" w:hAnsi="Times New Roman" w:cs="Times New Roman"/>
          <w:sz w:val="24"/>
          <w:szCs w:val="24"/>
        </w:rPr>
        <w:t>culturalist</w:t>
      </w:r>
      <w:proofErr w:type="spellEnd"/>
      <w:r w:rsidR="00615384" w:rsidRPr="00D179ED">
        <w:rPr>
          <w:rFonts w:ascii="Times New Roman" w:hAnsi="Times New Roman" w:cs="Times New Roman"/>
          <w:sz w:val="24"/>
          <w:szCs w:val="24"/>
        </w:rPr>
        <w:t xml:space="preserve"> theorizing”,</w:t>
      </w:r>
      <w:r w:rsidR="00615384" w:rsidRPr="00D179ED">
        <w:rPr>
          <w:rFonts w:ascii="Times New Roman" w:hAnsi="Times New Roman" w:cs="Times New Roman"/>
          <w:i/>
          <w:iCs/>
          <w:sz w:val="24"/>
          <w:szCs w:val="24"/>
        </w:rPr>
        <w:t xml:space="preserve"> European Journal of Social Theory, </w:t>
      </w:r>
      <w:r w:rsidR="00615384" w:rsidRPr="00D179ED">
        <w:rPr>
          <w:rFonts w:ascii="Times New Roman" w:hAnsi="Times New Roman" w:cs="Times New Roman"/>
          <w:sz w:val="24"/>
          <w:szCs w:val="24"/>
        </w:rPr>
        <w:t>Vol. 5 No. 2, pp. 243-263.</w:t>
      </w:r>
    </w:p>
  </w:endnote>
  <w:endnote w:id="10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615384" w:rsidRPr="00D179ED">
        <w:rPr>
          <w:rFonts w:ascii="Times New Roman" w:hAnsi="Times New Roman" w:cs="Times New Roman"/>
          <w:i/>
          <w:sz w:val="24"/>
          <w:szCs w:val="24"/>
        </w:rPr>
        <w:t xml:space="preserve">Ibid, </w:t>
      </w:r>
      <w:r w:rsidR="00615384" w:rsidRPr="00D179ED">
        <w:rPr>
          <w:rFonts w:ascii="Times New Roman" w:hAnsi="Times New Roman" w:cs="Times New Roman"/>
          <w:sz w:val="24"/>
          <w:szCs w:val="24"/>
        </w:rPr>
        <w:t>p.249</w:t>
      </w:r>
    </w:p>
  </w:endnote>
  <w:endnote w:id="11">
    <w:p w:rsidR="00615384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84" w:rsidRPr="00D179ED">
        <w:rPr>
          <w:rFonts w:ascii="Times New Roman" w:hAnsi="Times New Roman" w:cs="Times New Roman"/>
          <w:sz w:val="24"/>
          <w:szCs w:val="24"/>
        </w:rPr>
        <w:t>Schatzki</w:t>
      </w:r>
      <w:proofErr w:type="gramStart"/>
      <w:r w:rsidR="00615384" w:rsidRPr="00D179ED">
        <w:rPr>
          <w:rFonts w:ascii="Times New Roman" w:hAnsi="Times New Roman" w:cs="Times New Roman"/>
          <w:sz w:val="24"/>
          <w:szCs w:val="24"/>
        </w:rPr>
        <w:t>,T</w:t>
      </w:r>
      <w:proofErr w:type="spellEnd"/>
      <w:proofErr w:type="gramEnd"/>
      <w:r w:rsidR="00615384" w:rsidRPr="00D179ED">
        <w:rPr>
          <w:rFonts w:ascii="Times New Roman" w:hAnsi="Times New Roman" w:cs="Times New Roman"/>
          <w:sz w:val="24"/>
          <w:szCs w:val="24"/>
        </w:rPr>
        <w:t xml:space="preserve">. (1996), </w:t>
      </w:r>
      <w:r w:rsidR="00615384" w:rsidRPr="00D179ED">
        <w:rPr>
          <w:rFonts w:ascii="Times New Roman" w:hAnsi="Times New Roman" w:cs="Times New Roman"/>
          <w:i/>
          <w:sz w:val="24"/>
          <w:szCs w:val="24"/>
        </w:rPr>
        <w:t xml:space="preserve">Social Practices: A </w:t>
      </w:r>
      <w:proofErr w:type="spellStart"/>
      <w:r w:rsidR="00615384" w:rsidRPr="00D179ED">
        <w:rPr>
          <w:rFonts w:ascii="Times New Roman" w:hAnsi="Times New Roman" w:cs="Times New Roman"/>
          <w:i/>
          <w:sz w:val="24"/>
          <w:szCs w:val="24"/>
        </w:rPr>
        <w:t>Wittgensteinian</w:t>
      </w:r>
      <w:proofErr w:type="spellEnd"/>
      <w:r w:rsidR="00615384" w:rsidRPr="00D179ED">
        <w:rPr>
          <w:rFonts w:ascii="Times New Roman" w:hAnsi="Times New Roman" w:cs="Times New Roman"/>
          <w:i/>
          <w:sz w:val="24"/>
          <w:szCs w:val="24"/>
        </w:rPr>
        <w:t xml:space="preserve"> Approach to Human Activity and the</w:t>
      </w:r>
      <w:r w:rsidR="00EB2025" w:rsidRPr="00D17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384" w:rsidRPr="00D179ED">
        <w:rPr>
          <w:rFonts w:ascii="Times New Roman" w:hAnsi="Times New Roman" w:cs="Times New Roman"/>
          <w:i/>
          <w:sz w:val="24"/>
          <w:szCs w:val="24"/>
        </w:rPr>
        <w:t>Social</w:t>
      </w:r>
      <w:r w:rsidR="00615384" w:rsidRPr="00D179ED">
        <w:rPr>
          <w:rFonts w:ascii="Times New Roman" w:hAnsi="Times New Roman" w:cs="Times New Roman"/>
          <w:sz w:val="24"/>
          <w:szCs w:val="24"/>
        </w:rPr>
        <w:t>. Cambridge: Cambridge University Press.</w:t>
      </w:r>
    </w:p>
  </w:endnote>
  <w:endnote w:id="12">
    <w:p w:rsidR="00615384" w:rsidRPr="00D179ED" w:rsidRDefault="00615384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025" w:rsidRPr="00D179ED">
        <w:rPr>
          <w:rFonts w:ascii="Times New Roman" w:hAnsi="Times New Roman" w:cs="Times New Roman"/>
          <w:sz w:val="24"/>
          <w:szCs w:val="24"/>
        </w:rPr>
        <w:t>Reckwitz</w:t>
      </w:r>
      <w:proofErr w:type="spellEnd"/>
      <w:r w:rsidR="00EB2025" w:rsidRPr="00D179ED">
        <w:rPr>
          <w:rFonts w:ascii="Times New Roman" w:hAnsi="Times New Roman" w:cs="Times New Roman"/>
          <w:sz w:val="24"/>
          <w:szCs w:val="24"/>
        </w:rPr>
        <w:t>, 2002</w:t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3">
    <w:p w:rsidR="00615384" w:rsidRPr="00D179ED" w:rsidRDefault="00615384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Shove, E., </w:t>
      </w:r>
      <w:proofErr w:type="spellStart"/>
      <w:r w:rsidRPr="00D179ED">
        <w:rPr>
          <w:rFonts w:ascii="Times New Roman" w:hAnsi="Times New Roman" w:cs="Times New Roman"/>
          <w:sz w:val="24"/>
          <w:szCs w:val="24"/>
        </w:rPr>
        <w:t>Pantzar</w:t>
      </w:r>
      <w:proofErr w:type="spellEnd"/>
      <w:r w:rsidRPr="00D179ED">
        <w:rPr>
          <w:rFonts w:ascii="Times New Roman" w:hAnsi="Times New Roman" w:cs="Times New Roman"/>
          <w:sz w:val="24"/>
          <w:szCs w:val="24"/>
        </w:rPr>
        <w:t xml:space="preserve">, M. and Watson, M. (2012), </w:t>
      </w:r>
      <w:r w:rsidRPr="00D179ED">
        <w:rPr>
          <w:rFonts w:ascii="Times New Roman" w:hAnsi="Times New Roman" w:cs="Times New Roman"/>
          <w:i/>
          <w:iCs/>
          <w:sz w:val="24"/>
          <w:szCs w:val="24"/>
        </w:rPr>
        <w:t>The Dynamics of Social Practice</w:t>
      </w:r>
      <w:r w:rsidRPr="00D179ED">
        <w:rPr>
          <w:rFonts w:ascii="Times New Roman" w:hAnsi="Times New Roman" w:cs="Times New Roman"/>
          <w:sz w:val="24"/>
          <w:szCs w:val="24"/>
        </w:rPr>
        <w:t>, SAGE: London.</w:t>
      </w:r>
    </w:p>
  </w:endnote>
  <w:endnote w:id="14">
    <w:p w:rsidR="00615384" w:rsidRPr="00D179ED" w:rsidRDefault="00615384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9ED">
        <w:rPr>
          <w:rFonts w:ascii="Times New Roman" w:hAnsi="Times New Roman" w:cs="Times New Roman"/>
          <w:sz w:val="24"/>
          <w:szCs w:val="24"/>
        </w:rPr>
        <w:t xml:space="preserve">Warde, A. (2005), “Consumption and Theories of Practice”, </w:t>
      </w:r>
      <w:r w:rsidRPr="00D179ED">
        <w:rPr>
          <w:rFonts w:ascii="Times New Roman" w:hAnsi="Times New Roman" w:cs="Times New Roman"/>
          <w:i/>
          <w:iCs/>
          <w:sz w:val="24"/>
          <w:szCs w:val="24"/>
        </w:rPr>
        <w:t>Journal of Consumer Culture</w:t>
      </w:r>
      <w:r w:rsidRPr="00D179ED">
        <w:rPr>
          <w:rFonts w:ascii="Times New Roman" w:hAnsi="Times New Roman" w:cs="Times New Roman"/>
          <w:sz w:val="24"/>
          <w:szCs w:val="24"/>
        </w:rPr>
        <w:t>, Vol. 5 No. 2, pp.131-153.</w:t>
      </w:r>
      <w:proofErr w:type="gramEnd"/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15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2012</w:t>
      </w:r>
    </w:p>
  </w:endnote>
  <w:endnote w:id="16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615384" w:rsidRPr="00D179ED">
        <w:rPr>
          <w:rFonts w:ascii="Times New Roman" w:hAnsi="Times New Roman" w:cs="Times New Roman"/>
          <w:sz w:val="24"/>
          <w:szCs w:val="24"/>
        </w:rPr>
        <w:t xml:space="preserve">Chatterton, T. and Anderson, O., (2011) </w:t>
      </w:r>
      <w:proofErr w:type="gramStart"/>
      <w:r w:rsidR="00615384" w:rsidRPr="00D179E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 w:rsidR="00615384" w:rsidRPr="00D179ED">
        <w:rPr>
          <w:rFonts w:ascii="Times New Roman" w:hAnsi="Times New Roman" w:cs="Times New Roman"/>
          <w:i/>
          <w:iCs/>
          <w:sz w:val="24"/>
          <w:szCs w:val="24"/>
        </w:rPr>
        <w:t xml:space="preserve"> Introduction to Thinking about 'Energy Behaviour': A Multi-Model Approach. </w:t>
      </w:r>
      <w:proofErr w:type="gramStart"/>
      <w:r w:rsidR="00615384" w:rsidRPr="00D179ED">
        <w:rPr>
          <w:rFonts w:ascii="Times New Roman" w:hAnsi="Times New Roman" w:cs="Times New Roman"/>
          <w:i/>
          <w:iCs/>
          <w:sz w:val="24"/>
          <w:szCs w:val="24"/>
        </w:rPr>
        <w:t>A Paper for the Department of Energy and Climate Change</w:t>
      </w:r>
      <w:r w:rsidR="00615384" w:rsidRPr="00D17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5384" w:rsidRPr="00D179ED">
        <w:rPr>
          <w:rFonts w:ascii="Times New Roman" w:hAnsi="Times New Roman" w:cs="Times New Roman"/>
          <w:sz w:val="24"/>
          <w:szCs w:val="24"/>
        </w:rPr>
        <w:t xml:space="preserve"> Bristol: University of the West of England. </w:t>
      </w:r>
    </w:p>
  </w:endnote>
  <w:endnote w:id="17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615384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Leonard, S.; Spotswood, F.; and </w:t>
      </w:r>
      <w:proofErr w:type="spellStart"/>
      <w:r w:rsidR="00615384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Tapp</w:t>
      </w:r>
      <w:proofErr w:type="spellEnd"/>
      <w:r w:rsidR="00615384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A. (2012), Overcoming the self-image </w:t>
      </w:r>
      <w:proofErr w:type="spellStart"/>
      <w:r w:rsidR="00615384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incongruency</w:t>
      </w:r>
      <w:proofErr w:type="spellEnd"/>
      <w:r w:rsidR="00615384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non-cyclists. </w:t>
      </w:r>
      <w:r w:rsidR="00615384" w:rsidRPr="00D17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Social Marketing</w:t>
      </w:r>
      <w:r w:rsidR="00615384"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 2 No. 1, pp.23 – 36.</w:t>
      </w:r>
    </w:p>
  </w:endnote>
  <w:endnote w:id="18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Shove </w:t>
      </w:r>
      <w:r w:rsidRPr="00D179ED">
        <w:rPr>
          <w:rFonts w:ascii="Times New Roman" w:hAnsi="Times New Roman" w:cs="Times New Roman"/>
          <w:i/>
          <w:sz w:val="24"/>
          <w:szCs w:val="24"/>
        </w:rPr>
        <w:t>et al</w:t>
      </w:r>
      <w:r w:rsidR="00615384" w:rsidRPr="00D179ED">
        <w:rPr>
          <w:rFonts w:ascii="Times New Roman" w:hAnsi="Times New Roman" w:cs="Times New Roman"/>
          <w:sz w:val="24"/>
          <w:szCs w:val="24"/>
        </w:rPr>
        <w:t>, 2012</w:t>
      </w:r>
    </w:p>
  </w:endnote>
  <w:endnote w:id="19">
    <w:p w:rsidR="006B46D3" w:rsidRPr="00D179ED" w:rsidRDefault="006B46D3" w:rsidP="006B46D3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Raftopoulou</w:t>
      </w:r>
      <w:proofErr w:type="spellEnd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E. and Hogg, M.K. (2010), </w:t>
      </w:r>
      <w:proofErr w:type="gramStart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political role of government-sponsored social marketing campaigns. </w:t>
      </w:r>
      <w:r w:rsidRPr="00D179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European Journal of Marketing</w:t>
      </w:r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Vol. 44 No.7/8, pp.1206 </w:t>
      </w:r>
      <w:r w:rsidR="00D7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17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1227</w:t>
      </w:r>
      <w:r w:rsidR="00D7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endnote>
  <w:endnote w:id="20">
    <w:p w:rsidR="00DF21B2" w:rsidRPr="00D179ED" w:rsidRDefault="00DF21B2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Utility cyclists are those who cycle for regular, short journeys, such as to work.</w:t>
      </w:r>
    </w:p>
  </w:endnote>
  <w:endnote w:id="21">
    <w:p w:rsidR="001A33F9" w:rsidRPr="00D179ED" w:rsidRDefault="001A33F9" w:rsidP="00EB2025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citation"/>
      <w:proofErr w:type="spellStart"/>
      <w:proofErr w:type="gramStart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Farrelly</w:t>
      </w:r>
      <w:proofErr w:type="spellEnd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M.C.; </w:t>
      </w:r>
      <w:proofErr w:type="spellStart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Healton</w:t>
      </w:r>
      <w:proofErr w:type="spellEnd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C.G.; Davis, K.C.; Hersey, J.C.; </w:t>
      </w:r>
      <w:proofErr w:type="spellStart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Haviland</w:t>
      </w:r>
      <w:proofErr w:type="spellEnd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M.L. (2002).</w:t>
      </w:r>
      <w:proofErr w:type="gramEnd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Getting to the Truth: Evaluating National Tobacco </w:t>
      </w:r>
      <w:proofErr w:type="spellStart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Countermarketing</w:t>
      </w:r>
      <w:proofErr w:type="spellEnd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Campaigns</w:t>
      </w:r>
      <w:bookmarkEnd w:id="0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EB2025" w:rsidRPr="00D179E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American Journal of Public Health, </w:t>
      </w:r>
      <w:proofErr w:type="spellStart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Vol</w:t>
      </w:r>
      <w:proofErr w:type="spellEnd"/>
      <w:r w:rsidR="00EB2025" w:rsidRPr="00D17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92, No.6, pp.901-907.</w:t>
      </w:r>
    </w:p>
  </w:endnote>
  <w:endnote w:id="22">
    <w:p w:rsidR="00A96D3B" w:rsidRPr="00D179ED" w:rsidRDefault="00A96D3B" w:rsidP="00EB2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9E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D179ED">
        <w:rPr>
          <w:rFonts w:ascii="Times New Roman" w:hAnsi="Times New Roman" w:cs="Times New Roman"/>
          <w:sz w:val="24"/>
          <w:szCs w:val="24"/>
        </w:rPr>
        <w:t xml:space="preserve"> </w:t>
      </w:r>
      <w:r w:rsidR="00EB2025" w:rsidRPr="00D179ED">
        <w:rPr>
          <w:rFonts w:ascii="Times New Roman" w:hAnsi="Times New Roman" w:cs="Times New Roman"/>
          <w:sz w:val="24"/>
          <w:szCs w:val="24"/>
        </w:rPr>
        <w:t xml:space="preserve">Stead, M.G., Angus, K. and McDermott, L. (2007), </w:t>
      </w:r>
      <w:proofErr w:type="gramStart"/>
      <w:r w:rsidR="00EB2025" w:rsidRPr="00D179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2025" w:rsidRPr="00D179ED">
        <w:rPr>
          <w:rFonts w:ascii="Times New Roman" w:hAnsi="Times New Roman" w:cs="Times New Roman"/>
          <w:sz w:val="24"/>
          <w:szCs w:val="24"/>
        </w:rPr>
        <w:t xml:space="preserve"> systematic review of social marketing effectiveness. </w:t>
      </w:r>
      <w:r w:rsidR="00EB2025" w:rsidRPr="00D179ED">
        <w:rPr>
          <w:rFonts w:ascii="Times New Roman" w:hAnsi="Times New Roman" w:cs="Times New Roman"/>
          <w:i/>
          <w:iCs/>
          <w:sz w:val="24"/>
          <w:szCs w:val="24"/>
        </w:rPr>
        <w:t>Health Education</w:t>
      </w:r>
      <w:r w:rsidR="00EB2025" w:rsidRPr="00D179ED">
        <w:rPr>
          <w:rFonts w:ascii="Times New Roman" w:hAnsi="Times New Roman" w:cs="Times New Roman"/>
          <w:sz w:val="24"/>
          <w:szCs w:val="24"/>
        </w:rPr>
        <w:t xml:space="preserve">, Vol. 107 No.2, pp. 126-191.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BD" w:rsidRDefault="00FA6BBD" w:rsidP="00DF21B2">
      <w:pPr>
        <w:spacing w:after="0" w:line="240" w:lineRule="auto"/>
      </w:pPr>
      <w:r>
        <w:separator/>
      </w:r>
    </w:p>
  </w:footnote>
  <w:footnote w:type="continuationSeparator" w:id="0">
    <w:p w:rsidR="00FA6BBD" w:rsidRDefault="00FA6BBD" w:rsidP="00DF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9FA"/>
    <w:multiLevelType w:val="multilevel"/>
    <w:tmpl w:val="1A2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7"/>
    <w:rsid w:val="000439DE"/>
    <w:rsid w:val="000728F3"/>
    <w:rsid w:val="000D25E9"/>
    <w:rsid w:val="001568A6"/>
    <w:rsid w:val="001644E7"/>
    <w:rsid w:val="00183D4F"/>
    <w:rsid w:val="001927F3"/>
    <w:rsid w:val="00195419"/>
    <w:rsid w:val="001A177A"/>
    <w:rsid w:val="001A33F9"/>
    <w:rsid w:val="001E0B09"/>
    <w:rsid w:val="00207A8C"/>
    <w:rsid w:val="00240583"/>
    <w:rsid w:val="00286B95"/>
    <w:rsid w:val="002C2908"/>
    <w:rsid w:val="00345FD0"/>
    <w:rsid w:val="00356C89"/>
    <w:rsid w:val="003930BF"/>
    <w:rsid w:val="003C3631"/>
    <w:rsid w:val="004201A4"/>
    <w:rsid w:val="0042765E"/>
    <w:rsid w:val="00431B37"/>
    <w:rsid w:val="00433E69"/>
    <w:rsid w:val="0045397C"/>
    <w:rsid w:val="00457DD4"/>
    <w:rsid w:val="0047478A"/>
    <w:rsid w:val="00612270"/>
    <w:rsid w:val="00615384"/>
    <w:rsid w:val="006219E2"/>
    <w:rsid w:val="00673A29"/>
    <w:rsid w:val="00694BF0"/>
    <w:rsid w:val="006B46D3"/>
    <w:rsid w:val="006E57C3"/>
    <w:rsid w:val="007074CD"/>
    <w:rsid w:val="0075636A"/>
    <w:rsid w:val="0076453E"/>
    <w:rsid w:val="0079769C"/>
    <w:rsid w:val="007E4EB9"/>
    <w:rsid w:val="007F2A41"/>
    <w:rsid w:val="00855ABC"/>
    <w:rsid w:val="00855CA0"/>
    <w:rsid w:val="0092743F"/>
    <w:rsid w:val="00957F1F"/>
    <w:rsid w:val="009619D8"/>
    <w:rsid w:val="009D32BC"/>
    <w:rsid w:val="00A20A18"/>
    <w:rsid w:val="00A87D92"/>
    <w:rsid w:val="00A96D3B"/>
    <w:rsid w:val="00AC05A7"/>
    <w:rsid w:val="00AC6355"/>
    <w:rsid w:val="00AD74AC"/>
    <w:rsid w:val="00B35E2B"/>
    <w:rsid w:val="00B82DB1"/>
    <w:rsid w:val="00C25C8A"/>
    <w:rsid w:val="00C77E57"/>
    <w:rsid w:val="00CC0B07"/>
    <w:rsid w:val="00CD6387"/>
    <w:rsid w:val="00CF753C"/>
    <w:rsid w:val="00D179ED"/>
    <w:rsid w:val="00D278CE"/>
    <w:rsid w:val="00D31223"/>
    <w:rsid w:val="00D44AB2"/>
    <w:rsid w:val="00D52393"/>
    <w:rsid w:val="00D54B84"/>
    <w:rsid w:val="00D562B1"/>
    <w:rsid w:val="00D7456C"/>
    <w:rsid w:val="00D76158"/>
    <w:rsid w:val="00DB5DA0"/>
    <w:rsid w:val="00DF21B2"/>
    <w:rsid w:val="00E155A1"/>
    <w:rsid w:val="00E37A6F"/>
    <w:rsid w:val="00E64E07"/>
    <w:rsid w:val="00E83F09"/>
    <w:rsid w:val="00EB2025"/>
    <w:rsid w:val="00ED5AF4"/>
    <w:rsid w:val="00EE180C"/>
    <w:rsid w:val="00F34623"/>
    <w:rsid w:val="00F50D1B"/>
    <w:rsid w:val="00F85D30"/>
    <w:rsid w:val="00FA6BBD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3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8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3D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it-auth">
    <w:name w:val="cit-auth"/>
    <w:basedOn w:val="DefaultParagraphFont"/>
    <w:rsid w:val="00183D4F"/>
  </w:style>
  <w:style w:type="character" w:customStyle="1" w:styleId="cit-sep">
    <w:name w:val="cit-sep"/>
    <w:basedOn w:val="DefaultParagraphFont"/>
    <w:rsid w:val="00183D4F"/>
  </w:style>
  <w:style w:type="character" w:customStyle="1" w:styleId="apple-converted-space">
    <w:name w:val="apple-converted-space"/>
    <w:basedOn w:val="DefaultParagraphFont"/>
    <w:rsid w:val="00183D4F"/>
  </w:style>
  <w:style w:type="character" w:customStyle="1" w:styleId="cit-subtitle">
    <w:name w:val="cit-subtitle"/>
    <w:basedOn w:val="DefaultParagraphFont"/>
    <w:rsid w:val="00183D4F"/>
  </w:style>
  <w:style w:type="character" w:customStyle="1" w:styleId="site-title">
    <w:name w:val="site-title"/>
    <w:basedOn w:val="DefaultParagraphFont"/>
    <w:rsid w:val="00183D4F"/>
  </w:style>
  <w:style w:type="character" w:customStyle="1" w:styleId="cit-print-date">
    <w:name w:val="cit-print-date"/>
    <w:basedOn w:val="DefaultParagraphFont"/>
    <w:rsid w:val="00183D4F"/>
  </w:style>
  <w:style w:type="character" w:customStyle="1" w:styleId="cit-vol">
    <w:name w:val="cit-vol"/>
    <w:basedOn w:val="DefaultParagraphFont"/>
    <w:rsid w:val="00183D4F"/>
  </w:style>
  <w:style w:type="character" w:customStyle="1" w:styleId="cit-first-page">
    <w:name w:val="cit-first-page"/>
    <w:basedOn w:val="DefaultParagraphFont"/>
    <w:rsid w:val="00183D4F"/>
  </w:style>
  <w:style w:type="character" w:customStyle="1" w:styleId="cit-last-page">
    <w:name w:val="cit-last-page"/>
    <w:basedOn w:val="DefaultParagraphFont"/>
    <w:rsid w:val="00183D4F"/>
  </w:style>
  <w:style w:type="paragraph" w:styleId="BalloonText">
    <w:name w:val="Balloon Text"/>
    <w:basedOn w:val="Normal"/>
    <w:link w:val="BalloonTextChar"/>
    <w:uiPriority w:val="99"/>
    <w:semiHidden/>
    <w:unhideWhenUsed/>
    <w:rsid w:val="00A8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77E57"/>
    <w:rPr>
      <w:i/>
      <w:iCs/>
    </w:rPr>
  </w:style>
  <w:style w:type="paragraph" w:styleId="NormalWeb">
    <w:name w:val="Normal (Web)"/>
    <w:basedOn w:val="Normal"/>
    <w:uiPriority w:val="99"/>
    <w:unhideWhenUsed/>
    <w:rsid w:val="00B82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1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3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8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3D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it-auth">
    <w:name w:val="cit-auth"/>
    <w:basedOn w:val="DefaultParagraphFont"/>
    <w:rsid w:val="00183D4F"/>
  </w:style>
  <w:style w:type="character" w:customStyle="1" w:styleId="cit-sep">
    <w:name w:val="cit-sep"/>
    <w:basedOn w:val="DefaultParagraphFont"/>
    <w:rsid w:val="00183D4F"/>
  </w:style>
  <w:style w:type="character" w:customStyle="1" w:styleId="apple-converted-space">
    <w:name w:val="apple-converted-space"/>
    <w:basedOn w:val="DefaultParagraphFont"/>
    <w:rsid w:val="00183D4F"/>
  </w:style>
  <w:style w:type="character" w:customStyle="1" w:styleId="cit-subtitle">
    <w:name w:val="cit-subtitle"/>
    <w:basedOn w:val="DefaultParagraphFont"/>
    <w:rsid w:val="00183D4F"/>
  </w:style>
  <w:style w:type="character" w:customStyle="1" w:styleId="site-title">
    <w:name w:val="site-title"/>
    <w:basedOn w:val="DefaultParagraphFont"/>
    <w:rsid w:val="00183D4F"/>
  </w:style>
  <w:style w:type="character" w:customStyle="1" w:styleId="cit-print-date">
    <w:name w:val="cit-print-date"/>
    <w:basedOn w:val="DefaultParagraphFont"/>
    <w:rsid w:val="00183D4F"/>
  </w:style>
  <w:style w:type="character" w:customStyle="1" w:styleId="cit-vol">
    <w:name w:val="cit-vol"/>
    <w:basedOn w:val="DefaultParagraphFont"/>
    <w:rsid w:val="00183D4F"/>
  </w:style>
  <w:style w:type="character" w:customStyle="1" w:styleId="cit-first-page">
    <w:name w:val="cit-first-page"/>
    <w:basedOn w:val="DefaultParagraphFont"/>
    <w:rsid w:val="00183D4F"/>
  </w:style>
  <w:style w:type="character" w:customStyle="1" w:styleId="cit-last-page">
    <w:name w:val="cit-last-page"/>
    <w:basedOn w:val="DefaultParagraphFont"/>
    <w:rsid w:val="00183D4F"/>
  </w:style>
  <w:style w:type="paragraph" w:styleId="BalloonText">
    <w:name w:val="Balloon Text"/>
    <w:basedOn w:val="Normal"/>
    <w:link w:val="BalloonTextChar"/>
    <w:uiPriority w:val="99"/>
    <w:semiHidden/>
    <w:unhideWhenUsed/>
    <w:rsid w:val="00A8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77E57"/>
    <w:rPr>
      <w:i/>
      <w:iCs/>
    </w:rPr>
  </w:style>
  <w:style w:type="paragraph" w:styleId="NormalWeb">
    <w:name w:val="Normal (Web)"/>
    <w:basedOn w:val="Normal"/>
    <w:uiPriority w:val="99"/>
    <w:unhideWhenUsed/>
    <w:rsid w:val="00B82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1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iona2.spotswood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1BD4-280D-4EF3-BBF1-72A113D2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Spotswood</dc:creator>
  <cp:lastModifiedBy>Fiona Wilson</cp:lastModifiedBy>
  <cp:revision>7</cp:revision>
  <dcterms:created xsi:type="dcterms:W3CDTF">2014-09-01T11:49:00Z</dcterms:created>
  <dcterms:modified xsi:type="dcterms:W3CDTF">2014-09-01T12:06:00Z</dcterms:modified>
</cp:coreProperties>
</file>