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2FCF7" w14:textId="77777777" w:rsidR="005132B5" w:rsidRDefault="00B40664" w:rsidP="0051540B">
      <w:pPr>
        <w:pStyle w:val="Heading1"/>
        <w:numPr>
          <w:ilvl w:val="0"/>
          <w:numId w:val="0"/>
        </w:numPr>
        <w:spacing w:after="120"/>
        <w:jc w:val="center"/>
        <w:rPr>
          <w:b/>
        </w:rPr>
      </w:pPr>
      <w:r w:rsidRPr="00A075CF">
        <w:t>CHAPTER 6</w:t>
      </w:r>
      <w:r>
        <w:t>1</w:t>
      </w:r>
    </w:p>
    <w:p w14:paraId="04AAA116" w14:textId="4977E660" w:rsidR="005132B5" w:rsidRDefault="00B40664" w:rsidP="0051540B">
      <w:pPr>
        <w:pStyle w:val="Heading1"/>
        <w:numPr>
          <w:ilvl w:val="0"/>
          <w:numId w:val="0"/>
        </w:numPr>
        <w:spacing w:after="120"/>
        <w:jc w:val="center"/>
      </w:pPr>
      <w:r w:rsidRPr="00A075CF">
        <w:t>SPECIAL RULES ON WOMEN</w:t>
      </w:r>
    </w:p>
    <w:p w14:paraId="132D674B" w14:textId="28169227" w:rsidR="00B40664" w:rsidRPr="00D01EEF" w:rsidRDefault="00B40664" w:rsidP="00AB5082">
      <w:pPr>
        <w:spacing w:after="120" w:line="360" w:lineRule="auto"/>
        <w:jc w:val="center"/>
      </w:pPr>
      <w:proofErr w:type="spellStart"/>
      <w:r w:rsidRPr="00D01EEF">
        <w:t>Noëlle</w:t>
      </w:r>
      <w:proofErr w:type="spellEnd"/>
      <w:r w:rsidRPr="00D01EEF">
        <w:t xml:space="preserve"> </w:t>
      </w:r>
      <w:proofErr w:type="spellStart"/>
      <w:r w:rsidRPr="00D01EEF">
        <w:t>Quénivet</w:t>
      </w:r>
      <w:proofErr w:type="spellEnd"/>
      <w:r w:rsidRPr="00D01EEF">
        <w:rPr>
          <w:rStyle w:val="FootnoteReference"/>
        </w:rPr>
        <w:footnoteReference w:customMarkFollows="1" w:id="1"/>
        <w:t>*</w:t>
      </w:r>
    </w:p>
    <w:p w14:paraId="4FE05DE5" w14:textId="04F1B14C" w:rsidR="00B40664" w:rsidRPr="0051540B" w:rsidRDefault="00F161A8" w:rsidP="00AB5082">
      <w:pPr>
        <w:spacing w:after="120" w:line="360" w:lineRule="auto"/>
        <w:rPr>
          <w:lang w:val="fr-CH"/>
        </w:rPr>
      </w:pPr>
      <w:r w:rsidRPr="0051540B">
        <w:rPr>
          <w:lang w:val="fr-CH"/>
        </w:rPr>
        <w:t>Contents</w:t>
      </w:r>
    </w:p>
    <w:p w14:paraId="6D7EF620" w14:textId="77777777" w:rsidR="00B40664" w:rsidRPr="0051540B" w:rsidRDefault="00B40664" w:rsidP="00AB5082">
      <w:pPr>
        <w:spacing w:after="120" w:line="360" w:lineRule="auto"/>
        <w:rPr>
          <w:lang w:val="fr-CH"/>
        </w:rPr>
      </w:pPr>
      <w:r w:rsidRPr="0051540B">
        <w:rPr>
          <w:lang w:val="fr-CH"/>
        </w:rPr>
        <w:t xml:space="preserve">A. </w:t>
      </w:r>
      <w:proofErr w:type="spellStart"/>
      <w:r w:rsidR="00734B53" w:rsidRPr="0051540B">
        <w:rPr>
          <w:lang w:val="fr-CH"/>
        </w:rPr>
        <w:t>Contextual</w:t>
      </w:r>
      <w:proofErr w:type="spellEnd"/>
      <w:r w:rsidR="00734B53" w:rsidRPr="0051540B">
        <w:rPr>
          <w:lang w:val="fr-CH"/>
        </w:rPr>
        <w:t xml:space="preserve"> </w:t>
      </w:r>
      <w:r w:rsidRPr="0051540B">
        <w:rPr>
          <w:lang w:val="fr-CH"/>
        </w:rPr>
        <w:t>Introduction</w:t>
      </w:r>
    </w:p>
    <w:p w14:paraId="3AB524F5" w14:textId="77777777" w:rsidR="00B40664" w:rsidRPr="004A3739" w:rsidRDefault="00B40664" w:rsidP="00AB5082">
      <w:pPr>
        <w:numPr>
          <w:ilvl w:val="0"/>
          <w:numId w:val="11"/>
        </w:numPr>
        <w:spacing w:after="120" w:line="360" w:lineRule="auto"/>
      </w:pPr>
      <w:r>
        <w:t>Meaning a</w:t>
      </w:r>
      <w:r w:rsidRPr="004A3739">
        <w:t>nd Application</w:t>
      </w:r>
    </w:p>
    <w:p w14:paraId="5257A43E" w14:textId="77777777" w:rsidR="00B40664" w:rsidRDefault="00B40664" w:rsidP="00AB5082">
      <w:pPr>
        <w:numPr>
          <w:ilvl w:val="1"/>
          <w:numId w:val="2"/>
        </w:numPr>
        <w:spacing w:after="120" w:line="360" w:lineRule="auto"/>
      </w:pPr>
      <w:r>
        <w:t xml:space="preserve">Protection of </w:t>
      </w:r>
      <w:r w:rsidR="002175AB">
        <w:t>w</w:t>
      </w:r>
      <w:r>
        <w:t>omen</w:t>
      </w:r>
    </w:p>
    <w:p w14:paraId="0744C52E" w14:textId="77777777" w:rsidR="00B40664" w:rsidRDefault="00B40664" w:rsidP="00AB5082">
      <w:pPr>
        <w:numPr>
          <w:ilvl w:val="1"/>
          <w:numId w:val="2"/>
        </w:numPr>
        <w:spacing w:after="120" w:line="360" w:lineRule="auto"/>
      </w:pPr>
      <w:r>
        <w:t xml:space="preserve">Protection of </w:t>
      </w:r>
      <w:r w:rsidR="002175AB">
        <w:t>specific categories of women</w:t>
      </w:r>
    </w:p>
    <w:p w14:paraId="744D2357" w14:textId="77777777" w:rsidR="00B40664" w:rsidRDefault="00B40664" w:rsidP="00AB5082">
      <w:pPr>
        <w:numPr>
          <w:ilvl w:val="2"/>
          <w:numId w:val="2"/>
        </w:numPr>
        <w:spacing w:after="120" w:line="360" w:lineRule="auto"/>
      </w:pPr>
      <w:r>
        <w:t xml:space="preserve">Grounds for </w:t>
      </w:r>
      <w:r w:rsidR="002175AB">
        <w:t>preferential treatment</w:t>
      </w:r>
    </w:p>
    <w:p w14:paraId="4E51B232" w14:textId="77777777" w:rsidR="00B40664" w:rsidRDefault="00B40664" w:rsidP="00AB5082">
      <w:pPr>
        <w:numPr>
          <w:ilvl w:val="2"/>
          <w:numId w:val="2"/>
        </w:numPr>
        <w:spacing w:after="120" w:line="360" w:lineRule="auto"/>
      </w:pPr>
      <w:r>
        <w:t xml:space="preserve">Personal </w:t>
      </w:r>
      <w:r w:rsidR="002175AB">
        <w:t>s</w:t>
      </w:r>
      <w:r>
        <w:t>afety</w:t>
      </w:r>
    </w:p>
    <w:p w14:paraId="2F2E1017" w14:textId="77777777" w:rsidR="00B40664" w:rsidRDefault="00B40664" w:rsidP="00AB5082">
      <w:pPr>
        <w:numPr>
          <w:ilvl w:val="2"/>
          <w:numId w:val="2"/>
        </w:numPr>
        <w:spacing w:after="120" w:line="360" w:lineRule="auto"/>
      </w:pPr>
      <w:r>
        <w:t xml:space="preserve">Health, </w:t>
      </w:r>
      <w:r w:rsidR="002175AB">
        <w:t>food, and household items</w:t>
      </w:r>
    </w:p>
    <w:p w14:paraId="152C19BA" w14:textId="77777777" w:rsidR="00B40664" w:rsidRDefault="00B40664" w:rsidP="00AB5082">
      <w:pPr>
        <w:numPr>
          <w:ilvl w:val="1"/>
          <w:numId w:val="2"/>
        </w:numPr>
        <w:spacing w:after="120" w:line="360" w:lineRule="auto"/>
      </w:pPr>
      <w:r>
        <w:t xml:space="preserve">Protection of </w:t>
      </w:r>
      <w:r w:rsidR="002175AB">
        <w:t>women detainees</w:t>
      </w:r>
    </w:p>
    <w:p w14:paraId="57E3A01A" w14:textId="77777777" w:rsidR="00B40664" w:rsidRDefault="00B40664" w:rsidP="00AB5082">
      <w:pPr>
        <w:numPr>
          <w:ilvl w:val="2"/>
          <w:numId w:val="2"/>
        </w:numPr>
        <w:spacing w:after="120" w:line="360" w:lineRule="auto"/>
      </w:pPr>
      <w:r>
        <w:t>Quarters</w:t>
      </w:r>
    </w:p>
    <w:p w14:paraId="5281F3BD" w14:textId="77777777" w:rsidR="00B40664" w:rsidRDefault="00B40664" w:rsidP="00AB5082">
      <w:pPr>
        <w:numPr>
          <w:ilvl w:val="2"/>
          <w:numId w:val="2"/>
        </w:numPr>
        <w:spacing w:after="120" w:line="360" w:lineRule="auto"/>
      </w:pPr>
      <w:r>
        <w:t>Sanitation</w:t>
      </w:r>
    </w:p>
    <w:p w14:paraId="5E7081E2" w14:textId="77777777" w:rsidR="00B40664" w:rsidRDefault="00B40664" w:rsidP="00AB5082">
      <w:pPr>
        <w:numPr>
          <w:ilvl w:val="2"/>
          <w:numId w:val="2"/>
        </w:numPr>
        <w:spacing w:after="120" w:line="360" w:lineRule="auto"/>
      </w:pPr>
      <w:r>
        <w:t xml:space="preserve">Health and </w:t>
      </w:r>
      <w:r w:rsidR="002175AB">
        <w:t>medical care</w:t>
      </w:r>
    </w:p>
    <w:p w14:paraId="1D33AE58" w14:textId="77777777" w:rsidR="00B40664" w:rsidRDefault="00B40664" w:rsidP="00AB5082">
      <w:pPr>
        <w:numPr>
          <w:ilvl w:val="2"/>
          <w:numId w:val="2"/>
        </w:numPr>
        <w:spacing w:after="120" w:line="360" w:lineRule="auto"/>
      </w:pPr>
      <w:r>
        <w:t xml:space="preserve">Food and </w:t>
      </w:r>
      <w:r w:rsidR="002175AB">
        <w:t>w</w:t>
      </w:r>
      <w:r>
        <w:t xml:space="preserve">ork </w:t>
      </w:r>
    </w:p>
    <w:p w14:paraId="62B42761" w14:textId="77777777" w:rsidR="00B40664" w:rsidRDefault="00B40664" w:rsidP="00AB5082">
      <w:pPr>
        <w:numPr>
          <w:ilvl w:val="2"/>
          <w:numId w:val="2"/>
        </w:numPr>
        <w:spacing w:after="120" w:line="360" w:lineRule="auto"/>
      </w:pPr>
      <w:r>
        <w:t xml:space="preserve">Execution of </w:t>
      </w:r>
      <w:r w:rsidR="002175AB">
        <w:t>p</w:t>
      </w:r>
      <w:r>
        <w:t>enalties</w:t>
      </w:r>
    </w:p>
    <w:p w14:paraId="3457A408" w14:textId="77777777" w:rsidR="00B40664" w:rsidRDefault="00B40664" w:rsidP="00AB5082">
      <w:pPr>
        <w:numPr>
          <w:ilvl w:val="2"/>
          <w:numId w:val="2"/>
        </w:numPr>
        <w:spacing w:after="120" w:line="360" w:lineRule="auto"/>
      </w:pPr>
      <w:r>
        <w:t>Release</w:t>
      </w:r>
    </w:p>
    <w:p w14:paraId="213CA10C" w14:textId="472B5CE4" w:rsidR="00B40664" w:rsidRDefault="00B40664" w:rsidP="00AB5082">
      <w:pPr>
        <w:numPr>
          <w:ilvl w:val="0"/>
          <w:numId w:val="11"/>
        </w:numPr>
        <w:spacing w:after="120" w:line="360" w:lineRule="auto"/>
      </w:pPr>
      <w:r>
        <w:t>Relevan</w:t>
      </w:r>
      <w:r w:rsidR="005C50B1">
        <w:t>ce</w:t>
      </w:r>
      <w:r>
        <w:t xml:space="preserve"> in Non-International Armed Conflict</w:t>
      </w:r>
      <w:r w:rsidR="005C50B1">
        <w:t>s</w:t>
      </w:r>
    </w:p>
    <w:p w14:paraId="2DFB108B" w14:textId="17CDC044" w:rsidR="00B40664" w:rsidRDefault="00B40664" w:rsidP="00AB5082">
      <w:pPr>
        <w:numPr>
          <w:ilvl w:val="0"/>
          <w:numId w:val="11"/>
        </w:numPr>
        <w:spacing w:after="120" w:line="360" w:lineRule="auto"/>
      </w:pPr>
      <w:r>
        <w:t>Legal Consequences of</w:t>
      </w:r>
      <w:r w:rsidR="004A3F72">
        <w:t xml:space="preserve"> </w:t>
      </w:r>
      <w:r>
        <w:t>Violation</w:t>
      </w:r>
      <w:r w:rsidR="00AB5082">
        <w:t>s of the Norms</w:t>
      </w:r>
      <w:r w:rsidR="005C50B1">
        <w:t xml:space="preserve"> </w:t>
      </w:r>
    </w:p>
    <w:p w14:paraId="13B66D68" w14:textId="77777777" w:rsidR="00B40664" w:rsidRDefault="00B40664" w:rsidP="00AB5082">
      <w:pPr>
        <w:numPr>
          <w:ilvl w:val="1"/>
          <w:numId w:val="11"/>
        </w:numPr>
        <w:spacing w:after="120" w:line="360" w:lineRule="auto"/>
      </w:pPr>
      <w:r>
        <w:t xml:space="preserve">State </w:t>
      </w:r>
      <w:r w:rsidR="002175AB">
        <w:t>r</w:t>
      </w:r>
      <w:r>
        <w:t xml:space="preserve">esponsibility </w:t>
      </w:r>
    </w:p>
    <w:p w14:paraId="588FD824" w14:textId="77777777" w:rsidR="00B40664" w:rsidRDefault="00B40664" w:rsidP="00AB5082">
      <w:pPr>
        <w:numPr>
          <w:ilvl w:val="1"/>
          <w:numId w:val="11"/>
        </w:numPr>
        <w:spacing w:after="120" w:line="360" w:lineRule="auto"/>
      </w:pPr>
      <w:r>
        <w:t xml:space="preserve">Criminal </w:t>
      </w:r>
      <w:r w:rsidR="002175AB">
        <w:t>r</w:t>
      </w:r>
      <w:r>
        <w:t>esponsibility</w:t>
      </w:r>
    </w:p>
    <w:p w14:paraId="2163C11C" w14:textId="77777777" w:rsidR="00B40664" w:rsidRDefault="00B40664" w:rsidP="00AB5082">
      <w:pPr>
        <w:numPr>
          <w:ilvl w:val="1"/>
          <w:numId w:val="11"/>
        </w:numPr>
        <w:spacing w:after="120" w:line="360" w:lineRule="auto"/>
      </w:pPr>
      <w:r>
        <w:t>The Security Council</w:t>
      </w:r>
    </w:p>
    <w:p w14:paraId="0AF41575" w14:textId="77777777" w:rsidR="00B40664" w:rsidRDefault="00B40664" w:rsidP="00AB5082">
      <w:pPr>
        <w:numPr>
          <w:ilvl w:val="0"/>
          <w:numId w:val="11"/>
        </w:numPr>
        <w:spacing w:after="120" w:line="360" w:lineRule="auto"/>
      </w:pPr>
      <w:r>
        <w:t>Critical Assessment</w:t>
      </w:r>
    </w:p>
    <w:p w14:paraId="50E7EB84" w14:textId="77777777" w:rsidR="00B40664" w:rsidRDefault="00B40664" w:rsidP="00AB5082">
      <w:pPr>
        <w:numPr>
          <w:ilvl w:val="1"/>
          <w:numId w:val="11"/>
        </w:numPr>
        <w:spacing w:after="120" w:line="360" w:lineRule="auto"/>
      </w:pPr>
      <w:r>
        <w:t xml:space="preserve">Women and </w:t>
      </w:r>
      <w:r w:rsidR="002175AB">
        <w:t>v</w:t>
      </w:r>
      <w:r>
        <w:t>ulnerability</w:t>
      </w:r>
    </w:p>
    <w:p w14:paraId="6C4301C4" w14:textId="77777777" w:rsidR="00B40664" w:rsidRDefault="00B40664" w:rsidP="00AB5082">
      <w:pPr>
        <w:numPr>
          <w:ilvl w:val="1"/>
          <w:numId w:val="11"/>
        </w:numPr>
        <w:spacing w:after="120" w:line="360" w:lineRule="auto"/>
      </w:pPr>
      <w:r>
        <w:lastRenderedPageBreak/>
        <w:t xml:space="preserve">Women and </w:t>
      </w:r>
      <w:r w:rsidR="002175AB">
        <w:t>c</w:t>
      </w:r>
      <w:r>
        <w:t>hildren</w:t>
      </w:r>
    </w:p>
    <w:p w14:paraId="760E6BE9" w14:textId="69BB4C90" w:rsidR="00B40664" w:rsidRDefault="00B40664" w:rsidP="00AB5082">
      <w:pPr>
        <w:numPr>
          <w:ilvl w:val="1"/>
          <w:numId w:val="11"/>
        </w:numPr>
        <w:spacing w:after="120" w:line="360" w:lineRule="auto"/>
      </w:pPr>
      <w:r>
        <w:t>Gender</w:t>
      </w:r>
    </w:p>
    <w:p w14:paraId="224ECA13" w14:textId="77777777" w:rsidR="00B40664" w:rsidRDefault="00B40664" w:rsidP="00AB5082">
      <w:pPr>
        <w:spacing w:after="120" w:line="360" w:lineRule="auto"/>
      </w:pPr>
    </w:p>
    <w:p w14:paraId="43AAFB44" w14:textId="77777777" w:rsidR="005132B5" w:rsidRDefault="00D759BE" w:rsidP="0051540B">
      <w:pPr>
        <w:pStyle w:val="Heading1"/>
        <w:numPr>
          <w:ilvl w:val="0"/>
          <w:numId w:val="23"/>
        </w:numPr>
        <w:spacing w:after="120"/>
      </w:pPr>
      <w:r>
        <w:t xml:space="preserve">Contextual </w:t>
      </w:r>
      <w:r w:rsidR="00B40664" w:rsidRPr="004A3739">
        <w:t>Introduction</w:t>
      </w:r>
    </w:p>
    <w:p w14:paraId="11763AAB" w14:textId="77777777" w:rsidR="00B40664" w:rsidRPr="004A3739" w:rsidRDefault="00B40664" w:rsidP="00AB5082">
      <w:pPr>
        <w:spacing w:after="120" w:line="360" w:lineRule="auto"/>
        <w:ind w:left="1068"/>
      </w:pPr>
    </w:p>
    <w:p w14:paraId="7FB57939" w14:textId="1DCCA917" w:rsidR="008176AE" w:rsidRDefault="00B40664" w:rsidP="00AB5082">
      <w:pPr>
        <w:numPr>
          <w:ilvl w:val="0"/>
          <w:numId w:val="13"/>
        </w:numPr>
        <w:spacing w:after="120" w:line="360" w:lineRule="auto"/>
      </w:pPr>
      <w:r w:rsidRPr="004A3739">
        <w:t xml:space="preserve">International </w:t>
      </w:r>
      <w:r>
        <w:t>h</w:t>
      </w:r>
      <w:r w:rsidRPr="004A3739">
        <w:t xml:space="preserve">umanitarian </w:t>
      </w:r>
      <w:r>
        <w:t>l</w:t>
      </w:r>
      <w:r w:rsidRPr="004A3739">
        <w:t>aw</w:t>
      </w:r>
      <w:r>
        <w:t xml:space="preserve"> (IHL)</w:t>
      </w:r>
      <w:r w:rsidRPr="004A3739">
        <w:t xml:space="preserve"> does not distinguish</w:t>
      </w:r>
      <w:r>
        <w:t xml:space="preserve"> between</w:t>
      </w:r>
      <w:r w:rsidRPr="004A3739">
        <w:t xml:space="preserve"> individuals on the basis of sex. Women are </w:t>
      </w:r>
      <w:r>
        <w:t>afforded</w:t>
      </w:r>
      <w:r w:rsidRPr="004A3739">
        <w:t xml:space="preserve"> the same protection as </w:t>
      </w:r>
      <w:r w:rsidR="00AB5082">
        <w:t>is</w:t>
      </w:r>
      <w:r w:rsidRPr="004A3739">
        <w:t xml:space="preserve"> given to men and may not be discriminated against.</w:t>
      </w:r>
      <w:r w:rsidR="00D259C3">
        <w:rPr>
          <w:rStyle w:val="FootnoteReference"/>
        </w:rPr>
        <w:footnoteReference w:id="2"/>
      </w:r>
      <w:r w:rsidRPr="004A3739">
        <w:t xml:space="preserve"> Consequently, women benefit from the general protections offered by </w:t>
      </w:r>
      <w:r>
        <w:t>the Geneva Conventions (GCs)</w:t>
      </w:r>
      <w:r w:rsidRPr="004A3739">
        <w:t xml:space="preserve">, including those </w:t>
      </w:r>
      <w:r w:rsidR="001920C5">
        <w:t>relating to</w:t>
      </w:r>
      <w:r w:rsidR="001920C5" w:rsidRPr="004A3739">
        <w:t xml:space="preserve"> </w:t>
      </w:r>
      <w:r w:rsidRPr="004A3739">
        <w:t>combatants (Article</w:t>
      </w:r>
      <w:r>
        <w:t>s</w:t>
      </w:r>
      <w:r w:rsidRPr="004A3739">
        <w:t xml:space="preserve"> </w:t>
      </w:r>
      <w:r>
        <w:t xml:space="preserve">14 and </w:t>
      </w:r>
      <w:r w:rsidRPr="004A3739">
        <w:t xml:space="preserve">16 GC III), </w:t>
      </w:r>
      <w:r w:rsidR="00AB5082">
        <w:t xml:space="preserve">the </w:t>
      </w:r>
      <w:r w:rsidRPr="004A3739">
        <w:t>wounded, sick</w:t>
      </w:r>
      <w:r w:rsidR="00AB5082">
        <w:t>,</w:t>
      </w:r>
      <w:r w:rsidRPr="004A3739">
        <w:t xml:space="preserve"> and shipwrecked (Article</w:t>
      </w:r>
      <w:r w:rsidR="00A90E95">
        <w:t>s</w:t>
      </w:r>
      <w:r w:rsidRPr="004A3739">
        <w:t xml:space="preserve"> 12 GC I and GC II), </w:t>
      </w:r>
      <w:r w:rsidR="001920C5">
        <w:t xml:space="preserve">and </w:t>
      </w:r>
      <w:r w:rsidRPr="004A3739">
        <w:t xml:space="preserve">civilians and persons detained in connection with an armed conflict (Articles 13 and </w:t>
      </w:r>
      <w:r>
        <w:t>27(3) GC IV). Whilst the inclusion of the principle of non-adverse distinction was an achievement at the time of the writing of the Convention</w:t>
      </w:r>
      <w:r w:rsidR="008176AE">
        <w:t>s,</w:t>
      </w:r>
      <w:r>
        <w:t xml:space="preserve"> it is now considered an essential norm in treaty</w:t>
      </w:r>
      <w:r>
        <w:rPr>
          <w:rStyle w:val="FootnoteReference"/>
        </w:rPr>
        <w:footnoteReference w:id="3"/>
      </w:r>
      <w:r>
        <w:t xml:space="preserve"> IHL</w:t>
      </w:r>
      <w:r w:rsidR="008176AE">
        <w:t>,</w:t>
      </w:r>
      <w:r w:rsidR="001920C5">
        <w:t xml:space="preserve"> and </w:t>
      </w:r>
      <w:r w:rsidR="008176AE">
        <w:t xml:space="preserve">is </w:t>
      </w:r>
      <w:r w:rsidR="001920C5">
        <w:t xml:space="preserve">accepted, though under </w:t>
      </w:r>
      <w:r>
        <w:t>the principle of non-discrimination</w:t>
      </w:r>
      <w:r w:rsidR="00933114">
        <w:t xml:space="preserve"> (Chapter 10)</w:t>
      </w:r>
      <w:r w:rsidR="001920C5">
        <w:t>, in customary IHL</w:t>
      </w:r>
      <w:r w:rsidR="001920C5">
        <w:rPr>
          <w:rStyle w:val="FootnoteReference"/>
        </w:rPr>
        <w:footnoteReference w:id="4"/>
      </w:r>
      <w:r w:rsidR="001920C5">
        <w:t xml:space="preserve"> and international human rights law (IHRL)</w:t>
      </w:r>
      <w:r>
        <w:t>.</w:t>
      </w:r>
      <w:r>
        <w:rPr>
          <w:rStyle w:val="FootnoteReference"/>
        </w:rPr>
        <w:footnoteReference w:id="5"/>
      </w:r>
      <w:r>
        <w:t xml:space="preserve"> In relation to women more specifically, this principle is enshrined in Article 2 </w:t>
      </w:r>
      <w:r w:rsidR="008176AE">
        <w:t xml:space="preserve">of the </w:t>
      </w:r>
      <w:r>
        <w:t xml:space="preserve">Convention on the Elimination of Discrimination </w:t>
      </w:r>
      <w:proofErr w:type="gramStart"/>
      <w:r>
        <w:t>Against</w:t>
      </w:r>
      <w:proofErr w:type="gramEnd"/>
      <w:r>
        <w:t xml:space="preserve"> Women</w:t>
      </w:r>
      <w:r w:rsidR="008176AE">
        <w:t xml:space="preserve"> (1979)</w:t>
      </w:r>
      <w:r>
        <w:t xml:space="preserve"> (CEDAW).</w:t>
      </w:r>
      <w:r w:rsidR="008176AE" w:rsidDel="008176AE">
        <w:rPr>
          <w:rStyle w:val="FootnoteReference"/>
        </w:rPr>
        <w:t xml:space="preserve"> </w:t>
      </w:r>
    </w:p>
    <w:p w14:paraId="2D7AA65C" w14:textId="7AF81DF2" w:rsidR="00B40664" w:rsidRDefault="00B40664" w:rsidP="00AB5082">
      <w:pPr>
        <w:numPr>
          <w:ilvl w:val="0"/>
          <w:numId w:val="13"/>
        </w:numPr>
        <w:spacing w:after="120" w:line="360" w:lineRule="auto"/>
      </w:pPr>
      <w:r w:rsidRPr="004A3739">
        <w:t xml:space="preserve">Yet whilst the </w:t>
      </w:r>
      <w:r>
        <w:t>G</w:t>
      </w:r>
      <w:r w:rsidR="00D85F3A">
        <w:t xml:space="preserve">eneva </w:t>
      </w:r>
      <w:r>
        <w:t>C</w:t>
      </w:r>
      <w:r w:rsidR="00D85F3A">
        <w:t>onvention</w:t>
      </w:r>
      <w:r>
        <w:t>s</w:t>
      </w:r>
      <w:r w:rsidRPr="004A3739">
        <w:t xml:space="preserve"> stress that no </w:t>
      </w:r>
      <w:r>
        <w:t xml:space="preserve">adverse </w:t>
      </w:r>
      <w:r w:rsidRPr="004A3739">
        <w:t xml:space="preserve">distinction based on sex should be made, women </w:t>
      </w:r>
      <w:r>
        <w:t xml:space="preserve">also </w:t>
      </w:r>
      <w:r w:rsidRPr="004A3739">
        <w:t>benefit from specific protection enshrined in these Conventions.</w:t>
      </w:r>
      <w:r w:rsidR="00D259C3">
        <w:rPr>
          <w:rStyle w:val="FootnoteReference"/>
        </w:rPr>
        <w:footnoteReference w:id="6"/>
      </w:r>
      <w:r w:rsidRPr="004A3739">
        <w:t xml:space="preserve"> </w:t>
      </w:r>
      <w:r>
        <w:t xml:space="preserve">Differentiation on the basis of sex is allowed, </w:t>
      </w:r>
      <w:r w:rsidR="008176AE">
        <w:t xml:space="preserve">is </w:t>
      </w:r>
      <w:r>
        <w:t xml:space="preserve">even compulsory, </w:t>
      </w:r>
      <w:proofErr w:type="gramStart"/>
      <w:r>
        <w:t>provided</w:t>
      </w:r>
      <w:proofErr w:type="gramEnd"/>
      <w:r>
        <w:t xml:space="preserve"> its impact is favourable.</w:t>
      </w:r>
      <w:r>
        <w:rPr>
          <w:rStyle w:val="FootnoteReference"/>
        </w:rPr>
        <w:footnoteReference w:id="7"/>
      </w:r>
      <w:r>
        <w:t xml:space="preserve"> Formal equality, if applied in situations where individuals are essentially unequal, does not automatically lead to real equality. Given women’s lack of full participation in many societies</w:t>
      </w:r>
      <w:r w:rsidR="008176AE">
        <w:t>,</w:t>
      </w:r>
      <w:r>
        <w:t xml:space="preserve"> as well as their gender and </w:t>
      </w:r>
      <w:r>
        <w:lastRenderedPageBreak/>
        <w:t>biological roles, armed conflicts reinforce inequalities in society and increase women’s vulnerability.</w:t>
      </w:r>
      <w:r>
        <w:rPr>
          <w:rStyle w:val="FootnoteReference"/>
        </w:rPr>
        <w:footnoteReference w:id="8"/>
      </w:r>
      <w:r>
        <w:t xml:space="preserve"> Therefore IHL provides for special rules on women,</w:t>
      </w:r>
      <w:r>
        <w:rPr>
          <w:rStyle w:val="FootnoteReference"/>
        </w:rPr>
        <w:footnoteReference w:id="9"/>
      </w:r>
      <w:r>
        <w:t xml:space="preserve"> an approach </w:t>
      </w:r>
      <w:r w:rsidR="001920C5">
        <w:t xml:space="preserve">adopted </w:t>
      </w:r>
      <w:r>
        <w:t>by IHRL which encourages positive measures to fill in the discrimination gap.</w:t>
      </w:r>
      <w:r>
        <w:rPr>
          <w:rStyle w:val="FootnoteReference"/>
        </w:rPr>
        <w:footnoteReference w:id="10"/>
      </w:r>
      <w:r>
        <w:t xml:space="preserve"> </w:t>
      </w:r>
    </w:p>
    <w:p w14:paraId="7F8C1A27" w14:textId="01A5B956" w:rsidR="00B40664" w:rsidRDefault="00B40664" w:rsidP="00AB5082">
      <w:pPr>
        <w:numPr>
          <w:ilvl w:val="0"/>
          <w:numId w:val="13"/>
        </w:numPr>
        <w:spacing w:after="120" w:line="360" w:lineRule="auto"/>
      </w:pPr>
      <w:r>
        <w:t>The majority</w:t>
      </w:r>
      <w:r w:rsidRPr="004A3739">
        <w:t xml:space="preserve"> of these provisions relate to </w:t>
      </w:r>
      <w:r>
        <w:t>women’s</w:t>
      </w:r>
      <w:r w:rsidRPr="004A3739">
        <w:t xml:space="preserve"> status as civilians</w:t>
      </w:r>
      <w:r w:rsidR="00A90E95">
        <w:t>,</w:t>
      </w:r>
      <w:r>
        <w:t xml:space="preserve"> as </w:t>
      </w:r>
      <w:r w:rsidRPr="004A3739">
        <w:t>traditionally women rarely fall within the category of combatants.</w:t>
      </w:r>
      <w:r>
        <w:t xml:space="preserve"> T</w:t>
      </w:r>
      <w:r w:rsidRPr="004A3739">
        <w:t>he</w:t>
      </w:r>
      <w:r>
        <w:t xml:space="preserve"> </w:t>
      </w:r>
      <w:r w:rsidR="00F000F1">
        <w:t>United Nations</w:t>
      </w:r>
      <w:r w:rsidR="007126F7">
        <w:t xml:space="preserve"> (UN)</w:t>
      </w:r>
      <w:r w:rsidR="00F000F1">
        <w:t xml:space="preserve"> </w:t>
      </w:r>
      <w:r>
        <w:t>Security Council aptly summarizes the situation: ‘</w:t>
      </w:r>
      <w:r w:rsidR="00A90E95">
        <w:t>[I]</w:t>
      </w:r>
      <w:proofErr w:type="spellStart"/>
      <w:r w:rsidRPr="004A3739">
        <w:t>nternational</w:t>
      </w:r>
      <w:proofErr w:type="spellEnd"/>
      <w:r w:rsidRPr="004A3739">
        <w:t xml:space="preserve"> humanitarian law affords general protection to women </w:t>
      </w:r>
      <w:r w:rsidR="00A94E69">
        <w:t>[</w:t>
      </w:r>
      <w:r>
        <w:t>...</w:t>
      </w:r>
      <w:r w:rsidR="00A94E69">
        <w:t>]</w:t>
      </w:r>
      <w:r w:rsidRPr="004A3739">
        <w:t xml:space="preserve"> as part of the civilian population during armed conflicts and special protection due to the </w:t>
      </w:r>
      <w:r w:rsidR="00A90E95">
        <w:t>f</w:t>
      </w:r>
      <w:r w:rsidRPr="004A3739">
        <w:t xml:space="preserve">act that they can </w:t>
      </w:r>
      <w:r>
        <w:t>be placed particularly at risk.’</w:t>
      </w:r>
      <w:r w:rsidRPr="004A3739">
        <w:rPr>
          <w:rStyle w:val="FootnoteReference"/>
        </w:rPr>
        <w:footnoteReference w:id="11"/>
      </w:r>
      <w:r w:rsidRPr="00291B56">
        <w:t xml:space="preserve"> </w:t>
      </w:r>
      <w:r>
        <w:t>States involved in armed conflicts are urged to make all efforts ‘</w:t>
      </w:r>
      <w:r w:rsidRPr="004A3739">
        <w:t xml:space="preserve">to spare women </w:t>
      </w:r>
      <w:r w:rsidR="00A94E69">
        <w:t>[</w:t>
      </w:r>
      <w:r>
        <w:t>…</w:t>
      </w:r>
      <w:r w:rsidR="00A94E69">
        <w:t>]</w:t>
      </w:r>
      <w:r w:rsidRPr="004A3739">
        <w:t xml:space="preserve"> from the ravages of war</w:t>
      </w:r>
      <w:r>
        <w:t>’</w:t>
      </w:r>
      <w:r w:rsidR="00A90E95" w:rsidRPr="004A3739">
        <w:t>.</w:t>
      </w:r>
      <w:r w:rsidRPr="004A3739">
        <w:rPr>
          <w:rStyle w:val="FootnoteReference"/>
          <w:iCs w:val="0"/>
        </w:rPr>
        <w:footnoteReference w:id="12"/>
      </w:r>
    </w:p>
    <w:p w14:paraId="3CD44307" w14:textId="786E472A" w:rsidR="00B40664" w:rsidRPr="004A3739" w:rsidRDefault="00B40664" w:rsidP="00AB5082">
      <w:pPr>
        <w:numPr>
          <w:ilvl w:val="0"/>
          <w:numId w:val="13"/>
        </w:numPr>
        <w:spacing w:after="120" w:line="360" w:lineRule="auto"/>
      </w:pPr>
      <w:r w:rsidRPr="004A3739">
        <w:t xml:space="preserve">The common </w:t>
      </w:r>
      <w:r>
        <w:t>meaning</w:t>
      </w:r>
      <w:r w:rsidRPr="004A3739">
        <w:t xml:space="preserve"> of </w:t>
      </w:r>
      <w:r>
        <w:t>th</w:t>
      </w:r>
      <w:r w:rsidR="00A90E95">
        <w:t>ose</w:t>
      </w:r>
      <w:r w:rsidRPr="004A3739">
        <w:t xml:space="preserve"> provisions </w:t>
      </w:r>
      <w:r w:rsidR="00A90E95">
        <w:t xml:space="preserve">of the Geneva Conventions </w:t>
      </w:r>
      <w:r>
        <w:t>that mention</w:t>
      </w:r>
      <w:r w:rsidRPr="004A3739">
        <w:t xml:space="preserve"> </w:t>
      </w:r>
      <w:proofErr w:type="gramStart"/>
      <w:r w:rsidRPr="004A3739">
        <w:t>women</w:t>
      </w:r>
      <w:r w:rsidR="00A90E95">
        <w:t>,</w:t>
      </w:r>
      <w:proofErr w:type="gramEnd"/>
      <w:r w:rsidRPr="004A3739">
        <w:t xml:space="preserve"> is that </w:t>
      </w:r>
      <w:r>
        <w:t>women</w:t>
      </w:r>
      <w:r w:rsidRPr="004A3739">
        <w:t xml:space="preserve"> are </w:t>
      </w:r>
      <w:r>
        <w:t xml:space="preserve">viewed as being </w:t>
      </w:r>
      <w:r w:rsidRPr="004A3739">
        <w:t xml:space="preserve">at greater risk of suffering from the conflict. In </w:t>
      </w:r>
      <w:r>
        <w:t>IHL</w:t>
      </w:r>
      <w:r w:rsidRPr="004A3739">
        <w:t>, women are protected due to their vulnerability</w:t>
      </w:r>
      <w:r>
        <w:t xml:space="preserve"> in relation to sexual assault</w:t>
      </w:r>
      <w:r w:rsidR="00A90E95">
        <w:t>,</w:t>
      </w:r>
      <w:r>
        <w:t xml:space="preserve"> or in their roles as mothers or expect</w:t>
      </w:r>
      <w:r w:rsidR="00A90E95">
        <w:t>ant</w:t>
      </w:r>
      <w:r>
        <w:t xml:space="preserve"> mothers</w:t>
      </w:r>
      <w:r w:rsidRPr="004A3739">
        <w:t xml:space="preserve">. </w:t>
      </w:r>
      <w:r>
        <w:t>Moreover, f</w:t>
      </w:r>
      <w:r w:rsidRPr="004A3739">
        <w:t xml:space="preserve">alling into one </w:t>
      </w:r>
      <w:r w:rsidR="00247349">
        <w:t xml:space="preserve">of certain </w:t>
      </w:r>
      <w:r>
        <w:t>specifi</w:t>
      </w:r>
      <w:r w:rsidR="00247349">
        <w:t>ed</w:t>
      </w:r>
      <w:r w:rsidRPr="004A3739">
        <w:t xml:space="preserve"> categor</w:t>
      </w:r>
      <w:r w:rsidR="00247349">
        <w:t>ies</w:t>
      </w:r>
      <w:r>
        <w:t xml:space="preserve"> (pregnant women, maternity cases</w:t>
      </w:r>
      <w:r w:rsidR="00A90E95">
        <w:t>,</w:t>
      </w:r>
      <w:r>
        <w:t xml:space="preserve"> and mothers of children under seven years of age)</w:t>
      </w:r>
      <w:r w:rsidRPr="004A3739">
        <w:t xml:space="preserve"> means heightened protection. In contrast, </w:t>
      </w:r>
      <w:r>
        <w:t>IHRL</w:t>
      </w:r>
      <w:r w:rsidR="00A90E95">
        <w:t>,</w:t>
      </w:r>
      <w:r>
        <w:t xml:space="preserve"> which views women </w:t>
      </w:r>
      <w:r w:rsidRPr="004A3739">
        <w:t>as a vulnerable group in times of armed conflict</w:t>
      </w:r>
      <w:r w:rsidR="00A90E95">
        <w:t>,</w:t>
      </w:r>
      <w:r>
        <w:t xml:space="preserve"> </w:t>
      </w:r>
      <w:r w:rsidRPr="004A3739">
        <w:t>does not distinguish between these categories of women</w:t>
      </w:r>
      <w:r>
        <w:t>.</w:t>
      </w:r>
      <w:r w:rsidRPr="004A3739">
        <w:rPr>
          <w:rStyle w:val="FootnoteReference"/>
        </w:rPr>
        <w:footnoteReference w:id="13"/>
      </w:r>
      <w:r w:rsidR="00CE13AD">
        <w:t xml:space="preserve"> Whilst an in-depth discussion of why women civilians are particularly affected by violence in armed conflict is beyond the remit of this Commentary, we might recall, in the words of the Beijing Platform </w:t>
      </w:r>
      <w:proofErr w:type="gramStart"/>
      <w:r w:rsidR="00CE13AD">
        <w:lastRenderedPageBreak/>
        <w:t>for</w:t>
      </w:r>
      <w:proofErr w:type="gramEnd"/>
      <w:r w:rsidR="00CE13AD">
        <w:t xml:space="preserve"> Action, that this is tied to ‘their </w:t>
      </w:r>
      <w:r w:rsidR="00CE13AD" w:rsidRPr="004A3739">
        <w:t>status in society and their sex</w:t>
      </w:r>
      <w:r w:rsidR="00CE13AD">
        <w:t>’,</w:t>
      </w:r>
      <w:r w:rsidR="00CE13AD" w:rsidRPr="004A3739">
        <w:rPr>
          <w:rStyle w:val="FootnoteReference"/>
        </w:rPr>
        <w:footnoteReference w:id="14"/>
      </w:r>
      <w:r w:rsidR="00CE13AD">
        <w:t xml:space="preserve"> and that women are viewed as inferior.</w:t>
      </w:r>
      <w:r w:rsidR="00CE13AD">
        <w:rPr>
          <w:rStyle w:val="FootnoteReference"/>
        </w:rPr>
        <w:footnoteReference w:id="15"/>
      </w:r>
      <w:r w:rsidR="00CE13AD">
        <w:t xml:space="preserve"> This link between peacetime discrimination against women and abuse of women in armed conflict has been stressed by the Special Rapporteur on Violence against Women.</w:t>
      </w:r>
      <w:r w:rsidR="00CE13AD">
        <w:rPr>
          <w:rStyle w:val="FootnoteReference"/>
        </w:rPr>
        <w:footnoteReference w:id="16"/>
      </w:r>
    </w:p>
    <w:p w14:paraId="361C3CEF" w14:textId="77777777" w:rsidR="00B40664" w:rsidRDefault="00B40664" w:rsidP="00AB5082">
      <w:pPr>
        <w:spacing w:after="120" w:line="360" w:lineRule="auto"/>
      </w:pPr>
    </w:p>
    <w:p w14:paraId="745A6B0C" w14:textId="41D5FAE5" w:rsidR="00B40664" w:rsidRPr="004A3739" w:rsidRDefault="00B40664" w:rsidP="00AB5082">
      <w:pPr>
        <w:numPr>
          <w:ilvl w:val="0"/>
          <w:numId w:val="13"/>
        </w:numPr>
        <w:spacing w:after="120" w:line="360" w:lineRule="auto"/>
      </w:pPr>
      <w:r w:rsidRPr="004A3739">
        <w:t xml:space="preserve">The protection offered to women in armed conflict </w:t>
      </w:r>
      <w:r w:rsidR="00571EC8">
        <w:t>may</w:t>
      </w:r>
      <w:r w:rsidRPr="004A3739">
        <w:t xml:space="preserve"> be divided into two main </w:t>
      </w:r>
      <w:r>
        <w:t>categories</w:t>
      </w:r>
      <w:r w:rsidR="00571EC8">
        <w:t xml:space="preserve">, that is, </w:t>
      </w:r>
      <w:r w:rsidRPr="004A3739">
        <w:t>their protection a</w:t>
      </w:r>
      <w:r>
        <w:t>s ‘free individuals’</w:t>
      </w:r>
      <w:r w:rsidRPr="004A3739">
        <w:t xml:space="preserve"> and their protection as detainees, the former </w:t>
      </w:r>
      <w:r w:rsidR="00571EC8">
        <w:t xml:space="preserve">category being further </w:t>
      </w:r>
      <w:r w:rsidRPr="004A3739">
        <w:t>divided</w:t>
      </w:r>
      <w:r w:rsidR="00571EC8" w:rsidRPr="004A3739">
        <w:t xml:space="preserve"> </w:t>
      </w:r>
      <w:r w:rsidRPr="004A3739">
        <w:t xml:space="preserve">into the protection offered to all women and the protection offered to women who fulfil certain requirements. As </w:t>
      </w:r>
      <w:r>
        <w:t xml:space="preserve">‘civilians, particularly women </w:t>
      </w:r>
      <w:r w:rsidR="00A94E69">
        <w:t>[</w:t>
      </w:r>
      <w:r>
        <w:t>...</w:t>
      </w:r>
      <w:r w:rsidR="00A94E69">
        <w:t>]</w:t>
      </w:r>
      <w:r w:rsidRPr="004A3739">
        <w:t>, account for the vast majority of those advers</w:t>
      </w:r>
      <w:r>
        <w:t xml:space="preserve">ely affected by armed conflict </w:t>
      </w:r>
      <w:r w:rsidR="00A94E69">
        <w:t>[</w:t>
      </w:r>
      <w:r>
        <w:t>...</w:t>
      </w:r>
      <w:r w:rsidR="00A94E69">
        <w:t>]</w:t>
      </w:r>
      <w:r>
        <w:t>,</w:t>
      </w:r>
      <w:r w:rsidRPr="004A3739">
        <w:t xml:space="preserve"> and increasingly are targeted by combatants and armed elements</w:t>
      </w:r>
      <w:r>
        <w:t>’</w:t>
      </w:r>
      <w:r w:rsidRPr="004A3739">
        <w:t>,</w:t>
      </w:r>
      <w:r w:rsidRPr="004A3739">
        <w:rPr>
          <w:rStyle w:val="FootnoteReference"/>
        </w:rPr>
        <w:footnoteReference w:id="17"/>
      </w:r>
      <w:r w:rsidRPr="004A3739">
        <w:t xml:space="preserve"> ensuring their personal safety is </w:t>
      </w:r>
      <w:r w:rsidR="00CE13AD">
        <w:t>fundamental</w:t>
      </w:r>
      <w:r w:rsidR="00CE13AD" w:rsidRPr="004A3739">
        <w:t xml:space="preserve"> </w:t>
      </w:r>
      <w:r w:rsidR="00DF65FC" w:rsidRPr="00CE13AD">
        <w:t>(</w:t>
      </w:r>
      <w:r w:rsidR="00571EC8" w:rsidRPr="00CE13AD">
        <w:t xml:space="preserve">section </w:t>
      </w:r>
      <w:r w:rsidR="00DF65FC" w:rsidRPr="00CE13AD">
        <w:t>B.I</w:t>
      </w:r>
      <w:r w:rsidR="00C94EA1" w:rsidRPr="00CE13AD">
        <w:t>.</w:t>
      </w:r>
      <w:r w:rsidRPr="00CE13AD">
        <w:t>). Additional protection from the consequences of war is offered to mothers, whether expectant, having given birth</w:t>
      </w:r>
      <w:r w:rsidR="006A6AB5" w:rsidRPr="00CE13AD">
        <w:t>,</w:t>
      </w:r>
      <w:r w:rsidRPr="00CE13AD">
        <w:t xml:space="preserve"> or of a child under seven years of age </w:t>
      </w:r>
      <w:r w:rsidR="00DF65FC" w:rsidRPr="00CE13AD">
        <w:t>(</w:t>
      </w:r>
      <w:r w:rsidR="00571EC8" w:rsidRPr="00CE13AD">
        <w:t xml:space="preserve">section </w:t>
      </w:r>
      <w:r w:rsidR="00DF65FC" w:rsidRPr="00CE13AD">
        <w:t>B.II</w:t>
      </w:r>
      <w:r w:rsidR="00C94EA1" w:rsidRPr="00CE13AD">
        <w:t>.</w:t>
      </w:r>
      <w:r w:rsidR="00DF65FC" w:rsidRPr="00CE13AD">
        <w:t>).</w:t>
      </w:r>
      <w:r w:rsidRPr="00CE13AD">
        <w:t xml:space="preserve"> Last but not least</w:t>
      </w:r>
      <w:r w:rsidR="00571EC8" w:rsidRPr="00CE13AD">
        <w:t>,</w:t>
      </w:r>
      <w:r w:rsidRPr="00CE13AD">
        <w:t xml:space="preserve"> the </w:t>
      </w:r>
      <w:r w:rsidR="0019666A" w:rsidRPr="00CE13AD">
        <w:t>G</w:t>
      </w:r>
      <w:r w:rsidR="006A6AB5" w:rsidRPr="00CE13AD">
        <w:t xml:space="preserve">eneva </w:t>
      </w:r>
      <w:r w:rsidR="0019666A" w:rsidRPr="00CE13AD">
        <w:t>C</w:t>
      </w:r>
      <w:r w:rsidR="006A6AB5" w:rsidRPr="00CE13AD">
        <w:t>onvention</w:t>
      </w:r>
      <w:r w:rsidR="0019666A" w:rsidRPr="00CE13AD">
        <w:t>s</w:t>
      </w:r>
      <w:r w:rsidRPr="00CE13AD">
        <w:t xml:space="preserve"> offer protection to women who are detained either as civilians or </w:t>
      </w:r>
      <w:r w:rsidR="006A6AB5" w:rsidRPr="00CE13AD">
        <w:t xml:space="preserve">as </w:t>
      </w:r>
      <w:r w:rsidRPr="00CE13AD">
        <w:t xml:space="preserve">prisoners of war </w:t>
      </w:r>
      <w:r w:rsidR="006A6AB5" w:rsidRPr="00CE13AD">
        <w:t xml:space="preserve">(POWs) </w:t>
      </w:r>
      <w:r w:rsidR="00DF65FC" w:rsidRPr="00CE13AD">
        <w:t>(</w:t>
      </w:r>
      <w:r w:rsidR="00571EC8" w:rsidRPr="00CE13AD">
        <w:t xml:space="preserve">section </w:t>
      </w:r>
      <w:r w:rsidR="00DF65FC" w:rsidRPr="00CE13AD">
        <w:t>B.III</w:t>
      </w:r>
      <w:r w:rsidR="00C94EA1" w:rsidRPr="00CE13AD">
        <w:t>.</w:t>
      </w:r>
      <w:r w:rsidR="00DF65FC" w:rsidRPr="00CE13AD">
        <w:t>).</w:t>
      </w:r>
      <w:r w:rsidRPr="004A3739">
        <w:t xml:space="preserve"> </w:t>
      </w:r>
    </w:p>
    <w:p w14:paraId="4BC99D7A" w14:textId="77777777" w:rsidR="00B40664" w:rsidRPr="004A3739" w:rsidRDefault="00B40664" w:rsidP="00AB5082">
      <w:pPr>
        <w:spacing w:after="120" w:line="360" w:lineRule="auto"/>
      </w:pPr>
    </w:p>
    <w:p w14:paraId="10AB1D60" w14:textId="77777777" w:rsidR="005132B5" w:rsidRDefault="00B40664" w:rsidP="0051540B">
      <w:pPr>
        <w:pStyle w:val="Heading1"/>
        <w:spacing w:after="120"/>
      </w:pPr>
      <w:r w:rsidRPr="004A3739">
        <w:t>Meaning and Application</w:t>
      </w:r>
    </w:p>
    <w:p w14:paraId="0F92AD5E" w14:textId="77777777" w:rsidR="00B40664" w:rsidRPr="004A3739" w:rsidRDefault="00B40664" w:rsidP="00AB5082">
      <w:pPr>
        <w:spacing w:after="120" w:line="360" w:lineRule="auto"/>
        <w:ind w:left="1068"/>
      </w:pPr>
    </w:p>
    <w:p w14:paraId="09119930" w14:textId="77777777" w:rsidR="005132B5" w:rsidRDefault="00B40664" w:rsidP="0051540B">
      <w:pPr>
        <w:pStyle w:val="Heading2"/>
        <w:spacing w:after="120"/>
      </w:pPr>
      <w:r>
        <w:t xml:space="preserve">Protection of </w:t>
      </w:r>
      <w:r w:rsidR="00776BE0">
        <w:t>w</w:t>
      </w:r>
      <w:r>
        <w:t>omen</w:t>
      </w:r>
    </w:p>
    <w:p w14:paraId="032E7619" w14:textId="77777777" w:rsidR="00B40664" w:rsidRPr="004A3739" w:rsidRDefault="00B40664" w:rsidP="00AB5082">
      <w:pPr>
        <w:spacing w:after="120" w:line="360" w:lineRule="auto"/>
        <w:ind w:left="2148"/>
      </w:pPr>
    </w:p>
    <w:p w14:paraId="34E2EF2E" w14:textId="749E204B" w:rsidR="00B40664" w:rsidRDefault="00B40664" w:rsidP="00AB5082">
      <w:pPr>
        <w:numPr>
          <w:ilvl w:val="0"/>
          <w:numId w:val="13"/>
        </w:numPr>
        <w:spacing w:after="120" w:line="360" w:lineRule="auto"/>
      </w:pPr>
      <w:r>
        <w:t>Articles 12 GC I/GC II offer ‘respect, protection, humane treatment and care’</w:t>
      </w:r>
      <w:r>
        <w:rPr>
          <w:rStyle w:val="FootnoteReference"/>
        </w:rPr>
        <w:footnoteReference w:id="18"/>
      </w:r>
      <w:r>
        <w:t xml:space="preserve"> to the wounded, sick, and shipwrecked. Likewise, Article 14 GC III is central to its Convention, </w:t>
      </w:r>
      <w:r w:rsidR="00DA1EFB">
        <w:t xml:space="preserve">since it </w:t>
      </w:r>
      <w:r>
        <w:t xml:space="preserve">calls for respect </w:t>
      </w:r>
      <w:r w:rsidR="00DA1EFB">
        <w:t>for</w:t>
      </w:r>
      <w:r>
        <w:t xml:space="preserve"> POW</w:t>
      </w:r>
      <w:r w:rsidR="00C929AB">
        <w:t>s</w:t>
      </w:r>
      <w:r>
        <w:t xml:space="preserve">, which involves respect for the </w:t>
      </w:r>
      <w:r>
        <w:lastRenderedPageBreak/>
        <w:t>physical and moral person of the POW</w:t>
      </w:r>
      <w:r w:rsidR="00DA1EFB">
        <w:t>,</w:t>
      </w:r>
      <w:r>
        <w:t xml:space="preserve"> as well as </w:t>
      </w:r>
      <w:r w:rsidR="00DA1EFB">
        <w:t xml:space="preserve">respect for </w:t>
      </w:r>
      <w:r>
        <w:t>the POW’s honour.</w:t>
      </w:r>
      <w:r>
        <w:rPr>
          <w:rStyle w:val="FootnoteReference"/>
        </w:rPr>
        <w:footnoteReference w:id="19"/>
      </w:r>
      <w:r>
        <w:t xml:space="preserve"> All three </w:t>
      </w:r>
      <w:r w:rsidR="007126F7">
        <w:t>A</w:t>
      </w:r>
      <w:r>
        <w:t>rticles refer to women,</w:t>
      </w:r>
      <w:r>
        <w:rPr>
          <w:rStyle w:val="FootnoteReference"/>
        </w:rPr>
        <w:footnoteReference w:id="20"/>
      </w:r>
      <w:r w:rsidR="00DA1EFB">
        <w:t xml:space="preserve"> </w:t>
      </w:r>
      <w:r>
        <w:t xml:space="preserve">requiring women to be treated with </w:t>
      </w:r>
      <w:r w:rsidR="00DA1EFB">
        <w:t xml:space="preserve">all </w:t>
      </w:r>
      <w:r>
        <w:t>consideration/regard due to their sex. As central as Articles 12 GC I</w:t>
      </w:r>
      <w:r w:rsidR="00DA1EFB">
        <w:t>/</w:t>
      </w:r>
      <w:r>
        <w:t xml:space="preserve">GC II and </w:t>
      </w:r>
      <w:r w:rsidR="00DA1EFB">
        <w:t xml:space="preserve">Article </w:t>
      </w:r>
      <w:r>
        <w:t>14 GC III are to the</w:t>
      </w:r>
      <w:r w:rsidR="00DA1EFB">
        <w:t>ir</w:t>
      </w:r>
      <w:r>
        <w:t xml:space="preserve"> respective Conventions, Article 27 GC IV,</w:t>
      </w:r>
      <w:r>
        <w:rPr>
          <w:rStyle w:val="FootnoteReference"/>
        </w:rPr>
        <w:footnoteReference w:id="21"/>
      </w:r>
      <w:r>
        <w:t xml:space="preserve"> which refers to the protection of women, is the cornerstone of GC IV.</w:t>
      </w:r>
      <w:r>
        <w:rPr>
          <w:rStyle w:val="FootnoteReference"/>
        </w:rPr>
        <w:footnoteReference w:id="22"/>
      </w:r>
      <w:r>
        <w:t xml:space="preserve"> It must be reiterated that the protection offered to women is additional to the safeguards enshrined in other parts of the Conventions.</w:t>
      </w:r>
    </w:p>
    <w:p w14:paraId="3FFA8D37" w14:textId="2C2E8D31" w:rsidR="00B40664" w:rsidRDefault="00B40664" w:rsidP="00AB5082">
      <w:pPr>
        <w:numPr>
          <w:ilvl w:val="0"/>
          <w:numId w:val="13"/>
        </w:numPr>
        <w:spacing w:after="120" w:line="360" w:lineRule="auto"/>
      </w:pPr>
      <w:r>
        <w:t>Articles 12</w:t>
      </w:r>
      <w:r w:rsidR="007126F7">
        <w:t xml:space="preserve"> paragraph 4</w:t>
      </w:r>
      <w:r>
        <w:t xml:space="preserve"> GC I/GC II stipulate that ‘women shall be treated with all consideration due to their sex’. The original commentary explained the expression</w:t>
      </w:r>
      <w:r w:rsidR="00DA1EFB">
        <w:t xml:space="preserve"> </w:t>
      </w:r>
      <w:r>
        <w:t>‘consideration due to their sex’ by referring to women as ‘beings who are weaker than oneself and whose honour and modesty call for respect’. Remarkably, though without implications,</w:t>
      </w:r>
      <w:r>
        <w:rPr>
          <w:rStyle w:val="FootnoteReference"/>
        </w:rPr>
        <w:footnoteReference w:id="23"/>
      </w:r>
      <w:r w:rsidR="00597B02">
        <w:t xml:space="preserve"> </w:t>
      </w:r>
      <w:r>
        <w:t>Article 14 GC III uses ‘</w:t>
      </w:r>
      <w:r w:rsidR="001920C5">
        <w:t xml:space="preserve">regard </w:t>
      </w:r>
      <w:r>
        <w:t>due to their sex’ rather than ‘</w:t>
      </w:r>
      <w:r w:rsidR="001920C5">
        <w:t xml:space="preserve">consideration </w:t>
      </w:r>
      <w:r>
        <w:t xml:space="preserve">due to their sex’. The original commentary explains that the three factors that must be taken into account are: </w:t>
      </w:r>
      <w:r w:rsidR="00DA1EFB">
        <w:t>(</w:t>
      </w:r>
      <w:proofErr w:type="spellStart"/>
      <w:r w:rsidR="0019666A" w:rsidRPr="00DA1EFB">
        <w:t>i</w:t>
      </w:r>
      <w:proofErr w:type="spellEnd"/>
      <w:r w:rsidR="0019666A" w:rsidRPr="00DA1EFB">
        <w:t>)</w:t>
      </w:r>
      <w:r w:rsidR="001920C5" w:rsidRPr="00DA1EFB">
        <w:t xml:space="preserve"> </w:t>
      </w:r>
      <w:r w:rsidRPr="00DA1EFB">
        <w:t>weakness</w:t>
      </w:r>
      <w:r w:rsidR="00B826AA">
        <w:t>;</w:t>
      </w:r>
      <w:r w:rsidRPr="00DA1EFB">
        <w:t xml:space="preserve"> </w:t>
      </w:r>
      <w:r w:rsidR="00DA1EFB">
        <w:t>(</w:t>
      </w:r>
      <w:r w:rsidR="0019666A" w:rsidRPr="00DA1EFB">
        <w:t xml:space="preserve">ii) </w:t>
      </w:r>
      <w:r w:rsidRPr="00DA1EFB">
        <w:t>honour and modesty</w:t>
      </w:r>
      <w:r w:rsidR="00B826AA">
        <w:t>, which</w:t>
      </w:r>
      <w:r w:rsidRPr="00DA1EFB">
        <w:t xml:space="preserve"> covers rape, forced prostitution, and any form of indecent assault</w:t>
      </w:r>
      <w:r w:rsidR="00B826AA">
        <w:t>,</w:t>
      </w:r>
      <w:r w:rsidRPr="00DA1EFB">
        <w:rPr>
          <w:rStyle w:val="FootnoteReference"/>
        </w:rPr>
        <w:footnoteReference w:id="24"/>
      </w:r>
      <w:r w:rsidRPr="00DA1EFB">
        <w:t xml:space="preserve"> as well as humiliating treatment</w:t>
      </w:r>
      <w:r w:rsidR="00B826AA">
        <w:t>;</w:t>
      </w:r>
      <w:r w:rsidRPr="00DA1EFB">
        <w:t xml:space="preserve"> and </w:t>
      </w:r>
      <w:r w:rsidR="00DA1EFB">
        <w:t>(</w:t>
      </w:r>
      <w:r w:rsidR="0019666A" w:rsidRPr="00DA1EFB">
        <w:t>iii)</w:t>
      </w:r>
      <w:r w:rsidRPr="00DA1EFB">
        <w:t xml:space="preserve"> pregnancy and child-birth.</w:t>
      </w:r>
      <w:r>
        <w:rPr>
          <w:rStyle w:val="FootnoteReference"/>
        </w:rPr>
        <w:footnoteReference w:id="25"/>
      </w:r>
      <w:r>
        <w:t xml:space="preserve"> These three elements have been used in the </w:t>
      </w:r>
      <w:r w:rsidR="006A5711">
        <w:t>International Committee of the Red Cross (</w:t>
      </w:r>
      <w:r>
        <w:t>ICRC</w:t>
      </w:r>
      <w:r w:rsidR="006A5711">
        <w:t>)</w:t>
      </w:r>
      <w:r>
        <w:t xml:space="preserve"> </w:t>
      </w:r>
      <w:r w:rsidRPr="00B826AA">
        <w:rPr>
          <w:i/>
        </w:rPr>
        <w:t>Model Manual on the Law of Armed Conflict for Armed Forces</w:t>
      </w:r>
      <w:r w:rsidR="00B826AA">
        <w:t>,</w:t>
      </w:r>
      <w:r>
        <w:t xml:space="preserve"> which states that ‘due regard must be paid to </w:t>
      </w:r>
      <w:r w:rsidR="00B826AA">
        <w:t>[women’s]</w:t>
      </w:r>
      <w:r>
        <w:t xml:space="preserve"> physical strength, the need to protect their honour and modesty and to the special demands of biological factors such as menstruation, pregnancy and childbirth’</w:t>
      </w:r>
      <w:r w:rsidR="00B826AA">
        <w:t>.</w:t>
      </w:r>
      <w:r>
        <w:rPr>
          <w:rStyle w:val="FootnoteReference"/>
        </w:rPr>
        <w:footnoteReference w:id="26"/>
      </w:r>
      <w:r w:rsidRPr="005A06E0">
        <w:t xml:space="preserve"> </w:t>
      </w:r>
    </w:p>
    <w:p w14:paraId="7C5F01EE" w14:textId="64788CC0" w:rsidR="00B40664" w:rsidRDefault="00B40664" w:rsidP="00AB5082">
      <w:pPr>
        <w:numPr>
          <w:ilvl w:val="0"/>
          <w:numId w:val="13"/>
        </w:numPr>
        <w:spacing w:after="120" w:line="360" w:lineRule="auto"/>
      </w:pPr>
      <w:r>
        <w:t xml:space="preserve">These protective measures base the status of women on biological factors, a literal interpretation of ‘sex’ referring to the biological difference between men and women. However, today, the difference between men and women is </w:t>
      </w:r>
      <w:r w:rsidR="00B826AA">
        <w:t xml:space="preserve">often </w:t>
      </w:r>
      <w:r>
        <w:t xml:space="preserve">construed in terms of </w:t>
      </w:r>
      <w:r>
        <w:lastRenderedPageBreak/>
        <w:t>gender, whereby social, economic</w:t>
      </w:r>
      <w:r w:rsidR="00B826AA">
        <w:t>,</w:t>
      </w:r>
      <w:r>
        <w:t xml:space="preserve"> and cultural factors are taken into consideration. In this new light, ‘consideration/regard due to their sex’ now refers to biological (e.g. menstrual cycle and reproductive function, menopause), socio-economic (e.g. power relationships between women and men, cultural and traditional practices)</w:t>
      </w:r>
      <w:r w:rsidR="00B826AA">
        <w:t>,</w:t>
      </w:r>
      <w:r>
        <w:t xml:space="preserve"> and psychosocial factors (depression, eating disorders, </w:t>
      </w:r>
      <w:proofErr w:type="spellStart"/>
      <w:r>
        <w:t>etc</w:t>
      </w:r>
      <w:proofErr w:type="spellEnd"/>
      <w:r>
        <w:t xml:space="preserve">) that </w:t>
      </w:r>
      <w:r w:rsidR="00B826AA">
        <w:t xml:space="preserve">may </w:t>
      </w:r>
      <w:r>
        <w:t>affect and determine women’s status.</w:t>
      </w:r>
      <w:r>
        <w:rPr>
          <w:rStyle w:val="FootnoteReference"/>
        </w:rPr>
        <w:footnoteReference w:id="27"/>
      </w:r>
      <w:r>
        <w:t xml:space="preserve"> Furthermore, a contextual reading (the other </w:t>
      </w:r>
      <w:r w:rsidR="00B826AA">
        <w:t>paragraphs</w:t>
      </w:r>
      <w:r>
        <w:t xml:space="preserve"> in Articles 12 GC</w:t>
      </w:r>
      <w:r w:rsidR="00C929AB">
        <w:t xml:space="preserve"> </w:t>
      </w:r>
      <w:r>
        <w:t>I</w:t>
      </w:r>
      <w:r w:rsidR="00C929AB">
        <w:t>/</w:t>
      </w:r>
      <w:r>
        <w:t>GC II and Article 14 GC III relate to humane treatment) of the expression ‘consideration due to their sex’ links to the overarching concept of human dignity that is central to understanding which measures need to be adopted to offer appropriate respect, protection, treatment</w:t>
      </w:r>
      <w:r w:rsidR="00B826AA">
        <w:t>,</w:t>
      </w:r>
      <w:r>
        <w:t xml:space="preserve"> and care to women. </w:t>
      </w:r>
    </w:p>
    <w:p w14:paraId="3DB29E86" w14:textId="768979BD" w:rsidR="00B40664" w:rsidRDefault="00B40664" w:rsidP="00AB5082">
      <w:pPr>
        <w:numPr>
          <w:ilvl w:val="0"/>
          <w:numId w:val="13"/>
        </w:numPr>
        <w:spacing w:after="120" w:line="360" w:lineRule="auto"/>
      </w:pPr>
      <w:r>
        <w:t>Article 27 GC IV proclaims the basic principle of protection for human beings and the right to humane treatment, thereby stating the core principles upon which the entire law of the G</w:t>
      </w:r>
      <w:r w:rsidR="00E604EB">
        <w:t xml:space="preserve">eneva </w:t>
      </w:r>
      <w:r>
        <w:t>C</w:t>
      </w:r>
      <w:r w:rsidR="00E604EB">
        <w:t>onvention</w:t>
      </w:r>
      <w:r>
        <w:t>s is founded. The state is obliged</w:t>
      </w:r>
      <w:r w:rsidR="00E604EB" w:rsidRPr="00E604EB">
        <w:t xml:space="preserve"> </w:t>
      </w:r>
      <w:r w:rsidR="00E604EB">
        <w:t>not only</w:t>
      </w:r>
      <w:r>
        <w:t xml:space="preserve"> to respect civilians</w:t>
      </w:r>
      <w:r w:rsidR="00E604EB">
        <w:t>,</w:t>
      </w:r>
      <w:r>
        <w:t xml:space="preserve"> but also to protect them, i.e. to take all the precautions and measures in its power to prevent </w:t>
      </w:r>
      <w:r w:rsidR="00E604EB">
        <w:t>the proscribed</w:t>
      </w:r>
      <w:r>
        <w:t xml:space="preserve"> acts and help victims. Of </w:t>
      </w:r>
      <w:r w:rsidRPr="00761BDA">
        <w:t xml:space="preserve">particular importance is that these standards must be observed in </w:t>
      </w:r>
      <w:r>
        <w:t>‘all circumstances’</w:t>
      </w:r>
      <w:r w:rsidRPr="00761BDA">
        <w:t xml:space="preserve"> and at </w:t>
      </w:r>
      <w:r>
        <w:t>‘all times’</w:t>
      </w:r>
      <w:r w:rsidRPr="00761BDA">
        <w:t>.</w:t>
      </w:r>
      <w:r>
        <w:t xml:space="preserve"> </w:t>
      </w:r>
      <w:r w:rsidR="00E604EB">
        <w:t xml:space="preserve">Article 27 </w:t>
      </w:r>
      <w:r>
        <w:t xml:space="preserve">paragraph </w:t>
      </w:r>
      <w:r w:rsidR="00E604EB">
        <w:t xml:space="preserve">2 </w:t>
      </w:r>
      <w:r>
        <w:t xml:space="preserve">is devoted to the protection of women. </w:t>
      </w:r>
    </w:p>
    <w:p w14:paraId="0A552F3E" w14:textId="1D6D9373" w:rsidR="00D8312E" w:rsidRDefault="00B40664" w:rsidP="00093D5E">
      <w:pPr>
        <w:numPr>
          <w:ilvl w:val="0"/>
          <w:numId w:val="13"/>
        </w:numPr>
        <w:spacing w:after="120" w:line="360" w:lineRule="auto"/>
      </w:pPr>
      <w:r>
        <w:t>Unlike Articles 12 GC I</w:t>
      </w:r>
      <w:r w:rsidR="00C929AB">
        <w:t>/</w:t>
      </w:r>
      <w:r>
        <w:t xml:space="preserve">GC II and Article 14 GC III, Article 27 GC IV does not </w:t>
      </w:r>
      <w:r w:rsidR="00D8312E">
        <w:t xml:space="preserve">use </w:t>
      </w:r>
      <w:r>
        <w:t>the expression ‘consideration due to their sex’</w:t>
      </w:r>
      <w:r w:rsidR="00D8312E">
        <w:t xml:space="preserve"> to refer to the protection of women</w:t>
      </w:r>
      <w:r>
        <w:t xml:space="preserve">. Instead, it </w:t>
      </w:r>
      <w:r w:rsidR="00D8312E">
        <w:t>clarifies that women need to be</w:t>
      </w:r>
      <w:r w:rsidR="00407C4D" w:rsidRPr="00407C4D">
        <w:t xml:space="preserve"> </w:t>
      </w:r>
      <w:r w:rsidR="00407C4D">
        <w:t>especially</w:t>
      </w:r>
      <w:r w:rsidR="00D8312E">
        <w:t xml:space="preserve"> protected from attacks on their honour</w:t>
      </w:r>
      <w:r w:rsidR="00093D5E">
        <w:t>,</w:t>
      </w:r>
      <w:r w:rsidR="00D8312E">
        <w:t xml:space="preserve"> and contains a list of three acts from which women must be protected</w:t>
      </w:r>
      <w:r w:rsidR="00407C4D">
        <w:t xml:space="preserve"> in particular</w:t>
      </w:r>
      <w:r w:rsidR="00A04088">
        <w:t>—r</w:t>
      </w:r>
      <w:r w:rsidR="00D8312E">
        <w:t>ape, enforced prostitution</w:t>
      </w:r>
      <w:r w:rsidR="00A04088">
        <w:t>,</w:t>
      </w:r>
      <w:r w:rsidR="00D8312E">
        <w:t xml:space="preserve"> and any form of indecent assault</w:t>
      </w:r>
      <w:r w:rsidR="00A04088">
        <w:t>—</w:t>
      </w:r>
      <w:r w:rsidR="00D8312E">
        <w:t xml:space="preserve">which are recurrent </w:t>
      </w:r>
      <w:r w:rsidR="00BE3505">
        <w:t>crimes</w:t>
      </w:r>
      <w:r w:rsidR="00D8312E">
        <w:t xml:space="preserve"> against women in armed conflict.</w:t>
      </w:r>
      <w:r w:rsidR="00D8312E">
        <w:rPr>
          <w:rStyle w:val="FootnoteReference"/>
        </w:rPr>
        <w:footnoteReference w:id="28"/>
      </w:r>
    </w:p>
    <w:p w14:paraId="493E888F" w14:textId="0345EA76" w:rsidR="00B40664" w:rsidRDefault="00B40664" w:rsidP="00AB5082">
      <w:pPr>
        <w:pStyle w:val="ListParagraph"/>
        <w:numPr>
          <w:ilvl w:val="0"/>
          <w:numId w:val="13"/>
        </w:numPr>
        <w:spacing w:after="120" w:line="360" w:lineRule="auto"/>
      </w:pPr>
      <w:r>
        <w:t xml:space="preserve">The second paragraph </w:t>
      </w:r>
      <w:r w:rsidR="00093D5E">
        <w:t xml:space="preserve">of Article 27 </w:t>
      </w:r>
      <w:r>
        <w:t>is the subject of two different, albeit complementary, interpretations. First, it offers additional protection, for the word ‘especially’ is used. This means that women benefit from the general protection</w:t>
      </w:r>
      <w:r w:rsidR="00407C4D">
        <w:t>s</w:t>
      </w:r>
      <w:r>
        <w:t xml:space="preserve"> and respect stated in paragraph </w:t>
      </w:r>
      <w:r w:rsidR="00407C4D">
        <w:t>1</w:t>
      </w:r>
      <w:r>
        <w:t xml:space="preserve"> </w:t>
      </w:r>
      <w:r w:rsidRPr="00C929AB">
        <w:rPr>
          <w:i/>
        </w:rPr>
        <w:t>and</w:t>
      </w:r>
      <w:r>
        <w:t xml:space="preserve"> those listed in paragraph </w:t>
      </w:r>
      <w:r w:rsidR="00407C4D">
        <w:t>2</w:t>
      </w:r>
      <w:r>
        <w:t>. Second</w:t>
      </w:r>
      <w:r w:rsidR="00407C4D">
        <w:t>ly</w:t>
      </w:r>
      <w:r>
        <w:t xml:space="preserve">, </w:t>
      </w:r>
      <w:r w:rsidR="008920FD">
        <w:t>the provision</w:t>
      </w:r>
      <w:r>
        <w:t xml:space="preserve"> lists acts that </w:t>
      </w:r>
      <w:r w:rsidRPr="00C929AB">
        <w:rPr>
          <w:i/>
        </w:rPr>
        <w:t>particularly</w:t>
      </w:r>
      <w:r>
        <w:t xml:space="preserve"> affect women</w:t>
      </w:r>
      <w:r w:rsidR="008920FD">
        <w:t>,</w:t>
      </w:r>
      <w:r>
        <w:t xml:space="preserve"> and thus </w:t>
      </w:r>
      <w:r w:rsidR="008920FD">
        <w:t xml:space="preserve">it may be seen </w:t>
      </w:r>
      <w:r>
        <w:t xml:space="preserve">only </w:t>
      </w:r>
      <w:r w:rsidR="008920FD">
        <w:t xml:space="preserve">as </w:t>
      </w:r>
      <w:r>
        <w:t>an illustration of the types of violations of the principles spelled out in paragraph</w:t>
      </w:r>
      <w:r w:rsidR="0086634F">
        <w:t xml:space="preserve"> 1</w:t>
      </w:r>
      <w:r>
        <w:t xml:space="preserve">. </w:t>
      </w:r>
    </w:p>
    <w:p w14:paraId="2F792EBD" w14:textId="4E1AF3F1" w:rsidR="00B40664" w:rsidRDefault="00B40664" w:rsidP="00AB5082">
      <w:pPr>
        <w:numPr>
          <w:ilvl w:val="0"/>
          <w:numId w:val="13"/>
        </w:numPr>
        <w:spacing w:after="120" w:line="360" w:lineRule="auto"/>
      </w:pPr>
      <w:r>
        <w:lastRenderedPageBreak/>
        <w:t xml:space="preserve">The concept of honour is </w:t>
      </w:r>
      <w:proofErr w:type="gramStart"/>
      <w:r>
        <w:t>key</w:t>
      </w:r>
      <w:proofErr w:type="gramEnd"/>
      <w:r>
        <w:t xml:space="preserve"> to understanding Article 27 paragraph 2 GC IV. Honour is understood as a moral and social quality given to human beings because they are endowed with reason and a conscience.</w:t>
      </w:r>
      <w:r>
        <w:rPr>
          <w:rStyle w:val="FootnoteReference"/>
        </w:rPr>
        <w:footnoteReference w:id="29"/>
      </w:r>
      <w:r>
        <w:t xml:space="preserve"> Literally, honour relates to reputation and, to some extent, </w:t>
      </w:r>
      <w:r w:rsidR="008920FD">
        <w:t xml:space="preserve">to </w:t>
      </w:r>
      <w:r>
        <w:t xml:space="preserve">humility and modesty. The word might be better understood with reference to Article 14 GC III, although it concerns </w:t>
      </w:r>
      <w:r w:rsidR="00C929AB">
        <w:t>POWs</w:t>
      </w:r>
      <w:r>
        <w:t xml:space="preserve">, which refers to the ‘honour’ of predominantly male </w:t>
      </w:r>
      <w:r w:rsidR="00C929AB">
        <w:t>POWs</w:t>
      </w:r>
      <w:r>
        <w:t xml:space="preserve">. Moreover, as ‘honour’ is also used in </w:t>
      </w:r>
      <w:r w:rsidR="008920FD">
        <w:t xml:space="preserve">Article 27 </w:t>
      </w:r>
      <w:r>
        <w:t xml:space="preserve">paragraph </w:t>
      </w:r>
      <w:r w:rsidR="008920FD">
        <w:t>1,</w:t>
      </w:r>
      <w:r>
        <w:t xml:space="preserve"> which covers </w:t>
      </w:r>
      <w:r w:rsidRPr="008920FD">
        <w:rPr>
          <w:i/>
        </w:rPr>
        <w:t xml:space="preserve">all </w:t>
      </w:r>
      <w:r>
        <w:t>protected persons (men included), literally, it should not be interpreted in any different</w:t>
      </w:r>
      <w:r w:rsidRPr="00450D7F">
        <w:t xml:space="preserve"> </w:t>
      </w:r>
      <w:r>
        <w:t>manner. Nonetheless</w:t>
      </w:r>
      <w:r w:rsidR="008920FD">
        <w:t>,</w:t>
      </w:r>
      <w:r>
        <w:t xml:space="preserve"> the application of the concept of honour in relation to POWs is associated </w:t>
      </w:r>
      <w:r w:rsidR="008920FD">
        <w:t>with</w:t>
      </w:r>
      <w:r>
        <w:t xml:space="preserve"> preserving their moral integrity and avoiding shame and humiliation, rather than physical harm. Applied to women in relation to acts such as rape, enforced prostitution</w:t>
      </w:r>
      <w:r w:rsidR="008920FD">
        <w:t>,</w:t>
      </w:r>
      <w:r>
        <w:t xml:space="preserve"> and any form of indecent assault</w:t>
      </w:r>
      <w:r w:rsidR="008920FD">
        <w:t>,</w:t>
      </w:r>
      <w:r>
        <w:t xml:space="preserve"> this understanding of the concept of honour, </w:t>
      </w:r>
      <w:r w:rsidR="008920FD">
        <w:t>which</w:t>
      </w:r>
      <w:r>
        <w:t xml:space="preserve"> is socially constructed and often sustained by male ideas about women’s chastity, modesty</w:t>
      </w:r>
      <w:r w:rsidR="008920FD">
        <w:t>,</w:t>
      </w:r>
      <w:r>
        <w:t xml:space="preserve"> and associated frailty and dependence, appears inappropriate.</w:t>
      </w:r>
      <w:r>
        <w:rPr>
          <w:rStyle w:val="FootnoteReference"/>
        </w:rPr>
        <w:footnoteReference w:id="30"/>
      </w:r>
      <w:r>
        <w:t xml:space="preserve"> Moreover, as women ‘are often portrayed as symbolic bearers of their cultural and ethnic identity, and as producers of future generations’</w:t>
      </w:r>
      <w:r w:rsidR="008920FD">
        <w:t>,</w:t>
      </w:r>
      <w:r>
        <w:rPr>
          <w:rStyle w:val="FootnoteReference"/>
        </w:rPr>
        <w:footnoteReference w:id="31"/>
      </w:r>
      <w:r>
        <w:t xml:space="preserve"> the word ‘honour’ resonates as</w:t>
      </w:r>
      <w:r w:rsidR="008920FD">
        <w:t xml:space="preserve"> referring to</w:t>
      </w:r>
      <w:r>
        <w:t xml:space="preserve"> the honour of the community rather than that of the women</w:t>
      </w:r>
      <w:r w:rsidR="008920FD">
        <w:t xml:space="preserve"> themselves</w:t>
      </w:r>
      <w:r>
        <w:t>.</w:t>
      </w:r>
    </w:p>
    <w:p w14:paraId="2325AC48" w14:textId="307B5D5E" w:rsidR="00B40664" w:rsidRDefault="00B40664" w:rsidP="00AB5082">
      <w:pPr>
        <w:numPr>
          <w:ilvl w:val="0"/>
          <w:numId w:val="13"/>
        </w:numPr>
        <w:spacing w:after="120" w:line="360" w:lineRule="auto"/>
      </w:pPr>
      <w:r>
        <w:t>Influenced by IHRL, a more contemporary reading of the notion of ‘honour’ integrates the key concept of human dignity.</w:t>
      </w:r>
      <w:r>
        <w:rPr>
          <w:rStyle w:val="FootnoteReference"/>
        </w:rPr>
        <w:footnoteReference w:id="32"/>
      </w:r>
      <w:r>
        <w:t xml:space="preserve"> International criminal tribunals</w:t>
      </w:r>
      <w:r>
        <w:rPr>
          <w:rStyle w:val="FootnoteReference"/>
        </w:rPr>
        <w:footnoteReference w:id="33"/>
      </w:r>
      <w:r>
        <w:t xml:space="preserve"> and human rights bodies</w:t>
      </w:r>
      <w:r>
        <w:rPr>
          <w:rStyle w:val="FootnoteReference"/>
        </w:rPr>
        <w:footnoteReference w:id="34"/>
      </w:r>
      <w:r>
        <w:t xml:space="preserve"> construe rape, enforced prostitution</w:t>
      </w:r>
      <w:r w:rsidR="0086634F">
        <w:t>,</w:t>
      </w:r>
      <w:r>
        <w:t xml:space="preserve"> and indecent assault as physical, rather than reputational, attacks upon a woman. Further, inasmuch as </w:t>
      </w:r>
      <w:r w:rsidR="007126F7">
        <w:t>Additional Protocol (</w:t>
      </w:r>
      <w:r>
        <w:t>AP</w:t>
      </w:r>
      <w:r w:rsidR="007126F7">
        <w:t>)</w:t>
      </w:r>
      <w:r>
        <w:t xml:space="preserve"> I supplements the Geneva Conventions,</w:t>
      </w:r>
      <w:r>
        <w:rPr>
          <w:rStyle w:val="FootnoteReference"/>
        </w:rPr>
        <w:footnoteReference w:id="35"/>
      </w:r>
      <w:r>
        <w:t xml:space="preserve"> it is important to note that Article 75 </w:t>
      </w:r>
      <w:r w:rsidR="00C929AB">
        <w:t xml:space="preserve">paragraph </w:t>
      </w:r>
      <w:r>
        <w:t xml:space="preserve">2(b) AP I understands these acts as </w:t>
      </w:r>
      <w:r w:rsidR="002F7DD0">
        <w:t xml:space="preserve">comprising </w:t>
      </w:r>
      <w:r>
        <w:t xml:space="preserve">outrages upon personal dignity, while Article 76 AP I fails to mention ‘honour’ and lists the </w:t>
      </w:r>
      <w:r>
        <w:lastRenderedPageBreak/>
        <w:t xml:space="preserve">prohibited acts </w:t>
      </w:r>
      <w:r w:rsidR="002F7DD0">
        <w:t xml:space="preserve">only </w:t>
      </w:r>
      <w:r>
        <w:t xml:space="preserve">after declaring that women ‘shall be the object of special respect’. Likewise Section 7 paragraph </w:t>
      </w:r>
      <w:r w:rsidRPr="00B52D30">
        <w:t>3 of the 1999 U</w:t>
      </w:r>
      <w:r>
        <w:t>N Secretary-General’s Bulletin removes the reference to honour and provides that ‘</w:t>
      </w:r>
      <w:r w:rsidRPr="00B52D30">
        <w:t>[w]omen shall be especial</w:t>
      </w:r>
      <w:r>
        <w:t>ly protected against any attack’.</w:t>
      </w:r>
      <w:r w:rsidRPr="00B52D30">
        <w:rPr>
          <w:rStyle w:val="FootnoteReference"/>
        </w:rPr>
        <w:footnoteReference w:id="36"/>
      </w:r>
      <w:r w:rsidRPr="00B52D30">
        <w:t xml:space="preserve"> </w:t>
      </w:r>
      <w:r w:rsidR="00C929AB">
        <w:t>I</w:t>
      </w:r>
      <w:r w:rsidR="002F7DD0">
        <w:t>nternational humanitarian law</w:t>
      </w:r>
      <w:r w:rsidR="00C929AB">
        <w:t xml:space="preserve"> has thus distanced itself from a concept of honour that used to be defined not by the nature of the act but rather by the wider community</w:t>
      </w:r>
      <w:r w:rsidR="002F7DD0">
        <w:t>,</w:t>
      </w:r>
      <w:r w:rsidR="009B4D57">
        <w:t xml:space="preserve"> and</w:t>
      </w:r>
      <w:r w:rsidR="002F7DD0">
        <w:t xml:space="preserve"> now</w:t>
      </w:r>
      <w:r w:rsidR="009B4D57">
        <w:t xml:space="preserve"> </w:t>
      </w:r>
      <w:r w:rsidR="00C929AB">
        <w:t>tends to view</w:t>
      </w:r>
      <w:r w:rsidR="009B4D57">
        <w:t xml:space="preserve"> </w:t>
      </w:r>
      <w:r w:rsidRPr="00B52D30">
        <w:t xml:space="preserve">these acts </w:t>
      </w:r>
      <w:r w:rsidR="00C929AB">
        <w:t>as</w:t>
      </w:r>
      <w:r w:rsidRPr="00B52D30">
        <w:t xml:space="preserve"> </w:t>
      </w:r>
      <w:r>
        <w:t xml:space="preserve">violent </w:t>
      </w:r>
      <w:r w:rsidRPr="00B52D30">
        <w:t xml:space="preserve">attacks upon </w:t>
      </w:r>
      <w:r w:rsidR="00C929AB">
        <w:t>women’s</w:t>
      </w:r>
      <w:r w:rsidR="00C929AB" w:rsidRPr="00B52D30">
        <w:t xml:space="preserve"> </w:t>
      </w:r>
      <w:r>
        <w:t>physical integrity</w:t>
      </w:r>
      <w:r w:rsidR="00C929AB">
        <w:t>. That being said</w:t>
      </w:r>
      <w:r w:rsidR="002F7DD0">
        <w:t>,</w:t>
      </w:r>
      <w:r w:rsidR="00C929AB">
        <w:t xml:space="preserve"> not all such acts</w:t>
      </w:r>
      <w:r w:rsidR="009B4D57">
        <w:t xml:space="preserve"> have a physical element;</w:t>
      </w:r>
      <w:r w:rsidR="00C929AB">
        <w:t xml:space="preserve"> Article 27 paragraph 2 GC IV </w:t>
      </w:r>
      <w:r w:rsidR="004E42BB">
        <w:t xml:space="preserve">covers a wide spectrum of acts affecting a woman’s physical and </w:t>
      </w:r>
      <w:r w:rsidR="00F000F1">
        <w:t>mental</w:t>
      </w:r>
      <w:r w:rsidR="004E42BB">
        <w:t xml:space="preserve"> integrity.</w:t>
      </w:r>
      <w:r w:rsidR="009B4D57">
        <w:rPr>
          <w:rStyle w:val="FootnoteReference"/>
        </w:rPr>
        <w:footnoteReference w:id="37"/>
      </w:r>
      <w:r w:rsidR="00C929AB">
        <w:t xml:space="preserve"> In this light</w:t>
      </w:r>
      <w:r>
        <w:t xml:space="preserve"> the word ‘honour’ </w:t>
      </w:r>
      <w:r w:rsidR="00984EC1">
        <w:t xml:space="preserve">may have to be re-evaluated </w:t>
      </w:r>
      <w:r>
        <w:t>when interpreting Article 27 paragraph 2 GC IV.</w:t>
      </w:r>
      <w:r w:rsidRPr="00B52D30">
        <w:rPr>
          <w:rStyle w:val="apple-converted-space"/>
          <w:color w:val="000000"/>
          <w:shd w:val="clear" w:color="auto" w:fill="FFFFFF"/>
        </w:rPr>
        <w:t> </w:t>
      </w:r>
      <w:r w:rsidRPr="00B52D30">
        <w:t xml:space="preserve"> </w:t>
      </w:r>
    </w:p>
    <w:p w14:paraId="2BF3CBB7" w14:textId="2CC76DD5" w:rsidR="00B40664" w:rsidRDefault="00B40664" w:rsidP="00AB5082">
      <w:pPr>
        <w:numPr>
          <w:ilvl w:val="0"/>
          <w:numId w:val="13"/>
        </w:numPr>
        <w:spacing w:after="120" w:line="360" w:lineRule="auto"/>
      </w:pPr>
      <w:r w:rsidRPr="00B52D30">
        <w:t xml:space="preserve">The three </w:t>
      </w:r>
      <w:r w:rsidR="005F47D8">
        <w:t xml:space="preserve">attacks from which women shall be protected ‘in particular’ in accordance </w:t>
      </w:r>
      <w:r w:rsidR="0075170D">
        <w:t>with</w:t>
      </w:r>
      <w:r w:rsidR="005F47D8">
        <w:t xml:space="preserve"> </w:t>
      </w:r>
      <w:r>
        <w:t xml:space="preserve">Article 27 </w:t>
      </w:r>
      <w:proofErr w:type="gramStart"/>
      <w:r>
        <w:t>paragraph</w:t>
      </w:r>
      <w:proofErr w:type="gramEnd"/>
      <w:r>
        <w:t xml:space="preserve"> 2</w:t>
      </w:r>
      <w:r w:rsidRPr="00B52D30">
        <w:t xml:space="preserve"> GC IV are rape, enforced prostitution</w:t>
      </w:r>
      <w:r>
        <w:t>,</w:t>
      </w:r>
      <w:r w:rsidRPr="00B52D30">
        <w:t xml:space="preserve"> and </w:t>
      </w:r>
      <w:r>
        <w:t xml:space="preserve">any </w:t>
      </w:r>
      <w:r w:rsidRPr="00B52D30">
        <w:t>form of indecent assaul</w:t>
      </w:r>
      <w:r>
        <w:t>t</w:t>
      </w:r>
      <w:r w:rsidRPr="00B52D30">
        <w:t>.</w:t>
      </w:r>
      <w:r>
        <w:rPr>
          <w:rStyle w:val="FootnoteReference"/>
        </w:rPr>
        <w:footnoteReference w:id="38"/>
      </w:r>
      <w:r w:rsidRPr="00B52D30">
        <w:t xml:space="preserve"> </w:t>
      </w:r>
      <w:r w:rsidR="004E42BB">
        <w:t>N</w:t>
      </w:r>
      <w:r>
        <w:t xml:space="preserve">one of these acts </w:t>
      </w:r>
      <w:r w:rsidR="0075170D">
        <w:t>was</w:t>
      </w:r>
      <w:r>
        <w:t xml:space="preserve"> defined in the </w:t>
      </w:r>
      <w:r w:rsidR="00FC57F2">
        <w:t>C</w:t>
      </w:r>
      <w:r>
        <w:t>onventions</w:t>
      </w:r>
      <w:r w:rsidR="004E42BB">
        <w:t xml:space="preserve"> (maybe because the G</w:t>
      </w:r>
      <w:r w:rsidR="0075170D">
        <w:t xml:space="preserve">eneva </w:t>
      </w:r>
      <w:r w:rsidR="004E42BB">
        <w:t>C</w:t>
      </w:r>
      <w:r w:rsidR="0075170D">
        <w:t>onvention</w:t>
      </w:r>
      <w:r w:rsidR="004E42BB">
        <w:t>s were not meant to</w:t>
      </w:r>
      <w:r w:rsidR="0075170D">
        <w:t xml:space="preserve"> constitute</w:t>
      </w:r>
      <w:r w:rsidR="004E42BB">
        <w:t xml:space="preserve"> a criminal code)</w:t>
      </w:r>
      <w:r>
        <w:t xml:space="preserve"> or in the original commentary </w:t>
      </w:r>
      <w:r w:rsidR="004E42BB">
        <w:t>(</w:t>
      </w:r>
      <w:r w:rsidR="0075170D">
        <w:t>perhaps because of</w:t>
      </w:r>
      <w:r>
        <w:t xml:space="preserve"> the rather Victorian attitude displayed towards women and </w:t>
      </w:r>
      <w:r w:rsidR="0075170D">
        <w:t>an</w:t>
      </w:r>
      <w:r>
        <w:t xml:space="preserve"> unwillingness to explain such concepts in mechanical terms</w:t>
      </w:r>
      <w:r w:rsidR="004E42BB">
        <w:t>)</w:t>
      </w:r>
      <w:r>
        <w:t xml:space="preserve">. Drawing upon </w:t>
      </w:r>
      <w:r w:rsidR="00CE13AD">
        <w:t xml:space="preserve">the </w:t>
      </w:r>
      <w:r>
        <w:t>definitions</w:t>
      </w:r>
      <w:r w:rsidR="00CE13AD">
        <w:t xml:space="preserve"> of rape found in states’ domestic laws</w:t>
      </w:r>
      <w:r>
        <w:t xml:space="preserve">, the International Criminal Tribunal for the former Yugoslavia </w:t>
      </w:r>
      <w:r w:rsidR="004E42BB">
        <w:t xml:space="preserve">(ICTY) </w:t>
      </w:r>
      <w:r>
        <w:t xml:space="preserve">provided a definition of </w:t>
      </w:r>
      <w:r w:rsidR="0075170D">
        <w:t>‘</w:t>
      </w:r>
      <w:r>
        <w:t>rape</w:t>
      </w:r>
      <w:r w:rsidR="0075170D">
        <w:t>’</w:t>
      </w:r>
      <w:r>
        <w:t xml:space="preserve"> in the </w:t>
      </w:r>
      <w:proofErr w:type="spellStart"/>
      <w:r w:rsidRPr="007E7238">
        <w:rPr>
          <w:i/>
        </w:rPr>
        <w:t>Furundžija</w:t>
      </w:r>
      <w:proofErr w:type="spellEnd"/>
      <w:r>
        <w:t xml:space="preserve"> case,</w:t>
      </w:r>
      <w:r>
        <w:rPr>
          <w:rStyle w:val="FootnoteReference"/>
        </w:rPr>
        <w:footnoteReference w:id="39"/>
      </w:r>
      <w:r>
        <w:t xml:space="preserve"> which was based on the </w:t>
      </w:r>
      <w:proofErr w:type="spellStart"/>
      <w:r w:rsidRPr="00375529">
        <w:rPr>
          <w:i/>
        </w:rPr>
        <w:t>Akayesu</w:t>
      </w:r>
      <w:proofErr w:type="spellEnd"/>
      <w:r>
        <w:rPr>
          <w:i/>
        </w:rPr>
        <w:t xml:space="preserve"> </w:t>
      </w:r>
      <w:r>
        <w:t>judgment</w:t>
      </w:r>
      <w:r>
        <w:rPr>
          <w:rStyle w:val="FootnoteReference"/>
        </w:rPr>
        <w:footnoteReference w:id="40"/>
      </w:r>
      <w:r>
        <w:t xml:space="preserve"> and subsequently developed in the </w:t>
      </w:r>
      <w:proofErr w:type="spellStart"/>
      <w:r>
        <w:rPr>
          <w:i/>
        </w:rPr>
        <w:t>Kunarac</w:t>
      </w:r>
      <w:proofErr w:type="spellEnd"/>
      <w:r>
        <w:t xml:space="preserve"> case before the ICTY.</w:t>
      </w:r>
      <w:r>
        <w:rPr>
          <w:rStyle w:val="FootnoteReference"/>
        </w:rPr>
        <w:footnoteReference w:id="41"/>
      </w:r>
      <w:r>
        <w:t xml:space="preserve"> This definition of </w:t>
      </w:r>
      <w:r w:rsidR="00EF4469">
        <w:t>‘</w:t>
      </w:r>
      <w:r>
        <w:t>rape</w:t>
      </w:r>
      <w:r w:rsidR="00EF4469">
        <w:t>’</w:t>
      </w:r>
      <w:r>
        <w:t xml:space="preserve"> now forms the core of the definitions used by other international criminal tribunals.</w:t>
      </w:r>
      <w:r>
        <w:rPr>
          <w:rStyle w:val="FootnoteReference"/>
        </w:rPr>
        <w:footnoteReference w:id="42"/>
      </w:r>
      <w:r>
        <w:t xml:space="preserve"> </w:t>
      </w:r>
      <w:r w:rsidR="00DA168A">
        <w:t xml:space="preserve">It </w:t>
      </w:r>
      <w:r>
        <w:t xml:space="preserve">covers more than just penetration, thus moving away from ‘the historic focus on the act of penetration [which] largely derives from a male preoccupation with assuring women’s </w:t>
      </w:r>
      <w:r>
        <w:lastRenderedPageBreak/>
        <w:t>chastity and ascertaining paternity of children’.</w:t>
      </w:r>
      <w:r>
        <w:rPr>
          <w:rStyle w:val="FootnoteReference"/>
        </w:rPr>
        <w:footnoteReference w:id="43"/>
      </w:r>
      <w:r>
        <w:t xml:space="preserve"> Rape and other acts of a sexual nature are thus uncoupled from the idea of a woman’s reputation and honour.</w:t>
      </w:r>
      <w:r>
        <w:rPr>
          <w:rStyle w:val="FootnoteReference"/>
        </w:rPr>
        <w:footnoteReference w:id="44"/>
      </w:r>
      <w:r>
        <w:t xml:space="preserve"> </w:t>
      </w:r>
    </w:p>
    <w:p w14:paraId="64710E9A" w14:textId="2E6713CB" w:rsidR="00B40664" w:rsidRDefault="00B40664" w:rsidP="00AB5082">
      <w:pPr>
        <w:numPr>
          <w:ilvl w:val="0"/>
          <w:numId w:val="13"/>
        </w:numPr>
        <w:spacing w:after="120" w:line="360" w:lineRule="auto"/>
      </w:pPr>
      <w:r>
        <w:t xml:space="preserve">The second category of violation is ‘enforced </w:t>
      </w:r>
      <w:r w:rsidRPr="004F2E26">
        <w:t>prostitution</w:t>
      </w:r>
      <w:r>
        <w:t>’</w:t>
      </w:r>
      <w:r w:rsidR="00DA168A">
        <w:t>,</w:t>
      </w:r>
      <w:r w:rsidRPr="004F2E26">
        <w:t xml:space="preserve"> whic</w:t>
      </w:r>
      <w:r>
        <w:t xml:space="preserve">h is used interchangeably with ‘forced prostitution’ in Article 76 </w:t>
      </w:r>
      <w:r w:rsidR="000255CC">
        <w:t xml:space="preserve">paragraph </w:t>
      </w:r>
      <w:r w:rsidRPr="004F2E26">
        <w:t>1 AP I.</w:t>
      </w:r>
      <w:r w:rsidRPr="004F2E26">
        <w:rPr>
          <w:rStyle w:val="FootnoteReference"/>
        </w:rPr>
        <w:footnoteReference w:id="45"/>
      </w:r>
      <w:r w:rsidRPr="004F2E26">
        <w:t xml:space="preserve"> The second category appeared in the GC IV </w:t>
      </w:r>
      <w:r>
        <w:t xml:space="preserve">in order </w:t>
      </w:r>
      <w:r w:rsidRPr="004F2E26">
        <w:t xml:space="preserve">to reflect </w:t>
      </w:r>
      <w:r>
        <w:t xml:space="preserve">specifically </w:t>
      </w:r>
      <w:r w:rsidRPr="004F2E26">
        <w:t>the abuse suffered by women who were forced to provide sexual se</w:t>
      </w:r>
      <w:r>
        <w:t xml:space="preserve">rvices in brothels during </w:t>
      </w:r>
      <w:r w:rsidR="00DA168A">
        <w:t>the Second World War</w:t>
      </w:r>
      <w:r>
        <w:t>.</w:t>
      </w:r>
      <w:r w:rsidRPr="004F2E26">
        <w:rPr>
          <w:rStyle w:val="FootnoteReference"/>
        </w:rPr>
        <w:footnoteReference w:id="46"/>
      </w:r>
      <w:r w:rsidRPr="004F2E26">
        <w:t xml:space="preserve"> The Special Rapporteur on Systematic Rape, Sexual Slavery</w:t>
      </w:r>
      <w:r w:rsidR="00DA168A">
        <w:t>,</w:t>
      </w:r>
      <w:r w:rsidRPr="004F2E26">
        <w:t xml:space="preserve"> and Slavery-like Practices during Armed Conflict has defined </w:t>
      </w:r>
      <w:r>
        <w:t>‘forced prostitution’ as ‘</w:t>
      </w:r>
      <w:r w:rsidRPr="004F2E26">
        <w:t>conditions of control over a person who is coerced by another to engage i</w:t>
      </w:r>
      <w:r>
        <w:t>n sexual activity’</w:t>
      </w:r>
      <w:r w:rsidRPr="004F2E26">
        <w:t>,</w:t>
      </w:r>
      <w:r w:rsidRPr="00251A21">
        <w:rPr>
          <w:rStyle w:val="FootnoteReference"/>
        </w:rPr>
        <w:footnoteReference w:id="47"/>
      </w:r>
      <w:r w:rsidRPr="004F2E26">
        <w:t xml:space="preserve"> clearly refuting the idea that such </w:t>
      </w:r>
      <w:r>
        <w:t xml:space="preserve">an </w:t>
      </w:r>
      <w:r w:rsidRPr="004F2E26">
        <w:t>act should be understood as violating a woman’s honour</w:t>
      </w:r>
      <w:r w:rsidRPr="00251A21">
        <w:t xml:space="preserve">. </w:t>
      </w:r>
      <w:r>
        <w:t>Although sexual slavery and forced prostitution may overlap,</w:t>
      </w:r>
      <w:r w:rsidRPr="004F2E26">
        <w:rPr>
          <w:rStyle w:val="FootnoteReference"/>
        </w:rPr>
        <w:footnoteReference w:id="48"/>
      </w:r>
      <w:r>
        <w:t xml:space="preserve"> they are distinct crimes to be prosecuted separately. Whilst sexual slavery refers to the condition whereby a person exercises ownership-like rights over a person, enforced prostitution denotes the situation whereby an individual forces a person to engage in an act of sexual nature</w:t>
      </w:r>
      <w:r w:rsidR="00DA168A">
        <w:t>,</w:t>
      </w:r>
      <w:r>
        <w:t xml:space="preserve"> expecting to obtain some pecuniary advantage.</w:t>
      </w:r>
      <w:r>
        <w:rPr>
          <w:rStyle w:val="FootnoteReference"/>
        </w:rPr>
        <w:footnoteReference w:id="49"/>
      </w:r>
      <w:r>
        <w:t xml:space="preserve"> </w:t>
      </w:r>
    </w:p>
    <w:p w14:paraId="604A111F" w14:textId="236DC9B0" w:rsidR="001B3ED5" w:rsidRDefault="00B40664" w:rsidP="00AB5082">
      <w:pPr>
        <w:numPr>
          <w:ilvl w:val="0"/>
          <w:numId w:val="13"/>
        </w:numPr>
        <w:spacing w:after="120" w:line="360" w:lineRule="auto"/>
      </w:pPr>
      <w:r>
        <w:t>Third</w:t>
      </w:r>
      <w:r w:rsidR="00DA168A">
        <w:t>ly</w:t>
      </w:r>
      <w:r>
        <w:t>, ‘</w:t>
      </w:r>
      <w:r w:rsidRPr="004F2E26">
        <w:t>any form of indecent assault</w:t>
      </w:r>
      <w:r>
        <w:t>’,</w:t>
      </w:r>
      <w:r w:rsidRPr="004F2E26">
        <w:t xml:space="preserve"> understood as an assault of a sexual nature</w:t>
      </w:r>
      <w:r>
        <w:t xml:space="preserve"> short of rape</w:t>
      </w:r>
      <w:r w:rsidRPr="004F2E26">
        <w:t>,</w:t>
      </w:r>
      <w:r w:rsidRPr="004F2E26">
        <w:rPr>
          <w:rStyle w:val="FootnoteReference"/>
        </w:rPr>
        <w:footnoteReference w:id="50"/>
      </w:r>
      <w:r w:rsidRPr="004F2E26">
        <w:t xml:space="preserve"> </w:t>
      </w:r>
      <w:r w:rsidR="001B3ED5">
        <w:t>such as</w:t>
      </w:r>
      <w:r w:rsidRPr="004F2E26">
        <w:t xml:space="preserve"> groping</w:t>
      </w:r>
      <w:r w:rsidR="001B3ED5">
        <w:t xml:space="preserve"> or </w:t>
      </w:r>
      <w:r w:rsidRPr="004F2E26">
        <w:t>fondling a woman’s breast, is prohibited. This specific terminology does not appear in</w:t>
      </w:r>
      <w:r>
        <w:t xml:space="preserve"> any other international </w:t>
      </w:r>
      <w:r w:rsidRPr="001B3ED5">
        <w:rPr>
          <w:i/>
        </w:rPr>
        <w:t>corpus juris</w:t>
      </w:r>
      <w:r>
        <w:t>. In IHRL</w:t>
      </w:r>
      <w:r w:rsidRPr="004F2E26">
        <w:t xml:space="preserve"> and </w:t>
      </w:r>
      <w:r w:rsidR="007126F7">
        <w:t>international criminal law (</w:t>
      </w:r>
      <w:r>
        <w:t>ICL</w:t>
      </w:r>
      <w:r w:rsidR="007126F7">
        <w:t>)</w:t>
      </w:r>
      <w:r w:rsidRPr="004F2E26">
        <w:t xml:space="preserve"> reference is made to sexual violence</w:t>
      </w:r>
      <w:r w:rsidR="001B3ED5">
        <w:t>,</w:t>
      </w:r>
      <w:r>
        <w:t xml:space="preserve"> which covers rape and acts of similar gravity.</w:t>
      </w:r>
      <w:r>
        <w:rPr>
          <w:rStyle w:val="FootnoteReference"/>
        </w:rPr>
        <w:footnoteReference w:id="51"/>
      </w:r>
      <w:r>
        <w:t xml:space="preserve"> </w:t>
      </w:r>
      <w:r w:rsidR="00C40613" w:rsidRPr="001B3ED5">
        <w:rPr>
          <w:color w:val="000000"/>
          <w:shd w:val="clear" w:color="auto" w:fill="FFFFFF"/>
        </w:rPr>
        <w:t xml:space="preserve">Whilst these acts are ‘intended to inflict </w:t>
      </w:r>
      <w:r w:rsidR="00C40613" w:rsidRPr="001B3ED5">
        <w:rPr>
          <w:color w:val="000000"/>
          <w:shd w:val="clear" w:color="auto" w:fill="FFFFFF"/>
        </w:rPr>
        <w:lastRenderedPageBreak/>
        <w:t>severe humiliation on the victims’</w:t>
      </w:r>
      <w:r w:rsidR="001B3ED5" w:rsidRPr="001B3ED5">
        <w:rPr>
          <w:color w:val="000000"/>
          <w:shd w:val="clear" w:color="auto" w:fill="FFFFFF"/>
        </w:rPr>
        <w:t>,</w:t>
      </w:r>
      <w:r w:rsidR="00C40613">
        <w:rPr>
          <w:rStyle w:val="FootnoteReference"/>
          <w:color w:val="000000"/>
          <w:shd w:val="clear" w:color="auto" w:fill="FFFFFF"/>
        </w:rPr>
        <w:footnoteReference w:id="52"/>
      </w:r>
      <w:r w:rsidR="00C40613" w:rsidRPr="001B3ED5">
        <w:rPr>
          <w:color w:val="000000"/>
          <w:shd w:val="clear" w:color="auto" w:fill="FFFFFF"/>
        </w:rPr>
        <w:t xml:space="preserve"> they are also violent acts</w:t>
      </w:r>
      <w:r w:rsidR="00C40613" w:rsidRPr="004F2E26">
        <w:t xml:space="preserve"> </w:t>
      </w:r>
      <w:r w:rsidR="00C40613">
        <w:t>and thus fall within the prohibition of cruel, inhuman</w:t>
      </w:r>
      <w:r w:rsidR="001B3ED5">
        <w:t>,</w:t>
      </w:r>
      <w:r w:rsidR="00C40613">
        <w:t xml:space="preserve"> or degrading treatment or punishment</w:t>
      </w:r>
      <w:r w:rsidR="001B3ED5">
        <w:t>,</w:t>
      </w:r>
      <w:r w:rsidR="00C40613">
        <w:t xml:space="preserve"> as the International Criminal Tribunal of Rwanda (ICTR) observed in the </w:t>
      </w:r>
      <w:proofErr w:type="spellStart"/>
      <w:r w:rsidR="00C40613" w:rsidRPr="001B3ED5">
        <w:rPr>
          <w:i/>
        </w:rPr>
        <w:t>Akayesu</w:t>
      </w:r>
      <w:proofErr w:type="spellEnd"/>
      <w:r w:rsidR="00C40613" w:rsidRPr="001B3ED5">
        <w:rPr>
          <w:i/>
        </w:rPr>
        <w:t xml:space="preserve"> </w:t>
      </w:r>
      <w:r w:rsidR="00C40613">
        <w:t>case.</w:t>
      </w:r>
      <w:r w:rsidR="00C40613">
        <w:rPr>
          <w:rStyle w:val="FootnoteReference"/>
        </w:rPr>
        <w:footnoteReference w:id="53"/>
      </w:r>
      <w:r w:rsidR="00C40613">
        <w:t xml:space="preserve"> Yet</w:t>
      </w:r>
      <w:r w:rsidR="009B4D57">
        <w:t xml:space="preserve"> </w:t>
      </w:r>
      <w:r w:rsidR="001B3ED5">
        <w:t>i</w:t>
      </w:r>
      <w:r>
        <w:t xml:space="preserve">ndecent assault in the sense </w:t>
      </w:r>
      <w:r w:rsidR="001B3ED5">
        <w:t>used by</w:t>
      </w:r>
      <w:r>
        <w:t xml:space="preserve"> the Geneva Conventions does not </w:t>
      </w:r>
      <w:r w:rsidR="00C40613">
        <w:t xml:space="preserve">necessarily </w:t>
      </w:r>
      <w:r>
        <w:t>meet</w:t>
      </w:r>
      <w:r w:rsidR="00C40613">
        <w:t xml:space="preserve"> </w:t>
      </w:r>
      <w:r w:rsidR="009B4D57">
        <w:t>these</w:t>
      </w:r>
      <w:r>
        <w:t xml:space="preserve"> thresholds</w:t>
      </w:r>
      <w:r w:rsidR="009B4D57">
        <w:t>; rather</w:t>
      </w:r>
      <w:r w:rsidR="001B3ED5">
        <w:t>,</w:t>
      </w:r>
      <w:r w:rsidR="009B4D57">
        <w:t xml:space="preserve"> </w:t>
      </w:r>
      <w:r w:rsidR="00C40613">
        <w:t>indecent assault</w:t>
      </w:r>
      <w:r w:rsidR="009B4D57">
        <w:t xml:space="preserve"> extends to a wider range of acts of a </w:t>
      </w:r>
      <w:r w:rsidR="009B4D57" w:rsidRPr="001B3ED5">
        <w:t>s</w:t>
      </w:r>
      <w:r w:rsidR="009B4D57">
        <w:t>exual nature</w:t>
      </w:r>
      <w:r>
        <w:t xml:space="preserve">. </w:t>
      </w:r>
    </w:p>
    <w:p w14:paraId="147FB0AD" w14:textId="77777777" w:rsidR="00B40664" w:rsidRPr="004A3739" w:rsidRDefault="00B40664" w:rsidP="001B3ED5">
      <w:pPr>
        <w:spacing w:after="120" w:line="360" w:lineRule="auto"/>
        <w:ind w:left="720"/>
      </w:pPr>
    </w:p>
    <w:p w14:paraId="01A98B3B" w14:textId="77777777" w:rsidR="005132B5" w:rsidRPr="00C94EA1" w:rsidRDefault="00B40664" w:rsidP="0051540B">
      <w:pPr>
        <w:pStyle w:val="Heading2"/>
        <w:spacing w:after="120"/>
      </w:pPr>
      <w:r w:rsidRPr="00C94EA1">
        <w:t>Protection of Specific Categories of Women</w:t>
      </w:r>
    </w:p>
    <w:p w14:paraId="604F1A9E" w14:textId="77777777" w:rsidR="00B40664" w:rsidRPr="004A3739" w:rsidRDefault="00B40664" w:rsidP="00AB5082">
      <w:pPr>
        <w:spacing w:after="120" w:line="360" w:lineRule="auto"/>
        <w:ind w:left="1800"/>
      </w:pPr>
    </w:p>
    <w:p w14:paraId="55BD047A" w14:textId="02A8E524" w:rsidR="00B40664" w:rsidRDefault="00B40664" w:rsidP="00AB5082">
      <w:pPr>
        <w:numPr>
          <w:ilvl w:val="0"/>
          <w:numId w:val="13"/>
        </w:numPr>
        <w:spacing w:after="120" w:line="360" w:lineRule="auto"/>
      </w:pPr>
      <w:r w:rsidRPr="004A3739">
        <w:t xml:space="preserve">The </w:t>
      </w:r>
      <w:r>
        <w:t>G</w:t>
      </w:r>
      <w:r w:rsidR="006D0ACC">
        <w:t xml:space="preserve">eneva </w:t>
      </w:r>
      <w:r>
        <w:t>C</w:t>
      </w:r>
      <w:r w:rsidR="006D0ACC">
        <w:t>onvention</w:t>
      </w:r>
      <w:r>
        <w:t>s</w:t>
      </w:r>
      <w:r w:rsidRPr="004A3739">
        <w:t xml:space="preserve"> </w:t>
      </w:r>
      <w:r>
        <w:t>proceed</w:t>
      </w:r>
      <w:r w:rsidRPr="004A3739">
        <w:t xml:space="preserve"> from the premise that whilst the men are fighting</w:t>
      </w:r>
      <w:r>
        <w:t>,</w:t>
      </w:r>
      <w:r w:rsidRPr="004A3739">
        <w:t xml:space="preserve"> women are in charge of the children and the household.</w:t>
      </w:r>
      <w:r w:rsidRPr="004A3739">
        <w:rPr>
          <w:rStyle w:val="FootnoteReference"/>
          <w:iCs w:val="0"/>
        </w:rPr>
        <w:footnoteReference w:id="54"/>
      </w:r>
      <w:r w:rsidRPr="004A3739">
        <w:t xml:space="preserve"> </w:t>
      </w:r>
      <w:r>
        <w:t xml:space="preserve">Therefore, an array of provisions </w:t>
      </w:r>
      <w:r w:rsidRPr="004A3739">
        <w:t>intended to alleviate the sufferings caused by war directly refer to women.</w:t>
      </w:r>
      <w:r>
        <w:t xml:space="preserve"> Yet, according to the Geneva Conventions, not all women are to be afforded particular treatment in terms </w:t>
      </w:r>
      <w:r w:rsidRPr="004A3739">
        <w:t>of personal safety</w:t>
      </w:r>
      <w:r>
        <w:t>,</w:t>
      </w:r>
      <w:r w:rsidRPr="004A3739">
        <w:t xml:space="preserve"> shelter, </w:t>
      </w:r>
      <w:r w:rsidRPr="00291B56">
        <w:t>health</w:t>
      </w:r>
      <w:r w:rsidRPr="004A3739">
        <w:t xml:space="preserve">, food, </w:t>
      </w:r>
      <w:r>
        <w:t xml:space="preserve">water, </w:t>
      </w:r>
      <w:r w:rsidRPr="004A3739">
        <w:t>etc</w:t>
      </w:r>
      <w:r>
        <w:t xml:space="preserve">. This stands in contrast to Rule 134 </w:t>
      </w:r>
      <w:r w:rsidR="0051540B">
        <w:t xml:space="preserve">in the </w:t>
      </w:r>
      <w:r>
        <w:t>ICRC CIHL Study</w:t>
      </w:r>
      <w:r w:rsidR="00C94EA1">
        <w:t>,</w:t>
      </w:r>
      <w:r>
        <w:t xml:space="preserve"> which offers such protection to all women. Despite the general applicability spelled out in Rule 134, and in Resolution 2 of the 26</w:t>
      </w:r>
      <w:r w:rsidRPr="00522B27">
        <w:rPr>
          <w:vertAlign w:val="superscript"/>
        </w:rPr>
        <w:t>th</w:t>
      </w:r>
      <w:r>
        <w:t xml:space="preserve"> International Conference of the Red Cross and Red Crescent,</w:t>
      </w:r>
      <w:r>
        <w:rPr>
          <w:rStyle w:val="FootnoteReference"/>
        </w:rPr>
        <w:footnoteReference w:id="55"/>
      </w:r>
      <w:r>
        <w:t xml:space="preserve"> it is not feasible to expand the application of the rules spelled </w:t>
      </w:r>
      <w:r w:rsidR="00C94EA1">
        <w:t xml:space="preserve">out </w:t>
      </w:r>
      <w:r>
        <w:t>below to all women</w:t>
      </w:r>
      <w:r w:rsidR="00C94EA1">
        <w:t>,</w:t>
      </w:r>
      <w:r>
        <w:t xml:space="preserve"> as </w:t>
      </w:r>
      <w:r w:rsidR="00C40613">
        <w:t>R</w:t>
      </w:r>
      <w:r>
        <w:t xml:space="preserve">ule 134 specifically refers to specific categories of women in a separate section in the explanation of the rule. </w:t>
      </w:r>
    </w:p>
    <w:p w14:paraId="4F61A2E6" w14:textId="77777777" w:rsidR="00B40664" w:rsidRDefault="00B40664" w:rsidP="00AB5082">
      <w:pPr>
        <w:spacing w:after="120" w:line="360" w:lineRule="auto"/>
      </w:pPr>
    </w:p>
    <w:p w14:paraId="6FB31E94" w14:textId="400EDF7F" w:rsidR="005132B5" w:rsidRDefault="00B40664" w:rsidP="0051540B">
      <w:pPr>
        <w:pStyle w:val="Heading3"/>
        <w:spacing w:after="120"/>
      </w:pPr>
      <w:r>
        <w:t xml:space="preserve">Grounds for </w:t>
      </w:r>
      <w:r w:rsidR="00EC302F">
        <w:t>p</w:t>
      </w:r>
      <w:r>
        <w:t xml:space="preserve">referential </w:t>
      </w:r>
      <w:r w:rsidR="00EC302F">
        <w:t>t</w:t>
      </w:r>
      <w:r>
        <w:t>reatment</w:t>
      </w:r>
    </w:p>
    <w:p w14:paraId="45A9097A" w14:textId="77777777" w:rsidR="00E40B67" w:rsidRDefault="00E40B67" w:rsidP="00AB5082">
      <w:pPr>
        <w:spacing w:after="120" w:line="360" w:lineRule="auto"/>
        <w:ind w:left="2160"/>
      </w:pPr>
    </w:p>
    <w:p w14:paraId="4ADC49C5" w14:textId="27E3F5B3" w:rsidR="00B40664" w:rsidRDefault="00B40664" w:rsidP="00146BAB">
      <w:pPr>
        <w:numPr>
          <w:ilvl w:val="0"/>
          <w:numId w:val="13"/>
        </w:numPr>
        <w:spacing w:after="120" w:line="360" w:lineRule="auto"/>
      </w:pPr>
      <w:r>
        <w:t xml:space="preserve">The </w:t>
      </w:r>
      <w:r w:rsidR="00146BAB">
        <w:t>categories of women who are marked for</w:t>
      </w:r>
      <w:r>
        <w:t xml:space="preserve"> preferential treatment are pregnant women, maternity cases</w:t>
      </w:r>
      <w:r w:rsidR="00146BAB">
        <w:t>,</w:t>
      </w:r>
      <w:r>
        <w:t xml:space="preserve"> and mothers of children under seven years of age. Whilst in the G</w:t>
      </w:r>
      <w:r w:rsidR="00146BAB">
        <w:t xml:space="preserve">eneva </w:t>
      </w:r>
      <w:r>
        <w:t>C</w:t>
      </w:r>
      <w:r w:rsidR="00146BAB">
        <w:t>onvention</w:t>
      </w:r>
      <w:r>
        <w:t xml:space="preserve">s </w:t>
      </w:r>
      <w:r w:rsidRPr="00E000EF">
        <w:t xml:space="preserve">expectant mothers and maternity cases often feature </w:t>
      </w:r>
      <w:r w:rsidRPr="00E000EF">
        <w:lastRenderedPageBreak/>
        <w:t>along</w:t>
      </w:r>
      <w:r>
        <w:t>side</w:t>
      </w:r>
      <w:r w:rsidRPr="00E000EF">
        <w:t xml:space="preserve"> the wounded and sick</w:t>
      </w:r>
      <w:r w:rsidR="00146BAB">
        <w:t>,</w:t>
      </w:r>
      <w:r w:rsidRPr="00E000EF">
        <w:t xml:space="preserve"> and are thus assimilated to the</w:t>
      </w:r>
      <w:r>
        <w:t>se groups</w:t>
      </w:r>
      <w:r w:rsidRPr="00E000EF">
        <w:t>,</w:t>
      </w:r>
      <w:r w:rsidRPr="00E000EF">
        <w:rPr>
          <w:rStyle w:val="FootnoteReference"/>
          <w:iCs w:val="0"/>
        </w:rPr>
        <w:footnoteReference w:id="56"/>
      </w:r>
      <w:r w:rsidRPr="00E000EF">
        <w:t xml:space="preserve"> these</w:t>
      </w:r>
      <w:r>
        <w:t xml:space="preserve"> categories of women are expressly covered under ‘wounded’ and ‘sick’ in AP I.</w:t>
      </w:r>
      <w:r>
        <w:rPr>
          <w:rStyle w:val="FootnoteReference"/>
        </w:rPr>
        <w:footnoteReference w:id="57"/>
      </w:r>
      <w:r>
        <w:t xml:space="preserve"> </w:t>
      </w:r>
    </w:p>
    <w:p w14:paraId="0006ECF4" w14:textId="216C74BB" w:rsidR="00B40664" w:rsidRPr="004A3739" w:rsidRDefault="00B40664" w:rsidP="00AB5082">
      <w:pPr>
        <w:numPr>
          <w:ilvl w:val="0"/>
          <w:numId w:val="13"/>
        </w:numPr>
        <w:spacing w:after="120" w:line="360" w:lineRule="auto"/>
      </w:pPr>
      <w:r>
        <w:t xml:space="preserve">Although it is acknowledged that </w:t>
      </w:r>
      <w:r w:rsidRPr="004A3739">
        <w:t>there is some arbitrariness in choo</w:t>
      </w:r>
      <w:r>
        <w:t>sing th</w:t>
      </w:r>
      <w:r w:rsidR="00146BAB">
        <w:t>e</w:t>
      </w:r>
      <w:r>
        <w:t xml:space="preserve"> age</w:t>
      </w:r>
      <w:r w:rsidR="00146BAB">
        <w:t xml:space="preserve"> of the children in the third category</w:t>
      </w:r>
      <w:r>
        <w:t xml:space="preserve"> (</w:t>
      </w:r>
      <w:r w:rsidR="00146BAB">
        <w:t>seven</w:t>
      </w:r>
      <w:r>
        <w:t xml:space="preserve"> years old) and </w:t>
      </w:r>
      <w:r w:rsidR="00146BAB">
        <w:t xml:space="preserve">in selecting the </w:t>
      </w:r>
      <w:r>
        <w:t>other categories (pregnant/expectant mothers and maternity</w:t>
      </w:r>
      <w:r w:rsidR="00941890">
        <w:t xml:space="preserve"> cases</w:t>
      </w:r>
      <w:r>
        <w:t>), these parameters were</w:t>
      </w:r>
      <w:r w:rsidRPr="004A3739">
        <w:t xml:space="preserve"> deemed by the draft</w:t>
      </w:r>
      <w:r>
        <w:t>er</w:t>
      </w:r>
      <w:r w:rsidRPr="004A3739">
        <w:t>s as appropriate, reasonable</w:t>
      </w:r>
      <w:r w:rsidR="00146BAB">
        <w:t>,</w:t>
      </w:r>
      <w:r w:rsidRPr="004A3739">
        <w:t xml:space="preserve"> and generally in accord with the requirements of the physical and</w:t>
      </w:r>
      <w:r>
        <w:t xml:space="preserve"> mental development of children.</w:t>
      </w:r>
      <w:r w:rsidRPr="004A3739">
        <w:rPr>
          <w:rStyle w:val="FootnoteReference"/>
          <w:iCs w:val="0"/>
        </w:rPr>
        <w:footnoteReference w:id="58"/>
      </w:r>
      <w:r w:rsidRPr="004A3739">
        <w:t xml:space="preserve"> </w:t>
      </w:r>
      <w:r>
        <w:t>Whilst pregnant or expectant women refers to women’s condition prior to childbirth, the concept of ‘maternity cases’ covers labour and a short period after childbirth,</w:t>
      </w:r>
      <w:r>
        <w:rPr>
          <w:rStyle w:val="FootnoteReference"/>
        </w:rPr>
        <w:footnoteReference w:id="59"/>
      </w:r>
      <w:r>
        <w:t xml:space="preserve"> and implies that such women are in need of medical assistance.</w:t>
      </w:r>
      <w:r w:rsidR="00020F0D" w:rsidRPr="00020F0D">
        <w:t xml:space="preserve"> </w:t>
      </w:r>
      <w:r w:rsidR="00020F0D">
        <w:t xml:space="preserve">Indeed, Article 8 AP I refers to maternity cases as women ‘who may be in need of immediate medical assistance and care’. </w:t>
      </w:r>
      <w:r>
        <w:t>In contradistinction</w:t>
      </w:r>
      <w:r w:rsidR="00146BAB">
        <w:t>,</w:t>
      </w:r>
      <w:r>
        <w:t xml:space="preserve"> ‘nursing mothers’</w:t>
      </w:r>
      <w:r w:rsidR="00F430EF">
        <w:t>, in Article 70 AP I,</w:t>
      </w:r>
      <w:r>
        <w:t xml:space="preserve"> refer</w:t>
      </w:r>
      <w:r w:rsidR="00020F0D">
        <w:t>s</w:t>
      </w:r>
      <w:r>
        <w:t xml:space="preserve"> to mothers of babies, the stress being on the protection and care of the child.</w:t>
      </w:r>
      <w:r w:rsidRPr="00C40613">
        <w:rPr>
          <w:rStyle w:val="FootnoteReference"/>
          <w:color w:val="000000"/>
          <w:shd w:val="clear" w:color="auto" w:fill="FFFFFF"/>
        </w:rPr>
        <w:footnoteReference w:id="60"/>
      </w:r>
      <w:r w:rsidRPr="00C40613">
        <w:t xml:space="preserve"> </w:t>
      </w:r>
      <w:r>
        <w:t>That it was deemed necessary to add ‘nursing mothers’ shows that the concept of ‘maternity cases’ relates to birthing.</w:t>
      </w:r>
      <w:r w:rsidRPr="001C49B8">
        <w:t xml:space="preserve"> </w:t>
      </w:r>
      <w:r>
        <w:t xml:space="preserve">Moreover, </w:t>
      </w:r>
      <w:r w:rsidR="00F430EF">
        <w:t xml:space="preserve">the term </w:t>
      </w:r>
      <w:r>
        <w:t>‘nursing mothers’,</w:t>
      </w:r>
      <w:r w:rsidR="00F430EF">
        <w:t xml:space="preserve"> rather than ‘maternity cases’,</w:t>
      </w:r>
      <w:r>
        <w:t xml:space="preserve"> appear</w:t>
      </w:r>
      <w:r w:rsidR="00C40613">
        <w:t>s</w:t>
      </w:r>
      <w:r>
        <w:t xml:space="preserve"> only once in the G</w:t>
      </w:r>
      <w:r w:rsidR="00D75D13">
        <w:t>eneva Convention</w:t>
      </w:r>
      <w:r>
        <w:t>s (</w:t>
      </w:r>
      <w:r w:rsidR="00D75D13">
        <w:t>A</w:t>
      </w:r>
      <w:r>
        <w:t xml:space="preserve">rticle 89 GC IV), alongside </w:t>
      </w:r>
      <w:r w:rsidR="00020F0D">
        <w:t xml:space="preserve">references to </w:t>
      </w:r>
      <w:r>
        <w:t xml:space="preserve">pregnant women and children under </w:t>
      </w:r>
      <w:r w:rsidR="00D75D13">
        <w:t>15</w:t>
      </w:r>
      <w:r>
        <w:t xml:space="preserve"> years of age. </w:t>
      </w:r>
    </w:p>
    <w:p w14:paraId="24BCF82D" w14:textId="77777777" w:rsidR="00B40664" w:rsidRPr="004A3739" w:rsidRDefault="00B40664" w:rsidP="00AB5082">
      <w:pPr>
        <w:spacing w:after="120" w:line="360" w:lineRule="auto"/>
      </w:pPr>
    </w:p>
    <w:p w14:paraId="00899E49" w14:textId="6405AA54" w:rsidR="005132B5" w:rsidRDefault="00B40664" w:rsidP="0051540B">
      <w:pPr>
        <w:pStyle w:val="Heading3"/>
        <w:spacing w:after="120"/>
      </w:pPr>
      <w:r w:rsidRPr="004A3739">
        <w:t xml:space="preserve">Personal </w:t>
      </w:r>
      <w:r w:rsidR="00EC302F">
        <w:t>s</w:t>
      </w:r>
      <w:r w:rsidR="00EC302F" w:rsidRPr="004A3739">
        <w:t xml:space="preserve">afety </w:t>
      </w:r>
      <w:r w:rsidRPr="004A3739">
        <w:t xml:space="preserve">and </w:t>
      </w:r>
      <w:r w:rsidR="00EC302F">
        <w:t>shelter</w:t>
      </w:r>
    </w:p>
    <w:p w14:paraId="3A89FFA8" w14:textId="77777777" w:rsidR="00B40664" w:rsidRPr="004A3739" w:rsidRDefault="00B40664" w:rsidP="00AB5082">
      <w:pPr>
        <w:spacing w:after="120" w:line="360" w:lineRule="auto"/>
        <w:ind w:left="1800"/>
      </w:pPr>
    </w:p>
    <w:p w14:paraId="33E39FA4" w14:textId="1F256BA9" w:rsidR="00B40664" w:rsidRDefault="00B40664" w:rsidP="00A402EE">
      <w:pPr>
        <w:numPr>
          <w:ilvl w:val="0"/>
          <w:numId w:val="13"/>
        </w:numPr>
        <w:spacing w:after="120" w:line="360" w:lineRule="auto"/>
      </w:pPr>
      <w:r w:rsidRPr="004A3739">
        <w:t>In view of the vulnerability of some categories of women, ensuring their personal safety</w:t>
      </w:r>
      <w:r>
        <w:t xml:space="preserve"> is fundamental.</w:t>
      </w:r>
      <w:r>
        <w:rPr>
          <w:rStyle w:val="FootnoteReference"/>
        </w:rPr>
        <w:footnoteReference w:id="61"/>
      </w:r>
      <w:r w:rsidRPr="004A3739">
        <w:t xml:space="preserve"> Article 14 </w:t>
      </w:r>
      <w:r>
        <w:t xml:space="preserve">GC IV </w:t>
      </w:r>
      <w:r w:rsidRPr="004A3739">
        <w:t xml:space="preserve">provides for the creation of hospital and safety zones and localities so as to protect certain categories of civilians from the effects of war. The common denominator between all those listed in Article 14 </w:t>
      </w:r>
      <w:r>
        <w:t xml:space="preserve">GC IV </w:t>
      </w:r>
      <w:r w:rsidRPr="004A3739">
        <w:lastRenderedPageBreak/>
        <w:t>is that such individuals are deemed to not take part in the hostilities</w:t>
      </w:r>
      <w:r>
        <w:t>,</w:t>
      </w:r>
      <w:r w:rsidRPr="004A3739">
        <w:t xml:space="preserve"> and </w:t>
      </w:r>
      <w:r>
        <w:t>to suffer a</w:t>
      </w:r>
      <w:r w:rsidRPr="004A3739">
        <w:t xml:space="preserve"> weakness </w:t>
      </w:r>
      <w:r w:rsidR="00C40613">
        <w:t xml:space="preserve">that </w:t>
      </w:r>
      <w:r w:rsidRPr="004A3739">
        <w:t xml:space="preserve">makes them incapable of contributing to the conflict. </w:t>
      </w:r>
      <w:r>
        <w:t>E</w:t>
      </w:r>
      <w:r w:rsidRPr="004A3739">
        <w:t xml:space="preserve">xpectant mothers and mothers of children under seven </w:t>
      </w:r>
      <w:r w:rsidR="00020F0D">
        <w:t xml:space="preserve">years of age </w:t>
      </w:r>
      <w:r w:rsidRPr="004A3739">
        <w:t xml:space="preserve">are seen as one such group of individuals </w:t>
      </w:r>
      <w:r>
        <w:t>who can</w:t>
      </w:r>
      <w:r w:rsidRPr="004A3739">
        <w:t xml:space="preserve"> seek refuge in these hospital</w:t>
      </w:r>
      <w:r>
        <w:t xml:space="preserve"> and safety</w:t>
      </w:r>
      <w:r w:rsidRPr="004A3739">
        <w:t xml:space="preserve"> zones and localities. Article 14</w:t>
      </w:r>
      <w:r>
        <w:t xml:space="preserve"> GC IV</w:t>
      </w:r>
      <w:r w:rsidRPr="004A3739">
        <w:t xml:space="preserve"> </w:t>
      </w:r>
      <w:r w:rsidR="00A402EE">
        <w:t>may</w:t>
      </w:r>
      <w:r w:rsidRPr="004A3739">
        <w:t xml:space="preserve"> be considered </w:t>
      </w:r>
      <w:r>
        <w:t>as</w:t>
      </w:r>
      <w:r w:rsidRPr="004A3739">
        <w:t xml:space="preserve"> customary.</w:t>
      </w:r>
      <w:r>
        <w:rPr>
          <w:rStyle w:val="FootnoteReference"/>
        </w:rPr>
        <w:footnoteReference w:id="62"/>
      </w:r>
      <w:r w:rsidRPr="004A3739">
        <w:t xml:space="preserve"> It is noteworthy that Rule 35</w:t>
      </w:r>
      <w:r w:rsidR="007043D8">
        <w:t xml:space="preserve"> </w:t>
      </w:r>
      <w:r w:rsidR="00247349">
        <w:t xml:space="preserve">in the </w:t>
      </w:r>
      <w:r>
        <w:t>ICRC CIHL Study</w:t>
      </w:r>
      <w:r w:rsidRPr="004A3739">
        <w:rPr>
          <w:rStyle w:val="FootnoteReference"/>
          <w:iCs w:val="0"/>
        </w:rPr>
        <w:footnoteReference w:id="63"/>
      </w:r>
      <w:r w:rsidRPr="004A3739">
        <w:t xml:space="preserve"> does not specifically refer to</w:t>
      </w:r>
      <w:r>
        <w:t xml:space="preserve"> these </w:t>
      </w:r>
      <w:r w:rsidRPr="004A3739">
        <w:t xml:space="preserve">categories </w:t>
      </w:r>
      <w:r>
        <w:t>but applies</w:t>
      </w:r>
      <w:r w:rsidRPr="004A3739">
        <w:t xml:space="preserve"> </w:t>
      </w:r>
      <w:r>
        <w:t>to</w:t>
      </w:r>
      <w:r w:rsidRPr="004A3739">
        <w:t xml:space="preserve"> </w:t>
      </w:r>
      <w:r>
        <w:t>‘</w:t>
      </w:r>
      <w:r w:rsidRPr="004A3739">
        <w:t>civilians</w:t>
      </w:r>
      <w:r>
        <w:t>’</w:t>
      </w:r>
      <w:r w:rsidR="00A402EE">
        <w:t>,</w:t>
      </w:r>
      <w:r w:rsidRPr="004A3739">
        <w:t xml:space="preserve"> which means </w:t>
      </w:r>
      <w:r>
        <w:t xml:space="preserve">that any woman </w:t>
      </w:r>
      <w:r w:rsidRPr="004A3739">
        <w:t xml:space="preserve">is to be protected in </w:t>
      </w:r>
      <w:r>
        <w:t>these locations</w:t>
      </w:r>
      <w:r w:rsidRPr="004A3739">
        <w:t xml:space="preserve">. </w:t>
      </w:r>
      <w:r>
        <w:t xml:space="preserve">Yet </w:t>
      </w:r>
      <w:r w:rsidRPr="004A3739">
        <w:t xml:space="preserve">Article 14 </w:t>
      </w:r>
      <w:r>
        <w:t xml:space="preserve">GC IV </w:t>
      </w:r>
      <w:r w:rsidRPr="004A3739">
        <w:t xml:space="preserve">goes a step further </w:t>
      </w:r>
      <w:r>
        <w:t>than Rule 35</w:t>
      </w:r>
      <w:r w:rsidR="00A402EE">
        <w:t>,</w:t>
      </w:r>
      <w:r>
        <w:t xml:space="preserve"> </w:t>
      </w:r>
      <w:r w:rsidRPr="004A3739">
        <w:t>inasmuch as it offers protection from both the indirect and direct</w:t>
      </w:r>
      <w:r>
        <w:t xml:space="preserve"> effects of war.</w:t>
      </w:r>
      <w:r w:rsidRPr="004A3739">
        <w:rPr>
          <w:rStyle w:val="FootnoteReference"/>
          <w:iCs w:val="0"/>
        </w:rPr>
        <w:footnoteReference w:id="64"/>
      </w:r>
      <w:r w:rsidRPr="004A3739">
        <w:t xml:space="preserve"> Direct effects include bombardment, aerial attacks, </w:t>
      </w:r>
      <w:proofErr w:type="spellStart"/>
      <w:r w:rsidRPr="004A3739">
        <w:t>etc</w:t>
      </w:r>
      <w:proofErr w:type="spellEnd"/>
      <w:r w:rsidR="00A402EE">
        <w:t>,</w:t>
      </w:r>
      <w:r w:rsidRPr="004A3739">
        <w:t xml:space="preserve"> whilst indirect effects cover issues that are of particular relevance to these two categories of women: health, sanitation, housing, shelter, heating, etc. </w:t>
      </w:r>
      <w:r>
        <w:t>This means that these women’s</w:t>
      </w:r>
      <w:r w:rsidRPr="004A3739">
        <w:t xml:space="preserve"> personal safety is assured</w:t>
      </w:r>
      <w:r w:rsidR="00A402EE">
        <w:t>,</w:t>
      </w:r>
      <w:r w:rsidRPr="004A3739">
        <w:t xml:space="preserve"> whilst they are also able to find shelter</w:t>
      </w:r>
      <w:r>
        <w:t xml:space="preserve"> in a broader sense</w:t>
      </w:r>
      <w:r w:rsidRPr="004A3739">
        <w:t>.</w:t>
      </w:r>
      <w:r>
        <w:t xml:space="preserve"> </w:t>
      </w:r>
    </w:p>
    <w:p w14:paraId="3E7035D0" w14:textId="7B4265E9" w:rsidR="00B40664" w:rsidRPr="004A3739" w:rsidRDefault="00A402EE" w:rsidP="00AB5082">
      <w:pPr>
        <w:numPr>
          <w:ilvl w:val="0"/>
          <w:numId w:val="13"/>
        </w:numPr>
        <w:spacing w:after="120" w:line="360" w:lineRule="auto"/>
      </w:pPr>
      <w:r>
        <w:t xml:space="preserve">The </w:t>
      </w:r>
      <w:r w:rsidRPr="004A3739">
        <w:t>p</w:t>
      </w:r>
      <w:r w:rsidR="00B40664" w:rsidRPr="004A3739">
        <w:t xml:space="preserve">ersonal safety of specific groups of women is also found in </w:t>
      </w:r>
      <w:r w:rsidR="00B40664">
        <w:t>A</w:t>
      </w:r>
      <w:r w:rsidR="00B40664" w:rsidRPr="004A3739">
        <w:t>rticles 16</w:t>
      </w:r>
      <w:r w:rsidR="00B40664">
        <w:t xml:space="preserve"> paragraph </w:t>
      </w:r>
      <w:r w:rsidR="00B40664" w:rsidRPr="004A3739">
        <w:t xml:space="preserve">1 </w:t>
      </w:r>
      <w:r w:rsidR="00B40664">
        <w:t xml:space="preserve">and 17 </w:t>
      </w:r>
      <w:r w:rsidR="00B40664" w:rsidRPr="004A3739">
        <w:t xml:space="preserve">GC IV. Article 16 </w:t>
      </w:r>
      <w:r w:rsidR="00B40664">
        <w:t>GC IV</w:t>
      </w:r>
      <w:r w:rsidR="00B40664" w:rsidRPr="004A3739">
        <w:t xml:space="preserve"> </w:t>
      </w:r>
      <w:r w:rsidR="00AA5AEA">
        <w:t>provides</w:t>
      </w:r>
      <w:r w:rsidR="00B40664" w:rsidRPr="004A3739">
        <w:t xml:space="preserve"> that expectant mothers</w:t>
      </w:r>
      <w:r w:rsidR="00B40664">
        <w:t>, along with the</w:t>
      </w:r>
      <w:r w:rsidR="00B40664" w:rsidRPr="004A3739">
        <w:t xml:space="preserve"> wounded, sick</w:t>
      </w:r>
      <w:r w:rsidR="00AA5AEA">
        <w:t>,</w:t>
      </w:r>
      <w:r w:rsidR="00B40664" w:rsidRPr="004A3739">
        <w:t xml:space="preserve"> and infirm</w:t>
      </w:r>
      <w:r w:rsidR="00B40664">
        <w:t xml:space="preserve"> who</w:t>
      </w:r>
      <w:r w:rsidR="00B40664" w:rsidRPr="004A3739">
        <w:t xml:space="preserve"> are deemed not to </w:t>
      </w:r>
      <w:r w:rsidR="00B40664" w:rsidRPr="00717582">
        <w:t>take part in hostilities</w:t>
      </w:r>
      <w:r w:rsidR="00B40664">
        <w:t xml:space="preserve"> and to be </w:t>
      </w:r>
      <w:r w:rsidR="00B40664" w:rsidRPr="00717582">
        <w:t>in a state</w:t>
      </w:r>
      <w:r w:rsidR="00B40664" w:rsidRPr="004A3739">
        <w:t xml:space="preserve"> of weakness</w:t>
      </w:r>
      <w:r w:rsidR="00B40664">
        <w:t>,</w:t>
      </w:r>
      <w:r w:rsidR="00B40664" w:rsidRPr="004A3739">
        <w:t xml:space="preserve"> shall be the object of particular protection and respect. This means that such women are not only to be spared and not attacked</w:t>
      </w:r>
      <w:r w:rsidR="00B40664">
        <w:t>,</w:t>
      </w:r>
      <w:r w:rsidR="00B40664" w:rsidRPr="004A3739">
        <w:t xml:space="preserve"> but </w:t>
      </w:r>
      <w:r w:rsidR="00B40664">
        <w:t xml:space="preserve">should </w:t>
      </w:r>
      <w:r w:rsidR="00B40664" w:rsidRPr="004A3739">
        <w:t>also</w:t>
      </w:r>
      <w:r w:rsidR="00B40664">
        <w:t xml:space="preserve"> be assisted and supported,</w:t>
      </w:r>
      <w:r w:rsidR="00B40664" w:rsidRPr="004A3739">
        <w:rPr>
          <w:rStyle w:val="FootnoteReference"/>
          <w:iCs w:val="0"/>
        </w:rPr>
        <w:footnoteReference w:id="65"/>
      </w:r>
      <w:r w:rsidR="00B40664">
        <w:t xml:space="preserve"> obligations that are moreover applicable to female detainees.</w:t>
      </w:r>
      <w:r w:rsidR="00B40664">
        <w:rPr>
          <w:rStyle w:val="FootnoteReference"/>
        </w:rPr>
        <w:footnoteReference w:id="66"/>
      </w:r>
      <w:r w:rsidR="00B40664" w:rsidRPr="004A3739">
        <w:t xml:space="preserve"> This dual obligation is absolute,</w:t>
      </w:r>
      <w:r w:rsidR="00B40664">
        <w:t xml:space="preserve"> no derogations being permitted:</w:t>
      </w:r>
      <w:r w:rsidR="00B40664" w:rsidRPr="004A3739">
        <w:t xml:space="preserve"> </w:t>
      </w:r>
      <w:r w:rsidR="00AA5AEA" w:rsidRPr="004A3739">
        <w:t>t</w:t>
      </w:r>
      <w:r w:rsidR="00B40664" w:rsidRPr="004A3739">
        <w:t xml:space="preserve">he safety of expectant mothers is to be assured. </w:t>
      </w:r>
    </w:p>
    <w:p w14:paraId="71CD413B" w14:textId="77777777" w:rsidR="00B40664" w:rsidRPr="004A3739" w:rsidRDefault="00B40664" w:rsidP="00AB5082">
      <w:pPr>
        <w:spacing w:after="120" w:line="360" w:lineRule="auto"/>
      </w:pPr>
    </w:p>
    <w:p w14:paraId="6A4C5803" w14:textId="7A022FF8" w:rsidR="005132B5" w:rsidRDefault="00B40664" w:rsidP="0051540B">
      <w:pPr>
        <w:pStyle w:val="Heading3"/>
        <w:spacing w:after="120"/>
      </w:pPr>
      <w:r w:rsidRPr="004A3739">
        <w:t xml:space="preserve">Health, </w:t>
      </w:r>
      <w:r w:rsidR="00EC302F">
        <w:t>f</w:t>
      </w:r>
      <w:r w:rsidR="00EC302F" w:rsidRPr="004A3739">
        <w:t>ood</w:t>
      </w:r>
      <w:r w:rsidR="005C50B1">
        <w:t>,</w:t>
      </w:r>
      <w:r w:rsidR="00EC302F" w:rsidRPr="004A3739">
        <w:t xml:space="preserve"> </w:t>
      </w:r>
      <w:r w:rsidRPr="004A3739">
        <w:t xml:space="preserve">and </w:t>
      </w:r>
      <w:r w:rsidR="00EC302F">
        <w:t>h</w:t>
      </w:r>
      <w:r w:rsidR="00EC302F" w:rsidRPr="004A3739">
        <w:t xml:space="preserve">ousehold </w:t>
      </w:r>
      <w:r w:rsidR="00EC302F">
        <w:t>i</w:t>
      </w:r>
      <w:r w:rsidR="00EC302F" w:rsidRPr="004A3739">
        <w:t>tems</w:t>
      </w:r>
    </w:p>
    <w:p w14:paraId="0DD9545E" w14:textId="77777777" w:rsidR="00B40664" w:rsidRDefault="00B40664" w:rsidP="00AB5082">
      <w:pPr>
        <w:spacing w:after="120" w:line="360" w:lineRule="auto"/>
      </w:pPr>
    </w:p>
    <w:p w14:paraId="6D8A9737" w14:textId="0B9CCCFE" w:rsidR="00B40664" w:rsidRDefault="00B40664" w:rsidP="00AA5AEA">
      <w:pPr>
        <w:numPr>
          <w:ilvl w:val="0"/>
          <w:numId w:val="13"/>
        </w:numPr>
        <w:spacing w:after="120" w:line="360" w:lineRule="auto"/>
      </w:pPr>
      <w:r w:rsidRPr="004A3739">
        <w:t>Besides ensuring that the physical integrity of certain categories of women is protected</w:t>
      </w:r>
      <w:r>
        <w:t>,</w:t>
      </w:r>
      <w:r w:rsidRPr="004A3739">
        <w:t xml:space="preserve"> the Geneva Conventions offer women a range of benefits regarding health, food</w:t>
      </w:r>
      <w:r w:rsidR="00AA5AEA">
        <w:t>,</w:t>
      </w:r>
      <w:r w:rsidRPr="004A3739">
        <w:t xml:space="preserve"> and household items. Although health might be considered as part of personal </w:t>
      </w:r>
      <w:r w:rsidRPr="004A3739">
        <w:lastRenderedPageBreak/>
        <w:t xml:space="preserve">safety (and thus to some extent </w:t>
      </w:r>
      <w:r>
        <w:t>subsumed under</w:t>
      </w:r>
      <w:r w:rsidR="00AA5AEA">
        <w:t xml:space="preserve"> the category ‘Personal safety and shelter’ examined in </w:t>
      </w:r>
      <w:r w:rsidR="00AA5AEA" w:rsidRPr="002A65CB">
        <w:t>section</w:t>
      </w:r>
      <w:r w:rsidRPr="002A65CB">
        <w:t xml:space="preserve"> </w:t>
      </w:r>
      <w:proofErr w:type="spellStart"/>
      <w:r w:rsidR="00DF65FC" w:rsidRPr="002A65CB">
        <w:t>B.II.b</w:t>
      </w:r>
      <w:proofErr w:type="spellEnd"/>
      <w:r w:rsidR="00DF65FC" w:rsidRPr="002A65CB">
        <w:t>.</w:t>
      </w:r>
      <w:r w:rsidR="00AA5AEA" w:rsidRPr="002A65CB">
        <w:t xml:space="preserve"> above</w:t>
      </w:r>
      <w:r w:rsidRPr="004A3739">
        <w:t>)</w:t>
      </w:r>
      <w:r>
        <w:t>,</w:t>
      </w:r>
      <w:r w:rsidRPr="004A3739">
        <w:t xml:space="preserve"> the special protection relating to food and household items </w:t>
      </w:r>
      <w:r>
        <w:t>is</w:t>
      </w:r>
      <w:r w:rsidRPr="004A3739">
        <w:t xml:space="preserve"> warranted because of women’s reproductive</w:t>
      </w:r>
      <w:r>
        <w:t xml:space="preserve"> and caretaking</w:t>
      </w:r>
      <w:r w:rsidRPr="004A3739">
        <w:t xml:space="preserve"> function</w:t>
      </w:r>
      <w:r w:rsidR="00AA5AEA">
        <w:t>s</w:t>
      </w:r>
      <w:r w:rsidRPr="004A3739">
        <w:t>.</w:t>
      </w:r>
      <w:r w:rsidRPr="006513ED">
        <w:t xml:space="preserve"> </w:t>
      </w:r>
      <w:r w:rsidR="00C40613">
        <w:t>T</w:t>
      </w:r>
      <w:r w:rsidRPr="004A3739">
        <w:t xml:space="preserve">hese special protections </w:t>
      </w:r>
      <w:r>
        <w:t xml:space="preserve">are </w:t>
      </w:r>
      <w:r w:rsidRPr="004A3739">
        <w:t>additional to the protect</w:t>
      </w:r>
      <w:r>
        <w:t>ion granted to the general civilian population</w:t>
      </w:r>
      <w:r w:rsidRPr="004A3739">
        <w:t>.</w:t>
      </w:r>
    </w:p>
    <w:p w14:paraId="139EA52B" w14:textId="1E3C3519" w:rsidR="00B40664" w:rsidRDefault="00B40664" w:rsidP="009826C2">
      <w:pPr>
        <w:numPr>
          <w:ilvl w:val="0"/>
          <w:numId w:val="13"/>
        </w:numPr>
        <w:spacing w:after="120" w:line="360" w:lineRule="auto"/>
      </w:pPr>
      <w:r w:rsidRPr="004A3739">
        <w:t xml:space="preserve">Two provisions mentioned </w:t>
      </w:r>
      <w:r w:rsidRPr="002A65CB">
        <w:t xml:space="preserve">earlier, Articles 14 and 16 </w:t>
      </w:r>
      <w:proofErr w:type="gramStart"/>
      <w:r w:rsidRPr="002A65CB">
        <w:t>paragraph</w:t>
      </w:r>
      <w:proofErr w:type="gramEnd"/>
      <w:r w:rsidRPr="002A65CB">
        <w:t xml:space="preserve"> 1 GC IV</w:t>
      </w:r>
      <w:r w:rsidR="00AA5AEA" w:rsidRPr="002A65CB">
        <w:t xml:space="preserve"> (MN 20–21)</w:t>
      </w:r>
      <w:r w:rsidRPr="002A65CB">
        <w:t>, offer general protection</w:t>
      </w:r>
      <w:r w:rsidRPr="004A3739">
        <w:t xml:space="preserve"> to </w:t>
      </w:r>
      <w:r>
        <w:t xml:space="preserve">certain categories of </w:t>
      </w:r>
      <w:r w:rsidRPr="004A3739">
        <w:t xml:space="preserve">women. Article 14 GC IV protects expectant mothers and mothers of children </w:t>
      </w:r>
      <w:r w:rsidR="009826C2">
        <w:t xml:space="preserve">aged </w:t>
      </w:r>
      <w:r w:rsidRPr="004A3739">
        <w:t>under seven from the effects of war</w:t>
      </w:r>
      <w:r>
        <w:t>,</w:t>
      </w:r>
      <w:r w:rsidRPr="004A3739">
        <w:t xml:space="preserve"> </w:t>
      </w:r>
      <w:r>
        <w:t>by allowing their admission to hospital and safety zones and localities, which must, however, first be established by agreement between the parties to the conflict. It implies</w:t>
      </w:r>
      <w:r w:rsidRPr="004A3739">
        <w:t xml:space="preserve"> shielding women from the negative impact of the war on h</w:t>
      </w:r>
      <w:r>
        <w:t xml:space="preserve">ealth, sanitation, housing, </w:t>
      </w:r>
      <w:proofErr w:type="spellStart"/>
      <w:r>
        <w:t>etc</w:t>
      </w:r>
      <w:proofErr w:type="spellEnd"/>
      <w:r>
        <w:t xml:space="preserve">, and providing women with </w:t>
      </w:r>
      <w:r w:rsidRPr="004A3739">
        <w:t>life-saving services such as maternal programmes</w:t>
      </w:r>
      <w:r>
        <w:t>.</w:t>
      </w:r>
      <w:r>
        <w:rPr>
          <w:rStyle w:val="FootnoteReference"/>
        </w:rPr>
        <w:footnoteReference w:id="67"/>
      </w:r>
      <w:r w:rsidRPr="004A3739">
        <w:t xml:space="preserve"> In relation to expectant mothers</w:t>
      </w:r>
      <w:r w:rsidR="009826C2">
        <w:t>,</w:t>
      </w:r>
      <w:r w:rsidRPr="004A3739">
        <w:t xml:space="preserve"> A</w:t>
      </w:r>
      <w:r>
        <w:t>rticle 16 paragraph 1</w:t>
      </w:r>
      <w:r w:rsidRPr="004A3739">
        <w:t xml:space="preserve"> GC IV </w:t>
      </w:r>
      <w:r>
        <w:t>demands particular</w:t>
      </w:r>
      <w:r w:rsidRPr="004A3739">
        <w:t xml:space="preserve"> protection and respect</w:t>
      </w:r>
      <w:r>
        <w:t xml:space="preserve">, by including them in the category of </w:t>
      </w:r>
      <w:r w:rsidR="009826C2">
        <w:t xml:space="preserve">the </w:t>
      </w:r>
      <w:r>
        <w:t>wounded and sick,</w:t>
      </w:r>
      <w:r w:rsidRPr="004A3739">
        <w:t xml:space="preserve"> </w:t>
      </w:r>
      <w:proofErr w:type="gramStart"/>
      <w:r w:rsidRPr="004A3739">
        <w:t>which undoubtedly</w:t>
      </w:r>
      <w:r w:rsidR="009826C2">
        <w:t xml:space="preserve"> allows</w:t>
      </w:r>
      <w:r>
        <w:t xml:space="preserve"> them </w:t>
      </w:r>
      <w:r w:rsidR="009826C2">
        <w:t xml:space="preserve">to </w:t>
      </w:r>
      <w:r>
        <w:t xml:space="preserve">benefit from </w:t>
      </w:r>
      <w:r w:rsidRPr="004A3739">
        <w:t xml:space="preserve">medical assistance, </w:t>
      </w:r>
      <w:r>
        <w:t xml:space="preserve">and arguably </w:t>
      </w:r>
      <w:r w:rsidRPr="004A3739">
        <w:t>food and other</w:t>
      </w:r>
      <w:r>
        <w:t xml:space="preserve"> essentials</w:t>
      </w:r>
      <w:r w:rsidRPr="004A3739">
        <w:t>.</w:t>
      </w:r>
      <w:proofErr w:type="gramEnd"/>
      <w:r w:rsidRPr="004A3739">
        <w:t xml:space="preserve"> </w:t>
      </w:r>
    </w:p>
    <w:p w14:paraId="6CF476F5" w14:textId="279170DB" w:rsidR="00B40664" w:rsidRDefault="00B40664" w:rsidP="00F93B73">
      <w:pPr>
        <w:numPr>
          <w:ilvl w:val="0"/>
          <w:numId w:val="13"/>
        </w:numPr>
        <w:spacing w:after="120" w:line="360" w:lineRule="auto"/>
      </w:pPr>
      <w:r w:rsidRPr="004A3739">
        <w:t>Moreover, Article 23 GC IV, a provision designed to save the most vulnerable and most worthy of protection and assistance from the impact of war,</w:t>
      </w:r>
      <w:r w:rsidRPr="004A3739">
        <w:rPr>
          <w:rStyle w:val="FootnoteReference"/>
          <w:iCs w:val="0"/>
        </w:rPr>
        <w:footnoteReference w:id="68"/>
      </w:r>
      <w:r w:rsidRPr="004A3739">
        <w:t xml:space="preserve"> specifically requires all belligerents to allow the free and unlimited passage of medical supplies, food</w:t>
      </w:r>
      <w:r w:rsidR="009826C2">
        <w:t>,</w:t>
      </w:r>
      <w:r w:rsidRPr="004A3739">
        <w:t xml:space="preserve"> and clothing intended for expectant mothers and maternity cases, whether these women are nationals of an enemy,</w:t>
      </w:r>
      <w:r>
        <w:t xml:space="preserve"> allied, associated</w:t>
      </w:r>
      <w:r w:rsidR="009826C2">
        <w:t>,</w:t>
      </w:r>
      <w:r>
        <w:t xml:space="preserve"> or neutral s</w:t>
      </w:r>
      <w:r w:rsidRPr="004A3739">
        <w:t>tate.</w:t>
      </w:r>
      <w:r w:rsidRPr="004A3739">
        <w:rPr>
          <w:rStyle w:val="FootnoteReference"/>
          <w:iCs w:val="0"/>
        </w:rPr>
        <w:footnoteReference w:id="69"/>
      </w:r>
      <w:r w:rsidRPr="004A3739">
        <w:t xml:space="preserve"> </w:t>
      </w:r>
      <w:r>
        <w:t>Article 23 GC IV is</w:t>
      </w:r>
      <w:r w:rsidR="009826C2">
        <w:t>,</w:t>
      </w:r>
      <w:r>
        <w:t xml:space="preserve"> however</w:t>
      </w:r>
      <w:r w:rsidR="009826C2">
        <w:t>,</w:t>
      </w:r>
      <w:r>
        <w:t xml:space="preserve"> </w:t>
      </w:r>
      <w:r w:rsidR="009826C2">
        <w:t>subject to</w:t>
      </w:r>
      <w:r>
        <w:t xml:space="preserve"> the </w:t>
      </w:r>
      <w:r w:rsidRPr="008B2997">
        <w:t>pr</w:t>
      </w:r>
      <w:r w:rsidRPr="00222F60">
        <w:t>oviso</w:t>
      </w:r>
      <w:r>
        <w:t xml:space="preserve"> that there </w:t>
      </w:r>
      <w:proofErr w:type="gramStart"/>
      <w:r>
        <w:t>be</w:t>
      </w:r>
      <w:proofErr w:type="gramEnd"/>
      <w:r>
        <w:t xml:space="preserve"> no military advantage gained from the provision of such materials. Yet it is highly unlikely that consignments </w:t>
      </w:r>
      <w:r w:rsidR="009826C2">
        <w:t xml:space="preserve">for these women, which </w:t>
      </w:r>
      <w:r>
        <w:t xml:space="preserve">are often barely sufficient to meet </w:t>
      </w:r>
      <w:r w:rsidR="009826C2">
        <w:t xml:space="preserve">their </w:t>
      </w:r>
      <w:proofErr w:type="gramStart"/>
      <w:r>
        <w:t>basic</w:t>
      </w:r>
      <w:proofErr w:type="gramEnd"/>
      <w:r>
        <w:t xml:space="preserve"> needs,</w:t>
      </w:r>
      <w:r>
        <w:rPr>
          <w:rStyle w:val="FootnoteReference"/>
        </w:rPr>
        <w:footnoteReference w:id="70"/>
      </w:r>
      <w:r>
        <w:t xml:space="preserve"> </w:t>
      </w:r>
      <w:r w:rsidR="009826C2">
        <w:t xml:space="preserve">will </w:t>
      </w:r>
      <w:r>
        <w:t xml:space="preserve">increase the military and economic capacity of </w:t>
      </w:r>
      <w:r w:rsidR="009826C2">
        <w:t>a</w:t>
      </w:r>
      <w:r>
        <w:t xml:space="preserve"> belligerent.</w:t>
      </w:r>
      <w:r>
        <w:rPr>
          <w:rStyle w:val="FootnoteReference"/>
          <w:iCs w:val="0"/>
        </w:rPr>
        <w:footnoteReference w:id="71"/>
      </w:r>
      <w:r>
        <w:t xml:space="preserve"> </w:t>
      </w:r>
      <w:r w:rsidRPr="004A3739">
        <w:t xml:space="preserve">The provision was intended to refer </w:t>
      </w:r>
      <w:r w:rsidRPr="004A3739">
        <w:lastRenderedPageBreak/>
        <w:t>to situations of blockade</w:t>
      </w:r>
      <w:r w:rsidR="00F93B73">
        <w:t>,</w:t>
      </w:r>
      <w:r w:rsidRPr="004A3739">
        <w:t xml:space="preserve"> and has </w:t>
      </w:r>
      <w:r w:rsidR="00F93B73">
        <w:t xml:space="preserve">subsequently </w:t>
      </w:r>
      <w:r w:rsidRPr="004A3739">
        <w:t>been interpreted in this sense.</w:t>
      </w:r>
      <w:r w:rsidRPr="000343B6">
        <w:rPr>
          <w:rStyle w:val="FootnoteReference"/>
          <w:iCs w:val="0"/>
        </w:rPr>
        <w:footnoteReference w:id="72"/>
      </w:r>
      <w:r w:rsidR="00F93B73">
        <w:t xml:space="preserve"> </w:t>
      </w:r>
      <w:r w:rsidRPr="000343B6">
        <w:t xml:space="preserve"> </w:t>
      </w:r>
      <w:r>
        <w:t>Ar</w:t>
      </w:r>
      <w:r w:rsidRPr="000343B6">
        <w:t>ticle</w:t>
      </w:r>
      <w:r>
        <w:t xml:space="preserve"> </w:t>
      </w:r>
      <w:r w:rsidR="00F93B73">
        <w:t xml:space="preserve">23 GC IV </w:t>
      </w:r>
      <w:r w:rsidRPr="000343B6">
        <w:t xml:space="preserve">was </w:t>
      </w:r>
      <w:r>
        <w:t xml:space="preserve">later </w:t>
      </w:r>
      <w:r w:rsidRPr="000343B6">
        <w:t>complemented by Article 70 AP I</w:t>
      </w:r>
      <w:r w:rsidR="00F93B73">
        <w:t>,</w:t>
      </w:r>
      <w:r w:rsidRPr="000343B6">
        <w:t xml:space="preserve"> </w:t>
      </w:r>
      <w:r w:rsidR="00204631">
        <w:t>extending the circle of beneficiaries to</w:t>
      </w:r>
      <w:r w:rsidRPr="000343B6">
        <w:t xml:space="preserve"> nursing mothers </w:t>
      </w:r>
      <w:r w:rsidR="00204631">
        <w:t>and affirming th</w:t>
      </w:r>
      <w:r w:rsidR="00660C52">
        <w:t>at in the distribution of these consignments</w:t>
      </w:r>
      <w:r w:rsidR="00F93B73">
        <w:t>,</w:t>
      </w:r>
      <w:r w:rsidR="00660C52">
        <w:t xml:space="preserve"> priority should be given to these categories of women</w:t>
      </w:r>
      <w:r w:rsidRPr="000343B6">
        <w:t xml:space="preserve">. </w:t>
      </w:r>
    </w:p>
    <w:p w14:paraId="69E4D778" w14:textId="098887BF" w:rsidR="00B40664" w:rsidRDefault="00B40664" w:rsidP="00F93B73">
      <w:pPr>
        <w:numPr>
          <w:ilvl w:val="0"/>
          <w:numId w:val="13"/>
        </w:numPr>
        <w:spacing w:after="120" w:line="360" w:lineRule="auto"/>
      </w:pPr>
      <w:r>
        <w:t>In occupation, Article 50</w:t>
      </w:r>
      <w:r w:rsidR="000C2962">
        <w:t xml:space="preserve"> para</w:t>
      </w:r>
      <w:r w:rsidR="00844E1B">
        <w:t>graph</w:t>
      </w:r>
      <w:r w:rsidR="000C2962">
        <w:t xml:space="preserve"> 5</w:t>
      </w:r>
      <w:r>
        <w:t xml:space="preserve"> GC IV requires the Occupying Power not to impede the application of preferential measures that were in effect prior to the occupation in regard to food, medical</w:t>
      </w:r>
      <w:r w:rsidR="00F93B73">
        <w:t xml:space="preserve"> care,</w:t>
      </w:r>
      <w:r>
        <w:t xml:space="preserve"> and protection against the effects of war in relation to expectant mothers and mothers of children under seven years</w:t>
      </w:r>
      <w:r w:rsidR="00F93B73">
        <w:t xml:space="preserve"> of age</w:t>
      </w:r>
      <w:r>
        <w:t>.</w:t>
      </w:r>
      <w:r w:rsidRPr="00DB400E">
        <w:t xml:space="preserve"> </w:t>
      </w:r>
      <w:r>
        <w:t>Article 38 GC IV</w:t>
      </w:r>
      <w:r w:rsidR="00F93B73">
        <w:t>,</w:t>
      </w:r>
      <w:r>
        <w:t xml:space="preserve"> which refers to specific categories of women who are aliens in the territory of a party to the conflict, stipulates that all such protected persons must be regulated by peacetime provisions. Reference is made to a series of provisions to protect individuals who are deemed weak and thus warrant special care.</w:t>
      </w:r>
      <w:r>
        <w:rPr>
          <w:rStyle w:val="FootnoteReference"/>
          <w:iCs w:val="0"/>
        </w:rPr>
        <w:footnoteReference w:id="73"/>
      </w:r>
      <w:r>
        <w:t xml:space="preserve"> Pregnant women and mothers of children under seven years shall benefit from this preferential treatment, similar to that provided to nationals in a similar situation. </w:t>
      </w:r>
    </w:p>
    <w:p w14:paraId="0EA926B3" w14:textId="2D545797" w:rsidR="00B40664" w:rsidRDefault="00B40664" w:rsidP="00753C16">
      <w:pPr>
        <w:numPr>
          <w:ilvl w:val="0"/>
          <w:numId w:val="13"/>
        </w:numPr>
        <w:spacing w:after="120" w:line="360" w:lineRule="auto"/>
      </w:pPr>
      <w:r>
        <w:t>Although ‘w</w:t>
      </w:r>
      <w:r w:rsidRPr="004A3739">
        <w:t>ar</w:t>
      </w:r>
      <w:r>
        <w:t xml:space="preserve"> may</w:t>
      </w:r>
      <w:r w:rsidRPr="004A3739">
        <w:t xml:space="preserve"> compromise</w:t>
      </w:r>
      <w:r>
        <w:t xml:space="preserve"> women’s access to healthcare’,</w:t>
      </w:r>
      <w:r>
        <w:rPr>
          <w:rStyle w:val="FootnoteReference"/>
        </w:rPr>
        <w:footnoteReference w:id="74"/>
      </w:r>
      <w:r>
        <w:t xml:space="preserve"> the G</w:t>
      </w:r>
      <w:r w:rsidR="008474C1">
        <w:t xml:space="preserve">eneva </w:t>
      </w:r>
      <w:r>
        <w:t>C</w:t>
      </w:r>
      <w:r w:rsidR="008474C1">
        <w:t>onvention</w:t>
      </w:r>
      <w:r>
        <w:t xml:space="preserve">s deem only specific categories of women </w:t>
      </w:r>
      <w:r w:rsidR="008474C1">
        <w:t xml:space="preserve">to </w:t>
      </w:r>
      <w:r>
        <w:t xml:space="preserve">warrant protection. In contrast, General Recommendation No 24 of CEDAW, which expands on Article 12 on women and health, asserts that states ‘should ensure that adequate protection and health services </w:t>
      </w:r>
      <w:r w:rsidR="00A94E69">
        <w:t xml:space="preserve"> [</w:t>
      </w:r>
      <w:r>
        <w:t>…</w:t>
      </w:r>
      <w:r w:rsidR="00A94E69">
        <w:t>]</w:t>
      </w:r>
      <w:r>
        <w:t xml:space="preserve"> are provided for women in especially difficult circumstances, such as those trapped in situations of armed conflict’,</w:t>
      </w:r>
      <w:r>
        <w:rPr>
          <w:rStyle w:val="FootnoteReference"/>
          <w:iCs w:val="0"/>
        </w:rPr>
        <w:footnoteReference w:id="75"/>
      </w:r>
      <w:r>
        <w:t xml:space="preserve"> thereby offering protection to all women.</w:t>
      </w:r>
      <w:r>
        <w:rPr>
          <w:rStyle w:val="FootnoteReference"/>
        </w:rPr>
        <w:footnoteReference w:id="76"/>
      </w:r>
      <w:r>
        <w:t xml:space="preserve"> Similarly, Resolution 2 of the 26</w:t>
      </w:r>
      <w:r w:rsidRPr="000D51E2">
        <w:rPr>
          <w:vertAlign w:val="superscript"/>
        </w:rPr>
        <w:t>th</w:t>
      </w:r>
      <w:r>
        <w:t xml:space="preserve"> Conference of the Red Cross and Red Crescent calls for measures ‘to ensure that women victims of conflict receive medical, psychological and social assistance’, dropping the reference to specific categories of women.</w:t>
      </w:r>
      <w:r>
        <w:rPr>
          <w:rStyle w:val="FootnoteReference"/>
        </w:rPr>
        <w:footnoteReference w:id="77"/>
      </w:r>
    </w:p>
    <w:p w14:paraId="14A425E2" w14:textId="011022E6" w:rsidR="00B40664" w:rsidRDefault="00B40664" w:rsidP="00A25F22">
      <w:pPr>
        <w:numPr>
          <w:ilvl w:val="0"/>
          <w:numId w:val="13"/>
        </w:numPr>
        <w:spacing w:after="120" w:line="360" w:lineRule="auto"/>
      </w:pPr>
      <w:r>
        <w:lastRenderedPageBreak/>
        <w:t xml:space="preserve">The Geneva Conventions </w:t>
      </w:r>
      <w:r w:rsidR="00FF1591">
        <w:t>specifically provide for the medical protection of maternity cases, for t</w:t>
      </w:r>
      <w:r>
        <w:t>hese women are considered</w:t>
      </w:r>
      <w:r w:rsidRPr="004A3739">
        <w:t xml:space="preserve"> </w:t>
      </w:r>
      <w:r>
        <w:t>to be</w:t>
      </w:r>
      <w:r w:rsidRPr="004A3739">
        <w:t xml:space="preserve"> in a vulnerable position owing to childbirth and to the fact that their health and life</w:t>
      </w:r>
      <w:r w:rsidR="00A25F22">
        <w:t>,</w:t>
      </w:r>
      <w:r w:rsidRPr="004A3739">
        <w:t xml:space="preserve"> as well as those of the child</w:t>
      </w:r>
      <w:r w:rsidR="00A25F22">
        <w:t>,</w:t>
      </w:r>
      <w:r w:rsidRPr="004A3739">
        <w:t xml:space="preserve"> might be at risk.</w:t>
      </w:r>
      <w:r>
        <w:t xml:space="preserve"> This fits with Rule 134 </w:t>
      </w:r>
      <w:r w:rsidR="00247349">
        <w:t xml:space="preserve">in the </w:t>
      </w:r>
      <w:r w:rsidR="001920C5">
        <w:t>ICRC CIHL Study</w:t>
      </w:r>
      <w:r w:rsidR="00A25F22">
        <w:t>,</w:t>
      </w:r>
      <w:r>
        <w:t xml:space="preserve"> which, like Article 8 AP I, views these women as being entitled to the same rights as those who are sick and wounded</w:t>
      </w:r>
      <w:r w:rsidR="00A25F22">
        <w:t xml:space="preserve">; </w:t>
      </w:r>
      <w:r>
        <w:t xml:space="preserve">and it fits with Article 10 </w:t>
      </w:r>
      <w:r w:rsidR="00AC2E6F">
        <w:t xml:space="preserve">paragraph </w:t>
      </w:r>
      <w:r>
        <w:t>2</w:t>
      </w:r>
      <w:r w:rsidR="00A25F22">
        <w:t xml:space="preserve"> </w:t>
      </w:r>
      <w:r>
        <w:t>ICESCR</w:t>
      </w:r>
      <w:r w:rsidR="00A25F22">
        <w:t>,</w:t>
      </w:r>
      <w:r>
        <w:t xml:space="preserve"> which states that ‘special protection should be accorded to mothers during a reasonable period before and after childbirth’</w:t>
      </w:r>
      <w:r w:rsidR="00A25F22">
        <w:t>.</w:t>
      </w:r>
      <w:r>
        <w:rPr>
          <w:rStyle w:val="FootnoteReference"/>
        </w:rPr>
        <w:footnoteReference w:id="78"/>
      </w:r>
      <w:r w:rsidRPr="004A3739">
        <w:t xml:space="preserve"> </w:t>
      </w:r>
      <w:r>
        <w:t>For these women, medical care is essential</w:t>
      </w:r>
      <w:r w:rsidR="00A25F22">
        <w:t>,</w:t>
      </w:r>
      <w:r w:rsidR="001D5360">
        <w:rPr>
          <w:rStyle w:val="FootnoteReference"/>
        </w:rPr>
        <w:footnoteReference w:id="79"/>
      </w:r>
      <w:r>
        <w:t xml:space="preserve"> and they are to be provided with ante-natal, obstetric</w:t>
      </w:r>
      <w:r w:rsidR="00A25F22">
        <w:t>,</w:t>
      </w:r>
      <w:r>
        <w:t xml:space="preserve"> and postnatal care</w:t>
      </w:r>
      <w:r w:rsidR="00A25F22">
        <w:t>,</w:t>
      </w:r>
      <w:r>
        <w:t xml:space="preserve"> or </w:t>
      </w:r>
      <w:r w:rsidR="00A25F22">
        <w:t xml:space="preserve">be </w:t>
      </w:r>
      <w:r>
        <w:t>brought to a place where such care is available.</w:t>
      </w:r>
    </w:p>
    <w:p w14:paraId="784E0738" w14:textId="4A19AEE9" w:rsidR="00B40664" w:rsidRDefault="00B40664" w:rsidP="00AB5082">
      <w:pPr>
        <w:numPr>
          <w:ilvl w:val="0"/>
          <w:numId w:val="13"/>
        </w:numPr>
        <w:spacing w:after="120" w:line="360" w:lineRule="auto"/>
      </w:pPr>
      <w:r>
        <w:t xml:space="preserve">Maternity cases are protected in a number of </w:t>
      </w:r>
      <w:r w:rsidR="00A25F22">
        <w:t xml:space="preserve">provisions in </w:t>
      </w:r>
      <w:r>
        <w:t xml:space="preserve">GC IV. </w:t>
      </w:r>
      <w:r w:rsidRPr="004A3739">
        <w:t xml:space="preserve">Article 18 GC IV stresses </w:t>
      </w:r>
      <w:proofErr w:type="gramStart"/>
      <w:r w:rsidRPr="004A3739">
        <w:t>that civilian hospitals</w:t>
      </w:r>
      <w:proofErr w:type="gramEnd"/>
      <w:r w:rsidRPr="004A3739">
        <w:t>, which gain their protected status because they treat</w:t>
      </w:r>
      <w:r w:rsidR="00A25F22">
        <w:t>,</w:t>
      </w:r>
      <w:r w:rsidRPr="004A3739">
        <w:t xml:space="preserve"> </w:t>
      </w:r>
      <w:r w:rsidRPr="00A25F22">
        <w:t>inter alia</w:t>
      </w:r>
      <w:r w:rsidR="00A25F22">
        <w:t>,</w:t>
      </w:r>
      <w:r w:rsidRPr="004A3739">
        <w:t xml:space="preserve"> maternity cases, must be protected and respected. </w:t>
      </w:r>
      <w:r w:rsidR="00FF1591">
        <w:t>Further</w:t>
      </w:r>
      <w:r w:rsidR="00A25F22">
        <w:t>,</w:t>
      </w:r>
      <w:r w:rsidR="00FF1591">
        <w:t xml:space="preserve"> the G</w:t>
      </w:r>
      <w:r w:rsidR="00A25F22">
        <w:t xml:space="preserve">eneva </w:t>
      </w:r>
      <w:r w:rsidR="00FF1591">
        <w:t>C</w:t>
      </w:r>
      <w:r w:rsidR="00A25F22">
        <w:t>onvention</w:t>
      </w:r>
      <w:r w:rsidR="00FF1591">
        <w:t>s explicitly safeguard the f</w:t>
      </w:r>
      <w:r>
        <w:t>ree movement</w:t>
      </w:r>
      <w:r w:rsidR="00FF1591">
        <w:t xml:space="preserve"> of </w:t>
      </w:r>
      <w:r>
        <w:t>women</w:t>
      </w:r>
      <w:r w:rsidR="00FF1591">
        <w:t xml:space="preserve"> who are</w:t>
      </w:r>
      <w:r>
        <w:t xml:space="preserve"> about to give birth. </w:t>
      </w:r>
      <w:r w:rsidR="00FF1591">
        <w:t>This is of vital importance</w:t>
      </w:r>
      <w:r w:rsidR="00A25F22">
        <w:t>,</w:t>
      </w:r>
      <w:r w:rsidR="00FF1591">
        <w:t xml:space="preserve"> as c</w:t>
      </w:r>
      <w:r>
        <w:t>heckpoints, closures</w:t>
      </w:r>
      <w:r w:rsidR="00A25F22">
        <w:t>,</w:t>
      </w:r>
      <w:r>
        <w:t xml:space="preserve"> and curfews often imperil the lives of pregnant women who are unable to reach a hospital in time for a safe delivery.</w:t>
      </w:r>
      <w:r>
        <w:rPr>
          <w:rStyle w:val="FootnoteReference"/>
        </w:rPr>
        <w:footnoteReference w:id="80"/>
      </w:r>
      <w:r>
        <w:t xml:space="preserve"> </w:t>
      </w:r>
      <w:r w:rsidRPr="004A3739">
        <w:t>The United Nations Commission on Human Rights has further linked the personal safety</w:t>
      </w:r>
      <w:r>
        <w:t xml:space="preserve"> and health</w:t>
      </w:r>
      <w:r w:rsidRPr="004A3739">
        <w:t xml:space="preserve"> of </w:t>
      </w:r>
      <w:r>
        <w:t>maternity cases</w:t>
      </w:r>
      <w:r w:rsidRPr="004A3739">
        <w:t xml:space="preserve"> to human dignity</w:t>
      </w:r>
      <w:r w:rsidR="00A25F22">
        <w:t>,</w:t>
      </w:r>
      <w:r w:rsidRPr="004A3739">
        <w:t xml:space="preserve"> in a resolution condemning the denial of access to hospitals to pregnant women who are </w:t>
      </w:r>
      <w:r>
        <w:t xml:space="preserve">‘force[d] </w:t>
      </w:r>
      <w:r w:rsidR="00A94E69">
        <w:t>[</w:t>
      </w:r>
      <w:r>
        <w:t>…</w:t>
      </w:r>
      <w:r w:rsidR="00A94E69">
        <w:t>]</w:t>
      </w:r>
      <w:r w:rsidRPr="004A3739">
        <w:t xml:space="preserve"> to give birth at checkpoints under hostile, inhumane and humiliating conditions</w:t>
      </w:r>
      <w:r>
        <w:t>’</w:t>
      </w:r>
      <w:r w:rsidRPr="004A3739">
        <w:t>.</w:t>
      </w:r>
      <w:r w:rsidRPr="004A3739">
        <w:rPr>
          <w:rStyle w:val="FootnoteReference"/>
          <w:iCs w:val="0"/>
        </w:rPr>
        <w:footnoteReference w:id="81"/>
      </w:r>
      <w:r w:rsidRPr="004A3739">
        <w:t xml:space="preserve"> </w:t>
      </w:r>
      <w:r>
        <w:t>In this v</w:t>
      </w:r>
      <w:r w:rsidR="00A25F22">
        <w:t>e</w:t>
      </w:r>
      <w:r>
        <w:t xml:space="preserve">in, </w:t>
      </w:r>
      <w:r w:rsidRPr="004A3739">
        <w:t xml:space="preserve">Article 17 GC </w:t>
      </w:r>
      <w:r>
        <w:t xml:space="preserve">IV </w:t>
      </w:r>
      <w:r w:rsidRPr="004A3739">
        <w:t>offers protection to maternity cases in relation to evacuation from besieged or encircled areas. Although evacuation i</w:t>
      </w:r>
      <w:r>
        <w:t xml:space="preserve">s not compulsory, </w:t>
      </w:r>
      <w:r w:rsidR="00A25F22">
        <w:t>since</w:t>
      </w:r>
      <w:r>
        <w:t xml:space="preserve"> the words ‘shall endeavour’</w:t>
      </w:r>
      <w:r w:rsidRPr="004A3739">
        <w:t xml:space="preserve"> </w:t>
      </w:r>
      <w:r>
        <w:t>are</w:t>
      </w:r>
      <w:r w:rsidRPr="004A3739">
        <w:t xml:space="preserve"> used, it is strongly recommended to proceed to an evacuation after local agreements have been made.</w:t>
      </w:r>
      <w:r w:rsidRPr="004A3739">
        <w:rPr>
          <w:rStyle w:val="FootnoteReference"/>
          <w:iCs w:val="0"/>
        </w:rPr>
        <w:footnoteReference w:id="82"/>
      </w:r>
      <w:r w:rsidRPr="004A3739">
        <w:t xml:space="preserve"> Article 21 GC IV stipulates that maternity cases </w:t>
      </w:r>
      <w:r w:rsidR="00A25F22">
        <w:t>may</w:t>
      </w:r>
      <w:r w:rsidRPr="004A3739">
        <w:t xml:space="preserve"> be brought to safety by land and sea transport, provided these </w:t>
      </w:r>
      <w:r w:rsidR="0019001D">
        <w:t>comprise</w:t>
      </w:r>
      <w:r w:rsidRPr="004A3739">
        <w:t xml:space="preserve"> convoys, i.e. groups of vehicles. The convoy is allowed to use the emblem. Such a convoy must be respected and protected, </w:t>
      </w:r>
      <w:r w:rsidR="0019001D">
        <w:t>thus</w:t>
      </w:r>
      <w:r w:rsidRPr="004A3739">
        <w:t xml:space="preserve"> not only it is prohibited to attack or harm a convoy</w:t>
      </w:r>
      <w:r>
        <w:t xml:space="preserve">, </w:t>
      </w:r>
      <w:r w:rsidRPr="004A3739">
        <w:t xml:space="preserve">but the </w:t>
      </w:r>
      <w:r>
        <w:t>s</w:t>
      </w:r>
      <w:r w:rsidRPr="004A3739">
        <w:t>tate must also ensure that the convoy</w:t>
      </w:r>
      <w:r w:rsidR="006108A4">
        <w:t xml:space="preserve"> </w:t>
      </w:r>
      <w:r w:rsidR="006108A4">
        <w:lastRenderedPageBreak/>
        <w:t xml:space="preserve">and those who are operating it are </w:t>
      </w:r>
      <w:r w:rsidRPr="004A3739">
        <w:t>indeed respected</w:t>
      </w:r>
      <w:r w:rsidR="006108A4">
        <w:t xml:space="preserve"> and protected</w:t>
      </w:r>
      <w:r w:rsidRPr="004A3739">
        <w:t>.</w:t>
      </w:r>
      <w:r w:rsidRPr="004A3739">
        <w:rPr>
          <w:rStyle w:val="FootnoteReference"/>
          <w:iCs w:val="0"/>
        </w:rPr>
        <w:footnoteReference w:id="83"/>
      </w:r>
      <w:r w:rsidRPr="004A3739">
        <w:t xml:space="preserve"> Article 22 GC IV </w:t>
      </w:r>
      <w:r>
        <w:t>further</w:t>
      </w:r>
      <w:r w:rsidRPr="004A3739">
        <w:t xml:space="preserve"> protects medical aircraft (both in convoys and flying singly) carrying</w:t>
      </w:r>
      <w:r w:rsidR="0019001D">
        <w:t>,</w:t>
      </w:r>
      <w:r w:rsidRPr="004A3739">
        <w:t xml:space="preserve"> </w:t>
      </w:r>
      <w:r w:rsidRPr="0019001D">
        <w:t>inter alia</w:t>
      </w:r>
      <w:r w:rsidR="0019001D">
        <w:t>,</w:t>
      </w:r>
      <w:r w:rsidRPr="0019001D">
        <w:t xml:space="preserve"> </w:t>
      </w:r>
      <w:r w:rsidRPr="004A3739">
        <w:t>maternity cases. In this instance marking is not compulsory</w:t>
      </w:r>
      <w:r>
        <w:t>. T</w:t>
      </w:r>
      <w:r w:rsidRPr="004A3739">
        <w:t>he conditions of the flight need to be agreed upon by the belligerents.</w:t>
      </w:r>
      <w:r w:rsidRPr="004A3739">
        <w:rPr>
          <w:rStyle w:val="FootnoteReference"/>
          <w:iCs w:val="0"/>
        </w:rPr>
        <w:footnoteReference w:id="84"/>
      </w:r>
      <w:r>
        <w:t xml:space="preserve"> </w:t>
      </w:r>
    </w:p>
    <w:p w14:paraId="6477F16B" w14:textId="77777777" w:rsidR="00B40664" w:rsidRPr="004A3739" w:rsidRDefault="00B40664" w:rsidP="00AB5082">
      <w:pPr>
        <w:spacing w:after="120" w:line="360" w:lineRule="auto"/>
      </w:pPr>
    </w:p>
    <w:p w14:paraId="68757C4C" w14:textId="044A7ADC" w:rsidR="005132B5" w:rsidRDefault="00B40664" w:rsidP="0051540B">
      <w:pPr>
        <w:pStyle w:val="Heading2"/>
        <w:spacing w:after="120"/>
      </w:pPr>
      <w:r>
        <w:t xml:space="preserve">Protection of </w:t>
      </w:r>
      <w:r w:rsidR="00EC302F">
        <w:t>women</w:t>
      </w:r>
      <w:r w:rsidR="00EC302F" w:rsidRPr="004A3739">
        <w:t xml:space="preserve"> </w:t>
      </w:r>
      <w:r w:rsidR="00EC302F">
        <w:t>detainees</w:t>
      </w:r>
    </w:p>
    <w:p w14:paraId="7E2E550F" w14:textId="77777777" w:rsidR="00B40664" w:rsidRPr="004A3739" w:rsidRDefault="00B40664" w:rsidP="00AB5082">
      <w:pPr>
        <w:spacing w:after="120" w:line="360" w:lineRule="auto"/>
        <w:ind w:left="1800"/>
      </w:pPr>
    </w:p>
    <w:p w14:paraId="52821E67" w14:textId="77777777" w:rsidR="00B40664" w:rsidRPr="004A3739" w:rsidRDefault="00B40664" w:rsidP="00AB5082">
      <w:pPr>
        <w:numPr>
          <w:ilvl w:val="0"/>
          <w:numId w:val="13"/>
        </w:numPr>
        <w:spacing w:after="120" w:line="360" w:lineRule="auto"/>
      </w:pPr>
      <w:r>
        <w:t>Although there are fewer women than men detained as either civilians or POWs,</w:t>
      </w:r>
      <w:r>
        <w:rPr>
          <w:rStyle w:val="FootnoteReference"/>
        </w:rPr>
        <w:footnoteReference w:id="85"/>
      </w:r>
      <w:r>
        <w:t xml:space="preserve"> the Geneva Conventions contain a corpus of rules concerning women in detention, most of which </w:t>
      </w:r>
      <w:r w:rsidR="0019001D">
        <w:t xml:space="preserve">are </w:t>
      </w:r>
      <w:r w:rsidRPr="00A72C95">
        <w:t xml:space="preserve">derived from the provisions and principles discussed in </w:t>
      </w:r>
      <w:r w:rsidR="0019001D" w:rsidRPr="00A72C95">
        <w:t xml:space="preserve">sections </w:t>
      </w:r>
      <w:r w:rsidR="00DF65FC" w:rsidRPr="00A72C95">
        <w:t>B.I</w:t>
      </w:r>
      <w:r w:rsidR="0019001D" w:rsidRPr="00A72C95">
        <w:t>.</w:t>
      </w:r>
      <w:r w:rsidR="00DF65FC" w:rsidRPr="00A72C95">
        <w:t xml:space="preserve"> and B.II.</w:t>
      </w:r>
      <w:r w:rsidRPr="00A72C95">
        <w:t xml:space="preserve"> These</w:t>
      </w:r>
      <w:r>
        <w:t xml:space="preserve"> provisions</w:t>
      </w:r>
      <w:r w:rsidRPr="004A3739">
        <w:t xml:space="preserve"> seek to protect women’s </w:t>
      </w:r>
      <w:r>
        <w:t>physical (especially sexual)</w:t>
      </w:r>
      <w:r w:rsidRPr="004A3739">
        <w:t xml:space="preserve"> integrity</w:t>
      </w:r>
      <w:r>
        <w:t xml:space="preserve"> and</w:t>
      </w:r>
      <w:r w:rsidRPr="004A3739">
        <w:t xml:space="preserve"> to ensure that due </w:t>
      </w:r>
      <w:r>
        <w:t>consideration</w:t>
      </w:r>
      <w:r w:rsidRPr="004A3739">
        <w:t xml:space="preserve"> is paid to </w:t>
      </w:r>
      <w:r>
        <w:t>maternity cases. Concurrently, the Geneva Conventions reiterate states’ obligations not to d</w:t>
      </w:r>
      <w:r w:rsidRPr="004A3739">
        <w:t>iscriminat</w:t>
      </w:r>
      <w:r>
        <w:t>e</w:t>
      </w:r>
      <w:r w:rsidRPr="004A3739">
        <w:t xml:space="preserve"> against women bel</w:t>
      </w:r>
      <w:r>
        <w:t>onging to the enemy party.</w:t>
      </w:r>
    </w:p>
    <w:p w14:paraId="64D53C4B" w14:textId="77777777" w:rsidR="00B40664" w:rsidRDefault="00B40664" w:rsidP="00AB5082">
      <w:pPr>
        <w:spacing w:after="120" w:line="360" w:lineRule="auto"/>
      </w:pPr>
    </w:p>
    <w:p w14:paraId="6376F225" w14:textId="77777777" w:rsidR="005132B5" w:rsidRDefault="00B40664" w:rsidP="0051540B">
      <w:pPr>
        <w:pStyle w:val="Heading3"/>
        <w:numPr>
          <w:ilvl w:val="0"/>
          <w:numId w:val="26"/>
        </w:numPr>
        <w:spacing w:after="120"/>
      </w:pPr>
      <w:r>
        <w:t>Quarters</w:t>
      </w:r>
    </w:p>
    <w:p w14:paraId="65345AAB" w14:textId="77777777" w:rsidR="00B40664" w:rsidRDefault="00B40664" w:rsidP="00AB5082">
      <w:pPr>
        <w:spacing w:after="120" w:line="360" w:lineRule="auto"/>
        <w:ind w:left="1776"/>
      </w:pPr>
    </w:p>
    <w:p w14:paraId="72F5D3C8" w14:textId="63178481" w:rsidR="00B40664" w:rsidRDefault="00B40664" w:rsidP="00B52CD0">
      <w:pPr>
        <w:numPr>
          <w:ilvl w:val="0"/>
          <w:numId w:val="13"/>
        </w:numPr>
        <w:spacing w:after="120" w:line="360" w:lineRule="auto"/>
      </w:pPr>
      <w:r>
        <w:t>Specific accommodation arrangements must be made for women. To avoid women</w:t>
      </w:r>
      <w:r w:rsidR="0019001D">
        <w:t xml:space="preserve"> being</w:t>
      </w:r>
      <w:r>
        <w:t xml:space="preserve"> subjected to indecent assault</w:t>
      </w:r>
      <w:r w:rsidR="0019001D">
        <w:t>,</w:t>
      </w:r>
      <w:r>
        <w:t xml:space="preserve"> and to ensure that they are treated with all the regard due to their sex, the Geneva Conventions oblige states where possible to s</w:t>
      </w:r>
      <w:r w:rsidRPr="004A3739">
        <w:t>eparat</w:t>
      </w:r>
      <w:r>
        <w:t>e</w:t>
      </w:r>
      <w:r w:rsidRPr="004A3739">
        <w:t xml:space="preserve"> men and women when deprived of liberty</w:t>
      </w:r>
      <w:r>
        <w:t>.</w:t>
      </w:r>
      <w:r>
        <w:rPr>
          <w:rStyle w:val="FootnoteReference"/>
        </w:rPr>
        <w:footnoteReference w:id="86"/>
      </w:r>
      <w:r w:rsidRPr="007853B0">
        <w:t xml:space="preserve"> </w:t>
      </w:r>
      <w:r>
        <w:t>This preventive stance is adopted in Articles 25, 29</w:t>
      </w:r>
      <w:r w:rsidR="00B52CD0">
        <w:t>,</w:t>
      </w:r>
      <w:r>
        <w:t xml:space="preserve"> and 97 GC III</w:t>
      </w:r>
      <w:r w:rsidR="00B52CD0">
        <w:t>,</w:t>
      </w:r>
      <w:r>
        <w:t xml:space="preserve"> and in Articles 76 paragraph 4, 85</w:t>
      </w:r>
      <w:r w:rsidR="00B52CD0">
        <w:t>,</w:t>
      </w:r>
      <w:r>
        <w:t xml:space="preserve"> and 124 GC IV</w:t>
      </w:r>
      <w:r w:rsidR="00B52CD0">
        <w:t>,</w:t>
      </w:r>
      <w:r>
        <w:t xml:space="preserve"> which must be interpreted in the light of Article 14 paragraph 2 GC III and </w:t>
      </w:r>
      <w:r w:rsidR="00B52CD0">
        <w:t xml:space="preserve">Article </w:t>
      </w:r>
      <w:r>
        <w:t>27 GC IV respectively.</w:t>
      </w:r>
      <w:r w:rsidRPr="007853B0">
        <w:t xml:space="preserve"> </w:t>
      </w:r>
      <w:r>
        <w:t xml:space="preserve">Rule 119 </w:t>
      </w:r>
      <w:r w:rsidR="00247349">
        <w:t xml:space="preserve">in the </w:t>
      </w:r>
      <w:r>
        <w:t>ICRC CIHL Study</w:t>
      </w:r>
      <w:r w:rsidR="00B52CD0">
        <w:t>,</w:t>
      </w:r>
      <w:r>
        <w:t xml:space="preserve"> which deals with accommodation for women deprived of their liberty</w:t>
      </w:r>
      <w:r w:rsidR="00B52CD0">
        <w:t>,</w:t>
      </w:r>
      <w:r>
        <w:t xml:space="preserve"> also links this physical separation </w:t>
      </w:r>
      <w:r>
        <w:lastRenderedPageBreak/>
        <w:t>of men and women to the requirement to take into account women’s needs and to prevent women</w:t>
      </w:r>
      <w:r w:rsidR="00FF1591">
        <w:t xml:space="preserve"> from</w:t>
      </w:r>
      <w:r>
        <w:t xml:space="preserve"> becoming victims of sexual violence.</w:t>
      </w:r>
      <w:r>
        <w:rPr>
          <w:rStyle w:val="FootnoteReference"/>
        </w:rPr>
        <w:footnoteReference w:id="87"/>
      </w:r>
    </w:p>
    <w:p w14:paraId="086EE092" w14:textId="5D09B636" w:rsidR="00B40664" w:rsidRDefault="0067470F" w:rsidP="009B662F">
      <w:pPr>
        <w:numPr>
          <w:ilvl w:val="0"/>
          <w:numId w:val="13"/>
        </w:numPr>
        <w:spacing w:after="120" w:line="360" w:lineRule="auto"/>
      </w:pPr>
      <w:r>
        <w:t xml:space="preserve">Yet GC IV does not specify that women </w:t>
      </w:r>
      <w:r w:rsidR="00A72C95">
        <w:t xml:space="preserve">must </w:t>
      </w:r>
      <w:r>
        <w:t>be separated from men</w:t>
      </w:r>
      <w:r w:rsidR="00A72C95">
        <w:t xml:space="preserve"> in all circumstances</w:t>
      </w:r>
      <w:r>
        <w:t>;</w:t>
      </w:r>
      <w:r w:rsidR="00A72C95">
        <w:t xml:space="preserve"> </w:t>
      </w:r>
      <w:r>
        <w:t xml:space="preserve">Article 82 GC IV encourages the Detaining Power to lodge members of the same family together. </w:t>
      </w:r>
      <w:r w:rsidR="002F6BED">
        <w:t xml:space="preserve">In contrast, </w:t>
      </w:r>
      <w:r w:rsidR="00B40664">
        <w:t>Article 124 paragraph 3 GC IV</w:t>
      </w:r>
      <w:r w:rsidR="00B52CD0">
        <w:t xml:space="preserve">, </w:t>
      </w:r>
      <w:r w:rsidR="00B40664">
        <w:t>relat</w:t>
      </w:r>
      <w:r w:rsidR="00B52CD0">
        <w:t>ing</w:t>
      </w:r>
      <w:r w:rsidR="00B40664">
        <w:t xml:space="preserve"> to the premises for disciplinary punishments of female civilian internees held for imperative security reasons</w:t>
      </w:r>
      <w:r w:rsidR="00B52CD0">
        <w:t>,</w:t>
      </w:r>
      <w:r w:rsidR="00B40664">
        <w:t xml:space="preserve"> requires the Detaining Power to arrange for women internees to undergo their punishment in separate quarters, </w:t>
      </w:r>
      <w:r w:rsidR="00310398">
        <w:t>and</w:t>
      </w:r>
      <w:r w:rsidR="00B40664">
        <w:t xml:space="preserve"> under the immediate supervision of women. </w:t>
      </w:r>
      <w:r>
        <w:t>A</w:t>
      </w:r>
      <w:r w:rsidR="002F6BED">
        <w:t>lso</w:t>
      </w:r>
      <w:r w:rsidR="00310398">
        <w:t>,</w:t>
      </w:r>
      <w:r w:rsidR="002F6BED">
        <w:t xml:space="preserve"> A</w:t>
      </w:r>
      <w:r>
        <w:t>rticle 76 paragraph 4</w:t>
      </w:r>
      <w:r w:rsidRPr="00E32846">
        <w:t xml:space="preserve"> GC IV stipulates</w:t>
      </w:r>
      <w:r>
        <w:t xml:space="preserve"> that women in pre-trial detention or serving a sentence should be kept in separate quarters and under the direct supervision of women. </w:t>
      </w:r>
      <w:r w:rsidR="00B40664">
        <w:t>Read in conjunction with Article 27 paragraph 2</w:t>
      </w:r>
      <w:r w:rsidR="00310398">
        <w:t>,</w:t>
      </w:r>
      <w:r w:rsidR="00B40664" w:rsidRPr="00B501A6">
        <w:t xml:space="preserve"> </w:t>
      </w:r>
      <w:r w:rsidR="00B40664">
        <w:t>this allows for women to be free from the threat of assault</w:t>
      </w:r>
      <w:r w:rsidR="002F6BED">
        <w:t xml:space="preserve"> from strangers.</w:t>
      </w:r>
      <w:r w:rsidR="00B40664">
        <w:t xml:space="preserve"> As a further safeguard against potential violations of women’s dignity, Article 97 </w:t>
      </w:r>
      <w:proofErr w:type="gramStart"/>
      <w:r w:rsidR="00B40664">
        <w:t>paragraph</w:t>
      </w:r>
      <w:proofErr w:type="gramEnd"/>
      <w:r w:rsidR="00B40664">
        <w:t xml:space="preserve"> 4 GC IV requires that female internees be searched </w:t>
      </w:r>
      <w:r w:rsidR="00310398">
        <w:t xml:space="preserve">only </w:t>
      </w:r>
      <w:r w:rsidR="00B40664">
        <w:t xml:space="preserve">by women. </w:t>
      </w:r>
    </w:p>
    <w:p w14:paraId="20A9F471" w14:textId="28D35E89" w:rsidR="00B40664" w:rsidRDefault="00B40664" w:rsidP="00AB5082">
      <w:pPr>
        <w:numPr>
          <w:ilvl w:val="0"/>
          <w:numId w:val="13"/>
        </w:numPr>
        <w:spacing w:after="120" w:line="360" w:lineRule="auto"/>
      </w:pPr>
      <w:r>
        <w:t xml:space="preserve">In contrast, the protection offered to female POWs is </w:t>
      </w:r>
      <w:r w:rsidR="00A72C95">
        <w:t>less extensive</w:t>
      </w:r>
      <w:r>
        <w:t>. Article 25 GC III only requires men and women to have separate dormitories and not separate quarters. Supervision by female staff is not obligatory, and the rule that searches be carried out</w:t>
      </w:r>
      <w:r w:rsidR="002646BF" w:rsidRPr="002646BF">
        <w:t xml:space="preserve"> </w:t>
      </w:r>
      <w:r w:rsidR="002646BF">
        <w:t>only</w:t>
      </w:r>
      <w:r>
        <w:t xml:space="preserve"> by female staff does not feature in GC III. This might be explained by the fact that POWs are predominantly male</w:t>
      </w:r>
      <w:r w:rsidR="002646BF">
        <w:t>,</w:t>
      </w:r>
      <w:r>
        <w:t xml:space="preserve"> and it might have been difficult for a Detaining Power to find female guards to supervise and search women. That being said</w:t>
      </w:r>
      <w:r w:rsidR="002646BF">
        <w:t>,</w:t>
      </w:r>
      <w:r>
        <w:t xml:space="preserve"> it is possible to interpret this </w:t>
      </w:r>
      <w:r w:rsidR="00A72C95">
        <w:t xml:space="preserve">provision </w:t>
      </w:r>
      <w:r>
        <w:t>in such a way that female POWs have separate quarters, are supervised by women</w:t>
      </w:r>
      <w:r w:rsidR="002646BF">
        <w:t>,</w:t>
      </w:r>
      <w:r>
        <w:t xml:space="preserve"> and are searched </w:t>
      </w:r>
      <w:r w:rsidR="002646BF">
        <w:t xml:space="preserve">only </w:t>
      </w:r>
      <w:r>
        <w:t>by women. Indeed, in the case of disciplinary punishment by confinement, or punishment following a judicial sentence, the Detaining Power is in</w:t>
      </w:r>
      <w:r w:rsidR="002646BF">
        <w:t>,</w:t>
      </w:r>
      <w:r>
        <w:t xml:space="preserve"> accordance with Article 97 paragraph 4 GC III and </w:t>
      </w:r>
      <w:r w:rsidR="002646BF">
        <w:t xml:space="preserve">Article </w:t>
      </w:r>
      <w:r>
        <w:t>108 GC III respectively, required to provide separate quarters (i.e. sleeping quarters and conveniences)</w:t>
      </w:r>
      <w:r w:rsidR="002646BF">
        <w:t>,</w:t>
      </w:r>
      <w:r>
        <w:t xml:space="preserve"> as well as </w:t>
      </w:r>
      <w:r w:rsidR="002646BF">
        <w:t xml:space="preserve">to </w:t>
      </w:r>
      <w:r>
        <w:t>ensure that female POWs are under the supervision of female staff. Moreover subsequent rules, such as Article 75 paragraph 5 AP I and Rule 119</w:t>
      </w:r>
      <w:r w:rsidR="00247349">
        <w:t xml:space="preserve"> in the</w:t>
      </w:r>
      <w:r w:rsidR="007043D8">
        <w:t xml:space="preserve"> </w:t>
      </w:r>
      <w:r>
        <w:t>ICRC CIHL Study,</w:t>
      </w:r>
      <w:r w:rsidRPr="00841830">
        <w:rPr>
          <w:rStyle w:val="FootnoteReference"/>
        </w:rPr>
        <w:footnoteReference w:id="88"/>
      </w:r>
      <w:r>
        <w:t xml:space="preserve"> spell out a </w:t>
      </w:r>
      <w:r w:rsidRPr="00791C51">
        <w:t xml:space="preserve">general obligation to provide such a treatment to all women deprived of their liberty for reasons related to the armed conflict. </w:t>
      </w:r>
      <w:r w:rsidRPr="00841830">
        <w:t xml:space="preserve">The Standard Minimum Rules for the Treatment of Prisoners also </w:t>
      </w:r>
      <w:r w:rsidRPr="00841830">
        <w:lastRenderedPageBreak/>
        <w:t>confirm that women should</w:t>
      </w:r>
      <w:r>
        <w:t xml:space="preserve"> be kept in separate quarters</w:t>
      </w:r>
      <w:r w:rsidRPr="00791C51">
        <w:rPr>
          <w:rStyle w:val="FootnoteReference"/>
        </w:rPr>
        <w:footnoteReference w:id="89"/>
      </w:r>
      <w:r w:rsidRPr="000D51E2">
        <w:rPr>
          <w:shd w:val="clear" w:color="auto" w:fill="FFFFFF"/>
        </w:rPr>
        <w:t xml:space="preserve"> and be under the immediate supervision of women.</w:t>
      </w:r>
      <w:r>
        <w:rPr>
          <w:rStyle w:val="FootnoteReference"/>
          <w:shd w:val="clear" w:color="auto" w:fill="FFFFFF"/>
        </w:rPr>
        <w:footnoteReference w:id="90"/>
      </w:r>
      <w:r w:rsidRPr="00791C51">
        <w:t xml:space="preserve"> </w:t>
      </w:r>
      <w:r>
        <w:t xml:space="preserve">Therefore the relevant provisions of GC III </w:t>
      </w:r>
      <w:r w:rsidR="002646BF">
        <w:t>may</w:t>
      </w:r>
      <w:r>
        <w:t xml:space="preserve"> be interpreted so as to include separate quarters, rather than only dormitories and conveniences, and to oblige the Detaining Power to ensure that women detainees are under the authority of a woman. As for body searches of female POWs, they must be conducted in a manner consistent with human dignity,</w:t>
      </w:r>
      <w:r>
        <w:rPr>
          <w:rStyle w:val="FootnoteReference"/>
        </w:rPr>
        <w:footnoteReference w:id="91"/>
      </w:r>
      <w:r>
        <w:t xml:space="preserve"> which means that ‘persons subjected to body searches should be examined only by persons of the same sex’.</w:t>
      </w:r>
      <w:r>
        <w:rPr>
          <w:rStyle w:val="FootnoteReference"/>
        </w:rPr>
        <w:footnoteReference w:id="92"/>
      </w:r>
    </w:p>
    <w:p w14:paraId="33135DC1" w14:textId="77777777" w:rsidR="00B40664" w:rsidRDefault="00B40664" w:rsidP="00AB5082">
      <w:pPr>
        <w:spacing w:after="120" w:line="360" w:lineRule="auto"/>
        <w:ind w:left="1776"/>
      </w:pPr>
    </w:p>
    <w:p w14:paraId="090092A1" w14:textId="77777777" w:rsidR="005132B5" w:rsidRDefault="00B40664" w:rsidP="0051540B">
      <w:pPr>
        <w:pStyle w:val="Heading3"/>
        <w:spacing w:after="120"/>
      </w:pPr>
      <w:r>
        <w:t>Sanitation</w:t>
      </w:r>
    </w:p>
    <w:p w14:paraId="7605D1F9" w14:textId="77777777" w:rsidR="00B40664" w:rsidRDefault="00B40664" w:rsidP="00AB5082">
      <w:pPr>
        <w:spacing w:after="120" w:line="360" w:lineRule="auto"/>
        <w:ind w:left="1776"/>
      </w:pPr>
    </w:p>
    <w:p w14:paraId="57960073" w14:textId="4D921491" w:rsidR="00B40664" w:rsidRDefault="00B40664" w:rsidP="002646BF">
      <w:pPr>
        <w:numPr>
          <w:ilvl w:val="0"/>
          <w:numId w:val="13"/>
        </w:numPr>
        <w:spacing w:after="120" w:line="360" w:lineRule="auto"/>
      </w:pPr>
      <w:r w:rsidRPr="00B01EFC">
        <w:t>The Geneva Conventions enjo</w:t>
      </w:r>
      <w:r>
        <w:t>in s</w:t>
      </w:r>
      <w:r w:rsidRPr="00B01EFC">
        <w:t xml:space="preserve">tates to provide prisoners with </w:t>
      </w:r>
      <w:r>
        <w:t>adequate</w:t>
      </w:r>
      <w:r w:rsidRPr="00B01EFC">
        <w:t xml:space="preserve"> sanitation facilities. From a human rights perspective, the right to adequate sanitation, which is based on Articles 11 and </w:t>
      </w:r>
      <w:r>
        <w:t>12 ICESCR, is considered</w:t>
      </w:r>
      <w:r w:rsidRPr="00B01EFC">
        <w:t xml:space="preserve"> fundamental </w:t>
      </w:r>
      <w:r>
        <w:t>to</w:t>
      </w:r>
      <w:r w:rsidRPr="00B01EFC">
        <w:t xml:space="preserve"> human dignity</w:t>
      </w:r>
      <w:r w:rsidRPr="00B01EFC">
        <w:rPr>
          <w:rStyle w:val="FootnoteReference"/>
        </w:rPr>
        <w:footnoteReference w:id="93"/>
      </w:r>
      <w:r w:rsidRPr="00B01EFC">
        <w:t xml:space="preserve"> and privacy</w:t>
      </w:r>
      <w:r>
        <w:t>,</w:t>
      </w:r>
      <w:r w:rsidRPr="00B01EFC">
        <w:rPr>
          <w:rStyle w:val="FootnoteReference"/>
        </w:rPr>
        <w:footnoteReference w:id="94"/>
      </w:r>
      <w:r>
        <w:t xml:space="preserve"> and is considered ‘</w:t>
      </w:r>
      <w:r w:rsidRPr="00B01EFC">
        <w:t>a human right that is essential for the full enjoyment of life and all human r</w:t>
      </w:r>
      <w:r>
        <w:t>ights’</w:t>
      </w:r>
      <w:r w:rsidRPr="00B01EFC">
        <w:t>.</w:t>
      </w:r>
      <w:r w:rsidRPr="00B01EFC">
        <w:rPr>
          <w:rStyle w:val="FootnoteReference"/>
        </w:rPr>
        <w:footnoteReference w:id="95"/>
      </w:r>
      <w:r>
        <w:t xml:space="preserve"> </w:t>
      </w:r>
    </w:p>
    <w:p w14:paraId="71D31F17" w14:textId="73903146" w:rsidR="00B40664" w:rsidRDefault="00B40664" w:rsidP="00E9030C">
      <w:pPr>
        <w:numPr>
          <w:ilvl w:val="0"/>
          <w:numId w:val="13"/>
        </w:numPr>
        <w:spacing w:after="120" w:line="360" w:lineRule="auto"/>
      </w:pPr>
      <w:r>
        <w:t>Article 29 paragraph 2 GC III requires states to ensure that sanitary measures are taken to keep the camps in a clean and healthy state. P</w:t>
      </w:r>
      <w:r w:rsidR="007043D8">
        <w:t>risoners of war</w:t>
      </w:r>
      <w:r>
        <w:t xml:space="preserve"> are to be provided with water and soap for their personal hygiene</w:t>
      </w:r>
      <w:r w:rsidR="007043D8">
        <w:t>,</w:t>
      </w:r>
      <w:r>
        <w:t xml:space="preserve"> </w:t>
      </w:r>
      <w:r w:rsidR="007043D8">
        <w:t xml:space="preserve">with </w:t>
      </w:r>
      <w:r>
        <w:t xml:space="preserve">facilities and installations </w:t>
      </w:r>
      <w:r w:rsidR="007043D8">
        <w:t>for</w:t>
      </w:r>
      <w:r>
        <w:t xml:space="preserve"> that purpose (e.g. baths and showers), </w:t>
      </w:r>
      <w:r w:rsidR="007043D8">
        <w:t>and with</w:t>
      </w:r>
      <w:r>
        <w:t xml:space="preserve"> enough time to wash (Article 29 paragraph 3 GC III). Moreover</w:t>
      </w:r>
      <w:r w:rsidRPr="00A93ECE">
        <w:t xml:space="preserve">, conveniences are to comply with the rules of hygiene and to be kept clean. </w:t>
      </w:r>
      <w:r>
        <w:t>In situations where POWs are undergoing punishment, Article 97 paragraph 2</w:t>
      </w:r>
      <w:r w:rsidRPr="00A93ECE">
        <w:t xml:space="preserve"> </w:t>
      </w:r>
      <w:r>
        <w:t>calls upon</w:t>
      </w:r>
      <w:r w:rsidRPr="00A93ECE">
        <w:t xml:space="preserve"> the </w:t>
      </w:r>
      <w:r>
        <w:t>Detaining P</w:t>
      </w:r>
      <w:r w:rsidRPr="00A93ECE">
        <w:t xml:space="preserve">ower to ensure that the same standards of sanitation are </w:t>
      </w:r>
      <w:r>
        <w:t>maintained</w:t>
      </w:r>
      <w:r w:rsidRPr="00A93ECE">
        <w:t>. Whilst Article</w:t>
      </w:r>
      <w:r>
        <w:t xml:space="preserve"> 29 paragraph 1 and 3 and Article 97 paragraph 2</w:t>
      </w:r>
      <w:r w:rsidRPr="00A93ECE">
        <w:t xml:space="preserve"> do not specifically refer to women, it is nonetheless possible to interpret </w:t>
      </w:r>
      <w:r>
        <w:lastRenderedPageBreak/>
        <w:t>them</w:t>
      </w:r>
      <w:r w:rsidRPr="00A93ECE">
        <w:t xml:space="preserve"> so as to require </w:t>
      </w:r>
      <w:r>
        <w:t>the Detaining Power</w:t>
      </w:r>
      <w:r w:rsidRPr="00A93ECE">
        <w:t xml:space="preserve"> to attend to women’s special health and</w:t>
      </w:r>
      <w:r>
        <w:t xml:space="preserve"> sanitary needs (</w:t>
      </w:r>
      <w:r w:rsidR="00E9030C">
        <w:t xml:space="preserve">e.g., </w:t>
      </w:r>
      <w:r>
        <w:t>relating to menstruation). Read in light of Article 14 paragraph 2 GC III (‘with all the regard due to their sex’)</w:t>
      </w:r>
      <w:r w:rsidR="00E9030C">
        <w:t>,</w:t>
      </w:r>
      <w:r>
        <w:t xml:space="preserve"> facilities need to </w:t>
      </w:r>
      <w:r w:rsidR="002F6BED">
        <w:t xml:space="preserve">be </w:t>
      </w:r>
      <w:r>
        <w:t>set up so as to cater for women’s privacy, safety</w:t>
      </w:r>
      <w:r w:rsidR="00E9030C">
        <w:t>,</w:t>
      </w:r>
      <w:r>
        <w:t xml:space="preserve"> and needs, and arranged so as to grant them appropriate time to wash and clean, especially during menstruation.</w:t>
      </w:r>
      <w:r>
        <w:rPr>
          <w:rStyle w:val="FootnoteReference"/>
        </w:rPr>
        <w:footnoteReference w:id="96"/>
      </w:r>
      <w:r>
        <w:t xml:space="preserve"> </w:t>
      </w:r>
    </w:p>
    <w:p w14:paraId="3C5AFB64" w14:textId="4658EDEB" w:rsidR="00B40664" w:rsidRDefault="00B40664" w:rsidP="001559E6">
      <w:pPr>
        <w:numPr>
          <w:ilvl w:val="0"/>
          <w:numId w:val="13"/>
        </w:numPr>
        <w:spacing w:after="120" w:line="360" w:lineRule="auto"/>
      </w:pPr>
      <w:r>
        <w:t xml:space="preserve">Concerning civilian internees, </w:t>
      </w:r>
      <w:r w:rsidR="002F6BED">
        <w:t>A</w:t>
      </w:r>
      <w:r>
        <w:t>rticle 85 paragraph 1 GC IV obliges the Detaining Power to provide accommodation that fulfils certain minimum standards with regard to hygiene and health, standards which are also applicable to premises for disciplinary punishments (Article 124 paragraph 2 GC IV). According to Article 85 paragraph 3 GC IV</w:t>
      </w:r>
      <w:r w:rsidR="00E9030C">
        <w:t>,</w:t>
      </w:r>
      <w:r>
        <w:t xml:space="preserve"> sanitary conveniences are to be maintained in a clean state, and baths and showers are to be available </w:t>
      </w:r>
      <w:r w:rsidR="001559E6">
        <w:t>for</w:t>
      </w:r>
      <w:r>
        <w:t xml:space="preserve"> the internees. The internees must be provided with sufficient water and soap for their daily personal hygiene</w:t>
      </w:r>
      <w:r w:rsidR="001559E6">
        <w:t>,</w:t>
      </w:r>
      <w:r>
        <w:t xml:space="preserve"> and be given enough time for washing and cleaning. According to the original Commentary, these sanitary facilities ‘must be so constructed as to preserve decency and cleanliness’</w:t>
      </w:r>
      <w:r w:rsidR="001559E6">
        <w:t>.</w:t>
      </w:r>
      <w:r>
        <w:rPr>
          <w:rStyle w:val="FootnoteReference"/>
        </w:rPr>
        <w:footnoteReference w:id="97"/>
      </w:r>
      <w:r>
        <w:t xml:space="preserve"> As most articles relating to civilian detainees are based on those enshrined in GC III, which deals with POWs, an analogy </w:t>
      </w:r>
      <w:r w:rsidR="001559E6">
        <w:t>may</w:t>
      </w:r>
      <w:r>
        <w:t xml:space="preserve"> be drawn with regard to the state’s duties to pay particular attention to women’s sanitary and health needs. </w:t>
      </w:r>
    </w:p>
    <w:p w14:paraId="096B0DCA" w14:textId="09AF0856" w:rsidR="00B40664" w:rsidRDefault="00B40664" w:rsidP="00AB5082">
      <w:pPr>
        <w:numPr>
          <w:ilvl w:val="0"/>
          <w:numId w:val="13"/>
        </w:numPr>
        <w:spacing w:after="120" w:line="360" w:lineRule="auto"/>
      </w:pPr>
      <w:r>
        <w:t xml:space="preserve">Article 29 paragraph 2 GC III and </w:t>
      </w:r>
      <w:r w:rsidR="001559E6">
        <w:t xml:space="preserve">Article </w:t>
      </w:r>
      <w:r>
        <w:t xml:space="preserve">85 paragraph 4 GC IV </w:t>
      </w:r>
      <w:proofErr w:type="gramStart"/>
      <w:r>
        <w:t>oblige</w:t>
      </w:r>
      <w:proofErr w:type="gramEnd"/>
      <w:r>
        <w:t xml:space="preserve"> the Detaining Power to provide women with sanitary conveniences separate from </w:t>
      </w:r>
      <w:r w:rsidR="001559E6">
        <w:t xml:space="preserve">those of </w:t>
      </w:r>
      <w:r>
        <w:t xml:space="preserve">men. </w:t>
      </w:r>
      <w:r w:rsidRPr="00A93ECE">
        <w:t xml:space="preserve">The original </w:t>
      </w:r>
      <w:r w:rsidR="001559E6" w:rsidRPr="00A93ECE">
        <w:t>C</w:t>
      </w:r>
      <w:r w:rsidRPr="00A93ECE">
        <w:t xml:space="preserve">ommentary explained that this separation was </w:t>
      </w:r>
      <w:r>
        <w:t>necessitated by ‘</w:t>
      </w:r>
      <w:r w:rsidRPr="00A93ECE">
        <w:t>the most elementary</w:t>
      </w:r>
      <w:r>
        <w:t xml:space="preserve"> rules of decency’.</w:t>
      </w:r>
      <w:r>
        <w:rPr>
          <w:rStyle w:val="FootnoteReference"/>
        </w:rPr>
        <w:footnoteReference w:id="98"/>
      </w:r>
      <w:r>
        <w:t xml:space="preserve"> However, this is not provided for women who, either as civilians o</w:t>
      </w:r>
      <w:r w:rsidR="001559E6">
        <w:t>r as</w:t>
      </w:r>
      <w:r>
        <w:t xml:space="preserve"> POWs, are undergoing disciplinary punishment. Article 124 paragraph 3 GC IV does not specifically refer to sanitary conveniences</w:t>
      </w:r>
      <w:r w:rsidR="001559E6">
        <w:t>,</w:t>
      </w:r>
      <w:r>
        <w:t xml:space="preserve"> though the term ‘quarters’</w:t>
      </w:r>
      <w:r w:rsidR="001559E6">
        <w:t>,</w:t>
      </w:r>
      <w:r>
        <w:t xml:space="preserve"> in contradistinction to ‘sleeping quarters’ mentioned in Article 85 paragraph 4 GC IV</w:t>
      </w:r>
      <w:r w:rsidR="001559E6">
        <w:t>,</w:t>
      </w:r>
      <w:r>
        <w:t xml:space="preserve"> could also cover sanitary conveniences. Article 97 paragraph 4 GC III, which covers the premises for female POWs undergoing punishment, does not specify that sanitary conveniences </w:t>
      </w:r>
      <w:r w:rsidR="001559E6">
        <w:t xml:space="preserve">must </w:t>
      </w:r>
      <w:r>
        <w:t>be separate. Moreover</w:t>
      </w:r>
      <w:r w:rsidR="001559E6">
        <w:t>,</w:t>
      </w:r>
      <w:r>
        <w:t xml:space="preserve"> the term ‘quarters’ can be widely interpreted to include such facilities. This interpretation is supported by </w:t>
      </w:r>
      <w:r w:rsidRPr="00791C51">
        <w:t>Rule 8 of the Standard Minimum Rules for the Treatment of Prisoners</w:t>
      </w:r>
      <w:r w:rsidR="001559E6">
        <w:t>,</w:t>
      </w:r>
      <w:r w:rsidRPr="00791C51">
        <w:t xml:space="preserve"> </w:t>
      </w:r>
      <w:r>
        <w:t xml:space="preserve">which </w:t>
      </w:r>
      <w:r>
        <w:lastRenderedPageBreak/>
        <w:t>stipulates that ‘</w:t>
      </w:r>
      <w:r w:rsidRPr="000D51E2">
        <w:rPr>
          <w:shd w:val="clear" w:color="auto" w:fill="FFFFFF"/>
        </w:rPr>
        <w:t>the whole of the premises allocated to wo</w:t>
      </w:r>
      <w:r>
        <w:rPr>
          <w:shd w:val="clear" w:color="auto" w:fill="FFFFFF"/>
        </w:rPr>
        <w:t>men shall be entirely separate’</w:t>
      </w:r>
      <w:r w:rsidR="001559E6">
        <w:rPr>
          <w:shd w:val="clear" w:color="auto" w:fill="FFFFFF"/>
        </w:rPr>
        <w:t>.</w:t>
      </w:r>
      <w:r w:rsidRPr="00791C51">
        <w:rPr>
          <w:rStyle w:val="FootnoteReference"/>
        </w:rPr>
        <w:footnoteReference w:id="99"/>
      </w:r>
    </w:p>
    <w:p w14:paraId="6AFCA56B" w14:textId="77777777" w:rsidR="00B40664" w:rsidRDefault="00B40664" w:rsidP="00AB5082">
      <w:pPr>
        <w:spacing w:after="120" w:line="360" w:lineRule="auto"/>
      </w:pPr>
    </w:p>
    <w:p w14:paraId="7962EC0F" w14:textId="0AF34BAF" w:rsidR="005132B5" w:rsidRDefault="00B40664" w:rsidP="0051540B">
      <w:pPr>
        <w:pStyle w:val="Heading3"/>
        <w:spacing w:after="120"/>
      </w:pPr>
      <w:r>
        <w:t xml:space="preserve">Health and </w:t>
      </w:r>
      <w:r w:rsidR="00EF1EC8">
        <w:t>medical care</w:t>
      </w:r>
    </w:p>
    <w:p w14:paraId="6306F4C2" w14:textId="77777777" w:rsidR="00B40664" w:rsidRDefault="00B40664" w:rsidP="00AB5082">
      <w:pPr>
        <w:spacing w:after="120" w:line="360" w:lineRule="auto"/>
        <w:ind w:left="1776"/>
      </w:pPr>
    </w:p>
    <w:p w14:paraId="21683FED" w14:textId="32AB2A54" w:rsidR="00B40664" w:rsidRDefault="00B40664" w:rsidP="00047D81">
      <w:pPr>
        <w:numPr>
          <w:ilvl w:val="0"/>
          <w:numId w:val="13"/>
        </w:numPr>
        <w:spacing w:after="120" w:line="360" w:lineRule="auto"/>
      </w:pPr>
      <w:r>
        <w:t>The Detaining P</w:t>
      </w:r>
      <w:r w:rsidRPr="00821BD3">
        <w:t>ower is under the obligation to provide free medical care and medicines to all detainees. As women’s health issues are di</w:t>
      </w:r>
      <w:r>
        <w:t>fferent from those of men, the Detaining P</w:t>
      </w:r>
      <w:r w:rsidRPr="00821BD3">
        <w:t>ower needs to provide specific services that include screening for cervical and breast cancer,</w:t>
      </w:r>
      <w:r w:rsidRPr="00821BD3">
        <w:rPr>
          <w:rStyle w:val="FootnoteReference"/>
        </w:rPr>
        <w:footnoteReference w:id="100"/>
      </w:r>
      <w:r w:rsidRPr="00821BD3">
        <w:t xml:space="preserve"> medical check-ups assessing the risk of anaemia and mineral deficiencies,</w:t>
      </w:r>
      <w:r w:rsidRPr="00821BD3">
        <w:rPr>
          <w:rStyle w:val="FootnoteReference"/>
        </w:rPr>
        <w:footnoteReference w:id="101"/>
      </w:r>
      <w:r w:rsidRPr="00821BD3">
        <w:t xml:space="preserve"> </w:t>
      </w:r>
      <w:r>
        <w:t>and so on</w:t>
      </w:r>
      <w:r w:rsidRPr="00821BD3">
        <w:t xml:space="preserve">. </w:t>
      </w:r>
    </w:p>
    <w:p w14:paraId="37693519" w14:textId="341F3899" w:rsidR="00B40664" w:rsidRDefault="00B40664" w:rsidP="00AB5082">
      <w:pPr>
        <w:numPr>
          <w:ilvl w:val="0"/>
          <w:numId w:val="13"/>
        </w:numPr>
        <w:spacing w:after="120" w:line="360" w:lineRule="auto"/>
      </w:pPr>
      <w:r w:rsidRPr="00821BD3">
        <w:t>According to Article 91 GC IV</w:t>
      </w:r>
      <w:r w:rsidR="00047D81">
        <w:t>,</w:t>
      </w:r>
      <w:r w:rsidRPr="00821BD3">
        <w:t xml:space="preserve"> maternity cases </w:t>
      </w:r>
      <w:r>
        <w:t xml:space="preserve">among civilian internees </w:t>
      </w:r>
      <w:r w:rsidRPr="00821BD3">
        <w:t>must be transferred to institutions where adequate medical assistance can be provided. This is a rule that is also</w:t>
      </w:r>
      <w:r>
        <w:t xml:space="preserve"> enshrined, for both POWs and all civilians deprived of their liberty, in the </w:t>
      </w:r>
      <w:r w:rsidRPr="00841830">
        <w:t>Standard Minimum Rules for the Treatment of Prisoners</w:t>
      </w:r>
      <w:r>
        <w:t>.</w:t>
      </w:r>
      <w:r>
        <w:rPr>
          <w:rStyle w:val="FootnoteReference"/>
        </w:rPr>
        <w:footnoteReference w:id="102"/>
      </w:r>
      <w:r>
        <w:t xml:space="preserve"> Moreover</w:t>
      </w:r>
      <w:r w:rsidR="00047D81">
        <w:t>,</w:t>
      </w:r>
      <w:r>
        <w:t xml:space="preserve"> the standard </w:t>
      </w:r>
      <w:r w:rsidR="00047D81">
        <w:t xml:space="preserve">of care </w:t>
      </w:r>
      <w:r>
        <w:t xml:space="preserve">these cases receive should not be less than </w:t>
      </w:r>
      <w:r w:rsidR="00047D81">
        <w:t>that</w:t>
      </w:r>
      <w:r>
        <w:t xml:space="preserve"> applied to the general population. The inclusion of maternity cases in Article 91 GC IV reflects the desire to ensure that women are given proper medical attention when giving birth and shortly thereafter, as internment camps are unsuitable </w:t>
      </w:r>
      <w:r w:rsidR="00047D81">
        <w:t xml:space="preserve">places </w:t>
      </w:r>
      <w:r>
        <w:t xml:space="preserve">for giving birth. After all, internment is not a punishment, and thus when women give birth they are entitled to receive the care </w:t>
      </w:r>
      <w:r w:rsidR="00047D81">
        <w:t>they need</w:t>
      </w:r>
      <w:r>
        <w:t>. Also to this effect, Article 127 GC IV stipulates that these women should not be transferred if the journey would be detrimental to them, unless their safety imperatively so demands. The women’s state of health and physical fitness must be determined individually if they are to be transferred.</w:t>
      </w:r>
    </w:p>
    <w:p w14:paraId="5A26DD4B" w14:textId="77777777" w:rsidR="00B40664" w:rsidRDefault="00B40664" w:rsidP="00AB5082">
      <w:pPr>
        <w:spacing w:after="120" w:line="360" w:lineRule="auto"/>
      </w:pPr>
    </w:p>
    <w:p w14:paraId="20045E97" w14:textId="2CCB0B57" w:rsidR="005132B5" w:rsidRDefault="00B40664" w:rsidP="0051540B">
      <w:pPr>
        <w:pStyle w:val="Heading3"/>
        <w:spacing w:after="120"/>
      </w:pPr>
      <w:r>
        <w:t xml:space="preserve">Food and </w:t>
      </w:r>
      <w:r w:rsidR="00EF1EC8">
        <w:t>work</w:t>
      </w:r>
    </w:p>
    <w:p w14:paraId="62AD8040" w14:textId="77777777" w:rsidR="00B40664" w:rsidRDefault="00B40664" w:rsidP="00AB5082">
      <w:pPr>
        <w:spacing w:after="120" w:line="360" w:lineRule="auto"/>
        <w:ind w:left="1776"/>
      </w:pPr>
    </w:p>
    <w:p w14:paraId="598007F9" w14:textId="3EEBF2FB" w:rsidR="00B40664" w:rsidRDefault="00B40664" w:rsidP="002977AD">
      <w:pPr>
        <w:numPr>
          <w:ilvl w:val="0"/>
          <w:numId w:val="13"/>
        </w:numPr>
        <w:spacing w:after="120" w:line="360" w:lineRule="auto"/>
      </w:pPr>
      <w:r>
        <w:lastRenderedPageBreak/>
        <w:t>The quality, quantity</w:t>
      </w:r>
      <w:r w:rsidR="002977AD">
        <w:t>,</w:t>
      </w:r>
      <w:r>
        <w:t xml:space="preserve"> and variety of the daily food ration distributed in civilian internment</w:t>
      </w:r>
      <w:r w:rsidR="002977AD">
        <w:t>,</w:t>
      </w:r>
      <w:r>
        <w:t xml:space="preserve"> as well as in POW camps</w:t>
      </w:r>
      <w:r w:rsidR="002977AD">
        <w:t>,</w:t>
      </w:r>
      <w:r>
        <w:t xml:space="preserve"> depend on the particular characteristics of the individuals and the context (e.g. climate, amount of work).</w:t>
      </w:r>
      <w:r>
        <w:rPr>
          <w:rStyle w:val="FootnoteReference"/>
        </w:rPr>
        <w:footnoteReference w:id="103"/>
      </w:r>
      <w:r>
        <w:t xml:space="preserve"> </w:t>
      </w:r>
      <w:r w:rsidR="002977AD">
        <w:t>Nevertheless,</w:t>
      </w:r>
      <w:r>
        <w:t xml:space="preserve"> Article 89 paragraph 1 GC IV and </w:t>
      </w:r>
      <w:r w:rsidR="002977AD">
        <w:t xml:space="preserve">Article </w:t>
      </w:r>
      <w:r>
        <w:t>26 paragraph 1 GC III, which use similar language, oblige the Detaining Power to ensure that internees are in a good state of health to prevent the development of nutritional deficiencies. This certainly calls for an individual appraisal</w:t>
      </w:r>
      <w:r w:rsidR="002977AD">
        <w:t>,</w:t>
      </w:r>
      <w:r>
        <w:t xml:space="preserve"> where the sex of </w:t>
      </w:r>
      <w:r w:rsidR="002977AD">
        <w:t>the</w:t>
      </w:r>
      <w:r>
        <w:t xml:space="preserve"> person is likely to be taken into account. </w:t>
      </w:r>
    </w:p>
    <w:p w14:paraId="74EFD73D" w14:textId="1E93B066" w:rsidR="00B40664" w:rsidRDefault="00B40664" w:rsidP="002977AD">
      <w:pPr>
        <w:numPr>
          <w:ilvl w:val="0"/>
          <w:numId w:val="13"/>
        </w:numPr>
        <w:spacing w:after="120" w:line="360" w:lineRule="auto"/>
      </w:pPr>
      <w:r>
        <w:t>Moreover</w:t>
      </w:r>
      <w:r w:rsidR="002977AD">
        <w:t>,</w:t>
      </w:r>
      <w:r>
        <w:t xml:space="preserve"> according to Article 89 paragraph 5 GC IV, expectant and nursing mothers are to be given supplementary provisions of food (e.g. specific vitamin and mineral supplements</w:t>
      </w:r>
      <w:r w:rsidR="002977AD">
        <w:t>,</w:t>
      </w:r>
      <w:r>
        <w:t xml:space="preserve"> as well as a diet containing sufficient calories and protein)</w:t>
      </w:r>
      <w:r>
        <w:rPr>
          <w:rStyle w:val="FootnoteReference"/>
        </w:rPr>
        <w:footnoteReference w:id="104"/>
      </w:r>
      <w:r>
        <w:t xml:space="preserve"> to cater for their physiological needs. This </w:t>
      </w:r>
      <w:r w:rsidR="002977AD">
        <w:t>A</w:t>
      </w:r>
      <w:r>
        <w:t>rticle sits along</w:t>
      </w:r>
      <w:r w:rsidR="002977AD">
        <w:t>side</w:t>
      </w:r>
      <w:r>
        <w:t xml:space="preserve"> the principle that certain categories of women are </w:t>
      </w:r>
      <w:r w:rsidR="002977AD">
        <w:t xml:space="preserve">to be </w:t>
      </w:r>
      <w:r>
        <w:t>given preferential treatment.</w:t>
      </w:r>
    </w:p>
    <w:p w14:paraId="3021474E" w14:textId="77777777" w:rsidR="00B40664" w:rsidRPr="00446D2C" w:rsidRDefault="00B40664" w:rsidP="00AB5082">
      <w:pPr>
        <w:numPr>
          <w:ilvl w:val="0"/>
          <w:numId w:val="13"/>
        </w:numPr>
        <w:spacing w:after="120" w:line="360" w:lineRule="auto"/>
      </w:pPr>
      <w:r>
        <w:t xml:space="preserve">The Detaining Power has the right to compel POWs to work. Yet, as Article 49 GC III explains, the type and amount of work to be carried out by POWs depends on a variety of factors, including sex. Interpreted in </w:t>
      </w:r>
      <w:r w:rsidR="002977AD">
        <w:t xml:space="preserve">the </w:t>
      </w:r>
      <w:r>
        <w:t>light of Article 16 GC III</w:t>
      </w:r>
      <w:r w:rsidR="002977AD">
        <w:t>,</w:t>
      </w:r>
      <w:r>
        <w:t xml:space="preserve"> this means that women’s physical strength and specificities must be taken into account when assigning work to them. Given a broad interpretation</w:t>
      </w:r>
      <w:r w:rsidR="002977AD">
        <w:t>,</w:t>
      </w:r>
      <w:r>
        <w:t xml:space="preserve"> it would also mean that pregnant women, maternity cases</w:t>
      </w:r>
      <w:r w:rsidR="002977AD">
        <w:t>,</w:t>
      </w:r>
      <w:r>
        <w:t xml:space="preserve"> and women with young children should be exempted from mandatory work.</w:t>
      </w:r>
      <w:r>
        <w:rPr>
          <w:rStyle w:val="FootnoteReference"/>
        </w:rPr>
        <w:footnoteReference w:id="105"/>
      </w:r>
    </w:p>
    <w:p w14:paraId="07B956D4" w14:textId="77777777" w:rsidR="00B40664" w:rsidRDefault="00B40664" w:rsidP="00AB5082">
      <w:pPr>
        <w:spacing w:after="120" w:line="360" w:lineRule="auto"/>
      </w:pPr>
    </w:p>
    <w:p w14:paraId="6C44AE2C" w14:textId="22E30DF3" w:rsidR="005132B5" w:rsidRDefault="00B40664" w:rsidP="0051540B">
      <w:pPr>
        <w:pStyle w:val="Heading3"/>
        <w:spacing w:after="120"/>
      </w:pPr>
      <w:r>
        <w:t xml:space="preserve">Execution of </w:t>
      </w:r>
      <w:r w:rsidR="00EF1EC8">
        <w:t>penalties</w:t>
      </w:r>
    </w:p>
    <w:p w14:paraId="21DABFCD" w14:textId="77777777" w:rsidR="00B40664" w:rsidRDefault="00B40664" w:rsidP="00AB5082">
      <w:pPr>
        <w:spacing w:after="120" w:line="360" w:lineRule="auto"/>
      </w:pPr>
    </w:p>
    <w:p w14:paraId="5FFCF203" w14:textId="77777777" w:rsidR="00B40664" w:rsidRDefault="00B40664" w:rsidP="00AB5082">
      <w:pPr>
        <w:numPr>
          <w:ilvl w:val="0"/>
          <w:numId w:val="13"/>
        </w:numPr>
        <w:spacing w:after="120" w:line="360" w:lineRule="auto"/>
      </w:pPr>
      <w:r>
        <w:t>Article 88 GC III reiterates in strong language the principle of non-</w:t>
      </w:r>
      <w:r w:rsidR="002F6BED">
        <w:t xml:space="preserve">adverse </w:t>
      </w:r>
      <w:r>
        <w:t>discrimination in relation to penal and disciplinary sanctions, i.e. in relation to the rules on sentencing and the treatment of women whilst undergoing punishment. The comparators are women (Article 88 paragraph 2 GC III) and men (Article 88 paragraph 3 GC III) in the armed forces of the Detaining Power. Such an Article might now be seen as redundant in the light of the principle of non-discrimination enshrined in IHRL.</w:t>
      </w:r>
    </w:p>
    <w:p w14:paraId="05DD556E" w14:textId="77777777" w:rsidR="00B40664" w:rsidRDefault="00B40664" w:rsidP="00AB5082">
      <w:pPr>
        <w:spacing w:after="120" w:line="360" w:lineRule="auto"/>
      </w:pPr>
    </w:p>
    <w:p w14:paraId="17230580" w14:textId="77777777" w:rsidR="005132B5" w:rsidRDefault="00B40664" w:rsidP="0051540B">
      <w:pPr>
        <w:pStyle w:val="Heading3"/>
        <w:spacing w:after="120"/>
      </w:pPr>
      <w:r>
        <w:t>Release</w:t>
      </w:r>
    </w:p>
    <w:p w14:paraId="3596BD3E" w14:textId="77777777" w:rsidR="00B40664" w:rsidRDefault="00B40664" w:rsidP="00AB5082">
      <w:pPr>
        <w:spacing w:after="120" w:line="360" w:lineRule="auto"/>
      </w:pPr>
    </w:p>
    <w:p w14:paraId="72E6C0C6" w14:textId="2BB82EEA" w:rsidR="00B40664" w:rsidRDefault="00B40664" w:rsidP="00AB5082">
      <w:pPr>
        <w:numPr>
          <w:ilvl w:val="0"/>
          <w:numId w:val="13"/>
        </w:numPr>
        <w:spacing w:after="120" w:line="360" w:lineRule="auto"/>
      </w:pPr>
      <w:r>
        <w:t xml:space="preserve">Article 132 GC IV encourages states to conclude agreements with neutral parties </w:t>
      </w:r>
      <w:r w:rsidR="008A4C6B">
        <w:t xml:space="preserve">in regard to </w:t>
      </w:r>
      <w:r>
        <w:t>releasing, repatriating</w:t>
      </w:r>
      <w:r w:rsidR="002977AD">
        <w:t>,</w:t>
      </w:r>
      <w:r>
        <w:t xml:space="preserve"> and returning certain categories of individuals to these states. Among the categories listed are pregnant women</w:t>
      </w:r>
      <w:r w:rsidR="008A4C6B">
        <w:t>,</w:t>
      </w:r>
      <w:r>
        <w:t xml:space="preserve"> and mothers with infants and young children. </w:t>
      </w:r>
      <w:r w:rsidRPr="003A4D28">
        <w:t xml:space="preserve">No equivalent provision exists in </w:t>
      </w:r>
      <w:r>
        <w:t>GC</w:t>
      </w:r>
      <w:r w:rsidRPr="003A4D28">
        <w:t xml:space="preserve"> III. However, </w:t>
      </w:r>
      <w:r>
        <w:t>it might be possible to interpret Article 14 GC III, w</w:t>
      </w:r>
      <w:r w:rsidR="008A4C6B">
        <w:t>hich</w:t>
      </w:r>
      <w:r>
        <w:t xml:space="preserve"> contains the ‘regard due to their sex’ clause</w:t>
      </w:r>
      <w:r w:rsidR="008A4C6B">
        <w:t>,</w:t>
      </w:r>
      <w:r>
        <w:t xml:space="preserve"> as encouraging the Detaining Power to grant early repatriation </w:t>
      </w:r>
      <w:r w:rsidR="002F6BED">
        <w:t xml:space="preserve">of </w:t>
      </w:r>
      <w:r>
        <w:t xml:space="preserve">female POWs who are pregnant and those who are mothers of young children. Such a reading is confirmed by </w:t>
      </w:r>
      <w:r w:rsidRPr="003A4D28">
        <w:t>Annex I</w:t>
      </w:r>
      <w:r w:rsidR="008A4C6B">
        <w:t>,</w:t>
      </w:r>
      <w:r w:rsidRPr="003A4D28">
        <w:t xml:space="preserve"> which reproduces the </w:t>
      </w:r>
      <w:r w:rsidRPr="00CF7FB7">
        <w:rPr>
          <w:color w:val="000000"/>
          <w:shd w:val="clear" w:color="auto" w:fill="FFFFFF"/>
        </w:rPr>
        <w:t>Model Agreement Concerning Direct Repatriation and Accommodation in Neutral Countries of Wounded and Sick Prisoners of War that relates to Article 110 GC III</w:t>
      </w:r>
      <w:r w:rsidR="008A4C6B">
        <w:rPr>
          <w:color w:val="000000"/>
          <w:shd w:val="clear" w:color="auto" w:fill="FFFFFF"/>
        </w:rPr>
        <w:t>,</w:t>
      </w:r>
      <w:r w:rsidRPr="00CF7FB7">
        <w:rPr>
          <w:color w:val="000000"/>
          <w:shd w:val="clear" w:color="auto" w:fill="FFFFFF"/>
        </w:rPr>
        <w:t xml:space="preserve"> and li</w:t>
      </w:r>
      <w:r>
        <w:rPr>
          <w:color w:val="000000"/>
          <w:shd w:val="clear" w:color="auto" w:fill="FFFFFF"/>
        </w:rPr>
        <w:t>sts ‘</w:t>
      </w:r>
      <w:r w:rsidRPr="00CF7FB7">
        <w:rPr>
          <w:color w:val="000000"/>
          <w:shd w:val="clear" w:color="auto" w:fill="FFFFFF"/>
        </w:rPr>
        <w:t>women prisoners of war who are pregnant or mothers with infants and small children</w:t>
      </w:r>
      <w:r>
        <w:rPr>
          <w:color w:val="000000"/>
          <w:shd w:val="clear" w:color="auto" w:fill="FFFFFF"/>
        </w:rPr>
        <w:t>’</w:t>
      </w:r>
      <w:r w:rsidRPr="00CF7FB7">
        <w:rPr>
          <w:color w:val="000000"/>
          <w:shd w:val="clear" w:color="auto" w:fill="FFFFFF"/>
        </w:rPr>
        <w:t xml:space="preserve"> among the individuals to be given priority in the repatriation. </w:t>
      </w:r>
      <w:r>
        <w:t xml:space="preserve">These women benefit from special protection, along with the </w:t>
      </w:r>
      <w:r w:rsidRPr="003A4D28">
        <w:t>sick and wounded and children</w:t>
      </w:r>
      <w:r>
        <w:t>,</w:t>
      </w:r>
      <w:r w:rsidRPr="003A4D28">
        <w:t xml:space="preserve"> as they are deemed to be at higher risk in internment </w:t>
      </w:r>
      <w:r>
        <w:t xml:space="preserve">and POW </w:t>
      </w:r>
      <w:r w:rsidRPr="003A4D28">
        <w:t>camps.</w:t>
      </w:r>
    </w:p>
    <w:p w14:paraId="197E5030" w14:textId="77777777" w:rsidR="00B40664" w:rsidRDefault="00B40664" w:rsidP="00AB5082">
      <w:pPr>
        <w:spacing w:after="120" w:line="360" w:lineRule="auto"/>
        <w:rPr>
          <w:rFonts w:ascii="Arial" w:hAnsi="Arial" w:cs="Arial"/>
          <w:color w:val="000000"/>
          <w:sz w:val="18"/>
          <w:szCs w:val="18"/>
          <w:shd w:val="clear" w:color="auto" w:fill="FFFFFF"/>
        </w:rPr>
      </w:pPr>
    </w:p>
    <w:p w14:paraId="1DD6F66A" w14:textId="77777777" w:rsidR="005132B5" w:rsidRDefault="00B40664" w:rsidP="0051540B">
      <w:pPr>
        <w:pStyle w:val="Heading1"/>
        <w:spacing w:after="120"/>
      </w:pPr>
      <w:r w:rsidRPr="004A3739">
        <w:t>Relevance in Non-International Armed Conflict</w:t>
      </w:r>
      <w:r w:rsidR="005C50B1">
        <w:t>s</w:t>
      </w:r>
    </w:p>
    <w:p w14:paraId="5AB80418" w14:textId="77777777" w:rsidR="00B40664" w:rsidRDefault="00B40664" w:rsidP="00AB5082">
      <w:pPr>
        <w:spacing w:after="120" w:line="360" w:lineRule="auto"/>
      </w:pPr>
    </w:p>
    <w:p w14:paraId="718B1839" w14:textId="4FDE7015" w:rsidR="00B40664" w:rsidRDefault="00B40664" w:rsidP="00AB5082">
      <w:pPr>
        <w:numPr>
          <w:ilvl w:val="0"/>
          <w:numId w:val="13"/>
        </w:numPr>
        <w:spacing w:after="120" w:line="360" w:lineRule="auto"/>
      </w:pPr>
      <w:r>
        <w:t>Undoubtedly the gist of the main provisions concerning women applies in non-international armed conflict</w:t>
      </w:r>
      <w:r w:rsidR="002F6BED">
        <w:t xml:space="preserve"> (NIAC)</w:t>
      </w:r>
      <w:r>
        <w:t>. The principle of non-adverse discrimination spelled out in Articles 12 GC I</w:t>
      </w:r>
      <w:r w:rsidR="008A4C6B">
        <w:t>/</w:t>
      </w:r>
      <w:r>
        <w:t xml:space="preserve">GC II and Article 27 paragraph 3 GC IV applies in </w:t>
      </w:r>
      <w:r w:rsidR="002F6BED">
        <w:t>NIAC</w:t>
      </w:r>
      <w:r>
        <w:t>. Common Article 3</w:t>
      </w:r>
      <w:r w:rsidR="008A4C6B">
        <w:t xml:space="preserve"> of the Geneva Conventions</w:t>
      </w:r>
      <w:r>
        <w:t xml:space="preserve"> and Article 2</w:t>
      </w:r>
      <w:r w:rsidR="00AC2E6F">
        <w:t xml:space="preserve"> paragraph</w:t>
      </w:r>
      <w:r w:rsidR="008A4C6B">
        <w:t>s</w:t>
      </w:r>
      <w:r>
        <w:t xml:space="preserve"> 1 and 4 AP II reiterate the principle. Further</w:t>
      </w:r>
      <w:r w:rsidR="008A4C6B">
        <w:t>,</w:t>
      </w:r>
      <w:r>
        <w:t xml:space="preserve"> Rule 88 (on Non-Discrimination) </w:t>
      </w:r>
      <w:r w:rsidR="00247349">
        <w:t xml:space="preserve">in the </w:t>
      </w:r>
      <w:r>
        <w:t xml:space="preserve">ICRC CIHL Study stipulates that this norm applies in </w:t>
      </w:r>
      <w:r w:rsidR="002F6BED">
        <w:t>NIAC</w:t>
      </w:r>
      <w:r>
        <w:t xml:space="preserve"> too. In addition</w:t>
      </w:r>
      <w:r w:rsidR="008A4C6B">
        <w:t>,</w:t>
      </w:r>
      <w:r>
        <w:t xml:space="preserve"> the principle of non-discrimination</w:t>
      </w:r>
      <w:r w:rsidR="008A4C6B">
        <w:t>,</w:t>
      </w:r>
      <w:r>
        <w:t xml:space="preserve"> which is enshrined in a variety of </w:t>
      </w:r>
      <w:r w:rsidR="002F6BED">
        <w:t>IHRL</w:t>
      </w:r>
      <w:r>
        <w:t xml:space="preserve"> instruments</w:t>
      </w:r>
      <w:r w:rsidR="008A4C6B">
        <w:t>,</w:t>
      </w:r>
      <w:r>
        <w:t xml:space="preserve"> applies at all times</w:t>
      </w:r>
      <w:r w:rsidR="008A4C6B">
        <w:t>,</w:t>
      </w:r>
      <w:r>
        <w:t xml:space="preserve"> as derogations </w:t>
      </w:r>
      <w:r w:rsidR="008A4C6B">
        <w:t>from</w:t>
      </w:r>
      <w:r>
        <w:t xml:space="preserve"> the principle of non-discrimination based on sex are not permitted.</w:t>
      </w:r>
      <w:r>
        <w:rPr>
          <w:rStyle w:val="FootnoteReference"/>
        </w:rPr>
        <w:footnoteReference w:id="106"/>
      </w:r>
      <w:r>
        <w:t xml:space="preserve"> </w:t>
      </w:r>
      <w:r w:rsidR="008A4C6B">
        <w:t>W</w:t>
      </w:r>
      <w:r>
        <w:t>omen should not be discriminated against</w:t>
      </w:r>
      <w:r w:rsidR="008A4C6B" w:rsidRPr="008A4C6B">
        <w:t xml:space="preserve"> </w:t>
      </w:r>
      <w:r w:rsidR="008A4C6B">
        <w:t>in NIAC</w:t>
      </w:r>
      <w:r>
        <w:t>.</w:t>
      </w:r>
    </w:p>
    <w:p w14:paraId="6241C3D7" w14:textId="22F87C5F" w:rsidR="00B40664" w:rsidRDefault="00B40664" w:rsidP="00AB5082">
      <w:pPr>
        <w:numPr>
          <w:ilvl w:val="0"/>
          <w:numId w:val="13"/>
        </w:numPr>
        <w:spacing w:after="120" w:line="360" w:lineRule="auto"/>
      </w:pPr>
      <w:r>
        <w:lastRenderedPageBreak/>
        <w:t xml:space="preserve">Article 12 </w:t>
      </w:r>
      <w:proofErr w:type="gramStart"/>
      <w:r>
        <w:t>paragraph</w:t>
      </w:r>
      <w:proofErr w:type="gramEnd"/>
      <w:r>
        <w:t xml:space="preserve"> 4 GC I/GC II</w:t>
      </w:r>
      <w:r w:rsidR="00DB1101">
        <w:t xml:space="preserve"> </w:t>
      </w:r>
      <w:r>
        <w:t>obligates states to treat wounded, sick</w:t>
      </w:r>
      <w:r w:rsidR="008A4C6B">
        <w:t>,</w:t>
      </w:r>
      <w:r>
        <w:t xml:space="preserve"> and shipwrecked women with </w:t>
      </w:r>
      <w:r w:rsidR="008A4C6B">
        <w:t xml:space="preserve">the </w:t>
      </w:r>
      <w:r>
        <w:t>regard due to their sex</w:t>
      </w:r>
      <w:r w:rsidR="00DB1101">
        <w:t xml:space="preserve">. There is </w:t>
      </w:r>
      <w:r>
        <w:t xml:space="preserve">no corresponding provision in IHL instruments regulating </w:t>
      </w:r>
      <w:r w:rsidR="008A4C6B">
        <w:t>NIAC</w:t>
      </w:r>
      <w:r>
        <w:t xml:space="preserve">. The legal support for asserting that this rule also applies in </w:t>
      </w:r>
      <w:r w:rsidR="00DB1101">
        <w:t>NIAC</w:t>
      </w:r>
      <w:r>
        <w:t xml:space="preserve"> is mainly found in a range of UN resolutions that do not characterize the nature of the armed conflict when exhorting parties to the conflict to respect and protect women.</w:t>
      </w:r>
      <w:r>
        <w:rPr>
          <w:rStyle w:val="FootnoteReference"/>
        </w:rPr>
        <w:footnoteReference w:id="107"/>
      </w:r>
      <w:r>
        <w:t xml:space="preserve"> Likewise, Resolution 2 of the 26</w:t>
      </w:r>
      <w:r w:rsidRPr="001E7AF8">
        <w:rPr>
          <w:vertAlign w:val="superscript"/>
        </w:rPr>
        <w:t>th</w:t>
      </w:r>
      <w:r>
        <w:t xml:space="preserve"> Conference of the Red Cross and Red Crescent does not differentiate between the types of conflict when it encourages states to set up programmes</w:t>
      </w:r>
      <w:r w:rsidR="00DB1101">
        <w:t>,</w:t>
      </w:r>
      <w:r>
        <w:t xml:space="preserve"> ‘to ensure that women victims of conflict receive medical, psychological and social assistance’.</w:t>
      </w:r>
      <w:r>
        <w:rPr>
          <w:rStyle w:val="FootnoteReference"/>
        </w:rPr>
        <w:footnoteReference w:id="108"/>
      </w:r>
    </w:p>
    <w:p w14:paraId="5CA67557" w14:textId="538D6EB1" w:rsidR="00B40664" w:rsidRDefault="00B40664" w:rsidP="00AB5082">
      <w:pPr>
        <w:numPr>
          <w:ilvl w:val="0"/>
          <w:numId w:val="13"/>
        </w:numPr>
        <w:spacing w:after="120" w:line="360" w:lineRule="auto"/>
      </w:pPr>
      <w:r>
        <w:t xml:space="preserve">Article 27 paragraph 2 GC IV, which protects women from attacks on their honour, features in IHL instruments relating to NIAC in a modified form. </w:t>
      </w:r>
      <w:r w:rsidR="00DB1101">
        <w:t>R</w:t>
      </w:r>
      <w:r>
        <w:t>eference to the concept of ‘honour’ is dropped and replaced by ‘outrages upon personal dignity’ in</w:t>
      </w:r>
      <w:r w:rsidR="00540C30">
        <w:t xml:space="preserve"> </w:t>
      </w:r>
      <w:r w:rsidR="00DB1101">
        <w:t>C</w:t>
      </w:r>
      <w:r>
        <w:t>ommon Article 3</w:t>
      </w:r>
      <w:r w:rsidR="00AC2E6F">
        <w:t xml:space="preserve"> paragraph</w:t>
      </w:r>
      <w:r w:rsidRPr="00403250">
        <w:t xml:space="preserve"> </w:t>
      </w:r>
      <w:r>
        <w:t>1(c)</w:t>
      </w:r>
      <w:r w:rsidR="00DB1101">
        <w:t>,</w:t>
      </w:r>
      <w:r>
        <w:t xml:space="preserve"> and </w:t>
      </w:r>
      <w:r w:rsidR="00DB1101">
        <w:t xml:space="preserve">in </w:t>
      </w:r>
      <w:r>
        <w:t>Article 4</w:t>
      </w:r>
      <w:r w:rsidRPr="00403250">
        <w:t xml:space="preserve"> </w:t>
      </w:r>
      <w:r w:rsidR="00AC2E6F">
        <w:t xml:space="preserve">paragraph </w:t>
      </w:r>
      <w:r>
        <w:t xml:space="preserve">2(e) AP II. Article 4 </w:t>
      </w:r>
      <w:r w:rsidR="00540C30">
        <w:t xml:space="preserve">paragraph </w:t>
      </w:r>
      <w:r>
        <w:t>2(e) AP II almost mirrors Article 27 paragraph 2 GC IV</w:t>
      </w:r>
      <w:r w:rsidR="00DB1101">
        <w:t>,</w:t>
      </w:r>
      <w:r>
        <w:t xml:space="preserve"> with the addition of ‘humiliating and degrading treatment’ to the list of acts that fall within the </w:t>
      </w:r>
      <w:r w:rsidR="00DB1101">
        <w:t>definition of</w:t>
      </w:r>
      <w:r>
        <w:t xml:space="preserve"> ‘outrages upon personal dignity’. In contrast</w:t>
      </w:r>
      <w:r w:rsidR="00DB1101">
        <w:t>,</w:t>
      </w:r>
      <w:r>
        <w:t xml:space="preserve"> </w:t>
      </w:r>
      <w:r w:rsidR="00DB1101">
        <w:t>C</w:t>
      </w:r>
      <w:r>
        <w:t xml:space="preserve">ommon Article 3 does not expressly refer to rape and sexual violence (short of rape), which </w:t>
      </w:r>
      <w:r w:rsidR="00DB1101">
        <w:t>may</w:t>
      </w:r>
      <w:r>
        <w:t xml:space="preserve"> nevertheless be subsumed under ‘cruel treatment and torture’ (</w:t>
      </w:r>
      <w:r w:rsidR="00DB1101">
        <w:t xml:space="preserve">Common </w:t>
      </w:r>
      <w:r>
        <w:t>Article 3 paragraph 1(a)) and ‘humiliating and degrading treatment’ (</w:t>
      </w:r>
      <w:r w:rsidR="00DB1101">
        <w:t xml:space="preserve">Common </w:t>
      </w:r>
      <w:r>
        <w:t xml:space="preserve">Article 3 paragraph 1(c)) respectively. Indeed, in </w:t>
      </w:r>
      <w:proofErr w:type="spellStart"/>
      <w:r w:rsidRPr="007E7238">
        <w:rPr>
          <w:i/>
        </w:rPr>
        <w:t>Furundžija</w:t>
      </w:r>
      <w:proofErr w:type="spellEnd"/>
      <w:r>
        <w:t xml:space="preserve"> the ICTY explained that rape was implicitly prohibited under </w:t>
      </w:r>
      <w:r w:rsidR="00DB1101">
        <w:t>C</w:t>
      </w:r>
      <w:r>
        <w:t>ommon Article 3.</w:t>
      </w:r>
      <w:r>
        <w:rPr>
          <w:rStyle w:val="FootnoteReference"/>
        </w:rPr>
        <w:footnoteReference w:id="109"/>
      </w:r>
      <w:r>
        <w:t xml:space="preserve"> The protection offered to women in </w:t>
      </w:r>
      <w:r w:rsidR="002F6BED">
        <w:t>NIAC</w:t>
      </w:r>
      <w:r>
        <w:t xml:space="preserve"> with respect to freedom from sexual violence is phrased in terms of physical harm and </w:t>
      </w:r>
      <w:r w:rsidR="00DB1101">
        <w:t xml:space="preserve">harm to </w:t>
      </w:r>
      <w:r>
        <w:t xml:space="preserve">human dignity rather than </w:t>
      </w:r>
      <w:r w:rsidR="006F70E9">
        <w:t xml:space="preserve">to </w:t>
      </w:r>
      <w:r>
        <w:t>honour.</w:t>
      </w:r>
      <w:r>
        <w:rPr>
          <w:rStyle w:val="FootnoteReference"/>
        </w:rPr>
        <w:footnoteReference w:id="110"/>
      </w:r>
      <w:r>
        <w:t xml:space="preserve"> Moreover</w:t>
      </w:r>
      <w:r w:rsidR="00DB1101">
        <w:t>,</w:t>
      </w:r>
      <w:r>
        <w:t xml:space="preserve"> a range of instruments that condemn sexual violence do not </w:t>
      </w:r>
      <w:r w:rsidR="00C27F06">
        <w:t>make a distinction</w:t>
      </w:r>
      <w:r>
        <w:t xml:space="preserve"> on the basis of the nature of the armed conflict, e.g. Section 7.3</w:t>
      </w:r>
      <w:r w:rsidRPr="00B52D30">
        <w:t xml:space="preserve"> of the 1999 U</w:t>
      </w:r>
      <w:r>
        <w:t>N Secretary-General’s Bulletin,</w:t>
      </w:r>
      <w:r w:rsidRPr="00B52D30">
        <w:rPr>
          <w:rStyle w:val="FootnoteReference"/>
        </w:rPr>
        <w:footnoteReference w:id="111"/>
      </w:r>
      <w:r>
        <w:t xml:space="preserve"> reports by the Secretary-General,</w:t>
      </w:r>
      <w:r>
        <w:rPr>
          <w:rStyle w:val="FootnoteReference"/>
        </w:rPr>
        <w:footnoteReference w:id="112"/>
      </w:r>
      <w:r>
        <w:t xml:space="preserve"> CEDAW General Recommendation No 19 on </w:t>
      </w:r>
      <w:r>
        <w:lastRenderedPageBreak/>
        <w:t>Violence against Women,</w:t>
      </w:r>
      <w:r>
        <w:rPr>
          <w:rStyle w:val="FootnoteReference"/>
        </w:rPr>
        <w:footnoteReference w:id="113"/>
      </w:r>
      <w:r>
        <w:t xml:space="preserve"> etc. The</w:t>
      </w:r>
      <w:r w:rsidR="00F43C5A">
        <w:t xml:space="preserve"> International Criminal Court</w:t>
      </w:r>
      <w:r>
        <w:t xml:space="preserve"> </w:t>
      </w:r>
      <w:r w:rsidR="00F43C5A">
        <w:t>(</w:t>
      </w:r>
      <w:r>
        <w:t>ICC</w:t>
      </w:r>
      <w:r w:rsidR="00F43C5A">
        <w:t>)</w:t>
      </w:r>
      <w:r>
        <w:t xml:space="preserve"> Statute also confirms that rape (Article 8</w:t>
      </w:r>
      <w:r w:rsidR="00540C30">
        <w:t xml:space="preserve"> paragraph </w:t>
      </w:r>
      <w:r>
        <w:t>2(e)(vi)(1)) and other forms of sexual violence</w:t>
      </w:r>
      <w:r w:rsidR="00C27F06">
        <w:t>,</w:t>
      </w:r>
      <w:r>
        <w:t xml:space="preserve"> such as sexual slavery (Article 8</w:t>
      </w:r>
      <w:r w:rsidR="00540C30">
        <w:t xml:space="preserve"> paragraph </w:t>
      </w:r>
      <w:r w:rsidRPr="008B2997">
        <w:rPr>
          <w:lang w:val="en-CA"/>
        </w:rPr>
        <w:t>2(e)(vi)(2)), enforced prostitution (Article 8(2)(e)(vi)(3))</w:t>
      </w:r>
      <w:r w:rsidR="00C27F06">
        <w:rPr>
          <w:lang w:val="en-CA"/>
        </w:rPr>
        <w:t>,</w:t>
      </w:r>
      <w:r w:rsidRPr="008B2997">
        <w:rPr>
          <w:lang w:val="en-CA"/>
        </w:rPr>
        <w:t xml:space="preserve"> and sexual violence (Article 8 para</w:t>
      </w:r>
      <w:r w:rsidR="00540C30">
        <w:rPr>
          <w:lang w:val="en-CA"/>
        </w:rPr>
        <w:t>graph</w:t>
      </w:r>
      <w:r w:rsidRPr="008B2997">
        <w:rPr>
          <w:lang w:val="en-CA"/>
        </w:rPr>
        <w:t xml:space="preserve"> </w:t>
      </w:r>
      <w:r>
        <w:t>2(e)(vi)(6))</w:t>
      </w:r>
      <w:r w:rsidR="00C27F06">
        <w:t>,</w:t>
      </w:r>
      <w:r>
        <w:t xml:space="preserve"> are prohibited in </w:t>
      </w:r>
      <w:r w:rsidR="00C27F06">
        <w:t>NIAC</w:t>
      </w:r>
      <w:r>
        <w:t>.</w:t>
      </w:r>
      <w:r>
        <w:rPr>
          <w:rStyle w:val="FootnoteReference"/>
        </w:rPr>
        <w:footnoteReference w:id="114"/>
      </w:r>
      <w:r>
        <w:t xml:space="preserve"> No doubt, women </w:t>
      </w:r>
      <w:r w:rsidR="008B2997">
        <w:t xml:space="preserve">must be </w:t>
      </w:r>
      <w:r>
        <w:t xml:space="preserve">protected from sexual violence in </w:t>
      </w:r>
      <w:r w:rsidR="002F6BED">
        <w:t>NIAC</w:t>
      </w:r>
      <w:r>
        <w:t>.</w:t>
      </w:r>
    </w:p>
    <w:p w14:paraId="39A916D2" w14:textId="00C1273C" w:rsidR="00B40664" w:rsidRDefault="00B40664" w:rsidP="00AB5082">
      <w:pPr>
        <w:numPr>
          <w:ilvl w:val="0"/>
          <w:numId w:val="13"/>
        </w:numPr>
        <w:spacing w:after="120" w:line="360" w:lineRule="auto"/>
      </w:pPr>
      <w:r>
        <w:t>Whilst the G</w:t>
      </w:r>
      <w:r w:rsidR="00C27F06">
        <w:t xml:space="preserve">eneva </w:t>
      </w:r>
      <w:r>
        <w:t>C</w:t>
      </w:r>
      <w:r w:rsidR="00C27F06">
        <w:t>onvention</w:t>
      </w:r>
      <w:r>
        <w:t>s protect specific categories of women</w:t>
      </w:r>
      <w:r w:rsidR="00C27F06">
        <w:t>—</w:t>
      </w:r>
      <w:r>
        <w:t>pregnant women, maternity cases</w:t>
      </w:r>
      <w:r w:rsidR="00C27F06">
        <w:t>,</w:t>
      </w:r>
      <w:r>
        <w:t xml:space="preserve"> and mothers with children under the age of seven</w:t>
      </w:r>
      <w:r w:rsidR="00C27F06">
        <w:t>—</w:t>
      </w:r>
      <w:r>
        <w:t xml:space="preserve">neither AP II nor </w:t>
      </w:r>
      <w:r w:rsidR="006A5711">
        <w:t>C</w:t>
      </w:r>
      <w:r>
        <w:t>ommon Article 3 refer</w:t>
      </w:r>
      <w:r w:rsidR="00C27F06">
        <w:t>s</w:t>
      </w:r>
      <w:r>
        <w:t xml:space="preserve"> to these categories.</w:t>
      </w:r>
      <w:r w:rsidR="00636BE1">
        <w:t xml:space="preserve"> Likewise</w:t>
      </w:r>
      <w:r w:rsidR="00C27F06">
        <w:t>,</w:t>
      </w:r>
      <w:r>
        <w:t xml:space="preserve"> </w:t>
      </w:r>
      <w:r w:rsidR="00636BE1">
        <w:t>t</w:t>
      </w:r>
      <w:r>
        <w:t>he section on the protection offered to women</w:t>
      </w:r>
      <w:r w:rsidR="00636BE1">
        <w:t xml:space="preserve"> in NIAC </w:t>
      </w:r>
      <w:r>
        <w:t xml:space="preserve">in Rule 134 </w:t>
      </w:r>
      <w:r w:rsidR="00247349">
        <w:t xml:space="preserve">in the </w:t>
      </w:r>
      <w:r>
        <w:t xml:space="preserve">ICRC CIHL Study does not </w:t>
      </w:r>
      <w:r w:rsidR="00F62325">
        <w:t>expli</w:t>
      </w:r>
      <w:r w:rsidR="008B2997">
        <w:t>ci</w:t>
      </w:r>
      <w:r w:rsidR="00F62325">
        <w:t xml:space="preserve">tly mention these categories, although the general rule demanding respect for the ‘specific protection, health and assistance needs of women affected by armed conflict’ is stated to apply in </w:t>
      </w:r>
      <w:r w:rsidR="00C27F06">
        <w:t>NIAC</w:t>
      </w:r>
      <w:r>
        <w:t>.</w:t>
      </w:r>
      <w:r>
        <w:rPr>
          <w:rStyle w:val="FootnoteReference"/>
        </w:rPr>
        <w:footnoteReference w:id="115"/>
      </w:r>
      <w:r>
        <w:t xml:space="preserve"> Maternity cases are often subsumed under the ‘sick, wounded and shipwrecked’ category in IAC</w:t>
      </w:r>
      <w:r w:rsidR="004C650C">
        <w:t>,</w:t>
      </w:r>
      <w:r>
        <w:t xml:space="preserve"> and one </w:t>
      </w:r>
      <w:r w:rsidR="004C650C">
        <w:t>might</w:t>
      </w:r>
      <w:r>
        <w:t xml:space="preserve"> contend that NIAC provisions relating to the ‘sick, wounded and shipwrecked’ also apply to maternity cases. In NIAC the wounded and sick must be protected and respected: </w:t>
      </w:r>
      <w:r w:rsidR="004C650C">
        <w:t>C</w:t>
      </w:r>
      <w:r>
        <w:t>ommon Article 3 paragraph 2, and Article 7 AP II and Rule 110</w:t>
      </w:r>
      <w:r w:rsidR="00247349">
        <w:t xml:space="preserve"> in the</w:t>
      </w:r>
      <w:r>
        <w:t xml:space="preserve"> </w:t>
      </w:r>
      <w:r w:rsidR="002F6BED">
        <w:t>ICRC CIHL Study (</w:t>
      </w:r>
      <w:r>
        <w:t>treatment and care of the wounded, sick</w:t>
      </w:r>
      <w:r w:rsidR="004C650C">
        <w:t>,</w:t>
      </w:r>
      <w:r>
        <w:t xml:space="preserve"> and shipwrecked</w:t>
      </w:r>
      <w:r w:rsidR="002F6BED">
        <w:t>)</w:t>
      </w:r>
      <w:r>
        <w:t xml:space="preserve"> appl</w:t>
      </w:r>
      <w:r w:rsidR="004C650C">
        <w:t>y</w:t>
      </w:r>
      <w:r>
        <w:t xml:space="preserve"> irrespective of the nature of the conflict. </w:t>
      </w:r>
    </w:p>
    <w:p w14:paraId="26DD3ADA" w14:textId="0D0ACAD1" w:rsidR="00B40664" w:rsidRDefault="00B40664" w:rsidP="00AB5082">
      <w:pPr>
        <w:numPr>
          <w:ilvl w:val="0"/>
          <w:numId w:val="13"/>
        </w:numPr>
        <w:spacing w:after="120" w:line="360" w:lineRule="auto"/>
      </w:pPr>
      <w:r>
        <w:t xml:space="preserve">In </w:t>
      </w:r>
      <w:r w:rsidR="004C650C">
        <w:t>NIAC</w:t>
      </w:r>
      <w:r>
        <w:t xml:space="preserve">, detained women are to be humanely treated, for the general principle of humane treatment is applicable irrespective of the nature of the conflict. Moreover, detained women also enjoy the benefit of quarters separate from those of men and are to be kept under the immediate supervision of women. Article 5 paragraph 2(a) AP II thus reflects many aspects of the key provisions found in GC III and GC IV, though one should recall that the concept of POWs does not exist in </w:t>
      </w:r>
      <w:r w:rsidR="004C650C">
        <w:t>NIAC</w:t>
      </w:r>
      <w:r>
        <w:t>. Rule 119</w:t>
      </w:r>
      <w:r w:rsidR="00247349">
        <w:t xml:space="preserve"> in the</w:t>
      </w:r>
      <w:r>
        <w:t xml:space="preserve"> ICRC CIHL Study and Section 8(e) of the Secretary-General’s Bulletin</w:t>
      </w:r>
      <w:r>
        <w:rPr>
          <w:rStyle w:val="FootnoteReference"/>
        </w:rPr>
        <w:footnoteReference w:id="116"/>
      </w:r>
      <w:r>
        <w:t xml:space="preserve"> confirm the application of this norm in </w:t>
      </w:r>
      <w:r w:rsidR="004C650C">
        <w:t>NIAC</w:t>
      </w:r>
      <w:r>
        <w:t xml:space="preserve">. Whilst no reference is made to maternity cases in detention centres, the rules relating to </w:t>
      </w:r>
      <w:r w:rsidR="004C650C">
        <w:t xml:space="preserve">the </w:t>
      </w:r>
      <w:r>
        <w:t xml:space="preserve">sick and wounded, as discussed above, are to apply to these women too. </w:t>
      </w:r>
    </w:p>
    <w:p w14:paraId="10277864" w14:textId="77777777" w:rsidR="00B40664" w:rsidRPr="004A3739" w:rsidRDefault="00B40664" w:rsidP="00AB5082">
      <w:pPr>
        <w:spacing w:after="120" w:line="360" w:lineRule="auto"/>
      </w:pPr>
    </w:p>
    <w:p w14:paraId="55425AD6" w14:textId="0848229F" w:rsidR="005132B5" w:rsidRDefault="00B40664" w:rsidP="0051540B">
      <w:pPr>
        <w:pStyle w:val="Heading1"/>
        <w:spacing w:after="120"/>
      </w:pPr>
      <w:r w:rsidRPr="004A3739">
        <w:lastRenderedPageBreak/>
        <w:t>Legal Consequences of Violation</w:t>
      </w:r>
      <w:r w:rsidR="005311C5">
        <w:t>s of the Norms</w:t>
      </w:r>
      <w:r w:rsidR="005C50B1">
        <w:t xml:space="preserve"> </w:t>
      </w:r>
    </w:p>
    <w:p w14:paraId="6DA39AA8" w14:textId="77777777" w:rsidR="00B40664" w:rsidRDefault="00B40664" w:rsidP="00AB5082">
      <w:pPr>
        <w:spacing w:after="120" w:line="360" w:lineRule="auto"/>
      </w:pPr>
    </w:p>
    <w:p w14:paraId="387113D8" w14:textId="0DFF0EA5" w:rsidR="00B40664" w:rsidRDefault="00B40664" w:rsidP="00AB5082">
      <w:pPr>
        <w:numPr>
          <w:ilvl w:val="0"/>
          <w:numId w:val="13"/>
        </w:numPr>
        <w:spacing w:after="120" w:line="360" w:lineRule="auto"/>
      </w:pPr>
      <w:r>
        <w:t xml:space="preserve">Violations of the special rules concerning women in the Geneva Conventions </w:t>
      </w:r>
      <w:r w:rsidR="003043D0">
        <w:t>may</w:t>
      </w:r>
      <w:r>
        <w:t xml:space="preserve"> be divided into grave breaches, specifically enumerated in Article 50 GC I, </w:t>
      </w:r>
      <w:r w:rsidR="003043D0">
        <w:t xml:space="preserve">Article </w:t>
      </w:r>
      <w:r>
        <w:t xml:space="preserve">51 GC II, </w:t>
      </w:r>
      <w:r w:rsidR="003043D0">
        <w:t xml:space="preserve">Article </w:t>
      </w:r>
      <w:r>
        <w:t xml:space="preserve">130 GC III, </w:t>
      </w:r>
      <w:r w:rsidR="003043D0">
        <w:t xml:space="preserve">and Article </w:t>
      </w:r>
      <w:r>
        <w:t>147 GC IV, and other acts contrary to the provisions of the Conventions. Whilst the violations of all rules contained in the Geneva Conventions</w:t>
      </w:r>
      <w:r w:rsidR="00876758">
        <w:t xml:space="preserve"> </w:t>
      </w:r>
      <w:r>
        <w:t>entail state responsibility, only violations of those rules that are considered as grave breaches entail criminal responsibility.</w:t>
      </w:r>
      <w:r w:rsidR="002F6BED">
        <w:t xml:space="preserve"> Further</w:t>
      </w:r>
      <w:r w:rsidR="009F58C9">
        <w:t>more,</w:t>
      </w:r>
      <w:r w:rsidR="002F6BED">
        <w:t xml:space="preserve"> </w:t>
      </w:r>
      <w:r w:rsidR="009F58C9">
        <w:t xml:space="preserve">different </w:t>
      </w:r>
      <w:r w:rsidR="002B71AA">
        <w:t>international criminal tribunals</w:t>
      </w:r>
      <w:r w:rsidR="009F58C9">
        <w:t>,</w:t>
      </w:r>
      <w:r w:rsidR="002B71AA">
        <w:t xml:space="preserve"> as well as </w:t>
      </w:r>
      <w:r w:rsidR="009F58C9">
        <w:t>the Statute of the ICC,</w:t>
      </w:r>
      <w:r w:rsidR="002B71AA">
        <w:t xml:space="preserve"> provide for the criminalisation of certain acts </w:t>
      </w:r>
      <w:r w:rsidR="002F6BED">
        <w:t>prohibited in the G</w:t>
      </w:r>
      <w:r w:rsidR="00876758">
        <w:t xml:space="preserve">eneva </w:t>
      </w:r>
      <w:r w:rsidR="002F6BED">
        <w:t>C</w:t>
      </w:r>
      <w:r w:rsidR="00876758">
        <w:t>onvention</w:t>
      </w:r>
      <w:r w:rsidR="002F6BED">
        <w:t>s.</w:t>
      </w:r>
    </w:p>
    <w:p w14:paraId="65132633" w14:textId="77777777" w:rsidR="00B40664" w:rsidRDefault="00B40664" w:rsidP="00AB5082">
      <w:pPr>
        <w:spacing w:after="120" w:line="360" w:lineRule="auto"/>
      </w:pPr>
    </w:p>
    <w:p w14:paraId="2AAD5F7A" w14:textId="0CE18E36" w:rsidR="005132B5" w:rsidRDefault="00B40664" w:rsidP="0051540B">
      <w:pPr>
        <w:pStyle w:val="Heading2"/>
        <w:numPr>
          <w:ilvl w:val="0"/>
          <w:numId w:val="27"/>
        </w:numPr>
        <w:spacing w:after="120"/>
      </w:pPr>
      <w:r>
        <w:t xml:space="preserve">State </w:t>
      </w:r>
      <w:r w:rsidR="00EF1EC8">
        <w:t>responsibility</w:t>
      </w:r>
    </w:p>
    <w:p w14:paraId="583482D7" w14:textId="77777777" w:rsidR="00B40664" w:rsidRDefault="00B40664" w:rsidP="00AB5082">
      <w:pPr>
        <w:spacing w:after="120" w:line="360" w:lineRule="auto"/>
      </w:pPr>
    </w:p>
    <w:p w14:paraId="718C62CB" w14:textId="755E81E3" w:rsidR="002965B9" w:rsidRDefault="00B40664" w:rsidP="00AB5082">
      <w:pPr>
        <w:numPr>
          <w:ilvl w:val="0"/>
          <w:numId w:val="13"/>
        </w:numPr>
        <w:spacing w:after="120" w:line="360" w:lineRule="auto"/>
      </w:pPr>
      <w:r>
        <w:t xml:space="preserve">If the armed forces of a state violate any of the provisions discussed </w:t>
      </w:r>
      <w:r w:rsidRPr="007B0CBE">
        <w:t xml:space="preserve">in </w:t>
      </w:r>
      <w:r w:rsidR="002965B9" w:rsidRPr="007B0CBE">
        <w:t>s</w:t>
      </w:r>
      <w:r w:rsidRPr="007B0CBE">
        <w:t>ection B</w:t>
      </w:r>
      <w:r w:rsidR="002965B9" w:rsidRPr="007B0CBE">
        <w:t>.</w:t>
      </w:r>
      <w:r w:rsidR="002965B9">
        <w:t xml:space="preserve"> above,</w:t>
      </w:r>
      <w:r>
        <w:t xml:space="preserve"> the state incurs responsibility for their acts.</w:t>
      </w:r>
      <w:r>
        <w:rPr>
          <w:rStyle w:val="FootnoteReference"/>
        </w:rPr>
        <w:footnoteReference w:id="117"/>
      </w:r>
      <w:r>
        <w:t xml:space="preserve"> U</w:t>
      </w:r>
      <w:r w:rsidR="002965B9">
        <w:t xml:space="preserve">nited </w:t>
      </w:r>
      <w:r>
        <w:t>N</w:t>
      </w:r>
      <w:r w:rsidR="002965B9">
        <w:t>ations</w:t>
      </w:r>
      <w:r>
        <w:t xml:space="preserve"> bodies have in past decades taken a lead role in reminding states of their obligations towards women in armed conflict,</w:t>
      </w:r>
      <w:r w:rsidRPr="004A3739">
        <w:rPr>
          <w:rStyle w:val="FootnoteReference"/>
          <w:shd w:val="clear" w:color="auto" w:fill="FBFAF6"/>
        </w:rPr>
        <w:footnoteReference w:id="118"/>
      </w:r>
      <w:r>
        <w:t xml:space="preserve"> and </w:t>
      </w:r>
      <w:r w:rsidR="002965B9">
        <w:t xml:space="preserve">in </w:t>
      </w:r>
      <w:r>
        <w:t>condemning, violence, especially sexual violence against women.</w:t>
      </w:r>
      <w:r>
        <w:rPr>
          <w:rStyle w:val="FootnoteReference"/>
        </w:rPr>
        <w:footnoteReference w:id="119"/>
      </w:r>
      <w:r>
        <w:t xml:space="preserve"> The first legal consequence of the violation of international legal treaty obligations is the duty to cease the act</w:t>
      </w:r>
      <w:r w:rsidR="002965B9">
        <w:t>,</w:t>
      </w:r>
      <w:r>
        <w:t xml:space="preserve"> and </w:t>
      </w:r>
      <w:r w:rsidR="002965B9">
        <w:t xml:space="preserve">to </w:t>
      </w:r>
      <w:r>
        <w:t>offer appropriate assurances and guarantees of non-repetition. In relation to gender-based violence in armed conflict, the Security Council has ‘</w:t>
      </w:r>
      <w:r w:rsidRPr="00DD59DE">
        <w:rPr>
          <w:i/>
        </w:rPr>
        <w:t>demand[</w:t>
      </w:r>
      <w:proofErr w:type="spellStart"/>
      <w:r w:rsidRPr="00DD59DE">
        <w:rPr>
          <w:i/>
        </w:rPr>
        <w:t>ed</w:t>
      </w:r>
      <w:proofErr w:type="spellEnd"/>
      <w:r w:rsidRPr="00DD59DE">
        <w:rPr>
          <w:i/>
        </w:rPr>
        <w:t>]</w:t>
      </w:r>
      <w:r>
        <w:t xml:space="preserve"> that all parties put an end to such practices’</w:t>
      </w:r>
      <w:r w:rsidR="002965B9">
        <w:t>.</w:t>
      </w:r>
      <w:r>
        <w:rPr>
          <w:rStyle w:val="FootnoteReference"/>
        </w:rPr>
        <w:footnoteReference w:id="120"/>
      </w:r>
    </w:p>
    <w:p w14:paraId="31B70D25" w14:textId="0868D95A" w:rsidR="00B40664" w:rsidRDefault="00B40664" w:rsidP="00AB5082">
      <w:pPr>
        <w:numPr>
          <w:ilvl w:val="0"/>
          <w:numId w:val="13"/>
        </w:numPr>
        <w:spacing w:after="120" w:line="360" w:lineRule="auto"/>
      </w:pPr>
      <w:r>
        <w:t xml:space="preserve"> The second legal consequence is to offer reparation for violations of IHL.</w:t>
      </w:r>
      <w:r>
        <w:rPr>
          <w:rStyle w:val="FootnoteReference"/>
        </w:rPr>
        <w:footnoteReference w:id="121"/>
      </w:r>
      <w:r>
        <w:t xml:space="preserve"> However, under the classic law of state responsibility, compensation is not offered to individuals but to the state. A rare example of compensation </w:t>
      </w:r>
      <w:r w:rsidR="002965B9">
        <w:t xml:space="preserve">being </w:t>
      </w:r>
      <w:r>
        <w:t xml:space="preserve">directly awarded to </w:t>
      </w:r>
      <w:r>
        <w:lastRenderedPageBreak/>
        <w:t xml:space="preserve">women having suffered sexual assault is </w:t>
      </w:r>
      <w:r w:rsidR="000C2962">
        <w:t xml:space="preserve">the awards made by </w:t>
      </w:r>
      <w:r>
        <w:t>the United Nations Compensation Commission</w:t>
      </w:r>
      <w:r w:rsidR="004000A8">
        <w:t>,</w:t>
      </w:r>
      <w:r>
        <w:t xml:space="preserve"> established by the Security Council to deal with claims arising from the Gulf conflict of 1990</w:t>
      </w:r>
      <w:r w:rsidR="002965B9">
        <w:t>–</w:t>
      </w:r>
      <w:r>
        <w:t>91.</w:t>
      </w:r>
      <w:r>
        <w:rPr>
          <w:rStyle w:val="FootnoteReference"/>
        </w:rPr>
        <w:footnoteReference w:id="122"/>
      </w:r>
      <w:r>
        <w:t xml:space="preserve"> The Basic Principles and Guidelines on the Right to a Remedy and Reparation for Victims of Gross Violations of International Human Rights Law and Serious Violations of International Humanitarian Law explain that states are to adopt a range of reparation measures,</w:t>
      </w:r>
      <w:r>
        <w:rPr>
          <w:rStyle w:val="FootnoteReference"/>
        </w:rPr>
        <w:footnoteReference w:id="123"/>
      </w:r>
      <w:r>
        <w:t xml:space="preserve"> and that a victim’s right to a remedy cannot be discriminatory towards women.</w:t>
      </w:r>
      <w:r>
        <w:rPr>
          <w:rStyle w:val="FootnoteReference"/>
        </w:rPr>
        <w:footnoteReference w:id="124"/>
      </w:r>
      <w:r>
        <w:t xml:space="preserve"> The Declaration on the Elimination of Violence against Women,</w:t>
      </w:r>
      <w:r>
        <w:rPr>
          <w:rStyle w:val="FootnoteReference"/>
        </w:rPr>
        <w:footnoteReference w:id="125"/>
      </w:r>
      <w:r>
        <w:t xml:space="preserve"> the Inter-American Convention on the Prevention, Punishment and Eradication of Violence against Women,</w:t>
      </w:r>
      <w:r>
        <w:rPr>
          <w:rStyle w:val="FootnoteReference"/>
        </w:rPr>
        <w:footnoteReference w:id="126"/>
      </w:r>
      <w:r>
        <w:t xml:space="preserve"> the Protocol of the African Charter on Human and Peoples’ Rights on the Rights of Women in Africa,</w:t>
      </w:r>
      <w:r>
        <w:rPr>
          <w:rStyle w:val="FootnoteReference"/>
        </w:rPr>
        <w:footnoteReference w:id="127"/>
      </w:r>
      <w:r>
        <w:t xml:space="preserve"> </w:t>
      </w:r>
      <w:r w:rsidR="004000A8">
        <w:t xml:space="preserve">and </w:t>
      </w:r>
      <w:r>
        <w:t>the Council of Europe Convention on Preventing and Combating Violence Against Women and Domestic Violence</w:t>
      </w:r>
      <w:r w:rsidR="004000A8">
        <w:t>,</w:t>
      </w:r>
      <w:r>
        <w:rPr>
          <w:rStyle w:val="FootnoteReference"/>
        </w:rPr>
        <w:footnoteReference w:id="128"/>
      </w:r>
      <w:r>
        <w:t xml:space="preserve"> </w:t>
      </w:r>
      <w:r w:rsidR="004000A8">
        <w:t xml:space="preserve">all </w:t>
      </w:r>
      <w:r>
        <w:t xml:space="preserve">expressly grant women access to reparations. The Special Rapporteur on Violence against Women has noted that ‘[t]here are signs that the traditional neglect of women in the reparations domain </w:t>
      </w:r>
      <w:r w:rsidR="00A94E69">
        <w:t>[</w:t>
      </w:r>
      <w:r>
        <w:t>…</w:t>
      </w:r>
      <w:r w:rsidR="00A94E69">
        <w:t>]</w:t>
      </w:r>
      <w:r>
        <w:t xml:space="preserve"> is ending’</w:t>
      </w:r>
      <w:r w:rsidR="004000A8">
        <w:t>.</w:t>
      </w:r>
      <w:r>
        <w:rPr>
          <w:rStyle w:val="FootnoteReference"/>
        </w:rPr>
        <w:footnoteReference w:id="129"/>
      </w:r>
    </w:p>
    <w:p w14:paraId="5680009C" w14:textId="77777777" w:rsidR="00B40664" w:rsidRDefault="00B40664" w:rsidP="00AB5082">
      <w:pPr>
        <w:spacing w:after="120" w:line="360" w:lineRule="auto"/>
      </w:pPr>
    </w:p>
    <w:p w14:paraId="4193AEB4" w14:textId="2B8145E2" w:rsidR="00B40664" w:rsidRDefault="00B40664" w:rsidP="00AB5082">
      <w:pPr>
        <w:numPr>
          <w:ilvl w:val="0"/>
          <w:numId w:val="13"/>
        </w:numPr>
        <w:spacing w:after="120" w:line="360" w:lineRule="auto"/>
      </w:pPr>
      <w:r>
        <w:t>The Geneva Conventions are peculiar inasmuch as they compel states to penalize a number of violations of the treaties.</w:t>
      </w:r>
      <w:r>
        <w:rPr>
          <w:rStyle w:val="FootnoteReference"/>
        </w:rPr>
        <w:footnoteReference w:id="130"/>
      </w:r>
      <w:r>
        <w:t xml:space="preserve"> The Security Council has reiterated states’ obligations to prosecute those responsible for war crimes perpetrated against civilians</w:t>
      </w:r>
      <w:r w:rsidR="00FB75D6">
        <w:t>,</w:t>
      </w:r>
      <w:r>
        <w:t xml:space="preserve"> and more particularly perpetrators of sexual violence.</w:t>
      </w:r>
      <w:r>
        <w:rPr>
          <w:rStyle w:val="FootnoteReference"/>
        </w:rPr>
        <w:footnoteReference w:id="131"/>
      </w:r>
      <w:r>
        <w:t xml:space="preserve"> Moreover</w:t>
      </w:r>
      <w:r w:rsidR="00FB75D6">
        <w:t>,</w:t>
      </w:r>
      <w:r>
        <w:t xml:space="preserve"> states are obliged, </w:t>
      </w:r>
      <w:r>
        <w:lastRenderedPageBreak/>
        <w:t>if requested by another state or an international criminal tribunal, to surrender alleged war criminals.</w:t>
      </w:r>
    </w:p>
    <w:p w14:paraId="374ED95C" w14:textId="777B4E7D" w:rsidR="00B40664" w:rsidRDefault="00B40664" w:rsidP="00AB5082">
      <w:pPr>
        <w:numPr>
          <w:ilvl w:val="0"/>
          <w:numId w:val="13"/>
        </w:numPr>
        <w:spacing w:after="120" w:line="360" w:lineRule="auto"/>
      </w:pPr>
      <w:r>
        <w:t>Further, under the principle of due diligence, states are obliged to train troops to abide by the Geneva Conventions, put domestic measures into place to investigate alleged violations of the Conventions</w:t>
      </w:r>
      <w:r w:rsidR="00FB75D6">
        <w:t>,</w:t>
      </w:r>
      <w:r>
        <w:t xml:space="preserve"> and provide redress for individuals. These obligations to prevent, investigate, protect, prosecute, redress, adequately punish</w:t>
      </w:r>
      <w:r w:rsidR="00FB75D6">
        <w:t>,</w:t>
      </w:r>
      <w:r>
        <w:t xml:space="preserve"> and compensate for wrongs committed by the state and its agents through the principle of due diligence, are of particular relevance to women</w:t>
      </w:r>
      <w:r>
        <w:rPr>
          <w:rStyle w:val="FootnoteReference"/>
        </w:rPr>
        <w:footnoteReference w:id="132"/>
      </w:r>
      <w:r>
        <w:t xml:space="preserve"> as they obligate the state ‘not merely to protect against violence, but rather to eliminate its “causes”</w:t>
      </w:r>
      <w:r w:rsidR="00FB75D6">
        <w:t>—</w:t>
      </w:r>
      <w:r>
        <w:t>that is, gender discrimination at structural, ideological and operational levels’.</w:t>
      </w:r>
      <w:r>
        <w:rPr>
          <w:rStyle w:val="FootnoteReference"/>
        </w:rPr>
        <w:footnoteReference w:id="133"/>
      </w:r>
      <w:r>
        <w:t xml:space="preserve"> However, such a wide interpretation cannot be given to the provisions </w:t>
      </w:r>
      <w:r w:rsidR="00FB75D6">
        <w:t xml:space="preserve">of the Geneva Conventions </w:t>
      </w:r>
      <w:r>
        <w:t>themselves</w:t>
      </w:r>
      <w:r w:rsidR="00FB75D6">
        <w:t>,</w:t>
      </w:r>
      <w:r>
        <w:t xml:space="preserve"> as they aim at protecting women from the effects of armed conflict and not at eliminating discrimination. </w:t>
      </w:r>
    </w:p>
    <w:p w14:paraId="66F55EB5" w14:textId="507F168F" w:rsidR="00B40664" w:rsidRDefault="00B40664" w:rsidP="00AB5082">
      <w:pPr>
        <w:numPr>
          <w:ilvl w:val="0"/>
          <w:numId w:val="13"/>
        </w:numPr>
        <w:spacing w:after="120" w:line="360" w:lineRule="auto"/>
      </w:pPr>
      <w:r>
        <w:t>Human rights instruments, which offer complaint mechanisms that are more accessible to individuals alleging violation of a human right, have been used to deal with violations of the aforementioned rules. Most claims made to these bodies tend to focus on sexual violence.</w:t>
      </w:r>
      <w:r>
        <w:rPr>
          <w:rStyle w:val="FootnoteReference"/>
        </w:rPr>
        <w:footnoteReference w:id="134"/>
      </w:r>
      <w:r>
        <w:t xml:space="preserve"> Rape and sexual violence violate the prohibition on torture and cruel, inhuman</w:t>
      </w:r>
      <w:r w:rsidR="00FB75D6">
        <w:t>,</w:t>
      </w:r>
      <w:r>
        <w:t xml:space="preserve"> or degrading treatment,</w:t>
      </w:r>
      <w:r>
        <w:rPr>
          <w:rStyle w:val="FootnoteReference"/>
        </w:rPr>
        <w:footnoteReference w:id="135"/>
      </w:r>
      <w:r>
        <w:t xml:space="preserve"> and also impair other human rights</w:t>
      </w:r>
      <w:r w:rsidR="00FB75D6">
        <w:t>,</w:t>
      </w:r>
      <w:r>
        <w:t xml:space="preserve"> including the right to the highest attainable standard of physical and mental health under the ICESCR. </w:t>
      </w:r>
    </w:p>
    <w:p w14:paraId="6E3F401C" w14:textId="77777777" w:rsidR="00B40664" w:rsidRDefault="00B40664" w:rsidP="00AB5082">
      <w:pPr>
        <w:spacing w:after="120" w:line="360" w:lineRule="auto"/>
      </w:pPr>
    </w:p>
    <w:p w14:paraId="0B8B63C4" w14:textId="36913D3F" w:rsidR="005132B5" w:rsidRPr="00105C35" w:rsidRDefault="00B40664" w:rsidP="0051540B">
      <w:pPr>
        <w:pStyle w:val="Heading2"/>
        <w:spacing w:after="120"/>
      </w:pPr>
      <w:r w:rsidRPr="00105C35">
        <w:t xml:space="preserve">Criminal </w:t>
      </w:r>
      <w:r w:rsidR="00EF1EC8" w:rsidRPr="00105C35">
        <w:t>responsibility</w:t>
      </w:r>
    </w:p>
    <w:p w14:paraId="7D7F17C3" w14:textId="77777777" w:rsidR="00B40664" w:rsidRDefault="00B40664" w:rsidP="00AB5082">
      <w:pPr>
        <w:spacing w:after="120" w:line="360" w:lineRule="auto"/>
        <w:ind w:left="1788"/>
      </w:pPr>
    </w:p>
    <w:p w14:paraId="43406016" w14:textId="497161FA" w:rsidR="00FF513E" w:rsidRDefault="00B40664" w:rsidP="00105C35">
      <w:pPr>
        <w:numPr>
          <w:ilvl w:val="0"/>
          <w:numId w:val="13"/>
        </w:numPr>
        <w:spacing w:after="120" w:line="360" w:lineRule="auto"/>
      </w:pPr>
      <w:r>
        <w:t xml:space="preserve">Although there is no explicit reference to acts against women in the list of grave breaches in the Geneva Conventions, some of the acts enumerated in the relevant </w:t>
      </w:r>
      <w:r w:rsidR="00105C35">
        <w:t>A</w:t>
      </w:r>
      <w:r>
        <w:t xml:space="preserve">rticles </w:t>
      </w:r>
      <w:r w:rsidR="00105C35">
        <w:t>may</w:t>
      </w:r>
      <w:r>
        <w:t xml:space="preserve"> be interpreted so as to cover violence against women. This is particularly important inasmuch as acts that fall within the </w:t>
      </w:r>
      <w:r w:rsidR="00105C35">
        <w:t>definition</w:t>
      </w:r>
      <w:r>
        <w:t xml:space="preserve"> of a grave breach must be </w:t>
      </w:r>
      <w:r>
        <w:lastRenderedPageBreak/>
        <w:t>criminalized in national law</w:t>
      </w:r>
      <w:r w:rsidR="00105C35">
        <w:t>,</w:t>
      </w:r>
      <w:r w:rsidR="00421DDE">
        <w:t xml:space="preserve"> and alleged culprits must be brought to justice in accordance </w:t>
      </w:r>
      <w:r w:rsidR="00105C35">
        <w:t>with</w:t>
      </w:r>
      <w:r w:rsidR="00421DDE">
        <w:t xml:space="preserve"> the grave breaches system of repression</w:t>
      </w:r>
      <w:r>
        <w:t xml:space="preserve">. Only acts of sexual violence, including rape and enforced prostitution, are </w:t>
      </w:r>
      <w:r w:rsidR="00421DDE">
        <w:t xml:space="preserve">indirectly </w:t>
      </w:r>
      <w:r>
        <w:t>covered by the grave breaches provisions</w:t>
      </w:r>
      <w:r w:rsidR="00E22FC8">
        <w:rPr>
          <w:rStyle w:val="FootnoteReference"/>
        </w:rPr>
        <w:footnoteReference w:id="136"/>
      </w:r>
      <w:r>
        <w:t xml:space="preserve"> </w:t>
      </w:r>
      <w:r w:rsidR="00FF513E">
        <w:t xml:space="preserve">and </w:t>
      </w:r>
      <w:r w:rsidR="00693FEE">
        <w:t xml:space="preserve">are </w:t>
      </w:r>
      <w:r w:rsidR="00FF513E">
        <w:t>now widely viewed as war crimes under customary international law</w:t>
      </w:r>
      <w:r w:rsidR="00E22FC8">
        <w:t xml:space="preserve"> (see </w:t>
      </w:r>
      <w:r w:rsidR="00DF65FC" w:rsidRPr="00933114">
        <w:t>Chapter 17</w:t>
      </w:r>
      <w:r w:rsidR="00933114">
        <w:t>, D.I.)</w:t>
      </w:r>
      <w:r w:rsidR="00933114" w:rsidRPr="00933114">
        <w:t>.</w:t>
      </w:r>
      <w:r w:rsidR="00933114">
        <w:t xml:space="preserve"> </w:t>
      </w:r>
    </w:p>
    <w:p w14:paraId="495B34E8" w14:textId="7FD46F1A" w:rsidR="00485A6C" w:rsidRDefault="00B40664" w:rsidP="008B0585">
      <w:pPr>
        <w:numPr>
          <w:ilvl w:val="0"/>
          <w:numId w:val="13"/>
        </w:numPr>
        <w:spacing w:after="120" w:line="360" w:lineRule="auto"/>
      </w:pPr>
      <w:r>
        <w:t xml:space="preserve">Other violations of the protection to which women are entitled in armed conflict are not explicitly </w:t>
      </w:r>
      <w:r w:rsidR="00CD1859">
        <w:t xml:space="preserve">referred </w:t>
      </w:r>
      <w:r w:rsidR="00105C35">
        <w:t xml:space="preserve">to </w:t>
      </w:r>
      <w:r w:rsidR="00CD1859">
        <w:t xml:space="preserve">by </w:t>
      </w:r>
      <w:r>
        <w:t xml:space="preserve">the Geneva Conventions </w:t>
      </w:r>
      <w:r w:rsidR="00CD1859">
        <w:t>as offences to be criminalized under national law</w:t>
      </w:r>
      <w:r w:rsidR="00105C35">
        <w:t>,</w:t>
      </w:r>
      <w:r w:rsidR="008B1DAA">
        <w:t xml:space="preserve"> and do not fall in</w:t>
      </w:r>
      <w:r w:rsidR="00105C35">
        <w:t>to</w:t>
      </w:r>
      <w:r w:rsidR="008B1DAA">
        <w:t xml:space="preserve"> any of the categories mentioned in the grave breaches provisions</w:t>
      </w:r>
      <w:r w:rsidR="00FF513E">
        <w:t>. However some acts</w:t>
      </w:r>
      <w:r w:rsidR="008B1DAA">
        <w:t>,</w:t>
      </w:r>
      <w:r w:rsidR="00FF513E">
        <w:t xml:space="preserve"> </w:t>
      </w:r>
      <w:r w:rsidR="008B1DAA">
        <w:t>such as outrages upon personal dignity</w:t>
      </w:r>
      <w:r w:rsidR="00485A6C">
        <w:t xml:space="preserve"> (not </w:t>
      </w:r>
      <w:r w:rsidR="009F1458">
        <w:t xml:space="preserve">all </w:t>
      </w:r>
      <w:r w:rsidR="00485A6C">
        <w:t>rising to the level of inhuman treatment)</w:t>
      </w:r>
      <w:r w:rsidR="008B1DAA">
        <w:t xml:space="preserve">, are now </w:t>
      </w:r>
      <w:r w:rsidR="009F58C9">
        <w:t xml:space="preserve">seen as </w:t>
      </w:r>
      <w:r w:rsidR="00FF513E">
        <w:t>constitut</w:t>
      </w:r>
      <w:r w:rsidR="009F58C9">
        <w:t>ing</w:t>
      </w:r>
      <w:r w:rsidR="008B1DAA">
        <w:t xml:space="preserve"> serious violations of IHL </w:t>
      </w:r>
      <w:r w:rsidR="00FF513E">
        <w:t xml:space="preserve">and are thus </w:t>
      </w:r>
      <w:r w:rsidR="008B1DAA">
        <w:t xml:space="preserve">defined as </w:t>
      </w:r>
      <w:r w:rsidR="00FF513E">
        <w:t>war crimes</w:t>
      </w:r>
      <w:r w:rsidR="008B1DAA">
        <w:t xml:space="preserve"> (under, for example, Art</w:t>
      </w:r>
      <w:r w:rsidR="00E22FC8">
        <w:t>i</w:t>
      </w:r>
      <w:r w:rsidR="008B1DAA">
        <w:t>cle 8</w:t>
      </w:r>
      <w:r w:rsidR="009F58C9">
        <w:t>(2</w:t>
      </w:r>
      <w:proofErr w:type="gramStart"/>
      <w:r w:rsidR="009F58C9">
        <w:t>)</w:t>
      </w:r>
      <w:r w:rsidR="008B1DAA">
        <w:t>(</w:t>
      </w:r>
      <w:proofErr w:type="gramEnd"/>
      <w:r w:rsidR="008B1DAA">
        <w:t>b)(xxi) ICC Statute)</w:t>
      </w:r>
      <w:r w:rsidR="00FF513E">
        <w:t xml:space="preserve">. </w:t>
      </w:r>
      <w:r w:rsidR="008B1DAA">
        <w:t>That being said, a range of other violations of the G</w:t>
      </w:r>
      <w:r w:rsidR="00105C35">
        <w:t xml:space="preserve">eneva </w:t>
      </w:r>
      <w:r w:rsidR="008B1DAA">
        <w:t>C</w:t>
      </w:r>
      <w:r w:rsidR="00105C35">
        <w:t>onvention</w:t>
      </w:r>
      <w:r w:rsidR="008B1DAA">
        <w:t>s (e.g.</w:t>
      </w:r>
      <w:r w:rsidR="00105C35">
        <w:t>,</w:t>
      </w:r>
      <w:r w:rsidR="008B1DAA">
        <w:t xml:space="preserve"> denying free passage to maternity cases</w:t>
      </w:r>
      <w:r w:rsidR="00105C35">
        <w:t>,</w:t>
      </w:r>
      <w:r w:rsidR="00391643">
        <w:t xml:space="preserve"> or failing to provide sanitary conveniences separate from </w:t>
      </w:r>
      <w:r w:rsidR="00105C35">
        <w:t xml:space="preserve">those provided to </w:t>
      </w:r>
      <w:r w:rsidR="00391643">
        <w:t>men</w:t>
      </w:r>
      <w:r w:rsidR="008B1DAA">
        <w:t xml:space="preserve">) fail to meet the </w:t>
      </w:r>
      <w:proofErr w:type="spellStart"/>
      <w:r w:rsidR="008B1DAA" w:rsidRPr="00485A6C">
        <w:rPr>
          <w:i/>
        </w:rPr>
        <w:t>Tadi</w:t>
      </w:r>
      <w:r w:rsidR="009F58C9">
        <w:rPr>
          <w:i/>
        </w:rPr>
        <w:t>ć</w:t>
      </w:r>
      <w:proofErr w:type="spellEnd"/>
      <w:r w:rsidR="008B1DAA">
        <w:t xml:space="preserve"> requirements</w:t>
      </w:r>
      <w:r w:rsidR="00105C35">
        <w:t>,</w:t>
      </w:r>
      <w:r w:rsidR="00E22FC8">
        <w:rPr>
          <w:rStyle w:val="FootnoteReference"/>
        </w:rPr>
        <w:footnoteReference w:id="137"/>
      </w:r>
      <w:r w:rsidR="008B1DAA">
        <w:t xml:space="preserve"> and cannot thus be considered as war crimes under customary international law. </w:t>
      </w:r>
      <w:r>
        <w:t>Still, states are allowed, should they</w:t>
      </w:r>
      <w:r w:rsidR="00105C35" w:rsidRPr="00105C35">
        <w:t xml:space="preserve"> </w:t>
      </w:r>
      <w:r w:rsidR="00105C35">
        <w:t>so</w:t>
      </w:r>
      <w:r>
        <w:t xml:space="preserve"> wish, to criminalize </w:t>
      </w:r>
      <w:r w:rsidR="00CD1859">
        <w:t xml:space="preserve">under national law </w:t>
      </w:r>
      <w:r>
        <w:t>violations of IHL that are not listed in the grave breaches provisions of the Geneva Conventions or as war crimes in the ICC Statute.</w:t>
      </w:r>
      <w:r w:rsidR="008B1DAA">
        <w:rPr>
          <w:rStyle w:val="FootnoteReference"/>
        </w:rPr>
        <w:footnoteReference w:id="138"/>
      </w:r>
      <w:r>
        <w:t xml:space="preserve"> </w:t>
      </w:r>
    </w:p>
    <w:p w14:paraId="4B0975E8" w14:textId="7213793C" w:rsidR="00485A6C" w:rsidRDefault="008B0585" w:rsidP="00AB5082">
      <w:pPr>
        <w:numPr>
          <w:ilvl w:val="0"/>
          <w:numId w:val="13"/>
        </w:numPr>
        <w:spacing w:after="120" w:line="360" w:lineRule="auto"/>
      </w:pPr>
      <w:r>
        <w:t>S</w:t>
      </w:r>
      <w:r w:rsidR="009F1458">
        <w:t xml:space="preserve">exual violence is also a </w:t>
      </w:r>
      <w:r w:rsidR="00485A6C">
        <w:t>serious violation of IHL</w:t>
      </w:r>
      <w:r w:rsidRPr="008B0585">
        <w:t xml:space="preserve"> </w:t>
      </w:r>
      <w:r>
        <w:t>in NIAC,</w:t>
      </w:r>
      <w:r w:rsidR="00485A6C">
        <w:t xml:space="preserve"> </w:t>
      </w:r>
      <w:r w:rsidR="009F1458">
        <w:t xml:space="preserve">as the crime </w:t>
      </w:r>
      <w:r w:rsidR="00485A6C">
        <w:t>can</w:t>
      </w:r>
      <w:r w:rsidR="009F1458">
        <w:t xml:space="preserve"> </w:t>
      </w:r>
      <w:r w:rsidR="00485A6C">
        <w:t xml:space="preserve">be subsumed </w:t>
      </w:r>
      <w:r w:rsidR="009F1458">
        <w:t>under Article 8</w:t>
      </w:r>
      <w:r w:rsidR="009F58C9">
        <w:t>(</w:t>
      </w:r>
      <w:r w:rsidR="009F1458">
        <w:t>2</w:t>
      </w:r>
      <w:proofErr w:type="gramStart"/>
      <w:r w:rsidR="009F58C9">
        <w:t>)</w:t>
      </w:r>
      <w:r w:rsidR="009F1458">
        <w:t>(</w:t>
      </w:r>
      <w:proofErr w:type="gramEnd"/>
      <w:r w:rsidR="009F1458">
        <w:t>c)(</w:t>
      </w:r>
      <w:proofErr w:type="spellStart"/>
      <w:r w:rsidR="009F1458">
        <w:t>i</w:t>
      </w:r>
      <w:proofErr w:type="spellEnd"/>
      <w:r w:rsidR="009F1458">
        <w:t>) and (ii) ICC Statute. Further, rape and acts of a similar nature are specifically referred to in Article 8</w:t>
      </w:r>
      <w:r w:rsidR="009F58C9">
        <w:t>(</w:t>
      </w:r>
      <w:r w:rsidR="009F1458">
        <w:t>2</w:t>
      </w:r>
      <w:proofErr w:type="gramStart"/>
      <w:r w:rsidR="009F58C9">
        <w:t>)</w:t>
      </w:r>
      <w:r w:rsidR="009F1458">
        <w:t>(</w:t>
      </w:r>
      <w:proofErr w:type="gramEnd"/>
      <w:r w:rsidR="009F1458">
        <w:t>vi) ICC Statute</w:t>
      </w:r>
      <w:r>
        <w:t>,</w:t>
      </w:r>
      <w:r w:rsidR="009F1458">
        <w:t xml:space="preserve"> and </w:t>
      </w:r>
      <w:r>
        <w:t xml:space="preserve">are </w:t>
      </w:r>
      <w:r w:rsidR="009F1458">
        <w:t xml:space="preserve">listed as serious violations of IHL in Rule 156 </w:t>
      </w:r>
      <w:r w:rsidR="00247349">
        <w:t xml:space="preserve">in the </w:t>
      </w:r>
      <w:r w:rsidR="009F1458">
        <w:t xml:space="preserve">ICRC CIHL Study. </w:t>
      </w:r>
      <w:r w:rsidR="00485A6C">
        <w:t xml:space="preserve"> </w:t>
      </w:r>
    </w:p>
    <w:p w14:paraId="44FD2604" w14:textId="77777777" w:rsidR="00B40664" w:rsidRDefault="00B40664" w:rsidP="00AB5082">
      <w:pPr>
        <w:spacing w:after="120" w:line="360" w:lineRule="auto"/>
      </w:pPr>
    </w:p>
    <w:p w14:paraId="3EA82E09" w14:textId="52D6B37F" w:rsidR="005132B5" w:rsidRDefault="00B40664" w:rsidP="0051540B">
      <w:pPr>
        <w:pStyle w:val="Heading2"/>
        <w:spacing w:after="120"/>
      </w:pPr>
      <w:r>
        <w:t xml:space="preserve">The </w:t>
      </w:r>
      <w:r w:rsidR="00EF1EC8">
        <w:t xml:space="preserve">Security </w:t>
      </w:r>
      <w:r>
        <w:t>Council</w:t>
      </w:r>
    </w:p>
    <w:p w14:paraId="54FAED27" w14:textId="77777777" w:rsidR="00B40664" w:rsidRDefault="00B40664" w:rsidP="00AB5082">
      <w:pPr>
        <w:spacing w:after="120" w:line="360" w:lineRule="auto"/>
        <w:ind w:left="720"/>
      </w:pPr>
    </w:p>
    <w:p w14:paraId="3968E1DC" w14:textId="135555FC" w:rsidR="00B40664" w:rsidRDefault="00B40664" w:rsidP="00AB5082">
      <w:pPr>
        <w:numPr>
          <w:ilvl w:val="0"/>
          <w:numId w:val="13"/>
        </w:numPr>
        <w:spacing w:after="120" w:line="360" w:lineRule="auto"/>
      </w:pPr>
      <w:r>
        <w:t xml:space="preserve">The Security Council has also acted </w:t>
      </w:r>
      <w:r w:rsidR="00CD1859">
        <w:t>to facilitate respect for and enforcement of</w:t>
      </w:r>
      <w:r w:rsidR="00F000F1">
        <w:t xml:space="preserve"> </w:t>
      </w:r>
      <w:r>
        <w:t>the IHL rules relating to women in a number of ways. First, the Security Council has condemned sexual violence when used as a tactic of war to target civilians</w:t>
      </w:r>
      <w:r w:rsidR="008B0585" w:rsidRPr="008B0585">
        <w:t xml:space="preserve"> </w:t>
      </w:r>
      <w:r w:rsidR="008B0585">
        <w:t>deliberately</w:t>
      </w:r>
      <w:r>
        <w:t xml:space="preserve">, or as part of a widespread or systematic attack against civilian </w:t>
      </w:r>
      <w:r>
        <w:lastRenderedPageBreak/>
        <w:t>population</w:t>
      </w:r>
      <w:r w:rsidR="008B0585">
        <w:t>s</w:t>
      </w:r>
      <w:r>
        <w:t>.</w:t>
      </w:r>
      <w:r>
        <w:rPr>
          <w:rStyle w:val="FootnoteReference"/>
        </w:rPr>
        <w:footnoteReference w:id="139"/>
      </w:r>
      <w:r>
        <w:t xml:space="preserve"> Second</w:t>
      </w:r>
      <w:r w:rsidR="008B0585">
        <w:t>ly</w:t>
      </w:r>
      <w:r>
        <w:t>, pursuant to Article 13(b)</w:t>
      </w:r>
      <w:r w:rsidR="008B0585">
        <w:t xml:space="preserve"> of the</w:t>
      </w:r>
      <w:r>
        <w:t xml:space="preserve"> ICC Statute, the </w:t>
      </w:r>
      <w:r w:rsidR="009F58C9">
        <w:t xml:space="preserve">Security Council </w:t>
      </w:r>
      <w:r w:rsidR="008B0585">
        <w:t>is able to</w:t>
      </w:r>
      <w:r>
        <w:t xml:space="preserve"> refer situations to the ICC. It has ‘</w:t>
      </w:r>
      <w:r w:rsidR="007B0CBE">
        <w:t>recall[</w:t>
      </w:r>
      <w:proofErr w:type="spellStart"/>
      <w:r w:rsidR="007B0CBE">
        <w:t>ed</w:t>
      </w:r>
      <w:proofErr w:type="spellEnd"/>
      <w:r w:rsidR="007B0CBE">
        <w:t xml:space="preserve">] </w:t>
      </w:r>
      <w:r>
        <w:t>the inclusion of a range of sexual violence offences in the Rome Statute of the International Criminal Court and the statutes of the ad hoc international criminal tribunals’</w:t>
      </w:r>
      <w:r w:rsidR="008B0585">
        <w:t>,</w:t>
      </w:r>
      <w:r>
        <w:rPr>
          <w:rStyle w:val="FootnoteReference"/>
        </w:rPr>
        <w:footnoteReference w:id="140"/>
      </w:r>
      <w:r>
        <w:t xml:space="preserve"> and situations referred to the ICC by the </w:t>
      </w:r>
      <w:r w:rsidR="009F58C9">
        <w:t>Security Council</w:t>
      </w:r>
      <w:r>
        <w:t xml:space="preserve"> have led to arrest warrants including sexual violence as a war crime.</w:t>
      </w:r>
      <w:r>
        <w:rPr>
          <w:rStyle w:val="FootnoteReference"/>
        </w:rPr>
        <w:footnoteReference w:id="141"/>
      </w:r>
      <w:r>
        <w:t xml:space="preserve"> Third</w:t>
      </w:r>
      <w:r w:rsidR="00A02720">
        <w:t>ly</w:t>
      </w:r>
      <w:r>
        <w:t xml:space="preserve">, the </w:t>
      </w:r>
      <w:r w:rsidR="009F58C9">
        <w:t>Security Council</w:t>
      </w:r>
      <w:r>
        <w:t xml:space="preserve"> has established a range of mechanisms, the purpose of which is to monitor, analyse</w:t>
      </w:r>
      <w:r w:rsidR="00A02720">
        <w:t>,</w:t>
      </w:r>
      <w:r>
        <w:t xml:space="preserve"> and report on conflict-related sexual violence so as to provide the </w:t>
      </w:r>
      <w:r w:rsidR="009F58C9">
        <w:t>Security Council</w:t>
      </w:r>
      <w:r>
        <w:t xml:space="preserve"> with timely, accurate</w:t>
      </w:r>
      <w:r w:rsidR="00370A6B">
        <w:t>,</w:t>
      </w:r>
      <w:r>
        <w:t xml:space="preserve"> and reliable information in order to take action to prevent and respond to conflict-related sexual violence.</w:t>
      </w:r>
      <w:r>
        <w:rPr>
          <w:rStyle w:val="FootnoteReference"/>
        </w:rPr>
        <w:footnoteReference w:id="142"/>
      </w:r>
      <w:r>
        <w:t xml:space="preserve"> Three UN posts have been created</w:t>
      </w:r>
      <w:r w:rsidR="00370A6B">
        <w:t>—</w:t>
      </w:r>
      <w:r>
        <w:t>the Special Rapporteur on Violence against Women (1994), the Special Rapporteur on the Situation of Systematic Rape, Sexual Slavery</w:t>
      </w:r>
      <w:r w:rsidR="00370A6B">
        <w:t>,</w:t>
      </w:r>
      <w:r>
        <w:t xml:space="preserve"> and Slavery-Like Practices (1995), and the Special Representative on Sexual Violence in Conflict</w:t>
      </w:r>
      <w:r w:rsidR="00370A6B">
        <w:t>—</w:t>
      </w:r>
      <w:r>
        <w:t>to monitor violations perpetrated against women, notably in armed conflict. The Secretary-General also reports on the subject.</w:t>
      </w:r>
      <w:r>
        <w:rPr>
          <w:rStyle w:val="FootnoteReference"/>
        </w:rPr>
        <w:footnoteReference w:id="143"/>
      </w:r>
      <w:r>
        <w:t xml:space="preserve"> Fourth</w:t>
      </w:r>
      <w:r w:rsidR="00370A6B">
        <w:t>ly</w:t>
      </w:r>
      <w:r>
        <w:t xml:space="preserve">, the </w:t>
      </w:r>
      <w:r w:rsidR="009F58C9">
        <w:t>Security Council</w:t>
      </w:r>
      <w:r>
        <w:t xml:space="preserve"> has enjoined the Secretary-General of the UN to mainstream sexual violence in armed conflict in all UN reports to the </w:t>
      </w:r>
      <w:r w:rsidR="009F58C9">
        <w:t>Security Council</w:t>
      </w:r>
      <w:r>
        <w:t>,</w:t>
      </w:r>
      <w:r>
        <w:rPr>
          <w:rStyle w:val="FootnoteReference"/>
        </w:rPr>
        <w:footnoteReference w:id="144"/>
      </w:r>
      <w:r>
        <w:t xml:space="preserve"> and </w:t>
      </w:r>
      <w:r w:rsidR="00370A6B">
        <w:t xml:space="preserve">has </w:t>
      </w:r>
      <w:r>
        <w:t>requested the Secretary-General to monitor the implementation of pledges on the prevention, prohibition</w:t>
      </w:r>
      <w:r w:rsidR="00370A6B">
        <w:t>,</w:t>
      </w:r>
      <w:r>
        <w:t xml:space="preserve"> and investigation of sexual violence made by parties to armed conflict on the </w:t>
      </w:r>
      <w:r w:rsidR="009F58C9">
        <w:t>Security Council</w:t>
      </w:r>
      <w:r>
        <w:t>’s agenda.</w:t>
      </w:r>
      <w:r>
        <w:rPr>
          <w:rStyle w:val="FootnoteReference"/>
        </w:rPr>
        <w:footnoteReference w:id="145"/>
      </w:r>
      <w:r>
        <w:t xml:space="preserve"> This policy of ‘naming and shaming’ has now been broadened to encompass ‘parties suspected of committing or being responsible for patterns of rape and other forms of sexual violence’</w:t>
      </w:r>
      <w:r w:rsidR="00370A6B">
        <w:t>.</w:t>
      </w:r>
      <w:r>
        <w:rPr>
          <w:rStyle w:val="FootnoteReference"/>
        </w:rPr>
        <w:footnoteReference w:id="146"/>
      </w:r>
      <w:r>
        <w:t xml:space="preserve"> Yet again</w:t>
      </w:r>
      <w:r w:rsidR="00370A6B">
        <w:t>,</w:t>
      </w:r>
      <w:r>
        <w:t xml:space="preserve"> the focus is on sexual violence rather than on the protection of women more generally.</w:t>
      </w:r>
    </w:p>
    <w:p w14:paraId="07AD95F5" w14:textId="77777777" w:rsidR="00B40664" w:rsidRPr="008B54D7" w:rsidRDefault="00B40664" w:rsidP="00AB5082">
      <w:pPr>
        <w:spacing w:after="120" w:line="360" w:lineRule="auto"/>
        <w:rPr>
          <w:b/>
        </w:rPr>
      </w:pPr>
    </w:p>
    <w:p w14:paraId="295E9419" w14:textId="77777777" w:rsidR="005132B5" w:rsidRDefault="00B40664" w:rsidP="0051540B">
      <w:pPr>
        <w:pStyle w:val="Heading1"/>
        <w:spacing w:after="120"/>
      </w:pPr>
      <w:r w:rsidRPr="004A3739">
        <w:lastRenderedPageBreak/>
        <w:t>Critical Assessment</w:t>
      </w:r>
    </w:p>
    <w:p w14:paraId="2C64507C" w14:textId="77777777" w:rsidR="00B40664" w:rsidRDefault="00B40664" w:rsidP="00AB5082">
      <w:pPr>
        <w:spacing w:after="120" w:line="360" w:lineRule="auto"/>
      </w:pPr>
    </w:p>
    <w:p w14:paraId="37A71452" w14:textId="1F2AE915" w:rsidR="00B40664" w:rsidRDefault="00B40664" w:rsidP="00AB5082">
      <w:pPr>
        <w:numPr>
          <w:ilvl w:val="0"/>
          <w:numId w:val="13"/>
        </w:numPr>
        <w:spacing w:after="120" w:line="360" w:lineRule="auto"/>
      </w:pPr>
      <w:r>
        <w:t xml:space="preserve">Overall the </w:t>
      </w:r>
      <w:r w:rsidR="009B0C9E">
        <w:t xml:space="preserve">Geneva </w:t>
      </w:r>
      <w:r>
        <w:t xml:space="preserve">Conventions provide special protection for pregnant women, maternity cases, and mothers of children </w:t>
      </w:r>
      <w:r w:rsidR="009B0C9E">
        <w:t xml:space="preserve">aged </w:t>
      </w:r>
      <w:proofErr w:type="gramStart"/>
      <w:r>
        <w:t>under</w:t>
      </w:r>
      <w:proofErr w:type="gramEnd"/>
      <w:r>
        <w:t xml:space="preserve"> seven, and address the vulnerability of women to sexual violence in armed conflict. These provisions have been criticized for perpetuating stereotypical ideas of women as weak individuals whose ‘honour’ is defined by reference to male views on women, associating women with children, and failing to consider gender rather than sex as the distinguishing factor. </w:t>
      </w:r>
    </w:p>
    <w:p w14:paraId="26DB781E" w14:textId="5CF58081" w:rsidR="00B40664" w:rsidRDefault="00B40664" w:rsidP="00AB5082">
      <w:pPr>
        <w:numPr>
          <w:ilvl w:val="0"/>
          <w:numId w:val="13"/>
        </w:numPr>
        <w:spacing w:after="120" w:line="360" w:lineRule="auto"/>
      </w:pPr>
      <w:r>
        <w:t>It is claimed that IHL rules</w:t>
      </w:r>
      <w:r w:rsidR="009B0C9E">
        <w:t xml:space="preserve"> </w:t>
      </w:r>
      <w:r>
        <w:t>are archaic and reflect the very stereotypical ideas about women (honour is likened to virtue)</w:t>
      </w:r>
      <w:r>
        <w:rPr>
          <w:rStyle w:val="FootnoteReference"/>
        </w:rPr>
        <w:footnoteReference w:id="147"/>
      </w:r>
      <w:r>
        <w:t xml:space="preserve"> that perpetuate discrimination and violence against women, and lead to the stigmatization and rejection of victims of sexual violence</w:t>
      </w:r>
      <w:r w:rsidRPr="00781BE8">
        <w:t>.</w:t>
      </w:r>
      <w:r w:rsidRPr="00781BE8">
        <w:rPr>
          <w:rStyle w:val="FootnoteReference"/>
          <w:color w:val="000000"/>
          <w:shd w:val="clear" w:color="auto" w:fill="FFFFFF"/>
        </w:rPr>
        <w:footnoteReference w:id="148"/>
      </w:r>
      <w:r w:rsidRPr="00781BE8">
        <w:t xml:space="preserve"> </w:t>
      </w:r>
      <w:r>
        <w:t>That being said, a modern interpretation of IHL confirms the view that sexual violence is a violation of a woman’s physical and mental integrity. Although violence against women in armed conflict is the manifestation of unequal power relations between men and women, it is not the aim of the Geneva Conventions to tackle the roots of discrimination based on sex and address social, economic</w:t>
      </w:r>
      <w:r w:rsidR="009B0C9E">
        <w:t>,</w:t>
      </w:r>
      <w:r>
        <w:t xml:space="preserve"> and structural inequalities.</w:t>
      </w:r>
      <w:r>
        <w:rPr>
          <w:rStyle w:val="FootnoteReference"/>
        </w:rPr>
        <w:footnoteReference w:id="149"/>
      </w:r>
      <w:r>
        <w:t xml:space="preserve"> Nonetheless the Geneva Conventions can be used to debunk the idea that women are property, spoils of war. Likewise, in some cultures the rape of women is viewed as a violation of the honour of the community, rather than of the individual herself.</w:t>
      </w:r>
      <w:r>
        <w:rPr>
          <w:rStyle w:val="FootnoteReference"/>
        </w:rPr>
        <w:footnoteReference w:id="150"/>
      </w:r>
      <w:r>
        <w:t xml:space="preserve"> Yet again, IHL is not meant to alter cultural traditions and perceptions, but to ensure that certain standards of treatment towards women are being respected. Feminists also argue that IHL is old</w:t>
      </w:r>
      <w:r w:rsidR="009B0C9E">
        <w:t>-</w:t>
      </w:r>
      <w:r>
        <w:t>fashioned, in that it considers women as civilian victims (of sexual violence) and men as combatants.</w:t>
      </w:r>
      <w:r>
        <w:rPr>
          <w:rStyle w:val="FootnoteReference"/>
        </w:rPr>
        <w:footnoteReference w:id="151"/>
      </w:r>
      <w:r>
        <w:t xml:space="preserve"> Whilst this might </w:t>
      </w:r>
      <w:r>
        <w:lastRenderedPageBreak/>
        <w:t>have been the case when the Geneva Conventions were drafted, the fact that many women are now in the armed forces or armed opposition group challenges this view.</w:t>
      </w:r>
      <w:r>
        <w:rPr>
          <w:rStyle w:val="FootnoteReference"/>
        </w:rPr>
        <w:footnoteReference w:id="152"/>
      </w:r>
      <w:r>
        <w:t xml:space="preserve"> It is thus not possible to apply a historical interpretation</w:t>
      </w:r>
      <w:r w:rsidR="009B0C9E" w:rsidRPr="009B0C9E">
        <w:t xml:space="preserve"> </w:t>
      </w:r>
      <w:r w:rsidR="009B0C9E">
        <w:t>anymore</w:t>
      </w:r>
      <w:r>
        <w:t>. The ICRC has recognized that ‘the relevant question is not who is more vulnerable but rather who is vulnerable to what particular risks’</w:t>
      </w:r>
      <w:r w:rsidR="009B0C9E">
        <w:t>,</w:t>
      </w:r>
      <w:r>
        <w:t xml:space="preserve"> and ‘it is an oversimplification to see one gender as active (male combatants) and the other as passive (female victims)’</w:t>
      </w:r>
      <w:r w:rsidR="009B0C9E">
        <w:t>.</w:t>
      </w:r>
      <w:r>
        <w:rPr>
          <w:rStyle w:val="FootnoteReference"/>
        </w:rPr>
        <w:footnoteReference w:id="153"/>
      </w:r>
      <w:r>
        <w:t xml:space="preserve"> The absence of rape in the list of grave breaches also suggested that states were not under the duty to criminalize and prosecute rape (and sexual violence more generally). Nevertheless, in the 1990s</w:t>
      </w:r>
      <w:r w:rsidR="00D3179A">
        <w:t>,</w:t>
      </w:r>
      <w:r>
        <w:t xml:space="preserve"> when feminists claimed that ‘rape ought to be a war crime’, rape was already a war crime under customary law, albeit rarely prosecuted,</w:t>
      </w:r>
      <w:r>
        <w:rPr>
          <w:rStyle w:val="FootnoteReference"/>
        </w:rPr>
        <w:footnoteReference w:id="154"/>
      </w:r>
      <w:r>
        <w:t xml:space="preserve"> and this was confirmed by the subsequent progressive case</w:t>
      </w:r>
      <w:r w:rsidR="00D3179A">
        <w:t xml:space="preserve"> </w:t>
      </w:r>
      <w:r>
        <w:t xml:space="preserve">law and statutes of the international criminal </w:t>
      </w:r>
      <w:r w:rsidRPr="00933114">
        <w:t>tribunals (</w:t>
      </w:r>
      <w:r w:rsidR="00D3179A" w:rsidRPr="00933114">
        <w:t>s</w:t>
      </w:r>
      <w:r w:rsidR="00DF65FC" w:rsidRPr="00933114">
        <w:t>ee Chapter 17</w:t>
      </w:r>
      <w:r w:rsidR="00933114">
        <w:t>, D.I.</w:t>
      </w:r>
      <w:r w:rsidR="00DF65FC" w:rsidRPr="00933114">
        <w:t xml:space="preserve">). </w:t>
      </w:r>
    </w:p>
    <w:p w14:paraId="4C9BE905" w14:textId="12A590E5" w:rsidR="00312CE4" w:rsidRDefault="00B40664" w:rsidP="00AB5082">
      <w:pPr>
        <w:numPr>
          <w:ilvl w:val="0"/>
          <w:numId w:val="13"/>
        </w:numPr>
        <w:spacing w:after="120" w:line="360" w:lineRule="auto"/>
      </w:pPr>
      <w:r>
        <w:t xml:space="preserve">Another criticism levelled at the Geneva Conventions is that the rationale for protecting women is their nurturing and caring roles </w:t>
      </w:r>
      <w:r w:rsidR="00D3179A">
        <w:t>as regards</w:t>
      </w:r>
      <w:r>
        <w:t xml:space="preserve"> children: the majority of provisions protecting women view them in this capacity. The comingling of the specific concerns of women with those of children tends to prove that women are viewed</w:t>
      </w:r>
      <w:r w:rsidR="00D3179A" w:rsidRPr="00D3179A">
        <w:t xml:space="preserve"> </w:t>
      </w:r>
      <w:r w:rsidR="00D3179A">
        <w:t>only</w:t>
      </w:r>
      <w:r>
        <w:t xml:space="preserve"> in their reproductive roles. The original </w:t>
      </w:r>
      <w:r w:rsidR="00E43C0A">
        <w:t>C</w:t>
      </w:r>
      <w:r>
        <w:t>ommentary to Article 132 GC III explains that pregnant women and mothers of infants and young children were included in the provision ‘because of what children represent for the future of humanity’</w:t>
      </w:r>
      <w:r w:rsidR="00E43C0A">
        <w:t>.</w:t>
      </w:r>
      <w:r>
        <w:rPr>
          <w:rStyle w:val="FootnoteReference"/>
        </w:rPr>
        <w:footnoteReference w:id="155"/>
      </w:r>
      <w:r>
        <w:t xml:space="preserve"> A</w:t>
      </w:r>
      <w:r w:rsidR="00E43C0A">
        <w:t xml:space="preserve">dditional </w:t>
      </w:r>
      <w:r>
        <w:t>P</w:t>
      </w:r>
      <w:r w:rsidR="00E43C0A">
        <w:t>rotocol</w:t>
      </w:r>
      <w:r>
        <w:t xml:space="preserve"> I does little to dispel this, as the expression ‘nursing mothers’ was introduced to protect future generations. This association with children serves to highlight the reproductive functions of women to the exclusion of their other</w:t>
      </w:r>
      <w:r w:rsidR="00E43C0A">
        <w:t>,</w:t>
      </w:r>
      <w:r>
        <w:t xml:space="preserve"> non-reproductive related needs. Whilst it is logistically coherent to regroup women and children, it </w:t>
      </w:r>
      <w:proofErr w:type="spellStart"/>
      <w:r>
        <w:t>instrumentalizes</w:t>
      </w:r>
      <w:proofErr w:type="spellEnd"/>
      <w:r>
        <w:t xml:space="preserve"> women’s bodies and minds as vehicles to care for children. This exposes a feminine model of a woman whose aim is to give birth to and care for children. Yet it is </w:t>
      </w:r>
      <w:r w:rsidR="00EE2F51">
        <w:t xml:space="preserve">not only in their </w:t>
      </w:r>
      <w:r>
        <w:t>role as carer</w:t>
      </w:r>
      <w:r w:rsidR="00E43C0A">
        <w:t>s</w:t>
      </w:r>
      <w:r>
        <w:t xml:space="preserve"> </w:t>
      </w:r>
      <w:proofErr w:type="gramStart"/>
      <w:r>
        <w:t>of</w:t>
      </w:r>
      <w:r w:rsidR="00E43C0A">
        <w:t xml:space="preserve">  the</w:t>
      </w:r>
      <w:proofErr w:type="gramEnd"/>
      <w:r>
        <w:t xml:space="preserve"> disabled, children, </w:t>
      </w:r>
      <w:r w:rsidR="00EE2F51">
        <w:t xml:space="preserve">or </w:t>
      </w:r>
      <w:r w:rsidR="00E43C0A">
        <w:t xml:space="preserve">the </w:t>
      </w:r>
      <w:r>
        <w:t xml:space="preserve">elderly, that </w:t>
      </w:r>
      <w:r w:rsidR="00EE2F51">
        <w:t xml:space="preserve">women </w:t>
      </w:r>
      <w:r>
        <w:t>ought to be protected</w:t>
      </w:r>
      <w:r w:rsidR="00EE2F51">
        <w:t>: w</w:t>
      </w:r>
      <w:r>
        <w:t xml:space="preserve">omen perform a variety of roles, often acting as the backbone of society. </w:t>
      </w:r>
      <w:r w:rsidR="00EE2F51">
        <w:t>Today</w:t>
      </w:r>
      <w:r>
        <w:t xml:space="preserve">, women’s participation is visible in a number of fields </w:t>
      </w:r>
      <w:r w:rsidR="00EE2F51">
        <w:t>previously</w:t>
      </w:r>
      <w:r>
        <w:t xml:space="preserve"> thought to be the exclusive preserve of men. </w:t>
      </w:r>
    </w:p>
    <w:p w14:paraId="0CAE7F89" w14:textId="548051DE" w:rsidR="00B40664" w:rsidRDefault="00B40664" w:rsidP="00AB5082">
      <w:pPr>
        <w:numPr>
          <w:ilvl w:val="0"/>
          <w:numId w:val="13"/>
        </w:numPr>
        <w:spacing w:after="120" w:line="360" w:lineRule="auto"/>
      </w:pPr>
      <w:r>
        <w:lastRenderedPageBreak/>
        <w:t>A further criti</w:t>
      </w:r>
      <w:r w:rsidR="00312CE4">
        <w:t>cism</w:t>
      </w:r>
      <w:r>
        <w:t xml:space="preserve"> is that the association with children gives the impression that women, like children, are powerless and in need, thereby infantili</w:t>
      </w:r>
      <w:r w:rsidR="00312CE4">
        <w:t>z</w:t>
      </w:r>
      <w:r>
        <w:t>ing women.</w:t>
      </w:r>
      <w:r>
        <w:rPr>
          <w:rStyle w:val="FootnoteReference"/>
        </w:rPr>
        <w:footnoteReference w:id="156"/>
      </w:r>
      <w:r>
        <w:t xml:space="preserve"> Lumped together </w:t>
      </w:r>
      <w:r w:rsidR="00312CE4">
        <w:t xml:space="preserve">with children </w:t>
      </w:r>
      <w:r>
        <w:t>in the same category of vulnerability, women’s needs, experiences</w:t>
      </w:r>
      <w:r w:rsidR="00312CE4">
        <w:t>,</w:t>
      </w:r>
      <w:r>
        <w:t xml:space="preserve"> and roles in armed conflict are often overlooked. The protection rather than prohibition language found in the Geneva Conventions buttresses this viewpoint, for it addresses women’s needs within a welfare paradigm. What is more, this normative recognition aligns women with victimhood, denying them any individual and/or collective agency as active participants in armed conflict. </w:t>
      </w:r>
      <w:r w:rsidR="00312CE4">
        <w:t>Having said that, t</w:t>
      </w:r>
      <w:r>
        <w:t>he focus may</w:t>
      </w:r>
      <w:r w:rsidR="00312CE4" w:rsidRPr="00312CE4">
        <w:t xml:space="preserve"> </w:t>
      </w:r>
      <w:r w:rsidR="00312CE4">
        <w:t>slowly</w:t>
      </w:r>
      <w:r>
        <w:t xml:space="preserve"> be shifting from a victimization-oriented approach to one of empowerment. The resilience shown by women is a testimony to the</w:t>
      </w:r>
      <w:r w:rsidR="00312CE4">
        <w:t>ir</w:t>
      </w:r>
      <w:r>
        <w:t xml:space="preserve"> real power in armed conflict, a fact acknowledged by </w:t>
      </w:r>
      <w:r w:rsidR="009F58C9">
        <w:t>Security Council</w:t>
      </w:r>
      <w:r>
        <w:t xml:space="preserve"> Resolution 1325</w:t>
      </w:r>
      <w:r w:rsidR="00312CE4">
        <w:t>,</w:t>
      </w:r>
      <w:r>
        <w:t xml:space="preserve"> which views women not </w:t>
      </w:r>
      <w:r w:rsidR="00312CE4">
        <w:t>simply as</w:t>
      </w:r>
      <w:r>
        <w:t xml:space="preserve"> vulnerable individuals, or as victims, but rather as a driving force for change and peace.</w:t>
      </w:r>
      <w:r w:rsidR="00D259C3">
        <w:rPr>
          <w:rStyle w:val="FootnoteReference"/>
        </w:rPr>
        <w:footnoteReference w:id="157"/>
      </w:r>
      <w:r>
        <w:t xml:space="preserve"> </w:t>
      </w:r>
    </w:p>
    <w:p w14:paraId="1D5F5269" w14:textId="74B46F6A" w:rsidR="00B40664" w:rsidRDefault="00B40664" w:rsidP="00AB5082">
      <w:pPr>
        <w:numPr>
          <w:ilvl w:val="0"/>
          <w:numId w:val="13"/>
        </w:numPr>
        <w:spacing w:after="120" w:line="360" w:lineRule="auto"/>
      </w:pPr>
      <w:r>
        <w:t>Since the drafting of the Geneva Conventions, the concept of ‘gender’ has emerged in a number of legal instruments</w:t>
      </w:r>
      <w:r>
        <w:rPr>
          <w:rStyle w:val="FootnoteReference"/>
        </w:rPr>
        <w:footnoteReference w:id="158"/>
      </w:r>
      <w:r>
        <w:t xml:space="preserve"> and through the cases.</w:t>
      </w:r>
      <w:r>
        <w:rPr>
          <w:rStyle w:val="FootnoteReference"/>
        </w:rPr>
        <w:footnoteReference w:id="159"/>
      </w:r>
      <w:r>
        <w:t xml:space="preserve"> Whilst ‘sex’ refers to the biological features of a person, ‘gender’ ‘denotes the culturally expected behaviour of men and women based on roles, attitudes and values ascribed to them on the basis of their sex’</w:t>
      </w:r>
      <w:r w:rsidR="003111F2">
        <w:t>.</w:t>
      </w:r>
      <w:r>
        <w:rPr>
          <w:rStyle w:val="FootnoteReference"/>
        </w:rPr>
        <w:footnoteReference w:id="160"/>
      </w:r>
      <w:r>
        <w:t xml:space="preserve"> Whilst the concept of ‘gender’ could be used to apply to both men and women, gender is </w:t>
      </w:r>
      <w:r w:rsidR="00BA23FD">
        <w:t>often</w:t>
      </w:r>
      <w:r>
        <w:t xml:space="preserve"> understood as relating to women</w:t>
      </w:r>
      <w:r w:rsidR="00BA23FD">
        <w:t xml:space="preserve"> only</w:t>
      </w:r>
      <w:r>
        <w:t>.</w:t>
      </w:r>
      <w:r>
        <w:rPr>
          <w:rStyle w:val="FootnoteReference"/>
        </w:rPr>
        <w:footnoteReference w:id="161"/>
      </w:r>
      <w:r>
        <w:t xml:space="preserve"> Indeed sexual violence against men is framed in terms of violation of personal integrity. This is</w:t>
      </w:r>
      <w:r w:rsidR="003111F2">
        <w:t>,</w:t>
      </w:r>
      <w:r>
        <w:t xml:space="preserve"> however</w:t>
      </w:r>
      <w:r w:rsidR="003111F2">
        <w:t>,</w:t>
      </w:r>
      <w:r>
        <w:t xml:space="preserve"> changing. Recently a proper application of the concept of gender in IHL has reinforced that sexual violence, whether perpetrated against a man or a woman, is an act against a person’s physical integrity.</w:t>
      </w:r>
      <w:r>
        <w:rPr>
          <w:rStyle w:val="FootnoteReference"/>
        </w:rPr>
        <w:footnoteReference w:id="162"/>
      </w:r>
      <w:r>
        <w:t xml:space="preserve"> Further, the application of the concept of </w:t>
      </w:r>
      <w:r>
        <w:lastRenderedPageBreak/>
        <w:t xml:space="preserve">‘gender’ rather than ‘sex’ could shift the focus away from sexual violence to other human activities prohibited by the Geneva Conventions. It would help </w:t>
      </w:r>
      <w:r w:rsidR="008A5F77">
        <w:t xml:space="preserve">in </w:t>
      </w:r>
      <w:r>
        <w:t>understand</w:t>
      </w:r>
      <w:r w:rsidR="008A5F77">
        <w:t>ing</w:t>
      </w:r>
      <w:r>
        <w:t xml:space="preserve"> male and female roles in armed conflict</w:t>
      </w:r>
      <w:r w:rsidR="003111F2">
        <w:t>,</w:t>
      </w:r>
      <w:r>
        <w:t xml:space="preserve"> and thus offer better-tailored protection to such individuals. After all, the ICRC admits that ‘[g]ender analysis is </w:t>
      </w:r>
      <w:r w:rsidR="00A94E69">
        <w:t>[</w:t>
      </w:r>
      <w:r>
        <w:t>…</w:t>
      </w:r>
      <w:r w:rsidR="00A94E69">
        <w:t>]</w:t>
      </w:r>
      <w:r>
        <w:t xml:space="preserve"> used to better appreciate the respective sociocultural roles attributed to men and women when it comes to the division of labour, productive and reproductive activities, and access to and control over resources and benefits’</w:t>
      </w:r>
      <w:r w:rsidR="003111F2">
        <w:t>.</w:t>
      </w:r>
      <w:r>
        <w:rPr>
          <w:rStyle w:val="FootnoteReference"/>
        </w:rPr>
        <w:footnoteReference w:id="163"/>
      </w:r>
      <w:r>
        <w:t xml:space="preserve"> </w:t>
      </w:r>
      <w:r w:rsidR="008A5F77">
        <w:t>B</w:t>
      </w:r>
      <w:r>
        <w:t>etter protection for women can be achieved by espousing a holistic approach to women’s and men’s roles, responsibilities</w:t>
      </w:r>
      <w:r w:rsidR="008A5F77">
        <w:t>,</w:t>
      </w:r>
      <w:r>
        <w:t xml:space="preserve"> and experiences.</w:t>
      </w:r>
    </w:p>
    <w:p w14:paraId="32398CB4" w14:textId="77777777" w:rsidR="00930129" w:rsidRDefault="00930129" w:rsidP="00AB5082">
      <w:pPr>
        <w:spacing w:after="120" w:line="360" w:lineRule="auto"/>
      </w:pPr>
    </w:p>
    <w:p w14:paraId="64D79800" w14:textId="4D9AF004" w:rsidR="00B40664" w:rsidRDefault="00B40664" w:rsidP="00AB5082">
      <w:pPr>
        <w:spacing w:after="120" w:line="360" w:lineRule="auto"/>
      </w:pPr>
      <w:r>
        <w:t>B</w:t>
      </w:r>
      <w:r w:rsidR="00930129">
        <w:t>iblio</w:t>
      </w:r>
      <w:r w:rsidR="00EF1EC8">
        <w:t>g</w:t>
      </w:r>
      <w:r w:rsidR="00930129">
        <w:t>r</w:t>
      </w:r>
      <w:r w:rsidR="00EF1EC8">
        <w:t>aphy</w:t>
      </w:r>
    </w:p>
    <w:p w14:paraId="3DEF2432" w14:textId="77777777" w:rsidR="007F2125" w:rsidRDefault="007F2125" w:rsidP="00AB5082">
      <w:pPr>
        <w:spacing w:after="120" w:line="360" w:lineRule="auto"/>
      </w:pPr>
    </w:p>
    <w:p w14:paraId="1A4C7718" w14:textId="77777777" w:rsidR="00930129" w:rsidRDefault="007F2125" w:rsidP="00AB5082">
      <w:pPr>
        <w:spacing w:after="120" w:line="360" w:lineRule="auto"/>
      </w:pPr>
      <w:r w:rsidRPr="00C929AB">
        <w:t xml:space="preserve">A. Barrow, ‘UN Security Council Resolutions 1325 and 1820: Constructing Gender in Armed Conflict and International Humanitarian Law’, 92 </w:t>
      </w:r>
      <w:r w:rsidR="00DF65FC" w:rsidRPr="008A5F77">
        <w:rPr>
          <w:i/>
        </w:rPr>
        <w:t>IRRC</w:t>
      </w:r>
      <w:r w:rsidRPr="00C929AB">
        <w:t xml:space="preserve"> (2010) 221</w:t>
      </w:r>
      <w:r>
        <w:t>.</w:t>
      </w:r>
    </w:p>
    <w:p w14:paraId="0281A0E6" w14:textId="77777777" w:rsidR="00930129" w:rsidRDefault="007F2125" w:rsidP="00AB5082">
      <w:pPr>
        <w:spacing w:after="120" w:line="360" w:lineRule="auto"/>
      </w:pPr>
      <w:r w:rsidRPr="009848DF">
        <w:t xml:space="preserve">J. </w:t>
      </w:r>
      <w:proofErr w:type="spellStart"/>
      <w:r w:rsidRPr="009848DF">
        <w:t>Gardam</w:t>
      </w:r>
      <w:proofErr w:type="spellEnd"/>
      <w:r w:rsidRPr="007F2125">
        <w:t xml:space="preserve">, ‘The Neglected Aspect of Women and Armed Conflict: Progressive Development of the Law’, 52 </w:t>
      </w:r>
      <w:r w:rsidR="00DF65FC" w:rsidRPr="008A5F77">
        <w:rPr>
          <w:i/>
        </w:rPr>
        <w:t>NILR</w:t>
      </w:r>
      <w:r w:rsidRPr="007F2125">
        <w:t xml:space="preserve"> (2005) 197.</w:t>
      </w:r>
    </w:p>
    <w:p w14:paraId="42064E7A" w14:textId="77777777" w:rsidR="00930129" w:rsidRDefault="007F2125" w:rsidP="00AB5082">
      <w:pPr>
        <w:spacing w:after="120" w:line="360" w:lineRule="auto"/>
      </w:pPr>
      <w:r w:rsidRPr="00C929AB">
        <w:t xml:space="preserve">J. </w:t>
      </w:r>
      <w:proofErr w:type="spellStart"/>
      <w:r w:rsidRPr="00C929AB">
        <w:t>Gardam</w:t>
      </w:r>
      <w:proofErr w:type="spellEnd"/>
      <w:r w:rsidRPr="00C929AB">
        <w:t xml:space="preserve"> and M. Jarvis, ‘Women and Armed Conflict: The International Response to the Beijing Platform for Action’, 32 </w:t>
      </w:r>
      <w:r w:rsidR="00DF65FC" w:rsidRPr="008A5F77">
        <w:rPr>
          <w:i/>
        </w:rPr>
        <w:t>Columbia Human Rights Law Review</w:t>
      </w:r>
      <w:r w:rsidRPr="00C929AB">
        <w:t xml:space="preserve"> (2000) 1</w:t>
      </w:r>
      <w:r>
        <w:t>.</w:t>
      </w:r>
    </w:p>
    <w:p w14:paraId="06FD7DA3" w14:textId="77777777" w:rsidR="00930129" w:rsidRDefault="007F2125" w:rsidP="00AB5082">
      <w:pPr>
        <w:spacing w:after="120" w:line="360" w:lineRule="auto"/>
      </w:pPr>
      <w:r>
        <w:t xml:space="preserve">J. </w:t>
      </w:r>
      <w:proofErr w:type="spellStart"/>
      <w:r>
        <w:t>Gardam</w:t>
      </w:r>
      <w:proofErr w:type="spellEnd"/>
      <w:r>
        <w:t xml:space="preserve"> and M. Jarvis, </w:t>
      </w:r>
      <w:r>
        <w:rPr>
          <w:i/>
        </w:rPr>
        <w:t xml:space="preserve">Women, Armed Conflict and International Law </w:t>
      </w:r>
      <w:r>
        <w:t>(The Hague: Kluwer, 2001).</w:t>
      </w:r>
    </w:p>
    <w:p w14:paraId="45C97C21" w14:textId="77777777" w:rsidR="00B40664" w:rsidRDefault="007F2125" w:rsidP="00AB5082">
      <w:pPr>
        <w:spacing w:after="120" w:line="360" w:lineRule="auto"/>
      </w:pPr>
      <w:r>
        <w:t xml:space="preserve">J. </w:t>
      </w:r>
      <w:proofErr w:type="spellStart"/>
      <w:r>
        <w:t>Gardam</w:t>
      </w:r>
      <w:proofErr w:type="spellEnd"/>
      <w:r>
        <w:t xml:space="preserve">, ‘Women, Human Rights and International Humanitarian Law’, 324 </w:t>
      </w:r>
      <w:r w:rsidR="00DF65FC" w:rsidRPr="008A5F77">
        <w:rPr>
          <w:i/>
        </w:rPr>
        <w:t>IRRC</w:t>
      </w:r>
      <w:r>
        <w:rPr>
          <w:i/>
        </w:rPr>
        <w:t xml:space="preserve"> </w:t>
      </w:r>
      <w:r>
        <w:t>(1998) 421.</w:t>
      </w:r>
    </w:p>
    <w:p w14:paraId="3714B141" w14:textId="77777777" w:rsidR="00CF7C6A" w:rsidRDefault="00B40664" w:rsidP="00CF7C6A">
      <w:pPr>
        <w:spacing w:after="120" w:line="360" w:lineRule="auto"/>
      </w:pPr>
      <w:r w:rsidRPr="00B92B20">
        <w:t xml:space="preserve">F. Krill, ‘The Protection of Women in International Humanitarian Law’, 249 </w:t>
      </w:r>
      <w:r w:rsidR="00DF65FC" w:rsidRPr="008A5F77">
        <w:rPr>
          <w:i/>
        </w:rPr>
        <w:t>IRRC</w:t>
      </w:r>
      <w:r w:rsidRPr="00D14587">
        <w:t xml:space="preserve"> </w:t>
      </w:r>
      <w:r w:rsidRPr="00B92B20">
        <w:t>(1985) 337</w:t>
      </w:r>
      <w:r>
        <w:t>.</w:t>
      </w:r>
    </w:p>
    <w:p w14:paraId="1A9D7F5C" w14:textId="2FE0DB9D" w:rsidR="00B40664" w:rsidRDefault="00B40664" w:rsidP="00CF7C6A">
      <w:pPr>
        <w:spacing w:after="120" w:line="360" w:lineRule="auto"/>
      </w:pPr>
      <w:bookmarkStart w:id="2" w:name="_GoBack"/>
      <w:bookmarkEnd w:id="2"/>
      <w:r>
        <w:t>C. Lindsey, ‘Women and War</w:t>
      </w:r>
      <w:r w:rsidR="008A5F77">
        <w:t>—</w:t>
      </w:r>
      <w:proofErr w:type="gramStart"/>
      <w:r>
        <w:t>An</w:t>
      </w:r>
      <w:proofErr w:type="gramEnd"/>
      <w:r>
        <w:t xml:space="preserve"> Overview’, 839 </w:t>
      </w:r>
      <w:r w:rsidR="00DF65FC" w:rsidRPr="008A5F77">
        <w:rPr>
          <w:i/>
        </w:rPr>
        <w:t>IRRC</w:t>
      </w:r>
      <w:r>
        <w:rPr>
          <w:i/>
        </w:rPr>
        <w:t xml:space="preserve"> </w:t>
      </w:r>
      <w:r>
        <w:t>(2000) 561.</w:t>
      </w:r>
    </w:p>
    <w:p w14:paraId="272BA96A" w14:textId="77777777" w:rsidR="00F000F1" w:rsidRPr="009848DF" w:rsidRDefault="00F000F1" w:rsidP="008A5F77">
      <w:pPr>
        <w:spacing w:before="240" w:after="120" w:line="360" w:lineRule="auto"/>
      </w:pPr>
    </w:p>
    <w:sectPr w:rsidR="00F000F1" w:rsidRPr="009848DF" w:rsidSect="00091F8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5F07E" w14:textId="77777777" w:rsidR="00247349" w:rsidRDefault="00247349" w:rsidP="00B40664">
      <w:r>
        <w:separator/>
      </w:r>
    </w:p>
  </w:endnote>
  <w:endnote w:type="continuationSeparator" w:id="0">
    <w:p w14:paraId="32FD1F57" w14:textId="77777777" w:rsidR="00247349" w:rsidRDefault="00247349" w:rsidP="00B4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85588" w14:textId="77777777" w:rsidR="00247349" w:rsidRDefault="00247349">
    <w:pPr>
      <w:pStyle w:val="Footer"/>
      <w:jc w:val="center"/>
    </w:pPr>
    <w:r>
      <w:fldChar w:fldCharType="begin"/>
    </w:r>
    <w:r>
      <w:instrText xml:space="preserve"> PAGE   \* MERGEFORMAT </w:instrText>
    </w:r>
    <w:r>
      <w:fldChar w:fldCharType="separate"/>
    </w:r>
    <w:r w:rsidR="00CF7C6A">
      <w:rPr>
        <w:noProof/>
      </w:rPr>
      <w:t>31</w:t>
    </w:r>
    <w:r>
      <w:rPr>
        <w:noProof/>
      </w:rPr>
      <w:fldChar w:fldCharType="end"/>
    </w:r>
  </w:p>
  <w:p w14:paraId="17161129" w14:textId="77777777" w:rsidR="00247349" w:rsidRDefault="00247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F6BBB" w14:textId="77777777" w:rsidR="00247349" w:rsidRDefault="00247349" w:rsidP="00B40664">
      <w:r>
        <w:separator/>
      </w:r>
    </w:p>
  </w:footnote>
  <w:footnote w:type="continuationSeparator" w:id="0">
    <w:p w14:paraId="028C253B" w14:textId="77777777" w:rsidR="00247349" w:rsidRDefault="00247349" w:rsidP="00B40664">
      <w:r>
        <w:continuationSeparator/>
      </w:r>
    </w:p>
  </w:footnote>
  <w:footnote w:id="1">
    <w:p w14:paraId="637BA2D2" w14:textId="7FCCAAA4" w:rsidR="00247349" w:rsidRDefault="00247349" w:rsidP="0051540B">
      <w:pPr>
        <w:pStyle w:val="FootnoteText"/>
        <w:spacing w:line="360" w:lineRule="auto"/>
      </w:pPr>
      <w:r w:rsidRPr="00003885">
        <w:rPr>
          <w:rStyle w:val="FootnoteReference"/>
        </w:rPr>
        <w:t>*</w:t>
      </w:r>
      <w:r w:rsidRPr="00003885">
        <w:t xml:space="preserve"> </w:t>
      </w:r>
      <w:r>
        <w:t xml:space="preserve">I would like to thank Richard A. Edwards for proof-reading this chapter. </w:t>
      </w:r>
    </w:p>
  </w:footnote>
  <w:footnote w:id="2">
    <w:p w14:paraId="19223486" w14:textId="5AF82097" w:rsidR="00247349" w:rsidRDefault="00247349" w:rsidP="0051540B">
      <w:pPr>
        <w:pStyle w:val="FootnoteText"/>
        <w:spacing w:line="360" w:lineRule="auto"/>
      </w:pPr>
      <w:r>
        <w:rPr>
          <w:rStyle w:val="FootnoteReference"/>
        </w:rPr>
        <w:footnoteRef/>
      </w:r>
      <w:r w:rsidRPr="0051540B">
        <w:t xml:space="preserve"> Convention on the Elimination of All Forms of Discrimination against Women (CEDAW) Committee, General Recommendation No 30 on Women in Conflict Prevention, Conflict and Post-Conflict Situations, </w:t>
      </w:r>
      <w:r>
        <w:rPr>
          <w:rStyle w:val="Strong"/>
          <w:b w:val="0"/>
          <w:color w:val="000000"/>
          <w:shd w:val="clear" w:color="auto" w:fill="FFFFFF"/>
        </w:rPr>
        <w:t>UN</w:t>
      </w:r>
      <w:r>
        <w:rPr>
          <w:rStyle w:val="Strong"/>
          <w:color w:val="000000"/>
          <w:shd w:val="clear" w:color="auto" w:fill="FFFFFF"/>
        </w:rPr>
        <w:t xml:space="preserve"> </w:t>
      </w:r>
      <w:r>
        <w:rPr>
          <w:rStyle w:val="Strong"/>
          <w:b w:val="0"/>
          <w:color w:val="000000"/>
          <w:shd w:val="clear" w:color="auto" w:fill="FFFFFF"/>
        </w:rPr>
        <w:t xml:space="preserve">Doc CEDAW/C/GC/30 of 2013, </w:t>
      </w:r>
      <w:r w:rsidRPr="0051540B">
        <w:t>para 20.</w:t>
      </w:r>
    </w:p>
  </w:footnote>
  <w:footnote w:id="3">
    <w:p w14:paraId="5045B12D" w14:textId="0C2BC9BA" w:rsidR="00247349" w:rsidRDefault="00247349" w:rsidP="0051540B">
      <w:pPr>
        <w:pStyle w:val="FootnoteText"/>
        <w:spacing w:line="360" w:lineRule="auto"/>
      </w:pPr>
      <w:r>
        <w:rPr>
          <w:rStyle w:val="FootnoteReference"/>
        </w:rPr>
        <w:footnoteRef/>
      </w:r>
      <w:r w:rsidRPr="0051540B">
        <w:t xml:space="preserve"> </w:t>
      </w:r>
      <w:proofErr w:type="gramStart"/>
      <w:r w:rsidRPr="0051540B">
        <w:t>Arts 9 (wounded, sick, shipwrecked persons) and 75 (general application) AP I.</w:t>
      </w:r>
      <w:proofErr w:type="gramEnd"/>
    </w:p>
  </w:footnote>
  <w:footnote w:id="4">
    <w:p w14:paraId="1CAAE38A" w14:textId="06E6AF0E" w:rsidR="00247349" w:rsidRDefault="00247349" w:rsidP="0051540B">
      <w:pPr>
        <w:pStyle w:val="FootnoteText"/>
        <w:spacing w:line="360" w:lineRule="auto"/>
      </w:pPr>
      <w:r>
        <w:rPr>
          <w:rStyle w:val="FootnoteReference"/>
        </w:rPr>
        <w:footnoteRef/>
      </w:r>
      <w:r w:rsidRPr="0051540B">
        <w:t xml:space="preserve"> See </w:t>
      </w:r>
      <w:r w:rsidRPr="00657935">
        <w:t>ICRC CIHL Study</w:t>
      </w:r>
      <w:r>
        <w:t>,</w:t>
      </w:r>
      <w:r w:rsidRPr="00DF65FC">
        <w:t xml:space="preserve"> </w:t>
      </w:r>
      <w:r w:rsidRPr="0051540B">
        <w:t>Rule 88 on Non-Discrimination.</w:t>
      </w:r>
    </w:p>
  </w:footnote>
  <w:footnote w:id="5">
    <w:p w14:paraId="62E7F6F4" w14:textId="6386B84F" w:rsidR="00247349" w:rsidRDefault="00247349" w:rsidP="0051540B">
      <w:pPr>
        <w:pStyle w:val="FootnoteText"/>
        <w:spacing w:line="360" w:lineRule="auto"/>
      </w:pPr>
      <w:r>
        <w:rPr>
          <w:rStyle w:val="FootnoteReference"/>
        </w:rPr>
        <w:footnoteRef/>
      </w:r>
      <w:r w:rsidRPr="0051540B">
        <w:t xml:space="preserve"> See</w:t>
      </w:r>
      <w:r>
        <w:t>,</w:t>
      </w:r>
      <w:r w:rsidRPr="0051540B">
        <w:t xml:space="preserve"> e.g.</w:t>
      </w:r>
      <w:r>
        <w:t>,</w:t>
      </w:r>
      <w:r w:rsidRPr="0051540B">
        <w:t xml:space="preserve"> Art 2 paras 2 and 3 International Covenant on Economic, Social and Cultural Rights (ICESCR) (1966)</w:t>
      </w:r>
      <w:r>
        <w:t>;</w:t>
      </w:r>
      <w:r w:rsidRPr="0051540B">
        <w:t xml:space="preserve"> Art 2 para 1 ICCPR</w:t>
      </w:r>
      <w:r>
        <w:t>;</w:t>
      </w:r>
      <w:r w:rsidRPr="0051540B">
        <w:t xml:space="preserve"> Art 1 para 3 UN Charter (1945).</w:t>
      </w:r>
    </w:p>
  </w:footnote>
  <w:footnote w:id="6">
    <w:p w14:paraId="77F9D5F7" w14:textId="1CC41E0B" w:rsidR="00247349" w:rsidRDefault="00247349" w:rsidP="0051540B">
      <w:pPr>
        <w:pStyle w:val="FootnoteText"/>
        <w:spacing w:line="360" w:lineRule="auto"/>
      </w:pPr>
      <w:r>
        <w:rPr>
          <w:rStyle w:val="FootnoteReference"/>
        </w:rPr>
        <w:footnoteRef/>
      </w:r>
      <w:r w:rsidRPr="0051540B">
        <w:t xml:space="preserve"> </w:t>
      </w:r>
      <w:proofErr w:type="gramStart"/>
      <w:r w:rsidRPr="0051540B">
        <w:t xml:space="preserve">CEDAW Committee, General Recommendation No 30, </w:t>
      </w:r>
      <w:r w:rsidRPr="00CE13AD">
        <w:t>supra n 1, para</w:t>
      </w:r>
      <w:r w:rsidRPr="0051540B">
        <w:t xml:space="preserve"> 20.</w:t>
      </w:r>
      <w:proofErr w:type="gramEnd"/>
    </w:p>
  </w:footnote>
  <w:footnote w:id="7">
    <w:p w14:paraId="46925114" w14:textId="540E0ABF" w:rsidR="00247349" w:rsidRDefault="00247349" w:rsidP="0051540B">
      <w:pPr>
        <w:pStyle w:val="FootnoteText"/>
        <w:spacing w:line="360" w:lineRule="auto"/>
      </w:pPr>
      <w:r>
        <w:rPr>
          <w:rStyle w:val="FootnoteReference"/>
        </w:rPr>
        <w:footnoteRef/>
      </w:r>
      <w:r w:rsidRPr="0051540B">
        <w:t xml:space="preserve"> </w:t>
      </w:r>
      <w:proofErr w:type="gramStart"/>
      <w:r w:rsidRPr="0051540B">
        <w:t>See</w:t>
      </w:r>
      <w:r>
        <w:t>,</w:t>
      </w:r>
      <w:r w:rsidRPr="0051540B">
        <w:t xml:space="preserve"> e.g.</w:t>
      </w:r>
      <w:r>
        <w:t>,</w:t>
      </w:r>
      <w:r w:rsidRPr="0051540B">
        <w:t xml:space="preserve"> Arts 12 para 4 GC I and GC II.</w:t>
      </w:r>
      <w:proofErr w:type="gramEnd"/>
    </w:p>
  </w:footnote>
  <w:footnote w:id="8">
    <w:p w14:paraId="763D38EA" w14:textId="37F444F7" w:rsidR="00247349" w:rsidRDefault="00247349" w:rsidP="0051540B">
      <w:pPr>
        <w:pStyle w:val="FootnoteText"/>
        <w:spacing w:line="360" w:lineRule="auto"/>
      </w:pPr>
      <w:r>
        <w:rPr>
          <w:rStyle w:val="FootnoteReference"/>
        </w:rPr>
        <w:footnoteRef/>
      </w:r>
      <w:r w:rsidRPr="0051540B">
        <w:t xml:space="preserve"> See UN, </w:t>
      </w:r>
      <w:r w:rsidRPr="0051540B">
        <w:rPr>
          <w:i/>
        </w:rPr>
        <w:t>Women, Peace and Security</w:t>
      </w:r>
      <w:r w:rsidRPr="0051540B">
        <w:t xml:space="preserve"> (United Nations, 2002), at 14</w:t>
      </w:r>
      <w:r>
        <w:t>–</w:t>
      </w:r>
      <w:r w:rsidRPr="0051540B">
        <w:t>15; CEDAW Committee, General Recommendation No 30</w:t>
      </w:r>
      <w:r w:rsidRPr="00CE13AD">
        <w:t>, supra n 1, para</w:t>
      </w:r>
      <w:r w:rsidRPr="0051540B">
        <w:t xml:space="preserve"> 34.</w:t>
      </w:r>
    </w:p>
  </w:footnote>
  <w:footnote w:id="9">
    <w:p w14:paraId="25BD623E" w14:textId="3106897A" w:rsidR="00247349" w:rsidRDefault="00247349" w:rsidP="0051540B">
      <w:pPr>
        <w:pStyle w:val="FootnoteText"/>
        <w:spacing w:line="360" w:lineRule="auto"/>
      </w:pPr>
      <w:r>
        <w:rPr>
          <w:rStyle w:val="FootnoteReference"/>
        </w:rPr>
        <w:footnoteRef/>
      </w:r>
      <w:r w:rsidRPr="0051540B">
        <w:t xml:space="preserve"> </w:t>
      </w:r>
      <w:proofErr w:type="spellStart"/>
      <w:r w:rsidRPr="0051540B">
        <w:t>Pictet</w:t>
      </w:r>
      <w:proofErr w:type="spellEnd"/>
      <w:r w:rsidRPr="0051540B">
        <w:t xml:space="preserve"> Commentary GC IV, at 205. </w:t>
      </w:r>
    </w:p>
  </w:footnote>
  <w:footnote w:id="10">
    <w:p w14:paraId="6D6EBA77" w14:textId="1DAEF651" w:rsidR="00247349" w:rsidRDefault="00247349" w:rsidP="0051540B">
      <w:pPr>
        <w:pStyle w:val="FootnoteText"/>
        <w:spacing w:line="360" w:lineRule="auto"/>
      </w:pPr>
      <w:r>
        <w:rPr>
          <w:rStyle w:val="FootnoteReference"/>
        </w:rPr>
        <w:footnoteRef/>
      </w:r>
      <w:r w:rsidRPr="0051540B">
        <w:t xml:space="preserve"> </w:t>
      </w:r>
      <w:proofErr w:type="gramStart"/>
      <w:r w:rsidRPr="0051540B">
        <w:t>See</w:t>
      </w:r>
      <w:r>
        <w:t>,</w:t>
      </w:r>
      <w:r w:rsidRPr="0051540B">
        <w:t xml:space="preserve"> e.g.</w:t>
      </w:r>
      <w:r>
        <w:t>,</w:t>
      </w:r>
      <w:r w:rsidRPr="0051540B">
        <w:t xml:space="preserve"> CEDAW.</w:t>
      </w:r>
      <w:proofErr w:type="gramEnd"/>
    </w:p>
  </w:footnote>
  <w:footnote w:id="11">
    <w:p w14:paraId="4BF44E2E" w14:textId="5F2D4530" w:rsidR="00247349" w:rsidRDefault="00247349" w:rsidP="0051540B">
      <w:pPr>
        <w:pStyle w:val="FootnoteText"/>
        <w:spacing w:line="360" w:lineRule="auto"/>
      </w:pPr>
      <w:r>
        <w:rPr>
          <w:rStyle w:val="FootnoteReference"/>
        </w:rPr>
        <w:footnoteRef/>
      </w:r>
      <w:r w:rsidRPr="0051540B">
        <w:t xml:space="preserve"> UNSC Res 1960 (2010) of 16 December 2010, Preamble; UNSC Res 1888 (2009) of 30 September 2009; UNSC Res 1894 (2009) of 11 November 2009, para</w:t>
      </w:r>
      <w:r>
        <w:t xml:space="preserve"> </w:t>
      </w:r>
      <w:r w:rsidRPr="0051540B">
        <w:t>21; 27</w:t>
      </w:r>
      <w:r>
        <w:rPr>
          <w:vertAlign w:val="superscript"/>
        </w:rPr>
        <w:t>th</w:t>
      </w:r>
      <w:r w:rsidRPr="0051540B">
        <w:t xml:space="preserve"> </w:t>
      </w:r>
      <w:r w:rsidRPr="0051540B">
        <w:rPr>
          <w:bCs/>
        </w:rPr>
        <w:t>International Conference of the Red Cross and Red Crescent, Plan of Action for the Years 2000</w:t>
      </w:r>
      <w:r>
        <w:rPr>
          <w:bCs/>
        </w:rPr>
        <w:t>–</w:t>
      </w:r>
      <w:r w:rsidRPr="0051540B">
        <w:rPr>
          <w:bCs/>
        </w:rPr>
        <w:t>2003 (1999).</w:t>
      </w:r>
    </w:p>
  </w:footnote>
  <w:footnote w:id="12">
    <w:p w14:paraId="76682ABA" w14:textId="382800BC" w:rsidR="00247349" w:rsidRDefault="00247349" w:rsidP="0051540B">
      <w:pPr>
        <w:spacing w:line="360" w:lineRule="auto"/>
        <w:rPr>
          <w:sz w:val="20"/>
          <w:szCs w:val="20"/>
        </w:rPr>
      </w:pPr>
      <w:r>
        <w:rPr>
          <w:rStyle w:val="FootnoteReference"/>
          <w:sz w:val="20"/>
          <w:szCs w:val="20"/>
        </w:rPr>
        <w:footnoteRef/>
      </w:r>
      <w:r w:rsidRPr="0051540B">
        <w:rPr>
          <w:sz w:val="20"/>
          <w:szCs w:val="20"/>
        </w:rPr>
        <w:t xml:space="preserve"> </w:t>
      </w:r>
      <w:proofErr w:type="gramStart"/>
      <w:r w:rsidRPr="0051540B">
        <w:rPr>
          <w:sz w:val="20"/>
          <w:szCs w:val="20"/>
        </w:rPr>
        <w:t>UNGA Res 3318 (XXI) of 14 December 1974,</w:t>
      </w:r>
      <w:r>
        <w:rPr>
          <w:sz w:val="20"/>
          <w:szCs w:val="20"/>
        </w:rPr>
        <w:t xml:space="preserve"> </w:t>
      </w:r>
      <w:r w:rsidRPr="00162294">
        <w:rPr>
          <w:sz w:val="20"/>
          <w:szCs w:val="20"/>
        </w:rPr>
        <w:t xml:space="preserve">Declaration on the Protection of Women and Children in Emergency and Armed Conflict, </w:t>
      </w:r>
      <w:r w:rsidRPr="0051540B">
        <w:rPr>
          <w:sz w:val="20"/>
          <w:szCs w:val="20"/>
        </w:rPr>
        <w:t>para 4.</w:t>
      </w:r>
      <w:proofErr w:type="gramEnd"/>
    </w:p>
  </w:footnote>
  <w:footnote w:id="13">
    <w:p w14:paraId="153C109E" w14:textId="4C1953B0" w:rsidR="00247349" w:rsidRDefault="00247349" w:rsidP="0051540B">
      <w:pPr>
        <w:pStyle w:val="FootnoteText"/>
        <w:spacing w:line="360" w:lineRule="auto"/>
      </w:pPr>
      <w:r>
        <w:rPr>
          <w:rStyle w:val="FootnoteReference"/>
        </w:rPr>
        <w:footnoteRef/>
      </w:r>
      <w:r w:rsidRPr="0051540B">
        <w:t xml:space="preserve"> See</w:t>
      </w:r>
      <w:r>
        <w:t>,</w:t>
      </w:r>
      <w:r w:rsidRPr="0051540B">
        <w:t xml:space="preserve"> e.g.</w:t>
      </w:r>
      <w:r>
        <w:t>,</w:t>
      </w:r>
      <w:r w:rsidRPr="0051540B">
        <w:t xml:space="preserve"> UNGA Res 48/104: Declaration on the Elimination of Violence Against Women of 20 December 1993, Preamble; </w:t>
      </w:r>
      <w:proofErr w:type="spellStart"/>
      <w:r w:rsidRPr="0051540B">
        <w:t>HRCouncil</w:t>
      </w:r>
      <w:proofErr w:type="spellEnd"/>
      <w:r w:rsidRPr="0051540B">
        <w:t xml:space="preserve">, Follow-up to Resolution 4/8 of 30 March 2007 Adopted by the Human Rights Council at its Fourth Session Entitled ‘Follow-up to Decision S-4/101 of 13 December 2006, adopted by the Council at its Fourth Special Session Entitled “Situation of Human Rights in Darfur”’ of 20 June 2007; </w:t>
      </w:r>
      <w:proofErr w:type="spellStart"/>
      <w:r w:rsidRPr="0051540B">
        <w:t>HRCouncil</w:t>
      </w:r>
      <w:proofErr w:type="spellEnd"/>
      <w:r w:rsidRPr="0051540B">
        <w:t xml:space="preserve"> Group of Experts on the Situation of Human Rights in Darfur, Res 6/35 of 14 December 2007.</w:t>
      </w:r>
    </w:p>
  </w:footnote>
  <w:footnote w:id="14">
    <w:p w14:paraId="06D7DAF1" w14:textId="77777777" w:rsidR="00247349" w:rsidRDefault="00247349" w:rsidP="00CE13AD">
      <w:pPr>
        <w:pStyle w:val="FootnoteText"/>
        <w:spacing w:line="360" w:lineRule="auto"/>
      </w:pPr>
      <w:r>
        <w:rPr>
          <w:rStyle w:val="FootnoteReference"/>
        </w:rPr>
        <w:footnoteRef/>
      </w:r>
      <w:r w:rsidRPr="0051540B">
        <w:t xml:space="preserve"> </w:t>
      </w:r>
      <w:proofErr w:type="gramStart"/>
      <w:r w:rsidRPr="0051540B">
        <w:t>Beijing Declaration and Platform for Action, Fourth World Conference on Women, A/CONF.177/20 (1995) and A/CONF.177/20/Add.1 (1995) of 15 September 1995, para 135.</w:t>
      </w:r>
      <w:proofErr w:type="gramEnd"/>
    </w:p>
  </w:footnote>
  <w:footnote w:id="15">
    <w:p w14:paraId="21F71037" w14:textId="77777777" w:rsidR="00247349" w:rsidRDefault="00247349" w:rsidP="00CE13AD">
      <w:pPr>
        <w:pStyle w:val="FootnoteText"/>
        <w:spacing w:line="360" w:lineRule="auto"/>
      </w:pPr>
      <w:r>
        <w:rPr>
          <w:rStyle w:val="FootnoteReference"/>
        </w:rPr>
        <w:footnoteRef/>
      </w:r>
      <w:r w:rsidRPr="0051540B">
        <w:t xml:space="preserve"> See also Declaration on the Elimination of Violence against Women, </w:t>
      </w:r>
      <w:r w:rsidRPr="00247349">
        <w:t>supra n 12,</w:t>
      </w:r>
      <w:r w:rsidRPr="0051540B">
        <w:t xml:space="preserve"> Preamble.</w:t>
      </w:r>
    </w:p>
  </w:footnote>
  <w:footnote w:id="16">
    <w:p w14:paraId="1E35DE75" w14:textId="77777777" w:rsidR="00247349" w:rsidRDefault="00247349" w:rsidP="00CE13AD">
      <w:pPr>
        <w:pStyle w:val="FootnoteText"/>
        <w:spacing w:line="360" w:lineRule="auto"/>
      </w:pPr>
      <w:r>
        <w:rPr>
          <w:rStyle w:val="FootnoteReference"/>
        </w:rPr>
        <w:footnoteRef/>
      </w:r>
      <w:r w:rsidRPr="0051540B">
        <w:t xml:space="preserve"> </w:t>
      </w:r>
      <w:proofErr w:type="gramStart"/>
      <w:r w:rsidRPr="0051540B">
        <w:t>UN Doc A/66/215 of 1 August 2011, para 40; UN Doc A/HRC/4/34 of 17 January 2007, para 63; UN Doc A/HRC/11/6/Add.5 of 27 May 2009, para 44; UN Doc A/HRC/7/6/Add.4 of 28 February 2008, para 101.</w:t>
      </w:r>
      <w:proofErr w:type="gramEnd"/>
    </w:p>
  </w:footnote>
  <w:footnote w:id="17">
    <w:p w14:paraId="3C56385E" w14:textId="6EDF7CBC" w:rsidR="00247349" w:rsidRDefault="00247349" w:rsidP="0051540B">
      <w:pPr>
        <w:pStyle w:val="FootnoteText"/>
        <w:spacing w:line="360" w:lineRule="auto"/>
      </w:pPr>
      <w:r>
        <w:rPr>
          <w:rStyle w:val="FootnoteReference"/>
        </w:rPr>
        <w:footnoteRef/>
      </w:r>
      <w:r>
        <w:t xml:space="preserve"> </w:t>
      </w:r>
      <w:proofErr w:type="gramStart"/>
      <w:r w:rsidRPr="0051540B">
        <w:t>UNSC Res 1325 (2000) of 31 October 2000, Preamble.</w:t>
      </w:r>
      <w:proofErr w:type="gramEnd"/>
      <w:r w:rsidRPr="0051540B">
        <w:t xml:space="preserve"> See also CEDAW Committee, General Recommendation No </w:t>
      </w:r>
      <w:r w:rsidRPr="00CE13AD">
        <w:t>30, supra n 1, para</w:t>
      </w:r>
      <w:r w:rsidRPr="0051540B">
        <w:t xml:space="preserve"> 35.</w:t>
      </w:r>
    </w:p>
  </w:footnote>
  <w:footnote w:id="18">
    <w:p w14:paraId="52BD461D" w14:textId="3BCC5E79" w:rsidR="00247349" w:rsidRDefault="00247349" w:rsidP="0051540B">
      <w:pPr>
        <w:pStyle w:val="FootnoteText"/>
        <w:spacing w:line="360" w:lineRule="auto"/>
      </w:pPr>
      <w:r>
        <w:rPr>
          <w:rStyle w:val="FootnoteReference"/>
        </w:rPr>
        <w:footnoteRef/>
      </w:r>
      <w:r w:rsidRPr="0051540B">
        <w:t xml:space="preserve"> </w:t>
      </w:r>
      <w:proofErr w:type="spellStart"/>
      <w:proofErr w:type="gramStart"/>
      <w:r w:rsidRPr="0051540B">
        <w:t>Pictet</w:t>
      </w:r>
      <w:proofErr w:type="spellEnd"/>
      <w:r w:rsidRPr="0051540B">
        <w:t xml:space="preserve"> Commentary GC I, at 135.</w:t>
      </w:r>
      <w:proofErr w:type="gramEnd"/>
    </w:p>
  </w:footnote>
  <w:footnote w:id="19">
    <w:p w14:paraId="4237A9D1" w14:textId="2A989D9A" w:rsidR="00247349" w:rsidRDefault="00247349" w:rsidP="0051540B">
      <w:pPr>
        <w:pStyle w:val="FootnoteText"/>
        <w:spacing w:line="360" w:lineRule="auto"/>
      </w:pPr>
      <w:r>
        <w:rPr>
          <w:rStyle w:val="FootnoteReference"/>
        </w:rPr>
        <w:footnoteRef/>
      </w:r>
      <w:r w:rsidRPr="0051540B">
        <w:t xml:space="preserve"> </w:t>
      </w:r>
      <w:proofErr w:type="gramStart"/>
      <w:r w:rsidRPr="0051540B">
        <w:t>Ibid, at 143</w:t>
      </w:r>
      <w:r>
        <w:t>–</w:t>
      </w:r>
      <w:r w:rsidRPr="0051540B">
        <w:t>46.</w:t>
      </w:r>
      <w:proofErr w:type="gramEnd"/>
    </w:p>
  </w:footnote>
  <w:footnote w:id="20">
    <w:p w14:paraId="6C7A8440" w14:textId="6E5C7018" w:rsidR="00247349" w:rsidRDefault="00247349" w:rsidP="0051540B">
      <w:pPr>
        <w:pStyle w:val="FootnoteText"/>
        <w:spacing w:line="360" w:lineRule="auto"/>
      </w:pPr>
      <w:r>
        <w:rPr>
          <w:rStyle w:val="FootnoteReference"/>
        </w:rPr>
        <w:footnoteRef/>
      </w:r>
      <w:r w:rsidRPr="0051540B">
        <w:t xml:space="preserve"> For Arts 12 para 4 GC I/GC II and </w:t>
      </w:r>
      <w:r>
        <w:t xml:space="preserve">Art </w:t>
      </w:r>
      <w:r w:rsidRPr="0051540B">
        <w:t xml:space="preserve">14 GC III to apply, the woman must fall within one of the categories enumerated in Arts 13 GC I/GC II and </w:t>
      </w:r>
      <w:r>
        <w:t xml:space="preserve">Art </w:t>
      </w:r>
      <w:r w:rsidRPr="0051540B">
        <w:t>4 GC III respectively.</w:t>
      </w:r>
    </w:p>
  </w:footnote>
  <w:footnote w:id="21">
    <w:p w14:paraId="33307679" w14:textId="6B4543AC" w:rsidR="00247349" w:rsidRDefault="00247349" w:rsidP="00776BE0">
      <w:pPr>
        <w:pStyle w:val="FootnoteText"/>
        <w:spacing w:line="360" w:lineRule="auto"/>
      </w:pPr>
      <w:r>
        <w:rPr>
          <w:rStyle w:val="FootnoteReference"/>
        </w:rPr>
        <w:footnoteRef/>
      </w:r>
      <w:r w:rsidRPr="0051540B">
        <w:t xml:space="preserve"> It must be noted that Art 27 GC IV does not protect women from the activities of the</w:t>
      </w:r>
      <w:r w:rsidRPr="00776BE0">
        <w:t xml:space="preserve"> </w:t>
      </w:r>
      <w:r>
        <w:t>s</w:t>
      </w:r>
      <w:r w:rsidRPr="00776BE0">
        <w:t xml:space="preserve">tate </w:t>
      </w:r>
      <w:r w:rsidRPr="0051540B">
        <w:t>of which they are a national.</w:t>
      </w:r>
    </w:p>
  </w:footnote>
  <w:footnote w:id="22">
    <w:p w14:paraId="653DD719" w14:textId="416F63C7" w:rsidR="00247349" w:rsidRDefault="00247349" w:rsidP="0051540B">
      <w:pPr>
        <w:spacing w:line="360" w:lineRule="auto"/>
        <w:jc w:val="left"/>
        <w:rPr>
          <w:sz w:val="20"/>
          <w:szCs w:val="20"/>
        </w:rPr>
      </w:pPr>
      <w:r>
        <w:rPr>
          <w:rStyle w:val="FootnoteReference"/>
          <w:sz w:val="20"/>
          <w:szCs w:val="20"/>
        </w:rPr>
        <w:footnoteRef/>
      </w:r>
      <w:r w:rsidRPr="0051540B">
        <w:rPr>
          <w:sz w:val="20"/>
          <w:szCs w:val="20"/>
        </w:rPr>
        <w:t xml:space="preserve"> </w:t>
      </w:r>
      <w:proofErr w:type="spellStart"/>
      <w:r w:rsidRPr="0051540B">
        <w:rPr>
          <w:sz w:val="20"/>
          <w:szCs w:val="20"/>
        </w:rPr>
        <w:t>Pictet</w:t>
      </w:r>
      <w:proofErr w:type="spellEnd"/>
      <w:r w:rsidRPr="0051540B">
        <w:rPr>
          <w:sz w:val="20"/>
          <w:szCs w:val="20"/>
        </w:rPr>
        <w:t xml:space="preserve"> Commentary GC IV, at 199</w:t>
      </w:r>
      <w:r>
        <w:rPr>
          <w:sz w:val="20"/>
          <w:szCs w:val="20"/>
        </w:rPr>
        <w:t>–</w:t>
      </w:r>
      <w:r w:rsidRPr="0051540B">
        <w:rPr>
          <w:sz w:val="20"/>
          <w:szCs w:val="20"/>
        </w:rPr>
        <w:t>200.</w:t>
      </w:r>
    </w:p>
  </w:footnote>
  <w:footnote w:id="23">
    <w:p w14:paraId="1071BD71" w14:textId="77777777" w:rsidR="00247349" w:rsidRDefault="00247349" w:rsidP="007043D8">
      <w:pPr>
        <w:pStyle w:val="FootnoteText"/>
        <w:spacing w:line="360" w:lineRule="auto"/>
      </w:pPr>
      <w:r>
        <w:rPr>
          <w:rStyle w:val="FootnoteReference"/>
        </w:rPr>
        <w:footnoteRef/>
      </w:r>
      <w:r w:rsidRPr="0051540B">
        <w:t xml:space="preserve"> See</w:t>
      </w:r>
      <w:r w:rsidRPr="007043D8">
        <w:t xml:space="preserve"> Commentary on Rule 134 </w:t>
      </w:r>
      <w:r w:rsidRPr="004959B1">
        <w:t>ICRC CIHL Study</w:t>
      </w:r>
      <w:r w:rsidRPr="007043D8">
        <w:t xml:space="preserve">. </w:t>
      </w:r>
    </w:p>
  </w:footnote>
  <w:footnote w:id="24">
    <w:p w14:paraId="767D45FB" w14:textId="492327A0" w:rsidR="00247349" w:rsidRDefault="00247349" w:rsidP="007043D8">
      <w:pPr>
        <w:pStyle w:val="FootnoteText"/>
        <w:spacing w:line="360" w:lineRule="auto"/>
      </w:pPr>
      <w:r>
        <w:rPr>
          <w:rStyle w:val="FootnoteReference"/>
        </w:rPr>
        <w:footnoteRef/>
      </w:r>
      <w:r w:rsidRPr="007043D8">
        <w:t xml:space="preserve"> See</w:t>
      </w:r>
      <w:r>
        <w:t xml:space="preserve"> </w:t>
      </w:r>
      <w:r w:rsidRPr="00CE13AD">
        <w:t>section B.I.</w:t>
      </w:r>
      <w:r>
        <w:t xml:space="preserve">, </w:t>
      </w:r>
      <w:r w:rsidR="002A65CB">
        <w:t>MN</w:t>
      </w:r>
      <w:r>
        <w:t xml:space="preserve"> 12–13.</w:t>
      </w:r>
    </w:p>
  </w:footnote>
  <w:footnote w:id="25">
    <w:p w14:paraId="3EF29549" w14:textId="486CA39C" w:rsidR="00247349" w:rsidRDefault="00247349" w:rsidP="0051540B">
      <w:pPr>
        <w:pStyle w:val="FootnoteText"/>
        <w:spacing w:line="360" w:lineRule="auto"/>
      </w:pPr>
      <w:r>
        <w:rPr>
          <w:rStyle w:val="FootnoteReference"/>
        </w:rPr>
        <w:footnoteRef/>
      </w:r>
      <w:r w:rsidRPr="0051540B">
        <w:t xml:space="preserve"> </w:t>
      </w:r>
      <w:proofErr w:type="spellStart"/>
      <w:r w:rsidRPr="0051540B">
        <w:t>Pictet</w:t>
      </w:r>
      <w:proofErr w:type="spellEnd"/>
      <w:r w:rsidRPr="0051540B">
        <w:t xml:space="preserve"> Commentary GC III, at 147.</w:t>
      </w:r>
    </w:p>
  </w:footnote>
  <w:footnote w:id="26">
    <w:p w14:paraId="7B55E8F5" w14:textId="0751B736" w:rsidR="00247349" w:rsidRDefault="00247349" w:rsidP="0051540B">
      <w:pPr>
        <w:pStyle w:val="FootnoteText"/>
        <w:spacing w:line="360" w:lineRule="auto"/>
      </w:pPr>
      <w:r>
        <w:rPr>
          <w:rStyle w:val="FootnoteReference"/>
        </w:rPr>
        <w:footnoteRef/>
      </w:r>
      <w:r w:rsidRPr="0051540B">
        <w:t xml:space="preserve"> </w:t>
      </w:r>
      <w:proofErr w:type="gramStart"/>
      <w:r w:rsidRPr="0051540B">
        <w:t xml:space="preserve">ICRC, </w:t>
      </w:r>
      <w:r w:rsidRPr="0051540B">
        <w:rPr>
          <w:i/>
        </w:rPr>
        <w:t>Model Manual on the Law of Armed Conflict for Armed Forces</w:t>
      </w:r>
      <w:r w:rsidRPr="0051540B">
        <w:t xml:space="preserve"> (Geneva: ICRC, 1999), para 1405.6.</w:t>
      </w:r>
      <w:proofErr w:type="gramEnd"/>
    </w:p>
  </w:footnote>
  <w:footnote w:id="27">
    <w:p w14:paraId="29D6FE3C" w14:textId="2AD918DA" w:rsidR="00247349" w:rsidRDefault="00247349" w:rsidP="0051540B">
      <w:pPr>
        <w:pStyle w:val="FootnoteText"/>
        <w:spacing w:line="360" w:lineRule="auto"/>
      </w:pPr>
      <w:r>
        <w:rPr>
          <w:rStyle w:val="FootnoteReference"/>
        </w:rPr>
        <w:footnoteRef/>
      </w:r>
      <w:r w:rsidRPr="0051540B">
        <w:t xml:space="preserve"> These three factors are particularly important in relation to women’s health. See</w:t>
      </w:r>
      <w:r>
        <w:t>,</w:t>
      </w:r>
      <w:r w:rsidRPr="0051540B">
        <w:t xml:space="preserve"> e.g.</w:t>
      </w:r>
      <w:r>
        <w:t>,</w:t>
      </w:r>
      <w:r w:rsidRPr="0051540B">
        <w:t xml:space="preserve"> CEDAW Committee, General Recommendation No 24 on Article 12: Women and Health, 1999, para 12(a), (b)</w:t>
      </w:r>
      <w:r>
        <w:t>,</w:t>
      </w:r>
      <w:r w:rsidRPr="0051540B">
        <w:t xml:space="preserve"> and (c).</w:t>
      </w:r>
    </w:p>
  </w:footnote>
  <w:footnote w:id="28">
    <w:p w14:paraId="7316AC93" w14:textId="516A9A12" w:rsidR="00247349" w:rsidRDefault="00247349" w:rsidP="0051540B">
      <w:pPr>
        <w:pStyle w:val="FootnoteText"/>
        <w:spacing w:line="360" w:lineRule="auto"/>
      </w:pPr>
      <w:r>
        <w:rPr>
          <w:rStyle w:val="FootnoteReference"/>
        </w:rPr>
        <w:footnoteRef/>
      </w:r>
      <w:r w:rsidRPr="0051540B">
        <w:t xml:space="preserve"> </w:t>
      </w:r>
      <w:proofErr w:type="gramStart"/>
      <w:r w:rsidRPr="0051540B">
        <w:t>See</w:t>
      </w:r>
      <w:r>
        <w:t>,</w:t>
      </w:r>
      <w:r w:rsidRPr="0051540B">
        <w:t xml:space="preserve"> e.g.</w:t>
      </w:r>
      <w:r>
        <w:t>,</w:t>
      </w:r>
      <w:r w:rsidRPr="0051540B">
        <w:t xml:space="preserve"> UN Doc </w:t>
      </w:r>
      <w:r w:rsidRPr="0051540B">
        <w:rPr>
          <w:color w:val="000000"/>
          <w:shd w:val="clear" w:color="auto" w:fill="FFFFFF"/>
        </w:rPr>
        <w:t>E/CN.4/RES/2003/45</w:t>
      </w:r>
      <w:r>
        <w:rPr>
          <w:bCs/>
          <w:color w:val="000000"/>
        </w:rPr>
        <w:t xml:space="preserve"> </w:t>
      </w:r>
      <w:r w:rsidRPr="0051540B">
        <w:rPr>
          <w:bCs/>
          <w:color w:val="000000"/>
        </w:rPr>
        <w:t xml:space="preserve">of 23 April 2003; UN Doc </w:t>
      </w:r>
      <w:r w:rsidRPr="0051540B">
        <w:rPr>
          <w:color w:val="000000"/>
          <w:shd w:val="clear" w:color="auto" w:fill="FFFFFF"/>
        </w:rPr>
        <w:t>E/CN.4/RES/2004/46 of 20 April 2004; UN Doc E/CN.4/RES/2005/41 of 19 April 2005.</w:t>
      </w:r>
      <w:proofErr w:type="gramEnd"/>
    </w:p>
  </w:footnote>
  <w:footnote w:id="29">
    <w:p w14:paraId="47E76E06" w14:textId="47FBFDBC" w:rsidR="00247349" w:rsidRDefault="00247349" w:rsidP="0051540B">
      <w:pPr>
        <w:pStyle w:val="FootnoteText"/>
        <w:spacing w:line="360" w:lineRule="auto"/>
      </w:pPr>
      <w:r>
        <w:rPr>
          <w:rStyle w:val="FootnoteReference"/>
        </w:rPr>
        <w:footnoteRef/>
      </w:r>
      <w:r w:rsidRPr="0051540B">
        <w:t xml:space="preserve"> </w:t>
      </w:r>
      <w:proofErr w:type="spellStart"/>
      <w:r w:rsidRPr="0051540B">
        <w:t>Pictet</w:t>
      </w:r>
      <w:proofErr w:type="spellEnd"/>
      <w:r w:rsidRPr="0051540B">
        <w:t xml:space="preserve"> Commentary GC IV, at 202.</w:t>
      </w:r>
    </w:p>
  </w:footnote>
  <w:footnote w:id="30">
    <w:p w14:paraId="1474C84E" w14:textId="2F862378" w:rsidR="00247349" w:rsidRDefault="00247349" w:rsidP="0051540B">
      <w:pPr>
        <w:pStyle w:val="FootnoteText"/>
        <w:spacing w:line="360" w:lineRule="auto"/>
      </w:pPr>
      <w:r>
        <w:rPr>
          <w:rStyle w:val="FootnoteReference"/>
        </w:rPr>
        <w:footnoteRef/>
      </w:r>
      <w:r w:rsidRPr="0051540B">
        <w:t xml:space="preserve"> </w:t>
      </w:r>
      <w:proofErr w:type="gramStart"/>
      <w:r w:rsidRPr="0051540B">
        <w:t>UN Doc E/CN.4/1998/54 of 26 January 1998, para 11.</w:t>
      </w:r>
      <w:proofErr w:type="gramEnd"/>
    </w:p>
  </w:footnote>
  <w:footnote w:id="31">
    <w:p w14:paraId="5F350FEE" w14:textId="77777777" w:rsidR="00247349" w:rsidRDefault="00247349" w:rsidP="0051540B">
      <w:pPr>
        <w:pStyle w:val="FootnoteText"/>
        <w:spacing w:line="360" w:lineRule="auto"/>
      </w:pPr>
      <w:r>
        <w:rPr>
          <w:rStyle w:val="FootnoteReference"/>
        </w:rPr>
        <w:footnoteRef/>
      </w:r>
      <w:r w:rsidRPr="0051540B">
        <w:t xml:space="preserve"> ICRC, </w:t>
      </w:r>
      <w:r w:rsidRPr="0051540B">
        <w:rPr>
          <w:i/>
        </w:rPr>
        <w:t>Addressing the Needs of Women Affected by Armed Conflict</w:t>
      </w:r>
      <w:r w:rsidRPr="0051540B">
        <w:t>, March 2004, at 10.</w:t>
      </w:r>
    </w:p>
  </w:footnote>
  <w:footnote w:id="32">
    <w:p w14:paraId="11B11520" w14:textId="7ECBECE6" w:rsidR="00247349" w:rsidRDefault="00247349" w:rsidP="0051540B">
      <w:pPr>
        <w:pStyle w:val="FootnoteText"/>
        <w:spacing w:line="360" w:lineRule="auto"/>
      </w:pPr>
      <w:r>
        <w:rPr>
          <w:rStyle w:val="FootnoteReference"/>
        </w:rPr>
        <w:footnoteRef/>
      </w:r>
      <w:r w:rsidRPr="0051540B">
        <w:t xml:space="preserve"> </w:t>
      </w:r>
      <w:proofErr w:type="gramStart"/>
      <w:r w:rsidRPr="0051540B">
        <w:t xml:space="preserve">ICTY, </w:t>
      </w:r>
      <w:r w:rsidRPr="0051540B">
        <w:rPr>
          <w:i/>
        </w:rPr>
        <w:t>The</w:t>
      </w:r>
      <w:r>
        <w:t xml:space="preserve"> </w:t>
      </w:r>
      <w:r w:rsidRPr="0051540B">
        <w:rPr>
          <w:i/>
          <w:iCs w:val="0"/>
        </w:rPr>
        <w:t xml:space="preserve">Prosecutor v </w:t>
      </w:r>
      <w:proofErr w:type="spellStart"/>
      <w:r w:rsidRPr="0051540B">
        <w:rPr>
          <w:i/>
          <w:iCs w:val="0"/>
        </w:rPr>
        <w:t>Furundžija</w:t>
      </w:r>
      <w:proofErr w:type="spellEnd"/>
      <w:r w:rsidRPr="0051540B">
        <w:rPr>
          <w:i/>
          <w:iCs w:val="0"/>
        </w:rPr>
        <w:t xml:space="preserve">, </w:t>
      </w:r>
      <w:r w:rsidRPr="0051540B">
        <w:t>Trial Chamber Judgment, IT-95-17/1-T, 10 December 1998</w:t>
      </w:r>
      <w:r w:rsidRPr="0051540B">
        <w:rPr>
          <w:iCs w:val="0"/>
        </w:rPr>
        <w:t>,</w:t>
      </w:r>
      <w:r w:rsidRPr="0051540B">
        <w:rPr>
          <w:i/>
          <w:iCs w:val="0"/>
        </w:rPr>
        <w:t xml:space="preserve"> </w:t>
      </w:r>
      <w:r w:rsidRPr="0051540B">
        <w:t>para 183.</w:t>
      </w:r>
      <w:proofErr w:type="gramEnd"/>
    </w:p>
  </w:footnote>
  <w:footnote w:id="33">
    <w:p w14:paraId="5184232C" w14:textId="19F2890A" w:rsidR="00247349" w:rsidRDefault="00247349" w:rsidP="0086634F">
      <w:pPr>
        <w:pStyle w:val="FootnoteText"/>
        <w:spacing w:line="360" w:lineRule="auto"/>
      </w:pPr>
      <w:r>
        <w:rPr>
          <w:rStyle w:val="FootnoteReference"/>
        </w:rPr>
        <w:footnoteRef/>
      </w:r>
      <w:r w:rsidRPr="0051540B">
        <w:t xml:space="preserve"> ICTR, </w:t>
      </w:r>
      <w:r w:rsidRPr="0051540B">
        <w:rPr>
          <w:i/>
        </w:rPr>
        <w:t>The</w:t>
      </w:r>
      <w:r>
        <w:t xml:space="preserve"> </w:t>
      </w:r>
      <w:r w:rsidRPr="0051540B">
        <w:rPr>
          <w:i/>
        </w:rPr>
        <w:t xml:space="preserve">Prosecutor v </w:t>
      </w:r>
      <w:proofErr w:type="spellStart"/>
      <w:r w:rsidRPr="0051540B">
        <w:rPr>
          <w:i/>
        </w:rPr>
        <w:t>Akayesu</w:t>
      </w:r>
      <w:proofErr w:type="spellEnd"/>
      <w:r w:rsidRPr="0051540B">
        <w:t xml:space="preserve">, Trial Chamber, Judgment, ICTR-96-4, 2 September 1998; </w:t>
      </w:r>
      <w:proofErr w:type="spellStart"/>
      <w:r w:rsidRPr="0051540B">
        <w:rPr>
          <w:i/>
          <w:iCs w:val="0"/>
        </w:rPr>
        <w:t>Furundžija</w:t>
      </w:r>
      <w:proofErr w:type="spellEnd"/>
      <w:r w:rsidRPr="00CE13AD">
        <w:rPr>
          <w:iCs w:val="0"/>
        </w:rPr>
        <w:t xml:space="preserve">, </w:t>
      </w:r>
      <w:r w:rsidRPr="00CE13AD">
        <w:t xml:space="preserve">supra n 31, para 183; ICTY, </w:t>
      </w:r>
      <w:r w:rsidRPr="00CE13AD">
        <w:rPr>
          <w:i/>
        </w:rPr>
        <w:t>The</w:t>
      </w:r>
      <w:r w:rsidRPr="00CE13AD">
        <w:t xml:space="preserve"> </w:t>
      </w:r>
      <w:r w:rsidRPr="00CE13AD">
        <w:rPr>
          <w:i/>
        </w:rPr>
        <w:t xml:space="preserve">Prosecutor v </w:t>
      </w:r>
      <w:proofErr w:type="spellStart"/>
      <w:r w:rsidRPr="00CE13AD">
        <w:rPr>
          <w:i/>
        </w:rPr>
        <w:t>Delalic</w:t>
      </w:r>
      <w:proofErr w:type="spellEnd"/>
      <w:r w:rsidRPr="00CE13AD">
        <w:rPr>
          <w:i/>
        </w:rPr>
        <w:t xml:space="preserve"> et al</w:t>
      </w:r>
      <w:r w:rsidRPr="00CE13AD">
        <w:t>, IT-96-21-A, Trial Chamber, Judgment, 16 November</w:t>
      </w:r>
      <w:r w:rsidRPr="0051540B">
        <w:t xml:space="preserve"> 1998, para 475.</w:t>
      </w:r>
    </w:p>
  </w:footnote>
  <w:footnote w:id="34">
    <w:p w14:paraId="554631D0" w14:textId="38C83FFA" w:rsidR="00247349" w:rsidRDefault="00247349" w:rsidP="0051540B">
      <w:pPr>
        <w:pStyle w:val="FootnoteText"/>
        <w:spacing w:line="360" w:lineRule="auto"/>
      </w:pPr>
      <w:r>
        <w:rPr>
          <w:rStyle w:val="FootnoteReference"/>
        </w:rPr>
        <w:footnoteRef/>
      </w:r>
      <w:r w:rsidRPr="0051540B">
        <w:t xml:space="preserve"> See </w:t>
      </w:r>
      <w:proofErr w:type="spellStart"/>
      <w:r w:rsidRPr="0051540B">
        <w:t>E</w:t>
      </w:r>
      <w:r>
        <w:t>CtHR</w:t>
      </w:r>
      <w:proofErr w:type="spellEnd"/>
      <w:r w:rsidRPr="0051540B">
        <w:t xml:space="preserve">, </w:t>
      </w:r>
      <w:r w:rsidRPr="0051540B">
        <w:rPr>
          <w:i/>
        </w:rPr>
        <w:t>Aydin v Turkey</w:t>
      </w:r>
      <w:r w:rsidRPr="0051540B">
        <w:t xml:space="preserve">, App </w:t>
      </w:r>
      <w:proofErr w:type="spellStart"/>
      <w:r w:rsidRPr="0051540B">
        <w:t>Nos</w:t>
      </w:r>
      <w:proofErr w:type="spellEnd"/>
      <w:r w:rsidRPr="0051540B">
        <w:t xml:space="preserve"> 28293/95, 29494/95</w:t>
      </w:r>
      <w:r>
        <w:t>,</w:t>
      </w:r>
      <w:r w:rsidRPr="0051540B">
        <w:t xml:space="preserve"> and 30219/96,</w:t>
      </w:r>
      <w:r w:rsidRPr="0051540B">
        <w:rPr>
          <w:color w:val="000000"/>
          <w:shd w:val="clear" w:color="auto" w:fill="FFFFFF"/>
        </w:rPr>
        <w:t xml:space="preserve"> Judgment, 25 September 1997; </w:t>
      </w:r>
      <w:proofErr w:type="spellStart"/>
      <w:r w:rsidRPr="0051540B">
        <w:rPr>
          <w:color w:val="000000"/>
          <w:shd w:val="clear" w:color="auto" w:fill="FFFFFF"/>
        </w:rPr>
        <w:t>I</w:t>
      </w:r>
      <w:r>
        <w:rPr>
          <w:color w:val="000000"/>
          <w:shd w:val="clear" w:color="auto" w:fill="FFFFFF"/>
        </w:rPr>
        <w:t>A</w:t>
      </w:r>
      <w:r w:rsidRPr="0051540B">
        <w:rPr>
          <w:color w:val="000000"/>
          <w:shd w:val="clear" w:color="auto" w:fill="FFFFFF"/>
        </w:rPr>
        <w:t>CommHR</w:t>
      </w:r>
      <w:proofErr w:type="spellEnd"/>
      <w:r w:rsidRPr="0051540B">
        <w:rPr>
          <w:color w:val="000000"/>
          <w:shd w:val="clear" w:color="auto" w:fill="FFFFFF"/>
        </w:rPr>
        <w:t xml:space="preserve">, </w:t>
      </w:r>
      <w:r w:rsidRPr="0051540B">
        <w:rPr>
          <w:i/>
          <w:color w:val="000000"/>
        </w:rPr>
        <w:t xml:space="preserve">Raquel Martín de </w:t>
      </w:r>
      <w:proofErr w:type="spellStart"/>
      <w:r w:rsidRPr="0051540B">
        <w:rPr>
          <w:i/>
          <w:color w:val="000000"/>
        </w:rPr>
        <w:t>Mejía</w:t>
      </w:r>
      <w:proofErr w:type="spellEnd"/>
      <w:r w:rsidRPr="0051540B">
        <w:rPr>
          <w:color w:val="000000"/>
        </w:rPr>
        <w:t>, 10.970 (Peru), Judgment, 1 March 1996.</w:t>
      </w:r>
    </w:p>
  </w:footnote>
  <w:footnote w:id="35">
    <w:p w14:paraId="00F1E8CF" w14:textId="513395FC" w:rsidR="00247349" w:rsidRDefault="00247349" w:rsidP="0051540B">
      <w:pPr>
        <w:pStyle w:val="FootnoteText"/>
        <w:spacing w:line="360" w:lineRule="auto"/>
      </w:pPr>
      <w:r>
        <w:rPr>
          <w:rStyle w:val="FootnoteReference"/>
        </w:rPr>
        <w:footnoteRef/>
      </w:r>
      <w:r w:rsidRPr="0051540B">
        <w:t xml:space="preserve"> See Art 1 para 3 AP I</w:t>
      </w:r>
      <w:r>
        <w:t>.</w:t>
      </w:r>
    </w:p>
  </w:footnote>
  <w:footnote w:id="36">
    <w:p w14:paraId="5B7D046C" w14:textId="430DC907" w:rsidR="00247349" w:rsidRDefault="00247349" w:rsidP="0051540B">
      <w:pPr>
        <w:pStyle w:val="FootnoteText"/>
        <w:spacing w:line="360" w:lineRule="auto"/>
      </w:pPr>
      <w:r>
        <w:rPr>
          <w:rStyle w:val="FootnoteReference"/>
        </w:rPr>
        <w:footnoteRef/>
      </w:r>
      <w:r w:rsidRPr="0051540B">
        <w:t xml:space="preserve"> </w:t>
      </w:r>
      <w:proofErr w:type="gramStart"/>
      <w:r w:rsidRPr="0051540B">
        <w:t>UN Doc ST/SGB/1999/13 of 6 August 1999 (Bulletin).</w:t>
      </w:r>
      <w:proofErr w:type="gramEnd"/>
    </w:p>
  </w:footnote>
  <w:footnote w:id="37">
    <w:p w14:paraId="661F780D" w14:textId="461CC854" w:rsidR="00247349" w:rsidRDefault="00247349" w:rsidP="0051540B">
      <w:pPr>
        <w:pStyle w:val="FootnoteText"/>
        <w:spacing w:line="360" w:lineRule="auto"/>
      </w:pPr>
      <w:r>
        <w:rPr>
          <w:rStyle w:val="FootnoteReference"/>
        </w:rPr>
        <w:footnoteRef/>
      </w:r>
      <w:r w:rsidRPr="0051540B">
        <w:t xml:space="preserve"> See </w:t>
      </w:r>
      <w:proofErr w:type="spellStart"/>
      <w:r w:rsidRPr="0051540B">
        <w:rPr>
          <w:i/>
        </w:rPr>
        <w:t>Akayesu</w:t>
      </w:r>
      <w:proofErr w:type="spellEnd"/>
      <w:r w:rsidRPr="0051540B">
        <w:t xml:space="preserve">, </w:t>
      </w:r>
      <w:r w:rsidRPr="00CE13AD">
        <w:t>supra n 32, para 688.</w:t>
      </w:r>
    </w:p>
  </w:footnote>
  <w:footnote w:id="38">
    <w:p w14:paraId="604D87B4" w14:textId="45454C30" w:rsidR="00247349" w:rsidRDefault="00247349" w:rsidP="0051540B">
      <w:pPr>
        <w:pStyle w:val="FootnoteText"/>
        <w:spacing w:line="360" w:lineRule="auto"/>
      </w:pPr>
      <w:r>
        <w:rPr>
          <w:rStyle w:val="FootnoteReference"/>
        </w:rPr>
        <w:footnoteRef/>
      </w:r>
      <w:r w:rsidRPr="0051540B">
        <w:t xml:space="preserve"> An in-depth discussion on these terms is provided in </w:t>
      </w:r>
      <w:proofErr w:type="spellStart"/>
      <w:r w:rsidRPr="00933114">
        <w:t>Ch</w:t>
      </w:r>
      <w:proofErr w:type="spellEnd"/>
      <w:r w:rsidRPr="00933114">
        <w:t xml:space="preserve"> 17</w:t>
      </w:r>
      <w:r w:rsidR="00933114">
        <w:t>, B.I</w:t>
      </w:r>
      <w:r w:rsidRPr="00933114">
        <w:t>.</w:t>
      </w:r>
    </w:p>
  </w:footnote>
  <w:footnote w:id="39">
    <w:p w14:paraId="195BDD55" w14:textId="3B8771DC" w:rsidR="00247349" w:rsidRPr="00CE13AD" w:rsidRDefault="00247349" w:rsidP="00C67E6C">
      <w:pPr>
        <w:pStyle w:val="FootnoteText"/>
        <w:spacing w:line="360" w:lineRule="auto"/>
        <w:rPr>
          <w:lang w:val="fr-CH"/>
        </w:rPr>
      </w:pPr>
      <w:r>
        <w:rPr>
          <w:rStyle w:val="FootnoteReference"/>
        </w:rPr>
        <w:footnoteRef/>
      </w:r>
      <w:r w:rsidRPr="0051540B">
        <w:rPr>
          <w:lang w:val="fr-CH"/>
        </w:rPr>
        <w:t xml:space="preserve"> </w:t>
      </w:r>
      <w:proofErr w:type="spellStart"/>
      <w:r w:rsidRPr="0051540B">
        <w:rPr>
          <w:i/>
          <w:lang w:val="fr-CH"/>
        </w:rPr>
        <w:t>Furundžija</w:t>
      </w:r>
      <w:proofErr w:type="spellEnd"/>
      <w:r w:rsidRPr="00CE13AD">
        <w:rPr>
          <w:lang w:val="fr-CH"/>
        </w:rPr>
        <w:t xml:space="preserve">, supra n 31, para 185. </w:t>
      </w:r>
    </w:p>
  </w:footnote>
  <w:footnote w:id="40">
    <w:p w14:paraId="7446D0A8" w14:textId="333B7B1B" w:rsidR="00247349" w:rsidRPr="0051540B" w:rsidRDefault="00247349" w:rsidP="00C67E6C">
      <w:pPr>
        <w:pStyle w:val="FootnoteText"/>
        <w:spacing w:line="360" w:lineRule="auto"/>
        <w:rPr>
          <w:lang w:val="fr-CH"/>
        </w:rPr>
      </w:pPr>
      <w:r w:rsidRPr="00CE13AD">
        <w:rPr>
          <w:rStyle w:val="FootnoteReference"/>
        </w:rPr>
        <w:footnoteRef/>
      </w:r>
      <w:r w:rsidRPr="00CE13AD">
        <w:rPr>
          <w:lang w:val="fr-CH"/>
        </w:rPr>
        <w:t xml:space="preserve"> </w:t>
      </w:r>
      <w:proofErr w:type="spellStart"/>
      <w:r w:rsidRPr="00CE13AD">
        <w:rPr>
          <w:i/>
          <w:lang w:val="fr-CH"/>
        </w:rPr>
        <w:t>Akayesu</w:t>
      </w:r>
      <w:proofErr w:type="spellEnd"/>
      <w:r w:rsidRPr="00CE13AD">
        <w:rPr>
          <w:lang w:val="fr-CH"/>
        </w:rPr>
        <w:t>, supra n 32, paras</w:t>
      </w:r>
      <w:r w:rsidRPr="0051540B">
        <w:rPr>
          <w:lang w:val="fr-CH"/>
        </w:rPr>
        <w:t xml:space="preserve"> 597</w:t>
      </w:r>
      <w:r>
        <w:rPr>
          <w:lang w:val="fr-CH"/>
        </w:rPr>
        <w:t>–</w:t>
      </w:r>
      <w:r w:rsidRPr="0051540B">
        <w:rPr>
          <w:lang w:val="fr-CH"/>
        </w:rPr>
        <w:t>98.</w:t>
      </w:r>
    </w:p>
  </w:footnote>
  <w:footnote w:id="41">
    <w:p w14:paraId="5BBFA182" w14:textId="746DBE8B" w:rsidR="00247349" w:rsidRDefault="00247349" w:rsidP="0051540B">
      <w:pPr>
        <w:pStyle w:val="FootnoteText"/>
        <w:spacing w:line="360" w:lineRule="auto"/>
      </w:pPr>
      <w:r>
        <w:rPr>
          <w:rStyle w:val="FootnoteReference"/>
        </w:rPr>
        <w:footnoteRef/>
      </w:r>
      <w:r w:rsidRPr="0051540B">
        <w:t xml:space="preserve"> </w:t>
      </w:r>
      <w:proofErr w:type="gramStart"/>
      <w:r w:rsidRPr="0051540B">
        <w:t xml:space="preserve">ICTY, </w:t>
      </w:r>
      <w:r w:rsidRPr="0051540B">
        <w:rPr>
          <w:i/>
        </w:rPr>
        <w:t>The</w:t>
      </w:r>
      <w:r>
        <w:t xml:space="preserve"> </w:t>
      </w:r>
      <w:r w:rsidRPr="0051540B">
        <w:rPr>
          <w:i/>
        </w:rPr>
        <w:t xml:space="preserve">Prosecutor v </w:t>
      </w:r>
      <w:proofErr w:type="spellStart"/>
      <w:r w:rsidRPr="0051540B">
        <w:rPr>
          <w:i/>
        </w:rPr>
        <w:t>Kunarac</w:t>
      </w:r>
      <w:proofErr w:type="spellEnd"/>
      <w:r w:rsidRPr="0051540B">
        <w:rPr>
          <w:i/>
        </w:rPr>
        <w:t xml:space="preserve">, </w:t>
      </w:r>
      <w:proofErr w:type="spellStart"/>
      <w:r w:rsidRPr="0051540B">
        <w:rPr>
          <w:i/>
        </w:rPr>
        <w:t>Kova</w:t>
      </w:r>
      <w:r>
        <w:rPr>
          <w:i/>
        </w:rPr>
        <w:t>č</w:t>
      </w:r>
      <w:proofErr w:type="spellEnd"/>
      <w:r w:rsidRPr="0051540B">
        <w:rPr>
          <w:i/>
        </w:rPr>
        <w:t xml:space="preserve"> and </w:t>
      </w:r>
      <w:proofErr w:type="spellStart"/>
      <w:r w:rsidRPr="0051540B">
        <w:rPr>
          <w:i/>
        </w:rPr>
        <w:t>Vukovi</w:t>
      </w:r>
      <w:r>
        <w:rPr>
          <w:i/>
        </w:rPr>
        <w:t>ć</w:t>
      </w:r>
      <w:proofErr w:type="spellEnd"/>
      <w:r w:rsidRPr="0051540B">
        <w:t>, Appeals Chamber, Judgment, IT-96-23&amp; IT-96-23/1-A, 12 June 2002, para 127.</w:t>
      </w:r>
      <w:proofErr w:type="gramEnd"/>
    </w:p>
  </w:footnote>
  <w:footnote w:id="42">
    <w:p w14:paraId="61A3E864" w14:textId="609FBC5F" w:rsidR="00247349" w:rsidRDefault="00247349" w:rsidP="0051540B">
      <w:pPr>
        <w:spacing w:line="360" w:lineRule="auto"/>
        <w:rPr>
          <w:sz w:val="20"/>
          <w:szCs w:val="20"/>
        </w:rPr>
      </w:pPr>
      <w:r>
        <w:rPr>
          <w:rStyle w:val="FootnoteReference"/>
          <w:sz w:val="20"/>
          <w:szCs w:val="20"/>
        </w:rPr>
        <w:footnoteRef/>
      </w:r>
      <w:r w:rsidRPr="0051540B">
        <w:rPr>
          <w:sz w:val="20"/>
          <w:szCs w:val="20"/>
        </w:rPr>
        <w:t xml:space="preserve"> See</w:t>
      </w:r>
      <w:r>
        <w:rPr>
          <w:sz w:val="20"/>
          <w:szCs w:val="20"/>
        </w:rPr>
        <w:t>,</w:t>
      </w:r>
      <w:r w:rsidRPr="0051540B">
        <w:rPr>
          <w:sz w:val="20"/>
          <w:szCs w:val="20"/>
        </w:rPr>
        <w:t xml:space="preserve"> e.g.</w:t>
      </w:r>
      <w:r>
        <w:rPr>
          <w:sz w:val="20"/>
          <w:szCs w:val="20"/>
        </w:rPr>
        <w:t>,</w:t>
      </w:r>
      <w:r w:rsidRPr="0051540B">
        <w:rPr>
          <w:sz w:val="20"/>
          <w:szCs w:val="20"/>
        </w:rPr>
        <w:t xml:space="preserve"> the crime of rape </w:t>
      </w:r>
      <w:r>
        <w:rPr>
          <w:sz w:val="20"/>
          <w:szCs w:val="20"/>
        </w:rPr>
        <w:t>a</w:t>
      </w:r>
      <w:r w:rsidRPr="0051540B">
        <w:rPr>
          <w:sz w:val="20"/>
          <w:szCs w:val="20"/>
        </w:rPr>
        <w:t>s defined in the Elements of Crime of the ICC Statute (Art 7</w:t>
      </w:r>
      <w:r>
        <w:rPr>
          <w:sz w:val="20"/>
          <w:szCs w:val="20"/>
        </w:rPr>
        <w:t>(</w:t>
      </w:r>
      <w:r w:rsidRPr="0051540B">
        <w:rPr>
          <w:sz w:val="20"/>
          <w:szCs w:val="20"/>
        </w:rPr>
        <w:t>1</w:t>
      </w:r>
      <w:r>
        <w:rPr>
          <w:sz w:val="20"/>
          <w:szCs w:val="20"/>
        </w:rPr>
        <w:t>)</w:t>
      </w:r>
      <w:r w:rsidRPr="0051540B">
        <w:rPr>
          <w:sz w:val="20"/>
          <w:szCs w:val="20"/>
        </w:rPr>
        <w:t>(g)(1) and Art 8</w:t>
      </w:r>
      <w:r>
        <w:rPr>
          <w:sz w:val="20"/>
          <w:szCs w:val="20"/>
        </w:rPr>
        <w:t>(</w:t>
      </w:r>
      <w:r w:rsidRPr="0051540B">
        <w:rPr>
          <w:sz w:val="20"/>
          <w:szCs w:val="20"/>
        </w:rPr>
        <w:t>2</w:t>
      </w:r>
      <w:r>
        <w:rPr>
          <w:sz w:val="20"/>
          <w:szCs w:val="20"/>
        </w:rPr>
        <w:t>)</w:t>
      </w:r>
      <w:r w:rsidRPr="0051540B">
        <w:rPr>
          <w:sz w:val="20"/>
          <w:szCs w:val="20"/>
        </w:rPr>
        <w:t>(b)(xxii)(1), with regard to rape as a crime against humanity and rape as a war crime respectively): ‘The perpetrator invaded</w:t>
      </w:r>
      <w:r>
        <w:rPr>
          <w:sz w:val="20"/>
          <w:szCs w:val="20"/>
        </w:rPr>
        <w:t xml:space="preserve"> </w:t>
      </w:r>
      <w:r w:rsidRPr="0051540B">
        <w:rPr>
          <w:sz w:val="20"/>
          <w:szCs w:val="20"/>
        </w:rPr>
        <w:t xml:space="preserve"> the body of a person by conduct resulting in penetration, however slight, of any part of the body of the victim or of the perpetrator with a sexual organ, or of the anal or genital opening of the victim with any object or any other part of the body</w:t>
      </w:r>
      <w:r w:rsidRPr="00B26200">
        <w:rPr>
          <w:sz w:val="20"/>
          <w:szCs w:val="20"/>
        </w:rPr>
        <w:t>.</w:t>
      </w:r>
      <w:r w:rsidRPr="0051540B">
        <w:rPr>
          <w:sz w:val="20"/>
          <w:szCs w:val="20"/>
        </w:rPr>
        <w:t>’</w:t>
      </w:r>
    </w:p>
  </w:footnote>
  <w:footnote w:id="43">
    <w:p w14:paraId="6817414E" w14:textId="5582B775" w:rsidR="00247349" w:rsidRPr="0051540B" w:rsidRDefault="00247349" w:rsidP="0051540B">
      <w:pPr>
        <w:pStyle w:val="FootnoteText"/>
        <w:spacing w:line="360" w:lineRule="auto"/>
      </w:pPr>
      <w:r>
        <w:rPr>
          <w:rStyle w:val="FootnoteReference"/>
        </w:rPr>
        <w:footnoteRef/>
      </w:r>
      <w:r w:rsidRPr="0051540B">
        <w:t xml:space="preserve"> </w:t>
      </w:r>
      <w:proofErr w:type="gramStart"/>
      <w:r w:rsidRPr="0051540B">
        <w:t>UN Doc E/CN.4/Sub.2/1998/13 of 22 June 1998, para 24.</w:t>
      </w:r>
      <w:proofErr w:type="gramEnd"/>
    </w:p>
  </w:footnote>
  <w:footnote w:id="44">
    <w:p w14:paraId="5F314CA3" w14:textId="1D315974" w:rsidR="00247349" w:rsidRDefault="00247349" w:rsidP="0051540B">
      <w:pPr>
        <w:pStyle w:val="FootnoteText"/>
        <w:spacing w:line="360" w:lineRule="auto"/>
      </w:pPr>
      <w:r>
        <w:rPr>
          <w:rStyle w:val="FootnoteReference"/>
        </w:rPr>
        <w:footnoteRef/>
      </w:r>
      <w:r w:rsidRPr="0051540B">
        <w:t xml:space="preserve"> </w:t>
      </w:r>
      <w:proofErr w:type="gramStart"/>
      <w:r w:rsidRPr="0051540B">
        <w:t>UN Doc E/CN.4/2001/73 of 23 January 2001, para 38.</w:t>
      </w:r>
      <w:proofErr w:type="gramEnd"/>
    </w:p>
  </w:footnote>
  <w:footnote w:id="45">
    <w:p w14:paraId="0155FA5C" w14:textId="5D495F81" w:rsidR="00247349" w:rsidRDefault="00247349" w:rsidP="00C67E6C">
      <w:pPr>
        <w:pStyle w:val="FootnoteText"/>
        <w:spacing w:line="360" w:lineRule="auto"/>
      </w:pPr>
      <w:r>
        <w:rPr>
          <w:rStyle w:val="FootnoteReference"/>
        </w:rPr>
        <w:footnoteRef/>
      </w:r>
      <w:r w:rsidRPr="0051540B">
        <w:t xml:space="preserve"> </w:t>
      </w:r>
      <w:proofErr w:type="gramStart"/>
      <w:r w:rsidRPr="0051540B">
        <w:t>See</w:t>
      </w:r>
      <w:r>
        <w:t>,</w:t>
      </w:r>
      <w:r w:rsidRPr="0051540B">
        <w:t xml:space="preserve"> e.g.</w:t>
      </w:r>
      <w:r>
        <w:t>,</w:t>
      </w:r>
      <w:r w:rsidRPr="0051540B">
        <w:t xml:space="preserve"> UN Doc E/CN.4/Sub.2/1998/13</w:t>
      </w:r>
      <w:r w:rsidRPr="003F70DB">
        <w:t>, supra n 42, para</w:t>
      </w:r>
      <w:r w:rsidRPr="0051540B">
        <w:t xml:space="preserve"> 31.</w:t>
      </w:r>
      <w:proofErr w:type="gramEnd"/>
    </w:p>
  </w:footnote>
  <w:footnote w:id="46">
    <w:p w14:paraId="5A725989" w14:textId="0449538C" w:rsidR="00247349" w:rsidRPr="003F70DB" w:rsidRDefault="00247349" w:rsidP="006D0ACC">
      <w:pPr>
        <w:pStyle w:val="FootnoteText"/>
        <w:spacing w:line="360" w:lineRule="auto"/>
      </w:pPr>
      <w:r>
        <w:rPr>
          <w:rStyle w:val="FootnoteReference"/>
        </w:rPr>
        <w:footnoteRef/>
      </w:r>
      <w:r w:rsidRPr="0051540B">
        <w:t xml:space="preserve"> </w:t>
      </w:r>
      <w:proofErr w:type="spellStart"/>
      <w:r w:rsidRPr="0051540B">
        <w:t>Pictet</w:t>
      </w:r>
      <w:proofErr w:type="spellEnd"/>
      <w:r w:rsidRPr="0051540B">
        <w:t xml:space="preserve"> Commentary GC IV, at 205. ‘Enforced prostitution’ was prohibited prior to </w:t>
      </w:r>
      <w:r>
        <w:t>the Second World War</w:t>
      </w:r>
      <w:r w:rsidRPr="0051540B">
        <w:t xml:space="preserve"> under the laws prohibiting the mistre</w:t>
      </w:r>
      <w:r w:rsidRPr="003F70DB">
        <w:t xml:space="preserve">atment of women (see </w:t>
      </w:r>
      <w:r w:rsidRPr="003F70DB">
        <w:rPr>
          <w:lang w:val="en-CA"/>
        </w:rPr>
        <w:t xml:space="preserve">UN Doc </w:t>
      </w:r>
      <w:r w:rsidRPr="003F70DB">
        <w:t>E/CN.4/Sub.2/1998/13, supra n 42, para 17).</w:t>
      </w:r>
    </w:p>
  </w:footnote>
  <w:footnote w:id="47">
    <w:p w14:paraId="6FE1CCDC" w14:textId="43E04614" w:rsidR="00247349" w:rsidRPr="0051540B" w:rsidRDefault="00247349" w:rsidP="006D0ACC">
      <w:pPr>
        <w:pStyle w:val="FootnoteText"/>
        <w:spacing w:line="360" w:lineRule="auto"/>
        <w:rPr>
          <w:lang w:val="fr-CH"/>
        </w:rPr>
      </w:pPr>
      <w:r w:rsidRPr="003F70DB">
        <w:rPr>
          <w:rStyle w:val="FootnoteReference"/>
        </w:rPr>
        <w:footnoteRef/>
      </w:r>
      <w:r w:rsidRPr="003F70DB">
        <w:rPr>
          <w:lang w:val="fr-CH"/>
        </w:rPr>
        <w:t xml:space="preserve"> UN Doc E/CN.4/Sub.2/1998/13, supra n 42,</w:t>
      </w:r>
      <w:r w:rsidRPr="0051540B">
        <w:rPr>
          <w:lang w:val="fr-CH"/>
        </w:rPr>
        <w:t xml:space="preserve"> para 42. </w:t>
      </w:r>
    </w:p>
  </w:footnote>
  <w:footnote w:id="48">
    <w:p w14:paraId="447D1566" w14:textId="61385AB7" w:rsidR="00247349" w:rsidRDefault="00247349" w:rsidP="0051540B">
      <w:pPr>
        <w:pStyle w:val="FootnoteText"/>
        <w:spacing w:line="360" w:lineRule="auto"/>
      </w:pPr>
      <w:r>
        <w:rPr>
          <w:rStyle w:val="FootnoteReference"/>
        </w:rPr>
        <w:footnoteRef/>
      </w:r>
      <w:r w:rsidRPr="0051540B">
        <w:rPr>
          <w:lang w:val="en-CA"/>
        </w:rPr>
        <w:t xml:space="preserve"> </w:t>
      </w:r>
      <w:proofErr w:type="gramStart"/>
      <w:r w:rsidRPr="0051540B">
        <w:rPr>
          <w:lang w:val="en-CA"/>
        </w:rPr>
        <w:t xml:space="preserve">Ibid, para </w:t>
      </w:r>
      <w:r w:rsidRPr="0051540B">
        <w:t>33.</w:t>
      </w:r>
      <w:proofErr w:type="gramEnd"/>
    </w:p>
  </w:footnote>
  <w:footnote w:id="49">
    <w:p w14:paraId="0DAABF1A" w14:textId="44D7490A" w:rsidR="00247349" w:rsidRPr="006D0ACC" w:rsidRDefault="00247349" w:rsidP="006D0ACC">
      <w:pPr>
        <w:pStyle w:val="FootnoteText"/>
        <w:spacing w:line="360" w:lineRule="auto"/>
      </w:pPr>
      <w:r>
        <w:rPr>
          <w:rStyle w:val="FootnoteReference"/>
        </w:rPr>
        <w:footnoteRef/>
      </w:r>
      <w:r w:rsidRPr="0051540B">
        <w:t xml:space="preserve"> </w:t>
      </w:r>
      <w:r>
        <w:t>This reflects the definitions of ‘sexual slavery’ and ‘enforced prostitution’ in the ICC</w:t>
      </w:r>
      <w:r w:rsidRPr="006D0ACC">
        <w:t xml:space="preserve"> </w:t>
      </w:r>
      <w:r>
        <w:t>E</w:t>
      </w:r>
      <w:r w:rsidRPr="006D0ACC">
        <w:t xml:space="preserve">lements of </w:t>
      </w:r>
      <w:r>
        <w:t>C</w:t>
      </w:r>
      <w:r w:rsidRPr="006D0ACC">
        <w:t>rime</w:t>
      </w:r>
      <w:r>
        <w:t xml:space="preserve">. With regard to sexual slavery, see </w:t>
      </w:r>
      <w:r w:rsidRPr="006D0ACC">
        <w:t>Article 7 para 1(g)</w:t>
      </w:r>
      <w:r>
        <w:t>-</w:t>
      </w:r>
      <w:r w:rsidRPr="006D0ACC">
        <w:t>2</w:t>
      </w:r>
      <w:r>
        <w:t xml:space="preserve"> (crime against humanity)</w:t>
      </w:r>
      <w:r w:rsidRPr="006D0ACC">
        <w:t xml:space="preserve"> and Article 8 para 2(b</w:t>
      </w:r>
      <w:proofErr w:type="gramStart"/>
      <w:r w:rsidRPr="006D0ACC">
        <w:t>)(</w:t>
      </w:r>
      <w:proofErr w:type="gramEnd"/>
      <w:r w:rsidRPr="006D0ACC">
        <w:t>xxii)(2)</w:t>
      </w:r>
      <w:r>
        <w:t xml:space="preserve"> (war crime) and with regard to </w:t>
      </w:r>
      <w:r w:rsidRPr="006D0ACC">
        <w:t>enforced prostitution</w:t>
      </w:r>
      <w:r>
        <w:t>, see</w:t>
      </w:r>
      <w:r w:rsidRPr="006D0ACC">
        <w:t xml:space="preserve"> Article 7 para</w:t>
      </w:r>
      <w:r>
        <w:t xml:space="preserve"> </w:t>
      </w:r>
      <w:r w:rsidRPr="006D0ACC">
        <w:t>1(g)</w:t>
      </w:r>
      <w:r>
        <w:t>-</w:t>
      </w:r>
      <w:r w:rsidRPr="006D0ACC">
        <w:t>3</w:t>
      </w:r>
      <w:r>
        <w:t xml:space="preserve"> (crime against humanity)</w:t>
      </w:r>
      <w:r w:rsidRPr="006D0ACC">
        <w:t xml:space="preserve"> and Article 8 para 2(b)(xxii)(3)</w:t>
      </w:r>
      <w:r>
        <w:t xml:space="preserve"> (war crime)</w:t>
      </w:r>
      <w:r w:rsidRPr="006D0ACC">
        <w:t xml:space="preserve">. </w:t>
      </w:r>
    </w:p>
  </w:footnote>
  <w:footnote w:id="50">
    <w:p w14:paraId="6A720223" w14:textId="5AAA7177" w:rsidR="00247349" w:rsidRDefault="00247349" w:rsidP="006D0ACC">
      <w:pPr>
        <w:pStyle w:val="FootnoteText"/>
        <w:spacing w:line="360" w:lineRule="auto"/>
      </w:pPr>
      <w:r>
        <w:rPr>
          <w:rStyle w:val="FootnoteReference"/>
        </w:rPr>
        <w:footnoteRef/>
      </w:r>
      <w:r w:rsidRPr="0051540B">
        <w:t xml:space="preserve"> In </w:t>
      </w:r>
      <w:proofErr w:type="spellStart"/>
      <w:r w:rsidRPr="0051540B">
        <w:rPr>
          <w:i/>
        </w:rPr>
        <w:t>Furundžija</w:t>
      </w:r>
      <w:proofErr w:type="spellEnd"/>
      <w:r w:rsidRPr="0051540B">
        <w:t xml:space="preserve"> the ICTY stated that rape </w:t>
      </w:r>
      <w:r>
        <w:t>w</w:t>
      </w:r>
      <w:r w:rsidRPr="0051540B">
        <w:t>as the most serious manifestation of sexual assault</w:t>
      </w:r>
      <w:r>
        <w:t>;</w:t>
      </w:r>
      <w:r w:rsidRPr="0051540B">
        <w:t xml:space="preserve"> </w:t>
      </w:r>
      <w:proofErr w:type="spellStart"/>
      <w:r w:rsidRPr="0051540B">
        <w:rPr>
          <w:i/>
        </w:rPr>
        <w:t>Furundžija</w:t>
      </w:r>
      <w:proofErr w:type="spellEnd"/>
      <w:r w:rsidRPr="0051540B">
        <w:t xml:space="preserve">, </w:t>
      </w:r>
      <w:r w:rsidRPr="003F70DB">
        <w:t>supra n 31</w:t>
      </w:r>
      <w:r w:rsidRPr="006D0ACC">
        <w:t xml:space="preserve">, </w:t>
      </w:r>
      <w:r w:rsidRPr="0051540B">
        <w:t xml:space="preserve">para 175. </w:t>
      </w:r>
    </w:p>
  </w:footnote>
  <w:footnote w:id="51">
    <w:p w14:paraId="32C8F3AC" w14:textId="56C82A31" w:rsidR="00247349" w:rsidRDefault="00247349" w:rsidP="0051540B">
      <w:pPr>
        <w:pStyle w:val="FootnoteText"/>
        <w:spacing w:line="360" w:lineRule="auto"/>
      </w:pPr>
      <w:r>
        <w:rPr>
          <w:rStyle w:val="FootnoteReference"/>
        </w:rPr>
        <w:footnoteRef/>
      </w:r>
      <w:r w:rsidRPr="0051540B">
        <w:t xml:space="preserve"> </w:t>
      </w:r>
      <w:proofErr w:type="gramStart"/>
      <w:r w:rsidRPr="0051540B">
        <w:t>UN Doc A/66/657–S/2012/33 of 13 January 2012, para 3.</w:t>
      </w:r>
      <w:proofErr w:type="gramEnd"/>
      <w:r w:rsidRPr="0051540B">
        <w:t xml:space="preserve"> </w:t>
      </w:r>
      <w:r>
        <w:t>Sexual violence is defined in the ICC</w:t>
      </w:r>
      <w:r w:rsidRPr="0051540B">
        <w:t xml:space="preserve"> </w:t>
      </w:r>
      <w:r>
        <w:t>E</w:t>
      </w:r>
      <w:r w:rsidRPr="0051540B">
        <w:t xml:space="preserve">lements of </w:t>
      </w:r>
      <w:r>
        <w:t>C</w:t>
      </w:r>
      <w:r w:rsidRPr="0051540B">
        <w:t>rime in Art 7</w:t>
      </w:r>
      <w:r>
        <w:t>(</w:t>
      </w:r>
      <w:r w:rsidRPr="0051540B">
        <w:t>1</w:t>
      </w:r>
      <w:proofErr w:type="gramStart"/>
      <w:r>
        <w:t>)</w:t>
      </w:r>
      <w:r w:rsidRPr="0051540B">
        <w:t>(</w:t>
      </w:r>
      <w:proofErr w:type="gramEnd"/>
      <w:r w:rsidRPr="0051540B">
        <w:t>g)</w:t>
      </w:r>
      <w:r>
        <w:t>-</w:t>
      </w:r>
      <w:r w:rsidRPr="0051540B">
        <w:t xml:space="preserve">6 </w:t>
      </w:r>
      <w:r>
        <w:t xml:space="preserve">(crime against humanity) </w:t>
      </w:r>
      <w:r w:rsidRPr="0051540B">
        <w:t>and in Art 8</w:t>
      </w:r>
      <w:r>
        <w:t>(</w:t>
      </w:r>
      <w:r w:rsidRPr="0051540B">
        <w:t>2</w:t>
      </w:r>
      <w:r>
        <w:t>)</w:t>
      </w:r>
      <w:r w:rsidRPr="0051540B">
        <w:t>(b)(xxii)(6) and Art 8</w:t>
      </w:r>
      <w:r>
        <w:t>(</w:t>
      </w:r>
      <w:r w:rsidRPr="0051540B">
        <w:t>2</w:t>
      </w:r>
      <w:r>
        <w:t>)</w:t>
      </w:r>
      <w:r w:rsidRPr="0051540B">
        <w:t>(e)(vi)(6)</w:t>
      </w:r>
      <w:r>
        <w:t xml:space="preserve"> (war crime)</w:t>
      </w:r>
      <w:r w:rsidRPr="0051540B">
        <w:t>.</w:t>
      </w:r>
    </w:p>
  </w:footnote>
  <w:footnote w:id="52">
    <w:p w14:paraId="6238EA18" w14:textId="2BDA367C" w:rsidR="00247349" w:rsidRPr="00247349" w:rsidRDefault="00247349" w:rsidP="0051540B">
      <w:pPr>
        <w:pStyle w:val="FootnoteText"/>
        <w:spacing w:line="360" w:lineRule="auto"/>
        <w:rPr>
          <w:lang w:val="fr-FR"/>
        </w:rPr>
      </w:pPr>
      <w:r>
        <w:rPr>
          <w:rStyle w:val="FootnoteReference"/>
        </w:rPr>
        <w:footnoteRef/>
      </w:r>
      <w:r w:rsidRPr="00D01EEF">
        <w:rPr>
          <w:lang w:val="fr-FR"/>
        </w:rPr>
        <w:t xml:space="preserve"> UN Doc E/CN.4/Sub.2</w:t>
      </w:r>
      <w:r w:rsidRPr="00247349">
        <w:rPr>
          <w:lang w:val="fr-FR"/>
        </w:rPr>
        <w:t>/1998/13, supra n 42, at para 22.</w:t>
      </w:r>
    </w:p>
  </w:footnote>
  <w:footnote w:id="53">
    <w:p w14:paraId="3C79880A" w14:textId="622F2B00" w:rsidR="00247349" w:rsidRPr="00CF7C6A" w:rsidRDefault="00247349" w:rsidP="0051540B">
      <w:pPr>
        <w:pStyle w:val="FootnoteText"/>
        <w:spacing w:line="360" w:lineRule="auto"/>
      </w:pPr>
      <w:r w:rsidRPr="00247349">
        <w:rPr>
          <w:rStyle w:val="FootnoteReference"/>
        </w:rPr>
        <w:footnoteRef/>
      </w:r>
      <w:r w:rsidRPr="00CF7C6A">
        <w:t xml:space="preserve"> </w:t>
      </w:r>
      <w:proofErr w:type="spellStart"/>
      <w:proofErr w:type="gramStart"/>
      <w:r w:rsidRPr="00CF7C6A">
        <w:rPr>
          <w:i/>
        </w:rPr>
        <w:t>Akayesu</w:t>
      </w:r>
      <w:proofErr w:type="spellEnd"/>
      <w:r w:rsidRPr="00CF7C6A">
        <w:t>, supra n 32, para 688.</w:t>
      </w:r>
      <w:proofErr w:type="gramEnd"/>
      <w:r w:rsidRPr="00CF7C6A">
        <w:t xml:space="preserve"> </w:t>
      </w:r>
    </w:p>
  </w:footnote>
  <w:footnote w:id="54">
    <w:p w14:paraId="1D64C200" w14:textId="469183A1" w:rsidR="00247349" w:rsidRDefault="00247349" w:rsidP="0051540B">
      <w:pPr>
        <w:pStyle w:val="FootnoteText"/>
        <w:spacing w:line="360" w:lineRule="auto"/>
      </w:pPr>
      <w:r>
        <w:rPr>
          <w:rStyle w:val="FootnoteReference"/>
        </w:rPr>
        <w:footnoteRef/>
      </w:r>
      <w:r w:rsidRPr="0051540B">
        <w:t xml:space="preserve"> U</w:t>
      </w:r>
      <w:r>
        <w:t>NGA</w:t>
      </w:r>
      <w:r w:rsidRPr="0051540B">
        <w:t>, 66</w:t>
      </w:r>
      <w:r>
        <w:rPr>
          <w:vertAlign w:val="superscript"/>
        </w:rPr>
        <w:t>th</w:t>
      </w:r>
      <w:r w:rsidRPr="0051540B">
        <w:t xml:space="preserve"> Session, Third Committee, Items 28 of the Agenda, Statement by the International Committee of the Red Cross (ICRC), New York, 13 October 2011 (ICRC Statement 2011).</w:t>
      </w:r>
    </w:p>
  </w:footnote>
  <w:footnote w:id="55">
    <w:p w14:paraId="3D732FB9" w14:textId="77777777" w:rsidR="00247349" w:rsidRDefault="00247349" w:rsidP="0051540B">
      <w:pPr>
        <w:pStyle w:val="FootnoteText"/>
        <w:spacing w:line="360" w:lineRule="auto"/>
      </w:pPr>
      <w:r>
        <w:rPr>
          <w:rStyle w:val="FootnoteReference"/>
        </w:rPr>
        <w:footnoteRef/>
      </w:r>
      <w:r w:rsidRPr="0051540B">
        <w:t xml:space="preserve"> </w:t>
      </w:r>
      <w:proofErr w:type="gramStart"/>
      <w:r w:rsidRPr="0051540B">
        <w:t>26</w:t>
      </w:r>
      <w:r>
        <w:rPr>
          <w:vertAlign w:val="superscript"/>
        </w:rPr>
        <w:t>th</w:t>
      </w:r>
      <w:r w:rsidRPr="0051540B">
        <w:t xml:space="preserve"> Conference of the Red Cross and Red Crescent of 7 December 1995, Resolution 2.</w:t>
      </w:r>
      <w:proofErr w:type="gramEnd"/>
    </w:p>
  </w:footnote>
  <w:footnote w:id="56">
    <w:p w14:paraId="06FAAF1E" w14:textId="796E5A92" w:rsidR="00247349" w:rsidRDefault="00247349" w:rsidP="0051540B">
      <w:pPr>
        <w:pStyle w:val="FootnoteText"/>
        <w:spacing w:line="360" w:lineRule="auto"/>
      </w:pPr>
      <w:r>
        <w:rPr>
          <w:rStyle w:val="FootnoteReference"/>
        </w:rPr>
        <w:footnoteRef/>
      </w:r>
      <w:r w:rsidRPr="0051540B">
        <w:t xml:space="preserve"> F. Krill, ‘The Protection of Women in International Humanitarian Law’, 249 </w:t>
      </w:r>
      <w:r w:rsidRPr="0051540B">
        <w:rPr>
          <w:i/>
        </w:rPr>
        <w:t>IRRC</w:t>
      </w:r>
      <w:r w:rsidRPr="0051540B">
        <w:t xml:space="preserve"> (1985) 337, 348. Generally</w:t>
      </w:r>
      <w:r>
        <w:t>,</w:t>
      </w:r>
      <w:r w:rsidRPr="0051540B">
        <w:t xml:space="preserve"> women are associated with the wounded and sick, see Art</w:t>
      </w:r>
      <w:r>
        <w:t>s</w:t>
      </w:r>
      <w:r w:rsidRPr="0051540B">
        <w:t xml:space="preserve"> 12 GC</w:t>
      </w:r>
      <w:r>
        <w:t xml:space="preserve"> </w:t>
      </w:r>
      <w:r w:rsidRPr="0051540B">
        <w:t>I</w:t>
      </w:r>
      <w:r>
        <w:t>/</w:t>
      </w:r>
      <w:r w:rsidRPr="0051540B">
        <w:t>GC</w:t>
      </w:r>
      <w:r>
        <w:t xml:space="preserve"> </w:t>
      </w:r>
      <w:r w:rsidRPr="0051540B">
        <w:t>II.</w:t>
      </w:r>
    </w:p>
  </w:footnote>
  <w:footnote w:id="57">
    <w:p w14:paraId="5A1CBC62" w14:textId="4D804E66" w:rsidR="00247349" w:rsidRDefault="00247349" w:rsidP="0051540B">
      <w:pPr>
        <w:pStyle w:val="FootnoteText"/>
        <w:spacing w:line="360" w:lineRule="auto"/>
      </w:pPr>
      <w:r>
        <w:rPr>
          <w:rStyle w:val="FootnoteReference"/>
        </w:rPr>
        <w:footnoteRef/>
      </w:r>
      <w:r w:rsidRPr="0051540B">
        <w:t xml:space="preserve"> Art 8 AP I.</w:t>
      </w:r>
    </w:p>
  </w:footnote>
  <w:footnote w:id="58">
    <w:p w14:paraId="1B73D512" w14:textId="4E4C6C01" w:rsidR="00247349" w:rsidRDefault="00247349" w:rsidP="0051540B">
      <w:pPr>
        <w:pStyle w:val="FootnoteText"/>
        <w:spacing w:line="360" w:lineRule="auto"/>
      </w:pPr>
      <w:r>
        <w:rPr>
          <w:rStyle w:val="FootnoteReference"/>
        </w:rPr>
        <w:footnoteRef/>
      </w:r>
      <w:r w:rsidRPr="0051540B">
        <w:t xml:space="preserve"> </w:t>
      </w:r>
      <w:proofErr w:type="spellStart"/>
      <w:r w:rsidRPr="0051540B">
        <w:t>Pictet</w:t>
      </w:r>
      <w:proofErr w:type="spellEnd"/>
      <w:r w:rsidRPr="0051540B">
        <w:t xml:space="preserve"> Commentary GC IV, at 126.</w:t>
      </w:r>
    </w:p>
  </w:footnote>
  <w:footnote w:id="59">
    <w:p w14:paraId="45C1C25F" w14:textId="59AC647B" w:rsidR="00247349" w:rsidRDefault="00247349" w:rsidP="0051540B">
      <w:pPr>
        <w:pStyle w:val="FootnoteText"/>
        <w:spacing w:line="360" w:lineRule="auto"/>
      </w:pPr>
      <w:r>
        <w:rPr>
          <w:rStyle w:val="FootnoteReference"/>
        </w:rPr>
        <w:footnoteRef/>
      </w:r>
      <w:r w:rsidRPr="0051540B">
        <w:t xml:space="preserve"> The expression ‘</w:t>
      </w:r>
      <w:proofErr w:type="gramStart"/>
      <w:r w:rsidRPr="0051540B">
        <w:rPr>
          <w:i/>
        </w:rPr>
        <w:t>femmes</w:t>
      </w:r>
      <w:proofErr w:type="gramEnd"/>
      <w:r w:rsidRPr="0051540B">
        <w:rPr>
          <w:i/>
        </w:rPr>
        <w:t xml:space="preserve"> </w:t>
      </w:r>
      <w:proofErr w:type="spellStart"/>
      <w:r w:rsidRPr="0051540B">
        <w:rPr>
          <w:i/>
        </w:rPr>
        <w:t>en</w:t>
      </w:r>
      <w:proofErr w:type="spellEnd"/>
      <w:r w:rsidRPr="0051540B">
        <w:rPr>
          <w:i/>
        </w:rPr>
        <w:t xml:space="preserve"> </w:t>
      </w:r>
      <w:proofErr w:type="spellStart"/>
      <w:r w:rsidRPr="0051540B">
        <w:rPr>
          <w:i/>
        </w:rPr>
        <w:t>couche</w:t>
      </w:r>
      <w:proofErr w:type="spellEnd"/>
      <w:r w:rsidRPr="0051540B">
        <w:t>’ in the French version of the GCs confirms this interpretation.</w:t>
      </w:r>
    </w:p>
  </w:footnote>
  <w:footnote w:id="60">
    <w:p w14:paraId="354A7E25" w14:textId="107C946C" w:rsidR="00247349" w:rsidRDefault="00247349" w:rsidP="0051540B">
      <w:pPr>
        <w:pStyle w:val="FootnoteText"/>
        <w:spacing w:line="360" w:lineRule="auto"/>
      </w:pPr>
      <w:r>
        <w:rPr>
          <w:rStyle w:val="FootnoteReference"/>
        </w:rPr>
        <w:footnoteRef/>
      </w:r>
      <w:r>
        <w:t xml:space="preserve"> </w:t>
      </w:r>
      <w:proofErr w:type="gramStart"/>
      <w:r>
        <w:t>ICRC Commentary APs</w:t>
      </w:r>
      <w:r w:rsidRPr="0051540B">
        <w:t>, Art 70 AP I.</w:t>
      </w:r>
      <w:proofErr w:type="gramEnd"/>
    </w:p>
  </w:footnote>
  <w:footnote w:id="61">
    <w:p w14:paraId="05D61DCC" w14:textId="353A72B5" w:rsidR="00247349" w:rsidRDefault="00247349" w:rsidP="0051540B">
      <w:pPr>
        <w:pStyle w:val="FootnoteText"/>
        <w:spacing w:line="360" w:lineRule="auto"/>
      </w:pPr>
      <w:r>
        <w:rPr>
          <w:rStyle w:val="FootnoteReference"/>
        </w:rPr>
        <w:footnoteRef/>
      </w:r>
      <w:r w:rsidRPr="0051540B">
        <w:t xml:space="preserve"> ‘Personal safety’ is defined as ‘safety from dangers, acts of violence of threats thereof against members of the </w:t>
      </w:r>
      <w:r w:rsidRPr="002A65CB">
        <w:t xml:space="preserve">civilian population not or no longer taking a direct part in hostilities’. </w:t>
      </w:r>
      <w:proofErr w:type="gramStart"/>
      <w:r w:rsidRPr="002A65CB">
        <w:t xml:space="preserve">ICRC, </w:t>
      </w:r>
      <w:r w:rsidRPr="002A65CB">
        <w:rPr>
          <w:i/>
        </w:rPr>
        <w:t>Addressing the Needs of Women</w:t>
      </w:r>
      <w:r w:rsidRPr="002A65CB">
        <w:t>, supra n 30</w:t>
      </w:r>
      <w:r w:rsidRPr="0051540B">
        <w:t>, at 17.</w:t>
      </w:r>
      <w:proofErr w:type="gramEnd"/>
    </w:p>
  </w:footnote>
  <w:footnote w:id="62">
    <w:p w14:paraId="0241D21C" w14:textId="65118262" w:rsidR="00247349" w:rsidRDefault="00247349" w:rsidP="0051540B">
      <w:pPr>
        <w:pStyle w:val="FootnoteText"/>
        <w:spacing w:line="360" w:lineRule="auto"/>
      </w:pPr>
      <w:r>
        <w:rPr>
          <w:rStyle w:val="FootnoteReference"/>
        </w:rPr>
        <w:footnoteRef/>
      </w:r>
      <w:r w:rsidRPr="0051540B">
        <w:t xml:space="preserve"> See examples provided in the practice relating to Rule 35 ICRC CIHL Study.</w:t>
      </w:r>
    </w:p>
  </w:footnote>
  <w:footnote w:id="63">
    <w:p w14:paraId="32263C16" w14:textId="333691DE" w:rsidR="00247349" w:rsidRPr="007043D8" w:rsidRDefault="00247349" w:rsidP="007043D8">
      <w:pPr>
        <w:pStyle w:val="FootnoteText"/>
        <w:spacing w:line="360" w:lineRule="auto"/>
      </w:pPr>
      <w:r>
        <w:rPr>
          <w:rStyle w:val="FootnoteReference"/>
        </w:rPr>
        <w:footnoteRef/>
      </w:r>
      <w:r w:rsidRPr="0051540B">
        <w:t xml:space="preserve"> </w:t>
      </w:r>
      <w:r w:rsidRPr="007043D8">
        <w:t>Rule 35 ICRC CIHL Study.</w:t>
      </w:r>
    </w:p>
  </w:footnote>
  <w:footnote w:id="64">
    <w:p w14:paraId="7FDBEF82" w14:textId="52302093" w:rsidR="00247349" w:rsidRDefault="00247349" w:rsidP="0051540B">
      <w:pPr>
        <w:pStyle w:val="FootnoteText"/>
        <w:spacing w:line="360" w:lineRule="auto"/>
      </w:pPr>
      <w:r>
        <w:rPr>
          <w:rStyle w:val="FootnoteReference"/>
        </w:rPr>
        <w:footnoteRef/>
      </w:r>
      <w:r w:rsidRPr="0051540B">
        <w:t xml:space="preserve"> </w:t>
      </w:r>
      <w:proofErr w:type="spellStart"/>
      <w:r w:rsidRPr="0051540B">
        <w:t>Pictet</w:t>
      </w:r>
      <w:proofErr w:type="spellEnd"/>
      <w:r w:rsidRPr="0051540B">
        <w:t xml:space="preserve"> Commentary GC IV, at 127.</w:t>
      </w:r>
    </w:p>
  </w:footnote>
  <w:footnote w:id="65">
    <w:p w14:paraId="33804510" w14:textId="0FB9F914" w:rsidR="00247349" w:rsidRDefault="00247349" w:rsidP="0051540B">
      <w:pPr>
        <w:pStyle w:val="FootnoteText"/>
        <w:spacing w:line="360" w:lineRule="auto"/>
      </w:pPr>
      <w:r>
        <w:rPr>
          <w:rStyle w:val="FootnoteReference"/>
        </w:rPr>
        <w:footnoteRef/>
      </w:r>
      <w:r w:rsidRPr="0051540B">
        <w:t xml:space="preserve"> Ibid</w:t>
      </w:r>
      <w:r>
        <w:t>;</w:t>
      </w:r>
      <w:r w:rsidRPr="0051540B">
        <w:t xml:space="preserve"> Art 16 para 1 GC </w:t>
      </w:r>
      <w:proofErr w:type="gramStart"/>
      <w:r w:rsidRPr="0051540B">
        <w:t>IV.</w:t>
      </w:r>
      <w:proofErr w:type="gramEnd"/>
    </w:p>
  </w:footnote>
  <w:footnote w:id="66">
    <w:p w14:paraId="5AE653F2" w14:textId="0A1A80E0" w:rsidR="00247349" w:rsidRDefault="00247349" w:rsidP="0051540B">
      <w:pPr>
        <w:pStyle w:val="FootnoteText"/>
        <w:spacing w:line="360" w:lineRule="auto"/>
      </w:pPr>
      <w:r>
        <w:rPr>
          <w:rStyle w:val="FootnoteReference"/>
        </w:rPr>
        <w:footnoteRef/>
      </w:r>
      <w:r w:rsidRPr="0051540B">
        <w:t xml:space="preserve"> Ibid</w:t>
      </w:r>
      <w:r>
        <w:t>;</w:t>
      </w:r>
      <w:r w:rsidRPr="0051540B">
        <w:t xml:space="preserve"> Art 76 para 2 GC </w:t>
      </w:r>
      <w:proofErr w:type="gramStart"/>
      <w:r w:rsidRPr="0051540B">
        <w:t>IV.</w:t>
      </w:r>
      <w:proofErr w:type="gramEnd"/>
      <w:r w:rsidRPr="0051540B">
        <w:t xml:space="preserve"> </w:t>
      </w:r>
    </w:p>
  </w:footnote>
  <w:footnote w:id="67">
    <w:p w14:paraId="512F62A6" w14:textId="4F86CE56" w:rsidR="00247349" w:rsidRDefault="00247349" w:rsidP="0051540B">
      <w:pPr>
        <w:pStyle w:val="FootnoteText"/>
        <w:spacing w:line="360" w:lineRule="auto"/>
      </w:pPr>
      <w:r>
        <w:rPr>
          <w:rStyle w:val="FootnoteReference"/>
        </w:rPr>
        <w:footnoteRef/>
      </w:r>
      <w:r w:rsidRPr="0051540B">
        <w:t xml:space="preserve"> </w:t>
      </w:r>
      <w:proofErr w:type="gramStart"/>
      <w:r w:rsidRPr="0051540B">
        <w:t xml:space="preserve">ICRC Statement </w:t>
      </w:r>
      <w:r w:rsidRPr="002A65CB">
        <w:t>2011, supra n 5</w:t>
      </w:r>
      <w:r w:rsidR="002A65CB">
        <w:t>3</w:t>
      </w:r>
      <w:r w:rsidRPr="002A65CB">
        <w:t>.</w:t>
      </w:r>
      <w:proofErr w:type="gramEnd"/>
      <w:r w:rsidRPr="0051540B">
        <w:t xml:space="preserve"> </w:t>
      </w:r>
    </w:p>
  </w:footnote>
  <w:footnote w:id="68">
    <w:p w14:paraId="21E85E30" w14:textId="2B6BBC85" w:rsidR="00247349" w:rsidRDefault="00247349" w:rsidP="0051540B">
      <w:pPr>
        <w:pStyle w:val="FootnoteText"/>
        <w:spacing w:line="360" w:lineRule="auto"/>
      </w:pPr>
      <w:r>
        <w:rPr>
          <w:rStyle w:val="FootnoteReference"/>
        </w:rPr>
        <w:footnoteRef/>
      </w:r>
      <w:r w:rsidRPr="0051540B">
        <w:t xml:space="preserve"> </w:t>
      </w:r>
      <w:proofErr w:type="spellStart"/>
      <w:r w:rsidRPr="0051540B">
        <w:t>Pictet</w:t>
      </w:r>
      <w:proofErr w:type="spellEnd"/>
      <w:r w:rsidRPr="0051540B">
        <w:t xml:space="preserve"> Commentary GC IV, at 179.</w:t>
      </w:r>
    </w:p>
  </w:footnote>
  <w:footnote w:id="69">
    <w:p w14:paraId="6A720FC8" w14:textId="5F2BFA9A" w:rsidR="00247349" w:rsidRDefault="00247349" w:rsidP="0051540B">
      <w:pPr>
        <w:pStyle w:val="FootnoteText"/>
        <w:spacing w:line="360" w:lineRule="auto"/>
      </w:pPr>
      <w:r>
        <w:rPr>
          <w:rStyle w:val="FootnoteReference"/>
        </w:rPr>
        <w:footnoteRef/>
      </w:r>
      <w:r w:rsidRPr="0051540B">
        <w:t xml:space="preserve"> </w:t>
      </w:r>
      <w:proofErr w:type="gramStart"/>
      <w:r w:rsidRPr="0051540B">
        <w:t>Ibid.,</w:t>
      </w:r>
      <w:proofErr w:type="gramEnd"/>
      <w:r w:rsidRPr="0051540B">
        <w:t xml:space="preserve"> Art 23 GC IV.</w:t>
      </w:r>
    </w:p>
  </w:footnote>
  <w:footnote w:id="70">
    <w:p w14:paraId="34D45C46" w14:textId="77777777" w:rsidR="00247349" w:rsidRDefault="00247349" w:rsidP="0051540B">
      <w:pPr>
        <w:pStyle w:val="FootnoteText"/>
        <w:spacing w:line="360" w:lineRule="auto"/>
      </w:pPr>
      <w:r>
        <w:rPr>
          <w:rStyle w:val="FootnoteReference"/>
        </w:rPr>
        <w:footnoteRef/>
      </w:r>
      <w:r w:rsidRPr="0051540B">
        <w:t xml:space="preserve"> See</w:t>
      </w:r>
      <w:r>
        <w:t>,</w:t>
      </w:r>
      <w:r w:rsidRPr="0051540B">
        <w:t xml:space="preserve"> e.g.</w:t>
      </w:r>
      <w:r>
        <w:t>,</w:t>
      </w:r>
      <w:r w:rsidRPr="0051540B">
        <w:t xml:space="preserve"> ICRC Annual Report 2011, </w:t>
      </w:r>
      <w:r w:rsidRPr="0051540B">
        <w:rPr>
          <w:i/>
        </w:rPr>
        <w:t>ICRC’s Operational Approach to Women and Girls</w:t>
      </w:r>
      <w:r w:rsidRPr="0051540B">
        <w:t>, Annex 2, at 31, for the kind of items given to women.</w:t>
      </w:r>
    </w:p>
  </w:footnote>
  <w:footnote w:id="71">
    <w:p w14:paraId="51E4C37E" w14:textId="085EDB91" w:rsidR="00247349" w:rsidRDefault="00247349" w:rsidP="0051540B">
      <w:pPr>
        <w:pStyle w:val="FootnoteText"/>
        <w:spacing w:line="360" w:lineRule="auto"/>
      </w:pPr>
      <w:r>
        <w:rPr>
          <w:rStyle w:val="FootnoteReference"/>
        </w:rPr>
        <w:footnoteRef/>
      </w:r>
      <w:r w:rsidRPr="0051540B">
        <w:t xml:space="preserve"> </w:t>
      </w:r>
      <w:proofErr w:type="spellStart"/>
      <w:r w:rsidRPr="0051540B">
        <w:t>Pictet</w:t>
      </w:r>
      <w:proofErr w:type="spellEnd"/>
      <w:r w:rsidRPr="0051540B">
        <w:t xml:space="preserve"> Commentary GC IV, at 182.</w:t>
      </w:r>
    </w:p>
  </w:footnote>
  <w:footnote w:id="72">
    <w:p w14:paraId="502C9F59" w14:textId="42E4D5E9" w:rsidR="00247349" w:rsidRDefault="00247349" w:rsidP="0051540B">
      <w:pPr>
        <w:pStyle w:val="FootnoteText"/>
        <w:spacing w:line="360" w:lineRule="auto"/>
        <w:rPr>
          <w:lang w:val="en-CA"/>
        </w:rPr>
      </w:pPr>
      <w:r>
        <w:rPr>
          <w:rStyle w:val="FootnoteReference"/>
        </w:rPr>
        <w:footnoteRef/>
      </w:r>
      <w:r w:rsidRPr="0051540B">
        <w:t xml:space="preserve"> See</w:t>
      </w:r>
      <w:r>
        <w:t>,</w:t>
      </w:r>
      <w:r w:rsidRPr="0051540B">
        <w:t xml:space="preserve"> e.g.</w:t>
      </w:r>
      <w:r>
        <w:t>,</w:t>
      </w:r>
      <w:r w:rsidRPr="0051540B">
        <w:t xml:space="preserve"> Israeli Ministry of Foreign Affairs, </w:t>
      </w:r>
      <w:r w:rsidRPr="0051540B">
        <w:rPr>
          <w:i/>
        </w:rPr>
        <w:t>The Operation in Gaza, Factual and Legal Aspects</w:t>
      </w:r>
      <w:r w:rsidRPr="0051540B">
        <w:t xml:space="preserve">, July 2009, para 1300; Israeli Supreme Court, </w:t>
      </w:r>
      <w:proofErr w:type="spellStart"/>
      <w:r w:rsidRPr="0051540B">
        <w:rPr>
          <w:i/>
        </w:rPr>
        <w:t>Jaber</w:t>
      </w:r>
      <w:proofErr w:type="spellEnd"/>
      <w:r w:rsidRPr="0051540B">
        <w:rPr>
          <w:i/>
        </w:rPr>
        <w:t xml:space="preserve"> Al-</w:t>
      </w:r>
      <w:proofErr w:type="spellStart"/>
      <w:r w:rsidRPr="0051540B">
        <w:rPr>
          <w:i/>
        </w:rPr>
        <w:t>Bassiouni</w:t>
      </w:r>
      <w:proofErr w:type="spellEnd"/>
      <w:r w:rsidRPr="0051540B">
        <w:rPr>
          <w:i/>
        </w:rPr>
        <w:t xml:space="preserve"> Ahmed and others v Prime Minister and Minister of Defence</w:t>
      </w:r>
      <w:r w:rsidRPr="0051540B">
        <w:t>, 30 January 2008, para 13.</w:t>
      </w:r>
    </w:p>
  </w:footnote>
  <w:footnote w:id="73">
    <w:p w14:paraId="5AEA0CB8" w14:textId="728C8E17" w:rsidR="00247349" w:rsidRDefault="00247349" w:rsidP="0051540B">
      <w:pPr>
        <w:pStyle w:val="FootnoteText"/>
        <w:spacing w:line="360" w:lineRule="auto"/>
      </w:pPr>
      <w:r>
        <w:rPr>
          <w:rStyle w:val="FootnoteReference"/>
        </w:rPr>
        <w:footnoteRef/>
      </w:r>
      <w:r w:rsidRPr="0051540B">
        <w:t xml:space="preserve"> </w:t>
      </w:r>
      <w:r>
        <w:t>E.g.</w:t>
      </w:r>
      <w:r w:rsidRPr="0051540B">
        <w:t xml:space="preserve">, see </w:t>
      </w:r>
      <w:proofErr w:type="spellStart"/>
      <w:r w:rsidRPr="0051540B">
        <w:t>Pictet</w:t>
      </w:r>
      <w:proofErr w:type="spellEnd"/>
      <w:r w:rsidRPr="0051540B">
        <w:t xml:space="preserve"> Commentary GC IV, at 290. </w:t>
      </w:r>
    </w:p>
  </w:footnote>
  <w:footnote w:id="74">
    <w:p w14:paraId="5FF6E48E" w14:textId="1533F827" w:rsidR="00247349" w:rsidRDefault="00247349" w:rsidP="0051540B">
      <w:pPr>
        <w:pStyle w:val="FootnoteText"/>
        <w:spacing w:line="360" w:lineRule="auto"/>
      </w:pPr>
      <w:r>
        <w:rPr>
          <w:rStyle w:val="FootnoteReference"/>
        </w:rPr>
        <w:footnoteRef/>
      </w:r>
      <w:r w:rsidRPr="0051540B">
        <w:t xml:space="preserve"> U</w:t>
      </w:r>
      <w:r>
        <w:t>NGA</w:t>
      </w:r>
      <w:r w:rsidRPr="0051540B">
        <w:t>, 64</w:t>
      </w:r>
      <w:r>
        <w:rPr>
          <w:vertAlign w:val="superscript"/>
        </w:rPr>
        <w:t>th</w:t>
      </w:r>
      <w:r w:rsidRPr="0051540B">
        <w:t xml:space="preserve"> session, Third Committee, items 28 of the agenda, statement by the ICRC, New York, </w:t>
      </w:r>
      <w:proofErr w:type="gramStart"/>
      <w:r w:rsidRPr="0051540B">
        <w:t>14</w:t>
      </w:r>
      <w:proofErr w:type="gramEnd"/>
      <w:r w:rsidRPr="0051540B">
        <w:t xml:space="preserve"> October 2010.</w:t>
      </w:r>
    </w:p>
  </w:footnote>
  <w:footnote w:id="75">
    <w:p w14:paraId="1DAB0324" w14:textId="01A6872C" w:rsidR="00247349" w:rsidRDefault="00247349" w:rsidP="0051540B">
      <w:pPr>
        <w:pStyle w:val="FootnoteText"/>
        <w:spacing w:line="360" w:lineRule="auto"/>
      </w:pPr>
      <w:r>
        <w:rPr>
          <w:rStyle w:val="FootnoteReference"/>
        </w:rPr>
        <w:footnoteRef/>
      </w:r>
      <w:r w:rsidRPr="0051540B">
        <w:t xml:space="preserve"> </w:t>
      </w:r>
      <w:proofErr w:type="gramStart"/>
      <w:r w:rsidRPr="0051540B">
        <w:t xml:space="preserve">CEDAW Committee, General Recommendation No 24, </w:t>
      </w:r>
      <w:r w:rsidRPr="00BA23FD">
        <w:t>supra n 2</w:t>
      </w:r>
      <w:r w:rsidR="00BA23FD" w:rsidRPr="00BA23FD">
        <w:t>6</w:t>
      </w:r>
      <w:r w:rsidRPr="00BA23FD">
        <w:t>, para</w:t>
      </w:r>
      <w:r w:rsidRPr="0051540B">
        <w:t xml:space="preserve"> 16.</w:t>
      </w:r>
      <w:proofErr w:type="gramEnd"/>
    </w:p>
  </w:footnote>
  <w:footnote w:id="76">
    <w:p w14:paraId="44A4309A" w14:textId="14F16EA0" w:rsidR="00247349" w:rsidRDefault="00247349" w:rsidP="0051540B">
      <w:pPr>
        <w:pStyle w:val="FootnoteText"/>
        <w:spacing w:line="360" w:lineRule="auto"/>
      </w:pPr>
      <w:r>
        <w:rPr>
          <w:rStyle w:val="FootnoteReference"/>
        </w:rPr>
        <w:footnoteRef/>
      </w:r>
      <w:r w:rsidRPr="0051540B">
        <w:t xml:space="preserve"> See also CEDAW Committee, General Recommendation No 19 on Violence against Women, </w:t>
      </w:r>
      <w:r>
        <w:rPr>
          <w:rStyle w:val="Strong"/>
          <w:b w:val="0"/>
          <w:color w:val="000000"/>
          <w:shd w:val="clear" w:color="auto" w:fill="FFFFFF"/>
        </w:rPr>
        <w:t>UN</w:t>
      </w:r>
      <w:r>
        <w:rPr>
          <w:rStyle w:val="Strong"/>
          <w:color w:val="000000"/>
          <w:shd w:val="clear" w:color="auto" w:fill="FFFFFF"/>
        </w:rPr>
        <w:t xml:space="preserve"> </w:t>
      </w:r>
      <w:r>
        <w:rPr>
          <w:rStyle w:val="Strong"/>
          <w:b w:val="0"/>
          <w:color w:val="000000"/>
          <w:shd w:val="clear" w:color="auto" w:fill="FFFFFF"/>
        </w:rPr>
        <w:t>Doc A/47/38 of 1992,</w:t>
      </w:r>
      <w:r w:rsidRPr="0051540B">
        <w:t xml:space="preserve"> para 19.</w:t>
      </w:r>
    </w:p>
  </w:footnote>
  <w:footnote w:id="77">
    <w:p w14:paraId="69E96A72" w14:textId="13BFA511" w:rsidR="00247349" w:rsidRDefault="00247349" w:rsidP="0051540B">
      <w:pPr>
        <w:pStyle w:val="FootnoteText"/>
        <w:spacing w:line="360" w:lineRule="auto"/>
      </w:pPr>
      <w:r>
        <w:rPr>
          <w:rStyle w:val="FootnoteReference"/>
        </w:rPr>
        <w:footnoteRef/>
      </w:r>
      <w:r w:rsidRPr="0051540B">
        <w:t xml:space="preserve"> </w:t>
      </w:r>
      <w:proofErr w:type="gramStart"/>
      <w:r w:rsidRPr="0051540B">
        <w:t>26</w:t>
      </w:r>
      <w:r>
        <w:rPr>
          <w:vertAlign w:val="superscript"/>
        </w:rPr>
        <w:t>th</w:t>
      </w:r>
      <w:r w:rsidRPr="0051540B">
        <w:t xml:space="preserve"> Conference of the Red Cross and Red </w:t>
      </w:r>
      <w:r w:rsidRPr="00A72C95">
        <w:t>Crescent, supra n 54, Res</w:t>
      </w:r>
      <w:r w:rsidRPr="0051540B">
        <w:t xml:space="preserve"> 2.</w:t>
      </w:r>
      <w:proofErr w:type="gramEnd"/>
    </w:p>
  </w:footnote>
  <w:footnote w:id="78">
    <w:p w14:paraId="3AA583D6" w14:textId="636A0531" w:rsidR="00247349" w:rsidRDefault="00247349" w:rsidP="0051540B">
      <w:pPr>
        <w:pStyle w:val="FootnoteText"/>
        <w:spacing w:line="360" w:lineRule="auto"/>
      </w:pPr>
      <w:r>
        <w:rPr>
          <w:rStyle w:val="FootnoteReference"/>
        </w:rPr>
        <w:footnoteRef/>
      </w:r>
      <w:r w:rsidRPr="0051540B">
        <w:t xml:space="preserve"> </w:t>
      </w:r>
      <w:proofErr w:type="gramStart"/>
      <w:r w:rsidRPr="0051540B">
        <w:t xml:space="preserve">ICESCR, </w:t>
      </w:r>
      <w:r w:rsidRPr="00A72C95">
        <w:t>supra n 4, Art</w:t>
      </w:r>
      <w:r w:rsidRPr="0051540B">
        <w:t xml:space="preserve"> 10 para 2.</w:t>
      </w:r>
      <w:proofErr w:type="gramEnd"/>
    </w:p>
  </w:footnote>
  <w:footnote w:id="79">
    <w:p w14:paraId="7ABF7C36" w14:textId="77777777" w:rsidR="00247349" w:rsidRDefault="00247349" w:rsidP="0051540B">
      <w:pPr>
        <w:pStyle w:val="FootnoteText"/>
        <w:spacing w:line="360" w:lineRule="auto"/>
      </w:pPr>
      <w:r>
        <w:rPr>
          <w:rStyle w:val="FootnoteReference"/>
        </w:rPr>
        <w:footnoteRef/>
      </w:r>
      <w:r w:rsidRPr="0051540B">
        <w:t xml:space="preserve"> See UN Doc A/68/297 of 9 August 2013, para 43.</w:t>
      </w:r>
    </w:p>
  </w:footnote>
  <w:footnote w:id="80">
    <w:p w14:paraId="1F0D0ACC" w14:textId="6E8C09A0" w:rsidR="00247349" w:rsidRDefault="00247349" w:rsidP="0051540B">
      <w:pPr>
        <w:pStyle w:val="FootnoteText"/>
        <w:spacing w:line="360" w:lineRule="auto"/>
      </w:pPr>
      <w:r>
        <w:rPr>
          <w:rStyle w:val="FootnoteReference"/>
        </w:rPr>
        <w:footnoteRef/>
      </w:r>
      <w:r w:rsidRPr="0051540B">
        <w:t xml:space="preserve"> </w:t>
      </w:r>
      <w:proofErr w:type="gramStart"/>
      <w:r>
        <w:t xml:space="preserve">ICRC, </w:t>
      </w:r>
      <w:r w:rsidRPr="0051540B">
        <w:rPr>
          <w:i/>
        </w:rPr>
        <w:t>Addressing the Needs of Women</w:t>
      </w:r>
      <w:r w:rsidRPr="00BA23FD">
        <w:t>, supra n 30</w:t>
      </w:r>
      <w:r w:rsidRPr="0051540B">
        <w:t>, at 44.</w:t>
      </w:r>
      <w:proofErr w:type="gramEnd"/>
    </w:p>
  </w:footnote>
  <w:footnote w:id="81">
    <w:p w14:paraId="5263EC3B" w14:textId="4CBFB25B" w:rsidR="00247349" w:rsidRDefault="00247349" w:rsidP="0051540B">
      <w:pPr>
        <w:pStyle w:val="FootnoteText"/>
        <w:spacing w:line="360" w:lineRule="auto"/>
      </w:pPr>
      <w:r>
        <w:rPr>
          <w:rStyle w:val="FootnoteReference"/>
        </w:rPr>
        <w:footnoteRef/>
      </w:r>
      <w:r w:rsidRPr="0051540B">
        <w:t xml:space="preserve"> </w:t>
      </w:r>
      <w:proofErr w:type="spellStart"/>
      <w:r>
        <w:t>HRComm</w:t>
      </w:r>
      <w:proofErr w:type="spellEnd"/>
      <w:r w:rsidRPr="0051540B">
        <w:t xml:space="preserve">, Res 2005/7 of 14 April 2005. </w:t>
      </w:r>
    </w:p>
  </w:footnote>
  <w:footnote w:id="82">
    <w:p w14:paraId="5E6A6F25" w14:textId="712A2A57" w:rsidR="00247349" w:rsidRDefault="00247349" w:rsidP="0051540B">
      <w:pPr>
        <w:pStyle w:val="FootnoteText"/>
        <w:spacing w:line="360" w:lineRule="auto"/>
      </w:pPr>
      <w:r>
        <w:rPr>
          <w:rStyle w:val="FootnoteReference"/>
        </w:rPr>
        <w:footnoteRef/>
      </w:r>
      <w:r w:rsidRPr="0051540B">
        <w:t xml:space="preserve"> </w:t>
      </w:r>
      <w:proofErr w:type="spellStart"/>
      <w:r w:rsidRPr="0051540B">
        <w:t>Pictet</w:t>
      </w:r>
      <w:proofErr w:type="spellEnd"/>
      <w:r w:rsidRPr="0051540B">
        <w:t xml:space="preserve"> Commentary GC IV, at 139</w:t>
      </w:r>
      <w:r w:rsidRPr="0051540B">
        <w:rPr>
          <w:color w:val="000000"/>
          <w:shd w:val="clear" w:color="auto" w:fill="FFFFFF"/>
        </w:rPr>
        <w:t>.</w:t>
      </w:r>
    </w:p>
  </w:footnote>
  <w:footnote w:id="83">
    <w:p w14:paraId="3436C4DF" w14:textId="22E5EC6F" w:rsidR="00247349" w:rsidRDefault="00247349" w:rsidP="0051540B">
      <w:pPr>
        <w:pStyle w:val="FootnoteText"/>
        <w:spacing w:line="360" w:lineRule="auto"/>
      </w:pPr>
      <w:r>
        <w:rPr>
          <w:rStyle w:val="FootnoteReference"/>
        </w:rPr>
        <w:footnoteRef/>
      </w:r>
      <w:r w:rsidRPr="0051540B">
        <w:t xml:space="preserve"> </w:t>
      </w:r>
      <w:proofErr w:type="gramStart"/>
      <w:r w:rsidRPr="0051540B">
        <w:t>Ibid, at 171.</w:t>
      </w:r>
      <w:proofErr w:type="gramEnd"/>
    </w:p>
  </w:footnote>
  <w:footnote w:id="84">
    <w:p w14:paraId="342B5E1A" w14:textId="0A0E2D52" w:rsidR="00247349" w:rsidRDefault="00247349" w:rsidP="0051540B">
      <w:pPr>
        <w:pStyle w:val="FootnoteText"/>
        <w:spacing w:line="360" w:lineRule="auto"/>
      </w:pPr>
      <w:r>
        <w:rPr>
          <w:rStyle w:val="FootnoteReference"/>
        </w:rPr>
        <w:footnoteRef/>
      </w:r>
      <w:r w:rsidRPr="0051540B">
        <w:t xml:space="preserve"> </w:t>
      </w:r>
      <w:proofErr w:type="gramStart"/>
      <w:r w:rsidRPr="0051540B">
        <w:t>Ibid, at 174.</w:t>
      </w:r>
      <w:proofErr w:type="gramEnd"/>
    </w:p>
  </w:footnote>
  <w:footnote w:id="85">
    <w:p w14:paraId="7EC5E308" w14:textId="77777777" w:rsidR="00247349" w:rsidRDefault="00247349" w:rsidP="0051540B">
      <w:pPr>
        <w:pStyle w:val="FootnoteText"/>
        <w:spacing w:line="360" w:lineRule="auto"/>
      </w:pPr>
      <w:r>
        <w:rPr>
          <w:rStyle w:val="FootnoteReference"/>
        </w:rPr>
        <w:footnoteRef/>
      </w:r>
      <w:r w:rsidRPr="0051540B">
        <w:t xml:space="preserve"> ICRC, </w:t>
      </w:r>
      <w:r w:rsidRPr="0051540B">
        <w:rPr>
          <w:i/>
        </w:rPr>
        <w:t>Women and War</w:t>
      </w:r>
      <w:r w:rsidRPr="0051540B">
        <w:t>, February 2008, at 22.</w:t>
      </w:r>
    </w:p>
  </w:footnote>
  <w:footnote w:id="86">
    <w:p w14:paraId="08A3B713" w14:textId="22B8FC1F" w:rsidR="00247349" w:rsidRDefault="00247349" w:rsidP="0051540B">
      <w:pPr>
        <w:pStyle w:val="FootnoteText"/>
        <w:spacing w:line="360" w:lineRule="auto"/>
      </w:pPr>
      <w:r>
        <w:rPr>
          <w:rStyle w:val="FootnoteReference"/>
        </w:rPr>
        <w:footnoteRef/>
      </w:r>
      <w:r w:rsidRPr="0051540B">
        <w:t xml:space="preserve"> </w:t>
      </w:r>
      <w:proofErr w:type="gramStart"/>
      <w:r w:rsidRPr="0051540B">
        <w:t xml:space="preserve">The </w:t>
      </w:r>
      <w:proofErr w:type="spellStart"/>
      <w:r w:rsidRPr="0051540B">
        <w:rPr>
          <w:i/>
        </w:rPr>
        <w:t>Kunarac</w:t>
      </w:r>
      <w:proofErr w:type="spellEnd"/>
      <w:r w:rsidRPr="0051540B">
        <w:t xml:space="preserve"> case</w:t>
      </w:r>
      <w:r>
        <w:t>,</w:t>
      </w:r>
      <w:r w:rsidRPr="0051540B">
        <w:t xml:space="preserve"> </w:t>
      </w:r>
      <w:r w:rsidRPr="00A72C95">
        <w:t>supra n 40, para</w:t>
      </w:r>
      <w:r w:rsidRPr="005B0E55">
        <w:t xml:space="preserve"> 132</w:t>
      </w:r>
      <w:r>
        <w:t xml:space="preserve">, </w:t>
      </w:r>
      <w:r w:rsidRPr="0051540B">
        <w:t>shows that the lack of separation of quarters lead to sexual attacks.</w:t>
      </w:r>
      <w:proofErr w:type="gramEnd"/>
    </w:p>
  </w:footnote>
  <w:footnote w:id="87">
    <w:p w14:paraId="0BB30F79" w14:textId="2DACFAEB" w:rsidR="00247349" w:rsidRDefault="00247349" w:rsidP="0051540B">
      <w:pPr>
        <w:pStyle w:val="FootnoteText"/>
        <w:spacing w:line="360" w:lineRule="auto"/>
      </w:pPr>
      <w:r>
        <w:rPr>
          <w:rStyle w:val="FootnoteReference"/>
        </w:rPr>
        <w:footnoteRef/>
      </w:r>
      <w:r w:rsidRPr="0051540B">
        <w:t xml:space="preserve"> Rule 119 of the ICRC CIHL Study refers to Rule 134 (specific needs of women) and to Rule 93 (victims of sexual violence).</w:t>
      </w:r>
    </w:p>
  </w:footnote>
  <w:footnote w:id="88">
    <w:p w14:paraId="6F6557F1" w14:textId="6022D20D" w:rsidR="00247349" w:rsidRDefault="00247349" w:rsidP="0051540B">
      <w:pPr>
        <w:pStyle w:val="FootnoteText"/>
        <w:spacing w:line="360" w:lineRule="auto"/>
      </w:pPr>
      <w:r>
        <w:rPr>
          <w:rStyle w:val="FootnoteReference"/>
        </w:rPr>
        <w:footnoteRef/>
      </w:r>
      <w:r w:rsidRPr="0051540B">
        <w:t xml:space="preserve"> Rule 119 ICRC CIHL Study.</w:t>
      </w:r>
    </w:p>
  </w:footnote>
  <w:footnote w:id="89">
    <w:p w14:paraId="1DEBA13A" w14:textId="32E11DE8" w:rsidR="00247349" w:rsidRPr="0051540B" w:rsidRDefault="00247349" w:rsidP="0051540B">
      <w:pPr>
        <w:pStyle w:val="Heading5"/>
        <w:shd w:val="clear" w:color="auto" w:fill="FFFFFF"/>
        <w:spacing w:before="0" w:after="0" w:line="360" w:lineRule="auto"/>
        <w:rPr>
          <w:rFonts w:ascii="Times New Roman" w:hAnsi="Times New Roman"/>
          <w:color w:val="555555"/>
          <w:sz w:val="20"/>
          <w:szCs w:val="20"/>
        </w:rPr>
      </w:pPr>
      <w:r>
        <w:rPr>
          <w:rStyle w:val="FootnoteReference"/>
          <w:rFonts w:ascii="Times New Roman" w:hAnsi="Times New Roman"/>
          <w:b w:val="0"/>
          <w:i w:val="0"/>
          <w:sz w:val="20"/>
          <w:szCs w:val="20"/>
        </w:rPr>
        <w:footnoteRef/>
      </w:r>
      <w:r w:rsidRPr="0051540B">
        <w:rPr>
          <w:rFonts w:ascii="Times New Roman" w:hAnsi="Times New Roman"/>
          <w:b w:val="0"/>
          <w:sz w:val="20"/>
          <w:szCs w:val="20"/>
        </w:rPr>
        <w:t xml:space="preserve"> </w:t>
      </w:r>
      <w:proofErr w:type="gramStart"/>
      <w:r w:rsidRPr="0051540B">
        <w:rPr>
          <w:rFonts w:ascii="Times New Roman" w:hAnsi="Times New Roman"/>
          <w:b w:val="0"/>
          <w:i w:val="0"/>
          <w:sz w:val="20"/>
          <w:szCs w:val="20"/>
        </w:rPr>
        <w:t>Economic and Social Council (ECOSOC), Standard Minimum Rules for the Treatment of Prisoners, Res 663 C (XXIV) and 2076 (LXII) of 31 July 1957 and 13 May 1977 respectively, Rule 8.</w:t>
      </w:r>
      <w:proofErr w:type="gramEnd"/>
    </w:p>
  </w:footnote>
  <w:footnote w:id="90">
    <w:p w14:paraId="7394FE77" w14:textId="6C9C52DC" w:rsidR="00247349" w:rsidRDefault="00247349" w:rsidP="0051540B">
      <w:pPr>
        <w:pStyle w:val="FootnoteText"/>
        <w:spacing w:line="360" w:lineRule="auto"/>
      </w:pPr>
      <w:r>
        <w:rPr>
          <w:rStyle w:val="FootnoteReference"/>
        </w:rPr>
        <w:footnoteRef/>
      </w:r>
      <w:r w:rsidRPr="0051540B">
        <w:t xml:space="preserve"> Ibid,</w:t>
      </w:r>
      <w:r w:rsidRPr="0051540B">
        <w:rPr>
          <w:i/>
        </w:rPr>
        <w:t xml:space="preserve"> </w:t>
      </w:r>
      <w:r w:rsidR="00296736">
        <w:t>Rule</w:t>
      </w:r>
      <w:r w:rsidR="00296736" w:rsidRPr="0051540B">
        <w:t xml:space="preserve"> </w:t>
      </w:r>
      <w:r w:rsidRPr="0051540B">
        <w:t>53.</w:t>
      </w:r>
    </w:p>
  </w:footnote>
  <w:footnote w:id="91">
    <w:p w14:paraId="35F3179D" w14:textId="630D015C" w:rsidR="00247349" w:rsidRDefault="00247349" w:rsidP="0051540B">
      <w:pPr>
        <w:pStyle w:val="FootnoteText"/>
        <w:spacing w:line="360" w:lineRule="auto"/>
      </w:pPr>
      <w:r>
        <w:rPr>
          <w:rStyle w:val="FootnoteReference"/>
        </w:rPr>
        <w:footnoteRef/>
      </w:r>
      <w:r w:rsidRPr="0051540B">
        <w:t xml:space="preserve"> </w:t>
      </w:r>
      <w:proofErr w:type="gramStart"/>
      <w:r w:rsidRPr="0051540B">
        <w:t>See</w:t>
      </w:r>
      <w:r>
        <w:t>,</w:t>
      </w:r>
      <w:r w:rsidRPr="0051540B">
        <w:t xml:space="preserve"> e.g.</w:t>
      </w:r>
      <w:r>
        <w:t>,</w:t>
      </w:r>
      <w:r w:rsidRPr="0051540B">
        <w:t xml:space="preserve"> </w:t>
      </w:r>
      <w:proofErr w:type="spellStart"/>
      <w:r w:rsidRPr="0051540B">
        <w:t>ECtHR</w:t>
      </w:r>
      <w:proofErr w:type="spellEnd"/>
      <w:r w:rsidRPr="0051540B">
        <w:t xml:space="preserve">, </w:t>
      </w:r>
      <w:proofErr w:type="spellStart"/>
      <w:r w:rsidRPr="0051540B">
        <w:rPr>
          <w:i/>
        </w:rPr>
        <w:t>Valasinas</w:t>
      </w:r>
      <w:proofErr w:type="spellEnd"/>
      <w:r w:rsidRPr="0051540B">
        <w:rPr>
          <w:i/>
        </w:rPr>
        <w:t xml:space="preserve"> v Lithuania</w:t>
      </w:r>
      <w:r w:rsidRPr="0051540B">
        <w:t>, Application 44558/98, 27 July 2001, para 117.</w:t>
      </w:r>
      <w:proofErr w:type="gramEnd"/>
    </w:p>
  </w:footnote>
  <w:footnote w:id="92">
    <w:p w14:paraId="49DDA997" w14:textId="6A6424A1" w:rsidR="00247349" w:rsidRDefault="00247349" w:rsidP="0051540B">
      <w:pPr>
        <w:pStyle w:val="FootnoteText"/>
        <w:spacing w:line="360" w:lineRule="auto"/>
      </w:pPr>
      <w:r>
        <w:rPr>
          <w:rStyle w:val="FootnoteReference"/>
        </w:rPr>
        <w:footnoteRef/>
      </w:r>
      <w:r w:rsidRPr="0051540B">
        <w:t xml:space="preserve"> </w:t>
      </w:r>
      <w:proofErr w:type="gramStart"/>
      <w:r>
        <w:t xml:space="preserve">ICRC, </w:t>
      </w:r>
      <w:r w:rsidRPr="0051540B">
        <w:rPr>
          <w:i/>
        </w:rPr>
        <w:t>Addressing the Needs of Women</w:t>
      </w:r>
      <w:r w:rsidRPr="0051540B">
        <w:t xml:space="preserve">, </w:t>
      </w:r>
      <w:r w:rsidRPr="00BA23FD">
        <w:t>supra n 30, at</w:t>
      </w:r>
      <w:r w:rsidRPr="0051540B">
        <w:t xml:space="preserve"> 128.</w:t>
      </w:r>
      <w:proofErr w:type="gramEnd"/>
    </w:p>
  </w:footnote>
  <w:footnote w:id="93">
    <w:p w14:paraId="57BFF19A" w14:textId="49EF2622" w:rsidR="00247349" w:rsidRDefault="00247349" w:rsidP="0051540B">
      <w:pPr>
        <w:pStyle w:val="FootnoteText"/>
        <w:spacing w:line="360" w:lineRule="auto"/>
      </w:pPr>
      <w:r>
        <w:rPr>
          <w:rStyle w:val="FootnoteReference"/>
        </w:rPr>
        <w:footnoteRef/>
      </w:r>
      <w:r w:rsidRPr="0051540B">
        <w:t xml:space="preserve"> </w:t>
      </w:r>
      <w:proofErr w:type="gramStart"/>
      <w:r w:rsidRPr="0051540B">
        <w:t>UN Doc A/HRC/RES/15/9 of 6 October 2010, para 3.</w:t>
      </w:r>
      <w:proofErr w:type="gramEnd"/>
    </w:p>
  </w:footnote>
  <w:footnote w:id="94">
    <w:p w14:paraId="79A4826C" w14:textId="482849EE" w:rsidR="00247349" w:rsidRDefault="00247349" w:rsidP="0051540B">
      <w:pPr>
        <w:pStyle w:val="FootnoteText"/>
        <w:spacing w:line="360" w:lineRule="auto"/>
      </w:pPr>
      <w:r>
        <w:rPr>
          <w:rStyle w:val="FootnoteReference"/>
        </w:rPr>
        <w:footnoteRef/>
      </w:r>
      <w:r w:rsidRPr="0051540B">
        <w:t xml:space="preserve"> </w:t>
      </w:r>
      <w:proofErr w:type="gramStart"/>
      <w:r>
        <w:t>CESCR</w:t>
      </w:r>
      <w:r w:rsidRPr="0051540B">
        <w:t>, General Comment 15 on the Right to Water (Articles 11 and 12 ICESCR) (2002), UN Doc E/C.12/2002/11, 20 January 2003, para 29.</w:t>
      </w:r>
      <w:proofErr w:type="gramEnd"/>
    </w:p>
  </w:footnote>
  <w:footnote w:id="95">
    <w:p w14:paraId="372C7580" w14:textId="0D40D05A" w:rsidR="00247349" w:rsidRDefault="00247349" w:rsidP="0051540B">
      <w:pPr>
        <w:pStyle w:val="FootnoteText"/>
        <w:spacing w:line="360" w:lineRule="auto"/>
      </w:pPr>
      <w:r>
        <w:rPr>
          <w:rStyle w:val="FootnoteReference"/>
        </w:rPr>
        <w:footnoteRef/>
      </w:r>
      <w:r w:rsidRPr="0051540B">
        <w:t xml:space="preserve"> </w:t>
      </w:r>
      <w:proofErr w:type="gramStart"/>
      <w:r w:rsidRPr="0051540B">
        <w:t>UNGA Res 64/292 of 3 August 2010, para 1.</w:t>
      </w:r>
      <w:proofErr w:type="gramEnd"/>
    </w:p>
  </w:footnote>
  <w:footnote w:id="96">
    <w:p w14:paraId="3FA48A8A" w14:textId="7A590B80" w:rsidR="00247349" w:rsidRDefault="00247349" w:rsidP="0051540B">
      <w:pPr>
        <w:pStyle w:val="FootnoteText"/>
        <w:spacing w:line="360" w:lineRule="auto"/>
      </w:pPr>
      <w:r>
        <w:rPr>
          <w:rStyle w:val="FootnoteReference"/>
        </w:rPr>
        <w:footnoteRef/>
      </w:r>
      <w:r w:rsidRPr="0051540B">
        <w:t xml:space="preserve"> </w:t>
      </w:r>
      <w:proofErr w:type="gramStart"/>
      <w:r>
        <w:t xml:space="preserve">ICRC, </w:t>
      </w:r>
      <w:r w:rsidRPr="0051540B">
        <w:rPr>
          <w:i/>
        </w:rPr>
        <w:t>Addressing the Needs of Women</w:t>
      </w:r>
      <w:r w:rsidRPr="0051540B">
        <w:t xml:space="preserve">, </w:t>
      </w:r>
      <w:r w:rsidRPr="00BA23FD">
        <w:t>supra n 30, at 135</w:t>
      </w:r>
      <w:r>
        <w:t>–5</w:t>
      </w:r>
      <w:r w:rsidRPr="0051540B">
        <w:t>6.</w:t>
      </w:r>
      <w:proofErr w:type="gramEnd"/>
    </w:p>
  </w:footnote>
  <w:footnote w:id="97">
    <w:p w14:paraId="26639E36" w14:textId="13B1A512" w:rsidR="00247349" w:rsidRDefault="00247349" w:rsidP="0051540B">
      <w:pPr>
        <w:pStyle w:val="FootnoteText"/>
        <w:spacing w:line="360" w:lineRule="auto"/>
      </w:pPr>
      <w:r>
        <w:rPr>
          <w:rStyle w:val="FootnoteReference"/>
        </w:rPr>
        <w:footnoteRef/>
      </w:r>
      <w:r w:rsidRPr="0051540B">
        <w:t xml:space="preserve"> </w:t>
      </w:r>
      <w:proofErr w:type="spellStart"/>
      <w:r w:rsidRPr="0051540B">
        <w:t>Pictet</w:t>
      </w:r>
      <w:proofErr w:type="spellEnd"/>
      <w:r w:rsidRPr="0051540B">
        <w:t xml:space="preserve"> Commentary GC IV, at 387 and 494. </w:t>
      </w:r>
    </w:p>
  </w:footnote>
  <w:footnote w:id="98">
    <w:p w14:paraId="56B93B6F" w14:textId="21165166" w:rsidR="00247349" w:rsidRDefault="00247349" w:rsidP="0051540B">
      <w:pPr>
        <w:pStyle w:val="FootnoteText"/>
        <w:spacing w:line="360" w:lineRule="auto"/>
      </w:pPr>
      <w:r>
        <w:rPr>
          <w:rStyle w:val="FootnoteReference"/>
        </w:rPr>
        <w:footnoteRef/>
      </w:r>
      <w:r w:rsidRPr="0051540B">
        <w:t xml:space="preserve"> </w:t>
      </w:r>
      <w:proofErr w:type="spellStart"/>
      <w:r w:rsidRPr="0051540B">
        <w:t>Pictet</w:t>
      </w:r>
      <w:proofErr w:type="spellEnd"/>
      <w:r w:rsidRPr="0051540B">
        <w:t xml:space="preserve"> Commentary GC III, at 207.</w:t>
      </w:r>
    </w:p>
  </w:footnote>
  <w:footnote w:id="99">
    <w:p w14:paraId="1B29E58C" w14:textId="4423C4BF" w:rsidR="00247349" w:rsidRPr="00296736" w:rsidRDefault="00247349" w:rsidP="0051540B">
      <w:pPr>
        <w:pStyle w:val="Heading5"/>
        <w:shd w:val="clear" w:color="auto" w:fill="FFFFFF"/>
        <w:spacing w:before="0" w:after="0" w:line="360" w:lineRule="auto"/>
        <w:jc w:val="left"/>
        <w:rPr>
          <w:rFonts w:ascii="Times New Roman" w:hAnsi="Times New Roman"/>
          <w:b w:val="0"/>
          <w:i w:val="0"/>
          <w:color w:val="555555"/>
          <w:sz w:val="20"/>
          <w:szCs w:val="20"/>
        </w:rPr>
      </w:pPr>
      <w:r>
        <w:rPr>
          <w:rStyle w:val="FootnoteReference"/>
          <w:rFonts w:ascii="Times New Roman" w:hAnsi="Times New Roman"/>
          <w:b w:val="0"/>
          <w:i w:val="0"/>
          <w:sz w:val="20"/>
          <w:szCs w:val="20"/>
        </w:rPr>
        <w:footnoteRef/>
      </w:r>
      <w:r w:rsidRPr="0051540B">
        <w:rPr>
          <w:rFonts w:ascii="Times New Roman" w:hAnsi="Times New Roman"/>
          <w:b w:val="0"/>
          <w:i w:val="0"/>
          <w:sz w:val="20"/>
          <w:szCs w:val="20"/>
        </w:rPr>
        <w:t xml:space="preserve"> ECOSOC</w:t>
      </w:r>
      <w:r>
        <w:rPr>
          <w:rFonts w:ascii="Times New Roman" w:hAnsi="Times New Roman"/>
          <w:b w:val="0"/>
          <w:i w:val="0"/>
          <w:sz w:val="20"/>
          <w:szCs w:val="20"/>
        </w:rPr>
        <w:t>,</w:t>
      </w:r>
      <w:r w:rsidRPr="0051540B">
        <w:rPr>
          <w:rFonts w:ascii="Times New Roman" w:hAnsi="Times New Roman"/>
          <w:b w:val="0"/>
          <w:i w:val="0"/>
          <w:sz w:val="20"/>
          <w:szCs w:val="20"/>
        </w:rPr>
        <w:t xml:space="preserve"> ‘Standard Minimum Rules for the Treatment of </w:t>
      </w:r>
      <w:r w:rsidRPr="00296736">
        <w:rPr>
          <w:rFonts w:ascii="Times New Roman" w:hAnsi="Times New Roman"/>
          <w:b w:val="0"/>
          <w:i w:val="0"/>
          <w:sz w:val="20"/>
          <w:szCs w:val="20"/>
        </w:rPr>
        <w:t xml:space="preserve">Prisoners’, supra n 88, </w:t>
      </w:r>
      <w:r w:rsidR="00296736" w:rsidRPr="00296736">
        <w:rPr>
          <w:rFonts w:ascii="Times New Roman" w:hAnsi="Times New Roman"/>
          <w:b w:val="0"/>
          <w:i w:val="0"/>
          <w:sz w:val="20"/>
          <w:szCs w:val="20"/>
        </w:rPr>
        <w:t xml:space="preserve">Rule </w:t>
      </w:r>
      <w:r w:rsidRPr="00296736">
        <w:rPr>
          <w:rFonts w:ascii="Times New Roman" w:hAnsi="Times New Roman"/>
          <w:b w:val="0"/>
          <w:i w:val="0"/>
          <w:sz w:val="20"/>
          <w:szCs w:val="20"/>
        </w:rPr>
        <w:t>8.</w:t>
      </w:r>
    </w:p>
  </w:footnote>
  <w:footnote w:id="100">
    <w:p w14:paraId="3157E5A1" w14:textId="2E9BA22F" w:rsidR="00247349" w:rsidRPr="00296736" w:rsidRDefault="00247349" w:rsidP="0051540B">
      <w:pPr>
        <w:pStyle w:val="FootnoteText"/>
        <w:spacing w:line="360" w:lineRule="auto"/>
      </w:pPr>
      <w:r w:rsidRPr="00296736">
        <w:rPr>
          <w:rStyle w:val="FootnoteReference"/>
        </w:rPr>
        <w:footnoteRef/>
      </w:r>
      <w:r w:rsidRPr="00296736">
        <w:t xml:space="preserve"> </w:t>
      </w:r>
      <w:proofErr w:type="gramStart"/>
      <w:r w:rsidRPr="00296736">
        <w:t xml:space="preserve">ICRC, </w:t>
      </w:r>
      <w:r w:rsidRPr="00296736">
        <w:rPr>
          <w:i/>
        </w:rPr>
        <w:t>Addressing the Needs of Women</w:t>
      </w:r>
      <w:r w:rsidRPr="00296736">
        <w:t>, supra n 30, at 115 and 132.</w:t>
      </w:r>
      <w:proofErr w:type="gramEnd"/>
    </w:p>
  </w:footnote>
  <w:footnote w:id="101">
    <w:p w14:paraId="14112D0E" w14:textId="23A9BC11" w:rsidR="00247349" w:rsidRPr="00296736" w:rsidRDefault="00247349" w:rsidP="0051540B">
      <w:pPr>
        <w:pStyle w:val="FootnoteText"/>
        <w:spacing w:line="360" w:lineRule="auto"/>
      </w:pPr>
      <w:r w:rsidRPr="00296736">
        <w:rPr>
          <w:rStyle w:val="FootnoteReference"/>
        </w:rPr>
        <w:footnoteRef/>
      </w:r>
      <w:r w:rsidRPr="00296736">
        <w:t xml:space="preserve"> </w:t>
      </w:r>
      <w:proofErr w:type="gramStart"/>
      <w:r w:rsidRPr="00296736">
        <w:t>Ibid, at 131.</w:t>
      </w:r>
      <w:proofErr w:type="gramEnd"/>
    </w:p>
  </w:footnote>
  <w:footnote w:id="102">
    <w:p w14:paraId="71FA2436" w14:textId="4774BE41" w:rsidR="00247349" w:rsidRDefault="00247349" w:rsidP="0051540B">
      <w:pPr>
        <w:pStyle w:val="FootnoteText"/>
        <w:spacing w:line="360" w:lineRule="auto"/>
      </w:pPr>
      <w:r w:rsidRPr="00296736">
        <w:rPr>
          <w:rStyle w:val="FootnoteReference"/>
        </w:rPr>
        <w:footnoteRef/>
      </w:r>
      <w:r w:rsidRPr="00296736">
        <w:t xml:space="preserve"> </w:t>
      </w:r>
      <w:proofErr w:type="gramStart"/>
      <w:r w:rsidRPr="00296736">
        <w:t>ECOSOC ‘Standard Minimum Rules for the Treatment of Prisoners’,</w:t>
      </w:r>
      <w:r w:rsidRPr="00296736">
        <w:rPr>
          <w:i/>
        </w:rPr>
        <w:t xml:space="preserve"> </w:t>
      </w:r>
      <w:r w:rsidRPr="00296736">
        <w:t>supra n 88,</w:t>
      </w:r>
      <w:r w:rsidRPr="00296736">
        <w:rPr>
          <w:i/>
        </w:rPr>
        <w:t xml:space="preserve"> </w:t>
      </w:r>
      <w:r w:rsidR="00296736">
        <w:t>Rule</w:t>
      </w:r>
      <w:r w:rsidR="00296736" w:rsidRPr="0051540B">
        <w:t xml:space="preserve"> </w:t>
      </w:r>
      <w:r w:rsidRPr="0051540B">
        <w:t>23(1).</w:t>
      </w:r>
      <w:proofErr w:type="gramEnd"/>
    </w:p>
  </w:footnote>
  <w:footnote w:id="103">
    <w:p w14:paraId="244C1950" w14:textId="75052718" w:rsidR="00247349" w:rsidRDefault="00247349" w:rsidP="0051540B">
      <w:pPr>
        <w:pStyle w:val="FootnoteText"/>
        <w:spacing w:line="360" w:lineRule="auto"/>
      </w:pPr>
      <w:r>
        <w:rPr>
          <w:rStyle w:val="FootnoteReference"/>
        </w:rPr>
        <w:footnoteRef/>
      </w:r>
      <w:r w:rsidRPr="0051540B">
        <w:t xml:space="preserve"> </w:t>
      </w:r>
      <w:proofErr w:type="spellStart"/>
      <w:proofErr w:type="gramStart"/>
      <w:r w:rsidRPr="0051540B">
        <w:t>Pictet</w:t>
      </w:r>
      <w:proofErr w:type="spellEnd"/>
      <w:r w:rsidRPr="0051540B">
        <w:t xml:space="preserve"> Commentary GC IV, at 393; </w:t>
      </w:r>
      <w:proofErr w:type="spellStart"/>
      <w:r w:rsidRPr="0051540B">
        <w:t>Pictet</w:t>
      </w:r>
      <w:proofErr w:type="spellEnd"/>
      <w:r w:rsidRPr="0051540B">
        <w:t xml:space="preserve"> Commentary GC III, at 197.</w:t>
      </w:r>
      <w:proofErr w:type="gramEnd"/>
    </w:p>
  </w:footnote>
  <w:footnote w:id="104">
    <w:p w14:paraId="1673E8E8" w14:textId="12ECDA1C" w:rsidR="00247349" w:rsidRDefault="00247349" w:rsidP="0051540B">
      <w:pPr>
        <w:pStyle w:val="FootnoteText"/>
        <w:spacing w:line="360" w:lineRule="auto"/>
      </w:pPr>
      <w:r>
        <w:rPr>
          <w:rStyle w:val="FootnoteReference"/>
        </w:rPr>
        <w:footnoteRef/>
      </w:r>
      <w:r w:rsidRPr="0051540B">
        <w:t xml:space="preserve"> </w:t>
      </w:r>
      <w:proofErr w:type="gramStart"/>
      <w:r>
        <w:t xml:space="preserve">ICRC, </w:t>
      </w:r>
      <w:r w:rsidRPr="0051540B">
        <w:rPr>
          <w:i/>
        </w:rPr>
        <w:t>Addressing the Needs of Women</w:t>
      </w:r>
      <w:r w:rsidRPr="0051540B">
        <w:t xml:space="preserve">, </w:t>
      </w:r>
      <w:r w:rsidRPr="00BA23FD">
        <w:t>supra n 30, at</w:t>
      </w:r>
      <w:r w:rsidRPr="0051540B">
        <w:t xml:space="preserve"> 121.</w:t>
      </w:r>
      <w:proofErr w:type="gramEnd"/>
    </w:p>
  </w:footnote>
  <w:footnote w:id="105">
    <w:p w14:paraId="77BAD3C3" w14:textId="23782D61" w:rsidR="00247349" w:rsidRDefault="00247349" w:rsidP="0051540B">
      <w:pPr>
        <w:pStyle w:val="FootnoteText"/>
        <w:spacing w:line="360" w:lineRule="auto"/>
      </w:pPr>
      <w:r>
        <w:rPr>
          <w:rStyle w:val="FootnoteReference"/>
        </w:rPr>
        <w:footnoteRef/>
      </w:r>
      <w:r w:rsidRPr="0051540B">
        <w:t xml:space="preserve"> </w:t>
      </w:r>
      <w:proofErr w:type="gramStart"/>
      <w:r w:rsidRPr="0051540B">
        <w:t>Ibid, at 148.</w:t>
      </w:r>
      <w:proofErr w:type="gramEnd"/>
    </w:p>
  </w:footnote>
  <w:footnote w:id="106">
    <w:p w14:paraId="555AC49E" w14:textId="7C780531" w:rsidR="00247349" w:rsidRDefault="00247349" w:rsidP="0051540B">
      <w:pPr>
        <w:pStyle w:val="FootnoteText"/>
        <w:spacing w:line="360" w:lineRule="auto"/>
      </w:pPr>
      <w:r>
        <w:rPr>
          <w:rStyle w:val="FootnoteReference"/>
        </w:rPr>
        <w:footnoteRef/>
      </w:r>
      <w:r w:rsidRPr="0051540B">
        <w:t xml:space="preserve"> </w:t>
      </w:r>
      <w:proofErr w:type="gramStart"/>
      <w:r w:rsidRPr="0051540B">
        <w:t>See</w:t>
      </w:r>
      <w:r>
        <w:t>,</w:t>
      </w:r>
      <w:r w:rsidRPr="0051540B">
        <w:t xml:space="preserve"> e.g.</w:t>
      </w:r>
      <w:r>
        <w:t>,</w:t>
      </w:r>
      <w:r w:rsidRPr="0051540B">
        <w:t xml:space="preserve"> Art 4 para 1 ICCPR</w:t>
      </w:r>
      <w:r>
        <w:t>,</w:t>
      </w:r>
      <w:r w:rsidRPr="0051540B">
        <w:t xml:space="preserve"> which specifies that derogations may not involve ‘discrimination solely on the basis of </w:t>
      </w:r>
      <w:r>
        <w:t>[</w:t>
      </w:r>
      <w:r w:rsidRPr="0051540B">
        <w:t>…</w:t>
      </w:r>
      <w:r>
        <w:t>]</w:t>
      </w:r>
      <w:r w:rsidRPr="0051540B">
        <w:t xml:space="preserve"> sex’.</w:t>
      </w:r>
      <w:proofErr w:type="gramEnd"/>
      <w:r w:rsidRPr="0051540B">
        <w:t xml:space="preserve"> </w:t>
      </w:r>
    </w:p>
  </w:footnote>
  <w:footnote w:id="107">
    <w:p w14:paraId="1635C714" w14:textId="64B3B07B" w:rsidR="00247349" w:rsidRDefault="00247349" w:rsidP="0051540B">
      <w:pPr>
        <w:pStyle w:val="FootnoteText"/>
        <w:spacing w:line="360" w:lineRule="auto"/>
      </w:pPr>
      <w:r>
        <w:rPr>
          <w:rStyle w:val="FootnoteReference"/>
        </w:rPr>
        <w:footnoteRef/>
      </w:r>
      <w:r w:rsidRPr="0051540B">
        <w:t xml:space="preserve"> </w:t>
      </w:r>
      <w:proofErr w:type="gramStart"/>
      <w:r w:rsidRPr="0051540B">
        <w:t xml:space="preserve">UNSC Res 1325, </w:t>
      </w:r>
      <w:r w:rsidRPr="007B0CBE">
        <w:t xml:space="preserve">supra n </w:t>
      </w:r>
      <w:r w:rsidR="007B0CBE" w:rsidRPr="007B0CBE">
        <w:t>16</w:t>
      </w:r>
      <w:r w:rsidRPr="007B0CBE">
        <w:t>; UNSC</w:t>
      </w:r>
      <w:r w:rsidRPr="0051540B">
        <w:t xml:space="preserve"> Res 1820 (2008) of 19 June 2009; UNSC</w:t>
      </w:r>
      <w:r>
        <w:t xml:space="preserve"> </w:t>
      </w:r>
      <w:r w:rsidRPr="0051540B">
        <w:t xml:space="preserve">Res 1889 (2009) of 5 October 2009; UNSC Res 1960, </w:t>
      </w:r>
      <w:r w:rsidRPr="00EE2F51">
        <w:t>supra n 10.</w:t>
      </w:r>
      <w:proofErr w:type="gramEnd"/>
    </w:p>
  </w:footnote>
  <w:footnote w:id="108">
    <w:p w14:paraId="28231066" w14:textId="4FF02332" w:rsidR="00247349" w:rsidRDefault="00247349" w:rsidP="0051540B">
      <w:pPr>
        <w:pStyle w:val="FootnoteText"/>
        <w:spacing w:line="360" w:lineRule="auto"/>
      </w:pPr>
      <w:r>
        <w:rPr>
          <w:rStyle w:val="FootnoteReference"/>
        </w:rPr>
        <w:footnoteRef/>
      </w:r>
      <w:r w:rsidRPr="0051540B">
        <w:t xml:space="preserve"> </w:t>
      </w:r>
      <w:proofErr w:type="gramStart"/>
      <w:r w:rsidRPr="0051540B">
        <w:t>26</w:t>
      </w:r>
      <w:r>
        <w:rPr>
          <w:vertAlign w:val="superscript"/>
        </w:rPr>
        <w:t>th</w:t>
      </w:r>
      <w:r w:rsidRPr="0051540B">
        <w:t xml:space="preserve"> Conference of the Red Cross and Red Crescent</w:t>
      </w:r>
      <w:r w:rsidRPr="00A72C95">
        <w:t>, supra n 54, R</w:t>
      </w:r>
      <w:r w:rsidRPr="0051540B">
        <w:t>es 2.</w:t>
      </w:r>
      <w:proofErr w:type="gramEnd"/>
    </w:p>
  </w:footnote>
  <w:footnote w:id="109">
    <w:p w14:paraId="6438F37E" w14:textId="169072B3" w:rsidR="00247349" w:rsidRDefault="00247349" w:rsidP="0051540B">
      <w:pPr>
        <w:pStyle w:val="FootnoteText"/>
        <w:spacing w:line="360" w:lineRule="auto"/>
      </w:pPr>
      <w:r>
        <w:rPr>
          <w:rStyle w:val="FootnoteReference"/>
        </w:rPr>
        <w:footnoteRef/>
      </w:r>
      <w:r w:rsidRPr="0051540B">
        <w:t xml:space="preserve"> </w:t>
      </w:r>
      <w:proofErr w:type="spellStart"/>
      <w:proofErr w:type="gramStart"/>
      <w:r w:rsidRPr="0051540B">
        <w:rPr>
          <w:i/>
        </w:rPr>
        <w:t>Furundžija</w:t>
      </w:r>
      <w:proofErr w:type="spellEnd"/>
      <w:r w:rsidRPr="0051540B">
        <w:t xml:space="preserve">, </w:t>
      </w:r>
      <w:r w:rsidRPr="00A72C95">
        <w:t>supra n 31, paras</w:t>
      </w:r>
      <w:r w:rsidRPr="0051540B">
        <w:t xml:space="preserve"> 166</w:t>
      </w:r>
      <w:r>
        <w:t>–6</w:t>
      </w:r>
      <w:r w:rsidRPr="0051540B">
        <w:t>8.</w:t>
      </w:r>
      <w:proofErr w:type="gramEnd"/>
      <w:r w:rsidRPr="0051540B">
        <w:t xml:space="preserve"> See also UN Doc E/CN.4/Sub.2/1998/13, </w:t>
      </w:r>
      <w:r w:rsidRPr="00EE2F51">
        <w:t>supra n 42,</w:t>
      </w:r>
      <w:r w:rsidRPr="0051540B">
        <w:t xml:space="preserve"> para 69.</w:t>
      </w:r>
    </w:p>
  </w:footnote>
  <w:footnote w:id="110">
    <w:p w14:paraId="77E20BD3" w14:textId="302D0DAE" w:rsidR="00247349" w:rsidRDefault="00247349" w:rsidP="0051540B">
      <w:pPr>
        <w:spacing w:line="360" w:lineRule="auto"/>
        <w:outlineLvl w:val="0"/>
        <w:rPr>
          <w:i/>
          <w:sz w:val="20"/>
          <w:szCs w:val="20"/>
          <w:lang w:val="en-CA"/>
        </w:rPr>
      </w:pPr>
      <w:r>
        <w:rPr>
          <w:rStyle w:val="FootnoteReference"/>
          <w:sz w:val="20"/>
          <w:szCs w:val="20"/>
        </w:rPr>
        <w:footnoteRef/>
      </w:r>
      <w:r w:rsidRPr="0051540B">
        <w:rPr>
          <w:sz w:val="20"/>
          <w:szCs w:val="20"/>
        </w:rPr>
        <w:t xml:space="preserve"> See ICTR, </w:t>
      </w:r>
      <w:r w:rsidRPr="0051540B">
        <w:rPr>
          <w:i/>
          <w:sz w:val="20"/>
          <w:szCs w:val="20"/>
        </w:rPr>
        <w:t xml:space="preserve">The Prosecutor v </w:t>
      </w:r>
      <w:proofErr w:type="spellStart"/>
      <w:r w:rsidRPr="0051540B">
        <w:rPr>
          <w:i/>
          <w:sz w:val="20"/>
          <w:szCs w:val="20"/>
        </w:rPr>
        <w:t>Nyiramasuhuko</w:t>
      </w:r>
      <w:proofErr w:type="spellEnd"/>
      <w:r w:rsidRPr="0051540B">
        <w:rPr>
          <w:sz w:val="20"/>
          <w:szCs w:val="20"/>
        </w:rPr>
        <w:t xml:space="preserve">, </w:t>
      </w:r>
      <w:bookmarkStart w:id="0" w:name="_Toc298047403"/>
      <w:bookmarkStart w:id="1" w:name="_Toc298395795"/>
      <w:r w:rsidRPr="0051540B">
        <w:rPr>
          <w:sz w:val="20"/>
          <w:szCs w:val="20"/>
          <w:lang w:val="en-CA"/>
        </w:rPr>
        <w:t>ICTR-98-42-T</w:t>
      </w:r>
      <w:bookmarkEnd w:id="0"/>
      <w:bookmarkEnd w:id="1"/>
      <w:r w:rsidRPr="0051540B">
        <w:rPr>
          <w:sz w:val="20"/>
          <w:szCs w:val="20"/>
          <w:lang w:val="en-CA"/>
        </w:rPr>
        <w:t>, Judgment and Sentence,</w:t>
      </w:r>
      <w:r w:rsidRPr="0051540B">
        <w:rPr>
          <w:i/>
          <w:sz w:val="20"/>
          <w:szCs w:val="20"/>
          <w:lang w:val="en-CA"/>
        </w:rPr>
        <w:t xml:space="preserve"> </w:t>
      </w:r>
      <w:r w:rsidRPr="0051540B">
        <w:rPr>
          <w:sz w:val="20"/>
          <w:szCs w:val="20"/>
          <w:lang w:val="en-CA"/>
        </w:rPr>
        <w:t>24 June 2011, paras 6178</w:t>
      </w:r>
      <w:r>
        <w:rPr>
          <w:sz w:val="20"/>
          <w:szCs w:val="20"/>
          <w:lang w:val="en-CA"/>
        </w:rPr>
        <w:t>–7</w:t>
      </w:r>
      <w:r w:rsidRPr="0051540B">
        <w:rPr>
          <w:sz w:val="20"/>
          <w:szCs w:val="20"/>
          <w:lang w:val="en-CA"/>
        </w:rPr>
        <w:t>9.</w:t>
      </w:r>
    </w:p>
  </w:footnote>
  <w:footnote w:id="111">
    <w:p w14:paraId="35ECA2CD" w14:textId="3114C99C" w:rsidR="00247349" w:rsidRDefault="00247349" w:rsidP="0051540B">
      <w:pPr>
        <w:pStyle w:val="FootnoteText"/>
        <w:spacing w:line="360" w:lineRule="auto"/>
      </w:pPr>
      <w:r>
        <w:rPr>
          <w:rStyle w:val="FootnoteReference"/>
        </w:rPr>
        <w:footnoteRef/>
      </w:r>
      <w:r w:rsidRPr="0051540B">
        <w:t xml:space="preserve"> </w:t>
      </w:r>
      <w:proofErr w:type="gramStart"/>
      <w:r w:rsidRPr="0051540B">
        <w:t xml:space="preserve">Bulletin, </w:t>
      </w:r>
      <w:r w:rsidRPr="007B0CBE">
        <w:t>supra n 35.</w:t>
      </w:r>
      <w:proofErr w:type="gramEnd"/>
    </w:p>
  </w:footnote>
  <w:footnote w:id="112">
    <w:p w14:paraId="522E63C5" w14:textId="673DB34E" w:rsidR="00247349" w:rsidRDefault="00247349" w:rsidP="0051540B">
      <w:pPr>
        <w:pStyle w:val="FootnoteText"/>
        <w:spacing w:line="360" w:lineRule="auto"/>
      </w:pPr>
      <w:r>
        <w:rPr>
          <w:rStyle w:val="FootnoteReference"/>
        </w:rPr>
        <w:footnoteRef/>
      </w:r>
      <w:r w:rsidRPr="0051540B">
        <w:t xml:space="preserve"> </w:t>
      </w:r>
      <w:proofErr w:type="gramStart"/>
      <w:r w:rsidRPr="0051540B">
        <w:t>See</w:t>
      </w:r>
      <w:r>
        <w:t>,</w:t>
      </w:r>
      <w:r w:rsidRPr="0051540B">
        <w:t xml:space="preserve"> e.g.</w:t>
      </w:r>
      <w:r>
        <w:t>,</w:t>
      </w:r>
      <w:r w:rsidRPr="0051540B">
        <w:t xml:space="preserve"> UN Doc A/66/657–S/2012/33, </w:t>
      </w:r>
      <w:r w:rsidRPr="007B0CBE">
        <w:t>supra n 50, para</w:t>
      </w:r>
      <w:r w:rsidRPr="0051540B">
        <w:t xml:space="preserve"> 3.</w:t>
      </w:r>
      <w:proofErr w:type="gramEnd"/>
    </w:p>
  </w:footnote>
  <w:footnote w:id="113">
    <w:p w14:paraId="58B6597A" w14:textId="44AA2BD2" w:rsidR="00247349" w:rsidRDefault="00247349" w:rsidP="0051540B">
      <w:pPr>
        <w:pStyle w:val="FootnoteText"/>
        <w:spacing w:line="360" w:lineRule="auto"/>
      </w:pPr>
      <w:r>
        <w:rPr>
          <w:rStyle w:val="FootnoteReference"/>
        </w:rPr>
        <w:footnoteRef/>
      </w:r>
      <w:r w:rsidRPr="0051540B">
        <w:t xml:space="preserve"> </w:t>
      </w:r>
      <w:proofErr w:type="gramStart"/>
      <w:r w:rsidRPr="0051540B">
        <w:t xml:space="preserve">CEDAW Committee, General Recommendation No 19, </w:t>
      </w:r>
      <w:r w:rsidRPr="00BA23FD">
        <w:t>supra n 75.</w:t>
      </w:r>
      <w:proofErr w:type="gramEnd"/>
    </w:p>
  </w:footnote>
  <w:footnote w:id="114">
    <w:p w14:paraId="66938026" w14:textId="77777777" w:rsidR="00247349" w:rsidRDefault="00247349" w:rsidP="0051540B">
      <w:pPr>
        <w:spacing w:line="360" w:lineRule="auto"/>
        <w:jc w:val="left"/>
        <w:rPr>
          <w:sz w:val="20"/>
          <w:szCs w:val="20"/>
        </w:rPr>
      </w:pPr>
      <w:r>
        <w:rPr>
          <w:rStyle w:val="FootnoteReference"/>
          <w:sz w:val="20"/>
          <w:szCs w:val="20"/>
        </w:rPr>
        <w:footnoteRef/>
      </w:r>
      <w:r w:rsidRPr="0051540B">
        <w:rPr>
          <w:sz w:val="20"/>
          <w:szCs w:val="20"/>
        </w:rPr>
        <w:t xml:space="preserve"> </w:t>
      </w:r>
      <w:proofErr w:type="gramStart"/>
      <w:r w:rsidRPr="0051540B">
        <w:rPr>
          <w:sz w:val="20"/>
          <w:szCs w:val="20"/>
        </w:rPr>
        <w:t>Statute of the International Criminal Court (1988).</w:t>
      </w:r>
      <w:proofErr w:type="gramEnd"/>
    </w:p>
  </w:footnote>
  <w:footnote w:id="115">
    <w:p w14:paraId="43A8220C" w14:textId="5D9F94CD" w:rsidR="00247349" w:rsidRDefault="00247349" w:rsidP="0051540B">
      <w:pPr>
        <w:pStyle w:val="FootnoteText"/>
        <w:spacing w:line="360" w:lineRule="auto"/>
      </w:pPr>
      <w:r>
        <w:rPr>
          <w:rStyle w:val="FootnoteReference"/>
        </w:rPr>
        <w:footnoteRef/>
      </w:r>
      <w:r w:rsidRPr="0051540B">
        <w:t xml:space="preserve"> </w:t>
      </w:r>
      <w:proofErr w:type="gramStart"/>
      <w:r w:rsidRPr="0051540B">
        <w:t>ICRC CIHL Study.</w:t>
      </w:r>
      <w:proofErr w:type="gramEnd"/>
      <w:r w:rsidRPr="0051540B">
        <w:t xml:space="preserve"> </w:t>
      </w:r>
      <w:proofErr w:type="gramStart"/>
      <w:r w:rsidRPr="0051540B">
        <w:t xml:space="preserve">See summary by J.M. </w:t>
      </w:r>
      <w:proofErr w:type="spellStart"/>
      <w:r w:rsidRPr="0051540B">
        <w:t>Henckaerts</w:t>
      </w:r>
      <w:proofErr w:type="spellEnd"/>
      <w:r w:rsidRPr="0051540B">
        <w:t xml:space="preserve"> in 87 </w:t>
      </w:r>
      <w:r w:rsidRPr="0051540B">
        <w:rPr>
          <w:i/>
        </w:rPr>
        <w:t>IRRC</w:t>
      </w:r>
      <w:r w:rsidRPr="0051540B">
        <w:t xml:space="preserve"> (2005) 175</w:t>
      </w:r>
      <w:r>
        <w:t>,</w:t>
      </w:r>
      <w:r w:rsidRPr="0051540B">
        <w:t xml:space="preserve"> at 210.</w:t>
      </w:r>
      <w:proofErr w:type="gramEnd"/>
    </w:p>
  </w:footnote>
  <w:footnote w:id="116">
    <w:p w14:paraId="242F03F2" w14:textId="59E02D45" w:rsidR="00247349" w:rsidRDefault="00247349" w:rsidP="0051540B">
      <w:pPr>
        <w:pStyle w:val="FootnoteText"/>
        <w:spacing w:line="360" w:lineRule="auto"/>
      </w:pPr>
      <w:r>
        <w:rPr>
          <w:rStyle w:val="FootnoteReference"/>
        </w:rPr>
        <w:footnoteRef/>
      </w:r>
      <w:r w:rsidRPr="0051540B">
        <w:t xml:space="preserve"> </w:t>
      </w:r>
      <w:proofErr w:type="gramStart"/>
      <w:r w:rsidRPr="007B0CBE">
        <w:t>Bulletin, supra n 35.</w:t>
      </w:r>
      <w:proofErr w:type="gramEnd"/>
    </w:p>
  </w:footnote>
  <w:footnote w:id="117">
    <w:p w14:paraId="3AB72FBC" w14:textId="5C865BF6" w:rsidR="00247349" w:rsidRDefault="00247349" w:rsidP="0051540B">
      <w:pPr>
        <w:pStyle w:val="FootnoteText"/>
        <w:spacing w:line="360" w:lineRule="auto"/>
      </w:pPr>
      <w:r>
        <w:rPr>
          <w:rStyle w:val="FootnoteReference"/>
        </w:rPr>
        <w:footnoteRef/>
      </w:r>
      <w:r w:rsidRPr="0051540B">
        <w:t xml:space="preserve"> </w:t>
      </w:r>
      <w:r w:rsidRPr="00156080">
        <w:t>Art 4</w:t>
      </w:r>
      <w:r>
        <w:t xml:space="preserve"> </w:t>
      </w:r>
      <w:r w:rsidRPr="0051540B">
        <w:t xml:space="preserve">ILC Articles on State </w:t>
      </w:r>
      <w:proofErr w:type="gramStart"/>
      <w:r w:rsidRPr="0051540B">
        <w:t>Responsibility.</w:t>
      </w:r>
      <w:proofErr w:type="gramEnd"/>
    </w:p>
  </w:footnote>
  <w:footnote w:id="118">
    <w:p w14:paraId="20AF0A74" w14:textId="79E655B8" w:rsidR="00247349" w:rsidRDefault="00247349" w:rsidP="0051540B">
      <w:pPr>
        <w:pStyle w:val="FootnoteText"/>
        <w:spacing w:line="360" w:lineRule="auto"/>
      </w:pPr>
      <w:r>
        <w:rPr>
          <w:rStyle w:val="FootnoteReference"/>
        </w:rPr>
        <w:footnoteRef/>
      </w:r>
      <w:r w:rsidRPr="0051540B">
        <w:t xml:space="preserve"> UN Doc A/RES/59/141 of 25 February 2005; UN Doc A/RES/59/171 of 24 February 2005; UN Doc A/RES/62/94 of 25 January 2008.</w:t>
      </w:r>
    </w:p>
  </w:footnote>
  <w:footnote w:id="119">
    <w:p w14:paraId="7630BEBB" w14:textId="1D05825F" w:rsidR="00247349" w:rsidRDefault="00247349" w:rsidP="0051540B">
      <w:pPr>
        <w:pStyle w:val="FootnoteText"/>
        <w:spacing w:line="360" w:lineRule="auto"/>
      </w:pPr>
      <w:r>
        <w:rPr>
          <w:rStyle w:val="FootnoteReference"/>
        </w:rPr>
        <w:footnoteRef/>
      </w:r>
      <w:r w:rsidRPr="0051540B">
        <w:t xml:space="preserve"> UNSC Res 1</w:t>
      </w:r>
      <w:r w:rsidRPr="007B0CBE">
        <w:t xml:space="preserve">674 (2006) of 28 April 2006, para 5; UNSC Res 1325, supra n </w:t>
      </w:r>
      <w:r w:rsidR="007B0CBE" w:rsidRPr="007B0CBE">
        <w:t>16</w:t>
      </w:r>
      <w:r w:rsidRPr="007B0CBE">
        <w:t>; UNSC Res 1820, supra n 106; Vienna Declaration</w:t>
      </w:r>
      <w:r w:rsidRPr="0051540B">
        <w:t xml:space="preserve"> and Programme of Action, UN Doc A/CONF.157/24 (part 1) of 13 October 1993, Art 28; Beijing Declaration and Platform for Action, </w:t>
      </w:r>
      <w:r w:rsidRPr="007B0CBE">
        <w:t xml:space="preserve">supra n </w:t>
      </w:r>
      <w:r w:rsidR="007B0CBE" w:rsidRPr="007B0CBE">
        <w:t>13</w:t>
      </w:r>
      <w:r w:rsidRPr="007B0CBE">
        <w:t>, para</w:t>
      </w:r>
      <w:r w:rsidRPr="0051540B">
        <w:t xml:space="preserve"> 33.</w:t>
      </w:r>
    </w:p>
  </w:footnote>
  <w:footnote w:id="120">
    <w:p w14:paraId="47120DC9" w14:textId="72700785" w:rsidR="00247349" w:rsidRPr="0051540B" w:rsidRDefault="00247349" w:rsidP="0051540B">
      <w:pPr>
        <w:pStyle w:val="FootnoteText"/>
        <w:spacing w:line="360" w:lineRule="auto"/>
        <w:rPr>
          <w:lang w:val="fr-CH"/>
        </w:rPr>
      </w:pPr>
      <w:r>
        <w:rPr>
          <w:rStyle w:val="FootnoteReference"/>
        </w:rPr>
        <w:footnoteRef/>
      </w:r>
      <w:r w:rsidRPr="0051540B">
        <w:rPr>
          <w:lang w:val="fr-CH"/>
        </w:rPr>
        <w:t xml:space="preserve"> UNSC </w:t>
      </w:r>
      <w:proofErr w:type="spellStart"/>
      <w:r w:rsidRPr="0051540B">
        <w:rPr>
          <w:lang w:val="fr-CH"/>
        </w:rPr>
        <w:t>Res</w:t>
      </w:r>
      <w:proofErr w:type="spellEnd"/>
      <w:r w:rsidRPr="0051540B">
        <w:rPr>
          <w:lang w:val="fr-CH"/>
        </w:rPr>
        <w:t xml:space="preserve"> 1674, </w:t>
      </w:r>
      <w:r w:rsidRPr="00EE2F51">
        <w:rPr>
          <w:lang w:val="fr-CH"/>
        </w:rPr>
        <w:t>supra n 118, para</w:t>
      </w:r>
      <w:r w:rsidRPr="0051540B">
        <w:rPr>
          <w:lang w:val="fr-CH"/>
        </w:rPr>
        <w:t xml:space="preserve"> 5.</w:t>
      </w:r>
    </w:p>
  </w:footnote>
  <w:footnote w:id="121">
    <w:p w14:paraId="1AA7A99E" w14:textId="1BD79461" w:rsidR="00247349" w:rsidRDefault="00247349" w:rsidP="0051540B">
      <w:pPr>
        <w:pStyle w:val="FootnoteText"/>
        <w:tabs>
          <w:tab w:val="left" w:pos="3798"/>
        </w:tabs>
        <w:spacing w:line="360" w:lineRule="auto"/>
      </w:pPr>
      <w:r>
        <w:rPr>
          <w:rStyle w:val="FootnoteReference"/>
        </w:rPr>
        <w:footnoteRef/>
      </w:r>
      <w:r w:rsidRPr="0051540B">
        <w:t xml:space="preserve"> </w:t>
      </w:r>
      <w:proofErr w:type="gramStart"/>
      <w:r w:rsidRPr="0051540B">
        <w:t>See</w:t>
      </w:r>
      <w:r>
        <w:t>,</w:t>
      </w:r>
      <w:r w:rsidRPr="0051540B">
        <w:t xml:space="preserve"> e.g.</w:t>
      </w:r>
      <w:r>
        <w:t>,</w:t>
      </w:r>
      <w:r w:rsidRPr="0051540B">
        <w:t xml:space="preserve"> UNSC Res 1894, </w:t>
      </w:r>
      <w:r w:rsidRPr="007B0CBE">
        <w:t>supra n 10.</w:t>
      </w:r>
      <w:proofErr w:type="gramEnd"/>
      <w:r w:rsidRPr="0051540B">
        <w:t xml:space="preserve"> </w:t>
      </w:r>
      <w:r>
        <w:tab/>
      </w:r>
    </w:p>
  </w:footnote>
  <w:footnote w:id="122">
    <w:p w14:paraId="2D22E4D2" w14:textId="77777777" w:rsidR="00247349" w:rsidRDefault="00247349" w:rsidP="0051540B">
      <w:pPr>
        <w:pStyle w:val="FootnoteText"/>
        <w:spacing w:line="360" w:lineRule="auto"/>
      </w:pPr>
      <w:r>
        <w:rPr>
          <w:rStyle w:val="FootnoteReference"/>
        </w:rPr>
        <w:footnoteRef/>
      </w:r>
      <w:r w:rsidRPr="0051540B">
        <w:t xml:space="preserve"> </w:t>
      </w:r>
      <w:proofErr w:type="gramStart"/>
      <w:r w:rsidRPr="0051540B">
        <w:t>S/AC.26/1992/8 of 27 January 1992, at Category C.</w:t>
      </w:r>
      <w:proofErr w:type="gramEnd"/>
    </w:p>
  </w:footnote>
  <w:footnote w:id="123">
    <w:p w14:paraId="2EB11EA3" w14:textId="6FF3C92A" w:rsidR="00247349" w:rsidRDefault="00247349" w:rsidP="0051540B">
      <w:pPr>
        <w:pStyle w:val="FootnoteText"/>
        <w:spacing w:line="360" w:lineRule="auto"/>
      </w:pPr>
      <w:r>
        <w:rPr>
          <w:rStyle w:val="FootnoteReference"/>
        </w:rPr>
        <w:footnoteRef/>
      </w:r>
      <w:r w:rsidRPr="0051540B">
        <w:t xml:space="preserve"> </w:t>
      </w:r>
      <w:proofErr w:type="gramStart"/>
      <w:r w:rsidRPr="0051540B">
        <w:t>UNGA Res 60/147 of 21 March 2006, para 7.</w:t>
      </w:r>
      <w:proofErr w:type="gramEnd"/>
    </w:p>
  </w:footnote>
  <w:footnote w:id="124">
    <w:p w14:paraId="5BF11E97" w14:textId="7767361F" w:rsidR="00247349" w:rsidRDefault="00247349" w:rsidP="0051540B">
      <w:pPr>
        <w:pStyle w:val="FootnoteText"/>
        <w:spacing w:line="360" w:lineRule="auto"/>
      </w:pPr>
      <w:r>
        <w:rPr>
          <w:rStyle w:val="FootnoteReference"/>
        </w:rPr>
        <w:footnoteRef/>
      </w:r>
      <w:r>
        <w:t xml:space="preserve"> </w:t>
      </w:r>
      <w:proofErr w:type="gramStart"/>
      <w:r>
        <w:t>Ibid</w:t>
      </w:r>
      <w:r w:rsidRPr="0051540B">
        <w:t xml:space="preserve">, </w:t>
      </w:r>
      <w:r w:rsidRPr="007B0CBE">
        <w:t>paras 11–12.</w:t>
      </w:r>
      <w:proofErr w:type="gramEnd"/>
      <w:r w:rsidRPr="007B0CBE">
        <w:t xml:space="preserve"> In relation to compensation to women victims of violence, see UN Doc A/HRC/7/6/Add.4, supra n </w:t>
      </w:r>
      <w:r w:rsidR="007B0CBE" w:rsidRPr="007B0CBE">
        <w:t>15</w:t>
      </w:r>
      <w:r w:rsidRPr="007B0CBE">
        <w:t>, para</w:t>
      </w:r>
      <w:r w:rsidRPr="0051540B">
        <w:t xml:space="preserve"> 86.</w:t>
      </w:r>
    </w:p>
  </w:footnote>
  <w:footnote w:id="125">
    <w:p w14:paraId="4C2F7CB8" w14:textId="531D44E1" w:rsidR="00247349" w:rsidRDefault="00247349" w:rsidP="0051540B">
      <w:pPr>
        <w:pStyle w:val="FootnoteText"/>
        <w:spacing w:line="360" w:lineRule="auto"/>
      </w:pPr>
      <w:r>
        <w:rPr>
          <w:rStyle w:val="FootnoteReference"/>
        </w:rPr>
        <w:footnoteRef/>
      </w:r>
      <w:r w:rsidRPr="0051540B">
        <w:t xml:space="preserve"> </w:t>
      </w:r>
      <w:r w:rsidRPr="00052028">
        <w:t>Art 4(d)</w:t>
      </w:r>
      <w:r>
        <w:t xml:space="preserve"> </w:t>
      </w:r>
      <w:r w:rsidRPr="0051540B">
        <w:t xml:space="preserve">Declaration on the Elimination of Violence against Women, </w:t>
      </w:r>
      <w:r w:rsidRPr="007B0CBE">
        <w:t xml:space="preserve">supra n </w:t>
      </w:r>
      <w:proofErr w:type="gramStart"/>
      <w:r w:rsidRPr="007B0CBE">
        <w:t>12.</w:t>
      </w:r>
      <w:proofErr w:type="gramEnd"/>
    </w:p>
  </w:footnote>
  <w:footnote w:id="126">
    <w:p w14:paraId="54D06DF8" w14:textId="24E83F66" w:rsidR="00247349" w:rsidRDefault="00247349" w:rsidP="0051540B">
      <w:pPr>
        <w:pStyle w:val="FootnoteText"/>
        <w:spacing w:line="360" w:lineRule="auto"/>
      </w:pPr>
      <w:r>
        <w:rPr>
          <w:rStyle w:val="FootnoteReference"/>
        </w:rPr>
        <w:footnoteRef/>
      </w:r>
      <w:r w:rsidRPr="0051540B">
        <w:t xml:space="preserve"> </w:t>
      </w:r>
      <w:proofErr w:type="gramStart"/>
      <w:r w:rsidRPr="004F3204">
        <w:t>Art 7(f) and (g)</w:t>
      </w:r>
      <w:r>
        <w:t xml:space="preserve"> </w:t>
      </w:r>
      <w:r w:rsidRPr="0051540B">
        <w:t>Inter-American Convention on the Prevention, Punishment and Eradication of Violence against Women (1994).</w:t>
      </w:r>
      <w:proofErr w:type="gramEnd"/>
    </w:p>
  </w:footnote>
  <w:footnote w:id="127">
    <w:p w14:paraId="5B1795BD" w14:textId="7CD4EB24" w:rsidR="00247349" w:rsidRDefault="00247349" w:rsidP="0051540B">
      <w:pPr>
        <w:pStyle w:val="FootnoteText"/>
        <w:spacing w:line="360" w:lineRule="auto"/>
      </w:pPr>
      <w:r>
        <w:rPr>
          <w:rStyle w:val="FootnoteReference"/>
        </w:rPr>
        <w:footnoteRef/>
      </w:r>
      <w:r w:rsidRPr="0051540B">
        <w:t xml:space="preserve"> </w:t>
      </w:r>
      <w:proofErr w:type="gramStart"/>
      <w:r w:rsidRPr="00C05498">
        <w:t>Arts 4 and 10</w:t>
      </w:r>
      <w:r>
        <w:t xml:space="preserve"> </w:t>
      </w:r>
      <w:r w:rsidRPr="0051540B">
        <w:t>Protocol of the African Charter on Human and Peoples’ Rights on the Rights of Women in Africa (2003).</w:t>
      </w:r>
      <w:proofErr w:type="gramEnd"/>
    </w:p>
  </w:footnote>
  <w:footnote w:id="128">
    <w:p w14:paraId="32D85AEA" w14:textId="77777777" w:rsidR="00247349" w:rsidRDefault="00247349" w:rsidP="0051540B">
      <w:pPr>
        <w:pStyle w:val="FootnoteText"/>
        <w:spacing w:line="360" w:lineRule="auto"/>
        <w:rPr>
          <w:lang w:val="en-US"/>
        </w:rPr>
      </w:pPr>
      <w:r>
        <w:rPr>
          <w:rStyle w:val="FootnoteReference"/>
        </w:rPr>
        <w:footnoteRef/>
      </w:r>
      <w:r w:rsidRPr="0051540B">
        <w:t xml:space="preserve"> </w:t>
      </w:r>
      <w:proofErr w:type="gramStart"/>
      <w:r w:rsidRPr="0051540B">
        <w:rPr>
          <w:lang w:val="en-US"/>
        </w:rPr>
        <w:t>Arts 5(2) and 30.</w:t>
      </w:r>
      <w:proofErr w:type="gramEnd"/>
      <w:r w:rsidRPr="0051540B">
        <w:rPr>
          <w:lang w:val="en-US"/>
        </w:rPr>
        <w:t xml:space="preserve"> </w:t>
      </w:r>
    </w:p>
  </w:footnote>
  <w:footnote w:id="129">
    <w:p w14:paraId="31248206" w14:textId="123D989D" w:rsidR="00247349" w:rsidRDefault="00247349" w:rsidP="0051540B">
      <w:pPr>
        <w:pStyle w:val="FootnoteText"/>
        <w:spacing w:line="360" w:lineRule="auto"/>
      </w:pPr>
      <w:r>
        <w:rPr>
          <w:rStyle w:val="FootnoteReference"/>
        </w:rPr>
        <w:footnoteRef/>
      </w:r>
      <w:r w:rsidRPr="0051540B">
        <w:t xml:space="preserve"> </w:t>
      </w:r>
      <w:proofErr w:type="gramStart"/>
      <w:r w:rsidRPr="0051540B">
        <w:t>UN Doc A/HRC/14/22 of 23 April 2010, para 25.</w:t>
      </w:r>
      <w:proofErr w:type="gramEnd"/>
      <w:r w:rsidRPr="0051540B">
        <w:t xml:space="preserve"> </w:t>
      </w:r>
      <w:proofErr w:type="gramStart"/>
      <w:r w:rsidRPr="0051540B">
        <w:t>See</w:t>
      </w:r>
      <w:r>
        <w:t>,</w:t>
      </w:r>
      <w:r w:rsidRPr="0051540B">
        <w:t xml:space="preserve"> e.g.</w:t>
      </w:r>
      <w:r>
        <w:t>,</w:t>
      </w:r>
      <w:r w:rsidRPr="0051540B">
        <w:t xml:space="preserve"> </w:t>
      </w:r>
      <w:proofErr w:type="spellStart"/>
      <w:r w:rsidRPr="0051540B">
        <w:t>ECtHR</w:t>
      </w:r>
      <w:proofErr w:type="spellEnd"/>
      <w:r w:rsidRPr="0051540B">
        <w:t xml:space="preserve">, </w:t>
      </w:r>
      <w:r w:rsidRPr="0051540B">
        <w:rPr>
          <w:i/>
        </w:rPr>
        <w:t>Cyprus v Turkey</w:t>
      </w:r>
      <w:r w:rsidRPr="0051540B">
        <w:t>, App</w:t>
      </w:r>
      <w:r>
        <w:t xml:space="preserve"> </w:t>
      </w:r>
      <w:proofErr w:type="spellStart"/>
      <w:r>
        <w:t>Nos</w:t>
      </w:r>
      <w:proofErr w:type="spellEnd"/>
      <w:r w:rsidRPr="0051540B">
        <w:t xml:space="preserve"> 6780/74 and 6950/75, 10 July 1976.</w:t>
      </w:r>
      <w:proofErr w:type="gramEnd"/>
    </w:p>
  </w:footnote>
  <w:footnote w:id="130">
    <w:p w14:paraId="609CF0CD" w14:textId="03764268" w:rsidR="00247349" w:rsidRDefault="00247349" w:rsidP="0051540B">
      <w:pPr>
        <w:pStyle w:val="FootnoteText"/>
        <w:spacing w:line="360" w:lineRule="auto"/>
        <w:rPr>
          <w:lang w:val="de-CH"/>
        </w:rPr>
      </w:pPr>
      <w:r>
        <w:rPr>
          <w:rStyle w:val="FootnoteReference"/>
        </w:rPr>
        <w:footnoteRef/>
      </w:r>
      <w:r w:rsidRPr="0051540B">
        <w:rPr>
          <w:lang w:val="de-CH"/>
        </w:rPr>
        <w:t xml:space="preserve"> Art 49 GC I; Art 50 GC II; Art 129 GC III;</w:t>
      </w:r>
      <w:r>
        <w:rPr>
          <w:lang w:val="de-CH"/>
        </w:rPr>
        <w:t xml:space="preserve"> </w:t>
      </w:r>
      <w:r w:rsidRPr="0051540B">
        <w:rPr>
          <w:lang w:val="de-CH"/>
        </w:rPr>
        <w:t>Art 146 GC IV.</w:t>
      </w:r>
    </w:p>
  </w:footnote>
  <w:footnote w:id="131">
    <w:p w14:paraId="7FCED364" w14:textId="4D944BA1" w:rsidR="00247349" w:rsidRDefault="00247349" w:rsidP="0051540B">
      <w:pPr>
        <w:pStyle w:val="FootnoteText"/>
        <w:spacing w:line="360" w:lineRule="auto"/>
      </w:pPr>
      <w:r>
        <w:rPr>
          <w:rStyle w:val="FootnoteReference"/>
        </w:rPr>
        <w:footnoteRef/>
      </w:r>
      <w:r w:rsidRPr="0051540B">
        <w:t xml:space="preserve"> </w:t>
      </w:r>
      <w:proofErr w:type="gramStart"/>
      <w:r w:rsidRPr="0051540B">
        <w:t>See</w:t>
      </w:r>
      <w:r>
        <w:t>,</w:t>
      </w:r>
      <w:r w:rsidRPr="0051540B">
        <w:t xml:space="preserve"> e.g.</w:t>
      </w:r>
      <w:r>
        <w:t>,</w:t>
      </w:r>
      <w:r w:rsidRPr="0051540B">
        <w:t xml:space="preserve"> UNSC Res </w:t>
      </w:r>
      <w:r w:rsidRPr="007B0CBE">
        <w:t xml:space="preserve">1325, supra n </w:t>
      </w:r>
      <w:r w:rsidR="007B0CBE" w:rsidRPr="007B0CBE">
        <w:t>16</w:t>
      </w:r>
      <w:r w:rsidRPr="007B0CBE">
        <w:t>, para</w:t>
      </w:r>
      <w:r w:rsidRPr="0051540B">
        <w:t xml:space="preserve"> 11; UNSC Res 1888, </w:t>
      </w:r>
      <w:r w:rsidRPr="007B0CBE">
        <w:t>supra n 10, Preamble</w:t>
      </w:r>
      <w:r w:rsidRPr="0051540B">
        <w:t xml:space="preserve"> and para 7.</w:t>
      </w:r>
      <w:proofErr w:type="gramEnd"/>
      <w:r w:rsidRPr="0051540B">
        <w:t xml:space="preserve"> See also G8, Declaration on Preventing Sexual Violence in Conflict, 11 April 2013.</w:t>
      </w:r>
    </w:p>
  </w:footnote>
  <w:footnote w:id="132">
    <w:p w14:paraId="3C90AB40" w14:textId="51D07664" w:rsidR="00247349" w:rsidRPr="0051540B" w:rsidRDefault="00247349" w:rsidP="0051540B">
      <w:pPr>
        <w:pStyle w:val="FootnoteText"/>
        <w:spacing w:line="360" w:lineRule="auto"/>
        <w:rPr>
          <w:lang w:val="fr-CH"/>
        </w:rPr>
      </w:pPr>
      <w:r>
        <w:rPr>
          <w:rStyle w:val="FootnoteReference"/>
        </w:rPr>
        <w:footnoteRef/>
      </w:r>
      <w:r w:rsidRPr="0051540B">
        <w:rPr>
          <w:lang w:val="fr-FR"/>
        </w:rPr>
        <w:t xml:space="preserve"> UN Doc A/HRC/11/6/Add.5, </w:t>
      </w:r>
      <w:r w:rsidRPr="00EE2F51">
        <w:rPr>
          <w:lang w:val="fr-FR"/>
        </w:rPr>
        <w:t xml:space="preserve">supra n </w:t>
      </w:r>
      <w:r w:rsidR="00EE2F51" w:rsidRPr="00EE2F51">
        <w:rPr>
          <w:lang w:val="fr-FR"/>
        </w:rPr>
        <w:t>15</w:t>
      </w:r>
      <w:r w:rsidRPr="00EE2F51">
        <w:rPr>
          <w:lang w:val="fr-FR"/>
        </w:rPr>
        <w:t>,</w:t>
      </w:r>
      <w:r w:rsidRPr="0051540B">
        <w:rPr>
          <w:lang w:val="fr-FR"/>
        </w:rPr>
        <w:t xml:space="preserve"> para 64; UN Doc </w:t>
      </w:r>
      <w:r w:rsidRPr="0051540B">
        <w:rPr>
          <w:lang w:val="fr-CH"/>
        </w:rPr>
        <w:t xml:space="preserve">A/HRC/7/6/Add.4, </w:t>
      </w:r>
      <w:r w:rsidRPr="007B0CBE">
        <w:rPr>
          <w:lang w:val="fr-CH"/>
        </w:rPr>
        <w:t xml:space="preserve">supra n </w:t>
      </w:r>
      <w:r w:rsidR="007B0CBE" w:rsidRPr="007B0CBE">
        <w:rPr>
          <w:lang w:val="fr-CH"/>
        </w:rPr>
        <w:t>15</w:t>
      </w:r>
      <w:r w:rsidRPr="007B0CBE">
        <w:rPr>
          <w:lang w:val="fr-CH"/>
        </w:rPr>
        <w:t>, para</w:t>
      </w:r>
      <w:r w:rsidRPr="0051540B">
        <w:rPr>
          <w:lang w:val="fr-CH"/>
        </w:rPr>
        <w:t xml:space="preserve"> 65.</w:t>
      </w:r>
    </w:p>
  </w:footnote>
  <w:footnote w:id="133">
    <w:p w14:paraId="15067CE9" w14:textId="455AAB07" w:rsidR="00247349" w:rsidRPr="0051540B" w:rsidRDefault="00247349" w:rsidP="0051540B">
      <w:pPr>
        <w:pStyle w:val="FootnoteText"/>
        <w:spacing w:line="360" w:lineRule="auto"/>
        <w:rPr>
          <w:lang w:val="fr-CH"/>
        </w:rPr>
      </w:pPr>
      <w:r>
        <w:rPr>
          <w:rStyle w:val="FootnoteReference"/>
        </w:rPr>
        <w:footnoteRef/>
      </w:r>
      <w:r w:rsidRPr="0051540B">
        <w:rPr>
          <w:lang w:val="fr-CH"/>
        </w:rPr>
        <w:t xml:space="preserve"> UN Doc A/HRC/11/6/Add</w:t>
      </w:r>
      <w:r w:rsidRPr="00EE2F51">
        <w:rPr>
          <w:lang w:val="fr-CH"/>
        </w:rPr>
        <w:t xml:space="preserve">.5, supra n </w:t>
      </w:r>
      <w:r w:rsidR="00EE2F51" w:rsidRPr="00EE2F51">
        <w:rPr>
          <w:lang w:val="fr-CH"/>
        </w:rPr>
        <w:t>15</w:t>
      </w:r>
      <w:r w:rsidRPr="00EE2F51">
        <w:rPr>
          <w:lang w:val="fr-CH"/>
        </w:rPr>
        <w:t>, para</w:t>
      </w:r>
      <w:r w:rsidRPr="0051540B">
        <w:rPr>
          <w:lang w:val="fr-CH"/>
        </w:rPr>
        <w:t xml:space="preserve"> 87.</w:t>
      </w:r>
    </w:p>
  </w:footnote>
  <w:footnote w:id="134">
    <w:p w14:paraId="34F2B523" w14:textId="77777777" w:rsidR="00247349" w:rsidRDefault="00247349" w:rsidP="0051540B">
      <w:pPr>
        <w:pStyle w:val="FootnoteText"/>
        <w:spacing w:line="360" w:lineRule="auto"/>
      </w:pPr>
      <w:r>
        <w:rPr>
          <w:rStyle w:val="FootnoteReference"/>
        </w:rPr>
        <w:footnoteRef/>
      </w:r>
      <w:r w:rsidRPr="0051540B">
        <w:t xml:space="preserve"> The author of this commentary is unaware of cases that examine violations of women’s rights in armed conflict other than relating to sexual offences.</w:t>
      </w:r>
    </w:p>
  </w:footnote>
  <w:footnote w:id="135">
    <w:p w14:paraId="5E1BC5EC" w14:textId="4BEB5D02" w:rsidR="00247349" w:rsidRDefault="00247349" w:rsidP="0051540B">
      <w:pPr>
        <w:pStyle w:val="FootnoteText"/>
        <w:spacing w:line="360" w:lineRule="auto"/>
      </w:pPr>
      <w:r>
        <w:rPr>
          <w:rStyle w:val="FootnoteReference"/>
        </w:rPr>
        <w:footnoteRef/>
      </w:r>
      <w:r w:rsidRPr="0051540B">
        <w:t xml:space="preserve"> </w:t>
      </w:r>
      <w:proofErr w:type="gramStart"/>
      <w:r w:rsidRPr="0051540B">
        <w:t>See</w:t>
      </w:r>
      <w:r>
        <w:t>,</w:t>
      </w:r>
      <w:r w:rsidRPr="0051540B">
        <w:t xml:space="preserve"> e.g.</w:t>
      </w:r>
      <w:r>
        <w:t>,</w:t>
      </w:r>
      <w:r w:rsidRPr="0051540B">
        <w:t xml:space="preserve"> </w:t>
      </w:r>
      <w:r w:rsidRPr="0051540B">
        <w:rPr>
          <w:i/>
        </w:rPr>
        <w:t>Aydin</w:t>
      </w:r>
      <w:r w:rsidRPr="0051540B">
        <w:t xml:space="preserve">, </w:t>
      </w:r>
      <w:r w:rsidRPr="007B0CBE">
        <w:t xml:space="preserve">supra n 33, paras 83–84; and </w:t>
      </w:r>
      <w:proofErr w:type="spellStart"/>
      <w:r w:rsidRPr="007B0CBE">
        <w:rPr>
          <w:i/>
          <w:color w:val="000000"/>
        </w:rPr>
        <w:t>Mejía</w:t>
      </w:r>
      <w:proofErr w:type="spellEnd"/>
      <w:r w:rsidRPr="007B0CBE">
        <w:rPr>
          <w:color w:val="000000"/>
        </w:rPr>
        <w:t>, supra n 33, paras</w:t>
      </w:r>
      <w:r w:rsidRPr="0051540B">
        <w:t xml:space="preserve"> 182</w:t>
      </w:r>
      <w:r>
        <w:t>–</w:t>
      </w:r>
      <w:r w:rsidRPr="0051540B">
        <w:t>88.</w:t>
      </w:r>
      <w:proofErr w:type="gramEnd"/>
    </w:p>
  </w:footnote>
  <w:footnote w:id="136">
    <w:p w14:paraId="6A84D024" w14:textId="77777777" w:rsidR="00247349" w:rsidRDefault="00247349" w:rsidP="0051540B">
      <w:pPr>
        <w:pStyle w:val="FootnoteText"/>
        <w:spacing w:line="360" w:lineRule="auto"/>
      </w:pPr>
      <w:r>
        <w:rPr>
          <w:rStyle w:val="FootnoteReference"/>
        </w:rPr>
        <w:footnoteRef/>
      </w:r>
      <w:r w:rsidRPr="0051540B">
        <w:t xml:space="preserve"> See discussion in Rule 156 ICRC CIHL Study.</w:t>
      </w:r>
    </w:p>
  </w:footnote>
  <w:footnote w:id="137">
    <w:p w14:paraId="0431D404" w14:textId="3B6664B7" w:rsidR="00247349" w:rsidRDefault="00247349" w:rsidP="0051540B">
      <w:pPr>
        <w:pStyle w:val="FootnoteText"/>
        <w:spacing w:line="360" w:lineRule="auto"/>
      </w:pPr>
      <w:r>
        <w:rPr>
          <w:rStyle w:val="FootnoteReference"/>
        </w:rPr>
        <w:footnoteRef/>
      </w:r>
      <w:r w:rsidRPr="0051540B">
        <w:t xml:space="preserve"> </w:t>
      </w:r>
      <w:proofErr w:type="gramStart"/>
      <w:r w:rsidRPr="0051540B">
        <w:t xml:space="preserve">ICTY, </w:t>
      </w:r>
      <w:r w:rsidRPr="0051540B">
        <w:rPr>
          <w:i/>
        </w:rPr>
        <w:t xml:space="preserve">The Prosecutor v </w:t>
      </w:r>
      <w:proofErr w:type="spellStart"/>
      <w:r w:rsidRPr="0051540B">
        <w:rPr>
          <w:i/>
        </w:rPr>
        <w:t>Tadi</w:t>
      </w:r>
      <w:r>
        <w:rPr>
          <w:i/>
        </w:rPr>
        <w:t>ć</w:t>
      </w:r>
      <w:proofErr w:type="spellEnd"/>
      <w:r w:rsidRPr="0051540B">
        <w:t>, IT-94-1, Interlocutory Appeal Decision, 2 October 1995, para 94.</w:t>
      </w:r>
      <w:proofErr w:type="gramEnd"/>
    </w:p>
  </w:footnote>
  <w:footnote w:id="138">
    <w:p w14:paraId="069F5641" w14:textId="77777777" w:rsidR="00247349" w:rsidRDefault="00247349" w:rsidP="0051540B">
      <w:pPr>
        <w:pStyle w:val="FootnoteText"/>
        <w:spacing w:line="360" w:lineRule="auto"/>
      </w:pPr>
      <w:r>
        <w:rPr>
          <w:rStyle w:val="FootnoteReference"/>
        </w:rPr>
        <w:footnoteRef/>
      </w:r>
      <w:r w:rsidRPr="0051540B">
        <w:t xml:space="preserve"> See discussion in Rule 156 ICRC CIHL Study.</w:t>
      </w:r>
    </w:p>
  </w:footnote>
  <w:footnote w:id="139">
    <w:p w14:paraId="29BCA2F4" w14:textId="4B05F28A" w:rsidR="00247349" w:rsidRDefault="00247349" w:rsidP="0051540B">
      <w:pPr>
        <w:pStyle w:val="FootnoteText"/>
        <w:spacing w:line="360" w:lineRule="auto"/>
      </w:pPr>
      <w:r>
        <w:rPr>
          <w:rStyle w:val="FootnoteReference"/>
        </w:rPr>
        <w:footnoteRef/>
      </w:r>
      <w:r w:rsidRPr="0051540B">
        <w:t xml:space="preserve"> </w:t>
      </w:r>
      <w:proofErr w:type="gramStart"/>
      <w:r w:rsidRPr="0051540B">
        <w:t>See</w:t>
      </w:r>
      <w:r>
        <w:t>,</w:t>
      </w:r>
      <w:r w:rsidRPr="0051540B">
        <w:t xml:space="preserve"> e.g.</w:t>
      </w:r>
      <w:r>
        <w:t>,</w:t>
      </w:r>
      <w:r w:rsidRPr="0051540B">
        <w:t xml:space="preserve"> UNSC Res 1888, </w:t>
      </w:r>
      <w:r w:rsidRPr="007B0CBE">
        <w:t>supra n 10, para</w:t>
      </w:r>
      <w:r w:rsidRPr="0051540B">
        <w:t xml:space="preserve"> 1; UNSC Res 2106</w:t>
      </w:r>
      <w:r>
        <w:t xml:space="preserve"> </w:t>
      </w:r>
      <w:r w:rsidRPr="0051540B">
        <w:t>(2013) of 24 June 2013, para 2.</w:t>
      </w:r>
      <w:proofErr w:type="gramEnd"/>
    </w:p>
  </w:footnote>
  <w:footnote w:id="140">
    <w:p w14:paraId="44C42BFA" w14:textId="3E367738" w:rsidR="00247349" w:rsidRDefault="00247349" w:rsidP="0051540B">
      <w:pPr>
        <w:pStyle w:val="FootnoteText"/>
        <w:spacing w:line="360" w:lineRule="auto"/>
      </w:pPr>
      <w:r>
        <w:rPr>
          <w:rStyle w:val="FootnoteReference"/>
        </w:rPr>
        <w:footnoteRef/>
      </w:r>
      <w:r w:rsidRPr="0051540B">
        <w:t xml:space="preserve"> </w:t>
      </w:r>
      <w:proofErr w:type="gramStart"/>
      <w:r w:rsidRPr="0051540B">
        <w:t>See</w:t>
      </w:r>
      <w:r>
        <w:t>,</w:t>
      </w:r>
      <w:r w:rsidRPr="0051540B">
        <w:t xml:space="preserve"> e.g.</w:t>
      </w:r>
      <w:r>
        <w:t>,</w:t>
      </w:r>
      <w:r w:rsidRPr="0051540B">
        <w:t xml:space="preserve"> </w:t>
      </w:r>
      <w:r>
        <w:t xml:space="preserve">UNSC Res 1888, </w:t>
      </w:r>
      <w:r w:rsidRPr="007B0CBE">
        <w:t>supra n 10, Preamble</w:t>
      </w:r>
      <w:r w:rsidRPr="0051540B">
        <w:t>.</w:t>
      </w:r>
      <w:proofErr w:type="gramEnd"/>
    </w:p>
  </w:footnote>
  <w:footnote w:id="141">
    <w:p w14:paraId="34D7FEA5" w14:textId="6DC0D2B9" w:rsidR="00247349" w:rsidRDefault="00247349" w:rsidP="0051540B">
      <w:pPr>
        <w:pStyle w:val="Heading4"/>
        <w:shd w:val="clear" w:color="auto" w:fill="FFFFFF"/>
        <w:spacing w:before="0" w:after="0" w:line="360" w:lineRule="auto"/>
        <w:rPr>
          <w:rFonts w:ascii="Times New Roman" w:hAnsi="Times New Roman"/>
          <w:b w:val="0"/>
          <w:sz w:val="20"/>
          <w:szCs w:val="20"/>
        </w:rPr>
      </w:pPr>
      <w:r>
        <w:rPr>
          <w:rStyle w:val="FootnoteReference"/>
          <w:rFonts w:ascii="Times New Roman" w:hAnsi="Times New Roman"/>
          <w:b w:val="0"/>
          <w:sz w:val="20"/>
          <w:szCs w:val="20"/>
        </w:rPr>
        <w:footnoteRef/>
      </w:r>
      <w:r w:rsidRPr="0051540B">
        <w:rPr>
          <w:rFonts w:ascii="Times New Roman" w:hAnsi="Times New Roman"/>
          <w:b w:val="0"/>
          <w:sz w:val="20"/>
          <w:szCs w:val="20"/>
        </w:rPr>
        <w:t xml:space="preserve"> See</w:t>
      </w:r>
      <w:r>
        <w:rPr>
          <w:rFonts w:ascii="Times New Roman" w:hAnsi="Times New Roman"/>
          <w:b w:val="0"/>
          <w:sz w:val="20"/>
          <w:szCs w:val="20"/>
        </w:rPr>
        <w:t xml:space="preserve">, </w:t>
      </w:r>
      <w:r w:rsidRPr="0051540B">
        <w:rPr>
          <w:rFonts w:ascii="Times New Roman" w:hAnsi="Times New Roman"/>
          <w:b w:val="0"/>
          <w:sz w:val="20"/>
          <w:szCs w:val="20"/>
        </w:rPr>
        <w:t>e.g.</w:t>
      </w:r>
      <w:r>
        <w:rPr>
          <w:rFonts w:ascii="Times New Roman" w:hAnsi="Times New Roman"/>
          <w:b w:val="0"/>
          <w:sz w:val="20"/>
          <w:szCs w:val="20"/>
        </w:rPr>
        <w:t>,</w:t>
      </w:r>
      <w:r w:rsidRPr="0051540B">
        <w:rPr>
          <w:rFonts w:ascii="Times New Roman" w:hAnsi="Times New Roman"/>
          <w:b w:val="0"/>
          <w:sz w:val="20"/>
          <w:szCs w:val="20"/>
        </w:rPr>
        <w:t xml:space="preserve"> ICC, </w:t>
      </w:r>
      <w:r w:rsidRPr="0051540B">
        <w:rPr>
          <w:rFonts w:ascii="Times New Roman" w:hAnsi="Times New Roman"/>
          <w:b w:val="0"/>
          <w:i/>
          <w:sz w:val="20"/>
          <w:szCs w:val="20"/>
        </w:rPr>
        <w:t>The</w:t>
      </w:r>
      <w:r>
        <w:rPr>
          <w:rFonts w:ascii="Times New Roman" w:hAnsi="Times New Roman"/>
          <w:b w:val="0"/>
          <w:sz w:val="20"/>
          <w:szCs w:val="20"/>
        </w:rPr>
        <w:t xml:space="preserve"> </w:t>
      </w:r>
      <w:r w:rsidRPr="0051540B">
        <w:rPr>
          <w:rFonts w:ascii="Times New Roman" w:hAnsi="Times New Roman"/>
          <w:b w:val="0"/>
          <w:i/>
          <w:sz w:val="20"/>
          <w:szCs w:val="20"/>
        </w:rPr>
        <w:t xml:space="preserve">Prosecutor v Ahmad Muhammad Harun and Ali Muhammad Ali </w:t>
      </w:r>
      <w:proofErr w:type="spellStart"/>
      <w:r w:rsidRPr="0051540B">
        <w:rPr>
          <w:rFonts w:ascii="Times New Roman" w:hAnsi="Times New Roman"/>
          <w:b w:val="0"/>
          <w:i/>
          <w:sz w:val="20"/>
          <w:szCs w:val="20"/>
        </w:rPr>
        <w:t>Abd</w:t>
      </w:r>
      <w:proofErr w:type="spellEnd"/>
      <w:r w:rsidRPr="0051540B">
        <w:rPr>
          <w:rFonts w:ascii="Times New Roman" w:hAnsi="Times New Roman"/>
          <w:b w:val="0"/>
          <w:i/>
          <w:sz w:val="20"/>
          <w:szCs w:val="20"/>
        </w:rPr>
        <w:t>-Al-Rahman</w:t>
      </w:r>
      <w:r w:rsidRPr="0051540B">
        <w:rPr>
          <w:rFonts w:ascii="Times New Roman" w:hAnsi="Times New Roman"/>
          <w:b w:val="0"/>
          <w:sz w:val="20"/>
          <w:szCs w:val="20"/>
        </w:rPr>
        <w:t>, Pre-Trial Chamber I, ICC-02/05-01/07, 27 April 2007, at Counts 14 and 43.</w:t>
      </w:r>
    </w:p>
  </w:footnote>
  <w:footnote w:id="142">
    <w:p w14:paraId="5D50DE33" w14:textId="2254D828" w:rsidR="00247349" w:rsidRPr="0051540B" w:rsidRDefault="00247349" w:rsidP="0051540B">
      <w:pPr>
        <w:pStyle w:val="FootnoteText"/>
        <w:spacing w:line="360" w:lineRule="auto"/>
        <w:rPr>
          <w:lang w:val="fr-CH"/>
        </w:rPr>
      </w:pPr>
      <w:r>
        <w:rPr>
          <w:rStyle w:val="FootnoteReference"/>
        </w:rPr>
        <w:footnoteRef/>
      </w:r>
      <w:r w:rsidRPr="0051540B">
        <w:rPr>
          <w:lang w:val="fr-CH"/>
        </w:rPr>
        <w:t xml:space="preserve"> UN Doc A/66/657–S/2012/33, </w:t>
      </w:r>
      <w:r w:rsidRPr="007B0CBE">
        <w:rPr>
          <w:lang w:val="fr-CH"/>
        </w:rPr>
        <w:t>supra n 50, para</w:t>
      </w:r>
      <w:r w:rsidRPr="0051540B">
        <w:rPr>
          <w:lang w:val="fr-CH"/>
        </w:rPr>
        <w:t xml:space="preserve"> 7.</w:t>
      </w:r>
    </w:p>
  </w:footnote>
  <w:footnote w:id="143">
    <w:p w14:paraId="026937B4" w14:textId="4200A82C" w:rsidR="00247349" w:rsidRPr="0051540B" w:rsidRDefault="00247349" w:rsidP="0051540B">
      <w:pPr>
        <w:pStyle w:val="FootnoteText"/>
        <w:spacing w:line="360" w:lineRule="auto"/>
        <w:rPr>
          <w:lang w:val="fr-CH"/>
        </w:rPr>
      </w:pPr>
      <w:r>
        <w:rPr>
          <w:rStyle w:val="FootnoteReference"/>
        </w:rPr>
        <w:footnoteRef/>
      </w:r>
      <w:r w:rsidRPr="0051540B">
        <w:rPr>
          <w:lang w:val="fr-CH"/>
        </w:rPr>
        <w:t xml:space="preserve"> UNSC </w:t>
      </w:r>
      <w:proofErr w:type="spellStart"/>
      <w:r w:rsidRPr="0051540B">
        <w:rPr>
          <w:lang w:val="fr-CH"/>
        </w:rPr>
        <w:t>Res</w:t>
      </w:r>
      <w:proofErr w:type="spellEnd"/>
      <w:r w:rsidRPr="0051540B">
        <w:rPr>
          <w:lang w:val="fr-CH"/>
        </w:rPr>
        <w:t xml:space="preserve"> 1820, </w:t>
      </w:r>
      <w:r w:rsidRPr="007B0CBE">
        <w:rPr>
          <w:lang w:val="fr-CH"/>
        </w:rPr>
        <w:t>supra n 106, para</w:t>
      </w:r>
      <w:r w:rsidRPr="0051540B">
        <w:rPr>
          <w:lang w:val="fr-CH"/>
        </w:rPr>
        <w:t xml:space="preserve"> 15.</w:t>
      </w:r>
    </w:p>
  </w:footnote>
  <w:footnote w:id="144">
    <w:p w14:paraId="198A9A75" w14:textId="6E418C8A" w:rsidR="00247349" w:rsidRDefault="00247349" w:rsidP="0051540B">
      <w:pPr>
        <w:pStyle w:val="FootnoteText"/>
        <w:spacing w:line="360" w:lineRule="auto"/>
      </w:pPr>
      <w:r>
        <w:rPr>
          <w:rStyle w:val="FootnoteReference"/>
        </w:rPr>
        <w:footnoteRef/>
      </w:r>
      <w:r w:rsidRPr="0051540B">
        <w:t xml:space="preserve"> </w:t>
      </w:r>
      <w:proofErr w:type="gramStart"/>
      <w:r w:rsidRPr="0051540B">
        <w:t>See</w:t>
      </w:r>
      <w:r>
        <w:t>,</w:t>
      </w:r>
      <w:r w:rsidRPr="0051540B">
        <w:t xml:space="preserve"> e.g.</w:t>
      </w:r>
      <w:r>
        <w:t>,</w:t>
      </w:r>
      <w:r w:rsidRPr="0051540B">
        <w:t xml:space="preserve"> UNSC Res 1888, </w:t>
      </w:r>
      <w:r w:rsidRPr="007B0CBE">
        <w:t>supra n 10,</w:t>
      </w:r>
      <w:r w:rsidRPr="0051540B">
        <w:t xml:space="preserve"> para 24.</w:t>
      </w:r>
      <w:proofErr w:type="gramEnd"/>
    </w:p>
  </w:footnote>
  <w:footnote w:id="145">
    <w:p w14:paraId="75543878" w14:textId="36C1E96B" w:rsidR="00247349" w:rsidRPr="0051540B" w:rsidRDefault="00247349" w:rsidP="0051540B">
      <w:pPr>
        <w:pStyle w:val="FootnoteText"/>
        <w:spacing w:line="360" w:lineRule="auto"/>
        <w:rPr>
          <w:lang w:val="fr-CH"/>
        </w:rPr>
      </w:pPr>
      <w:r>
        <w:rPr>
          <w:rStyle w:val="FootnoteReference"/>
        </w:rPr>
        <w:footnoteRef/>
      </w:r>
      <w:r w:rsidRPr="0051540B">
        <w:rPr>
          <w:lang w:val="fr-CH"/>
        </w:rPr>
        <w:t xml:space="preserve"> UNSC </w:t>
      </w:r>
      <w:proofErr w:type="spellStart"/>
      <w:r w:rsidRPr="0051540B">
        <w:rPr>
          <w:lang w:val="fr-CH"/>
        </w:rPr>
        <w:t>Res</w:t>
      </w:r>
      <w:proofErr w:type="spellEnd"/>
      <w:r w:rsidRPr="0051540B">
        <w:rPr>
          <w:lang w:val="fr-CH"/>
        </w:rPr>
        <w:t xml:space="preserve"> 1960, supra n 10, para 6; UNSC </w:t>
      </w:r>
      <w:proofErr w:type="spellStart"/>
      <w:r w:rsidRPr="0051540B">
        <w:rPr>
          <w:lang w:val="fr-CH"/>
        </w:rPr>
        <w:t>Res</w:t>
      </w:r>
      <w:proofErr w:type="spellEnd"/>
      <w:r w:rsidRPr="0051540B">
        <w:rPr>
          <w:lang w:val="fr-CH"/>
        </w:rPr>
        <w:t xml:space="preserve"> 2106, </w:t>
      </w:r>
      <w:r w:rsidRPr="007B0CBE">
        <w:rPr>
          <w:lang w:val="fr-CH"/>
        </w:rPr>
        <w:t>supra n 138, paras</w:t>
      </w:r>
      <w:r w:rsidRPr="0051540B">
        <w:rPr>
          <w:lang w:val="fr-CH"/>
        </w:rPr>
        <w:t xml:space="preserve"> 5</w:t>
      </w:r>
      <w:r>
        <w:rPr>
          <w:lang w:val="fr-CH"/>
        </w:rPr>
        <w:t>–</w:t>
      </w:r>
      <w:r w:rsidRPr="0051540B">
        <w:rPr>
          <w:lang w:val="fr-CH"/>
        </w:rPr>
        <w:t>8</w:t>
      </w:r>
      <w:r>
        <w:rPr>
          <w:lang w:val="fr-CH"/>
        </w:rPr>
        <w:t>.</w:t>
      </w:r>
      <w:r w:rsidRPr="0051540B">
        <w:rPr>
          <w:lang w:val="fr-CH"/>
        </w:rPr>
        <w:t xml:space="preserve"> </w:t>
      </w:r>
    </w:p>
  </w:footnote>
  <w:footnote w:id="146">
    <w:p w14:paraId="3B074CC1" w14:textId="15F080E8" w:rsidR="00247349" w:rsidRDefault="00247349" w:rsidP="0051540B">
      <w:pPr>
        <w:pStyle w:val="FootnoteText"/>
        <w:spacing w:line="360" w:lineRule="auto"/>
      </w:pPr>
      <w:r>
        <w:rPr>
          <w:rStyle w:val="FootnoteReference"/>
        </w:rPr>
        <w:footnoteRef/>
      </w:r>
      <w:r w:rsidRPr="0051540B">
        <w:t xml:space="preserve"> </w:t>
      </w:r>
      <w:proofErr w:type="gramStart"/>
      <w:r w:rsidRPr="0051540B">
        <w:t>See</w:t>
      </w:r>
      <w:r>
        <w:t>,</w:t>
      </w:r>
      <w:r w:rsidRPr="0051540B">
        <w:t xml:space="preserve"> e.g.</w:t>
      </w:r>
      <w:r>
        <w:t>,</w:t>
      </w:r>
      <w:r w:rsidRPr="0051540B">
        <w:t xml:space="preserve"> Annex of UN Doc A/66/657–S/2012/33, </w:t>
      </w:r>
      <w:r w:rsidRPr="007B0CBE">
        <w:t>supra n 50.</w:t>
      </w:r>
      <w:proofErr w:type="gramEnd"/>
      <w:r w:rsidRPr="007B0CBE">
        <w:t xml:space="preserve"> However</w:t>
      </w:r>
      <w:r w:rsidRPr="0051540B">
        <w:t>, it should be noted that most parties listed are non-</w:t>
      </w:r>
      <w:r>
        <w:t>s</w:t>
      </w:r>
      <w:r w:rsidRPr="0051540B">
        <w:t xml:space="preserve">tate actors. </w:t>
      </w:r>
    </w:p>
  </w:footnote>
  <w:footnote w:id="147">
    <w:p w14:paraId="22185704" w14:textId="6F8AC9F9" w:rsidR="00247349" w:rsidRDefault="00247349" w:rsidP="0051540B">
      <w:pPr>
        <w:pStyle w:val="FootnoteText"/>
        <w:spacing w:line="360" w:lineRule="auto"/>
      </w:pPr>
      <w:r>
        <w:rPr>
          <w:rStyle w:val="FootnoteReference"/>
        </w:rPr>
        <w:footnoteRef/>
      </w:r>
      <w:r w:rsidRPr="0051540B">
        <w:t xml:space="preserve"> The notion of attack upon a woman’s honour ‘reinforces the notion of rape as a social stigma rather than an attack against a woman’s personal and psychological well-being’</w:t>
      </w:r>
      <w:r>
        <w:t>:</w:t>
      </w:r>
      <w:r w:rsidRPr="0051540B">
        <w:t xml:space="preserve"> J. </w:t>
      </w:r>
      <w:proofErr w:type="spellStart"/>
      <w:r w:rsidRPr="0051540B">
        <w:t>Gardam</w:t>
      </w:r>
      <w:proofErr w:type="spellEnd"/>
      <w:r w:rsidRPr="0051540B">
        <w:t xml:space="preserve"> and M. Jarvis, ‘Women and Armed Conflict: The International Response to the Beijing Platform for Action’, 32</w:t>
      </w:r>
      <w:r w:rsidRPr="0051540B">
        <w:rPr>
          <w:i/>
        </w:rPr>
        <w:t xml:space="preserve"> Columbia Human Rights Law Review</w:t>
      </w:r>
      <w:r w:rsidRPr="0051540B">
        <w:t xml:space="preserve"> (2000) 1, </w:t>
      </w:r>
      <w:r>
        <w:t xml:space="preserve">at </w:t>
      </w:r>
      <w:r w:rsidRPr="0051540B">
        <w:t>56.</w:t>
      </w:r>
    </w:p>
  </w:footnote>
  <w:footnote w:id="148">
    <w:p w14:paraId="1ACEF232" w14:textId="4BA6C3A0" w:rsidR="00247349" w:rsidRPr="0051540B" w:rsidRDefault="00247349" w:rsidP="0051540B">
      <w:pPr>
        <w:pStyle w:val="FootnoteText"/>
        <w:spacing w:line="360" w:lineRule="auto"/>
        <w:rPr>
          <w:lang w:val="fr-CH"/>
        </w:rPr>
      </w:pPr>
      <w:r>
        <w:rPr>
          <w:rStyle w:val="FootnoteReference"/>
        </w:rPr>
        <w:footnoteRef/>
      </w:r>
      <w:r w:rsidRPr="0051540B">
        <w:rPr>
          <w:lang w:val="fr-CH"/>
        </w:rPr>
        <w:t xml:space="preserve"> UN Doc E/CN.4/Sub.2/1998/13, </w:t>
      </w:r>
      <w:r w:rsidRPr="00EE2F51">
        <w:rPr>
          <w:lang w:val="fr-CH"/>
        </w:rPr>
        <w:t>supra n 42,</w:t>
      </w:r>
      <w:r w:rsidRPr="0051540B">
        <w:rPr>
          <w:lang w:val="fr-CH"/>
        </w:rPr>
        <w:t xml:space="preserve"> para 16.</w:t>
      </w:r>
    </w:p>
  </w:footnote>
  <w:footnote w:id="149">
    <w:p w14:paraId="102E356B" w14:textId="1D877C78" w:rsidR="00247349" w:rsidRDefault="00247349" w:rsidP="0051540B">
      <w:pPr>
        <w:pStyle w:val="FootnoteText"/>
        <w:spacing w:line="360" w:lineRule="auto"/>
      </w:pPr>
      <w:r>
        <w:rPr>
          <w:rStyle w:val="FootnoteReference"/>
        </w:rPr>
        <w:footnoteRef/>
      </w:r>
      <w:r w:rsidRPr="0051540B">
        <w:t xml:space="preserve"> </w:t>
      </w:r>
      <w:r w:rsidRPr="0051540B">
        <w:rPr>
          <w:i/>
        </w:rPr>
        <w:t xml:space="preserve"> </w:t>
      </w:r>
      <w:proofErr w:type="gramStart"/>
      <w:r w:rsidRPr="0051540B">
        <w:t xml:space="preserve">ICRC Annual Report 2011, Annex 2, </w:t>
      </w:r>
      <w:r w:rsidRPr="00EE2F51">
        <w:t>supra n 69, at</w:t>
      </w:r>
      <w:r w:rsidRPr="0051540B">
        <w:t xml:space="preserve"> 30</w:t>
      </w:r>
      <w:r>
        <w:t>,</w:t>
      </w:r>
      <w:r w:rsidRPr="00D3179A">
        <w:t xml:space="preserve"> </w:t>
      </w:r>
      <w:r w:rsidRPr="007A483C">
        <w:t>‘[T]he ICRC does not claim to reform gender relations.’</w:t>
      </w:r>
      <w:proofErr w:type="gramEnd"/>
    </w:p>
  </w:footnote>
  <w:footnote w:id="150">
    <w:p w14:paraId="57C407C3" w14:textId="3CFBEBA3" w:rsidR="00247349" w:rsidRDefault="00247349" w:rsidP="0051540B">
      <w:pPr>
        <w:pStyle w:val="FootnoteText"/>
        <w:spacing w:line="360" w:lineRule="auto"/>
      </w:pPr>
      <w:r>
        <w:rPr>
          <w:rStyle w:val="FootnoteReference"/>
        </w:rPr>
        <w:footnoteRef/>
      </w:r>
      <w:r w:rsidRPr="0051540B">
        <w:t xml:space="preserve"> A. Barrow, ‘UN Security Council Resolutions 1325 and 1820: Constructing Gender in Armed Conflict and International Humanitarian Law’, 92 </w:t>
      </w:r>
      <w:r w:rsidRPr="0051540B">
        <w:rPr>
          <w:i/>
        </w:rPr>
        <w:t>IRRC</w:t>
      </w:r>
      <w:r w:rsidRPr="0051540B">
        <w:t xml:space="preserve"> (2010) 221,</w:t>
      </w:r>
      <w:r>
        <w:t xml:space="preserve"> at</w:t>
      </w:r>
      <w:r w:rsidRPr="0051540B">
        <w:t xml:space="preserve"> 224. </w:t>
      </w:r>
    </w:p>
  </w:footnote>
  <w:footnote w:id="151">
    <w:p w14:paraId="166A9F08" w14:textId="425FF712" w:rsidR="00247349" w:rsidRDefault="00247349" w:rsidP="0051540B">
      <w:pPr>
        <w:pStyle w:val="FootnoteText"/>
        <w:spacing w:line="360" w:lineRule="auto"/>
      </w:pPr>
      <w:r>
        <w:rPr>
          <w:rStyle w:val="FootnoteReference"/>
        </w:rPr>
        <w:footnoteRef/>
      </w:r>
      <w:r w:rsidRPr="0051540B">
        <w:t xml:space="preserve"> </w:t>
      </w:r>
      <w:proofErr w:type="gramStart"/>
      <w:r w:rsidRPr="0051540B">
        <w:t xml:space="preserve">See discussion in UN Doc A/HRC/11/6/Add.5, </w:t>
      </w:r>
      <w:r w:rsidRPr="00EE2F51">
        <w:t xml:space="preserve">supra n </w:t>
      </w:r>
      <w:r w:rsidR="00EE2F51" w:rsidRPr="00EE2F51">
        <w:t>15</w:t>
      </w:r>
      <w:r w:rsidRPr="00EE2F51">
        <w:t>, para</w:t>
      </w:r>
      <w:r w:rsidRPr="0051540B">
        <w:t xml:space="preserve"> 43.</w:t>
      </w:r>
      <w:proofErr w:type="gramEnd"/>
    </w:p>
  </w:footnote>
  <w:footnote w:id="152">
    <w:p w14:paraId="1363AB8F" w14:textId="0A0F9AAC" w:rsidR="00247349" w:rsidRDefault="00247349" w:rsidP="0051540B">
      <w:pPr>
        <w:pStyle w:val="FootnoteText"/>
        <w:spacing w:line="360" w:lineRule="auto"/>
      </w:pPr>
      <w:r>
        <w:rPr>
          <w:rStyle w:val="FootnoteReference"/>
        </w:rPr>
        <w:footnoteRef/>
      </w:r>
      <w:r w:rsidRPr="0051540B">
        <w:t xml:space="preserve"> </w:t>
      </w:r>
      <w:proofErr w:type="gramStart"/>
      <w:r w:rsidRPr="0051540B">
        <w:rPr>
          <w:i/>
        </w:rPr>
        <w:t>Women and War</w:t>
      </w:r>
      <w:r w:rsidRPr="0051540B">
        <w:t xml:space="preserve">, </w:t>
      </w:r>
      <w:r w:rsidRPr="00EE2F51">
        <w:t>supra n 84, at</w:t>
      </w:r>
      <w:r w:rsidRPr="0051540B">
        <w:t xml:space="preserve"> 18.</w:t>
      </w:r>
      <w:proofErr w:type="gramEnd"/>
    </w:p>
  </w:footnote>
  <w:footnote w:id="153">
    <w:p w14:paraId="71B94285" w14:textId="76964AF9" w:rsidR="00247349" w:rsidRDefault="00247349" w:rsidP="0051540B">
      <w:pPr>
        <w:pStyle w:val="FootnoteText"/>
        <w:spacing w:line="360" w:lineRule="auto"/>
      </w:pPr>
      <w:r>
        <w:rPr>
          <w:rStyle w:val="FootnoteReference"/>
        </w:rPr>
        <w:footnoteRef/>
      </w:r>
      <w:r w:rsidRPr="0051540B">
        <w:t xml:space="preserve"> </w:t>
      </w:r>
      <w:proofErr w:type="gramStart"/>
      <w:r w:rsidRPr="0051540B">
        <w:t xml:space="preserve">ICRC Annual Report 2011, Annex 2, </w:t>
      </w:r>
      <w:r w:rsidRPr="00EE2F51">
        <w:t xml:space="preserve">supra n </w:t>
      </w:r>
      <w:r w:rsidR="00EE2F51" w:rsidRPr="00EE2F51">
        <w:t>69</w:t>
      </w:r>
      <w:r w:rsidRPr="00EE2F51">
        <w:t>, at 30</w:t>
      </w:r>
      <w:r w:rsidRPr="0051540B">
        <w:t>.</w:t>
      </w:r>
      <w:proofErr w:type="gramEnd"/>
    </w:p>
  </w:footnote>
  <w:footnote w:id="154">
    <w:p w14:paraId="6B39E3A5" w14:textId="7EC71FB3" w:rsidR="00247349" w:rsidRPr="0051540B" w:rsidRDefault="00247349" w:rsidP="0051540B">
      <w:pPr>
        <w:pStyle w:val="FootnoteText"/>
        <w:spacing w:line="360" w:lineRule="auto"/>
        <w:rPr>
          <w:lang w:val="fr-CH"/>
        </w:rPr>
      </w:pPr>
      <w:r>
        <w:rPr>
          <w:rStyle w:val="FootnoteReference"/>
        </w:rPr>
        <w:footnoteRef/>
      </w:r>
      <w:r w:rsidRPr="0051540B">
        <w:rPr>
          <w:lang w:val="fr-CH"/>
        </w:rPr>
        <w:t xml:space="preserve"> UN Doc E/CN.4/Sub.2/1998/13, </w:t>
      </w:r>
      <w:r w:rsidRPr="00EE2F51">
        <w:rPr>
          <w:lang w:val="fr-CH"/>
        </w:rPr>
        <w:t>supra n 4</w:t>
      </w:r>
      <w:r w:rsidR="00EE2F51" w:rsidRPr="00EE2F51">
        <w:rPr>
          <w:lang w:val="fr-CH"/>
        </w:rPr>
        <w:t>2</w:t>
      </w:r>
      <w:r w:rsidRPr="00EE2F51">
        <w:rPr>
          <w:lang w:val="fr-CH"/>
        </w:rPr>
        <w:t>, para</w:t>
      </w:r>
      <w:r w:rsidRPr="0051540B">
        <w:rPr>
          <w:lang w:val="fr-CH"/>
        </w:rPr>
        <w:t xml:space="preserve"> 69.</w:t>
      </w:r>
    </w:p>
  </w:footnote>
  <w:footnote w:id="155">
    <w:p w14:paraId="26DF308C" w14:textId="2493BD9C" w:rsidR="00247349" w:rsidRDefault="00247349" w:rsidP="0051540B">
      <w:pPr>
        <w:pStyle w:val="FootnoteText"/>
        <w:spacing w:line="360" w:lineRule="auto"/>
      </w:pPr>
      <w:r>
        <w:rPr>
          <w:rStyle w:val="FootnoteReference"/>
        </w:rPr>
        <w:footnoteRef/>
      </w:r>
      <w:r w:rsidRPr="0051540B">
        <w:t xml:space="preserve"> </w:t>
      </w:r>
      <w:proofErr w:type="spellStart"/>
      <w:r w:rsidRPr="0051540B">
        <w:t>Pictet</w:t>
      </w:r>
      <w:proofErr w:type="spellEnd"/>
      <w:r w:rsidRPr="0051540B">
        <w:t xml:space="preserve"> Commentary GC IV, at 513.</w:t>
      </w:r>
    </w:p>
  </w:footnote>
  <w:footnote w:id="156">
    <w:p w14:paraId="5B562B39" w14:textId="218E36E2" w:rsidR="00247349" w:rsidRDefault="00247349" w:rsidP="0051540B">
      <w:pPr>
        <w:pStyle w:val="FootnoteText"/>
        <w:spacing w:line="360" w:lineRule="auto"/>
      </w:pPr>
      <w:r>
        <w:rPr>
          <w:rStyle w:val="FootnoteReference"/>
        </w:rPr>
        <w:footnoteRef/>
      </w:r>
      <w:r w:rsidRPr="0051540B">
        <w:t xml:space="preserve"> </w:t>
      </w:r>
      <w:proofErr w:type="gramStart"/>
      <w:r w:rsidRPr="0051540B">
        <w:t>UN Doc E/CN.4/2001/73/Add.2 of 6 February 2001, para 25.</w:t>
      </w:r>
      <w:proofErr w:type="gramEnd"/>
    </w:p>
  </w:footnote>
  <w:footnote w:id="157">
    <w:p w14:paraId="13C504AC" w14:textId="5C159E8F" w:rsidR="00247349" w:rsidRDefault="00247349" w:rsidP="0051540B">
      <w:pPr>
        <w:pStyle w:val="FootnoteText"/>
        <w:spacing w:line="360" w:lineRule="auto"/>
      </w:pPr>
      <w:r>
        <w:rPr>
          <w:rStyle w:val="FootnoteReference"/>
        </w:rPr>
        <w:footnoteRef/>
      </w:r>
      <w:r w:rsidRPr="0051540B">
        <w:t xml:space="preserve"> See also CEDAW Committee, General Recommendation No 30, </w:t>
      </w:r>
      <w:r w:rsidRPr="00BA23FD">
        <w:t>supra n 1,</w:t>
      </w:r>
      <w:r w:rsidRPr="00BA23FD">
        <w:rPr>
          <w:rStyle w:val="Strong"/>
          <w:b w:val="0"/>
          <w:color w:val="000000"/>
          <w:shd w:val="clear" w:color="auto" w:fill="FFFFFF"/>
        </w:rPr>
        <w:t xml:space="preserve"> </w:t>
      </w:r>
      <w:r w:rsidRPr="00BA23FD">
        <w:t>para</w:t>
      </w:r>
      <w:r w:rsidRPr="0051540B">
        <w:t xml:space="preserve"> 6.</w:t>
      </w:r>
    </w:p>
  </w:footnote>
  <w:footnote w:id="158">
    <w:p w14:paraId="08510198" w14:textId="5F300172" w:rsidR="00247349" w:rsidRDefault="00247349" w:rsidP="0051540B">
      <w:pPr>
        <w:pStyle w:val="FootnoteText"/>
        <w:spacing w:line="360" w:lineRule="auto"/>
      </w:pPr>
      <w:r>
        <w:rPr>
          <w:rStyle w:val="FootnoteReference"/>
        </w:rPr>
        <w:footnoteRef/>
      </w:r>
      <w:r w:rsidRPr="0051540B">
        <w:t xml:space="preserve"> See</w:t>
      </w:r>
      <w:r>
        <w:t>,</w:t>
      </w:r>
      <w:r w:rsidRPr="0051540B">
        <w:t xml:space="preserve"> e.g.</w:t>
      </w:r>
      <w:r>
        <w:t>,</w:t>
      </w:r>
      <w:r w:rsidRPr="0051540B">
        <w:t xml:space="preserve"> </w:t>
      </w:r>
      <w:r w:rsidRPr="00601EBD">
        <w:t>Art 7</w:t>
      </w:r>
      <w:r>
        <w:t>(</w:t>
      </w:r>
      <w:r w:rsidRPr="00601EBD">
        <w:t>1</w:t>
      </w:r>
      <w:proofErr w:type="gramStart"/>
      <w:r>
        <w:t>)</w:t>
      </w:r>
      <w:r w:rsidRPr="00601EBD">
        <w:t>(</w:t>
      </w:r>
      <w:proofErr w:type="gramEnd"/>
      <w:r w:rsidRPr="00601EBD">
        <w:t>h)</w:t>
      </w:r>
      <w:r>
        <w:t xml:space="preserve"> </w:t>
      </w:r>
      <w:r w:rsidRPr="0051540B">
        <w:t>ICC Statute.</w:t>
      </w:r>
    </w:p>
  </w:footnote>
  <w:footnote w:id="159">
    <w:p w14:paraId="26B6E628" w14:textId="49FC836F" w:rsidR="00247349" w:rsidRPr="0051540B" w:rsidRDefault="00247349" w:rsidP="0051540B">
      <w:pPr>
        <w:pStyle w:val="FootnoteText"/>
        <w:spacing w:line="360" w:lineRule="auto"/>
        <w:rPr>
          <w:lang w:val="fr-CH"/>
        </w:rPr>
      </w:pPr>
      <w:r>
        <w:rPr>
          <w:rStyle w:val="FootnoteReference"/>
        </w:rPr>
        <w:footnoteRef/>
      </w:r>
      <w:r w:rsidRPr="0051540B">
        <w:rPr>
          <w:lang w:val="fr-CH"/>
        </w:rPr>
        <w:t xml:space="preserve"> </w:t>
      </w:r>
      <w:proofErr w:type="spellStart"/>
      <w:r w:rsidRPr="0051540B">
        <w:rPr>
          <w:i/>
          <w:lang w:val="fr-CH"/>
        </w:rPr>
        <w:t>Delalić</w:t>
      </w:r>
      <w:proofErr w:type="spellEnd"/>
      <w:r w:rsidRPr="0051540B">
        <w:rPr>
          <w:i/>
          <w:lang w:val="fr-CH"/>
        </w:rPr>
        <w:t xml:space="preserve"> et al</w:t>
      </w:r>
      <w:r w:rsidRPr="00BA23FD">
        <w:rPr>
          <w:lang w:val="fr-CH"/>
        </w:rPr>
        <w:t>, supra n 32, para</w:t>
      </w:r>
      <w:r w:rsidRPr="0051540B">
        <w:rPr>
          <w:lang w:val="fr-CH"/>
        </w:rPr>
        <w:t xml:space="preserve"> 493.</w:t>
      </w:r>
    </w:p>
  </w:footnote>
  <w:footnote w:id="160">
    <w:p w14:paraId="51A86060" w14:textId="11358142" w:rsidR="00247349" w:rsidRDefault="00247349" w:rsidP="0051540B">
      <w:pPr>
        <w:pStyle w:val="FootnoteText"/>
        <w:spacing w:line="360" w:lineRule="auto"/>
      </w:pPr>
      <w:r>
        <w:rPr>
          <w:rStyle w:val="FootnoteReference"/>
        </w:rPr>
        <w:footnoteRef/>
      </w:r>
      <w:r w:rsidRPr="0051540B">
        <w:t xml:space="preserve"> </w:t>
      </w:r>
      <w:proofErr w:type="gramStart"/>
      <w:r>
        <w:t xml:space="preserve">ICRC, </w:t>
      </w:r>
      <w:r w:rsidRPr="0051540B">
        <w:rPr>
          <w:i/>
        </w:rPr>
        <w:t>Addressing the Needs of Women</w:t>
      </w:r>
      <w:r w:rsidRPr="00BA23FD">
        <w:t>, supra n 30, at</w:t>
      </w:r>
      <w:r w:rsidRPr="0051540B">
        <w:t xml:space="preserve"> 7.</w:t>
      </w:r>
      <w:proofErr w:type="gramEnd"/>
    </w:p>
  </w:footnote>
  <w:footnote w:id="161">
    <w:p w14:paraId="43862688" w14:textId="38180FF0" w:rsidR="00247349" w:rsidRDefault="00247349" w:rsidP="0051540B">
      <w:pPr>
        <w:pStyle w:val="FootnoteText"/>
        <w:spacing w:line="360" w:lineRule="auto"/>
      </w:pPr>
      <w:r>
        <w:rPr>
          <w:rStyle w:val="FootnoteReference"/>
        </w:rPr>
        <w:footnoteRef/>
      </w:r>
      <w:r w:rsidRPr="0051540B">
        <w:t xml:space="preserve"> </w:t>
      </w:r>
      <w:proofErr w:type="gramStart"/>
      <w:r w:rsidRPr="0051540B">
        <w:t>See</w:t>
      </w:r>
      <w:r>
        <w:t>,</w:t>
      </w:r>
      <w:r w:rsidRPr="0051540B">
        <w:t xml:space="preserve"> e.g.</w:t>
      </w:r>
      <w:r>
        <w:t>,</w:t>
      </w:r>
      <w:r w:rsidRPr="0051540B">
        <w:t xml:space="preserve"> CEDAW Committee, General Recommendation No 19 of CEDAW</w:t>
      </w:r>
      <w:r w:rsidRPr="00BA23FD">
        <w:t>, supra n 75; UNSC</w:t>
      </w:r>
      <w:r w:rsidRPr="0051540B">
        <w:t xml:space="preserve"> Res 1674, </w:t>
      </w:r>
      <w:r w:rsidRPr="00EE2F51">
        <w:t>supra n 11</w:t>
      </w:r>
      <w:r w:rsidR="00EE2F51" w:rsidRPr="00EE2F51">
        <w:t>8</w:t>
      </w:r>
      <w:r w:rsidRPr="00EE2F51">
        <w:t>; UNGA</w:t>
      </w:r>
      <w:r w:rsidRPr="0051540B">
        <w:t xml:space="preserve"> Res 60/1 of 24 October 2005, para 116.</w:t>
      </w:r>
      <w:proofErr w:type="gramEnd"/>
    </w:p>
  </w:footnote>
  <w:footnote w:id="162">
    <w:p w14:paraId="0C80F937" w14:textId="7AF2E1E9" w:rsidR="00247349" w:rsidRDefault="00247349" w:rsidP="0051540B">
      <w:pPr>
        <w:pStyle w:val="FootnoteText"/>
        <w:spacing w:line="360" w:lineRule="auto"/>
      </w:pPr>
      <w:r>
        <w:rPr>
          <w:rStyle w:val="FootnoteReference"/>
        </w:rPr>
        <w:footnoteRef/>
      </w:r>
      <w:r w:rsidRPr="0051540B">
        <w:t xml:space="preserve"> See</w:t>
      </w:r>
      <w:r>
        <w:t>,</w:t>
      </w:r>
      <w:r w:rsidRPr="0051540B">
        <w:t xml:space="preserve"> e.g.</w:t>
      </w:r>
      <w:r>
        <w:t>,</w:t>
      </w:r>
      <w:r w:rsidRPr="0051540B">
        <w:t xml:space="preserve"> the commentary on Rule 134 ICRC CIHL Study that specifies that ‘the prohibition of sexual violence applies equally to men and women’</w:t>
      </w:r>
      <w:r>
        <w:t>,</w:t>
      </w:r>
      <w:r w:rsidRPr="0051540B">
        <w:t xml:space="preserve"> and so does Rule 93 on rape and other forms of sexual violence of the ICRC CIHL Study; UNSC Res 1960, </w:t>
      </w:r>
      <w:r w:rsidRPr="00EE2F51">
        <w:t>supra n 10. See</w:t>
      </w:r>
      <w:r w:rsidRPr="0051540B">
        <w:t xml:space="preserve"> also the gender-neutral definition of </w:t>
      </w:r>
      <w:r>
        <w:t>‘</w:t>
      </w:r>
      <w:r w:rsidRPr="0051540B">
        <w:t>rape</w:t>
      </w:r>
      <w:r>
        <w:t>’</w:t>
      </w:r>
      <w:r w:rsidRPr="0051540B">
        <w:t xml:space="preserve"> in UN Doc E/CN.4/Sub.2/1998/13, </w:t>
      </w:r>
      <w:r w:rsidRPr="00EE2F51">
        <w:t>supra n 42, para</w:t>
      </w:r>
      <w:r w:rsidRPr="0051540B">
        <w:t xml:space="preserve"> 24</w:t>
      </w:r>
      <w:r>
        <w:t>,</w:t>
      </w:r>
      <w:r w:rsidRPr="0051540B">
        <w:t xml:space="preserve"> and ICC Statute, </w:t>
      </w:r>
      <w:proofErr w:type="spellStart"/>
      <w:r w:rsidRPr="0051540B">
        <w:t>fn</w:t>
      </w:r>
      <w:proofErr w:type="spellEnd"/>
      <w:r w:rsidRPr="0051540B">
        <w:t xml:space="preserve"> 15 (relating to Art 7 para 1(g</w:t>
      </w:r>
      <w:proofErr w:type="gramStart"/>
      <w:r w:rsidRPr="0051540B">
        <w:t>)(</w:t>
      </w:r>
      <w:proofErr w:type="gramEnd"/>
      <w:r w:rsidRPr="0051540B">
        <w:t xml:space="preserve">1)) and </w:t>
      </w:r>
      <w:proofErr w:type="spellStart"/>
      <w:r w:rsidRPr="0051540B">
        <w:t>f</w:t>
      </w:r>
      <w:r>
        <w:t>n</w:t>
      </w:r>
      <w:proofErr w:type="spellEnd"/>
      <w:r w:rsidRPr="0051540B">
        <w:t xml:space="preserve"> 50 (relating to Art 8</w:t>
      </w:r>
      <w:r>
        <w:t>(</w:t>
      </w:r>
      <w:r w:rsidRPr="0051540B">
        <w:t>2</w:t>
      </w:r>
      <w:r>
        <w:t>)</w:t>
      </w:r>
      <w:r w:rsidRPr="0051540B">
        <w:t>(b)(xxii)(1)).</w:t>
      </w:r>
    </w:p>
  </w:footnote>
  <w:footnote w:id="163">
    <w:p w14:paraId="4AE5633C" w14:textId="6DD134DB" w:rsidR="00247349" w:rsidRPr="00C929AB" w:rsidRDefault="00247349" w:rsidP="00B40664">
      <w:pPr>
        <w:pStyle w:val="FootnoteText"/>
      </w:pPr>
      <w:r w:rsidRPr="00003885">
        <w:rPr>
          <w:rStyle w:val="FootnoteReference"/>
        </w:rPr>
        <w:footnoteRef/>
      </w:r>
      <w:r w:rsidRPr="00003885">
        <w:t xml:space="preserve"> </w:t>
      </w:r>
      <w:proofErr w:type="gramStart"/>
      <w:r w:rsidRPr="00003885">
        <w:rPr>
          <w:i/>
        </w:rPr>
        <w:t>Women and War</w:t>
      </w:r>
      <w:r w:rsidRPr="00003885">
        <w:t xml:space="preserve">, </w:t>
      </w:r>
      <w:r w:rsidRPr="00EE2F51">
        <w:t>supra n 84,</w:t>
      </w:r>
      <w:r w:rsidRPr="00007A04">
        <w:t xml:space="preserve"> at 3</w:t>
      </w:r>
      <w: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BE2E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Symbol"/>
      </w:rPr>
    </w:lvl>
    <w:lvl w:ilvl="8">
      <w:start w:val="1"/>
      <w:numFmt w:val="bullet"/>
      <w:lvlText w:val=""/>
      <w:lvlJc w:val="left"/>
      <w:pPr>
        <w:tabs>
          <w:tab w:val="num" w:pos="6480"/>
        </w:tabs>
        <w:ind w:left="6480" w:hanging="360"/>
      </w:pPr>
      <w:rPr>
        <w:rFonts w:ascii="Wingdings" w:hAnsi="Wingdings"/>
      </w:rPr>
    </w:lvl>
  </w:abstractNum>
  <w:abstractNum w:abstractNumId="2">
    <w:nsid w:val="021E69EC"/>
    <w:multiLevelType w:val="hybridMultilevel"/>
    <w:tmpl w:val="AB30E6A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1C2801"/>
    <w:multiLevelType w:val="hybridMultilevel"/>
    <w:tmpl w:val="C2EC83F4"/>
    <w:lvl w:ilvl="0" w:tplc="08090015">
      <w:start w:val="1"/>
      <w:numFmt w:val="upperLetter"/>
      <w:lvlText w:val="%1."/>
      <w:lvlJc w:val="left"/>
      <w:pPr>
        <w:ind w:left="360" w:hanging="360"/>
      </w:pPr>
      <w:rPr>
        <w:rFonts w:hint="default"/>
      </w:rPr>
    </w:lvl>
    <w:lvl w:ilvl="1" w:tplc="08090013">
      <w:start w:val="1"/>
      <w:numFmt w:val="upperRoman"/>
      <w:lvlText w:val="%2."/>
      <w:lvlJc w:val="right"/>
      <w:pPr>
        <w:ind w:left="1080" w:hanging="360"/>
      </w:pPr>
    </w:lvl>
    <w:lvl w:ilvl="2" w:tplc="C0529222">
      <w:start w:val="1"/>
      <w:numFmt w:val="lowerLetter"/>
      <w:lvlText w:val="%3."/>
      <w:lvlJc w:val="left"/>
      <w:pPr>
        <w:ind w:left="1980" w:hanging="360"/>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0745E74"/>
    <w:multiLevelType w:val="hybridMultilevel"/>
    <w:tmpl w:val="5DDC3164"/>
    <w:lvl w:ilvl="0" w:tplc="08090015">
      <w:start w:val="2"/>
      <w:numFmt w:val="upperLetter"/>
      <w:lvlText w:val="%1."/>
      <w:lvlJc w:val="left"/>
      <w:pPr>
        <w:ind w:left="360" w:hanging="360"/>
      </w:pPr>
      <w:rPr>
        <w:rFonts w:hint="default"/>
      </w:rPr>
    </w:lvl>
    <w:lvl w:ilvl="1" w:tplc="1ACA10E0">
      <w:start w:val="1"/>
      <w:numFmt w:val="upperRoman"/>
      <w:lvlText w:val="%2."/>
      <w:lvlJc w:val="left"/>
      <w:pPr>
        <w:ind w:left="1080" w:hanging="360"/>
      </w:pPr>
      <w:rPr>
        <w:rFonts w:ascii="Times New Roman" w:eastAsia="Times New Roman" w:hAnsi="Times New Roman" w:cs="Times New Roman"/>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9EE710A"/>
    <w:multiLevelType w:val="hybridMultilevel"/>
    <w:tmpl w:val="A282BF4E"/>
    <w:lvl w:ilvl="0" w:tplc="08090013">
      <w:start w:val="1"/>
      <w:numFmt w:val="upperRoman"/>
      <w:lvlText w:val="%1."/>
      <w:lvlJc w:val="right"/>
      <w:pPr>
        <w:ind w:left="900" w:hanging="18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nsid w:val="1A724D2C"/>
    <w:multiLevelType w:val="hybridMultilevel"/>
    <w:tmpl w:val="B394A436"/>
    <w:lvl w:ilvl="0" w:tplc="8F901E84">
      <w:start w:val="1"/>
      <w:numFmt w:val="lowerLetter"/>
      <w:pStyle w:val="Heading3"/>
      <w:lvlText w:val="%1."/>
      <w:lvlJc w:val="left"/>
      <w:pPr>
        <w:ind w:left="1854" w:hanging="360"/>
      </w:p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7">
    <w:nsid w:val="21DE7222"/>
    <w:multiLevelType w:val="hybridMultilevel"/>
    <w:tmpl w:val="8090848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2B412348"/>
    <w:multiLevelType w:val="hybridMultilevel"/>
    <w:tmpl w:val="8090AC4E"/>
    <w:lvl w:ilvl="0" w:tplc="08090013">
      <w:start w:val="1"/>
      <w:numFmt w:val="upperRoman"/>
      <w:lvlText w:val="%1."/>
      <w:lvlJc w:val="right"/>
      <w:pPr>
        <w:ind w:left="900" w:hanging="18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nsid w:val="2E594532"/>
    <w:multiLevelType w:val="hybridMultilevel"/>
    <w:tmpl w:val="9B8E28FE"/>
    <w:lvl w:ilvl="0" w:tplc="F4563EF4">
      <w:start w:val="2"/>
      <w:numFmt w:val="upperRoman"/>
      <w:lvlText w:val="%1."/>
      <w:lvlJc w:val="left"/>
      <w:pPr>
        <w:ind w:left="1800" w:hanging="72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19425E9"/>
    <w:multiLevelType w:val="hybridMultilevel"/>
    <w:tmpl w:val="4ECA30A4"/>
    <w:lvl w:ilvl="0" w:tplc="08090019">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1">
    <w:nsid w:val="378C3C18"/>
    <w:multiLevelType w:val="hybridMultilevel"/>
    <w:tmpl w:val="6E0AEEC4"/>
    <w:lvl w:ilvl="0" w:tplc="9644388A">
      <w:start w:val="1"/>
      <w:numFmt w:val="upperLetter"/>
      <w:pStyle w:val="Heading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37FE412D"/>
    <w:multiLevelType w:val="hybridMultilevel"/>
    <w:tmpl w:val="4DB809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9F63CF"/>
    <w:multiLevelType w:val="hybridMultilevel"/>
    <w:tmpl w:val="FC7CA328"/>
    <w:lvl w:ilvl="0" w:tplc="81783CF6">
      <w:start w:val="1"/>
      <w:numFmt w:val="upperRoman"/>
      <w:lvlText w:val="%1."/>
      <w:lvlJc w:val="left"/>
      <w:pPr>
        <w:ind w:left="2508" w:hanging="720"/>
      </w:pPr>
      <w:rPr>
        <w:rFonts w:hint="default"/>
      </w:rPr>
    </w:lvl>
    <w:lvl w:ilvl="1" w:tplc="08090019">
      <w:start w:val="1"/>
      <w:numFmt w:val="lowerLetter"/>
      <w:lvlText w:val="%2."/>
      <w:lvlJc w:val="left"/>
      <w:pPr>
        <w:ind w:left="2868" w:hanging="360"/>
      </w:pPr>
    </w:lvl>
    <w:lvl w:ilvl="2" w:tplc="0809001B" w:tentative="1">
      <w:start w:val="1"/>
      <w:numFmt w:val="lowerRoman"/>
      <w:lvlText w:val="%3."/>
      <w:lvlJc w:val="right"/>
      <w:pPr>
        <w:ind w:left="3588" w:hanging="180"/>
      </w:pPr>
    </w:lvl>
    <w:lvl w:ilvl="3" w:tplc="0809000F" w:tentative="1">
      <w:start w:val="1"/>
      <w:numFmt w:val="decimal"/>
      <w:lvlText w:val="%4."/>
      <w:lvlJc w:val="left"/>
      <w:pPr>
        <w:ind w:left="4308" w:hanging="360"/>
      </w:pPr>
    </w:lvl>
    <w:lvl w:ilvl="4" w:tplc="08090019" w:tentative="1">
      <w:start w:val="1"/>
      <w:numFmt w:val="lowerLetter"/>
      <w:lvlText w:val="%5."/>
      <w:lvlJc w:val="left"/>
      <w:pPr>
        <w:ind w:left="5028" w:hanging="360"/>
      </w:pPr>
    </w:lvl>
    <w:lvl w:ilvl="5" w:tplc="0809001B" w:tentative="1">
      <w:start w:val="1"/>
      <w:numFmt w:val="lowerRoman"/>
      <w:lvlText w:val="%6."/>
      <w:lvlJc w:val="right"/>
      <w:pPr>
        <w:ind w:left="5748" w:hanging="180"/>
      </w:pPr>
    </w:lvl>
    <w:lvl w:ilvl="6" w:tplc="0809000F" w:tentative="1">
      <w:start w:val="1"/>
      <w:numFmt w:val="decimal"/>
      <w:lvlText w:val="%7."/>
      <w:lvlJc w:val="left"/>
      <w:pPr>
        <w:ind w:left="6468" w:hanging="360"/>
      </w:pPr>
    </w:lvl>
    <w:lvl w:ilvl="7" w:tplc="08090019" w:tentative="1">
      <w:start w:val="1"/>
      <w:numFmt w:val="lowerLetter"/>
      <w:lvlText w:val="%8."/>
      <w:lvlJc w:val="left"/>
      <w:pPr>
        <w:ind w:left="7188" w:hanging="360"/>
      </w:pPr>
    </w:lvl>
    <w:lvl w:ilvl="8" w:tplc="0809001B" w:tentative="1">
      <w:start w:val="1"/>
      <w:numFmt w:val="lowerRoman"/>
      <w:lvlText w:val="%9."/>
      <w:lvlJc w:val="right"/>
      <w:pPr>
        <w:ind w:left="7908" w:hanging="180"/>
      </w:pPr>
    </w:lvl>
  </w:abstractNum>
  <w:abstractNum w:abstractNumId="14">
    <w:nsid w:val="3D5C2385"/>
    <w:multiLevelType w:val="hybridMultilevel"/>
    <w:tmpl w:val="4ECA30A4"/>
    <w:lvl w:ilvl="0" w:tplc="08090019">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5">
    <w:nsid w:val="469E552C"/>
    <w:multiLevelType w:val="hybridMultilevel"/>
    <w:tmpl w:val="4D0E6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9D295F"/>
    <w:multiLevelType w:val="hybridMultilevel"/>
    <w:tmpl w:val="4ECA30A4"/>
    <w:lvl w:ilvl="0" w:tplc="08090019">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7">
    <w:nsid w:val="536513C9"/>
    <w:multiLevelType w:val="hybridMultilevel"/>
    <w:tmpl w:val="2E6C2AD6"/>
    <w:lvl w:ilvl="0" w:tplc="2C4496A2">
      <w:start w:val="9"/>
      <w:numFmt w:val="upperLetter"/>
      <w:lvlText w:val="%1."/>
      <w:lvlJc w:val="left"/>
      <w:pPr>
        <w:ind w:left="2148" w:hanging="360"/>
      </w:pPr>
      <w:rPr>
        <w:rFonts w:hint="default"/>
      </w:rPr>
    </w:lvl>
    <w:lvl w:ilvl="1" w:tplc="08090019">
      <w:start w:val="1"/>
      <w:numFmt w:val="lowerLetter"/>
      <w:lvlText w:val="%2."/>
      <w:lvlJc w:val="left"/>
      <w:pPr>
        <w:ind w:left="2868" w:hanging="360"/>
      </w:pPr>
    </w:lvl>
    <w:lvl w:ilvl="2" w:tplc="0809001B" w:tentative="1">
      <w:start w:val="1"/>
      <w:numFmt w:val="lowerRoman"/>
      <w:lvlText w:val="%3."/>
      <w:lvlJc w:val="right"/>
      <w:pPr>
        <w:ind w:left="3588" w:hanging="180"/>
      </w:pPr>
    </w:lvl>
    <w:lvl w:ilvl="3" w:tplc="0809000F" w:tentative="1">
      <w:start w:val="1"/>
      <w:numFmt w:val="decimal"/>
      <w:lvlText w:val="%4."/>
      <w:lvlJc w:val="left"/>
      <w:pPr>
        <w:ind w:left="4308" w:hanging="360"/>
      </w:pPr>
    </w:lvl>
    <w:lvl w:ilvl="4" w:tplc="08090019" w:tentative="1">
      <w:start w:val="1"/>
      <w:numFmt w:val="lowerLetter"/>
      <w:lvlText w:val="%5."/>
      <w:lvlJc w:val="left"/>
      <w:pPr>
        <w:ind w:left="5028" w:hanging="360"/>
      </w:pPr>
    </w:lvl>
    <w:lvl w:ilvl="5" w:tplc="0809001B" w:tentative="1">
      <w:start w:val="1"/>
      <w:numFmt w:val="lowerRoman"/>
      <w:lvlText w:val="%6."/>
      <w:lvlJc w:val="right"/>
      <w:pPr>
        <w:ind w:left="5748" w:hanging="180"/>
      </w:pPr>
    </w:lvl>
    <w:lvl w:ilvl="6" w:tplc="0809000F" w:tentative="1">
      <w:start w:val="1"/>
      <w:numFmt w:val="decimal"/>
      <w:lvlText w:val="%7."/>
      <w:lvlJc w:val="left"/>
      <w:pPr>
        <w:ind w:left="6468" w:hanging="360"/>
      </w:pPr>
    </w:lvl>
    <w:lvl w:ilvl="7" w:tplc="08090019" w:tentative="1">
      <w:start w:val="1"/>
      <w:numFmt w:val="lowerLetter"/>
      <w:lvlText w:val="%8."/>
      <w:lvlJc w:val="left"/>
      <w:pPr>
        <w:ind w:left="7188" w:hanging="360"/>
      </w:pPr>
    </w:lvl>
    <w:lvl w:ilvl="8" w:tplc="0809001B" w:tentative="1">
      <w:start w:val="1"/>
      <w:numFmt w:val="lowerRoman"/>
      <w:lvlText w:val="%9."/>
      <w:lvlJc w:val="right"/>
      <w:pPr>
        <w:ind w:left="7908" w:hanging="180"/>
      </w:pPr>
    </w:lvl>
  </w:abstractNum>
  <w:abstractNum w:abstractNumId="18">
    <w:nsid w:val="5C6C775F"/>
    <w:multiLevelType w:val="hybridMultilevel"/>
    <w:tmpl w:val="A61AAA22"/>
    <w:lvl w:ilvl="0" w:tplc="CF1E4B50">
      <w:start w:val="1"/>
      <w:numFmt w:val="upperRoman"/>
      <w:pStyle w:val="Heading2"/>
      <w:lvlText w:val="%1."/>
      <w:lvlJc w:val="left"/>
      <w:pPr>
        <w:ind w:left="92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5E355C39"/>
    <w:multiLevelType w:val="hybridMultilevel"/>
    <w:tmpl w:val="4ECA30A4"/>
    <w:lvl w:ilvl="0" w:tplc="08090019">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0">
    <w:nsid w:val="61FD5F79"/>
    <w:multiLevelType w:val="hybridMultilevel"/>
    <w:tmpl w:val="9C96D5AE"/>
    <w:lvl w:ilvl="0" w:tplc="186655B0">
      <w:start w:val="1"/>
      <w:numFmt w:val="upp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728939D2"/>
    <w:multiLevelType w:val="hybridMultilevel"/>
    <w:tmpl w:val="4AE6D7DE"/>
    <w:lvl w:ilvl="0" w:tplc="CB5C258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748C7F6F"/>
    <w:multiLevelType w:val="hybridMultilevel"/>
    <w:tmpl w:val="BE3CB9E2"/>
    <w:lvl w:ilvl="0" w:tplc="08090015">
      <w:start w:val="1"/>
      <w:numFmt w:val="upperLetter"/>
      <w:lvlText w:val="%1."/>
      <w:lvlJc w:val="left"/>
      <w:pPr>
        <w:ind w:left="1068" w:hanging="360"/>
      </w:pPr>
      <w:rPr>
        <w:rFonts w:hint="default"/>
      </w:r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3">
    <w:nsid w:val="7B0C46C4"/>
    <w:multiLevelType w:val="hybridMultilevel"/>
    <w:tmpl w:val="4ECA30A4"/>
    <w:lvl w:ilvl="0" w:tplc="08090019">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num w:numId="1">
    <w:abstractNumId w:val="21"/>
  </w:num>
  <w:num w:numId="2">
    <w:abstractNumId w:val="3"/>
  </w:num>
  <w:num w:numId="3">
    <w:abstractNumId w:val="10"/>
  </w:num>
  <w:num w:numId="4">
    <w:abstractNumId w:val="5"/>
  </w:num>
  <w:num w:numId="5">
    <w:abstractNumId w:val="23"/>
  </w:num>
  <w:num w:numId="6">
    <w:abstractNumId w:val="16"/>
  </w:num>
  <w:num w:numId="7">
    <w:abstractNumId w:val="19"/>
  </w:num>
  <w:num w:numId="8">
    <w:abstractNumId w:val="14"/>
  </w:num>
  <w:num w:numId="9">
    <w:abstractNumId w:val="8"/>
  </w:num>
  <w:num w:numId="10">
    <w:abstractNumId w:val="7"/>
  </w:num>
  <w:num w:numId="11">
    <w:abstractNumId w:val="4"/>
  </w:num>
  <w:num w:numId="12">
    <w:abstractNumId w:val="22"/>
  </w:num>
  <w:num w:numId="13">
    <w:abstractNumId w:val="12"/>
  </w:num>
  <w:num w:numId="14">
    <w:abstractNumId w:val="17"/>
  </w:num>
  <w:num w:numId="15">
    <w:abstractNumId w:val="9"/>
  </w:num>
  <w:num w:numId="16">
    <w:abstractNumId w:val="15"/>
  </w:num>
  <w:num w:numId="17">
    <w:abstractNumId w:val="2"/>
  </w:num>
  <w:num w:numId="18">
    <w:abstractNumId w:val="13"/>
  </w:num>
  <w:num w:numId="19">
    <w:abstractNumId w:val="20"/>
  </w:num>
  <w:num w:numId="20">
    <w:abstractNumId w:val="1"/>
  </w:num>
  <w:num w:numId="21">
    <w:abstractNumId w:val="0"/>
  </w:num>
  <w:num w:numId="22">
    <w:abstractNumId w:val="11"/>
  </w:num>
  <w:num w:numId="23">
    <w:abstractNumId w:val="11"/>
    <w:lvlOverride w:ilvl="0">
      <w:startOverride w:val="1"/>
    </w:lvlOverride>
  </w:num>
  <w:num w:numId="24">
    <w:abstractNumId w:val="18"/>
  </w:num>
  <w:num w:numId="25">
    <w:abstractNumId w:val="6"/>
  </w:num>
  <w:num w:numId="26">
    <w:abstractNumId w:val="6"/>
    <w:lvlOverride w:ilvl="0">
      <w:startOverride w:val="1"/>
    </w:lvlOverride>
  </w:num>
  <w:num w:numId="27">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E0"/>
    <w:rsid w:val="00003885"/>
    <w:rsid w:val="00007A04"/>
    <w:rsid w:val="00020F0D"/>
    <w:rsid w:val="00022C04"/>
    <w:rsid w:val="000255CC"/>
    <w:rsid w:val="00034F32"/>
    <w:rsid w:val="000468D9"/>
    <w:rsid w:val="00047D81"/>
    <w:rsid w:val="0007265B"/>
    <w:rsid w:val="00091F82"/>
    <w:rsid w:val="00093D5E"/>
    <w:rsid w:val="000A3231"/>
    <w:rsid w:val="000B0266"/>
    <w:rsid w:val="000B28E5"/>
    <w:rsid w:val="000C2962"/>
    <w:rsid w:val="000C66F4"/>
    <w:rsid w:val="000E01D1"/>
    <w:rsid w:val="000E2606"/>
    <w:rsid w:val="00102596"/>
    <w:rsid w:val="00105C35"/>
    <w:rsid w:val="00132F05"/>
    <w:rsid w:val="001342AB"/>
    <w:rsid w:val="001361CC"/>
    <w:rsid w:val="00146BAB"/>
    <w:rsid w:val="001559E6"/>
    <w:rsid w:val="00162294"/>
    <w:rsid w:val="00176313"/>
    <w:rsid w:val="001821D7"/>
    <w:rsid w:val="0019001D"/>
    <w:rsid w:val="001920C5"/>
    <w:rsid w:val="0019666A"/>
    <w:rsid w:val="001B3ED5"/>
    <w:rsid w:val="001D5360"/>
    <w:rsid w:val="001E640A"/>
    <w:rsid w:val="00204631"/>
    <w:rsid w:val="00210536"/>
    <w:rsid w:val="002175AB"/>
    <w:rsid w:val="002236FF"/>
    <w:rsid w:val="00247349"/>
    <w:rsid w:val="002646BF"/>
    <w:rsid w:val="0026711D"/>
    <w:rsid w:val="002911A2"/>
    <w:rsid w:val="002965B9"/>
    <w:rsid w:val="00296736"/>
    <w:rsid w:val="002977AD"/>
    <w:rsid w:val="002A65CB"/>
    <w:rsid w:val="002B6423"/>
    <w:rsid w:val="002B71AA"/>
    <w:rsid w:val="002F6BED"/>
    <w:rsid w:val="002F7DD0"/>
    <w:rsid w:val="003043D0"/>
    <w:rsid w:val="00310398"/>
    <w:rsid w:val="003111F2"/>
    <w:rsid w:val="00312CE4"/>
    <w:rsid w:val="00334347"/>
    <w:rsid w:val="00341E15"/>
    <w:rsid w:val="0035445C"/>
    <w:rsid w:val="00370A6B"/>
    <w:rsid w:val="00391643"/>
    <w:rsid w:val="003A0E00"/>
    <w:rsid w:val="003B6B24"/>
    <w:rsid w:val="003F70DB"/>
    <w:rsid w:val="004000A8"/>
    <w:rsid w:val="00407C4D"/>
    <w:rsid w:val="00421DDE"/>
    <w:rsid w:val="00471C93"/>
    <w:rsid w:val="004767AB"/>
    <w:rsid w:val="00485A6C"/>
    <w:rsid w:val="004A14A9"/>
    <w:rsid w:val="004A3F72"/>
    <w:rsid w:val="004C461B"/>
    <w:rsid w:val="004C650C"/>
    <w:rsid w:val="004E42BB"/>
    <w:rsid w:val="005132B5"/>
    <w:rsid w:val="0051540B"/>
    <w:rsid w:val="005311C5"/>
    <w:rsid w:val="005402C0"/>
    <w:rsid w:val="00540C30"/>
    <w:rsid w:val="0055115B"/>
    <w:rsid w:val="00571EC8"/>
    <w:rsid w:val="00577737"/>
    <w:rsid w:val="00597B02"/>
    <w:rsid w:val="005C50B1"/>
    <w:rsid w:val="005D4BBA"/>
    <w:rsid w:val="005E6D79"/>
    <w:rsid w:val="005F47D8"/>
    <w:rsid w:val="005F6FBE"/>
    <w:rsid w:val="00600627"/>
    <w:rsid w:val="006108A4"/>
    <w:rsid w:val="0063694A"/>
    <w:rsid w:val="00636BE1"/>
    <w:rsid w:val="00650867"/>
    <w:rsid w:val="00660C52"/>
    <w:rsid w:val="00664628"/>
    <w:rsid w:val="0067470F"/>
    <w:rsid w:val="00693FEE"/>
    <w:rsid w:val="006A5711"/>
    <w:rsid w:val="006A6AB5"/>
    <w:rsid w:val="006D0ACC"/>
    <w:rsid w:val="006F70E9"/>
    <w:rsid w:val="00700CC9"/>
    <w:rsid w:val="007043D8"/>
    <w:rsid w:val="007126F7"/>
    <w:rsid w:val="00716B36"/>
    <w:rsid w:val="00734B53"/>
    <w:rsid w:val="0075170D"/>
    <w:rsid w:val="0075353F"/>
    <w:rsid w:val="00753C16"/>
    <w:rsid w:val="00776BE0"/>
    <w:rsid w:val="007B025C"/>
    <w:rsid w:val="007B0CBE"/>
    <w:rsid w:val="007D08C1"/>
    <w:rsid w:val="007F2125"/>
    <w:rsid w:val="008176AE"/>
    <w:rsid w:val="00844E1B"/>
    <w:rsid w:val="008474C1"/>
    <w:rsid w:val="008513CF"/>
    <w:rsid w:val="0086634F"/>
    <w:rsid w:val="00876758"/>
    <w:rsid w:val="008920FD"/>
    <w:rsid w:val="008A4C6B"/>
    <w:rsid w:val="008A5F77"/>
    <w:rsid w:val="008B0585"/>
    <w:rsid w:val="008B1DAA"/>
    <w:rsid w:val="008B2997"/>
    <w:rsid w:val="008C59AA"/>
    <w:rsid w:val="008E3C53"/>
    <w:rsid w:val="00904A38"/>
    <w:rsid w:val="00913D8D"/>
    <w:rsid w:val="00930129"/>
    <w:rsid w:val="00933114"/>
    <w:rsid w:val="00941890"/>
    <w:rsid w:val="009826C2"/>
    <w:rsid w:val="00983C3D"/>
    <w:rsid w:val="009848DF"/>
    <w:rsid w:val="00984EC1"/>
    <w:rsid w:val="0098695C"/>
    <w:rsid w:val="009A18DF"/>
    <w:rsid w:val="009B0C9E"/>
    <w:rsid w:val="009B4D57"/>
    <w:rsid w:val="009B662F"/>
    <w:rsid w:val="009F1458"/>
    <w:rsid w:val="009F58C9"/>
    <w:rsid w:val="00A02720"/>
    <w:rsid w:val="00A04088"/>
    <w:rsid w:val="00A25F22"/>
    <w:rsid w:val="00A26E88"/>
    <w:rsid w:val="00A3316B"/>
    <w:rsid w:val="00A402EE"/>
    <w:rsid w:val="00A65F5D"/>
    <w:rsid w:val="00A72C95"/>
    <w:rsid w:val="00A90E95"/>
    <w:rsid w:val="00A92AF1"/>
    <w:rsid w:val="00A94E69"/>
    <w:rsid w:val="00AA5AEA"/>
    <w:rsid w:val="00AB5082"/>
    <w:rsid w:val="00AC2AC3"/>
    <w:rsid w:val="00AC2E6F"/>
    <w:rsid w:val="00B2304B"/>
    <w:rsid w:val="00B40664"/>
    <w:rsid w:val="00B52CD0"/>
    <w:rsid w:val="00B566E9"/>
    <w:rsid w:val="00B615B2"/>
    <w:rsid w:val="00B826AA"/>
    <w:rsid w:val="00BA23FD"/>
    <w:rsid w:val="00BE3505"/>
    <w:rsid w:val="00BF47DA"/>
    <w:rsid w:val="00C00627"/>
    <w:rsid w:val="00C24B69"/>
    <w:rsid w:val="00C27F06"/>
    <w:rsid w:val="00C40613"/>
    <w:rsid w:val="00C504EE"/>
    <w:rsid w:val="00C67E6C"/>
    <w:rsid w:val="00C859D7"/>
    <w:rsid w:val="00C8714D"/>
    <w:rsid w:val="00C929AB"/>
    <w:rsid w:val="00C94EA1"/>
    <w:rsid w:val="00CD1859"/>
    <w:rsid w:val="00CE13AD"/>
    <w:rsid w:val="00CF7C6A"/>
    <w:rsid w:val="00D012A2"/>
    <w:rsid w:val="00D01EEF"/>
    <w:rsid w:val="00D149E0"/>
    <w:rsid w:val="00D259C3"/>
    <w:rsid w:val="00D3179A"/>
    <w:rsid w:val="00D5475F"/>
    <w:rsid w:val="00D74B18"/>
    <w:rsid w:val="00D759BE"/>
    <w:rsid w:val="00D75D13"/>
    <w:rsid w:val="00D8312E"/>
    <w:rsid w:val="00D85F3A"/>
    <w:rsid w:val="00DA168A"/>
    <w:rsid w:val="00DA1EFB"/>
    <w:rsid w:val="00DB0241"/>
    <w:rsid w:val="00DB1101"/>
    <w:rsid w:val="00DC28E1"/>
    <w:rsid w:val="00DD5C5D"/>
    <w:rsid w:val="00DF65FC"/>
    <w:rsid w:val="00E22FC8"/>
    <w:rsid w:val="00E40B67"/>
    <w:rsid w:val="00E43C0A"/>
    <w:rsid w:val="00E604EB"/>
    <w:rsid w:val="00E7096E"/>
    <w:rsid w:val="00E9030C"/>
    <w:rsid w:val="00E95638"/>
    <w:rsid w:val="00EB67B4"/>
    <w:rsid w:val="00EC302F"/>
    <w:rsid w:val="00ED564D"/>
    <w:rsid w:val="00ED6E5B"/>
    <w:rsid w:val="00EE2F51"/>
    <w:rsid w:val="00EF1EC8"/>
    <w:rsid w:val="00EF4469"/>
    <w:rsid w:val="00F000F1"/>
    <w:rsid w:val="00F04FD2"/>
    <w:rsid w:val="00F05A51"/>
    <w:rsid w:val="00F161A8"/>
    <w:rsid w:val="00F430EF"/>
    <w:rsid w:val="00F43C5A"/>
    <w:rsid w:val="00F50717"/>
    <w:rsid w:val="00F62325"/>
    <w:rsid w:val="00F93B73"/>
    <w:rsid w:val="00FA766F"/>
    <w:rsid w:val="00FB75D6"/>
    <w:rsid w:val="00FC2DBD"/>
    <w:rsid w:val="00FC57F2"/>
    <w:rsid w:val="00FF1591"/>
    <w:rsid w:val="00FF4E6C"/>
    <w:rsid w:val="00FF51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1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B56"/>
    <w:pPr>
      <w:jc w:val="both"/>
    </w:pPr>
    <w:rPr>
      <w:iCs/>
      <w:sz w:val="24"/>
      <w:szCs w:val="24"/>
      <w:lang w:eastAsia="fr-FR"/>
    </w:rPr>
  </w:style>
  <w:style w:type="paragraph" w:styleId="Heading1">
    <w:name w:val="heading 1"/>
    <w:basedOn w:val="Normal"/>
    <w:next w:val="Normal"/>
    <w:qFormat/>
    <w:rsid w:val="00EC302F"/>
    <w:pPr>
      <w:keepNext/>
      <w:numPr>
        <w:numId w:val="22"/>
      </w:numPr>
      <w:spacing w:line="360" w:lineRule="auto"/>
      <w:outlineLvl w:val="0"/>
    </w:pPr>
    <w:rPr>
      <w:bCs/>
    </w:rPr>
  </w:style>
  <w:style w:type="paragraph" w:styleId="Heading2">
    <w:name w:val="heading 2"/>
    <w:basedOn w:val="Normal"/>
    <w:next w:val="Normal"/>
    <w:link w:val="Heading2Char"/>
    <w:uiPriority w:val="9"/>
    <w:unhideWhenUsed/>
    <w:qFormat/>
    <w:rsid w:val="00EC302F"/>
    <w:pPr>
      <w:keepNext/>
      <w:keepLines/>
      <w:numPr>
        <w:numId w:val="24"/>
      </w:numPr>
      <w:spacing w:line="360" w:lineRule="auto"/>
      <w:outlineLvl w:val="1"/>
    </w:pPr>
    <w:rPr>
      <w:rFonts w:eastAsiaTheme="majorEastAsia" w:cstheme="majorBidi"/>
      <w:bCs/>
      <w:szCs w:val="26"/>
    </w:rPr>
  </w:style>
  <w:style w:type="paragraph" w:styleId="Heading3">
    <w:name w:val="heading 3"/>
    <w:basedOn w:val="Normal"/>
    <w:next w:val="Normal"/>
    <w:link w:val="Heading3Char"/>
    <w:uiPriority w:val="9"/>
    <w:qFormat/>
    <w:rsid w:val="00EC302F"/>
    <w:pPr>
      <w:keepNext/>
      <w:numPr>
        <w:numId w:val="25"/>
      </w:numPr>
      <w:spacing w:line="360" w:lineRule="auto"/>
      <w:outlineLvl w:val="2"/>
    </w:pPr>
    <w:rPr>
      <w:bCs/>
      <w:szCs w:val="26"/>
    </w:rPr>
  </w:style>
  <w:style w:type="paragraph" w:styleId="Heading4">
    <w:name w:val="heading 4"/>
    <w:basedOn w:val="Normal"/>
    <w:next w:val="Normal"/>
    <w:link w:val="Heading4Char"/>
    <w:uiPriority w:val="9"/>
    <w:qFormat/>
    <w:rsid w:val="00093C4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791C51"/>
    <w:pPr>
      <w:spacing w:before="240" w:after="60"/>
      <w:outlineLvl w:val="4"/>
    </w:pPr>
    <w:rPr>
      <w:rFonts w:ascii="Calibri" w:hAnsi="Calibri"/>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91F82"/>
    <w:rPr>
      <w:sz w:val="20"/>
      <w:szCs w:val="20"/>
    </w:rPr>
  </w:style>
  <w:style w:type="character" w:styleId="FootnoteReference">
    <w:name w:val="footnote reference"/>
    <w:semiHidden/>
    <w:rsid w:val="00091F82"/>
    <w:rPr>
      <w:vertAlign w:val="superscript"/>
    </w:rPr>
  </w:style>
  <w:style w:type="character" w:customStyle="1" w:styleId="apple-converted-space">
    <w:name w:val="apple-converted-space"/>
    <w:rsid w:val="00620B05"/>
  </w:style>
  <w:style w:type="character" w:styleId="Hyperlink">
    <w:name w:val="Hyperlink"/>
    <w:uiPriority w:val="99"/>
    <w:unhideWhenUsed/>
    <w:rsid w:val="00C0097E"/>
    <w:rPr>
      <w:color w:val="0000FF"/>
      <w:u w:val="single"/>
    </w:rPr>
  </w:style>
  <w:style w:type="character" w:customStyle="1" w:styleId="Normal1">
    <w:name w:val="Normal1"/>
    <w:rsid w:val="009C21A7"/>
  </w:style>
  <w:style w:type="character" w:styleId="FollowedHyperlink">
    <w:name w:val="FollowedHyperlink"/>
    <w:uiPriority w:val="99"/>
    <w:semiHidden/>
    <w:unhideWhenUsed/>
    <w:rsid w:val="00FF365F"/>
    <w:rPr>
      <w:color w:val="800080"/>
      <w:u w:val="single"/>
    </w:rPr>
  </w:style>
  <w:style w:type="character" w:styleId="Emphasis">
    <w:name w:val="Emphasis"/>
    <w:uiPriority w:val="20"/>
    <w:qFormat/>
    <w:rsid w:val="00761BDA"/>
    <w:rPr>
      <w:i/>
      <w:iCs/>
    </w:rPr>
  </w:style>
  <w:style w:type="character" w:styleId="CommentReference">
    <w:name w:val="annotation reference"/>
    <w:uiPriority w:val="99"/>
    <w:semiHidden/>
    <w:unhideWhenUsed/>
    <w:rsid w:val="00F47DA2"/>
    <w:rPr>
      <w:sz w:val="16"/>
      <w:szCs w:val="16"/>
    </w:rPr>
  </w:style>
  <w:style w:type="paragraph" w:styleId="CommentText">
    <w:name w:val="annotation text"/>
    <w:basedOn w:val="Normal"/>
    <w:link w:val="CommentTextChar"/>
    <w:uiPriority w:val="99"/>
    <w:semiHidden/>
    <w:unhideWhenUsed/>
    <w:rsid w:val="00F47DA2"/>
    <w:rPr>
      <w:sz w:val="20"/>
      <w:szCs w:val="20"/>
    </w:rPr>
  </w:style>
  <w:style w:type="character" w:customStyle="1" w:styleId="CommentTextChar">
    <w:name w:val="Comment Text Char"/>
    <w:link w:val="CommentText"/>
    <w:uiPriority w:val="99"/>
    <w:semiHidden/>
    <w:rsid w:val="00F47DA2"/>
    <w:rPr>
      <w:iCs/>
      <w:lang w:eastAsia="fr-FR"/>
    </w:rPr>
  </w:style>
  <w:style w:type="paragraph" w:styleId="CommentSubject">
    <w:name w:val="annotation subject"/>
    <w:basedOn w:val="CommentText"/>
    <w:next w:val="CommentText"/>
    <w:link w:val="CommentSubjectChar"/>
    <w:uiPriority w:val="99"/>
    <w:semiHidden/>
    <w:unhideWhenUsed/>
    <w:rsid w:val="00F47DA2"/>
    <w:rPr>
      <w:b/>
      <w:bCs/>
    </w:rPr>
  </w:style>
  <w:style w:type="character" w:customStyle="1" w:styleId="CommentSubjectChar">
    <w:name w:val="Comment Subject Char"/>
    <w:link w:val="CommentSubject"/>
    <w:uiPriority w:val="99"/>
    <w:semiHidden/>
    <w:rsid w:val="00F47DA2"/>
    <w:rPr>
      <w:b/>
      <w:bCs/>
      <w:iCs/>
      <w:lang w:eastAsia="fr-FR"/>
    </w:rPr>
  </w:style>
  <w:style w:type="paragraph" w:styleId="BalloonText">
    <w:name w:val="Balloon Text"/>
    <w:basedOn w:val="Normal"/>
    <w:link w:val="BalloonTextChar"/>
    <w:uiPriority w:val="99"/>
    <w:semiHidden/>
    <w:unhideWhenUsed/>
    <w:rsid w:val="00F47DA2"/>
    <w:rPr>
      <w:rFonts w:ascii="Tahoma" w:hAnsi="Tahoma"/>
      <w:sz w:val="16"/>
      <w:szCs w:val="16"/>
    </w:rPr>
  </w:style>
  <w:style w:type="character" w:customStyle="1" w:styleId="BalloonTextChar">
    <w:name w:val="Balloon Text Char"/>
    <w:link w:val="BalloonText"/>
    <w:uiPriority w:val="99"/>
    <w:semiHidden/>
    <w:rsid w:val="00F47DA2"/>
    <w:rPr>
      <w:rFonts w:ascii="Tahoma" w:hAnsi="Tahoma" w:cs="Tahoma"/>
      <w:iCs/>
      <w:sz w:val="16"/>
      <w:szCs w:val="16"/>
      <w:lang w:eastAsia="fr-FR"/>
    </w:rPr>
  </w:style>
  <w:style w:type="character" w:customStyle="1" w:styleId="Heading5Char">
    <w:name w:val="Heading 5 Char"/>
    <w:link w:val="Heading5"/>
    <w:uiPriority w:val="9"/>
    <w:rsid w:val="00791C51"/>
    <w:rPr>
      <w:rFonts w:ascii="Calibri" w:eastAsia="Times New Roman" w:hAnsi="Calibri" w:cs="Times New Roman"/>
      <w:b/>
      <w:bCs/>
      <w:i/>
      <w:iCs/>
      <w:sz w:val="26"/>
      <w:szCs w:val="26"/>
      <w:lang w:eastAsia="fr-FR"/>
    </w:rPr>
  </w:style>
  <w:style w:type="paragraph" w:styleId="Header">
    <w:name w:val="header"/>
    <w:basedOn w:val="Normal"/>
    <w:link w:val="HeaderChar"/>
    <w:uiPriority w:val="99"/>
    <w:unhideWhenUsed/>
    <w:rsid w:val="00D3498F"/>
    <w:pPr>
      <w:tabs>
        <w:tab w:val="center" w:pos="4513"/>
        <w:tab w:val="right" w:pos="9026"/>
      </w:tabs>
    </w:pPr>
  </w:style>
  <w:style w:type="character" w:customStyle="1" w:styleId="HeaderChar">
    <w:name w:val="Header Char"/>
    <w:link w:val="Header"/>
    <w:uiPriority w:val="99"/>
    <w:rsid w:val="00D3498F"/>
    <w:rPr>
      <w:iCs/>
      <w:sz w:val="24"/>
      <w:szCs w:val="24"/>
      <w:lang w:eastAsia="fr-FR"/>
    </w:rPr>
  </w:style>
  <w:style w:type="paragraph" w:styleId="Footer">
    <w:name w:val="footer"/>
    <w:basedOn w:val="Normal"/>
    <w:link w:val="FooterChar"/>
    <w:uiPriority w:val="99"/>
    <w:unhideWhenUsed/>
    <w:rsid w:val="00D3498F"/>
    <w:pPr>
      <w:tabs>
        <w:tab w:val="center" w:pos="4513"/>
        <w:tab w:val="right" w:pos="9026"/>
      </w:tabs>
    </w:pPr>
  </w:style>
  <w:style w:type="character" w:customStyle="1" w:styleId="FooterChar">
    <w:name w:val="Footer Char"/>
    <w:link w:val="Footer"/>
    <w:uiPriority w:val="99"/>
    <w:rsid w:val="00D3498F"/>
    <w:rPr>
      <w:iCs/>
      <w:sz w:val="24"/>
      <w:szCs w:val="24"/>
      <w:lang w:eastAsia="fr-FR"/>
    </w:rPr>
  </w:style>
  <w:style w:type="paragraph" w:customStyle="1" w:styleId="MediumGrid1-Accent21">
    <w:name w:val="Medium Grid 1 - Accent 21"/>
    <w:basedOn w:val="Normal"/>
    <w:uiPriority w:val="34"/>
    <w:qFormat/>
    <w:rsid w:val="000D51E2"/>
    <w:pPr>
      <w:ind w:left="720"/>
    </w:pPr>
  </w:style>
  <w:style w:type="character" w:styleId="Strong">
    <w:name w:val="Strong"/>
    <w:uiPriority w:val="22"/>
    <w:qFormat/>
    <w:rsid w:val="001D0229"/>
    <w:rPr>
      <w:b/>
      <w:bCs/>
    </w:rPr>
  </w:style>
  <w:style w:type="paragraph" w:customStyle="1" w:styleId="OHhead1">
    <w:name w:val="OH head1"/>
    <w:basedOn w:val="Normal"/>
    <w:rsid w:val="0026460A"/>
    <w:pPr>
      <w:spacing w:line="480" w:lineRule="auto"/>
      <w:jc w:val="left"/>
    </w:pPr>
    <w:rPr>
      <w:rFonts w:ascii="Cambria" w:hAnsi="Cambria"/>
      <w:b/>
      <w:iCs w:val="0"/>
      <w:caps/>
      <w:sz w:val="28"/>
      <w:lang w:eastAsia="fr-CH"/>
    </w:rPr>
  </w:style>
  <w:style w:type="character" w:customStyle="1" w:styleId="Heading3Char">
    <w:name w:val="Heading 3 Char"/>
    <w:link w:val="Heading3"/>
    <w:uiPriority w:val="9"/>
    <w:rsid w:val="00EC302F"/>
    <w:rPr>
      <w:bCs/>
      <w:iCs/>
      <w:sz w:val="24"/>
      <w:szCs w:val="26"/>
      <w:lang w:eastAsia="fr-FR"/>
    </w:rPr>
  </w:style>
  <w:style w:type="character" w:customStyle="1" w:styleId="Heading4Char">
    <w:name w:val="Heading 4 Char"/>
    <w:link w:val="Heading4"/>
    <w:uiPriority w:val="9"/>
    <w:rsid w:val="00093C46"/>
    <w:rPr>
      <w:rFonts w:ascii="Calibri" w:eastAsia="Times New Roman" w:hAnsi="Calibri" w:cs="Times New Roman"/>
      <w:b/>
      <w:bCs/>
      <w:iCs/>
      <w:sz w:val="28"/>
      <w:szCs w:val="28"/>
      <w:lang w:eastAsia="fr-FR"/>
    </w:rPr>
  </w:style>
  <w:style w:type="paragraph" w:styleId="ListParagraph">
    <w:name w:val="List Paragraph"/>
    <w:basedOn w:val="Normal"/>
    <w:uiPriority w:val="34"/>
    <w:qFormat/>
    <w:rsid w:val="00D8312E"/>
    <w:pPr>
      <w:ind w:left="708"/>
    </w:pPr>
  </w:style>
  <w:style w:type="character" w:customStyle="1" w:styleId="Heading2Char">
    <w:name w:val="Heading 2 Char"/>
    <w:basedOn w:val="DefaultParagraphFont"/>
    <w:link w:val="Heading2"/>
    <w:uiPriority w:val="9"/>
    <w:rsid w:val="00EC302F"/>
    <w:rPr>
      <w:rFonts w:eastAsiaTheme="majorEastAsia" w:cstheme="majorBidi"/>
      <w:bCs/>
      <w:iCs/>
      <w:sz w:val="24"/>
      <w:szCs w:val="26"/>
      <w:lang w:eastAsia="fr-FR"/>
    </w:rPr>
  </w:style>
  <w:style w:type="paragraph" w:styleId="Revision">
    <w:name w:val="Revision"/>
    <w:hidden/>
    <w:uiPriority w:val="99"/>
    <w:semiHidden/>
    <w:rsid w:val="008176AE"/>
    <w:rPr>
      <w:iCs/>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B56"/>
    <w:pPr>
      <w:jc w:val="both"/>
    </w:pPr>
    <w:rPr>
      <w:iCs/>
      <w:sz w:val="24"/>
      <w:szCs w:val="24"/>
      <w:lang w:eastAsia="fr-FR"/>
    </w:rPr>
  </w:style>
  <w:style w:type="paragraph" w:styleId="Heading1">
    <w:name w:val="heading 1"/>
    <w:basedOn w:val="Normal"/>
    <w:next w:val="Normal"/>
    <w:qFormat/>
    <w:rsid w:val="00EC302F"/>
    <w:pPr>
      <w:keepNext/>
      <w:numPr>
        <w:numId w:val="22"/>
      </w:numPr>
      <w:spacing w:line="360" w:lineRule="auto"/>
      <w:outlineLvl w:val="0"/>
    </w:pPr>
    <w:rPr>
      <w:bCs/>
    </w:rPr>
  </w:style>
  <w:style w:type="paragraph" w:styleId="Heading2">
    <w:name w:val="heading 2"/>
    <w:basedOn w:val="Normal"/>
    <w:next w:val="Normal"/>
    <w:link w:val="Heading2Char"/>
    <w:uiPriority w:val="9"/>
    <w:unhideWhenUsed/>
    <w:qFormat/>
    <w:rsid w:val="00EC302F"/>
    <w:pPr>
      <w:keepNext/>
      <w:keepLines/>
      <w:numPr>
        <w:numId w:val="24"/>
      </w:numPr>
      <w:spacing w:line="360" w:lineRule="auto"/>
      <w:outlineLvl w:val="1"/>
    </w:pPr>
    <w:rPr>
      <w:rFonts w:eastAsiaTheme="majorEastAsia" w:cstheme="majorBidi"/>
      <w:bCs/>
      <w:szCs w:val="26"/>
    </w:rPr>
  </w:style>
  <w:style w:type="paragraph" w:styleId="Heading3">
    <w:name w:val="heading 3"/>
    <w:basedOn w:val="Normal"/>
    <w:next w:val="Normal"/>
    <w:link w:val="Heading3Char"/>
    <w:uiPriority w:val="9"/>
    <w:qFormat/>
    <w:rsid w:val="00EC302F"/>
    <w:pPr>
      <w:keepNext/>
      <w:numPr>
        <w:numId w:val="25"/>
      </w:numPr>
      <w:spacing w:line="360" w:lineRule="auto"/>
      <w:outlineLvl w:val="2"/>
    </w:pPr>
    <w:rPr>
      <w:bCs/>
      <w:szCs w:val="26"/>
    </w:rPr>
  </w:style>
  <w:style w:type="paragraph" w:styleId="Heading4">
    <w:name w:val="heading 4"/>
    <w:basedOn w:val="Normal"/>
    <w:next w:val="Normal"/>
    <w:link w:val="Heading4Char"/>
    <w:uiPriority w:val="9"/>
    <w:qFormat/>
    <w:rsid w:val="00093C4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791C51"/>
    <w:pPr>
      <w:spacing w:before="240" w:after="60"/>
      <w:outlineLvl w:val="4"/>
    </w:pPr>
    <w:rPr>
      <w:rFonts w:ascii="Calibri" w:hAnsi="Calibri"/>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91F82"/>
    <w:rPr>
      <w:sz w:val="20"/>
      <w:szCs w:val="20"/>
    </w:rPr>
  </w:style>
  <w:style w:type="character" w:styleId="FootnoteReference">
    <w:name w:val="footnote reference"/>
    <w:semiHidden/>
    <w:rsid w:val="00091F82"/>
    <w:rPr>
      <w:vertAlign w:val="superscript"/>
    </w:rPr>
  </w:style>
  <w:style w:type="character" w:customStyle="1" w:styleId="apple-converted-space">
    <w:name w:val="apple-converted-space"/>
    <w:rsid w:val="00620B05"/>
  </w:style>
  <w:style w:type="character" w:styleId="Hyperlink">
    <w:name w:val="Hyperlink"/>
    <w:uiPriority w:val="99"/>
    <w:unhideWhenUsed/>
    <w:rsid w:val="00C0097E"/>
    <w:rPr>
      <w:color w:val="0000FF"/>
      <w:u w:val="single"/>
    </w:rPr>
  </w:style>
  <w:style w:type="character" w:customStyle="1" w:styleId="Normal1">
    <w:name w:val="Normal1"/>
    <w:rsid w:val="009C21A7"/>
  </w:style>
  <w:style w:type="character" w:styleId="FollowedHyperlink">
    <w:name w:val="FollowedHyperlink"/>
    <w:uiPriority w:val="99"/>
    <w:semiHidden/>
    <w:unhideWhenUsed/>
    <w:rsid w:val="00FF365F"/>
    <w:rPr>
      <w:color w:val="800080"/>
      <w:u w:val="single"/>
    </w:rPr>
  </w:style>
  <w:style w:type="character" w:styleId="Emphasis">
    <w:name w:val="Emphasis"/>
    <w:uiPriority w:val="20"/>
    <w:qFormat/>
    <w:rsid w:val="00761BDA"/>
    <w:rPr>
      <w:i/>
      <w:iCs/>
    </w:rPr>
  </w:style>
  <w:style w:type="character" w:styleId="CommentReference">
    <w:name w:val="annotation reference"/>
    <w:uiPriority w:val="99"/>
    <w:semiHidden/>
    <w:unhideWhenUsed/>
    <w:rsid w:val="00F47DA2"/>
    <w:rPr>
      <w:sz w:val="16"/>
      <w:szCs w:val="16"/>
    </w:rPr>
  </w:style>
  <w:style w:type="paragraph" w:styleId="CommentText">
    <w:name w:val="annotation text"/>
    <w:basedOn w:val="Normal"/>
    <w:link w:val="CommentTextChar"/>
    <w:uiPriority w:val="99"/>
    <w:semiHidden/>
    <w:unhideWhenUsed/>
    <w:rsid w:val="00F47DA2"/>
    <w:rPr>
      <w:sz w:val="20"/>
      <w:szCs w:val="20"/>
    </w:rPr>
  </w:style>
  <w:style w:type="character" w:customStyle="1" w:styleId="CommentTextChar">
    <w:name w:val="Comment Text Char"/>
    <w:link w:val="CommentText"/>
    <w:uiPriority w:val="99"/>
    <w:semiHidden/>
    <w:rsid w:val="00F47DA2"/>
    <w:rPr>
      <w:iCs/>
      <w:lang w:eastAsia="fr-FR"/>
    </w:rPr>
  </w:style>
  <w:style w:type="paragraph" w:styleId="CommentSubject">
    <w:name w:val="annotation subject"/>
    <w:basedOn w:val="CommentText"/>
    <w:next w:val="CommentText"/>
    <w:link w:val="CommentSubjectChar"/>
    <w:uiPriority w:val="99"/>
    <w:semiHidden/>
    <w:unhideWhenUsed/>
    <w:rsid w:val="00F47DA2"/>
    <w:rPr>
      <w:b/>
      <w:bCs/>
    </w:rPr>
  </w:style>
  <w:style w:type="character" w:customStyle="1" w:styleId="CommentSubjectChar">
    <w:name w:val="Comment Subject Char"/>
    <w:link w:val="CommentSubject"/>
    <w:uiPriority w:val="99"/>
    <w:semiHidden/>
    <w:rsid w:val="00F47DA2"/>
    <w:rPr>
      <w:b/>
      <w:bCs/>
      <w:iCs/>
      <w:lang w:eastAsia="fr-FR"/>
    </w:rPr>
  </w:style>
  <w:style w:type="paragraph" w:styleId="BalloonText">
    <w:name w:val="Balloon Text"/>
    <w:basedOn w:val="Normal"/>
    <w:link w:val="BalloonTextChar"/>
    <w:uiPriority w:val="99"/>
    <w:semiHidden/>
    <w:unhideWhenUsed/>
    <w:rsid w:val="00F47DA2"/>
    <w:rPr>
      <w:rFonts w:ascii="Tahoma" w:hAnsi="Tahoma"/>
      <w:sz w:val="16"/>
      <w:szCs w:val="16"/>
    </w:rPr>
  </w:style>
  <w:style w:type="character" w:customStyle="1" w:styleId="BalloonTextChar">
    <w:name w:val="Balloon Text Char"/>
    <w:link w:val="BalloonText"/>
    <w:uiPriority w:val="99"/>
    <w:semiHidden/>
    <w:rsid w:val="00F47DA2"/>
    <w:rPr>
      <w:rFonts w:ascii="Tahoma" w:hAnsi="Tahoma" w:cs="Tahoma"/>
      <w:iCs/>
      <w:sz w:val="16"/>
      <w:szCs w:val="16"/>
      <w:lang w:eastAsia="fr-FR"/>
    </w:rPr>
  </w:style>
  <w:style w:type="character" w:customStyle="1" w:styleId="Heading5Char">
    <w:name w:val="Heading 5 Char"/>
    <w:link w:val="Heading5"/>
    <w:uiPriority w:val="9"/>
    <w:rsid w:val="00791C51"/>
    <w:rPr>
      <w:rFonts w:ascii="Calibri" w:eastAsia="Times New Roman" w:hAnsi="Calibri" w:cs="Times New Roman"/>
      <w:b/>
      <w:bCs/>
      <w:i/>
      <w:iCs/>
      <w:sz w:val="26"/>
      <w:szCs w:val="26"/>
      <w:lang w:eastAsia="fr-FR"/>
    </w:rPr>
  </w:style>
  <w:style w:type="paragraph" w:styleId="Header">
    <w:name w:val="header"/>
    <w:basedOn w:val="Normal"/>
    <w:link w:val="HeaderChar"/>
    <w:uiPriority w:val="99"/>
    <w:unhideWhenUsed/>
    <w:rsid w:val="00D3498F"/>
    <w:pPr>
      <w:tabs>
        <w:tab w:val="center" w:pos="4513"/>
        <w:tab w:val="right" w:pos="9026"/>
      </w:tabs>
    </w:pPr>
  </w:style>
  <w:style w:type="character" w:customStyle="1" w:styleId="HeaderChar">
    <w:name w:val="Header Char"/>
    <w:link w:val="Header"/>
    <w:uiPriority w:val="99"/>
    <w:rsid w:val="00D3498F"/>
    <w:rPr>
      <w:iCs/>
      <w:sz w:val="24"/>
      <w:szCs w:val="24"/>
      <w:lang w:eastAsia="fr-FR"/>
    </w:rPr>
  </w:style>
  <w:style w:type="paragraph" w:styleId="Footer">
    <w:name w:val="footer"/>
    <w:basedOn w:val="Normal"/>
    <w:link w:val="FooterChar"/>
    <w:uiPriority w:val="99"/>
    <w:unhideWhenUsed/>
    <w:rsid w:val="00D3498F"/>
    <w:pPr>
      <w:tabs>
        <w:tab w:val="center" w:pos="4513"/>
        <w:tab w:val="right" w:pos="9026"/>
      </w:tabs>
    </w:pPr>
  </w:style>
  <w:style w:type="character" w:customStyle="1" w:styleId="FooterChar">
    <w:name w:val="Footer Char"/>
    <w:link w:val="Footer"/>
    <w:uiPriority w:val="99"/>
    <w:rsid w:val="00D3498F"/>
    <w:rPr>
      <w:iCs/>
      <w:sz w:val="24"/>
      <w:szCs w:val="24"/>
      <w:lang w:eastAsia="fr-FR"/>
    </w:rPr>
  </w:style>
  <w:style w:type="paragraph" w:customStyle="1" w:styleId="MediumGrid1-Accent21">
    <w:name w:val="Medium Grid 1 - Accent 21"/>
    <w:basedOn w:val="Normal"/>
    <w:uiPriority w:val="34"/>
    <w:qFormat/>
    <w:rsid w:val="000D51E2"/>
    <w:pPr>
      <w:ind w:left="720"/>
    </w:pPr>
  </w:style>
  <w:style w:type="character" w:styleId="Strong">
    <w:name w:val="Strong"/>
    <w:uiPriority w:val="22"/>
    <w:qFormat/>
    <w:rsid w:val="001D0229"/>
    <w:rPr>
      <w:b/>
      <w:bCs/>
    </w:rPr>
  </w:style>
  <w:style w:type="paragraph" w:customStyle="1" w:styleId="OHhead1">
    <w:name w:val="OH head1"/>
    <w:basedOn w:val="Normal"/>
    <w:rsid w:val="0026460A"/>
    <w:pPr>
      <w:spacing w:line="480" w:lineRule="auto"/>
      <w:jc w:val="left"/>
    </w:pPr>
    <w:rPr>
      <w:rFonts w:ascii="Cambria" w:hAnsi="Cambria"/>
      <w:b/>
      <w:iCs w:val="0"/>
      <w:caps/>
      <w:sz w:val="28"/>
      <w:lang w:eastAsia="fr-CH"/>
    </w:rPr>
  </w:style>
  <w:style w:type="character" w:customStyle="1" w:styleId="Heading3Char">
    <w:name w:val="Heading 3 Char"/>
    <w:link w:val="Heading3"/>
    <w:uiPriority w:val="9"/>
    <w:rsid w:val="00EC302F"/>
    <w:rPr>
      <w:bCs/>
      <w:iCs/>
      <w:sz w:val="24"/>
      <w:szCs w:val="26"/>
      <w:lang w:eastAsia="fr-FR"/>
    </w:rPr>
  </w:style>
  <w:style w:type="character" w:customStyle="1" w:styleId="Heading4Char">
    <w:name w:val="Heading 4 Char"/>
    <w:link w:val="Heading4"/>
    <w:uiPriority w:val="9"/>
    <w:rsid w:val="00093C46"/>
    <w:rPr>
      <w:rFonts w:ascii="Calibri" w:eastAsia="Times New Roman" w:hAnsi="Calibri" w:cs="Times New Roman"/>
      <w:b/>
      <w:bCs/>
      <w:iCs/>
      <w:sz w:val="28"/>
      <w:szCs w:val="28"/>
      <w:lang w:eastAsia="fr-FR"/>
    </w:rPr>
  </w:style>
  <w:style w:type="paragraph" w:styleId="ListParagraph">
    <w:name w:val="List Paragraph"/>
    <w:basedOn w:val="Normal"/>
    <w:uiPriority w:val="34"/>
    <w:qFormat/>
    <w:rsid w:val="00D8312E"/>
    <w:pPr>
      <w:ind w:left="708"/>
    </w:pPr>
  </w:style>
  <w:style w:type="character" w:customStyle="1" w:styleId="Heading2Char">
    <w:name w:val="Heading 2 Char"/>
    <w:basedOn w:val="DefaultParagraphFont"/>
    <w:link w:val="Heading2"/>
    <w:uiPriority w:val="9"/>
    <w:rsid w:val="00EC302F"/>
    <w:rPr>
      <w:rFonts w:eastAsiaTheme="majorEastAsia" w:cstheme="majorBidi"/>
      <w:bCs/>
      <w:iCs/>
      <w:sz w:val="24"/>
      <w:szCs w:val="26"/>
      <w:lang w:eastAsia="fr-FR"/>
    </w:rPr>
  </w:style>
  <w:style w:type="paragraph" w:styleId="Revision">
    <w:name w:val="Revision"/>
    <w:hidden/>
    <w:uiPriority w:val="99"/>
    <w:semiHidden/>
    <w:rsid w:val="008176AE"/>
    <w:rPr>
      <w:i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4353">
      <w:bodyDiv w:val="1"/>
      <w:marLeft w:val="0"/>
      <w:marRight w:val="0"/>
      <w:marTop w:val="0"/>
      <w:marBottom w:val="0"/>
      <w:divBdr>
        <w:top w:val="none" w:sz="0" w:space="0" w:color="auto"/>
        <w:left w:val="none" w:sz="0" w:space="0" w:color="auto"/>
        <w:bottom w:val="none" w:sz="0" w:space="0" w:color="auto"/>
        <w:right w:val="none" w:sz="0" w:space="0" w:color="auto"/>
      </w:divBdr>
    </w:div>
    <w:div w:id="304966242">
      <w:bodyDiv w:val="1"/>
      <w:marLeft w:val="0"/>
      <w:marRight w:val="0"/>
      <w:marTop w:val="0"/>
      <w:marBottom w:val="0"/>
      <w:divBdr>
        <w:top w:val="none" w:sz="0" w:space="0" w:color="auto"/>
        <w:left w:val="none" w:sz="0" w:space="0" w:color="auto"/>
        <w:bottom w:val="none" w:sz="0" w:space="0" w:color="auto"/>
        <w:right w:val="none" w:sz="0" w:space="0" w:color="auto"/>
      </w:divBdr>
    </w:div>
    <w:div w:id="556209116">
      <w:bodyDiv w:val="1"/>
      <w:marLeft w:val="0"/>
      <w:marRight w:val="0"/>
      <w:marTop w:val="0"/>
      <w:marBottom w:val="0"/>
      <w:divBdr>
        <w:top w:val="none" w:sz="0" w:space="0" w:color="auto"/>
        <w:left w:val="none" w:sz="0" w:space="0" w:color="auto"/>
        <w:bottom w:val="none" w:sz="0" w:space="0" w:color="auto"/>
        <w:right w:val="none" w:sz="0" w:space="0" w:color="auto"/>
      </w:divBdr>
    </w:div>
    <w:div w:id="785659087">
      <w:bodyDiv w:val="1"/>
      <w:marLeft w:val="0"/>
      <w:marRight w:val="0"/>
      <w:marTop w:val="0"/>
      <w:marBottom w:val="0"/>
      <w:divBdr>
        <w:top w:val="none" w:sz="0" w:space="0" w:color="auto"/>
        <w:left w:val="none" w:sz="0" w:space="0" w:color="auto"/>
        <w:bottom w:val="none" w:sz="0" w:space="0" w:color="auto"/>
        <w:right w:val="none" w:sz="0" w:space="0" w:color="auto"/>
      </w:divBdr>
    </w:div>
    <w:div w:id="1479952727">
      <w:bodyDiv w:val="1"/>
      <w:marLeft w:val="0"/>
      <w:marRight w:val="0"/>
      <w:marTop w:val="0"/>
      <w:marBottom w:val="0"/>
      <w:divBdr>
        <w:top w:val="none" w:sz="0" w:space="0" w:color="auto"/>
        <w:left w:val="none" w:sz="0" w:space="0" w:color="auto"/>
        <w:bottom w:val="none" w:sz="0" w:space="0" w:color="auto"/>
        <w:right w:val="none" w:sz="0" w:space="0" w:color="auto"/>
      </w:divBdr>
    </w:div>
    <w:div w:id="1609268333">
      <w:bodyDiv w:val="1"/>
      <w:marLeft w:val="0"/>
      <w:marRight w:val="0"/>
      <w:marTop w:val="0"/>
      <w:marBottom w:val="0"/>
      <w:divBdr>
        <w:top w:val="none" w:sz="0" w:space="0" w:color="auto"/>
        <w:left w:val="none" w:sz="0" w:space="0" w:color="auto"/>
        <w:bottom w:val="none" w:sz="0" w:space="0" w:color="auto"/>
        <w:right w:val="none" w:sz="0" w:space="0" w:color="auto"/>
      </w:divBdr>
    </w:div>
    <w:div w:id="1647590379">
      <w:bodyDiv w:val="1"/>
      <w:marLeft w:val="0"/>
      <w:marRight w:val="0"/>
      <w:marTop w:val="0"/>
      <w:marBottom w:val="0"/>
      <w:divBdr>
        <w:top w:val="none" w:sz="0" w:space="0" w:color="auto"/>
        <w:left w:val="none" w:sz="0" w:space="0" w:color="auto"/>
        <w:bottom w:val="none" w:sz="0" w:space="0" w:color="auto"/>
        <w:right w:val="none" w:sz="0" w:space="0" w:color="auto"/>
      </w:divBdr>
    </w:div>
    <w:div w:id="1737126801">
      <w:bodyDiv w:val="1"/>
      <w:marLeft w:val="0"/>
      <w:marRight w:val="0"/>
      <w:marTop w:val="0"/>
      <w:marBottom w:val="0"/>
      <w:divBdr>
        <w:top w:val="none" w:sz="0" w:space="0" w:color="auto"/>
        <w:left w:val="none" w:sz="0" w:space="0" w:color="auto"/>
        <w:bottom w:val="none" w:sz="0" w:space="0" w:color="auto"/>
        <w:right w:val="none" w:sz="0" w:space="0" w:color="auto"/>
      </w:divBdr>
    </w:div>
    <w:div w:id="1965695999">
      <w:bodyDiv w:val="1"/>
      <w:marLeft w:val="0"/>
      <w:marRight w:val="0"/>
      <w:marTop w:val="0"/>
      <w:marBottom w:val="0"/>
      <w:divBdr>
        <w:top w:val="none" w:sz="0" w:space="0" w:color="auto"/>
        <w:left w:val="none" w:sz="0" w:space="0" w:color="auto"/>
        <w:bottom w:val="none" w:sz="0" w:space="0" w:color="auto"/>
        <w:right w:val="none" w:sz="0" w:space="0" w:color="auto"/>
      </w:divBdr>
    </w:div>
    <w:div w:id="20320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13769-73D3-4788-8B11-B133875E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9076</Words>
  <Characters>51738</Characters>
  <Application>Microsoft Office Word</Application>
  <DocSecurity>0</DocSecurity>
  <Lines>431</Lines>
  <Paragraphs>121</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Chapter 60 : Special Rules on Women</vt:lpstr>
      <vt:lpstr>Chapter 60 : Special Rules on Women</vt:lpstr>
      <vt:lpstr>Chapter 60 : Special Rules on Women</vt:lpstr>
    </vt:vector>
  </TitlesOfParts>
  <Company>unige</Company>
  <LinksUpToDate>false</LinksUpToDate>
  <CharactersWithSpaces>60693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60 : Special Rules on Women</dc:title>
  <dc:creator>JIHLS</dc:creator>
  <cp:lastModifiedBy>Noelle Quenivet</cp:lastModifiedBy>
  <cp:revision>3</cp:revision>
  <cp:lastPrinted>2014-07-01T14:02:00Z</cp:lastPrinted>
  <dcterms:created xsi:type="dcterms:W3CDTF">2015-05-08T13:37:00Z</dcterms:created>
  <dcterms:modified xsi:type="dcterms:W3CDTF">2015-05-08T13:38:00Z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1183209320</vt:i4>
  </property>
  <property fmtid="{D5CDD505-2E9C-101B-9397-08002B2CF9AE}" pid="3" name="_NewReviewCycle">
    <vt:lpwstr/>
  </property>
  <property fmtid="{D5CDD505-2E9C-101B-9397-08002B2CF9AE}" pid="4" name="_EmailSubject">
    <vt:lpwstr>Urgent message re Commentary on Geneva Conventions</vt:lpwstr>
  </property>
  <property fmtid="{D5CDD505-2E9C-101B-9397-08002B2CF9AE}" pid="5" name="_AuthorEmail">
    <vt:lpwstr>merel.alstein@oup.com</vt:lpwstr>
  </property>
  <property fmtid="{D5CDD505-2E9C-101B-9397-08002B2CF9AE}" pid="6" name="_AuthorEmailDisplayName">
    <vt:lpwstr>ALSTEIN, Merel</vt:lpwstr>
  </property>
  <property fmtid="{D5CDD505-2E9C-101B-9397-08002B2CF9AE}" pid="7" name="_ReviewingToolsShownOnce">
    <vt:lpwstr/>
  </property>
</Properties>
</file>