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13DCCE" w14:textId="036F2847" w:rsidR="00450596" w:rsidRPr="00E47820" w:rsidRDefault="00450596" w:rsidP="00450596">
      <w:pPr>
        <w:pStyle w:val="Title"/>
        <w:rPr>
          <w:rFonts w:ascii="Arial" w:hAnsi="Arial" w:cs="Arial"/>
          <w:b/>
          <w:sz w:val="24"/>
          <w:szCs w:val="48"/>
        </w:rPr>
      </w:pPr>
      <w:r w:rsidRPr="00E47820">
        <w:rPr>
          <w:rFonts w:ascii="Arial" w:hAnsi="Arial" w:cs="Arial"/>
          <w:b/>
          <w:sz w:val="24"/>
          <w:szCs w:val="48"/>
        </w:rPr>
        <w:t xml:space="preserve">Validating clinical practice guidelines for the management of </w:t>
      </w:r>
      <w:r w:rsidR="0015333E" w:rsidRPr="00E47820">
        <w:rPr>
          <w:rFonts w:ascii="Arial" w:hAnsi="Arial" w:cs="Arial"/>
          <w:b/>
          <w:sz w:val="24"/>
          <w:szCs w:val="48"/>
        </w:rPr>
        <w:t>febrile infants</w:t>
      </w:r>
      <w:r w:rsidRPr="00E47820">
        <w:rPr>
          <w:rFonts w:ascii="Arial" w:hAnsi="Arial" w:cs="Arial"/>
          <w:b/>
          <w:sz w:val="24"/>
          <w:szCs w:val="48"/>
        </w:rPr>
        <w:t xml:space="preserve"> </w:t>
      </w:r>
      <w:r w:rsidR="00F54EF6">
        <w:rPr>
          <w:rFonts w:ascii="Arial" w:hAnsi="Arial" w:cs="Arial"/>
          <w:b/>
          <w:sz w:val="24"/>
          <w:szCs w:val="48"/>
        </w:rPr>
        <w:t xml:space="preserve">presenting to the Emergency Department (ED) </w:t>
      </w:r>
      <w:r w:rsidRPr="00E47820">
        <w:rPr>
          <w:rFonts w:ascii="Arial" w:hAnsi="Arial" w:cs="Arial"/>
          <w:b/>
          <w:sz w:val="24"/>
          <w:szCs w:val="48"/>
        </w:rPr>
        <w:t>in the United Kingdom</w:t>
      </w:r>
      <w:r w:rsidR="0015333E" w:rsidRPr="00E47820">
        <w:rPr>
          <w:rFonts w:ascii="Arial" w:hAnsi="Arial" w:cs="Arial"/>
          <w:b/>
          <w:sz w:val="24"/>
          <w:szCs w:val="48"/>
        </w:rPr>
        <w:t xml:space="preserve"> and Ireland</w:t>
      </w:r>
      <w:r w:rsidRPr="00E47820">
        <w:rPr>
          <w:rFonts w:ascii="Arial" w:hAnsi="Arial" w:cs="Arial"/>
          <w:b/>
          <w:sz w:val="24"/>
          <w:szCs w:val="48"/>
        </w:rPr>
        <w:t xml:space="preserve">. </w:t>
      </w:r>
    </w:p>
    <w:p w14:paraId="420A8581" w14:textId="77777777" w:rsidR="00450596" w:rsidRPr="00E47820" w:rsidRDefault="00450596" w:rsidP="00450596">
      <w:pPr>
        <w:rPr>
          <w:rFonts w:ascii="Arial" w:hAnsi="Arial" w:cs="Arial"/>
        </w:rPr>
      </w:pPr>
    </w:p>
    <w:p w14:paraId="28B08852" w14:textId="77777777" w:rsidR="00450596" w:rsidRPr="00E47820" w:rsidRDefault="00450596" w:rsidP="00450596">
      <w:pPr>
        <w:rPr>
          <w:rFonts w:ascii="Arial" w:hAnsi="Arial" w:cs="Arial"/>
          <w:sz w:val="20"/>
          <w:szCs w:val="20"/>
        </w:rPr>
      </w:pPr>
      <w:r w:rsidRPr="00E47820">
        <w:rPr>
          <w:rFonts w:ascii="Arial" w:hAnsi="Arial" w:cs="Arial"/>
          <w:sz w:val="20"/>
          <w:szCs w:val="20"/>
        </w:rPr>
        <w:t>Author list &amp; institutions</w:t>
      </w:r>
    </w:p>
    <w:p w14:paraId="176A7F31" w14:textId="77777777" w:rsidR="00450596" w:rsidRPr="00E47820" w:rsidRDefault="00450596" w:rsidP="00450596">
      <w:pPr>
        <w:rPr>
          <w:rFonts w:ascii="Arial" w:hAnsi="Arial" w:cs="Arial"/>
        </w:rPr>
      </w:pPr>
    </w:p>
    <w:p w14:paraId="6B9E46A0" w14:textId="0288275C" w:rsidR="00450596" w:rsidRPr="00E47820" w:rsidRDefault="00450596" w:rsidP="00450596">
      <w:pPr>
        <w:pStyle w:val="ListParagraph"/>
        <w:numPr>
          <w:ilvl w:val="0"/>
          <w:numId w:val="27"/>
        </w:numPr>
        <w:rPr>
          <w:rFonts w:ascii="Arial" w:hAnsi="Arial" w:cs="Arial"/>
          <w:sz w:val="20"/>
          <w:szCs w:val="20"/>
        </w:rPr>
      </w:pPr>
      <w:r w:rsidRPr="00E47820">
        <w:rPr>
          <w:rFonts w:ascii="Arial" w:hAnsi="Arial" w:cs="Arial"/>
          <w:sz w:val="20"/>
          <w:szCs w:val="20"/>
        </w:rPr>
        <w:t>Thomas Waterfield</w:t>
      </w:r>
      <w:r w:rsidR="0015333E" w:rsidRPr="00E47820">
        <w:rPr>
          <w:rFonts w:ascii="Arial" w:hAnsi="Arial" w:cs="Arial"/>
          <w:sz w:val="20"/>
          <w:szCs w:val="20"/>
        </w:rPr>
        <w:t xml:space="preserve"> </w:t>
      </w:r>
    </w:p>
    <w:p w14:paraId="068EBC2A" w14:textId="2EED2B8E" w:rsidR="00450596" w:rsidRPr="00E47820" w:rsidRDefault="00450596" w:rsidP="00450596">
      <w:pPr>
        <w:pStyle w:val="ListParagraph"/>
        <w:numPr>
          <w:ilvl w:val="1"/>
          <w:numId w:val="27"/>
        </w:numPr>
        <w:rPr>
          <w:rFonts w:ascii="Arial" w:hAnsi="Arial" w:cs="Arial"/>
          <w:sz w:val="20"/>
          <w:szCs w:val="20"/>
        </w:rPr>
      </w:pPr>
      <w:r w:rsidRPr="00E47820">
        <w:rPr>
          <w:rFonts w:ascii="Arial" w:hAnsi="Arial" w:cs="Arial"/>
          <w:sz w:val="20"/>
          <w:szCs w:val="20"/>
        </w:rPr>
        <w:t>Centre for Experimental Medicine, Wellcome Wolfson Institute of Experimental Medicine, Queen’s University Belfast, Belfast, UK</w:t>
      </w:r>
    </w:p>
    <w:p w14:paraId="75513DF2" w14:textId="02D3F29C" w:rsidR="0015333E" w:rsidRPr="00E47820" w:rsidRDefault="0015333E" w:rsidP="0015333E">
      <w:pPr>
        <w:pStyle w:val="ListParagraph"/>
        <w:numPr>
          <w:ilvl w:val="0"/>
          <w:numId w:val="27"/>
        </w:numPr>
        <w:rPr>
          <w:rFonts w:ascii="Arial" w:hAnsi="Arial" w:cs="Arial"/>
          <w:sz w:val="20"/>
          <w:szCs w:val="20"/>
        </w:rPr>
      </w:pPr>
      <w:r w:rsidRPr="00E47820">
        <w:rPr>
          <w:rFonts w:ascii="Arial" w:hAnsi="Arial" w:cs="Arial"/>
          <w:sz w:val="20"/>
          <w:szCs w:val="20"/>
        </w:rPr>
        <w:t xml:space="preserve">Mark D Lyttle </w:t>
      </w:r>
    </w:p>
    <w:p w14:paraId="48C25C68" w14:textId="77777777" w:rsidR="0015333E" w:rsidRPr="00E47820" w:rsidRDefault="0015333E" w:rsidP="0015333E">
      <w:pPr>
        <w:pStyle w:val="ListParagraph"/>
        <w:numPr>
          <w:ilvl w:val="1"/>
          <w:numId w:val="27"/>
        </w:numPr>
        <w:rPr>
          <w:rFonts w:ascii="Arial" w:hAnsi="Arial" w:cs="Arial"/>
          <w:sz w:val="20"/>
          <w:szCs w:val="20"/>
        </w:rPr>
      </w:pPr>
      <w:r w:rsidRPr="00E47820">
        <w:rPr>
          <w:rFonts w:ascii="Arial" w:hAnsi="Arial" w:cs="Arial"/>
          <w:sz w:val="20"/>
          <w:szCs w:val="20"/>
        </w:rPr>
        <w:t>Emergency Department, Bristol Royal Hospital for Children, Bristol, UK</w:t>
      </w:r>
    </w:p>
    <w:p w14:paraId="51121C93" w14:textId="424C6768" w:rsidR="0012386F" w:rsidRPr="0012386F" w:rsidRDefault="0015333E" w:rsidP="0012386F">
      <w:pPr>
        <w:pStyle w:val="ListParagraph"/>
        <w:numPr>
          <w:ilvl w:val="1"/>
          <w:numId w:val="27"/>
        </w:numPr>
        <w:rPr>
          <w:rFonts w:ascii="Arial" w:hAnsi="Arial" w:cs="Arial"/>
          <w:sz w:val="20"/>
          <w:szCs w:val="20"/>
        </w:rPr>
      </w:pPr>
      <w:r w:rsidRPr="00E47820">
        <w:rPr>
          <w:rFonts w:ascii="Arial" w:hAnsi="Arial" w:cs="Arial"/>
          <w:sz w:val="20"/>
          <w:szCs w:val="20"/>
        </w:rPr>
        <w:t>Faculty of Health and Applied Sciences, University of the West of England, Bristol, UK</w:t>
      </w:r>
    </w:p>
    <w:p w14:paraId="7E4DDCA9" w14:textId="155FB197" w:rsidR="0012386F" w:rsidRDefault="0012386F" w:rsidP="0015333E">
      <w:pPr>
        <w:pStyle w:val="ListParagraph"/>
        <w:numPr>
          <w:ilvl w:val="0"/>
          <w:numId w:val="27"/>
        </w:numPr>
        <w:rPr>
          <w:rFonts w:ascii="Arial" w:hAnsi="Arial" w:cs="Arial"/>
          <w:sz w:val="20"/>
          <w:szCs w:val="20"/>
        </w:rPr>
      </w:pPr>
      <w:r>
        <w:rPr>
          <w:rFonts w:ascii="Arial" w:hAnsi="Arial" w:cs="Arial"/>
          <w:sz w:val="20"/>
          <w:szCs w:val="20"/>
        </w:rPr>
        <w:t>Charlotte Munday</w:t>
      </w:r>
    </w:p>
    <w:p w14:paraId="132CBD35" w14:textId="4F7101DF" w:rsidR="0012386F" w:rsidRPr="0012386F" w:rsidRDefault="0012386F" w:rsidP="0012386F">
      <w:pPr>
        <w:pStyle w:val="ListParagraph"/>
        <w:numPr>
          <w:ilvl w:val="1"/>
          <w:numId w:val="27"/>
        </w:numPr>
        <w:rPr>
          <w:rFonts w:ascii="Arial" w:hAnsi="Arial" w:cs="Arial"/>
          <w:sz w:val="20"/>
          <w:szCs w:val="20"/>
        </w:rPr>
      </w:pPr>
      <w:r w:rsidRPr="00E47820">
        <w:rPr>
          <w:rFonts w:ascii="Arial" w:hAnsi="Arial" w:cs="Arial"/>
          <w:sz w:val="20"/>
          <w:szCs w:val="20"/>
        </w:rPr>
        <w:t>Emergency Department, Bristol Royal Hospital for Children, Bristol, UK</w:t>
      </w:r>
    </w:p>
    <w:p w14:paraId="79B882E6" w14:textId="0827EA22" w:rsidR="0015333E" w:rsidRPr="00E47820" w:rsidRDefault="0015333E" w:rsidP="0015333E">
      <w:pPr>
        <w:pStyle w:val="ListParagraph"/>
        <w:numPr>
          <w:ilvl w:val="0"/>
          <w:numId w:val="27"/>
        </w:numPr>
        <w:rPr>
          <w:rFonts w:ascii="Arial" w:hAnsi="Arial" w:cs="Arial"/>
          <w:sz w:val="20"/>
          <w:szCs w:val="20"/>
        </w:rPr>
      </w:pPr>
      <w:r w:rsidRPr="00E47820">
        <w:rPr>
          <w:rFonts w:ascii="Arial" w:hAnsi="Arial" w:cs="Arial"/>
          <w:sz w:val="20"/>
          <w:szCs w:val="20"/>
        </w:rPr>
        <w:t>Steven Foster</w:t>
      </w:r>
    </w:p>
    <w:p w14:paraId="3682A013" w14:textId="3A25AF09" w:rsidR="0015333E" w:rsidRPr="00E47820" w:rsidRDefault="0015333E" w:rsidP="0015333E">
      <w:pPr>
        <w:pStyle w:val="ListParagraph"/>
        <w:numPr>
          <w:ilvl w:val="1"/>
          <w:numId w:val="27"/>
        </w:numPr>
        <w:rPr>
          <w:rFonts w:ascii="Arial" w:hAnsi="Arial" w:cs="Arial"/>
          <w:sz w:val="20"/>
          <w:szCs w:val="20"/>
        </w:rPr>
      </w:pPr>
      <w:r w:rsidRPr="00E47820">
        <w:rPr>
          <w:rFonts w:ascii="Arial" w:hAnsi="Arial" w:cs="Arial"/>
          <w:sz w:val="20"/>
          <w:szCs w:val="20"/>
        </w:rPr>
        <w:t>Emergency Department, Royal Hospital for Children, Glasgow, UK</w:t>
      </w:r>
    </w:p>
    <w:p w14:paraId="65379D9E" w14:textId="42392115" w:rsidR="0012386F" w:rsidRDefault="0012386F" w:rsidP="00450596">
      <w:pPr>
        <w:pStyle w:val="ListParagraph"/>
        <w:numPr>
          <w:ilvl w:val="0"/>
          <w:numId w:val="27"/>
        </w:numPr>
        <w:rPr>
          <w:rFonts w:ascii="Arial" w:hAnsi="Arial" w:cs="Arial"/>
          <w:sz w:val="20"/>
          <w:szCs w:val="20"/>
        </w:rPr>
      </w:pPr>
      <w:r>
        <w:rPr>
          <w:rFonts w:ascii="Arial" w:hAnsi="Arial" w:cs="Arial"/>
          <w:sz w:val="20"/>
          <w:szCs w:val="20"/>
        </w:rPr>
        <w:t>Marc McNulty</w:t>
      </w:r>
    </w:p>
    <w:p w14:paraId="24B6EBB0" w14:textId="6C27C785" w:rsidR="0012386F" w:rsidRPr="0012386F" w:rsidRDefault="0012386F" w:rsidP="0012386F">
      <w:pPr>
        <w:pStyle w:val="ListParagraph"/>
        <w:numPr>
          <w:ilvl w:val="1"/>
          <w:numId w:val="27"/>
        </w:numPr>
        <w:rPr>
          <w:rFonts w:ascii="Arial" w:hAnsi="Arial" w:cs="Arial"/>
          <w:sz w:val="20"/>
          <w:szCs w:val="20"/>
        </w:rPr>
      </w:pPr>
      <w:r w:rsidRPr="00E47820">
        <w:rPr>
          <w:rFonts w:ascii="Arial" w:hAnsi="Arial" w:cs="Arial"/>
          <w:sz w:val="20"/>
          <w:szCs w:val="20"/>
        </w:rPr>
        <w:t>Emergency Department, Royal Hospital for Children, Glasgow, UK</w:t>
      </w:r>
    </w:p>
    <w:p w14:paraId="0AB35951" w14:textId="3D619FAE" w:rsidR="0015333E" w:rsidRPr="00E47820" w:rsidRDefault="0015333E" w:rsidP="00450596">
      <w:pPr>
        <w:pStyle w:val="ListParagraph"/>
        <w:numPr>
          <w:ilvl w:val="0"/>
          <w:numId w:val="27"/>
        </w:numPr>
        <w:rPr>
          <w:rFonts w:ascii="Arial" w:hAnsi="Arial" w:cs="Arial"/>
          <w:sz w:val="20"/>
          <w:szCs w:val="20"/>
        </w:rPr>
      </w:pPr>
      <w:r w:rsidRPr="00E47820">
        <w:rPr>
          <w:rFonts w:ascii="Arial" w:hAnsi="Arial" w:cs="Arial"/>
          <w:sz w:val="20"/>
          <w:szCs w:val="20"/>
        </w:rPr>
        <w:t>Rebecca Platt</w:t>
      </w:r>
    </w:p>
    <w:p w14:paraId="16EB7C86" w14:textId="3B58B76A" w:rsidR="0015333E" w:rsidRPr="00E47820" w:rsidRDefault="0015333E" w:rsidP="0015333E">
      <w:pPr>
        <w:pStyle w:val="ListParagraph"/>
        <w:numPr>
          <w:ilvl w:val="1"/>
          <w:numId w:val="27"/>
        </w:numPr>
        <w:rPr>
          <w:rFonts w:ascii="Arial" w:hAnsi="Arial" w:cs="Arial"/>
          <w:sz w:val="20"/>
          <w:szCs w:val="20"/>
        </w:rPr>
      </w:pPr>
      <w:r w:rsidRPr="00E47820">
        <w:rPr>
          <w:rFonts w:ascii="Arial" w:hAnsi="Arial" w:cs="Arial"/>
          <w:sz w:val="20"/>
          <w:szCs w:val="20"/>
        </w:rPr>
        <w:t>Emergency Department, The Royal London Hospital - Barts Health NHS Trust, London, UK</w:t>
      </w:r>
    </w:p>
    <w:p w14:paraId="0E93CA86" w14:textId="76B16C62" w:rsidR="0015333E" w:rsidRPr="00E47820" w:rsidRDefault="0015333E" w:rsidP="00450596">
      <w:pPr>
        <w:pStyle w:val="ListParagraph"/>
        <w:numPr>
          <w:ilvl w:val="0"/>
          <w:numId w:val="27"/>
        </w:numPr>
        <w:rPr>
          <w:rFonts w:ascii="Arial" w:hAnsi="Arial" w:cs="Arial"/>
          <w:sz w:val="20"/>
          <w:szCs w:val="20"/>
        </w:rPr>
      </w:pPr>
      <w:r w:rsidRPr="00E47820">
        <w:rPr>
          <w:rFonts w:ascii="Arial" w:hAnsi="Arial" w:cs="Arial"/>
          <w:sz w:val="20"/>
          <w:szCs w:val="20"/>
        </w:rPr>
        <w:t>Michael Barrett</w:t>
      </w:r>
    </w:p>
    <w:p w14:paraId="16DA2B62" w14:textId="7E50432F" w:rsidR="0012386F" w:rsidRDefault="0015333E" w:rsidP="0012386F">
      <w:pPr>
        <w:pStyle w:val="ListParagraph"/>
        <w:numPr>
          <w:ilvl w:val="1"/>
          <w:numId w:val="27"/>
        </w:numPr>
        <w:rPr>
          <w:rFonts w:ascii="Arial" w:hAnsi="Arial" w:cs="Arial"/>
          <w:sz w:val="20"/>
          <w:szCs w:val="20"/>
        </w:rPr>
      </w:pPr>
      <w:r w:rsidRPr="00E47820">
        <w:rPr>
          <w:rFonts w:ascii="Arial" w:hAnsi="Arial" w:cs="Arial"/>
          <w:sz w:val="20"/>
          <w:szCs w:val="20"/>
        </w:rPr>
        <w:t>Emergency Department, Children’s Health Ireland at Crumlin, Dublin, Ireland</w:t>
      </w:r>
    </w:p>
    <w:p w14:paraId="551A21C7" w14:textId="1AF063D4" w:rsidR="00D9029E" w:rsidRDefault="00D9029E" w:rsidP="0012386F">
      <w:pPr>
        <w:pStyle w:val="ListParagraph"/>
        <w:numPr>
          <w:ilvl w:val="1"/>
          <w:numId w:val="27"/>
        </w:numPr>
        <w:rPr>
          <w:rFonts w:ascii="Arial" w:hAnsi="Arial" w:cs="Arial"/>
          <w:sz w:val="20"/>
          <w:szCs w:val="20"/>
        </w:rPr>
      </w:pPr>
      <w:r>
        <w:rPr>
          <w:rFonts w:ascii="Arial" w:hAnsi="Arial" w:cs="Arial"/>
          <w:sz w:val="20"/>
          <w:szCs w:val="20"/>
        </w:rPr>
        <w:t xml:space="preserve">Women’s and Children’s Health, School of Medicine, University College Dublin, Ireland </w:t>
      </w:r>
    </w:p>
    <w:p w14:paraId="7AAD7BD5" w14:textId="15C0832B" w:rsidR="00C134FF" w:rsidRPr="0012386F" w:rsidRDefault="00C134FF" w:rsidP="0012386F">
      <w:pPr>
        <w:pStyle w:val="ListParagraph"/>
        <w:numPr>
          <w:ilvl w:val="1"/>
          <w:numId w:val="27"/>
        </w:numPr>
        <w:rPr>
          <w:rFonts w:ascii="Arial" w:hAnsi="Arial" w:cs="Arial"/>
          <w:sz w:val="20"/>
          <w:szCs w:val="20"/>
        </w:rPr>
      </w:pPr>
      <w:r>
        <w:rPr>
          <w:rFonts w:ascii="Arial" w:hAnsi="Arial" w:cs="Arial"/>
          <w:sz w:val="20"/>
          <w:szCs w:val="20"/>
        </w:rPr>
        <w:t xml:space="preserve">National Children’s Research Centre, Crumlin, Dublin, Ireland </w:t>
      </w:r>
    </w:p>
    <w:p w14:paraId="718A6001" w14:textId="269CB30C" w:rsidR="0012386F" w:rsidRDefault="0012386F" w:rsidP="00450596">
      <w:pPr>
        <w:pStyle w:val="ListParagraph"/>
        <w:numPr>
          <w:ilvl w:val="0"/>
          <w:numId w:val="27"/>
        </w:numPr>
        <w:rPr>
          <w:rFonts w:ascii="Arial" w:hAnsi="Arial" w:cs="Arial"/>
          <w:sz w:val="20"/>
          <w:szCs w:val="20"/>
        </w:rPr>
      </w:pPr>
      <w:r>
        <w:rPr>
          <w:rFonts w:ascii="Arial" w:hAnsi="Arial" w:cs="Arial"/>
          <w:sz w:val="20"/>
          <w:szCs w:val="20"/>
        </w:rPr>
        <w:t>Emma Rogers</w:t>
      </w:r>
    </w:p>
    <w:p w14:paraId="648D8B07" w14:textId="0C61139D" w:rsidR="0012386F" w:rsidRPr="0012386F" w:rsidRDefault="0012386F" w:rsidP="0012386F">
      <w:pPr>
        <w:pStyle w:val="ListParagraph"/>
        <w:numPr>
          <w:ilvl w:val="1"/>
          <w:numId w:val="27"/>
        </w:numPr>
        <w:rPr>
          <w:rFonts w:ascii="Arial" w:hAnsi="Arial" w:cs="Arial"/>
          <w:sz w:val="20"/>
          <w:szCs w:val="20"/>
        </w:rPr>
      </w:pPr>
      <w:r w:rsidRPr="00E47820">
        <w:rPr>
          <w:rFonts w:ascii="Arial" w:hAnsi="Arial" w:cs="Arial"/>
          <w:sz w:val="20"/>
          <w:szCs w:val="20"/>
        </w:rPr>
        <w:t>Emergency Department, Children’s Health Ireland at Crumlin, Dublin, Ireland</w:t>
      </w:r>
    </w:p>
    <w:p w14:paraId="76244BB1" w14:textId="4A81D30C" w:rsidR="0015333E" w:rsidRPr="00E47820" w:rsidRDefault="0015333E" w:rsidP="00450596">
      <w:pPr>
        <w:pStyle w:val="ListParagraph"/>
        <w:numPr>
          <w:ilvl w:val="0"/>
          <w:numId w:val="27"/>
        </w:numPr>
        <w:rPr>
          <w:rFonts w:ascii="Arial" w:hAnsi="Arial" w:cs="Arial"/>
          <w:sz w:val="20"/>
          <w:szCs w:val="20"/>
        </w:rPr>
      </w:pPr>
      <w:r w:rsidRPr="00E47820">
        <w:rPr>
          <w:rFonts w:ascii="Arial" w:hAnsi="Arial" w:cs="Arial"/>
          <w:sz w:val="20"/>
          <w:szCs w:val="20"/>
        </w:rPr>
        <w:t>Sheena Durnin</w:t>
      </w:r>
    </w:p>
    <w:p w14:paraId="11551CCE" w14:textId="740BC468" w:rsidR="0015333E" w:rsidRDefault="0015333E" w:rsidP="0015333E">
      <w:pPr>
        <w:pStyle w:val="ListParagraph"/>
        <w:numPr>
          <w:ilvl w:val="1"/>
          <w:numId w:val="27"/>
        </w:numPr>
        <w:rPr>
          <w:rFonts w:ascii="Arial" w:hAnsi="Arial" w:cs="Arial"/>
          <w:sz w:val="20"/>
          <w:szCs w:val="20"/>
        </w:rPr>
      </w:pPr>
      <w:r w:rsidRPr="00E47820">
        <w:rPr>
          <w:rFonts w:ascii="Arial" w:hAnsi="Arial" w:cs="Arial"/>
          <w:sz w:val="20"/>
          <w:szCs w:val="20"/>
        </w:rPr>
        <w:t>Emergency Department, Children’s Health Ireland at Tallaght, Dublin, Ireland</w:t>
      </w:r>
    </w:p>
    <w:p w14:paraId="21EAFAF1" w14:textId="17EA4C2B" w:rsidR="00C03A23" w:rsidRPr="00654C02" w:rsidRDefault="00C03A23" w:rsidP="00C03A23">
      <w:pPr>
        <w:pStyle w:val="ListParagraph"/>
        <w:numPr>
          <w:ilvl w:val="1"/>
          <w:numId w:val="27"/>
        </w:numPr>
        <w:rPr>
          <w:rFonts w:ascii="Arial" w:hAnsi="Arial" w:cs="Arial"/>
          <w:sz w:val="20"/>
          <w:szCs w:val="20"/>
        </w:rPr>
      </w:pPr>
      <w:r w:rsidRPr="00C03A23">
        <w:rPr>
          <w:rFonts w:ascii="Arial" w:hAnsi="Arial" w:cs="Arial"/>
          <w:sz w:val="20"/>
          <w:szCs w:val="20"/>
        </w:rPr>
        <w:t>Discipline of Paediatrics, Trinity College, University of Dublin, Dublin, Ireland</w:t>
      </w:r>
    </w:p>
    <w:p w14:paraId="7E3DA208" w14:textId="6AB73F7E" w:rsidR="0012386F" w:rsidRDefault="0012386F" w:rsidP="00450596">
      <w:pPr>
        <w:pStyle w:val="ListParagraph"/>
        <w:numPr>
          <w:ilvl w:val="0"/>
          <w:numId w:val="27"/>
        </w:numPr>
        <w:rPr>
          <w:rFonts w:ascii="Arial" w:hAnsi="Arial" w:cs="Arial"/>
          <w:sz w:val="20"/>
          <w:szCs w:val="20"/>
        </w:rPr>
      </w:pPr>
      <w:r>
        <w:rPr>
          <w:rFonts w:ascii="Arial" w:hAnsi="Arial" w:cs="Arial"/>
          <w:sz w:val="20"/>
          <w:szCs w:val="20"/>
        </w:rPr>
        <w:t>Nida Jameel</w:t>
      </w:r>
    </w:p>
    <w:p w14:paraId="130BAEF3" w14:textId="0D82D1B9" w:rsidR="0012386F" w:rsidRPr="0012386F" w:rsidRDefault="0012386F" w:rsidP="0012386F">
      <w:pPr>
        <w:pStyle w:val="ListParagraph"/>
        <w:numPr>
          <w:ilvl w:val="1"/>
          <w:numId w:val="27"/>
        </w:numPr>
        <w:rPr>
          <w:rFonts w:ascii="Arial" w:hAnsi="Arial" w:cs="Arial"/>
          <w:sz w:val="20"/>
          <w:szCs w:val="20"/>
        </w:rPr>
      </w:pPr>
      <w:r w:rsidRPr="00E47820">
        <w:rPr>
          <w:rFonts w:ascii="Arial" w:hAnsi="Arial" w:cs="Arial"/>
          <w:sz w:val="20"/>
          <w:szCs w:val="20"/>
        </w:rPr>
        <w:t>Emergency Department, Children’s Health Ireland at Tallaght, Dublin, Ireland</w:t>
      </w:r>
    </w:p>
    <w:p w14:paraId="2CD54CC2" w14:textId="752DEF2E" w:rsidR="00450596" w:rsidRPr="00E47820" w:rsidRDefault="00450596" w:rsidP="00450596">
      <w:pPr>
        <w:pStyle w:val="ListParagraph"/>
        <w:numPr>
          <w:ilvl w:val="0"/>
          <w:numId w:val="27"/>
        </w:numPr>
        <w:rPr>
          <w:rFonts w:ascii="Arial" w:hAnsi="Arial" w:cs="Arial"/>
          <w:sz w:val="20"/>
          <w:szCs w:val="20"/>
        </w:rPr>
      </w:pPr>
      <w:r w:rsidRPr="00E47820">
        <w:rPr>
          <w:rFonts w:ascii="Arial" w:hAnsi="Arial" w:cs="Arial"/>
          <w:sz w:val="20"/>
          <w:szCs w:val="20"/>
        </w:rPr>
        <w:t>Julie-Ann Maney</w:t>
      </w:r>
      <w:r w:rsidR="0015333E" w:rsidRPr="00E47820">
        <w:rPr>
          <w:rFonts w:ascii="Arial" w:hAnsi="Arial" w:cs="Arial"/>
          <w:sz w:val="20"/>
          <w:szCs w:val="20"/>
        </w:rPr>
        <w:t xml:space="preserve"> </w:t>
      </w:r>
    </w:p>
    <w:p w14:paraId="0DEE7C7B" w14:textId="77777777" w:rsidR="00450596" w:rsidRPr="00E47820" w:rsidRDefault="00450596" w:rsidP="00450596">
      <w:pPr>
        <w:pStyle w:val="ListParagraph"/>
        <w:numPr>
          <w:ilvl w:val="1"/>
          <w:numId w:val="27"/>
        </w:numPr>
        <w:rPr>
          <w:rFonts w:ascii="Arial" w:hAnsi="Arial" w:cs="Arial"/>
          <w:sz w:val="20"/>
          <w:szCs w:val="20"/>
        </w:rPr>
      </w:pPr>
      <w:r w:rsidRPr="00E47820">
        <w:rPr>
          <w:rFonts w:ascii="Arial" w:hAnsi="Arial" w:cs="Arial"/>
          <w:sz w:val="20"/>
          <w:szCs w:val="20"/>
        </w:rPr>
        <w:t>Emergency Department, Royal Belfast Hospital for Sick Children, Belfast, UK</w:t>
      </w:r>
    </w:p>
    <w:p w14:paraId="6DD20691" w14:textId="77777777" w:rsidR="0012386F" w:rsidRPr="00E47820" w:rsidRDefault="0012386F" w:rsidP="0012386F">
      <w:pPr>
        <w:pStyle w:val="ListParagraph"/>
        <w:numPr>
          <w:ilvl w:val="0"/>
          <w:numId w:val="27"/>
        </w:numPr>
        <w:rPr>
          <w:rFonts w:ascii="Arial" w:hAnsi="Arial" w:cs="Arial"/>
          <w:sz w:val="20"/>
          <w:szCs w:val="20"/>
        </w:rPr>
      </w:pPr>
      <w:r w:rsidRPr="00E47820">
        <w:rPr>
          <w:rFonts w:ascii="Arial" w:hAnsi="Arial" w:cs="Arial"/>
          <w:sz w:val="20"/>
          <w:szCs w:val="20"/>
        </w:rPr>
        <w:t>Claire McGinn</w:t>
      </w:r>
    </w:p>
    <w:p w14:paraId="70AB11AD" w14:textId="46F71C46" w:rsidR="0012386F" w:rsidRPr="0012386F" w:rsidRDefault="0012386F" w:rsidP="0012386F">
      <w:pPr>
        <w:pStyle w:val="ListParagraph"/>
        <w:numPr>
          <w:ilvl w:val="1"/>
          <w:numId w:val="27"/>
        </w:numPr>
        <w:rPr>
          <w:rFonts w:ascii="Arial" w:hAnsi="Arial" w:cs="Arial"/>
          <w:sz w:val="20"/>
          <w:szCs w:val="20"/>
        </w:rPr>
      </w:pPr>
      <w:r w:rsidRPr="00E47820">
        <w:rPr>
          <w:rFonts w:ascii="Arial" w:hAnsi="Arial" w:cs="Arial"/>
          <w:sz w:val="20"/>
          <w:szCs w:val="20"/>
        </w:rPr>
        <w:t>Emergency Department</w:t>
      </w:r>
      <w:r>
        <w:rPr>
          <w:rFonts w:ascii="Arial" w:hAnsi="Arial" w:cs="Arial"/>
          <w:sz w:val="20"/>
          <w:szCs w:val="20"/>
        </w:rPr>
        <w:t xml:space="preserve">, </w:t>
      </w:r>
      <w:r w:rsidRPr="00E47820">
        <w:rPr>
          <w:rFonts w:ascii="Arial" w:hAnsi="Arial" w:cs="Arial"/>
          <w:sz w:val="20"/>
          <w:szCs w:val="20"/>
        </w:rPr>
        <w:t xml:space="preserve">Royal Belfast Hospital for Sick Children, Belfast, UK </w:t>
      </w:r>
    </w:p>
    <w:p w14:paraId="350231B9" w14:textId="6EAFFDDE" w:rsidR="00450596" w:rsidRPr="00E47820" w:rsidRDefault="00450596" w:rsidP="00450596">
      <w:pPr>
        <w:pStyle w:val="ListParagraph"/>
        <w:numPr>
          <w:ilvl w:val="0"/>
          <w:numId w:val="27"/>
        </w:numPr>
        <w:rPr>
          <w:rFonts w:ascii="Arial" w:hAnsi="Arial" w:cs="Arial"/>
          <w:sz w:val="20"/>
          <w:szCs w:val="20"/>
        </w:rPr>
      </w:pPr>
      <w:r w:rsidRPr="00E47820">
        <w:rPr>
          <w:rFonts w:ascii="Arial" w:hAnsi="Arial" w:cs="Arial"/>
          <w:sz w:val="20"/>
          <w:szCs w:val="20"/>
        </w:rPr>
        <w:t>Lisa McFetridge</w:t>
      </w:r>
      <w:r w:rsidR="0015333E" w:rsidRPr="00E47820">
        <w:rPr>
          <w:rFonts w:ascii="Arial" w:hAnsi="Arial" w:cs="Arial"/>
          <w:sz w:val="20"/>
          <w:szCs w:val="20"/>
        </w:rPr>
        <w:t xml:space="preserve"> </w:t>
      </w:r>
    </w:p>
    <w:p w14:paraId="303A64C5" w14:textId="77777777" w:rsidR="00450596" w:rsidRPr="00E47820" w:rsidRDefault="00450596" w:rsidP="00450596">
      <w:pPr>
        <w:pStyle w:val="ListParagraph"/>
        <w:numPr>
          <w:ilvl w:val="1"/>
          <w:numId w:val="27"/>
        </w:numPr>
        <w:rPr>
          <w:rFonts w:ascii="Arial" w:hAnsi="Arial" w:cs="Arial"/>
          <w:sz w:val="20"/>
          <w:szCs w:val="20"/>
        </w:rPr>
      </w:pPr>
      <w:r w:rsidRPr="00E47820">
        <w:rPr>
          <w:rFonts w:ascii="Arial" w:hAnsi="Arial" w:cs="Arial"/>
          <w:sz w:val="20"/>
          <w:szCs w:val="20"/>
        </w:rPr>
        <w:t>Mathematical Sciences Research Centre, Queen’s University Belfast, Belfast, UK</w:t>
      </w:r>
    </w:p>
    <w:p w14:paraId="4B3895E2" w14:textId="5CC32D7D" w:rsidR="00450596" w:rsidRPr="00E47820" w:rsidRDefault="00450596" w:rsidP="00450596">
      <w:pPr>
        <w:pStyle w:val="ListParagraph"/>
        <w:numPr>
          <w:ilvl w:val="0"/>
          <w:numId w:val="27"/>
        </w:numPr>
        <w:rPr>
          <w:rFonts w:ascii="Arial" w:hAnsi="Arial" w:cs="Arial"/>
          <w:sz w:val="20"/>
          <w:szCs w:val="20"/>
        </w:rPr>
      </w:pPr>
      <w:r w:rsidRPr="00E47820">
        <w:rPr>
          <w:rFonts w:ascii="Arial" w:hAnsi="Arial" w:cs="Arial"/>
          <w:sz w:val="20"/>
          <w:szCs w:val="20"/>
        </w:rPr>
        <w:t>Hannah Mitchell</w:t>
      </w:r>
      <w:r w:rsidR="0015333E" w:rsidRPr="00E47820">
        <w:rPr>
          <w:rFonts w:ascii="Arial" w:hAnsi="Arial" w:cs="Arial"/>
          <w:sz w:val="20"/>
          <w:szCs w:val="20"/>
        </w:rPr>
        <w:t xml:space="preserve"> </w:t>
      </w:r>
    </w:p>
    <w:p w14:paraId="54DAE168" w14:textId="5E8984AB" w:rsidR="00450596" w:rsidRPr="00E47820" w:rsidRDefault="00450596" w:rsidP="00450596">
      <w:pPr>
        <w:pStyle w:val="ListParagraph"/>
        <w:numPr>
          <w:ilvl w:val="1"/>
          <w:numId w:val="27"/>
        </w:numPr>
        <w:rPr>
          <w:rFonts w:ascii="Arial" w:hAnsi="Arial" w:cs="Arial"/>
          <w:sz w:val="20"/>
          <w:szCs w:val="20"/>
        </w:rPr>
      </w:pPr>
      <w:r w:rsidRPr="00E47820">
        <w:rPr>
          <w:rFonts w:ascii="Arial" w:hAnsi="Arial" w:cs="Arial"/>
          <w:sz w:val="20"/>
          <w:szCs w:val="20"/>
        </w:rPr>
        <w:t>Mathematical Sciences Research Centre, Queen’s University Belfast, Belfast, UK</w:t>
      </w:r>
    </w:p>
    <w:p w14:paraId="2C72B12D" w14:textId="3FEDD472" w:rsidR="0012386F" w:rsidRDefault="0012386F" w:rsidP="0015333E">
      <w:pPr>
        <w:pStyle w:val="ListParagraph"/>
        <w:numPr>
          <w:ilvl w:val="0"/>
          <w:numId w:val="27"/>
        </w:numPr>
        <w:rPr>
          <w:rFonts w:ascii="Arial" w:hAnsi="Arial" w:cs="Arial"/>
          <w:sz w:val="20"/>
          <w:szCs w:val="20"/>
        </w:rPr>
      </w:pPr>
      <w:r>
        <w:rPr>
          <w:rFonts w:ascii="Arial" w:hAnsi="Arial" w:cs="Arial"/>
          <w:sz w:val="20"/>
          <w:szCs w:val="20"/>
        </w:rPr>
        <w:t>Deepika Puthucode</w:t>
      </w:r>
    </w:p>
    <w:p w14:paraId="21FBF9D9" w14:textId="7A924476" w:rsidR="0012386F" w:rsidRPr="0012386F" w:rsidRDefault="0012386F" w:rsidP="0012386F">
      <w:pPr>
        <w:pStyle w:val="ListParagraph"/>
        <w:numPr>
          <w:ilvl w:val="1"/>
          <w:numId w:val="27"/>
        </w:numPr>
        <w:rPr>
          <w:rFonts w:ascii="Arial" w:hAnsi="Arial" w:cs="Arial"/>
          <w:sz w:val="20"/>
          <w:szCs w:val="20"/>
        </w:rPr>
      </w:pPr>
      <w:r w:rsidRPr="00E47820">
        <w:rPr>
          <w:rFonts w:ascii="Arial" w:hAnsi="Arial" w:cs="Arial"/>
          <w:sz w:val="20"/>
          <w:szCs w:val="20"/>
        </w:rPr>
        <w:t>Children’s Emergency Department, Leicester Royal Infirmary, Leicester, UK</w:t>
      </w:r>
    </w:p>
    <w:p w14:paraId="254BE8E5" w14:textId="07C1AF67" w:rsidR="0015333E" w:rsidRPr="00E47820" w:rsidRDefault="0015333E" w:rsidP="0015333E">
      <w:pPr>
        <w:pStyle w:val="ListParagraph"/>
        <w:numPr>
          <w:ilvl w:val="0"/>
          <w:numId w:val="27"/>
        </w:numPr>
        <w:rPr>
          <w:rFonts w:ascii="Arial" w:hAnsi="Arial" w:cs="Arial"/>
          <w:sz w:val="20"/>
          <w:szCs w:val="20"/>
        </w:rPr>
      </w:pPr>
      <w:r w:rsidRPr="00E47820">
        <w:rPr>
          <w:rFonts w:ascii="Arial" w:hAnsi="Arial" w:cs="Arial"/>
          <w:sz w:val="20"/>
          <w:szCs w:val="20"/>
        </w:rPr>
        <w:t xml:space="preserve">Damian Roland </w:t>
      </w:r>
    </w:p>
    <w:p w14:paraId="6C32689D" w14:textId="77777777" w:rsidR="0015333E" w:rsidRPr="00E47820" w:rsidRDefault="0015333E" w:rsidP="0015333E">
      <w:pPr>
        <w:pStyle w:val="ListParagraph"/>
        <w:numPr>
          <w:ilvl w:val="1"/>
          <w:numId w:val="27"/>
        </w:numPr>
        <w:rPr>
          <w:rFonts w:ascii="Arial" w:hAnsi="Arial" w:cs="Arial"/>
          <w:sz w:val="20"/>
          <w:szCs w:val="20"/>
        </w:rPr>
      </w:pPr>
      <w:r w:rsidRPr="00E47820">
        <w:rPr>
          <w:rFonts w:ascii="Arial" w:hAnsi="Arial" w:cs="Arial"/>
          <w:sz w:val="20"/>
          <w:szCs w:val="20"/>
        </w:rPr>
        <w:t>SAPPHIRE Group, Health Sciences, Leicester University, Leicester, UK</w:t>
      </w:r>
    </w:p>
    <w:p w14:paraId="64E43D8D" w14:textId="77777777" w:rsidR="0015333E" w:rsidRPr="00E47820" w:rsidRDefault="0015333E" w:rsidP="0015333E">
      <w:pPr>
        <w:pStyle w:val="ListParagraph"/>
        <w:numPr>
          <w:ilvl w:val="1"/>
          <w:numId w:val="27"/>
        </w:numPr>
        <w:rPr>
          <w:rFonts w:ascii="Arial" w:hAnsi="Arial" w:cs="Arial"/>
          <w:sz w:val="20"/>
          <w:szCs w:val="20"/>
        </w:rPr>
      </w:pPr>
      <w:r w:rsidRPr="00E47820">
        <w:rPr>
          <w:rFonts w:ascii="Arial" w:hAnsi="Arial" w:cs="Arial"/>
          <w:sz w:val="20"/>
          <w:szCs w:val="20"/>
        </w:rPr>
        <w:t>Children’s Emergency Department, Leicester Royal Infirmary, Leicester, UK</w:t>
      </w:r>
    </w:p>
    <w:p w14:paraId="08131C63" w14:textId="63E618EB" w:rsidR="00450596" w:rsidRPr="00E47820" w:rsidRDefault="00450596" w:rsidP="0015333E">
      <w:pPr>
        <w:rPr>
          <w:rFonts w:ascii="Arial" w:hAnsi="Arial" w:cs="Arial"/>
        </w:rPr>
      </w:pPr>
    </w:p>
    <w:p w14:paraId="6034AC39" w14:textId="77777777" w:rsidR="00450596" w:rsidRPr="00E47820" w:rsidRDefault="00450596" w:rsidP="00450596">
      <w:pPr>
        <w:rPr>
          <w:rFonts w:ascii="Arial" w:hAnsi="Arial" w:cs="Arial"/>
          <w:sz w:val="20"/>
          <w:szCs w:val="20"/>
        </w:rPr>
      </w:pPr>
      <w:r w:rsidRPr="00E47820">
        <w:rPr>
          <w:rFonts w:ascii="Arial" w:hAnsi="Arial" w:cs="Arial"/>
          <w:sz w:val="20"/>
          <w:szCs w:val="20"/>
        </w:rPr>
        <w:t>On behalf of Paediatric Emergency Research in the UK and Ireland (PERUKI)</w:t>
      </w:r>
    </w:p>
    <w:p w14:paraId="5FBFF1A1" w14:textId="77777777" w:rsidR="00450596" w:rsidRPr="00E47820" w:rsidRDefault="00450596" w:rsidP="00450596">
      <w:pPr>
        <w:pStyle w:val="ListParagraph"/>
        <w:rPr>
          <w:rFonts w:ascii="Arial" w:hAnsi="Arial" w:cs="Arial"/>
          <w:highlight w:val="yellow"/>
        </w:rPr>
      </w:pPr>
    </w:p>
    <w:p w14:paraId="61A58F0B" w14:textId="5AB226D0" w:rsidR="00450596" w:rsidRPr="00E47820" w:rsidRDefault="00450596" w:rsidP="00450596">
      <w:pPr>
        <w:rPr>
          <w:rFonts w:ascii="Arial" w:hAnsi="Arial" w:cs="Arial"/>
          <w:sz w:val="20"/>
          <w:szCs w:val="20"/>
        </w:rPr>
      </w:pPr>
      <w:r w:rsidRPr="00E47820">
        <w:rPr>
          <w:rFonts w:ascii="Arial" w:hAnsi="Arial" w:cs="Arial"/>
          <w:sz w:val="20"/>
          <w:szCs w:val="20"/>
        </w:rPr>
        <w:t xml:space="preserve">Corresponding author – Thomas Waterfield, </w:t>
      </w:r>
      <w:r w:rsidR="00ED2BD1" w:rsidRPr="00E47820">
        <w:rPr>
          <w:rFonts w:ascii="Arial" w:hAnsi="Arial" w:cs="Arial"/>
          <w:sz w:val="20"/>
          <w:szCs w:val="20"/>
        </w:rPr>
        <w:t>Children’s Health Ireland at Temple St, Dublin, Ireland</w:t>
      </w:r>
    </w:p>
    <w:p w14:paraId="276D85DE" w14:textId="77777777" w:rsidR="00450596" w:rsidRPr="00E47820" w:rsidRDefault="00450596" w:rsidP="00450596">
      <w:pPr>
        <w:rPr>
          <w:rFonts w:ascii="Arial" w:hAnsi="Arial" w:cs="Arial"/>
          <w:sz w:val="20"/>
          <w:szCs w:val="20"/>
        </w:rPr>
      </w:pPr>
    </w:p>
    <w:p w14:paraId="2FB56C91" w14:textId="77777777" w:rsidR="00450596" w:rsidRPr="00E47820" w:rsidRDefault="00F54EF6" w:rsidP="00450596">
      <w:pPr>
        <w:rPr>
          <w:rFonts w:ascii="Arial" w:hAnsi="Arial" w:cs="Arial"/>
          <w:sz w:val="20"/>
          <w:szCs w:val="20"/>
        </w:rPr>
      </w:pPr>
      <w:hyperlink r:id="rId11" w:history="1">
        <w:r w:rsidR="00450596" w:rsidRPr="00E47820">
          <w:rPr>
            <w:rStyle w:val="Hyperlink"/>
            <w:rFonts w:ascii="Arial" w:hAnsi="Arial" w:cs="Arial"/>
            <w:sz w:val="20"/>
            <w:szCs w:val="20"/>
          </w:rPr>
          <w:t>t.waterfield@qub.ac.uk</w:t>
        </w:r>
      </w:hyperlink>
    </w:p>
    <w:p w14:paraId="5E12C520" w14:textId="4CD8DE49" w:rsidR="00450596" w:rsidRPr="00E47820" w:rsidRDefault="00ED2BD1" w:rsidP="00450596">
      <w:pPr>
        <w:rPr>
          <w:rFonts w:ascii="Arial" w:hAnsi="Arial" w:cs="Arial"/>
          <w:sz w:val="20"/>
          <w:szCs w:val="20"/>
        </w:rPr>
      </w:pPr>
      <w:r w:rsidRPr="00E47820">
        <w:rPr>
          <w:rFonts w:ascii="Arial" w:hAnsi="Arial" w:cs="Arial"/>
          <w:sz w:val="20"/>
          <w:szCs w:val="20"/>
        </w:rPr>
        <w:t>Phone: +44</w:t>
      </w:r>
      <w:r w:rsidR="00450596" w:rsidRPr="00E47820">
        <w:rPr>
          <w:rFonts w:ascii="Arial" w:hAnsi="Arial" w:cs="Arial"/>
          <w:sz w:val="20"/>
          <w:szCs w:val="20"/>
        </w:rPr>
        <w:t>7872990521</w:t>
      </w:r>
    </w:p>
    <w:p w14:paraId="1574BA4D" w14:textId="77777777" w:rsidR="00C134FF" w:rsidRDefault="00C134FF" w:rsidP="00ED2BD1">
      <w:pPr>
        <w:spacing w:line="480" w:lineRule="auto"/>
        <w:jc w:val="both"/>
        <w:rPr>
          <w:rFonts w:ascii="Arial" w:hAnsi="Arial" w:cs="Arial"/>
          <w:b/>
          <w:bCs/>
          <w:sz w:val="22"/>
          <w:szCs w:val="22"/>
        </w:rPr>
      </w:pPr>
    </w:p>
    <w:p w14:paraId="0C2ED897" w14:textId="0B69F546" w:rsidR="00ED2BD1" w:rsidRPr="00E47820" w:rsidRDefault="00ED2BD1" w:rsidP="00ED2BD1">
      <w:pPr>
        <w:spacing w:line="480" w:lineRule="auto"/>
        <w:jc w:val="both"/>
        <w:rPr>
          <w:rFonts w:ascii="Arial" w:hAnsi="Arial" w:cs="Arial"/>
          <w:b/>
          <w:bCs/>
          <w:sz w:val="22"/>
          <w:szCs w:val="22"/>
        </w:rPr>
      </w:pPr>
      <w:r w:rsidRPr="00E47820">
        <w:rPr>
          <w:rFonts w:ascii="Arial" w:hAnsi="Arial" w:cs="Arial"/>
          <w:b/>
          <w:bCs/>
          <w:sz w:val="22"/>
          <w:szCs w:val="22"/>
        </w:rPr>
        <w:lastRenderedPageBreak/>
        <w:t>Abstract</w:t>
      </w:r>
    </w:p>
    <w:p w14:paraId="638EEF10" w14:textId="77777777" w:rsidR="00F74489" w:rsidRDefault="00F74489" w:rsidP="002A1B47">
      <w:pPr>
        <w:spacing w:line="360" w:lineRule="auto"/>
        <w:jc w:val="both"/>
        <w:rPr>
          <w:rFonts w:ascii="Arial" w:hAnsi="Arial" w:cs="Arial"/>
          <w:b/>
          <w:bCs/>
          <w:sz w:val="22"/>
          <w:szCs w:val="22"/>
        </w:rPr>
      </w:pPr>
    </w:p>
    <w:p w14:paraId="2A980A0A" w14:textId="7A0D1942" w:rsidR="00F74489" w:rsidRDefault="00F74489" w:rsidP="002A1B47">
      <w:pPr>
        <w:spacing w:line="360" w:lineRule="auto"/>
        <w:jc w:val="both"/>
        <w:rPr>
          <w:rFonts w:ascii="Arial" w:hAnsi="Arial" w:cs="Arial"/>
          <w:b/>
          <w:bCs/>
          <w:sz w:val="22"/>
          <w:szCs w:val="22"/>
        </w:rPr>
      </w:pPr>
      <w:r>
        <w:rPr>
          <w:rFonts w:ascii="Arial" w:hAnsi="Arial" w:cs="Arial"/>
          <w:b/>
          <w:bCs/>
          <w:sz w:val="22"/>
          <w:szCs w:val="22"/>
        </w:rPr>
        <w:t>Objective</w:t>
      </w:r>
    </w:p>
    <w:p w14:paraId="7CA9B050" w14:textId="777090EF" w:rsidR="00425345" w:rsidRPr="00F74489" w:rsidRDefault="00F74489" w:rsidP="002A1B47">
      <w:pPr>
        <w:spacing w:line="360" w:lineRule="auto"/>
        <w:jc w:val="both"/>
        <w:rPr>
          <w:rFonts w:ascii="Arial" w:hAnsi="Arial" w:cs="Arial"/>
          <w:sz w:val="22"/>
          <w:szCs w:val="22"/>
          <w:shd w:val="clear" w:color="auto" w:fill="FFFFFF"/>
        </w:rPr>
      </w:pPr>
      <w:r>
        <w:rPr>
          <w:rFonts w:ascii="Arial" w:hAnsi="Arial" w:cs="Arial"/>
          <w:sz w:val="22"/>
          <w:szCs w:val="22"/>
          <w:shd w:val="clear" w:color="auto" w:fill="FFFFFF"/>
        </w:rPr>
        <w:t>T</w:t>
      </w:r>
      <w:r w:rsidR="00425345">
        <w:rPr>
          <w:rFonts w:ascii="Arial" w:hAnsi="Arial" w:cs="Arial"/>
          <w:sz w:val="22"/>
          <w:szCs w:val="22"/>
          <w:shd w:val="clear" w:color="auto" w:fill="FFFFFF"/>
        </w:rPr>
        <w:t>o report</w:t>
      </w:r>
      <w:r w:rsidR="00425345" w:rsidRPr="00425345">
        <w:rPr>
          <w:rFonts w:ascii="Arial" w:hAnsi="Arial" w:cs="Arial"/>
          <w:sz w:val="22"/>
          <w:szCs w:val="22"/>
          <w:shd w:val="clear" w:color="auto" w:fill="FFFFFF"/>
        </w:rPr>
        <w:t xml:space="preserve"> the performance of </w:t>
      </w:r>
      <w:r w:rsidR="00FC6DBF">
        <w:rPr>
          <w:rFonts w:ascii="Arial" w:hAnsi="Arial" w:cs="Arial"/>
          <w:sz w:val="22"/>
          <w:szCs w:val="22"/>
          <w:shd w:val="clear" w:color="auto" w:fill="FFFFFF"/>
        </w:rPr>
        <w:t>C</w:t>
      </w:r>
      <w:r>
        <w:rPr>
          <w:rFonts w:ascii="Arial" w:hAnsi="Arial" w:cs="Arial"/>
          <w:sz w:val="22"/>
          <w:szCs w:val="22"/>
          <w:shd w:val="clear" w:color="auto" w:fill="FFFFFF"/>
        </w:rPr>
        <w:t xml:space="preserve">linical </w:t>
      </w:r>
      <w:r w:rsidR="00FC6DBF">
        <w:rPr>
          <w:rFonts w:ascii="Arial" w:hAnsi="Arial" w:cs="Arial"/>
          <w:sz w:val="22"/>
          <w:szCs w:val="22"/>
          <w:shd w:val="clear" w:color="auto" w:fill="FFFFFF"/>
        </w:rPr>
        <w:t>P</w:t>
      </w:r>
      <w:r>
        <w:rPr>
          <w:rFonts w:ascii="Arial" w:hAnsi="Arial" w:cs="Arial"/>
          <w:sz w:val="22"/>
          <w:szCs w:val="22"/>
          <w:shd w:val="clear" w:color="auto" w:fill="FFFFFF"/>
        </w:rPr>
        <w:t xml:space="preserve">ractice </w:t>
      </w:r>
      <w:r w:rsidR="00FC6DBF">
        <w:rPr>
          <w:rFonts w:ascii="Arial" w:hAnsi="Arial" w:cs="Arial"/>
          <w:sz w:val="22"/>
          <w:szCs w:val="22"/>
          <w:shd w:val="clear" w:color="auto" w:fill="FFFFFF"/>
        </w:rPr>
        <w:t>G</w:t>
      </w:r>
      <w:r>
        <w:rPr>
          <w:rFonts w:ascii="Arial" w:hAnsi="Arial" w:cs="Arial"/>
          <w:sz w:val="22"/>
          <w:szCs w:val="22"/>
          <w:shd w:val="clear" w:color="auto" w:fill="FFFFFF"/>
        </w:rPr>
        <w:t>uideline</w:t>
      </w:r>
      <w:r w:rsidR="00FC6DBF">
        <w:rPr>
          <w:rFonts w:ascii="Arial" w:hAnsi="Arial" w:cs="Arial"/>
          <w:sz w:val="22"/>
          <w:szCs w:val="22"/>
          <w:shd w:val="clear" w:color="auto" w:fill="FFFFFF"/>
        </w:rPr>
        <w:t>s</w:t>
      </w:r>
      <w:r>
        <w:rPr>
          <w:rFonts w:ascii="Arial" w:hAnsi="Arial" w:cs="Arial"/>
          <w:sz w:val="22"/>
          <w:szCs w:val="22"/>
          <w:shd w:val="clear" w:color="auto" w:fill="FFFFFF"/>
        </w:rPr>
        <w:t xml:space="preserve"> (CPG)</w:t>
      </w:r>
      <w:r w:rsidR="00425345" w:rsidRPr="00425345">
        <w:rPr>
          <w:rFonts w:ascii="Arial" w:hAnsi="Arial" w:cs="Arial"/>
          <w:sz w:val="22"/>
          <w:szCs w:val="22"/>
          <w:shd w:val="clear" w:color="auto" w:fill="FFFFFF"/>
        </w:rPr>
        <w:t xml:space="preserve"> in the diagnosis of </w:t>
      </w:r>
      <w:r w:rsidR="00425345">
        <w:rPr>
          <w:rFonts w:ascii="Arial" w:hAnsi="Arial" w:cs="Arial"/>
          <w:sz w:val="22"/>
          <w:szCs w:val="22"/>
          <w:shd w:val="clear" w:color="auto" w:fill="FFFFFF"/>
        </w:rPr>
        <w:t>serious</w:t>
      </w:r>
      <w:r w:rsidR="00544184">
        <w:rPr>
          <w:rFonts w:ascii="Arial" w:hAnsi="Arial" w:cs="Arial"/>
          <w:sz w:val="22"/>
          <w:szCs w:val="22"/>
          <w:shd w:val="clear" w:color="auto" w:fill="FFFFFF"/>
        </w:rPr>
        <w:t>/invasive</w:t>
      </w:r>
      <w:r w:rsidR="00425345">
        <w:rPr>
          <w:rFonts w:ascii="Arial" w:hAnsi="Arial" w:cs="Arial"/>
          <w:sz w:val="22"/>
          <w:szCs w:val="22"/>
          <w:shd w:val="clear" w:color="auto" w:fill="FFFFFF"/>
        </w:rPr>
        <w:t xml:space="preserve"> bacterial infections </w:t>
      </w:r>
      <w:r w:rsidR="00FC6DBF">
        <w:rPr>
          <w:rFonts w:ascii="Arial" w:hAnsi="Arial" w:cs="Arial"/>
          <w:sz w:val="22"/>
          <w:szCs w:val="22"/>
          <w:shd w:val="clear" w:color="auto" w:fill="FFFFFF"/>
        </w:rPr>
        <w:t>(SBI</w:t>
      </w:r>
      <w:r w:rsidR="00544184">
        <w:rPr>
          <w:rFonts w:ascii="Arial" w:hAnsi="Arial" w:cs="Arial"/>
          <w:sz w:val="22"/>
          <w:szCs w:val="22"/>
          <w:shd w:val="clear" w:color="auto" w:fill="FFFFFF"/>
        </w:rPr>
        <w:t>/IBI</w:t>
      </w:r>
      <w:r w:rsidR="00FC6DBF">
        <w:rPr>
          <w:rFonts w:ascii="Arial" w:hAnsi="Arial" w:cs="Arial"/>
          <w:sz w:val="22"/>
          <w:szCs w:val="22"/>
          <w:shd w:val="clear" w:color="auto" w:fill="FFFFFF"/>
        </w:rPr>
        <w:t xml:space="preserve">) </w:t>
      </w:r>
      <w:r w:rsidR="002A1B47">
        <w:rPr>
          <w:rFonts w:ascii="Arial" w:hAnsi="Arial" w:cs="Arial"/>
          <w:sz w:val="22"/>
          <w:szCs w:val="22"/>
          <w:shd w:val="clear" w:color="auto" w:fill="FFFFFF"/>
        </w:rPr>
        <w:t>in</w:t>
      </w:r>
      <w:r w:rsidR="00425345">
        <w:rPr>
          <w:rFonts w:ascii="Arial" w:hAnsi="Arial" w:cs="Arial"/>
          <w:sz w:val="22"/>
          <w:szCs w:val="22"/>
          <w:shd w:val="clear" w:color="auto" w:fill="FFFFFF"/>
        </w:rPr>
        <w:t xml:space="preserve"> infants </w:t>
      </w:r>
      <w:r w:rsidR="00425345" w:rsidRPr="00425345">
        <w:rPr>
          <w:rFonts w:ascii="Arial" w:hAnsi="Arial" w:cs="Arial"/>
          <w:sz w:val="22"/>
          <w:szCs w:val="22"/>
          <w:shd w:val="clear" w:color="auto" w:fill="FFFFFF"/>
        </w:rPr>
        <w:t xml:space="preserve">presenting with a fever </w:t>
      </w:r>
      <w:r w:rsidR="000027D1">
        <w:rPr>
          <w:rFonts w:ascii="Arial" w:hAnsi="Arial" w:cs="Arial"/>
          <w:sz w:val="22"/>
          <w:szCs w:val="22"/>
          <w:shd w:val="clear" w:color="auto" w:fill="FFFFFF"/>
        </w:rPr>
        <w:t xml:space="preserve">to Emergency care </w:t>
      </w:r>
      <w:r w:rsidR="00425345" w:rsidRPr="00425345">
        <w:rPr>
          <w:rFonts w:ascii="Arial" w:hAnsi="Arial" w:cs="Arial"/>
          <w:sz w:val="22"/>
          <w:szCs w:val="22"/>
          <w:shd w:val="clear" w:color="auto" w:fill="FFFFFF"/>
        </w:rPr>
        <w:t>in the UK</w:t>
      </w:r>
      <w:r w:rsidR="00425345">
        <w:rPr>
          <w:rFonts w:ascii="Arial" w:hAnsi="Arial" w:cs="Arial"/>
          <w:sz w:val="22"/>
          <w:szCs w:val="22"/>
          <w:shd w:val="clear" w:color="auto" w:fill="FFFFFF"/>
        </w:rPr>
        <w:t xml:space="preserve"> and Ireland</w:t>
      </w:r>
      <w:r w:rsidR="008A4BB2">
        <w:rPr>
          <w:rFonts w:ascii="Arial" w:hAnsi="Arial" w:cs="Arial"/>
          <w:sz w:val="22"/>
          <w:szCs w:val="22"/>
          <w:shd w:val="clear" w:color="auto" w:fill="FFFFFF"/>
        </w:rPr>
        <w:t>.</w:t>
      </w:r>
      <w:r>
        <w:rPr>
          <w:rFonts w:ascii="Arial" w:hAnsi="Arial" w:cs="Arial"/>
          <w:sz w:val="22"/>
          <w:szCs w:val="22"/>
          <w:shd w:val="clear" w:color="auto" w:fill="FFFFFF"/>
        </w:rPr>
        <w:t xml:space="preserve"> Two CPGs were from the </w:t>
      </w:r>
      <w:r w:rsidRPr="008A4BB2">
        <w:rPr>
          <w:rFonts w:ascii="Arial" w:hAnsi="Arial" w:cs="Arial"/>
          <w:sz w:val="22"/>
          <w:szCs w:val="22"/>
          <w:shd w:val="clear" w:color="auto" w:fill="FFFFFF"/>
        </w:rPr>
        <w:t>National Institutes</w:t>
      </w:r>
      <w:r>
        <w:rPr>
          <w:rFonts w:ascii="Arial" w:hAnsi="Arial" w:cs="Arial"/>
          <w:sz w:val="22"/>
          <w:szCs w:val="22"/>
          <w:shd w:val="clear" w:color="auto" w:fill="FFFFFF"/>
        </w:rPr>
        <w:t xml:space="preserve"> for Health and Care Excellence (NICE guidelines NG51 and NG143) and one was from the British Society for Antimicrobial Chemotherapy (BSAC).</w:t>
      </w:r>
    </w:p>
    <w:p w14:paraId="7B900534" w14:textId="77777777" w:rsidR="002A1B47" w:rsidRDefault="002A1B47" w:rsidP="002A1B47">
      <w:pPr>
        <w:spacing w:line="360" w:lineRule="auto"/>
        <w:jc w:val="both"/>
        <w:rPr>
          <w:rFonts w:ascii="Arial" w:hAnsi="Arial" w:cs="Arial"/>
          <w:b/>
          <w:bCs/>
          <w:iCs/>
          <w:sz w:val="22"/>
          <w:szCs w:val="22"/>
        </w:rPr>
      </w:pPr>
    </w:p>
    <w:p w14:paraId="2745552A" w14:textId="338BACB0" w:rsidR="002A1B47" w:rsidRDefault="00ED2BD1" w:rsidP="002A1B47">
      <w:pPr>
        <w:spacing w:line="360" w:lineRule="auto"/>
        <w:jc w:val="both"/>
        <w:rPr>
          <w:rFonts w:ascii="Arial" w:hAnsi="Arial" w:cs="Arial"/>
          <w:b/>
          <w:bCs/>
          <w:iCs/>
          <w:sz w:val="22"/>
          <w:szCs w:val="22"/>
        </w:rPr>
      </w:pPr>
      <w:r w:rsidRPr="00E47820">
        <w:rPr>
          <w:rFonts w:ascii="Arial" w:hAnsi="Arial" w:cs="Arial"/>
          <w:b/>
          <w:bCs/>
          <w:iCs/>
          <w:sz w:val="22"/>
          <w:szCs w:val="22"/>
        </w:rPr>
        <w:t>Design</w:t>
      </w:r>
    </w:p>
    <w:p w14:paraId="35DF4468" w14:textId="33A3A031" w:rsidR="008A4BB2" w:rsidRPr="002A1B47" w:rsidRDefault="002A1B47" w:rsidP="002A1B47">
      <w:pPr>
        <w:spacing w:line="360" w:lineRule="auto"/>
        <w:jc w:val="both"/>
        <w:rPr>
          <w:rFonts w:ascii="Arial" w:hAnsi="Arial" w:cs="Arial"/>
          <w:bCs/>
          <w:iCs/>
          <w:sz w:val="22"/>
          <w:szCs w:val="22"/>
        </w:rPr>
      </w:pPr>
      <w:r w:rsidRPr="002A1B47">
        <w:rPr>
          <w:rFonts w:ascii="Arial" w:hAnsi="Arial" w:cs="Arial"/>
          <w:bCs/>
          <w:iCs/>
          <w:sz w:val="22"/>
          <w:szCs w:val="22"/>
        </w:rPr>
        <w:t>R</w:t>
      </w:r>
      <w:r w:rsidR="00425345" w:rsidRPr="002A1B47">
        <w:rPr>
          <w:rFonts w:ascii="Arial" w:hAnsi="Arial" w:cs="Arial"/>
          <w:sz w:val="22"/>
          <w:szCs w:val="22"/>
          <w:shd w:val="clear" w:color="auto" w:fill="FFFFFF"/>
        </w:rPr>
        <w:t xml:space="preserve">etrospective multicentre cohort study. </w:t>
      </w:r>
    </w:p>
    <w:p w14:paraId="5DBD951D" w14:textId="77777777" w:rsidR="002A1B47" w:rsidRDefault="002A1B47" w:rsidP="002A1B47">
      <w:pPr>
        <w:spacing w:line="360" w:lineRule="auto"/>
        <w:jc w:val="both"/>
        <w:rPr>
          <w:rFonts w:ascii="Arial" w:hAnsi="Arial" w:cs="Arial"/>
          <w:b/>
          <w:sz w:val="22"/>
          <w:szCs w:val="22"/>
          <w:shd w:val="clear" w:color="auto" w:fill="FFFFFF"/>
        </w:rPr>
      </w:pPr>
    </w:p>
    <w:p w14:paraId="3EB3F675" w14:textId="4731D4CD" w:rsidR="00F74489" w:rsidRDefault="00F74489" w:rsidP="002A1B47">
      <w:pPr>
        <w:spacing w:line="360" w:lineRule="auto"/>
        <w:jc w:val="both"/>
        <w:rPr>
          <w:rFonts w:ascii="Arial" w:hAnsi="Arial" w:cs="Arial"/>
          <w:b/>
          <w:sz w:val="22"/>
          <w:szCs w:val="22"/>
          <w:shd w:val="clear" w:color="auto" w:fill="FFFFFF"/>
        </w:rPr>
      </w:pPr>
      <w:r>
        <w:rPr>
          <w:rFonts w:ascii="Arial" w:hAnsi="Arial" w:cs="Arial"/>
          <w:b/>
          <w:sz w:val="22"/>
          <w:szCs w:val="22"/>
          <w:shd w:val="clear" w:color="auto" w:fill="FFFFFF"/>
        </w:rPr>
        <w:t>Patients</w:t>
      </w:r>
    </w:p>
    <w:p w14:paraId="6C4068D2" w14:textId="4CC8F09F" w:rsidR="00F74489" w:rsidRPr="00F74489" w:rsidRDefault="00F74489" w:rsidP="002A1B47">
      <w:pPr>
        <w:spacing w:line="360" w:lineRule="auto"/>
        <w:jc w:val="both"/>
        <w:rPr>
          <w:rFonts w:ascii="Arial" w:hAnsi="Arial" w:cs="Arial"/>
          <w:sz w:val="22"/>
          <w:szCs w:val="22"/>
          <w:shd w:val="clear" w:color="auto" w:fill="FFFFFF"/>
        </w:rPr>
      </w:pPr>
      <w:r>
        <w:rPr>
          <w:rFonts w:ascii="Arial" w:hAnsi="Arial" w:cs="Arial"/>
          <w:sz w:val="22"/>
          <w:szCs w:val="22"/>
          <w:shd w:val="clear" w:color="auto" w:fill="FFFFFF"/>
        </w:rPr>
        <w:t>Febrile infants aged 90 days or less attending</w:t>
      </w:r>
      <w:r w:rsidR="00F32A82">
        <w:rPr>
          <w:rFonts w:ascii="Arial" w:hAnsi="Arial" w:cs="Arial"/>
          <w:sz w:val="22"/>
          <w:szCs w:val="22"/>
          <w:shd w:val="clear" w:color="auto" w:fill="FFFFFF"/>
        </w:rPr>
        <w:t xml:space="preserve"> between the 31/08/2018 to </w:t>
      </w:r>
      <w:r>
        <w:rPr>
          <w:rFonts w:ascii="Arial" w:hAnsi="Arial" w:cs="Arial"/>
          <w:sz w:val="22"/>
          <w:szCs w:val="22"/>
          <w:shd w:val="clear" w:color="auto" w:fill="FFFFFF"/>
        </w:rPr>
        <w:t>01/09/201</w:t>
      </w:r>
      <w:r w:rsidR="00D9029E">
        <w:rPr>
          <w:rFonts w:ascii="Arial" w:hAnsi="Arial" w:cs="Arial"/>
          <w:sz w:val="22"/>
          <w:szCs w:val="22"/>
          <w:shd w:val="clear" w:color="auto" w:fill="FFFFFF"/>
        </w:rPr>
        <w:t>9</w:t>
      </w:r>
      <w:r>
        <w:rPr>
          <w:rFonts w:ascii="Arial" w:hAnsi="Arial" w:cs="Arial"/>
          <w:sz w:val="22"/>
          <w:szCs w:val="22"/>
          <w:shd w:val="clear" w:color="auto" w:fill="FFFFFF"/>
        </w:rPr>
        <w:t>.</w:t>
      </w:r>
    </w:p>
    <w:p w14:paraId="512B80C8" w14:textId="77777777" w:rsidR="002A1B47" w:rsidRDefault="002A1B47" w:rsidP="002A1B47">
      <w:pPr>
        <w:spacing w:line="360" w:lineRule="auto"/>
        <w:jc w:val="both"/>
        <w:rPr>
          <w:rFonts w:ascii="Arial" w:hAnsi="Arial" w:cs="Arial"/>
          <w:b/>
          <w:bCs/>
          <w:iCs/>
          <w:sz w:val="22"/>
          <w:szCs w:val="22"/>
        </w:rPr>
      </w:pPr>
    </w:p>
    <w:p w14:paraId="0C2B7024" w14:textId="4F2B74C5" w:rsidR="00F74489" w:rsidRDefault="00F74489" w:rsidP="002A1B47">
      <w:pPr>
        <w:spacing w:line="360" w:lineRule="auto"/>
        <w:jc w:val="both"/>
        <w:rPr>
          <w:rFonts w:ascii="Arial" w:hAnsi="Arial" w:cs="Arial"/>
          <w:b/>
          <w:bCs/>
          <w:iCs/>
          <w:sz w:val="22"/>
          <w:szCs w:val="22"/>
        </w:rPr>
      </w:pPr>
      <w:r>
        <w:rPr>
          <w:rFonts w:ascii="Arial" w:hAnsi="Arial" w:cs="Arial"/>
          <w:b/>
          <w:bCs/>
          <w:iCs/>
          <w:sz w:val="22"/>
          <w:szCs w:val="22"/>
        </w:rPr>
        <w:t>Main outcome measures</w:t>
      </w:r>
    </w:p>
    <w:p w14:paraId="01214A3A" w14:textId="4A69A367" w:rsidR="00F74489" w:rsidRDefault="00F41B2F" w:rsidP="002A1B47">
      <w:pPr>
        <w:spacing w:line="360" w:lineRule="auto"/>
        <w:jc w:val="both"/>
        <w:rPr>
          <w:rFonts w:ascii="Arial" w:hAnsi="Arial" w:cs="Arial"/>
          <w:b/>
          <w:bCs/>
          <w:iCs/>
          <w:sz w:val="22"/>
          <w:szCs w:val="22"/>
        </w:rPr>
      </w:pPr>
      <w:r>
        <w:rPr>
          <w:rFonts w:ascii="Arial" w:hAnsi="Arial" w:cs="Arial"/>
          <w:sz w:val="22"/>
          <w:szCs w:val="22"/>
          <w:shd w:val="clear" w:color="auto" w:fill="FFFFFF"/>
        </w:rPr>
        <w:t>The sensitivity, specificity and predictive values of CPGs in identifying SBI and IBI.</w:t>
      </w:r>
    </w:p>
    <w:p w14:paraId="3E94BA84" w14:textId="77777777" w:rsidR="002A1B47" w:rsidRDefault="002A1B47" w:rsidP="002A1B47">
      <w:pPr>
        <w:spacing w:line="360" w:lineRule="auto"/>
        <w:jc w:val="both"/>
        <w:rPr>
          <w:rFonts w:ascii="Arial" w:hAnsi="Arial" w:cs="Arial"/>
          <w:b/>
          <w:bCs/>
          <w:iCs/>
          <w:sz w:val="22"/>
          <w:szCs w:val="22"/>
        </w:rPr>
      </w:pPr>
    </w:p>
    <w:p w14:paraId="24CD1003" w14:textId="707B2058" w:rsidR="00F74489" w:rsidRPr="00F74489" w:rsidRDefault="00F74489" w:rsidP="002A1B47">
      <w:pPr>
        <w:spacing w:line="360" w:lineRule="auto"/>
        <w:jc w:val="both"/>
        <w:rPr>
          <w:rFonts w:ascii="Arial" w:hAnsi="Arial" w:cs="Arial"/>
          <w:b/>
          <w:bCs/>
          <w:iCs/>
          <w:sz w:val="22"/>
          <w:szCs w:val="22"/>
        </w:rPr>
      </w:pPr>
      <w:r>
        <w:rPr>
          <w:rFonts w:ascii="Arial" w:hAnsi="Arial" w:cs="Arial"/>
          <w:b/>
          <w:bCs/>
          <w:iCs/>
          <w:sz w:val="22"/>
          <w:szCs w:val="22"/>
        </w:rPr>
        <w:t>Setting</w:t>
      </w:r>
    </w:p>
    <w:p w14:paraId="394EEB2F" w14:textId="40992F14" w:rsidR="00F74489" w:rsidRPr="00425345" w:rsidRDefault="00F74489" w:rsidP="002A1B47">
      <w:pPr>
        <w:spacing w:line="360" w:lineRule="auto"/>
        <w:jc w:val="both"/>
        <w:rPr>
          <w:rFonts w:ascii="Arial" w:hAnsi="Arial" w:cs="Arial"/>
          <w:sz w:val="22"/>
          <w:szCs w:val="22"/>
          <w:shd w:val="clear" w:color="auto" w:fill="FFFFFF"/>
        </w:rPr>
      </w:pPr>
      <w:r>
        <w:rPr>
          <w:rFonts w:ascii="Arial" w:hAnsi="Arial" w:cs="Arial"/>
          <w:sz w:val="22"/>
          <w:szCs w:val="22"/>
          <w:shd w:val="clear" w:color="auto" w:fill="FFFFFF"/>
        </w:rPr>
        <w:t>Six paediatric emer</w:t>
      </w:r>
      <w:r w:rsidR="00F32A82">
        <w:rPr>
          <w:rFonts w:ascii="Arial" w:hAnsi="Arial" w:cs="Arial"/>
          <w:sz w:val="22"/>
          <w:szCs w:val="22"/>
          <w:shd w:val="clear" w:color="auto" w:fill="FFFFFF"/>
        </w:rPr>
        <w:t>gency departments in the UK/</w:t>
      </w:r>
      <w:r>
        <w:rPr>
          <w:rFonts w:ascii="Arial" w:hAnsi="Arial" w:cs="Arial"/>
          <w:sz w:val="22"/>
          <w:szCs w:val="22"/>
          <w:shd w:val="clear" w:color="auto" w:fill="FFFFFF"/>
        </w:rPr>
        <w:t>Ireland.</w:t>
      </w:r>
    </w:p>
    <w:p w14:paraId="700E46EE" w14:textId="77777777" w:rsidR="002A1B47" w:rsidRDefault="002A1B47" w:rsidP="002A1B47">
      <w:pPr>
        <w:spacing w:line="360" w:lineRule="auto"/>
        <w:jc w:val="both"/>
        <w:rPr>
          <w:rFonts w:ascii="Arial" w:hAnsi="Arial" w:cs="Arial"/>
          <w:b/>
          <w:bCs/>
          <w:sz w:val="22"/>
          <w:szCs w:val="22"/>
        </w:rPr>
      </w:pPr>
    </w:p>
    <w:p w14:paraId="69A4A764" w14:textId="19F1E5EC" w:rsidR="008A4BB2" w:rsidRPr="00654C02" w:rsidRDefault="008A4BB2" w:rsidP="002A1B47">
      <w:pPr>
        <w:spacing w:line="360" w:lineRule="auto"/>
        <w:jc w:val="both"/>
        <w:rPr>
          <w:rFonts w:ascii="Arial" w:hAnsi="Arial" w:cs="Arial"/>
          <w:b/>
          <w:bCs/>
          <w:sz w:val="22"/>
          <w:szCs w:val="22"/>
        </w:rPr>
      </w:pPr>
      <w:r w:rsidRPr="00654C02">
        <w:rPr>
          <w:rFonts w:ascii="Arial" w:hAnsi="Arial" w:cs="Arial"/>
          <w:b/>
          <w:bCs/>
          <w:sz w:val="22"/>
          <w:szCs w:val="22"/>
        </w:rPr>
        <w:t>Results</w:t>
      </w:r>
    </w:p>
    <w:p w14:paraId="40E01CED" w14:textId="772240B1" w:rsidR="008A4BB2" w:rsidRPr="00654C02" w:rsidRDefault="008A4BB2" w:rsidP="002A1B47">
      <w:pPr>
        <w:pStyle w:val="BodyText"/>
        <w:spacing w:line="360" w:lineRule="auto"/>
        <w:jc w:val="both"/>
        <w:rPr>
          <w:lang w:val="en-GB"/>
        </w:rPr>
      </w:pPr>
      <w:r>
        <w:rPr>
          <w:shd w:val="clear" w:color="auto" w:fill="FFFFFF"/>
        </w:rPr>
        <w:t>555</w:t>
      </w:r>
      <w:r w:rsidRPr="008A4BB2">
        <w:rPr>
          <w:shd w:val="clear" w:color="auto" w:fill="FFFFFF"/>
        </w:rPr>
        <w:t xml:space="preserve"> </w:t>
      </w:r>
      <w:r w:rsidR="00F74489">
        <w:rPr>
          <w:shd w:val="clear" w:color="auto" w:fill="FFFFFF"/>
        </w:rPr>
        <w:t>participants were</w:t>
      </w:r>
      <w:r w:rsidRPr="008A4BB2">
        <w:rPr>
          <w:shd w:val="clear" w:color="auto" w:fill="FFFFFF"/>
        </w:rPr>
        <w:t xml:space="preserve"> included in the analysis. </w:t>
      </w:r>
      <w:r w:rsidRPr="00654C02">
        <w:rPr>
          <w:lang w:val="en-GB"/>
        </w:rPr>
        <w:t>The m</w:t>
      </w:r>
      <w:r w:rsidR="00F74489">
        <w:rPr>
          <w:lang w:val="en-GB"/>
        </w:rPr>
        <w:t>edian</w:t>
      </w:r>
      <w:r>
        <w:rPr>
          <w:lang w:val="en-GB"/>
        </w:rPr>
        <w:t xml:space="preserve"> </w:t>
      </w:r>
      <w:r w:rsidR="0049053E">
        <w:rPr>
          <w:lang w:val="en-GB"/>
        </w:rPr>
        <w:t xml:space="preserve">age </w:t>
      </w:r>
      <w:r>
        <w:rPr>
          <w:lang w:val="en-GB"/>
        </w:rPr>
        <w:t>was 53</w:t>
      </w:r>
      <w:r w:rsidRPr="00654C02">
        <w:rPr>
          <w:lang w:val="en-GB"/>
        </w:rPr>
        <w:t xml:space="preserve"> day</w:t>
      </w:r>
      <w:r>
        <w:rPr>
          <w:lang w:val="en-GB"/>
        </w:rPr>
        <w:t>s (IQR 32 to 70)</w:t>
      </w:r>
      <w:r w:rsidR="00916387">
        <w:rPr>
          <w:lang w:val="en-GB"/>
        </w:rPr>
        <w:t xml:space="preserve">, </w:t>
      </w:r>
      <w:r>
        <w:rPr>
          <w:lang w:val="en-GB"/>
        </w:rPr>
        <w:t>447</w:t>
      </w:r>
      <w:r w:rsidRPr="00654C02">
        <w:rPr>
          <w:lang w:val="en-GB"/>
        </w:rPr>
        <w:t xml:space="preserve"> (81%) </w:t>
      </w:r>
      <w:r w:rsidR="00F74489">
        <w:rPr>
          <w:lang w:val="en-GB"/>
        </w:rPr>
        <w:t>under</w:t>
      </w:r>
      <w:r w:rsidR="0049053E">
        <w:rPr>
          <w:lang w:val="en-GB"/>
        </w:rPr>
        <w:t>went</w:t>
      </w:r>
      <w:r w:rsidRPr="00654C02">
        <w:rPr>
          <w:lang w:val="en-GB"/>
        </w:rPr>
        <w:t xml:space="preserve"> blood testing</w:t>
      </w:r>
      <w:r w:rsidR="0049053E">
        <w:rPr>
          <w:lang w:val="en-GB"/>
        </w:rPr>
        <w:t>,</w:t>
      </w:r>
      <w:r w:rsidR="002A1B47">
        <w:rPr>
          <w:lang w:val="en-GB"/>
        </w:rPr>
        <w:t xml:space="preserve"> </w:t>
      </w:r>
      <w:r>
        <w:rPr>
          <w:lang w:val="en-GB"/>
        </w:rPr>
        <w:t>and 421 (76</w:t>
      </w:r>
      <w:r w:rsidRPr="00654C02">
        <w:rPr>
          <w:lang w:val="en-GB"/>
        </w:rPr>
        <w:t>%) rec</w:t>
      </w:r>
      <w:r w:rsidR="00F74489">
        <w:rPr>
          <w:lang w:val="en-GB"/>
        </w:rPr>
        <w:t>eiv</w:t>
      </w:r>
      <w:r w:rsidR="0049053E">
        <w:rPr>
          <w:lang w:val="en-GB"/>
        </w:rPr>
        <w:t>ed</w:t>
      </w:r>
      <w:r>
        <w:rPr>
          <w:lang w:val="en-GB"/>
        </w:rPr>
        <w:t xml:space="preserve"> parenteral antibiotics</w:t>
      </w:r>
      <w:r w:rsidRPr="00654C02">
        <w:rPr>
          <w:lang w:val="en-GB"/>
        </w:rPr>
        <w:t xml:space="preserve">. </w:t>
      </w:r>
      <w:r>
        <w:rPr>
          <w:lang w:val="en-GB"/>
        </w:rPr>
        <w:t>There were five</w:t>
      </w:r>
      <w:r w:rsidRPr="00654C02">
        <w:rPr>
          <w:lang w:val="en-GB"/>
        </w:rPr>
        <w:t xml:space="preserve"> participants with bacterial meningitis (1%), se</w:t>
      </w:r>
      <w:r>
        <w:rPr>
          <w:lang w:val="en-GB"/>
        </w:rPr>
        <w:t>ven with bacteraemia (1%) and 66</w:t>
      </w:r>
      <w:r w:rsidR="0049053E">
        <w:rPr>
          <w:lang w:val="en-GB"/>
        </w:rPr>
        <w:t xml:space="preserve"> </w:t>
      </w:r>
      <w:r>
        <w:rPr>
          <w:lang w:val="en-GB"/>
        </w:rPr>
        <w:t>(12</w:t>
      </w:r>
      <w:r w:rsidRPr="00654C02">
        <w:rPr>
          <w:lang w:val="en-GB"/>
        </w:rPr>
        <w:t>%</w:t>
      </w:r>
      <w:r>
        <w:rPr>
          <w:lang w:val="en-GB"/>
        </w:rPr>
        <w:t xml:space="preserve">) with urinary tract infections. </w:t>
      </w:r>
      <w:r w:rsidRPr="008A4BB2">
        <w:rPr>
          <w:lang w:val="en-GB"/>
        </w:rPr>
        <w:t>The NICE NG5</w:t>
      </w:r>
      <w:r w:rsidR="00FC6DBF">
        <w:rPr>
          <w:lang w:val="en-GB"/>
        </w:rPr>
        <w:t>1 CPG was the most sensitive</w:t>
      </w:r>
      <w:r w:rsidRPr="008A4BB2">
        <w:rPr>
          <w:lang w:val="en-GB"/>
        </w:rPr>
        <w:t xml:space="preserve"> </w:t>
      </w:r>
      <w:r w:rsidR="002A1B47">
        <w:rPr>
          <w:lang w:val="en-GB"/>
        </w:rPr>
        <w:t xml:space="preserve">- </w:t>
      </w:r>
      <w:r w:rsidRPr="008A4BB2">
        <w:rPr>
          <w:lang w:val="en-GB"/>
        </w:rPr>
        <w:t>1.00 (95% CI 0.95 to 1.00). This was significantly more sensitive than NICE NG143</w:t>
      </w:r>
      <w:r w:rsidR="00FC6DBF" w:rsidRPr="00FC6DBF">
        <w:rPr>
          <w:lang w:val="en-GB"/>
        </w:rPr>
        <w:t xml:space="preserve"> </w:t>
      </w:r>
      <w:r w:rsidR="00FC6DBF">
        <w:rPr>
          <w:lang w:val="en-GB"/>
        </w:rPr>
        <w:t>- 0.91 (95% CI 0.82 to 0.96, p=0.0233) and BSAC -</w:t>
      </w:r>
      <w:r w:rsidR="00FC6DBF" w:rsidRPr="008A4BB2">
        <w:rPr>
          <w:lang w:val="en-GB"/>
        </w:rPr>
        <w:t xml:space="preserve"> 0.82</w:t>
      </w:r>
      <w:r w:rsidR="00FC6DBF">
        <w:rPr>
          <w:lang w:val="en-GB"/>
        </w:rPr>
        <w:t xml:space="preserve"> (95% 0.72 to 0.90,</w:t>
      </w:r>
      <w:r w:rsidR="00FC6DBF" w:rsidRPr="008A4BB2">
        <w:rPr>
          <w:lang w:val="en-GB"/>
        </w:rPr>
        <w:t xml:space="preserve"> </w:t>
      </w:r>
      <w:r w:rsidR="00FC6DBF">
        <w:rPr>
          <w:lang w:val="en-GB"/>
        </w:rPr>
        <w:t>p=0.0005).</w:t>
      </w:r>
      <w:r w:rsidRPr="008A4BB2">
        <w:rPr>
          <w:lang w:val="en-GB"/>
        </w:rPr>
        <w:t xml:space="preserve"> NICE NG51</w:t>
      </w:r>
      <w:r w:rsidR="00FC6DBF">
        <w:rPr>
          <w:lang w:val="en-GB"/>
        </w:rPr>
        <w:t xml:space="preserve"> was</w:t>
      </w:r>
      <w:r w:rsidRPr="008A4BB2">
        <w:rPr>
          <w:lang w:val="en-GB"/>
        </w:rPr>
        <w:t xml:space="preserve"> the least specific 0.0 (95% CI 0.0 to 0.01) and this was significantly lower than the NICE NG143</w:t>
      </w:r>
      <w:r w:rsidR="00FC6DBF">
        <w:rPr>
          <w:lang w:val="en-GB"/>
        </w:rPr>
        <w:t xml:space="preserve"> - </w:t>
      </w:r>
      <w:r w:rsidR="00FC6DBF" w:rsidRPr="008A4BB2">
        <w:rPr>
          <w:lang w:val="en-GB"/>
        </w:rPr>
        <w:t>0.09 (95% CI 0.07 to 0.12</w:t>
      </w:r>
      <w:r w:rsidR="00FC6DBF">
        <w:rPr>
          <w:lang w:val="en-GB"/>
        </w:rPr>
        <w:t>, p&lt;0.0001)</w:t>
      </w:r>
      <w:r w:rsidRPr="008A4BB2">
        <w:rPr>
          <w:lang w:val="en-GB"/>
        </w:rPr>
        <w:t xml:space="preserve"> and BSAC</w:t>
      </w:r>
      <w:r w:rsidR="00FC6DBF">
        <w:rPr>
          <w:lang w:val="en-GB"/>
        </w:rPr>
        <w:t xml:space="preserve"> - </w:t>
      </w:r>
      <w:r w:rsidRPr="008A4BB2">
        <w:rPr>
          <w:lang w:val="en-GB"/>
        </w:rPr>
        <w:t>0.14 (95% CI 0.1 to 0.17</w:t>
      </w:r>
      <w:r w:rsidR="00FC6DBF">
        <w:rPr>
          <w:lang w:val="en-GB"/>
        </w:rPr>
        <w:t>, p&lt;0.0001</w:t>
      </w:r>
      <w:r w:rsidRPr="008A4BB2">
        <w:rPr>
          <w:lang w:val="en-GB"/>
        </w:rPr>
        <w:t xml:space="preserve">). </w:t>
      </w:r>
    </w:p>
    <w:p w14:paraId="37BBD49E" w14:textId="77777777" w:rsidR="002A1B47" w:rsidRDefault="002A1B47" w:rsidP="00ED2BD1">
      <w:pPr>
        <w:spacing w:line="480" w:lineRule="auto"/>
        <w:jc w:val="both"/>
        <w:rPr>
          <w:rFonts w:ascii="Arial" w:hAnsi="Arial" w:cs="Arial"/>
          <w:b/>
          <w:bCs/>
          <w:sz w:val="22"/>
          <w:szCs w:val="22"/>
        </w:rPr>
      </w:pPr>
    </w:p>
    <w:p w14:paraId="0FF10F33" w14:textId="77777777" w:rsidR="002A1B47" w:rsidRDefault="002A1B47" w:rsidP="002A1B47">
      <w:pPr>
        <w:spacing w:line="360" w:lineRule="auto"/>
        <w:jc w:val="both"/>
        <w:rPr>
          <w:rFonts w:ascii="Arial" w:hAnsi="Arial" w:cs="Arial"/>
          <w:b/>
          <w:bCs/>
          <w:sz w:val="22"/>
          <w:szCs w:val="22"/>
        </w:rPr>
      </w:pPr>
      <w:r>
        <w:rPr>
          <w:rFonts w:ascii="Arial" w:hAnsi="Arial" w:cs="Arial"/>
          <w:b/>
          <w:bCs/>
          <w:sz w:val="22"/>
          <w:szCs w:val="22"/>
        </w:rPr>
        <w:t>Conclusion</w:t>
      </w:r>
    </w:p>
    <w:p w14:paraId="14DF4446" w14:textId="1C4151B4" w:rsidR="002A1B47" w:rsidRDefault="002A1B47" w:rsidP="002A1B47">
      <w:pPr>
        <w:spacing w:line="360" w:lineRule="auto"/>
        <w:jc w:val="both"/>
        <w:rPr>
          <w:rFonts w:ascii="Arial" w:hAnsi="Arial" w:cs="Arial"/>
          <w:bCs/>
          <w:sz w:val="22"/>
          <w:szCs w:val="22"/>
        </w:rPr>
      </w:pPr>
      <w:r>
        <w:rPr>
          <w:rFonts w:ascii="Arial" w:hAnsi="Arial" w:cs="Arial"/>
          <w:bCs/>
          <w:sz w:val="22"/>
          <w:szCs w:val="22"/>
        </w:rPr>
        <w:t xml:space="preserve">None of the studied CPGs demonstrated </w:t>
      </w:r>
      <w:r w:rsidR="00BE3BDD">
        <w:rPr>
          <w:rFonts w:ascii="Arial" w:hAnsi="Arial" w:cs="Arial"/>
          <w:bCs/>
          <w:sz w:val="22"/>
          <w:szCs w:val="22"/>
        </w:rPr>
        <w:t>ideal performance characteristics</w:t>
      </w:r>
      <w:r>
        <w:rPr>
          <w:rFonts w:ascii="Arial" w:hAnsi="Arial" w:cs="Arial"/>
          <w:bCs/>
          <w:sz w:val="22"/>
          <w:szCs w:val="22"/>
        </w:rPr>
        <w:t xml:space="preserve">. </w:t>
      </w:r>
      <w:r w:rsidR="00F25207">
        <w:rPr>
          <w:rFonts w:ascii="Arial" w:hAnsi="Arial" w:cs="Arial"/>
          <w:bCs/>
          <w:sz w:val="22"/>
          <w:szCs w:val="22"/>
        </w:rPr>
        <w:t>CPGs should be improved to guide initial clinical decision-making.</w:t>
      </w:r>
    </w:p>
    <w:p w14:paraId="562FB3B1" w14:textId="0442E1E1" w:rsidR="002A1B47" w:rsidRDefault="002A1B47" w:rsidP="002A1B47">
      <w:pPr>
        <w:spacing w:line="360" w:lineRule="auto"/>
        <w:jc w:val="both"/>
        <w:rPr>
          <w:rFonts w:ascii="Arial" w:hAnsi="Arial" w:cs="Arial"/>
          <w:bCs/>
          <w:sz w:val="22"/>
          <w:szCs w:val="22"/>
        </w:rPr>
      </w:pPr>
    </w:p>
    <w:p w14:paraId="14E01F3A" w14:textId="23E5C114" w:rsidR="002A1B47" w:rsidRDefault="002A1B47" w:rsidP="002A1B47">
      <w:pPr>
        <w:spacing w:line="360" w:lineRule="auto"/>
        <w:jc w:val="both"/>
        <w:rPr>
          <w:rFonts w:ascii="Arial" w:hAnsi="Arial" w:cs="Arial"/>
          <w:bCs/>
          <w:sz w:val="22"/>
          <w:szCs w:val="22"/>
        </w:rPr>
      </w:pPr>
    </w:p>
    <w:p w14:paraId="22D79F54" w14:textId="27F93A46" w:rsidR="008F5047" w:rsidRPr="00E47820" w:rsidRDefault="00DC403A" w:rsidP="008F5047">
      <w:pPr>
        <w:widowControl w:val="0"/>
        <w:autoSpaceDE w:val="0"/>
        <w:autoSpaceDN w:val="0"/>
        <w:adjustRightInd w:val="0"/>
        <w:rPr>
          <w:rFonts w:ascii="Arial" w:hAnsi="Arial" w:cs="Arial"/>
          <w:b/>
          <w:color w:val="333333"/>
          <w:shd w:val="clear" w:color="auto" w:fill="FFFFFF"/>
        </w:rPr>
      </w:pPr>
      <w:r w:rsidRPr="00E47820">
        <w:rPr>
          <w:rFonts w:ascii="Arial" w:hAnsi="Arial" w:cs="Arial"/>
          <w:b/>
          <w:color w:val="333333"/>
          <w:shd w:val="clear" w:color="auto" w:fill="FFFFFF"/>
        </w:rPr>
        <w:lastRenderedPageBreak/>
        <w:t>Introduction</w:t>
      </w:r>
    </w:p>
    <w:p w14:paraId="502BBF5C" w14:textId="18F6C04C" w:rsidR="003C6B3F" w:rsidRPr="00E47820" w:rsidRDefault="003C6B3F" w:rsidP="008F5047">
      <w:pPr>
        <w:widowControl w:val="0"/>
        <w:autoSpaceDE w:val="0"/>
        <w:autoSpaceDN w:val="0"/>
        <w:adjustRightInd w:val="0"/>
        <w:rPr>
          <w:rFonts w:ascii="Arial" w:hAnsi="Arial" w:cs="Arial"/>
          <w:b/>
          <w:color w:val="333333"/>
          <w:shd w:val="clear" w:color="auto" w:fill="FFFFFF"/>
        </w:rPr>
      </w:pPr>
    </w:p>
    <w:p w14:paraId="779A2067" w14:textId="23CAEA99" w:rsidR="00E14D89" w:rsidRPr="00654C02" w:rsidRDefault="003C6B3F" w:rsidP="003C6B3F">
      <w:pPr>
        <w:pStyle w:val="BodyText"/>
        <w:spacing w:line="480" w:lineRule="auto"/>
        <w:jc w:val="both"/>
        <w:rPr>
          <w:shd w:val="clear" w:color="auto" w:fill="FFFFFF"/>
          <w:lang w:val="en-GB"/>
        </w:rPr>
      </w:pPr>
      <w:r w:rsidRPr="00654C02">
        <w:rPr>
          <w:shd w:val="clear" w:color="auto" w:fill="FFFFFF"/>
          <w:lang w:val="en-GB"/>
        </w:rPr>
        <w:t>Young febrile infants (90 days of age and younger) are at high risk of serious</w:t>
      </w:r>
      <w:r w:rsidR="00A73337">
        <w:rPr>
          <w:shd w:val="clear" w:color="auto" w:fill="FFFFFF"/>
          <w:lang w:val="en-GB"/>
        </w:rPr>
        <w:t xml:space="preserve"> and invasive</w:t>
      </w:r>
      <w:r w:rsidRPr="00654C02">
        <w:rPr>
          <w:shd w:val="clear" w:color="auto" w:fill="FFFFFF"/>
          <w:lang w:val="en-GB"/>
        </w:rPr>
        <w:t xml:space="preserve"> bacterial infect</w:t>
      </w:r>
      <w:r w:rsidR="00E14D89" w:rsidRPr="00654C02">
        <w:rPr>
          <w:shd w:val="clear" w:color="auto" w:fill="FFFFFF"/>
          <w:lang w:val="en-GB"/>
        </w:rPr>
        <w:t>ion</w:t>
      </w:r>
      <w:r w:rsidR="00A73337">
        <w:rPr>
          <w:shd w:val="clear" w:color="auto" w:fill="FFFFFF"/>
          <w:lang w:val="en-GB"/>
        </w:rPr>
        <w:t>s</w:t>
      </w:r>
      <w:r w:rsidR="00E14D89" w:rsidRPr="00654C02">
        <w:rPr>
          <w:shd w:val="clear" w:color="auto" w:fill="FFFFFF"/>
          <w:lang w:val="en-GB"/>
        </w:rPr>
        <w:t xml:space="preserve"> (SBI</w:t>
      </w:r>
      <w:r w:rsidR="00A73337">
        <w:rPr>
          <w:shd w:val="clear" w:color="auto" w:fill="FFFFFF"/>
          <w:lang w:val="en-GB"/>
        </w:rPr>
        <w:t>/IBI</w:t>
      </w:r>
      <w:r w:rsidR="00E14D89" w:rsidRPr="00654C02">
        <w:rPr>
          <w:shd w:val="clear" w:color="auto" w:fill="FFFFFF"/>
          <w:lang w:val="en-GB"/>
        </w:rPr>
        <w:t>)</w:t>
      </w:r>
      <w:r w:rsidR="00D55D30">
        <w:rPr>
          <w:shd w:val="clear" w:color="auto" w:fill="FFFFFF"/>
          <w:lang w:val="en-GB"/>
        </w:rPr>
        <w:t>,</w:t>
      </w:r>
      <w:r w:rsidR="00590901" w:rsidRPr="00654C02">
        <w:rPr>
          <w:shd w:val="clear" w:color="auto" w:fill="FFFFFF"/>
          <w:lang w:val="en-GB"/>
        </w:rPr>
        <w:t xml:space="preserve"> with approximately 10</w:t>
      </w:r>
      <w:r w:rsidR="00D55D30">
        <w:rPr>
          <w:shd w:val="clear" w:color="auto" w:fill="FFFFFF"/>
          <w:lang w:val="en-GB"/>
        </w:rPr>
        <w:t>-</w:t>
      </w:r>
      <w:r w:rsidR="00590901" w:rsidRPr="00654C02">
        <w:rPr>
          <w:shd w:val="clear" w:color="auto" w:fill="FFFFFF"/>
          <w:lang w:val="en-GB"/>
        </w:rPr>
        <w:t>20</w:t>
      </w:r>
      <w:r w:rsidRPr="00654C02">
        <w:rPr>
          <w:shd w:val="clear" w:color="auto" w:fill="FFFFFF"/>
          <w:lang w:val="en-GB"/>
        </w:rPr>
        <w:t xml:space="preserve">% having either </w:t>
      </w:r>
      <w:r w:rsidR="00E47820" w:rsidRPr="00E47820">
        <w:rPr>
          <w:shd w:val="clear" w:color="auto" w:fill="FFFFFF"/>
          <w:lang w:val="en-GB"/>
        </w:rPr>
        <w:t>bacteraemia</w:t>
      </w:r>
      <w:r w:rsidRPr="00654C02">
        <w:rPr>
          <w:shd w:val="clear" w:color="auto" w:fill="FFFFFF"/>
          <w:lang w:val="en-GB"/>
        </w:rPr>
        <w:t>, meningitis or urinary tract infection</w:t>
      </w:r>
      <w:r w:rsidR="00590901" w:rsidRPr="00654C02">
        <w:rPr>
          <w:shd w:val="clear" w:color="auto" w:fill="FFFFFF"/>
          <w:lang w:val="en-GB"/>
        </w:rPr>
        <w:t xml:space="preserve"> [1-4]</w:t>
      </w:r>
      <w:r w:rsidRPr="00654C02">
        <w:rPr>
          <w:shd w:val="clear" w:color="auto" w:fill="FFFFFF"/>
          <w:lang w:val="en-GB"/>
        </w:rPr>
        <w:t>.</w:t>
      </w:r>
      <w:r w:rsidR="00E14D89" w:rsidRPr="00654C02">
        <w:rPr>
          <w:shd w:val="clear" w:color="auto" w:fill="FFFFFF"/>
          <w:lang w:val="en-GB"/>
        </w:rPr>
        <w:t xml:space="preserve"> Correctly identifying those with SBI</w:t>
      </w:r>
      <w:r w:rsidR="00A73337">
        <w:rPr>
          <w:shd w:val="clear" w:color="auto" w:fill="FFFFFF"/>
          <w:lang w:val="en-GB"/>
        </w:rPr>
        <w:t>/IBI</w:t>
      </w:r>
      <w:r w:rsidR="00E14D89" w:rsidRPr="00654C02">
        <w:rPr>
          <w:shd w:val="clear" w:color="auto" w:fill="FFFFFF"/>
          <w:lang w:val="en-GB"/>
        </w:rPr>
        <w:t xml:space="preserve"> is challenging</w:t>
      </w:r>
      <w:r w:rsidR="0049053E">
        <w:rPr>
          <w:shd w:val="clear" w:color="auto" w:fill="FFFFFF"/>
          <w:lang w:val="en-GB"/>
        </w:rPr>
        <w:t>,</w:t>
      </w:r>
      <w:r w:rsidR="00E14D89" w:rsidRPr="00654C02">
        <w:rPr>
          <w:shd w:val="clear" w:color="auto" w:fill="FFFFFF"/>
          <w:lang w:val="en-GB"/>
        </w:rPr>
        <w:t xml:space="preserve"> and no single laboratory test can reliably </w:t>
      </w:r>
      <w:r w:rsidR="0049053E">
        <w:rPr>
          <w:shd w:val="clear" w:color="auto" w:fill="FFFFFF"/>
          <w:lang w:val="en-GB"/>
        </w:rPr>
        <w:t>identify the diagnosis</w:t>
      </w:r>
      <w:r w:rsidR="00222C3C">
        <w:rPr>
          <w:shd w:val="clear" w:color="auto" w:fill="FFFFFF"/>
          <w:lang w:val="en-GB"/>
        </w:rPr>
        <w:t xml:space="preserve"> [4-13</w:t>
      </w:r>
      <w:r w:rsidR="00590901" w:rsidRPr="00654C02">
        <w:rPr>
          <w:shd w:val="clear" w:color="auto" w:fill="FFFFFF"/>
          <w:lang w:val="en-GB"/>
        </w:rPr>
        <w:t>]</w:t>
      </w:r>
      <w:r w:rsidR="00E14D89" w:rsidRPr="00654C02">
        <w:rPr>
          <w:shd w:val="clear" w:color="auto" w:fill="FFFFFF"/>
          <w:lang w:val="en-GB"/>
        </w:rPr>
        <w:t>. These challenges, combined with the higher risk of SBI</w:t>
      </w:r>
      <w:r w:rsidR="00A73337">
        <w:rPr>
          <w:shd w:val="clear" w:color="auto" w:fill="FFFFFF"/>
          <w:lang w:val="en-GB"/>
        </w:rPr>
        <w:t>/IBI</w:t>
      </w:r>
      <w:r w:rsidR="00E14D89" w:rsidRPr="00654C02">
        <w:rPr>
          <w:shd w:val="clear" w:color="auto" w:fill="FFFFFF"/>
          <w:lang w:val="en-GB"/>
        </w:rPr>
        <w:t>, has led to a cautious approach to the assessment and initial management of these infants in the UK and Ireland</w:t>
      </w:r>
      <w:r w:rsidR="00D55D30">
        <w:rPr>
          <w:shd w:val="clear" w:color="auto" w:fill="FFFFFF"/>
          <w:lang w:val="en-GB"/>
        </w:rPr>
        <w:t>, where t</w:t>
      </w:r>
      <w:r w:rsidR="00E14D89" w:rsidRPr="00654C02">
        <w:rPr>
          <w:shd w:val="clear" w:color="auto" w:fill="FFFFFF"/>
          <w:lang w:val="en-GB"/>
        </w:rPr>
        <w:t>he majority undergo blood testing, lumbar puncture</w:t>
      </w:r>
      <w:r w:rsidR="005A5873" w:rsidRPr="00654C02">
        <w:rPr>
          <w:shd w:val="clear" w:color="auto" w:fill="FFFFFF"/>
          <w:lang w:val="en-GB"/>
        </w:rPr>
        <w:t>,</w:t>
      </w:r>
      <w:r w:rsidR="00E14D89" w:rsidRPr="00654C02">
        <w:rPr>
          <w:shd w:val="clear" w:color="auto" w:fill="FFFFFF"/>
          <w:lang w:val="en-GB"/>
        </w:rPr>
        <w:t xml:space="preserve"> administration of parenteral antibiotics</w:t>
      </w:r>
      <w:r w:rsidR="005A5873" w:rsidRPr="00654C02">
        <w:rPr>
          <w:shd w:val="clear" w:color="auto" w:fill="FFFFFF"/>
          <w:lang w:val="en-GB"/>
        </w:rPr>
        <w:t xml:space="preserve"> and admission</w:t>
      </w:r>
    </w:p>
    <w:p w14:paraId="3E7F36B2" w14:textId="77777777" w:rsidR="00E14D89" w:rsidRPr="00654C02" w:rsidRDefault="00E14D89" w:rsidP="003C6B3F">
      <w:pPr>
        <w:pStyle w:val="BodyText"/>
        <w:spacing w:line="480" w:lineRule="auto"/>
        <w:jc w:val="both"/>
        <w:rPr>
          <w:shd w:val="clear" w:color="auto" w:fill="FFFFFF"/>
          <w:lang w:val="en-GB"/>
        </w:rPr>
      </w:pPr>
    </w:p>
    <w:p w14:paraId="5205015A" w14:textId="417CD12E" w:rsidR="00BC015A" w:rsidRPr="00654C02" w:rsidRDefault="003C6B3F" w:rsidP="003C6B3F">
      <w:pPr>
        <w:pStyle w:val="BodyText"/>
        <w:spacing w:line="480" w:lineRule="auto"/>
        <w:jc w:val="both"/>
        <w:rPr>
          <w:shd w:val="clear" w:color="auto" w:fill="FFFFFF"/>
          <w:lang w:val="en-GB"/>
        </w:rPr>
      </w:pPr>
      <w:r w:rsidRPr="00654C02">
        <w:rPr>
          <w:shd w:val="clear" w:color="auto" w:fill="FFFFFF"/>
          <w:lang w:val="en-GB"/>
        </w:rPr>
        <w:t>Internationally</w:t>
      </w:r>
      <w:r w:rsidR="0049053E">
        <w:rPr>
          <w:shd w:val="clear" w:color="auto" w:fill="FFFFFF"/>
          <w:lang w:val="en-GB"/>
        </w:rPr>
        <w:t>,</w:t>
      </w:r>
      <w:r w:rsidRPr="00654C02">
        <w:rPr>
          <w:shd w:val="clear" w:color="auto" w:fill="FFFFFF"/>
          <w:lang w:val="en-GB"/>
        </w:rPr>
        <w:t xml:space="preserve"> there are a number of validated approaches to the assessment and management of febrile infants including the StepByStep and PECARN clinical practice guidelines (CPGs)</w:t>
      </w:r>
      <w:r w:rsidR="00270458" w:rsidRPr="00654C02">
        <w:rPr>
          <w:shd w:val="clear" w:color="auto" w:fill="FFFFFF"/>
          <w:lang w:val="en-GB"/>
        </w:rPr>
        <w:t xml:space="preserve"> [3,4]</w:t>
      </w:r>
      <w:r w:rsidR="00E14D89" w:rsidRPr="00654C02">
        <w:rPr>
          <w:shd w:val="clear" w:color="auto" w:fill="FFFFFF"/>
          <w:lang w:val="en-GB"/>
        </w:rPr>
        <w:t xml:space="preserve">. These CPGs </w:t>
      </w:r>
      <w:r w:rsidR="0049053E">
        <w:rPr>
          <w:shd w:val="clear" w:color="auto" w:fill="FFFFFF"/>
          <w:lang w:val="en-GB"/>
        </w:rPr>
        <w:t xml:space="preserve">describe </w:t>
      </w:r>
      <w:r w:rsidRPr="00654C02">
        <w:rPr>
          <w:shd w:val="clear" w:color="auto" w:fill="FFFFFF"/>
          <w:lang w:val="en-GB"/>
        </w:rPr>
        <w:t>a tailored approach</w:t>
      </w:r>
      <w:r w:rsidR="00BC015A" w:rsidRPr="00654C02">
        <w:rPr>
          <w:shd w:val="clear" w:color="auto" w:fill="FFFFFF"/>
          <w:lang w:val="en-GB"/>
        </w:rPr>
        <w:t xml:space="preserve"> to</w:t>
      </w:r>
      <w:r w:rsidRPr="00654C02">
        <w:rPr>
          <w:shd w:val="clear" w:color="auto" w:fill="FFFFFF"/>
          <w:lang w:val="en-GB"/>
        </w:rPr>
        <w:t xml:space="preserve"> the management of febrile infants dependent upon age, clinical appearance</w:t>
      </w:r>
      <w:r w:rsidR="00C13630">
        <w:rPr>
          <w:shd w:val="clear" w:color="auto" w:fill="FFFFFF"/>
          <w:lang w:val="en-GB"/>
        </w:rPr>
        <w:t>,</w:t>
      </w:r>
      <w:r w:rsidRPr="00654C02">
        <w:rPr>
          <w:shd w:val="clear" w:color="auto" w:fill="FFFFFF"/>
          <w:lang w:val="en-GB"/>
        </w:rPr>
        <w:t xml:space="preserve"> and </w:t>
      </w:r>
      <w:r w:rsidR="00BC015A" w:rsidRPr="00654C02">
        <w:rPr>
          <w:shd w:val="clear" w:color="auto" w:fill="FFFFFF"/>
          <w:lang w:val="en-GB"/>
        </w:rPr>
        <w:t>lab</w:t>
      </w:r>
      <w:r w:rsidR="00A73337">
        <w:rPr>
          <w:shd w:val="clear" w:color="auto" w:fill="FFFFFF"/>
          <w:lang w:val="en-GB"/>
        </w:rPr>
        <w:t>oratory</w:t>
      </w:r>
      <w:r w:rsidR="00BC015A" w:rsidRPr="00654C02">
        <w:rPr>
          <w:shd w:val="clear" w:color="auto" w:fill="FFFFFF"/>
          <w:lang w:val="en-GB"/>
        </w:rPr>
        <w:t xml:space="preserve"> results</w:t>
      </w:r>
      <w:r w:rsidR="002B58B6">
        <w:rPr>
          <w:shd w:val="clear" w:color="auto" w:fill="FFFFFF"/>
          <w:lang w:val="en-GB"/>
        </w:rPr>
        <w:t xml:space="preserve">. </w:t>
      </w:r>
      <w:r w:rsidR="005A5873" w:rsidRPr="00654C02">
        <w:rPr>
          <w:shd w:val="clear" w:color="auto" w:fill="FFFFFF"/>
          <w:lang w:val="en-GB"/>
        </w:rPr>
        <w:t>Using these</w:t>
      </w:r>
      <w:r w:rsidR="0049053E">
        <w:rPr>
          <w:shd w:val="clear" w:color="auto" w:fill="FFFFFF"/>
          <w:lang w:val="en-GB"/>
        </w:rPr>
        <w:t>,</w:t>
      </w:r>
      <w:r w:rsidR="005A5873" w:rsidRPr="00654C02">
        <w:rPr>
          <w:shd w:val="clear" w:color="auto" w:fill="FFFFFF"/>
          <w:lang w:val="en-GB"/>
        </w:rPr>
        <w:t xml:space="preserve"> s</w:t>
      </w:r>
      <w:r w:rsidR="00B564DD" w:rsidRPr="00654C02">
        <w:rPr>
          <w:shd w:val="clear" w:color="auto" w:fill="FFFFFF"/>
          <w:lang w:val="en-GB"/>
        </w:rPr>
        <w:t xml:space="preserve">ome infants </w:t>
      </w:r>
      <w:r w:rsidR="006A7463">
        <w:rPr>
          <w:shd w:val="clear" w:color="auto" w:fill="FFFFFF"/>
          <w:lang w:val="en-GB"/>
        </w:rPr>
        <w:t xml:space="preserve">can be </w:t>
      </w:r>
      <w:r w:rsidR="00B564DD" w:rsidRPr="00654C02">
        <w:rPr>
          <w:shd w:val="clear" w:color="auto" w:fill="FFFFFF"/>
          <w:lang w:val="en-GB"/>
        </w:rPr>
        <w:t>identified as low risk and discharge</w:t>
      </w:r>
      <w:r w:rsidR="00C13630">
        <w:rPr>
          <w:shd w:val="clear" w:color="auto" w:fill="FFFFFF"/>
          <w:lang w:val="en-GB"/>
        </w:rPr>
        <w:t>d</w:t>
      </w:r>
      <w:r w:rsidR="00B564DD" w:rsidRPr="00654C02">
        <w:rPr>
          <w:shd w:val="clear" w:color="auto" w:fill="FFFFFF"/>
          <w:lang w:val="en-GB"/>
        </w:rPr>
        <w:t xml:space="preserve"> without lumbar puncture and parenteral antibiotics. </w:t>
      </w:r>
      <w:r w:rsidR="005A5873" w:rsidRPr="00654C02">
        <w:rPr>
          <w:shd w:val="clear" w:color="auto" w:fill="FFFFFF"/>
          <w:lang w:val="en-GB"/>
        </w:rPr>
        <w:t>However t</w:t>
      </w:r>
      <w:r w:rsidR="006A7463">
        <w:rPr>
          <w:shd w:val="clear" w:color="auto" w:fill="FFFFFF"/>
          <w:lang w:val="en-GB"/>
        </w:rPr>
        <w:t>he</w:t>
      </w:r>
      <w:r w:rsidR="00C13630">
        <w:rPr>
          <w:shd w:val="clear" w:color="auto" w:fill="FFFFFF"/>
          <w:lang w:val="en-GB"/>
        </w:rPr>
        <w:t>se</w:t>
      </w:r>
      <w:r w:rsidR="00BA547E" w:rsidRPr="00654C02">
        <w:rPr>
          <w:shd w:val="clear" w:color="auto" w:fill="FFFFFF"/>
          <w:lang w:val="en-GB"/>
        </w:rPr>
        <w:t xml:space="preserve"> </w:t>
      </w:r>
      <w:r w:rsidR="006A7463" w:rsidRPr="001573E6">
        <w:rPr>
          <w:shd w:val="clear" w:color="auto" w:fill="FFFFFF"/>
          <w:lang w:val="en-GB"/>
        </w:rPr>
        <w:t xml:space="preserve">CPGs </w:t>
      </w:r>
      <w:r w:rsidR="00C13630">
        <w:rPr>
          <w:shd w:val="clear" w:color="auto" w:fill="FFFFFF"/>
          <w:lang w:val="en-GB"/>
        </w:rPr>
        <w:t xml:space="preserve">cannot currently be widely utilised or validated in the UK &amp; Ireland as they </w:t>
      </w:r>
      <w:r w:rsidR="00BC015A" w:rsidRPr="00654C02">
        <w:rPr>
          <w:shd w:val="clear" w:color="auto" w:fill="FFFFFF"/>
          <w:lang w:val="en-GB"/>
        </w:rPr>
        <w:t xml:space="preserve">require the measurement of blood procalcitonin, a test that is not widely available in </w:t>
      </w:r>
      <w:r w:rsidR="00C13630">
        <w:rPr>
          <w:shd w:val="clear" w:color="auto" w:fill="FFFFFF"/>
          <w:lang w:val="en-GB"/>
        </w:rPr>
        <w:t>this setting</w:t>
      </w:r>
      <w:r w:rsidR="00270458" w:rsidRPr="00654C02">
        <w:rPr>
          <w:shd w:val="clear" w:color="auto" w:fill="FFFFFF"/>
          <w:lang w:val="en-GB"/>
        </w:rPr>
        <w:t xml:space="preserve"> [3,4]</w:t>
      </w:r>
      <w:r w:rsidR="00BC015A" w:rsidRPr="00654C02">
        <w:rPr>
          <w:shd w:val="clear" w:color="auto" w:fill="FFFFFF"/>
          <w:lang w:val="en-GB"/>
        </w:rPr>
        <w:t xml:space="preserve">. </w:t>
      </w:r>
    </w:p>
    <w:p w14:paraId="3ED5025A" w14:textId="77777777" w:rsidR="00BC015A" w:rsidRPr="00654C02" w:rsidRDefault="00BC015A" w:rsidP="003C6B3F">
      <w:pPr>
        <w:pStyle w:val="BodyText"/>
        <w:spacing w:line="480" w:lineRule="auto"/>
        <w:jc w:val="both"/>
        <w:rPr>
          <w:shd w:val="clear" w:color="auto" w:fill="FFFFFF"/>
          <w:lang w:val="en-GB"/>
        </w:rPr>
      </w:pPr>
    </w:p>
    <w:p w14:paraId="474822F2" w14:textId="72BC068C" w:rsidR="00247C9B" w:rsidRDefault="00BC015A" w:rsidP="00F25207">
      <w:pPr>
        <w:pStyle w:val="BodyText"/>
        <w:spacing w:line="480" w:lineRule="auto"/>
        <w:jc w:val="both"/>
        <w:rPr>
          <w:shd w:val="clear" w:color="auto" w:fill="FFFFFF"/>
          <w:lang w:val="en-GB"/>
        </w:rPr>
      </w:pPr>
      <w:r w:rsidRPr="00654C02">
        <w:rPr>
          <w:shd w:val="clear" w:color="auto" w:fill="FFFFFF"/>
          <w:lang w:val="en-GB"/>
        </w:rPr>
        <w:t xml:space="preserve">In the UK and Ireland </w:t>
      </w:r>
      <w:r w:rsidR="00C13630">
        <w:rPr>
          <w:shd w:val="clear" w:color="auto" w:fill="FFFFFF"/>
          <w:lang w:val="en-GB"/>
        </w:rPr>
        <w:t xml:space="preserve">two CPGs from the </w:t>
      </w:r>
      <w:r w:rsidRPr="00654C02">
        <w:rPr>
          <w:shd w:val="clear" w:color="auto" w:fill="FFFFFF"/>
          <w:lang w:val="en-GB"/>
        </w:rPr>
        <w:t xml:space="preserve">National Institute for Health and Care Excellence </w:t>
      </w:r>
      <w:r w:rsidR="006A7463">
        <w:rPr>
          <w:shd w:val="clear" w:color="auto" w:fill="FFFFFF"/>
          <w:lang w:val="en-GB"/>
        </w:rPr>
        <w:t xml:space="preserve">(NICE) </w:t>
      </w:r>
      <w:r w:rsidR="00C13630">
        <w:rPr>
          <w:shd w:val="clear" w:color="auto" w:fill="FFFFFF"/>
          <w:lang w:val="en-GB"/>
        </w:rPr>
        <w:t>which do not utilise procalcitonin are</w:t>
      </w:r>
      <w:r w:rsidRPr="00654C02">
        <w:rPr>
          <w:shd w:val="clear" w:color="auto" w:fill="FFFFFF"/>
          <w:lang w:val="en-GB"/>
        </w:rPr>
        <w:t xml:space="preserve"> </w:t>
      </w:r>
      <w:r w:rsidR="00C13630">
        <w:rPr>
          <w:shd w:val="clear" w:color="auto" w:fill="FFFFFF"/>
          <w:lang w:val="en-GB"/>
        </w:rPr>
        <w:t xml:space="preserve">therefore </w:t>
      </w:r>
      <w:r w:rsidRPr="00654C02">
        <w:rPr>
          <w:shd w:val="clear" w:color="auto" w:fill="FFFFFF"/>
          <w:lang w:val="en-GB"/>
        </w:rPr>
        <w:t>widely used to guide initial assessment and management of febrile infants</w:t>
      </w:r>
      <w:r w:rsidR="00526319">
        <w:rPr>
          <w:shd w:val="clear" w:color="auto" w:fill="FFFFFF"/>
          <w:lang w:val="en-GB"/>
        </w:rPr>
        <w:t xml:space="preserve"> [14,15]</w:t>
      </w:r>
      <w:r w:rsidRPr="00654C02">
        <w:rPr>
          <w:shd w:val="clear" w:color="auto" w:fill="FFFFFF"/>
          <w:lang w:val="en-GB"/>
        </w:rPr>
        <w:t xml:space="preserve">. These are </w:t>
      </w:r>
      <w:r w:rsidR="00C13630">
        <w:rPr>
          <w:shd w:val="clear" w:color="auto" w:fill="FFFFFF"/>
          <w:lang w:val="en-GB"/>
        </w:rPr>
        <w:t>“</w:t>
      </w:r>
      <w:r w:rsidRPr="00654C02">
        <w:rPr>
          <w:shd w:val="clear" w:color="auto" w:fill="FFFFFF"/>
          <w:lang w:val="en-GB"/>
        </w:rPr>
        <w:t>Sepsis: recognition, diagnosis and early management</w:t>
      </w:r>
      <w:r w:rsidR="00C13630">
        <w:rPr>
          <w:shd w:val="clear" w:color="auto" w:fill="FFFFFF"/>
          <w:lang w:val="en-GB"/>
        </w:rPr>
        <w:t>”</w:t>
      </w:r>
      <w:r w:rsidRPr="00654C02">
        <w:rPr>
          <w:shd w:val="clear" w:color="auto" w:fill="FFFFFF"/>
          <w:lang w:val="en-GB"/>
        </w:rPr>
        <w:t xml:space="preserve"> [NICE NG51]</w:t>
      </w:r>
      <w:r w:rsidR="00C13630">
        <w:rPr>
          <w:shd w:val="clear" w:color="auto" w:fill="FFFFFF"/>
          <w:lang w:val="en-GB"/>
        </w:rPr>
        <w:t>,</w:t>
      </w:r>
      <w:r w:rsidRPr="00654C02">
        <w:rPr>
          <w:shd w:val="clear" w:color="auto" w:fill="FFFFFF"/>
          <w:lang w:val="en-GB"/>
        </w:rPr>
        <w:t xml:space="preserve"> and </w:t>
      </w:r>
      <w:r w:rsidR="00C13630">
        <w:rPr>
          <w:shd w:val="clear" w:color="auto" w:fill="FFFFFF"/>
          <w:lang w:val="en-GB"/>
        </w:rPr>
        <w:t>“</w:t>
      </w:r>
      <w:r w:rsidRPr="00654C02">
        <w:rPr>
          <w:shd w:val="clear" w:color="auto" w:fill="FFFFFF"/>
          <w:lang w:val="en-GB"/>
        </w:rPr>
        <w:t>Fever in under 5s: assessment and initial management</w:t>
      </w:r>
      <w:r w:rsidR="00C13630">
        <w:rPr>
          <w:shd w:val="clear" w:color="auto" w:fill="FFFFFF"/>
          <w:lang w:val="en-GB"/>
        </w:rPr>
        <w:t>”</w:t>
      </w:r>
      <w:r w:rsidRPr="00654C02">
        <w:rPr>
          <w:shd w:val="clear" w:color="auto" w:fill="FFFFFF"/>
          <w:lang w:val="en-GB"/>
        </w:rPr>
        <w:t xml:space="preserve"> [NICE NG143]</w:t>
      </w:r>
      <w:r w:rsidR="00D9029E">
        <w:rPr>
          <w:shd w:val="clear" w:color="auto" w:fill="FFFFFF"/>
          <w:lang w:val="en-GB"/>
        </w:rPr>
        <w:t xml:space="preserve"> [</w:t>
      </w:r>
      <w:r w:rsidR="00526319">
        <w:rPr>
          <w:shd w:val="clear" w:color="auto" w:fill="FFFFFF"/>
          <w:lang w:val="en-GB"/>
        </w:rPr>
        <w:t>14,15]</w:t>
      </w:r>
      <w:r w:rsidR="002B58B6">
        <w:rPr>
          <w:shd w:val="clear" w:color="auto" w:fill="FFFFFF"/>
          <w:lang w:val="en-GB"/>
        </w:rPr>
        <w:t xml:space="preserve">. </w:t>
      </w:r>
      <w:r w:rsidR="00C13630">
        <w:rPr>
          <w:shd w:val="clear" w:color="auto" w:fill="FFFFFF"/>
          <w:lang w:val="en-GB"/>
        </w:rPr>
        <w:t xml:space="preserve">These differ in approach despite both applying to febrile young infants. </w:t>
      </w:r>
      <w:r w:rsidRPr="00654C02">
        <w:rPr>
          <w:shd w:val="clear" w:color="auto" w:fill="FFFFFF"/>
          <w:lang w:val="en-GB"/>
        </w:rPr>
        <w:t>NG51 advises all febrile infants under 3 months of age should be treated for suspected sepsis</w:t>
      </w:r>
      <w:r w:rsidR="00C13630">
        <w:rPr>
          <w:shd w:val="clear" w:color="auto" w:fill="FFFFFF"/>
          <w:lang w:val="en-GB"/>
        </w:rPr>
        <w:t>,</w:t>
      </w:r>
      <w:r w:rsidR="00F25207">
        <w:rPr>
          <w:shd w:val="clear" w:color="auto" w:fill="FFFFFF"/>
          <w:lang w:val="en-GB"/>
        </w:rPr>
        <w:t xml:space="preserve"> irrespective of their clinical appearance and laboratory results. </w:t>
      </w:r>
      <w:r w:rsidRPr="00654C02">
        <w:rPr>
          <w:shd w:val="clear" w:color="auto" w:fill="FFFFFF"/>
          <w:lang w:val="en-GB"/>
        </w:rPr>
        <w:t xml:space="preserve"> </w:t>
      </w:r>
      <w:r w:rsidR="00F25207">
        <w:rPr>
          <w:shd w:val="clear" w:color="auto" w:fill="FFFFFF"/>
          <w:lang w:val="en-GB"/>
        </w:rPr>
        <w:t>NICE</w:t>
      </w:r>
      <w:r w:rsidRPr="00654C02">
        <w:rPr>
          <w:shd w:val="clear" w:color="auto" w:fill="FFFFFF"/>
          <w:lang w:val="en-GB"/>
        </w:rPr>
        <w:t xml:space="preserve"> NG143 advocates a tailored approach based on clinical appearance and laboratory result</w:t>
      </w:r>
      <w:r w:rsidR="00916387">
        <w:rPr>
          <w:shd w:val="clear" w:color="auto" w:fill="FFFFFF"/>
          <w:lang w:val="en-GB"/>
        </w:rPr>
        <w:t>s</w:t>
      </w:r>
      <w:r w:rsidR="00F25207">
        <w:rPr>
          <w:shd w:val="clear" w:color="auto" w:fill="FFFFFF"/>
          <w:lang w:val="en-GB"/>
        </w:rPr>
        <w:t xml:space="preserve"> advising that </w:t>
      </w:r>
      <w:r w:rsidR="00F25207" w:rsidRPr="00F25207">
        <w:rPr>
          <w:shd w:val="clear" w:color="auto" w:fill="FFFFFF"/>
          <w:lang w:val="en-GB"/>
        </w:rPr>
        <w:t>parenteral antibiotics</w:t>
      </w:r>
      <w:r w:rsidR="00F25207">
        <w:rPr>
          <w:shd w:val="clear" w:color="auto" w:fill="FFFFFF"/>
          <w:lang w:val="en-GB"/>
        </w:rPr>
        <w:t xml:space="preserve"> are given to all </w:t>
      </w:r>
      <w:r w:rsidR="00F25207" w:rsidRPr="00F25207">
        <w:rPr>
          <w:shd w:val="clear" w:color="auto" w:fill="FFFFFF"/>
          <w:lang w:val="en-GB"/>
        </w:rPr>
        <w:t>infants younger than 1 month with fever</w:t>
      </w:r>
      <w:r w:rsidR="00F25207">
        <w:rPr>
          <w:shd w:val="clear" w:color="auto" w:fill="FFFFFF"/>
          <w:lang w:val="en-GB"/>
        </w:rPr>
        <w:t xml:space="preserve">, </w:t>
      </w:r>
      <w:r w:rsidR="00F25207" w:rsidRPr="00F25207">
        <w:rPr>
          <w:shd w:val="clear" w:color="auto" w:fill="FFFFFF"/>
          <w:lang w:val="en-GB"/>
        </w:rPr>
        <w:t>all infants aged 1–3 months with fever who appear unwell</w:t>
      </w:r>
      <w:r w:rsidR="00F25207">
        <w:rPr>
          <w:shd w:val="clear" w:color="auto" w:fill="FFFFFF"/>
          <w:lang w:val="en-GB"/>
        </w:rPr>
        <w:t xml:space="preserve"> and all </w:t>
      </w:r>
      <w:r w:rsidR="00F25207" w:rsidRPr="00F25207">
        <w:rPr>
          <w:shd w:val="clear" w:color="auto" w:fill="FFFFFF"/>
          <w:lang w:val="en-GB"/>
        </w:rPr>
        <w:t xml:space="preserve">infants aged 1–3 months with WBC less than 5 × 109/litre </w:t>
      </w:r>
      <w:r w:rsidR="00F25207" w:rsidRPr="00F25207">
        <w:rPr>
          <w:shd w:val="clear" w:color="auto" w:fill="FFFFFF"/>
          <w:lang w:val="en-GB"/>
        </w:rPr>
        <w:lastRenderedPageBreak/>
        <w:t xml:space="preserve">or greater than 15 × 109/litre. </w:t>
      </w:r>
    </w:p>
    <w:p w14:paraId="63FE5F0A" w14:textId="77777777" w:rsidR="00301D25" w:rsidRDefault="00301D25" w:rsidP="00F25207">
      <w:pPr>
        <w:pStyle w:val="BodyText"/>
        <w:spacing w:line="480" w:lineRule="auto"/>
        <w:jc w:val="both"/>
        <w:rPr>
          <w:shd w:val="clear" w:color="auto" w:fill="FFFFFF"/>
          <w:lang w:val="en-GB"/>
        </w:rPr>
      </w:pPr>
    </w:p>
    <w:p w14:paraId="5287E601" w14:textId="6834AFC3" w:rsidR="00C13630" w:rsidRPr="00654C02" w:rsidRDefault="00BC015A" w:rsidP="00F25207">
      <w:pPr>
        <w:pStyle w:val="BodyText"/>
        <w:spacing w:line="480" w:lineRule="auto"/>
        <w:jc w:val="both"/>
        <w:rPr>
          <w:shd w:val="clear" w:color="auto" w:fill="FFFFFF"/>
          <w:lang w:val="en-GB"/>
        </w:rPr>
      </w:pPr>
      <w:r w:rsidRPr="00654C02">
        <w:rPr>
          <w:shd w:val="clear" w:color="auto" w:fill="FFFFFF"/>
          <w:lang w:val="en-GB"/>
        </w:rPr>
        <w:t xml:space="preserve">A third </w:t>
      </w:r>
      <w:r w:rsidR="00BA547E" w:rsidRPr="00654C02">
        <w:rPr>
          <w:shd w:val="clear" w:color="auto" w:fill="FFFFFF"/>
          <w:lang w:val="en-GB"/>
        </w:rPr>
        <w:t xml:space="preserve">UK </w:t>
      </w:r>
      <w:r w:rsidRPr="00654C02">
        <w:rPr>
          <w:shd w:val="clear" w:color="auto" w:fill="FFFFFF"/>
          <w:lang w:val="en-GB"/>
        </w:rPr>
        <w:t>CPG has been d</w:t>
      </w:r>
      <w:r w:rsidR="00D94C03">
        <w:rPr>
          <w:shd w:val="clear" w:color="auto" w:fill="FFFFFF"/>
          <w:lang w:val="en-GB"/>
        </w:rPr>
        <w:t>erived</w:t>
      </w:r>
      <w:r w:rsidRPr="00654C02">
        <w:rPr>
          <w:shd w:val="clear" w:color="auto" w:fill="FFFFFF"/>
          <w:lang w:val="en-GB"/>
        </w:rPr>
        <w:t xml:space="preserve"> by the British Society for Antimicrobial Chemotherapy (BSAC) </w:t>
      </w:r>
      <w:r w:rsidR="00C13630">
        <w:rPr>
          <w:shd w:val="clear" w:color="auto" w:fill="FFFFFF"/>
          <w:lang w:val="en-GB"/>
        </w:rPr>
        <w:t xml:space="preserve">which </w:t>
      </w:r>
      <w:r w:rsidR="006A7463">
        <w:rPr>
          <w:shd w:val="clear" w:color="auto" w:fill="FFFFFF"/>
          <w:lang w:val="en-GB"/>
        </w:rPr>
        <w:t>also</w:t>
      </w:r>
      <w:r w:rsidRPr="00654C02">
        <w:rPr>
          <w:shd w:val="clear" w:color="auto" w:fill="FFFFFF"/>
          <w:lang w:val="en-GB"/>
        </w:rPr>
        <w:t xml:space="preserve"> advocates a tailored approach</w:t>
      </w:r>
      <w:r w:rsidR="00247C9B">
        <w:rPr>
          <w:shd w:val="clear" w:color="auto" w:fill="FFFFFF"/>
          <w:lang w:val="en-GB"/>
        </w:rPr>
        <w:t>. The BSAC guidance advises that all infants under one month of age with a fever, all infants aged 1-3 months with a fever who appear unwell and all infants with positive urinalysis or CRP &gt;20mg/l received parenteral antibiotics</w:t>
      </w:r>
      <w:r w:rsidR="00526319">
        <w:rPr>
          <w:shd w:val="clear" w:color="auto" w:fill="FFFFFF"/>
          <w:lang w:val="en-GB"/>
        </w:rPr>
        <w:t xml:space="preserve"> [16</w:t>
      </w:r>
      <w:r w:rsidR="00654C02">
        <w:rPr>
          <w:shd w:val="clear" w:color="auto" w:fill="FFFFFF"/>
          <w:lang w:val="en-GB"/>
        </w:rPr>
        <w:t>]</w:t>
      </w:r>
      <w:r w:rsidRPr="00654C02">
        <w:rPr>
          <w:shd w:val="clear" w:color="auto" w:fill="FFFFFF"/>
          <w:lang w:val="en-GB"/>
        </w:rPr>
        <w:t>.</w:t>
      </w:r>
    </w:p>
    <w:p w14:paraId="48907DFD" w14:textId="77777777" w:rsidR="0049053E" w:rsidRDefault="0049053E" w:rsidP="003C6B3F">
      <w:pPr>
        <w:pStyle w:val="BodyText"/>
        <w:spacing w:line="480" w:lineRule="auto"/>
        <w:jc w:val="both"/>
        <w:rPr>
          <w:shd w:val="clear" w:color="auto" w:fill="FFFFFF"/>
          <w:lang w:val="en-GB"/>
        </w:rPr>
      </w:pPr>
    </w:p>
    <w:p w14:paraId="4B071710" w14:textId="03EC9446" w:rsidR="00BC015A" w:rsidRPr="00654C02" w:rsidRDefault="00BC015A" w:rsidP="003C6B3F">
      <w:pPr>
        <w:pStyle w:val="BodyText"/>
        <w:spacing w:line="480" w:lineRule="auto"/>
        <w:jc w:val="both"/>
        <w:rPr>
          <w:shd w:val="clear" w:color="auto" w:fill="FFFFFF"/>
          <w:lang w:val="en-GB"/>
        </w:rPr>
      </w:pPr>
      <w:r w:rsidRPr="00654C02">
        <w:rPr>
          <w:shd w:val="clear" w:color="auto" w:fill="FFFFFF"/>
          <w:lang w:val="en-GB"/>
        </w:rPr>
        <w:t>The aim</w:t>
      </w:r>
      <w:r w:rsidR="002B770D" w:rsidRPr="00654C02">
        <w:rPr>
          <w:shd w:val="clear" w:color="auto" w:fill="FFFFFF"/>
          <w:lang w:val="en-GB"/>
        </w:rPr>
        <w:t>s</w:t>
      </w:r>
      <w:r w:rsidRPr="00654C02">
        <w:rPr>
          <w:shd w:val="clear" w:color="auto" w:fill="FFFFFF"/>
          <w:lang w:val="en-GB"/>
        </w:rPr>
        <w:t xml:space="preserve"> of this retrospective </w:t>
      </w:r>
      <w:r w:rsidR="002B770D" w:rsidRPr="00654C02">
        <w:rPr>
          <w:shd w:val="clear" w:color="auto" w:fill="FFFFFF"/>
          <w:lang w:val="en-GB"/>
        </w:rPr>
        <w:t xml:space="preserve">observational study were </w:t>
      </w:r>
      <w:r w:rsidRPr="00654C02">
        <w:rPr>
          <w:shd w:val="clear" w:color="auto" w:fill="FFFFFF"/>
          <w:lang w:val="en-GB"/>
        </w:rPr>
        <w:t>to</w:t>
      </w:r>
      <w:r w:rsidR="002B770D" w:rsidRPr="00654C02">
        <w:rPr>
          <w:shd w:val="clear" w:color="auto" w:fill="FFFFFF"/>
          <w:lang w:val="en-GB"/>
        </w:rPr>
        <w:t xml:space="preserve"> report rates of SBI</w:t>
      </w:r>
      <w:r w:rsidR="00A73337">
        <w:rPr>
          <w:shd w:val="clear" w:color="auto" w:fill="FFFFFF"/>
          <w:lang w:val="en-GB"/>
        </w:rPr>
        <w:t>/IBI</w:t>
      </w:r>
      <w:r w:rsidR="002B770D" w:rsidRPr="00654C02">
        <w:rPr>
          <w:shd w:val="clear" w:color="auto" w:fill="FFFFFF"/>
          <w:lang w:val="en-GB"/>
        </w:rPr>
        <w:t xml:space="preserve"> </w:t>
      </w:r>
      <w:r w:rsidR="00590901" w:rsidRPr="00654C02">
        <w:rPr>
          <w:shd w:val="clear" w:color="auto" w:fill="FFFFFF"/>
          <w:lang w:val="en-GB"/>
        </w:rPr>
        <w:t>amongst febrile infants under 90 days of age presenting to UK and Irish hospitals</w:t>
      </w:r>
      <w:r w:rsidR="00C13630">
        <w:rPr>
          <w:shd w:val="clear" w:color="auto" w:fill="FFFFFF"/>
          <w:lang w:val="en-GB"/>
        </w:rPr>
        <w:t>,</w:t>
      </w:r>
      <w:r w:rsidR="00590901" w:rsidRPr="00654C02">
        <w:rPr>
          <w:shd w:val="clear" w:color="auto" w:fill="FFFFFF"/>
          <w:lang w:val="en-GB"/>
        </w:rPr>
        <w:t xml:space="preserve"> to </w:t>
      </w:r>
      <w:r w:rsidR="002B770D" w:rsidRPr="00654C02">
        <w:rPr>
          <w:shd w:val="clear" w:color="auto" w:fill="FFFFFF"/>
          <w:lang w:val="en-GB"/>
        </w:rPr>
        <w:t xml:space="preserve">validate </w:t>
      </w:r>
      <w:r w:rsidR="00C13630">
        <w:rPr>
          <w:shd w:val="clear" w:color="auto" w:fill="FFFFFF"/>
          <w:lang w:val="en-GB"/>
        </w:rPr>
        <w:t>CPGs in use in this setting</w:t>
      </w:r>
      <w:r w:rsidR="0049053E">
        <w:rPr>
          <w:shd w:val="clear" w:color="auto" w:fill="FFFFFF"/>
          <w:lang w:val="en-GB"/>
        </w:rPr>
        <w:t>,</w:t>
      </w:r>
      <w:r w:rsidR="00A73337">
        <w:rPr>
          <w:shd w:val="clear" w:color="auto" w:fill="FFFFFF"/>
          <w:lang w:val="en-GB"/>
        </w:rPr>
        <w:t xml:space="preserve"> and to describe predictors of SBI/IBI.</w:t>
      </w:r>
    </w:p>
    <w:p w14:paraId="6FE99560" w14:textId="631156CA" w:rsidR="003755C6" w:rsidRDefault="003755C6" w:rsidP="008F5047">
      <w:pPr>
        <w:widowControl w:val="0"/>
        <w:autoSpaceDE w:val="0"/>
        <w:autoSpaceDN w:val="0"/>
        <w:adjustRightInd w:val="0"/>
        <w:rPr>
          <w:rFonts w:ascii="Arial" w:hAnsi="Arial" w:cs="Arial"/>
          <w:b/>
          <w:color w:val="333333"/>
          <w:shd w:val="clear" w:color="auto" w:fill="FFFFFF"/>
        </w:rPr>
      </w:pPr>
    </w:p>
    <w:p w14:paraId="00277016" w14:textId="77777777" w:rsidR="003755C6" w:rsidRPr="00E47820" w:rsidRDefault="003755C6" w:rsidP="008F5047">
      <w:pPr>
        <w:widowControl w:val="0"/>
        <w:autoSpaceDE w:val="0"/>
        <w:autoSpaceDN w:val="0"/>
        <w:adjustRightInd w:val="0"/>
        <w:rPr>
          <w:rFonts w:ascii="Arial" w:hAnsi="Arial" w:cs="Arial"/>
          <w:b/>
          <w:color w:val="333333"/>
          <w:shd w:val="clear" w:color="auto" w:fill="FFFFFF"/>
        </w:rPr>
      </w:pPr>
    </w:p>
    <w:p w14:paraId="0EB8E751" w14:textId="093E3E5F" w:rsidR="008F5047" w:rsidRPr="00E47820" w:rsidRDefault="008F5047" w:rsidP="00CA5388">
      <w:pPr>
        <w:widowControl w:val="0"/>
        <w:autoSpaceDE w:val="0"/>
        <w:autoSpaceDN w:val="0"/>
        <w:adjustRightInd w:val="0"/>
        <w:rPr>
          <w:rFonts w:ascii="Arial" w:hAnsi="Arial" w:cs="Arial"/>
          <w:color w:val="333333"/>
          <w:shd w:val="clear" w:color="auto" w:fill="FFFFFF"/>
        </w:rPr>
      </w:pPr>
      <w:r w:rsidRPr="00E47820">
        <w:rPr>
          <w:rFonts w:ascii="Arial" w:hAnsi="Arial" w:cs="Arial"/>
          <w:b/>
          <w:color w:val="333333"/>
          <w:shd w:val="clear" w:color="auto" w:fill="FFFFFF"/>
        </w:rPr>
        <w:t>Methods</w:t>
      </w:r>
      <w:r w:rsidRPr="00E47820">
        <w:rPr>
          <w:rFonts w:ascii="Arial" w:hAnsi="Arial" w:cs="Arial"/>
          <w:color w:val="333333"/>
          <w:shd w:val="clear" w:color="auto" w:fill="FFFFFF"/>
        </w:rPr>
        <w:t xml:space="preserve"> </w:t>
      </w:r>
    </w:p>
    <w:p w14:paraId="1AF9318E" w14:textId="77777777" w:rsidR="008F5047" w:rsidRPr="00E47820" w:rsidRDefault="008F5047" w:rsidP="00CA5388">
      <w:pPr>
        <w:widowControl w:val="0"/>
        <w:autoSpaceDE w:val="0"/>
        <w:autoSpaceDN w:val="0"/>
        <w:adjustRightInd w:val="0"/>
        <w:rPr>
          <w:rFonts w:ascii="Arial" w:hAnsi="Arial" w:cs="Arial"/>
          <w:color w:val="333333"/>
          <w:sz w:val="26"/>
          <w:szCs w:val="26"/>
          <w:shd w:val="clear" w:color="auto" w:fill="FFFFFF"/>
        </w:rPr>
      </w:pPr>
    </w:p>
    <w:p w14:paraId="3962BE86" w14:textId="5D7F2B93" w:rsidR="008F5047" w:rsidRPr="00654C02" w:rsidRDefault="000E3D88" w:rsidP="008F5047">
      <w:pPr>
        <w:pStyle w:val="BodyText"/>
        <w:spacing w:line="480" w:lineRule="auto"/>
        <w:jc w:val="both"/>
        <w:rPr>
          <w:i/>
          <w:shd w:val="clear" w:color="auto" w:fill="FFFFFF"/>
          <w:lang w:val="en-GB"/>
        </w:rPr>
      </w:pPr>
      <w:r w:rsidRPr="00654C02">
        <w:rPr>
          <w:i/>
          <w:shd w:val="clear" w:color="auto" w:fill="FFFFFF"/>
          <w:lang w:val="en-GB"/>
        </w:rPr>
        <w:t>Study d</w:t>
      </w:r>
      <w:r w:rsidR="008F5047" w:rsidRPr="00654C02">
        <w:rPr>
          <w:i/>
          <w:shd w:val="clear" w:color="auto" w:fill="FFFFFF"/>
          <w:lang w:val="en-GB"/>
        </w:rPr>
        <w:t xml:space="preserve">esign </w:t>
      </w:r>
    </w:p>
    <w:p w14:paraId="3E6F0B00" w14:textId="4F988745" w:rsidR="00832B58" w:rsidRDefault="00832B58" w:rsidP="008F5047">
      <w:pPr>
        <w:pStyle w:val="BodyText"/>
        <w:spacing w:line="480" w:lineRule="auto"/>
        <w:jc w:val="both"/>
        <w:rPr>
          <w:shd w:val="clear" w:color="auto" w:fill="FFFFFF"/>
          <w:lang w:val="en-GB"/>
        </w:rPr>
      </w:pPr>
      <w:r w:rsidRPr="00654C02">
        <w:rPr>
          <w:shd w:val="clear" w:color="auto" w:fill="FFFFFF"/>
          <w:lang w:val="en-GB"/>
        </w:rPr>
        <w:t xml:space="preserve">The protocol </w:t>
      </w:r>
      <w:r w:rsidR="0049053E">
        <w:rPr>
          <w:shd w:val="clear" w:color="auto" w:fill="FFFFFF"/>
          <w:lang w:val="en-GB"/>
        </w:rPr>
        <w:t>is</w:t>
      </w:r>
      <w:r w:rsidRPr="00654C02">
        <w:rPr>
          <w:shd w:val="clear" w:color="auto" w:fill="FFFFFF"/>
          <w:lang w:val="en-GB"/>
        </w:rPr>
        <w:t xml:space="preserve"> available at </w:t>
      </w:r>
      <w:hyperlink r:id="rId12" w:history="1">
        <w:r w:rsidRPr="00654C02">
          <w:rPr>
            <w:rStyle w:val="Hyperlink"/>
            <w:shd w:val="clear" w:color="auto" w:fill="FFFFFF"/>
            <w:lang w:val="en-GB"/>
          </w:rPr>
          <w:t>www.clinicaltrials.gov</w:t>
        </w:r>
      </w:hyperlink>
      <w:r w:rsidRPr="00654C02">
        <w:rPr>
          <w:shd w:val="clear" w:color="auto" w:fill="FFFFFF"/>
          <w:lang w:val="en-GB"/>
        </w:rPr>
        <w:t xml:space="preserve"> and adheres to the TRIPOD statement for prediction model validation (TRIPOD checklist in supplementary material)</w:t>
      </w:r>
      <w:r w:rsidR="00C26679">
        <w:rPr>
          <w:shd w:val="clear" w:color="auto" w:fill="FFFFFF"/>
          <w:lang w:val="en-GB"/>
        </w:rPr>
        <w:t xml:space="preserve"> [17]</w:t>
      </w:r>
      <w:r w:rsidRPr="00654C02">
        <w:rPr>
          <w:shd w:val="clear" w:color="auto" w:fill="FFFFFF"/>
          <w:lang w:val="en-GB"/>
        </w:rPr>
        <w:t xml:space="preserve">. </w:t>
      </w:r>
      <w:r w:rsidR="008F5047" w:rsidRPr="00654C02">
        <w:rPr>
          <w:shd w:val="clear" w:color="auto" w:fill="FFFFFF"/>
          <w:lang w:val="en-GB"/>
        </w:rPr>
        <w:t xml:space="preserve">This </w:t>
      </w:r>
      <w:r w:rsidR="00DC403A" w:rsidRPr="00654C02">
        <w:rPr>
          <w:shd w:val="clear" w:color="auto" w:fill="FFFFFF"/>
          <w:lang w:val="en-GB"/>
        </w:rPr>
        <w:t>retrospective multicentre observational</w:t>
      </w:r>
      <w:r w:rsidR="008F5047" w:rsidRPr="00654C02">
        <w:rPr>
          <w:shd w:val="clear" w:color="auto" w:fill="FFFFFF"/>
          <w:lang w:val="en-GB"/>
        </w:rPr>
        <w:t xml:space="preserve"> study was conduc</w:t>
      </w:r>
      <w:r w:rsidR="00DC403A" w:rsidRPr="00654C02">
        <w:rPr>
          <w:shd w:val="clear" w:color="auto" w:fill="FFFFFF"/>
          <w:lang w:val="en-GB"/>
        </w:rPr>
        <w:t xml:space="preserve">ted at </w:t>
      </w:r>
      <w:r w:rsidR="00526319">
        <w:rPr>
          <w:shd w:val="clear" w:color="auto" w:fill="FFFFFF"/>
          <w:lang w:val="en-GB"/>
        </w:rPr>
        <w:t>six</w:t>
      </w:r>
      <w:r w:rsidR="00B87D1D" w:rsidRPr="00654C02">
        <w:rPr>
          <w:shd w:val="clear" w:color="auto" w:fill="FFFFFF"/>
          <w:lang w:val="en-GB"/>
        </w:rPr>
        <w:t xml:space="preserve"> UK </w:t>
      </w:r>
      <w:r w:rsidR="00DC403A" w:rsidRPr="00654C02">
        <w:rPr>
          <w:shd w:val="clear" w:color="auto" w:fill="FFFFFF"/>
          <w:lang w:val="en-GB"/>
        </w:rPr>
        <w:t xml:space="preserve">and Irish </w:t>
      </w:r>
      <w:r w:rsidR="00D94C03">
        <w:rPr>
          <w:shd w:val="clear" w:color="auto" w:fill="FFFFFF"/>
          <w:lang w:val="en-GB"/>
        </w:rPr>
        <w:t xml:space="preserve">tertiary </w:t>
      </w:r>
      <w:r w:rsidR="00B87D1D" w:rsidRPr="00654C02">
        <w:rPr>
          <w:shd w:val="clear" w:color="auto" w:fill="FFFFFF"/>
          <w:lang w:val="en-GB"/>
        </w:rPr>
        <w:t>p</w:t>
      </w:r>
      <w:r w:rsidR="008F5047" w:rsidRPr="00654C02">
        <w:rPr>
          <w:shd w:val="clear" w:color="auto" w:fill="FFFFFF"/>
          <w:lang w:val="en-GB"/>
        </w:rPr>
        <w:t xml:space="preserve">aediatric Emergency </w:t>
      </w:r>
      <w:r w:rsidR="00B87D1D" w:rsidRPr="00654C02">
        <w:rPr>
          <w:shd w:val="clear" w:color="auto" w:fill="FFFFFF"/>
          <w:lang w:val="en-GB"/>
        </w:rPr>
        <w:t>Departments</w:t>
      </w:r>
      <w:r w:rsidR="00036F08">
        <w:rPr>
          <w:shd w:val="clear" w:color="auto" w:fill="FFFFFF"/>
          <w:lang w:val="en-GB"/>
        </w:rPr>
        <w:t xml:space="preserve"> </w:t>
      </w:r>
      <w:r w:rsidR="003C6B3F" w:rsidRPr="00654C02">
        <w:rPr>
          <w:shd w:val="clear" w:color="auto" w:fill="FFFFFF"/>
          <w:lang w:val="en-GB"/>
        </w:rPr>
        <w:t>(ED)</w:t>
      </w:r>
      <w:r w:rsidR="00247C9B">
        <w:rPr>
          <w:shd w:val="clear" w:color="auto" w:fill="FFFFFF"/>
          <w:lang w:val="en-GB"/>
        </w:rPr>
        <w:t xml:space="preserve"> selected</w:t>
      </w:r>
      <w:r w:rsidR="002E08AF">
        <w:rPr>
          <w:shd w:val="clear" w:color="auto" w:fill="FFFFFF"/>
          <w:lang w:val="en-GB"/>
        </w:rPr>
        <w:t xml:space="preserve"> </w:t>
      </w:r>
      <w:r w:rsidR="00247C9B">
        <w:rPr>
          <w:shd w:val="clear" w:color="auto" w:fill="FFFFFF"/>
          <w:lang w:val="en-GB"/>
        </w:rPr>
        <w:t>from the PERUKI network</w:t>
      </w:r>
      <w:r w:rsidR="002B58B6">
        <w:rPr>
          <w:shd w:val="clear" w:color="auto" w:fill="FFFFFF"/>
          <w:lang w:val="en-GB"/>
        </w:rPr>
        <w:t xml:space="preserve">. </w:t>
      </w:r>
      <w:r w:rsidR="00DC403A" w:rsidRPr="00654C02">
        <w:rPr>
          <w:shd w:val="clear" w:color="auto" w:fill="FFFFFF"/>
          <w:lang w:val="en-GB"/>
        </w:rPr>
        <w:t>Infants aged 90 days or younger attend</w:t>
      </w:r>
      <w:r w:rsidR="0049053E">
        <w:rPr>
          <w:shd w:val="clear" w:color="auto" w:fill="FFFFFF"/>
          <w:lang w:val="en-GB"/>
        </w:rPr>
        <w:t>ing</w:t>
      </w:r>
      <w:r w:rsidR="00DC403A" w:rsidRPr="00654C02">
        <w:rPr>
          <w:shd w:val="clear" w:color="auto" w:fill="FFFFFF"/>
          <w:lang w:val="en-GB"/>
        </w:rPr>
        <w:t xml:space="preserve"> </w:t>
      </w:r>
      <w:r w:rsidR="008F5047" w:rsidRPr="00654C02">
        <w:rPr>
          <w:shd w:val="clear" w:color="auto" w:fill="FFFFFF"/>
          <w:lang w:val="en-GB"/>
        </w:rPr>
        <w:t xml:space="preserve">between </w:t>
      </w:r>
      <w:r w:rsidR="00DC403A" w:rsidRPr="00654C02">
        <w:rPr>
          <w:shd w:val="clear" w:color="auto" w:fill="FFFFFF"/>
          <w:lang w:val="en-GB"/>
        </w:rPr>
        <w:t>31/08/2018</w:t>
      </w:r>
      <w:r w:rsidR="0049053E">
        <w:rPr>
          <w:shd w:val="clear" w:color="auto" w:fill="FFFFFF"/>
          <w:lang w:val="en-GB"/>
        </w:rPr>
        <w:t xml:space="preserve"> - </w:t>
      </w:r>
      <w:r w:rsidR="00DC403A" w:rsidRPr="00654C02">
        <w:rPr>
          <w:shd w:val="clear" w:color="auto" w:fill="FFFFFF"/>
          <w:lang w:val="en-GB"/>
        </w:rPr>
        <w:t>01/09/2019</w:t>
      </w:r>
      <w:r w:rsidR="008F5047" w:rsidRPr="00654C02">
        <w:rPr>
          <w:shd w:val="clear" w:color="auto" w:fill="FFFFFF"/>
          <w:lang w:val="en-GB"/>
        </w:rPr>
        <w:t xml:space="preserve"> </w:t>
      </w:r>
      <w:r w:rsidR="00DC403A" w:rsidRPr="00654C02">
        <w:rPr>
          <w:shd w:val="clear" w:color="auto" w:fill="FFFFFF"/>
          <w:lang w:val="en-GB"/>
        </w:rPr>
        <w:t>were screened for inclusion</w:t>
      </w:r>
      <w:r w:rsidR="002E08AF">
        <w:rPr>
          <w:shd w:val="clear" w:color="auto" w:fill="FFFFFF"/>
          <w:lang w:val="en-GB"/>
        </w:rPr>
        <w:t xml:space="preserve"> by searching emergency clinical software databases for all infants under 90 days of age presenting with a febrile illness</w:t>
      </w:r>
      <w:r w:rsidR="008F5047" w:rsidRPr="00654C02">
        <w:rPr>
          <w:shd w:val="clear" w:color="auto" w:fill="FFFFFF"/>
          <w:lang w:val="en-GB"/>
        </w:rPr>
        <w:t>.</w:t>
      </w:r>
      <w:r w:rsidR="002E08AF">
        <w:rPr>
          <w:shd w:val="clear" w:color="auto" w:fill="FFFFFF"/>
          <w:lang w:val="en-GB"/>
        </w:rPr>
        <w:t xml:space="preserve"> </w:t>
      </w:r>
      <w:r w:rsidR="008F5047" w:rsidRPr="00654C02">
        <w:rPr>
          <w:shd w:val="clear" w:color="auto" w:fill="FFFFFF"/>
          <w:lang w:val="en-GB"/>
        </w:rPr>
        <w:t>Participating centres were distributed across the UK</w:t>
      </w:r>
      <w:r w:rsidR="00DC403A" w:rsidRPr="00654C02">
        <w:rPr>
          <w:shd w:val="clear" w:color="auto" w:fill="FFFFFF"/>
          <w:lang w:val="en-GB"/>
        </w:rPr>
        <w:t xml:space="preserve"> and Ireland</w:t>
      </w:r>
      <w:r w:rsidR="008F5047" w:rsidRPr="00654C02">
        <w:rPr>
          <w:shd w:val="clear" w:color="auto" w:fill="FFFFFF"/>
          <w:lang w:val="en-GB"/>
        </w:rPr>
        <w:t xml:space="preserve"> with one centre in Northern Ireland, </w:t>
      </w:r>
      <w:r w:rsidR="00DC403A" w:rsidRPr="00654C02">
        <w:rPr>
          <w:shd w:val="clear" w:color="auto" w:fill="FFFFFF"/>
          <w:lang w:val="en-GB"/>
        </w:rPr>
        <w:t>one in Scotland, three in England</w:t>
      </w:r>
      <w:r w:rsidR="00036F08">
        <w:rPr>
          <w:shd w:val="clear" w:color="auto" w:fill="FFFFFF"/>
          <w:lang w:val="en-GB"/>
        </w:rPr>
        <w:t>,</w:t>
      </w:r>
      <w:r w:rsidR="00DC403A" w:rsidRPr="00654C02">
        <w:rPr>
          <w:shd w:val="clear" w:color="auto" w:fill="FFFFFF"/>
          <w:lang w:val="en-GB"/>
        </w:rPr>
        <w:t xml:space="preserve"> and </w:t>
      </w:r>
      <w:r w:rsidR="00526319">
        <w:rPr>
          <w:shd w:val="clear" w:color="auto" w:fill="FFFFFF"/>
          <w:lang w:val="en-GB"/>
        </w:rPr>
        <w:t xml:space="preserve">one </w:t>
      </w:r>
      <w:r w:rsidR="00DC403A" w:rsidRPr="00654C02">
        <w:rPr>
          <w:shd w:val="clear" w:color="auto" w:fill="FFFFFF"/>
          <w:lang w:val="en-GB"/>
        </w:rPr>
        <w:t>in Ireland. All were</w:t>
      </w:r>
      <w:r w:rsidR="008F5047" w:rsidRPr="00654C02">
        <w:rPr>
          <w:shd w:val="clear" w:color="auto" w:fill="FFFFFF"/>
          <w:lang w:val="en-GB"/>
        </w:rPr>
        <w:t xml:space="preserve"> paediatric hospitals</w:t>
      </w:r>
      <w:r w:rsidR="00526319">
        <w:rPr>
          <w:shd w:val="clear" w:color="auto" w:fill="FFFFFF"/>
          <w:lang w:val="en-GB"/>
        </w:rPr>
        <w:t xml:space="preserve"> with </w:t>
      </w:r>
      <w:r w:rsidR="00036F08">
        <w:rPr>
          <w:shd w:val="clear" w:color="auto" w:fill="FFFFFF"/>
          <w:lang w:val="en-GB"/>
        </w:rPr>
        <w:t xml:space="preserve">a </w:t>
      </w:r>
      <w:r w:rsidR="00526319">
        <w:rPr>
          <w:shd w:val="clear" w:color="auto" w:fill="FFFFFF"/>
          <w:lang w:val="en-GB"/>
        </w:rPr>
        <w:t>combined annual</w:t>
      </w:r>
      <w:r w:rsidR="00036F08">
        <w:rPr>
          <w:shd w:val="clear" w:color="auto" w:fill="FFFFFF"/>
          <w:lang w:val="en-GB"/>
        </w:rPr>
        <w:t xml:space="preserve"> </w:t>
      </w:r>
      <w:r w:rsidR="00526319">
        <w:rPr>
          <w:shd w:val="clear" w:color="auto" w:fill="FFFFFF"/>
          <w:lang w:val="en-GB"/>
        </w:rPr>
        <w:t>ED</w:t>
      </w:r>
      <w:r w:rsidR="00036F08">
        <w:rPr>
          <w:shd w:val="clear" w:color="auto" w:fill="FFFFFF"/>
          <w:lang w:val="en-GB"/>
        </w:rPr>
        <w:t xml:space="preserve"> census</w:t>
      </w:r>
      <w:r w:rsidR="00526319">
        <w:rPr>
          <w:shd w:val="clear" w:color="auto" w:fill="FFFFFF"/>
          <w:lang w:val="en-GB"/>
        </w:rPr>
        <w:t xml:space="preserve"> of approximately 390,000 children</w:t>
      </w:r>
      <w:r w:rsidR="008F5047" w:rsidRPr="00654C02">
        <w:rPr>
          <w:shd w:val="clear" w:color="auto" w:fill="FFFFFF"/>
          <w:lang w:val="en-GB"/>
        </w:rPr>
        <w:t xml:space="preserve">. </w:t>
      </w:r>
      <w:r w:rsidR="00036F08">
        <w:rPr>
          <w:shd w:val="clear" w:color="auto" w:fill="FFFFFF"/>
          <w:lang w:val="en-GB"/>
        </w:rPr>
        <w:t xml:space="preserve">Patients </w:t>
      </w:r>
      <w:r w:rsidR="008F5047" w:rsidRPr="00654C02">
        <w:rPr>
          <w:shd w:val="clear" w:color="auto" w:fill="FFFFFF"/>
          <w:lang w:val="en-GB"/>
        </w:rPr>
        <w:t xml:space="preserve">with </w:t>
      </w:r>
      <w:r w:rsidR="00DC403A" w:rsidRPr="00654C02">
        <w:rPr>
          <w:shd w:val="clear" w:color="auto" w:fill="FFFFFF"/>
          <w:lang w:val="en-GB"/>
        </w:rPr>
        <w:t>a</w:t>
      </w:r>
      <w:r w:rsidR="008F5047" w:rsidRPr="00654C02">
        <w:rPr>
          <w:shd w:val="clear" w:color="auto" w:fill="FFFFFF"/>
          <w:lang w:val="en-GB"/>
        </w:rPr>
        <w:t xml:space="preserve"> recorded fever (≥38°C) </w:t>
      </w:r>
      <w:r w:rsidR="00DC403A" w:rsidRPr="00654C02">
        <w:rPr>
          <w:shd w:val="clear" w:color="auto" w:fill="FFFFFF"/>
          <w:lang w:val="en-GB"/>
        </w:rPr>
        <w:t xml:space="preserve">at triage </w:t>
      </w:r>
      <w:r w:rsidR="008F5047" w:rsidRPr="00654C02">
        <w:rPr>
          <w:shd w:val="clear" w:color="auto" w:fill="FFFFFF"/>
          <w:lang w:val="en-GB"/>
        </w:rPr>
        <w:t xml:space="preserve">were eligible for inclusion. </w:t>
      </w:r>
      <w:r w:rsidR="00270458" w:rsidRPr="00654C02">
        <w:rPr>
          <w:shd w:val="clear" w:color="auto" w:fill="FFFFFF"/>
          <w:lang w:val="en-GB"/>
        </w:rPr>
        <w:t>There were no exclusion criteria.</w:t>
      </w:r>
    </w:p>
    <w:p w14:paraId="336BB702" w14:textId="19A5BA65" w:rsidR="00526319" w:rsidRDefault="00526319" w:rsidP="008F5047">
      <w:pPr>
        <w:pStyle w:val="BodyText"/>
        <w:spacing w:line="480" w:lineRule="auto"/>
        <w:jc w:val="both"/>
        <w:rPr>
          <w:shd w:val="clear" w:color="auto" w:fill="FFFFFF"/>
          <w:lang w:val="en-GB"/>
        </w:rPr>
      </w:pPr>
    </w:p>
    <w:p w14:paraId="05EC7835" w14:textId="77777777" w:rsidR="002E08AF" w:rsidRPr="00654C02" w:rsidRDefault="002E08AF" w:rsidP="008F5047">
      <w:pPr>
        <w:pStyle w:val="BodyText"/>
        <w:spacing w:line="480" w:lineRule="auto"/>
        <w:jc w:val="both"/>
        <w:rPr>
          <w:shd w:val="clear" w:color="auto" w:fill="FFFFFF"/>
          <w:lang w:val="en-GB"/>
        </w:rPr>
      </w:pPr>
    </w:p>
    <w:p w14:paraId="6EBC1817" w14:textId="77777777" w:rsidR="000E3D88" w:rsidRPr="00654C02" w:rsidRDefault="008F5047" w:rsidP="008F5047">
      <w:pPr>
        <w:pStyle w:val="BodyText"/>
        <w:spacing w:line="480" w:lineRule="auto"/>
        <w:jc w:val="both"/>
        <w:rPr>
          <w:i/>
          <w:shd w:val="clear" w:color="auto" w:fill="FFFFFF"/>
          <w:lang w:val="en-GB"/>
        </w:rPr>
      </w:pPr>
      <w:r w:rsidRPr="00654C02">
        <w:rPr>
          <w:i/>
          <w:shd w:val="clear" w:color="auto" w:fill="FFFFFF"/>
          <w:lang w:val="en-GB"/>
        </w:rPr>
        <w:lastRenderedPageBreak/>
        <w:t xml:space="preserve">Outcome measures </w:t>
      </w:r>
    </w:p>
    <w:p w14:paraId="4968CA5D" w14:textId="77777777" w:rsidR="00D94C03" w:rsidRDefault="008F5047" w:rsidP="008F5047">
      <w:pPr>
        <w:pStyle w:val="BodyText"/>
        <w:spacing w:line="480" w:lineRule="auto"/>
        <w:jc w:val="both"/>
        <w:rPr>
          <w:shd w:val="clear" w:color="auto" w:fill="FFFFFF"/>
          <w:lang w:val="en-GB"/>
        </w:rPr>
      </w:pPr>
      <w:r w:rsidRPr="00654C02">
        <w:rPr>
          <w:shd w:val="clear" w:color="auto" w:fill="FFFFFF"/>
          <w:lang w:val="en-GB"/>
        </w:rPr>
        <w:t>The primary outcome measure</w:t>
      </w:r>
      <w:r w:rsidR="00D94C03">
        <w:rPr>
          <w:shd w:val="clear" w:color="auto" w:fill="FFFFFF"/>
          <w:lang w:val="en-GB"/>
        </w:rPr>
        <w:t>s were</w:t>
      </w:r>
      <w:r w:rsidRPr="00654C02">
        <w:rPr>
          <w:shd w:val="clear" w:color="auto" w:fill="FFFFFF"/>
          <w:lang w:val="en-GB"/>
        </w:rPr>
        <w:t xml:space="preserve"> </w:t>
      </w:r>
    </w:p>
    <w:p w14:paraId="7C1BADDE" w14:textId="5C7D815B" w:rsidR="00D94C03" w:rsidRDefault="00D94C03" w:rsidP="00D94C03">
      <w:pPr>
        <w:pStyle w:val="BodyText"/>
        <w:numPr>
          <w:ilvl w:val="0"/>
          <w:numId w:val="49"/>
        </w:numPr>
        <w:spacing w:line="480" w:lineRule="auto"/>
        <w:jc w:val="both"/>
        <w:rPr>
          <w:shd w:val="clear" w:color="auto" w:fill="FFFFFF"/>
          <w:lang w:val="en-GB"/>
        </w:rPr>
      </w:pPr>
      <w:r>
        <w:rPr>
          <w:shd w:val="clear" w:color="auto" w:fill="FFFFFF"/>
          <w:lang w:val="en-GB"/>
        </w:rPr>
        <w:t>performance</w:t>
      </w:r>
      <w:r w:rsidR="005536AE" w:rsidRPr="00654C02">
        <w:rPr>
          <w:shd w:val="clear" w:color="auto" w:fill="FFFFFF"/>
          <w:lang w:val="en-GB"/>
        </w:rPr>
        <w:t xml:space="preserve"> </w:t>
      </w:r>
      <w:r w:rsidR="0049053E">
        <w:rPr>
          <w:shd w:val="clear" w:color="auto" w:fill="FFFFFF"/>
          <w:lang w:val="en-GB"/>
        </w:rPr>
        <w:t xml:space="preserve">accuracy </w:t>
      </w:r>
      <w:r w:rsidR="005536AE" w:rsidRPr="00654C02">
        <w:rPr>
          <w:shd w:val="clear" w:color="auto" w:fill="FFFFFF"/>
          <w:lang w:val="en-GB"/>
        </w:rPr>
        <w:t>of CPGs</w:t>
      </w:r>
      <w:r>
        <w:rPr>
          <w:shd w:val="clear" w:color="auto" w:fill="FFFFFF"/>
          <w:lang w:val="en-GB"/>
        </w:rPr>
        <w:t xml:space="preserve"> (NICE NG51</w:t>
      </w:r>
      <w:r w:rsidR="00702ECD">
        <w:rPr>
          <w:shd w:val="clear" w:color="auto" w:fill="FFFFFF"/>
          <w:lang w:val="en-GB"/>
        </w:rPr>
        <w:t>, NICE NG143 and BSAC)</w:t>
      </w:r>
      <w:r w:rsidR="005536AE" w:rsidRPr="00654C02">
        <w:rPr>
          <w:shd w:val="clear" w:color="auto" w:fill="FFFFFF"/>
          <w:lang w:val="en-GB"/>
        </w:rPr>
        <w:t xml:space="preserve"> </w:t>
      </w:r>
      <w:r w:rsidR="00036F08">
        <w:rPr>
          <w:shd w:val="clear" w:color="auto" w:fill="FFFFFF"/>
          <w:lang w:val="en-GB"/>
        </w:rPr>
        <w:t>in</w:t>
      </w:r>
      <w:r w:rsidR="008F5047" w:rsidRPr="00654C02">
        <w:rPr>
          <w:shd w:val="clear" w:color="auto" w:fill="FFFFFF"/>
          <w:lang w:val="en-GB"/>
        </w:rPr>
        <w:t xml:space="preserve"> identifying </w:t>
      </w:r>
      <w:r w:rsidR="00DC403A" w:rsidRPr="00654C02">
        <w:rPr>
          <w:shd w:val="clear" w:color="auto" w:fill="FFFFFF"/>
          <w:lang w:val="en-GB"/>
        </w:rPr>
        <w:t xml:space="preserve">infants </w:t>
      </w:r>
      <w:r w:rsidR="008F5047" w:rsidRPr="00654C02">
        <w:rPr>
          <w:shd w:val="clear" w:color="auto" w:fill="FFFFFF"/>
          <w:lang w:val="en-GB"/>
        </w:rPr>
        <w:t xml:space="preserve">with </w:t>
      </w:r>
      <w:r w:rsidR="00A73337">
        <w:rPr>
          <w:shd w:val="clear" w:color="auto" w:fill="FFFFFF"/>
          <w:lang w:val="en-GB"/>
        </w:rPr>
        <w:t>IBI/SBI</w:t>
      </w:r>
      <w:r w:rsidR="008F5047" w:rsidRPr="00654C02">
        <w:rPr>
          <w:shd w:val="clear" w:color="auto" w:fill="FFFFFF"/>
          <w:lang w:val="en-GB"/>
        </w:rPr>
        <w:t xml:space="preserve"> </w:t>
      </w:r>
    </w:p>
    <w:p w14:paraId="3A28D442" w14:textId="55D869C8" w:rsidR="00D94C03" w:rsidRDefault="00702ECD" w:rsidP="008F5047">
      <w:pPr>
        <w:pStyle w:val="BodyText"/>
        <w:numPr>
          <w:ilvl w:val="0"/>
          <w:numId w:val="49"/>
        </w:numPr>
        <w:spacing w:line="480" w:lineRule="auto"/>
        <w:jc w:val="both"/>
        <w:rPr>
          <w:shd w:val="clear" w:color="auto" w:fill="FFFFFF"/>
          <w:lang w:val="en-GB"/>
        </w:rPr>
      </w:pPr>
      <w:r>
        <w:rPr>
          <w:shd w:val="clear" w:color="auto" w:fill="FFFFFF"/>
          <w:lang w:val="en-GB"/>
        </w:rPr>
        <w:t xml:space="preserve">performance </w:t>
      </w:r>
      <w:r w:rsidR="0049053E">
        <w:rPr>
          <w:shd w:val="clear" w:color="auto" w:fill="FFFFFF"/>
          <w:lang w:val="en-GB"/>
        </w:rPr>
        <w:t xml:space="preserve">accuracy </w:t>
      </w:r>
      <w:r>
        <w:rPr>
          <w:shd w:val="clear" w:color="auto" w:fill="FFFFFF"/>
          <w:lang w:val="en-GB"/>
        </w:rPr>
        <w:t xml:space="preserve">of clinicians in </w:t>
      </w:r>
      <w:r w:rsidRPr="00654C02">
        <w:rPr>
          <w:shd w:val="clear" w:color="auto" w:fill="FFFFFF"/>
          <w:lang w:val="en-GB"/>
        </w:rPr>
        <w:t xml:space="preserve">identifying infants with </w:t>
      </w:r>
      <w:r w:rsidR="00A73337">
        <w:rPr>
          <w:shd w:val="clear" w:color="auto" w:fill="FFFFFF"/>
          <w:lang w:val="en-GB"/>
        </w:rPr>
        <w:t>IBI/SBI</w:t>
      </w:r>
    </w:p>
    <w:p w14:paraId="7ED8C426" w14:textId="77777777" w:rsidR="00A73337" w:rsidRPr="00702ECD" w:rsidRDefault="00A73337" w:rsidP="00A73337">
      <w:pPr>
        <w:pStyle w:val="BodyText"/>
        <w:spacing w:line="480" w:lineRule="auto"/>
        <w:ind w:left="1080"/>
        <w:jc w:val="both"/>
        <w:rPr>
          <w:shd w:val="clear" w:color="auto" w:fill="FFFFFF"/>
          <w:lang w:val="en-GB"/>
        </w:rPr>
      </w:pPr>
    </w:p>
    <w:p w14:paraId="5294FCB7" w14:textId="6A5F1072" w:rsidR="00D94C03" w:rsidRDefault="0049053E" w:rsidP="008F5047">
      <w:pPr>
        <w:pStyle w:val="BodyText"/>
        <w:spacing w:line="480" w:lineRule="auto"/>
        <w:jc w:val="both"/>
        <w:rPr>
          <w:shd w:val="clear" w:color="auto" w:fill="FFFFFF"/>
          <w:lang w:val="en-GB"/>
        </w:rPr>
      </w:pPr>
      <w:r>
        <w:rPr>
          <w:shd w:val="clear" w:color="auto" w:fill="FFFFFF"/>
          <w:lang w:val="en-GB"/>
        </w:rPr>
        <w:t>S</w:t>
      </w:r>
      <w:r w:rsidR="00D94C03">
        <w:rPr>
          <w:shd w:val="clear" w:color="auto" w:fill="FFFFFF"/>
          <w:lang w:val="en-GB"/>
        </w:rPr>
        <w:t xml:space="preserve">econdary outcomes were </w:t>
      </w:r>
    </w:p>
    <w:p w14:paraId="745877BF" w14:textId="5C06C9BE" w:rsidR="00D94C03" w:rsidRDefault="00D94C03" w:rsidP="00D94C03">
      <w:pPr>
        <w:pStyle w:val="BodyText"/>
        <w:numPr>
          <w:ilvl w:val="0"/>
          <w:numId w:val="48"/>
        </w:numPr>
        <w:spacing w:line="480" w:lineRule="auto"/>
        <w:jc w:val="both"/>
        <w:rPr>
          <w:shd w:val="clear" w:color="auto" w:fill="FFFFFF"/>
          <w:lang w:val="en-GB"/>
        </w:rPr>
      </w:pPr>
      <w:r>
        <w:rPr>
          <w:shd w:val="clear" w:color="auto" w:fill="FFFFFF"/>
          <w:lang w:val="en-GB"/>
        </w:rPr>
        <w:t>rates</w:t>
      </w:r>
      <w:r w:rsidR="00A73337">
        <w:rPr>
          <w:shd w:val="clear" w:color="auto" w:fill="FFFFFF"/>
          <w:lang w:val="en-GB"/>
        </w:rPr>
        <w:t xml:space="preserve"> and types</w:t>
      </w:r>
      <w:r>
        <w:rPr>
          <w:shd w:val="clear" w:color="auto" w:fill="FFFFFF"/>
          <w:lang w:val="en-GB"/>
        </w:rPr>
        <w:t xml:space="preserve"> of </w:t>
      </w:r>
      <w:r w:rsidR="00A73337">
        <w:rPr>
          <w:shd w:val="clear" w:color="auto" w:fill="FFFFFF"/>
          <w:lang w:val="en-GB"/>
        </w:rPr>
        <w:t>SBI/IBI</w:t>
      </w:r>
      <w:r>
        <w:rPr>
          <w:shd w:val="clear" w:color="auto" w:fill="FFFFFF"/>
          <w:lang w:val="en-GB"/>
        </w:rPr>
        <w:t xml:space="preserve"> </w:t>
      </w:r>
    </w:p>
    <w:p w14:paraId="1F45B219" w14:textId="0B76602F" w:rsidR="00D94C03" w:rsidRDefault="00D94C03" w:rsidP="00270458">
      <w:pPr>
        <w:pStyle w:val="BodyText"/>
        <w:numPr>
          <w:ilvl w:val="0"/>
          <w:numId w:val="48"/>
        </w:numPr>
        <w:spacing w:line="480" w:lineRule="auto"/>
        <w:jc w:val="both"/>
        <w:rPr>
          <w:shd w:val="clear" w:color="auto" w:fill="FFFFFF"/>
          <w:lang w:val="en-GB"/>
        </w:rPr>
      </w:pPr>
      <w:r>
        <w:rPr>
          <w:shd w:val="clear" w:color="auto" w:fill="FFFFFF"/>
          <w:lang w:val="en-GB"/>
        </w:rPr>
        <w:t xml:space="preserve">length of stay, procedures performed </w:t>
      </w:r>
      <w:r w:rsidR="00702ECD">
        <w:rPr>
          <w:shd w:val="clear" w:color="auto" w:fill="FFFFFF"/>
          <w:lang w:val="en-GB"/>
        </w:rPr>
        <w:t>and use of antimicrobial drugs</w:t>
      </w:r>
    </w:p>
    <w:p w14:paraId="7E59C2EB" w14:textId="298A341D" w:rsidR="00702ECD" w:rsidRDefault="007E2AEA" w:rsidP="00270458">
      <w:pPr>
        <w:pStyle w:val="BodyText"/>
        <w:numPr>
          <w:ilvl w:val="0"/>
          <w:numId w:val="48"/>
        </w:numPr>
        <w:spacing w:line="480" w:lineRule="auto"/>
        <w:jc w:val="both"/>
        <w:rPr>
          <w:shd w:val="clear" w:color="auto" w:fill="FFFFFF"/>
          <w:lang w:val="en-GB"/>
        </w:rPr>
      </w:pPr>
      <w:r>
        <w:rPr>
          <w:shd w:val="clear" w:color="auto" w:fill="FFFFFF"/>
          <w:lang w:val="en-GB"/>
        </w:rPr>
        <w:t xml:space="preserve">clinical predictors of </w:t>
      </w:r>
      <w:r w:rsidR="004E76A0">
        <w:rPr>
          <w:shd w:val="clear" w:color="auto" w:fill="FFFFFF"/>
          <w:lang w:val="en-GB"/>
        </w:rPr>
        <w:t>IBI/SBI</w:t>
      </w:r>
    </w:p>
    <w:p w14:paraId="2EC1B79D" w14:textId="77777777" w:rsidR="007E2AEA" w:rsidRPr="00702ECD" w:rsidRDefault="007E2AEA" w:rsidP="007E2AEA">
      <w:pPr>
        <w:pStyle w:val="BodyText"/>
        <w:spacing w:line="480" w:lineRule="auto"/>
        <w:jc w:val="both"/>
        <w:rPr>
          <w:shd w:val="clear" w:color="auto" w:fill="FFFFFF"/>
          <w:lang w:val="en-GB"/>
        </w:rPr>
      </w:pPr>
    </w:p>
    <w:p w14:paraId="4C454150" w14:textId="622BBD16" w:rsidR="00270458" w:rsidRPr="00654C02" w:rsidRDefault="00270458" w:rsidP="00270458">
      <w:pPr>
        <w:pStyle w:val="BodyText"/>
        <w:spacing w:line="480" w:lineRule="auto"/>
        <w:jc w:val="both"/>
        <w:rPr>
          <w:i/>
          <w:shd w:val="clear" w:color="auto" w:fill="FFFFFF"/>
          <w:lang w:val="en-GB"/>
        </w:rPr>
      </w:pPr>
      <w:r w:rsidRPr="00654C02">
        <w:rPr>
          <w:i/>
          <w:shd w:val="clear" w:color="auto" w:fill="FFFFFF"/>
          <w:lang w:val="en-GB"/>
        </w:rPr>
        <w:t>Reference standards</w:t>
      </w:r>
      <w:r w:rsidRPr="00654C02">
        <w:rPr>
          <w:shd w:val="clear" w:color="auto" w:fill="FFFFFF"/>
          <w:lang w:val="en-GB"/>
        </w:rPr>
        <w:t xml:space="preserve"> </w:t>
      </w:r>
      <w:r w:rsidRPr="00654C02">
        <w:rPr>
          <w:i/>
          <w:shd w:val="clear" w:color="auto" w:fill="FFFFFF"/>
          <w:lang w:val="en-GB"/>
        </w:rPr>
        <w:t xml:space="preserve">and definitions </w:t>
      </w:r>
    </w:p>
    <w:p w14:paraId="77B75275" w14:textId="1B295716" w:rsidR="00270458" w:rsidRPr="00D94C03" w:rsidRDefault="00036F08" w:rsidP="00270458">
      <w:pPr>
        <w:pStyle w:val="BodyText"/>
        <w:spacing w:line="480" w:lineRule="auto"/>
        <w:jc w:val="both"/>
        <w:rPr>
          <w:color w:val="000000"/>
          <w:shd w:val="clear" w:color="auto" w:fill="FFFFFF"/>
          <w:lang w:val="en-GB"/>
        </w:rPr>
      </w:pPr>
      <w:r>
        <w:rPr>
          <w:color w:val="000000"/>
          <w:shd w:val="clear" w:color="auto" w:fill="FFFFFF"/>
          <w:lang w:val="en-GB"/>
        </w:rPr>
        <w:t>D</w:t>
      </w:r>
      <w:r w:rsidRPr="00654C02">
        <w:rPr>
          <w:color w:val="000000"/>
          <w:shd w:val="clear" w:color="auto" w:fill="FFFFFF"/>
          <w:lang w:val="en-GB"/>
        </w:rPr>
        <w:t xml:space="preserve">efinitions </w:t>
      </w:r>
      <w:r>
        <w:rPr>
          <w:color w:val="000000"/>
          <w:shd w:val="clear" w:color="auto" w:fill="FFFFFF"/>
          <w:lang w:val="en-GB"/>
        </w:rPr>
        <w:t>were</w:t>
      </w:r>
      <w:r w:rsidRPr="00654C02">
        <w:rPr>
          <w:color w:val="000000"/>
          <w:shd w:val="clear" w:color="auto" w:fill="FFFFFF"/>
          <w:lang w:val="en-GB"/>
        </w:rPr>
        <w:t xml:space="preserve"> based on existing published standards [3,4]. </w:t>
      </w:r>
      <w:r w:rsidR="00270458" w:rsidRPr="00654C02">
        <w:rPr>
          <w:shd w:val="clear" w:color="auto" w:fill="FFFFFF"/>
          <w:lang w:val="en-GB"/>
        </w:rPr>
        <w:t xml:space="preserve">IBI </w:t>
      </w:r>
      <w:r>
        <w:rPr>
          <w:shd w:val="clear" w:color="auto" w:fill="FFFFFF"/>
          <w:lang w:val="en-GB"/>
        </w:rPr>
        <w:t xml:space="preserve">was </w:t>
      </w:r>
      <w:r w:rsidR="00270458" w:rsidRPr="00654C02">
        <w:rPr>
          <w:shd w:val="clear" w:color="auto" w:fill="FFFFFF"/>
          <w:lang w:val="en-GB"/>
        </w:rPr>
        <w:t xml:space="preserve">defined as bacterial meningitis or </w:t>
      </w:r>
      <w:r w:rsidR="00E47820" w:rsidRPr="00E47820">
        <w:rPr>
          <w:shd w:val="clear" w:color="auto" w:fill="FFFFFF"/>
          <w:lang w:val="en-GB"/>
        </w:rPr>
        <w:t>bacteraemia</w:t>
      </w:r>
      <w:r w:rsidR="00270458" w:rsidRPr="00654C02">
        <w:rPr>
          <w:shd w:val="clear" w:color="auto" w:fill="FFFFFF"/>
          <w:lang w:val="en-GB"/>
        </w:rPr>
        <w:t xml:space="preserve"> (non-contaminant) confirmed by culture or molecular diagnostic testing of a sterile site </w:t>
      </w:r>
      <w:r>
        <w:rPr>
          <w:shd w:val="clear" w:color="auto" w:fill="FFFFFF"/>
          <w:lang w:val="en-GB"/>
        </w:rPr>
        <w:t xml:space="preserve">(for example, </w:t>
      </w:r>
      <w:r w:rsidR="00270458" w:rsidRPr="00654C02">
        <w:rPr>
          <w:shd w:val="clear" w:color="auto" w:fill="FFFFFF"/>
          <w:lang w:val="en-GB"/>
        </w:rPr>
        <w:t>blood or cerebrospinal fluid (CSF)</w:t>
      </w:r>
      <w:r>
        <w:rPr>
          <w:shd w:val="clear" w:color="auto" w:fill="FFFFFF"/>
          <w:lang w:val="en-GB"/>
        </w:rPr>
        <w:t>)</w:t>
      </w:r>
      <w:r w:rsidR="00270458" w:rsidRPr="00654C02">
        <w:rPr>
          <w:shd w:val="clear" w:color="auto" w:fill="FFFFFF"/>
          <w:lang w:val="en-GB"/>
        </w:rPr>
        <w:t xml:space="preserve">. </w:t>
      </w:r>
      <w:r w:rsidR="006E3246">
        <w:rPr>
          <w:shd w:val="clear" w:color="auto" w:fill="FFFFFF"/>
          <w:lang w:val="en-GB"/>
        </w:rPr>
        <w:t>Coagulase negative Staphylococcus</w:t>
      </w:r>
      <w:r w:rsidR="00270458" w:rsidRPr="00654C02">
        <w:rPr>
          <w:shd w:val="clear" w:color="auto" w:fill="FFFFFF"/>
          <w:lang w:val="en-GB"/>
        </w:rPr>
        <w:t xml:space="preserve">, Propionibacterium acnes, Streptococcus viridans, or Diphtheroides were considered contaminants. </w:t>
      </w:r>
      <w:r w:rsidR="004E76A0">
        <w:rPr>
          <w:shd w:val="clear" w:color="auto" w:fill="FFFFFF"/>
          <w:lang w:val="en-GB"/>
        </w:rPr>
        <w:t>SBI was defined as urinary tract infection (UTI)</w:t>
      </w:r>
      <w:r w:rsidR="00270458" w:rsidRPr="00654C02">
        <w:rPr>
          <w:shd w:val="clear" w:color="auto" w:fill="FFFFFF"/>
          <w:lang w:val="en-GB"/>
        </w:rPr>
        <w:t xml:space="preserve"> </w:t>
      </w:r>
      <w:r w:rsidR="004E76A0">
        <w:rPr>
          <w:shd w:val="clear" w:color="auto" w:fill="FFFFFF"/>
          <w:lang w:val="en-GB"/>
        </w:rPr>
        <w:t>with</w:t>
      </w:r>
      <w:r w:rsidR="00270458" w:rsidRPr="00654C02">
        <w:rPr>
          <w:shd w:val="clear" w:color="auto" w:fill="FFFFFF"/>
          <w:lang w:val="en-GB"/>
        </w:rPr>
        <w:t xml:space="preserve"> growth of ≥100 000 cfu/mL of a single organism. Abnormal urinalysis was defined as </w:t>
      </w:r>
      <w:r w:rsidR="00270458" w:rsidRPr="00654C02">
        <w:rPr>
          <w:color w:val="000000"/>
          <w:shd w:val="clear" w:color="auto" w:fill="FFFFFF"/>
          <w:lang w:val="en-GB"/>
        </w:rPr>
        <w:t>presence of leukocyte esterase, nitrite, or pyuria (&gt;5 white blood cells per high-power</w:t>
      </w:r>
      <w:r w:rsidR="00526319">
        <w:rPr>
          <w:color w:val="000000"/>
          <w:shd w:val="clear" w:color="auto" w:fill="FFFFFF"/>
          <w:lang w:val="en-GB"/>
        </w:rPr>
        <w:t xml:space="preserve"> field [WBC/hpf]). </w:t>
      </w:r>
      <w:r>
        <w:rPr>
          <w:color w:val="000000"/>
          <w:shd w:val="clear" w:color="auto" w:fill="FFFFFF"/>
          <w:lang w:val="en-GB"/>
        </w:rPr>
        <w:t xml:space="preserve">The threshold above which </w:t>
      </w:r>
      <w:r w:rsidR="00526319">
        <w:rPr>
          <w:color w:val="000000"/>
          <w:shd w:val="clear" w:color="auto" w:fill="FFFFFF"/>
          <w:lang w:val="en-GB"/>
        </w:rPr>
        <w:t>C</w:t>
      </w:r>
      <w:r w:rsidR="00270458" w:rsidRPr="00654C02">
        <w:rPr>
          <w:color w:val="000000"/>
          <w:shd w:val="clear" w:color="auto" w:fill="FFFFFF"/>
          <w:lang w:val="en-GB"/>
        </w:rPr>
        <w:t xml:space="preserve">-reactive protein (CRP) was </w:t>
      </w:r>
      <w:r>
        <w:rPr>
          <w:color w:val="000000"/>
          <w:shd w:val="clear" w:color="auto" w:fill="FFFFFF"/>
          <w:lang w:val="en-GB"/>
        </w:rPr>
        <w:t>considered elevated was</w:t>
      </w:r>
      <w:r w:rsidR="00270458" w:rsidRPr="00654C02">
        <w:rPr>
          <w:color w:val="000000"/>
          <w:shd w:val="clear" w:color="auto" w:fill="FFFFFF"/>
          <w:lang w:val="en-GB"/>
        </w:rPr>
        <w:t xml:space="preserve"> 20mg/l. </w:t>
      </w:r>
      <w:r w:rsidR="00D94C03">
        <w:rPr>
          <w:color w:val="000000"/>
          <w:shd w:val="clear" w:color="auto" w:fill="FFFFFF"/>
          <w:lang w:val="en-GB"/>
        </w:rPr>
        <w:t xml:space="preserve">This threshold was chosen based on the common cut-off used by current UK and International guidance [11, 13,16]. </w:t>
      </w:r>
      <w:r w:rsidR="00B0114A" w:rsidRPr="00654C02">
        <w:rPr>
          <w:color w:val="000000"/>
          <w:shd w:val="clear" w:color="auto" w:fill="FFFFFF"/>
          <w:lang w:val="en-GB"/>
        </w:rPr>
        <w:t>Reference standard testing was performed by technicians blinded to clinical assessment.</w:t>
      </w:r>
    </w:p>
    <w:p w14:paraId="4EE33CC0" w14:textId="2EB03F28" w:rsidR="00270458" w:rsidRDefault="00270458" w:rsidP="00270458">
      <w:pPr>
        <w:pStyle w:val="BodyText"/>
        <w:spacing w:line="480" w:lineRule="auto"/>
        <w:jc w:val="both"/>
        <w:rPr>
          <w:shd w:val="clear" w:color="auto" w:fill="FFFFFF"/>
          <w:lang w:val="en-GB"/>
        </w:rPr>
      </w:pPr>
    </w:p>
    <w:p w14:paraId="3A73BB5F" w14:textId="11B6BB34" w:rsidR="00301D25" w:rsidRDefault="00301D25" w:rsidP="00270458">
      <w:pPr>
        <w:pStyle w:val="BodyText"/>
        <w:spacing w:line="480" w:lineRule="auto"/>
        <w:jc w:val="both"/>
        <w:rPr>
          <w:shd w:val="clear" w:color="auto" w:fill="FFFFFF"/>
          <w:lang w:val="en-GB"/>
        </w:rPr>
      </w:pPr>
    </w:p>
    <w:p w14:paraId="2A387EFA" w14:textId="04BE2A03" w:rsidR="00301D25" w:rsidRDefault="00301D25" w:rsidP="00270458">
      <w:pPr>
        <w:pStyle w:val="BodyText"/>
        <w:spacing w:line="480" w:lineRule="auto"/>
        <w:jc w:val="both"/>
        <w:rPr>
          <w:shd w:val="clear" w:color="auto" w:fill="FFFFFF"/>
          <w:lang w:val="en-GB"/>
        </w:rPr>
      </w:pPr>
    </w:p>
    <w:p w14:paraId="0E5E6173" w14:textId="77777777" w:rsidR="00301D25" w:rsidRPr="00654C02" w:rsidRDefault="00301D25" w:rsidP="00270458">
      <w:pPr>
        <w:pStyle w:val="BodyText"/>
        <w:spacing w:line="480" w:lineRule="auto"/>
        <w:jc w:val="both"/>
        <w:rPr>
          <w:shd w:val="clear" w:color="auto" w:fill="FFFFFF"/>
          <w:lang w:val="en-GB"/>
        </w:rPr>
      </w:pPr>
    </w:p>
    <w:p w14:paraId="7E9E8177" w14:textId="32B20F46" w:rsidR="00270458" w:rsidRPr="00654C02" w:rsidRDefault="00270458" w:rsidP="00270458">
      <w:pPr>
        <w:pStyle w:val="BodyText"/>
        <w:spacing w:line="480" w:lineRule="auto"/>
        <w:jc w:val="both"/>
        <w:rPr>
          <w:shd w:val="clear" w:color="auto" w:fill="FFFFFF"/>
          <w:lang w:val="en-GB"/>
        </w:rPr>
      </w:pPr>
      <w:r w:rsidRPr="00654C02">
        <w:rPr>
          <w:i/>
          <w:shd w:val="clear" w:color="auto" w:fill="FFFFFF"/>
          <w:lang w:val="en-GB"/>
        </w:rPr>
        <w:lastRenderedPageBreak/>
        <w:t>Identifying missed cases of SBI</w:t>
      </w:r>
      <w:r w:rsidR="007E2AEA">
        <w:rPr>
          <w:i/>
          <w:shd w:val="clear" w:color="auto" w:fill="FFFFFF"/>
          <w:lang w:val="en-GB"/>
        </w:rPr>
        <w:t>/IBI</w:t>
      </w:r>
      <w:r w:rsidRPr="00654C02">
        <w:rPr>
          <w:shd w:val="clear" w:color="auto" w:fill="FFFFFF"/>
          <w:lang w:val="en-GB"/>
        </w:rPr>
        <w:t xml:space="preserve">. </w:t>
      </w:r>
    </w:p>
    <w:p w14:paraId="21D9ABC4" w14:textId="1D1E87B7" w:rsidR="00270458" w:rsidRPr="00654C02" w:rsidRDefault="00270458" w:rsidP="00270458">
      <w:pPr>
        <w:pStyle w:val="BodyText"/>
        <w:spacing w:line="480" w:lineRule="auto"/>
        <w:jc w:val="both"/>
        <w:rPr>
          <w:shd w:val="clear" w:color="auto" w:fill="FFFFFF"/>
          <w:lang w:val="en-GB"/>
        </w:rPr>
      </w:pPr>
      <w:r w:rsidRPr="00654C02">
        <w:rPr>
          <w:shd w:val="clear" w:color="auto" w:fill="FFFFFF"/>
          <w:lang w:val="en-GB"/>
        </w:rPr>
        <w:t>All</w:t>
      </w:r>
      <w:r w:rsidR="00036F08">
        <w:rPr>
          <w:shd w:val="clear" w:color="auto" w:fill="FFFFFF"/>
          <w:lang w:val="en-GB"/>
        </w:rPr>
        <w:t xml:space="preserve"> </w:t>
      </w:r>
      <w:r w:rsidRPr="00654C02">
        <w:rPr>
          <w:shd w:val="clear" w:color="auto" w:fill="FFFFFF"/>
          <w:lang w:val="en-GB"/>
        </w:rPr>
        <w:t xml:space="preserve">sites </w:t>
      </w:r>
      <w:r w:rsidR="00036F08">
        <w:rPr>
          <w:shd w:val="clear" w:color="auto" w:fill="FFFFFF"/>
          <w:lang w:val="en-GB"/>
        </w:rPr>
        <w:t xml:space="preserve">performed a check of electronic records to identify </w:t>
      </w:r>
      <w:r w:rsidRPr="00654C02">
        <w:rPr>
          <w:shd w:val="clear" w:color="auto" w:fill="FFFFFF"/>
          <w:lang w:val="en-GB"/>
        </w:rPr>
        <w:t>unplanned re-attendances within seven days of discharge</w:t>
      </w:r>
      <w:r w:rsidR="00AB6F41">
        <w:rPr>
          <w:shd w:val="clear" w:color="auto" w:fill="FFFFFF"/>
          <w:lang w:val="en-GB"/>
        </w:rPr>
        <w:t>,</w:t>
      </w:r>
      <w:r w:rsidR="00036F08">
        <w:rPr>
          <w:shd w:val="clear" w:color="auto" w:fill="FFFFFF"/>
          <w:lang w:val="en-GB"/>
        </w:rPr>
        <w:t xml:space="preserve"> to determine whether</w:t>
      </w:r>
      <w:r w:rsidRPr="00654C02">
        <w:rPr>
          <w:shd w:val="clear" w:color="auto" w:fill="FFFFFF"/>
          <w:lang w:val="en-GB"/>
        </w:rPr>
        <w:t xml:space="preserve"> any participants with SBI</w:t>
      </w:r>
      <w:r w:rsidR="004E76A0">
        <w:rPr>
          <w:shd w:val="clear" w:color="auto" w:fill="FFFFFF"/>
          <w:lang w:val="en-GB"/>
        </w:rPr>
        <w:t>/IBI</w:t>
      </w:r>
      <w:r w:rsidRPr="00654C02">
        <w:rPr>
          <w:shd w:val="clear" w:color="auto" w:fill="FFFFFF"/>
          <w:lang w:val="en-GB"/>
        </w:rPr>
        <w:t xml:space="preserve"> may have been initially discharged without treatment. </w:t>
      </w:r>
    </w:p>
    <w:p w14:paraId="4B97A999" w14:textId="77777777" w:rsidR="00270458" w:rsidRPr="00654C02" w:rsidRDefault="00270458" w:rsidP="008F5047">
      <w:pPr>
        <w:pStyle w:val="BodyText"/>
        <w:spacing w:line="480" w:lineRule="auto"/>
        <w:jc w:val="both"/>
        <w:rPr>
          <w:shd w:val="clear" w:color="auto" w:fill="FFFFFF"/>
          <w:lang w:val="en-GB"/>
        </w:rPr>
      </w:pPr>
    </w:p>
    <w:p w14:paraId="014C0A26" w14:textId="77777777" w:rsidR="000E3D88" w:rsidRPr="00654C02" w:rsidRDefault="008F5047" w:rsidP="008F5047">
      <w:pPr>
        <w:pStyle w:val="BodyText"/>
        <w:spacing w:line="480" w:lineRule="auto"/>
        <w:jc w:val="both"/>
        <w:rPr>
          <w:shd w:val="clear" w:color="auto" w:fill="FFFFFF"/>
          <w:lang w:val="en-GB"/>
        </w:rPr>
      </w:pPr>
      <w:r w:rsidRPr="00654C02">
        <w:rPr>
          <w:i/>
          <w:shd w:val="clear" w:color="auto" w:fill="FFFFFF"/>
          <w:lang w:val="en-GB"/>
        </w:rPr>
        <w:t>Identifying clinical risk factors</w:t>
      </w:r>
      <w:r w:rsidRPr="00654C02">
        <w:rPr>
          <w:shd w:val="clear" w:color="auto" w:fill="FFFFFF"/>
          <w:lang w:val="en-GB"/>
        </w:rPr>
        <w:t xml:space="preserve"> </w:t>
      </w:r>
    </w:p>
    <w:p w14:paraId="47234549" w14:textId="1F84AD5C" w:rsidR="00654C02" w:rsidRDefault="008F5047" w:rsidP="008F5047">
      <w:pPr>
        <w:pStyle w:val="BodyText"/>
        <w:spacing w:line="480" w:lineRule="auto"/>
        <w:jc w:val="both"/>
        <w:rPr>
          <w:shd w:val="clear" w:color="auto" w:fill="FFFFFF"/>
          <w:lang w:val="en-GB"/>
        </w:rPr>
      </w:pPr>
      <w:r w:rsidRPr="00654C02">
        <w:rPr>
          <w:shd w:val="clear" w:color="auto" w:fill="FFFFFF"/>
          <w:lang w:val="en-GB"/>
        </w:rPr>
        <w:t>Potent</w:t>
      </w:r>
      <w:r w:rsidR="00DC403A" w:rsidRPr="00654C02">
        <w:rPr>
          <w:shd w:val="clear" w:color="auto" w:fill="FFFFFF"/>
          <w:lang w:val="en-GB"/>
        </w:rPr>
        <w:t xml:space="preserve">ial </w:t>
      </w:r>
      <w:r w:rsidR="00036F08">
        <w:rPr>
          <w:shd w:val="clear" w:color="auto" w:fill="FFFFFF"/>
          <w:lang w:val="en-GB"/>
        </w:rPr>
        <w:t>predictor variables</w:t>
      </w:r>
      <w:r w:rsidR="00DC403A" w:rsidRPr="00654C02">
        <w:rPr>
          <w:shd w:val="clear" w:color="auto" w:fill="FFFFFF"/>
          <w:lang w:val="en-GB"/>
        </w:rPr>
        <w:t xml:space="preserve"> for </w:t>
      </w:r>
      <w:r w:rsidR="00036F08">
        <w:rPr>
          <w:shd w:val="clear" w:color="auto" w:fill="FFFFFF"/>
          <w:lang w:val="en-GB"/>
        </w:rPr>
        <w:t>SBI</w:t>
      </w:r>
      <w:r w:rsidR="00DC403A" w:rsidRPr="00654C02">
        <w:rPr>
          <w:shd w:val="clear" w:color="auto" w:fill="FFFFFF"/>
          <w:lang w:val="en-GB"/>
        </w:rPr>
        <w:t xml:space="preserve"> </w:t>
      </w:r>
      <w:r w:rsidR="00B564DD" w:rsidRPr="00654C02">
        <w:rPr>
          <w:shd w:val="clear" w:color="auto" w:fill="FFFFFF"/>
          <w:lang w:val="en-GB"/>
        </w:rPr>
        <w:t xml:space="preserve">and </w:t>
      </w:r>
      <w:r w:rsidR="00036F08">
        <w:rPr>
          <w:shd w:val="clear" w:color="auto" w:fill="FFFFFF"/>
          <w:lang w:val="en-GB"/>
        </w:rPr>
        <w:t>IBI</w:t>
      </w:r>
      <w:r w:rsidRPr="00654C02">
        <w:rPr>
          <w:shd w:val="clear" w:color="auto" w:fill="FFFFFF"/>
          <w:lang w:val="en-GB"/>
        </w:rPr>
        <w:t xml:space="preserve"> were identified by reviewing </w:t>
      </w:r>
      <w:r w:rsidR="00B564DD" w:rsidRPr="00654C02">
        <w:rPr>
          <w:shd w:val="clear" w:color="auto" w:fill="FFFFFF"/>
          <w:lang w:val="en-GB"/>
        </w:rPr>
        <w:t xml:space="preserve">clinical features listed in the NICE </w:t>
      </w:r>
      <w:r w:rsidRPr="00654C02">
        <w:rPr>
          <w:shd w:val="clear" w:color="auto" w:fill="FFFFFF"/>
          <w:lang w:val="en-GB"/>
        </w:rPr>
        <w:t>CPGs</w:t>
      </w:r>
      <w:r w:rsidR="00526319">
        <w:rPr>
          <w:shd w:val="clear" w:color="auto" w:fill="FFFFFF"/>
          <w:lang w:val="en-GB"/>
        </w:rPr>
        <w:t xml:space="preserve"> [14,15]</w:t>
      </w:r>
      <w:r w:rsidR="00036F08">
        <w:rPr>
          <w:shd w:val="clear" w:color="auto" w:fill="FFFFFF"/>
          <w:lang w:val="en-GB"/>
        </w:rPr>
        <w:t xml:space="preserve">, and included in the </w:t>
      </w:r>
      <w:r w:rsidR="00EF0E17" w:rsidRPr="00654C02">
        <w:rPr>
          <w:shd w:val="clear" w:color="auto" w:fill="FFFFFF"/>
          <w:lang w:val="en-GB"/>
        </w:rPr>
        <w:t xml:space="preserve">case report form (FIDO_CRF; supplementary material). </w:t>
      </w:r>
      <w:r w:rsidRPr="00654C02">
        <w:rPr>
          <w:shd w:val="clear" w:color="auto" w:fill="FFFFFF"/>
          <w:lang w:val="en-GB"/>
        </w:rPr>
        <w:t>The</w:t>
      </w:r>
      <w:r w:rsidR="00036F08">
        <w:rPr>
          <w:shd w:val="clear" w:color="auto" w:fill="FFFFFF"/>
          <w:lang w:val="en-GB"/>
        </w:rPr>
        <w:t>se</w:t>
      </w:r>
      <w:r w:rsidRPr="00654C02">
        <w:rPr>
          <w:shd w:val="clear" w:color="auto" w:fill="FFFFFF"/>
          <w:lang w:val="en-GB"/>
        </w:rPr>
        <w:t xml:space="preserve"> included background information (age, </w:t>
      </w:r>
      <w:r w:rsidR="00EF0E17" w:rsidRPr="00654C02">
        <w:rPr>
          <w:shd w:val="clear" w:color="auto" w:fill="FFFFFF"/>
          <w:lang w:val="en-GB"/>
        </w:rPr>
        <w:t>gender, vaccination status)</w:t>
      </w:r>
      <w:r w:rsidRPr="00654C02">
        <w:rPr>
          <w:shd w:val="clear" w:color="auto" w:fill="FFFFFF"/>
          <w:lang w:val="en-GB"/>
        </w:rPr>
        <w:t>, duration</w:t>
      </w:r>
      <w:r w:rsidR="00EF0E17" w:rsidRPr="00654C02">
        <w:rPr>
          <w:shd w:val="clear" w:color="auto" w:fill="FFFFFF"/>
          <w:lang w:val="en-GB"/>
        </w:rPr>
        <w:t xml:space="preserve"> of illness, appearance of infant</w:t>
      </w:r>
      <w:r w:rsidRPr="00654C02">
        <w:rPr>
          <w:shd w:val="clear" w:color="auto" w:fill="FFFFFF"/>
          <w:lang w:val="en-GB"/>
        </w:rPr>
        <w:t>, presence</w:t>
      </w:r>
      <w:r w:rsidR="003C6B3F" w:rsidRPr="00654C02">
        <w:rPr>
          <w:shd w:val="clear" w:color="auto" w:fill="FFFFFF"/>
          <w:lang w:val="en-GB"/>
        </w:rPr>
        <w:t xml:space="preserve"> of signs of shock and meningitis and</w:t>
      </w:r>
      <w:r w:rsidR="006461D7" w:rsidRPr="00654C02">
        <w:rPr>
          <w:shd w:val="clear" w:color="auto" w:fill="FFFFFF"/>
          <w:lang w:val="en-GB"/>
        </w:rPr>
        <w:t xml:space="preserve"> other symptoms (e.g. reduced conscious level, respiratory symptoms, </w:t>
      </w:r>
      <w:r w:rsidR="00EF0E17" w:rsidRPr="00654C02">
        <w:rPr>
          <w:shd w:val="clear" w:color="auto" w:fill="FFFFFF"/>
          <w:lang w:val="en-GB"/>
        </w:rPr>
        <w:t>poor feeding</w:t>
      </w:r>
      <w:r w:rsidRPr="00654C02">
        <w:rPr>
          <w:shd w:val="clear" w:color="auto" w:fill="FFFFFF"/>
          <w:lang w:val="en-GB"/>
        </w:rPr>
        <w:t>),</w:t>
      </w:r>
      <w:r w:rsidR="00EF0E17" w:rsidRPr="00654C02">
        <w:rPr>
          <w:shd w:val="clear" w:color="auto" w:fill="FFFFFF"/>
          <w:lang w:val="en-GB"/>
        </w:rPr>
        <w:t xml:space="preserve"> initial vital signs</w:t>
      </w:r>
      <w:r w:rsidR="00036F08">
        <w:rPr>
          <w:shd w:val="clear" w:color="auto" w:fill="FFFFFF"/>
          <w:lang w:val="en-GB"/>
        </w:rPr>
        <w:t>,</w:t>
      </w:r>
      <w:r w:rsidRPr="00654C02">
        <w:rPr>
          <w:shd w:val="clear" w:color="auto" w:fill="FFFFFF"/>
          <w:lang w:val="en-GB"/>
        </w:rPr>
        <w:t xml:space="preserve"> and blood results.</w:t>
      </w:r>
      <w:r w:rsidR="00D94C03">
        <w:rPr>
          <w:shd w:val="clear" w:color="auto" w:fill="FFFFFF"/>
          <w:lang w:val="en-GB"/>
        </w:rPr>
        <w:t xml:space="preserve"> The </w:t>
      </w:r>
      <w:r w:rsidR="004E76A0">
        <w:rPr>
          <w:shd w:val="clear" w:color="auto" w:fill="FFFFFF"/>
          <w:lang w:val="en-GB"/>
        </w:rPr>
        <w:t>BSAC</w:t>
      </w:r>
      <w:r w:rsidR="00D94C03">
        <w:rPr>
          <w:shd w:val="clear" w:color="auto" w:fill="FFFFFF"/>
          <w:lang w:val="en-GB"/>
        </w:rPr>
        <w:t xml:space="preserve"> CPG was published after data collection had commenced and could not be used in the CRF development process [16].</w:t>
      </w:r>
      <w:r w:rsidR="00BE3BDD">
        <w:rPr>
          <w:shd w:val="clear" w:color="auto" w:fill="FFFFFF"/>
          <w:lang w:val="en-GB"/>
        </w:rPr>
        <w:t xml:space="preserve"> By coincidence all of the characteristics included in the BSAC CPG were included in the CRF already. </w:t>
      </w:r>
    </w:p>
    <w:p w14:paraId="5A0A7A98" w14:textId="77777777" w:rsidR="00916387" w:rsidRDefault="00916387" w:rsidP="008F5047">
      <w:pPr>
        <w:pStyle w:val="BodyText"/>
        <w:spacing w:line="480" w:lineRule="auto"/>
        <w:jc w:val="both"/>
        <w:rPr>
          <w:i/>
          <w:shd w:val="clear" w:color="auto" w:fill="FFFFFF"/>
          <w:lang w:val="en-GB"/>
        </w:rPr>
      </w:pPr>
    </w:p>
    <w:p w14:paraId="40A9D8EF" w14:textId="107455C1" w:rsidR="000E3D88" w:rsidRPr="00654C02" w:rsidRDefault="000E3D88" w:rsidP="008F5047">
      <w:pPr>
        <w:pStyle w:val="BodyText"/>
        <w:spacing w:line="480" w:lineRule="auto"/>
        <w:jc w:val="both"/>
        <w:rPr>
          <w:i/>
          <w:shd w:val="clear" w:color="auto" w:fill="FFFFFF"/>
          <w:lang w:val="en-GB"/>
        </w:rPr>
      </w:pPr>
      <w:r w:rsidRPr="00654C02">
        <w:rPr>
          <w:i/>
          <w:shd w:val="clear" w:color="auto" w:fill="FFFFFF"/>
          <w:lang w:val="en-GB"/>
        </w:rPr>
        <w:t>Study p</w:t>
      </w:r>
      <w:r w:rsidR="008F5047" w:rsidRPr="00654C02">
        <w:rPr>
          <w:i/>
          <w:shd w:val="clear" w:color="auto" w:fill="FFFFFF"/>
          <w:lang w:val="en-GB"/>
        </w:rPr>
        <w:t xml:space="preserve">rocedures </w:t>
      </w:r>
    </w:p>
    <w:p w14:paraId="1678F6B8" w14:textId="68A56D01" w:rsidR="000E3D88" w:rsidRPr="00654C02" w:rsidRDefault="00F27D32" w:rsidP="008F5047">
      <w:pPr>
        <w:pStyle w:val="BodyText"/>
        <w:spacing w:line="480" w:lineRule="auto"/>
        <w:jc w:val="both"/>
        <w:rPr>
          <w:shd w:val="clear" w:color="auto" w:fill="FFFFFF"/>
          <w:lang w:val="en-GB"/>
        </w:rPr>
      </w:pPr>
      <w:r w:rsidRPr="00654C02">
        <w:rPr>
          <w:shd w:val="clear" w:color="auto" w:fill="FFFFFF"/>
          <w:lang w:val="en-GB"/>
        </w:rPr>
        <w:t xml:space="preserve">The study was conducted retrospectively and only included anonymised, </w:t>
      </w:r>
      <w:r w:rsidR="004E76A0">
        <w:rPr>
          <w:shd w:val="clear" w:color="auto" w:fill="FFFFFF"/>
          <w:lang w:val="en-GB"/>
        </w:rPr>
        <w:t xml:space="preserve">non-personal, </w:t>
      </w:r>
      <w:r w:rsidRPr="00654C02">
        <w:rPr>
          <w:shd w:val="clear" w:color="auto" w:fill="FFFFFF"/>
          <w:lang w:val="en-GB"/>
        </w:rPr>
        <w:t xml:space="preserve">routinely collected clinical data. All infants received usual care and there were no additional interventions. </w:t>
      </w:r>
    </w:p>
    <w:p w14:paraId="5BABD6C9" w14:textId="2D4003D8" w:rsidR="000E3D88" w:rsidRPr="00654C02" w:rsidRDefault="000E3D88" w:rsidP="000E3D88">
      <w:pPr>
        <w:pStyle w:val="BodyText"/>
        <w:spacing w:line="480" w:lineRule="auto"/>
        <w:jc w:val="both"/>
        <w:rPr>
          <w:i/>
          <w:shd w:val="clear" w:color="auto" w:fill="FFFFFF"/>
          <w:lang w:val="en-GB"/>
        </w:rPr>
      </w:pPr>
    </w:p>
    <w:p w14:paraId="024A3F1B" w14:textId="48806100" w:rsidR="000E3D88" w:rsidRPr="00654C02" w:rsidRDefault="000E3D88" w:rsidP="000E3D88">
      <w:pPr>
        <w:pStyle w:val="BodyText"/>
        <w:spacing w:line="480" w:lineRule="auto"/>
        <w:jc w:val="both"/>
        <w:rPr>
          <w:i/>
          <w:shd w:val="clear" w:color="auto" w:fill="FFFFFF"/>
          <w:lang w:val="en-GB"/>
        </w:rPr>
      </w:pPr>
      <w:r w:rsidRPr="00654C02">
        <w:rPr>
          <w:i/>
          <w:shd w:val="clear" w:color="auto" w:fill="FFFFFF"/>
          <w:lang w:val="en-GB"/>
        </w:rPr>
        <w:t>Data m</w:t>
      </w:r>
      <w:r w:rsidR="008F5047" w:rsidRPr="00654C02">
        <w:rPr>
          <w:i/>
          <w:shd w:val="clear" w:color="auto" w:fill="FFFFFF"/>
          <w:lang w:val="en-GB"/>
        </w:rPr>
        <w:t xml:space="preserve">anagement </w:t>
      </w:r>
    </w:p>
    <w:p w14:paraId="63AC15B3" w14:textId="11957DFA" w:rsidR="00F7516A" w:rsidRPr="00654C02" w:rsidRDefault="00A229C2" w:rsidP="000E3D88">
      <w:pPr>
        <w:pStyle w:val="BodyText"/>
        <w:spacing w:line="480" w:lineRule="auto"/>
        <w:jc w:val="both"/>
        <w:rPr>
          <w:shd w:val="clear" w:color="auto" w:fill="FFFFFF"/>
          <w:lang w:val="en-GB"/>
        </w:rPr>
      </w:pPr>
      <w:r>
        <w:rPr>
          <w:shd w:val="clear" w:color="auto" w:fill="FFFFFF"/>
          <w:lang w:val="en-GB"/>
        </w:rPr>
        <w:t>D</w:t>
      </w:r>
      <w:r w:rsidR="008F5047" w:rsidRPr="00654C02">
        <w:rPr>
          <w:shd w:val="clear" w:color="auto" w:fill="FFFFFF"/>
          <w:lang w:val="en-GB"/>
        </w:rPr>
        <w:t>ata were collected and managed using REDCap (Research Electronic Data Capture) e</w:t>
      </w:r>
      <w:r w:rsidR="00F27D32" w:rsidRPr="00654C02">
        <w:rPr>
          <w:shd w:val="clear" w:color="auto" w:fill="FFFFFF"/>
          <w:lang w:val="en-GB"/>
        </w:rPr>
        <w:t>l</w:t>
      </w:r>
      <w:r w:rsidR="00C26679">
        <w:rPr>
          <w:shd w:val="clear" w:color="auto" w:fill="FFFFFF"/>
          <w:lang w:val="en-GB"/>
        </w:rPr>
        <w:t>ectronic data capture tools [18</w:t>
      </w:r>
      <w:r w:rsidR="00832B58" w:rsidRPr="00654C02">
        <w:rPr>
          <w:shd w:val="clear" w:color="auto" w:fill="FFFFFF"/>
          <w:lang w:val="en-GB"/>
        </w:rPr>
        <w:t>]</w:t>
      </w:r>
      <w:r w:rsidR="00F27D32" w:rsidRPr="00654C02">
        <w:rPr>
          <w:shd w:val="clear" w:color="auto" w:fill="FFFFFF"/>
          <w:lang w:val="en-GB"/>
        </w:rPr>
        <w:t xml:space="preserve">. </w:t>
      </w:r>
      <w:r>
        <w:rPr>
          <w:shd w:val="clear" w:color="auto" w:fill="FFFFFF"/>
          <w:lang w:val="en-GB"/>
        </w:rPr>
        <w:t>P</w:t>
      </w:r>
      <w:r w:rsidR="008F5047" w:rsidRPr="00654C02">
        <w:rPr>
          <w:shd w:val="clear" w:color="auto" w:fill="FFFFFF"/>
          <w:lang w:val="en-GB"/>
        </w:rPr>
        <w:t xml:space="preserve">articipants with incomplete </w:t>
      </w:r>
      <w:r w:rsidR="00702ECD">
        <w:rPr>
          <w:shd w:val="clear" w:color="auto" w:fill="FFFFFF"/>
          <w:lang w:val="en-GB"/>
        </w:rPr>
        <w:t xml:space="preserve">clinical assessment </w:t>
      </w:r>
      <w:r w:rsidR="008F5047" w:rsidRPr="00654C02">
        <w:rPr>
          <w:shd w:val="clear" w:color="auto" w:fill="FFFFFF"/>
          <w:lang w:val="en-GB"/>
        </w:rPr>
        <w:t xml:space="preserve">data were </w:t>
      </w:r>
      <w:r w:rsidR="00F27D32" w:rsidRPr="00654C02">
        <w:rPr>
          <w:shd w:val="clear" w:color="auto" w:fill="FFFFFF"/>
          <w:lang w:val="en-GB"/>
        </w:rPr>
        <w:t>excluded from the analysis</w:t>
      </w:r>
      <w:r w:rsidR="008F5047" w:rsidRPr="00654C02">
        <w:rPr>
          <w:shd w:val="clear" w:color="auto" w:fill="FFFFFF"/>
          <w:lang w:val="en-GB"/>
        </w:rPr>
        <w:t xml:space="preserve">. Prior to statistical analysis three authors (TW, LM, HM) checked completeness of data using IBM statistical package for social sciences (SPSS) version 23. Two authors </w:t>
      </w:r>
      <w:r w:rsidR="00F27D32" w:rsidRPr="00654C02">
        <w:rPr>
          <w:shd w:val="clear" w:color="auto" w:fill="FFFFFF"/>
          <w:lang w:val="en-GB"/>
        </w:rPr>
        <w:t>(TW and CM</w:t>
      </w:r>
      <w:r w:rsidR="00702ECD">
        <w:rPr>
          <w:shd w:val="clear" w:color="auto" w:fill="FFFFFF"/>
          <w:lang w:val="en-GB"/>
        </w:rPr>
        <w:t xml:space="preserve">) applied the three </w:t>
      </w:r>
      <w:r w:rsidR="008F5047" w:rsidRPr="00654C02">
        <w:rPr>
          <w:shd w:val="clear" w:color="auto" w:fill="FFFFFF"/>
          <w:lang w:val="en-GB"/>
        </w:rPr>
        <w:t xml:space="preserve">CPGs to the data set. </w:t>
      </w:r>
      <w:r w:rsidR="003C6B3F" w:rsidRPr="00654C02">
        <w:rPr>
          <w:shd w:val="clear" w:color="auto" w:fill="FFFFFF"/>
          <w:lang w:val="en-GB"/>
        </w:rPr>
        <w:t>No</w:t>
      </w:r>
      <w:r w:rsidR="00F27D32" w:rsidRPr="00654C02">
        <w:rPr>
          <w:shd w:val="clear" w:color="auto" w:fill="FFFFFF"/>
          <w:lang w:val="en-GB"/>
        </w:rPr>
        <w:t>t all infants</w:t>
      </w:r>
      <w:r w:rsidR="008F5047" w:rsidRPr="00654C02">
        <w:rPr>
          <w:shd w:val="clear" w:color="auto" w:fill="FFFFFF"/>
          <w:lang w:val="en-GB"/>
        </w:rPr>
        <w:t xml:space="preserve"> underwent blood testing</w:t>
      </w:r>
      <w:r w:rsidR="004E76A0">
        <w:rPr>
          <w:shd w:val="clear" w:color="auto" w:fill="FFFFFF"/>
          <w:lang w:val="en-GB"/>
        </w:rPr>
        <w:t>. Where blood test data w</w:t>
      </w:r>
      <w:r w:rsidR="00AB6F41">
        <w:rPr>
          <w:shd w:val="clear" w:color="auto" w:fill="FFFFFF"/>
          <w:lang w:val="en-GB"/>
        </w:rPr>
        <w:t>ere</w:t>
      </w:r>
      <w:r w:rsidR="004E76A0">
        <w:rPr>
          <w:shd w:val="clear" w:color="auto" w:fill="FFFFFF"/>
          <w:lang w:val="en-GB"/>
        </w:rPr>
        <w:t xml:space="preserve"> not reported</w:t>
      </w:r>
      <w:r w:rsidR="00AB6F41">
        <w:rPr>
          <w:shd w:val="clear" w:color="auto" w:fill="FFFFFF"/>
          <w:lang w:val="en-GB"/>
        </w:rPr>
        <w:t>,</w:t>
      </w:r>
      <w:r w:rsidR="004E76A0">
        <w:rPr>
          <w:shd w:val="clear" w:color="auto" w:fill="FFFFFF"/>
          <w:lang w:val="en-GB"/>
        </w:rPr>
        <w:t xml:space="preserve"> m</w:t>
      </w:r>
      <w:r w:rsidR="00F27D32" w:rsidRPr="00654C02">
        <w:rPr>
          <w:shd w:val="clear" w:color="auto" w:fill="FFFFFF"/>
          <w:lang w:val="en-GB"/>
        </w:rPr>
        <w:t>ultiple</w:t>
      </w:r>
      <w:r w:rsidR="008F5047" w:rsidRPr="00654C02">
        <w:rPr>
          <w:shd w:val="clear" w:color="auto" w:fill="FFFFFF"/>
          <w:lang w:val="en-GB"/>
        </w:rPr>
        <w:t xml:space="preserve"> imputation </w:t>
      </w:r>
      <w:r w:rsidR="00F27D32" w:rsidRPr="00654C02">
        <w:rPr>
          <w:shd w:val="clear" w:color="auto" w:fill="FFFFFF"/>
          <w:lang w:val="en-GB"/>
        </w:rPr>
        <w:t xml:space="preserve">with chained equations to create five imputed datasets </w:t>
      </w:r>
      <w:r w:rsidR="000E3D88" w:rsidRPr="00654C02">
        <w:rPr>
          <w:shd w:val="clear" w:color="auto" w:fill="FFFFFF"/>
          <w:lang w:val="en-GB"/>
        </w:rPr>
        <w:t>was undertaken</w:t>
      </w:r>
      <w:r w:rsidR="004E76A0">
        <w:rPr>
          <w:shd w:val="clear" w:color="auto" w:fill="FFFFFF"/>
          <w:lang w:val="en-GB"/>
        </w:rPr>
        <w:t xml:space="preserve"> to provide imputed values</w:t>
      </w:r>
      <w:r w:rsidR="000E3D88" w:rsidRPr="00654C02">
        <w:rPr>
          <w:shd w:val="clear" w:color="auto" w:fill="FFFFFF"/>
          <w:lang w:val="en-GB"/>
        </w:rPr>
        <w:t xml:space="preserve">. </w:t>
      </w:r>
      <w:r w:rsidR="00F27D32" w:rsidRPr="00654C02">
        <w:rPr>
          <w:shd w:val="clear" w:color="auto" w:fill="FFFFFF"/>
          <w:lang w:val="en-GB"/>
        </w:rPr>
        <w:t xml:space="preserve">To </w:t>
      </w:r>
      <w:r w:rsidR="00F27D32" w:rsidRPr="00654C02">
        <w:rPr>
          <w:shd w:val="clear" w:color="auto" w:fill="FFFFFF"/>
          <w:lang w:val="en-GB"/>
        </w:rPr>
        <w:lastRenderedPageBreak/>
        <w:t>minimise bias</w:t>
      </w:r>
      <w:r w:rsidR="00B93D3A" w:rsidRPr="00654C02">
        <w:rPr>
          <w:shd w:val="clear" w:color="auto" w:fill="FFFFFF"/>
          <w:lang w:val="en-GB"/>
        </w:rPr>
        <w:t xml:space="preserve"> the analysis was repeated</w:t>
      </w:r>
      <w:r>
        <w:rPr>
          <w:shd w:val="clear" w:color="auto" w:fill="FFFFFF"/>
          <w:lang w:val="en-GB"/>
        </w:rPr>
        <w:t xml:space="preserve">, excluding </w:t>
      </w:r>
      <w:r w:rsidR="004E76A0">
        <w:rPr>
          <w:shd w:val="clear" w:color="auto" w:fill="FFFFFF"/>
          <w:lang w:val="en-GB"/>
        </w:rPr>
        <w:t>imputed</w:t>
      </w:r>
      <w:r>
        <w:rPr>
          <w:shd w:val="clear" w:color="auto" w:fill="FFFFFF"/>
          <w:lang w:val="en-GB"/>
        </w:rPr>
        <w:t xml:space="preserve"> </w:t>
      </w:r>
      <w:r w:rsidR="005536AE" w:rsidRPr="00654C02">
        <w:rPr>
          <w:shd w:val="clear" w:color="auto" w:fill="FFFFFF"/>
          <w:lang w:val="en-GB"/>
        </w:rPr>
        <w:t>data</w:t>
      </w:r>
      <w:r w:rsidR="00B93D3A" w:rsidRPr="00654C02">
        <w:rPr>
          <w:shd w:val="clear" w:color="auto" w:fill="FFFFFF"/>
          <w:lang w:val="en-GB"/>
        </w:rPr>
        <w:t xml:space="preserve">. </w:t>
      </w:r>
    </w:p>
    <w:p w14:paraId="3338A56C" w14:textId="491BEC88" w:rsidR="002E08AF" w:rsidRPr="00654C02" w:rsidRDefault="002E08AF" w:rsidP="000E3D88">
      <w:pPr>
        <w:pStyle w:val="BodyText"/>
        <w:spacing w:line="480" w:lineRule="auto"/>
        <w:jc w:val="both"/>
        <w:rPr>
          <w:i/>
          <w:lang w:val="en-GB"/>
        </w:rPr>
      </w:pPr>
    </w:p>
    <w:p w14:paraId="463D09D1" w14:textId="1EECC059" w:rsidR="00F7516A" w:rsidRPr="00654C02" w:rsidRDefault="00F7516A" w:rsidP="000E3D88">
      <w:pPr>
        <w:pStyle w:val="BodyText"/>
        <w:spacing w:line="480" w:lineRule="auto"/>
        <w:jc w:val="both"/>
        <w:rPr>
          <w:lang w:val="en-GB"/>
        </w:rPr>
      </w:pPr>
      <w:r w:rsidRPr="00654C02">
        <w:rPr>
          <w:i/>
          <w:lang w:val="en-GB"/>
        </w:rPr>
        <w:t>Data analysis</w:t>
      </w:r>
      <w:r w:rsidRPr="00654C02">
        <w:rPr>
          <w:lang w:val="en-GB"/>
        </w:rPr>
        <w:t xml:space="preserve"> </w:t>
      </w:r>
    </w:p>
    <w:p w14:paraId="2A2C4383" w14:textId="0A1951D8" w:rsidR="003755C6" w:rsidRDefault="009D77E5" w:rsidP="008F5047">
      <w:pPr>
        <w:pStyle w:val="BodyText"/>
        <w:spacing w:line="480" w:lineRule="auto"/>
        <w:jc w:val="both"/>
        <w:rPr>
          <w:shd w:val="clear" w:color="auto" w:fill="FFFFFF"/>
          <w:lang w:val="en-GB"/>
        </w:rPr>
      </w:pPr>
      <w:r w:rsidRPr="00654C02">
        <w:rPr>
          <w:lang w:val="en-GB"/>
        </w:rPr>
        <w:t xml:space="preserve">The </w:t>
      </w:r>
      <w:r w:rsidR="00F7516A" w:rsidRPr="00654C02">
        <w:rPr>
          <w:lang w:val="en-GB"/>
        </w:rPr>
        <w:t>study population</w:t>
      </w:r>
      <w:r w:rsidR="00A229C2">
        <w:rPr>
          <w:lang w:val="en-GB"/>
        </w:rPr>
        <w:t>’s</w:t>
      </w:r>
      <w:r w:rsidR="00F7516A" w:rsidRPr="00654C02">
        <w:rPr>
          <w:lang w:val="en-GB"/>
        </w:rPr>
        <w:t xml:space="preserve"> demographic characteristics, vaccination status, risk factors, parenteral antibiotic use, admission to hospital, admission to intensive care units, and survival </w:t>
      </w:r>
      <w:r w:rsidR="00A229C2">
        <w:rPr>
          <w:lang w:val="en-GB"/>
        </w:rPr>
        <w:t xml:space="preserve">are presented </w:t>
      </w:r>
      <w:r w:rsidR="00F7516A" w:rsidRPr="00654C02">
        <w:rPr>
          <w:lang w:val="en-GB"/>
        </w:rPr>
        <w:t>using descriptive statisti</w:t>
      </w:r>
      <w:r w:rsidRPr="00654C02">
        <w:rPr>
          <w:lang w:val="en-GB"/>
        </w:rPr>
        <w:t xml:space="preserve">cs. </w:t>
      </w:r>
      <w:r w:rsidR="00A229C2">
        <w:rPr>
          <w:lang w:val="en-GB"/>
        </w:rPr>
        <w:t>P</w:t>
      </w:r>
      <w:r w:rsidRPr="00654C02">
        <w:rPr>
          <w:lang w:val="en-GB"/>
        </w:rPr>
        <w:t xml:space="preserve">erformance </w:t>
      </w:r>
      <w:r w:rsidR="00A229C2">
        <w:rPr>
          <w:lang w:val="en-GB"/>
        </w:rPr>
        <w:t xml:space="preserve">accuracy </w:t>
      </w:r>
      <w:r w:rsidRPr="00654C02">
        <w:rPr>
          <w:lang w:val="en-GB"/>
        </w:rPr>
        <w:t>of the three</w:t>
      </w:r>
      <w:r w:rsidR="00F7516A" w:rsidRPr="00654C02">
        <w:rPr>
          <w:lang w:val="en-GB"/>
        </w:rPr>
        <w:t xml:space="preserve"> CPGs </w:t>
      </w:r>
      <w:r w:rsidR="004E76A0">
        <w:rPr>
          <w:lang w:val="en-GB"/>
        </w:rPr>
        <w:t>and clinician practice are</w:t>
      </w:r>
      <w:r w:rsidR="00F56D76">
        <w:rPr>
          <w:lang w:val="en-GB"/>
        </w:rPr>
        <w:t xml:space="preserve"> presented </w:t>
      </w:r>
      <w:r w:rsidR="00F7516A" w:rsidRPr="00654C02">
        <w:rPr>
          <w:lang w:val="en-GB"/>
        </w:rPr>
        <w:t>using sensitivity, specificity, negative predictive value (NPV) and positive predictive value (PPV) (with 95% confidence intervals)</w:t>
      </w:r>
      <w:r w:rsidR="00F56D76">
        <w:rPr>
          <w:lang w:val="en-GB"/>
        </w:rPr>
        <w:t xml:space="preserve">, and </w:t>
      </w:r>
      <w:r w:rsidR="00F7516A" w:rsidRPr="00654C02">
        <w:rPr>
          <w:lang w:val="en-GB"/>
        </w:rPr>
        <w:t>McNemar’s test was used to assess difference in sensitivities and spec</w:t>
      </w:r>
      <w:r w:rsidR="00C26679">
        <w:rPr>
          <w:lang w:val="en-GB"/>
        </w:rPr>
        <w:t xml:space="preserve">ificities between </w:t>
      </w:r>
      <w:r w:rsidR="006552B7" w:rsidRPr="00654C02">
        <w:rPr>
          <w:lang w:val="en-GB"/>
        </w:rPr>
        <w:t>CPG</w:t>
      </w:r>
      <w:r w:rsidR="00C26679">
        <w:rPr>
          <w:lang w:val="en-GB"/>
        </w:rPr>
        <w:t>s</w:t>
      </w:r>
      <w:r w:rsidR="006552B7" w:rsidRPr="00654C02">
        <w:rPr>
          <w:lang w:val="en-GB"/>
        </w:rPr>
        <w:t xml:space="preserve">. The clinical risk factors </w:t>
      </w:r>
      <w:r w:rsidR="00702ECD">
        <w:rPr>
          <w:lang w:val="en-GB"/>
        </w:rPr>
        <w:t xml:space="preserve">were </w:t>
      </w:r>
      <w:r w:rsidR="006552B7" w:rsidRPr="00654C02">
        <w:rPr>
          <w:lang w:val="en-GB"/>
        </w:rPr>
        <w:t xml:space="preserve">assessed in a stepwise approach. </w:t>
      </w:r>
      <w:r w:rsidR="00702ECD">
        <w:rPr>
          <w:lang w:val="en-GB"/>
        </w:rPr>
        <w:t>Initially a</w:t>
      </w:r>
      <w:r w:rsidR="006552B7" w:rsidRPr="00654C02">
        <w:rPr>
          <w:lang w:val="en-GB"/>
        </w:rPr>
        <w:t xml:space="preserve">ll </w:t>
      </w:r>
      <w:r w:rsidR="00F56D76">
        <w:rPr>
          <w:lang w:val="en-GB"/>
        </w:rPr>
        <w:t xml:space="preserve">identified </w:t>
      </w:r>
      <w:r w:rsidR="006552B7" w:rsidRPr="00654C02">
        <w:rPr>
          <w:lang w:val="en-GB"/>
        </w:rPr>
        <w:t>predictor</w:t>
      </w:r>
      <w:r w:rsidR="00F56D76">
        <w:rPr>
          <w:lang w:val="en-GB"/>
        </w:rPr>
        <w:t xml:space="preserve"> variable</w:t>
      </w:r>
      <w:r w:rsidR="006552B7" w:rsidRPr="00654C02">
        <w:rPr>
          <w:lang w:val="en-GB"/>
        </w:rPr>
        <w:t>s were assessed using univariate analysis with Chi-squared</w:t>
      </w:r>
      <w:r w:rsidR="009E7AE4">
        <w:rPr>
          <w:lang w:val="en-GB"/>
        </w:rPr>
        <w:t>/ Fisher’s exact</w:t>
      </w:r>
      <w:r w:rsidR="006552B7" w:rsidRPr="00654C02">
        <w:rPr>
          <w:lang w:val="en-GB"/>
        </w:rPr>
        <w:t xml:space="preserve"> testing of categorical data, and the Mann-Whitney U test for continuous data. Age-dependent predictors such as heart rate, respiratory rate and blood pressure were converted to categorical data and classified as normal or abnormal based on published normal ranges</w:t>
      </w:r>
      <w:r w:rsidR="00F67DD0">
        <w:rPr>
          <w:lang w:val="en-GB"/>
        </w:rPr>
        <w:t xml:space="preserve"> [19</w:t>
      </w:r>
      <w:r w:rsidR="00FF61E0" w:rsidRPr="00654C02">
        <w:rPr>
          <w:lang w:val="en-GB"/>
        </w:rPr>
        <w:t>]</w:t>
      </w:r>
      <w:r w:rsidR="006552B7" w:rsidRPr="00654C02">
        <w:rPr>
          <w:lang w:val="en-GB"/>
        </w:rPr>
        <w:t xml:space="preserve">. </w:t>
      </w:r>
      <w:r w:rsidR="00F56D76">
        <w:rPr>
          <w:lang w:val="en-GB"/>
        </w:rPr>
        <w:t>P</w:t>
      </w:r>
      <w:r w:rsidR="006552B7" w:rsidRPr="00654C02">
        <w:rPr>
          <w:lang w:val="en-GB"/>
        </w:rPr>
        <w:t>redictor</w:t>
      </w:r>
      <w:r w:rsidR="00F56D76">
        <w:rPr>
          <w:lang w:val="en-GB"/>
        </w:rPr>
        <w:t xml:space="preserve"> variables</w:t>
      </w:r>
      <w:r w:rsidR="006552B7" w:rsidRPr="00654C02">
        <w:rPr>
          <w:lang w:val="en-GB"/>
        </w:rPr>
        <w:t xml:space="preserve"> with a statistically</w:t>
      </w:r>
      <w:r w:rsidRPr="00654C02">
        <w:rPr>
          <w:lang w:val="en-GB"/>
        </w:rPr>
        <w:t xml:space="preserve"> significant association with SBI</w:t>
      </w:r>
      <w:r w:rsidR="006552B7" w:rsidRPr="00654C02">
        <w:rPr>
          <w:lang w:val="en-GB"/>
        </w:rPr>
        <w:t xml:space="preserve"> (p&lt;0.20) were i</w:t>
      </w:r>
      <w:r w:rsidR="003C6B3F" w:rsidRPr="00654C02">
        <w:rPr>
          <w:lang w:val="en-GB"/>
        </w:rPr>
        <w:t>ncluded in a binary multivariable</w:t>
      </w:r>
      <w:r w:rsidR="006552B7" w:rsidRPr="00654C02">
        <w:rPr>
          <w:lang w:val="en-GB"/>
        </w:rPr>
        <w:t xml:space="preserve"> logistic regression model. A liberal level of significance (p&lt;0.20) was chosen to avoid falsely excluding a significant variable based on univariate analysis alone. Th</w:t>
      </w:r>
      <w:r w:rsidR="00F56D76">
        <w:rPr>
          <w:lang w:val="en-GB"/>
        </w:rPr>
        <w:t>ose</w:t>
      </w:r>
      <w:r w:rsidR="006552B7" w:rsidRPr="00654C02">
        <w:rPr>
          <w:lang w:val="en-GB"/>
        </w:rPr>
        <w:t xml:space="preserve"> identified from the univariate analysis were then included in the logistic regression modelling. Empirical binary multiva</w:t>
      </w:r>
      <w:r w:rsidR="003C6B3F" w:rsidRPr="00654C02">
        <w:rPr>
          <w:lang w:val="en-GB"/>
        </w:rPr>
        <w:t>riable</w:t>
      </w:r>
      <w:r w:rsidR="006552B7" w:rsidRPr="00654C02">
        <w:rPr>
          <w:lang w:val="en-GB"/>
        </w:rPr>
        <w:t xml:space="preserve"> forward and backward logistic regression </w:t>
      </w:r>
      <w:r w:rsidR="00E47820" w:rsidRPr="00E47820">
        <w:rPr>
          <w:lang w:val="en-GB"/>
        </w:rPr>
        <w:t>modelling</w:t>
      </w:r>
      <w:r w:rsidR="006552B7" w:rsidRPr="00654C02">
        <w:rPr>
          <w:lang w:val="en-GB"/>
        </w:rPr>
        <w:t xml:space="preserve"> was used to identify a best-fit model to identif</w:t>
      </w:r>
      <w:r w:rsidRPr="00654C02">
        <w:rPr>
          <w:lang w:val="en-GB"/>
        </w:rPr>
        <w:t>y children at highest risk of SBI</w:t>
      </w:r>
      <w:r w:rsidR="004E76A0">
        <w:rPr>
          <w:lang w:val="en-GB"/>
        </w:rPr>
        <w:t>/IBI</w:t>
      </w:r>
      <w:r w:rsidR="006552B7" w:rsidRPr="00654C02">
        <w:rPr>
          <w:lang w:val="en-GB"/>
        </w:rPr>
        <w:t xml:space="preserve">. </w:t>
      </w:r>
    </w:p>
    <w:p w14:paraId="5F81F4CC" w14:textId="77777777" w:rsidR="00C26679" w:rsidRPr="00654C02" w:rsidRDefault="00C26679" w:rsidP="008F5047">
      <w:pPr>
        <w:pStyle w:val="BodyText"/>
        <w:spacing w:line="480" w:lineRule="auto"/>
        <w:jc w:val="both"/>
        <w:rPr>
          <w:shd w:val="clear" w:color="auto" w:fill="FFFFFF"/>
          <w:lang w:val="en-GB"/>
        </w:rPr>
      </w:pPr>
    </w:p>
    <w:p w14:paraId="43344ACE" w14:textId="77777777" w:rsidR="00F03402" w:rsidRPr="00654C02" w:rsidRDefault="00F7516A" w:rsidP="008F5047">
      <w:pPr>
        <w:pStyle w:val="BodyText"/>
        <w:spacing w:line="480" w:lineRule="auto"/>
        <w:jc w:val="both"/>
        <w:rPr>
          <w:i/>
          <w:lang w:val="en-GB"/>
        </w:rPr>
      </w:pPr>
      <w:r w:rsidRPr="00654C02">
        <w:rPr>
          <w:i/>
          <w:lang w:val="en-GB"/>
        </w:rPr>
        <w:t xml:space="preserve">Office for Research Ethics Committees (OREC) and local Research Governance </w:t>
      </w:r>
    </w:p>
    <w:p w14:paraId="3029885D" w14:textId="2F44B211" w:rsidR="00F7516A" w:rsidRPr="00654C02" w:rsidRDefault="004E76A0" w:rsidP="008F5047">
      <w:pPr>
        <w:pStyle w:val="BodyText"/>
        <w:spacing w:line="480" w:lineRule="auto"/>
        <w:jc w:val="both"/>
        <w:rPr>
          <w:lang w:val="en-GB"/>
        </w:rPr>
      </w:pPr>
      <w:r>
        <w:rPr>
          <w:lang w:val="en-GB"/>
        </w:rPr>
        <w:t>National r</w:t>
      </w:r>
      <w:r w:rsidR="009D77E5" w:rsidRPr="00654C02">
        <w:rPr>
          <w:lang w:val="en-GB"/>
        </w:rPr>
        <w:t xml:space="preserve">esearch ethics </w:t>
      </w:r>
      <w:r>
        <w:rPr>
          <w:lang w:val="en-GB"/>
        </w:rPr>
        <w:t xml:space="preserve">committee </w:t>
      </w:r>
      <w:r w:rsidR="009D77E5" w:rsidRPr="00654C02">
        <w:rPr>
          <w:lang w:val="en-GB"/>
        </w:rPr>
        <w:t>approval was not necessary for this study</w:t>
      </w:r>
      <w:r w:rsidR="008826D3">
        <w:rPr>
          <w:lang w:val="en-GB"/>
        </w:rPr>
        <w:t xml:space="preserve"> based on the results from </w:t>
      </w:r>
      <w:r>
        <w:rPr>
          <w:lang w:val="en-GB"/>
        </w:rPr>
        <w:t>the Health Research Association</w:t>
      </w:r>
      <w:r w:rsidR="008826D3">
        <w:rPr>
          <w:lang w:val="en-GB"/>
        </w:rPr>
        <w:t xml:space="preserve"> decisions tool</w:t>
      </w:r>
      <w:r w:rsidR="00BE3BDD">
        <w:rPr>
          <w:lang w:val="en-GB"/>
        </w:rPr>
        <w:t xml:space="preserve"> [20]</w:t>
      </w:r>
      <w:r w:rsidR="008826D3">
        <w:rPr>
          <w:lang w:val="en-GB"/>
        </w:rPr>
        <w:t xml:space="preserve">. </w:t>
      </w:r>
      <w:r w:rsidR="009D77E5" w:rsidRPr="00654C02">
        <w:rPr>
          <w:lang w:val="en-GB"/>
        </w:rPr>
        <w:t xml:space="preserve">The study was </w:t>
      </w:r>
      <w:r>
        <w:rPr>
          <w:lang w:val="en-GB"/>
        </w:rPr>
        <w:t xml:space="preserve">however </w:t>
      </w:r>
      <w:r w:rsidR="009D77E5" w:rsidRPr="00654C02">
        <w:rPr>
          <w:lang w:val="en-GB"/>
        </w:rPr>
        <w:t>registered</w:t>
      </w:r>
      <w:r w:rsidR="008826D3">
        <w:rPr>
          <w:lang w:val="en-GB"/>
        </w:rPr>
        <w:t xml:space="preserve"> with, and approved by,</w:t>
      </w:r>
      <w:r>
        <w:rPr>
          <w:lang w:val="en-GB"/>
        </w:rPr>
        <w:t xml:space="preserve"> </w:t>
      </w:r>
      <w:r w:rsidR="008826D3">
        <w:rPr>
          <w:lang w:val="en-GB"/>
        </w:rPr>
        <w:t>research governance offices</w:t>
      </w:r>
      <w:r>
        <w:rPr>
          <w:lang w:val="en-GB"/>
        </w:rPr>
        <w:t xml:space="preserve"> at the respective sites</w:t>
      </w:r>
      <w:r w:rsidR="008826D3">
        <w:rPr>
          <w:lang w:val="en-GB"/>
        </w:rPr>
        <w:t>.</w:t>
      </w:r>
    </w:p>
    <w:p w14:paraId="72D30851" w14:textId="1B54F4EF" w:rsidR="00B93D3A" w:rsidRDefault="00B93D3A" w:rsidP="008F5047">
      <w:pPr>
        <w:pStyle w:val="BodyText"/>
        <w:spacing w:line="480" w:lineRule="auto"/>
        <w:jc w:val="both"/>
        <w:rPr>
          <w:lang w:val="en-GB"/>
        </w:rPr>
      </w:pPr>
    </w:p>
    <w:p w14:paraId="25453A96" w14:textId="18040248" w:rsidR="00301D25" w:rsidRDefault="00301D25" w:rsidP="008F5047">
      <w:pPr>
        <w:pStyle w:val="BodyText"/>
        <w:spacing w:line="480" w:lineRule="auto"/>
        <w:jc w:val="both"/>
        <w:rPr>
          <w:lang w:val="en-GB"/>
        </w:rPr>
      </w:pPr>
    </w:p>
    <w:p w14:paraId="6CD83143" w14:textId="77777777" w:rsidR="00301D25" w:rsidRPr="00654C02" w:rsidRDefault="00301D25" w:rsidP="008F5047">
      <w:pPr>
        <w:pStyle w:val="BodyText"/>
        <w:spacing w:line="480" w:lineRule="auto"/>
        <w:jc w:val="both"/>
        <w:rPr>
          <w:lang w:val="en-GB"/>
        </w:rPr>
      </w:pPr>
    </w:p>
    <w:p w14:paraId="09EE2271" w14:textId="56D13F21" w:rsidR="00F7516A" w:rsidRPr="00654C02" w:rsidRDefault="00F7516A" w:rsidP="008F5047">
      <w:pPr>
        <w:pStyle w:val="BodyText"/>
        <w:spacing w:line="480" w:lineRule="auto"/>
        <w:jc w:val="both"/>
        <w:rPr>
          <w:i/>
          <w:lang w:val="en-GB"/>
        </w:rPr>
      </w:pPr>
      <w:r w:rsidRPr="00654C02">
        <w:rPr>
          <w:i/>
          <w:lang w:val="en-GB"/>
        </w:rPr>
        <w:lastRenderedPageBreak/>
        <w:t xml:space="preserve">Study registration </w:t>
      </w:r>
    </w:p>
    <w:p w14:paraId="4390DF54" w14:textId="7CD45451" w:rsidR="00F7516A" w:rsidRPr="00654C02" w:rsidRDefault="009D77E5" w:rsidP="008F5047">
      <w:pPr>
        <w:pStyle w:val="BodyText"/>
        <w:spacing w:line="480" w:lineRule="auto"/>
        <w:jc w:val="both"/>
        <w:rPr>
          <w:lang w:val="en-GB"/>
        </w:rPr>
      </w:pPr>
      <w:r w:rsidRPr="00654C02">
        <w:rPr>
          <w:lang w:val="en-GB"/>
        </w:rPr>
        <w:t>The</w:t>
      </w:r>
      <w:r w:rsidR="00F7516A" w:rsidRPr="00654C02">
        <w:rPr>
          <w:lang w:val="en-GB"/>
        </w:rPr>
        <w:t xml:space="preserve"> study was registered at https://www.clinicaltrials.gov </w:t>
      </w:r>
      <w:r w:rsidRPr="00654C02">
        <w:rPr>
          <w:lang w:val="en-GB"/>
        </w:rPr>
        <w:t>(trial registration: NCT</w:t>
      </w:r>
      <w:r w:rsidRPr="00654C02">
        <w:rPr>
          <w:rFonts w:ascii="Helvetica" w:hAnsi="Helvetica"/>
          <w:color w:val="000000"/>
          <w:sz w:val="23"/>
          <w:szCs w:val="23"/>
          <w:shd w:val="clear" w:color="auto" w:fill="FFFFFF"/>
          <w:lang w:val="en-GB"/>
        </w:rPr>
        <w:t>04196192</w:t>
      </w:r>
      <w:r w:rsidR="00F7516A" w:rsidRPr="00654C02">
        <w:rPr>
          <w:lang w:val="en-GB"/>
        </w:rPr>
        <w:t>) on the 19th of December 2</w:t>
      </w:r>
      <w:r w:rsidRPr="00654C02">
        <w:rPr>
          <w:lang w:val="en-GB"/>
        </w:rPr>
        <w:t>019</w:t>
      </w:r>
      <w:r w:rsidR="00F7516A" w:rsidRPr="00654C02">
        <w:rPr>
          <w:lang w:val="en-GB"/>
        </w:rPr>
        <w:t>.</w:t>
      </w:r>
    </w:p>
    <w:p w14:paraId="151B0EE6" w14:textId="77777777" w:rsidR="00EB1A31" w:rsidRDefault="00EB1A31" w:rsidP="008F5047">
      <w:pPr>
        <w:pStyle w:val="BodyText"/>
        <w:spacing w:line="480" w:lineRule="auto"/>
        <w:jc w:val="both"/>
        <w:rPr>
          <w:b/>
          <w:sz w:val="24"/>
          <w:szCs w:val="24"/>
          <w:lang w:val="en-GB"/>
        </w:rPr>
      </w:pPr>
    </w:p>
    <w:p w14:paraId="255CC0BA" w14:textId="78F2C567" w:rsidR="00C67B10" w:rsidRPr="00654C02" w:rsidRDefault="00C67B10" w:rsidP="008F5047">
      <w:pPr>
        <w:pStyle w:val="BodyText"/>
        <w:spacing w:line="480" w:lineRule="auto"/>
        <w:jc w:val="both"/>
        <w:rPr>
          <w:b/>
          <w:sz w:val="24"/>
          <w:szCs w:val="24"/>
          <w:lang w:val="en-GB"/>
        </w:rPr>
      </w:pPr>
      <w:r w:rsidRPr="00654C02">
        <w:rPr>
          <w:b/>
          <w:sz w:val="24"/>
          <w:szCs w:val="24"/>
          <w:lang w:val="en-GB"/>
        </w:rPr>
        <w:t xml:space="preserve">Findings </w:t>
      </w:r>
    </w:p>
    <w:p w14:paraId="37F1CFBA" w14:textId="1B84FAA3" w:rsidR="00F62477" w:rsidRDefault="00F56D76" w:rsidP="00D97280">
      <w:pPr>
        <w:pStyle w:val="BodyText"/>
        <w:spacing w:line="480" w:lineRule="auto"/>
        <w:jc w:val="both"/>
        <w:rPr>
          <w:lang w:val="en-GB"/>
        </w:rPr>
      </w:pPr>
      <w:r>
        <w:rPr>
          <w:lang w:val="en-GB"/>
        </w:rPr>
        <w:t>A</w:t>
      </w:r>
      <w:r w:rsidR="004E76A0">
        <w:rPr>
          <w:lang w:val="en-GB"/>
        </w:rPr>
        <w:t xml:space="preserve"> total of 1942 </w:t>
      </w:r>
      <w:r w:rsidR="002B403A" w:rsidRPr="00654C02">
        <w:rPr>
          <w:lang w:val="en-GB"/>
        </w:rPr>
        <w:t xml:space="preserve">eligible infants </w:t>
      </w:r>
      <w:r w:rsidR="00E012B0">
        <w:rPr>
          <w:lang w:val="en-GB"/>
        </w:rPr>
        <w:t>were screened</w:t>
      </w:r>
      <w:r>
        <w:rPr>
          <w:lang w:val="en-GB"/>
        </w:rPr>
        <w:t>, of which</w:t>
      </w:r>
      <w:r w:rsidR="00C26679">
        <w:rPr>
          <w:lang w:val="en-GB"/>
        </w:rPr>
        <w:t xml:space="preserve"> </w:t>
      </w:r>
      <w:r w:rsidR="00C07718">
        <w:rPr>
          <w:lang w:val="en-GB"/>
        </w:rPr>
        <w:t>1379 were ineligible, 8 had incomplete data sets</w:t>
      </w:r>
      <w:r w:rsidR="00BA547E" w:rsidRPr="00654C02">
        <w:rPr>
          <w:lang w:val="en-GB"/>
        </w:rPr>
        <w:t xml:space="preserve"> </w:t>
      </w:r>
      <w:r w:rsidR="00C07718">
        <w:rPr>
          <w:lang w:val="en-GB"/>
        </w:rPr>
        <w:t xml:space="preserve">and 555 were included in the final analysis </w:t>
      </w:r>
      <w:r w:rsidR="00C67B10" w:rsidRPr="00654C02">
        <w:rPr>
          <w:lang w:val="en-GB"/>
        </w:rPr>
        <w:t xml:space="preserve">(Figure 1). </w:t>
      </w:r>
      <w:r>
        <w:rPr>
          <w:lang w:val="en-GB"/>
        </w:rPr>
        <w:t>R</w:t>
      </w:r>
      <w:r w:rsidR="002F68E8" w:rsidRPr="00654C02">
        <w:rPr>
          <w:lang w:val="en-GB"/>
        </w:rPr>
        <w:t xml:space="preserve">ecruitment by </w:t>
      </w:r>
      <w:r w:rsidR="003205BB" w:rsidRPr="00654C02">
        <w:rPr>
          <w:lang w:val="en-GB"/>
        </w:rPr>
        <w:t>site</w:t>
      </w:r>
      <w:r w:rsidR="004E672F" w:rsidRPr="00654C02">
        <w:rPr>
          <w:lang w:val="en-GB"/>
        </w:rPr>
        <w:t xml:space="preserve"> </w:t>
      </w:r>
      <w:r>
        <w:rPr>
          <w:lang w:val="en-GB"/>
        </w:rPr>
        <w:t>is presented</w:t>
      </w:r>
      <w:r w:rsidR="004E672F" w:rsidRPr="00654C02">
        <w:rPr>
          <w:lang w:val="en-GB"/>
        </w:rPr>
        <w:t xml:space="preserve"> in </w:t>
      </w:r>
      <w:r w:rsidR="002B403A" w:rsidRPr="00654C02">
        <w:rPr>
          <w:lang w:val="en-GB"/>
        </w:rPr>
        <w:t>Table 1</w:t>
      </w:r>
      <w:r w:rsidR="004E672F" w:rsidRPr="00654C02">
        <w:rPr>
          <w:lang w:val="en-GB"/>
        </w:rPr>
        <w:t>. The</w:t>
      </w:r>
      <w:r w:rsidR="0076610E" w:rsidRPr="00654C02">
        <w:rPr>
          <w:lang w:val="en-GB"/>
        </w:rPr>
        <w:t xml:space="preserve"> m</w:t>
      </w:r>
      <w:r w:rsidR="007569AF">
        <w:rPr>
          <w:lang w:val="en-GB"/>
        </w:rPr>
        <w:t>edian age of participants was 53</w:t>
      </w:r>
      <w:r w:rsidR="0076610E" w:rsidRPr="00654C02">
        <w:rPr>
          <w:lang w:val="en-GB"/>
        </w:rPr>
        <w:t xml:space="preserve"> days (IQR 32</w:t>
      </w:r>
      <w:r>
        <w:rPr>
          <w:lang w:val="en-GB"/>
        </w:rPr>
        <w:t>-</w:t>
      </w:r>
      <w:r w:rsidR="0076610E" w:rsidRPr="00654C02">
        <w:rPr>
          <w:lang w:val="en-GB"/>
        </w:rPr>
        <w:t>70</w:t>
      </w:r>
      <w:r>
        <w:rPr>
          <w:lang w:val="en-GB"/>
        </w:rPr>
        <w:t xml:space="preserve">; </w:t>
      </w:r>
      <w:r w:rsidR="0076610E" w:rsidRPr="00654C02">
        <w:rPr>
          <w:lang w:val="en-GB"/>
        </w:rPr>
        <w:t>range 1</w:t>
      </w:r>
      <w:r>
        <w:rPr>
          <w:lang w:val="en-GB"/>
        </w:rPr>
        <w:t>-</w:t>
      </w:r>
      <w:r w:rsidR="0076610E" w:rsidRPr="00654C02">
        <w:rPr>
          <w:lang w:val="en-GB"/>
        </w:rPr>
        <w:t>90)</w:t>
      </w:r>
      <w:r>
        <w:rPr>
          <w:lang w:val="en-GB"/>
        </w:rPr>
        <w:t>, and t</w:t>
      </w:r>
      <w:r w:rsidR="0076610E" w:rsidRPr="00654C02">
        <w:rPr>
          <w:lang w:val="en-GB"/>
        </w:rPr>
        <w:t>her</w:t>
      </w:r>
      <w:r w:rsidR="007569AF">
        <w:rPr>
          <w:lang w:val="en-GB"/>
        </w:rPr>
        <w:t>e were 325 male participants (59%)</w:t>
      </w:r>
      <w:r w:rsidR="00F62477">
        <w:rPr>
          <w:lang w:val="en-GB"/>
        </w:rPr>
        <w:t>. In total 78</w:t>
      </w:r>
      <w:r w:rsidR="00F62477" w:rsidRPr="00654C02">
        <w:rPr>
          <w:lang w:val="en-GB"/>
        </w:rPr>
        <w:t xml:space="preserve"> </w:t>
      </w:r>
      <w:r w:rsidR="00F62477">
        <w:rPr>
          <w:lang w:val="en-GB"/>
        </w:rPr>
        <w:t>(14</w:t>
      </w:r>
      <w:r w:rsidR="00F62477" w:rsidRPr="00654C02">
        <w:rPr>
          <w:lang w:val="en-GB"/>
        </w:rPr>
        <w:t xml:space="preserve">%) participants </w:t>
      </w:r>
      <w:r w:rsidR="008826D3">
        <w:rPr>
          <w:lang w:val="en-GB"/>
        </w:rPr>
        <w:t>had a confirmed SBI</w:t>
      </w:r>
      <w:r w:rsidR="004E76A0">
        <w:rPr>
          <w:lang w:val="en-GB"/>
        </w:rPr>
        <w:t>/IBI</w:t>
      </w:r>
      <w:r w:rsidR="008826D3">
        <w:rPr>
          <w:lang w:val="en-GB"/>
        </w:rPr>
        <w:t xml:space="preserve"> including 12 (2%) with IBI and 66</w:t>
      </w:r>
      <w:r w:rsidR="00AB6F41">
        <w:rPr>
          <w:lang w:val="en-GB"/>
        </w:rPr>
        <w:t xml:space="preserve"> </w:t>
      </w:r>
      <w:r w:rsidR="008826D3">
        <w:rPr>
          <w:lang w:val="en-GB"/>
        </w:rPr>
        <w:t xml:space="preserve">(12%) with UTI. The 12 participants with IBI included </w:t>
      </w:r>
      <w:r w:rsidR="00AB6F41">
        <w:rPr>
          <w:lang w:val="en-GB"/>
        </w:rPr>
        <w:t xml:space="preserve">five </w:t>
      </w:r>
      <w:r w:rsidR="008826D3">
        <w:rPr>
          <w:lang w:val="en-GB"/>
        </w:rPr>
        <w:t>(1%)</w:t>
      </w:r>
      <w:r w:rsidR="00F62477" w:rsidRPr="00654C02">
        <w:rPr>
          <w:lang w:val="en-GB"/>
        </w:rPr>
        <w:t xml:space="preserve"> </w:t>
      </w:r>
      <w:r w:rsidR="008826D3">
        <w:rPr>
          <w:lang w:val="en-GB"/>
        </w:rPr>
        <w:t xml:space="preserve">with bacterial meningitis, </w:t>
      </w:r>
      <w:r w:rsidR="00AB6F41">
        <w:rPr>
          <w:lang w:val="en-GB"/>
        </w:rPr>
        <w:t xml:space="preserve">and seven </w:t>
      </w:r>
      <w:r w:rsidR="008826D3">
        <w:rPr>
          <w:lang w:val="en-GB"/>
        </w:rPr>
        <w:t>(1%) with</w:t>
      </w:r>
      <w:r w:rsidR="004E76A0">
        <w:rPr>
          <w:lang w:val="en-GB"/>
        </w:rPr>
        <w:t xml:space="preserve"> bacteraemia</w:t>
      </w:r>
      <w:r w:rsidR="00F62477" w:rsidRPr="00654C02">
        <w:rPr>
          <w:lang w:val="en-GB"/>
        </w:rPr>
        <w:t xml:space="preserve"> (Tables 1 and 2).</w:t>
      </w:r>
    </w:p>
    <w:p w14:paraId="48882B4F" w14:textId="77777777" w:rsidR="00F62477" w:rsidRDefault="00F62477" w:rsidP="00D97280">
      <w:pPr>
        <w:pStyle w:val="BodyText"/>
        <w:spacing w:line="480" w:lineRule="auto"/>
        <w:jc w:val="both"/>
        <w:rPr>
          <w:lang w:val="en-GB"/>
        </w:rPr>
      </w:pPr>
    </w:p>
    <w:p w14:paraId="1FDB8C90" w14:textId="32E0D42F" w:rsidR="00C22270" w:rsidRDefault="00F62477" w:rsidP="00D97280">
      <w:pPr>
        <w:pStyle w:val="BodyText"/>
        <w:spacing w:line="480" w:lineRule="auto"/>
        <w:jc w:val="both"/>
        <w:rPr>
          <w:lang w:val="en-GB"/>
        </w:rPr>
      </w:pPr>
      <w:r>
        <w:rPr>
          <w:lang w:val="en-GB"/>
        </w:rPr>
        <w:t>A total of 447</w:t>
      </w:r>
      <w:r w:rsidRPr="00654C02">
        <w:rPr>
          <w:lang w:val="en-GB"/>
        </w:rPr>
        <w:t xml:space="preserve"> </w:t>
      </w:r>
      <w:r>
        <w:rPr>
          <w:lang w:val="en-GB"/>
        </w:rPr>
        <w:t xml:space="preserve">participants </w:t>
      </w:r>
      <w:r w:rsidRPr="00654C02">
        <w:rPr>
          <w:lang w:val="en-GB"/>
        </w:rPr>
        <w:t>(81%) underwent blood testing</w:t>
      </w:r>
      <w:r>
        <w:rPr>
          <w:lang w:val="en-GB"/>
        </w:rPr>
        <w:t>, 328 (59</w:t>
      </w:r>
      <w:r w:rsidRPr="00654C02">
        <w:rPr>
          <w:lang w:val="en-GB"/>
        </w:rPr>
        <w:t>%) underwent a lumbar puncture</w:t>
      </w:r>
      <w:r w:rsidR="00F56E9E">
        <w:rPr>
          <w:lang w:val="en-GB"/>
        </w:rPr>
        <w:t xml:space="preserve"> (LP)</w:t>
      </w:r>
      <w:r>
        <w:rPr>
          <w:lang w:val="en-GB"/>
        </w:rPr>
        <w:t>, and 52 (9</w:t>
      </w:r>
      <w:r w:rsidRPr="00654C02">
        <w:rPr>
          <w:lang w:val="en-GB"/>
        </w:rPr>
        <w:t xml:space="preserve">%) were discharged home without </w:t>
      </w:r>
      <w:r>
        <w:rPr>
          <w:lang w:val="en-GB"/>
        </w:rPr>
        <w:t>either test. O</w:t>
      </w:r>
      <w:r w:rsidRPr="00654C02">
        <w:rPr>
          <w:lang w:val="en-GB"/>
        </w:rPr>
        <w:t xml:space="preserve">f </w:t>
      </w:r>
      <w:r>
        <w:rPr>
          <w:lang w:val="en-GB"/>
        </w:rPr>
        <w:t xml:space="preserve">these, </w:t>
      </w:r>
      <w:r w:rsidRPr="00654C02">
        <w:rPr>
          <w:lang w:val="en-GB"/>
        </w:rPr>
        <w:t>three re-attended</w:t>
      </w:r>
      <w:r>
        <w:rPr>
          <w:lang w:val="en-GB"/>
        </w:rPr>
        <w:t>, but</w:t>
      </w:r>
      <w:r w:rsidRPr="00654C02">
        <w:rPr>
          <w:lang w:val="en-GB"/>
        </w:rPr>
        <w:t xml:space="preserve"> none were subsequently diagnosed with a SBI</w:t>
      </w:r>
      <w:r w:rsidR="008826D3">
        <w:rPr>
          <w:lang w:val="en-GB"/>
        </w:rPr>
        <w:t>/IBI</w:t>
      </w:r>
      <w:r w:rsidRPr="00654C02">
        <w:rPr>
          <w:lang w:val="en-GB"/>
        </w:rPr>
        <w:t xml:space="preserve">. </w:t>
      </w:r>
      <w:r>
        <w:rPr>
          <w:lang w:val="en-GB"/>
        </w:rPr>
        <w:t xml:space="preserve">Fifteen (3%) </w:t>
      </w:r>
      <w:r w:rsidRPr="00654C02">
        <w:rPr>
          <w:lang w:val="en-GB"/>
        </w:rPr>
        <w:t>blood culture</w:t>
      </w:r>
      <w:r>
        <w:rPr>
          <w:lang w:val="en-GB"/>
        </w:rPr>
        <w:t>s had suspected contaminants, including Coagulase Negative Staphylococcal species</w:t>
      </w:r>
      <w:r w:rsidR="008826D3">
        <w:rPr>
          <w:lang w:val="en-GB"/>
        </w:rPr>
        <w:t xml:space="preserve"> (12), Streptococcus Viridans (1), and Diphtheroid (1</w:t>
      </w:r>
      <w:r>
        <w:rPr>
          <w:lang w:val="en-GB"/>
        </w:rPr>
        <w:t>).</w:t>
      </w:r>
      <w:r w:rsidRPr="00654C02">
        <w:rPr>
          <w:lang w:val="en-GB"/>
        </w:rPr>
        <w:t xml:space="preserve"> </w:t>
      </w:r>
      <w:r w:rsidR="00F56E9E">
        <w:rPr>
          <w:lang w:val="en-GB"/>
        </w:rPr>
        <w:t xml:space="preserve">Of the participants that underwent phlebotomy and LP 52/447 (12%) and 133/328 (41%) respectively had the number of attempts recorded. </w:t>
      </w:r>
      <w:r w:rsidR="003A0C19" w:rsidRPr="00654C02">
        <w:rPr>
          <w:lang w:val="en-GB"/>
        </w:rPr>
        <w:t xml:space="preserve">The median number of attempts at </w:t>
      </w:r>
      <w:r w:rsidR="00AB6F41">
        <w:rPr>
          <w:lang w:val="en-GB"/>
        </w:rPr>
        <w:t xml:space="preserve">intravenous </w:t>
      </w:r>
      <w:r w:rsidR="003A0C19" w:rsidRPr="00654C02">
        <w:rPr>
          <w:lang w:val="en-GB"/>
        </w:rPr>
        <w:t>cannulation was 1</w:t>
      </w:r>
      <w:r w:rsidR="00F56D76">
        <w:rPr>
          <w:lang w:val="en-GB"/>
        </w:rPr>
        <w:t xml:space="preserve"> </w:t>
      </w:r>
      <w:r w:rsidR="003A0C19" w:rsidRPr="00654C02">
        <w:rPr>
          <w:lang w:val="en-GB"/>
        </w:rPr>
        <w:t>(IQR 1</w:t>
      </w:r>
      <w:r w:rsidR="00F56D76">
        <w:rPr>
          <w:lang w:val="en-GB"/>
        </w:rPr>
        <w:t>-</w:t>
      </w:r>
      <w:r w:rsidR="003A0C19" w:rsidRPr="00654C02">
        <w:rPr>
          <w:lang w:val="en-GB"/>
        </w:rPr>
        <w:t>3</w:t>
      </w:r>
      <w:r w:rsidR="00F56D76">
        <w:rPr>
          <w:lang w:val="en-GB"/>
        </w:rPr>
        <w:t>),</w:t>
      </w:r>
      <w:r w:rsidR="003A0C19" w:rsidRPr="00654C02">
        <w:rPr>
          <w:lang w:val="en-GB"/>
        </w:rPr>
        <w:t xml:space="preserve"> and the median number </w:t>
      </w:r>
      <w:r w:rsidR="00F56D76">
        <w:rPr>
          <w:lang w:val="en-GB"/>
        </w:rPr>
        <w:t xml:space="preserve">of </w:t>
      </w:r>
      <w:r w:rsidR="003A0C19" w:rsidRPr="00654C02">
        <w:rPr>
          <w:lang w:val="en-GB"/>
        </w:rPr>
        <w:t>attempts at Lum</w:t>
      </w:r>
      <w:r w:rsidR="00C22270">
        <w:rPr>
          <w:lang w:val="en-GB"/>
        </w:rPr>
        <w:t>bar Puncture was 3</w:t>
      </w:r>
      <w:r w:rsidR="00F56D76">
        <w:rPr>
          <w:lang w:val="en-GB"/>
        </w:rPr>
        <w:t xml:space="preserve"> </w:t>
      </w:r>
      <w:r w:rsidR="00C22270">
        <w:rPr>
          <w:lang w:val="en-GB"/>
        </w:rPr>
        <w:t>(IQR 1</w:t>
      </w:r>
      <w:r w:rsidR="00F56D76">
        <w:rPr>
          <w:lang w:val="en-GB"/>
        </w:rPr>
        <w:t>-</w:t>
      </w:r>
      <w:r w:rsidR="00C22270">
        <w:rPr>
          <w:lang w:val="en-GB"/>
        </w:rPr>
        <w:t>4).</w:t>
      </w:r>
    </w:p>
    <w:p w14:paraId="3C101084" w14:textId="77777777" w:rsidR="00C22270" w:rsidRPr="00654C02" w:rsidRDefault="00C22270" w:rsidP="00D97280">
      <w:pPr>
        <w:pStyle w:val="BodyText"/>
        <w:spacing w:line="480" w:lineRule="auto"/>
        <w:jc w:val="both"/>
        <w:rPr>
          <w:lang w:val="en-GB"/>
        </w:rPr>
      </w:pPr>
    </w:p>
    <w:p w14:paraId="288D1C86" w14:textId="45958109" w:rsidR="007E2AEA" w:rsidRDefault="003A0C19" w:rsidP="00D97280">
      <w:pPr>
        <w:pStyle w:val="BodyText"/>
        <w:spacing w:line="480" w:lineRule="auto"/>
        <w:jc w:val="both"/>
        <w:rPr>
          <w:lang w:val="en-GB"/>
        </w:rPr>
      </w:pPr>
      <w:r w:rsidRPr="00654C02">
        <w:rPr>
          <w:lang w:val="en-GB"/>
        </w:rPr>
        <w:t>Of th</w:t>
      </w:r>
      <w:r w:rsidR="003755C6">
        <w:rPr>
          <w:lang w:val="en-GB"/>
        </w:rPr>
        <w:t>e 5</w:t>
      </w:r>
      <w:r w:rsidR="00F37945" w:rsidRPr="00654C02">
        <w:rPr>
          <w:lang w:val="en-GB"/>
        </w:rPr>
        <w:t>5</w:t>
      </w:r>
      <w:r w:rsidR="007569AF">
        <w:rPr>
          <w:lang w:val="en-GB"/>
        </w:rPr>
        <w:t>5</w:t>
      </w:r>
      <w:r w:rsidR="003755C6">
        <w:rPr>
          <w:lang w:val="en-GB"/>
        </w:rPr>
        <w:t xml:space="preserve"> participants</w:t>
      </w:r>
      <w:r w:rsidR="00F56D76">
        <w:rPr>
          <w:lang w:val="en-GB"/>
        </w:rPr>
        <w:t>,</w:t>
      </w:r>
      <w:r w:rsidR="003755C6">
        <w:rPr>
          <w:lang w:val="en-GB"/>
        </w:rPr>
        <w:t xml:space="preserve"> 421 (76</w:t>
      </w:r>
      <w:r w:rsidR="00F37945" w:rsidRPr="00654C02">
        <w:rPr>
          <w:lang w:val="en-GB"/>
        </w:rPr>
        <w:t>%) rec</w:t>
      </w:r>
      <w:r w:rsidR="003755C6">
        <w:rPr>
          <w:lang w:val="en-GB"/>
        </w:rPr>
        <w:t>eived parenteral antibiotics, 79 (14</w:t>
      </w:r>
      <w:r w:rsidR="00F37945" w:rsidRPr="00654C02">
        <w:rPr>
          <w:lang w:val="en-GB"/>
        </w:rPr>
        <w:t>%) were observ</w:t>
      </w:r>
      <w:r w:rsidR="00AD32A3">
        <w:rPr>
          <w:lang w:val="en-GB"/>
        </w:rPr>
        <w:t>ed</w:t>
      </w:r>
      <w:r w:rsidR="00F37945" w:rsidRPr="00654C02">
        <w:rPr>
          <w:lang w:val="en-GB"/>
        </w:rPr>
        <w:t xml:space="preserve"> witho</w:t>
      </w:r>
      <w:r w:rsidR="00B346C0">
        <w:rPr>
          <w:lang w:val="en-GB"/>
        </w:rPr>
        <w:t>ut parenteral antibiotics</w:t>
      </w:r>
      <w:r w:rsidR="00BE1250">
        <w:rPr>
          <w:lang w:val="en-GB"/>
        </w:rPr>
        <w:t>,</w:t>
      </w:r>
      <w:r w:rsidR="00B346C0">
        <w:rPr>
          <w:lang w:val="en-GB"/>
        </w:rPr>
        <w:t xml:space="preserve"> and 53</w:t>
      </w:r>
      <w:r w:rsidR="00F37945" w:rsidRPr="00654C02">
        <w:rPr>
          <w:lang w:val="en-GB"/>
        </w:rPr>
        <w:t xml:space="preserve"> (10%) were discharged without parenteral antibiotics. </w:t>
      </w:r>
      <w:r w:rsidR="0076610E" w:rsidRPr="00654C02">
        <w:rPr>
          <w:lang w:val="en-GB"/>
        </w:rPr>
        <w:t xml:space="preserve">The median length of stay (LOS) of </w:t>
      </w:r>
      <w:r w:rsidR="00F37945" w:rsidRPr="00654C02">
        <w:rPr>
          <w:lang w:val="en-GB"/>
        </w:rPr>
        <w:t xml:space="preserve">admitted </w:t>
      </w:r>
      <w:r w:rsidR="0076610E" w:rsidRPr="00654C02">
        <w:rPr>
          <w:lang w:val="en-GB"/>
        </w:rPr>
        <w:t>participants with</w:t>
      </w:r>
      <w:r w:rsidR="00AD32A3">
        <w:rPr>
          <w:lang w:val="en-GB"/>
        </w:rPr>
        <w:t xml:space="preserve"> no confirmed </w:t>
      </w:r>
      <w:r w:rsidR="0076610E" w:rsidRPr="00654C02">
        <w:rPr>
          <w:lang w:val="en-GB"/>
        </w:rPr>
        <w:t>SBI</w:t>
      </w:r>
      <w:r w:rsidR="008826D3">
        <w:rPr>
          <w:lang w:val="en-GB"/>
        </w:rPr>
        <w:t>/IBI</w:t>
      </w:r>
      <w:r w:rsidR="0076610E" w:rsidRPr="00654C02">
        <w:rPr>
          <w:lang w:val="en-GB"/>
        </w:rPr>
        <w:t xml:space="preserve"> was 48 hours (IQR 25</w:t>
      </w:r>
      <w:r w:rsidR="00AD32A3">
        <w:rPr>
          <w:lang w:val="en-GB"/>
        </w:rPr>
        <w:t>-</w:t>
      </w:r>
      <w:r w:rsidR="0076610E" w:rsidRPr="00654C02">
        <w:rPr>
          <w:lang w:val="en-GB"/>
        </w:rPr>
        <w:t>69)</w:t>
      </w:r>
      <w:r w:rsidR="00AD32A3">
        <w:rPr>
          <w:lang w:val="en-GB"/>
        </w:rPr>
        <w:t xml:space="preserve">, compared to a </w:t>
      </w:r>
      <w:r w:rsidR="0076610E" w:rsidRPr="00654C02">
        <w:rPr>
          <w:lang w:val="en-GB"/>
        </w:rPr>
        <w:t>median LOS of</w:t>
      </w:r>
      <w:r w:rsidR="00F37945" w:rsidRPr="00654C02">
        <w:rPr>
          <w:lang w:val="en-GB"/>
        </w:rPr>
        <w:t xml:space="preserve"> </w:t>
      </w:r>
      <w:r w:rsidR="00AD32A3" w:rsidRPr="00654C02">
        <w:rPr>
          <w:lang w:val="en-GB"/>
        </w:rPr>
        <w:t>72 hours (IQR 48</w:t>
      </w:r>
      <w:r w:rsidR="00AD32A3">
        <w:rPr>
          <w:lang w:val="en-GB"/>
        </w:rPr>
        <w:t>-</w:t>
      </w:r>
      <w:r w:rsidR="00AD32A3" w:rsidRPr="00654C02">
        <w:rPr>
          <w:lang w:val="en-GB"/>
        </w:rPr>
        <w:t>116)</w:t>
      </w:r>
      <w:r w:rsidR="00AD32A3">
        <w:rPr>
          <w:lang w:val="en-GB"/>
        </w:rPr>
        <w:t xml:space="preserve"> in those </w:t>
      </w:r>
      <w:r w:rsidR="0076610E" w:rsidRPr="00654C02">
        <w:rPr>
          <w:lang w:val="en-GB"/>
        </w:rPr>
        <w:t>with SBI</w:t>
      </w:r>
      <w:r w:rsidR="008826D3">
        <w:rPr>
          <w:lang w:val="en-GB"/>
        </w:rPr>
        <w:t>/IBI</w:t>
      </w:r>
      <w:r w:rsidR="00AD32A3">
        <w:rPr>
          <w:lang w:val="en-GB"/>
        </w:rPr>
        <w:t xml:space="preserve">, a </w:t>
      </w:r>
      <w:r w:rsidR="0076610E" w:rsidRPr="00654C02">
        <w:rPr>
          <w:lang w:val="en-GB"/>
        </w:rPr>
        <w:t xml:space="preserve">statistically significant </w:t>
      </w:r>
      <w:r w:rsidR="00AD32A3">
        <w:rPr>
          <w:lang w:val="en-GB"/>
        </w:rPr>
        <w:t>difference (</w:t>
      </w:r>
      <w:r w:rsidR="0076610E" w:rsidRPr="00654C02">
        <w:rPr>
          <w:lang w:val="en-GB"/>
        </w:rPr>
        <w:t>p&lt;0.00</w:t>
      </w:r>
      <w:r w:rsidR="007569AF">
        <w:rPr>
          <w:lang w:val="en-GB"/>
        </w:rPr>
        <w:t>01</w:t>
      </w:r>
      <w:r w:rsidR="00AD32A3">
        <w:rPr>
          <w:lang w:val="en-GB"/>
        </w:rPr>
        <w:t>)</w:t>
      </w:r>
      <w:r w:rsidR="007569AF">
        <w:rPr>
          <w:lang w:val="en-GB"/>
        </w:rPr>
        <w:t>. No participants required intensive care</w:t>
      </w:r>
      <w:r w:rsidR="0076610E" w:rsidRPr="00654C02">
        <w:rPr>
          <w:lang w:val="en-GB"/>
        </w:rPr>
        <w:t xml:space="preserve"> and all participants survived</w:t>
      </w:r>
      <w:r w:rsidR="00C67B10" w:rsidRPr="00654C02">
        <w:rPr>
          <w:lang w:val="en-GB"/>
        </w:rPr>
        <w:t xml:space="preserve">. </w:t>
      </w:r>
    </w:p>
    <w:p w14:paraId="50062EBF" w14:textId="0F2B148C" w:rsidR="007E2AEA" w:rsidRPr="00654C02" w:rsidRDefault="007E2AEA" w:rsidP="00D97280">
      <w:pPr>
        <w:pStyle w:val="BodyText"/>
        <w:spacing w:line="480" w:lineRule="auto"/>
        <w:jc w:val="both"/>
        <w:rPr>
          <w:lang w:val="en-GB"/>
        </w:rPr>
      </w:pPr>
      <w:r>
        <w:rPr>
          <w:lang w:val="en-GB"/>
        </w:rPr>
        <w:lastRenderedPageBreak/>
        <w:t>P</w:t>
      </w:r>
      <w:r w:rsidRPr="00654C02">
        <w:rPr>
          <w:lang w:val="en-GB"/>
        </w:rPr>
        <w:t xml:space="preserve">erformance </w:t>
      </w:r>
      <w:r>
        <w:rPr>
          <w:lang w:val="en-GB"/>
        </w:rPr>
        <w:t xml:space="preserve">accuracy </w:t>
      </w:r>
      <w:r w:rsidRPr="00654C02">
        <w:rPr>
          <w:lang w:val="en-GB"/>
        </w:rPr>
        <w:t>of the C</w:t>
      </w:r>
      <w:r>
        <w:rPr>
          <w:lang w:val="en-GB"/>
        </w:rPr>
        <w:t>PGs is presented in Table 3.</w:t>
      </w:r>
      <w:r w:rsidRPr="00654C02">
        <w:rPr>
          <w:lang w:val="en-GB"/>
        </w:rPr>
        <w:t xml:space="preserve"> </w:t>
      </w:r>
      <w:r>
        <w:rPr>
          <w:lang w:val="en-GB"/>
        </w:rPr>
        <w:t>N</w:t>
      </w:r>
      <w:r w:rsidRPr="00654C02">
        <w:rPr>
          <w:lang w:val="en-GB"/>
        </w:rPr>
        <w:t xml:space="preserve">G51 </w:t>
      </w:r>
      <w:r>
        <w:rPr>
          <w:lang w:val="en-GB"/>
        </w:rPr>
        <w:t>displayed greatest sensitivity (1.00; 95% CI 0.95-</w:t>
      </w:r>
      <w:r w:rsidRPr="00654C02">
        <w:rPr>
          <w:lang w:val="en-GB"/>
        </w:rPr>
        <w:t>1.00)</w:t>
      </w:r>
      <w:r>
        <w:rPr>
          <w:lang w:val="en-GB"/>
        </w:rPr>
        <w:t xml:space="preserve">, significantly higher </w:t>
      </w:r>
      <w:r w:rsidRPr="00654C02">
        <w:rPr>
          <w:lang w:val="en-GB"/>
        </w:rPr>
        <w:t>than NG143 (p=0.0</w:t>
      </w:r>
      <w:r>
        <w:rPr>
          <w:lang w:val="en-GB"/>
        </w:rPr>
        <w:t>23</w:t>
      </w:r>
      <w:r w:rsidRPr="00654C02">
        <w:rPr>
          <w:lang w:val="en-GB"/>
        </w:rPr>
        <w:t>) and BSAC (p=</w:t>
      </w:r>
      <w:r>
        <w:rPr>
          <w:lang w:val="en-GB"/>
        </w:rPr>
        <w:t>0.0005</w:t>
      </w:r>
      <w:r w:rsidRPr="00654C02">
        <w:rPr>
          <w:lang w:val="en-GB"/>
        </w:rPr>
        <w:t xml:space="preserve">). NG51 also </w:t>
      </w:r>
      <w:r w:rsidR="00916387">
        <w:rPr>
          <w:lang w:val="en-GB"/>
        </w:rPr>
        <w:t>demonstrated the lowest</w:t>
      </w:r>
      <w:r>
        <w:rPr>
          <w:lang w:val="en-GB"/>
        </w:rPr>
        <w:t xml:space="preserve"> specificity</w:t>
      </w:r>
      <w:r w:rsidRPr="00654C02">
        <w:rPr>
          <w:lang w:val="en-GB"/>
        </w:rPr>
        <w:t xml:space="preserve"> </w:t>
      </w:r>
      <w:r>
        <w:rPr>
          <w:lang w:val="en-GB"/>
        </w:rPr>
        <w:t>(</w:t>
      </w:r>
      <w:r w:rsidRPr="00654C02">
        <w:rPr>
          <w:lang w:val="en-GB"/>
        </w:rPr>
        <w:t>0.0</w:t>
      </w:r>
      <w:r>
        <w:rPr>
          <w:lang w:val="en-GB"/>
        </w:rPr>
        <w:t xml:space="preserve">; </w:t>
      </w:r>
      <w:r w:rsidRPr="00654C02">
        <w:rPr>
          <w:lang w:val="en-GB"/>
        </w:rPr>
        <w:t>95% CI 0.0</w:t>
      </w:r>
      <w:r>
        <w:rPr>
          <w:lang w:val="en-GB"/>
        </w:rPr>
        <w:t>-</w:t>
      </w:r>
      <w:r w:rsidRPr="00654C02">
        <w:rPr>
          <w:lang w:val="en-GB"/>
        </w:rPr>
        <w:t>0.01)</w:t>
      </w:r>
      <w:r>
        <w:rPr>
          <w:lang w:val="en-GB"/>
        </w:rPr>
        <w:t>, s</w:t>
      </w:r>
      <w:r w:rsidRPr="00654C02">
        <w:rPr>
          <w:lang w:val="en-GB"/>
        </w:rPr>
        <w:t>ignificantly lower than NG143 and BSAC (p&lt;0.0001). The sensitivit</w:t>
      </w:r>
      <w:r>
        <w:rPr>
          <w:lang w:val="en-GB"/>
        </w:rPr>
        <w:t>y of clinician practice was 0.96 (95% CI 0.89-0.99</w:t>
      </w:r>
      <w:r w:rsidRPr="00654C02">
        <w:rPr>
          <w:lang w:val="en-GB"/>
        </w:rPr>
        <w:t>)</w:t>
      </w:r>
      <w:r>
        <w:rPr>
          <w:lang w:val="en-GB"/>
        </w:rPr>
        <w:t xml:space="preserve">, and </w:t>
      </w:r>
      <w:r w:rsidRPr="00654C02">
        <w:rPr>
          <w:lang w:val="en-GB"/>
        </w:rPr>
        <w:t>specificit</w:t>
      </w:r>
      <w:r>
        <w:rPr>
          <w:lang w:val="en-GB"/>
        </w:rPr>
        <w:t>y 0.27 (95% CI 0.24-0.32</w:t>
      </w:r>
      <w:r w:rsidRPr="00654C02">
        <w:rPr>
          <w:lang w:val="en-GB"/>
        </w:rPr>
        <w:t xml:space="preserve">). </w:t>
      </w:r>
      <w:r>
        <w:rPr>
          <w:lang w:val="en-GB"/>
        </w:rPr>
        <w:t>Whilst the sensitivity showed no significant difference to the best performing CPG (</w:t>
      </w:r>
      <w:r w:rsidRPr="00654C02">
        <w:rPr>
          <w:lang w:val="en-GB"/>
        </w:rPr>
        <w:t>NG51</w:t>
      </w:r>
      <w:r>
        <w:rPr>
          <w:lang w:val="en-GB"/>
        </w:rPr>
        <w:t>;</w:t>
      </w:r>
      <w:r w:rsidRPr="00654C02">
        <w:rPr>
          <w:lang w:val="en-GB"/>
        </w:rPr>
        <w:t xml:space="preserve"> p=</w:t>
      </w:r>
      <w:r>
        <w:rPr>
          <w:lang w:val="en-GB"/>
        </w:rPr>
        <w:t>0.25</w:t>
      </w:r>
      <w:r w:rsidRPr="00654C02">
        <w:rPr>
          <w:lang w:val="en-GB"/>
        </w:rPr>
        <w:t>)</w:t>
      </w:r>
      <w:r>
        <w:rPr>
          <w:lang w:val="en-GB"/>
        </w:rPr>
        <w:t xml:space="preserve">, the specificity </w:t>
      </w:r>
      <w:r w:rsidRPr="00654C02">
        <w:rPr>
          <w:lang w:val="en-GB"/>
        </w:rPr>
        <w:t xml:space="preserve">was significantly higher than </w:t>
      </w:r>
      <w:r>
        <w:rPr>
          <w:lang w:val="en-GB"/>
        </w:rPr>
        <w:t xml:space="preserve">that seen for </w:t>
      </w:r>
      <w:r w:rsidRPr="00654C02">
        <w:rPr>
          <w:lang w:val="en-GB"/>
        </w:rPr>
        <w:t>all CPGs (p</w:t>
      </w:r>
      <w:r>
        <w:rPr>
          <w:lang w:val="en-GB"/>
        </w:rPr>
        <w:t>&lt;</w:t>
      </w:r>
      <w:r w:rsidRPr="00654C02">
        <w:rPr>
          <w:lang w:val="en-GB"/>
        </w:rPr>
        <w:t>0.0001).</w:t>
      </w:r>
      <w:r w:rsidR="00A43CAF">
        <w:rPr>
          <w:lang w:val="en-GB"/>
        </w:rPr>
        <w:t xml:space="preserve"> </w:t>
      </w:r>
      <w:r>
        <w:rPr>
          <w:lang w:val="en-GB"/>
        </w:rPr>
        <w:t>Analyses performed with imputed values</w:t>
      </w:r>
      <w:r w:rsidR="00A43CAF">
        <w:rPr>
          <w:lang w:val="en-GB"/>
        </w:rPr>
        <w:t xml:space="preserve"> </w:t>
      </w:r>
      <w:r>
        <w:rPr>
          <w:lang w:val="en-GB"/>
        </w:rPr>
        <w:t>excluded</w:t>
      </w:r>
      <w:r w:rsidR="003F2B62">
        <w:rPr>
          <w:lang w:val="en-GB"/>
        </w:rPr>
        <w:t xml:space="preserve"> (n=12)</w:t>
      </w:r>
      <w:r>
        <w:rPr>
          <w:lang w:val="en-GB"/>
        </w:rPr>
        <w:t xml:space="preserve"> were almost identical to the primary analysis</w:t>
      </w:r>
      <w:r w:rsidRPr="00F62477">
        <w:rPr>
          <w:lang w:val="en-GB"/>
        </w:rPr>
        <w:t xml:space="preserve"> </w:t>
      </w:r>
      <w:r>
        <w:rPr>
          <w:lang w:val="en-GB"/>
        </w:rPr>
        <w:t xml:space="preserve">(available in supplementary material). </w:t>
      </w:r>
      <w:r w:rsidR="003F2B62">
        <w:rPr>
          <w:lang w:val="en-GB"/>
        </w:rPr>
        <w:t>All of the infants with excluded data were well appearing infants without subsequent diagnosis of SBI/IBI.</w:t>
      </w:r>
    </w:p>
    <w:p w14:paraId="450AEE31" w14:textId="3EA7554A" w:rsidR="003823E2" w:rsidRPr="00654C02" w:rsidRDefault="003823E2" w:rsidP="00D97280">
      <w:pPr>
        <w:pStyle w:val="BodyText"/>
        <w:spacing w:line="480" w:lineRule="auto"/>
        <w:jc w:val="both"/>
        <w:rPr>
          <w:lang w:val="en-GB"/>
        </w:rPr>
      </w:pPr>
    </w:p>
    <w:p w14:paraId="798941E8" w14:textId="2B8EE2EB" w:rsidR="00853979" w:rsidRPr="00654C02" w:rsidRDefault="00923DBC" w:rsidP="003823E2">
      <w:pPr>
        <w:pStyle w:val="BodyText"/>
        <w:spacing w:line="480" w:lineRule="auto"/>
        <w:jc w:val="both"/>
        <w:rPr>
          <w:lang w:val="en-GB"/>
        </w:rPr>
      </w:pPr>
      <w:r w:rsidRPr="00654C02">
        <w:rPr>
          <w:lang w:val="en-GB"/>
        </w:rPr>
        <w:t xml:space="preserve">The univariate analysis </w:t>
      </w:r>
      <w:r w:rsidR="003823E2" w:rsidRPr="00654C02">
        <w:rPr>
          <w:lang w:val="en-GB"/>
        </w:rPr>
        <w:t>is shown</w:t>
      </w:r>
      <w:r w:rsidR="00E65C98" w:rsidRPr="00654C02">
        <w:rPr>
          <w:lang w:val="en-GB"/>
        </w:rPr>
        <w:t xml:space="preserve"> in </w:t>
      </w:r>
      <w:r w:rsidR="007E2AEA">
        <w:rPr>
          <w:lang w:val="en-GB"/>
        </w:rPr>
        <w:t>Table 4</w:t>
      </w:r>
      <w:r w:rsidR="00D46239">
        <w:rPr>
          <w:lang w:val="en-GB"/>
        </w:rPr>
        <w:t>. F</w:t>
      </w:r>
      <w:r w:rsidR="002B58B6">
        <w:rPr>
          <w:lang w:val="en-GB"/>
        </w:rPr>
        <w:t>ollowing multivariable</w:t>
      </w:r>
      <w:r w:rsidR="00C22270">
        <w:rPr>
          <w:lang w:val="en-GB"/>
        </w:rPr>
        <w:t xml:space="preserve"> analysis</w:t>
      </w:r>
      <w:r w:rsidR="00D46239">
        <w:rPr>
          <w:lang w:val="en-GB"/>
        </w:rPr>
        <w:t xml:space="preserve">, </w:t>
      </w:r>
      <w:r w:rsidR="0090090F" w:rsidRPr="00654C02">
        <w:rPr>
          <w:lang w:val="en-GB"/>
        </w:rPr>
        <w:t>recei</w:t>
      </w:r>
      <w:r w:rsidR="00D46239">
        <w:rPr>
          <w:lang w:val="en-GB"/>
        </w:rPr>
        <w:t xml:space="preserve">pt of </w:t>
      </w:r>
      <w:r w:rsidR="0090090F" w:rsidRPr="00654C02">
        <w:rPr>
          <w:lang w:val="en-GB"/>
        </w:rPr>
        <w:t>vaccination i</w:t>
      </w:r>
      <w:r w:rsidR="00C22270">
        <w:rPr>
          <w:lang w:val="en-GB"/>
        </w:rPr>
        <w:t xml:space="preserve">n the preceding 24 hours </w:t>
      </w:r>
      <w:r w:rsidR="00D46239">
        <w:rPr>
          <w:lang w:val="en-GB"/>
        </w:rPr>
        <w:t>(</w:t>
      </w:r>
      <w:r w:rsidR="00C22270">
        <w:rPr>
          <w:lang w:val="en-GB"/>
        </w:rPr>
        <w:t>p=0.031</w:t>
      </w:r>
      <w:r w:rsidR="00D46239">
        <w:rPr>
          <w:lang w:val="en-GB"/>
        </w:rPr>
        <w:t>)</w:t>
      </w:r>
      <w:r w:rsidR="00C22270">
        <w:rPr>
          <w:lang w:val="en-GB"/>
        </w:rPr>
        <w:t xml:space="preserve"> and age </w:t>
      </w:r>
      <w:r w:rsidR="00D46239">
        <w:rPr>
          <w:lang w:val="en-GB"/>
        </w:rPr>
        <w:t>&gt;</w:t>
      </w:r>
      <w:r w:rsidR="00C22270">
        <w:rPr>
          <w:lang w:val="en-GB"/>
        </w:rPr>
        <w:t xml:space="preserve">28 days </w:t>
      </w:r>
      <w:r w:rsidR="00D46239">
        <w:rPr>
          <w:lang w:val="en-GB"/>
        </w:rPr>
        <w:t>(</w:t>
      </w:r>
      <w:r w:rsidR="00C22270">
        <w:rPr>
          <w:lang w:val="en-GB"/>
        </w:rPr>
        <w:t>p=0.049</w:t>
      </w:r>
      <w:r w:rsidR="00D46239">
        <w:rPr>
          <w:lang w:val="en-GB"/>
        </w:rPr>
        <w:t>)</w:t>
      </w:r>
      <w:r w:rsidR="00C22270">
        <w:rPr>
          <w:lang w:val="en-GB"/>
        </w:rPr>
        <w:t xml:space="preserve"> were </w:t>
      </w:r>
      <w:r w:rsidR="008826D3">
        <w:rPr>
          <w:lang w:val="en-GB"/>
        </w:rPr>
        <w:t>associated with</w:t>
      </w:r>
      <w:r w:rsidR="00C22270">
        <w:rPr>
          <w:lang w:val="en-GB"/>
        </w:rPr>
        <w:t xml:space="preserve"> not having a SBI</w:t>
      </w:r>
      <w:r w:rsidR="008826D3">
        <w:rPr>
          <w:lang w:val="en-GB"/>
        </w:rPr>
        <w:t>/IBI</w:t>
      </w:r>
      <w:r w:rsidR="00853979" w:rsidRPr="00654C02">
        <w:rPr>
          <w:lang w:val="en-GB"/>
        </w:rPr>
        <w:t xml:space="preserve">. </w:t>
      </w:r>
      <w:r w:rsidR="00D46239">
        <w:rPr>
          <w:lang w:val="en-GB"/>
        </w:rPr>
        <w:t>There were no cases of confirmed SBI</w:t>
      </w:r>
      <w:r w:rsidR="008826D3">
        <w:rPr>
          <w:lang w:val="en-GB"/>
        </w:rPr>
        <w:t>/IBI</w:t>
      </w:r>
      <w:r w:rsidR="00D46239">
        <w:rPr>
          <w:lang w:val="en-GB"/>
        </w:rPr>
        <w:t xml:space="preserve"> in </w:t>
      </w:r>
      <w:r w:rsidR="00853979" w:rsidRPr="00654C02">
        <w:rPr>
          <w:lang w:val="en-GB"/>
        </w:rPr>
        <w:t>well appearing infants presenting within 24 hours of vaccination. The median CRP</w:t>
      </w:r>
      <w:r w:rsidR="00616488">
        <w:rPr>
          <w:lang w:val="en-GB"/>
        </w:rPr>
        <w:t>, white cell count</w:t>
      </w:r>
      <w:r w:rsidR="00D46239">
        <w:rPr>
          <w:lang w:val="en-GB"/>
        </w:rPr>
        <w:t>,</w:t>
      </w:r>
      <w:r w:rsidR="00853979" w:rsidRPr="00654C02">
        <w:rPr>
          <w:lang w:val="en-GB"/>
        </w:rPr>
        <w:t xml:space="preserve"> and neutrophil counts were higher in participants with SBI</w:t>
      </w:r>
      <w:r w:rsidR="007E2AEA">
        <w:rPr>
          <w:lang w:val="en-GB"/>
        </w:rPr>
        <w:t>/IBI</w:t>
      </w:r>
      <w:r w:rsidR="00853979" w:rsidRPr="00654C02">
        <w:rPr>
          <w:lang w:val="en-GB"/>
        </w:rPr>
        <w:t xml:space="preserve"> compared to those without SBI</w:t>
      </w:r>
      <w:r w:rsidR="00561F49">
        <w:rPr>
          <w:lang w:val="en-GB"/>
        </w:rPr>
        <w:t>, but t</w:t>
      </w:r>
      <w:r w:rsidR="00853979" w:rsidRPr="00654C02">
        <w:rPr>
          <w:lang w:val="en-GB"/>
        </w:rPr>
        <w:t>here</w:t>
      </w:r>
      <w:r w:rsidR="0090090F" w:rsidRPr="00654C02">
        <w:rPr>
          <w:lang w:val="en-GB"/>
        </w:rPr>
        <w:t xml:space="preserve"> was no difference in </w:t>
      </w:r>
      <w:r w:rsidR="00853979" w:rsidRPr="00654C02">
        <w:rPr>
          <w:lang w:val="en-GB"/>
        </w:rPr>
        <w:t>lymphocyte count</w:t>
      </w:r>
      <w:r w:rsidR="00561F49">
        <w:rPr>
          <w:lang w:val="en-GB"/>
        </w:rPr>
        <w:t>s</w:t>
      </w:r>
      <w:r w:rsidR="00853979" w:rsidRPr="00654C02">
        <w:rPr>
          <w:lang w:val="en-GB"/>
        </w:rPr>
        <w:t xml:space="preserve"> between the two groups</w:t>
      </w:r>
      <w:r w:rsidR="002E08AF">
        <w:rPr>
          <w:lang w:val="en-GB"/>
        </w:rPr>
        <w:t xml:space="preserve"> </w:t>
      </w:r>
      <w:r w:rsidR="007E2AEA">
        <w:rPr>
          <w:lang w:val="en-GB"/>
        </w:rPr>
        <w:t>(Table 5</w:t>
      </w:r>
      <w:r w:rsidR="00D46239">
        <w:rPr>
          <w:lang w:val="en-GB"/>
        </w:rPr>
        <w:t>)</w:t>
      </w:r>
      <w:r w:rsidR="002E08AF">
        <w:rPr>
          <w:lang w:val="en-GB"/>
        </w:rPr>
        <w:t>.</w:t>
      </w:r>
      <w:r w:rsidR="00BA547E" w:rsidRPr="00654C02">
        <w:rPr>
          <w:lang w:val="en-GB"/>
        </w:rPr>
        <w:t xml:space="preserve"> </w:t>
      </w:r>
    </w:p>
    <w:p w14:paraId="116746F7" w14:textId="5CD9A5E1" w:rsidR="00EB1A31" w:rsidRDefault="00EB1A31" w:rsidP="00D97280">
      <w:pPr>
        <w:pStyle w:val="BodyText"/>
        <w:spacing w:line="480" w:lineRule="auto"/>
        <w:jc w:val="both"/>
        <w:rPr>
          <w:lang w:val="en-GB"/>
        </w:rPr>
      </w:pPr>
    </w:p>
    <w:p w14:paraId="722B43C9" w14:textId="1CE17C39" w:rsidR="0087148D" w:rsidRPr="00654C02" w:rsidRDefault="0087148D" w:rsidP="00D97280">
      <w:pPr>
        <w:pStyle w:val="BodyText"/>
        <w:spacing w:line="480" w:lineRule="auto"/>
        <w:jc w:val="both"/>
        <w:rPr>
          <w:lang w:val="en-GB"/>
        </w:rPr>
      </w:pPr>
      <w:r w:rsidRPr="00654C02">
        <w:rPr>
          <w:b/>
          <w:sz w:val="24"/>
          <w:szCs w:val="24"/>
          <w:lang w:val="en-GB"/>
        </w:rPr>
        <w:t>Interpretation</w:t>
      </w:r>
      <w:r w:rsidRPr="00654C02">
        <w:rPr>
          <w:lang w:val="en-GB"/>
        </w:rPr>
        <w:t xml:space="preserve"> </w:t>
      </w:r>
    </w:p>
    <w:p w14:paraId="273D1F00" w14:textId="5DF17CB9" w:rsidR="00BA1ECC" w:rsidRPr="00654C02" w:rsidRDefault="00BA1ECC" w:rsidP="00D97280">
      <w:pPr>
        <w:pStyle w:val="BodyText"/>
        <w:spacing w:line="480" w:lineRule="auto"/>
        <w:jc w:val="both"/>
        <w:rPr>
          <w:lang w:val="en-GB"/>
        </w:rPr>
      </w:pPr>
      <w:r w:rsidRPr="00654C02">
        <w:rPr>
          <w:lang w:val="en-GB"/>
        </w:rPr>
        <w:t>This study represents the largest UK and Irish study of febrile infants presenting to Emergency Department</w:t>
      </w:r>
      <w:r w:rsidR="00091060">
        <w:rPr>
          <w:lang w:val="en-GB"/>
        </w:rPr>
        <w:t>s</w:t>
      </w:r>
      <w:r w:rsidRPr="00654C02">
        <w:rPr>
          <w:lang w:val="en-GB"/>
        </w:rPr>
        <w:t xml:space="preserve">. </w:t>
      </w:r>
      <w:r w:rsidR="00140AEC">
        <w:rPr>
          <w:lang w:val="en-GB"/>
        </w:rPr>
        <w:t>The study was conducted at six</w:t>
      </w:r>
      <w:r w:rsidRPr="00654C02">
        <w:rPr>
          <w:lang w:val="en-GB"/>
        </w:rPr>
        <w:t xml:space="preserve"> different</w:t>
      </w:r>
      <w:r w:rsidR="002F2D95">
        <w:rPr>
          <w:lang w:val="en-GB"/>
        </w:rPr>
        <w:t xml:space="preserve"> tertiary</w:t>
      </w:r>
      <w:r w:rsidRPr="00654C02">
        <w:rPr>
          <w:lang w:val="en-GB"/>
        </w:rPr>
        <w:t xml:space="preserve"> sites distributed across the UK and Ireland and likely provides a true reflection</w:t>
      </w:r>
      <w:r w:rsidR="00140AEC">
        <w:rPr>
          <w:lang w:val="en-GB"/>
        </w:rPr>
        <w:t xml:space="preserve"> of current practices. Of the 555 included infants 78</w:t>
      </w:r>
      <w:r w:rsidR="00A85D30">
        <w:rPr>
          <w:lang w:val="en-GB"/>
        </w:rPr>
        <w:t xml:space="preserve"> (14</w:t>
      </w:r>
      <w:r w:rsidRPr="00654C02">
        <w:rPr>
          <w:lang w:val="en-GB"/>
        </w:rPr>
        <w:t xml:space="preserve">%) were </w:t>
      </w:r>
      <w:r w:rsidR="00A85D30">
        <w:rPr>
          <w:lang w:val="en-GB"/>
        </w:rPr>
        <w:t>diagnosed with a SBI</w:t>
      </w:r>
      <w:r w:rsidR="002F2D95">
        <w:rPr>
          <w:lang w:val="en-GB"/>
        </w:rPr>
        <w:t>/IBI</w:t>
      </w:r>
      <w:r w:rsidR="00A85D30">
        <w:rPr>
          <w:lang w:val="en-GB"/>
        </w:rPr>
        <w:t xml:space="preserve"> including 5</w:t>
      </w:r>
      <w:r w:rsidRPr="00654C02">
        <w:rPr>
          <w:lang w:val="en-GB"/>
        </w:rPr>
        <w:t xml:space="preserve"> (1%) with bacterial meningi</w:t>
      </w:r>
      <w:r w:rsidR="00D876EC" w:rsidRPr="00654C02">
        <w:rPr>
          <w:lang w:val="en-GB"/>
        </w:rPr>
        <w:t xml:space="preserve">tis and 7(1%) with </w:t>
      </w:r>
      <w:r w:rsidR="004339DB" w:rsidRPr="004339DB">
        <w:rPr>
          <w:lang w:val="en-GB"/>
        </w:rPr>
        <w:t>bacteraemia</w:t>
      </w:r>
      <w:r w:rsidR="00D876EC" w:rsidRPr="00654C02">
        <w:rPr>
          <w:lang w:val="en-GB"/>
        </w:rPr>
        <w:t xml:space="preserve">. These values are similar to those reported </w:t>
      </w:r>
      <w:r w:rsidR="002F2D95">
        <w:rPr>
          <w:lang w:val="en-GB"/>
        </w:rPr>
        <w:t>by international studies</w:t>
      </w:r>
      <w:r w:rsidR="00D876EC" w:rsidRPr="00654C02">
        <w:rPr>
          <w:lang w:val="en-GB"/>
        </w:rPr>
        <w:t xml:space="preserve"> [4</w:t>
      </w:r>
      <w:r w:rsidR="002F2D95">
        <w:rPr>
          <w:lang w:val="en-GB"/>
        </w:rPr>
        <w:t>-7</w:t>
      </w:r>
      <w:r w:rsidR="00D876EC" w:rsidRPr="00654C02">
        <w:rPr>
          <w:lang w:val="en-GB"/>
        </w:rPr>
        <w:t xml:space="preserve">]. </w:t>
      </w:r>
    </w:p>
    <w:p w14:paraId="5BC0A72A" w14:textId="20C4B6C7" w:rsidR="00301D25" w:rsidRPr="00654C02" w:rsidRDefault="00301D25" w:rsidP="002F2D95">
      <w:pPr>
        <w:pStyle w:val="BodyText"/>
        <w:spacing w:line="480" w:lineRule="auto"/>
        <w:jc w:val="both"/>
        <w:rPr>
          <w:lang w:val="en-GB"/>
        </w:rPr>
      </w:pPr>
    </w:p>
    <w:p w14:paraId="67564B94" w14:textId="7071F9FC" w:rsidR="004C09F8" w:rsidRDefault="002F2D95" w:rsidP="00D97280">
      <w:pPr>
        <w:pStyle w:val="BodyText"/>
        <w:spacing w:line="480" w:lineRule="auto"/>
        <w:jc w:val="both"/>
        <w:rPr>
          <w:lang w:val="en-GB"/>
        </w:rPr>
      </w:pPr>
      <w:r w:rsidRPr="00654C02">
        <w:rPr>
          <w:lang w:val="en-GB"/>
        </w:rPr>
        <w:t>None of the assessed CPGs performed sufficiently well. The NICE NG51 CPG was the most sensitive (1.00) but required all infants to receive parenteral antibiotics.</w:t>
      </w:r>
      <w:r>
        <w:rPr>
          <w:lang w:val="en-GB"/>
        </w:rPr>
        <w:t xml:space="preserve"> Whilst this approach could be considered safe</w:t>
      </w:r>
      <w:r w:rsidR="00AB6F41">
        <w:rPr>
          <w:lang w:val="en-GB"/>
        </w:rPr>
        <w:t xml:space="preserve"> in the acute phase, </w:t>
      </w:r>
      <w:r>
        <w:rPr>
          <w:lang w:val="en-GB"/>
        </w:rPr>
        <w:t>there is increasing evidence that the</w:t>
      </w:r>
      <w:r w:rsidR="007208FF">
        <w:rPr>
          <w:lang w:val="en-GB"/>
        </w:rPr>
        <w:t xml:space="preserve"> excessive</w:t>
      </w:r>
      <w:r>
        <w:rPr>
          <w:lang w:val="en-GB"/>
        </w:rPr>
        <w:t xml:space="preserve"> </w:t>
      </w:r>
      <w:r>
        <w:rPr>
          <w:lang w:val="en-GB"/>
        </w:rPr>
        <w:lastRenderedPageBreak/>
        <w:t xml:space="preserve">use of broad-spectrum antibiotics in infancy can alter the microbiota </w:t>
      </w:r>
      <w:r w:rsidR="007208FF">
        <w:rPr>
          <w:lang w:val="en-GB"/>
        </w:rPr>
        <w:t>and</w:t>
      </w:r>
      <w:r>
        <w:rPr>
          <w:lang w:val="en-GB"/>
        </w:rPr>
        <w:t xml:space="preserve"> contribute to long-term health complication</w:t>
      </w:r>
      <w:r w:rsidR="00BE3BDD">
        <w:rPr>
          <w:lang w:val="en-GB"/>
        </w:rPr>
        <w:t>s including atopy and asthma [21-25</w:t>
      </w:r>
      <w:r>
        <w:rPr>
          <w:lang w:val="en-GB"/>
        </w:rPr>
        <w:t>].</w:t>
      </w:r>
      <w:r w:rsidR="00AB6F41">
        <w:rPr>
          <w:lang w:val="en-GB"/>
        </w:rPr>
        <w:t xml:space="preserve"> A more tailored approach, if equally safe, would therefore be desirable. StepByStep </w:t>
      </w:r>
      <w:r w:rsidR="000639E7">
        <w:rPr>
          <w:lang w:val="en-GB"/>
        </w:rPr>
        <w:t>(</w:t>
      </w:r>
      <w:r w:rsidR="00AB6F41">
        <w:rPr>
          <w:lang w:val="en-GB"/>
        </w:rPr>
        <w:t>sensitivity and specificity of 0.92 and 0.47 respectively [</w:t>
      </w:r>
      <w:r w:rsidR="002C12DF">
        <w:rPr>
          <w:lang w:val="en-GB"/>
        </w:rPr>
        <w:t>4</w:t>
      </w:r>
      <w:r w:rsidR="00AB6F41">
        <w:rPr>
          <w:lang w:val="en-GB"/>
        </w:rPr>
        <w:t>]</w:t>
      </w:r>
      <w:r w:rsidR="000639E7">
        <w:rPr>
          <w:lang w:val="en-GB"/>
        </w:rPr>
        <w:t>)</w:t>
      </w:r>
      <w:r w:rsidR="00AB6F41">
        <w:rPr>
          <w:lang w:val="en-GB"/>
        </w:rPr>
        <w:t xml:space="preserve"> and the PECARN CPG </w:t>
      </w:r>
      <w:r w:rsidR="000639E7">
        <w:rPr>
          <w:lang w:val="en-GB"/>
        </w:rPr>
        <w:t>(</w:t>
      </w:r>
      <w:r w:rsidR="00AB6F41">
        <w:rPr>
          <w:lang w:val="en-GB"/>
        </w:rPr>
        <w:t>sensitivity and specificity of 0.98 and 0.60 respectively [</w:t>
      </w:r>
      <w:r w:rsidR="002C12DF">
        <w:rPr>
          <w:lang w:val="en-GB"/>
        </w:rPr>
        <w:t>3</w:t>
      </w:r>
      <w:r w:rsidR="00AB6F41">
        <w:rPr>
          <w:lang w:val="en-GB"/>
        </w:rPr>
        <w:t>]</w:t>
      </w:r>
      <w:r w:rsidR="000639E7">
        <w:rPr>
          <w:lang w:val="en-GB"/>
        </w:rPr>
        <w:t>), appear to offer this profile when assessed in other settings</w:t>
      </w:r>
      <w:r w:rsidR="00AB6F41">
        <w:rPr>
          <w:lang w:val="en-GB"/>
        </w:rPr>
        <w:t xml:space="preserve">. </w:t>
      </w:r>
      <w:r w:rsidR="000639E7">
        <w:rPr>
          <w:lang w:val="en-GB"/>
        </w:rPr>
        <w:t>However b</w:t>
      </w:r>
      <w:r w:rsidR="00AB6F41">
        <w:rPr>
          <w:lang w:val="en-GB"/>
        </w:rPr>
        <w:t>oth include procalcitonin testing</w:t>
      </w:r>
      <w:r w:rsidR="000639E7">
        <w:rPr>
          <w:lang w:val="en-GB"/>
        </w:rPr>
        <w:t xml:space="preserve">, which is </w:t>
      </w:r>
      <w:r w:rsidR="00AB6F41">
        <w:rPr>
          <w:lang w:val="en-GB"/>
        </w:rPr>
        <w:t xml:space="preserve">not currently recommended for use </w:t>
      </w:r>
      <w:r w:rsidR="00BE3BDD">
        <w:rPr>
          <w:lang w:val="en-GB"/>
        </w:rPr>
        <w:t>in the UK [26</w:t>
      </w:r>
      <w:r w:rsidR="00AB6F41">
        <w:rPr>
          <w:lang w:val="en-GB"/>
        </w:rPr>
        <w:t>].</w:t>
      </w:r>
      <w:r w:rsidR="000639E7">
        <w:rPr>
          <w:lang w:val="en-GB"/>
        </w:rPr>
        <w:t xml:space="preserve"> Of the </w:t>
      </w:r>
      <w:r w:rsidR="007208FF">
        <w:rPr>
          <w:lang w:val="en-GB"/>
        </w:rPr>
        <w:t xml:space="preserve">tailored approaches </w:t>
      </w:r>
      <w:r w:rsidR="000639E7">
        <w:rPr>
          <w:lang w:val="en-GB"/>
        </w:rPr>
        <w:t>available in our setting (</w:t>
      </w:r>
      <w:r w:rsidR="007208FF">
        <w:rPr>
          <w:lang w:val="en-GB"/>
        </w:rPr>
        <w:t>NICE NG14</w:t>
      </w:r>
      <w:r w:rsidR="00F54EF6">
        <w:rPr>
          <w:lang w:val="en-GB"/>
        </w:rPr>
        <w:t>3</w:t>
      </w:r>
      <w:r w:rsidR="000639E7">
        <w:rPr>
          <w:lang w:val="en-GB"/>
        </w:rPr>
        <w:t>,</w:t>
      </w:r>
      <w:r w:rsidRPr="00654C02">
        <w:rPr>
          <w:lang w:val="en-GB"/>
        </w:rPr>
        <w:t xml:space="preserve"> and the proposed BSAC CPG</w:t>
      </w:r>
      <w:r w:rsidR="000639E7">
        <w:rPr>
          <w:lang w:val="en-GB"/>
        </w:rPr>
        <w:t xml:space="preserve">), both </w:t>
      </w:r>
      <w:r w:rsidRPr="00654C02">
        <w:rPr>
          <w:lang w:val="en-GB"/>
        </w:rPr>
        <w:t>demons</w:t>
      </w:r>
      <w:r>
        <w:rPr>
          <w:lang w:val="en-GB"/>
        </w:rPr>
        <w:t>trated higher specificities</w:t>
      </w:r>
      <w:r w:rsidR="000639E7">
        <w:rPr>
          <w:lang w:val="en-GB"/>
        </w:rPr>
        <w:t xml:space="preserve"> than NG51 (</w:t>
      </w:r>
      <w:r>
        <w:rPr>
          <w:lang w:val="en-GB"/>
        </w:rPr>
        <w:t>0.09 and 0.14</w:t>
      </w:r>
      <w:r w:rsidRPr="00654C02">
        <w:rPr>
          <w:lang w:val="en-GB"/>
        </w:rPr>
        <w:t xml:space="preserve"> respectively</w:t>
      </w:r>
      <w:r w:rsidR="000639E7">
        <w:rPr>
          <w:lang w:val="en-GB"/>
        </w:rPr>
        <w:t>);</w:t>
      </w:r>
      <w:r w:rsidRPr="00654C02">
        <w:rPr>
          <w:lang w:val="en-GB"/>
        </w:rPr>
        <w:t xml:space="preserve"> </w:t>
      </w:r>
      <w:r w:rsidR="000639E7">
        <w:rPr>
          <w:lang w:val="en-GB"/>
        </w:rPr>
        <w:t xml:space="preserve">however any benefit </w:t>
      </w:r>
      <w:r w:rsidRPr="00654C02">
        <w:rPr>
          <w:lang w:val="en-GB"/>
        </w:rPr>
        <w:t xml:space="preserve">was </w:t>
      </w:r>
      <w:r w:rsidR="000639E7">
        <w:rPr>
          <w:lang w:val="en-GB"/>
        </w:rPr>
        <w:t>offset by</w:t>
      </w:r>
      <w:r w:rsidRPr="00654C02">
        <w:rPr>
          <w:lang w:val="en-GB"/>
        </w:rPr>
        <w:t xml:space="preserve"> an associ</w:t>
      </w:r>
      <w:r>
        <w:rPr>
          <w:lang w:val="en-GB"/>
        </w:rPr>
        <w:t>ated drop in sensitivity to 0.91 and 0.82</w:t>
      </w:r>
      <w:r w:rsidRPr="00654C02">
        <w:rPr>
          <w:lang w:val="en-GB"/>
        </w:rPr>
        <w:t xml:space="preserve"> respectively.</w:t>
      </w:r>
      <w:r w:rsidR="007208FF">
        <w:rPr>
          <w:lang w:val="en-GB"/>
        </w:rPr>
        <w:t xml:space="preserve"> The</w:t>
      </w:r>
      <w:r w:rsidR="000639E7">
        <w:rPr>
          <w:lang w:val="en-GB"/>
        </w:rPr>
        <w:t>se latter tools also pe</w:t>
      </w:r>
      <w:r w:rsidR="007208FF">
        <w:rPr>
          <w:lang w:val="en-GB"/>
        </w:rPr>
        <w:t xml:space="preserve">rformed unfavourably </w:t>
      </w:r>
      <w:r w:rsidR="000639E7">
        <w:rPr>
          <w:lang w:val="en-GB"/>
        </w:rPr>
        <w:t>in c</w:t>
      </w:r>
      <w:r w:rsidR="007208FF">
        <w:rPr>
          <w:lang w:val="en-GB"/>
        </w:rPr>
        <w:t>ompar</w:t>
      </w:r>
      <w:r w:rsidR="000639E7">
        <w:rPr>
          <w:lang w:val="en-GB"/>
        </w:rPr>
        <w:t xml:space="preserve">ison </w:t>
      </w:r>
      <w:r w:rsidR="007208FF">
        <w:rPr>
          <w:lang w:val="en-GB"/>
        </w:rPr>
        <w:t xml:space="preserve">to </w:t>
      </w:r>
      <w:r w:rsidR="000639E7">
        <w:rPr>
          <w:lang w:val="en-GB"/>
        </w:rPr>
        <w:t>StepbyStep and the PECARN CPG</w:t>
      </w:r>
      <w:r w:rsidR="00D2779D">
        <w:rPr>
          <w:lang w:val="en-GB"/>
        </w:rPr>
        <w:t xml:space="preserve"> [3,4].</w:t>
      </w:r>
    </w:p>
    <w:p w14:paraId="2AB970E5" w14:textId="77777777" w:rsidR="00A3247F" w:rsidRDefault="00A3247F" w:rsidP="00D97280">
      <w:pPr>
        <w:pStyle w:val="BodyText"/>
        <w:spacing w:line="480" w:lineRule="auto"/>
        <w:jc w:val="both"/>
        <w:rPr>
          <w:lang w:val="en-GB"/>
        </w:rPr>
      </w:pPr>
    </w:p>
    <w:p w14:paraId="12CC0A2B" w14:textId="1517AA05" w:rsidR="002F2D95" w:rsidRDefault="000639E7" w:rsidP="00D97280">
      <w:pPr>
        <w:pStyle w:val="BodyText"/>
        <w:spacing w:line="480" w:lineRule="auto"/>
        <w:jc w:val="both"/>
        <w:rPr>
          <w:lang w:val="en-GB"/>
        </w:rPr>
      </w:pPr>
      <w:r>
        <w:rPr>
          <w:lang w:val="en-GB"/>
        </w:rPr>
        <w:t>Cl</w:t>
      </w:r>
      <w:r w:rsidR="002F2D95" w:rsidRPr="00654C02">
        <w:rPr>
          <w:lang w:val="en-GB"/>
        </w:rPr>
        <w:t>inician perform</w:t>
      </w:r>
      <w:r>
        <w:rPr>
          <w:lang w:val="en-GB"/>
        </w:rPr>
        <w:t>ance accuracy appeared to confer better balance in the sensitivity vs specificity trade-off than national guidance</w:t>
      </w:r>
      <w:r w:rsidR="002F2D95" w:rsidRPr="00654C02">
        <w:rPr>
          <w:lang w:val="en-GB"/>
        </w:rPr>
        <w:t>. The overall sensitivit</w:t>
      </w:r>
      <w:r w:rsidR="002F2D95">
        <w:rPr>
          <w:lang w:val="en-GB"/>
        </w:rPr>
        <w:t>y of clinician practice was 0.9</w:t>
      </w:r>
      <w:r>
        <w:rPr>
          <w:lang w:val="en-GB"/>
        </w:rPr>
        <w:t xml:space="preserve">6, displaying no significant difference to </w:t>
      </w:r>
      <w:r w:rsidR="00F54EF6">
        <w:rPr>
          <w:lang w:val="en-GB"/>
        </w:rPr>
        <w:t>the most cautious guidance (</w:t>
      </w:r>
      <w:r w:rsidR="002F2D95" w:rsidRPr="00654C02">
        <w:rPr>
          <w:lang w:val="en-GB"/>
        </w:rPr>
        <w:t>NG51</w:t>
      </w:r>
      <w:r w:rsidR="00F54EF6">
        <w:rPr>
          <w:lang w:val="en-GB"/>
        </w:rPr>
        <w:t>)</w:t>
      </w:r>
      <w:r w:rsidR="002F2D95" w:rsidRPr="00654C02">
        <w:rPr>
          <w:lang w:val="en-GB"/>
        </w:rPr>
        <w:t xml:space="preserve">. Despite this remarkably high sensitivity </w:t>
      </w:r>
      <w:r w:rsidR="00F54EF6">
        <w:rPr>
          <w:lang w:val="en-GB"/>
        </w:rPr>
        <w:t>clinicians</w:t>
      </w:r>
      <w:r w:rsidR="002F2D95" w:rsidRPr="00654C02">
        <w:rPr>
          <w:lang w:val="en-GB"/>
        </w:rPr>
        <w:t xml:space="preserve"> managed to avoid administering parenteral antibiotics to all in</w:t>
      </w:r>
      <w:r w:rsidR="002F2D95">
        <w:rPr>
          <w:lang w:val="en-GB"/>
        </w:rPr>
        <w:t>fants with a specificity of 0.27</w:t>
      </w:r>
      <w:r w:rsidR="002F2D95" w:rsidRPr="00654C02">
        <w:rPr>
          <w:lang w:val="en-GB"/>
        </w:rPr>
        <w:t>. This was significantly (p&lt;0.0001) higher than any CPG</w:t>
      </w:r>
      <w:r w:rsidR="00F54EF6">
        <w:rPr>
          <w:lang w:val="en-GB"/>
        </w:rPr>
        <w:t xml:space="preserve"> studied</w:t>
      </w:r>
      <w:r w:rsidR="0067561B">
        <w:rPr>
          <w:lang w:val="en-GB"/>
        </w:rPr>
        <w:t xml:space="preserve">.  </w:t>
      </w:r>
      <w:r w:rsidR="006A739C">
        <w:rPr>
          <w:lang w:val="en-GB"/>
        </w:rPr>
        <w:t xml:space="preserve">The reasons for this are unknown and require further research. It is possible that clinicians were combining clinical experience with the underpinning principles provided by NICE guidance. </w:t>
      </w:r>
    </w:p>
    <w:p w14:paraId="0880A431" w14:textId="77777777" w:rsidR="004C09F8" w:rsidRPr="00654C02" w:rsidRDefault="004C09F8" w:rsidP="00D97280">
      <w:pPr>
        <w:pStyle w:val="BodyText"/>
        <w:spacing w:line="480" w:lineRule="auto"/>
        <w:jc w:val="both"/>
        <w:rPr>
          <w:lang w:val="en-GB"/>
        </w:rPr>
      </w:pPr>
    </w:p>
    <w:p w14:paraId="290F6ACF" w14:textId="5003034D" w:rsidR="00D2779D" w:rsidRDefault="00D2779D" w:rsidP="00D97280">
      <w:pPr>
        <w:pStyle w:val="BodyText"/>
        <w:spacing w:line="480" w:lineRule="auto"/>
        <w:jc w:val="both"/>
        <w:rPr>
          <w:lang w:val="en-GB"/>
        </w:rPr>
      </w:pPr>
      <w:r>
        <w:rPr>
          <w:lang w:val="en-GB"/>
        </w:rPr>
        <w:t>In this study t</w:t>
      </w:r>
      <w:r w:rsidR="00D876EC" w:rsidRPr="00654C02">
        <w:rPr>
          <w:lang w:val="en-GB"/>
        </w:rPr>
        <w:t>he vast majority of infants were admitted (90%) and most rece</w:t>
      </w:r>
      <w:r w:rsidR="00A85D30">
        <w:rPr>
          <w:lang w:val="en-GB"/>
        </w:rPr>
        <w:t>ived parenteral antibiotics (76%</w:t>
      </w:r>
      <w:r w:rsidR="00D876EC" w:rsidRPr="00654C02">
        <w:rPr>
          <w:lang w:val="en-GB"/>
        </w:rPr>
        <w:t xml:space="preserve">) despite the majority </w:t>
      </w:r>
      <w:r w:rsidR="0067561B">
        <w:rPr>
          <w:lang w:val="en-GB"/>
        </w:rPr>
        <w:t>of infants not having a serious bacterial infection</w:t>
      </w:r>
      <w:r w:rsidR="00A85D30">
        <w:rPr>
          <w:lang w:val="en-GB"/>
        </w:rPr>
        <w:t>. In addition 59</w:t>
      </w:r>
      <w:r w:rsidR="00D876EC" w:rsidRPr="00654C02">
        <w:rPr>
          <w:lang w:val="en-GB"/>
        </w:rPr>
        <w:t xml:space="preserve">% of infants </w:t>
      </w:r>
      <w:r w:rsidR="00520198" w:rsidRPr="00654C02">
        <w:rPr>
          <w:lang w:val="en-GB"/>
        </w:rPr>
        <w:t>underwent a lumbar p</w:t>
      </w:r>
      <w:r w:rsidR="00D876EC" w:rsidRPr="00654C02">
        <w:rPr>
          <w:lang w:val="en-GB"/>
        </w:rPr>
        <w:t xml:space="preserve">uncture with each infant undergoing an average of three </w:t>
      </w:r>
      <w:r w:rsidR="00B2186F" w:rsidRPr="00654C02">
        <w:rPr>
          <w:lang w:val="en-GB"/>
        </w:rPr>
        <w:t>attempted lumbar punctures before a sample of cerebrospinal fluid could be collected</w:t>
      </w:r>
      <w:r>
        <w:rPr>
          <w:lang w:val="en-GB"/>
        </w:rPr>
        <w:t>. This would suggest that</w:t>
      </w:r>
      <w:r w:rsidR="00520198" w:rsidRPr="00654C02">
        <w:rPr>
          <w:lang w:val="en-GB"/>
        </w:rPr>
        <w:t xml:space="preserve"> </w:t>
      </w:r>
      <w:r w:rsidR="00BE44B1">
        <w:rPr>
          <w:lang w:val="en-GB"/>
        </w:rPr>
        <w:t xml:space="preserve">the implementation of a new </w:t>
      </w:r>
      <w:r>
        <w:rPr>
          <w:lang w:val="en-GB"/>
        </w:rPr>
        <w:t xml:space="preserve">CPG that </w:t>
      </w:r>
      <w:r w:rsidR="00BE44B1">
        <w:rPr>
          <w:lang w:val="en-GB"/>
        </w:rPr>
        <w:t xml:space="preserve">could </w:t>
      </w:r>
      <w:r>
        <w:rPr>
          <w:lang w:val="en-GB"/>
        </w:rPr>
        <w:t>correctly</w:t>
      </w:r>
      <w:r w:rsidR="00BE44B1">
        <w:rPr>
          <w:lang w:val="en-GB"/>
        </w:rPr>
        <w:t xml:space="preserve"> and reliably identify</w:t>
      </w:r>
      <w:r>
        <w:rPr>
          <w:lang w:val="en-GB"/>
        </w:rPr>
        <w:t xml:space="preserve"> low risk infants </w:t>
      </w:r>
      <w:r w:rsidR="00A3247F">
        <w:rPr>
          <w:lang w:val="en-GB"/>
        </w:rPr>
        <w:t>could</w:t>
      </w:r>
      <w:r w:rsidR="00520198" w:rsidRPr="00654C02">
        <w:rPr>
          <w:lang w:val="en-GB"/>
        </w:rPr>
        <w:t xml:space="preserve"> reduce length of stay, improve antimicrobial stewardship and reduce the need for invasive procedures such as lumbar </w:t>
      </w:r>
      <w:r w:rsidR="006A739C">
        <w:rPr>
          <w:lang w:val="en-GB"/>
        </w:rPr>
        <w:t>puncture</w:t>
      </w:r>
      <w:r w:rsidR="00A3247F">
        <w:rPr>
          <w:lang w:val="en-GB"/>
        </w:rPr>
        <w:t xml:space="preserve">. There is however, very </w:t>
      </w:r>
      <w:r w:rsidR="00A3247F">
        <w:rPr>
          <w:lang w:val="en-GB"/>
        </w:rPr>
        <w:lastRenderedPageBreak/>
        <w:t xml:space="preserve">limited evidence available to demonstrate the real-world effect of implementing tailored CPGs in this cohort [27]. Further research is required to determine if clinicians would comply with any new guidance and if this would alter outcomes in a meaningful way i.e. reduce the pain and distress from unnecessary procedures or safely reduce the use of parenteral antibiotics.  </w:t>
      </w:r>
    </w:p>
    <w:p w14:paraId="3CE86022" w14:textId="77777777" w:rsidR="00A3247F" w:rsidRPr="00654C02" w:rsidRDefault="00A3247F" w:rsidP="00D97280">
      <w:pPr>
        <w:pStyle w:val="BodyText"/>
        <w:spacing w:line="480" w:lineRule="auto"/>
        <w:jc w:val="both"/>
        <w:rPr>
          <w:lang w:val="en-GB"/>
        </w:rPr>
      </w:pPr>
    </w:p>
    <w:p w14:paraId="1BB062BB" w14:textId="74D35D46" w:rsidR="00B2186F" w:rsidRPr="00654C02" w:rsidRDefault="00B2186F" w:rsidP="00D97280">
      <w:pPr>
        <w:pStyle w:val="BodyText"/>
        <w:spacing w:line="480" w:lineRule="auto"/>
        <w:jc w:val="both"/>
        <w:rPr>
          <w:lang w:val="en-GB"/>
        </w:rPr>
      </w:pPr>
      <w:r w:rsidRPr="00654C02">
        <w:rPr>
          <w:lang w:val="en-GB"/>
        </w:rPr>
        <w:t>The univariate and multivariable analysis of clinical features failed to demonstrate any clear predictors of SBI</w:t>
      </w:r>
      <w:r w:rsidR="00BE44B1">
        <w:rPr>
          <w:lang w:val="en-GB"/>
        </w:rPr>
        <w:t>/IBI in this cohort</w:t>
      </w:r>
      <w:r w:rsidR="002C1D46">
        <w:rPr>
          <w:lang w:val="en-GB"/>
        </w:rPr>
        <w:t xml:space="preserve">, in keeping with </w:t>
      </w:r>
      <w:r w:rsidRPr="00654C02">
        <w:rPr>
          <w:lang w:val="en-GB"/>
        </w:rPr>
        <w:t xml:space="preserve">similar </w:t>
      </w:r>
      <w:r w:rsidR="002C1D46">
        <w:rPr>
          <w:lang w:val="en-GB"/>
        </w:rPr>
        <w:t>ot</w:t>
      </w:r>
      <w:r w:rsidRPr="00654C02">
        <w:rPr>
          <w:lang w:val="en-GB"/>
        </w:rPr>
        <w:t>her international studies</w:t>
      </w:r>
      <w:r w:rsidR="00BE44B1">
        <w:rPr>
          <w:lang w:val="en-GB"/>
        </w:rPr>
        <w:t xml:space="preserve"> [3-9</w:t>
      </w:r>
      <w:r w:rsidR="009F7DE8" w:rsidRPr="00654C02">
        <w:rPr>
          <w:lang w:val="en-GB"/>
        </w:rPr>
        <w:t>]</w:t>
      </w:r>
      <w:r w:rsidRPr="00654C02">
        <w:rPr>
          <w:lang w:val="en-GB"/>
        </w:rPr>
        <w:t xml:space="preserve">. The combination of appearing well and having received a vaccination within the preceding 24 hours did however, </w:t>
      </w:r>
      <w:r w:rsidR="002C1D46">
        <w:rPr>
          <w:lang w:val="en-GB"/>
        </w:rPr>
        <w:t xml:space="preserve">confer lower </w:t>
      </w:r>
      <w:r w:rsidRPr="00654C02">
        <w:rPr>
          <w:lang w:val="en-GB"/>
        </w:rPr>
        <w:t>risk. Of the 70 infants that had received vaccination within the preceding 24 hours</w:t>
      </w:r>
      <w:r w:rsidR="002C1D46">
        <w:rPr>
          <w:lang w:val="en-GB"/>
        </w:rPr>
        <w:t>,</w:t>
      </w:r>
      <w:r w:rsidR="00A3247F">
        <w:rPr>
          <w:lang w:val="en-GB"/>
        </w:rPr>
        <w:t xml:space="preserve"> only two had SBI (both UTIs). Well appearing infants presenting within 24 hours of vaccination may represent a lower risk group suitable for limited investigation and observation without the need for parenteral antibiotics. </w:t>
      </w:r>
    </w:p>
    <w:p w14:paraId="626A9F8B" w14:textId="3CE9C41F" w:rsidR="009F7DE8" w:rsidRPr="00654C02" w:rsidRDefault="009F7DE8" w:rsidP="00D97280">
      <w:pPr>
        <w:pStyle w:val="BodyText"/>
        <w:spacing w:line="480" w:lineRule="auto"/>
        <w:jc w:val="both"/>
        <w:rPr>
          <w:lang w:val="en-GB"/>
        </w:rPr>
      </w:pPr>
    </w:p>
    <w:p w14:paraId="75D4DC77" w14:textId="1BE961CF" w:rsidR="00853434" w:rsidRPr="00654C02" w:rsidRDefault="00DC403A" w:rsidP="0087148D">
      <w:pPr>
        <w:pStyle w:val="BodyText"/>
        <w:spacing w:line="480" w:lineRule="auto"/>
        <w:jc w:val="both"/>
        <w:rPr>
          <w:b/>
          <w:lang w:val="en-GB"/>
        </w:rPr>
      </w:pPr>
      <w:r w:rsidRPr="00654C02">
        <w:rPr>
          <w:b/>
          <w:lang w:val="en-GB"/>
        </w:rPr>
        <w:t>Summary</w:t>
      </w:r>
    </w:p>
    <w:p w14:paraId="19826354" w14:textId="0CB46BDF" w:rsidR="00F54EF6" w:rsidRDefault="009F7DE8" w:rsidP="0087148D">
      <w:pPr>
        <w:pStyle w:val="BodyText"/>
        <w:spacing w:line="480" w:lineRule="auto"/>
        <w:jc w:val="both"/>
        <w:rPr>
          <w:lang w:val="en-GB"/>
        </w:rPr>
      </w:pPr>
      <w:r w:rsidRPr="00654C02">
        <w:rPr>
          <w:lang w:val="en-GB"/>
        </w:rPr>
        <w:t xml:space="preserve">This study demonstrates that the rates of </w:t>
      </w:r>
      <w:r w:rsidR="00BE44B1">
        <w:rPr>
          <w:lang w:val="en-GB"/>
        </w:rPr>
        <w:t>SBI/IBI</w:t>
      </w:r>
      <w:r w:rsidRPr="00654C02">
        <w:rPr>
          <w:lang w:val="en-GB"/>
        </w:rPr>
        <w:t xml:space="preserve"> amongst </w:t>
      </w:r>
      <w:r w:rsidR="0077248D" w:rsidRPr="00654C02">
        <w:rPr>
          <w:lang w:val="en-GB"/>
        </w:rPr>
        <w:t xml:space="preserve">young </w:t>
      </w:r>
      <w:r w:rsidRPr="00654C02">
        <w:rPr>
          <w:lang w:val="en-GB"/>
        </w:rPr>
        <w:t xml:space="preserve">febrile infants presenting to UK </w:t>
      </w:r>
      <w:r w:rsidR="005502B2">
        <w:rPr>
          <w:lang w:val="en-GB"/>
        </w:rPr>
        <w:t>and Irish hospitals is 14</w:t>
      </w:r>
      <w:r w:rsidRPr="00654C02">
        <w:rPr>
          <w:lang w:val="en-GB"/>
        </w:rPr>
        <w:t>%</w:t>
      </w:r>
      <w:r w:rsidR="002C1D46">
        <w:rPr>
          <w:lang w:val="en-GB"/>
        </w:rPr>
        <w:t>,</w:t>
      </w:r>
      <w:r w:rsidRPr="00654C02">
        <w:rPr>
          <w:lang w:val="en-GB"/>
        </w:rPr>
        <w:t xml:space="preserve"> similar to </w:t>
      </w:r>
      <w:r w:rsidR="0077248D" w:rsidRPr="00654C02">
        <w:rPr>
          <w:lang w:val="en-GB"/>
        </w:rPr>
        <w:t xml:space="preserve">international estimates </w:t>
      </w:r>
      <w:r w:rsidR="002C1D46">
        <w:rPr>
          <w:lang w:val="en-GB"/>
        </w:rPr>
        <w:t>from</w:t>
      </w:r>
      <w:r w:rsidR="0077248D" w:rsidRPr="00654C02">
        <w:rPr>
          <w:lang w:val="en-GB"/>
        </w:rPr>
        <w:t xml:space="preserve"> similar populations. </w:t>
      </w:r>
      <w:r w:rsidR="00F54EF6">
        <w:rPr>
          <w:lang w:val="en-GB"/>
        </w:rPr>
        <w:t>Of the three CPGs studied NICE NG51 represents the safest approach but requires all infants to receive parenteral antibiotics. NICE NG143 and BSAC offered a more tailored approach but will classify some infants with SBI as low risk. If NICE NG143 or BSAC guidance are to be used safely then a period of observation or close follow-up in the community is required for those identified as low risk.</w:t>
      </w:r>
    </w:p>
    <w:p w14:paraId="691CA66E" w14:textId="3EF2F772" w:rsidR="00301D25" w:rsidRPr="00654C02" w:rsidRDefault="00301D25" w:rsidP="0087148D">
      <w:pPr>
        <w:pStyle w:val="BodyText"/>
        <w:spacing w:line="480" w:lineRule="auto"/>
        <w:jc w:val="both"/>
        <w:rPr>
          <w:lang w:val="en-GB"/>
        </w:rPr>
      </w:pPr>
    </w:p>
    <w:p w14:paraId="725DE443" w14:textId="77777777" w:rsidR="00853434" w:rsidRPr="00654C02" w:rsidRDefault="00853434" w:rsidP="0087148D">
      <w:pPr>
        <w:pStyle w:val="BodyText"/>
        <w:spacing w:line="480" w:lineRule="auto"/>
        <w:jc w:val="both"/>
        <w:rPr>
          <w:lang w:val="en-GB"/>
        </w:rPr>
      </w:pPr>
      <w:r w:rsidRPr="00654C02">
        <w:rPr>
          <w:b/>
          <w:lang w:val="en-GB"/>
        </w:rPr>
        <w:t>Strengths/Limitations</w:t>
      </w:r>
      <w:r w:rsidRPr="00654C02">
        <w:rPr>
          <w:lang w:val="en-GB"/>
        </w:rPr>
        <w:t xml:space="preserve"> </w:t>
      </w:r>
    </w:p>
    <w:p w14:paraId="7C5CB97F" w14:textId="4F938B82" w:rsidR="00BE44B1" w:rsidRDefault="002A4485" w:rsidP="0087148D">
      <w:pPr>
        <w:pStyle w:val="BodyText"/>
        <w:spacing w:line="480" w:lineRule="auto"/>
        <w:jc w:val="both"/>
        <w:rPr>
          <w:lang w:val="en-GB"/>
        </w:rPr>
      </w:pPr>
      <w:r w:rsidRPr="00654C02">
        <w:rPr>
          <w:lang w:val="en-GB"/>
        </w:rPr>
        <w:t xml:space="preserve">The strengths of this study are that it is large study including a number of sites from across the UK and Ireland and the first to attempt to validate the NICE and BSAC clinical practice guidelines. </w:t>
      </w:r>
      <w:r w:rsidR="004D202B">
        <w:rPr>
          <w:lang w:val="en-GB"/>
        </w:rPr>
        <w:t xml:space="preserve">There were no specific exclusion criteria in this study as NICE and BSAC guidance do not exclude any specific groups from their guidance. The findings should however, be interpreted with extreme caution when considering infants with a background of extreme </w:t>
      </w:r>
      <w:r w:rsidR="004D202B">
        <w:rPr>
          <w:lang w:val="en-GB"/>
        </w:rPr>
        <w:lastRenderedPageBreak/>
        <w:t xml:space="preserve">prematurity, chronic ill health or immunodeficiency. </w:t>
      </w:r>
    </w:p>
    <w:p w14:paraId="20D17B72" w14:textId="77777777" w:rsidR="00BE44B1" w:rsidRDefault="00BE44B1" w:rsidP="0087148D">
      <w:pPr>
        <w:pStyle w:val="BodyText"/>
        <w:spacing w:line="480" w:lineRule="auto"/>
        <w:jc w:val="both"/>
        <w:rPr>
          <w:lang w:val="en-GB"/>
        </w:rPr>
      </w:pPr>
    </w:p>
    <w:p w14:paraId="173E1BE9" w14:textId="2ACF3AF9" w:rsidR="00502532" w:rsidRPr="00654C02" w:rsidRDefault="002A4485" w:rsidP="0087148D">
      <w:pPr>
        <w:pStyle w:val="BodyText"/>
        <w:spacing w:line="480" w:lineRule="auto"/>
        <w:jc w:val="both"/>
        <w:rPr>
          <w:b/>
          <w:sz w:val="24"/>
          <w:szCs w:val="24"/>
          <w:lang w:val="en-GB"/>
        </w:rPr>
      </w:pPr>
      <w:r w:rsidRPr="00654C02">
        <w:rPr>
          <w:lang w:val="en-GB"/>
        </w:rPr>
        <w:t xml:space="preserve">The </w:t>
      </w:r>
      <w:r w:rsidR="004339DB">
        <w:rPr>
          <w:lang w:val="en-GB"/>
        </w:rPr>
        <w:t>l</w:t>
      </w:r>
      <w:r w:rsidRPr="00654C02">
        <w:rPr>
          <w:lang w:val="en-GB"/>
        </w:rPr>
        <w:t xml:space="preserve">imitations are that the study was performed retrospectively and as such will not include all febrile infants </w:t>
      </w:r>
      <w:r w:rsidR="00BE44B1">
        <w:rPr>
          <w:lang w:val="en-GB"/>
        </w:rPr>
        <w:t>that have attended at all sites (</w:t>
      </w:r>
      <w:r w:rsidR="00BE44B1" w:rsidRPr="00654C02">
        <w:rPr>
          <w:lang w:val="en-GB"/>
        </w:rPr>
        <w:t>It is however, reassuring that the reported rates of SBI</w:t>
      </w:r>
      <w:r w:rsidR="00BE44B1">
        <w:rPr>
          <w:lang w:val="en-GB"/>
        </w:rPr>
        <w:t>/IBI</w:t>
      </w:r>
      <w:r w:rsidR="00BE44B1" w:rsidRPr="00654C02">
        <w:rPr>
          <w:lang w:val="en-GB"/>
        </w:rPr>
        <w:t xml:space="preserve"> are broadly similar to international estimates</w:t>
      </w:r>
      <w:r w:rsidR="00BE44B1">
        <w:rPr>
          <w:lang w:val="en-GB"/>
        </w:rPr>
        <w:t>)</w:t>
      </w:r>
      <w:r w:rsidR="00916387">
        <w:rPr>
          <w:lang w:val="en-GB"/>
        </w:rPr>
        <w:t xml:space="preserve">. </w:t>
      </w:r>
      <w:r w:rsidR="00BE44B1">
        <w:rPr>
          <w:lang w:val="en-GB"/>
        </w:rPr>
        <w:t>The nature of the retrospective data collection will also introduce some bias into the study and with all sites being tertiary level children’s hospitals the results less transferrable to non-tertiary settings</w:t>
      </w:r>
      <w:r w:rsidR="00916387">
        <w:rPr>
          <w:lang w:val="en-GB"/>
        </w:rPr>
        <w:t xml:space="preserve">. </w:t>
      </w:r>
      <w:r w:rsidRPr="00654C02">
        <w:rPr>
          <w:lang w:val="en-GB"/>
        </w:rPr>
        <w:t xml:space="preserve"> </w:t>
      </w:r>
      <w:r w:rsidR="005839FE">
        <w:rPr>
          <w:lang w:val="en-GB"/>
        </w:rPr>
        <w:t>The study population was also relatively small with</w:t>
      </w:r>
      <w:r w:rsidR="004D202B">
        <w:rPr>
          <w:lang w:val="en-GB"/>
        </w:rPr>
        <w:t xml:space="preserve"> only 12 invasive bacterial infections</w:t>
      </w:r>
      <w:r w:rsidR="002C12DF">
        <w:rPr>
          <w:lang w:val="en-GB"/>
        </w:rPr>
        <w:t xml:space="preserve"> (IBI) and the study may therefore have been underpowered to reliably identify clinical predictors of IBI.  </w:t>
      </w:r>
    </w:p>
    <w:p w14:paraId="275C602B" w14:textId="4763BD13" w:rsidR="00502532" w:rsidRDefault="00502532" w:rsidP="0087148D">
      <w:pPr>
        <w:pStyle w:val="BodyText"/>
        <w:spacing w:line="480" w:lineRule="auto"/>
        <w:jc w:val="both"/>
        <w:rPr>
          <w:b/>
          <w:sz w:val="24"/>
          <w:szCs w:val="24"/>
          <w:lang w:val="en-GB"/>
        </w:rPr>
      </w:pPr>
    </w:p>
    <w:p w14:paraId="6F8BD51E" w14:textId="6B1129CA" w:rsidR="00301D25" w:rsidRDefault="00301D25" w:rsidP="0087148D">
      <w:pPr>
        <w:pStyle w:val="BodyText"/>
        <w:spacing w:line="480" w:lineRule="auto"/>
        <w:jc w:val="both"/>
        <w:rPr>
          <w:b/>
          <w:sz w:val="24"/>
          <w:szCs w:val="24"/>
          <w:lang w:val="en-GB"/>
        </w:rPr>
      </w:pPr>
    </w:p>
    <w:p w14:paraId="0C7D21E6" w14:textId="0BB95307" w:rsidR="00301D25" w:rsidRDefault="00301D25" w:rsidP="0087148D">
      <w:pPr>
        <w:pStyle w:val="BodyText"/>
        <w:spacing w:line="480" w:lineRule="auto"/>
        <w:jc w:val="both"/>
        <w:rPr>
          <w:b/>
          <w:sz w:val="24"/>
          <w:szCs w:val="24"/>
          <w:lang w:val="en-GB"/>
        </w:rPr>
      </w:pPr>
    </w:p>
    <w:p w14:paraId="5FB2FBD9" w14:textId="5B5FE66F" w:rsidR="00301D25" w:rsidRDefault="00301D25" w:rsidP="0087148D">
      <w:pPr>
        <w:pStyle w:val="BodyText"/>
        <w:spacing w:line="480" w:lineRule="auto"/>
        <w:jc w:val="both"/>
        <w:rPr>
          <w:b/>
          <w:sz w:val="24"/>
          <w:szCs w:val="24"/>
          <w:lang w:val="en-GB"/>
        </w:rPr>
      </w:pPr>
    </w:p>
    <w:p w14:paraId="09181F85" w14:textId="300E5F23" w:rsidR="00301D25" w:rsidRDefault="00301D25" w:rsidP="0087148D">
      <w:pPr>
        <w:pStyle w:val="BodyText"/>
        <w:spacing w:line="480" w:lineRule="auto"/>
        <w:jc w:val="both"/>
        <w:rPr>
          <w:b/>
          <w:sz w:val="24"/>
          <w:szCs w:val="24"/>
          <w:lang w:val="en-GB"/>
        </w:rPr>
      </w:pPr>
    </w:p>
    <w:p w14:paraId="32648467" w14:textId="425D4F48" w:rsidR="00301D25" w:rsidRDefault="00301D25" w:rsidP="0087148D">
      <w:pPr>
        <w:pStyle w:val="BodyText"/>
        <w:spacing w:line="480" w:lineRule="auto"/>
        <w:jc w:val="both"/>
        <w:rPr>
          <w:b/>
          <w:sz w:val="24"/>
          <w:szCs w:val="24"/>
          <w:lang w:val="en-GB"/>
        </w:rPr>
      </w:pPr>
    </w:p>
    <w:p w14:paraId="10B75127" w14:textId="21795D50" w:rsidR="00301D25" w:rsidRDefault="00301D25" w:rsidP="0087148D">
      <w:pPr>
        <w:pStyle w:val="BodyText"/>
        <w:spacing w:line="480" w:lineRule="auto"/>
        <w:jc w:val="both"/>
        <w:rPr>
          <w:b/>
          <w:sz w:val="24"/>
          <w:szCs w:val="24"/>
          <w:lang w:val="en-GB"/>
        </w:rPr>
      </w:pPr>
    </w:p>
    <w:p w14:paraId="47FD8813" w14:textId="2ACA372E" w:rsidR="00301D25" w:rsidRDefault="00301D25" w:rsidP="0087148D">
      <w:pPr>
        <w:pStyle w:val="BodyText"/>
        <w:spacing w:line="480" w:lineRule="auto"/>
        <w:jc w:val="both"/>
        <w:rPr>
          <w:b/>
          <w:sz w:val="24"/>
          <w:szCs w:val="24"/>
          <w:lang w:val="en-GB"/>
        </w:rPr>
      </w:pPr>
    </w:p>
    <w:p w14:paraId="2AB3B3C8" w14:textId="77777777" w:rsidR="00301D25" w:rsidRDefault="00301D25" w:rsidP="0087148D">
      <w:pPr>
        <w:pStyle w:val="BodyText"/>
        <w:spacing w:line="480" w:lineRule="auto"/>
        <w:jc w:val="both"/>
        <w:rPr>
          <w:b/>
          <w:sz w:val="24"/>
          <w:szCs w:val="24"/>
          <w:lang w:val="en-GB"/>
        </w:rPr>
      </w:pPr>
    </w:p>
    <w:p w14:paraId="72473E16" w14:textId="289C0417" w:rsidR="009C4761" w:rsidRDefault="009C4761" w:rsidP="0087148D">
      <w:pPr>
        <w:pStyle w:val="BodyText"/>
        <w:spacing w:line="480" w:lineRule="auto"/>
        <w:jc w:val="both"/>
        <w:rPr>
          <w:b/>
          <w:sz w:val="24"/>
          <w:szCs w:val="24"/>
          <w:lang w:val="en-GB"/>
        </w:rPr>
      </w:pPr>
    </w:p>
    <w:p w14:paraId="0455A05B" w14:textId="7782B960" w:rsidR="009C4761" w:rsidRDefault="009C4761" w:rsidP="0087148D">
      <w:pPr>
        <w:pStyle w:val="BodyText"/>
        <w:spacing w:line="480" w:lineRule="auto"/>
        <w:jc w:val="both"/>
        <w:rPr>
          <w:b/>
          <w:sz w:val="24"/>
          <w:szCs w:val="24"/>
          <w:lang w:val="en-GB"/>
        </w:rPr>
      </w:pPr>
    </w:p>
    <w:p w14:paraId="6D0E8365" w14:textId="239A214A" w:rsidR="00A43CAF" w:rsidRDefault="00A43CAF" w:rsidP="0087148D">
      <w:pPr>
        <w:pStyle w:val="BodyText"/>
        <w:spacing w:line="480" w:lineRule="auto"/>
        <w:jc w:val="both"/>
        <w:rPr>
          <w:b/>
          <w:sz w:val="24"/>
          <w:szCs w:val="24"/>
          <w:lang w:val="en-GB"/>
        </w:rPr>
      </w:pPr>
    </w:p>
    <w:p w14:paraId="6AFBC7BB" w14:textId="284B1118" w:rsidR="00A43CAF" w:rsidRDefault="00A43CAF" w:rsidP="0087148D">
      <w:pPr>
        <w:pStyle w:val="BodyText"/>
        <w:spacing w:line="480" w:lineRule="auto"/>
        <w:jc w:val="both"/>
        <w:rPr>
          <w:b/>
          <w:sz w:val="24"/>
          <w:szCs w:val="24"/>
          <w:lang w:val="en-GB"/>
        </w:rPr>
      </w:pPr>
    </w:p>
    <w:p w14:paraId="62DB8B53" w14:textId="0E96DA72" w:rsidR="00A43CAF" w:rsidRDefault="00A43CAF" w:rsidP="0087148D">
      <w:pPr>
        <w:pStyle w:val="BodyText"/>
        <w:spacing w:line="480" w:lineRule="auto"/>
        <w:jc w:val="both"/>
        <w:rPr>
          <w:b/>
          <w:sz w:val="24"/>
          <w:szCs w:val="24"/>
          <w:lang w:val="en-GB"/>
        </w:rPr>
      </w:pPr>
    </w:p>
    <w:p w14:paraId="4C47077A" w14:textId="16F85208" w:rsidR="00A43CAF" w:rsidRDefault="00A43CAF" w:rsidP="0087148D">
      <w:pPr>
        <w:pStyle w:val="BodyText"/>
        <w:spacing w:line="480" w:lineRule="auto"/>
        <w:jc w:val="both"/>
        <w:rPr>
          <w:b/>
          <w:sz w:val="24"/>
          <w:szCs w:val="24"/>
          <w:lang w:val="en-GB"/>
        </w:rPr>
      </w:pPr>
    </w:p>
    <w:p w14:paraId="4F6FC2AA" w14:textId="41FC52A8" w:rsidR="00A43CAF" w:rsidRDefault="00A43CAF" w:rsidP="0087148D">
      <w:pPr>
        <w:pStyle w:val="BodyText"/>
        <w:spacing w:line="480" w:lineRule="auto"/>
        <w:jc w:val="both"/>
        <w:rPr>
          <w:b/>
          <w:sz w:val="24"/>
          <w:szCs w:val="24"/>
          <w:lang w:val="en-GB"/>
        </w:rPr>
      </w:pPr>
    </w:p>
    <w:p w14:paraId="07FBC7A8" w14:textId="77777777" w:rsidR="00A43CAF" w:rsidRDefault="00A43CAF" w:rsidP="0087148D">
      <w:pPr>
        <w:pStyle w:val="BodyText"/>
        <w:spacing w:line="480" w:lineRule="auto"/>
        <w:jc w:val="both"/>
        <w:rPr>
          <w:b/>
          <w:sz w:val="24"/>
          <w:szCs w:val="24"/>
          <w:lang w:val="en-GB"/>
        </w:rPr>
      </w:pPr>
    </w:p>
    <w:p w14:paraId="7084970D" w14:textId="68B32C1D" w:rsidR="009C4761" w:rsidRDefault="009C4761" w:rsidP="0087148D">
      <w:pPr>
        <w:pStyle w:val="BodyText"/>
        <w:spacing w:line="480" w:lineRule="auto"/>
        <w:jc w:val="both"/>
        <w:rPr>
          <w:b/>
          <w:sz w:val="24"/>
          <w:szCs w:val="24"/>
          <w:lang w:val="en-GB"/>
        </w:rPr>
      </w:pPr>
    </w:p>
    <w:p w14:paraId="140B7975" w14:textId="7E2B9EF5" w:rsidR="00DC403A" w:rsidRPr="00E47820" w:rsidRDefault="00DC403A" w:rsidP="00DC403A">
      <w:pPr>
        <w:spacing w:line="480" w:lineRule="auto"/>
        <w:rPr>
          <w:rFonts w:ascii="Arial" w:hAnsi="Arial" w:cs="Arial"/>
          <w:b/>
          <w:sz w:val="22"/>
          <w:szCs w:val="22"/>
        </w:rPr>
      </w:pPr>
      <w:r w:rsidRPr="00E47820">
        <w:rPr>
          <w:rFonts w:ascii="Arial" w:hAnsi="Arial" w:cs="Arial"/>
          <w:b/>
          <w:sz w:val="22"/>
          <w:szCs w:val="22"/>
        </w:rPr>
        <w:t>What is known about this topic?</w:t>
      </w:r>
    </w:p>
    <w:p w14:paraId="173F272B" w14:textId="3834AD5A" w:rsidR="00DC403A" w:rsidRPr="00E47820" w:rsidRDefault="002A4485" w:rsidP="00DC403A">
      <w:pPr>
        <w:pStyle w:val="ListParagraph"/>
        <w:numPr>
          <w:ilvl w:val="0"/>
          <w:numId w:val="43"/>
        </w:numPr>
        <w:spacing w:line="480" w:lineRule="auto"/>
        <w:rPr>
          <w:rFonts w:ascii="Arial" w:hAnsi="Arial" w:cs="Arial"/>
          <w:b/>
          <w:sz w:val="22"/>
          <w:szCs w:val="22"/>
        </w:rPr>
      </w:pPr>
      <w:r w:rsidRPr="00E47820">
        <w:rPr>
          <w:rFonts w:ascii="Arial" w:hAnsi="Arial" w:cs="Arial"/>
          <w:sz w:val="22"/>
          <w:szCs w:val="22"/>
        </w:rPr>
        <w:t>Febrile infants under 90 days of age are at high risk of serious bacterial infection.</w:t>
      </w:r>
    </w:p>
    <w:p w14:paraId="6CCE4FCB" w14:textId="0F1098A2" w:rsidR="00DC403A" w:rsidRPr="004339DB" w:rsidRDefault="002A4485" w:rsidP="00DC403A">
      <w:pPr>
        <w:pStyle w:val="ListParagraph"/>
        <w:numPr>
          <w:ilvl w:val="0"/>
          <w:numId w:val="43"/>
        </w:numPr>
        <w:spacing w:line="480" w:lineRule="auto"/>
        <w:rPr>
          <w:rFonts w:ascii="Arial" w:hAnsi="Arial" w:cs="Arial"/>
          <w:b/>
          <w:sz w:val="22"/>
          <w:szCs w:val="22"/>
        </w:rPr>
      </w:pPr>
      <w:r w:rsidRPr="004339DB">
        <w:rPr>
          <w:rFonts w:ascii="Arial" w:hAnsi="Arial" w:cs="Arial"/>
          <w:sz w:val="22"/>
          <w:szCs w:val="22"/>
        </w:rPr>
        <w:t xml:space="preserve">Identifying infants with serious bacterial infections is </w:t>
      </w:r>
      <w:r w:rsidR="009C4761">
        <w:rPr>
          <w:rFonts w:ascii="Arial" w:hAnsi="Arial" w:cs="Arial"/>
          <w:sz w:val="22"/>
          <w:szCs w:val="22"/>
        </w:rPr>
        <w:t>challenging creating a dilemma as to who should receive treatment.</w:t>
      </w:r>
    </w:p>
    <w:p w14:paraId="4A667592" w14:textId="14D11624" w:rsidR="009C4761" w:rsidRPr="009C4761" w:rsidRDefault="009C4761" w:rsidP="009C4761">
      <w:pPr>
        <w:pStyle w:val="ListParagraph"/>
        <w:numPr>
          <w:ilvl w:val="0"/>
          <w:numId w:val="43"/>
        </w:numPr>
        <w:spacing w:line="480" w:lineRule="auto"/>
        <w:rPr>
          <w:rFonts w:ascii="Arial" w:hAnsi="Arial" w:cs="Arial"/>
          <w:b/>
          <w:sz w:val="22"/>
          <w:szCs w:val="22"/>
        </w:rPr>
      </w:pPr>
      <w:r>
        <w:rPr>
          <w:rFonts w:ascii="Arial" w:hAnsi="Arial" w:cs="Arial"/>
          <w:sz w:val="22"/>
          <w:szCs w:val="22"/>
        </w:rPr>
        <w:t>There are a number of different</w:t>
      </w:r>
      <w:r w:rsidR="00076691" w:rsidRPr="004339DB">
        <w:rPr>
          <w:rFonts w:ascii="Arial" w:hAnsi="Arial" w:cs="Arial"/>
          <w:sz w:val="22"/>
          <w:szCs w:val="22"/>
        </w:rPr>
        <w:t xml:space="preserve"> clinical practice guidelines available</w:t>
      </w:r>
      <w:r>
        <w:rPr>
          <w:rFonts w:ascii="Arial" w:hAnsi="Arial" w:cs="Arial"/>
          <w:sz w:val="22"/>
          <w:szCs w:val="22"/>
        </w:rPr>
        <w:t xml:space="preserve"> internationally</w:t>
      </w:r>
      <w:r w:rsidR="00076691" w:rsidRPr="004339DB">
        <w:rPr>
          <w:rFonts w:ascii="Arial" w:hAnsi="Arial" w:cs="Arial"/>
          <w:sz w:val="22"/>
          <w:szCs w:val="22"/>
        </w:rPr>
        <w:t xml:space="preserve"> to direct care and identify highe</w:t>
      </w:r>
      <w:r>
        <w:rPr>
          <w:rFonts w:ascii="Arial" w:hAnsi="Arial" w:cs="Arial"/>
          <w:sz w:val="22"/>
          <w:szCs w:val="22"/>
        </w:rPr>
        <w:t xml:space="preserve">r and lower risk infants. These guidelines utilise procalcitonin testing which is largely unavailable, for </w:t>
      </w:r>
      <w:r w:rsidR="00A3247F">
        <w:rPr>
          <w:rFonts w:ascii="Arial" w:hAnsi="Arial" w:cs="Arial"/>
          <w:sz w:val="22"/>
          <w:szCs w:val="22"/>
        </w:rPr>
        <w:t>this use</w:t>
      </w:r>
      <w:r>
        <w:rPr>
          <w:rFonts w:ascii="Arial" w:hAnsi="Arial" w:cs="Arial"/>
          <w:sz w:val="22"/>
          <w:szCs w:val="22"/>
        </w:rPr>
        <w:t xml:space="preserve">, in the UK and Ireland. </w:t>
      </w:r>
    </w:p>
    <w:p w14:paraId="105A8B2C" w14:textId="77777777" w:rsidR="009C4761" w:rsidRPr="004339DB" w:rsidRDefault="009C4761" w:rsidP="00DC403A">
      <w:pPr>
        <w:spacing w:line="480" w:lineRule="auto"/>
        <w:jc w:val="both"/>
        <w:rPr>
          <w:rFonts w:ascii="Arial" w:hAnsi="Arial" w:cs="Arial"/>
          <w:b/>
          <w:bCs/>
          <w:sz w:val="22"/>
          <w:szCs w:val="22"/>
        </w:rPr>
      </w:pPr>
    </w:p>
    <w:p w14:paraId="4837D305" w14:textId="77777777" w:rsidR="00DC403A" w:rsidRPr="004339DB" w:rsidRDefault="00DC403A" w:rsidP="00DC403A">
      <w:pPr>
        <w:spacing w:line="480" w:lineRule="auto"/>
        <w:jc w:val="both"/>
        <w:rPr>
          <w:rFonts w:ascii="Arial" w:hAnsi="Arial" w:cs="Arial"/>
          <w:bCs/>
          <w:sz w:val="22"/>
          <w:szCs w:val="22"/>
        </w:rPr>
      </w:pPr>
      <w:r w:rsidRPr="004339DB">
        <w:rPr>
          <w:rFonts w:ascii="Arial" w:hAnsi="Arial" w:cs="Arial"/>
          <w:b/>
          <w:bCs/>
          <w:sz w:val="22"/>
          <w:szCs w:val="22"/>
        </w:rPr>
        <w:t>What this study adds</w:t>
      </w:r>
      <w:r w:rsidRPr="004339DB">
        <w:rPr>
          <w:rFonts w:ascii="Arial" w:hAnsi="Arial" w:cs="Arial"/>
          <w:bCs/>
          <w:sz w:val="22"/>
          <w:szCs w:val="22"/>
        </w:rPr>
        <w:t xml:space="preserve"> </w:t>
      </w:r>
    </w:p>
    <w:p w14:paraId="20A7386A" w14:textId="44EC8FE7" w:rsidR="00DC403A" w:rsidRPr="00E47820" w:rsidRDefault="009C23CD" w:rsidP="00DC403A">
      <w:pPr>
        <w:pStyle w:val="ListParagraph"/>
        <w:numPr>
          <w:ilvl w:val="0"/>
          <w:numId w:val="44"/>
        </w:numPr>
        <w:spacing w:line="480" w:lineRule="auto"/>
        <w:jc w:val="both"/>
        <w:rPr>
          <w:rFonts w:ascii="Arial" w:hAnsi="Arial" w:cs="Arial"/>
          <w:bCs/>
          <w:sz w:val="22"/>
          <w:szCs w:val="22"/>
        </w:rPr>
      </w:pPr>
      <w:r>
        <w:rPr>
          <w:rFonts w:ascii="Arial" w:hAnsi="Arial" w:cs="Arial"/>
          <w:bCs/>
          <w:sz w:val="22"/>
          <w:szCs w:val="22"/>
        </w:rPr>
        <w:t>I</w:t>
      </w:r>
      <w:r w:rsidR="00076691" w:rsidRPr="00E47820">
        <w:rPr>
          <w:rFonts w:ascii="Arial" w:hAnsi="Arial" w:cs="Arial"/>
          <w:bCs/>
          <w:sz w:val="22"/>
          <w:szCs w:val="22"/>
        </w:rPr>
        <w:t>n the UK and Ireland</w:t>
      </w:r>
      <w:r>
        <w:rPr>
          <w:rFonts w:ascii="Arial" w:hAnsi="Arial" w:cs="Arial"/>
          <w:bCs/>
          <w:sz w:val="22"/>
          <w:szCs w:val="22"/>
        </w:rPr>
        <w:t>,</w:t>
      </w:r>
      <w:r w:rsidR="009C4761">
        <w:rPr>
          <w:rFonts w:ascii="Arial" w:hAnsi="Arial" w:cs="Arial"/>
          <w:bCs/>
          <w:sz w:val="22"/>
          <w:szCs w:val="22"/>
        </w:rPr>
        <w:t xml:space="preserve"> 14</w:t>
      </w:r>
      <w:r w:rsidR="00076691" w:rsidRPr="00E47820">
        <w:rPr>
          <w:rFonts w:ascii="Arial" w:hAnsi="Arial" w:cs="Arial"/>
          <w:bCs/>
          <w:sz w:val="22"/>
          <w:szCs w:val="22"/>
        </w:rPr>
        <w:t xml:space="preserve">% of </w:t>
      </w:r>
      <w:r>
        <w:rPr>
          <w:rFonts w:ascii="Arial" w:hAnsi="Arial" w:cs="Arial"/>
          <w:bCs/>
          <w:sz w:val="22"/>
          <w:szCs w:val="22"/>
        </w:rPr>
        <w:t xml:space="preserve">infants aged under 90 days </w:t>
      </w:r>
      <w:r w:rsidR="00C03A23">
        <w:rPr>
          <w:rFonts w:ascii="Arial" w:hAnsi="Arial" w:cs="Arial"/>
          <w:bCs/>
          <w:sz w:val="22"/>
          <w:szCs w:val="22"/>
        </w:rPr>
        <w:t xml:space="preserve">presenting to </w:t>
      </w:r>
      <w:r w:rsidR="00A3247F">
        <w:rPr>
          <w:rFonts w:ascii="Arial" w:hAnsi="Arial" w:cs="Arial"/>
          <w:bCs/>
          <w:sz w:val="22"/>
          <w:szCs w:val="22"/>
        </w:rPr>
        <w:t>emergency care</w:t>
      </w:r>
      <w:r>
        <w:rPr>
          <w:rFonts w:ascii="Arial" w:hAnsi="Arial" w:cs="Arial"/>
          <w:bCs/>
          <w:sz w:val="22"/>
          <w:szCs w:val="22"/>
        </w:rPr>
        <w:t xml:space="preserve"> with a fever</w:t>
      </w:r>
      <w:r w:rsidR="00076691" w:rsidRPr="00E47820">
        <w:rPr>
          <w:rFonts w:ascii="Arial" w:hAnsi="Arial" w:cs="Arial"/>
          <w:bCs/>
          <w:sz w:val="22"/>
          <w:szCs w:val="22"/>
        </w:rPr>
        <w:t xml:space="preserve"> </w:t>
      </w:r>
      <w:r w:rsidR="00C03A23">
        <w:rPr>
          <w:rFonts w:ascii="Arial" w:hAnsi="Arial" w:cs="Arial"/>
          <w:bCs/>
          <w:sz w:val="22"/>
          <w:szCs w:val="22"/>
        </w:rPr>
        <w:t>had</w:t>
      </w:r>
      <w:r w:rsidR="00076691" w:rsidRPr="00E47820">
        <w:rPr>
          <w:rFonts w:ascii="Arial" w:hAnsi="Arial" w:cs="Arial"/>
          <w:bCs/>
          <w:sz w:val="22"/>
          <w:szCs w:val="22"/>
        </w:rPr>
        <w:t xml:space="preserve"> an underlying serious bacterial infection. </w:t>
      </w:r>
    </w:p>
    <w:p w14:paraId="4A2C0CEE" w14:textId="71F95D86" w:rsidR="00DC403A" w:rsidRPr="00E47820" w:rsidRDefault="00076691" w:rsidP="00DC403A">
      <w:pPr>
        <w:pStyle w:val="ListParagraph"/>
        <w:numPr>
          <w:ilvl w:val="0"/>
          <w:numId w:val="44"/>
        </w:numPr>
        <w:spacing w:line="480" w:lineRule="auto"/>
        <w:jc w:val="both"/>
        <w:rPr>
          <w:rFonts w:ascii="Arial" w:hAnsi="Arial" w:cs="Arial"/>
          <w:bCs/>
          <w:sz w:val="22"/>
          <w:szCs w:val="22"/>
        </w:rPr>
      </w:pPr>
      <w:r w:rsidRPr="00E47820">
        <w:rPr>
          <w:rFonts w:ascii="Arial" w:hAnsi="Arial" w:cs="Arial"/>
          <w:bCs/>
          <w:sz w:val="22"/>
          <w:szCs w:val="22"/>
        </w:rPr>
        <w:t>Infants who appear well and have received a vaccine within the preceding 24 hours are at a very low risk of serious bacterial infection.</w:t>
      </w:r>
    </w:p>
    <w:p w14:paraId="191161C1" w14:textId="69165BDD" w:rsidR="00DC403A" w:rsidRDefault="00076691" w:rsidP="00DC403A">
      <w:pPr>
        <w:pStyle w:val="ListParagraph"/>
        <w:numPr>
          <w:ilvl w:val="0"/>
          <w:numId w:val="44"/>
        </w:numPr>
        <w:spacing w:line="480" w:lineRule="auto"/>
        <w:jc w:val="both"/>
        <w:rPr>
          <w:rFonts w:ascii="Arial" w:hAnsi="Arial" w:cs="Arial"/>
          <w:bCs/>
          <w:sz w:val="22"/>
          <w:szCs w:val="22"/>
        </w:rPr>
      </w:pPr>
      <w:r w:rsidRPr="00E47820">
        <w:rPr>
          <w:rFonts w:ascii="Arial" w:hAnsi="Arial" w:cs="Arial"/>
          <w:bCs/>
          <w:sz w:val="22"/>
          <w:szCs w:val="22"/>
        </w:rPr>
        <w:t xml:space="preserve">The NICE guidelines NG51 and NG143 and the proposed BSAC guidance </w:t>
      </w:r>
      <w:r w:rsidR="009C4761">
        <w:rPr>
          <w:rFonts w:ascii="Arial" w:hAnsi="Arial" w:cs="Arial"/>
          <w:bCs/>
          <w:sz w:val="22"/>
          <w:szCs w:val="22"/>
        </w:rPr>
        <w:t>demonstrated an inferior performance when compared to validated clinical practice guidelines used internationally.</w:t>
      </w:r>
    </w:p>
    <w:p w14:paraId="5C30F720" w14:textId="4063CA7F" w:rsidR="00711A10" w:rsidRDefault="00711A10" w:rsidP="00711A10">
      <w:pPr>
        <w:spacing w:line="480" w:lineRule="auto"/>
        <w:jc w:val="both"/>
        <w:rPr>
          <w:rFonts w:ascii="Arial" w:hAnsi="Arial" w:cs="Arial"/>
          <w:bCs/>
          <w:sz w:val="22"/>
          <w:szCs w:val="22"/>
        </w:rPr>
      </w:pPr>
    </w:p>
    <w:p w14:paraId="4F5C3909" w14:textId="7B5212D9" w:rsidR="009C4761" w:rsidRDefault="009C4761" w:rsidP="00711A10">
      <w:pPr>
        <w:spacing w:line="480" w:lineRule="auto"/>
        <w:jc w:val="both"/>
        <w:rPr>
          <w:rFonts w:ascii="Arial" w:hAnsi="Arial" w:cs="Arial"/>
          <w:bCs/>
          <w:sz w:val="22"/>
          <w:szCs w:val="22"/>
        </w:rPr>
      </w:pPr>
    </w:p>
    <w:p w14:paraId="16AA08E5" w14:textId="7D3AB077" w:rsidR="009C4761" w:rsidRDefault="009C4761" w:rsidP="00711A10">
      <w:pPr>
        <w:spacing w:line="480" w:lineRule="auto"/>
        <w:jc w:val="both"/>
        <w:rPr>
          <w:rFonts w:ascii="Arial" w:hAnsi="Arial" w:cs="Arial"/>
          <w:bCs/>
          <w:sz w:val="22"/>
          <w:szCs w:val="22"/>
        </w:rPr>
      </w:pPr>
    </w:p>
    <w:p w14:paraId="4F90BEFD" w14:textId="7F2B8AE6" w:rsidR="009C4761" w:rsidRDefault="009C4761" w:rsidP="00711A10">
      <w:pPr>
        <w:spacing w:line="480" w:lineRule="auto"/>
        <w:jc w:val="both"/>
        <w:rPr>
          <w:rFonts w:ascii="Arial" w:hAnsi="Arial" w:cs="Arial"/>
          <w:bCs/>
          <w:sz w:val="22"/>
          <w:szCs w:val="22"/>
        </w:rPr>
      </w:pPr>
    </w:p>
    <w:p w14:paraId="447C8CCB" w14:textId="58114A57" w:rsidR="009C4761" w:rsidRDefault="009C4761" w:rsidP="00711A10">
      <w:pPr>
        <w:spacing w:line="480" w:lineRule="auto"/>
        <w:jc w:val="both"/>
        <w:rPr>
          <w:rFonts w:ascii="Arial" w:hAnsi="Arial" w:cs="Arial"/>
          <w:bCs/>
          <w:sz w:val="22"/>
          <w:szCs w:val="22"/>
        </w:rPr>
      </w:pPr>
    </w:p>
    <w:p w14:paraId="2A5DD6E8" w14:textId="0C49F66A" w:rsidR="009C4761" w:rsidRDefault="009C4761" w:rsidP="00711A10">
      <w:pPr>
        <w:spacing w:line="480" w:lineRule="auto"/>
        <w:jc w:val="both"/>
        <w:rPr>
          <w:rFonts w:ascii="Arial" w:hAnsi="Arial" w:cs="Arial"/>
          <w:bCs/>
          <w:sz w:val="22"/>
          <w:szCs w:val="22"/>
        </w:rPr>
      </w:pPr>
    </w:p>
    <w:p w14:paraId="0C7EF2F0" w14:textId="727C4A36" w:rsidR="009C4761" w:rsidRDefault="009C4761" w:rsidP="00711A10">
      <w:pPr>
        <w:spacing w:line="480" w:lineRule="auto"/>
        <w:jc w:val="both"/>
        <w:rPr>
          <w:rFonts w:ascii="Arial" w:hAnsi="Arial" w:cs="Arial"/>
          <w:bCs/>
          <w:sz w:val="22"/>
          <w:szCs w:val="22"/>
        </w:rPr>
      </w:pPr>
    </w:p>
    <w:p w14:paraId="2537DE2C" w14:textId="31C5D39A" w:rsidR="004C09F8" w:rsidRDefault="004C09F8" w:rsidP="00711A10">
      <w:pPr>
        <w:spacing w:line="480" w:lineRule="auto"/>
        <w:jc w:val="both"/>
        <w:rPr>
          <w:rFonts w:ascii="Arial" w:hAnsi="Arial" w:cs="Arial"/>
          <w:bCs/>
          <w:sz w:val="22"/>
          <w:szCs w:val="22"/>
        </w:rPr>
      </w:pPr>
    </w:p>
    <w:p w14:paraId="0D537FA8" w14:textId="11E2141B" w:rsidR="004C09F8" w:rsidRDefault="004C09F8" w:rsidP="00711A10">
      <w:pPr>
        <w:spacing w:line="480" w:lineRule="auto"/>
        <w:jc w:val="both"/>
        <w:rPr>
          <w:rFonts w:ascii="Arial" w:hAnsi="Arial" w:cs="Arial"/>
          <w:bCs/>
          <w:sz w:val="22"/>
          <w:szCs w:val="22"/>
        </w:rPr>
      </w:pPr>
    </w:p>
    <w:p w14:paraId="70F3F876" w14:textId="3467A8CB" w:rsidR="00711A10" w:rsidRDefault="00711A10" w:rsidP="00711A10">
      <w:pPr>
        <w:spacing w:line="480" w:lineRule="auto"/>
        <w:jc w:val="both"/>
        <w:rPr>
          <w:rFonts w:ascii="Arial" w:hAnsi="Arial" w:cs="Arial"/>
          <w:bCs/>
          <w:sz w:val="22"/>
          <w:szCs w:val="22"/>
        </w:rPr>
      </w:pPr>
    </w:p>
    <w:p w14:paraId="4ADFF790" w14:textId="77777777" w:rsidR="00DC403A" w:rsidRPr="00E47820" w:rsidRDefault="00DC403A" w:rsidP="00DC403A">
      <w:pPr>
        <w:pStyle w:val="Heading7"/>
        <w:spacing w:line="480" w:lineRule="auto"/>
        <w:rPr>
          <w:rFonts w:ascii="Arial" w:hAnsi="Arial" w:cs="Arial"/>
          <w:b/>
          <w:i w:val="0"/>
          <w:color w:val="auto"/>
          <w:sz w:val="22"/>
          <w:szCs w:val="22"/>
        </w:rPr>
      </w:pPr>
      <w:r w:rsidRPr="00E47820">
        <w:rPr>
          <w:rFonts w:ascii="Arial" w:hAnsi="Arial" w:cs="Arial"/>
          <w:b/>
          <w:i w:val="0"/>
          <w:color w:val="auto"/>
          <w:sz w:val="22"/>
          <w:szCs w:val="22"/>
        </w:rPr>
        <w:lastRenderedPageBreak/>
        <w:t>Declarations</w:t>
      </w:r>
    </w:p>
    <w:p w14:paraId="2EC85AE3" w14:textId="48B4B6FC" w:rsidR="00076691" w:rsidRPr="00654C02" w:rsidRDefault="00DC403A" w:rsidP="009C4761">
      <w:pPr>
        <w:pStyle w:val="ListParagraph"/>
        <w:numPr>
          <w:ilvl w:val="0"/>
          <w:numId w:val="18"/>
        </w:numPr>
        <w:spacing w:line="480" w:lineRule="auto"/>
        <w:jc w:val="both"/>
        <w:rPr>
          <w:rFonts w:ascii="Arial" w:hAnsi="Arial" w:cs="Arial"/>
          <w:iCs/>
          <w:sz w:val="22"/>
          <w:szCs w:val="22"/>
        </w:rPr>
      </w:pPr>
      <w:r w:rsidRPr="00654C02">
        <w:rPr>
          <w:rFonts w:ascii="Arial" w:hAnsi="Arial" w:cs="Arial"/>
          <w:b/>
          <w:iCs/>
          <w:sz w:val="22"/>
          <w:szCs w:val="22"/>
        </w:rPr>
        <w:t>Ethical approval</w:t>
      </w:r>
      <w:r w:rsidR="00076691" w:rsidRPr="00654C02">
        <w:rPr>
          <w:rFonts w:ascii="Arial" w:hAnsi="Arial" w:cs="Arial"/>
          <w:iCs/>
          <w:sz w:val="22"/>
          <w:szCs w:val="22"/>
        </w:rPr>
        <w:t xml:space="preserve">: </w:t>
      </w:r>
      <w:r w:rsidR="009C4761" w:rsidRPr="009C4761">
        <w:rPr>
          <w:rFonts w:ascii="Arial" w:hAnsi="Arial" w:cs="Arial"/>
          <w:iCs/>
          <w:sz w:val="22"/>
          <w:szCs w:val="22"/>
        </w:rPr>
        <w:t>National research ethics committee approval was not necessary for this study based on the results from the Health Research Association decisions tool. The study was however registered with, and approved by, research governance offices at the respective sites.</w:t>
      </w:r>
    </w:p>
    <w:p w14:paraId="46A344EE" w14:textId="77777777" w:rsidR="00076691" w:rsidRPr="00654C02" w:rsidRDefault="00DC403A" w:rsidP="00076691">
      <w:pPr>
        <w:pStyle w:val="ListParagraph"/>
        <w:numPr>
          <w:ilvl w:val="0"/>
          <w:numId w:val="18"/>
        </w:numPr>
        <w:spacing w:line="480" w:lineRule="auto"/>
        <w:jc w:val="both"/>
        <w:rPr>
          <w:rFonts w:ascii="Arial" w:hAnsi="Arial" w:cs="Arial"/>
          <w:iCs/>
          <w:sz w:val="22"/>
          <w:szCs w:val="22"/>
        </w:rPr>
      </w:pPr>
      <w:r w:rsidRPr="00E47820">
        <w:rPr>
          <w:rFonts w:ascii="Arial" w:hAnsi="Arial" w:cs="Arial"/>
          <w:b/>
          <w:bCs/>
          <w:sz w:val="22"/>
          <w:szCs w:val="22"/>
        </w:rPr>
        <w:t>Declaration of interests</w:t>
      </w:r>
      <w:r w:rsidRPr="00E47820">
        <w:rPr>
          <w:rFonts w:ascii="Arial" w:hAnsi="Arial" w:cs="Arial"/>
          <w:sz w:val="22"/>
          <w:szCs w:val="22"/>
        </w:rPr>
        <w:t>: None declared.</w:t>
      </w:r>
    </w:p>
    <w:p w14:paraId="0B41A906" w14:textId="77777777" w:rsidR="00076691" w:rsidRPr="00654C02" w:rsidRDefault="00DC403A" w:rsidP="00076691">
      <w:pPr>
        <w:pStyle w:val="ListParagraph"/>
        <w:numPr>
          <w:ilvl w:val="0"/>
          <w:numId w:val="18"/>
        </w:numPr>
        <w:spacing w:line="480" w:lineRule="auto"/>
        <w:jc w:val="both"/>
        <w:rPr>
          <w:rFonts w:ascii="Arial" w:hAnsi="Arial" w:cs="Arial"/>
          <w:iCs/>
          <w:sz w:val="22"/>
          <w:szCs w:val="22"/>
        </w:rPr>
      </w:pPr>
      <w:r w:rsidRPr="00E47820">
        <w:rPr>
          <w:rFonts w:ascii="Arial" w:hAnsi="Arial" w:cs="Arial"/>
          <w:b/>
          <w:bCs/>
          <w:sz w:val="22"/>
          <w:szCs w:val="22"/>
        </w:rPr>
        <w:t>Funding</w:t>
      </w:r>
      <w:r w:rsidR="00076691" w:rsidRPr="00E47820">
        <w:rPr>
          <w:rFonts w:ascii="Arial" w:hAnsi="Arial" w:cs="Arial"/>
          <w:bCs/>
          <w:sz w:val="22"/>
          <w:szCs w:val="22"/>
        </w:rPr>
        <w:t>: None</w:t>
      </w:r>
    </w:p>
    <w:p w14:paraId="25043B9B" w14:textId="6B3A1C15" w:rsidR="00076691" w:rsidRPr="00654C02" w:rsidRDefault="00076691" w:rsidP="00076691">
      <w:pPr>
        <w:pStyle w:val="ListParagraph"/>
        <w:numPr>
          <w:ilvl w:val="0"/>
          <w:numId w:val="18"/>
        </w:numPr>
        <w:spacing w:line="480" w:lineRule="auto"/>
        <w:jc w:val="both"/>
        <w:rPr>
          <w:rFonts w:ascii="Arial" w:hAnsi="Arial" w:cs="Arial"/>
          <w:iCs/>
          <w:sz w:val="22"/>
          <w:szCs w:val="22"/>
        </w:rPr>
      </w:pPr>
      <w:r w:rsidRPr="00E47820">
        <w:rPr>
          <w:rFonts w:ascii="Arial" w:hAnsi="Arial" w:cs="Arial"/>
          <w:b/>
          <w:bCs/>
          <w:sz w:val="22"/>
          <w:szCs w:val="22"/>
        </w:rPr>
        <w:t>A</w:t>
      </w:r>
      <w:r w:rsidR="00DC403A" w:rsidRPr="00E47820">
        <w:rPr>
          <w:rFonts w:ascii="Arial" w:hAnsi="Arial" w:cs="Arial"/>
          <w:b/>
          <w:bCs/>
          <w:sz w:val="22"/>
          <w:szCs w:val="22"/>
        </w:rPr>
        <w:t>uthors</w:t>
      </w:r>
      <w:r w:rsidRPr="00E47820">
        <w:rPr>
          <w:rFonts w:ascii="Arial" w:hAnsi="Arial" w:cs="Arial"/>
          <w:b/>
          <w:bCs/>
          <w:sz w:val="22"/>
          <w:szCs w:val="22"/>
        </w:rPr>
        <w:t>’</w:t>
      </w:r>
      <w:r w:rsidR="00DC403A" w:rsidRPr="00E47820">
        <w:rPr>
          <w:rFonts w:ascii="Arial" w:hAnsi="Arial" w:cs="Arial"/>
          <w:b/>
          <w:bCs/>
          <w:sz w:val="22"/>
          <w:szCs w:val="22"/>
        </w:rPr>
        <w:t xml:space="preserve"> contributions:</w:t>
      </w:r>
      <w:r w:rsidR="00DC403A" w:rsidRPr="00E47820">
        <w:rPr>
          <w:rFonts w:ascii="Arial" w:hAnsi="Arial" w:cs="Arial"/>
          <w:sz w:val="22"/>
          <w:szCs w:val="22"/>
        </w:rPr>
        <w:t xml:space="preserve"> Dr Waterfield, </w:t>
      </w:r>
      <w:r w:rsidRPr="00E47820">
        <w:rPr>
          <w:rFonts w:ascii="Arial" w:hAnsi="Arial" w:cs="Arial"/>
          <w:sz w:val="22"/>
          <w:szCs w:val="22"/>
        </w:rPr>
        <w:t>Dr Lyttle, Dr Roland and Dr Man</w:t>
      </w:r>
      <w:r w:rsidR="009E7DA7">
        <w:rPr>
          <w:rFonts w:ascii="Arial" w:hAnsi="Arial" w:cs="Arial"/>
          <w:sz w:val="22"/>
          <w:szCs w:val="22"/>
        </w:rPr>
        <w:t>e</w:t>
      </w:r>
      <w:r w:rsidRPr="00E47820">
        <w:rPr>
          <w:rFonts w:ascii="Arial" w:hAnsi="Arial" w:cs="Arial"/>
          <w:sz w:val="22"/>
          <w:szCs w:val="22"/>
        </w:rPr>
        <w:t xml:space="preserve">y contributed to the design of </w:t>
      </w:r>
      <w:r w:rsidRPr="004339DB">
        <w:rPr>
          <w:rFonts w:ascii="Arial" w:hAnsi="Arial" w:cs="Arial"/>
          <w:sz w:val="22"/>
          <w:szCs w:val="22"/>
        </w:rPr>
        <w:t>the study</w:t>
      </w:r>
      <w:r w:rsidR="00DC403A" w:rsidRPr="004339DB">
        <w:rPr>
          <w:rFonts w:ascii="Arial" w:hAnsi="Arial" w:cs="Arial"/>
          <w:sz w:val="22"/>
          <w:szCs w:val="22"/>
        </w:rPr>
        <w:t xml:space="preserve">. Dr Waterfield </w:t>
      </w:r>
      <w:r w:rsidRPr="004339DB">
        <w:rPr>
          <w:rFonts w:ascii="Arial" w:hAnsi="Arial" w:cs="Arial"/>
          <w:sz w:val="22"/>
          <w:szCs w:val="22"/>
        </w:rPr>
        <w:t xml:space="preserve">and Dr McGinn </w:t>
      </w:r>
      <w:r w:rsidR="00DC403A" w:rsidRPr="004339DB">
        <w:rPr>
          <w:rFonts w:ascii="Arial" w:hAnsi="Arial" w:cs="Arial"/>
          <w:sz w:val="22"/>
          <w:szCs w:val="22"/>
        </w:rPr>
        <w:t xml:space="preserve">co-ordinated the running of the study including data management and site training. Dr Lyttle </w:t>
      </w:r>
      <w:r w:rsidRPr="00E47820">
        <w:rPr>
          <w:rFonts w:ascii="Arial" w:hAnsi="Arial" w:cs="Arial"/>
          <w:sz w:val="22"/>
          <w:szCs w:val="22"/>
        </w:rPr>
        <w:t xml:space="preserve">and Dr Waterfield </w:t>
      </w:r>
      <w:r w:rsidR="00DC403A" w:rsidRPr="00E47820">
        <w:rPr>
          <w:rFonts w:ascii="Arial" w:hAnsi="Arial" w:cs="Arial"/>
          <w:sz w:val="22"/>
          <w:szCs w:val="22"/>
        </w:rPr>
        <w:t xml:space="preserve">designed the electronic CRFs. </w:t>
      </w:r>
      <w:r w:rsidRPr="00E47820">
        <w:rPr>
          <w:rFonts w:ascii="Arial" w:hAnsi="Arial" w:cs="Arial"/>
          <w:sz w:val="22"/>
          <w:szCs w:val="22"/>
        </w:rPr>
        <w:t>Dr Lyttle, Dr Maney, Dr Roland, Ms Platt, Dr Durnin and Dr Barrett were</w:t>
      </w:r>
      <w:r w:rsidR="00DC403A" w:rsidRPr="00E47820">
        <w:rPr>
          <w:rFonts w:ascii="Arial" w:hAnsi="Arial" w:cs="Arial"/>
          <w:sz w:val="22"/>
          <w:szCs w:val="22"/>
        </w:rPr>
        <w:t xml:space="preserve"> </w:t>
      </w:r>
      <w:r w:rsidRPr="00E47820">
        <w:rPr>
          <w:rFonts w:ascii="Arial" w:hAnsi="Arial" w:cs="Arial"/>
          <w:sz w:val="22"/>
          <w:szCs w:val="22"/>
        </w:rPr>
        <w:t>site leads</w:t>
      </w:r>
      <w:r w:rsidR="00DC403A" w:rsidRPr="00E47820">
        <w:rPr>
          <w:rFonts w:ascii="Arial" w:hAnsi="Arial" w:cs="Arial"/>
          <w:sz w:val="22"/>
          <w:szCs w:val="22"/>
        </w:rPr>
        <w:t>. Dr McFetridge and Dr Mitchell provided statistical expertise and performed the statistical analysis.</w:t>
      </w:r>
      <w:r w:rsidR="008261CB">
        <w:rPr>
          <w:rFonts w:ascii="Arial" w:hAnsi="Arial" w:cs="Arial"/>
          <w:sz w:val="22"/>
          <w:szCs w:val="22"/>
        </w:rPr>
        <w:t xml:space="preserve"> </w:t>
      </w:r>
      <w:r w:rsidR="00DC403A" w:rsidRPr="00E47820">
        <w:rPr>
          <w:rFonts w:ascii="Arial" w:hAnsi="Arial" w:cs="Arial"/>
          <w:sz w:val="22"/>
          <w:szCs w:val="22"/>
        </w:rPr>
        <w:t>All authors contributed to</w:t>
      </w:r>
      <w:r w:rsidR="0012386F">
        <w:rPr>
          <w:rFonts w:ascii="Arial" w:hAnsi="Arial" w:cs="Arial"/>
          <w:sz w:val="22"/>
          <w:szCs w:val="22"/>
        </w:rPr>
        <w:t xml:space="preserve"> data collection and</w:t>
      </w:r>
      <w:r w:rsidR="00DC403A" w:rsidRPr="00E47820">
        <w:rPr>
          <w:rFonts w:ascii="Arial" w:hAnsi="Arial" w:cs="Arial"/>
          <w:sz w:val="22"/>
          <w:szCs w:val="22"/>
        </w:rPr>
        <w:t xml:space="preserve"> the writing of the manuscript.</w:t>
      </w:r>
    </w:p>
    <w:p w14:paraId="28C39567" w14:textId="2B535FCA" w:rsidR="00076691" w:rsidRPr="0012386F" w:rsidRDefault="00DC403A" w:rsidP="00840950">
      <w:pPr>
        <w:pStyle w:val="ListParagraph"/>
        <w:numPr>
          <w:ilvl w:val="0"/>
          <w:numId w:val="18"/>
        </w:numPr>
        <w:spacing w:line="480" w:lineRule="auto"/>
        <w:jc w:val="both"/>
        <w:rPr>
          <w:rFonts w:ascii="Arial" w:hAnsi="Arial" w:cs="Arial"/>
          <w:iCs/>
          <w:sz w:val="22"/>
          <w:szCs w:val="22"/>
        </w:rPr>
      </w:pPr>
      <w:r w:rsidRPr="00E47820">
        <w:rPr>
          <w:rFonts w:ascii="Arial" w:hAnsi="Arial" w:cs="Arial"/>
          <w:b/>
          <w:bCs/>
          <w:sz w:val="22"/>
          <w:szCs w:val="22"/>
        </w:rPr>
        <w:t>Acknowledgements</w:t>
      </w:r>
      <w:r w:rsidR="0012386F">
        <w:rPr>
          <w:rFonts w:ascii="Arial" w:hAnsi="Arial" w:cs="Arial"/>
          <w:b/>
          <w:bCs/>
          <w:sz w:val="22"/>
          <w:szCs w:val="22"/>
        </w:rPr>
        <w:t xml:space="preserve">: </w:t>
      </w:r>
      <w:r w:rsidR="0012386F">
        <w:rPr>
          <w:rFonts w:ascii="Arial" w:hAnsi="Arial" w:cs="Arial"/>
          <w:bCs/>
          <w:sz w:val="22"/>
          <w:szCs w:val="22"/>
        </w:rPr>
        <w:t>We thank all sites and their staff for contributing to this study. We also acknowledge the contributions of; Dr Anna Wallace</w:t>
      </w:r>
      <w:r w:rsidR="009C4761">
        <w:rPr>
          <w:rFonts w:ascii="Arial" w:hAnsi="Arial" w:cs="Arial"/>
          <w:bCs/>
          <w:sz w:val="22"/>
          <w:szCs w:val="22"/>
        </w:rPr>
        <w:t xml:space="preserve"> (data entry)</w:t>
      </w:r>
      <w:r w:rsidR="0012386F">
        <w:rPr>
          <w:rFonts w:ascii="Arial" w:hAnsi="Arial" w:cs="Arial"/>
          <w:bCs/>
          <w:sz w:val="22"/>
          <w:szCs w:val="22"/>
        </w:rPr>
        <w:t>,</w:t>
      </w:r>
      <w:r w:rsidR="00840950">
        <w:rPr>
          <w:rFonts w:ascii="Arial" w:hAnsi="Arial" w:cs="Arial"/>
          <w:bCs/>
          <w:sz w:val="22"/>
          <w:szCs w:val="22"/>
        </w:rPr>
        <w:t xml:space="preserve"> Dr Turlough Bolger (</w:t>
      </w:r>
      <w:r w:rsidR="009C4761">
        <w:rPr>
          <w:rFonts w:ascii="Arial" w:hAnsi="Arial" w:cs="Arial"/>
          <w:bCs/>
          <w:sz w:val="22"/>
          <w:szCs w:val="22"/>
        </w:rPr>
        <w:t>governance approvals</w:t>
      </w:r>
      <w:r w:rsidR="00840950">
        <w:rPr>
          <w:rFonts w:ascii="Arial" w:hAnsi="Arial" w:cs="Arial"/>
          <w:bCs/>
          <w:sz w:val="22"/>
          <w:szCs w:val="22"/>
        </w:rPr>
        <w:t>),</w:t>
      </w:r>
      <w:r w:rsidR="009C4761">
        <w:rPr>
          <w:rFonts w:ascii="Arial" w:hAnsi="Arial" w:cs="Arial"/>
          <w:bCs/>
          <w:sz w:val="22"/>
          <w:szCs w:val="22"/>
        </w:rPr>
        <w:t xml:space="preserve"> Alex Turner (data entry), Sarah Sheedy (data entry), Mai Baquedano (REDCap support)</w:t>
      </w:r>
      <w:r w:rsidR="00916387">
        <w:rPr>
          <w:rFonts w:ascii="Arial" w:hAnsi="Arial" w:cs="Arial"/>
          <w:bCs/>
          <w:sz w:val="22"/>
          <w:szCs w:val="22"/>
        </w:rPr>
        <w:t xml:space="preserve">. </w:t>
      </w:r>
    </w:p>
    <w:p w14:paraId="64B361C4" w14:textId="444B7817" w:rsidR="00DC403A" w:rsidRPr="00654C02" w:rsidRDefault="00DC403A" w:rsidP="00076691">
      <w:pPr>
        <w:pStyle w:val="ListParagraph"/>
        <w:numPr>
          <w:ilvl w:val="0"/>
          <w:numId w:val="18"/>
        </w:numPr>
        <w:spacing w:line="480" w:lineRule="auto"/>
        <w:jc w:val="both"/>
        <w:rPr>
          <w:rFonts w:ascii="Arial" w:hAnsi="Arial" w:cs="Arial"/>
          <w:iCs/>
          <w:sz w:val="22"/>
          <w:szCs w:val="22"/>
        </w:rPr>
      </w:pPr>
      <w:r w:rsidRPr="00E47820">
        <w:rPr>
          <w:rFonts w:ascii="Arial" w:hAnsi="Arial" w:cs="Arial"/>
          <w:b/>
          <w:bCs/>
          <w:sz w:val="22"/>
          <w:szCs w:val="22"/>
        </w:rPr>
        <w:t xml:space="preserve">Data Sharing: </w:t>
      </w:r>
      <w:r w:rsidRPr="00E47820">
        <w:rPr>
          <w:rFonts w:ascii="Arial" w:hAnsi="Arial" w:cs="Arial"/>
          <w:sz w:val="22"/>
          <w:szCs w:val="22"/>
        </w:rPr>
        <w:t>All data collected during this study will be available (including data dictionaries) on the Queen’s Univ</w:t>
      </w:r>
      <w:r w:rsidR="00A3247F">
        <w:rPr>
          <w:rFonts w:ascii="Arial" w:hAnsi="Arial" w:cs="Arial"/>
          <w:sz w:val="22"/>
          <w:szCs w:val="22"/>
        </w:rPr>
        <w:t>ersity Belfast database within three</w:t>
      </w:r>
      <w:r w:rsidRPr="00E47820">
        <w:rPr>
          <w:rFonts w:ascii="Arial" w:hAnsi="Arial" w:cs="Arial"/>
          <w:sz w:val="22"/>
          <w:szCs w:val="22"/>
        </w:rPr>
        <w:t xml:space="preserve"> months of completion of the study.</w:t>
      </w:r>
    </w:p>
    <w:p w14:paraId="4A376402" w14:textId="50E3D482" w:rsidR="0077043C" w:rsidRPr="00654C02" w:rsidRDefault="0077043C" w:rsidP="00853434">
      <w:pPr>
        <w:pStyle w:val="BodyText"/>
        <w:spacing w:line="480" w:lineRule="auto"/>
        <w:jc w:val="both"/>
        <w:rPr>
          <w:lang w:val="en-GB"/>
        </w:rPr>
      </w:pPr>
    </w:p>
    <w:p w14:paraId="4F5C565A" w14:textId="2469AD90" w:rsidR="005205EF" w:rsidRPr="00654C02" w:rsidRDefault="005205EF" w:rsidP="00853434">
      <w:pPr>
        <w:pStyle w:val="BodyText"/>
        <w:spacing w:line="480" w:lineRule="auto"/>
        <w:jc w:val="both"/>
        <w:rPr>
          <w:lang w:val="en-GB"/>
        </w:rPr>
      </w:pPr>
    </w:p>
    <w:p w14:paraId="05343240" w14:textId="3E7878EC" w:rsidR="005205EF" w:rsidRPr="00654C02" w:rsidRDefault="005205EF" w:rsidP="00853434">
      <w:pPr>
        <w:pStyle w:val="BodyText"/>
        <w:spacing w:line="480" w:lineRule="auto"/>
        <w:jc w:val="both"/>
        <w:rPr>
          <w:lang w:val="en-GB"/>
        </w:rPr>
      </w:pPr>
    </w:p>
    <w:p w14:paraId="2EC3CE00" w14:textId="28C2AECB" w:rsidR="005205EF" w:rsidRPr="00654C02" w:rsidRDefault="005205EF" w:rsidP="00853434">
      <w:pPr>
        <w:pStyle w:val="BodyText"/>
        <w:spacing w:line="480" w:lineRule="auto"/>
        <w:jc w:val="both"/>
        <w:rPr>
          <w:lang w:val="en-GB"/>
        </w:rPr>
      </w:pPr>
    </w:p>
    <w:p w14:paraId="4FB85E96" w14:textId="6F118D36" w:rsidR="005205EF" w:rsidRPr="00654C02" w:rsidRDefault="005205EF" w:rsidP="00853434">
      <w:pPr>
        <w:pStyle w:val="BodyText"/>
        <w:spacing w:line="480" w:lineRule="auto"/>
        <w:jc w:val="both"/>
        <w:rPr>
          <w:lang w:val="en-GB"/>
        </w:rPr>
      </w:pPr>
    </w:p>
    <w:p w14:paraId="0F633FF7" w14:textId="6D999735" w:rsidR="005205EF" w:rsidRPr="00654C02" w:rsidRDefault="005205EF" w:rsidP="00853434">
      <w:pPr>
        <w:pStyle w:val="BodyText"/>
        <w:spacing w:line="480" w:lineRule="auto"/>
        <w:jc w:val="both"/>
        <w:rPr>
          <w:lang w:val="en-GB"/>
        </w:rPr>
      </w:pPr>
    </w:p>
    <w:p w14:paraId="7C10DBA8" w14:textId="77777777" w:rsidR="009C4761" w:rsidRDefault="009C4761" w:rsidP="00853434">
      <w:pPr>
        <w:pStyle w:val="BodyText"/>
        <w:spacing w:line="480" w:lineRule="auto"/>
        <w:jc w:val="both"/>
        <w:rPr>
          <w:lang w:val="en-GB"/>
        </w:rPr>
      </w:pPr>
    </w:p>
    <w:p w14:paraId="19C30CDE" w14:textId="305305C3" w:rsidR="00853434" w:rsidRPr="00654C02" w:rsidRDefault="00853434" w:rsidP="00853434">
      <w:pPr>
        <w:pStyle w:val="BodyText"/>
        <w:spacing w:line="480" w:lineRule="auto"/>
        <w:jc w:val="both"/>
        <w:rPr>
          <w:b/>
          <w:sz w:val="24"/>
          <w:szCs w:val="24"/>
          <w:lang w:val="en-GB"/>
        </w:rPr>
      </w:pPr>
      <w:r w:rsidRPr="00654C02">
        <w:rPr>
          <w:b/>
          <w:sz w:val="24"/>
          <w:szCs w:val="24"/>
          <w:lang w:val="en-GB"/>
        </w:rPr>
        <w:lastRenderedPageBreak/>
        <w:t>References</w:t>
      </w:r>
    </w:p>
    <w:p w14:paraId="4E69C56A" w14:textId="77777777" w:rsidR="00F05F51" w:rsidRPr="004E33C7" w:rsidRDefault="00F05F51" w:rsidP="00590901">
      <w:pPr>
        <w:pStyle w:val="BodyText"/>
        <w:numPr>
          <w:ilvl w:val="0"/>
          <w:numId w:val="45"/>
        </w:numPr>
        <w:spacing w:line="480" w:lineRule="auto"/>
        <w:rPr>
          <w:lang w:val="en-GB"/>
        </w:rPr>
      </w:pPr>
      <w:r w:rsidRPr="004E33C7">
        <w:rPr>
          <w:color w:val="212121"/>
          <w:shd w:val="clear" w:color="auto" w:fill="FFFFFF"/>
        </w:rPr>
        <w:t>McCaig LF, Nawar EW. National Hospital Ambulatory Medical Care Survey: 2004 emergency department summary. Adv Data. 2006 Jun 23;(372):1-29. PMID: 16841785.</w:t>
      </w:r>
    </w:p>
    <w:p w14:paraId="371BCDBF" w14:textId="77777777" w:rsidR="00F05F51" w:rsidRPr="004E33C7" w:rsidRDefault="00F05F51" w:rsidP="00590901">
      <w:pPr>
        <w:pStyle w:val="BodyText"/>
        <w:numPr>
          <w:ilvl w:val="0"/>
          <w:numId w:val="45"/>
        </w:numPr>
        <w:spacing w:line="480" w:lineRule="auto"/>
        <w:rPr>
          <w:lang w:val="en-GB"/>
        </w:rPr>
      </w:pPr>
      <w:r w:rsidRPr="004E33C7">
        <w:rPr>
          <w:color w:val="212121"/>
          <w:shd w:val="clear" w:color="auto" w:fill="FFFFFF"/>
        </w:rPr>
        <w:t>Woll C, Neuman MI, Aronson PL. Management of the Febrile Young Infant: Update for the 21st Century. Pediatr Emerg Care. 2017 Nov;33(11):748-753. doi: 10.1097/PEC.0000000000001303. PMID: 29095773; PMCID: PMC5679412.</w:t>
      </w:r>
    </w:p>
    <w:p w14:paraId="27E661A0" w14:textId="77777777" w:rsidR="00F05F51" w:rsidRPr="004E33C7" w:rsidRDefault="00F05F51" w:rsidP="002B58B6">
      <w:pPr>
        <w:pStyle w:val="BodyText"/>
        <w:numPr>
          <w:ilvl w:val="0"/>
          <w:numId w:val="45"/>
        </w:numPr>
        <w:spacing w:line="480" w:lineRule="auto"/>
        <w:rPr>
          <w:lang w:val="en-GB"/>
        </w:rPr>
      </w:pPr>
      <w:r w:rsidRPr="004E33C7">
        <w:rPr>
          <w:color w:val="212121"/>
          <w:shd w:val="clear" w:color="auto" w:fill="FFFFFF"/>
        </w:rPr>
        <w:t>Kuppermann N, Dayan PS, Levine DA, Vitale M, Tzimenatos L, Tunik MG, Saunders M, Ruddy RM, Roosevelt G, Rogers AJ, Powell EC, Nigrovic LE, Muenzer J, Linakis JG, Grisanti K, Jaffe DM, Hoyle JD Jr, Greenberg R, Gattu R, Cruz AT, Crain EF, Cohen DM, Brayer A, Borgialli D, Bonsu B, Browne L, Blumberg S, Bennett JE, Atabaki SM, Anders J, Alpern ER, Miller B, Casper TC, Dean JM, Ramilo O, Mahajan P; Febrile Infant Working Group of the Pediatric Emergency Care Applied Research Network (PECARN). A Clinical Prediction Rule to Identify Febrile Infants 60 Days and Younger at Low Risk for Serious Bacterial Infections. JAMA Pediatr. 2019 Apr 1;173(4):342-351. doi: 10.1001/jamapediatrics.2018.5501. PMID: 30776077; PMCID: PMC6450281.</w:t>
      </w:r>
    </w:p>
    <w:p w14:paraId="23F9B006" w14:textId="77777777" w:rsidR="00F05F51" w:rsidRPr="004E33C7" w:rsidRDefault="00F05F51" w:rsidP="00590901">
      <w:pPr>
        <w:pStyle w:val="BodyText"/>
        <w:numPr>
          <w:ilvl w:val="0"/>
          <w:numId w:val="45"/>
        </w:numPr>
        <w:spacing w:line="480" w:lineRule="auto"/>
        <w:rPr>
          <w:lang w:val="en-GB"/>
        </w:rPr>
      </w:pPr>
      <w:r w:rsidRPr="004E33C7">
        <w:rPr>
          <w:color w:val="212121"/>
          <w:shd w:val="clear" w:color="auto" w:fill="FFFFFF"/>
        </w:rPr>
        <w:t>Gomez B, Mintegi S, Bressan S, Da Dalt L, Gervaix A, Lacroix L; European Group for Validation of the Step-by-Step Approach. Validation of the "Step-by-Step" Approach in the Management of Young Febrile Infants. Pediatrics. 2016 Aug;138(2):e20154381. doi: 10.1542/peds.2015-4381. Epub 2016 Jul 5. PMID: 27382134.</w:t>
      </w:r>
    </w:p>
    <w:p w14:paraId="70A4C5D3" w14:textId="77777777" w:rsidR="0079566A" w:rsidRPr="0079566A" w:rsidRDefault="00F05F51" w:rsidP="00590901">
      <w:pPr>
        <w:pStyle w:val="BodyText"/>
        <w:numPr>
          <w:ilvl w:val="0"/>
          <w:numId w:val="45"/>
        </w:numPr>
        <w:spacing w:line="480" w:lineRule="auto"/>
        <w:rPr>
          <w:lang w:val="en-GB"/>
        </w:rPr>
      </w:pPr>
      <w:r w:rsidRPr="004E33C7">
        <w:rPr>
          <w:color w:val="212121"/>
          <w:shd w:val="clear" w:color="auto" w:fill="FFFFFF"/>
        </w:rPr>
        <w:t>Aronson PL, Wang ME, Shapiro ED, Shah SS, DePorre AG, McCulloh RJ, Pruitt CM, Desai S, Nigrovic LE, Marble RD, Leazer RC, Rooholamini SN, Sartori LF, Balamuth F, Woll C, Neuman MI; Febrile Young Infant Research Collaborative. Risk Stratification of Febrile Infants ≤60 Days Old Without Routine Lumbar Puncture. Pediatrics. 2018 Dec;142(6):e20181879. doi: 10.1542/peds.2018-1879. Epub 2018 Nov 13. PMID: 30425130; PMCID: PMC6317769.</w:t>
      </w:r>
    </w:p>
    <w:p w14:paraId="2710F02C" w14:textId="7D6A434C" w:rsidR="00590901" w:rsidRPr="004E33C7" w:rsidRDefault="00590901" w:rsidP="00590901">
      <w:pPr>
        <w:pStyle w:val="BodyText"/>
        <w:numPr>
          <w:ilvl w:val="0"/>
          <w:numId w:val="45"/>
        </w:numPr>
        <w:spacing w:line="480" w:lineRule="auto"/>
        <w:rPr>
          <w:lang w:val="en-GB"/>
        </w:rPr>
      </w:pPr>
      <w:r w:rsidRPr="004E33C7">
        <w:rPr>
          <w:lang w:val="en-GB"/>
        </w:rPr>
        <w:lastRenderedPageBreak/>
        <w:t xml:space="preserve">Baker MD, Bell LM, Avner JR. Outpatient management without antibiotics of fever in selected infants. N Engl J Med. 1993;329(20):1437-1441. doi:10.1056/NEJM199311113292001 </w:t>
      </w:r>
    </w:p>
    <w:p w14:paraId="4075A2A0" w14:textId="77777777" w:rsidR="00F05F51" w:rsidRPr="004E33C7" w:rsidRDefault="00F05F51" w:rsidP="00590901">
      <w:pPr>
        <w:pStyle w:val="BodyText"/>
        <w:numPr>
          <w:ilvl w:val="0"/>
          <w:numId w:val="45"/>
        </w:numPr>
        <w:spacing w:line="480" w:lineRule="auto"/>
        <w:rPr>
          <w:lang w:val="en-GB"/>
        </w:rPr>
      </w:pPr>
      <w:r w:rsidRPr="004E33C7">
        <w:rPr>
          <w:color w:val="212121"/>
          <w:shd w:val="clear" w:color="auto" w:fill="FFFFFF"/>
        </w:rPr>
        <w:t>Baskin MN, Fleisher GR, O'Rourke EJ. Identifying febrile infants at risk for a serious bacterial infection. J Pediatr. 1993 Sep;123(3):489-90. doi: 10.1016/s0022-3476(05)81769-x. PMID: 8355131.</w:t>
      </w:r>
    </w:p>
    <w:p w14:paraId="0C2C6AA1" w14:textId="6022AAEB" w:rsidR="00590901" w:rsidRPr="004E33C7" w:rsidRDefault="00590901" w:rsidP="00590901">
      <w:pPr>
        <w:pStyle w:val="BodyText"/>
        <w:numPr>
          <w:ilvl w:val="0"/>
          <w:numId w:val="45"/>
        </w:numPr>
        <w:spacing w:line="480" w:lineRule="auto"/>
        <w:rPr>
          <w:lang w:val="en-GB"/>
        </w:rPr>
      </w:pPr>
      <w:r w:rsidRPr="004E33C7">
        <w:rPr>
          <w:lang w:val="en-GB"/>
        </w:rPr>
        <w:t xml:space="preserve">Cruz AT, Mahajan P, Bonsu BK, et al. ; Febrile Infant Working Group of the Pediatric Emergency Care Applied Research Network . Accuracy of complete blood cell counts to identify febrile infants 60 days or younger with invasive bacterial infections. JAMA Pediatr. 2017;171(11):e172927. doi:10.1001/jamapediatrics.2017.2927 </w:t>
      </w:r>
    </w:p>
    <w:p w14:paraId="15E60635" w14:textId="77777777" w:rsidR="00F05F51" w:rsidRDefault="00F05F51" w:rsidP="00590901">
      <w:pPr>
        <w:pStyle w:val="BodyText"/>
        <w:numPr>
          <w:ilvl w:val="0"/>
          <w:numId w:val="45"/>
        </w:numPr>
        <w:spacing w:line="480" w:lineRule="auto"/>
        <w:rPr>
          <w:lang w:val="en-GB"/>
        </w:rPr>
      </w:pPr>
      <w:r w:rsidRPr="00F05F51">
        <w:rPr>
          <w:lang w:val="en-GB"/>
        </w:rPr>
        <w:t>Dagan R, Sofer S, Phillip M, Shachak E. Ambulatory care of febrile infants younger than 2 months of age classified as being at low risk for having serious bacterial infections. J Pediatr. 1988 Mar;112(3):355-60. doi: 10.1016/s0022-3476(88)80312-3. PMID: 3346773.</w:t>
      </w:r>
    </w:p>
    <w:p w14:paraId="09D6BDE0" w14:textId="7C604318" w:rsidR="00590901" w:rsidRPr="004E33C7" w:rsidRDefault="00590901" w:rsidP="00590901">
      <w:pPr>
        <w:pStyle w:val="BodyText"/>
        <w:numPr>
          <w:ilvl w:val="0"/>
          <w:numId w:val="45"/>
        </w:numPr>
        <w:spacing w:line="480" w:lineRule="auto"/>
        <w:rPr>
          <w:lang w:val="en-GB"/>
        </w:rPr>
      </w:pPr>
      <w:r w:rsidRPr="004E33C7">
        <w:rPr>
          <w:lang w:val="en-GB"/>
        </w:rPr>
        <w:t xml:space="preserve">Herr SM, Wald ER, Pitetti RD, Choi SS. Enhanced urinalysis improves identification of febrile infants ages 60 days and younger at low risk for serious bacterial illness. Pediatrics. 2001;108(4):866-871. doi:10.1542/peds.108.4.866 </w:t>
      </w:r>
    </w:p>
    <w:p w14:paraId="05CD01E2" w14:textId="77777777" w:rsidR="00F05F51" w:rsidRDefault="00F05F51" w:rsidP="00222C3C">
      <w:pPr>
        <w:pStyle w:val="BodyText"/>
        <w:numPr>
          <w:ilvl w:val="0"/>
          <w:numId w:val="45"/>
        </w:numPr>
        <w:spacing w:line="480" w:lineRule="auto"/>
        <w:rPr>
          <w:lang w:val="en-GB"/>
        </w:rPr>
      </w:pPr>
      <w:r w:rsidRPr="00F05F51">
        <w:rPr>
          <w:lang w:val="en-GB"/>
        </w:rPr>
        <w:t>Mintegi S, Bressan S, Gomez B, Da Dalt L, Blázquez D, Olaciregui I, de la Torre M, Palacios M, Berlese P, Benito J. Accuracy of a sequential approach to identify young febrile infants at low risk for invasive bacterial infection. Emerg Med J. 2014 Oct;31(e1):e19-24. doi: 10.1136/emermed-2013-202449. Epub 2013 Jul 14. PMID: 23851127.</w:t>
      </w:r>
    </w:p>
    <w:p w14:paraId="464A9C6A" w14:textId="77777777" w:rsidR="00F05F51" w:rsidRDefault="00F05F51" w:rsidP="00222C3C">
      <w:pPr>
        <w:pStyle w:val="BodyText"/>
        <w:numPr>
          <w:ilvl w:val="0"/>
          <w:numId w:val="45"/>
        </w:numPr>
        <w:spacing w:line="480" w:lineRule="auto"/>
        <w:rPr>
          <w:lang w:val="en-GB"/>
        </w:rPr>
      </w:pPr>
      <w:r w:rsidRPr="00F05F51">
        <w:rPr>
          <w:lang w:val="en-GB"/>
        </w:rPr>
        <w:t>Lacour AG, Zamora SA, Gervaix A. A score identifying serious bacterial infections in children with fever without source. Pediatr Infect Dis J. 2008 Jul;27(7):654-6. doi: 10.1097/INF.0b013e318168d2b4. PMID: 18536624.</w:t>
      </w:r>
    </w:p>
    <w:p w14:paraId="549563D4" w14:textId="77777777" w:rsidR="0079566A" w:rsidRDefault="00F05F51" w:rsidP="00526319">
      <w:pPr>
        <w:pStyle w:val="BodyText"/>
        <w:numPr>
          <w:ilvl w:val="0"/>
          <w:numId w:val="45"/>
        </w:numPr>
        <w:spacing w:line="480" w:lineRule="auto"/>
        <w:rPr>
          <w:lang w:val="en-GB"/>
        </w:rPr>
      </w:pPr>
      <w:r w:rsidRPr="00F05F51">
        <w:rPr>
          <w:lang w:val="en-GB"/>
        </w:rPr>
        <w:t xml:space="preserve">Gómez B, Mintegi S, Benito J, Egireun A, Garcia D, Astobiza E. Blood culture and bacteremia predictors in infants less than three months of age with fever without source. Pediatr Infect Dis J. 2010 Jan;29(1):43-7. doi: </w:t>
      </w:r>
      <w:r w:rsidRPr="00F05F51">
        <w:rPr>
          <w:lang w:val="en-GB"/>
        </w:rPr>
        <w:lastRenderedPageBreak/>
        <w:t>10.1097/INF.0b013e3181c6dd14. PMID: 19934784.</w:t>
      </w:r>
    </w:p>
    <w:p w14:paraId="62FE8A81" w14:textId="2A9FEEB5" w:rsidR="00526319" w:rsidRPr="004E33C7" w:rsidRDefault="00526319" w:rsidP="00526319">
      <w:pPr>
        <w:pStyle w:val="BodyText"/>
        <w:numPr>
          <w:ilvl w:val="0"/>
          <w:numId w:val="45"/>
        </w:numPr>
        <w:spacing w:line="480" w:lineRule="auto"/>
        <w:rPr>
          <w:lang w:val="en-GB"/>
        </w:rPr>
      </w:pPr>
      <w:r w:rsidRPr="004E33C7">
        <w:rPr>
          <w:lang w:val="en-GB"/>
        </w:rPr>
        <w:t xml:space="preserve">Sepsis: recognition, diagnosis and early management. NICE guideline [NG51]. Published: 13 July 2016 Last updated: 13 September 2017. Available at </w:t>
      </w:r>
      <w:hyperlink r:id="rId13" w:history="1">
        <w:r w:rsidRPr="004E33C7">
          <w:rPr>
            <w:rStyle w:val="Hyperlink"/>
            <w:lang w:val="en-GB"/>
          </w:rPr>
          <w:t>https://www.nice.org.uk/guidance/ng51</w:t>
        </w:r>
      </w:hyperlink>
    </w:p>
    <w:p w14:paraId="7CD02337" w14:textId="61EF0661" w:rsidR="00526319" w:rsidRPr="004E33C7" w:rsidRDefault="00526319" w:rsidP="00526319">
      <w:pPr>
        <w:pStyle w:val="BodyText"/>
        <w:numPr>
          <w:ilvl w:val="0"/>
          <w:numId w:val="45"/>
        </w:numPr>
        <w:spacing w:line="480" w:lineRule="auto"/>
        <w:rPr>
          <w:lang w:val="en-GB"/>
        </w:rPr>
      </w:pPr>
      <w:r w:rsidRPr="004E33C7">
        <w:rPr>
          <w:lang w:val="en-GB"/>
        </w:rPr>
        <w:t>Fever in under 5s: assessment and initial management. NICE guideline [NG143]</w:t>
      </w:r>
      <w:r w:rsidR="0083391A" w:rsidRPr="004E33C7">
        <w:rPr>
          <w:lang w:val="en-GB"/>
        </w:rPr>
        <w:t xml:space="preserve">. </w:t>
      </w:r>
      <w:r w:rsidRPr="004E33C7">
        <w:rPr>
          <w:lang w:val="en-GB"/>
        </w:rPr>
        <w:t xml:space="preserve">Published: 07 November 2019. Available at </w:t>
      </w:r>
      <w:hyperlink r:id="rId14" w:history="1">
        <w:r w:rsidRPr="004E33C7">
          <w:rPr>
            <w:rStyle w:val="Hyperlink"/>
            <w:lang w:val="en-GB"/>
          </w:rPr>
          <w:t>https://www.nice.org.uk/guidance/ng143</w:t>
        </w:r>
      </w:hyperlink>
    </w:p>
    <w:p w14:paraId="5B012738" w14:textId="6E43E753" w:rsidR="00222C3C" w:rsidRPr="004E33C7" w:rsidRDefault="00222C3C" w:rsidP="00526319">
      <w:pPr>
        <w:pStyle w:val="BodyText"/>
        <w:numPr>
          <w:ilvl w:val="0"/>
          <w:numId w:val="45"/>
        </w:numPr>
        <w:spacing w:line="480" w:lineRule="auto"/>
        <w:rPr>
          <w:rStyle w:val="Hyperlink"/>
          <w:color w:val="auto"/>
          <w:u w:val="none"/>
          <w:lang w:val="en-GB"/>
        </w:rPr>
      </w:pPr>
      <w:r w:rsidRPr="004E33C7">
        <w:rPr>
          <w:color w:val="000000" w:themeColor="text1"/>
          <w:shd w:val="clear" w:color="auto" w:fill="FFFFFF"/>
        </w:rPr>
        <w:t>Carolyne Horner, Robert Cunney, Alicia Demirjian, Conor Doherty, Helen Green, Mathew Mathai, Paddy McMaster, Alasdair Munro, Stéphane Paulus, Damian Roland, Sanjay Patel, Paediatric Common Infections Pathways: improving antimicrobial stewardship and promoting ambulation for children presenting with common infections to hospitals in the UK and Ireland, </w:t>
      </w:r>
      <w:r w:rsidRPr="004E33C7">
        <w:rPr>
          <w:rStyle w:val="Emphasis"/>
          <w:color w:val="000000" w:themeColor="text1"/>
          <w:bdr w:val="none" w:sz="0" w:space="0" w:color="auto" w:frame="1"/>
          <w:shd w:val="clear" w:color="auto" w:fill="FFFFFF"/>
        </w:rPr>
        <w:t>JAC-Antimicrobial Resistance</w:t>
      </w:r>
      <w:r w:rsidRPr="004E33C7">
        <w:rPr>
          <w:color w:val="000000" w:themeColor="text1"/>
          <w:shd w:val="clear" w:color="auto" w:fill="FFFFFF"/>
        </w:rPr>
        <w:t>, Volume 3, Issue 1, March 2021, dlab029,</w:t>
      </w:r>
      <w:r w:rsidRPr="004E33C7">
        <w:rPr>
          <w:color w:val="2A2A2A"/>
          <w:shd w:val="clear" w:color="auto" w:fill="FFFFFF"/>
        </w:rPr>
        <w:t> </w:t>
      </w:r>
      <w:hyperlink r:id="rId15" w:history="1">
        <w:r w:rsidRPr="004E33C7">
          <w:rPr>
            <w:rStyle w:val="Hyperlink"/>
            <w:color w:val="006FB7"/>
            <w:bdr w:val="none" w:sz="0" w:space="0" w:color="auto" w:frame="1"/>
            <w:shd w:val="clear" w:color="auto" w:fill="FFFFFF"/>
          </w:rPr>
          <w:t>https://doi.org/10.1093/jacamr/dlab029</w:t>
        </w:r>
      </w:hyperlink>
    </w:p>
    <w:p w14:paraId="5C1B600C" w14:textId="0B0BCBBF" w:rsidR="00C26679" w:rsidRPr="004E33C7" w:rsidRDefault="00C26679" w:rsidP="00C26679">
      <w:pPr>
        <w:pStyle w:val="BodyText"/>
        <w:numPr>
          <w:ilvl w:val="0"/>
          <w:numId w:val="45"/>
        </w:numPr>
        <w:spacing w:line="480" w:lineRule="auto"/>
        <w:rPr>
          <w:lang w:val="en-GB"/>
        </w:rPr>
      </w:pPr>
      <w:r w:rsidRPr="004E33C7">
        <w:rPr>
          <w:lang w:val="en-GB"/>
        </w:rPr>
        <w:t>Collins GS, Reitsma JB, Altman DG, Moons KG. Transparent reporting of a multivariable prediction model for individual prognosis or diagnosis (TRIPOD): the TRIPOD statement. BMJ. 2015 Jan 7;350:g7594. doi: 10.1136/bmj.g7594. PMID: 25569120.</w:t>
      </w:r>
    </w:p>
    <w:p w14:paraId="07FEF4C7" w14:textId="5AA0727C" w:rsidR="00222C3C" w:rsidRPr="004E33C7" w:rsidRDefault="00222C3C" w:rsidP="00222C3C">
      <w:pPr>
        <w:pStyle w:val="BodyText"/>
        <w:numPr>
          <w:ilvl w:val="0"/>
          <w:numId w:val="45"/>
        </w:numPr>
        <w:spacing w:line="480" w:lineRule="auto"/>
        <w:rPr>
          <w:rStyle w:val="Hyperlink"/>
          <w:color w:val="auto"/>
          <w:u w:val="none"/>
          <w:lang w:val="en-GB"/>
        </w:rPr>
      </w:pPr>
      <w:r w:rsidRPr="004E33C7">
        <w:rPr>
          <w:lang w:val="en-GB"/>
        </w:rPr>
        <w:t xml:space="preserve">Harris PA, Taylor R, Thielke R, Payne J, Gonzalez N, Conde JG. Research electronic data capture (REDCap)—A metadata-driven methodology and workflow process for providing translational research informatics support. J Biomed Inform [Internet]. 2009 Apr [cited 2019 Oct 17];42(2):377–81. Available from: </w:t>
      </w:r>
      <w:hyperlink r:id="rId16" w:history="1">
        <w:r w:rsidRPr="004E33C7">
          <w:rPr>
            <w:rStyle w:val="Hyperlink"/>
            <w:lang w:val="en-GB"/>
          </w:rPr>
          <w:t>http://www.ncbi.nlm.nih.gov/pubmed/18929686</w:t>
        </w:r>
      </w:hyperlink>
    </w:p>
    <w:p w14:paraId="5854D6DD" w14:textId="4E8D56A1" w:rsidR="003755C6" w:rsidRPr="004E33C7" w:rsidRDefault="003755C6" w:rsidP="00222C3C">
      <w:pPr>
        <w:pStyle w:val="BodyText"/>
        <w:numPr>
          <w:ilvl w:val="0"/>
          <w:numId w:val="45"/>
        </w:numPr>
        <w:spacing w:line="480" w:lineRule="auto"/>
        <w:rPr>
          <w:lang w:val="en-GB"/>
        </w:rPr>
      </w:pPr>
      <w:r w:rsidRPr="004E33C7">
        <w:t>Samuels M, Wieteska S. Advanced Paediatric Life Support: A Practical Approach to Emergencies, Sixth Edition. John Wiley &amp; Sons, Ltd. 2016 Feb.</w:t>
      </w:r>
    </w:p>
    <w:p w14:paraId="60A8D1A2" w14:textId="1E53796F" w:rsidR="00BE3BDD" w:rsidRPr="004E33C7" w:rsidRDefault="00BE3BDD" w:rsidP="00BE3BDD">
      <w:pPr>
        <w:pStyle w:val="BodyText"/>
        <w:numPr>
          <w:ilvl w:val="0"/>
          <w:numId w:val="45"/>
        </w:numPr>
        <w:spacing w:line="480" w:lineRule="auto"/>
        <w:rPr>
          <w:lang w:val="en-GB"/>
        </w:rPr>
      </w:pPr>
      <w:r w:rsidRPr="004E33C7">
        <w:t>The Health Research Authority. Is my study research? Available at</w:t>
      </w:r>
      <w:r w:rsidRPr="004E33C7">
        <w:rPr>
          <w:lang w:val="en-GB"/>
        </w:rPr>
        <w:t xml:space="preserve"> </w:t>
      </w:r>
      <w:hyperlink r:id="rId17" w:history="1">
        <w:r w:rsidRPr="004E33C7">
          <w:rPr>
            <w:rStyle w:val="Hyperlink"/>
            <w:lang w:val="en-GB"/>
          </w:rPr>
          <w:t>http://www.hra-decisiontools.org.uk/research/</w:t>
        </w:r>
      </w:hyperlink>
      <w:r w:rsidRPr="004E33C7">
        <w:rPr>
          <w:lang w:val="en-GB"/>
        </w:rPr>
        <w:t xml:space="preserve"> last accessed 31/05/2021.</w:t>
      </w:r>
    </w:p>
    <w:p w14:paraId="7476B2C6" w14:textId="77777777" w:rsidR="00F05F51" w:rsidRDefault="00F05F51" w:rsidP="002F2D95">
      <w:pPr>
        <w:pStyle w:val="BodyText"/>
        <w:numPr>
          <w:ilvl w:val="0"/>
          <w:numId w:val="45"/>
        </w:numPr>
        <w:spacing w:line="480" w:lineRule="auto"/>
        <w:rPr>
          <w:lang w:val="en-GB"/>
        </w:rPr>
      </w:pPr>
      <w:r w:rsidRPr="00F05F51">
        <w:rPr>
          <w:lang w:val="en-GB"/>
        </w:rPr>
        <w:t xml:space="preserve">Toivonen L, Schuez-Havupalo L, Karppinen S, Waris M, Hoffman KL, Camargo CA, Hasegawa K, Peltola V. Antibiotic Treatments During Infancy, Changes in Nasal Microbiota, and Asthma Development: Population-based Cohort Study. Clin Infect </w:t>
      </w:r>
      <w:r w:rsidRPr="00F05F51">
        <w:rPr>
          <w:lang w:val="en-GB"/>
        </w:rPr>
        <w:lastRenderedPageBreak/>
        <w:t>Dis. 2021 May 4;72(9):1546-1554. doi: 10.1093/cid/ciaa262. PMID: 32170305; PMCID: PMC8096219.</w:t>
      </w:r>
    </w:p>
    <w:p w14:paraId="4B8CA5E2" w14:textId="02261855" w:rsidR="002F2D95" w:rsidRPr="004E33C7" w:rsidRDefault="002F2D95" w:rsidP="002F2D95">
      <w:pPr>
        <w:pStyle w:val="BodyText"/>
        <w:numPr>
          <w:ilvl w:val="0"/>
          <w:numId w:val="45"/>
        </w:numPr>
        <w:spacing w:line="480" w:lineRule="auto"/>
        <w:rPr>
          <w:lang w:val="en-GB"/>
        </w:rPr>
      </w:pPr>
      <w:r w:rsidRPr="004E33C7">
        <w:rPr>
          <w:lang w:val="en-GB"/>
        </w:rPr>
        <w:t xml:space="preserve"> Wypych TP, Wickramasinghe LC, Marsland BJ. The influence of the microbiome on respiratory health. Nat Immunol 2019; 20:1279–90. </w:t>
      </w:r>
    </w:p>
    <w:p w14:paraId="6DEEADB1" w14:textId="77777777" w:rsidR="00F05F51" w:rsidRDefault="00F05F51" w:rsidP="002F2D95">
      <w:pPr>
        <w:pStyle w:val="BodyText"/>
        <w:numPr>
          <w:ilvl w:val="0"/>
          <w:numId w:val="45"/>
        </w:numPr>
        <w:spacing w:line="480" w:lineRule="auto"/>
        <w:rPr>
          <w:lang w:val="en-GB"/>
        </w:rPr>
      </w:pPr>
      <w:r w:rsidRPr="00F05F51">
        <w:rPr>
          <w:lang w:val="en-GB"/>
        </w:rPr>
        <w:t>Fujimura KE, Sitarik AR, Havstad S, Lin DL, Levan S, Fadrosh D, Panzer AR, LaMere B, Rackaityte E, Lukacs NW, Wegienka G, Boushey HA, Ownby DR, Zoratti EM, Levin AM, Johnson CC, Lynch SV. Neonatal gut microbiota associates with childhood multisensitized atopy and T cell differentiation. Nat Med. 2016 Oct;22(10):1187-1191. doi: 10.1038/nm.4176. Epub 2016 Sep 12. PMID: 27618652; PMCID: PMC5053876.</w:t>
      </w:r>
    </w:p>
    <w:p w14:paraId="5F013E3F" w14:textId="77777777" w:rsidR="00F05F51" w:rsidRDefault="00F05F51" w:rsidP="002F2D95">
      <w:pPr>
        <w:pStyle w:val="BodyText"/>
        <w:numPr>
          <w:ilvl w:val="0"/>
          <w:numId w:val="45"/>
        </w:numPr>
        <w:spacing w:line="480" w:lineRule="auto"/>
        <w:rPr>
          <w:lang w:val="en-GB"/>
        </w:rPr>
      </w:pPr>
      <w:r w:rsidRPr="00F05F51">
        <w:rPr>
          <w:lang w:val="en-GB"/>
        </w:rPr>
        <w:t>Arrieta MC, Stiemsma LT, Dimitriu PA, Thorson L, Russell S, Yurist-Doutsch S, Kuzeljevic B, Gold MJ, Britton HM, Lefebvre DL, Subbarao P, Mandhane P, Becker A, McNagny KM, Sears MR, Kollmann T; CHILD Study Investigators, Mohn WW, Turvey SE, Finlay BB. Early infancy microbial and metabolic alterations affect risk of childhood asthma. Sci Transl Med. 2015 Sep 30;7(307):307ra152. doi: 10.1126/scitranslmed.aab2271. PMID: 26424567.</w:t>
      </w:r>
    </w:p>
    <w:p w14:paraId="3E58A6F7" w14:textId="77777777" w:rsidR="00F05F51" w:rsidRPr="004E33C7" w:rsidRDefault="00F05F51" w:rsidP="007208FF">
      <w:pPr>
        <w:pStyle w:val="BodyText"/>
        <w:numPr>
          <w:ilvl w:val="0"/>
          <w:numId w:val="45"/>
        </w:numPr>
        <w:spacing w:line="480" w:lineRule="auto"/>
        <w:rPr>
          <w:lang w:val="en-GB"/>
        </w:rPr>
      </w:pPr>
      <w:r>
        <w:rPr>
          <w:rFonts w:ascii="Segoe UI" w:hAnsi="Segoe UI" w:cs="Segoe UI"/>
          <w:color w:val="212121"/>
          <w:shd w:val="clear" w:color="auto" w:fill="FFFFFF"/>
        </w:rPr>
        <w:t>Toivonen L, Hasegawa K, Waris M, Ajami NJ, Petrosino JF, Camargo CA Jr, Peltola V. Early nasal microbiota and acute respiratory infections during the first years of life. Thorax. 2019 Jun;74(6):592-599. doi: 10.1136/thoraxjnl-2018-212629. Epub 2019 May 10. PMID: 31076501.</w:t>
      </w:r>
    </w:p>
    <w:p w14:paraId="6D7A970D" w14:textId="6D479700" w:rsidR="00F05F51" w:rsidRPr="004E33C7" w:rsidRDefault="007208FF" w:rsidP="007208FF">
      <w:pPr>
        <w:pStyle w:val="BodyText"/>
        <w:numPr>
          <w:ilvl w:val="0"/>
          <w:numId w:val="45"/>
        </w:numPr>
        <w:spacing w:line="480" w:lineRule="auto"/>
        <w:rPr>
          <w:rStyle w:val="Hyperlink"/>
          <w:color w:val="auto"/>
          <w:u w:val="none"/>
          <w:lang w:val="en-GB"/>
        </w:rPr>
      </w:pPr>
      <w:r w:rsidRPr="004E33C7">
        <w:rPr>
          <w:lang w:val="en-GB"/>
        </w:rPr>
        <w:t xml:space="preserve">Procalcitonin testing for diagnosing and monitoring sepsis. Published: 13 July 2016 Last updated: 13 September 2017. Available at </w:t>
      </w:r>
      <w:hyperlink r:id="rId18" w:history="1">
        <w:r w:rsidRPr="004E33C7">
          <w:rPr>
            <w:rStyle w:val="Hyperlink"/>
            <w:lang w:val="en-GB"/>
          </w:rPr>
          <w:t>https://www.nice.org.uk/guidance/dg18</w:t>
        </w:r>
      </w:hyperlink>
    </w:p>
    <w:p w14:paraId="1A5A4D05" w14:textId="00E56A91" w:rsidR="007208FF" w:rsidRPr="004E33C7" w:rsidRDefault="00F05F51" w:rsidP="004E33C7">
      <w:pPr>
        <w:pStyle w:val="BodyText"/>
        <w:numPr>
          <w:ilvl w:val="0"/>
          <w:numId w:val="45"/>
        </w:numPr>
        <w:spacing w:line="480" w:lineRule="auto"/>
        <w:rPr>
          <w:lang w:val="en-GB"/>
        </w:rPr>
      </w:pPr>
      <w:r w:rsidRPr="00F05F51">
        <w:rPr>
          <w:lang w:val="en-GB"/>
        </w:rPr>
        <w:t>Foster LZ, Beiner J, Duh-Leong C, Mascho K, Giordani V, Rinke ML, Trasande L, Wiener E, Rosenberg RE. Implementation of Febrile Infant Management Guidelines Reduces Hospitalization. Pediatr Qual Saf. 2020 Jan 22;5(1):e252. doi: 10.1097/pq9.0000000000000252. PMID: 32190797; PMCID: PMC7056289.</w:t>
      </w:r>
    </w:p>
    <w:p w14:paraId="7FD31B64" w14:textId="6D908095" w:rsidR="003A0C19" w:rsidRPr="004E33C7" w:rsidRDefault="003A0C19" w:rsidP="00877612">
      <w:pPr>
        <w:pStyle w:val="BodyText"/>
        <w:spacing w:line="480" w:lineRule="auto"/>
        <w:rPr>
          <w:lang w:val="en-GB"/>
        </w:rPr>
      </w:pPr>
    </w:p>
    <w:p w14:paraId="204A2AF4" w14:textId="2527D172" w:rsidR="003A0C19" w:rsidRDefault="003A0C19" w:rsidP="00877612">
      <w:pPr>
        <w:pStyle w:val="BodyText"/>
        <w:spacing w:line="480" w:lineRule="auto"/>
        <w:rPr>
          <w:lang w:val="en-GB"/>
        </w:rPr>
      </w:pPr>
    </w:p>
    <w:p w14:paraId="6D17FD4E" w14:textId="77777777" w:rsidR="0041380B" w:rsidRPr="00654C02" w:rsidRDefault="0041380B" w:rsidP="00877612">
      <w:pPr>
        <w:pStyle w:val="BodyText"/>
        <w:spacing w:line="480" w:lineRule="auto"/>
        <w:rPr>
          <w:lang w:val="en-GB"/>
        </w:rPr>
      </w:pPr>
    </w:p>
    <w:p w14:paraId="7AD264D4" w14:textId="297A7F09" w:rsidR="003A0C19" w:rsidRPr="00654C02" w:rsidRDefault="003A0C19" w:rsidP="00877612">
      <w:pPr>
        <w:pStyle w:val="BodyText"/>
        <w:spacing w:line="480" w:lineRule="auto"/>
        <w:rPr>
          <w:i/>
          <w:lang w:val="en-GB"/>
        </w:rPr>
      </w:pPr>
      <w:r w:rsidRPr="00654C02">
        <w:rPr>
          <w:i/>
          <w:lang w:val="en-GB"/>
        </w:rPr>
        <w:t>Figure 1: Flow diagram of participants included in the study</w:t>
      </w:r>
    </w:p>
    <w:p w14:paraId="36BB6AED" w14:textId="55F286D4" w:rsidR="003A0C19" w:rsidRPr="00654C02" w:rsidRDefault="003A0C19" w:rsidP="00877612">
      <w:pPr>
        <w:pStyle w:val="BodyText"/>
        <w:spacing w:line="480" w:lineRule="auto"/>
        <w:rPr>
          <w:i/>
          <w:lang w:val="en-GB"/>
        </w:rPr>
      </w:pPr>
    </w:p>
    <w:p w14:paraId="13246C74" w14:textId="79E4F96E" w:rsidR="003A0C19" w:rsidRPr="00654C02" w:rsidRDefault="003A0C19" w:rsidP="00877612">
      <w:pPr>
        <w:pStyle w:val="BodyText"/>
        <w:spacing w:line="480" w:lineRule="auto"/>
        <w:rPr>
          <w:i/>
          <w:lang w:val="en-GB"/>
        </w:rPr>
      </w:pPr>
    </w:p>
    <w:p w14:paraId="6BDB2830" w14:textId="5639B53D" w:rsidR="003A0C19" w:rsidRPr="00654C02" w:rsidRDefault="003A0C19" w:rsidP="00877612">
      <w:pPr>
        <w:pStyle w:val="BodyText"/>
        <w:spacing w:line="480" w:lineRule="auto"/>
        <w:rPr>
          <w:i/>
          <w:lang w:val="en-GB"/>
        </w:rPr>
      </w:pPr>
    </w:p>
    <w:p w14:paraId="7F034BD7" w14:textId="444E01CC" w:rsidR="003A0C19" w:rsidRPr="00654C02" w:rsidRDefault="003A0C19" w:rsidP="00877612">
      <w:pPr>
        <w:pStyle w:val="BodyText"/>
        <w:spacing w:line="480" w:lineRule="auto"/>
        <w:rPr>
          <w:i/>
          <w:lang w:val="en-GB"/>
        </w:rPr>
      </w:pPr>
    </w:p>
    <w:p w14:paraId="40DC85C1" w14:textId="77777777" w:rsidR="003A0C19" w:rsidRPr="00654C02" w:rsidRDefault="003A0C19" w:rsidP="003A0C19">
      <w:pPr>
        <w:rPr>
          <w:lang w:eastAsia="en-US"/>
        </w:rPr>
      </w:pPr>
    </w:p>
    <w:p w14:paraId="1FBE252C" w14:textId="77777777" w:rsidR="003A0C19" w:rsidRPr="00654C02" w:rsidRDefault="003A0C19" w:rsidP="003A0C19">
      <w:pPr>
        <w:rPr>
          <w:lang w:eastAsia="en-US"/>
        </w:rPr>
      </w:pPr>
    </w:p>
    <w:p w14:paraId="3A570494" w14:textId="77777777" w:rsidR="003A0C19" w:rsidRPr="00654C02" w:rsidRDefault="003A0C19" w:rsidP="003A0C19">
      <w:pPr>
        <w:rPr>
          <w:lang w:eastAsia="en-US"/>
        </w:rPr>
      </w:pPr>
    </w:p>
    <w:p w14:paraId="30FFE890" w14:textId="77777777" w:rsidR="003A0C19" w:rsidRPr="00654C02" w:rsidRDefault="003A0C19" w:rsidP="003A0C19">
      <w:pPr>
        <w:rPr>
          <w:lang w:eastAsia="en-US"/>
        </w:rPr>
      </w:pPr>
    </w:p>
    <w:p w14:paraId="0DE7D857" w14:textId="77777777" w:rsidR="003A0C19" w:rsidRPr="00654C02" w:rsidRDefault="003A0C19" w:rsidP="003A0C19">
      <w:pPr>
        <w:rPr>
          <w:lang w:eastAsia="en-US"/>
        </w:rPr>
      </w:pPr>
    </w:p>
    <w:p w14:paraId="0487C654" w14:textId="77777777" w:rsidR="003A0C19" w:rsidRPr="00654C02" w:rsidRDefault="003A0C19" w:rsidP="003A0C19">
      <w:pPr>
        <w:rPr>
          <w:lang w:eastAsia="en-US"/>
        </w:rPr>
      </w:pPr>
    </w:p>
    <w:p w14:paraId="3A543932" w14:textId="77777777" w:rsidR="003A0C19" w:rsidRPr="00654C02" w:rsidRDefault="003A0C19" w:rsidP="003A0C19">
      <w:pPr>
        <w:rPr>
          <w:lang w:eastAsia="en-US"/>
        </w:rPr>
      </w:pPr>
    </w:p>
    <w:p w14:paraId="76FBD970" w14:textId="77777777" w:rsidR="003A0C19" w:rsidRPr="00654C02" w:rsidRDefault="003A0C19" w:rsidP="003A0C19">
      <w:pPr>
        <w:rPr>
          <w:lang w:eastAsia="en-US"/>
        </w:rPr>
      </w:pPr>
    </w:p>
    <w:p w14:paraId="2277E771" w14:textId="77777777" w:rsidR="003A0C19" w:rsidRPr="00654C02" w:rsidRDefault="003A0C19" w:rsidP="003A0C19">
      <w:pPr>
        <w:rPr>
          <w:lang w:eastAsia="en-US"/>
        </w:rPr>
      </w:pPr>
    </w:p>
    <w:p w14:paraId="4D12BE03" w14:textId="77777777" w:rsidR="003A0C19" w:rsidRPr="00654C02" w:rsidRDefault="003A0C19" w:rsidP="003A0C19">
      <w:pPr>
        <w:rPr>
          <w:lang w:eastAsia="en-US"/>
        </w:rPr>
      </w:pPr>
    </w:p>
    <w:p w14:paraId="045B855C" w14:textId="77777777" w:rsidR="003A0C19" w:rsidRPr="00654C02" w:rsidRDefault="003A0C19" w:rsidP="003A0C19">
      <w:pPr>
        <w:rPr>
          <w:lang w:eastAsia="en-US"/>
        </w:rPr>
      </w:pPr>
    </w:p>
    <w:p w14:paraId="1C3CAB78" w14:textId="77777777" w:rsidR="003A0C19" w:rsidRPr="00654C02" w:rsidRDefault="003A0C19" w:rsidP="003A0C19">
      <w:pPr>
        <w:rPr>
          <w:lang w:eastAsia="en-US"/>
        </w:rPr>
      </w:pPr>
    </w:p>
    <w:p w14:paraId="0E8914C8" w14:textId="77777777" w:rsidR="003A0C19" w:rsidRPr="00654C02" w:rsidRDefault="003A0C19" w:rsidP="003A0C19">
      <w:pPr>
        <w:rPr>
          <w:lang w:eastAsia="en-US"/>
        </w:rPr>
      </w:pPr>
    </w:p>
    <w:p w14:paraId="5B3C7A77" w14:textId="77777777" w:rsidR="003A0C19" w:rsidRPr="00654C02" w:rsidRDefault="003A0C19" w:rsidP="003A0C19">
      <w:pPr>
        <w:rPr>
          <w:lang w:eastAsia="en-US"/>
        </w:rPr>
      </w:pPr>
    </w:p>
    <w:p w14:paraId="5D2B2183" w14:textId="04531666" w:rsidR="00222C3C" w:rsidRDefault="00222C3C" w:rsidP="003A0C19">
      <w:pPr>
        <w:rPr>
          <w:lang w:eastAsia="en-US"/>
        </w:rPr>
      </w:pPr>
    </w:p>
    <w:p w14:paraId="028EFE0E" w14:textId="42B51F00" w:rsidR="00030C95" w:rsidRDefault="00030C95" w:rsidP="003A0C19">
      <w:pPr>
        <w:rPr>
          <w:lang w:eastAsia="en-US"/>
        </w:rPr>
      </w:pPr>
    </w:p>
    <w:p w14:paraId="39731A85" w14:textId="77777777" w:rsidR="00030C95" w:rsidRPr="00654C02" w:rsidRDefault="00030C95" w:rsidP="003A0C19">
      <w:pPr>
        <w:rPr>
          <w:lang w:eastAsia="en-US"/>
        </w:rPr>
      </w:pPr>
    </w:p>
    <w:p w14:paraId="7AD2A946" w14:textId="77777777" w:rsidR="003A0C19" w:rsidRPr="00654C02" w:rsidRDefault="003A0C19" w:rsidP="003A0C19">
      <w:pPr>
        <w:rPr>
          <w:lang w:eastAsia="en-US"/>
        </w:rPr>
      </w:pPr>
    </w:p>
    <w:p w14:paraId="55912B3C" w14:textId="7EB4E447" w:rsidR="003A0C19" w:rsidRPr="00654C02" w:rsidRDefault="003A0C19" w:rsidP="003A0C19">
      <w:pPr>
        <w:rPr>
          <w:lang w:eastAsia="en-US"/>
        </w:rPr>
      </w:pPr>
    </w:p>
    <w:p w14:paraId="7CA66FC0" w14:textId="5AB1974C" w:rsidR="003A0C19" w:rsidRPr="00654C02" w:rsidRDefault="003A0C19" w:rsidP="003A0C19">
      <w:pPr>
        <w:rPr>
          <w:lang w:eastAsia="en-US"/>
        </w:rPr>
      </w:pPr>
    </w:p>
    <w:p w14:paraId="19A111B1" w14:textId="77777777" w:rsidR="00F37945" w:rsidRPr="00654C02" w:rsidRDefault="00F37945" w:rsidP="003A0C19">
      <w:pPr>
        <w:tabs>
          <w:tab w:val="left" w:pos="1329"/>
        </w:tabs>
        <w:rPr>
          <w:lang w:eastAsia="en-US"/>
        </w:rPr>
      </w:pPr>
    </w:p>
    <w:p w14:paraId="05FA2E67" w14:textId="77777777" w:rsidR="00F37945" w:rsidRPr="00654C02" w:rsidRDefault="00F37945" w:rsidP="003A0C19">
      <w:pPr>
        <w:tabs>
          <w:tab w:val="left" w:pos="1329"/>
        </w:tabs>
        <w:rPr>
          <w:lang w:eastAsia="en-US"/>
        </w:rPr>
      </w:pPr>
    </w:p>
    <w:p w14:paraId="5B69DD3F" w14:textId="77777777" w:rsidR="00F37945" w:rsidRPr="00654C02" w:rsidRDefault="00F37945" w:rsidP="003A0C19">
      <w:pPr>
        <w:tabs>
          <w:tab w:val="left" w:pos="1329"/>
        </w:tabs>
        <w:rPr>
          <w:lang w:eastAsia="en-US"/>
        </w:rPr>
      </w:pPr>
    </w:p>
    <w:p w14:paraId="14C11E82" w14:textId="77777777" w:rsidR="00F37945" w:rsidRPr="00654C02" w:rsidRDefault="00F37945" w:rsidP="003A0C19">
      <w:pPr>
        <w:tabs>
          <w:tab w:val="left" w:pos="1329"/>
        </w:tabs>
        <w:rPr>
          <w:lang w:eastAsia="en-US"/>
        </w:rPr>
      </w:pPr>
    </w:p>
    <w:p w14:paraId="00F6C696" w14:textId="4014B2A7" w:rsidR="00F37945" w:rsidRDefault="00F37945" w:rsidP="003A0C19">
      <w:pPr>
        <w:tabs>
          <w:tab w:val="left" w:pos="1329"/>
        </w:tabs>
        <w:rPr>
          <w:lang w:eastAsia="en-US"/>
        </w:rPr>
      </w:pPr>
    </w:p>
    <w:p w14:paraId="75168290" w14:textId="7DC6539F" w:rsidR="00433285" w:rsidRDefault="00433285" w:rsidP="003A0C19">
      <w:pPr>
        <w:tabs>
          <w:tab w:val="left" w:pos="1329"/>
        </w:tabs>
        <w:rPr>
          <w:lang w:eastAsia="en-US"/>
        </w:rPr>
      </w:pPr>
    </w:p>
    <w:p w14:paraId="3C82F5B8" w14:textId="7A23B842" w:rsidR="00433285" w:rsidRDefault="00433285" w:rsidP="003A0C19">
      <w:pPr>
        <w:tabs>
          <w:tab w:val="left" w:pos="1329"/>
        </w:tabs>
        <w:rPr>
          <w:lang w:eastAsia="en-US"/>
        </w:rPr>
      </w:pPr>
    </w:p>
    <w:p w14:paraId="4760B3A3" w14:textId="43E998F0" w:rsidR="00433285" w:rsidRDefault="00433285" w:rsidP="003A0C19">
      <w:pPr>
        <w:tabs>
          <w:tab w:val="left" w:pos="1329"/>
        </w:tabs>
        <w:rPr>
          <w:lang w:eastAsia="en-US"/>
        </w:rPr>
      </w:pPr>
    </w:p>
    <w:p w14:paraId="739CFF22" w14:textId="5B4CDCD3" w:rsidR="00433285" w:rsidRDefault="00433285" w:rsidP="003A0C19">
      <w:pPr>
        <w:tabs>
          <w:tab w:val="left" w:pos="1329"/>
        </w:tabs>
        <w:rPr>
          <w:lang w:eastAsia="en-US"/>
        </w:rPr>
      </w:pPr>
    </w:p>
    <w:p w14:paraId="2EC05FD9" w14:textId="77777777" w:rsidR="00433285" w:rsidRPr="00654C02" w:rsidRDefault="00433285" w:rsidP="003A0C19">
      <w:pPr>
        <w:tabs>
          <w:tab w:val="left" w:pos="1329"/>
        </w:tabs>
        <w:rPr>
          <w:lang w:eastAsia="en-US"/>
        </w:rPr>
      </w:pPr>
    </w:p>
    <w:p w14:paraId="5DB05295" w14:textId="77777777" w:rsidR="00F37945" w:rsidRPr="00654C02" w:rsidRDefault="00F37945" w:rsidP="003A0C19">
      <w:pPr>
        <w:tabs>
          <w:tab w:val="left" w:pos="1329"/>
        </w:tabs>
        <w:rPr>
          <w:lang w:eastAsia="en-US"/>
        </w:rPr>
      </w:pPr>
    </w:p>
    <w:p w14:paraId="1AC8597A" w14:textId="77777777" w:rsidR="00F37945" w:rsidRPr="00654C02" w:rsidRDefault="00F37945" w:rsidP="003A0C19">
      <w:pPr>
        <w:tabs>
          <w:tab w:val="left" w:pos="1329"/>
        </w:tabs>
        <w:rPr>
          <w:lang w:eastAsia="en-US"/>
        </w:rPr>
      </w:pPr>
    </w:p>
    <w:p w14:paraId="660ABB48" w14:textId="77777777" w:rsidR="00F37945" w:rsidRPr="00654C02" w:rsidRDefault="00F37945" w:rsidP="003A0C19">
      <w:pPr>
        <w:tabs>
          <w:tab w:val="left" w:pos="1329"/>
        </w:tabs>
        <w:rPr>
          <w:lang w:eastAsia="en-US"/>
        </w:rPr>
      </w:pPr>
    </w:p>
    <w:p w14:paraId="05B903D4" w14:textId="77777777" w:rsidR="00F37945" w:rsidRPr="00654C02" w:rsidRDefault="00F37945" w:rsidP="003A0C19">
      <w:pPr>
        <w:tabs>
          <w:tab w:val="left" w:pos="1329"/>
        </w:tabs>
        <w:rPr>
          <w:lang w:eastAsia="en-US"/>
        </w:rPr>
      </w:pPr>
    </w:p>
    <w:p w14:paraId="499FE8F9" w14:textId="03BD727E" w:rsidR="00616488" w:rsidRPr="00654C02" w:rsidRDefault="00616488" w:rsidP="003A0C19">
      <w:pPr>
        <w:tabs>
          <w:tab w:val="left" w:pos="1329"/>
        </w:tabs>
        <w:rPr>
          <w:lang w:eastAsia="en-US"/>
        </w:rPr>
      </w:pPr>
    </w:p>
    <w:p w14:paraId="11A9654F" w14:textId="77777777" w:rsidR="00F37945" w:rsidRPr="00654C02" w:rsidRDefault="00F37945" w:rsidP="003A0C19">
      <w:pPr>
        <w:tabs>
          <w:tab w:val="left" w:pos="1329"/>
        </w:tabs>
        <w:rPr>
          <w:i/>
          <w:sz w:val="22"/>
          <w:szCs w:val="22"/>
          <w:lang w:eastAsia="en-US"/>
        </w:rPr>
      </w:pPr>
    </w:p>
    <w:p w14:paraId="2AA04810" w14:textId="6576675B" w:rsidR="00F37945" w:rsidRPr="00E47820" w:rsidRDefault="00F37945" w:rsidP="00F37945">
      <w:pPr>
        <w:widowControl w:val="0"/>
        <w:autoSpaceDE w:val="0"/>
        <w:autoSpaceDN w:val="0"/>
        <w:adjustRightInd w:val="0"/>
        <w:rPr>
          <w:rFonts w:ascii="Arial" w:hAnsi="Arial" w:cs="Arial"/>
          <w:i/>
          <w:color w:val="333333"/>
          <w:sz w:val="22"/>
          <w:szCs w:val="22"/>
          <w:shd w:val="clear" w:color="auto" w:fill="FFFFFF"/>
        </w:rPr>
      </w:pPr>
      <w:r w:rsidRPr="00E47820">
        <w:rPr>
          <w:rFonts w:ascii="Arial" w:hAnsi="Arial" w:cs="Arial"/>
          <w:i/>
          <w:color w:val="333333"/>
          <w:sz w:val="22"/>
          <w:szCs w:val="22"/>
          <w:shd w:val="clear" w:color="auto" w:fill="FFFFFF"/>
        </w:rPr>
        <w:lastRenderedPageBreak/>
        <w:t xml:space="preserve">Table 1: Recruitment by site </w:t>
      </w:r>
    </w:p>
    <w:p w14:paraId="3BF834FD" w14:textId="77777777" w:rsidR="00F37945" w:rsidRPr="00E47820" w:rsidRDefault="00F37945" w:rsidP="00F37945">
      <w:pPr>
        <w:widowControl w:val="0"/>
        <w:autoSpaceDE w:val="0"/>
        <w:autoSpaceDN w:val="0"/>
        <w:adjustRightInd w:val="0"/>
        <w:rPr>
          <w:rFonts w:ascii="Arial" w:hAnsi="Arial" w:cs="Arial"/>
          <w:i/>
          <w:color w:val="333333"/>
          <w:sz w:val="22"/>
          <w:szCs w:val="22"/>
          <w:shd w:val="clear" w:color="auto" w:fill="FFFFFF"/>
        </w:rPr>
      </w:pPr>
    </w:p>
    <w:tbl>
      <w:tblPr>
        <w:tblStyle w:val="PlainTable3"/>
        <w:tblW w:w="9639" w:type="dxa"/>
        <w:tblLook w:val="04A0" w:firstRow="1" w:lastRow="0" w:firstColumn="1" w:lastColumn="0" w:noHBand="0" w:noVBand="1"/>
      </w:tblPr>
      <w:tblGrid>
        <w:gridCol w:w="2171"/>
        <w:gridCol w:w="1672"/>
        <w:gridCol w:w="1409"/>
        <w:gridCol w:w="1699"/>
        <w:gridCol w:w="1720"/>
        <w:gridCol w:w="968"/>
      </w:tblGrid>
      <w:tr w:rsidR="00F37945" w:rsidRPr="00E47820" w14:paraId="73A683C2" w14:textId="77777777" w:rsidTr="00421AF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171" w:type="dxa"/>
          </w:tcPr>
          <w:p w14:paraId="61F968C6" w14:textId="77777777" w:rsidR="00F37945" w:rsidRPr="00E47820" w:rsidRDefault="00F37945" w:rsidP="00B0114A">
            <w:pPr>
              <w:widowControl w:val="0"/>
              <w:autoSpaceDE w:val="0"/>
              <w:autoSpaceDN w:val="0"/>
              <w:adjustRightInd w:val="0"/>
              <w:rPr>
                <w:rFonts w:ascii="Arial" w:hAnsi="Arial" w:cs="Arial"/>
                <w:b w:val="0"/>
                <w:color w:val="333333"/>
                <w:sz w:val="20"/>
                <w:szCs w:val="20"/>
                <w:shd w:val="clear" w:color="auto" w:fill="FFFFFF"/>
              </w:rPr>
            </w:pPr>
            <w:r w:rsidRPr="00E47820">
              <w:rPr>
                <w:rFonts w:ascii="Arial" w:hAnsi="Arial" w:cs="Arial"/>
                <w:b w:val="0"/>
                <w:color w:val="333333"/>
                <w:sz w:val="20"/>
                <w:szCs w:val="20"/>
                <w:shd w:val="clear" w:color="auto" w:fill="FFFFFF"/>
              </w:rPr>
              <w:t>Site</w:t>
            </w:r>
          </w:p>
        </w:tc>
        <w:tc>
          <w:tcPr>
            <w:tcW w:w="1672" w:type="dxa"/>
          </w:tcPr>
          <w:p w14:paraId="38356167" w14:textId="77777777" w:rsidR="00F37945" w:rsidRPr="004339DB" w:rsidRDefault="00F37945" w:rsidP="00B0114A">
            <w:pPr>
              <w:widowControl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Arial" w:hAnsi="Arial" w:cs="Arial"/>
                <w:b w:val="0"/>
                <w:color w:val="333333"/>
                <w:sz w:val="20"/>
                <w:szCs w:val="20"/>
                <w:shd w:val="clear" w:color="auto" w:fill="FFFFFF"/>
              </w:rPr>
            </w:pPr>
            <w:r w:rsidRPr="004339DB">
              <w:rPr>
                <w:rFonts w:ascii="Arial" w:hAnsi="Arial" w:cs="Arial"/>
                <w:b w:val="0"/>
                <w:color w:val="333333"/>
                <w:sz w:val="20"/>
                <w:szCs w:val="20"/>
                <w:shd w:val="clear" w:color="auto" w:fill="FFFFFF"/>
              </w:rPr>
              <w:t>Participants</w:t>
            </w:r>
          </w:p>
        </w:tc>
        <w:tc>
          <w:tcPr>
            <w:tcW w:w="1409" w:type="dxa"/>
          </w:tcPr>
          <w:p w14:paraId="72E66E5A" w14:textId="77777777" w:rsidR="00F37945" w:rsidRPr="00E47820" w:rsidRDefault="00F37945" w:rsidP="00B0114A">
            <w:pPr>
              <w:widowControl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Arial" w:hAnsi="Arial" w:cs="Arial"/>
                <w:b w:val="0"/>
                <w:color w:val="333333"/>
                <w:sz w:val="20"/>
                <w:szCs w:val="20"/>
                <w:shd w:val="clear" w:color="auto" w:fill="FFFFFF"/>
              </w:rPr>
            </w:pPr>
            <w:r w:rsidRPr="004339DB">
              <w:rPr>
                <w:rFonts w:ascii="Arial" w:hAnsi="Arial" w:cs="Arial"/>
                <w:b w:val="0"/>
                <w:color w:val="333333"/>
                <w:sz w:val="20"/>
                <w:szCs w:val="20"/>
                <w:shd w:val="clear" w:color="auto" w:fill="FFFFFF"/>
              </w:rPr>
              <w:t>Bacterial Meningitis</w:t>
            </w:r>
          </w:p>
        </w:tc>
        <w:tc>
          <w:tcPr>
            <w:tcW w:w="1699" w:type="dxa"/>
          </w:tcPr>
          <w:p w14:paraId="0D246CE8" w14:textId="77777777" w:rsidR="00F37945" w:rsidRPr="00E47820" w:rsidRDefault="00F37945" w:rsidP="00B0114A">
            <w:pPr>
              <w:widowControl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Arial" w:hAnsi="Arial" w:cs="Arial"/>
                <w:b w:val="0"/>
                <w:color w:val="333333"/>
                <w:sz w:val="20"/>
                <w:szCs w:val="20"/>
                <w:shd w:val="clear" w:color="auto" w:fill="FFFFFF"/>
              </w:rPr>
            </w:pPr>
            <w:r w:rsidRPr="00E47820">
              <w:rPr>
                <w:rFonts w:ascii="Arial" w:hAnsi="Arial" w:cs="Arial"/>
                <w:color w:val="333333"/>
                <w:sz w:val="20"/>
                <w:szCs w:val="20"/>
                <w:shd w:val="clear" w:color="auto" w:fill="FFFFFF"/>
              </w:rPr>
              <w:t xml:space="preserve">Bacteraemia </w:t>
            </w:r>
          </w:p>
        </w:tc>
        <w:tc>
          <w:tcPr>
            <w:tcW w:w="1720" w:type="dxa"/>
          </w:tcPr>
          <w:p w14:paraId="4972BDA6" w14:textId="77777777" w:rsidR="00F37945" w:rsidRPr="00E47820" w:rsidRDefault="00F37945" w:rsidP="00F37945">
            <w:pPr>
              <w:widowControl w:val="0"/>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333333"/>
                <w:sz w:val="20"/>
                <w:szCs w:val="20"/>
                <w:shd w:val="clear" w:color="auto" w:fill="FFFFFF"/>
              </w:rPr>
            </w:pPr>
            <w:r w:rsidRPr="00E47820">
              <w:rPr>
                <w:rFonts w:ascii="Arial" w:hAnsi="Arial" w:cs="Arial"/>
                <w:color w:val="333333"/>
                <w:sz w:val="20"/>
                <w:szCs w:val="20"/>
                <w:shd w:val="clear" w:color="auto" w:fill="FFFFFF"/>
              </w:rPr>
              <w:t>Urinary Tract Infection</w:t>
            </w:r>
          </w:p>
        </w:tc>
        <w:tc>
          <w:tcPr>
            <w:tcW w:w="968" w:type="dxa"/>
          </w:tcPr>
          <w:p w14:paraId="51E25A14" w14:textId="77777777" w:rsidR="00F37945" w:rsidRPr="00E47820" w:rsidRDefault="00F37945" w:rsidP="00B0114A">
            <w:pPr>
              <w:widowControl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Arial" w:hAnsi="Arial" w:cs="Arial"/>
                <w:b w:val="0"/>
                <w:color w:val="333333"/>
                <w:sz w:val="20"/>
                <w:szCs w:val="20"/>
                <w:shd w:val="clear" w:color="auto" w:fill="FFFFFF"/>
              </w:rPr>
            </w:pPr>
            <w:r w:rsidRPr="00E47820">
              <w:rPr>
                <w:rFonts w:ascii="Arial" w:hAnsi="Arial" w:cs="Arial"/>
                <w:color w:val="333333"/>
                <w:sz w:val="20"/>
                <w:szCs w:val="20"/>
                <w:shd w:val="clear" w:color="auto" w:fill="FFFFFF"/>
              </w:rPr>
              <w:t>Total</w:t>
            </w:r>
          </w:p>
        </w:tc>
      </w:tr>
      <w:tr w:rsidR="00F37945" w:rsidRPr="00E47820" w14:paraId="6006B93B" w14:textId="77777777" w:rsidTr="00421A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1" w:type="dxa"/>
          </w:tcPr>
          <w:p w14:paraId="5619A927" w14:textId="77777777" w:rsidR="00F37945" w:rsidRPr="00E47820" w:rsidRDefault="00F37945" w:rsidP="00B0114A">
            <w:pPr>
              <w:widowControl w:val="0"/>
              <w:autoSpaceDE w:val="0"/>
              <w:autoSpaceDN w:val="0"/>
              <w:adjustRightInd w:val="0"/>
              <w:rPr>
                <w:rFonts w:ascii="Arial" w:hAnsi="Arial" w:cs="Arial"/>
                <w:color w:val="333333"/>
                <w:sz w:val="20"/>
                <w:szCs w:val="20"/>
                <w:shd w:val="clear" w:color="auto" w:fill="FFFFFF"/>
              </w:rPr>
            </w:pPr>
            <w:r w:rsidRPr="00E47820">
              <w:rPr>
                <w:rFonts w:ascii="Arial" w:hAnsi="Arial" w:cs="Arial"/>
                <w:color w:val="333333"/>
                <w:sz w:val="20"/>
                <w:szCs w:val="20"/>
                <w:shd w:val="clear" w:color="auto" w:fill="FFFFFF"/>
              </w:rPr>
              <w:t>Belfast</w:t>
            </w:r>
          </w:p>
        </w:tc>
        <w:tc>
          <w:tcPr>
            <w:tcW w:w="1672" w:type="dxa"/>
          </w:tcPr>
          <w:p w14:paraId="317B2ACA" w14:textId="5013BB2B" w:rsidR="00F37945" w:rsidRPr="00E47820" w:rsidRDefault="00030C95" w:rsidP="00F37945">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color w:val="333333"/>
                <w:sz w:val="20"/>
                <w:szCs w:val="20"/>
                <w:shd w:val="clear" w:color="auto" w:fill="FFFFFF"/>
              </w:rPr>
            </w:pPr>
            <w:r>
              <w:rPr>
                <w:rFonts w:ascii="Arial" w:hAnsi="Arial" w:cs="Arial"/>
                <w:color w:val="333333"/>
                <w:sz w:val="20"/>
                <w:szCs w:val="20"/>
                <w:shd w:val="clear" w:color="auto" w:fill="FFFFFF"/>
              </w:rPr>
              <w:t>45</w:t>
            </w:r>
          </w:p>
        </w:tc>
        <w:tc>
          <w:tcPr>
            <w:tcW w:w="1409" w:type="dxa"/>
          </w:tcPr>
          <w:p w14:paraId="5D255741" w14:textId="77777777" w:rsidR="00F37945" w:rsidRPr="00E47820" w:rsidRDefault="00F37945" w:rsidP="00F37945">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color w:val="333333"/>
                <w:sz w:val="20"/>
                <w:szCs w:val="20"/>
                <w:shd w:val="clear" w:color="auto" w:fill="FFFFFF"/>
              </w:rPr>
            </w:pPr>
            <w:r w:rsidRPr="00E47820">
              <w:rPr>
                <w:rFonts w:ascii="Arial" w:hAnsi="Arial" w:cs="Arial"/>
                <w:color w:val="333333"/>
                <w:sz w:val="20"/>
                <w:szCs w:val="20"/>
                <w:shd w:val="clear" w:color="auto" w:fill="FFFFFF"/>
              </w:rPr>
              <w:t>0</w:t>
            </w:r>
          </w:p>
        </w:tc>
        <w:tc>
          <w:tcPr>
            <w:tcW w:w="1699" w:type="dxa"/>
          </w:tcPr>
          <w:p w14:paraId="7C914A93" w14:textId="77777777" w:rsidR="00F37945" w:rsidRPr="00E47820" w:rsidRDefault="00F37945" w:rsidP="00F37945">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color w:val="333333"/>
                <w:sz w:val="20"/>
                <w:szCs w:val="20"/>
                <w:shd w:val="clear" w:color="auto" w:fill="FFFFFF"/>
              </w:rPr>
            </w:pPr>
            <w:r w:rsidRPr="00E47820">
              <w:rPr>
                <w:rFonts w:ascii="Arial" w:hAnsi="Arial" w:cs="Arial"/>
                <w:color w:val="333333"/>
                <w:sz w:val="20"/>
                <w:szCs w:val="20"/>
                <w:shd w:val="clear" w:color="auto" w:fill="FFFFFF"/>
              </w:rPr>
              <w:t>1</w:t>
            </w:r>
          </w:p>
        </w:tc>
        <w:tc>
          <w:tcPr>
            <w:tcW w:w="1720" w:type="dxa"/>
          </w:tcPr>
          <w:p w14:paraId="6CE6F42B" w14:textId="28527ED9" w:rsidR="00F37945" w:rsidRPr="00E47820" w:rsidRDefault="00030C95" w:rsidP="00F37945">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color w:val="333333"/>
                <w:sz w:val="20"/>
                <w:szCs w:val="20"/>
                <w:shd w:val="clear" w:color="auto" w:fill="FFFFFF"/>
              </w:rPr>
            </w:pPr>
            <w:r>
              <w:rPr>
                <w:rFonts w:ascii="Arial" w:hAnsi="Arial" w:cs="Arial"/>
                <w:color w:val="333333"/>
                <w:sz w:val="20"/>
                <w:szCs w:val="20"/>
                <w:shd w:val="clear" w:color="auto" w:fill="FFFFFF"/>
              </w:rPr>
              <w:t>8</w:t>
            </w:r>
          </w:p>
        </w:tc>
        <w:tc>
          <w:tcPr>
            <w:tcW w:w="968" w:type="dxa"/>
          </w:tcPr>
          <w:p w14:paraId="7331FEBE" w14:textId="5C2C817E" w:rsidR="00F37945" w:rsidRPr="00E47820" w:rsidRDefault="00030C95" w:rsidP="00F37945">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color w:val="333333"/>
                <w:sz w:val="20"/>
                <w:szCs w:val="20"/>
                <w:shd w:val="clear" w:color="auto" w:fill="FFFFFF"/>
              </w:rPr>
            </w:pPr>
            <w:r>
              <w:rPr>
                <w:rFonts w:ascii="Arial" w:hAnsi="Arial" w:cs="Arial"/>
                <w:color w:val="333333"/>
                <w:sz w:val="20"/>
                <w:szCs w:val="20"/>
                <w:shd w:val="clear" w:color="auto" w:fill="FFFFFF"/>
              </w:rPr>
              <w:t>9</w:t>
            </w:r>
          </w:p>
        </w:tc>
      </w:tr>
      <w:tr w:rsidR="00F37945" w:rsidRPr="00E47820" w14:paraId="49F12835" w14:textId="77777777" w:rsidTr="00421AF3">
        <w:tc>
          <w:tcPr>
            <w:cnfStyle w:val="001000000000" w:firstRow="0" w:lastRow="0" w:firstColumn="1" w:lastColumn="0" w:oddVBand="0" w:evenVBand="0" w:oddHBand="0" w:evenHBand="0" w:firstRowFirstColumn="0" w:firstRowLastColumn="0" w:lastRowFirstColumn="0" w:lastRowLastColumn="0"/>
            <w:tcW w:w="2171" w:type="dxa"/>
          </w:tcPr>
          <w:p w14:paraId="7CFCF029" w14:textId="18EBE1A0" w:rsidR="004339DB" w:rsidRPr="004339DB" w:rsidRDefault="00F37945" w:rsidP="00B0114A">
            <w:pPr>
              <w:widowControl w:val="0"/>
              <w:autoSpaceDE w:val="0"/>
              <w:autoSpaceDN w:val="0"/>
              <w:adjustRightInd w:val="0"/>
              <w:rPr>
                <w:rFonts w:ascii="Arial" w:hAnsi="Arial" w:cs="Arial"/>
                <w:color w:val="333333"/>
                <w:sz w:val="20"/>
                <w:szCs w:val="20"/>
                <w:shd w:val="clear" w:color="auto" w:fill="FFFFFF"/>
              </w:rPr>
            </w:pPr>
            <w:r w:rsidRPr="00E47820">
              <w:rPr>
                <w:rFonts w:ascii="Arial" w:hAnsi="Arial" w:cs="Arial"/>
                <w:color w:val="333333"/>
                <w:sz w:val="20"/>
                <w:szCs w:val="20"/>
                <w:shd w:val="clear" w:color="auto" w:fill="FFFFFF"/>
              </w:rPr>
              <w:t>Bristol</w:t>
            </w:r>
          </w:p>
        </w:tc>
        <w:tc>
          <w:tcPr>
            <w:tcW w:w="1672" w:type="dxa"/>
          </w:tcPr>
          <w:p w14:paraId="0E964C09" w14:textId="77777777" w:rsidR="00F37945" w:rsidRPr="004339DB" w:rsidRDefault="00F37945" w:rsidP="00F37945">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color w:val="333333"/>
                <w:sz w:val="20"/>
                <w:szCs w:val="20"/>
                <w:shd w:val="clear" w:color="auto" w:fill="FFFFFF"/>
              </w:rPr>
            </w:pPr>
            <w:r w:rsidRPr="004339DB">
              <w:rPr>
                <w:rFonts w:ascii="Arial" w:hAnsi="Arial" w:cs="Arial"/>
                <w:color w:val="333333"/>
                <w:sz w:val="20"/>
                <w:szCs w:val="20"/>
                <w:shd w:val="clear" w:color="auto" w:fill="FFFFFF"/>
              </w:rPr>
              <w:t>90</w:t>
            </w:r>
          </w:p>
        </w:tc>
        <w:tc>
          <w:tcPr>
            <w:tcW w:w="1409" w:type="dxa"/>
          </w:tcPr>
          <w:p w14:paraId="36EFA18E" w14:textId="77777777" w:rsidR="00F37945" w:rsidRPr="004339DB" w:rsidRDefault="00F37945" w:rsidP="00F37945">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color w:val="333333"/>
                <w:sz w:val="20"/>
                <w:szCs w:val="20"/>
                <w:shd w:val="clear" w:color="auto" w:fill="FFFFFF"/>
              </w:rPr>
            </w:pPr>
            <w:r w:rsidRPr="004339DB">
              <w:rPr>
                <w:rFonts w:ascii="Arial" w:hAnsi="Arial" w:cs="Arial"/>
                <w:color w:val="333333"/>
                <w:sz w:val="20"/>
                <w:szCs w:val="20"/>
                <w:shd w:val="clear" w:color="auto" w:fill="FFFFFF"/>
              </w:rPr>
              <w:t>0</w:t>
            </w:r>
          </w:p>
        </w:tc>
        <w:tc>
          <w:tcPr>
            <w:tcW w:w="1699" w:type="dxa"/>
          </w:tcPr>
          <w:p w14:paraId="2215857A" w14:textId="77777777" w:rsidR="00F37945" w:rsidRPr="00E47820" w:rsidRDefault="00F37945" w:rsidP="00F37945">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color w:val="333333"/>
                <w:sz w:val="20"/>
                <w:szCs w:val="20"/>
                <w:shd w:val="clear" w:color="auto" w:fill="FFFFFF"/>
              </w:rPr>
            </w:pPr>
            <w:r w:rsidRPr="00E47820">
              <w:rPr>
                <w:rFonts w:ascii="Arial" w:hAnsi="Arial" w:cs="Arial"/>
                <w:color w:val="333333"/>
                <w:sz w:val="20"/>
                <w:szCs w:val="20"/>
                <w:shd w:val="clear" w:color="auto" w:fill="FFFFFF"/>
              </w:rPr>
              <w:t>1</w:t>
            </w:r>
          </w:p>
        </w:tc>
        <w:tc>
          <w:tcPr>
            <w:tcW w:w="1720" w:type="dxa"/>
          </w:tcPr>
          <w:p w14:paraId="2EAE5856" w14:textId="77777777" w:rsidR="00F37945" w:rsidRPr="00E47820" w:rsidRDefault="00F37945" w:rsidP="00F37945">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color w:val="333333"/>
                <w:sz w:val="20"/>
                <w:szCs w:val="20"/>
                <w:shd w:val="clear" w:color="auto" w:fill="FFFFFF"/>
              </w:rPr>
            </w:pPr>
            <w:r w:rsidRPr="00E47820">
              <w:rPr>
                <w:rFonts w:ascii="Arial" w:hAnsi="Arial" w:cs="Arial"/>
                <w:color w:val="333333"/>
                <w:sz w:val="20"/>
                <w:szCs w:val="20"/>
                <w:shd w:val="clear" w:color="auto" w:fill="FFFFFF"/>
              </w:rPr>
              <w:t>9</w:t>
            </w:r>
          </w:p>
        </w:tc>
        <w:tc>
          <w:tcPr>
            <w:tcW w:w="968" w:type="dxa"/>
          </w:tcPr>
          <w:p w14:paraId="717FABDD" w14:textId="77777777" w:rsidR="00F37945" w:rsidRPr="00E47820" w:rsidRDefault="00F37945" w:rsidP="00F37945">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color w:val="333333"/>
                <w:sz w:val="20"/>
                <w:szCs w:val="20"/>
                <w:shd w:val="clear" w:color="auto" w:fill="FFFFFF"/>
              </w:rPr>
            </w:pPr>
            <w:r w:rsidRPr="00E47820">
              <w:rPr>
                <w:rFonts w:ascii="Arial" w:hAnsi="Arial" w:cs="Arial"/>
                <w:color w:val="333333"/>
                <w:sz w:val="20"/>
                <w:szCs w:val="20"/>
                <w:shd w:val="clear" w:color="auto" w:fill="FFFFFF"/>
              </w:rPr>
              <w:t>10</w:t>
            </w:r>
          </w:p>
        </w:tc>
      </w:tr>
      <w:tr w:rsidR="00F37945" w:rsidRPr="00E47820" w14:paraId="593105DB" w14:textId="77777777" w:rsidTr="00421A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1" w:type="dxa"/>
          </w:tcPr>
          <w:p w14:paraId="43A05AE3" w14:textId="3E31B8EF" w:rsidR="00F37945" w:rsidRPr="00E47820" w:rsidRDefault="00F37945" w:rsidP="00B0114A">
            <w:pPr>
              <w:widowControl w:val="0"/>
              <w:autoSpaceDE w:val="0"/>
              <w:autoSpaceDN w:val="0"/>
              <w:adjustRightInd w:val="0"/>
              <w:rPr>
                <w:rFonts w:ascii="Arial" w:hAnsi="Arial" w:cs="Arial"/>
                <w:color w:val="333333"/>
                <w:sz w:val="20"/>
                <w:szCs w:val="20"/>
                <w:shd w:val="clear" w:color="auto" w:fill="FFFFFF"/>
              </w:rPr>
            </w:pPr>
            <w:r w:rsidRPr="00E47820">
              <w:rPr>
                <w:rFonts w:ascii="Arial" w:hAnsi="Arial" w:cs="Arial"/>
                <w:color w:val="333333"/>
                <w:sz w:val="20"/>
                <w:szCs w:val="20"/>
                <w:shd w:val="clear" w:color="auto" w:fill="FFFFFF"/>
              </w:rPr>
              <w:t xml:space="preserve">Dublin </w:t>
            </w:r>
          </w:p>
        </w:tc>
        <w:tc>
          <w:tcPr>
            <w:tcW w:w="1672" w:type="dxa"/>
          </w:tcPr>
          <w:p w14:paraId="79CB83F0" w14:textId="6E27DBAC" w:rsidR="00F37945" w:rsidRPr="004339DB" w:rsidRDefault="00421AF3" w:rsidP="00F37945">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color w:val="333333"/>
                <w:sz w:val="20"/>
                <w:szCs w:val="20"/>
                <w:shd w:val="clear" w:color="auto" w:fill="FFFFFF"/>
              </w:rPr>
            </w:pPr>
            <w:r>
              <w:rPr>
                <w:rFonts w:ascii="Arial" w:hAnsi="Arial" w:cs="Arial"/>
                <w:color w:val="333333"/>
                <w:sz w:val="20"/>
                <w:szCs w:val="20"/>
                <w:shd w:val="clear" w:color="auto" w:fill="FFFFFF"/>
              </w:rPr>
              <w:t>88</w:t>
            </w:r>
          </w:p>
        </w:tc>
        <w:tc>
          <w:tcPr>
            <w:tcW w:w="1409" w:type="dxa"/>
          </w:tcPr>
          <w:p w14:paraId="0F91875A" w14:textId="4F9893BF" w:rsidR="00F37945" w:rsidRPr="004339DB" w:rsidRDefault="00421AF3" w:rsidP="00F37945">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color w:val="333333"/>
                <w:sz w:val="20"/>
                <w:szCs w:val="20"/>
                <w:shd w:val="clear" w:color="auto" w:fill="FFFFFF"/>
              </w:rPr>
            </w:pPr>
            <w:r>
              <w:rPr>
                <w:rFonts w:ascii="Arial" w:hAnsi="Arial" w:cs="Arial"/>
                <w:color w:val="333333"/>
                <w:sz w:val="20"/>
                <w:szCs w:val="20"/>
                <w:shd w:val="clear" w:color="auto" w:fill="FFFFFF"/>
              </w:rPr>
              <w:t>1</w:t>
            </w:r>
          </w:p>
        </w:tc>
        <w:tc>
          <w:tcPr>
            <w:tcW w:w="1699" w:type="dxa"/>
          </w:tcPr>
          <w:p w14:paraId="5D02303B" w14:textId="4581527F" w:rsidR="00F37945" w:rsidRPr="004339DB" w:rsidRDefault="00421AF3" w:rsidP="00F37945">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color w:val="333333"/>
                <w:sz w:val="20"/>
                <w:szCs w:val="20"/>
                <w:shd w:val="clear" w:color="auto" w:fill="FFFFFF"/>
              </w:rPr>
            </w:pPr>
            <w:r>
              <w:rPr>
                <w:rFonts w:ascii="Arial" w:hAnsi="Arial" w:cs="Arial"/>
                <w:color w:val="333333"/>
                <w:sz w:val="20"/>
                <w:szCs w:val="20"/>
                <w:shd w:val="clear" w:color="auto" w:fill="FFFFFF"/>
              </w:rPr>
              <w:t>0</w:t>
            </w:r>
          </w:p>
        </w:tc>
        <w:tc>
          <w:tcPr>
            <w:tcW w:w="1720" w:type="dxa"/>
          </w:tcPr>
          <w:p w14:paraId="38012B8A" w14:textId="225C3DEC" w:rsidR="00F37945" w:rsidRPr="004339DB" w:rsidRDefault="00421AF3" w:rsidP="00F37945">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color w:val="333333"/>
                <w:sz w:val="20"/>
                <w:szCs w:val="20"/>
                <w:shd w:val="clear" w:color="auto" w:fill="FFFFFF"/>
              </w:rPr>
            </w:pPr>
            <w:r>
              <w:rPr>
                <w:rFonts w:ascii="Arial" w:hAnsi="Arial" w:cs="Arial"/>
                <w:color w:val="333333"/>
                <w:sz w:val="20"/>
                <w:szCs w:val="20"/>
                <w:shd w:val="clear" w:color="auto" w:fill="FFFFFF"/>
              </w:rPr>
              <w:t>13</w:t>
            </w:r>
          </w:p>
        </w:tc>
        <w:tc>
          <w:tcPr>
            <w:tcW w:w="968" w:type="dxa"/>
          </w:tcPr>
          <w:p w14:paraId="1FF01A63" w14:textId="7A8E9D34" w:rsidR="00F37945" w:rsidRPr="00E47820" w:rsidRDefault="00421AF3" w:rsidP="00F37945">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color w:val="333333"/>
                <w:sz w:val="20"/>
                <w:szCs w:val="20"/>
                <w:shd w:val="clear" w:color="auto" w:fill="FFFFFF"/>
              </w:rPr>
            </w:pPr>
            <w:r>
              <w:rPr>
                <w:rFonts w:ascii="Arial" w:hAnsi="Arial" w:cs="Arial"/>
                <w:color w:val="333333"/>
                <w:sz w:val="20"/>
                <w:szCs w:val="20"/>
                <w:shd w:val="clear" w:color="auto" w:fill="FFFFFF"/>
              </w:rPr>
              <w:t>14</w:t>
            </w:r>
          </w:p>
        </w:tc>
      </w:tr>
      <w:tr w:rsidR="00F37945" w:rsidRPr="00E47820" w14:paraId="47340BB2" w14:textId="77777777" w:rsidTr="00421AF3">
        <w:tc>
          <w:tcPr>
            <w:cnfStyle w:val="001000000000" w:firstRow="0" w:lastRow="0" w:firstColumn="1" w:lastColumn="0" w:oddVBand="0" w:evenVBand="0" w:oddHBand="0" w:evenHBand="0" w:firstRowFirstColumn="0" w:firstRowLastColumn="0" w:lastRowFirstColumn="0" w:lastRowLastColumn="0"/>
            <w:tcW w:w="2171" w:type="dxa"/>
          </w:tcPr>
          <w:p w14:paraId="2E9A5F65" w14:textId="77777777" w:rsidR="00F37945" w:rsidRPr="004339DB" w:rsidRDefault="00F37945" w:rsidP="00B0114A">
            <w:pPr>
              <w:widowControl w:val="0"/>
              <w:autoSpaceDE w:val="0"/>
              <w:autoSpaceDN w:val="0"/>
              <w:adjustRightInd w:val="0"/>
              <w:rPr>
                <w:rFonts w:ascii="Arial" w:hAnsi="Arial" w:cs="Arial"/>
                <w:color w:val="333333"/>
                <w:sz w:val="20"/>
                <w:szCs w:val="20"/>
                <w:shd w:val="clear" w:color="auto" w:fill="FFFFFF"/>
              </w:rPr>
            </w:pPr>
            <w:r w:rsidRPr="004339DB">
              <w:rPr>
                <w:rFonts w:ascii="Arial" w:hAnsi="Arial" w:cs="Arial"/>
                <w:color w:val="333333"/>
                <w:sz w:val="20"/>
                <w:szCs w:val="20"/>
                <w:shd w:val="clear" w:color="auto" w:fill="FFFFFF"/>
              </w:rPr>
              <w:t>Glasgow</w:t>
            </w:r>
          </w:p>
        </w:tc>
        <w:tc>
          <w:tcPr>
            <w:tcW w:w="1672" w:type="dxa"/>
          </w:tcPr>
          <w:p w14:paraId="734A849F" w14:textId="77777777" w:rsidR="00F37945" w:rsidRPr="004339DB" w:rsidRDefault="00F37945" w:rsidP="00F37945">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color w:val="333333"/>
                <w:sz w:val="20"/>
                <w:szCs w:val="20"/>
                <w:shd w:val="clear" w:color="auto" w:fill="FFFFFF"/>
              </w:rPr>
            </w:pPr>
            <w:r w:rsidRPr="004339DB">
              <w:rPr>
                <w:rFonts w:ascii="Arial" w:hAnsi="Arial" w:cs="Arial"/>
                <w:color w:val="333333"/>
                <w:sz w:val="20"/>
                <w:szCs w:val="20"/>
                <w:shd w:val="clear" w:color="auto" w:fill="FFFFFF"/>
              </w:rPr>
              <w:t>111</w:t>
            </w:r>
          </w:p>
        </w:tc>
        <w:tc>
          <w:tcPr>
            <w:tcW w:w="1409" w:type="dxa"/>
          </w:tcPr>
          <w:p w14:paraId="0CCECD4A" w14:textId="77777777" w:rsidR="00F37945" w:rsidRPr="004339DB" w:rsidRDefault="00F37945" w:rsidP="00F37945">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color w:val="333333"/>
                <w:sz w:val="20"/>
                <w:szCs w:val="20"/>
                <w:shd w:val="clear" w:color="auto" w:fill="FFFFFF"/>
              </w:rPr>
            </w:pPr>
            <w:r w:rsidRPr="004339DB">
              <w:rPr>
                <w:rFonts w:ascii="Arial" w:hAnsi="Arial" w:cs="Arial"/>
                <w:color w:val="333333"/>
                <w:sz w:val="20"/>
                <w:szCs w:val="20"/>
                <w:shd w:val="clear" w:color="auto" w:fill="FFFFFF"/>
              </w:rPr>
              <w:t>2</w:t>
            </w:r>
          </w:p>
        </w:tc>
        <w:tc>
          <w:tcPr>
            <w:tcW w:w="1699" w:type="dxa"/>
          </w:tcPr>
          <w:p w14:paraId="74A6375E" w14:textId="77777777" w:rsidR="00F37945" w:rsidRPr="00E47820" w:rsidRDefault="00F37945" w:rsidP="00F37945">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color w:val="333333"/>
                <w:sz w:val="20"/>
                <w:szCs w:val="20"/>
                <w:shd w:val="clear" w:color="auto" w:fill="FFFFFF"/>
              </w:rPr>
            </w:pPr>
            <w:r w:rsidRPr="00E47820">
              <w:rPr>
                <w:rFonts w:ascii="Arial" w:hAnsi="Arial" w:cs="Arial"/>
                <w:color w:val="333333"/>
                <w:sz w:val="20"/>
                <w:szCs w:val="20"/>
                <w:shd w:val="clear" w:color="auto" w:fill="FFFFFF"/>
              </w:rPr>
              <w:t>3</w:t>
            </w:r>
          </w:p>
        </w:tc>
        <w:tc>
          <w:tcPr>
            <w:tcW w:w="1720" w:type="dxa"/>
          </w:tcPr>
          <w:p w14:paraId="27A706CA" w14:textId="77777777" w:rsidR="00F37945" w:rsidRPr="00E47820" w:rsidRDefault="00F37945" w:rsidP="00F37945">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color w:val="333333"/>
                <w:sz w:val="20"/>
                <w:szCs w:val="20"/>
                <w:shd w:val="clear" w:color="auto" w:fill="FFFFFF"/>
              </w:rPr>
            </w:pPr>
            <w:r w:rsidRPr="00E47820">
              <w:rPr>
                <w:rFonts w:ascii="Arial" w:hAnsi="Arial" w:cs="Arial"/>
                <w:color w:val="333333"/>
                <w:sz w:val="20"/>
                <w:szCs w:val="20"/>
                <w:shd w:val="clear" w:color="auto" w:fill="FFFFFF"/>
              </w:rPr>
              <w:t>12</w:t>
            </w:r>
          </w:p>
        </w:tc>
        <w:tc>
          <w:tcPr>
            <w:tcW w:w="968" w:type="dxa"/>
          </w:tcPr>
          <w:p w14:paraId="4DBC2DC0" w14:textId="77777777" w:rsidR="00F37945" w:rsidRPr="00E47820" w:rsidRDefault="00F37945" w:rsidP="00F37945">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color w:val="333333"/>
                <w:sz w:val="20"/>
                <w:szCs w:val="20"/>
                <w:shd w:val="clear" w:color="auto" w:fill="FFFFFF"/>
              </w:rPr>
            </w:pPr>
            <w:r w:rsidRPr="00E47820">
              <w:rPr>
                <w:rFonts w:ascii="Arial" w:hAnsi="Arial" w:cs="Arial"/>
                <w:color w:val="333333"/>
                <w:sz w:val="20"/>
                <w:szCs w:val="20"/>
                <w:shd w:val="clear" w:color="auto" w:fill="FFFFFF"/>
              </w:rPr>
              <w:t>17</w:t>
            </w:r>
          </w:p>
        </w:tc>
      </w:tr>
      <w:tr w:rsidR="00F37945" w:rsidRPr="00E47820" w14:paraId="7A076A2E" w14:textId="77777777" w:rsidTr="00421A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1" w:type="dxa"/>
          </w:tcPr>
          <w:p w14:paraId="32B1898D" w14:textId="77777777" w:rsidR="00F37945" w:rsidRPr="00E47820" w:rsidRDefault="00F37945" w:rsidP="00B0114A">
            <w:pPr>
              <w:widowControl w:val="0"/>
              <w:autoSpaceDE w:val="0"/>
              <w:autoSpaceDN w:val="0"/>
              <w:adjustRightInd w:val="0"/>
              <w:rPr>
                <w:rFonts w:ascii="Arial" w:hAnsi="Arial" w:cs="Arial"/>
                <w:color w:val="333333"/>
                <w:sz w:val="20"/>
                <w:szCs w:val="20"/>
                <w:shd w:val="clear" w:color="auto" w:fill="FFFFFF"/>
              </w:rPr>
            </w:pPr>
            <w:r w:rsidRPr="00E47820">
              <w:rPr>
                <w:rFonts w:ascii="Arial" w:hAnsi="Arial" w:cs="Arial"/>
                <w:color w:val="333333"/>
                <w:sz w:val="20"/>
                <w:szCs w:val="20"/>
                <w:shd w:val="clear" w:color="auto" w:fill="FFFFFF"/>
              </w:rPr>
              <w:t>Leicester</w:t>
            </w:r>
          </w:p>
        </w:tc>
        <w:tc>
          <w:tcPr>
            <w:tcW w:w="1672" w:type="dxa"/>
          </w:tcPr>
          <w:p w14:paraId="5FF6B08D" w14:textId="77777777" w:rsidR="00F37945" w:rsidRPr="00E47820" w:rsidRDefault="00F37945" w:rsidP="00F37945">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color w:val="333333"/>
                <w:sz w:val="20"/>
                <w:szCs w:val="20"/>
                <w:shd w:val="clear" w:color="auto" w:fill="FFFFFF"/>
              </w:rPr>
            </w:pPr>
            <w:r w:rsidRPr="00E47820">
              <w:rPr>
                <w:rFonts w:ascii="Arial" w:hAnsi="Arial" w:cs="Arial"/>
                <w:color w:val="333333"/>
                <w:sz w:val="20"/>
                <w:szCs w:val="20"/>
                <w:shd w:val="clear" w:color="auto" w:fill="FFFFFF"/>
              </w:rPr>
              <w:t>151</w:t>
            </w:r>
          </w:p>
        </w:tc>
        <w:tc>
          <w:tcPr>
            <w:tcW w:w="1409" w:type="dxa"/>
          </w:tcPr>
          <w:p w14:paraId="15DFF242" w14:textId="77777777" w:rsidR="00F37945" w:rsidRPr="00E47820" w:rsidRDefault="00F37945" w:rsidP="00F37945">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color w:val="333333"/>
                <w:sz w:val="20"/>
                <w:szCs w:val="20"/>
                <w:shd w:val="clear" w:color="auto" w:fill="FFFFFF"/>
              </w:rPr>
            </w:pPr>
            <w:r w:rsidRPr="00E47820">
              <w:rPr>
                <w:rFonts w:ascii="Arial" w:hAnsi="Arial" w:cs="Arial"/>
                <w:color w:val="333333"/>
                <w:sz w:val="20"/>
                <w:szCs w:val="20"/>
                <w:shd w:val="clear" w:color="auto" w:fill="FFFFFF"/>
              </w:rPr>
              <w:t>2</w:t>
            </w:r>
          </w:p>
        </w:tc>
        <w:tc>
          <w:tcPr>
            <w:tcW w:w="1699" w:type="dxa"/>
          </w:tcPr>
          <w:p w14:paraId="4B5D8A12" w14:textId="77777777" w:rsidR="00F37945" w:rsidRPr="00E47820" w:rsidRDefault="00F37945" w:rsidP="00F37945">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color w:val="333333"/>
                <w:sz w:val="20"/>
                <w:szCs w:val="20"/>
                <w:shd w:val="clear" w:color="auto" w:fill="FFFFFF"/>
              </w:rPr>
            </w:pPr>
            <w:r w:rsidRPr="00E47820">
              <w:rPr>
                <w:rFonts w:ascii="Arial" w:hAnsi="Arial" w:cs="Arial"/>
                <w:color w:val="333333"/>
                <w:sz w:val="20"/>
                <w:szCs w:val="20"/>
                <w:shd w:val="clear" w:color="auto" w:fill="FFFFFF"/>
              </w:rPr>
              <w:t>2</w:t>
            </w:r>
          </w:p>
        </w:tc>
        <w:tc>
          <w:tcPr>
            <w:tcW w:w="1720" w:type="dxa"/>
          </w:tcPr>
          <w:p w14:paraId="5E86A1F0" w14:textId="77777777" w:rsidR="00F37945" w:rsidRPr="00E47820" w:rsidRDefault="00F37945" w:rsidP="00F37945">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color w:val="333333"/>
                <w:sz w:val="20"/>
                <w:szCs w:val="20"/>
                <w:shd w:val="clear" w:color="auto" w:fill="FFFFFF"/>
              </w:rPr>
            </w:pPr>
            <w:r w:rsidRPr="00E47820">
              <w:rPr>
                <w:rFonts w:ascii="Arial" w:hAnsi="Arial" w:cs="Arial"/>
                <w:color w:val="333333"/>
                <w:sz w:val="20"/>
                <w:szCs w:val="20"/>
                <w:shd w:val="clear" w:color="auto" w:fill="FFFFFF"/>
              </w:rPr>
              <w:t>12</w:t>
            </w:r>
          </w:p>
        </w:tc>
        <w:tc>
          <w:tcPr>
            <w:tcW w:w="968" w:type="dxa"/>
          </w:tcPr>
          <w:p w14:paraId="6DFF6660" w14:textId="77777777" w:rsidR="00F37945" w:rsidRPr="00E47820" w:rsidRDefault="00F37945" w:rsidP="00F37945">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color w:val="333333"/>
                <w:sz w:val="20"/>
                <w:szCs w:val="20"/>
                <w:shd w:val="clear" w:color="auto" w:fill="FFFFFF"/>
              </w:rPr>
            </w:pPr>
            <w:r w:rsidRPr="00E47820">
              <w:rPr>
                <w:rFonts w:ascii="Arial" w:hAnsi="Arial" w:cs="Arial"/>
                <w:color w:val="333333"/>
                <w:sz w:val="20"/>
                <w:szCs w:val="20"/>
                <w:shd w:val="clear" w:color="auto" w:fill="FFFFFF"/>
              </w:rPr>
              <w:t>16</w:t>
            </w:r>
          </w:p>
        </w:tc>
      </w:tr>
      <w:tr w:rsidR="00F37945" w:rsidRPr="00E47820" w14:paraId="1E90E813" w14:textId="77777777" w:rsidTr="00421AF3">
        <w:tc>
          <w:tcPr>
            <w:cnfStyle w:val="001000000000" w:firstRow="0" w:lastRow="0" w:firstColumn="1" w:lastColumn="0" w:oddVBand="0" w:evenVBand="0" w:oddHBand="0" w:evenHBand="0" w:firstRowFirstColumn="0" w:firstRowLastColumn="0" w:lastRowFirstColumn="0" w:lastRowLastColumn="0"/>
            <w:tcW w:w="2171" w:type="dxa"/>
          </w:tcPr>
          <w:p w14:paraId="098169EA" w14:textId="77777777" w:rsidR="00F37945" w:rsidRPr="00E47820" w:rsidRDefault="00F37945" w:rsidP="00B0114A">
            <w:pPr>
              <w:widowControl w:val="0"/>
              <w:autoSpaceDE w:val="0"/>
              <w:autoSpaceDN w:val="0"/>
              <w:adjustRightInd w:val="0"/>
              <w:rPr>
                <w:rFonts w:ascii="Arial" w:hAnsi="Arial" w:cs="Arial"/>
                <w:color w:val="333333"/>
                <w:sz w:val="20"/>
                <w:szCs w:val="20"/>
                <w:shd w:val="clear" w:color="auto" w:fill="FFFFFF"/>
              </w:rPr>
            </w:pPr>
            <w:r w:rsidRPr="00E47820">
              <w:rPr>
                <w:rFonts w:ascii="Arial" w:hAnsi="Arial" w:cs="Arial"/>
                <w:color w:val="333333"/>
                <w:sz w:val="20"/>
                <w:szCs w:val="20"/>
                <w:shd w:val="clear" w:color="auto" w:fill="FFFFFF"/>
              </w:rPr>
              <w:t>London</w:t>
            </w:r>
          </w:p>
        </w:tc>
        <w:tc>
          <w:tcPr>
            <w:tcW w:w="1672" w:type="dxa"/>
          </w:tcPr>
          <w:p w14:paraId="44C8EB95" w14:textId="77777777" w:rsidR="00F37945" w:rsidRPr="00E47820" w:rsidRDefault="00F37945" w:rsidP="00F37945">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color w:val="333333"/>
                <w:sz w:val="20"/>
                <w:szCs w:val="20"/>
                <w:shd w:val="clear" w:color="auto" w:fill="FFFFFF"/>
              </w:rPr>
            </w:pPr>
            <w:r w:rsidRPr="00E47820">
              <w:rPr>
                <w:rFonts w:ascii="Arial" w:hAnsi="Arial" w:cs="Arial"/>
                <w:color w:val="333333"/>
                <w:sz w:val="20"/>
                <w:szCs w:val="20"/>
                <w:shd w:val="clear" w:color="auto" w:fill="FFFFFF"/>
              </w:rPr>
              <w:t>70</w:t>
            </w:r>
          </w:p>
        </w:tc>
        <w:tc>
          <w:tcPr>
            <w:tcW w:w="1409" w:type="dxa"/>
          </w:tcPr>
          <w:p w14:paraId="6B028818" w14:textId="77777777" w:rsidR="00F37945" w:rsidRPr="00E47820" w:rsidRDefault="00F37945" w:rsidP="00F37945">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color w:val="333333"/>
                <w:sz w:val="20"/>
                <w:szCs w:val="20"/>
                <w:shd w:val="clear" w:color="auto" w:fill="FFFFFF"/>
              </w:rPr>
            </w:pPr>
            <w:r w:rsidRPr="00E47820">
              <w:rPr>
                <w:rFonts w:ascii="Arial" w:hAnsi="Arial" w:cs="Arial"/>
                <w:color w:val="333333"/>
                <w:sz w:val="20"/>
                <w:szCs w:val="20"/>
                <w:shd w:val="clear" w:color="auto" w:fill="FFFFFF"/>
              </w:rPr>
              <w:t>0</w:t>
            </w:r>
          </w:p>
        </w:tc>
        <w:tc>
          <w:tcPr>
            <w:tcW w:w="1699" w:type="dxa"/>
          </w:tcPr>
          <w:p w14:paraId="5B2C002C" w14:textId="77777777" w:rsidR="00F37945" w:rsidRPr="00E47820" w:rsidRDefault="00F37945" w:rsidP="00F37945">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color w:val="333333"/>
                <w:sz w:val="20"/>
                <w:szCs w:val="20"/>
                <w:shd w:val="clear" w:color="auto" w:fill="FFFFFF"/>
              </w:rPr>
            </w:pPr>
            <w:r w:rsidRPr="00E47820">
              <w:rPr>
                <w:rFonts w:ascii="Arial" w:hAnsi="Arial" w:cs="Arial"/>
                <w:color w:val="333333"/>
                <w:sz w:val="20"/>
                <w:szCs w:val="20"/>
                <w:shd w:val="clear" w:color="auto" w:fill="FFFFFF"/>
              </w:rPr>
              <w:t>0</w:t>
            </w:r>
          </w:p>
        </w:tc>
        <w:tc>
          <w:tcPr>
            <w:tcW w:w="1720" w:type="dxa"/>
          </w:tcPr>
          <w:p w14:paraId="420F70C6" w14:textId="77777777" w:rsidR="00F37945" w:rsidRPr="00E47820" w:rsidRDefault="00F37945" w:rsidP="00F37945">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color w:val="333333"/>
                <w:sz w:val="20"/>
                <w:szCs w:val="20"/>
                <w:shd w:val="clear" w:color="auto" w:fill="FFFFFF"/>
              </w:rPr>
            </w:pPr>
            <w:r w:rsidRPr="00E47820">
              <w:rPr>
                <w:rFonts w:ascii="Arial" w:hAnsi="Arial" w:cs="Arial"/>
                <w:color w:val="333333"/>
                <w:sz w:val="20"/>
                <w:szCs w:val="20"/>
                <w:shd w:val="clear" w:color="auto" w:fill="FFFFFF"/>
              </w:rPr>
              <w:t>12</w:t>
            </w:r>
          </w:p>
        </w:tc>
        <w:tc>
          <w:tcPr>
            <w:tcW w:w="968" w:type="dxa"/>
          </w:tcPr>
          <w:p w14:paraId="65663F22" w14:textId="77777777" w:rsidR="00F37945" w:rsidRPr="00E47820" w:rsidRDefault="00F37945" w:rsidP="00F37945">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color w:val="333333"/>
                <w:sz w:val="20"/>
                <w:szCs w:val="20"/>
                <w:shd w:val="clear" w:color="auto" w:fill="FFFFFF"/>
              </w:rPr>
            </w:pPr>
            <w:r w:rsidRPr="00E47820">
              <w:rPr>
                <w:rFonts w:ascii="Arial" w:hAnsi="Arial" w:cs="Arial"/>
                <w:color w:val="333333"/>
                <w:sz w:val="20"/>
                <w:szCs w:val="20"/>
                <w:shd w:val="clear" w:color="auto" w:fill="FFFFFF"/>
              </w:rPr>
              <w:t>12</w:t>
            </w:r>
          </w:p>
        </w:tc>
      </w:tr>
      <w:tr w:rsidR="00F37945" w:rsidRPr="00E47820" w14:paraId="628A020C" w14:textId="77777777" w:rsidTr="00421A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1" w:type="dxa"/>
          </w:tcPr>
          <w:p w14:paraId="3823E9E2" w14:textId="77777777" w:rsidR="00F37945" w:rsidRPr="00E47820" w:rsidRDefault="00F37945" w:rsidP="00B0114A">
            <w:pPr>
              <w:widowControl w:val="0"/>
              <w:autoSpaceDE w:val="0"/>
              <w:autoSpaceDN w:val="0"/>
              <w:adjustRightInd w:val="0"/>
              <w:rPr>
                <w:rFonts w:ascii="Arial" w:hAnsi="Arial" w:cs="Arial"/>
                <w:color w:val="333333"/>
                <w:sz w:val="20"/>
                <w:szCs w:val="20"/>
                <w:shd w:val="clear" w:color="auto" w:fill="FFFFFF"/>
              </w:rPr>
            </w:pPr>
            <w:r w:rsidRPr="00E47820">
              <w:rPr>
                <w:rFonts w:ascii="Arial" w:hAnsi="Arial" w:cs="Arial"/>
                <w:color w:val="333333"/>
                <w:sz w:val="20"/>
                <w:szCs w:val="20"/>
                <w:shd w:val="clear" w:color="auto" w:fill="FFFFFF"/>
              </w:rPr>
              <w:t>Total</w:t>
            </w:r>
          </w:p>
        </w:tc>
        <w:tc>
          <w:tcPr>
            <w:tcW w:w="1672" w:type="dxa"/>
          </w:tcPr>
          <w:p w14:paraId="54D059CB" w14:textId="155D09F3" w:rsidR="00F37945" w:rsidRPr="00E47820" w:rsidRDefault="00030C95" w:rsidP="00F37945">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color w:val="333333"/>
                <w:sz w:val="20"/>
                <w:szCs w:val="20"/>
                <w:shd w:val="clear" w:color="auto" w:fill="FFFFFF"/>
              </w:rPr>
            </w:pPr>
            <w:r>
              <w:rPr>
                <w:rFonts w:ascii="Arial" w:hAnsi="Arial" w:cs="Arial"/>
                <w:color w:val="333333"/>
                <w:sz w:val="20"/>
                <w:szCs w:val="20"/>
                <w:shd w:val="clear" w:color="auto" w:fill="FFFFFF"/>
              </w:rPr>
              <w:t>555</w:t>
            </w:r>
          </w:p>
        </w:tc>
        <w:tc>
          <w:tcPr>
            <w:tcW w:w="1409" w:type="dxa"/>
          </w:tcPr>
          <w:p w14:paraId="5811A0A7" w14:textId="3182779F" w:rsidR="00F37945" w:rsidRPr="00E47820" w:rsidRDefault="00421AF3" w:rsidP="00F37945">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color w:val="333333"/>
                <w:sz w:val="20"/>
                <w:szCs w:val="20"/>
                <w:shd w:val="clear" w:color="auto" w:fill="FFFFFF"/>
              </w:rPr>
            </w:pPr>
            <w:r>
              <w:rPr>
                <w:rFonts w:ascii="Arial" w:hAnsi="Arial" w:cs="Arial"/>
                <w:color w:val="333333"/>
                <w:sz w:val="20"/>
                <w:szCs w:val="20"/>
                <w:shd w:val="clear" w:color="auto" w:fill="FFFFFF"/>
              </w:rPr>
              <w:t>5</w:t>
            </w:r>
          </w:p>
        </w:tc>
        <w:tc>
          <w:tcPr>
            <w:tcW w:w="1699" w:type="dxa"/>
          </w:tcPr>
          <w:p w14:paraId="374D13B1" w14:textId="09026DA3" w:rsidR="00F37945" w:rsidRPr="00E47820" w:rsidRDefault="00421AF3" w:rsidP="00F37945">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color w:val="333333"/>
                <w:sz w:val="20"/>
                <w:szCs w:val="20"/>
                <w:shd w:val="clear" w:color="auto" w:fill="FFFFFF"/>
              </w:rPr>
            </w:pPr>
            <w:r>
              <w:rPr>
                <w:rFonts w:ascii="Arial" w:hAnsi="Arial" w:cs="Arial"/>
                <w:color w:val="333333"/>
                <w:sz w:val="20"/>
                <w:szCs w:val="20"/>
                <w:shd w:val="clear" w:color="auto" w:fill="FFFFFF"/>
              </w:rPr>
              <w:t>7</w:t>
            </w:r>
          </w:p>
        </w:tc>
        <w:tc>
          <w:tcPr>
            <w:tcW w:w="1720" w:type="dxa"/>
          </w:tcPr>
          <w:p w14:paraId="22F92BCB" w14:textId="547EA43B" w:rsidR="00F37945" w:rsidRPr="00E47820" w:rsidRDefault="00A439BD" w:rsidP="00F37945">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color w:val="333333"/>
                <w:sz w:val="20"/>
                <w:szCs w:val="20"/>
                <w:shd w:val="clear" w:color="auto" w:fill="FFFFFF"/>
              </w:rPr>
            </w:pPr>
            <w:r>
              <w:rPr>
                <w:rFonts w:ascii="Arial" w:hAnsi="Arial" w:cs="Arial"/>
                <w:color w:val="333333"/>
                <w:sz w:val="20"/>
                <w:szCs w:val="20"/>
                <w:shd w:val="clear" w:color="auto" w:fill="FFFFFF"/>
              </w:rPr>
              <w:t>66</w:t>
            </w:r>
          </w:p>
        </w:tc>
        <w:tc>
          <w:tcPr>
            <w:tcW w:w="968" w:type="dxa"/>
          </w:tcPr>
          <w:p w14:paraId="4C11D0F4" w14:textId="18606F83" w:rsidR="00F37945" w:rsidRPr="00E47820" w:rsidRDefault="00030C95" w:rsidP="00F37945">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color w:val="333333"/>
                <w:sz w:val="20"/>
                <w:szCs w:val="20"/>
                <w:shd w:val="clear" w:color="auto" w:fill="FFFFFF"/>
              </w:rPr>
            </w:pPr>
            <w:r>
              <w:rPr>
                <w:rFonts w:ascii="Arial" w:hAnsi="Arial" w:cs="Arial"/>
                <w:color w:val="333333"/>
                <w:sz w:val="20"/>
                <w:szCs w:val="20"/>
                <w:shd w:val="clear" w:color="auto" w:fill="FFFFFF"/>
              </w:rPr>
              <w:t>78</w:t>
            </w:r>
          </w:p>
        </w:tc>
      </w:tr>
    </w:tbl>
    <w:p w14:paraId="637D654B" w14:textId="77777777" w:rsidR="00F37945" w:rsidRPr="00E47820" w:rsidRDefault="00F37945" w:rsidP="00F37945">
      <w:pPr>
        <w:widowControl w:val="0"/>
        <w:autoSpaceDE w:val="0"/>
        <w:autoSpaceDN w:val="0"/>
        <w:adjustRightInd w:val="0"/>
        <w:rPr>
          <w:rFonts w:ascii="Arial" w:hAnsi="Arial" w:cs="Arial"/>
          <w:color w:val="333333"/>
          <w:sz w:val="20"/>
          <w:szCs w:val="20"/>
          <w:shd w:val="clear" w:color="auto" w:fill="FFFFFF"/>
        </w:rPr>
      </w:pPr>
    </w:p>
    <w:p w14:paraId="18E08991" w14:textId="011A5CDC" w:rsidR="00D15979" w:rsidRDefault="00D15979" w:rsidP="00F37945">
      <w:pPr>
        <w:widowControl w:val="0"/>
        <w:autoSpaceDE w:val="0"/>
        <w:autoSpaceDN w:val="0"/>
        <w:adjustRightInd w:val="0"/>
        <w:rPr>
          <w:rFonts w:ascii="Arial" w:hAnsi="Arial" w:cs="Arial"/>
          <w:i/>
          <w:color w:val="333333"/>
          <w:sz w:val="22"/>
          <w:szCs w:val="22"/>
          <w:shd w:val="clear" w:color="auto" w:fill="FFFFFF"/>
        </w:rPr>
      </w:pPr>
    </w:p>
    <w:p w14:paraId="18814386" w14:textId="32081C4F" w:rsidR="00D15979" w:rsidRDefault="00D15979" w:rsidP="00F37945">
      <w:pPr>
        <w:widowControl w:val="0"/>
        <w:autoSpaceDE w:val="0"/>
        <w:autoSpaceDN w:val="0"/>
        <w:adjustRightInd w:val="0"/>
        <w:rPr>
          <w:rFonts w:ascii="Arial" w:hAnsi="Arial" w:cs="Arial"/>
          <w:i/>
          <w:color w:val="333333"/>
          <w:sz w:val="22"/>
          <w:szCs w:val="22"/>
          <w:shd w:val="clear" w:color="auto" w:fill="FFFFFF"/>
        </w:rPr>
      </w:pPr>
    </w:p>
    <w:p w14:paraId="7C32D81D" w14:textId="4599D36F" w:rsidR="00D15979" w:rsidRDefault="00D15979" w:rsidP="00F37945">
      <w:pPr>
        <w:widowControl w:val="0"/>
        <w:autoSpaceDE w:val="0"/>
        <w:autoSpaceDN w:val="0"/>
        <w:adjustRightInd w:val="0"/>
        <w:rPr>
          <w:rFonts w:ascii="Arial" w:hAnsi="Arial" w:cs="Arial"/>
          <w:i/>
          <w:color w:val="333333"/>
          <w:sz w:val="22"/>
          <w:szCs w:val="22"/>
          <w:shd w:val="clear" w:color="auto" w:fill="FFFFFF"/>
        </w:rPr>
      </w:pPr>
    </w:p>
    <w:p w14:paraId="298419C1" w14:textId="76D8AF3F" w:rsidR="00F37945" w:rsidRPr="00E47820" w:rsidRDefault="00F37945" w:rsidP="00F37945">
      <w:pPr>
        <w:widowControl w:val="0"/>
        <w:autoSpaceDE w:val="0"/>
        <w:autoSpaceDN w:val="0"/>
        <w:adjustRightInd w:val="0"/>
        <w:rPr>
          <w:rFonts w:ascii="Arial" w:hAnsi="Arial" w:cs="Arial"/>
          <w:i/>
          <w:color w:val="333333"/>
          <w:sz w:val="22"/>
          <w:szCs w:val="22"/>
          <w:shd w:val="clear" w:color="auto" w:fill="FFFFFF"/>
        </w:rPr>
      </w:pPr>
      <w:r w:rsidRPr="00E47820">
        <w:rPr>
          <w:rFonts w:ascii="Arial" w:hAnsi="Arial" w:cs="Arial"/>
          <w:i/>
          <w:color w:val="333333"/>
          <w:sz w:val="22"/>
          <w:szCs w:val="22"/>
          <w:shd w:val="clear" w:color="auto" w:fill="FFFFFF"/>
        </w:rPr>
        <w:t>Table 2: Serious</w:t>
      </w:r>
      <w:r w:rsidR="007E2AEA">
        <w:rPr>
          <w:rFonts w:ascii="Arial" w:hAnsi="Arial" w:cs="Arial"/>
          <w:i/>
          <w:color w:val="333333"/>
          <w:sz w:val="22"/>
          <w:szCs w:val="22"/>
          <w:shd w:val="clear" w:color="auto" w:fill="FFFFFF"/>
        </w:rPr>
        <w:t>/Invasive</w:t>
      </w:r>
      <w:r w:rsidRPr="00E47820">
        <w:rPr>
          <w:rFonts w:ascii="Arial" w:hAnsi="Arial" w:cs="Arial"/>
          <w:i/>
          <w:color w:val="333333"/>
          <w:sz w:val="22"/>
          <w:szCs w:val="22"/>
          <w:shd w:val="clear" w:color="auto" w:fill="FFFFFF"/>
        </w:rPr>
        <w:t xml:space="preserve"> bacterial infections </w:t>
      </w:r>
    </w:p>
    <w:p w14:paraId="5CA3CD67" w14:textId="457515BC" w:rsidR="00F37945" w:rsidRPr="00E47820" w:rsidRDefault="00F37945" w:rsidP="00F37945">
      <w:pPr>
        <w:widowControl w:val="0"/>
        <w:autoSpaceDE w:val="0"/>
        <w:autoSpaceDN w:val="0"/>
        <w:adjustRightInd w:val="0"/>
        <w:rPr>
          <w:rFonts w:ascii="Arial" w:hAnsi="Arial" w:cs="Arial"/>
          <w:color w:val="333333"/>
          <w:sz w:val="22"/>
          <w:szCs w:val="22"/>
          <w:shd w:val="clear" w:color="auto" w:fill="FFFFFF"/>
        </w:rPr>
      </w:pPr>
    </w:p>
    <w:tbl>
      <w:tblPr>
        <w:tblStyle w:val="PlainTable4"/>
        <w:tblpPr w:leftFromText="180" w:rightFromText="180" w:vertAnchor="page" w:horzAnchor="margin" w:tblpY="6249"/>
        <w:tblW w:w="0" w:type="auto"/>
        <w:tblLook w:val="04A0" w:firstRow="1" w:lastRow="0" w:firstColumn="1" w:lastColumn="0" w:noHBand="0" w:noVBand="1"/>
      </w:tblPr>
      <w:tblGrid>
        <w:gridCol w:w="3056"/>
        <w:gridCol w:w="5024"/>
      </w:tblGrid>
      <w:tr w:rsidR="009C4761" w:rsidRPr="00A439BD" w14:paraId="3B3946C5" w14:textId="77777777" w:rsidTr="009C476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6" w:type="dxa"/>
          </w:tcPr>
          <w:p w14:paraId="3C31AD19" w14:textId="77777777" w:rsidR="009C4761" w:rsidRPr="00A439BD" w:rsidRDefault="009C4761" w:rsidP="009C4761">
            <w:pPr>
              <w:widowControl w:val="0"/>
              <w:autoSpaceDE w:val="0"/>
              <w:autoSpaceDN w:val="0"/>
              <w:adjustRightInd w:val="0"/>
              <w:rPr>
                <w:rFonts w:ascii="Arial" w:hAnsi="Arial" w:cs="Arial"/>
                <w:b w:val="0"/>
                <w:bCs w:val="0"/>
                <w:color w:val="333333"/>
                <w:shd w:val="clear" w:color="auto" w:fill="FFFFFF"/>
              </w:rPr>
            </w:pPr>
          </w:p>
          <w:p w14:paraId="58CA7D29" w14:textId="77777777" w:rsidR="009C4761" w:rsidRPr="00A439BD" w:rsidRDefault="009C4761" w:rsidP="009C4761">
            <w:pPr>
              <w:widowControl w:val="0"/>
              <w:autoSpaceDE w:val="0"/>
              <w:autoSpaceDN w:val="0"/>
              <w:adjustRightInd w:val="0"/>
              <w:rPr>
                <w:rFonts w:ascii="Arial" w:hAnsi="Arial" w:cs="Arial"/>
                <w:b w:val="0"/>
                <w:bCs w:val="0"/>
                <w:color w:val="333333"/>
                <w:shd w:val="clear" w:color="auto" w:fill="FFFFFF"/>
              </w:rPr>
            </w:pPr>
            <w:r w:rsidRPr="00A439BD">
              <w:rPr>
                <w:rFonts w:ascii="Arial" w:hAnsi="Arial" w:cs="Arial"/>
                <w:b w:val="0"/>
                <w:bCs w:val="0"/>
                <w:color w:val="333333"/>
                <w:shd w:val="clear" w:color="auto" w:fill="FFFFFF"/>
              </w:rPr>
              <w:t xml:space="preserve">Diagnosis </w:t>
            </w:r>
          </w:p>
        </w:tc>
        <w:tc>
          <w:tcPr>
            <w:tcW w:w="5024" w:type="dxa"/>
          </w:tcPr>
          <w:p w14:paraId="6B306901" w14:textId="77777777" w:rsidR="009C4761" w:rsidRPr="00A439BD" w:rsidRDefault="009C4761" w:rsidP="009C4761">
            <w:pPr>
              <w:widowControl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333333"/>
                <w:shd w:val="clear" w:color="auto" w:fill="FFFFFF"/>
              </w:rPr>
            </w:pPr>
          </w:p>
        </w:tc>
      </w:tr>
      <w:tr w:rsidR="009C4761" w:rsidRPr="00A439BD" w14:paraId="710A5A58" w14:textId="77777777" w:rsidTr="009C47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6" w:type="dxa"/>
          </w:tcPr>
          <w:p w14:paraId="1F5CD3B4" w14:textId="77777777" w:rsidR="009C4761" w:rsidRPr="00A439BD" w:rsidRDefault="009C4761" w:rsidP="009C4761">
            <w:pPr>
              <w:widowControl w:val="0"/>
              <w:autoSpaceDE w:val="0"/>
              <w:autoSpaceDN w:val="0"/>
              <w:adjustRightInd w:val="0"/>
              <w:rPr>
                <w:rFonts w:ascii="Arial" w:hAnsi="Arial" w:cs="Arial"/>
                <w:b w:val="0"/>
                <w:bCs w:val="0"/>
                <w:color w:val="333333"/>
                <w:shd w:val="clear" w:color="auto" w:fill="FFFFFF"/>
              </w:rPr>
            </w:pPr>
            <w:r w:rsidRPr="00A439BD">
              <w:rPr>
                <w:rFonts w:ascii="Arial" w:hAnsi="Arial" w:cs="Arial"/>
                <w:b w:val="0"/>
                <w:bCs w:val="0"/>
                <w:color w:val="333333"/>
                <w:shd w:val="clear" w:color="auto" w:fill="FFFFFF"/>
              </w:rPr>
              <w:t xml:space="preserve">Bacterial meningitis </w:t>
            </w:r>
            <w:r>
              <w:rPr>
                <w:rFonts w:ascii="Arial" w:hAnsi="Arial" w:cs="Arial"/>
                <w:b w:val="0"/>
                <w:bCs w:val="0"/>
                <w:color w:val="333333"/>
                <w:shd w:val="clear" w:color="auto" w:fill="FFFFFF"/>
              </w:rPr>
              <w:t>(5)</w:t>
            </w:r>
          </w:p>
        </w:tc>
        <w:tc>
          <w:tcPr>
            <w:tcW w:w="5024" w:type="dxa"/>
          </w:tcPr>
          <w:p w14:paraId="47325597" w14:textId="77777777" w:rsidR="009C4761" w:rsidRPr="00A439BD" w:rsidRDefault="009C4761" w:rsidP="009C4761">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color w:val="333333"/>
                <w:shd w:val="clear" w:color="auto" w:fill="FFFFFF"/>
              </w:rPr>
            </w:pPr>
          </w:p>
        </w:tc>
      </w:tr>
      <w:tr w:rsidR="009C4761" w:rsidRPr="00A439BD" w14:paraId="535C726D" w14:textId="77777777" w:rsidTr="009C4761">
        <w:tc>
          <w:tcPr>
            <w:cnfStyle w:val="001000000000" w:firstRow="0" w:lastRow="0" w:firstColumn="1" w:lastColumn="0" w:oddVBand="0" w:evenVBand="0" w:oddHBand="0" w:evenHBand="0" w:firstRowFirstColumn="0" w:firstRowLastColumn="0" w:lastRowFirstColumn="0" w:lastRowLastColumn="0"/>
            <w:tcW w:w="3056" w:type="dxa"/>
          </w:tcPr>
          <w:p w14:paraId="3538CFAA" w14:textId="77777777" w:rsidR="009C4761" w:rsidRPr="00A439BD" w:rsidRDefault="009C4761" w:rsidP="009C4761">
            <w:pPr>
              <w:widowControl w:val="0"/>
              <w:autoSpaceDE w:val="0"/>
              <w:autoSpaceDN w:val="0"/>
              <w:adjustRightInd w:val="0"/>
              <w:rPr>
                <w:rFonts w:ascii="Arial" w:hAnsi="Arial" w:cs="Arial"/>
                <w:b w:val="0"/>
                <w:bCs w:val="0"/>
                <w:color w:val="333333"/>
                <w:shd w:val="clear" w:color="auto" w:fill="FFFFFF"/>
              </w:rPr>
            </w:pPr>
          </w:p>
        </w:tc>
        <w:tc>
          <w:tcPr>
            <w:tcW w:w="5024" w:type="dxa"/>
          </w:tcPr>
          <w:p w14:paraId="5F838399" w14:textId="77777777" w:rsidR="009C4761" w:rsidRPr="00A439BD" w:rsidRDefault="009C4761" w:rsidP="009C4761">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color w:val="333333"/>
                <w:shd w:val="clear" w:color="auto" w:fill="FFFFFF"/>
              </w:rPr>
            </w:pPr>
            <w:r w:rsidRPr="00A439BD">
              <w:rPr>
                <w:rFonts w:ascii="Arial" w:hAnsi="Arial" w:cs="Arial"/>
                <w:color w:val="333333"/>
                <w:shd w:val="clear" w:color="auto" w:fill="FFFFFF"/>
              </w:rPr>
              <w:t>1x</w:t>
            </w:r>
            <w:r>
              <w:rPr>
                <w:rFonts w:ascii="Arial" w:hAnsi="Arial" w:cs="Arial"/>
                <w:color w:val="333333"/>
                <w:shd w:val="clear" w:color="auto" w:fill="FFFFFF"/>
              </w:rPr>
              <w:t xml:space="preserve"> </w:t>
            </w:r>
            <w:r w:rsidRPr="00A439BD">
              <w:rPr>
                <w:rFonts w:ascii="Arial" w:hAnsi="Arial" w:cs="Arial"/>
                <w:color w:val="333333"/>
                <w:shd w:val="clear" w:color="auto" w:fill="FFFFFF"/>
              </w:rPr>
              <w:t>Group B streptococcus</w:t>
            </w:r>
          </w:p>
        </w:tc>
      </w:tr>
      <w:tr w:rsidR="009C4761" w:rsidRPr="00A439BD" w14:paraId="745B19D8" w14:textId="77777777" w:rsidTr="009C47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6" w:type="dxa"/>
          </w:tcPr>
          <w:p w14:paraId="1C9EA461" w14:textId="77777777" w:rsidR="009C4761" w:rsidRPr="00A439BD" w:rsidRDefault="009C4761" w:rsidP="009C4761">
            <w:pPr>
              <w:widowControl w:val="0"/>
              <w:autoSpaceDE w:val="0"/>
              <w:autoSpaceDN w:val="0"/>
              <w:adjustRightInd w:val="0"/>
              <w:rPr>
                <w:rFonts w:ascii="Arial" w:hAnsi="Arial" w:cs="Arial"/>
                <w:b w:val="0"/>
                <w:bCs w:val="0"/>
                <w:color w:val="333333"/>
                <w:shd w:val="clear" w:color="auto" w:fill="FFFFFF"/>
              </w:rPr>
            </w:pPr>
          </w:p>
        </w:tc>
        <w:tc>
          <w:tcPr>
            <w:tcW w:w="5024" w:type="dxa"/>
          </w:tcPr>
          <w:p w14:paraId="0D14DC7B" w14:textId="77777777" w:rsidR="009C4761" w:rsidRPr="00A439BD" w:rsidRDefault="009C4761" w:rsidP="009C4761">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color w:val="333333"/>
                <w:shd w:val="clear" w:color="auto" w:fill="FFFFFF"/>
              </w:rPr>
            </w:pPr>
            <w:r w:rsidRPr="00A439BD">
              <w:rPr>
                <w:rFonts w:ascii="Arial" w:hAnsi="Arial" w:cs="Arial"/>
                <w:color w:val="333333"/>
                <w:shd w:val="clear" w:color="auto" w:fill="FFFFFF"/>
              </w:rPr>
              <w:t>1x</w:t>
            </w:r>
            <w:r>
              <w:rPr>
                <w:rFonts w:ascii="Arial" w:hAnsi="Arial" w:cs="Arial"/>
                <w:color w:val="333333"/>
                <w:shd w:val="clear" w:color="auto" w:fill="FFFFFF"/>
              </w:rPr>
              <w:t xml:space="preserve"> </w:t>
            </w:r>
            <w:r w:rsidRPr="00A439BD">
              <w:rPr>
                <w:rFonts w:ascii="Arial" w:hAnsi="Arial" w:cs="Arial"/>
                <w:color w:val="333333"/>
                <w:shd w:val="clear" w:color="auto" w:fill="FFFFFF"/>
              </w:rPr>
              <w:t xml:space="preserve">Group A streptococcus </w:t>
            </w:r>
          </w:p>
        </w:tc>
      </w:tr>
      <w:tr w:rsidR="009C4761" w:rsidRPr="00A439BD" w14:paraId="595629C6" w14:textId="77777777" w:rsidTr="009C4761">
        <w:tc>
          <w:tcPr>
            <w:cnfStyle w:val="001000000000" w:firstRow="0" w:lastRow="0" w:firstColumn="1" w:lastColumn="0" w:oddVBand="0" w:evenVBand="0" w:oddHBand="0" w:evenHBand="0" w:firstRowFirstColumn="0" w:firstRowLastColumn="0" w:lastRowFirstColumn="0" w:lastRowLastColumn="0"/>
            <w:tcW w:w="3056" w:type="dxa"/>
          </w:tcPr>
          <w:p w14:paraId="65FB7864" w14:textId="77777777" w:rsidR="009C4761" w:rsidRPr="00A439BD" w:rsidRDefault="009C4761" w:rsidP="009C4761">
            <w:pPr>
              <w:widowControl w:val="0"/>
              <w:autoSpaceDE w:val="0"/>
              <w:autoSpaceDN w:val="0"/>
              <w:adjustRightInd w:val="0"/>
              <w:rPr>
                <w:rFonts w:ascii="Arial" w:hAnsi="Arial" w:cs="Arial"/>
                <w:b w:val="0"/>
                <w:bCs w:val="0"/>
                <w:color w:val="333333"/>
                <w:shd w:val="clear" w:color="auto" w:fill="FFFFFF"/>
              </w:rPr>
            </w:pPr>
          </w:p>
        </w:tc>
        <w:tc>
          <w:tcPr>
            <w:tcW w:w="5024" w:type="dxa"/>
          </w:tcPr>
          <w:p w14:paraId="7B467728" w14:textId="77777777" w:rsidR="009C4761" w:rsidRPr="00A439BD" w:rsidRDefault="009C4761" w:rsidP="009C4761">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color w:val="333333"/>
                <w:shd w:val="clear" w:color="auto" w:fill="FFFFFF"/>
              </w:rPr>
            </w:pPr>
            <w:r w:rsidRPr="00A439BD">
              <w:rPr>
                <w:rFonts w:ascii="Arial" w:hAnsi="Arial" w:cs="Arial"/>
                <w:color w:val="333333"/>
                <w:shd w:val="clear" w:color="auto" w:fill="FFFFFF"/>
              </w:rPr>
              <w:t>1x</w:t>
            </w:r>
            <w:r>
              <w:rPr>
                <w:rFonts w:ascii="Arial" w:hAnsi="Arial" w:cs="Arial"/>
                <w:color w:val="333333"/>
                <w:shd w:val="clear" w:color="auto" w:fill="FFFFFF"/>
              </w:rPr>
              <w:t xml:space="preserve"> </w:t>
            </w:r>
            <w:r w:rsidRPr="00A439BD">
              <w:rPr>
                <w:rFonts w:ascii="Arial" w:hAnsi="Arial" w:cs="Arial"/>
                <w:color w:val="333333"/>
                <w:shd w:val="clear" w:color="auto" w:fill="FFFFFF"/>
              </w:rPr>
              <w:t>Streptococcus pneumoniae</w:t>
            </w:r>
          </w:p>
        </w:tc>
      </w:tr>
      <w:tr w:rsidR="009C4761" w:rsidRPr="00A439BD" w14:paraId="75F954DC" w14:textId="77777777" w:rsidTr="009C47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6" w:type="dxa"/>
          </w:tcPr>
          <w:p w14:paraId="598D6EAA" w14:textId="77777777" w:rsidR="009C4761" w:rsidRPr="00A439BD" w:rsidRDefault="009C4761" w:rsidP="009C4761">
            <w:pPr>
              <w:widowControl w:val="0"/>
              <w:autoSpaceDE w:val="0"/>
              <w:autoSpaceDN w:val="0"/>
              <w:adjustRightInd w:val="0"/>
              <w:rPr>
                <w:rFonts w:ascii="Arial" w:hAnsi="Arial" w:cs="Arial"/>
                <w:b w:val="0"/>
                <w:bCs w:val="0"/>
                <w:color w:val="333333"/>
                <w:shd w:val="clear" w:color="auto" w:fill="FFFFFF"/>
              </w:rPr>
            </w:pPr>
          </w:p>
        </w:tc>
        <w:tc>
          <w:tcPr>
            <w:tcW w:w="5024" w:type="dxa"/>
          </w:tcPr>
          <w:p w14:paraId="21DB5284" w14:textId="77777777" w:rsidR="009C4761" w:rsidRPr="00A439BD" w:rsidRDefault="009C4761" w:rsidP="009C4761">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color w:val="333333"/>
                <w:shd w:val="clear" w:color="auto" w:fill="FFFFFF"/>
              </w:rPr>
            </w:pPr>
            <w:r w:rsidRPr="00A439BD">
              <w:rPr>
                <w:rFonts w:ascii="Arial" w:hAnsi="Arial" w:cs="Arial"/>
                <w:color w:val="333333"/>
                <w:shd w:val="clear" w:color="auto" w:fill="FFFFFF"/>
              </w:rPr>
              <w:t>1x</w:t>
            </w:r>
            <w:r>
              <w:rPr>
                <w:rFonts w:ascii="Arial" w:hAnsi="Arial" w:cs="Arial"/>
                <w:color w:val="333333"/>
                <w:shd w:val="clear" w:color="auto" w:fill="FFFFFF"/>
              </w:rPr>
              <w:t xml:space="preserve"> </w:t>
            </w:r>
            <w:r w:rsidRPr="00A439BD">
              <w:rPr>
                <w:rFonts w:ascii="Arial" w:hAnsi="Arial" w:cs="Arial"/>
                <w:color w:val="333333"/>
                <w:shd w:val="clear" w:color="auto" w:fill="FFFFFF"/>
              </w:rPr>
              <w:t xml:space="preserve">Enterococcus </w:t>
            </w:r>
          </w:p>
        </w:tc>
      </w:tr>
      <w:tr w:rsidR="009C4761" w:rsidRPr="00A439BD" w14:paraId="6B5C1097" w14:textId="77777777" w:rsidTr="009C4761">
        <w:tc>
          <w:tcPr>
            <w:cnfStyle w:val="001000000000" w:firstRow="0" w:lastRow="0" w:firstColumn="1" w:lastColumn="0" w:oddVBand="0" w:evenVBand="0" w:oddHBand="0" w:evenHBand="0" w:firstRowFirstColumn="0" w:firstRowLastColumn="0" w:lastRowFirstColumn="0" w:lastRowLastColumn="0"/>
            <w:tcW w:w="3056" w:type="dxa"/>
          </w:tcPr>
          <w:p w14:paraId="793983FD" w14:textId="77777777" w:rsidR="009C4761" w:rsidRPr="00A439BD" w:rsidRDefault="009C4761" w:rsidP="009C4761">
            <w:pPr>
              <w:widowControl w:val="0"/>
              <w:autoSpaceDE w:val="0"/>
              <w:autoSpaceDN w:val="0"/>
              <w:adjustRightInd w:val="0"/>
              <w:rPr>
                <w:rFonts w:ascii="Arial" w:hAnsi="Arial" w:cs="Arial"/>
                <w:b w:val="0"/>
                <w:bCs w:val="0"/>
                <w:color w:val="333333"/>
                <w:shd w:val="clear" w:color="auto" w:fill="FFFFFF"/>
              </w:rPr>
            </w:pPr>
          </w:p>
        </w:tc>
        <w:tc>
          <w:tcPr>
            <w:tcW w:w="5024" w:type="dxa"/>
          </w:tcPr>
          <w:p w14:paraId="2E897BB8" w14:textId="77777777" w:rsidR="009C4761" w:rsidRPr="00A439BD" w:rsidRDefault="009C4761" w:rsidP="009C4761">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color w:val="333333"/>
                <w:shd w:val="clear" w:color="auto" w:fill="FFFFFF"/>
              </w:rPr>
            </w:pPr>
            <w:r w:rsidRPr="00A439BD">
              <w:rPr>
                <w:rFonts w:ascii="Arial" w:hAnsi="Arial" w:cs="Arial"/>
                <w:color w:val="333333"/>
                <w:shd w:val="clear" w:color="auto" w:fill="FFFFFF"/>
              </w:rPr>
              <w:t>1x</w:t>
            </w:r>
            <w:r>
              <w:rPr>
                <w:rFonts w:ascii="Arial" w:hAnsi="Arial" w:cs="Arial"/>
                <w:color w:val="333333"/>
                <w:shd w:val="clear" w:color="auto" w:fill="FFFFFF"/>
              </w:rPr>
              <w:t xml:space="preserve"> Escherichia </w:t>
            </w:r>
            <w:r w:rsidRPr="00A439BD">
              <w:rPr>
                <w:rFonts w:ascii="Arial" w:hAnsi="Arial" w:cs="Arial"/>
                <w:color w:val="333333"/>
                <w:shd w:val="clear" w:color="auto" w:fill="FFFFFF"/>
              </w:rPr>
              <w:t>Coli</w:t>
            </w:r>
          </w:p>
        </w:tc>
      </w:tr>
      <w:tr w:rsidR="009C4761" w:rsidRPr="00A439BD" w14:paraId="01BEDFC1" w14:textId="77777777" w:rsidTr="009C47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6" w:type="dxa"/>
          </w:tcPr>
          <w:p w14:paraId="45F56D63" w14:textId="77777777" w:rsidR="009C4761" w:rsidRPr="00A439BD" w:rsidRDefault="009C4761" w:rsidP="009C4761">
            <w:pPr>
              <w:widowControl w:val="0"/>
              <w:autoSpaceDE w:val="0"/>
              <w:autoSpaceDN w:val="0"/>
              <w:adjustRightInd w:val="0"/>
              <w:rPr>
                <w:rFonts w:ascii="Arial" w:hAnsi="Arial" w:cs="Arial"/>
                <w:b w:val="0"/>
                <w:bCs w:val="0"/>
                <w:color w:val="333333"/>
                <w:shd w:val="clear" w:color="auto" w:fill="FFFFFF"/>
              </w:rPr>
            </w:pPr>
            <w:r w:rsidRPr="00A439BD">
              <w:rPr>
                <w:rFonts w:ascii="Arial" w:hAnsi="Arial" w:cs="Arial"/>
                <w:b w:val="0"/>
                <w:bCs w:val="0"/>
                <w:color w:val="333333"/>
                <w:shd w:val="clear" w:color="auto" w:fill="FFFFFF"/>
              </w:rPr>
              <w:t>Bacteraemia</w:t>
            </w:r>
            <w:r>
              <w:rPr>
                <w:rFonts w:ascii="Arial" w:hAnsi="Arial" w:cs="Arial"/>
                <w:b w:val="0"/>
                <w:bCs w:val="0"/>
                <w:color w:val="333333"/>
                <w:shd w:val="clear" w:color="auto" w:fill="FFFFFF"/>
              </w:rPr>
              <w:t xml:space="preserve"> (7)</w:t>
            </w:r>
          </w:p>
        </w:tc>
        <w:tc>
          <w:tcPr>
            <w:tcW w:w="5024" w:type="dxa"/>
          </w:tcPr>
          <w:p w14:paraId="7372449B" w14:textId="77777777" w:rsidR="009C4761" w:rsidRPr="00A439BD" w:rsidRDefault="009C4761" w:rsidP="009C4761">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color w:val="333333"/>
                <w:shd w:val="clear" w:color="auto" w:fill="FFFFFF"/>
              </w:rPr>
            </w:pPr>
          </w:p>
        </w:tc>
      </w:tr>
      <w:tr w:rsidR="009C4761" w:rsidRPr="00A439BD" w14:paraId="160A6F00" w14:textId="77777777" w:rsidTr="009C4761">
        <w:tc>
          <w:tcPr>
            <w:cnfStyle w:val="001000000000" w:firstRow="0" w:lastRow="0" w:firstColumn="1" w:lastColumn="0" w:oddVBand="0" w:evenVBand="0" w:oddHBand="0" w:evenHBand="0" w:firstRowFirstColumn="0" w:firstRowLastColumn="0" w:lastRowFirstColumn="0" w:lastRowLastColumn="0"/>
            <w:tcW w:w="3056" w:type="dxa"/>
          </w:tcPr>
          <w:p w14:paraId="129AA2E4" w14:textId="77777777" w:rsidR="009C4761" w:rsidRPr="00A439BD" w:rsidRDefault="009C4761" w:rsidP="009C4761">
            <w:pPr>
              <w:widowControl w:val="0"/>
              <w:autoSpaceDE w:val="0"/>
              <w:autoSpaceDN w:val="0"/>
              <w:adjustRightInd w:val="0"/>
              <w:rPr>
                <w:rFonts w:ascii="Arial" w:hAnsi="Arial" w:cs="Arial"/>
                <w:b w:val="0"/>
                <w:bCs w:val="0"/>
                <w:color w:val="333333"/>
                <w:shd w:val="clear" w:color="auto" w:fill="FFFFFF"/>
              </w:rPr>
            </w:pPr>
          </w:p>
        </w:tc>
        <w:tc>
          <w:tcPr>
            <w:tcW w:w="5024" w:type="dxa"/>
          </w:tcPr>
          <w:p w14:paraId="5167CC03" w14:textId="77777777" w:rsidR="009C4761" w:rsidRPr="00A439BD" w:rsidRDefault="009C4761" w:rsidP="009C4761">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color w:val="333333"/>
                <w:shd w:val="clear" w:color="auto" w:fill="FFFFFF"/>
              </w:rPr>
            </w:pPr>
            <w:r w:rsidRPr="00A439BD">
              <w:rPr>
                <w:rFonts w:ascii="Arial" w:hAnsi="Arial" w:cs="Arial"/>
                <w:color w:val="333333"/>
                <w:shd w:val="clear" w:color="auto" w:fill="FFFFFF"/>
              </w:rPr>
              <w:t>1x Group B streptococcus</w:t>
            </w:r>
          </w:p>
        </w:tc>
      </w:tr>
      <w:tr w:rsidR="009C4761" w:rsidRPr="00A439BD" w14:paraId="15AA98AD" w14:textId="77777777" w:rsidTr="009C47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6" w:type="dxa"/>
          </w:tcPr>
          <w:p w14:paraId="295119A9" w14:textId="77777777" w:rsidR="009C4761" w:rsidRPr="00A439BD" w:rsidRDefault="009C4761" w:rsidP="009C4761">
            <w:pPr>
              <w:widowControl w:val="0"/>
              <w:autoSpaceDE w:val="0"/>
              <w:autoSpaceDN w:val="0"/>
              <w:adjustRightInd w:val="0"/>
              <w:rPr>
                <w:rFonts w:ascii="Arial" w:hAnsi="Arial" w:cs="Arial"/>
                <w:b w:val="0"/>
                <w:bCs w:val="0"/>
                <w:color w:val="333333"/>
                <w:shd w:val="clear" w:color="auto" w:fill="FFFFFF"/>
              </w:rPr>
            </w:pPr>
          </w:p>
        </w:tc>
        <w:tc>
          <w:tcPr>
            <w:tcW w:w="5024" w:type="dxa"/>
          </w:tcPr>
          <w:p w14:paraId="275226E3" w14:textId="77777777" w:rsidR="009C4761" w:rsidRPr="00A439BD" w:rsidRDefault="009C4761" w:rsidP="009C4761">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color w:val="333333"/>
                <w:shd w:val="clear" w:color="auto" w:fill="FFFFFF"/>
              </w:rPr>
            </w:pPr>
            <w:r w:rsidRPr="00A439BD">
              <w:rPr>
                <w:rFonts w:ascii="Arial" w:hAnsi="Arial" w:cs="Arial"/>
                <w:color w:val="333333"/>
                <w:shd w:val="clear" w:color="auto" w:fill="FFFFFF"/>
              </w:rPr>
              <w:t xml:space="preserve">5x </w:t>
            </w:r>
            <w:r>
              <w:rPr>
                <w:rFonts w:ascii="Arial" w:hAnsi="Arial" w:cs="Arial"/>
                <w:color w:val="333333"/>
                <w:shd w:val="clear" w:color="auto" w:fill="FFFFFF"/>
              </w:rPr>
              <w:t xml:space="preserve">Escherichia </w:t>
            </w:r>
            <w:r w:rsidRPr="00A439BD">
              <w:rPr>
                <w:rFonts w:ascii="Arial" w:hAnsi="Arial" w:cs="Arial"/>
                <w:color w:val="333333"/>
                <w:shd w:val="clear" w:color="auto" w:fill="FFFFFF"/>
              </w:rPr>
              <w:t>Coli</w:t>
            </w:r>
          </w:p>
        </w:tc>
      </w:tr>
      <w:tr w:rsidR="009C4761" w:rsidRPr="00A439BD" w14:paraId="654F73FF" w14:textId="77777777" w:rsidTr="009C4761">
        <w:tc>
          <w:tcPr>
            <w:cnfStyle w:val="001000000000" w:firstRow="0" w:lastRow="0" w:firstColumn="1" w:lastColumn="0" w:oddVBand="0" w:evenVBand="0" w:oddHBand="0" w:evenHBand="0" w:firstRowFirstColumn="0" w:firstRowLastColumn="0" w:lastRowFirstColumn="0" w:lastRowLastColumn="0"/>
            <w:tcW w:w="3056" w:type="dxa"/>
          </w:tcPr>
          <w:p w14:paraId="4CAFDFE4" w14:textId="77777777" w:rsidR="009C4761" w:rsidRPr="00A439BD" w:rsidRDefault="009C4761" w:rsidP="009C4761">
            <w:pPr>
              <w:widowControl w:val="0"/>
              <w:autoSpaceDE w:val="0"/>
              <w:autoSpaceDN w:val="0"/>
              <w:adjustRightInd w:val="0"/>
              <w:rPr>
                <w:rFonts w:ascii="Arial" w:hAnsi="Arial" w:cs="Arial"/>
                <w:b w:val="0"/>
                <w:bCs w:val="0"/>
                <w:color w:val="333333"/>
                <w:shd w:val="clear" w:color="auto" w:fill="FFFFFF"/>
              </w:rPr>
            </w:pPr>
          </w:p>
        </w:tc>
        <w:tc>
          <w:tcPr>
            <w:tcW w:w="5024" w:type="dxa"/>
          </w:tcPr>
          <w:p w14:paraId="122D0CC4" w14:textId="77777777" w:rsidR="009C4761" w:rsidRPr="00A439BD" w:rsidRDefault="009C4761" w:rsidP="009C4761">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color w:val="333333"/>
                <w:shd w:val="clear" w:color="auto" w:fill="FFFFFF"/>
              </w:rPr>
            </w:pPr>
            <w:r w:rsidRPr="00A439BD">
              <w:rPr>
                <w:rFonts w:ascii="Arial" w:hAnsi="Arial" w:cs="Arial"/>
                <w:color w:val="333333"/>
                <w:shd w:val="clear" w:color="auto" w:fill="FFFFFF"/>
              </w:rPr>
              <w:t>1x Neisseria meningitidis B</w:t>
            </w:r>
          </w:p>
        </w:tc>
      </w:tr>
      <w:tr w:rsidR="009C4761" w:rsidRPr="00A439BD" w14:paraId="2AC69366" w14:textId="77777777" w:rsidTr="009C47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6" w:type="dxa"/>
          </w:tcPr>
          <w:p w14:paraId="3421F1B4" w14:textId="77777777" w:rsidR="009C4761" w:rsidRPr="00A439BD" w:rsidRDefault="009C4761" w:rsidP="009C4761">
            <w:pPr>
              <w:widowControl w:val="0"/>
              <w:autoSpaceDE w:val="0"/>
              <w:autoSpaceDN w:val="0"/>
              <w:adjustRightInd w:val="0"/>
              <w:rPr>
                <w:rFonts w:ascii="Arial" w:hAnsi="Arial" w:cs="Arial"/>
                <w:b w:val="0"/>
                <w:bCs w:val="0"/>
                <w:color w:val="333333"/>
                <w:shd w:val="clear" w:color="auto" w:fill="FFFFFF"/>
              </w:rPr>
            </w:pPr>
            <w:r w:rsidRPr="00A439BD">
              <w:rPr>
                <w:rFonts w:ascii="Arial" w:hAnsi="Arial" w:cs="Arial"/>
                <w:b w:val="0"/>
                <w:bCs w:val="0"/>
                <w:color w:val="333333"/>
                <w:shd w:val="clear" w:color="auto" w:fill="FFFFFF"/>
              </w:rPr>
              <w:t>Urinary tract infection</w:t>
            </w:r>
            <w:r>
              <w:rPr>
                <w:rFonts w:ascii="Arial" w:hAnsi="Arial" w:cs="Arial"/>
                <w:b w:val="0"/>
                <w:bCs w:val="0"/>
                <w:color w:val="333333"/>
                <w:shd w:val="clear" w:color="auto" w:fill="FFFFFF"/>
              </w:rPr>
              <w:t xml:space="preserve"> (66)</w:t>
            </w:r>
          </w:p>
        </w:tc>
        <w:tc>
          <w:tcPr>
            <w:tcW w:w="5024" w:type="dxa"/>
          </w:tcPr>
          <w:p w14:paraId="154247BB" w14:textId="77777777" w:rsidR="009C4761" w:rsidRPr="00A439BD" w:rsidRDefault="009C4761" w:rsidP="009C4761">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color w:val="333333"/>
                <w:shd w:val="clear" w:color="auto" w:fill="FFFFFF"/>
              </w:rPr>
            </w:pPr>
          </w:p>
        </w:tc>
      </w:tr>
      <w:tr w:rsidR="009C4761" w:rsidRPr="00A439BD" w14:paraId="65A98234" w14:textId="77777777" w:rsidTr="009C4761">
        <w:tc>
          <w:tcPr>
            <w:cnfStyle w:val="001000000000" w:firstRow="0" w:lastRow="0" w:firstColumn="1" w:lastColumn="0" w:oddVBand="0" w:evenVBand="0" w:oddHBand="0" w:evenHBand="0" w:firstRowFirstColumn="0" w:firstRowLastColumn="0" w:lastRowFirstColumn="0" w:lastRowLastColumn="0"/>
            <w:tcW w:w="3056" w:type="dxa"/>
          </w:tcPr>
          <w:p w14:paraId="1F1167F4" w14:textId="77777777" w:rsidR="009C4761" w:rsidRPr="00A439BD" w:rsidRDefault="009C4761" w:rsidP="009C4761">
            <w:pPr>
              <w:widowControl w:val="0"/>
              <w:autoSpaceDE w:val="0"/>
              <w:autoSpaceDN w:val="0"/>
              <w:adjustRightInd w:val="0"/>
              <w:rPr>
                <w:rFonts w:ascii="Arial" w:hAnsi="Arial" w:cs="Arial"/>
                <w:b w:val="0"/>
                <w:bCs w:val="0"/>
                <w:color w:val="333333"/>
                <w:shd w:val="clear" w:color="auto" w:fill="FFFFFF"/>
              </w:rPr>
            </w:pPr>
          </w:p>
        </w:tc>
        <w:tc>
          <w:tcPr>
            <w:tcW w:w="5024" w:type="dxa"/>
          </w:tcPr>
          <w:p w14:paraId="79CDC272" w14:textId="77777777" w:rsidR="009C4761" w:rsidRPr="00A439BD" w:rsidRDefault="009C4761" w:rsidP="009C4761">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color w:val="333333"/>
                <w:shd w:val="clear" w:color="auto" w:fill="FFFFFF"/>
              </w:rPr>
            </w:pPr>
            <w:r w:rsidRPr="00A439BD">
              <w:rPr>
                <w:rFonts w:ascii="Arial" w:hAnsi="Arial" w:cs="Arial"/>
                <w:color w:val="333333"/>
                <w:shd w:val="clear" w:color="auto" w:fill="FFFFFF"/>
              </w:rPr>
              <w:t xml:space="preserve">45x </w:t>
            </w:r>
            <w:r>
              <w:rPr>
                <w:rFonts w:ascii="Arial" w:hAnsi="Arial" w:cs="Arial"/>
                <w:color w:val="333333"/>
                <w:shd w:val="clear" w:color="auto" w:fill="FFFFFF"/>
              </w:rPr>
              <w:t>Escherichia</w:t>
            </w:r>
            <w:r w:rsidRPr="00A439BD" w:rsidDel="00EC1010">
              <w:rPr>
                <w:rFonts w:ascii="Arial" w:hAnsi="Arial" w:cs="Arial"/>
                <w:color w:val="333333"/>
                <w:shd w:val="clear" w:color="auto" w:fill="FFFFFF"/>
              </w:rPr>
              <w:t xml:space="preserve"> </w:t>
            </w:r>
            <w:r>
              <w:rPr>
                <w:rFonts w:ascii="Arial" w:hAnsi="Arial" w:cs="Arial"/>
                <w:color w:val="333333"/>
                <w:shd w:val="clear" w:color="auto" w:fill="FFFFFF"/>
              </w:rPr>
              <w:t xml:space="preserve"> </w:t>
            </w:r>
            <w:r w:rsidRPr="00A439BD">
              <w:rPr>
                <w:rFonts w:ascii="Arial" w:hAnsi="Arial" w:cs="Arial"/>
                <w:color w:val="333333"/>
                <w:shd w:val="clear" w:color="auto" w:fill="FFFFFF"/>
              </w:rPr>
              <w:t>Coli</w:t>
            </w:r>
          </w:p>
        </w:tc>
      </w:tr>
      <w:tr w:rsidR="009C4761" w:rsidRPr="00A439BD" w14:paraId="438E6564" w14:textId="77777777" w:rsidTr="009C47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6" w:type="dxa"/>
          </w:tcPr>
          <w:p w14:paraId="32F4E939" w14:textId="77777777" w:rsidR="009C4761" w:rsidRPr="00A439BD" w:rsidRDefault="009C4761" w:rsidP="009C4761">
            <w:pPr>
              <w:widowControl w:val="0"/>
              <w:autoSpaceDE w:val="0"/>
              <w:autoSpaceDN w:val="0"/>
              <w:adjustRightInd w:val="0"/>
              <w:rPr>
                <w:rFonts w:ascii="Arial" w:hAnsi="Arial" w:cs="Arial"/>
                <w:b w:val="0"/>
                <w:bCs w:val="0"/>
                <w:color w:val="333333"/>
                <w:shd w:val="clear" w:color="auto" w:fill="FFFFFF"/>
              </w:rPr>
            </w:pPr>
          </w:p>
        </w:tc>
        <w:tc>
          <w:tcPr>
            <w:tcW w:w="5024" w:type="dxa"/>
          </w:tcPr>
          <w:p w14:paraId="78A3EB7F" w14:textId="77777777" w:rsidR="009C4761" w:rsidRPr="00A439BD" w:rsidRDefault="009C4761" w:rsidP="009C4761">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color w:val="333333"/>
                <w:shd w:val="clear" w:color="auto" w:fill="FFFFFF"/>
              </w:rPr>
            </w:pPr>
            <w:r w:rsidRPr="00A439BD">
              <w:rPr>
                <w:rFonts w:ascii="Arial" w:hAnsi="Arial" w:cs="Arial"/>
                <w:color w:val="333333"/>
                <w:shd w:val="clear" w:color="auto" w:fill="FFFFFF"/>
              </w:rPr>
              <w:t xml:space="preserve">7x </w:t>
            </w:r>
            <w:r>
              <w:rPr>
                <w:rFonts w:ascii="Arial" w:hAnsi="Arial" w:cs="Arial"/>
                <w:color w:val="333333"/>
                <w:shd w:val="clear" w:color="auto" w:fill="FFFFFF"/>
              </w:rPr>
              <w:t xml:space="preserve">  </w:t>
            </w:r>
            <w:r w:rsidRPr="00A439BD">
              <w:rPr>
                <w:rFonts w:ascii="Arial" w:hAnsi="Arial" w:cs="Arial"/>
                <w:color w:val="333333"/>
                <w:shd w:val="clear" w:color="auto" w:fill="FFFFFF"/>
              </w:rPr>
              <w:t>Enterococcus</w:t>
            </w:r>
          </w:p>
        </w:tc>
      </w:tr>
      <w:tr w:rsidR="009C4761" w:rsidRPr="00A439BD" w14:paraId="41EC7CEB" w14:textId="77777777" w:rsidTr="009C4761">
        <w:tc>
          <w:tcPr>
            <w:cnfStyle w:val="001000000000" w:firstRow="0" w:lastRow="0" w:firstColumn="1" w:lastColumn="0" w:oddVBand="0" w:evenVBand="0" w:oddHBand="0" w:evenHBand="0" w:firstRowFirstColumn="0" w:firstRowLastColumn="0" w:lastRowFirstColumn="0" w:lastRowLastColumn="0"/>
            <w:tcW w:w="3056" w:type="dxa"/>
          </w:tcPr>
          <w:p w14:paraId="48D489B7" w14:textId="77777777" w:rsidR="009C4761" w:rsidRPr="00A439BD" w:rsidRDefault="009C4761" w:rsidP="009C4761">
            <w:pPr>
              <w:widowControl w:val="0"/>
              <w:autoSpaceDE w:val="0"/>
              <w:autoSpaceDN w:val="0"/>
              <w:adjustRightInd w:val="0"/>
              <w:rPr>
                <w:rFonts w:ascii="Arial" w:hAnsi="Arial" w:cs="Arial"/>
                <w:b w:val="0"/>
                <w:bCs w:val="0"/>
                <w:color w:val="333333"/>
                <w:shd w:val="clear" w:color="auto" w:fill="FFFFFF"/>
              </w:rPr>
            </w:pPr>
          </w:p>
        </w:tc>
        <w:tc>
          <w:tcPr>
            <w:tcW w:w="5024" w:type="dxa"/>
          </w:tcPr>
          <w:p w14:paraId="1CB409E6" w14:textId="77777777" w:rsidR="009C4761" w:rsidRPr="00A439BD" w:rsidRDefault="009C4761" w:rsidP="009C4761">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color w:val="333333"/>
                <w:shd w:val="clear" w:color="auto" w:fill="FFFFFF"/>
              </w:rPr>
            </w:pPr>
            <w:r w:rsidRPr="00A439BD">
              <w:rPr>
                <w:rFonts w:ascii="Arial" w:hAnsi="Arial" w:cs="Arial"/>
                <w:color w:val="333333"/>
                <w:shd w:val="clear" w:color="auto" w:fill="FFFFFF"/>
              </w:rPr>
              <w:t xml:space="preserve">3x </w:t>
            </w:r>
            <w:r>
              <w:rPr>
                <w:rFonts w:ascii="Arial" w:hAnsi="Arial" w:cs="Arial"/>
                <w:color w:val="333333"/>
                <w:shd w:val="clear" w:color="auto" w:fill="FFFFFF"/>
              </w:rPr>
              <w:t xml:space="preserve">  </w:t>
            </w:r>
            <w:r w:rsidRPr="00A439BD">
              <w:rPr>
                <w:rFonts w:ascii="Arial" w:hAnsi="Arial" w:cs="Arial"/>
                <w:color w:val="333333"/>
                <w:shd w:val="clear" w:color="auto" w:fill="FFFFFF"/>
              </w:rPr>
              <w:t>Pseudomonas</w:t>
            </w:r>
          </w:p>
        </w:tc>
      </w:tr>
      <w:tr w:rsidR="009C4761" w:rsidRPr="00A439BD" w14:paraId="452F8EA2" w14:textId="77777777" w:rsidTr="009C47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6" w:type="dxa"/>
          </w:tcPr>
          <w:p w14:paraId="28811E56" w14:textId="77777777" w:rsidR="009C4761" w:rsidRPr="00A439BD" w:rsidRDefault="009C4761" w:rsidP="009C4761">
            <w:pPr>
              <w:widowControl w:val="0"/>
              <w:autoSpaceDE w:val="0"/>
              <w:autoSpaceDN w:val="0"/>
              <w:adjustRightInd w:val="0"/>
              <w:rPr>
                <w:rFonts w:ascii="Arial" w:hAnsi="Arial" w:cs="Arial"/>
                <w:b w:val="0"/>
                <w:bCs w:val="0"/>
                <w:color w:val="333333"/>
                <w:shd w:val="clear" w:color="auto" w:fill="FFFFFF"/>
              </w:rPr>
            </w:pPr>
          </w:p>
        </w:tc>
        <w:tc>
          <w:tcPr>
            <w:tcW w:w="5024" w:type="dxa"/>
          </w:tcPr>
          <w:p w14:paraId="7C759059" w14:textId="77777777" w:rsidR="009C4761" w:rsidRPr="00A439BD" w:rsidRDefault="009C4761" w:rsidP="009C4761">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color w:val="333333"/>
                <w:shd w:val="clear" w:color="auto" w:fill="FFFFFF"/>
              </w:rPr>
            </w:pPr>
            <w:r w:rsidRPr="00A439BD">
              <w:rPr>
                <w:rFonts w:ascii="Arial" w:hAnsi="Arial" w:cs="Arial"/>
                <w:color w:val="333333"/>
                <w:shd w:val="clear" w:color="auto" w:fill="FFFFFF"/>
              </w:rPr>
              <w:t xml:space="preserve">3x </w:t>
            </w:r>
            <w:r>
              <w:rPr>
                <w:rFonts w:ascii="Arial" w:hAnsi="Arial" w:cs="Arial"/>
                <w:color w:val="333333"/>
                <w:shd w:val="clear" w:color="auto" w:fill="FFFFFF"/>
              </w:rPr>
              <w:t xml:space="preserve">  </w:t>
            </w:r>
            <w:r w:rsidRPr="00A439BD">
              <w:rPr>
                <w:rFonts w:ascii="Arial" w:hAnsi="Arial" w:cs="Arial"/>
                <w:color w:val="333333"/>
                <w:shd w:val="clear" w:color="auto" w:fill="FFFFFF"/>
              </w:rPr>
              <w:t>Klebsiella</w:t>
            </w:r>
          </w:p>
        </w:tc>
      </w:tr>
      <w:tr w:rsidR="009C4761" w:rsidRPr="00A439BD" w14:paraId="7D099397" w14:textId="77777777" w:rsidTr="009C4761">
        <w:tc>
          <w:tcPr>
            <w:cnfStyle w:val="001000000000" w:firstRow="0" w:lastRow="0" w:firstColumn="1" w:lastColumn="0" w:oddVBand="0" w:evenVBand="0" w:oddHBand="0" w:evenHBand="0" w:firstRowFirstColumn="0" w:firstRowLastColumn="0" w:lastRowFirstColumn="0" w:lastRowLastColumn="0"/>
            <w:tcW w:w="3056" w:type="dxa"/>
          </w:tcPr>
          <w:p w14:paraId="4C7FB0B2" w14:textId="77777777" w:rsidR="009C4761" w:rsidRPr="00A439BD" w:rsidRDefault="009C4761" w:rsidP="009C4761">
            <w:pPr>
              <w:widowControl w:val="0"/>
              <w:autoSpaceDE w:val="0"/>
              <w:autoSpaceDN w:val="0"/>
              <w:adjustRightInd w:val="0"/>
              <w:rPr>
                <w:rFonts w:ascii="Arial" w:hAnsi="Arial" w:cs="Arial"/>
                <w:b w:val="0"/>
                <w:bCs w:val="0"/>
                <w:color w:val="333333"/>
                <w:shd w:val="clear" w:color="auto" w:fill="FFFFFF"/>
              </w:rPr>
            </w:pPr>
          </w:p>
        </w:tc>
        <w:tc>
          <w:tcPr>
            <w:tcW w:w="5024" w:type="dxa"/>
          </w:tcPr>
          <w:p w14:paraId="59AA8051" w14:textId="77777777" w:rsidR="009C4761" w:rsidRPr="00A439BD" w:rsidRDefault="009C4761" w:rsidP="009C4761">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color w:val="333333"/>
                <w:shd w:val="clear" w:color="auto" w:fill="FFFFFF"/>
              </w:rPr>
            </w:pPr>
            <w:r w:rsidRPr="00A439BD">
              <w:rPr>
                <w:rFonts w:ascii="Arial" w:hAnsi="Arial" w:cs="Arial"/>
                <w:color w:val="333333"/>
                <w:shd w:val="clear" w:color="auto" w:fill="FFFFFF"/>
              </w:rPr>
              <w:t xml:space="preserve">8x </w:t>
            </w:r>
            <w:r>
              <w:rPr>
                <w:rFonts w:ascii="Arial" w:hAnsi="Arial" w:cs="Arial"/>
                <w:color w:val="333333"/>
                <w:shd w:val="clear" w:color="auto" w:fill="FFFFFF"/>
              </w:rPr>
              <w:t xml:space="preserve">  </w:t>
            </w:r>
            <w:r w:rsidRPr="00A439BD">
              <w:rPr>
                <w:rFonts w:ascii="Arial" w:hAnsi="Arial" w:cs="Arial"/>
                <w:color w:val="333333"/>
                <w:shd w:val="clear" w:color="auto" w:fill="FFFFFF"/>
              </w:rPr>
              <w:t>Other</w:t>
            </w:r>
          </w:p>
        </w:tc>
      </w:tr>
    </w:tbl>
    <w:p w14:paraId="37CF971A" w14:textId="77777777" w:rsidR="00F37945" w:rsidRPr="00E47820" w:rsidRDefault="00F37945" w:rsidP="00F37945">
      <w:pPr>
        <w:widowControl w:val="0"/>
        <w:autoSpaceDE w:val="0"/>
        <w:autoSpaceDN w:val="0"/>
        <w:adjustRightInd w:val="0"/>
        <w:rPr>
          <w:rFonts w:ascii="Arial" w:hAnsi="Arial" w:cs="Arial"/>
          <w:color w:val="333333"/>
          <w:sz w:val="22"/>
          <w:szCs w:val="22"/>
          <w:shd w:val="clear" w:color="auto" w:fill="FFFFFF"/>
        </w:rPr>
      </w:pPr>
    </w:p>
    <w:p w14:paraId="75FD926C" w14:textId="4219ED7E" w:rsidR="00F37945" w:rsidRPr="00E47820" w:rsidRDefault="00F37945" w:rsidP="00F37945">
      <w:pPr>
        <w:widowControl w:val="0"/>
        <w:autoSpaceDE w:val="0"/>
        <w:autoSpaceDN w:val="0"/>
        <w:adjustRightInd w:val="0"/>
        <w:rPr>
          <w:rFonts w:ascii="Arial" w:hAnsi="Arial" w:cs="Arial"/>
          <w:color w:val="333333"/>
          <w:sz w:val="22"/>
          <w:szCs w:val="22"/>
          <w:shd w:val="clear" w:color="auto" w:fill="FFFFFF"/>
        </w:rPr>
      </w:pPr>
      <w:r w:rsidRPr="00E47820">
        <w:rPr>
          <w:rFonts w:ascii="Arial" w:hAnsi="Arial" w:cs="Arial"/>
          <w:color w:val="333333"/>
          <w:sz w:val="22"/>
          <w:szCs w:val="22"/>
          <w:shd w:val="clear" w:color="auto" w:fill="FFFFFF"/>
        </w:rPr>
        <w:t xml:space="preserve"> </w:t>
      </w:r>
    </w:p>
    <w:p w14:paraId="14DD8E7E" w14:textId="77777777" w:rsidR="00F37945" w:rsidRPr="00E47820" w:rsidRDefault="00F37945" w:rsidP="00F37945">
      <w:pPr>
        <w:rPr>
          <w:rFonts w:ascii="Arial" w:hAnsi="Arial" w:cs="Arial"/>
          <w:sz w:val="22"/>
          <w:szCs w:val="22"/>
        </w:rPr>
      </w:pPr>
    </w:p>
    <w:p w14:paraId="12B02568" w14:textId="5105B130" w:rsidR="00F37945" w:rsidRPr="00E47820" w:rsidRDefault="00F37945" w:rsidP="00F37945"/>
    <w:p w14:paraId="626B5F18" w14:textId="4C2C01B2" w:rsidR="00F37945" w:rsidRPr="00E47820" w:rsidRDefault="00F37945" w:rsidP="00F37945"/>
    <w:p w14:paraId="4F49EBAB" w14:textId="77777777" w:rsidR="00F37945" w:rsidRPr="00E47820" w:rsidRDefault="00F37945" w:rsidP="00F37945"/>
    <w:p w14:paraId="0A97D203" w14:textId="77777777" w:rsidR="00F37945" w:rsidRPr="00E47820" w:rsidRDefault="00F37945" w:rsidP="00F37945">
      <w:pPr>
        <w:widowControl w:val="0"/>
        <w:autoSpaceDE w:val="0"/>
        <w:autoSpaceDN w:val="0"/>
        <w:adjustRightInd w:val="0"/>
        <w:rPr>
          <w:rFonts w:ascii="Arial" w:hAnsi="Arial" w:cs="Arial"/>
          <w:color w:val="333333"/>
          <w:sz w:val="20"/>
          <w:szCs w:val="20"/>
          <w:shd w:val="clear" w:color="auto" w:fill="FFFFFF"/>
        </w:rPr>
      </w:pPr>
    </w:p>
    <w:p w14:paraId="3B226710" w14:textId="0809AB0B" w:rsidR="003A0C19" w:rsidRPr="00654C02" w:rsidRDefault="003A0C19" w:rsidP="003A0C19">
      <w:pPr>
        <w:tabs>
          <w:tab w:val="left" w:pos="1329"/>
        </w:tabs>
        <w:rPr>
          <w:lang w:eastAsia="en-US"/>
        </w:rPr>
      </w:pPr>
      <w:r w:rsidRPr="00654C02">
        <w:rPr>
          <w:lang w:eastAsia="en-US"/>
        </w:rPr>
        <w:tab/>
      </w:r>
    </w:p>
    <w:p w14:paraId="75F373C0" w14:textId="17AC73C7" w:rsidR="0090090F" w:rsidRPr="00654C02" w:rsidRDefault="0090090F" w:rsidP="003A0C19">
      <w:pPr>
        <w:tabs>
          <w:tab w:val="left" w:pos="1329"/>
        </w:tabs>
        <w:rPr>
          <w:lang w:eastAsia="en-US"/>
        </w:rPr>
      </w:pPr>
    </w:p>
    <w:p w14:paraId="4DE269D7" w14:textId="02034110" w:rsidR="0090090F" w:rsidRPr="00654C02" w:rsidRDefault="0090090F" w:rsidP="003A0C19">
      <w:pPr>
        <w:tabs>
          <w:tab w:val="left" w:pos="1329"/>
        </w:tabs>
        <w:rPr>
          <w:lang w:eastAsia="en-US"/>
        </w:rPr>
      </w:pPr>
    </w:p>
    <w:p w14:paraId="51E3C220" w14:textId="299B3220" w:rsidR="0090090F" w:rsidRPr="00654C02" w:rsidRDefault="0090090F" w:rsidP="003A0C19">
      <w:pPr>
        <w:tabs>
          <w:tab w:val="left" w:pos="1329"/>
        </w:tabs>
        <w:rPr>
          <w:lang w:eastAsia="en-US"/>
        </w:rPr>
      </w:pPr>
    </w:p>
    <w:p w14:paraId="41DEC0B4" w14:textId="19939362" w:rsidR="0090090F" w:rsidRPr="00654C02" w:rsidRDefault="0090090F" w:rsidP="003A0C19">
      <w:pPr>
        <w:tabs>
          <w:tab w:val="left" w:pos="1329"/>
        </w:tabs>
        <w:rPr>
          <w:lang w:eastAsia="en-US"/>
        </w:rPr>
      </w:pPr>
    </w:p>
    <w:p w14:paraId="4D89CFD9" w14:textId="3AF788FB" w:rsidR="0090090F" w:rsidRPr="00654C02" w:rsidRDefault="0090090F" w:rsidP="003A0C19">
      <w:pPr>
        <w:tabs>
          <w:tab w:val="left" w:pos="1329"/>
        </w:tabs>
        <w:rPr>
          <w:lang w:eastAsia="en-US"/>
        </w:rPr>
      </w:pPr>
    </w:p>
    <w:p w14:paraId="454ED428" w14:textId="7C2DED9A" w:rsidR="0090090F" w:rsidRPr="00654C02" w:rsidRDefault="0090090F" w:rsidP="003A0C19">
      <w:pPr>
        <w:tabs>
          <w:tab w:val="left" w:pos="1329"/>
        </w:tabs>
        <w:rPr>
          <w:lang w:eastAsia="en-US"/>
        </w:rPr>
      </w:pPr>
    </w:p>
    <w:p w14:paraId="09011C71" w14:textId="0AACD952" w:rsidR="0090090F" w:rsidRPr="00654C02" w:rsidRDefault="0090090F" w:rsidP="003A0C19">
      <w:pPr>
        <w:tabs>
          <w:tab w:val="left" w:pos="1329"/>
        </w:tabs>
        <w:rPr>
          <w:lang w:eastAsia="en-US"/>
        </w:rPr>
      </w:pPr>
    </w:p>
    <w:p w14:paraId="2419D018" w14:textId="0D50F021" w:rsidR="0090090F" w:rsidRPr="00654C02" w:rsidRDefault="0090090F" w:rsidP="003A0C19">
      <w:pPr>
        <w:tabs>
          <w:tab w:val="left" w:pos="1329"/>
        </w:tabs>
        <w:rPr>
          <w:lang w:eastAsia="en-US"/>
        </w:rPr>
      </w:pPr>
    </w:p>
    <w:p w14:paraId="7518D96F" w14:textId="555A610C" w:rsidR="0090090F" w:rsidRPr="00654C02" w:rsidRDefault="0090090F" w:rsidP="003A0C19">
      <w:pPr>
        <w:tabs>
          <w:tab w:val="left" w:pos="1329"/>
        </w:tabs>
        <w:rPr>
          <w:lang w:eastAsia="en-US"/>
        </w:rPr>
      </w:pPr>
    </w:p>
    <w:p w14:paraId="0749EE97" w14:textId="3A52D98B" w:rsidR="0090090F" w:rsidRPr="00654C02" w:rsidRDefault="0090090F" w:rsidP="003A0C19">
      <w:pPr>
        <w:tabs>
          <w:tab w:val="left" w:pos="1329"/>
        </w:tabs>
        <w:rPr>
          <w:lang w:eastAsia="en-US"/>
        </w:rPr>
      </w:pPr>
    </w:p>
    <w:p w14:paraId="2C74BFB4" w14:textId="1E6E91B3" w:rsidR="0090090F" w:rsidRPr="00654C02" w:rsidRDefault="0090090F" w:rsidP="003A0C19">
      <w:pPr>
        <w:tabs>
          <w:tab w:val="left" w:pos="1329"/>
        </w:tabs>
        <w:rPr>
          <w:i/>
          <w:sz w:val="22"/>
          <w:szCs w:val="22"/>
          <w:lang w:eastAsia="en-US"/>
        </w:rPr>
      </w:pPr>
    </w:p>
    <w:p w14:paraId="69F3BAEE" w14:textId="77777777" w:rsidR="007E2AEA" w:rsidRDefault="007E2AEA" w:rsidP="007E2AEA">
      <w:pPr>
        <w:autoSpaceDE w:val="0"/>
        <w:autoSpaceDN w:val="0"/>
        <w:adjustRightInd w:val="0"/>
        <w:rPr>
          <w:sz w:val="20"/>
          <w:szCs w:val="20"/>
        </w:rPr>
      </w:pPr>
    </w:p>
    <w:p w14:paraId="46572A02" w14:textId="77777777" w:rsidR="007E2AEA" w:rsidRPr="00E47820" w:rsidRDefault="007E2AEA" w:rsidP="007E2AEA">
      <w:pPr>
        <w:rPr>
          <w:rFonts w:ascii="Arial" w:hAnsi="Arial" w:cs="Arial"/>
          <w:i/>
          <w:sz w:val="22"/>
          <w:szCs w:val="22"/>
        </w:rPr>
      </w:pPr>
    </w:p>
    <w:p w14:paraId="18F357A2" w14:textId="77777777" w:rsidR="007E2AEA" w:rsidRPr="00E47820" w:rsidRDefault="007E2AEA" w:rsidP="007E2AEA">
      <w:pPr>
        <w:rPr>
          <w:rFonts w:ascii="Arial" w:hAnsi="Arial" w:cs="Arial"/>
          <w:i/>
          <w:sz w:val="22"/>
          <w:szCs w:val="22"/>
        </w:rPr>
      </w:pPr>
      <w:r>
        <w:rPr>
          <w:rFonts w:ascii="Arial" w:hAnsi="Arial" w:cs="Arial"/>
          <w:i/>
          <w:sz w:val="22"/>
          <w:szCs w:val="22"/>
        </w:rPr>
        <w:t>Table 3</w:t>
      </w:r>
      <w:r w:rsidRPr="00E47820">
        <w:rPr>
          <w:rFonts w:ascii="Arial" w:hAnsi="Arial" w:cs="Arial"/>
          <w:i/>
          <w:sz w:val="22"/>
          <w:szCs w:val="22"/>
        </w:rPr>
        <w:t>: Performance of CPGS (</w:t>
      </w:r>
      <w:r>
        <w:rPr>
          <w:rFonts w:ascii="Arial" w:hAnsi="Arial" w:cs="Arial"/>
          <w:i/>
          <w:sz w:val="22"/>
          <w:szCs w:val="22"/>
        </w:rPr>
        <w:t>Imputed Data</w:t>
      </w:r>
      <w:r w:rsidRPr="00E47820">
        <w:rPr>
          <w:rFonts w:ascii="Arial" w:hAnsi="Arial" w:cs="Arial"/>
          <w:i/>
          <w:sz w:val="22"/>
          <w:szCs w:val="22"/>
        </w:rPr>
        <w:t>)</w:t>
      </w:r>
    </w:p>
    <w:p w14:paraId="4A75B193" w14:textId="77777777" w:rsidR="007E2AEA" w:rsidRDefault="007E2AEA" w:rsidP="007E2AEA">
      <w:pPr>
        <w:autoSpaceDE w:val="0"/>
        <w:autoSpaceDN w:val="0"/>
        <w:adjustRightInd w:val="0"/>
        <w:rPr>
          <w:sz w:val="20"/>
          <w:szCs w:val="20"/>
        </w:rPr>
      </w:pPr>
      <w:r>
        <w:rPr>
          <w:sz w:val="20"/>
          <w:szCs w:val="20"/>
        </w:rPr>
        <w:br/>
      </w:r>
    </w:p>
    <w:tbl>
      <w:tblPr>
        <w:tblW w:w="10407" w:type="dxa"/>
        <w:tblInd w:w="-626" w:type="dxa"/>
        <w:tblLayout w:type="fixed"/>
        <w:tblCellMar>
          <w:left w:w="100" w:type="dxa"/>
          <w:right w:w="100" w:type="dxa"/>
        </w:tblCellMar>
        <w:tblLook w:val="0000" w:firstRow="0" w:lastRow="0" w:firstColumn="0" w:lastColumn="0" w:noHBand="0" w:noVBand="0"/>
      </w:tblPr>
      <w:tblGrid>
        <w:gridCol w:w="1824"/>
        <w:gridCol w:w="1496"/>
        <w:gridCol w:w="549"/>
        <w:gridCol w:w="855"/>
        <w:gridCol w:w="1389"/>
        <w:gridCol w:w="1389"/>
        <w:gridCol w:w="1389"/>
        <w:gridCol w:w="1516"/>
      </w:tblGrid>
      <w:tr w:rsidR="007E2AEA" w14:paraId="4335D980" w14:textId="77777777" w:rsidTr="0049053E">
        <w:trPr>
          <w:tblHeader/>
        </w:trPr>
        <w:tc>
          <w:tcPr>
            <w:tcW w:w="1824" w:type="dxa"/>
            <w:tcBorders>
              <w:top w:val="single" w:sz="6" w:space="0" w:color="auto"/>
              <w:left w:val="nil"/>
              <w:bottom w:val="single" w:sz="6" w:space="0" w:color="auto"/>
              <w:right w:val="nil"/>
            </w:tcBorders>
            <w:vAlign w:val="bottom"/>
          </w:tcPr>
          <w:p w14:paraId="202A386F" w14:textId="77777777" w:rsidR="007E2AEA" w:rsidRDefault="007E2AEA" w:rsidP="0049053E">
            <w:pPr>
              <w:autoSpaceDE w:val="0"/>
              <w:autoSpaceDN w:val="0"/>
              <w:adjustRightInd w:val="0"/>
              <w:jc w:val="both"/>
              <w:rPr>
                <w:sz w:val="20"/>
                <w:szCs w:val="20"/>
              </w:rPr>
            </w:pPr>
            <w:r>
              <w:rPr>
                <w:b/>
                <w:bCs/>
                <w:sz w:val="20"/>
                <w:szCs w:val="20"/>
              </w:rPr>
              <w:t>Guideline</w:t>
            </w:r>
          </w:p>
        </w:tc>
        <w:tc>
          <w:tcPr>
            <w:tcW w:w="1496" w:type="dxa"/>
            <w:tcBorders>
              <w:top w:val="single" w:sz="6" w:space="0" w:color="auto"/>
              <w:left w:val="nil"/>
              <w:bottom w:val="single" w:sz="6" w:space="0" w:color="auto"/>
              <w:right w:val="nil"/>
            </w:tcBorders>
            <w:vAlign w:val="bottom"/>
          </w:tcPr>
          <w:p w14:paraId="0EC3C09C" w14:textId="77777777" w:rsidR="007E2AEA" w:rsidRDefault="007E2AEA" w:rsidP="0049053E">
            <w:pPr>
              <w:autoSpaceDE w:val="0"/>
              <w:autoSpaceDN w:val="0"/>
              <w:adjustRightInd w:val="0"/>
              <w:jc w:val="center"/>
              <w:rPr>
                <w:sz w:val="20"/>
                <w:szCs w:val="20"/>
              </w:rPr>
            </w:pPr>
            <w:r>
              <w:rPr>
                <w:b/>
                <w:bCs/>
                <w:sz w:val="20"/>
                <w:szCs w:val="20"/>
              </w:rPr>
              <w:t>Outcome</w:t>
            </w:r>
          </w:p>
        </w:tc>
        <w:tc>
          <w:tcPr>
            <w:tcW w:w="549" w:type="dxa"/>
            <w:tcBorders>
              <w:top w:val="single" w:sz="6" w:space="0" w:color="auto"/>
              <w:left w:val="nil"/>
              <w:bottom w:val="single" w:sz="6" w:space="0" w:color="auto"/>
              <w:right w:val="nil"/>
            </w:tcBorders>
            <w:vAlign w:val="bottom"/>
          </w:tcPr>
          <w:p w14:paraId="06C0E2B0" w14:textId="77777777" w:rsidR="007E2AEA" w:rsidRDefault="007E2AEA" w:rsidP="0049053E">
            <w:pPr>
              <w:autoSpaceDE w:val="0"/>
              <w:autoSpaceDN w:val="0"/>
              <w:adjustRightInd w:val="0"/>
              <w:jc w:val="center"/>
              <w:rPr>
                <w:sz w:val="20"/>
                <w:szCs w:val="20"/>
              </w:rPr>
            </w:pPr>
            <w:r>
              <w:rPr>
                <w:b/>
                <w:bCs/>
                <w:sz w:val="20"/>
                <w:szCs w:val="20"/>
              </w:rPr>
              <w:t>SBI</w:t>
            </w:r>
          </w:p>
        </w:tc>
        <w:tc>
          <w:tcPr>
            <w:tcW w:w="855" w:type="dxa"/>
            <w:tcBorders>
              <w:top w:val="single" w:sz="6" w:space="0" w:color="auto"/>
              <w:left w:val="nil"/>
              <w:bottom w:val="single" w:sz="6" w:space="0" w:color="auto"/>
              <w:right w:val="nil"/>
            </w:tcBorders>
            <w:vAlign w:val="bottom"/>
          </w:tcPr>
          <w:p w14:paraId="30C52E63" w14:textId="77777777" w:rsidR="007E2AEA" w:rsidRDefault="007E2AEA" w:rsidP="0049053E">
            <w:pPr>
              <w:autoSpaceDE w:val="0"/>
              <w:autoSpaceDN w:val="0"/>
              <w:adjustRightInd w:val="0"/>
              <w:jc w:val="center"/>
              <w:rPr>
                <w:sz w:val="20"/>
                <w:szCs w:val="20"/>
              </w:rPr>
            </w:pPr>
            <w:r>
              <w:rPr>
                <w:b/>
                <w:bCs/>
                <w:sz w:val="20"/>
                <w:szCs w:val="20"/>
              </w:rPr>
              <w:t>No SBI</w:t>
            </w:r>
          </w:p>
        </w:tc>
        <w:tc>
          <w:tcPr>
            <w:tcW w:w="1389" w:type="dxa"/>
            <w:tcBorders>
              <w:top w:val="single" w:sz="6" w:space="0" w:color="auto"/>
              <w:left w:val="nil"/>
              <w:bottom w:val="single" w:sz="6" w:space="0" w:color="auto"/>
              <w:right w:val="nil"/>
            </w:tcBorders>
            <w:vAlign w:val="bottom"/>
          </w:tcPr>
          <w:p w14:paraId="17916B80" w14:textId="77777777" w:rsidR="007E2AEA" w:rsidRDefault="007E2AEA" w:rsidP="0049053E">
            <w:pPr>
              <w:autoSpaceDE w:val="0"/>
              <w:autoSpaceDN w:val="0"/>
              <w:adjustRightInd w:val="0"/>
              <w:jc w:val="center"/>
              <w:rPr>
                <w:sz w:val="20"/>
                <w:szCs w:val="20"/>
              </w:rPr>
            </w:pPr>
            <w:r>
              <w:rPr>
                <w:b/>
                <w:bCs/>
                <w:sz w:val="20"/>
                <w:szCs w:val="20"/>
              </w:rPr>
              <w:t>Sensitivity (95% CI)</w:t>
            </w:r>
          </w:p>
        </w:tc>
        <w:tc>
          <w:tcPr>
            <w:tcW w:w="1389" w:type="dxa"/>
            <w:tcBorders>
              <w:top w:val="single" w:sz="6" w:space="0" w:color="auto"/>
              <w:left w:val="nil"/>
              <w:bottom w:val="single" w:sz="6" w:space="0" w:color="auto"/>
              <w:right w:val="nil"/>
            </w:tcBorders>
            <w:vAlign w:val="bottom"/>
          </w:tcPr>
          <w:p w14:paraId="40D5D7AE" w14:textId="77777777" w:rsidR="007E2AEA" w:rsidRDefault="007E2AEA" w:rsidP="0049053E">
            <w:pPr>
              <w:autoSpaceDE w:val="0"/>
              <w:autoSpaceDN w:val="0"/>
              <w:adjustRightInd w:val="0"/>
              <w:jc w:val="center"/>
              <w:rPr>
                <w:b/>
                <w:bCs/>
                <w:sz w:val="20"/>
                <w:szCs w:val="20"/>
              </w:rPr>
            </w:pPr>
            <w:r>
              <w:rPr>
                <w:b/>
                <w:bCs/>
                <w:sz w:val="20"/>
                <w:szCs w:val="20"/>
              </w:rPr>
              <w:t>Specificity</w:t>
            </w:r>
          </w:p>
          <w:p w14:paraId="66C0014E" w14:textId="77777777" w:rsidR="007E2AEA" w:rsidRDefault="007E2AEA" w:rsidP="0049053E">
            <w:pPr>
              <w:autoSpaceDE w:val="0"/>
              <w:autoSpaceDN w:val="0"/>
              <w:adjustRightInd w:val="0"/>
              <w:jc w:val="center"/>
              <w:rPr>
                <w:sz w:val="20"/>
                <w:szCs w:val="20"/>
              </w:rPr>
            </w:pPr>
            <w:r>
              <w:rPr>
                <w:b/>
                <w:bCs/>
                <w:sz w:val="20"/>
                <w:szCs w:val="20"/>
              </w:rPr>
              <w:t>(95% CI)</w:t>
            </w:r>
          </w:p>
        </w:tc>
        <w:tc>
          <w:tcPr>
            <w:tcW w:w="1389" w:type="dxa"/>
            <w:tcBorders>
              <w:top w:val="single" w:sz="6" w:space="0" w:color="auto"/>
              <w:left w:val="nil"/>
              <w:bottom w:val="single" w:sz="6" w:space="0" w:color="auto"/>
              <w:right w:val="nil"/>
            </w:tcBorders>
            <w:vAlign w:val="bottom"/>
          </w:tcPr>
          <w:p w14:paraId="6EFEF808" w14:textId="77777777" w:rsidR="007E2AEA" w:rsidRDefault="007E2AEA" w:rsidP="0049053E">
            <w:pPr>
              <w:autoSpaceDE w:val="0"/>
              <w:autoSpaceDN w:val="0"/>
              <w:adjustRightInd w:val="0"/>
              <w:jc w:val="center"/>
              <w:rPr>
                <w:b/>
                <w:bCs/>
                <w:sz w:val="20"/>
                <w:szCs w:val="20"/>
              </w:rPr>
            </w:pPr>
            <w:r>
              <w:rPr>
                <w:b/>
                <w:bCs/>
                <w:sz w:val="20"/>
                <w:szCs w:val="20"/>
              </w:rPr>
              <w:t>PPV</w:t>
            </w:r>
          </w:p>
          <w:p w14:paraId="467E3DEC" w14:textId="77777777" w:rsidR="007E2AEA" w:rsidRDefault="007E2AEA" w:rsidP="0049053E">
            <w:pPr>
              <w:autoSpaceDE w:val="0"/>
              <w:autoSpaceDN w:val="0"/>
              <w:adjustRightInd w:val="0"/>
              <w:jc w:val="center"/>
              <w:rPr>
                <w:sz w:val="20"/>
                <w:szCs w:val="20"/>
              </w:rPr>
            </w:pPr>
            <w:r>
              <w:rPr>
                <w:b/>
                <w:bCs/>
                <w:sz w:val="20"/>
                <w:szCs w:val="20"/>
              </w:rPr>
              <w:t>(95% CI)</w:t>
            </w:r>
          </w:p>
        </w:tc>
        <w:tc>
          <w:tcPr>
            <w:tcW w:w="1516" w:type="dxa"/>
            <w:tcBorders>
              <w:top w:val="single" w:sz="6" w:space="0" w:color="auto"/>
              <w:left w:val="nil"/>
              <w:bottom w:val="single" w:sz="6" w:space="0" w:color="auto"/>
              <w:right w:val="nil"/>
            </w:tcBorders>
            <w:vAlign w:val="bottom"/>
          </w:tcPr>
          <w:p w14:paraId="741A59AD" w14:textId="77777777" w:rsidR="007E2AEA" w:rsidRDefault="007E2AEA" w:rsidP="0049053E">
            <w:pPr>
              <w:autoSpaceDE w:val="0"/>
              <w:autoSpaceDN w:val="0"/>
              <w:adjustRightInd w:val="0"/>
              <w:jc w:val="center"/>
              <w:rPr>
                <w:b/>
                <w:bCs/>
                <w:sz w:val="20"/>
                <w:szCs w:val="20"/>
              </w:rPr>
            </w:pPr>
            <w:r>
              <w:rPr>
                <w:b/>
                <w:bCs/>
                <w:sz w:val="20"/>
                <w:szCs w:val="20"/>
              </w:rPr>
              <w:t>NPV</w:t>
            </w:r>
          </w:p>
          <w:p w14:paraId="31EF44F9" w14:textId="77777777" w:rsidR="007E2AEA" w:rsidRDefault="007E2AEA" w:rsidP="0049053E">
            <w:pPr>
              <w:autoSpaceDE w:val="0"/>
              <w:autoSpaceDN w:val="0"/>
              <w:adjustRightInd w:val="0"/>
              <w:jc w:val="center"/>
              <w:rPr>
                <w:sz w:val="20"/>
                <w:szCs w:val="20"/>
              </w:rPr>
            </w:pPr>
            <w:r>
              <w:rPr>
                <w:b/>
                <w:bCs/>
                <w:sz w:val="20"/>
                <w:szCs w:val="20"/>
              </w:rPr>
              <w:t>(95% CI)</w:t>
            </w:r>
          </w:p>
        </w:tc>
      </w:tr>
      <w:tr w:rsidR="007E2AEA" w14:paraId="25004B40" w14:textId="77777777" w:rsidTr="0049053E">
        <w:tc>
          <w:tcPr>
            <w:tcW w:w="1824" w:type="dxa"/>
            <w:tcBorders>
              <w:top w:val="nil"/>
              <w:left w:val="nil"/>
              <w:bottom w:val="nil"/>
              <w:right w:val="nil"/>
            </w:tcBorders>
          </w:tcPr>
          <w:p w14:paraId="03E5E390" w14:textId="77777777" w:rsidR="007E2AEA" w:rsidRDefault="007E2AEA" w:rsidP="0049053E">
            <w:pPr>
              <w:autoSpaceDE w:val="0"/>
              <w:autoSpaceDN w:val="0"/>
              <w:adjustRightInd w:val="0"/>
              <w:rPr>
                <w:sz w:val="20"/>
                <w:szCs w:val="20"/>
              </w:rPr>
            </w:pPr>
            <w:r>
              <w:rPr>
                <w:sz w:val="20"/>
                <w:szCs w:val="20"/>
              </w:rPr>
              <w:t>Clinician Practice</w:t>
            </w:r>
          </w:p>
        </w:tc>
        <w:tc>
          <w:tcPr>
            <w:tcW w:w="1496" w:type="dxa"/>
            <w:tcBorders>
              <w:top w:val="nil"/>
              <w:left w:val="nil"/>
              <w:bottom w:val="nil"/>
              <w:right w:val="nil"/>
            </w:tcBorders>
          </w:tcPr>
          <w:p w14:paraId="2557B98C" w14:textId="77777777" w:rsidR="007E2AEA" w:rsidRDefault="007E2AEA" w:rsidP="0049053E">
            <w:pPr>
              <w:autoSpaceDE w:val="0"/>
              <w:autoSpaceDN w:val="0"/>
              <w:adjustRightInd w:val="0"/>
              <w:rPr>
                <w:sz w:val="20"/>
                <w:szCs w:val="20"/>
              </w:rPr>
            </w:pPr>
            <w:r>
              <w:rPr>
                <w:sz w:val="20"/>
                <w:szCs w:val="20"/>
              </w:rPr>
              <w:t>Treat</w:t>
            </w:r>
          </w:p>
        </w:tc>
        <w:tc>
          <w:tcPr>
            <w:tcW w:w="549" w:type="dxa"/>
            <w:tcBorders>
              <w:top w:val="nil"/>
              <w:left w:val="nil"/>
              <w:bottom w:val="nil"/>
              <w:right w:val="nil"/>
            </w:tcBorders>
          </w:tcPr>
          <w:p w14:paraId="3175E61C" w14:textId="77777777" w:rsidR="007E2AEA" w:rsidRDefault="007E2AEA" w:rsidP="0049053E">
            <w:pPr>
              <w:autoSpaceDE w:val="0"/>
              <w:autoSpaceDN w:val="0"/>
              <w:adjustRightInd w:val="0"/>
              <w:jc w:val="right"/>
              <w:rPr>
                <w:sz w:val="20"/>
                <w:szCs w:val="20"/>
              </w:rPr>
            </w:pPr>
            <w:r>
              <w:rPr>
                <w:sz w:val="20"/>
                <w:szCs w:val="20"/>
              </w:rPr>
              <w:t>75</w:t>
            </w:r>
          </w:p>
        </w:tc>
        <w:tc>
          <w:tcPr>
            <w:tcW w:w="855" w:type="dxa"/>
            <w:tcBorders>
              <w:top w:val="nil"/>
              <w:left w:val="nil"/>
              <w:bottom w:val="nil"/>
              <w:right w:val="nil"/>
            </w:tcBorders>
          </w:tcPr>
          <w:p w14:paraId="13098722" w14:textId="77777777" w:rsidR="007E2AEA" w:rsidRDefault="007E2AEA" w:rsidP="0049053E">
            <w:pPr>
              <w:autoSpaceDE w:val="0"/>
              <w:autoSpaceDN w:val="0"/>
              <w:adjustRightInd w:val="0"/>
              <w:jc w:val="right"/>
              <w:rPr>
                <w:sz w:val="20"/>
                <w:szCs w:val="20"/>
              </w:rPr>
            </w:pPr>
            <w:r>
              <w:rPr>
                <w:sz w:val="20"/>
                <w:szCs w:val="20"/>
              </w:rPr>
              <w:t>346</w:t>
            </w:r>
          </w:p>
        </w:tc>
        <w:tc>
          <w:tcPr>
            <w:tcW w:w="1389" w:type="dxa"/>
            <w:tcBorders>
              <w:top w:val="nil"/>
              <w:left w:val="nil"/>
              <w:bottom w:val="nil"/>
              <w:right w:val="nil"/>
            </w:tcBorders>
          </w:tcPr>
          <w:p w14:paraId="6F91D759" w14:textId="77777777" w:rsidR="007E2AEA" w:rsidRDefault="007E2AEA" w:rsidP="0049053E">
            <w:pPr>
              <w:autoSpaceDE w:val="0"/>
              <w:autoSpaceDN w:val="0"/>
              <w:adjustRightInd w:val="0"/>
              <w:jc w:val="center"/>
              <w:rPr>
                <w:sz w:val="20"/>
                <w:szCs w:val="20"/>
              </w:rPr>
            </w:pPr>
            <w:r>
              <w:rPr>
                <w:sz w:val="20"/>
                <w:szCs w:val="20"/>
              </w:rPr>
              <w:t>0.96</w:t>
            </w:r>
          </w:p>
        </w:tc>
        <w:tc>
          <w:tcPr>
            <w:tcW w:w="1389" w:type="dxa"/>
            <w:tcBorders>
              <w:top w:val="nil"/>
              <w:left w:val="nil"/>
              <w:bottom w:val="nil"/>
              <w:right w:val="nil"/>
            </w:tcBorders>
          </w:tcPr>
          <w:p w14:paraId="48FF73C8" w14:textId="77777777" w:rsidR="007E2AEA" w:rsidRDefault="007E2AEA" w:rsidP="0049053E">
            <w:pPr>
              <w:autoSpaceDE w:val="0"/>
              <w:autoSpaceDN w:val="0"/>
              <w:adjustRightInd w:val="0"/>
              <w:jc w:val="center"/>
              <w:rPr>
                <w:sz w:val="20"/>
                <w:szCs w:val="20"/>
              </w:rPr>
            </w:pPr>
            <w:r>
              <w:rPr>
                <w:sz w:val="20"/>
                <w:szCs w:val="20"/>
              </w:rPr>
              <w:t>0.27</w:t>
            </w:r>
          </w:p>
        </w:tc>
        <w:tc>
          <w:tcPr>
            <w:tcW w:w="1389" w:type="dxa"/>
            <w:tcBorders>
              <w:top w:val="nil"/>
              <w:left w:val="nil"/>
              <w:bottom w:val="nil"/>
              <w:right w:val="nil"/>
            </w:tcBorders>
          </w:tcPr>
          <w:p w14:paraId="0B09A2A4" w14:textId="77777777" w:rsidR="007E2AEA" w:rsidRDefault="007E2AEA" w:rsidP="0049053E">
            <w:pPr>
              <w:autoSpaceDE w:val="0"/>
              <w:autoSpaceDN w:val="0"/>
              <w:adjustRightInd w:val="0"/>
              <w:jc w:val="center"/>
              <w:rPr>
                <w:sz w:val="20"/>
                <w:szCs w:val="20"/>
              </w:rPr>
            </w:pPr>
            <w:r>
              <w:rPr>
                <w:sz w:val="20"/>
                <w:szCs w:val="20"/>
              </w:rPr>
              <w:t>0.18</w:t>
            </w:r>
          </w:p>
        </w:tc>
        <w:tc>
          <w:tcPr>
            <w:tcW w:w="1516" w:type="dxa"/>
            <w:tcBorders>
              <w:top w:val="nil"/>
              <w:left w:val="nil"/>
              <w:bottom w:val="nil"/>
              <w:right w:val="nil"/>
            </w:tcBorders>
          </w:tcPr>
          <w:p w14:paraId="0BB11F09" w14:textId="77777777" w:rsidR="007E2AEA" w:rsidRDefault="007E2AEA" w:rsidP="0049053E">
            <w:pPr>
              <w:autoSpaceDE w:val="0"/>
              <w:autoSpaceDN w:val="0"/>
              <w:adjustRightInd w:val="0"/>
              <w:jc w:val="center"/>
              <w:rPr>
                <w:sz w:val="20"/>
                <w:szCs w:val="20"/>
              </w:rPr>
            </w:pPr>
            <w:r>
              <w:rPr>
                <w:sz w:val="20"/>
                <w:szCs w:val="20"/>
              </w:rPr>
              <w:t>0.98</w:t>
            </w:r>
          </w:p>
        </w:tc>
      </w:tr>
      <w:tr w:rsidR="007E2AEA" w14:paraId="4A8FC06A" w14:textId="77777777" w:rsidTr="0049053E">
        <w:tc>
          <w:tcPr>
            <w:tcW w:w="1824" w:type="dxa"/>
            <w:tcBorders>
              <w:top w:val="nil"/>
              <w:left w:val="nil"/>
              <w:bottom w:val="nil"/>
              <w:right w:val="nil"/>
            </w:tcBorders>
          </w:tcPr>
          <w:p w14:paraId="1753ABD2" w14:textId="77777777" w:rsidR="007E2AEA" w:rsidRDefault="007E2AEA" w:rsidP="0049053E">
            <w:pPr>
              <w:autoSpaceDE w:val="0"/>
              <w:autoSpaceDN w:val="0"/>
              <w:adjustRightInd w:val="0"/>
              <w:rPr>
                <w:sz w:val="20"/>
                <w:szCs w:val="20"/>
              </w:rPr>
            </w:pPr>
          </w:p>
        </w:tc>
        <w:tc>
          <w:tcPr>
            <w:tcW w:w="1496" w:type="dxa"/>
            <w:tcBorders>
              <w:top w:val="nil"/>
              <w:left w:val="nil"/>
              <w:bottom w:val="nil"/>
              <w:right w:val="nil"/>
            </w:tcBorders>
          </w:tcPr>
          <w:p w14:paraId="7FF35B65" w14:textId="77777777" w:rsidR="007E2AEA" w:rsidRDefault="007E2AEA" w:rsidP="0049053E">
            <w:pPr>
              <w:autoSpaceDE w:val="0"/>
              <w:autoSpaceDN w:val="0"/>
              <w:adjustRightInd w:val="0"/>
              <w:rPr>
                <w:sz w:val="20"/>
                <w:szCs w:val="20"/>
              </w:rPr>
            </w:pPr>
            <w:r>
              <w:rPr>
                <w:sz w:val="20"/>
                <w:szCs w:val="20"/>
              </w:rPr>
              <w:t>Do Not Treat</w:t>
            </w:r>
          </w:p>
        </w:tc>
        <w:tc>
          <w:tcPr>
            <w:tcW w:w="549" w:type="dxa"/>
            <w:tcBorders>
              <w:top w:val="nil"/>
              <w:left w:val="nil"/>
              <w:bottom w:val="nil"/>
              <w:right w:val="nil"/>
            </w:tcBorders>
          </w:tcPr>
          <w:p w14:paraId="3606362A" w14:textId="77777777" w:rsidR="007E2AEA" w:rsidRDefault="007E2AEA" w:rsidP="0049053E">
            <w:pPr>
              <w:autoSpaceDE w:val="0"/>
              <w:autoSpaceDN w:val="0"/>
              <w:adjustRightInd w:val="0"/>
              <w:jc w:val="right"/>
              <w:rPr>
                <w:sz w:val="20"/>
                <w:szCs w:val="20"/>
              </w:rPr>
            </w:pPr>
            <w:r>
              <w:rPr>
                <w:sz w:val="20"/>
                <w:szCs w:val="20"/>
              </w:rPr>
              <w:t>3</w:t>
            </w:r>
          </w:p>
        </w:tc>
        <w:tc>
          <w:tcPr>
            <w:tcW w:w="855" w:type="dxa"/>
            <w:tcBorders>
              <w:top w:val="nil"/>
              <w:left w:val="nil"/>
              <w:bottom w:val="nil"/>
              <w:right w:val="nil"/>
            </w:tcBorders>
          </w:tcPr>
          <w:p w14:paraId="2758C87E" w14:textId="77777777" w:rsidR="007E2AEA" w:rsidRDefault="007E2AEA" w:rsidP="0049053E">
            <w:pPr>
              <w:autoSpaceDE w:val="0"/>
              <w:autoSpaceDN w:val="0"/>
              <w:adjustRightInd w:val="0"/>
              <w:jc w:val="right"/>
              <w:rPr>
                <w:sz w:val="20"/>
                <w:szCs w:val="20"/>
              </w:rPr>
            </w:pPr>
            <w:r>
              <w:rPr>
                <w:sz w:val="20"/>
                <w:szCs w:val="20"/>
              </w:rPr>
              <w:t>131</w:t>
            </w:r>
          </w:p>
        </w:tc>
        <w:tc>
          <w:tcPr>
            <w:tcW w:w="1389" w:type="dxa"/>
            <w:tcBorders>
              <w:top w:val="nil"/>
              <w:left w:val="nil"/>
              <w:bottom w:val="nil"/>
              <w:right w:val="nil"/>
            </w:tcBorders>
          </w:tcPr>
          <w:p w14:paraId="14105E72" w14:textId="77777777" w:rsidR="007E2AEA" w:rsidRDefault="007E2AEA" w:rsidP="0049053E">
            <w:pPr>
              <w:autoSpaceDE w:val="0"/>
              <w:autoSpaceDN w:val="0"/>
              <w:adjustRightInd w:val="0"/>
              <w:jc w:val="center"/>
              <w:rPr>
                <w:sz w:val="20"/>
                <w:szCs w:val="20"/>
              </w:rPr>
            </w:pPr>
            <w:r>
              <w:rPr>
                <w:sz w:val="20"/>
                <w:szCs w:val="20"/>
              </w:rPr>
              <w:t>(0.89 to 0.99)</w:t>
            </w:r>
          </w:p>
        </w:tc>
        <w:tc>
          <w:tcPr>
            <w:tcW w:w="1389" w:type="dxa"/>
            <w:tcBorders>
              <w:top w:val="nil"/>
              <w:left w:val="nil"/>
              <w:bottom w:val="nil"/>
              <w:right w:val="nil"/>
            </w:tcBorders>
          </w:tcPr>
          <w:p w14:paraId="5303F8A1" w14:textId="77777777" w:rsidR="007E2AEA" w:rsidRDefault="007E2AEA" w:rsidP="0049053E">
            <w:pPr>
              <w:autoSpaceDE w:val="0"/>
              <w:autoSpaceDN w:val="0"/>
              <w:adjustRightInd w:val="0"/>
              <w:jc w:val="center"/>
              <w:rPr>
                <w:sz w:val="20"/>
                <w:szCs w:val="20"/>
              </w:rPr>
            </w:pPr>
            <w:r>
              <w:rPr>
                <w:sz w:val="20"/>
                <w:szCs w:val="20"/>
              </w:rPr>
              <w:t>(0.24 to 0.32)</w:t>
            </w:r>
          </w:p>
        </w:tc>
        <w:tc>
          <w:tcPr>
            <w:tcW w:w="1389" w:type="dxa"/>
            <w:tcBorders>
              <w:top w:val="nil"/>
              <w:left w:val="nil"/>
              <w:bottom w:val="nil"/>
              <w:right w:val="nil"/>
            </w:tcBorders>
          </w:tcPr>
          <w:p w14:paraId="5A6621B0" w14:textId="77777777" w:rsidR="007E2AEA" w:rsidRDefault="007E2AEA" w:rsidP="0049053E">
            <w:pPr>
              <w:autoSpaceDE w:val="0"/>
              <w:autoSpaceDN w:val="0"/>
              <w:adjustRightInd w:val="0"/>
              <w:jc w:val="center"/>
              <w:rPr>
                <w:sz w:val="20"/>
                <w:szCs w:val="20"/>
              </w:rPr>
            </w:pPr>
            <w:r>
              <w:rPr>
                <w:sz w:val="20"/>
                <w:szCs w:val="20"/>
              </w:rPr>
              <w:t>(0.14 to 0.22)</w:t>
            </w:r>
          </w:p>
        </w:tc>
        <w:tc>
          <w:tcPr>
            <w:tcW w:w="1516" w:type="dxa"/>
            <w:tcBorders>
              <w:top w:val="nil"/>
              <w:left w:val="nil"/>
              <w:bottom w:val="nil"/>
              <w:right w:val="nil"/>
            </w:tcBorders>
          </w:tcPr>
          <w:p w14:paraId="1B2737AE" w14:textId="77777777" w:rsidR="007E2AEA" w:rsidRDefault="007E2AEA" w:rsidP="0049053E">
            <w:pPr>
              <w:autoSpaceDE w:val="0"/>
              <w:autoSpaceDN w:val="0"/>
              <w:adjustRightInd w:val="0"/>
              <w:jc w:val="center"/>
              <w:rPr>
                <w:sz w:val="20"/>
                <w:szCs w:val="20"/>
              </w:rPr>
            </w:pPr>
            <w:r>
              <w:rPr>
                <w:sz w:val="20"/>
                <w:szCs w:val="20"/>
              </w:rPr>
              <w:t>(0.94 to 1.00)</w:t>
            </w:r>
          </w:p>
        </w:tc>
      </w:tr>
      <w:tr w:rsidR="007E2AEA" w14:paraId="47DD6D7F" w14:textId="77777777" w:rsidTr="0049053E">
        <w:tc>
          <w:tcPr>
            <w:tcW w:w="1824" w:type="dxa"/>
            <w:tcBorders>
              <w:top w:val="nil"/>
              <w:left w:val="nil"/>
              <w:bottom w:val="nil"/>
              <w:right w:val="nil"/>
            </w:tcBorders>
          </w:tcPr>
          <w:p w14:paraId="07D570D0" w14:textId="77777777" w:rsidR="007E2AEA" w:rsidRDefault="007E2AEA" w:rsidP="0049053E">
            <w:pPr>
              <w:autoSpaceDE w:val="0"/>
              <w:autoSpaceDN w:val="0"/>
              <w:adjustRightInd w:val="0"/>
              <w:rPr>
                <w:sz w:val="20"/>
                <w:szCs w:val="20"/>
              </w:rPr>
            </w:pPr>
            <w:r>
              <w:rPr>
                <w:sz w:val="20"/>
                <w:szCs w:val="20"/>
              </w:rPr>
              <w:t>NG51</w:t>
            </w:r>
          </w:p>
        </w:tc>
        <w:tc>
          <w:tcPr>
            <w:tcW w:w="1496" w:type="dxa"/>
            <w:tcBorders>
              <w:top w:val="nil"/>
              <w:left w:val="nil"/>
              <w:bottom w:val="nil"/>
              <w:right w:val="nil"/>
            </w:tcBorders>
          </w:tcPr>
          <w:p w14:paraId="225587EC" w14:textId="77777777" w:rsidR="007E2AEA" w:rsidRDefault="007E2AEA" w:rsidP="0049053E">
            <w:pPr>
              <w:autoSpaceDE w:val="0"/>
              <w:autoSpaceDN w:val="0"/>
              <w:adjustRightInd w:val="0"/>
              <w:rPr>
                <w:sz w:val="20"/>
                <w:szCs w:val="20"/>
              </w:rPr>
            </w:pPr>
            <w:r>
              <w:rPr>
                <w:sz w:val="20"/>
                <w:szCs w:val="20"/>
              </w:rPr>
              <w:t>Treat</w:t>
            </w:r>
          </w:p>
        </w:tc>
        <w:tc>
          <w:tcPr>
            <w:tcW w:w="549" w:type="dxa"/>
            <w:tcBorders>
              <w:top w:val="nil"/>
              <w:left w:val="nil"/>
              <w:bottom w:val="nil"/>
              <w:right w:val="nil"/>
            </w:tcBorders>
          </w:tcPr>
          <w:p w14:paraId="464C3097" w14:textId="77777777" w:rsidR="007E2AEA" w:rsidRDefault="007E2AEA" w:rsidP="0049053E">
            <w:pPr>
              <w:autoSpaceDE w:val="0"/>
              <w:autoSpaceDN w:val="0"/>
              <w:adjustRightInd w:val="0"/>
              <w:jc w:val="right"/>
              <w:rPr>
                <w:sz w:val="20"/>
                <w:szCs w:val="20"/>
              </w:rPr>
            </w:pPr>
            <w:r>
              <w:rPr>
                <w:sz w:val="20"/>
                <w:szCs w:val="20"/>
              </w:rPr>
              <w:t>78</w:t>
            </w:r>
          </w:p>
        </w:tc>
        <w:tc>
          <w:tcPr>
            <w:tcW w:w="855" w:type="dxa"/>
            <w:tcBorders>
              <w:top w:val="nil"/>
              <w:left w:val="nil"/>
              <w:bottom w:val="nil"/>
              <w:right w:val="nil"/>
            </w:tcBorders>
          </w:tcPr>
          <w:p w14:paraId="73F0F21C" w14:textId="77777777" w:rsidR="007E2AEA" w:rsidRDefault="007E2AEA" w:rsidP="0049053E">
            <w:pPr>
              <w:autoSpaceDE w:val="0"/>
              <w:autoSpaceDN w:val="0"/>
              <w:adjustRightInd w:val="0"/>
              <w:jc w:val="right"/>
              <w:rPr>
                <w:sz w:val="20"/>
                <w:szCs w:val="20"/>
              </w:rPr>
            </w:pPr>
            <w:r>
              <w:rPr>
                <w:sz w:val="20"/>
                <w:szCs w:val="20"/>
              </w:rPr>
              <w:t>477</w:t>
            </w:r>
          </w:p>
        </w:tc>
        <w:tc>
          <w:tcPr>
            <w:tcW w:w="1389" w:type="dxa"/>
            <w:tcBorders>
              <w:top w:val="nil"/>
              <w:left w:val="nil"/>
              <w:bottom w:val="nil"/>
              <w:right w:val="nil"/>
            </w:tcBorders>
          </w:tcPr>
          <w:p w14:paraId="7D851387" w14:textId="77777777" w:rsidR="007E2AEA" w:rsidRDefault="007E2AEA" w:rsidP="0049053E">
            <w:pPr>
              <w:autoSpaceDE w:val="0"/>
              <w:autoSpaceDN w:val="0"/>
              <w:adjustRightInd w:val="0"/>
              <w:jc w:val="center"/>
              <w:rPr>
                <w:sz w:val="20"/>
                <w:szCs w:val="20"/>
              </w:rPr>
            </w:pPr>
            <w:r>
              <w:rPr>
                <w:sz w:val="20"/>
                <w:szCs w:val="20"/>
              </w:rPr>
              <w:t>1</w:t>
            </w:r>
          </w:p>
        </w:tc>
        <w:tc>
          <w:tcPr>
            <w:tcW w:w="1389" w:type="dxa"/>
            <w:tcBorders>
              <w:top w:val="nil"/>
              <w:left w:val="nil"/>
              <w:bottom w:val="nil"/>
              <w:right w:val="nil"/>
            </w:tcBorders>
          </w:tcPr>
          <w:p w14:paraId="754B2FE1" w14:textId="77777777" w:rsidR="007E2AEA" w:rsidRDefault="007E2AEA" w:rsidP="0049053E">
            <w:pPr>
              <w:autoSpaceDE w:val="0"/>
              <w:autoSpaceDN w:val="0"/>
              <w:adjustRightInd w:val="0"/>
              <w:jc w:val="center"/>
              <w:rPr>
                <w:sz w:val="20"/>
                <w:szCs w:val="20"/>
              </w:rPr>
            </w:pPr>
            <w:r>
              <w:rPr>
                <w:sz w:val="20"/>
                <w:szCs w:val="20"/>
              </w:rPr>
              <w:t>0</w:t>
            </w:r>
          </w:p>
        </w:tc>
        <w:tc>
          <w:tcPr>
            <w:tcW w:w="1389" w:type="dxa"/>
            <w:tcBorders>
              <w:top w:val="nil"/>
              <w:left w:val="nil"/>
              <w:bottom w:val="nil"/>
              <w:right w:val="nil"/>
            </w:tcBorders>
          </w:tcPr>
          <w:p w14:paraId="6078C518" w14:textId="77777777" w:rsidR="007E2AEA" w:rsidRDefault="007E2AEA" w:rsidP="0049053E">
            <w:pPr>
              <w:autoSpaceDE w:val="0"/>
              <w:autoSpaceDN w:val="0"/>
              <w:adjustRightInd w:val="0"/>
              <w:jc w:val="center"/>
              <w:rPr>
                <w:sz w:val="20"/>
                <w:szCs w:val="20"/>
              </w:rPr>
            </w:pPr>
            <w:r>
              <w:rPr>
                <w:sz w:val="20"/>
                <w:szCs w:val="20"/>
              </w:rPr>
              <w:t>0.14</w:t>
            </w:r>
          </w:p>
        </w:tc>
        <w:tc>
          <w:tcPr>
            <w:tcW w:w="1516" w:type="dxa"/>
            <w:tcBorders>
              <w:top w:val="nil"/>
              <w:left w:val="nil"/>
              <w:bottom w:val="nil"/>
              <w:right w:val="nil"/>
            </w:tcBorders>
          </w:tcPr>
          <w:p w14:paraId="142E1B63" w14:textId="77777777" w:rsidR="007E2AEA" w:rsidRDefault="007E2AEA" w:rsidP="0049053E">
            <w:pPr>
              <w:autoSpaceDE w:val="0"/>
              <w:autoSpaceDN w:val="0"/>
              <w:adjustRightInd w:val="0"/>
              <w:jc w:val="center"/>
              <w:rPr>
                <w:sz w:val="20"/>
                <w:szCs w:val="20"/>
              </w:rPr>
            </w:pPr>
            <w:r>
              <w:rPr>
                <w:sz w:val="20"/>
                <w:szCs w:val="20"/>
              </w:rPr>
              <w:t>N/A</w:t>
            </w:r>
          </w:p>
        </w:tc>
      </w:tr>
      <w:tr w:rsidR="007E2AEA" w14:paraId="5BE05DA5" w14:textId="77777777" w:rsidTr="0049053E">
        <w:tc>
          <w:tcPr>
            <w:tcW w:w="1824" w:type="dxa"/>
            <w:tcBorders>
              <w:top w:val="nil"/>
              <w:left w:val="nil"/>
              <w:bottom w:val="nil"/>
              <w:right w:val="nil"/>
            </w:tcBorders>
          </w:tcPr>
          <w:p w14:paraId="14BE7463" w14:textId="77777777" w:rsidR="007E2AEA" w:rsidRDefault="007E2AEA" w:rsidP="0049053E">
            <w:pPr>
              <w:autoSpaceDE w:val="0"/>
              <w:autoSpaceDN w:val="0"/>
              <w:adjustRightInd w:val="0"/>
              <w:rPr>
                <w:sz w:val="20"/>
                <w:szCs w:val="20"/>
              </w:rPr>
            </w:pPr>
          </w:p>
        </w:tc>
        <w:tc>
          <w:tcPr>
            <w:tcW w:w="1496" w:type="dxa"/>
            <w:tcBorders>
              <w:top w:val="nil"/>
              <w:left w:val="nil"/>
              <w:bottom w:val="nil"/>
              <w:right w:val="nil"/>
            </w:tcBorders>
          </w:tcPr>
          <w:p w14:paraId="6983A5DF" w14:textId="77777777" w:rsidR="007E2AEA" w:rsidRDefault="007E2AEA" w:rsidP="0049053E">
            <w:pPr>
              <w:autoSpaceDE w:val="0"/>
              <w:autoSpaceDN w:val="0"/>
              <w:adjustRightInd w:val="0"/>
              <w:rPr>
                <w:sz w:val="20"/>
                <w:szCs w:val="20"/>
              </w:rPr>
            </w:pPr>
            <w:r>
              <w:rPr>
                <w:sz w:val="20"/>
                <w:szCs w:val="20"/>
              </w:rPr>
              <w:t>Do Not Treat</w:t>
            </w:r>
          </w:p>
        </w:tc>
        <w:tc>
          <w:tcPr>
            <w:tcW w:w="549" w:type="dxa"/>
            <w:tcBorders>
              <w:top w:val="nil"/>
              <w:left w:val="nil"/>
              <w:bottom w:val="nil"/>
              <w:right w:val="nil"/>
            </w:tcBorders>
          </w:tcPr>
          <w:p w14:paraId="7A7F46C8" w14:textId="77777777" w:rsidR="007E2AEA" w:rsidRDefault="007E2AEA" w:rsidP="0049053E">
            <w:pPr>
              <w:autoSpaceDE w:val="0"/>
              <w:autoSpaceDN w:val="0"/>
              <w:adjustRightInd w:val="0"/>
              <w:jc w:val="right"/>
              <w:rPr>
                <w:sz w:val="20"/>
                <w:szCs w:val="20"/>
              </w:rPr>
            </w:pPr>
            <w:r>
              <w:rPr>
                <w:sz w:val="20"/>
                <w:szCs w:val="20"/>
              </w:rPr>
              <w:t>0</w:t>
            </w:r>
          </w:p>
        </w:tc>
        <w:tc>
          <w:tcPr>
            <w:tcW w:w="855" w:type="dxa"/>
            <w:tcBorders>
              <w:top w:val="nil"/>
              <w:left w:val="nil"/>
              <w:bottom w:val="nil"/>
              <w:right w:val="nil"/>
            </w:tcBorders>
          </w:tcPr>
          <w:p w14:paraId="7FCB60A3" w14:textId="77777777" w:rsidR="007E2AEA" w:rsidRDefault="007E2AEA" w:rsidP="0049053E">
            <w:pPr>
              <w:autoSpaceDE w:val="0"/>
              <w:autoSpaceDN w:val="0"/>
              <w:adjustRightInd w:val="0"/>
              <w:jc w:val="right"/>
              <w:rPr>
                <w:sz w:val="20"/>
                <w:szCs w:val="20"/>
              </w:rPr>
            </w:pPr>
            <w:r>
              <w:rPr>
                <w:sz w:val="20"/>
                <w:szCs w:val="20"/>
              </w:rPr>
              <w:t>0</w:t>
            </w:r>
          </w:p>
        </w:tc>
        <w:tc>
          <w:tcPr>
            <w:tcW w:w="1389" w:type="dxa"/>
            <w:tcBorders>
              <w:top w:val="nil"/>
              <w:left w:val="nil"/>
              <w:bottom w:val="nil"/>
              <w:right w:val="nil"/>
            </w:tcBorders>
          </w:tcPr>
          <w:p w14:paraId="38474254" w14:textId="77777777" w:rsidR="007E2AEA" w:rsidRDefault="007E2AEA" w:rsidP="0049053E">
            <w:pPr>
              <w:autoSpaceDE w:val="0"/>
              <w:autoSpaceDN w:val="0"/>
              <w:adjustRightInd w:val="0"/>
              <w:jc w:val="center"/>
              <w:rPr>
                <w:sz w:val="20"/>
                <w:szCs w:val="20"/>
              </w:rPr>
            </w:pPr>
            <w:r>
              <w:rPr>
                <w:sz w:val="20"/>
                <w:szCs w:val="20"/>
              </w:rPr>
              <w:t>(0.95 to 1.00)</w:t>
            </w:r>
          </w:p>
        </w:tc>
        <w:tc>
          <w:tcPr>
            <w:tcW w:w="1389" w:type="dxa"/>
            <w:tcBorders>
              <w:top w:val="nil"/>
              <w:left w:val="nil"/>
              <w:bottom w:val="nil"/>
              <w:right w:val="nil"/>
            </w:tcBorders>
          </w:tcPr>
          <w:p w14:paraId="20C866C3" w14:textId="77777777" w:rsidR="007E2AEA" w:rsidRDefault="007E2AEA" w:rsidP="0049053E">
            <w:pPr>
              <w:autoSpaceDE w:val="0"/>
              <w:autoSpaceDN w:val="0"/>
              <w:adjustRightInd w:val="0"/>
              <w:jc w:val="center"/>
              <w:rPr>
                <w:sz w:val="20"/>
                <w:szCs w:val="20"/>
              </w:rPr>
            </w:pPr>
            <w:r>
              <w:rPr>
                <w:sz w:val="20"/>
                <w:szCs w:val="20"/>
              </w:rPr>
              <w:t>(0.00 to 0.01)</w:t>
            </w:r>
          </w:p>
        </w:tc>
        <w:tc>
          <w:tcPr>
            <w:tcW w:w="1389" w:type="dxa"/>
            <w:tcBorders>
              <w:top w:val="nil"/>
              <w:left w:val="nil"/>
              <w:bottom w:val="nil"/>
              <w:right w:val="nil"/>
            </w:tcBorders>
          </w:tcPr>
          <w:p w14:paraId="431AFCF0" w14:textId="77777777" w:rsidR="007E2AEA" w:rsidRDefault="007E2AEA" w:rsidP="0049053E">
            <w:pPr>
              <w:autoSpaceDE w:val="0"/>
              <w:autoSpaceDN w:val="0"/>
              <w:adjustRightInd w:val="0"/>
              <w:jc w:val="center"/>
              <w:rPr>
                <w:sz w:val="20"/>
                <w:szCs w:val="20"/>
              </w:rPr>
            </w:pPr>
            <w:r>
              <w:rPr>
                <w:sz w:val="20"/>
                <w:szCs w:val="20"/>
              </w:rPr>
              <w:t>(0.11 to 0.17)</w:t>
            </w:r>
          </w:p>
        </w:tc>
        <w:tc>
          <w:tcPr>
            <w:tcW w:w="1516" w:type="dxa"/>
            <w:tcBorders>
              <w:top w:val="nil"/>
              <w:left w:val="nil"/>
              <w:bottom w:val="nil"/>
              <w:right w:val="nil"/>
            </w:tcBorders>
          </w:tcPr>
          <w:p w14:paraId="7D666291" w14:textId="77777777" w:rsidR="007E2AEA" w:rsidRDefault="007E2AEA" w:rsidP="0049053E">
            <w:pPr>
              <w:autoSpaceDE w:val="0"/>
              <w:autoSpaceDN w:val="0"/>
              <w:adjustRightInd w:val="0"/>
              <w:jc w:val="center"/>
              <w:rPr>
                <w:sz w:val="20"/>
                <w:szCs w:val="20"/>
              </w:rPr>
            </w:pPr>
            <w:r>
              <w:rPr>
                <w:sz w:val="20"/>
                <w:szCs w:val="20"/>
              </w:rPr>
              <w:t>(0.00 to 1.00)</w:t>
            </w:r>
          </w:p>
        </w:tc>
      </w:tr>
      <w:tr w:rsidR="007E2AEA" w14:paraId="07ECD22A" w14:textId="77777777" w:rsidTr="0049053E">
        <w:tc>
          <w:tcPr>
            <w:tcW w:w="1824" w:type="dxa"/>
            <w:tcBorders>
              <w:top w:val="nil"/>
              <w:left w:val="nil"/>
              <w:bottom w:val="nil"/>
              <w:right w:val="nil"/>
            </w:tcBorders>
          </w:tcPr>
          <w:p w14:paraId="49755E47" w14:textId="77777777" w:rsidR="007E2AEA" w:rsidRDefault="007E2AEA" w:rsidP="0049053E">
            <w:pPr>
              <w:autoSpaceDE w:val="0"/>
              <w:autoSpaceDN w:val="0"/>
              <w:adjustRightInd w:val="0"/>
              <w:rPr>
                <w:sz w:val="20"/>
                <w:szCs w:val="20"/>
              </w:rPr>
            </w:pPr>
            <w:r>
              <w:rPr>
                <w:sz w:val="20"/>
                <w:szCs w:val="20"/>
              </w:rPr>
              <w:t>NG143</w:t>
            </w:r>
          </w:p>
        </w:tc>
        <w:tc>
          <w:tcPr>
            <w:tcW w:w="1496" w:type="dxa"/>
            <w:tcBorders>
              <w:top w:val="nil"/>
              <w:left w:val="nil"/>
              <w:bottom w:val="nil"/>
              <w:right w:val="nil"/>
            </w:tcBorders>
          </w:tcPr>
          <w:p w14:paraId="36AEB3BE" w14:textId="77777777" w:rsidR="007E2AEA" w:rsidRDefault="007E2AEA" w:rsidP="0049053E">
            <w:pPr>
              <w:autoSpaceDE w:val="0"/>
              <w:autoSpaceDN w:val="0"/>
              <w:adjustRightInd w:val="0"/>
              <w:rPr>
                <w:sz w:val="20"/>
                <w:szCs w:val="20"/>
              </w:rPr>
            </w:pPr>
            <w:r>
              <w:rPr>
                <w:sz w:val="20"/>
                <w:szCs w:val="20"/>
              </w:rPr>
              <w:t>Treat</w:t>
            </w:r>
          </w:p>
        </w:tc>
        <w:tc>
          <w:tcPr>
            <w:tcW w:w="549" w:type="dxa"/>
            <w:tcBorders>
              <w:top w:val="nil"/>
              <w:left w:val="nil"/>
              <w:bottom w:val="nil"/>
              <w:right w:val="nil"/>
            </w:tcBorders>
          </w:tcPr>
          <w:p w14:paraId="673253B7" w14:textId="77777777" w:rsidR="007E2AEA" w:rsidRDefault="007E2AEA" w:rsidP="0049053E">
            <w:pPr>
              <w:autoSpaceDE w:val="0"/>
              <w:autoSpaceDN w:val="0"/>
              <w:adjustRightInd w:val="0"/>
              <w:jc w:val="right"/>
              <w:rPr>
                <w:sz w:val="20"/>
                <w:szCs w:val="20"/>
              </w:rPr>
            </w:pPr>
            <w:r>
              <w:rPr>
                <w:sz w:val="20"/>
                <w:szCs w:val="20"/>
              </w:rPr>
              <w:t>71</w:t>
            </w:r>
          </w:p>
        </w:tc>
        <w:tc>
          <w:tcPr>
            <w:tcW w:w="855" w:type="dxa"/>
            <w:tcBorders>
              <w:top w:val="nil"/>
              <w:left w:val="nil"/>
              <w:bottom w:val="nil"/>
              <w:right w:val="nil"/>
            </w:tcBorders>
          </w:tcPr>
          <w:p w14:paraId="10C28F91" w14:textId="77777777" w:rsidR="007E2AEA" w:rsidRDefault="007E2AEA" w:rsidP="0049053E">
            <w:pPr>
              <w:autoSpaceDE w:val="0"/>
              <w:autoSpaceDN w:val="0"/>
              <w:adjustRightInd w:val="0"/>
              <w:jc w:val="right"/>
              <w:rPr>
                <w:sz w:val="20"/>
                <w:szCs w:val="20"/>
              </w:rPr>
            </w:pPr>
            <w:r>
              <w:rPr>
                <w:sz w:val="20"/>
                <w:szCs w:val="20"/>
              </w:rPr>
              <w:t>433</w:t>
            </w:r>
          </w:p>
        </w:tc>
        <w:tc>
          <w:tcPr>
            <w:tcW w:w="1389" w:type="dxa"/>
            <w:tcBorders>
              <w:top w:val="nil"/>
              <w:left w:val="nil"/>
              <w:bottom w:val="nil"/>
              <w:right w:val="nil"/>
            </w:tcBorders>
          </w:tcPr>
          <w:p w14:paraId="130A595D" w14:textId="77777777" w:rsidR="007E2AEA" w:rsidRDefault="007E2AEA" w:rsidP="0049053E">
            <w:pPr>
              <w:autoSpaceDE w:val="0"/>
              <w:autoSpaceDN w:val="0"/>
              <w:adjustRightInd w:val="0"/>
              <w:jc w:val="center"/>
              <w:rPr>
                <w:sz w:val="20"/>
                <w:szCs w:val="20"/>
              </w:rPr>
            </w:pPr>
            <w:r>
              <w:rPr>
                <w:sz w:val="20"/>
                <w:szCs w:val="20"/>
              </w:rPr>
              <w:t>0.91</w:t>
            </w:r>
          </w:p>
        </w:tc>
        <w:tc>
          <w:tcPr>
            <w:tcW w:w="1389" w:type="dxa"/>
            <w:tcBorders>
              <w:top w:val="nil"/>
              <w:left w:val="nil"/>
              <w:bottom w:val="nil"/>
              <w:right w:val="nil"/>
            </w:tcBorders>
          </w:tcPr>
          <w:p w14:paraId="0F12F44B" w14:textId="77777777" w:rsidR="007E2AEA" w:rsidRDefault="007E2AEA" w:rsidP="0049053E">
            <w:pPr>
              <w:autoSpaceDE w:val="0"/>
              <w:autoSpaceDN w:val="0"/>
              <w:adjustRightInd w:val="0"/>
              <w:jc w:val="center"/>
              <w:rPr>
                <w:sz w:val="20"/>
                <w:szCs w:val="20"/>
              </w:rPr>
            </w:pPr>
            <w:r>
              <w:rPr>
                <w:sz w:val="20"/>
                <w:szCs w:val="20"/>
              </w:rPr>
              <w:t>0.09</w:t>
            </w:r>
          </w:p>
        </w:tc>
        <w:tc>
          <w:tcPr>
            <w:tcW w:w="1389" w:type="dxa"/>
            <w:tcBorders>
              <w:top w:val="nil"/>
              <w:left w:val="nil"/>
              <w:bottom w:val="nil"/>
              <w:right w:val="nil"/>
            </w:tcBorders>
          </w:tcPr>
          <w:p w14:paraId="65329ADD" w14:textId="77777777" w:rsidR="007E2AEA" w:rsidRDefault="007E2AEA" w:rsidP="0049053E">
            <w:pPr>
              <w:autoSpaceDE w:val="0"/>
              <w:autoSpaceDN w:val="0"/>
              <w:adjustRightInd w:val="0"/>
              <w:jc w:val="center"/>
              <w:rPr>
                <w:sz w:val="20"/>
                <w:szCs w:val="20"/>
              </w:rPr>
            </w:pPr>
            <w:r>
              <w:rPr>
                <w:sz w:val="20"/>
                <w:szCs w:val="20"/>
              </w:rPr>
              <w:t>0.14</w:t>
            </w:r>
          </w:p>
        </w:tc>
        <w:tc>
          <w:tcPr>
            <w:tcW w:w="1516" w:type="dxa"/>
            <w:tcBorders>
              <w:top w:val="nil"/>
              <w:left w:val="nil"/>
              <w:bottom w:val="nil"/>
              <w:right w:val="nil"/>
            </w:tcBorders>
          </w:tcPr>
          <w:p w14:paraId="616C0446" w14:textId="77777777" w:rsidR="007E2AEA" w:rsidRDefault="007E2AEA" w:rsidP="0049053E">
            <w:pPr>
              <w:autoSpaceDE w:val="0"/>
              <w:autoSpaceDN w:val="0"/>
              <w:adjustRightInd w:val="0"/>
              <w:jc w:val="center"/>
              <w:rPr>
                <w:sz w:val="20"/>
                <w:szCs w:val="20"/>
              </w:rPr>
            </w:pPr>
            <w:r>
              <w:rPr>
                <w:sz w:val="20"/>
                <w:szCs w:val="20"/>
              </w:rPr>
              <w:t>0.86</w:t>
            </w:r>
          </w:p>
        </w:tc>
      </w:tr>
      <w:tr w:rsidR="007E2AEA" w14:paraId="1BC3E07A" w14:textId="77777777" w:rsidTr="0049053E">
        <w:tc>
          <w:tcPr>
            <w:tcW w:w="1824" w:type="dxa"/>
            <w:tcBorders>
              <w:top w:val="nil"/>
              <w:left w:val="nil"/>
              <w:bottom w:val="nil"/>
              <w:right w:val="nil"/>
            </w:tcBorders>
          </w:tcPr>
          <w:p w14:paraId="23475BD8" w14:textId="77777777" w:rsidR="007E2AEA" w:rsidRDefault="007E2AEA" w:rsidP="0049053E">
            <w:pPr>
              <w:autoSpaceDE w:val="0"/>
              <w:autoSpaceDN w:val="0"/>
              <w:adjustRightInd w:val="0"/>
              <w:rPr>
                <w:sz w:val="20"/>
                <w:szCs w:val="20"/>
              </w:rPr>
            </w:pPr>
          </w:p>
        </w:tc>
        <w:tc>
          <w:tcPr>
            <w:tcW w:w="1496" w:type="dxa"/>
            <w:tcBorders>
              <w:top w:val="nil"/>
              <w:left w:val="nil"/>
              <w:bottom w:val="nil"/>
              <w:right w:val="nil"/>
            </w:tcBorders>
          </w:tcPr>
          <w:p w14:paraId="039B24FF" w14:textId="77777777" w:rsidR="007E2AEA" w:rsidRDefault="007E2AEA" w:rsidP="0049053E">
            <w:pPr>
              <w:autoSpaceDE w:val="0"/>
              <w:autoSpaceDN w:val="0"/>
              <w:adjustRightInd w:val="0"/>
              <w:rPr>
                <w:sz w:val="20"/>
                <w:szCs w:val="20"/>
              </w:rPr>
            </w:pPr>
            <w:r>
              <w:rPr>
                <w:sz w:val="20"/>
                <w:szCs w:val="20"/>
              </w:rPr>
              <w:t>Do Not Treat</w:t>
            </w:r>
          </w:p>
        </w:tc>
        <w:tc>
          <w:tcPr>
            <w:tcW w:w="549" w:type="dxa"/>
            <w:tcBorders>
              <w:top w:val="nil"/>
              <w:left w:val="nil"/>
              <w:bottom w:val="nil"/>
              <w:right w:val="nil"/>
            </w:tcBorders>
          </w:tcPr>
          <w:p w14:paraId="71E6EE99" w14:textId="77777777" w:rsidR="007E2AEA" w:rsidRDefault="007E2AEA" w:rsidP="0049053E">
            <w:pPr>
              <w:autoSpaceDE w:val="0"/>
              <w:autoSpaceDN w:val="0"/>
              <w:adjustRightInd w:val="0"/>
              <w:jc w:val="right"/>
              <w:rPr>
                <w:sz w:val="20"/>
                <w:szCs w:val="20"/>
              </w:rPr>
            </w:pPr>
            <w:r>
              <w:rPr>
                <w:sz w:val="20"/>
                <w:szCs w:val="20"/>
              </w:rPr>
              <w:t>7</w:t>
            </w:r>
          </w:p>
        </w:tc>
        <w:tc>
          <w:tcPr>
            <w:tcW w:w="855" w:type="dxa"/>
            <w:tcBorders>
              <w:top w:val="nil"/>
              <w:left w:val="nil"/>
              <w:bottom w:val="nil"/>
              <w:right w:val="nil"/>
            </w:tcBorders>
          </w:tcPr>
          <w:p w14:paraId="435C6AFA" w14:textId="77777777" w:rsidR="007E2AEA" w:rsidRDefault="007E2AEA" w:rsidP="0049053E">
            <w:pPr>
              <w:autoSpaceDE w:val="0"/>
              <w:autoSpaceDN w:val="0"/>
              <w:adjustRightInd w:val="0"/>
              <w:jc w:val="right"/>
              <w:rPr>
                <w:sz w:val="20"/>
                <w:szCs w:val="20"/>
              </w:rPr>
            </w:pPr>
            <w:r>
              <w:rPr>
                <w:sz w:val="20"/>
                <w:szCs w:val="20"/>
              </w:rPr>
              <w:t>44</w:t>
            </w:r>
          </w:p>
        </w:tc>
        <w:tc>
          <w:tcPr>
            <w:tcW w:w="1389" w:type="dxa"/>
            <w:tcBorders>
              <w:top w:val="nil"/>
              <w:left w:val="nil"/>
              <w:bottom w:val="nil"/>
              <w:right w:val="nil"/>
            </w:tcBorders>
          </w:tcPr>
          <w:p w14:paraId="4B80DB5A" w14:textId="77777777" w:rsidR="007E2AEA" w:rsidRDefault="007E2AEA" w:rsidP="0049053E">
            <w:pPr>
              <w:autoSpaceDE w:val="0"/>
              <w:autoSpaceDN w:val="0"/>
              <w:adjustRightInd w:val="0"/>
              <w:jc w:val="center"/>
              <w:rPr>
                <w:sz w:val="20"/>
                <w:szCs w:val="20"/>
              </w:rPr>
            </w:pPr>
            <w:r>
              <w:rPr>
                <w:sz w:val="20"/>
                <w:szCs w:val="20"/>
              </w:rPr>
              <w:t>(0.82 to 0.96)</w:t>
            </w:r>
          </w:p>
        </w:tc>
        <w:tc>
          <w:tcPr>
            <w:tcW w:w="1389" w:type="dxa"/>
            <w:tcBorders>
              <w:top w:val="nil"/>
              <w:left w:val="nil"/>
              <w:bottom w:val="nil"/>
              <w:right w:val="nil"/>
            </w:tcBorders>
          </w:tcPr>
          <w:p w14:paraId="296BE011" w14:textId="77777777" w:rsidR="007E2AEA" w:rsidRDefault="007E2AEA" w:rsidP="0049053E">
            <w:pPr>
              <w:autoSpaceDE w:val="0"/>
              <w:autoSpaceDN w:val="0"/>
              <w:adjustRightInd w:val="0"/>
              <w:jc w:val="center"/>
              <w:rPr>
                <w:sz w:val="20"/>
                <w:szCs w:val="20"/>
              </w:rPr>
            </w:pPr>
            <w:r>
              <w:rPr>
                <w:sz w:val="20"/>
                <w:szCs w:val="20"/>
              </w:rPr>
              <w:t>(0.07 to 0.12)</w:t>
            </w:r>
          </w:p>
        </w:tc>
        <w:tc>
          <w:tcPr>
            <w:tcW w:w="1389" w:type="dxa"/>
            <w:tcBorders>
              <w:top w:val="nil"/>
              <w:left w:val="nil"/>
              <w:bottom w:val="nil"/>
              <w:right w:val="nil"/>
            </w:tcBorders>
          </w:tcPr>
          <w:p w14:paraId="2A7FB3E2" w14:textId="77777777" w:rsidR="007E2AEA" w:rsidRDefault="007E2AEA" w:rsidP="0049053E">
            <w:pPr>
              <w:autoSpaceDE w:val="0"/>
              <w:autoSpaceDN w:val="0"/>
              <w:adjustRightInd w:val="0"/>
              <w:jc w:val="center"/>
              <w:rPr>
                <w:sz w:val="20"/>
                <w:szCs w:val="20"/>
              </w:rPr>
            </w:pPr>
            <w:r>
              <w:rPr>
                <w:sz w:val="20"/>
                <w:szCs w:val="20"/>
              </w:rPr>
              <w:t>(0.11 to 0.17)</w:t>
            </w:r>
          </w:p>
        </w:tc>
        <w:tc>
          <w:tcPr>
            <w:tcW w:w="1516" w:type="dxa"/>
            <w:tcBorders>
              <w:top w:val="nil"/>
              <w:left w:val="nil"/>
              <w:bottom w:val="nil"/>
              <w:right w:val="nil"/>
            </w:tcBorders>
          </w:tcPr>
          <w:p w14:paraId="0024B86D" w14:textId="77777777" w:rsidR="007E2AEA" w:rsidRDefault="007E2AEA" w:rsidP="0049053E">
            <w:pPr>
              <w:autoSpaceDE w:val="0"/>
              <w:autoSpaceDN w:val="0"/>
              <w:adjustRightInd w:val="0"/>
              <w:jc w:val="center"/>
              <w:rPr>
                <w:sz w:val="20"/>
                <w:szCs w:val="20"/>
              </w:rPr>
            </w:pPr>
            <w:r>
              <w:rPr>
                <w:sz w:val="20"/>
                <w:szCs w:val="20"/>
              </w:rPr>
              <w:t>(0.74 to 0.94)</w:t>
            </w:r>
          </w:p>
        </w:tc>
      </w:tr>
      <w:tr w:rsidR="007E2AEA" w14:paraId="5AA13A46" w14:textId="77777777" w:rsidTr="0049053E">
        <w:tc>
          <w:tcPr>
            <w:tcW w:w="1824" w:type="dxa"/>
            <w:tcBorders>
              <w:top w:val="nil"/>
              <w:left w:val="nil"/>
              <w:bottom w:val="nil"/>
              <w:right w:val="nil"/>
            </w:tcBorders>
          </w:tcPr>
          <w:p w14:paraId="4487689C" w14:textId="77777777" w:rsidR="007E2AEA" w:rsidRDefault="007E2AEA" w:rsidP="0049053E">
            <w:pPr>
              <w:autoSpaceDE w:val="0"/>
              <w:autoSpaceDN w:val="0"/>
              <w:adjustRightInd w:val="0"/>
              <w:rPr>
                <w:sz w:val="20"/>
                <w:szCs w:val="20"/>
              </w:rPr>
            </w:pPr>
            <w:r>
              <w:rPr>
                <w:sz w:val="20"/>
                <w:szCs w:val="20"/>
              </w:rPr>
              <w:t>BSAC</w:t>
            </w:r>
          </w:p>
        </w:tc>
        <w:tc>
          <w:tcPr>
            <w:tcW w:w="1496" w:type="dxa"/>
            <w:tcBorders>
              <w:top w:val="nil"/>
              <w:left w:val="nil"/>
              <w:bottom w:val="nil"/>
              <w:right w:val="nil"/>
            </w:tcBorders>
          </w:tcPr>
          <w:p w14:paraId="19C50B0E" w14:textId="77777777" w:rsidR="007E2AEA" w:rsidRDefault="007E2AEA" w:rsidP="0049053E">
            <w:pPr>
              <w:autoSpaceDE w:val="0"/>
              <w:autoSpaceDN w:val="0"/>
              <w:adjustRightInd w:val="0"/>
              <w:rPr>
                <w:sz w:val="20"/>
                <w:szCs w:val="20"/>
              </w:rPr>
            </w:pPr>
            <w:r>
              <w:rPr>
                <w:sz w:val="20"/>
                <w:szCs w:val="20"/>
              </w:rPr>
              <w:t>Treat</w:t>
            </w:r>
          </w:p>
        </w:tc>
        <w:tc>
          <w:tcPr>
            <w:tcW w:w="549" w:type="dxa"/>
            <w:tcBorders>
              <w:top w:val="nil"/>
              <w:left w:val="nil"/>
              <w:bottom w:val="nil"/>
              <w:right w:val="nil"/>
            </w:tcBorders>
          </w:tcPr>
          <w:p w14:paraId="3745DE85" w14:textId="77777777" w:rsidR="007E2AEA" w:rsidRDefault="007E2AEA" w:rsidP="0049053E">
            <w:pPr>
              <w:autoSpaceDE w:val="0"/>
              <w:autoSpaceDN w:val="0"/>
              <w:adjustRightInd w:val="0"/>
              <w:jc w:val="right"/>
              <w:rPr>
                <w:sz w:val="20"/>
                <w:szCs w:val="20"/>
              </w:rPr>
            </w:pPr>
            <w:r>
              <w:rPr>
                <w:sz w:val="20"/>
                <w:szCs w:val="20"/>
              </w:rPr>
              <w:t>64</w:t>
            </w:r>
          </w:p>
        </w:tc>
        <w:tc>
          <w:tcPr>
            <w:tcW w:w="855" w:type="dxa"/>
            <w:tcBorders>
              <w:top w:val="nil"/>
              <w:left w:val="nil"/>
              <w:bottom w:val="nil"/>
              <w:right w:val="nil"/>
            </w:tcBorders>
          </w:tcPr>
          <w:p w14:paraId="0E766445" w14:textId="77777777" w:rsidR="007E2AEA" w:rsidRDefault="007E2AEA" w:rsidP="0049053E">
            <w:pPr>
              <w:autoSpaceDE w:val="0"/>
              <w:autoSpaceDN w:val="0"/>
              <w:adjustRightInd w:val="0"/>
              <w:jc w:val="right"/>
              <w:rPr>
                <w:sz w:val="20"/>
                <w:szCs w:val="20"/>
              </w:rPr>
            </w:pPr>
            <w:r>
              <w:rPr>
                <w:sz w:val="20"/>
                <w:szCs w:val="20"/>
              </w:rPr>
              <w:t>411</w:t>
            </w:r>
          </w:p>
        </w:tc>
        <w:tc>
          <w:tcPr>
            <w:tcW w:w="1389" w:type="dxa"/>
            <w:tcBorders>
              <w:top w:val="nil"/>
              <w:left w:val="nil"/>
              <w:bottom w:val="nil"/>
              <w:right w:val="nil"/>
            </w:tcBorders>
          </w:tcPr>
          <w:p w14:paraId="6EF15746" w14:textId="77777777" w:rsidR="007E2AEA" w:rsidRDefault="007E2AEA" w:rsidP="0049053E">
            <w:pPr>
              <w:autoSpaceDE w:val="0"/>
              <w:autoSpaceDN w:val="0"/>
              <w:adjustRightInd w:val="0"/>
              <w:jc w:val="center"/>
              <w:rPr>
                <w:sz w:val="20"/>
                <w:szCs w:val="20"/>
              </w:rPr>
            </w:pPr>
            <w:r>
              <w:rPr>
                <w:sz w:val="20"/>
                <w:szCs w:val="20"/>
              </w:rPr>
              <w:t>0.82</w:t>
            </w:r>
          </w:p>
        </w:tc>
        <w:tc>
          <w:tcPr>
            <w:tcW w:w="1389" w:type="dxa"/>
            <w:tcBorders>
              <w:top w:val="nil"/>
              <w:left w:val="nil"/>
              <w:bottom w:val="nil"/>
              <w:right w:val="nil"/>
            </w:tcBorders>
          </w:tcPr>
          <w:p w14:paraId="3BADF8B7" w14:textId="77777777" w:rsidR="007E2AEA" w:rsidRDefault="007E2AEA" w:rsidP="0049053E">
            <w:pPr>
              <w:autoSpaceDE w:val="0"/>
              <w:autoSpaceDN w:val="0"/>
              <w:adjustRightInd w:val="0"/>
              <w:jc w:val="center"/>
              <w:rPr>
                <w:sz w:val="20"/>
                <w:szCs w:val="20"/>
              </w:rPr>
            </w:pPr>
            <w:r>
              <w:rPr>
                <w:sz w:val="20"/>
                <w:szCs w:val="20"/>
              </w:rPr>
              <w:t>0.14</w:t>
            </w:r>
          </w:p>
        </w:tc>
        <w:tc>
          <w:tcPr>
            <w:tcW w:w="1389" w:type="dxa"/>
            <w:tcBorders>
              <w:top w:val="nil"/>
              <w:left w:val="nil"/>
              <w:bottom w:val="nil"/>
              <w:right w:val="nil"/>
            </w:tcBorders>
          </w:tcPr>
          <w:p w14:paraId="1C2B47B2" w14:textId="77777777" w:rsidR="007E2AEA" w:rsidRDefault="007E2AEA" w:rsidP="0049053E">
            <w:pPr>
              <w:autoSpaceDE w:val="0"/>
              <w:autoSpaceDN w:val="0"/>
              <w:adjustRightInd w:val="0"/>
              <w:jc w:val="center"/>
              <w:rPr>
                <w:sz w:val="20"/>
                <w:szCs w:val="20"/>
              </w:rPr>
            </w:pPr>
            <w:r>
              <w:rPr>
                <w:sz w:val="20"/>
                <w:szCs w:val="20"/>
              </w:rPr>
              <w:t>0.13</w:t>
            </w:r>
          </w:p>
        </w:tc>
        <w:tc>
          <w:tcPr>
            <w:tcW w:w="1516" w:type="dxa"/>
            <w:tcBorders>
              <w:top w:val="nil"/>
              <w:left w:val="nil"/>
              <w:bottom w:val="nil"/>
              <w:right w:val="nil"/>
            </w:tcBorders>
          </w:tcPr>
          <w:p w14:paraId="436A2884" w14:textId="77777777" w:rsidR="007E2AEA" w:rsidRDefault="007E2AEA" w:rsidP="0049053E">
            <w:pPr>
              <w:autoSpaceDE w:val="0"/>
              <w:autoSpaceDN w:val="0"/>
              <w:adjustRightInd w:val="0"/>
              <w:jc w:val="center"/>
              <w:rPr>
                <w:sz w:val="20"/>
                <w:szCs w:val="20"/>
              </w:rPr>
            </w:pPr>
            <w:r>
              <w:rPr>
                <w:sz w:val="20"/>
                <w:szCs w:val="20"/>
              </w:rPr>
              <w:t>0.82</w:t>
            </w:r>
          </w:p>
        </w:tc>
      </w:tr>
      <w:tr w:rsidR="007E2AEA" w14:paraId="4291BD8B" w14:textId="77777777" w:rsidTr="0049053E">
        <w:tc>
          <w:tcPr>
            <w:tcW w:w="1824" w:type="dxa"/>
            <w:tcBorders>
              <w:top w:val="nil"/>
              <w:left w:val="nil"/>
              <w:bottom w:val="single" w:sz="6" w:space="0" w:color="auto"/>
              <w:right w:val="nil"/>
            </w:tcBorders>
          </w:tcPr>
          <w:p w14:paraId="764585F7" w14:textId="77777777" w:rsidR="007E2AEA" w:rsidRDefault="007E2AEA" w:rsidP="0049053E">
            <w:pPr>
              <w:autoSpaceDE w:val="0"/>
              <w:autoSpaceDN w:val="0"/>
              <w:adjustRightInd w:val="0"/>
              <w:rPr>
                <w:sz w:val="20"/>
                <w:szCs w:val="20"/>
              </w:rPr>
            </w:pPr>
          </w:p>
        </w:tc>
        <w:tc>
          <w:tcPr>
            <w:tcW w:w="1496" w:type="dxa"/>
            <w:tcBorders>
              <w:top w:val="nil"/>
              <w:left w:val="nil"/>
              <w:bottom w:val="single" w:sz="6" w:space="0" w:color="auto"/>
              <w:right w:val="nil"/>
            </w:tcBorders>
          </w:tcPr>
          <w:p w14:paraId="64313C34" w14:textId="77777777" w:rsidR="007E2AEA" w:rsidRDefault="007E2AEA" w:rsidP="0049053E">
            <w:pPr>
              <w:autoSpaceDE w:val="0"/>
              <w:autoSpaceDN w:val="0"/>
              <w:adjustRightInd w:val="0"/>
              <w:rPr>
                <w:sz w:val="20"/>
                <w:szCs w:val="20"/>
              </w:rPr>
            </w:pPr>
            <w:r>
              <w:rPr>
                <w:sz w:val="20"/>
                <w:szCs w:val="20"/>
              </w:rPr>
              <w:t>Do Not Treat</w:t>
            </w:r>
          </w:p>
        </w:tc>
        <w:tc>
          <w:tcPr>
            <w:tcW w:w="549" w:type="dxa"/>
            <w:tcBorders>
              <w:top w:val="nil"/>
              <w:left w:val="nil"/>
              <w:bottom w:val="single" w:sz="6" w:space="0" w:color="auto"/>
              <w:right w:val="nil"/>
            </w:tcBorders>
          </w:tcPr>
          <w:p w14:paraId="4FDF913F" w14:textId="77777777" w:rsidR="007E2AEA" w:rsidRDefault="007E2AEA" w:rsidP="0049053E">
            <w:pPr>
              <w:autoSpaceDE w:val="0"/>
              <w:autoSpaceDN w:val="0"/>
              <w:adjustRightInd w:val="0"/>
              <w:jc w:val="right"/>
              <w:rPr>
                <w:sz w:val="20"/>
                <w:szCs w:val="20"/>
              </w:rPr>
            </w:pPr>
            <w:r>
              <w:rPr>
                <w:sz w:val="20"/>
                <w:szCs w:val="20"/>
              </w:rPr>
              <w:t>14</w:t>
            </w:r>
          </w:p>
        </w:tc>
        <w:tc>
          <w:tcPr>
            <w:tcW w:w="855" w:type="dxa"/>
            <w:tcBorders>
              <w:top w:val="nil"/>
              <w:left w:val="nil"/>
              <w:bottom w:val="single" w:sz="6" w:space="0" w:color="auto"/>
              <w:right w:val="nil"/>
            </w:tcBorders>
          </w:tcPr>
          <w:p w14:paraId="4ED40F7A" w14:textId="77777777" w:rsidR="007E2AEA" w:rsidRDefault="007E2AEA" w:rsidP="0049053E">
            <w:pPr>
              <w:autoSpaceDE w:val="0"/>
              <w:autoSpaceDN w:val="0"/>
              <w:adjustRightInd w:val="0"/>
              <w:jc w:val="right"/>
              <w:rPr>
                <w:sz w:val="20"/>
                <w:szCs w:val="20"/>
              </w:rPr>
            </w:pPr>
            <w:r>
              <w:rPr>
                <w:sz w:val="20"/>
                <w:szCs w:val="20"/>
              </w:rPr>
              <w:t>66</w:t>
            </w:r>
          </w:p>
        </w:tc>
        <w:tc>
          <w:tcPr>
            <w:tcW w:w="1389" w:type="dxa"/>
            <w:tcBorders>
              <w:top w:val="nil"/>
              <w:left w:val="nil"/>
              <w:bottom w:val="single" w:sz="6" w:space="0" w:color="auto"/>
              <w:right w:val="nil"/>
            </w:tcBorders>
          </w:tcPr>
          <w:p w14:paraId="3862A33F" w14:textId="77777777" w:rsidR="007E2AEA" w:rsidRDefault="007E2AEA" w:rsidP="0049053E">
            <w:pPr>
              <w:autoSpaceDE w:val="0"/>
              <w:autoSpaceDN w:val="0"/>
              <w:adjustRightInd w:val="0"/>
              <w:jc w:val="center"/>
              <w:rPr>
                <w:sz w:val="20"/>
                <w:szCs w:val="20"/>
              </w:rPr>
            </w:pPr>
            <w:r>
              <w:rPr>
                <w:sz w:val="20"/>
                <w:szCs w:val="20"/>
              </w:rPr>
              <w:t>(0.72 to 0.90)</w:t>
            </w:r>
          </w:p>
        </w:tc>
        <w:tc>
          <w:tcPr>
            <w:tcW w:w="1389" w:type="dxa"/>
            <w:tcBorders>
              <w:top w:val="nil"/>
              <w:left w:val="nil"/>
              <w:bottom w:val="single" w:sz="6" w:space="0" w:color="auto"/>
              <w:right w:val="nil"/>
            </w:tcBorders>
          </w:tcPr>
          <w:p w14:paraId="3B1D7F41" w14:textId="77777777" w:rsidR="007E2AEA" w:rsidRDefault="007E2AEA" w:rsidP="0049053E">
            <w:pPr>
              <w:autoSpaceDE w:val="0"/>
              <w:autoSpaceDN w:val="0"/>
              <w:adjustRightInd w:val="0"/>
              <w:jc w:val="center"/>
              <w:rPr>
                <w:sz w:val="20"/>
                <w:szCs w:val="20"/>
              </w:rPr>
            </w:pPr>
            <w:r>
              <w:rPr>
                <w:sz w:val="20"/>
                <w:szCs w:val="20"/>
              </w:rPr>
              <w:t>(0.11 to 0.17)</w:t>
            </w:r>
          </w:p>
        </w:tc>
        <w:tc>
          <w:tcPr>
            <w:tcW w:w="1389" w:type="dxa"/>
            <w:tcBorders>
              <w:top w:val="nil"/>
              <w:left w:val="nil"/>
              <w:bottom w:val="single" w:sz="6" w:space="0" w:color="auto"/>
              <w:right w:val="nil"/>
            </w:tcBorders>
          </w:tcPr>
          <w:p w14:paraId="75A7B282" w14:textId="77777777" w:rsidR="007E2AEA" w:rsidRDefault="007E2AEA" w:rsidP="0049053E">
            <w:pPr>
              <w:autoSpaceDE w:val="0"/>
              <w:autoSpaceDN w:val="0"/>
              <w:adjustRightInd w:val="0"/>
              <w:jc w:val="center"/>
              <w:rPr>
                <w:sz w:val="20"/>
                <w:szCs w:val="20"/>
              </w:rPr>
            </w:pPr>
            <w:r>
              <w:rPr>
                <w:sz w:val="20"/>
                <w:szCs w:val="20"/>
              </w:rPr>
              <w:t>(0.11 to 0.17)</w:t>
            </w:r>
          </w:p>
        </w:tc>
        <w:tc>
          <w:tcPr>
            <w:tcW w:w="1516" w:type="dxa"/>
            <w:tcBorders>
              <w:top w:val="nil"/>
              <w:left w:val="nil"/>
              <w:bottom w:val="single" w:sz="6" w:space="0" w:color="auto"/>
              <w:right w:val="nil"/>
            </w:tcBorders>
          </w:tcPr>
          <w:p w14:paraId="3D781386" w14:textId="77777777" w:rsidR="007E2AEA" w:rsidRDefault="007E2AEA" w:rsidP="0049053E">
            <w:pPr>
              <w:autoSpaceDE w:val="0"/>
              <w:autoSpaceDN w:val="0"/>
              <w:adjustRightInd w:val="0"/>
              <w:jc w:val="center"/>
              <w:rPr>
                <w:sz w:val="20"/>
                <w:szCs w:val="20"/>
              </w:rPr>
            </w:pPr>
            <w:r>
              <w:rPr>
                <w:sz w:val="20"/>
                <w:szCs w:val="20"/>
              </w:rPr>
              <w:t>(0.72 to 0.90)</w:t>
            </w:r>
          </w:p>
        </w:tc>
      </w:tr>
    </w:tbl>
    <w:p w14:paraId="40A3F5FB" w14:textId="6605F5C0" w:rsidR="00711A10" w:rsidRDefault="00711A10" w:rsidP="0090090F">
      <w:pPr>
        <w:widowControl w:val="0"/>
        <w:autoSpaceDE w:val="0"/>
        <w:autoSpaceDN w:val="0"/>
        <w:adjustRightInd w:val="0"/>
        <w:rPr>
          <w:rFonts w:ascii="Arial" w:hAnsi="Arial" w:cs="Arial"/>
          <w:i/>
          <w:color w:val="333333"/>
          <w:sz w:val="22"/>
          <w:szCs w:val="22"/>
          <w:shd w:val="clear" w:color="auto" w:fill="FFFFFF"/>
        </w:rPr>
      </w:pPr>
    </w:p>
    <w:p w14:paraId="0DB1A217" w14:textId="3344F8BE" w:rsidR="00433285" w:rsidRDefault="00433285" w:rsidP="0090090F">
      <w:pPr>
        <w:widowControl w:val="0"/>
        <w:autoSpaceDE w:val="0"/>
        <w:autoSpaceDN w:val="0"/>
        <w:adjustRightInd w:val="0"/>
        <w:rPr>
          <w:rFonts w:ascii="Arial" w:hAnsi="Arial" w:cs="Arial"/>
          <w:i/>
          <w:color w:val="333333"/>
          <w:sz w:val="22"/>
          <w:szCs w:val="22"/>
          <w:shd w:val="clear" w:color="auto" w:fill="FFFFFF"/>
        </w:rPr>
      </w:pPr>
    </w:p>
    <w:p w14:paraId="780751C2" w14:textId="77777777" w:rsidR="00433285" w:rsidRDefault="00433285" w:rsidP="0090090F">
      <w:pPr>
        <w:widowControl w:val="0"/>
        <w:autoSpaceDE w:val="0"/>
        <w:autoSpaceDN w:val="0"/>
        <w:adjustRightInd w:val="0"/>
        <w:rPr>
          <w:rFonts w:ascii="Arial" w:hAnsi="Arial" w:cs="Arial"/>
          <w:i/>
          <w:color w:val="333333"/>
          <w:sz w:val="22"/>
          <w:szCs w:val="22"/>
          <w:shd w:val="clear" w:color="auto" w:fill="FFFFFF"/>
        </w:rPr>
      </w:pPr>
    </w:p>
    <w:p w14:paraId="6B0AF4D7" w14:textId="6701E5AC" w:rsidR="0090090F" w:rsidRPr="00E47820" w:rsidRDefault="007E2AEA" w:rsidP="0090090F">
      <w:pPr>
        <w:widowControl w:val="0"/>
        <w:autoSpaceDE w:val="0"/>
        <w:autoSpaceDN w:val="0"/>
        <w:adjustRightInd w:val="0"/>
        <w:rPr>
          <w:rFonts w:ascii="Arial" w:hAnsi="Arial" w:cs="Arial"/>
          <w:i/>
          <w:color w:val="333333"/>
          <w:sz w:val="22"/>
          <w:szCs w:val="22"/>
          <w:shd w:val="clear" w:color="auto" w:fill="FFFFFF"/>
        </w:rPr>
      </w:pPr>
      <w:r>
        <w:rPr>
          <w:rFonts w:ascii="Arial" w:hAnsi="Arial" w:cs="Arial"/>
          <w:i/>
          <w:color w:val="333333"/>
          <w:sz w:val="22"/>
          <w:szCs w:val="22"/>
          <w:shd w:val="clear" w:color="auto" w:fill="FFFFFF"/>
        </w:rPr>
        <w:lastRenderedPageBreak/>
        <w:t>Table 4</w:t>
      </w:r>
      <w:r w:rsidR="0090090F" w:rsidRPr="00E47820">
        <w:rPr>
          <w:rFonts w:ascii="Arial" w:hAnsi="Arial" w:cs="Arial"/>
          <w:i/>
          <w:color w:val="333333"/>
          <w:sz w:val="22"/>
          <w:szCs w:val="22"/>
          <w:shd w:val="clear" w:color="auto" w:fill="FFFFFF"/>
        </w:rPr>
        <w:t>: Univariate analysis of variables (Fisher’s Exact for categorical variables, Mann-Whitney U for continuous variables). Number and (%) with feature shown for categorical variables and median for continuous variables unless otherwise stated.</w:t>
      </w:r>
    </w:p>
    <w:tbl>
      <w:tblPr>
        <w:tblStyle w:val="PlainTable51"/>
        <w:tblpPr w:leftFromText="180" w:rightFromText="180" w:vertAnchor="text" w:horzAnchor="margin" w:tblpXSpec="center" w:tblpY="433"/>
        <w:tblW w:w="9493" w:type="dxa"/>
        <w:tblLook w:val="04A0" w:firstRow="1" w:lastRow="0" w:firstColumn="1" w:lastColumn="0" w:noHBand="0" w:noVBand="1"/>
      </w:tblPr>
      <w:tblGrid>
        <w:gridCol w:w="3261"/>
        <w:gridCol w:w="1842"/>
        <w:gridCol w:w="1701"/>
        <w:gridCol w:w="1701"/>
        <w:gridCol w:w="988"/>
      </w:tblGrid>
      <w:tr w:rsidR="0090090F" w:rsidRPr="00E47820" w14:paraId="13F2FD9E" w14:textId="77777777" w:rsidTr="00B0114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261" w:type="dxa"/>
          </w:tcPr>
          <w:p w14:paraId="1E5FBCD7" w14:textId="77777777" w:rsidR="0090090F" w:rsidRPr="00654C02" w:rsidRDefault="0090090F" w:rsidP="00B0114A">
            <w:pPr>
              <w:widowControl w:val="0"/>
              <w:autoSpaceDE w:val="0"/>
              <w:autoSpaceDN w:val="0"/>
              <w:spacing w:line="480" w:lineRule="auto"/>
              <w:rPr>
                <w:rFonts w:ascii="Arial" w:eastAsia="Arial" w:hAnsi="Arial" w:cs="Arial"/>
                <w:b/>
                <w:bCs/>
                <w:sz w:val="14"/>
                <w:szCs w:val="14"/>
              </w:rPr>
            </w:pPr>
            <w:r w:rsidRPr="00654C02">
              <w:rPr>
                <w:rFonts w:ascii="Arial" w:eastAsia="Arial" w:hAnsi="Arial" w:cs="Arial"/>
                <w:b/>
                <w:bCs/>
                <w:sz w:val="14"/>
                <w:szCs w:val="14"/>
              </w:rPr>
              <w:t xml:space="preserve">Variable </w:t>
            </w:r>
          </w:p>
        </w:tc>
        <w:tc>
          <w:tcPr>
            <w:tcW w:w="1842" w:type="dxa"/>
          </w:tcPr>
          <w:p w14:paraId="59DC4AC3" w14:textId="77777777" w:rsidR="0090090F" w:rsidRPr="00654C02" w:rsidRDefault="0090090F" w:rsidP="00B0114A">
            <w:pPr>
              <w:widowControl w:val="0"/>
              <w:autoSpaceDE w:val="0"/>
              <w:autoSpaceDN w:val="0"/>
              <w:spacing w:line="480" w:lineRule="auto"/>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b/>
                <w:bCs/>
                <w:sz w:val="14"/>
                <w:szCs w:val="14"/>
              </w:rPr>
            </w:pPr>
            <w:r w:rsidRPr="00654C02">
              <w:rPr>
                <w:rFonts w:ascii="Arial" w:eastAsia="Arial" w:hAnsi="Arial" w:cs="Arial"/>
                <w:b/>
                <w:bCs/>
                <w:sz w:val="14"/>
                <w:szCs w:val="14"/>
              </w:rPr>
              <w:t>Complete Data N(%)</w:t>
            </w:r>
          </w:p>
        </w:tc>
        <w:tc>
          <w:tcPr>
            <w:tcW w:w="1701" w:type="dxa"/>
          </w:tcPr>
          <w:p w14:paraId="732CFFB1" w14:textId="77777777" w:rsidR="0090090F" w:rsidRPr="00654C02" w:rsidRDefault="0090090F" w:rsidP="00B0114A">
            <w:pPr>
              <w:widowControl w:val="0"/>
              <w:autoSpaceDE w:val="0"/>
              <w:autoSpaceDN w:val="0"/>
              <w:spacing w:line="480" w:lineRule="auto"/>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b/>
                <w:bCs/>
                <w:sz w:val="14"/>
                <w:szCs w:val="14"/>
              </w:rPr>
            </w:pPr>
            <w:r w:rsidRPr="00654C02">
              <w:rPr>
                <w:rFonts w:ascii="Arial" w:eastAsia="Arial" w:hAnsi="Arial" w:cs="Arial"/>
                <w:b/>
                <w:bCs/>
                <w:sz w:val="14"/>
                <w:szCs w:val="14"/>
              </w:rPr>
              <w:t>Without SBI</w:t>
            </w:r>
          </w:p>
          <w:p w14:paraId="205A15E0" w14:textId="77777777" w:rsidR="0090090F" w:rsidRPr="00654C02" w:rsidRDefault="0090090F" w:rsidP="00B0114A">
            <w:pPr>
              <w:widowControl w:val="0"/>
              <w:autoSpaceDE w:val="0"/>
              <w:autoSpaceDN w:val="0"/>
              <w:spacing w:line="480" w:lineRule="auto"/>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b/>
                <w:bCs/>
                <w:sz w:val="14"/>
                <w:szCs w:val="14"/>
              </w:rPr>
            </w:pPr>
            <w:r w:rsidRPr="00654C02">
              <w:rPr>
                <w:rFonts w:ascii="Arial" w:eastAsia="Arial" w:hAnsi="Arial" w:cs="Arial"/>
                <w:b/>
                <w:bCs/>
                <w:sz w:val="14"/>
                <w:szCs w:val="14"/>
              </w:rPr>
              <w:t>N(%)</w:t>
            </w:r>
          </w:p>
        </w:tc>
        <w:tc>
          <w:tcPr>
            <w:tcW w:w="1701" w:type="dxa"/>
          </w:tcPr>
          <w:p w14:paraId="3B05ED7E" w14:textId="77777777" w:rsidR="0090090F" w:rsidRPr="00654C02" w:rsidRDefault="0090090F" w:rsidP="00B0114A">
            <w:pPr>
              <w:widowControl w:val="0"/>
              <w:autoSpaceDE w:val="0"/>
              <w:autoSpaceDN w:val="0"/>
              <w:spacing w:line="480" w:lineRule="auto"/>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b/>
                <w:bCs/>
                <w:sz w:val="14"/>
                <w:szCs w:val="14"/>
              </w:rPr>
            </w:pPr>
            <w:r w:rsidRPr="00654C02">
              <w:rPr>
                <w:rFonts w:ascii="Arial" w:eastAsia="Arial" w:hAnsi="Arial" w:cs="Arial"/>
                <w:b/>
                <w:bCs/>
                <w:sz w:val="14"/>
                <w:szCs w:val="14"/>
              </w:rPr>
              <w:t>With SBI</w:t>
            </w:r>
          </w:p>
          <w:p w14:paraId="6D74E0AC" w14:textId="77777777" w:rsidR="0090090F" w:rsidRPr="00654C02" w:rsidRDefault="0090090F" w:rsidP="00B0114A">
            <w:pPr>
              <w:widowControl w:val="0"/>
              <w:autoSpaceDE w:val="0"/>
              <w:autoSpaceDN w:val="0"/>
              <w:spacing w:line="480" w:lineRule="auto"/>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b/>
                <w:bCs/>
                <w:sz w:val="14"/>
                <w:szCs w:val="14"/>
              </w:rPr>
            </w:pPr>
            <w:r w:rsidRPr="00654C02">
              <w:rPr>
                <w:rFonts w:ascii="Arial" w:eastAsia="Arial" w:hAnsi="Arial" w:cs="Arial"/>
                <w:b/>
                <w:bCs/>
                <w:sz w:val="14"/>
                <w:szCs w:val="14"/>
              </w:rPr>
              <w:t xml:space="preserve">N(%) </w:t>
            </w:r>
          </w:p>
        </w:tc>
        <w:tc>
          <w:tcPr>
            <w:tcW w:w="988" w:type="dxa"/>
          </w:tcPr>
          <w:p w14:paraId="37DC27E3" w14:textId="77777777" w:rsidR="0090090F" w:rsidRPr="00654C02" w:rsidRDefault="0090090F" w:rsidP="00B0114A">
            <w:pPr>
              <w:widowControl w:val="0"/>
              <w:autoSpaceDE w:val="0"/>
              <w:autoSpaceDN w:val="0"/>
              <w:spacing w:line="480" w:lineRule="auto"/>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b/>
                <w:bCs/>
                <w:sz w:val="14"/>
                <w:szCs w:val="14"/>
              </w:rPr>
            </w:pPr>
            <w:r w:rsidRPr="00654C02">
              <w:rPr>
                <w:rFonts w:ascii="Arial" w:eastAsia="Arial" w:hAnsi="Arial" w:cs="Arial"/>
                <w:b/>
                <w:bCs/>
                <w:sz w:val="14"/>
                <w:szCs w:val="14"/>
              </w:rPr>
              <w:t>P Value</w:t>
            </w:r>
          </w:p>
        </w:tc>
      </w:tr>
      <w:tr w:rsidR="0090090F" w:rsidRPr="00E47820" w14:paraId="164B88F9" w14:textId="77777777" w:rsidTr="00B011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14:paraId="6BF85B2E" w14:textId="75323473" w:rsidR="0090090F" w:rsidRPr="00654C02" w:rsidRDefault="00A82363" w:rsidP="00B0114A">
            <w:pPr>
              <w:widowControl w:val="0"/>
              <w:autoSpaceDE w:val="0"/>
              <w:autoSpaceDN w:val="0"/>
              <w:spacing w:line="480" w:lineRule="auto"/>
              <w:rPr>
                <w:rFonts w:ascii="Arial" w:eastAsia="Arial" w:hAnsi="Arial" w:cs="Arial"/>
                <w:b/>
                <w:bCs/>
                <w:color w:val="000000"/>
                <w:sz w:val="14"/>
                <w:szCs w:val="14"/>
              </w:rPr>
            </w:pPr>
            <w:r>
              <w:rPr>
                <w:rFonts w:ascii="Arial" w:eastAsia="Arial" w:hAnsi="Arial" w:cs="Arial"/>
                <w:b/>
                <w:bCs/>
                <w:color w:val="000000"/>
                <w:sz w:val="14"/>
                <w:szCs w:val="14"/>
              </w:rPr>
              <w:t>G</w:t>
            </w:r>
            <w:r w:rsidR="0090090F" w:rsidRPr="00654C02">
              <w:rPr>
                <w:rFonts w:ascii="Arial" w:eastAsia="Arial" w:hAnsi="Arial" w:cs="Arial"/>
                <w:b/>
                <w:bCs/>
                <w:color w:val="000000"/>
                <w:sz w:val="14"/>
                <w:szCs w:val="14"/>
              </w:rPr>
              <w:t>ender</w:t>
            </w:r>
            <w:r>
              <w:rPr>
                <w:rFonts w:ascii="Arial" w:eastAsia="Arial" w:hAnsi="Arial" w:cs="Arial"/>
                <w:b/>
                <w:bCs/>
                <w:color w:val="000000"/>
                <w:sz w:val="14"/>
                <w:szCs w:val="14"/>
              </w:rPr>
              <w:t xml:space="preserve"> (Male)</w:t>
            </w:r>
          </w:p>
        </w:tc>
        <w:tc>
          <w:tcPr>
            <w:tcW w:w="1842" w:type="dxa"/>
          </w:tcPr>
          <w:p w14:paraId="31CEEA2C" w14:textId="3400422B" w:rsidR="0090090F" w:rsidRPr="00654C02" w:rsidRDefault="00673224" w:rsidP="00B0114A">
            <w:pPr>
              <w:widowControl w:val="0"/>
              <w:autoSpaceDE w:val="0"/>
              <w:autoSpaceDN w:val="0"/>
              <w:spacing w:line="480"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b/>
                <w:bCs/>
                <w:color w:val="000000"/>
                <w:sz w:val="14"/>
                <w:szCs w:val="14"/>
              </w:rPr>
            </w:pPr>
            <w:r>
              <w:rPr>
                <w:rFonts w:ascii="Arial" w:eastAsia="Arial" w:hAnsi="Arial" w:cs="Arial"/>
                <w:b/>
                <w:bCs/>
                <w:color w:val="000000"/>
                <w:sz w:val="14"/>
                <w:szCs w:val="14"/>
              </w:rPr>
              <w:t>55</w:t>
            </w:r>
            <w:r w:rsidR="0090090F" w:rsidRPr="00654C02">
              <w:rPr>
                <w:rFonts w:ascii="Arial" w:eastAsia="Arial" w:hAnsi="Arial" w:cs="Arial"/>
                <w:b/>
                <w:bCs/>
                <w:color w:val="000000"/>
                <w:sz w:val="14"/>
                <w:szCs w:val="14"/>
              </w:rPr>
              <w:t>5(100)</w:t>
            </w:r>
          </w:p>
        </w:tc>
        <w:tc>
          <w:tcPr>
            <w:tcW w:w="1701" w:type="dxa"/>
          </w:tcPr>
          <w:p w14:paraId="69FA7A91" w14:textId="2F155CDD" w:rsidR="0090090F" w:rsidRPr="00654C02" w:rsidRDefault="00B04AC9" w:rsidP="00B0114A">
            <w:pPr>
              <w:widowControl w:val="0"/>
              <w:autoSpaceDE w:val="0"/>
              <w:autoSpaceDN w:val="0"/>
              <w:spacing w:line="480"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b/>
                <w:bCs/>
                <w:color w:val="000000"/>
                <w:sz w:val="14"/>
                <w:szCs w:val="14"/>
              </w:rPr>
            </w:pPr>
            <w:r>
              <w:rPr>
                <w:rFonts w:ascii="Arial" w:eastAsia="Arial" w:hAnsi="Arial" w:cs="Arial"/>
                <w:b/>
                <w:bCs/>
                <w:color w:val="000000"/>
                <w:sz w:val="14"/>
                <w:szCs w:val="14"/>
              </w:rPr>
              <w:t>275(57.7</w:t>
            </w:r>
            <w:r w:rsidR="0090090F" w:rsidRPr="00654C02">
              <w:rPr>
                <w:rFonts w:ascii="Arial" w:eastAsia="Arial" w:hAnsi="Arial" w:cs="Arial"/>
                <w:b/>
                <w:bCs/>
                <w:color w:val="000000"/>
                <w:sz w:val="14"/>
                <w:szCs w:val="14"/>
              </w:rPr>
              <w:t>)</w:t>
            </w:r>
          </w:p>
        </w:tc>
        <w:tc>
          <w:tcPr>
            <w:tcW w:w="1701" w:type="dxa"/>
          </w:tcPr>
          <w:p w14:paraId="493CEBAF" w14:textId="4AE8A3F2" w:rsidR="0090090F" w:rsidRPr="00654C02" w:rsidRDefault="00B04AC9" w:rsidP="00B0114A">
            <w:pPr>
              <w:widowControl w:val="0"/>
              <w:autoSpaceDE w:val="0"/>
              <w:autoSpaceDN w:val="0"/>
              <w:spacing w:line="480"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b/>
                <w:bCs/>
                <w:color w:val="000000"/>
                <w:sz w:val="14"/>
                <w:szCs w:val="14"/>
              </w:rPr>
            </w:pPr>
            <w:r>
              <w:rPr>
                <w:rFonts w:ascii="Arial" w:eastAsia="Arial" w:hAnsi="Arial" w:cs="Arial"/>
                <w:b/>
                <w:bCs/>
                <w:color w:val="000000"/>
                <w:sz w:val="14"/>
                <w:szCs w:val="14"/>
              </w:rPr>
              <w:t>50(64.1</w:t>
            </w:r>
            <w:r w:rsidR="0090090F" w:rsidRPr="00654C02">
              <w:rPr>
                <w:rFonts w:ascii="Arial" w:eastAsia="Arial" w:hAnsi="Arial" w:cs="Arial"/>
                <w:b/>
                <w:bCs/>
                <w:color w:val="000000"/>
                <w:sz w:val="14"/>
                <w:szCs w:val="14"/>
              </w:rPr>
              <w:t>)</w:t>
            </w:r>
          </w:p>
        </w:tc>
        <w:tc>
          <w:tcPr>
            <w:tcW w:w="988" w:type="dxa"/>
          </w:tcPr>
          <w:p w14:paraId="412A7EB4" w14:textId="25D74E13" w:rsidR="0090090F" w:rsidRPr="00654C02" w:rsidRDefault="007A7A81" w:rsidP="00B0114A">
            <w:pPr>
              <w:widowControl w:val="0"/>
              <w:autoSpaceDE w:val="0"/>
              <w:autoSpaceDN w:val="0"/>
              <w:spacing w:line="480"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b/>
                <w:bCs/>
                <w:sz w:val="14"/>
                <w:szCs w:val="14"/>
              </w:rPr>
            </w:pPr>
            <w:r>
              <w:rPr>
                <w:rFonts w:ascii="Arial" w:eastAsia="Arial" w:hAnsi="Arial" w:cs="Arial"/>
                <w:b/>
                <w:bCs/>
                <w:sz w:val="14"/>
                <w:szCs w:val="14"/>
              </w:rPr>
              <w:t>0.32</w:t>
            </w:r>
          </w:p>
        </w:tc>
      </w:tr>
      <w:tr w:rsidR="0090090F" w:rsidRPr="00E47820" w14:paraId="10C50D91" w14:textId="77777777" w:rsidTr="00B0114A">
        <w:tc>
          <w:tcPr>
            <w:cnfStyle w:val="001000000000" w:firstRow="0" w:lastRow="0" w:firstColumn="1" w:lastColumn="0" w:oddVBand="0" w:evenVBand="0" w:oddHBand="0" w:evenHBand="0" w:firstRowFirstColumn="0" w:firstRowLastColumn="0" w:lastRowFirstColumn="0" w:lastRowLastColumn="0"/>
            <w:tcW w:w="3261" w:type="dxa"/>
          </w:tcPr>
          <w:p w14:paraId="6AD27A2B" w14:textId="005CD8BE" w:rsidR="0090090F" w:rsidRPr="00654C02" w:rsidRDefault="0090090F" w:rsidP="00B0114A">
            <w:pPr>
              <w:widowControl w:val="0"/>
              <w:autoSpaceDE w:val="0"/>
              <w:autoSpaceDN w:val="0"/>
              <w:spacing w:line="480" w:lineRule="auto"/>
              <w:rPr>
                <w:rFonts w:ascii="Arial" w:eastAsia="Arial" w:hAnsi="Arial" w:cs="Arial"/>
                <w:b/>
                <w:bCs/>
                <w:color w:val="000000"/>
                <w:sz w:val="14"/>
                <w:szCs w:val="14"/>
              </w:rPr>
            </w:pPr>
            <w:r w:rsidRPr="00654C02">
              <w:rPr>
                <w:rFonts w:ascii="Arial" w:eastAsia="Arial" w:hAnsi="Arial" w:cs="Arial"/>
                <w:b/>
                <w:bCs/>
                <w:color w:val="000000"/>
                <w:sz w:val="14"/>
                <w:szCs w:val="14"/>
              </w:rPr>
              <w:t>Age</w:t>
            </w:r>
            <w:r w:rsidR="00674215">
              <w:rPr>
                <w:rFonts w:ascii="Arial" w:eastAsia="Arial" w:hAnsi="Arial" w:cs="Arial"/>
                <w:b/>
                <w:bCs/>
                <w:color w:val="000000"/>
                <w:sz w:val="14"/>
                <w:szCs w:val="14"/>
              </w:rPr>
              <w:t xml:space="preserve"> in days</w:t>
            </w:r>
            <w:r w:rsidRPr="00654C02">
              <w:rPr>
                <w:rFonts w:ascii="Arial" w:eastAsia="Arial" w:hAnsi="Arial" w:cs="Arial"/>
                <w:b/>
                <w:bCs/>
                <w:color w:val="000000"/>
                <w:sz w:val="14"/>
                <w:szCs w:val="14"/>
              </w:rPr>
              <w:t xml:space="preserve"> (median and interquartile range)</w:t>
            </w:r>
          </w:p>
        </w:tc>
        <w:tc>
          <w:tcPr>
            <w:tcW w:w="1842" w:type="dxa"/>
          </w:tcPr>
          <w:p w14:paraId="27A5A8ED" w14:textId="0D27163F" w:rsidR="0090090F" w:rsidRPr="00654C02" w:rsidRDefault="00673224" w:rsidP="00B0114A">
            <w:pPr>
              <w:widowControl w:val="0"/>
              <w:autoSpaceDE w:val="0"/>
              <w:autoSpaceDN w:val="0"/>
              <w:spacing w:line="48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b/>
                <w:bCs/>
                <w:color w:val="000000"/>
                <w:sz w:val="14"/>
                <w:szCs w:val="14"/>
              </w:rPr>
            </w:pPr>
            <w:r>
              <w:rPr>
                <w:rFonts w:ascii="Arial" w:eastAsia="Arial" w:hAnsi="Arial" w:cs="Arial"/>
                <w:b/>
                <w:bCs/>
                <w:color w:val="000000"/>
                <w:sz w:val="14"/>
                <w:szCs w:val="14"/>
              </w:rPr>
              <w:t>55</w:t>
            </w:r>
            <w:r w:rsidR="0090090F" w:rsidRPr="00654C02">
              <w:rPr>
                <w:rFonts w:ascii="Arial" w:eastAsia="Arial" w:hAnsi="Arial" w:cs="Arial"/>
                <w:b/>
                <w:bCs/>
                <w:color w:val="000000"/>
                <w:sz w:val="14"/>
                <w:szCs w:val="14"/>
              </w:rPr>
              <w:t>5(100)</w:t>
            </w:r>
          </w:p>
        </w:tc>
        <w:tc>
          <w:tcPr>
            <w:tcW w:w="1701" w:type="dxa"/>
          </w:tcPr>
          <w:p w14:paraId="194E55C1" w14:textId="7632B56D" w:rsidR="0090090F" w:rsidRPr="00654C02" w:rsidRDefault="00B04AC9" w:rsidP="00B0114A">
            <w:pPr>
              <w:widowControl w:val="0"/>
              <w:autoSpaceDE w:val="0"/>
              <w:autoSpaceDN w:val="0"/>
              <w:spacing w:line="48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b/>
                <w:bCs/>
                <w:color w:val="000000"/>
                <w:sz w:val="14"/>
                <w:szCs w:val="14"/>
              </w:rPr>
            </w:pPr>
            <w:r>
              <w:rPr>
                <w:rFonts w:ascii="Arial" w:eastAsia="Arial" w:hAnsi="Arial" w:cs="Arial"/>
                <w:b/>
                <w:bCs/>
                <w:color w:val="000000"/>
                <w:sz w:val="14"/>
                <w:szCs w:val="14"/>
              </w:rPr>
              <w:t>56(34</w:t>
            </w:r>
            <w:r w:rsidR="0090090F" w:rsidRPr="00654C02">
              <w:rPr>
                <w:rFonts w:ascii="Arial" w:eastAsia="Arial" w:hAnsi="Arial" w:cs="Arial"/>
                <w:b/>
                <w:bCs/>
                <w:color w:val="000000"/>
                <w:sz w:val="14"/>
                <w:szCs w:val="14"/>
              </w:rPr>
              <w:t xml:space="preserve"> to 70)</w:t>
            </w:r>
          </w:p>
        </w:tc>
        <w:tc>
          <w:tcPr>
            <w:tcW w:w="1701" w:type="dxa"/>
          </w:tcPr>
          <w:p w14:paraId="6D3C95CB" w14:textId="77777777" w:rsidR="0090090F" w:rsidRPr="00654C02" w:rsidRDefault="0090090F" w:rsidP="00B0114A">
            <w:pPr>
              <w:widowControl w:val="0"/>
              <w:autoSpaceDE w:val="0"/>
              <w:autoSpaceDN w:val="0"/>
              <w:spacing w:line="48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b/>
                <w:bCs/>
                <w:color w:val="000000"/>
                <w:sz w:val="14"/>
                <w:szCs w:val="14"/>
              </w:rPr>
            </w:pPr>
            <w:r w:rsidRPr="00654C02">
              <w:rPr>
                <w:rFonts w:ascii="Arial" w:eastAsia="Arial" w:hAnsi="Arial" w:cs="Arial"/>
                <w:b/>
                <w:bCs/>
                <w:color w:val="000000"/>
                <w:sz w:val="14"/>
                <w:szCs w:val="14"/>
              </w:rPr>
              <w:t>44(22 to 69)</w:t>
            </w:r>
          </w:p>
        </w:tc>
        <w:tc>
          <w:tcPr>
            <w:tcW w:w="988" w:type="dxa"/>
          </w:tcPr>
          <w:p w14:paraId="484B6DEE" w14:textId="407BDA32" w:rsidR="0090090F" w:rsidRPr="00654C02" w:rsidRDefault="007A7A81" w:rsidP="00B0114A">
            <w:pPr>
              <w:widowControl w:val="0"/>
              <w:autoSpaceDE w:val="0"/>
              <w:autoSpaceDN w:val="0"/>
              <w:spacing w:line="48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b/>
                <w:bCs/>
                <w:color w:val="FF0000"/>
                <w:sz w:val="14"/>
                <w:szCs w:val="14"/>
              </w:rPr>
            </w:pPr>
            <w:r>
              <w:rPr>
                <w:rFonts w:ascii="Arial" w:eastAsia="Arial" w:hAnsi="Arial" w:cs="Arial"/>
                <w:b/>
                <w:bCs/>
                <w:color w:val="FF0000"/>
                <w:sz w:val="14"/>
                <w:szCs w:val="14"/>
              </w:rPr>
              <w:t>0.030</w:t>
            </w:r>
          </w:p>
        </w:tc>
      </w:tr>
      <w:tr w:rsidR="00673224" w:rsidRPr="00E47820" w14:paraId="066F8E6D" w14:textId="77777777" w:rsidTr="00B011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14:paraId="72A63FCD" w14:textId="77777777" w:rsidR="00673224" w:rsidRPr="00654C02" w:rsidRDefault="00673224" w:rsidP="00673224">
            <w:pPr>
              <w:widowControl w:val="0"/>
              <w:autoSpaceDE w:val="0"/>
              <w:autoSpaceDN w:val="0"/>
              <w:spacing w:line="480" w:lineRule="auto"/>
              <w:rPr>
                <w:rFonts w:ascii="Arial" w:eastAsia="Arial" w:hAnsi="Arial" w:cs="Arial"/>
                <w:b/>
                <w:bCs/>
                <w:color w:val="000000"/>
                <w:sz w:val="14"/>
                <w:szCs w:val="14"/>
              </w:rPr>
            </w:pPr>
            <w:r w:rsidRPr="00654C02">
              <w:rPr>
                <w:rFonts w:ascii="Arial" w:eastAsia="Arial" w:hAnsi="Arial" w:cs="Arial"/>
                <w:b/>
                <w:bCs/>
                <w:color w:val="000000"/>
                <w:sz w:val="14"/>
                <w:szCs w:val="14"/>
              </w:rPr>
              <w:t>Temperature (median and interquartile range)</w:t>
            </w:r>
          </w:p>
        </w:tc>
        <w:tc>
          <w:tcPr>
            <w:tcW w:w="1842" w:type="dxa"/>
          </w:tcPr>
          <w:p w14:paraId="6EEA8A4A" w14:textId="45BC8A0A" w:rsidR="00673224" w:rsidRPr="00654C02" w:rsidRDefault="00673224" w:rsidP="00673224">
            <w:pPr>
              <w:widowControl w:val="0"/>
              <w:autoSpaceDE w:val="0"/>
              <w:autoSpaceDN w:val="0"/>
              <w:spacing w:line="480"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b/>
                <w:bCs/>
                <w:color w:val="000000"/>
                <w:sz w:val="14"/>
                <w:szCs w:val="14"/>
              </w:rPr>
            </w:pPr>
            <w:r>
              <w:rPr>
                <w:rFonts w:ascii="Arial" w:eastAsia="Arial" w:hAnsi="Arial" w:cs="Arial"/>
                <w:b/>
                <w:bCs/>
                <w:color w:val="000000"/>
                <w:sz w:val="14"/>
                <w:szCs w:val="14"/>
              </w:rPr>
              <w:t>55</w:t>
            </w:r>
            <w:r w:rsidRPr="00654C02">
              <w:rPr>
                <w:rFonts w:ascii="Arial" w:eastAsia="Arial" w:hAnsi="Arial" w:cs="Arial"/>
                <w:b/>
                <w:bCs/>
                <w:color w:val="000000"/>
                <w:sz w:val="14"/>
                <w:szCs w:val="14"/>
              </w:rPr>
              <w:t>5(100)</w:t>
            </w:r>
          </w:p>
        </w:tc>
        <w:tc>
          <w:tcPr>
            <w:tcW w:w="1701" w:type="dxa"/>
          </w:tcPr>
          <w:p w14:paraId="36C82B99" w14:textId="77777777" w:rsidR="00673224" w:rsidRPr="00654C02" w:rsidRDefault="00673224" w:rsidP="00673224">
            <w:pPr>
              <w:widowControl w:val="0"/>
              <w:autoSpaceDE w:val="0"/>
              <w:autoSpaceDN w:val="0"/>
              <w:spacing w:line="480"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b/>
                <w:bCs/>
                <w:color w:val="000000"/>
                <w:sz w:val="14"/>
                <w:szCs w:val="14"/>
              </w:rPr>
            </w:pPr>
            <w:r w:rsidRPr="00654C02">
              <w:rPr>
                <w:rFonts w:ascii="Arial" w:eastAsia="Arial" w:hAnsi="Arial" w:cs="Arial"/>
                <w:b/>
                <w:bCs/>
                <w:color w:val="000000"/>
                <w:sz w:val="14"/>
                <w:szCs w:val="14"/>
              </w:rPr>
              <w:t>38.3(38.1 to 38.7)</w:t>
            </w:r>
          </w:p>
        </w:tc>
        <w:tc>
          <w:tcPr>
            <w:tcW w:w="1701" w:type="dxa"/>
          </w:tcPr>
          <w:p w14:paraId="383D6A05" w14:textId="52960049" w:rsidR="00673224" w:rsidRPr="00654C02" w:rsidRDefault="00673224" w:rsidP="00673224">
            <w:pPr>
              <w:widowControl w:val="0"/>
              <w:autoSpaceDE w:val="0"/>
              <w:autoSpaceDN w:val="0"/>
              <w:spacing w:line="480"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b/>
                <w:bCs/>
                <w:color w:val="000000"/>
                <w:sz w:val="14"/>
                <w:szCs w:val="14"/>
              </w:rPr>
            </w:pPr>
            <w:r>
              <w:rPr>
                <w:rFonts w:ascii="Arial" w:eastAsia="Arial" w:hAnsi="Arial" w:cs="Arial"/>
                <w:b/>
                <w:bCs/>
                <w:color w:val="000000"/>
                <w:sz w:val="14"/>
                <w:szCs w:val="14"/>
              </w:rPr>
              <w:t>38.4(38.2 to 38.7</w:t>
            </w:r>
            <w:r w:rsidRPr="00654C02">
              <w:rPr>
                <w:rFonts w:ascii="Arial" w:eastAsia="Arial" w:hAnsi="Arial" w:cs="Arial"/>
                <w:b/>
                <w:bCs/>
                <w:color w:val="000000"/>
                <w:sz w:val="14"/>
                <w:szCs w:val="14"/>
              </w:rPr>
              <w:t>)</w:t>
            </w:r>
          </w:p>
        </w:tc>
        <w:tc>
          <w:tcPr>
            <w:tcW w:w="988" w:type="dxa"/>
          </w:tcPr>
          <w:p w14:paraId="271908B3" w14:textId="147E602B" w:rsidR="00673224" w:rsidRPr="00654C02" w:rsidRDefault="00673224" w:rsidP="00673224">
            <w:pPr>
              <w:widowControl w:val="0"/>
              <w:autoSpaceDE w:val="0"/>
              <w:autoSpaceDN w:val="0"/>
              <w:spacing w:line="480"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b/>
                <w:bCs/>
                <w:color w:val="FF0000"/>
                <w:sz w:val="14"/>
                <w:szCs w:val="14"/>
              </w:rPr>
            </w:pPr>
            <w:r>
              <w:rPr>
                <w:rFonts w:ascii="Arial" w:eastAsia="Arial" w:hAnsi="Arial" w:cs="Arial"/>
                <w:b/>
                <w:bCs/>
                <w:sz w:val="14"/>
                <w:szCs w:val="14"/>
              </w:rPr>
              <w:t>0.087</w:t>
            </w:r>
          </w:p>
        </w:tc>
      </w:tr>
      <w:tr w:rsidR="00673224" w:rsidRPr="00E47820" w14:paraId="7B42E2D1" w14:textId="77777777" w:rsidTr="00B0114A">
        <w:tc>
          <w:tcPr>
            <w:cnfStyle w:val="001000000000" w:firstRow="0" w:lastRow="0" w:firstColumn="1" w:lastColumn="0" w:oddVBand="0" w:evenVBand="0" w:oddHBand="0" w:evenHBand="0" w:firstRowFirstColumn="0" w:firstRowLastColumn="0" w:lastRowFirstColumn="0" w:lastRowLastColumn="0"/>
            <w:tcW w:w="3261" w:type="dxa"/>
          </w:tcPr>
          <w:p w14:paraId="00B7A572" w14:textId="77777777" w:rsidR="00673224" w:rsidRPr="00654C02" w:rsidRDefault="00673224" w:rsidP="00673224">
            <w:pPr>
              <w:widowControl w:val="0"/>
              <w:autoSpaceDE w:val="0"/>
              <w:autoSpaceDN w:val="0"/>
              <w:spacing w:line="480" w:lineRule="auto"/>
              <w:rPr>
                <w:rFonts w:ascii="Arial" w:eastAsia="Arial" w:hAnsi="Arial" w:cs="Arial"/>
                <w:b/>
                <w:bCs/>
                <w:color w:val="000000"/>
                <w:sz w:val="14"/>
                <w:szCs w:val="14"/>
              </w:rPr>
            </w:pPr>
            <w:r w:rsidRPr="00654C02">
              <w:rPr>
                <w:rFonts w:ascii="Arial" w:eastAsia="Arial" w:hAnsi="Arial" w:cs="Arial"/>
                <w:b/>
                <w:bCs/>
                <w:color w:val="000000"/>
                <w:sz w:val="14"/>
                <w:szCs w:val="14"/>
              </w:rPr>
              <w:t xml:space="preserve">Received vaccine in preceding 24 hours </w:t>
            </w:r>
          </w:p>
        </w:tc>
        <w:tc>
          <w:tcPr>
            <w:tcW w:w="1842" w:type="dxa"/>
          </w:tcPr>
          <w:p w14:paraId="2052C295" w14:textId="7BBD285F" w:rsidR="00673224" w:rsidRPr="00654C02" w:rsidRDefault="00673224" w:rsidP="00673224">
            <w:pPr>
              <w:widowControl w:val="0"/>
              <w:autoSpaceDE w:val="0"/>
              <w:autoSpaceDN w:val="0"/>
              <w:spacing w:line="48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b/>
                <w:bCs/>
                <w:color w:val="000000"/>
                <w:sz w:val="14"/>
                <w:szCs w:val="14"/>
              </w:rPr>
            </w:pPr>
            <w:r>
              <w:rPr>
                <w:rFonts w:ascii="Arial" w:eastAsia="Arial" w:hAnsi="Arial" w:cs="Arial"/>
                <w:b/>
                <w:bCs/>
                <w:color w:val="000000"/>
                <w:sz w:val="14"/>
                <w:szCs w:val="14"/>
              </w:rPr>
              <w:t>55</w:t>
            </w:r>
            <w:r w:rsidRPr="00654C02">
              <w:rPr>
                <w:rFonts w:ascii="Arial" w:eastAsia="Arial" w:hAnsi="Arial" w:cs="Arial"/>
                <w:b/>
                <w:bCs/>
                <w:color w:val="000000"/>
                <w:sz w:val="14"/>
                <w:szCs w:val="14"/>
              </w:rPr>
              <w:t>5(100)</w:t>
            </w:r>
          </w:p>
        </w:tc>
        <w:tc>
          <w:tcPr>
            <w:tcW w:w="1701" w:type="dxa"/>
          </w:tcPr>
          <w:p w14:paraId="21FFA280" w14:textId="2D95D7E1" w:rsidR="00673224" w:rsidRPr="00654C02" w:rsidRDefault="00673224" w:rsidP="00673224">
            <w:pPr>
              <w:widowControl w:val="0"/>
              <w:autoSpaceDE w:val="0"/>
              <w:autoSpaceDN w:val="0"/>
              <w:spacing w:line="48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b/>
                <w:bCs/>
                <w:color w:val="000000"/>
                <w:sz w:val="14"/>
                <w:szCs w:val="14"/>
              </w:rPr>
            </w:pPr>
            <w:r>
              <w:rPr>
                <w:rFonts w:ascii="Arial" w:eastAsia="Arial" w:hAnsi="Arial" w:cs="Arial"/>
                <w:b/>
                <w:bCs/>
                <w:color w:val="000000"/>
                <w:sz w:val="14"/>
                <w:szCs w:val="14"/>
              </w:rPr>
              <w:t>76</w:t>
            </w:r>
            <w:r w:rsidRPr="00654C02">
              <w:rPr>
                <w:rFonts w:ascii="Arial" w:eastAsia="Arial" w:hAnsi="Arial" w:cs="Arial"/>
                <w:b/>
                <w:bCs/>
                <w:color w:val="000000"/>
                <w:sz w:val="14"/>
                <w:szCs w:val="14"/>
              </w:rPr>
              <w:t>(15.9)</w:t>
            </w:r>
          </w:p>
        </w:tc>
        <w:tc>
          <w:tcPr>
            <w:tcW w:w="1701" w:type="dxa"/>
          </w:tcPr>
          <w:p w14:paraId="6709DBB5" w14:textId="3047274D" w:rsidR="00673224" w:rsidRPr="00654C02" w:rsidRDefault="00673224" w:rsidP="00673224">
            <w:pPr>
              <w:widowControl w:val="0"/>
              <w:autoSpaceDE w:val="0"/>
              <w:autoSpaceDN w:val="0"/>
              <w:spacing w:line="48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b/>
                <w:bCs/>
                <w:color w:val="000000"/>
                <w:sz w:val="14"/>
                <w:szCs w:val="14"/>
              </w:rPr>
            </w:pPr>
            <w:r>
              <w:rPr>
                <w:rFonts w:ascii="Arial" w:eastAsia="Arial" w:hAnsi="Arial" w:cs="Arial"/>
                <w:b/>
                <w:bCs/>
                <w:color w:val="000000"/>
                <w:sz w:val="14"/>
                <w:szCs w:val="14"/>
              </w:rPr>
              <w:t>3(3</w:t>
            </w:r>
            <w:r w:rsidRPr="00654C02">
              <w:rPr>
                <w:rFonts w:ascii="Arial" w:eastAsia="Arial" w:hAnsi="Arial" w:cs="Arial"/>
                <w:b/>
                <w:bCs/>
                <w:color w:val="000000"/>
                <w:sz w:val="14"/>
                <w:szCs w:val="14"/>
              </w:rPr>
              <w:t>.</w:t>
            </w:r>
            <w:r w:rsidR="009E7AE4">
              <w:rPr>
                <w:rFonts w:ascii="Arial" w:eastAsia="Arial" w:hAnsi="Arial" w:cs="Arial"/>
                <w:b/>
                <w:bCs/>
                <w:color w:val="000000"/>
                <w:sz w:val="14"/>
                <w:szCs w:val="14"/>
              </w:rPr>
              <w:t>8</w:t>
            </w:r>
            <w:r w:rsidRPr="00654C02">
              <w:rPr>
                <w:rFonts w:ascii="Arial" w:eastAsia="Arial" w:hAnsi="Arial" w:cs="Arial"/>
                <w:b/>
                <w:bCs/>
                <w:color w:val="000000"/>
                <w:sz w:val="14"/>
                <w:szCs w:val="14"/>
              </w:rPr>
              <w:t>)</w:t>
            </w:r>
          </w:p>
        </w:tc>
        <w:tc>
          <w:tcPr>
            <w:tcW w:w="988" w:type="dxa"/>
          </w:tcPr>
          <w:p w14:paraId="003E90BA" w14:textId="0F8B7D0C" w:rsidR="00673224" w:rsidRPr="00654C02" w:rsidRDefault="00673224" w:rsidP="00673224">
            <w:pPr>
              <w:widowControl w:val="0"/>
              <w:autoSpaceDE w:val="0"/>
              <w:autoSpaceDN w:val="0"/>
              <w:spacing w:line="48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b/>
                <w:bCs/>
                <w:color w:val="FF0000"/>
                <w:sz w:val="14"/>
                <w:szCs w:val="14"/>
              </w:rPr>
            </w:pPr>
            <w:r>
              <w:rPr>
                <w:rFonts w:ascii="Arial" w:eastAsia="Arial" w:hAnsi="Arial" w:cs="Arial"/>
                <w:b/>
                <w:bCs/>
                <w:color w:val="FF0000"/>
                <w:sz w:val="14"/>
                <w:szCs w:val="14"/>
              </w:rPr>
              <w:t>0.0027</w:t>
            </w:r>
          </w:p>
        </w:tc>
      </w:tr>
      <w:tr w:rsidR="00673224" w:rsidRPr="00E47820" w14:paraId="2115122C" w14:textId="77777777" w:rsidTr="00B011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14:paraId="5004756C" w14:textId="77777777" w:rsidR="00673224" w:rsidRPr="00654C02" w:rsidRDefault="00673224" w:rsidP="00673224">
            <w:pPr>
              <w:widowControl w:val="0"/>
              <w:autoSpaceDE w:val="0"/>
              <w:autoSpaceDN w:val="0"/>
              <w:spacing w:line="480" w:lineRule="auto"/>
              <w:rPr>
                <w:rFonts w:ascii="Arial" w:eastAsia="Arial" w:hAnsi="Arial" w:cs="Arial"/>
                <w:b/>
                <w:bCs/>
                <w:color w:val="000000"/>
                <w:sz w:val="14"/>
                <w:szCs w:val="14"/>
              </w:rPr>
            </w:pPr>
            <w:r w:rsidRPr="00654C02">
              <w:rPr>
                <w:rFonts w:ascii="Arial" w:eastAsia="Arial" w:hAnsi="Arial" w:cs="Arial"/>
                <w:b/>
                <w:bCs/>
                <w:color w:val="000000"/>
                <w:sz w:val="14"/>
                <w:szCs w:val="14"/>
              </w:rPr>
              <w:t>Normal colour</w:t>
            </w:r>
          </w:p>
        </w:tc>
        <w:tc>
          <w:tcPr>
            <w:tcW w:w="1842" w:type="dxa"/>
          </w:tcPr>
          <w:p w14:paraId="56197E15" w14:textId="5BB1DEFF" w:rsidR="00673224" w:rsidRPr="00654C02" w:rsidRDefault="00673224" w:rsidP="00673224">
            <w:pPr>
              <w:widowControl w:val="0"/>
              <w:autoSpaceDE w:val="0"/>
              <w:autoSpaceDN w:val="0"/>
              <w:spacing w:line="480"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b/>
                <w:bCs/>
                <w:color w:val="000000"/>
                <w:sz w:val="14"/>
                <w:szCs w:val="14"/>
              </w:rPr>
            </w:pPr>
            <w:r>
              <w:rPr>
                <w:rFonts w:ascii="Arial" w:eastAsia="Arial" w:hAnsi="Arial" w:cs="Arial"/>
                <w:b/>
                <w:bCs/>
                <w:color w:val="000000"/>
                <w:sz w:val="14"/>
                <w:szCs w:val="14"/>
              </w:rPr>
              <w:t>55</w:t>
            </w:r>
            <w:r w:rsidRPr="00654C02">
              <w:rPr>
                <w:rFonts w:ascii="Arial" w:eastAsia="Arial" w:hAnsi="Arial" w:cs="Arial"/>
                <w:b/>
                <w:bCs/>
                <w:color w:val="000000"/>
                <w:sz w:val="14"/>
                <w:szCs w:val="14"/>
              </w:rPr>
              <w:t>5(100)</w:t>
            </w:r>
          </w:p>
        </w:tc>
        <w:tc>
          <w:tcPr>
            <w:tcW w:w="1701" w:type="dxa"/>
          </w:tcPr>
          <w:p w14:paraId="2B06E145" w14:textId="67EB0691" w:rsidR="00673224" w:rsidRPr="00654C02" w:rsidRDefault="00673224" w:rsidP="00673224">
            <w:pPr>
              <w:widowControl w:val="0"/>
              <w:autoSpaceDE w:val="0"/>
              <w:autoSpaceDN w:val="0"/>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b/>
                <w:bCs/>
                <w:color w:val="000000"/>
                <w:sz w:val="14"/>
                <w:szCs w:val="14"/>
              </w:rPr>
            </w:pPr>
            <w:r>
              <w:rPr>
                <w:rFonts w:ascii="Arial" w:eastAsia="Arial" w:hAnsi="Arial" w:cs="Arial"/>
                <w:b/>
                <w:bCs/>
                <w:color w:val="000000"/>
                <w:sz w:val="14"/>
                <w:szCs w:val="14"/>
              </w:rPr>
              <w:t>138(28.9</w:t>
            </w:r>
            <w:r w:rsidRPr="00654C02">
              <w:rPr>
                <w:rFonts w:ascii="Arial" w:eastAsia="Arial" w:hAnsi="Arial" w:cs="Arial"/>
                <w:b/>
                <w:bCs/>
                <w:color w:val="000000"/>
                <w:sz w:val="14"/>
                <w:szCs w:val="14"/>
              </w:rPr>
              <w:t>)</w:t>
            </w:r>
          </w:p>
        </w:tc>
        <w:tc>
          <w:tcPr>
            <w:tcW w:w="1701" w:type="dxa"/>
          </w:tcPr>
          <w:p w14:paraId="41FCCE49" w14:textId="5EE00A45" w:rsidR="00673224" w:rsidRPr="00654C02" w:rsidRDefault="00673224" w:rsidP="00673224">
            <w:pPr>
              <w:widowControl w:val="0"/>
              <w:autoSpaceDE w:val="0"/>
              <w:autoSpaceDN w:val="0"/>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b/>
                <w:bCs/>
                <w:color w:val="000000"/>
                <w:sz w:val="14"/>
                <w:szCs w:val="14"/>
              </w:rPr>
            </w:pPr>
            <w:r>
              <w:rPr>
                <w:rFonts w:ascii="Arial" w:eastAsia="Arial" w:hAnsi="Arial" w:cs="Arial"/>
                <w:b/>
                <w:bCs/>
                <w:color w:val="000000"/>
                <w:sz w:val="14"/>
                <w:szCs w:val="14"/>
              </w:rPr>
              <w:t>23(29.5)</w:t>
            </w:r>
          </w:p>
        </w:tc>
        <w:tc>
          <w:tcPr>
            <w:tcW w:w="988" w:type="dxa"/>
          </w:tcPr>
          <w:p w14:paraId="1A82A588" w14:textId="3594CF4F" w:rsidR="00673224" w:rsidRPr="00654C02" w:rsidRDefault="007A7A81" w:rsidP="00673224">
            <w:pPr>
              <w:widowControl w:val="0"/>
              <w:autoSpaceDE w:val="0"/>
              <w:autoSpaceDN w:val="0"/>
              <w:spacing w:line="480"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b/>
                <w:bCs/>
                <w:sz w:val="14"/>
                <w:szCs w:val="14"/>
              </w:rPr>
            </w:pPr>
            <w:r>
              <w:rPr>
                <w:rFonts w:ascii="Arial" w:eastAsia="Arial" w:hAnsi="Arial" w:cs="Arial"/>
                <w:b/>
                <w:bCs/>
                <w:sz w:val="14"/>
                <w:szCs w:val="14"/>
              </w:rPr>
              <w:t>0.89</w:t>
            </w:r>
          </w:p>
        </w:tc>
      </w:tr>
      <w:tr w:rsidR="00673224" w:rsidRPr="00E47820" w14:paraId="7B603484" w14:textId="77777777" w:rsidTr="00B0114A">
        <w:tc>
          <w:tcPr>
            <w:cnfStyle w:val="001000000000" w:firstRow="0" w:lastRow="0" w:firstColumn="1" w:lastColumn="0" w:oddVBand="0" w:evenVBand="0" w:oddHBand="0" w:evenHBand="0" w:firstRowFirstColumn="0" w:firstRowLastColumn="0" w:lastRowFirstColumn="0" w:lastRowLastColumn="0"/>
            <w:tcW w:w="3261" w:type="dxa"/>
          </w:tcPr>
          <w:p w14:paraId="4066EB90" w14:textId="77777777" w:rsidR="00673224" w:rsidRPr="00654C02" w:rsidRDefault="00673224" w:rsidP="00673224">
            <w:pPr>
              <w:widowControl w:val="0"/>
              <w:autoSpaceDE w:val="0"/>
              <w:autoSpaceDN w:val="0"/>
              <w:spacing w:line="480" w:lineRule="auto"/>
              <w:rPr>
                <w:rFonts w:ascii="Arial" w:eastAsia="Arial" w:hAnsi="Arial" w:cs="Arial"/>
                <w:b/>
                <w:bCs/>
                <w:color w:val="000000"/>
                <w:sz w:val="14"/>
                <w:szCs w:val="14"/>
              </w:rPr>
            </w:pPr>
            <w:r w:rsidRPr="00654C02">
              <w:rPr>
                <w:rFonts w:ascii="Arial" w:eastAsia="Arial" w:hAnsi="Arial" w:cs="Arial"/>
                <w:b/>
                <w:bCs/>
                <w:color w:val="000000"/>
                <w:sz w:val="14"/>
                <w:szCs w:val="14"/>
              </w:rPr>
              <w:t>Alert/responding to social cues</w:t>
            </w:r>
          </w:p>
        </w:tc>
        <w:tc>
          <w:tcPr>
            <w:tcW w:w="1842" w:type="dxa"/>
          </w:tcPr>
          <w:p w14:paraId="4767DB63" w14:textId="03F7E838" w:rsidR="00673224" w:rsidRPr="00654C02" w:rsidRDefault="00673224" w:rsidP="00673224">
            <w:pPr>
              <w:widowControl w:val="0"/>
              <w:autoSpaceDE w:val="0"/>
              <w:autoSpaceDN w:val="0"/>
              <w:spacing w:line="48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b/>
                <w:bCs/>
                <w:color w:val="000000"/>
                <w:sz w:val="14"/>
                <w:szCs w:val="14"/>
              </w:rPr>
            </w:pPr>
            <w:r>
              <w:rPr>
                <w:rFonts w:ascii="Arial" w:eastAsia="Arial" w:hAnsi="Arial" w:cs="Arial"/>
                <w:b/>
                <w:bCs/>
                <w:color w:val="000000"/>
                <w:sz w:val="14"/>
                <w:szCs w:val="14"/>
              </w:rPr>
              <w:t>55</w:t>
            </w:r>
            <w:r w:rsidRPr="00654C02">
              <w:rPr>
                <w:rFonts w:ascii="Arial" w:eastAsia="Arial" w:hAnsi="Arial" w:cs="Arial"/>
                <w:b/>
                <w:bCs/>
                <w:color w:val="000000"/>
                <w:sz w:val="14"/>
                <w:szCs w:val="14"/>
              </w:rPr>
              <w:t>5(100)</w:t>
            </w:r>
          </w:p>
        </w:tc>
        <w:tc>
          <w:tcPr>
            <w:tcW w:w="1701" w:type="dxa"/>
          </w:tcPr>
          <w:p w14:paraId="76584A44" w14:textId="38F87A7C" w:rsidR="00673224" w:rsidRPr="00654C02" w:rsidRDefault="00B3100C" w:rsidP="00673224">
            <w:pPr>
              <w:widowControl w:val="0"/>
              <w:autoSpaceDE w:val="0"/>
              <w:autoSpaceDN w:val="0"/>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b/>
                <w:bCs/>
                <w:color w:val="000000"/>
                <w:sz w:val="14"/>
                <w:szCs w:val="14"/>
              </w:rPr>
            </w:pPr>
            <w:r>
              <w:rPr>
                <w:rFonts w:ascii="Arial" w:eastAsia="Arial" w:hAnsi="Arial" w:cs="Arial"/>
                <w:b/>
                <w:bCs/>
                <w:color w:val="000000"/>
                <w:sz w:val="14"/>
                <w:szCs w:val="14"/>
              </w:rPr>
              <w:t>152(31.9</w:t>
            </w:r>
            <w:r w:rsidR="00673224" w:rsidRPr="00654C02">
              <w:rPr>
                <w:rFonts w:ascii="Arial" w:eastAsia="Arial" w:hAnsi="Arial" w:cs="Arial"/>
                <w:b/>
                <w:bCs/>
                <w:color w:val="000000"/>
                <w:sz w:val="14"/>
                <w:szCs w:val="14"/>
              </w:rPr>
              <w:t>)</w:t>
            </w:r>
          </w:p>
        </w:tc>
        <w:tc>
          <w:tcPr>
            <w:tcW w:w="1701" w:type="dxa"/>
          </w:tcPr>
          <w:p w14:paraId="342602B9" w14:textId="7EEA03DB" w:rsidR="00673224" w:rsidRPr="00654C02" w:rsidRDefault="00B3100C" w:rsidP="00673224">
            <w:pPr>
              <w:widowControl w:val="0"/>
              <w:autoSpaceDE w:val="0"/>
              <w:autoSpaceDN w:val="0"/>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b/>
                <w:bCs/>
                <w:color w:val="000000"/>
                <w:sz w:val="14"/>
                <w:szCs w:val="14"/>
              </w:rPr>
            </w:pPr>
            <w:r>
              <w:rPr>
                <w:rFonts w:ascii="Arial" w:eastAsia="Arial" w:hAnsi="Arial" w:cs="Arial"/>
                <w:b/>
                <w:bCs/>
                <w:color w:val="000000"/>
                <w:sz w:val="14"/>
                <w:szCs w:val="14"/>
              </w:rPr>
              <w:t>23(29.5</w:t>
            </w:r>
            <w:r w:rsidR="00673224" w:rsidRPr="00654C02">
              <w:rPr>
                <w:rFonts w:ascii="Arial" w:eastAsia="Arial" w:hAnsi="Arial" w:cs="Arial"/>
                <w:b/>
                <w:bCs/>
                <w:color w:val="000000"/>
                <w:sz w:val="14"/>
                <w:szCs w:val="14"/>
              </w:rPr>
              <w:t>)</w:t>
            </w:r>
          </w:p>
        </w:tc>
        <w:tc>
          <w:tcPr>
            <w:tcW w:w="988" w:type="dxa"/>
          </w:tcPr>
          <w:p w14:paraId="31433BF7" w14:textId="4CA4C700" w:rsidR="00673224" w:rsidRPr="00654C02" w:rsidRDefault="007A7A81" w:rsidP="00673224">
            <w:pPr>
              <w:widowControl w:val="0"/>
              <w:autoSpaceDE w:val="0"/>
              <w:autoSpaceDN w:val="0"/>
              <w:spacing w:line="48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b/>
                <w:bCs/>
                <w:color w:val="FF0000"/>
                <w:sz w:val="14"/>
                <w:szCs w:val="14"/>
              </w:rPr>
            </w:pPr>
            <w:r>
              <w:rPr>
                <w:rFonts w:ascii="Arial" w:eastAsia="Arial" w:hAnsi="Arial" w:cs="Arial"/>
                <w:b/>
                <w:bCs/>
                <w:sz w:val="14"/>
                <w:szCs w:val="14"/>
              </w:rPr>
              <w:t>0.79</w:t>
            </w:r>
          </w:p>
        </w:tc>
      </w:tr>
      <w:tr w:rsidR="00673224" w:rsidRPr="00E47820" w14:paraId="499ED481" w14:textId="77777777" w:rsidTr="00B011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14:paraId="34CB983A" w14:textId="77777777" w:rsidR="00673224" w:rsidRPr="00654C02" w:rsidRDefault="00673224" w:rsidP="00673224">
            <w:pPr>
              <w:widowControl w:val="0"/>
              <w:autoSpaceDE w:val="0"/>
              <w:autoSpaceDN w:val="0"/>
              <w:spacing w:line="480" w:lineRule="auto"/>
              <w:rPr>
                <w:rFonts w:ascii="Arial" w:eastAsia="Arial" w:hAnsi="Arial" w:cs="Arial"/>
                <w:b/>
                <w:bCs/>
                <w:color w:val="000000"/>
                <w:sz w:val="14"/>
                <w:szCs w:val="14"/>
              </w:rPr>
            </w:pPr>
            <w:r w:rsidRPr="00654C02">
              <w:rPr>
                <w:rFonts w:ascii="Arial" w:eastAsia="Arial" w:hAnsi="Arial" w:cs="Arial"/>
                <w:b/>
                <w:bCs/>
                <w:color w:val="000000"/>
                <w:sz w:val="14"/>
                <w:szCs w:val="14"/>
              </w:rPr>
              <w:t>Normal Cry</w:t>
            </w:r>
          </w:p>
        </w:tc>
        <w:tc>
          <w:tcPr>
            <w:tcW w:w="1842" w:type="dxa"/>
          </w:tcPr>
          <w:p w14:paraId="019BAEAF" w14:textId="4FDB3408" w:rsidR="00673224" w:rsidRPr="00654C02" w:rsidRDefault="00673224" w:rsidP="00673224">
            <w:pPr>
              <w:widowControl w:val="0"/>
              <w:autoSpaceDE w:val="0"/>
              <w:autoSpaceDN w:val="0"/>
              <w:spacing w:line="480"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b/>
                <w:bCs/>
                <w:color w:val="000000"/>
                <w:sz w:val="14"/>
                <w:szCs w:val="14"/>
              </w:rPr>
            </w:pPr>
            <w:r>
              <w:rPr>
                <w:rFonts w:ascii="Arial" w:eastAsia="Arial" w:hAnsi="Arial" w:cs="Arial"/>
                <w:b/>
                <w:bCs/>
                <w:color w:val="000000"/>
                <w:sz w:val="14"/>
                <w:szCs w:val="14"/>
              </w:rPr>
              <w:t>55</w:t>
            </w:r>
            <w:r w:rsidRPr="00654C02">
              <w:rPr>
                <w:rFonts w:ascii="Arial" w:eastAsia="Arial" w:hAnsi="Arial" w:cs="Arial"/>
                <w:b/>
                <w:bCs/>
                <w:color w:val="000000"/>
                <w:sz w:val="14"/>
                <w:szCs w:val="14"/>
              </w:rPr>
              <w:t>5(100)</w:t>
            </w:r>
          </w:p>
        </w:tc>
        <w:tc>
          <w:tcPr>
            <w:tcW w:w="1701" w:type="dxa"/>
          </w:tcPr>
          <w:p w14:paraId="4C89193C" w14:textId="3565149F" w:rsidR="00673224" w:rsidRPr="00654C02" w:rsidRDefault="00B3100C" w:rsidP="00673224">
            <w:pPr>
              <w:widowControl w:val="0"/>
              <w:autoSpaceDE w:val="0"/>
              <w:autoSpaceDN w:val="0"/>
              <w:spacing w:line="480"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b/>
                <w:bCs/>
                <w:color w:val="000000"/>
                <w:sz w:val="14"/>
                <w:szCs w:val="14"/>
              </w:rPr>
            </w:pPr>
            <w:r>
              <w:rPr>
                <w:rFonts w:ascii="Arial" w:eastAsia="Arial" w:hAnsi="Arial" w:cs="Arial"/>
                <w:b/>
                <w:bCs/>
                <w:color w:val="000000"/>
                <w:sz w:val="14"/>
                <w:szCs w:val="14"/>
              </w:rPr>
              <w:t>70(14.7</w:t>
            </w:r>
            <w:r w:rsidR="00673224" w:rsidRPr="00654C02">
              <w:rPr>
                <w:rFonts w:ascii="Arial" w:eastAsia="Arial" w:hAnsi="Arial" w:cs="Arial"/>
                <w:b/>
                <w:bCs/>
                <w:color w:val="000000"/>
                <w:sz w:val="14"/>
                <w:szCs w:val="14"/>
              </w:rPr>
              <w:t>)</w:t>
            </w:r>
          </w:p>
        </w:tc>
        <w:tc>
          <w:tcPr>
            <w:tcW w:w="1701" w:type="dxa"/>
          </w:tcPr>
          <w:p w14:paraId="4299EC56" w14:textId="667A58DA" w:rsidR="00673224" w:rsidRPr="00654C02" w:rsidRDefault="00B3100C" w:rsidP="00673224">
            <w:pPr>
              <w:widowControl w:val="0"/>
              <w:autoSpaceDE w:val="0"/>
              <w:autoSpaceDN w:val="0"/>
              <w:spacing w:line="480"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b/>
                <w:bCs/>
                <w:color w:val="000000"/>
                <w:sz w:val="14"/>
                <w:szCs w:val="14"/>
              </w:rPr>
            </w:pPr>
            <w:r>
              <w:rPr>
                <w:rFonts w:ascii="Arial" w:eastAsia="Arial" w:hAnsi="Arial" w:cs="Arial"/>
                <w:b/>
                <w:bCs/>
                <w:color w:val="000000"/>
                <w:sz w:val="14"/>
                <w:szCs w:val="14"/>
              </w:rPr>
              <w:t>11(14.1</w:t>
            </w:r>
            <w:r w:rsidR="00673224" w:rsidRPr="00654C02">
              <w:rPr>
                <w:rFonts w:ascii="Arial" w:eastAsia="Arial" w:hAnsi="Arial" w:cs="Arial"/>
                <w:b/>
                <w:bCs/>
                <w:color w:val="000000"/>
                <w:sz w:val="14"/>
                <w:szCs w:val="14"/>
              </w:rPr>
              <w:t>)</w:t>
            </w:r>
          </w:p>
        </w:tc>
        <w:tc>
          <w:tcPr>
            <w:tcW w:w="988" w:type="dxa"/>
          </w:tcPr>
          <w:p w14:paraId="260C86DF" w14:textId="709C1417" w:rsidR="00673224" w:rsidRPr="00654C02" w:rsidRDefault="00674215" w:rsidP="00673224">
            <w:pPr>
              <w:widowControl w:val="0"/>
              <w:autoSpaceDE w:val="0"/>
              <w:autoSpaceDN w:val="0"/>
              <w:spacing w:line="480"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b/>
                <w:bCs/>
                <w:sz w:val="14"/>
                <w:szCs w:val="14"/>
              </w:rPr>
            </w:pPr>
            <w:r>
              <w:rPr>
                <w:rFonts w:ascii="Arial" w:eastAsia="Arial" w:hAnsi="Arial" w:cs="Arial"/>
                <w:b/>
                <w:bCs/>
                <w:sz w:val="14"/>
                <w:szCs w:val="14"/>
              </w:rPr>
              <w:t>1.00</w:t>
            </w:r>
            <w:bookmarkStart w:id="0" w:name="_GoBack"/>
            <w:bookmarkEnd w:id="0"/>
          </w:p>
        </w:tc>
      </w:tr>
      <w:tr w:rsidR="00673224" w:rsidRPr="00E47820" w14:paraId="1B5E4ADF" w14:textId="77777777" w:rsidTr="00B0114A">
        <w:tc>
          <w:tcPr>
            <w:cnfStyle w:val="001000000000" w:firstRow="0" w:lastRow="0" w:firstColumn="1" w:lastColumn="0" w:oddVBand="0" w:evenVBand="0" w:oddHBand="0" w:evenHBand="0" w:firstRowFirstColumn="0" w:firstRowLastColumn="0" w:lastRowFirstColumn="0" w:lastRowLastColumn="0"/>
            <w:tcW w:w="3261" w:type="dxa"/>
          </w:tcPr>
          <w:p w14:paraId="6D4B3B3E" w14:textId="77777777" w:rsidR="00673224" w:rsidRPr="00654C02" w:rsidRDefault="00673224" w:rsidP="00673224">
            <w:pPr>
              <w:widowControl w:val="0"/>
              <w:autoSpaceDE w:val="0"/>
              <w:autoSpaceDN w:val="0"/>
              <w:spacing w:line="480" w:lineRule="auto"/>
              <w:rPr>
                <w:rFonts w:ascii="Arial" w:eastAsia="Arial" w:hAnsi="Arial" w:cs="Arial"/>
                <w:b/>
                <w:bCs/>
                <w:color w:val="000000"/>
                <w:sz w:val="14"/>
                <w:szCs w:val="14"/>
              </w:rPr>
            </w:pPr>
            <w:r w:rsidRPr="00654C02">
              <w:rPr>
                <w:rFonts w:ascii="Arial" w:eastAsia="Arial" w:hAnsi="Arial" w:cs="Arial"/>
                <w:b/>
                <w:bCs/>
                <w:color w:val="000000"/>
                <w:sz w:val="14"/>
                <w:szCs w:val="14"/>
              </w:rPr>
              <w:t>Normal skin/eyes</w:t>
            </w:r>
          </w:p>
        </w:tc>
        <w:tc>
          <w:tcPr>
            <w:tcW w:w="1842" w:type="dxa"/>
          </w:tcPr>
          <w:p w14:paraId="7A2CA651" w14:textId="5B01503F" w:rsidR="00673224" w:rsidRPr="00654C02" w:rsidRDefault="00673224" w:rsidP="00673224">
            <w:pPr>
              <w:widowControl w:val="0"/>
              <w:autoSpaceDE w:val="0"/>
              <w:autoSpaceDN w:val="0"/>
              <w:spacing w:line="48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b/>
                <w:bCs/>
                <w:color w:val="000000"/>
                <w:sz w:val="14"/>
                <w:szCs w:val="14"/>
              </w:rPr>
            </w:pPr>
            <w:r>
              <w:rPr>
                <w:rFonts w:ascii="Arial" w:eastAsia="Arial" w:hAnsi="Arial" w:cs="Arial"/>
                <w:b/>
                <w:bCs/>
                <w:color w:val="000000"/>
                <w:sz w:val="14"/>
                <w:szCs w:val="14"/>
              </w:rPr>
              <w:t>55</w:t>
            </w:r>
            <w:r w:rsidRPr="00654C02">
              <w:rPr>
                <w:rFonts w:ascii="Arial" w:eastAsia="Arial" w:hAnsi="Arial" w:cs="Arial"/>
                <w:b/>
                <w:bCs/>
                <w:color w:val="000000"/>
                <w:sz w:val="14"/>
                <w:szCs w:val="14"/>
              </w:rPr>
              <w:t>5(100)</w:t>
            </w:r>
          </w:p>
        </w:tc>
        <w:tc>
          <w:tcPr>
            <w:tcW w:w="1701" w:type="dxa"/>
          </w:tcPr>
          <w:p w14:paraId="1DF567BD" w14:textId="51B02EA0" w:rsidR="00673224" w:rsidRPr="00654C02" w:rsidRDefault="00B3100C" w:rsidP="00673224">
            <w:pPr>
              <w:widowControl w:val="0"/>
              <w:autoSpaceDE w:val="0"/>
              <w:autoSpaceDN w:val="0"/>
              <w:spacing w:line="48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b/>
                <w:bCs/>
                <w:color w:val="000000"/>
                <w:sz w:val="14"/>
                <w:szCs w:val="14"/>
              </w:rPr>
            </w:pPr>
            <w:r>
              <w:rPr>
                <w:rFonts w:ascii="Arial" w:eastAsia="Arial" w:hAnsi="Arial" w:cs="Arial"/>
                <w:b/>
                <w:bCs/>
                <w:color w:val="000000"/>
                <w:sz w:val="14"/>
                <w:szCs w:val="14"/>
              </w:rPr>
              <w:t>90(18.9</w:t>
            </w:r>
            <w:r w:rsidR="00673224" w:rsidRPr="00654C02">
              <w:rPr>
                <w:rFonts w:ascii="Arial" w:eastAsia="Arial" w:hAnsi="Arial" w:cs="Arial"/>
                <w:b/>
                <w:bCs/>
                <w:color w:val="000000"/>
                <w:sz w:val="14"/>
                <w:szCs w:val="14"/>
              </w:rPr>
              <w:t>)</w:t>
            </w:r>
          </w:p>
        </w:tc>
        <w:tc>
          <w:tcPr>
            <w:tcW w:w="1701" w:type="dxa"/>
          </w:tcPr>
          <w:p w14:paraId="6A99904E" w14:textId="04A150EB" w:rsidR="00673224" w:rsidRPr="00654C02" w:rsidRDefault="00B3100C" w:rsidP="00673224">
            <w:pPr>
              <w:widowControl w:val="0"/>
              <w:autoSpaceDE w:val="0"/>
              <w:autoSpaceDN w:val="0"/>
              <w:spacing w:line="48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b/>
                <w:bCs/>
                <w:color w:val="000000"/>
                <w:sz w:val="14"/>
                <w:szCs w:val="14"/>
              </w:rPr>
            </w:pPr>
            <w:r>
              <w:rPr>
                <w:rFonts w:ascii="Arial" w:eastAsia="Arial" w:hAnsi="Arial" w:cs="Arial"/>
                <w:b/>
                <w:bCs/>
                <w:color w:val="000000"/>
                <w:sz w:val="14"/>
                <w:szCs w:val="14"/>
              </w:rPr>
              <w:t>18(23.1</w:t>
            </w:r>
            <w:r w:rsidR="00673224" w:rsidRPr="00654C02">
              <w:rPr>
                <w:rFonts w:ascii="Arial" w:eastAsia="Arial" w:hAnsi="Arial" w:cs="Arial"/>
                <w:b/>
                <w:bCs/>
                <w:color w:val="000000"/>
                <w:sz w:val="14"/>
                <w:szCs w:val="14"/>
              </w:rPr>
              <w:t>)</w:t>
            </w:r>
          </w:p>
        </w:tc>
        <w:tc>
          <w:tcPr>
            <w:tcW w:w="988" w:type="dxa"/>
          </w:tcPr>
          <w:p w14:paraId="2041E797" w14:textId="7E663A5B" w:rsidR="00673224" w:rsidRPr="00654C02" w:rsidRDefault="00B3100C" w:rsidP="00673224">
            <w:pPr>
              <w:widowControl w:val="0"/>
              <w:autoSpaceDE w:val="0"/>
              <w:autoSpaceDN w:val="0"/>
              <w:spacing w:line="48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b/>
                <w:bCs/>
                <w:sz w:val="14"/>
                <w:szCs w:val="14"/>
              </w:rPr>
            </w:pPr>
            <w:r>
              <w:rPr>
                <w:rFonts w:ascii="Arial" w:eastAsia="Arial" w:hAnsi="Arial" w:cs="Arial"/>
                <w:b/>
                <w:bCs/>
                <w:sz w:val="14"/>
                <w:szCs w:val="14"/>
              </w:rPr>
              <w:t>0.44</w:t>
            </w:r>
          </w:p>
        </w:tc>
      </w:tr>
      <w:tr w:rsidR="00673224" w:rsidRPr="00E47820" w14:paraId="1920DF56" w14:textId="77777777" w:rsidTr="00B011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14:paraId="0B6B1DA3" w14:textId="77777777" w:rsidR="00673224" w:rsidRPr="00654C02" w:rsidRDefault="00673224" w:rsidP="00673224">
            <w:pPr>
              <w:widowControl w:val="0"/>
              <w:autoSpaceDE w:val="0"/>
              <w:autoSpaceDN w:val="0"/>
              <w:spacing w:line="480" w:lineRule="auto"/>
              <w:rPr>
                <w:rFonts w:ascii="Arial" w:eastAsia="Arial" w:hAnsi="Arial" w:cs="Arial"/>
                <w:b/>
                <w:bCs/>
                <w:color w:val="000000"/>
                <w:sz w:val="14"/>
                <w:szCs w:val="14"/>
              </w:rPr>
            </w:pPr>
            <w:r w:rsidRPr="00654C02">
              <w:rPr>
                <w:rFonts w:ascii="Arial" w:eastAsia="Arial" w:hAnsi="Arial" w:cs="Arial"/>
                <w:b/>
                <w:bCs/>
                <w:color w:val="000000"/>
                <w:sz w:val="14"/>
                <w:szCs w:val="14"/>
              </w:rPr>
              <w:t>Moist mucous membranes</w:t>
            </w:r>
          </w:p>
        </w:tc>
        <w:tc>
          <w:tcPr>
            <w:tcW w:w="1842" w:type="dxa"/>
          </w:tcPr>
          <w:p w14:paraId="275CBAC7" w14:textId="3D37AE14" w:rsidR="00673224" w:rsidRPr="00654C02" w:rsidRDefault="00673224" w:rsidP="00673224">
            <w:pPr>
              <w:widowControl w:val="0"/>
              <w:autoSpaceDE w:val="0"/>
              <w:autoSpaceDN w:val="0"/>
              <w:spacing w:line="480"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b/>
                <w:bCs/>
                <w:color w:val="000000"/>
                <w:sz w:val="14"/>
                <w:szCs w:val="14"/>
              </w:rPr>
            </w:pPr>
            <w:r>
              <w:rPr>
                <w:rFonts w:ascii="Arial" w:eastAsia="Arial" w:hAnsi="Arial" w:cs="Arial"/>
                <w:b/>
                <w:bCs/>
                <w:color w:val="000000"/>
                <w:sz w:val="14"/>
                <w:szCs w:val="14"/>
              </w:rPr>
              <w:t>55</w:t>
            </w:r>
            <w:r w:rsidRPr="00654C02">
              <w:rPr>
                <w:rFonts w:ascii="Arial" w:eastAsia="Arial" w:hAnsi="Arial" w:cs="Arial"/>
                <w:b/>
                <w:bCs/>
                <w:color w:val="000000"/>
                <w:sz w:val="14"/>
                <w:szCs w:val="14"/>
              </w:rPr>
              <w:t>5(100)</w:t>
            </w:r>
          </w:p>
        </w:tc>
        <w:tc>
          <w:tcPr>
            <w:tcW w:w="1701" w:type="dxa"/>
          </w:tcPr>
          <w:p w14:paraId="2B761F7D" w14:textId="4A231DA4" w:rsidR="00673224" w:rsidRPr="00654C02" w:rsidRDefault="00B3100C" w:rsidP="00673224">
            <w:pPr>
              <w:widowControl w:val="0"/>
              <w:autoSpaceDE w:val="0"/>
              <w:autoSpaceDN w:val="0"/>
              <w:spacing w:line="480"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b/>
                <w:bCs/>
                <w:color w:val="000000"/>
                <w:sz w:val="14"/>
                <w:szCs w:val="14"/>
              </w:rPr>
            </w:pPr>
            <w:r>
              <w:rPr>
                <w:rFonts w:ascii="Arial" w:eastAsia="Arial" w:hAnsi="Arial" w:cs="Arial"/>
                <w:b/>
                <w:bCs/>
                <w:color w:val="000000"/>
                <w:sz w:val="14"/>
                <w:szCs w:val="14"/>
              </w:rPr>
              <w:t>105(22.0</w:t>
            </w:r>
            <w:r w:rsidR="00673224" w:rsidRPr="00654C02">
              <w:rPr>
                <w:rFonts w:ascii="Arial" w:eastAsia="Arial" w:hAnsi="Arial" w:cs="Arial"/>
                <w:b/>
                <w:bCs/>
                <w:color w:val="000000"/>
                <w:sz w:val="14"/>
                <w:szCs w:val="14"/>
              </w:rPr>
              <w:t>)</w:t>
            </w:r>
          </w:p>
        </w:tc>
        <w:tc>
          <w:tcPr>
            <w:tcW w:w="1701" w:type="dxa"/>
          </w:tcPr>
          <w:p w14:paraId="6DA2C4EA" w14:textId="1756CE3E" w:rsidR="00673224" w:rsidRPr="00654C02" w:rsidRDefault="00B3100C" w:rsidP="00673224">
            <w:pPr>
              <w:widowControl w:val="0"/>
              <w:autoSpaceDE w:val="0"/>
              <w:autoSpaceDN w:val="0"/>
              <w:spacing w:line="480"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b/>
                <w:bCs/>
                <w:color w:val="000000"/>
                <w:sz w:val="14"/>
                <w:szCs w:val="14"/>
              </w:rPr>
            </w:pPr>
            <w:r>
              <w:rPr>
                <w:rFonts w:ascii="Arial" w:eastAsia="Arial" w:hAnsi="Arial" w:cs="Arial"/>
                <w:b/>
                <w:bCs/>
                <w:color w:val="000000"/>
                <w:sz w:val="14"/>
                <w:szCs w:val="14"/>
              </w:rPr>
              <w:t>23(29.5</w:t>
            </w:r>
            <w:r w:rsidR="00673224" w:rsidRPr="00654C02">
              <w:rPr>
                <w:rFonts w:ascii="Arial" w:eastAsia="Arial" w:hAnsi="Arial" w:cs="Arial"/>
                <w:b/>
                <w:bCs/>
                <w:color w:val="000000"/>
                <w:sz w:val="14"/>
                <w:szCs w:val="14"/>
              </w:rPr>
              <w:t>)</w:t>
            </w:r>
          </w:p>
        </w:tc>
        <w:tc>
          <w:tcPr>
            <w:tcW w:w="988" w:type="dxa"/>
          </w:tcPr>
          <w:p w14:paraId="1869424A" w14:textId="482E1ED7" w:rsidR="00673224" w:rsidRPr="00654C02" w:rsidRDefault="007A7A81" w:rsidP="00673224">
            <w:pPr>
              <w:widowControl w:val="0"/>
              <w:autoSpaceDE w:val="0"/>
              <w:autoSpaceDN w:val="0"/>
              <w:spacing w:line="480"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b/>
                <w:bCs/>
                <w:sz w:val="14"/>
                <w:szCs w:val="14"/>
              </w:rPr>
            </w:pPr>
            <w:r>
              <w:rPr>
                <w:rFonts w:ascii="Arial" w:eastAsia="Arial" w:hAnsi="Arial" w:cs="Arial"/>
                <w:b/>
                <w:bCs/>
                <w:sz w:val="14"/>
                <w:szCs w:val="14"/>
              </w:rPr>
              <w:t>0.14</w:t>
            </w:r>
          </w:p>
        </w:tc>
      </w:tr>
      <w:tr w:rsidR="00673224" w:rsidRPr="00E47820" w14:paraId="288B2CFC" w14:textId="77777777" w:rsidTr="00B0114A">
        <w:tc>
          <w:tcPr>
            <w:cnfStyle w:val="001000000000" w:firstRow="0" w:lastRow="0" w:firstColumn="1" w:lastColumn="0" w:oddVBand="0" w:evenVBand="0" w:oddHBand="0" w:evenHBand="0" w:firstRowFirstColumn="0" w:firstRowLastColumn="0" w:lastRowFirstColumn="0" w:lastRowLastColumn="0"/>
            <w:tcW w:w="3261" w:type="dxa"/>
          </w:tcPr>
          <w:p w14:paraId="1D24A08A" w14:textId="77777777" w:rsidR="00673224" w:rsidRPr="00654C02" w:rsidRDefault="00673224" w:rsidP="00673224">
            <w:pPr>
              <w:widowControl w:val="0"/>
              <w:autoSpaceDE w:val="0"/>
              <w:autoSpaceDN w:val="0"/>
              <w:spacing w:line="480" w:lineRule="auto"/>
              <w:rPr>
                <w:rFonts w:ascii="Arial" w:eastAsia="Arial" w:hAnsi="Arial" w:cs="Arial"/>
                <w:b/>
                <w:bCs/>
                <w:color w:val="000000"/>
                <w:sz w:val="14"/>
                <w:szCs w:val="14"/>
              </w:rPr>
            </w:pPr>
            <w:r w:rsidRPr="00654C02">
              <w:rPr>
                <w:rFonts w:ascii="Arial" w:eastAsia="Arial" w:hAnsi="Arial" w:cs="Arial"/>
                <w:b/>
                <w:bCs/>
                <w:color w:val="000000"/>
                <w:sz w:val="14"/>
                <w:szCs w:val="14"/>
              </w:rPr>
              <w:t>Appears well</w:t>
            </w:r>
          </w:p>
        </w:tc>
        <w:tc>
          <w:tcPr>
            <w:tcW w:w="1842" w:type="dxa"/>
          </w:tcPr>
          <w:p w14:paraId="212F8DC0" w14:textId="46E31FBE" w:rsidR="00673224" w:rsidRPr="00654C02" w:rsidRDefault="00673224" w:rsidP="00673224">
            <w:pPr>
              <w:widowControl w:val="0"/>
              <w:autoSpaceDE w:val="0"/>
              <w:autoSpaceDN w:val="0"/>
              <w:spacing w:line="48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b/>
                <w:bCs/>
                <w:color w:val="000000"/>
                <w:sz w:val="14"/>
                <w:szCs w:val="14"/>
              </w:rPr>
            </w:pPr>
            <w:r>
              <w:rPr>
                <w:rFonts w:ascii="Arial" w:eastAsia="Arial" w:hAnsi="Arial" w:cs="Arial"/>
                <w:b/>
                <w:bCs/>
                <w:color w:val="000000"/>
                <w:sz w:val="14"/>
                <w:szCs w:val="14"/>
              </w:rPr>
              <w:t>55</w:t>
            </w:r>
            <w:r w:rsidRPr="00654C02">
              <w:rPr>
                <w:rFonts w:ascii="Arial" w:eastAsia="Arial" w:hAnsi="Arial" w:cs="Arial"/>
                <w:b/>
                <w:bCs/>
                <w:color w:val="000000"/>
                <w:sz w:val="14"/>
                <w:szCs w:val="14"/>
              </w:rPr>
              <w:t>5(100)</w:t>
            </w:r>
          </w:p>
        </w:tc>
        <w:tc>
          <w:tcPr>
            <w:tcW w:w="1701" w:type="dxa"/>
          </w:tcPr>
          <w:p w14:paraId="385DBA65" w14:textId="3C8B044A" w:rsidR="00673224" w:rsidRPr="00654C02" w:rsidRDefault="00B3100C" w:rsidP="00673224">
            <w:pPr>
              <w:widowControl w:val="0"/>
              <w:autoSpaceDE w:val="0"/>
              <w:autoSpaceDN w:val="0"/>
              <w:spacing w:line="48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b/>
                <w:bCs/>
                <w:color w:val="000000"/>
                <w:sz w:val="14"/>
                <w:szCs w:val="14"/>
              </w:rPr>
            </w:pPr>
            <w:r>
              <w:rPr>
                <w:rFonts w:ascii="Arial" w:eastAsia="Arial" w:hAnsi="Arial" w:cs="Arial"/>
                <w:b/>
                <w:bCs/>
                <w:color w:val="000000"/>
                <w:sz w:val="14"/>
                <w:szCs w:val="14"/>
              </w:rPr>
              <w:t>91(19.1</w:t>
            </w:r>
            <w:r w:rsidR="00673224" w:rsidRPr="00654C02">
              <w:rPr>
                <w:rFonts w:ascii="Arial" w:eastAsia="Arial" w:hAnsi="Arial" w:cs="Arial"/>
                <w:b/>
                <w:bCs/>
                <w:color w:val="000000"/>
                <w:sz w:val="14"/>
                <w:szCs w:val="14"/>
              </w:rPr>
              <w:t>)</w:t>
            </w:r>
          </w:p>
        </w:tc>
        <w:tc>
          <w:tcPr>
            <w:tcW w:w="1701" w:type="dxa"/>
          </w:tcPr>
          <w:p w14:paraId="7EC47EA4" w14:textId="10354776" w:rsidR="00673224" w:rsidRPr="00654C02" w:rsidRDefault="00B3100C" w:rsidP="00673224">
            <w:pPr>
              <w:widowControl w:val="0"/>
              <w:autoSpaceDE w:val="0"/>
              <w:autoSpaceDN w:val="0"/>
              <w:spacing w:line="48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b/>
                <w:bCs/>
                <w:color w:val="000000"/>
                <w:sz w:val="14"/>
                <w:szCs w:val="14"/>
              </w:rPr>
            </w:pPr>
            <w:r>
              <w:rPr>
                <w:rFonts w:ascii="Arial" w:eastAsia="Arial" w:hAnsi="Arial" w:cs="Arial"/>
                <w:b/>
                <w:bCs/>
                <w:color w:val="000000"/>
                <w:sz w:val="14"/>
                <w:szCs w:val="14"/>
              </w:rPr>
              <w:t>7(9.0</w:t>
            </w:r>
            <w:r w:rsidR="00673224" w:rsidRPr="00654C02">
              <w:rPr>
                <w:rFonts w:ascii="Arial" w:eastAsia="Arial" w:hAnsi="Arial" w:cs="Arial"/>
                <w:b/>
                <w:bCs/>
                <w:color w:val="000000"/>
                <w:sz w:val="14"/>
                <w:szCs w:val="14"/>
              </w:rPr>
              <w:t>)</w:t>
            </w:r>
          </w:p>
        </w:tc>
        <w:tc>
          <w:tcPr>
            <w:tcW w:w="988" w:type="dxa"/>
          </w:tcPr>
          <w:p w14:paraId="533B647F" w14:textId="7B969DB1" w:rsidR="00673224" w:rsidRPr="00654C02" w:rsidRDefault="007A7A81" w:rsidP="00673224">
            <w:pPr>
              <w:widowControl w:val="0"/>
              <w:autoSpaceDE w:val="0"/>
              <w:autoSpaceDN w:val="0"/>
              <w:spacing w:line="48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b/>
                <w:bCs/>
                <w:sz w:val="14"/>
                <w:szCs w:val="14"/>
              </w:rPr>
            </w:pPr>
            <w:r>
              <w:rPr>
                <w:rFonts w:ascii="Arial" w:eastAsia="Arial" w:hAnsi="Arial" w:cs="Arial"/>
                <w:b/>
                <w:bCs/>
                <w:color w:val="FF0000"/>
                <w:sz w:val="14"/>
                <w:szCs w:val="14"/>
              </w:rPr>
              <w:t>0.036</w:t>
            </w:r>
          </w:p>
        </w:tc>
      </w:tr>
      <w:tr w:rsidR="00673224" w:rsidRPr="00E47820" w14:paraId="51BAAB54" w14:textId="77777777" w:rsidTr="00B011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14:paraId="7E499902" w14:textId="77777777" w:rsidR="00673224" w:rsidRPr="00654C02" w:rsidRDefault="00673224" w:rsidP="00673224">
            <w:pPr>
              <w:widowControl w:val="0"/>
              <w:autoSpaceDE w:val="0"/>
              <w:autoSpaceDN w:val="0"/>
              <w:spacing w:line="480" w:lineRule="auto"/>
              <w:rPr>
                <w:rFonts w:ascii="Arial" w:eastAsia="Arial" w:hAnsi="Arial" w:cs="Arial"/>
                <w:b/>
                <w:bCs/>
                <w:color w:val="000000"/>
                <w:sz w:val="14"/>
                <w:szCs w:val="14"/>
              </w:rPr>
            </w:pPr>
            <w:r w:rsidRPr="00654C02">
              <w:rPr>
                <w:rFonts w:ascii="Arial" w:eastAsia="Arial" w:hAnsi="Arial" w:cs="Arial"/>
                <w:b/>
                <w:bCs/>
                <w:color w:val="000000"/>
                <w:sz w:val="14"/>
                <w:szCs w:val="14"/>
              </w:rPr>
              <w:t>Decreased activity</w:t>
            </w:r>
          </w:p>
        </w:tc>
        <w:tc>
          <w:tcPr>
            <w:tcW w:w="1842" w:type="dxa"/>
          </w:tcPr>
          <w:p w14:paraId="687FDD48" w14:textId="36570AB2" w:rsidR="00673224" w:rsidRPr="00654C02" w:rsidRDefault="00673224" w:rsidP="00673224">
            <w:pPr>
              <w:widowControl w:val="0"/>
              <w:autoSpaceDE w:val="0"/>
              <w:autoSpaceDN w:val="0"/>
              <w:spacing w:line="480"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b/>
                <w:bCs/>
                <w:color w:val="000000"/>
                <w:sz w:val="14"/>
                <w:szCs w:val="14"/>
              </w:rPr>
            </w:pPr>
            <w:r>
              <w:rPr>
                <w:rFonts w:ascii="Arial" w:eastAsia="Arial" w:hAnsi="Arial" w:cs="Arial"/>
                <w:b/>
                <w:bCs/>
                <w:color w:val="000000"/>
                <w:sz w:val="14"/>
                <w:szCs w:val="14"/>
              </w:rPr>
              <w:t>55</w:t>
            </w:r>
            <w:r w:rsidRPr="00654C02">
              <w:rPr>
                <w:rFonts w:ascii="Arial" w:eastAsia="Arial" w:hAnsi="Arial" w:cs="Arial"/>
                <w:b/>
                <w:bCs/>
                <w:color w:val="000000"/>
                <w:sz w:val="14"/>
                <w:szCs w:val="14"/>
              </w:rPr>
              <w:t>5(100)</w:t>
            </w:r>
          </w:p>
        </w:tc>
        <w:tc>
          <w:tcPr>
            <w:tcW w:w="1701" w:type="dxa"/>
          </w:tcPr>
          <w:p w14:paraId="0C59013B" w14:textId="6B59A199" w:rsidR="00673224" w:rsidRPr="00654C02" w:rsidRDefault="00B3100C" w:rsidP="00673224">
            <w:pPr>
              <w:widowControl w:val="0"/>
              <w:autoSpaceDE w:val="0"/>
              <w:autoSpaceDN w:val="0"/>
              <w:spacing w:line="480"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b/>
                <w:bCs/>
                <w:color w:val="000000"/>
                <w:sz w:val="14"/>
                <w:szCs w:val="14"/>
              </w:rPr>
            </w:pPr>
            <w:r>
              <w:rPr>
                <w:rFonts w:ascii="Arial" w:eastAsia="Arial" w:hAnsi="Arial" w:cs="Arial"/>
                <w:b/>
                <w:bCs/>
                <w:color w:val="000000"/>
                <w:sz w:val="14"/>
                <w:szCs w:val="14"/>
              </w:rPr>
              <w:t>102(21.4</w:t>
            </w:r>
            <w:r w:rsidR="00673224" w:rsidRPr="00654C02">
              <w:rPr>
                <w:rFonts w:ascii="Arial" w:eastAsia="Arial" w:hAnsi="Arial" w:cs="Arial"/>
                <w:b/>
                <w:bCs/>
                <w:color w:val="000000"/>
                <w:sz w:val="14"/>
                <w:szCs w:val="14"/>
              </w:rPr>
              <w:t>)</w:t>
            </w:r>
          </w:p>
        </w:tc>
        <w:tc>
          <w:tcPr>
            <w:tcW w:w="1701" w:type="dxa"/>
          </w:tcPr>
          <w:p w14:paraId="4D90E164" w14:textId="3BBA1734" w:rsidR="00673224" w:rsidRPr="00654C02" w:rsidRDefault="00B3100C" w:rsidP="00673224">
            <w:pPr>
              <w:widowControl w:val="0"/>
              <w:autoSpaceDE w:val="0"/>
              <w:autoSpaceDN w:val="0"/>
              <w:spacing w:line="480"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b/>
                <w:bCs/>
                <w:color w:val="000000"/>
                <w:sz w:val="14"/>
                <w:szCs w:val="14"/>
              </w:rPr>
            </w:pPr>
            <w:r>
              <w:rPr>
                <w:rFonts w:ascii="Arial" w:eastAsia="Arial" w:hAnsi="Arial" w:cs="Arial"/>
                <w:b/>
                <w:bCs/>
                <w:color w:val="000000"/>
                <w:sz w:val="14"/>
                <w:szCs w:val="14"/>
              </w:rPr>
              <w:t>23(29.5</w:t>
            </w:r>
            <w:r w:rsidR="00673224" w:rsidRPr="00654C02">
              <w:rPr>
                <w:rFonts w:ascii="Arial" w:eastAsia="Arial" w:hAnsi="Arial" w:cs="Arial"/>
                <w:b/>
                <w:bCs/>
                <w:color w:val="000000"/>
                <w:sz w:val="14"/>
                <w:szCs w:val="14"/>
              </w:rPr>
              <w:t>)</w:t>
            </w:r>
          </w:p>
        </w:tc>
        <w:tc>
          <w:tcPr>
            <w:tcW w:w="988" w:type="dxa"/>
          </w:tcPr>
          <w:p w14:paraId="4A239291" w14:textId="4CD40D66" w:rsidR="00673224" w:rsidRPr="00654C02" w:rsidRDefault="007A7A81" w:rsidP="00673224">
            <w:pPr>
              <w:widowControl w:val="0"/>
              <w:autoSpaceDE w:val="0"/>
              <w:autoSpaceDN w:val="0"/>
              <w:spacing w:line="480"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b/>
                <w:bCs/>
                <w:sz w:val="14"/>
                <w:szCs w:val="14"/>
              </w:rPr>
            </w:pPr>
            <w:r>
              <w:rPr>
                <w:rFonts w:ascii="Arial" w:eastAsia="Arial" w:hAnsi="Arial" w:cs="Arial"/>
                <w:b/>
                <w:bCs/>
                <w:sz w:val="14"/>
                <w:szCs w:val="14"/>
              </w:rPr>
              <w:t>0.14</w:t>
            </w:r>
          </w:p>
        </w:tc>
      </w:tr>
      <w:tr w:rsidR="00673224" w:rsidRPr="00E47820" w14:paraId="715D66D1" w14:textId="77777777" w:rsidTr="00B0114A">
        <w:tc>
          <w:tcPr>
            <w:cnfStyle w:val="001000000000" w:firstRow="0" w:lastRow="0" w:firstColumn="1" w:lastColumn="0" w:oddVBand="0" w:evenVBand="0" w:oddHBand="0" w:evenHBand="0" w:firstRowFirstColumn="0" w:firstRowLastColumn="0" w:lastRowFirstColumn="0" w:lastRowLastColumn="0"/>
            <w:tcW w:w="3261" w:type="dxa"/>
          </w:tcPr>
          <w:p w14:paraId="014B8984" w14:textId="77777777" w:rsidR="00673224" w:rsidRPr="00654C02" w:rsidRDefault="00673224" w:rsidP="00673224">
            <w:pPr>
              <w:widowControl w:val="0"/>
              <w:autoSpaceDE w:val="0"/>
              <w:autoSpaceDN w:val="0"/>
              <w:spacing w:line="480" w:lineRule="auto"/>
              <w:rPr>
                <w:rFonts w:ascii="Arial" w:eastAsia="Arial" w:hAnsi="Arial" w:cs="Arial"/>
                <w:b/>
                <w:bCs/>
                <w:color w:val="000000"/>
                <w:sz w:val="14"/>
                <w:szCs w:val="14"/>
              </w:rPr>
            </w:pPr>
            <w:r w:rsidRPr="00654C02">
              <w:rPr>
                <w:rFonts w:ascii="Arial" w:eastAsia="Arial" w:hAnsi="Arial" w:cs="Arial"/>
                <w:b/>
                <w:bCs/>
                <w:color w:val="000000"/>
                <w:sz w:val="14"/>
                <w:szCs w:val="14"/>
              </w:rPr>
              <w:t xml:space="preserve">Tachycardia </w:t>
            </w:r>
          </w:p>
        </w:tc>
        <w:tc>
          <w:tcPr>
            <w:tcW w:w="1842" w:type="dxa"/>
          </w:tcPr>
          <w:p w14:paraId="49E731D1" w14:textId="37E23C81" w:rsidR="00673224" w:rsidRPr="00654C02" w:rsidRDefault="00673224" w:rsidP="00673224">
            <w:pPr>
              <w:widowControl w:val="0"/>
              <w:autoSpaceDE w:val="0"/>
              <w:autoSpaceDN w:val="0"/>
              <w:spacing w:line="48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b/>
                <w:bCs/>
                <w:color w:val="000000"/>
                <w:sz w:val="14"/>
                <w:szCs w:val="14"/>
              </w:rPr>
            </w:pPr>
            <w:r>
              <w:rPr>
                <w:rFonts w:ascii="Arial" w:eastAsia="Arial" w:hAnsi="Arial" w:cs="Arial"/>
                <w:b/>
                <w:bCs/>
                <w:color w:val="000000"/>
                <w:sz w:val="14"/>
                <w:szCs w:val="14"/>
              </w:rPr>
              <w:t>55</w:t>
            </w:r>
            <w:r w:rsidRPr="00654C02">
              <w:rPr>
                <w:rFonts w:ascii="Arial" w:eastAsia="Arial" w:hAnsi="Arial" w:cs="Arial"/>
                <w:b/>
                <w:bCs/>
                <w:color w:val="000000"/>
                <w:sz w:val="14"/>
                <w:szCs w:val="14"/>
              </w:rPr>
              <w:t>5(100)</w:t>
            </w:r>
          </w:p>
        </w:tc>
        <w:tc>
          <w:tcPr>
            <w:tcW w:w="1701" w:type="dxa"/>
          </w:tcPr>
          <w:p w14:paraId="456F06DA" w14:textId="72306325" w:rsidR="00673224" w:rsidRPr="00654C02" w:rsidRDefault="00B3100C" w:rsidP="00673224">
            <w:pPr>
              <w:widowControl w:val="0"/>
              <w:autoSpaceDE w:val="0"/>
              <w:autoSpaceDN w:val="0"/>
              <w:spacing w:line="48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b/>
                <w:bCs/>
                <w:color w:val="000000"/>
                <w:sz w:val="14"/>
                <w:szCs w:val="14"/>
              </w:rPr>
            </w:pPr>
            <w:r>
              <w:rPr>
                <w:rFonts w:ascii="Arial" w:eastAsia="Arial" w:hAnsi="Arial" w:cs="Arial"/>
                <w:b/>
                <w:bCs/>
                <w:color w:val="000000"/>
                <w:sz w:val="14"/>
                <w:szCs w:val="14"/>
              </w:rPr>
              <w:t>370(77.6</w:t>
            </w:r>
            <w:r w:rsidR="00673224" w:rsidRPr="00654C02">
              <w:rPr>
                <w:rFonts w:ascii="Arial" w:eastAsia="Arial" w:hAnsi="Arial" w:cs="Arial"/>
                <w:b/>
                <w:bCs/>
                <w:color w:val="000000"/>
                <w:sz w:val="14"/>
                <w:szCs w:val="14"/>
              </w:rPr>
              <w:t>)</w:t>
            </w:r>
          </w:p>
        </w:tc>
        <w:tc>
          <w:tcPr>
            <w:tcW w:w="1701" w:type="dxa"/>
          </w:tcPr>
          <w:p w14:paraId="4F66BC06" w14:textId="574BDDC9" w:rsidR="00673224" w:rsidRPr="00654C02" w:rsidRDefault="00B3100C" w:rsidP="00673224">
            <w:pPr>
              <w:widowControl w:val="0"/>
              <w:autoSpaceDE w:val="0"/>
              <w:autoSpaceDN w:val="0"/>
              <w:spacing w:line="48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b/>
                <w:bCs/>
                <w:color w:val="000000"/>
                <w:sz w:val="14"/>
                <w:szCs w:val="14"/>
              </w:rPr>
            </w:pPr>
            <w:r>
              <w:rPr>
                <w:rFonts w:ascii="Arial" w:eastAsia="Arial" w:hAnsi="Arial" w:cs="Arial"/>
                <w:b/>
                <w:bCs/>
                <w:color w:val="000000"/>
                <w:sz w:val="14"/>
                <w:szCs w:val="14"/>
              </w:rPr>
              <w:t>60(76.9</w:t>
            </w:r>
            <w:r w:rsidR="00673224" w:rsidRPr="00654C02">
              <w:rPr>
                <w:rFonts w:ascii="Arial" w:eastAsia="Arial" w:hAnsi="Arial" w:cs="Arial"/>
                <w:b/>
                <w:bCs/>
                <w:color w:val="000000"/>
                <w:sz w:val="14"/>
                <w:szCs w:val="14"/>
              </w:rPr>
              <w:t>)</w:t>
            </w:r>
          </w:p>
        </w:tc>
        <w:tc>
          <w:tcPr>
            <w:tcW w:w="988" w:type="dxa"/>
          </w:tcPr>
          <w:p w14:paraId="3348226C" w14:textId="16002C9C" w:rsidR="00673224" w:rsidRPr="00654C02" w:rsidRDefault="007A7A81" w:rsidP="00673224">
            <w:pPr>
              <w:widowControl w:val="0"/>
              <w:autoSpaceDE w:val="0"/>
              <w:autoSpaceDN w:val="0"/>
              <w:spacing w:line="48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b/>
                <w:bCs/>
                <w:sz w:val="14"/>
                <w:szCs w:val="14"/>
              </w:rPr>
            </w:pPr>
            <w:r>
              <w:rPr>
                <w:rFonts w:ascii="Arial" w:eastAsia="Arial" w:hAnsi="Arial" w:cs="Arial"/>
                <w:b/>
                <w:bCs/>
                <w:sz w:val="14"/>
                <w:szCs w:val="14"/>
              </w:rPr>
              <w:t>0.88</w:t>
            </w:r>
          </w:p>
        </w:tc>
      </w:tr>
      <w:tr w:rsidR="00673224" w:rsidRPr="00E47820" w14:paraId="455DACD3" w14:textId="77777777" w:rsidTr="00B011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14:paraId="273E5B1C" w14:textId="77777777" w:rsidR="00673224" w:rsidRPr="00654C02" w:rsidRDefault="00673224" w:rsidP="00673224">
            <w:pPr>
              <w:widowControl w:val="0"/>
              <w:autoSpaceDE w:val="0"/>
              <w:autoSpaceDN w:val="0"/>
              <w:spacing w:line="480" w:lineRule="auto"/>
              <w:rPr>
                <w:rFonts w:ascii="Arial" w:eastAsia="Arial" w:hAnsi="Arial" w:cs="Arial"/>
                <w:b/>
                <w:bCs/>
                <w:color w:val="000000"/>
                <w:sz w:val="14"/>
                <w:szCs w:val="14"/>
              </w:rPr>
            </w:pPr>
            <w:r w:rsidRPr="00654C02">
              <w:rPr>
                <w:rFonts w:ascii="Arial" w:eastAsia="Arial" w:hAnsi="Arial" w:cs="Arial"/>
                <w:b/>
                <w:bCs/>
                <w:color w:val="000000"/>
                <w:sz w:val="14"/>
                <w:szCs w:val="14"/>
              </w:rPr>
              <w:t>Prolonged capillary refill time</w:t>
            </w:r>
          </w:p>
        </w:tc>
        <w:tc>
          <w:tcPr>
            <w:tcW w:w="1842" w:type="dxa"/>
          </w:tcPr>
          <w:p w14:paraId="1E3A0C54" w14:textId="1CC05B4C" w:rsidR="00673224" w:rsidRPr="00654C02" w:rsidRDefault="00673224" w:rsidP="00673224">
            <w:pPr>
              <w:widowControl w:val="0"/>
              <w:autoSpaceDE w:val="0"/>
              <w:autoSpaceDN w:val="0"/>
              <w:spacing w:line="480"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b/>
                <w:bCs/>
                <w:color w:val="000000"/>
                <w:sz w:val="14"/>
                <w:szCs w:val="14"/>
              </w:rPr>
            </w:pPr>
            <w:r>
              <w:rPr>
                <w:rFonts w:ascii="Arial" w:eastAsia="Arial" w:hAnsi="Arial" w:cs="Arial"/>
                <w:b/>
                <w:bCs/>
                <w:color w:val="000000"/>
                <w:sz w:val="14"/>
                <w:szCs w:val="14"/>
              </w:rPr>
              <w:t>55</w:t>
            </w:r>
            <w:r w:rsidRPr="00654C02">
              <w:rPr>
                <w:rFonts w:ascii="Arial" w:eastAsia="Arial" w:hAnsi="Arial" w:cs="Arial"/>
                <w:b/>
                <w:bCs/>
                <w:color w:val="000000"/>
                <w:sz w:val="14"/>
                <w:szCs w:val="14"/>
              </w:rPr>
              <w:t>5(100)</w:t>
            </w:r>
          </w:p>
        </w:tc>
        <w:tc>
          <w:tcPr>
            <w:tcW w:w="1701" w:type="dxa"/>
          </w:tcPr>
          <w:p w14:paraId="33F7AD1C" w14:textId="621D4AED" w:rsidR="00673224" w:rsidRPr="00654C02" w:rsidRDefault="009E3C29" w:rsidP="00673224">
            <w:pPr>
              <w:widowControl w:val="0"/>
              <w:autoSpaceDE w:val="0"/>
              <w:autoSpaceDN w:val="0"/>
              <w:spacing w:line="480"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b/>
                <w:bCs/>
                <w:color w:val="000000"/>
                <w:sz w:val="14"/>
                <w:szCs w:val="14"/>
              </w:rPr>
            </w:pPr>
            <w:r>
              <w:rPr>
                <w:rFonts w:ascii="Arial" w:eastAsia="Arial" w:hAnsi="Arial" w:cs="Arial"/>
                <w:b/>
                <w:bCs/>
                <w:color w:val="000000"/>
                <w:sz w:val="14"/>
                <w:szCs w:val="14"/>
              </w:rPr>
              <w:t>68(14.3</w:t>
            </w:r>
            <w:r w:rsidR="00673224" w:rsidRPr="00654C02">
              <w:rPr>
                <w:rFonts w:ascii="Arial" w:eastAsia="Arial" w:hAnsi="Arial" w:cs="Arial"/>
                <w:b/>
                <w:bCs/>
                <w:color w:val="000000"/>
                <w:sz w:val="14"/>
                <w:szCs w:val="14"/>
              </w:rPr>
              <w:t>)</w:t>
            </w:r>
          </w:p>
        </w:tc>
        <w:tc>
          <w:tcPr>
            <w:tcW w:w="1701" w:type="dxa"/>
          </w:tcPr>
          <w:p w14:paraId="3FB8E6A9" w14:textId="6FA11AA9" w:rsidR="00673224" w:rsidRPr="00654C02" w:rsidRDefault="009E3C29" w:rsidP="00673224">
            <w:pPr>
              <w:widowControl w:val="0"/>
              <w:autoSpaceDE w:val="0"/>
              <w:autoSpaceDN w:val="0"/>
              <w:spacing w:line="480"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b/>
                <w:bCs/>
                <w:color w:val="000000"/>
                <w:sz w:val="14"/>
                <w:szCs w:val="14"/>
              </w:rPr>
            </w:pPr>
            <w:r>
              <w:rPr>
                <w:rFonts w:ascii="Arial" w:eastAsia="Arial" w:hAnsi="Arial" w:cs="Arial"/>
                <w:b/>
                <w:bCs/>
                <w:color w:val="000000"/>
                <w:sz w:val="14"/>
                <w:szCs w:val="14"/>
              </w:rPr>
              <w:t>19(24.4</w:t>
            </w:r>
            <w:r w:rsidR="00673224" w:rsidRPr="00654C02">
              <w:rPr>
                <w:rFonts w:ascii="Arial" w:eastAsia="Arial" w:hAnsi="Arial" w:cs="Arial"/>
                <w:b/>
                <w:bCs/>
                <w:color w:val="000000"/>
                <w:sz w:val="14"/>
                <w:szCs w:val="14"/>
              </w:rPr>
              <w:t>)</w:t>
            </w:r>
          </w:p>
        </w:tc>
        <w:tc>
          <w:tcPr>
            <w:tcW w:w="988" w:type="dxa"/>
          </w:tcPr>
          <w:p w14:paraId="3375B2EB" w14:textId="01D50E6F" w:rsidR="00673224" w:rsidRPr="00654C02" w:rsidRDefault="009E3C29" w:rsidP="00673224">
            <w:pPr>
              <w:widowControl w:val="0"/>
              <w:autoSpaceDE w:val="0"/>
              <w:autoSpaceDN w:val="0"/>
              <w:spacing w:line="480"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b/>
                <w:bCs/>
                <w:sz w:val="14"/>
                <w:szCs w:val="14"/>
              </w:rPr>
            </w:pPr>
            <w:r>
              <w:rPr>
                <w:rFonts w:ascii="Arial" w:eastAsia="Arial" w:hAnsi="Arial" w:cs="Arial"/>
                <w:b/>
                <w:bCs/>
                <w:sz w:val="14"/>
                <w:szCs w:val="14"/>
              </w:rPr>
              <w:t>0.029</w:t>
            </w:r>
          </w:p>
        </w:tc>
      </w:tr>
      <w:tr w:rsidR="00673224" w:rsidRPr="00E47820" w14:paraId="159412DE" w14:textId="77777777" w:rsidTr="00B0114A">
        <w:tc>
          <w:tcPr>
            <w:cnfStyle w:val="001000000000" w:firstRow="0" w:lastRow="0" w:firstColumn="1" w:lastColumn="0" w:oddVBand="0" w:evenVBand="0" w:oddHBand="0" w:evenHBand="0" w:firstRowFirstColumn="0" w:firstRowLastColumn="0" w:lastRowFirstColumn="0" w:lastRowLastColumn="0"/>
            <w:tcW w:w="3261" w:type="dxa"/>
          </w:tcPr>
          <w:p w14:paraId="35BBF11F" w14:textId="77777777" w:rsidR="00673224" w:rsidRPr="00654C02" w:rsidRDefault="00673224" w:rsidP="00673224">
            <w:pPr>
              <w:widowControl w:val="0"/>
              <w:autoSpaceDE w:val="0"/>
              <w:autoSpaceDN w:val="0"/>
              <w:spacing w:line="480" w:lineRule="auto"/>
              <w:rPr>
                <w:rFonts w:ascii="Arial" w:eastAsia="Arial" w:hAnsi="Arial" w:cs="Arial"/>
                <w:b/>
                <w:bCs/>
                <w:color w:val="000000"/>
                <w:sz w:val="14"/>
                <w:szCs w:val="14"/>
              </w:rPr>
            </w:pPr>
            <w:r w:rsidRPr="00654C02">
              <w:rPr>
                <w:rFonts w:ascii="Arial" w:eastAsia="Arial" w:hAnsi="Arial" w:cs="Arial"/>
                <w:b/>
                <w:bCs/>
                <w:color w:val="000000"/>
                <w:sz w:val="14"/>
                <w:szCs w:val="14"/>
              </w:rPr>
              <w:t xml:space="preserve">Reduced feeding </w:t>
            </w:r>
          </w:p>
        </w:tc>
        <w:tc>
          <w:tcPr>
            <w:tcW w:w="1842" w:type="dxa"/>
          </w:tcPr>
          <w:p w14:paraId="061DFD45" w14:textId="01097BD3" w:rsidR="00673224" w:rsidRPr="00654C02" w:rsidRDefault="00673224" w:rsidP="00673224">
            <w:pPr>
              <w:widowControl w:val="0"/>
              <w:autoSpaceDE w:val="0"/>
              <w:autoSpaceDN w:val="0"/>
              <w:spacing w:line="48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b/>
                <w:bCs/>
                <w:color w:val="000000"/>
                <w:sz w:val="14"/>
                <w:szCs w:val="14"/>
              </w:rPr>
            </w:pPr>
            <w:r>
              <w:rPr>
                <w:rFonts w:ascii="Arial" w:eastAsia="Arial" w:hAnsi="Arial" w:cs="Arial"/>
                <w:b/>
                <w:bCs/>
                <w:color w:val="000000"/>
                <w:sz w:val="14"/>
                <w:szCs w:val="14"/>
              </w:rPr>
              <w:t>55</w:t>
            </w:r>
            <w:r w:rsidRPr="00654C02">
              <w:rPr>
                <w:rFonts w:ascii="Arial" w:eastAsia="Arial" w:hAnsi="Arial" w:cs="Arial"/>
                <w:b/>
                <w:bCs/>
                <w:color w:val="000000"/>
                <w:sz w:val="14"/>
                <w:szCs w:val="14"/>
              </w:rPr>
              <w:t>5(100)</w:t>
            </w:r>
          </w:p>
        </w:tc>
        <w:tc>
          <w:tcPr>
            <w:tcW w:w="1701" w:type="dxa"/>
          </w:tcPr>
          <w:p w14:paraId="4789ECB9" w14:textId="4E9E2BE3" w:rsidR="00673224" w:rsidRPr="00654C02" w:rsidRDefault="009E3C29" w:rsidP="00673224">
            <w:pPr>
              <w:widowControl w:val="0"/>
              <w:autoSpaceDE w:val="0"/>
              <w:autoSpaceDN w:val="0"/>
              <w:spacing w:line="48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b/>
                <w:bCs/>
                <w:color w:val="000000"/>
                <w:sz w:val="14"/>
                <w:szCs w:val="14"/>
              </w:rPr>
            </w:pPr>
            <w:r>
              <w:rPr>
                <w:rFonts w:ascii="Arial" w:eastAsia="Arial" w:hAnsi="Arial" w:cs="Arial"/>
                <w:b/>
                <w:bCs/>
                <w:color w:val="000000"/>
                <w:sz w:val="14"/>
                <w:szCs w:val="14"/>
              </w:rPr>
              <w:t>213(44.7</w:t>
            </w:r>
            <w:r w:rsidR="00673224" w:rsidRPr="00654C02">
              <w:rPr>
                <w:rFonts w:ascii="Arial" w:eastAsia="Arial" w:hAnsi="Arial" w:cs="Arial"/>
                <w:b/>
                <w:bCs/>
                <w:color w:val="000000"/>
                <w:sz w:val="14"/>
                <w:szCs w:val="14"/>
              </w:rPr>
              <w:t>)</w:t>
            </w:r>
          </w:p>
        </w:tc>
        <w:tc>
          <w:tcPr>
            <w:tcW w:w="1701" w:type="dxa"/>
          </w:tcPr>
          <w:p w14:paraId="114B58F1" w14:textId="7D42F9E1" w:rsidR="00673224" w:rsidRPr="00654C02" w:rsidRDefault="009E3C29" w:rsidP="00673224">
            <w:pPr>
              <w:widowControl w:val="0"/>
              <w:autoSpaceDE w:val="0"/>
              <w:autoSpaceDN w:val="0"/>
              <w:spacing w:line="48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b/>
                <w:bCs/>
                <w:color w:val="000000"/>
                <w:sz w:val="14"/>
                <w:szCs w:val="14"/>
              </w:rPr>
            </w:pPr>
            <w:r>
              <w:rPr>
                <w:rFonts w:ascii="Arial" w:eastAsia="Arial" w:hAnsi="Arial" w:cs="Arial"/>
                <w:b/>
                <w:bCs/>
                <w:color w:val="000000"/>
                <w:sz w:val="14"/>
                <w:szCs w:val="14"/>
              </w:rPr>
              <w:t>43(55.1</w:t>
            </w:r>
            <w:r w:rsidR="00673224" w:rsidRPr="00654C02">
              <w:rPr>
                <w:rFonts w:ascii="Arial" w:eastAsia="Arial" w:hAnsi="Arial" w:cs="Arial"/>
                <w:b/>
                <w:bCs/>
                <w:color w:val="000000"/>
                <w:sz w:val="14"/>
                <w:szCs w:val="14"/>
              </w:rPr>
              <w:t>)</w:t>
            </w:r>
          </w:p>
        </w:tc>
        <w:tc>
          <w:tcPr>
            <w:tcW w:w="988" w:type="dxa"/>
          </w:tcPr>
          <w:p w14:paraId="129FBFF7" w14:textId="23CC5C07" w:rsidR="00673224" w:rsidRPr="00654C02" w:rsidRDefault="009E3C29" w:rsidP="00673224">
            <w:pPr>
              <w:widowControl w:val="0"/>
              <w:autoSpaceDE w:val="0"/>
              <w:autoSpaceDN w:val="0"/>
              <w:spacing w:line="48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b/>
                <w:bCs/>
                <w:sz w:val="14"/>
                <w:szCs w:val="14"/>
              </w:rPr>
            </w:pPr>
            <w:r>
              <w:rPr>
                <w:rFonts w:ascii="Arial" w:eastAsia="Arial" w:hAnsi="Arial" w:cs="Arial"/>
                <w:b/>
                <w:bCs/>
                <w:sz w:val="14"/>
                <w:szCs w:val="14"/>
              </w:rPr>
              <w:t>0.088</w:t>
            </w:r>
          </w:p>
        </w:tc>
      </w:tr>
      <w:tr w:rsidR="00B3100C" w:rsidRPr="00E47820" w14:paraId="49BED261" w14:textId="77777777" w:rsidTr="00B011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14:paraId="6CA48199" w14:textId="77777777" w:rsidR="00B3100C" w:rsidRPr="00654C02" w:rsidRDefault="00B3100C" w:rsidP="00B3100C">
            <w:pPr>
              <w:widowControl w:val="0"/>
              <w:autoSpaceDE w:val="0"/>
              <w:autoSpaceDN w:val="0"/>
              <w:spacing w:line="480" w:lineRule="auto"/>
              <w:rPr>
                <w:rFonts w:ascii="Arial" w:eastAsia="Arial" w:hAnsi="Arial" w:cs="Arial"/>
                <w:b/>
                <w:bCs/>
                <w:color w:val="000000"/>
                <w:sz w:val="14"/>
                <w:szCs w:val="14"/>
              </w:rPr>
            </w:pPr>
            <w:r w:rsidRPr="00654C02">
              <w:rPr>
                <w:rFonts w:ascii="Arial" w:eastAsia="Arial" w:hAnsi="Arial" w:cs="Arial"/>
                <w:b/>
                <w:bCs/>
                <w:color w:val="000000"/>
                <w:sz w:val="14"/>
                <w:szCs w:val="14"/>
              </w:rPr>
              <w:t>Reduced wet nappies</w:t>
            </w:r>
          </w:p>
        </w:tc>
        <w:tc>
          <w:tcPr>
            <w:tcW w:w="1842" w:type="dxa"/>
          </w:tcPr>
          <w:p w14:paraId="7E0CB833" w14:textId="351EB10C" w:rsidR="00B3100C" w:rsidRPr="00654C02" w:rsidRDefault="00B3100C" w:rsidP="00B3100C">
            <w:pPr>
              <w:widowControl w:val="0"/>
              <w:autoSpaceDE w:val="0"/>
              <w:autoSpaceDN w:val="0"/>
              <w:spacing w:line="480"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b/>
                <w:bCs/>
                <w:color w:val="000000"/>
                <w:sz w:val="14"/>
                <w:szCs w:val="14"/>
              </w:rPr>
            </w:pPr>
            <w:r>
              <w:rPr>
                <w:rFonts w:ascii="Arial" w:eastAsia="Arial" w:hAnsi="Arial" w:cs="Arial"/>
                <w:b/>
                <w:bCs/>
                <w:color w:val="000000"/>
                <w:sz w:val="14"/>
                <w:szCs w:val="14"/>
              </w:rPr>
              <w:t>55</w:t>
            </w:r>
            <w:r w:rsidRPr="00654C02">
              <w:rPr>
                <w:rFonts w:ascii="Arial" w:eastAsia="Arial" w:hAnsi="Arial" w:cs="Arial"/>
                <w:b/>
                <w:bCs/>
                <w:color w:val="000000"/>
                <w:sz w:val="14"/>
                <w:szCs w:val="14"/>
              </w:rPr>
              <w:t>5(100)</w:t>
            </w:r>
          </w:p>
        </w:tc>
        <w:tc>
          <w:tcPr>
            <w:tcW w:w="1701" w:type="dxa"/>
          </w:tcPr>
          <w:p w14:paraId="490372D7" w14:textId="433A0D46" w:rsidR="00B3100C" w:rsidRPr="00654C02" w:rsidRDefault="009E3C29" w:rsidP="00B3100C">
            <w:pPr>
              <w:widowControl w:val="0"/>
              <w:autoSpaceDE w:val="0"/>
              <w:autoSpaceDN w:val="0"/>
              <w:spacing w:line="480"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b/>
                <w:bCs/>
                <w:color w:val="000000"/>
                <w:sz w:val="14"/>
                <w:szCs w:val="14"/>
              </w:rPr>
            </w:pPr>
            <w:r>
              <w:rPr>
                <w:rFonts w:ascii="Arial" w:eastAsia="Arial" w:hAnsi="Arial" w:cs="Arial"/>
                <w:b/>
                <w:bCs/>
                <w:color w:val="000000"/>
                <w:sz w:val="14"/>
                <w:szCs w:val="14"/>
              </w:rPr>
              <w:t>38(8.0</w:t>
            </w:r>
            <w:r w:rsidR="00B3100C" w:rsidRPr="00654C02">
              <w:rPr>
                <w:rFonts w:ascii="Arial" w:eastAsia="Arial" w:hAnsi="Arial" w:cs="Arial"/>
                <w:b/>
                <w:bCs/>
                <w:color w:val="000000"/>
                <w:sz w:val="14"/>
                <w:szCs w:val="14"/>
              </w:rPr>
              <w:t>)</w:t>
            </w:r>
          </w:p>
        </w:tc>
        <w:tc>
          <w:tcPr>
            <w:tcW w:w="1701" w:type="dxa"/>
          </w:tcPr>
          <w:p w14:paraId="245974C1" w14:textId="0613CCE3" w:rsidR="00B3100C" w:rsidRPr="00654C02" w:rsidRDefault="009E3C29" w:rsidP="00B3100C">
            <w:pPr>
              <w:widowControl w:val="0"/>
              <w:autoSpaceDE w:val="0"/>
              <w:autoSpaceDN w:val="0"/>
              <w:spacing w:line="480"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b/>
                <w:bCs/>
                <w:color w:val="000000"/>
                <w:sz w:val="14"/>
                <w:szCs w:val="14"/>
              </w:rPr>
            </w:pPr>
            <w:r>
              <w:rPr>
                <w:rFonts w:ascii="Arial" w:eastAsia="Arial" w:hAnsi="Arial" w:cs="Arial"/>
                <w:b/>
                <w:bCs/>
                <w:color w:val="000000"/>
                <w:sz w:val="14"/>
                <w:szCs w:val="14"/>
              </w:rPr>
              <w:t>7(9.0</w:t>
            </w:r>
            <w:r w:rsidR="00B3100C" w:rsidRPr="00654C02">
              <w:rPr>
                <w:rFonts w:ascii="Arial" w:eastAsia="Arial" w:hAnsi="Arial" w:cs="Arial"/>
                <w:b/>
                <w:bCs/>
                <w:color w:val="000000"/>
                <w:sz w:val="14"/>
                <w:szCs w:val="14"/>
              </w:rPr>
              <w:t>)</w:t>
            </w:r>
          </w:p>
        </w:tc>
        <w:tc>
          <w:tcPr>
            <w:tcW w:w="988" w:type="dxa"/>
          </w:tcPr>
          <w:p w14:paraId="16E0D101" w14:textId="39F0AFA9" w:rsidR="00B3100C" w:rsidRPr="00654C02" w:rsidRDefault="007A7A81" w:rsidP="00B3100C">
            <w:pPr>
              <w:widowControl w:val="0"/>
              <w:autoSpaceDE w:val="0"/>
              <w:autoSpaceDN w:val="0"/>
              <w:spacing w:line="480"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b/>
                <w:bCs/>
                <w:sz w:val="14"/>
                <w:szCs w:val="14"/>
              </w:rPr>
            </w:pPr>
            <w:r>
              <w:rPr>
                <w:rFonts w:ascii="Arial" w:eastAsia="Arial" w:hAnsi="Arial" w:cs="Arial"/>
                <w:b/>
                <w:bCs/>
                <w:sz w:val="14"/>
                <w:szCs w:val="14"/>
              </w:rPr>
              <w:t>0.82</w:t>
            </w:r>
          </w:p>
        </w:tc>
      </w:tr>
      <w:tr w:rsidR="00B3100C" w:rsidRPr="00E47820" w14:paraId="69BE8ECF" w14:textId="77777777" w:rsidTr="00B0114A">
        <w:tc>
          <w:tcPr>
            <w:cnfStyle w:val="001000000000" w:firstRow="0" w:lastRow="0" w:firstColumn="1" w:lastColumn="0" w:oddVBand="0" w:evenVBand="0" w:oddHBand="0" w:evenHBand="0" w:firstRowFirstColumn="0" w:firstRowLastColumn="0" w:lastRowFirstColumn="0" w:lastRowLastColumn="0"/>
            <w:tcW w:w="3261" w:type="dxa"/>
          </w:tcPr>
          <w:p w14:paraId="3899A3DD" w14:textId="77777777" w:rsidR="00B3100C" w:rsidRPr="00654C02" w:rsidRDefault="00B3100C" w:rsidP="00B3100C">
            <w:pPr>
              <w:widowControl w:val="0"/>
              <w:autoSpaceDE w:val="0"/>
              <w:autoSpaceDN w:val="0"/>
              <w:spacing w:line="480" w:lineRule="auto"/>
              <w:rPr>
                <w:rFonts w:ascii="Arial" w:eastAsia="Arial" w:hAnsi="Arial" w:cs="Arial"/>
                <w:b/>
                <w:bCs/>
                <w:color w:val="000000"/>
                <w:sz w:val="14"/>
                <w:szCs w:val="14"/>
              </w:rPr>
            </w:pPr>
            <w:r w:rsidRPr="00654C02">
              <w:rPr>
                <w:rFonts w:ascii="Arial" w:eastAsia="Arial" w:hAnsi="Arial" w:cs="Arial"/>
                <w:b/>
                <w:bCs/>
                <w:color w:val="000000"/>
                <w:sz w:val="14"/>
                <w:szCs w:val="14"/>
              </w:rPr>
              <w:t>Mottled/ashen/pale/blue colour</w:t>
            </w:r>
          </w:p>
        </w:tc>
        <w:tc>
          <w:tcPr>
            <w:tcW w:w="1842" w:type="dxa"/>
          </w:tcPr>
          <w:p w14:paraId="793019D7" w14:textId="063B9AF3" w:rsidR="00B3100C" w:rsidRPr="00654C02" w:rsidRDefault="00B3100C" w:rsidP="00B3100C">
            <w:pPr>
              <w:widowControl w:val="0"/>
              <w:autoSpaceDE w:val="0"/>
              <w:autoSpaceDN w:val="0"/>
              <w:spacing w:line="48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b/>
                <w:bCs/>
                <w:color w:val="000000"/>
                <w:sz w:val="14"/>
                <w:szCs w:val="14"/>
              </w:rPr>
            </w:pPr>
            <w:r>
              <w:rPr>
                <w:rFonts w:ascii="Arial" w:eastAsia="Arial" w:hAnsi="Arial" w:cs="Arial"/>
                <w:b/>
                <w:bCs/>
                <w:color w:val="000000"/>
                <w:sz w:val="14"/>
                <w:szCs w:val="14"/>
              </w:rPr>
              <w:t>55</w:t>
            </w:r>
            <w:r w:rsidRPr="00654C02">
              <w:rPr>
                <w:rFonts w:ascii="Arial" w:eastAsia="Arial" w:hAnsi="Arial" w:cs="Arial"/>
                <w:b/>
                <w:bCs/>
                <w:color w:val="000000"/>
                <w:sz w:val="14"/>
                <w:szCs w:val="14"/>
              </w:rPr>
              <w:t>5(100)</w:t>
            </w:r>
          </w:p>
        </w:tc>
        <w:tc>
          <w:tcPr>
            <w:tcW w:w="1701" w:type="dxa"/>
          </w:tcPr>
          <w:p w14:paraId="455C5507" w14:textId="006A6811" w:rsidR="00B3100C" w:rsidRPr="00654C02" w:rsidRDefault="009E3C29" w:rsidP="00B3100C">
            <w:pPr>
              <w:widowControl w:val="0"/>
              <w:autoSpaceDE w:val="0"/>
              <w:autoSpaceDN w:val="0"/>
              <w:spacing w:line="48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b/>
                <w:bCs/>
                <w:color w:val="000000"/>
                <w:sz w:val="14"/>
                <w:szCs w:val="14"/>
              </w:rPr>
            </w:pPr>
            <w:r>
              <w:rPr>
                <w:rFonts w:ascii="Arial" w:eastAsia="Arial" w:hAnsi="Arial" w:cs="Arial"/>
                <w:b/>
                <w:bCs/>
                <w:color w:val="000000"/>
                <w:sz w:val="14"/>
                <w:szCs w:val="14"/>
              </w:rPr>
              <w:t>175(36.7</w:t>
            </w:r>
            <w:r w:rsidR="00B3100C" w:rsidRPr="00654C02">
              <w:rPr>
                <w:rFonts w:ascii="Arial" w:eastAsia="Arial" w:hAnsi="Arial" w:cs="Arial"/>
                <w:b/>
                <w:bCs/>
                <w:color w:val="000000"/>
                <w:sz w:val="14"/>
                <w:szCs w:val="14"/>
              </w:rPr>
              <w:t>)</w:t>
            </w:r>
          </w:p>
        </w:tc>
        <w:tc>
          <w:tcPr>
            <w:tcW w:w="1701" w:type="dxa"/>
          </w:tcPr>
          <w:p w14:paraId="0236B434" w14:textId="75B09366" w:rsidR="00B3100C" w:rsidRPr="00654C02" w:rsidRDefault="009E3C29" w:rsidP="00B3100C">
            <w:pPr>
              <w:widowControl w:val="0"/>
              <w:autoSpaceDE w:val="0"/>
              <w:autoSpaceDN w:val="0"/>
              <w:spacing w:line="48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b/>
                <w:bCs/>
                <w:color w:val="000000"/>
                <w:sz w:val="14"/>
                <w:szCs w:val="14"/>
              </w:rPr>
            </w:pPr>
            <w:r>
              <w:rPr>
                <w:rFonts w:ascii="Arial" w:eastAsia="Arial" w:hAnsi="Arial" w:cs="Arial"/>
                <w:b/>
                <w:bCs/>
                <w:color w:val="000000"/>
                <w:sz w:val="14"/>
                <w:szCs w:val="14"/>
              </w:rPr>
              <w:t>34(43.6</w:t>
            </w:r>
            <w:r w:rsidR="00B3100C" w:rsidRPr="00654C02">
              <w:rPr>
                <w:rFonts w:ascii="Arial" w:eastAsia="Arial" w:hAnsi="Arial" w:cs="Arial"/>
                <w:b/>
                <w:bCs/>
                <w:color w:val="000000"/>
                <w:sz w:val="14"/>
                <w:szCs w:val="14"/>
              </w:rPr>
              <w:t>)</w:t>
            </w:r>
          </w:p>
        </w:tc>
        <w:tc>
          <w:tcPr>
            <w:tcW w:w="988" w:type="dxa"/>
          </w:tcPr>
          <w:p w14:paraId="07ABED62" w14:textId="4B745D4D" w:rsidR="00B3100C" w:rsidRPr="00654C02" w:rsidRDefault="007A7A81" w:rsidP="00B3100C">
            <w:pPr>
              <w:widowControl w:val="0"/>
              <w:autoSpaceDE w:val="0"/>
              <w:autoSpaceDN w:val="0"/>
              <w:spacing w:line="48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b/>
                <w:bCs/>
                <w:sz w:val="14"/>
                <w:szCs w:val="14"/>
              </w:rPr>
            </w:pPr>
            <w:r>
              <w:rPr>
                <w:rFonts w:ascii="Arial" w:eastAsia="Arial" w:hAnsi="Arial" w:cs="Arial"/>
                <w:b/>
                <w:bCs/>
                <w:sz w:val="14"/>
                <w:szCs w:val="14"/>
              </w:rPr>
              <w:t>0.25</w:t>
            </w:r>
          </w:p>
        </w:tc>
      </w:tr>
      <w:tr w:rsidR="00B3100C" w:rsidRPr="00E47820" w14:paraId="63FE3009" w14:textId="77777777" w:rsidTr="00B011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14:paraId="4E799399" w14:textId="77777777" w:rsidR="00B3100C" w:rsidRPr="00654C02" w:rsidRDefault="00B3100C" w:rsidP="00B3100C">
            <w:pPr>
              <w:widowControl w:val="0"/>
              <w:autoSpaceDE w:val="0"/>
              <w:autoSpaceDN w:val="0"/>
              <w:spacing w:line="480" w:lineRule="auto"/>
              <w:rPr>
                <w:rFonts w:ascii="Arial" w:eastAsia="Arial" w:hAnsi="Arial" w:cs="Arial"/>
                <w:b/>
                <w:bCs/>
                <w:color w:val="000000"/>
                <w:sz w:val="14"/>
                <w:szCs w:val="14"/>
              </w:rPr>
            </w:pPr>
            <w:r w:rsidRPr="00654C02">
              <w:rPr>
                <w:rFonts w:ascii="Arial" w:eastAsia="Arial" w:hAnsi="Arial" w:cs="Arial"/>
                <w:b/>
                <w:bCs/>
                <w:color w:val="000000"/>
                <w:sz w:val="14"/>
                <w:szCs w:val="14"/>
              </w:rPr>
              <w:t>Not responding to social cues</w:t>
            </w:r>
          </w:p>
        </w:tc>
        <w:tc>
          <w:tcPr>
            <w:tcW w:w="1842" w:type="dxa"/>
          </w:tcPr>
          <w:p w14:paraId="29204188" w14:textId="1BE8B385" w:rsidR="00B3100C" w:rsidRPr="00654C02" w:rsidRDefault="00B3100C" w:rsidP="00B3100C">
            <w:pPr>
              <w:widowControl w:val="0"/>
              <w:autoSpaceDE w:val="0"/>
              <w:autoSpaceDN w:val="0"/>
              <w:spacing w:line="480"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b/>
                <w:bCs/>
                <w:color w:val="000000"/>
                <w:sz w:val="14"/>
                <w:szCs w:val="14"/>
              </w:rPr>
            </w:pPr>
            <w:r>
              <w:rPr>
                <w:rFonts w:ascii="Arial" w:eastAsia="Arial" w:hAnsi="Arial" w:cs="Arial"/>
                <w:b/>
                <w:bCs/>
                <w:color w:val="000000"/>
                <w:sz w:val="14"/>
                <w:szCs w:val="14"/>
              </w:rPr>
              <w:t>55</w:t>
            </w:r>
            <w:r w:rsidRPr="00654C02">
              <w:rPr>
                <w:rFonts w:ascii="Arial" w:eastAsia="Arial" w:hAnsi="Arial" w:cs="Arial"/>
                <w:b/>
                <w:bCs/>
                <w:color w:val="000000"/>
                <w:sz w:val="14"/>
                <w:szCs w:val="14"/>
              </w:rPr>
              <w:t>5(100)</w:t>
            </w:r>
          </w:p>
        </w:tc>
        <w:tc>
          <w:tcPr>
            <w:tcW w:w="1701" w:type="dxa"/>
          </w:tcPr>
          <w:p w14:paraId="557EB5ED" w14:textId="225FE842" w:rsidR="00B3100C" w:rsidRPr="00654C02" w:rsidRDefault="009E3C29" w:rsidP="00B3100C">
            <w:pPr>
              <w:widowControl w:val="0"/>
              <w:autoSpaceDE w:val="0"/>
              <w:autoSpaceDN w:val="0"/>
              <w:spacing w:line="480"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b/>
                <w:bCs/>
                <w:color w:val="000000"/>
                <w:sz w:val="14"/>
                <w:szCs w:val="14"/>
              </w:rPr>
            </w:pPr>
            <w:r>
              <w:rPr>
                <w:rFonts w:ascii="Arial" w:eastAsia="Arial" w:hAnsi="Arial" w:cs="Arial"/>
                <w:b/>
                <w:bCs/>
                <w:color w:val="000000"/>
                <w:sz w:val="14"/>
                <w:szCs w:val="14"/>
              </w:rPr>
              <w:t>31</w:t>
            </w:r>
            <w:r w:rsidR="00B3100C" w:rsidRPr="00654C02">
              <w:rPr>
                <w:rFonts w:ascii="Arial" w:eastAsia="Arial" w:hAnsi="Arial" w:cs="Arial"/>
                <w:b/>
                <w:bCs/>
                <w:color w:val="000000"/>
                <w:sz w:val="14"/>
                <w:szCs w:val="14"/>
              </w:rPr>
              <w:t>(6.5)</w:t>
            </w:r>
          </w:p>
        </w:tc>
        <w:tc>
          <w:tcPr>
            <w:tcW w:w="1701" w:type="dxa"/>
          </w:tcPr>
          <w:p w14:paraId="791635C9" w14:textId="0A9DCED2" w:rsidR="00B3100C" w:rsidRPr="00654C02" w:rsidRDefault="009E3C29" w:rsidP="00B3100C">
            <w:pPr>
              <w:widowControl w:val="0"/>
              <w:autoSpaceDE w:val="0"/>
              <w:autoSpaceDN w:val="0"/>
              <w:spacing w:line="480"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b/>
                <w:bCs/>
                <w:color w:val="000000"/>
                <w:sz w:val="14"/>
                <w:szCs w:val="14"/>
              </w:rPr>
            </w:pPr>
            <w:r>
              <w:rPr>
                <w:rFonts w:ascii="Arial" w:eastAsia="Arial" w:hAnsi="Arial" w:cs="Arial"/>
                <w:b/>
                <w:bCs/>
                <w:color w:val="000000"/>
                <w:sz w:val="14"/>
                <w:szCs w:val="14"/>
              </w:rPr>
              <w:t>5(6.4</w:t>
            </w:r>
            <w:r w:rsidR="00B3100C" w:rsidRPr="00654C02">
              <w:rPr>
                <w:rFonts w:ascii="Arial" w:eastAsia="Arial" w:hAnsi="Arial" w:cs="Arial"/>
                <w:b/>
                <w:bCs/>
                <w:color w:val="000000"/>
                <w:sz w:val="14"/>
                <w:szCs w:val="14"/>
              </w:rPr>
              <w:t>)</w:t>
            </w:r>
          </w:p>
        </w:tc>
        <w:tc>
          <w:tcPr>
            <w:tcW w:w="988" w:type="dxa"/>
          </w:tcPr>
          <w:p w14:paraId="641A676A" w14:textId="77777777" w:rsidR="00B3100C" w:rsidRPr="00654C02" w:rsidRDefault="00B3100C" w:rsidP="00B3100C">
            <w:pPr>
              <w:widowControl w:val="0"/>
              <w:autoSpaceDE w:val="0"/>
              <w:autoSpaceDN w:val="0"/>
              <w:spacing w:line="480"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b/>
                <w:bCs/>
                <w:color w:val="FF0000"/>
                <w:sz w:val="14"/>
                <w:szCs w:val="14"/>
              </w:rPr>
            </w:pPr>
            <w:r w:rsidRPr="00654C02">
              <w:rPr>
                <w:rFonts w:ascii="Arial" w:eastAsia="Arial" w:hAnsi="Arial" w:cs="Arial"/>
                <w:b/>
                <w:bCs/>
                <w:sz w:val="14"/>
                <w:szCs w:val="14"/>
              </w:rPr>
              <w:t>1.000</w:t>
            </w:r>
          </w:p>
        </w:tc>
      </w:tr>
      <w:tr w:rsidR="00B3100C" w:rsidRPr="00E47820" w14:paraId="124421CD" w14:textId="77777777" w:rsidTr="00B0114A">
        <w:tc>
          <w:tcPr>
            <w:cnfStyle w:val="001000000000" w:firstRow="0" w:lastRow="0" w:firstColumn="1" w:lastColumn="0" w:oddVBand="0" w:evenVBand="0" w:oddHBand="0" w:evenHBand="0" w:firstRowFirstColumn="0" w:firstRowLastColumn="0" w:lastRowFirstColumn="0" w:lastRowLastColumn="0"/>
            <w:tcW w:w="3261" w:type="dxa"/>
          </w:tcPr>
          <w:p w14:paraId="2985C401" w14:textId="77777777" w:rsidR="00B3100C" w:rsidRPr="00654C02" w:rsidRDefault="00B3100C" w:rsidP="00B3100C">
            <w:pPr>
              <w:widowControl w:val="0"/>
              <w:autoSpaceDE w:val="0"/>
              <w:autoSpaceDN w:val="0"/>
              <w:spacing w:line="480" w:lineRule="auto"/>
              <w:rPr>
                <w:rFonts w:ascii="Arial" w:eastAsia="Arial" w:hAnsi="Arial" w:cs="Arial"/>
                <w:b/>
                <w:bCs/>
                <w:color w:val="000000"/>
                <w:sz w:val="14"/>
                <w:szCs w:val="14"/>
              </w:rPr>
            </w:pPr>
            <w:r w:rsidRPr="00654C02">
              <w:rPr>
                <w:rFonts w:ascii="Arial" w:eastAsia="Arial" w:hAnsi="Arial" w:cs="Arial"/>
                <w:b/>
                <w:bCs/>
                <w:color w:val="000000"/>
                <w:sz w:val="14"/>
                <w:szCs w:val="14"/>
              </w:rPr>
              <w:t>Appears unwell</w:t>
            </w:r>
          </w:p>
        </w:tc>
        <w:tc>
          <w:tcPr>
            <w:tcW w:w="1842" w:type="dxa"/>
          </w:tcPr>
          <w:p w14:paraId="0BBD2213" w14:textId="1439BDB8" w:rsidR="00B3100C" w:rsidRPr="00654C02" w:rsidRDefault="00B3100C" w:rsidP="00B3100C">
            <w:pPr>
              <w:widowControl w:val="0"/>
              <w:autoSpaceDE w:val="0"/>
              <w:autoSpaceDN w:val="0"/>
              <w:spacing w:line="48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b/>
                <w:bCs/>
                <w:color w:val="000000"/>
                <w:sz w:val="14"/>
                <w:szCs w:val="14"/>
              </w:rPr>
            </w:pPr>
            <w:r>
              <w:rPr>
                <w:rFonts w:ascii="Arial" w:eastAsia="Arial" w:hAnsi="Arial" w:cs="Arial"/>
                <w:b/>
                <w:bCs/>
                <w:color w:val="000000"/>
                <w:sz w:val="14"/>
                <w:szCs w:val="14"/>
              </w:rPr>
              <w:t>55</w:t>
            </w:r>
            <w:r w:rsidRPr="00654C02">
              <w:rPr>
                <w:rFonts w:ascii="Arial" w:eastAsia="Arial" w:hAnsi="Arial" w:cs="Arial"/>
                <w:b/>
                <w:bCs/>
                <w:color w:val="000000"/>
                <w:sz w:val="14"/>
                <w:szCs w:val="14"/>
              </w:rPr>
              <w:t>5(100)</w:t>
            </w:r>
          </w:p>
        </w:tc>
        <w:tc>
          <w:tcPr>
            <w:tcW w:w="1701" w:type="dxa"/>
          </w:tcPr>
          <w:p w14:paraId="71D0DFDB" w14:textId="44E17570" w:rsidR="00B3100C" w:rsidRPr="00654C02" w:rsidRDefault="009E3C29" w:rsidP="00B3100C">
            <w:pPr>
              <w:widowControl w:val="0"/>
              <w:autoSpaceDE w:val="0"/>
              <w:autoSpaceDN w:val="0"/>
              <w:spacing w:line="48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b/>
                <w:bCs/>
                <w:color w:val="000000"/>
                <w:sz w:val="14"/>
                <w:szCs w:val="14"/>
              </w:rPr>
            </w:pPr>
            <w:r>
              <w:rPr>
                <w:rFonts w:ascii="Arial" w:eastAsia="Arial" w:hAnsi="Arial" w:cs="Arial"/>
                <w:b/>
                <w:bCs/>
                <w:color w:val="000000"/>
                <w:sz w:val="14"/>
                <w:szCs w:val="14"/>
              </w:rPr>
              <w:t>65(13.6</w:t>
            </w:r>
            <w:r w:rsidR="00B3100C" w:rsidRPr="00654C02">
              <w:rPr>
                <w:rFonts w:ascii="Arial" w:eastAsia="Arial" w:hAnsi="Arial" w:cs="Arial"/>
                <w:b/>
                <w:bCs/>
                <w:color w:val="000000"/>
                <w:sz w:val="14"/>
                <w:szCs w:val="14"/>
              </w:rPr>
              <w:t>)</w:t>
            </w:r>
          </w:p>
        </w:tc>
        <w:tc>
          <w:tcPr>
            <w:tcW w:w="1701" w:type="dxa"/>
          </w:tcPr>
          <w:p w14:paraId="7528D429" w14:textId="00E3DAA7" w:rsidR="00B3100C" w:rsidRPr="00654C02" w:rsidRDefault="009E3C29" w:rsidP="00B3100C">
            <w:pPr>
              <w:widowControl w:val="0"/>
              <w:autoSpaceDE w:val="0"/>
              <w:autoSpaceDN w:val="0"/>
              <w:spacing w:line="48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b/>
                <w:bCs/>
                <w:color w:val="000000"/>
                <w:sz w:val="14"/>
                <w:szCs w:val="14"/>
              </w:rPr>
            </w:pPr>
            <w:r>
              <w:rPr>
                <w:rFonts w:ascii="Arial" w:eastAsia="Arial" w:hAnsi="Arial" w:cs="Arial"/>
                <w:b/>
                <w:bCs/>
                <w:color w:val="000000"/>
                <w:sz w:val="14"/>
                <w:szCs w:val="14"/>
              </w:rPr>
              <w:t>11(14.1</w:t>
            </w:r>
            <w:r w:rsidR="00B3100C" w:rsidRPr="00654C02">
              <w:rPr>
                <w:rFonts w:ascii="Arial" w:eastAsia="Arial" w:hAnsi="Arial" w:cs="Arial"/>
                <w:b/>
                <w:bCs/>
                <w:color w:val="000000"/>
                <w:sz w:val="14"/>
                <w:szCs w:val="14"/>
              </w:rPr>
              <w:t>)</w:t>
            </w:r>
          </w:p>
        </w:tc>
        <w:tc>
          <w:tcPr>
            <w:tcW w:w="988" w:type="dxa"/>
          </w:tcPr>
          <w:p w14:paraId="3A600F9F" w14:textId="045B4F7A" w:rsidR="00B3100C" w:rsidRPr="00654C02" w:rsidRDefault="007A7A81" w:rsidP="00B3100C">
            <w:pPr>
              <w:widowControl w:val="0"/>
              <w:autoSpaceDE w:val="0"/>
              <w:autoSpaceDN w:val="0"/>
              <w:spacing w:line="48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b/>
                <w:bCs/>
                <w:color w:val="FF0000"/>
                <w:sz w:val="14"/>
                <w:szCs w:val="14"/>
              </w:rPr>
            </w:pPr>
            <w:r>
              <w:rPr>
                <w:rFonts w:ascii="Arial" w:eastAsia="Arial" w:hAnsi="Arial" w:cs="Arial"/>
                <w:b/>
                <w:bCs/>
                <w:sz w:val="14"/>
                <w:szCs w:val="14"/>
              </w:rPr>
              <w:t>0.86</w:t>
            </w:r>
          </w:p>
        </w:tc>
      </w:tr>
      <w:tr w:rsidR="00B3100C" w:rsidRPr="00E47820" w14:paraId="284559C2" w14:textId="77777777" w:rsidTr="00B011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14:paraId="5AD1838C" w14:textId="77777777" w:rsidR="00B3100C" w:rsidRPr="00654C02" w:rsidRDefault="00B3100C" w:rsidP="00B3100C">
            <w:pPr>
              <w:widowControl w:val="0"/>
              <w:autoSpaceDE w:val="0"/>
              <w:autoSpaceDN w:val="0"/>
              <w:spacing w:line="480" w:lineRule="auto"/>
              <w:rPr>
                <w:rFonts w:ascii="Arial" w:eastAsia="Arial" w:hAnsi="Arial" w:cs="Arial"/>
                <w:b/>
                <w:bCs/>
                <w:color w:val="000000"/>
                <w:sz w:val="14"/>
                <w:szCs w:val="14"/>
              </w:rPr>
            </w:pPr>
            <w:r w:rsidRPr="00654C02">
              <w:rPr>
                <w:rFonts w:ascii="Arial" w:eastAsia="Arial" w:hAnsi="Arial" w:cs="Arial"/>
                <w:b/>
                <w:bCs/>
                <w:color w:val="000000"/>
                <w:sz w:val="14"/>
                <w:szCs w:val="14"/>
              </w:rPr>
              <w:t>Lethargic on examination</w:t>
            </w:r>
          </w:p>
        </w:tc>
        <w:tc>
          <w:tcPr>
            <w:tcW w:w="1842" w:type="dxa"/>
          </w:tcPr>
          <w:p w14:paraId="32B0760A" w14:textId="780B4DD0" w:rsidR="00B3100C" w:rsidRPr="00654C02" w:rsidRDefault="00B3100C" w:rsidP="00B3100C">
            <w:pPr>
              <w:widowControl w:val="0"/>
              <w:autoSpaceDE w:val="0"/>
              <w:autoSpaceDN w:val="0"/>
              <w:spacing w:line="480"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b/>
                <w:bCs/>
                <w:color w:val="000000"/>
                <w:sz w:val="14"/>
                <w:szCs w:val="14"/>
              </w:rPr>
            </w:pPr>
            <w:r>
              <w:rPr>
                <w:rFonts w:ascii="Arial" w:eastAsia="Arial" w:hAnsi="Arial" w:cs="Arial"/>
                <w:b/>
                <w:bCs/>
                <w:color w:val="000000"/>
                <w:sz w:val="14"/>
                <w:szCs w:val="14"/>
              </w:rPr>
              <w:t>55</w:t>
            </w:r>
            <w:r w:rsidRPr="00654C02">
              <w:rPr>
                <w:rFonts w:ascii="Arial" w:eastAsia="Arial" w:hAnsi="Arial" w:cs="Arial"/>
                <w:b/>
                <w:bCs/>
                <w:color w:val="000000"/>
                <w:sz w:val="14"/>
                <w:szCs w:val="14"/>
              </w:rPr>
              <w:t>5(100)</w:t>
            </w:r>
          </w:p>
        </w:tc>
        <w:tc>
          <w:tcPr>
            <w:tcW w:w="1701" w:type="dxa"/>
          </w:tcPr>
          <w:p w14:paraId="36AD31DA" w14:textId="58FA10CF" w:rsidR="00B3100C" w:rsidRPr="00654C02" w:rsidRDefault="009E3C29" w:rsidP="00B3100C">
            <w:pPr>
              <w:widowControl w:val="0"/>
              <w:autoSpaceDE w:val="0"/>
              <w:autoSpaceDN w:val="0"/>
              <w:spacing w:line="480"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b/>
                <w:bCs/>
                <w:color w:val="000000"/>
                <w:sz w:val="14"/>
                <w:szCs w:val="14"/>
              </w:rPr>
            </w:pPr>
            <w:r>
              <w:rPr>
                <w:rFonts w:ascii="Arial" w:eastAsia="Arial" w:hAnsi="Arial" w:cs="Arial"/>
                <w:b/>
                <w:bCs/>
                <w:color w:val="000000"/>
                <w:sz w:val="14"/>
                <w:szCs w:val="14"/>
              </w:rPr>
              <w:t>11(2.3</w:t>
            </w:r>
            <w:r w:rsidR="00B3100C" w:rsidRPr="00654C02">
              <w:rPr>
                <w:rFonts w:ascii="Arial" w:eastAsia="Arial" w:hAnsi="Arial" w:cs="Arial"/>
                <w:b/>
                <w:bCs/>
                <w:color w:val="000000"/>
                <w:sz w:val="14"/>
                <w:szCs w:val="14"/>
              </w:rPr>
              <w:t>)</w:t>
            </w:r>
          </w:p>
        </w:tc>
        <w:tc>
          <w:tcPr>
            <w:tcW w:w="1701" w:type="dxa"/>
          </w:tcPr>
          <w:p w14:paraId="2D5E5854" w14:textId="38D76826" w:rsidR="00B3100C" w:rsidRPr="00654C02" w:rsidRDefault="009E3C29" w:rsidP="00B3100C">
            <w:pPr>
              <w:widowControl w:val="0"/>
              <w:autoSpaceDE w:val="0"/>
              <w:autoSpaceDN w:val="0"/>
              <w:spacing w:line="480"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b/>
                <w:bCs/>
                <w:color w:val="000000"/>
                <w:sz w:val="14"/>
                <w:szCs w:val="14"/>
              </w:rPr>
            </w:pPr>
            <w:r>
              <w:rPr>
                <w:rFonts w:ascii="Arial" w:eastAsia="Arial" w:hAnsi="Arial" w:cs="Arial"/>
                <w:b/>
                <w:bCs/>
                <w:color w:val="000000"/>
                <w:sz w:val="14"/>
                <w:szCs w:val="14"/>
              </w:rPr>
              <w:t>4(5.1</w:t>
            </w:r>
            <w:r w:rsidR="00B3100C" w:rsidRPr="00654C02">
              <w:rPr>
                <w:rFonts w:ascii="Arial" w:eastAsia="Arial" w:hAnsi="Arial" w:cs="Arial"/>
                <w:b/>
                <w:bCs/>
                <w:color w:val="000000"/>
                <w:sz w:val="14"/>
                <w:szCs w:val="14"/>
              </w:rPr>
              <w:t>)</w:t>
            </w:r>
          </w:p>
        </w:tc>
        <w:tc>
          <w:tcPr>
            <w:tcW w:w="988" w:type="dxa"/>
          </w:tcPr>
          <w:p w14:paraId="176F6A15" w14:textId="384021A0" w:rsidR="00B3100C" w:rsidRPr="00654C02" w:rsidRDefault="007A7A81" w:rsidP="00B3100C">
            <w:pPr>
              <w:widowControl w:val="0"/>
              <w:autoSpaceDE w:val="0"/>
              <w:autoSpaceDN w:val="0"/>
              <w:spacing w:line="480"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b/>
                <w:bCs/>
                <w:sz w:val="14"/>
                <w:szCs w:val="14"/>
              </w:rPr>
            </w:pPr>
            <w:r>
              <w:rPr>
                <w:rFonts w:ascii="Arial" w:eastAsia="Arial" w:hAnsi="Arial" w:cs="Arial"/>
                <w:b/>
                <w:bCs/>
                <w:sz w:val="14"/>
                <w:szCs w:val="14"/>
              </w:rPr>
              <w:t>0.25</w:t>
            </w:r>
          </w:p>
        </w:tc>
      </w:tr>
      <w:tr w:rsidR="00B3100C" w:rsidRPr="00E47820" w14:paraId="26333AFA" w14:textId="77777777" w:rsidTr="00B0114A">
        <w:tc>
          <w:tcPr>
            <w:cnfStyle w:val="001000000000" w:firstRow="0" w:lastRow="0" w:firstColumn="1" w:lastColumn="0" w:oddVBand="0" w:evenVBand="0" w:oddHBand="0" w:evenHBand="0" w:firstRowFirstColumn="0" w:firstRowLastColumn="0" w:lastRowFirstColumn="0" w:lastRowLastColumn="0"/>
            <w:tcW w:w="3261" w:type="dxa"/>
          </w:tcPr>
          <w:p w14:paraId="07912ED0" w14:textId="3F6BD591" w:rsidR="00B3100C" w:rsidRPr="00654C02" w:rsidRDefault="009E3C29" w:rsidP="00B3100C">
            <w:pPr>
              <w:widowControl w:val="0"/>
              <w:autoSpaceDE w:val="0"/>
              <w:autoSpaceDN w:val="0"/>
              <w:spacing w:line="480" w:lineRule="auto"/>
              <w:rPr>
                <w:rFonts w:ascii="Arial" w:eastAsia="Arial" w:hAnsi="Arial" w:cs="Arial"/>
                <w:b/>
                <w:bCs/>
                <w:color w:val="000000"/>
                <w:sz w:val="14"/>
                <w:szCs w:val="14"/>
              </w:rPr>
            </w:pPr>
            <w:r>
              <w:rPr>
                <w:rFonts w:ascii="Arial" w:eastAsia="Arial" w:hAnsi="Arial" w:cs="Arial"/>
                <w:b/>
                <w:bCs/>
                <w:color w:val="000000"/>
                <w:sz w:val="14"/>
                <w:szCs w:val="14"/>
              </w:rPr>
              <w:t>Respiratory symptoms</w:t>
            </w:r>
          </w:p>
        </w:tc>
        <w:tc>
          <w:tcPr>
            <w:tcW w:w="1842" w:type="dxa"/>
          </w:tcPr>
          <w:p w14:paraId="67BD920A" w14:textId="1128895E" w:rsidR="00B3100C" w:rsidRPr="00654C02" w:rsidRDefault="00B3100C" w:rsidP="00B3100C">
            <w:pPr>
              <w:widowControl w:val="0"/>
              <w:autoSpaceDE w:val="0"/>
              <w:autoSpaceDN w:val="0"/>
              <w:spacing w:line="48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b/>
                <w:bCs/>
                <w:color w:val="000000"/>
                <w:sz w:val="14"/>
                <w:szCs w:val="14"/>
              </w:rPr>
            </w:pPr>
            <w:r>
              <w:rPr>
                <w:rFonts w:ascii="Arial" w:eastAsia="Arial" w:hAnsi="Arial" w:cs="Arial"/>
                <w:b/>
                <w:bCs/>
                <w:color w:val="000000"/>
                <w:sz w:val="14"/>
                <w:szCs w:val="14"/>
              </w:rPr>
              <w:t>55</w:t>
            </w:r>
            <w:r w:rsidRPr="00654C02">
              <w:rPr>
                <w:rFonts w:ascii="Arial" w:eastAsia="Arial" w:hAnsi="Arial" w:cs="Arial"/>
                <w:b/>
                <w:bCs/>
                <w:color w:val="000000"/>
                <w:sz w:val="14"/>
                <w:szCs w:val="14"/>
              </w:rPr>
              <w:t>5(100)</w:t>
            </w:r>
          </w:p>
        </w:tc>
        <w:tc>
          <w:tcPr>
            <w:tcW w:w="1701" w:type="dxa"/>
          </w:tcPr>
          <w:p w14:paraId="6E98777A" w14:textId="4EF6A0D4" w:rsidR="00B3100C" w:rsidRPr="00654C02" w:rsidRDefault="009E3C29" w:rsidP="00B3100C">
            <w:pPr>
              <w:widowControl w:val="0"/>
              <w:autoSpaceDE w:val="0"/>
              <w:autoSpaceDN w:val="0"/>
              <w:spacing w:line="48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b/>
                <w:bCs/>
                <w:color w:val="000000"/>
                <w:sz w:val="14"/>
                <w:szCs w:val="14"/>
              </w:rPr>
            </w:pPr>
            <w:r>
              <w:rPr>
                <w:rFonts w:ascii="Arial" w:eastAsia="Arial" w:hAnsi="Arial" w:cs="Arial"/>
                <w:b/>
                <w:bCs/>
                <w:color w:val="000000"/>
                <w:sz w:val="14"/>
                <w:szCs w:val="14"/>
              </w:rPr>
              <w:t>113(23.7</w:t>
            </w:r>
            <w:r w:rsidR="00B3100C" w:rsidRPr="00654C02">
              <w:rPr>
                <w:rFonts w:ascii="Arial" w:eastAsia="Arial" w:hAnsi="Arial" w:cs="Arial"/>
                <w:b/>
                <w:bCs/>
                <w:color w:val="000000"/>
                <w:sz w:val="14"/>
                <w:szCs w:val="14"/>
              </w:rPr>
              <w:t>)</w:t>
            </w:r>
          </w:p>
        </w:tc>
        <w:tc>
          <w:tcPr>
            <w:tcW w:w="1701" w:type="dxa"/>
          </w:tcPr>
          <w:p w14:paraId="6A2C6819" w14:textId="061AC016" w:rsidR="00B3100C" w:rsidRPr="00654C02" w:rsidRDefault="009E3C29" w:rsidP="00B3100C">
            <w:pPr>
              <w:widowControl w:val="0"/>
              <w:autoSpaceDE w:val="0"/>
              <w:autoSpaceDN w:val="0"/>
              <w:spacing w:line="48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b/>
                <w:bCs/>
                <w:color w:val="000000"/>
                <w:sz w:val="14"/>
                <w:szCs w:val="14"/>
              </w:rPr>
            </w:pPr>
            <w:r>
              <w:rPr>
                <w:rFonts w:ascii="Arial" w:eastAsia="Arial" w:hAnsi="Arial" w:cs="Arial"/>
                <w:b/>
                <w:bCs/>
                <w:color w:val="000000"/>
                <w:sz w:val="14"/>
                <w:szCs w:val="14"/>
              </w:rPr>
              <w:t>20(25.6</w:t>
            </w:r>
            <w:r w:rsidR="00B3100C" w:rsidRPr="00654C02">
              <w:rPr>
                <w:rFonts w:ascii="Arial" w:eastAsia="Arial" w:hAnsi="Arial" w:cs="Arial"/>
                <w:b/>
                <w:bCs/>
                <w:color w:val="000000"/>
                <w:sz w:val="14"/>
                <w:szCs w:val="14"/>
              </w:rPr>
              <w:t>)</w:t>
            </w:r>
          </w:p>
        </w:tc>
        <w:tc>
          <w:tcPr>
            <w:tcW w:w="988" w:type="dxa"/>
          </w:tcPr>
          <w:p w14:paraId="44A26CC2" w14:textId="34BB7171" w:rsidR="00B3100C" w:rsidRPr="00654C02" w:rsidRDefault="007A7A81" w:rsidP="00B3100C">
            <w:pPr>
              <w:widowControl w:val="0"/>
              <w:autoSpaceDE w:val="0"/>
              <w:autoSpaceDN w:val="0"/>
              <w:spacing w:line="48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b/>
                <w:bCs/>
                <w:sz w:val="14"/>
                <w:szCs w:val="14"/>
              </w:rPr>
            </w:pPr>
            <w:r>
              <w:rPr>
                <w:rFonts w:ascii="Arial" w:eastAsia="Arial" w:hAnsi="Arial" w:cs="Arial"/>
                <w:b/>
                <w:bCs/>
                <w:sz w:val="14"/>
                <w:szCs w:val="14"/>
              </w:rPr>
              <w:t>0.7</w:t>
            </w:r>
            <w:r w:rsidR="009E7AE4">
              <w:rPr>
                <w:rFonts w:ascii="Arial" w:eastAsia="Arial" w:hAnsi="Arial" w:cs="Arial"/>
                <w:b/>
                <w:bCs/>
                <w:sz w:val="14"/>
                <w:szCs w:val="14"/>
              </w:rPr>
              <w:t>7</w:t>
            </w:r>
          </w:p>
        </w:tc>
      </w:tr>
      <w:tr w:rsidR="00B3100C" w:rsidRPr="00E47820" w14:paraId="2CD7AE9E" w14:textId="77777777" w:rsidTr="00B011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14:paraId="166A3CE6" w14:textId="56A1B83B" w:rsidR="00B3100C" w:rsidRPr="00654C02" w:rsidRDefault="009E3C29" w:rsidP="00B3100C">
            <w:pPr>
              <w:widowControl w:val="0"/>
              <w:autoSpaceDE w:val="0"/>
              <w:autoSpaceDN w:val="0"/>
              <w:spacing w:line="480" w:lineRule="auto"/>
              <w:rPr>
                <w:rFonts w:ascii="Arial" w:eastAsia="Arial" w:hAnsi="Arial" w:cs="Arial"/>
                <w:b/>
                <w:bCs/>
                <w:color w:val="000000"/>
                <w:sz w:val="14"/>
                <w:szCs w:val="14"/>
              </w:rPr>
            </w:pPr>
            <w:r>
              <w:rPr>
                <w:rFonts w:ascii="Arial" w:eastAsia="Arial" w:hAnsi="Arial" w:cs="Arial"/>
                <w:b/>
                <w:bCs/>
                <w:color w:val="000000"/>
                <w:sz w:val="14"/>
                <w:szCs w:val="14"/>
              </w:rPr>
              <w:t>Dehydration</w:t>
            </w:r>
          </w:p>
        </w:tc>
        <w:tc>
          <w:tcPr>
            <w:tcW w:w="1842" w:type="dxa"/>
          </w:tcPr>
          <w:p w14:paraId="04AF0040" w14:textId="0DC4DE3C" w:rsidR="00B3100C" w:rsidRPr="00654C02" w:rsidRDefault="00B3100C" w:rsidP="00B3100C">
            <w:pPr>
              <w:widowControl w:val="0"/>
              <w:autoSpaceDE w:val="0"/>
              <w:autoSpaceDN w:val="0"/>
              <w:spacing w:line="480"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b/>
                <w:bCs/>
                <w:color w:val="000000"/>
                <w:sz w:val="14"/>
                <w:szCs w:val="14"/>
              </w:rPr>
            </w:pPr>
            <w:r>
              <w:rPr>
                <w:rFonts w:ascii="Arial" w:eastAsia="Arial" w:hAnsi="Arial" w:cs="Arial"/>
                <w:b/>
                <w:bCs/>
                <w:color w:val="000000"/>
                <w:sz w:val="14"/>
                <w:szCs w:val="14"/>
              </w:rPr>
              <w:t>55</w:t>
            </w:r>
            <w:r w:rsidRPr="00654C02">
              <w:rPr>
                <w:rFonts w:ascii="Arial" w:eastAsia="Arial" w:hAnsi="Arial" w:cs="Arial"/>
                <w:b/>
                <w:bCs/>
                <w:color w:val="000000"/>
                <w:sz w:val="14"/>
                <w:szCs w:val="14"/>
              </w:rPr>
              <w:t>5(100)</w:t>
            </w:r>
          </w:p>
        </w:tc>
        <w:tc>
          <w:tcPr>
            <w:tcW w:w="1701" w:type="dxa"/>
          </w:tcPr>
          <w:p w14:paraId="48A94FAC" w14:textId="173762EC" w:rsidR="00B3100C" w:rsidRPr="00654C02" w:rsidRDefault="009E3C29" w:rsidP="00B3100C">
            <w:pPr>
              <w:widowControl w:val="0"/>
              <w:autoSpaceDE w:val="0"/>
              <w:autoSpaceDN w:val="0"/>
              <w:spacing w:line="480"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b/>
                <w:bCs/>
                <w:color w:val="000000"/>
                <w:sz w:val="14"/>
                <w:szCs w:val="14"/>
              </w:rPr>
            </w:pPr>
            <w:r>
              <w:rPr>
                <w:rFonts w:ascii="Arial" w:eastAsia="Arial" w:hAnsi="Arial" w:cs="Arial"/>
                <w:b/>
                <w:bCs/>
                <w:color w:val="000000"/>
                <w:sz w:val="14"/>
                <w:szCs w:val="14"/>
              </w:rPr>
              <w:t>23(4.8</w:t>
            </w:r>
            <w:r w:rsidR="00B3100C" w:rsidRPr="00654C02">
              <w:rPr>
                <w:rFonts w:ascii="Arial" w:eastAsia="Arial" w:hAnsi="Arial" w:cs="Arial"/>
                <w:b/>
                <w:bCs/>
                <w:color w:val="000000"/>
                <w:sz w:val="14"/>
                <w:szCs w:val="14"/>
              </w:rPr>
              <w:t>)</w:t>
            </w:r>
          </w:p>
        </w:tc>
        <w:tc>
          <w:tcPr>
            <w:tcW w:w="1701" w:type="dxa"/>
          </w:tcPr>
          <w:p w14:paraId="22624AB5" w14:textId="59CADBBB" w:rsidR="00B3100C" w:rsidRPr="00654C02" w:rsidRDefault="009E3C29" w:rsidP="00B3100C">
            <w:pPr>
              <w:widowControl w:val="0"/>
              <w:autoSpaceDE w:val="0"/>
              <w:autoSpaceDN w:val="0"/>
              <w:spacing w:line="480"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b/>
                <w:bCs/>
                <w:color w:val="000000"/>
                <w:sz w:val="14"/>
                <w:szCs w:val="14"/>
              </w:rPr>
            </w:pPr>
            <w:r>
              <w:rPr>
                <w:rFonts w:ascii="Arial" w:eastAsia="Arial" w:hAnsi="Arial" w:cs="Arial"/>
                <w:b/>
                <w:bCs/>
                <w:color w:val="000000"/>
                <w:sz w:val="14"/>
                <w:szCs w:val="14"/>
              </w:rPr>
              <w:t>4(5.1</w:t>
            </w:r>
            <w:r w:rsidR="00B3100C" w:rsidRPr="00654C02">
              <w:rPr>
                <w:rFonts w:ascii="Arial" w:eastAsia="Arial" w:hAnsi="Arial" w:cs="Arial"/>
                <w:b/>
                <w:bCs/>
                <w:color w:val="000000"/>
                <w:sz w:val="14"/>
                <w:szCs w:val="14"/>
              </w:rPr>
              <w:t>)</w:t>
            </w:r>
          </w:p>
        </w:tc>
        <w:tc>
          <w:tcPr>
            <w:tcW w:w="988" w:type="dxa"/>
          </w:tcPr>
          <w:p w14:paraId="2FD8D7B3" w14:textId="1BD2F233" w:rsidR="00B3100C" w:rsidRPr="00654C02" w:rsidRDefault="007A7A81" w:rsidP="00B3100C">
            <w:pPr>
              <w:widowControl w:val="0"/>
              <w:autoSpaceDE w:val="0"/>
              <w:autoSpaceDN w:val="0"/>
              <w:spacing w:line="480"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b/>
                <w:bCs/>
                <w:sz w:val="14"/>
                <w:szCs w:val="14"/>
              </w:rPr>
            </w:pPr>
            <w:r>
              <w:rPr>
                <w:rFonts w:ascii="Arial" w:eastAsia="Arial" w:hAnsi="Arial" w:cs="Arial"/>
                <w:b/>
                <w:bCs/>
                <w:sz w:val="14"/>
                <w:szCs w:val="14"/>
              </w:rPr>
              <w:t>0.78</w:t>
            </w:r>
          </w:p>
        </w:tc>
      </w:tr>
      <w:tr w:rsidR="00B3100C" w:rsidRPr="00E47820" w14:paraId="174EF8E0" w14:textId="77777777" w:rsidTr="00B0114A">
        <w:tc>
          <w:tcPr>
            <w:cnfStyle w:val="001000000000" w:firstRow="0" w:lastRow="0" w:firstColumn="1" w:lastColumn="0" w:oddVBand="0" w:evenVBand="0" w:oddHBand="0" w:evenHBand="0" w:firstRowFirstColumn="0" w:firstRowLastColumn="0" w:lastRowFirstColumn="0" w:lastRowLastColumn="0"/>
            <w:tcW w:w="3261" w:type="dxa"/>
          </w:tcPr>
          <w:p w14:paraId="6952ACE7" w14:textId="77777777" w:rsidR="00B3100C" w:rsidRPr="00654C02" w:rsidRDefault="00B3100C" w:rsidP="00B3100C">
            <w:pPr>
              <w:widowControl w:val="0"/>
              <w:autoSpaceDE w:val="0"/>
              <w:autoSpaceDN w:val="0"/>
              <w:spacing w:line="480" w:lineRule="auto"/>
              <w:rPr>
                <w:rFonts w:ascii="Arial" w:eastAsia="Arial" w:hAnsi="Arial" w:cs="Arial"/>
                <w:b/>
                <w:bCs/>
                <w:color w:val="000000"/>
                <w:sz w:val="14"/>
                <w:szCs w:val="14"/>
              </w:rPr>
            </w:pPr>
            <w:r w:rsidRPr="00654C02">
              <w:rPr>
                <w:rFonts w:ascii="Arial" w:eastAsia="Arial" w:hAnsi="Arial" w:cs="Arial"/>
                <w:b/>
                <w:bCs/>
                <w:color w:val="000000"/>
                <w:sz w:val="14"/>
                <w:szCs w:val="14"/>
              </w:rPr>
              <w:t>Non-blanching rashes</w:t>
            </w:r>
          </w:p>
        </w:tc>
        <w:tc>
          <w:tcPr>
            <w:tcW w:w="1842" w:type="dxa"/>
          </w:tcPr>
          <w:p w14:paraId="23BFFB07" w14:textId="76492C7C" w:rsidR="00B3100C" w:rsidRPr="00654C02" w:rsidRDefault="00B3100C" w:rsidP="00B3100C">
            <w:pPr>
              <w:widowControl w:val="0"/>
              <w:autoSpaceDE w:val="0"/>
              <w:autoSpaceDN w:val="0"/>
              <w:spacing w:line="48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b/>
                <w:bCs/>
                <w:color w:val="000000"/>
                <w:sz w:val="14"/>
                <w:szCs w:val="14"/>
              </w:rPr>
            </w:pPr>
            <w:r>
              <w:rPr>
                <w:rFonts w:ascii="Arial" w:eastAsia="Arial" w:hAnsi="Arial" w:cs="Arial"/>
                <w:b/>
                <w:bCs/>
                <w:color w:val="000000"/>
                <w:sz w:val="14"/>
                <w:szCs w:val="14"/>
              </w:rPr>
              <w:t>55</w:t>
            </w:r>
            <w:r w:rsidRPr="00654C02">
              <w:rPr>
                <w:rFonts w:ascii="Arial" w:eastAsia="Arial" w:hAnsi="Arial" w:cs="Arial"/>
                <w:b/>
                <w:bCs/>
                <w:color w:val="000000"/>
                <w:sz w:val="14"/>
                <w:szCs w:val="14"/>
              </w:rPr>
              <w:t>5(100)</w:t>
            </w:r>
          </w:p>
        </w:tc>
        <w:tc>
          <w:tcPr>
            <w:tcW w:w="1701" w:type="dxa"/>
          </w:tcPr>
          <w:p w14:paraId="170DFE9B" w14:textId="07BFB35B" w:rsidR="00B3100C" w:rsidRPr="00654C02" w:rsidRDefault="009E3C29" w:rsidP="00B3100C">
            <w:pPr>
              <w:widowControl w:val="0"/>
              <w:autoSpaceDE w:val="0"/>
              <w:autoSpaceDN w:val="0"/>
              <w:spacing w:line="48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b/>
                <w:bCs/>
                <w:color w:val="000000"/>
                <w:sz w:val="14"/>
                <w:szCs w:val="14"/>
              </w:rPr>
            </w:pPr>
            <w:r>
              <w:rPr>
                <w:rFonts w:ascii="Arial" w:eastAsia="Arial" w:hAnsi="Arial" w:cs="Arial"/>
                <w:b/>
                <w:bCs/>
                <w:color w:val="000000"/>
                <w:sz w:val="14"/>
                <w:szCs w:val="14"/>
              </w:rPr>
              <w:t>20(4.2</w:t>
            </w:r>
            <w:r w:rsidR="00B3100C" w:rsidRPr="00654C02">
              <w:rPr>
                <w:rFonts w:ascii="Arial" w:eastAsia="Arial" w:hAnsi="Arial" w:cs="Arial"/>
                <w:b/>
                <w:bCs/>
                <w:color w:val="000000"/>
                <w:sz w:val="14"/>
                <w:szCs w:val="14"/>
              </w:rPr>
              <w:t>)</w:t>
            </w:r>
          </w:p>
        </w:tc>
        <w:tc>
          <w:tcPr>
            <w:tcW w:w="1701" w:type="dxa"/>
          </w:tcPr>
          <w:p w14:paraId="0EED4997" w14:textId="5E69C4A8" w:rsidR="00B3100C" w:rsidRPr="00654C02" w:rsidRDefault="009E3C29" w:rsidP="00B3100C">
            <w:pPr>
              <w:widowControl w:val="0"/>
              <w:autoSpaceDE w:val="0"/>
              <w:autoSpaceDN w:val="0"/>
              <w:spacing w:line="48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b/>
                <w:bCs/>
                <w:color w:val="000000"/>
                <w:sz w:val="14"/>
                <w:szCs w:val="14"/>
              </w:rPr>
            </w:pPr>
            <w:r>
              <w:rPr>
                <w:rFonts w:ascii="Arial" w:eastAsia="Arial" w:hAnsi="Arial" w:cs="Arial"/>
                <w:b/>
                <w:bCs/>
                <w:color w:val="000000"/>
                <w:sz w:val="14"/>
                <w:szCs w:val="14"/>
              </w:rPr>
              <w:t>2(2.6</w:t>
            </w:r>
            <w:r w:rsidR="00B3100C" w:rsidRPr="00654C02">
              <w:rPr>
                <w:rFonts w:ascii="Arial" w:eastAsia="Arial" w:hAnsi="Arial" w:cs="Arial"/>
                <w:b/>
                <w:bCs/>
                <w:color w:val="000000"/>
                <w:sz w:val="14"/>
                <w:szCs w:val="14"/>
              </w:rPr>
              <w:t>)</w:t>
            </w:r>
          </w:p>
        </w:tc>
        <w:tc>
          <w:tcPr>
            <w:tcW w:w="988" w:type="dxa"/>
          </w:tcPr>
          <w:p w14:paraId="402CF20F" w14:textId="15FBC5EF" w:rsidR="00B3100C" w:rsidRPr="00654C02" w:rsidRDefault="007A7A81" w:rsidP="00B3100C">
            <w:pPr>
              <w:widowControl w:val="0"/>
              <w:autoSpaceDE w:val="0"/>
              <w:autoSpaceDN w:val="0"/>
              <w:spacing w:line="48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b/>
                <w:bCs/>
                <w:sz w:val="14"/>
                <w:szCs w:val="14"/>
              </w:rPr>
            </w:pPr>
            <w:r>
              <w:rPr>
                <w:rFonts w:ascii="Arial" w:eastAsia="Arial" w:hAnsi="Arial" w:cs="Arial"/>
                <w:b/>
                <w:bCs/>
                <w:sz w:val="14"/>
                <w:szCs w:val="14"/>
              </w:rPr>
              <w:t>0.7</w:t>
            </w:r>
            <w:r w:rsidR="009E7AE4">
              <w:rPr>
                <w:rFonts w:ascii="Arial" w:eastAsia="Arial" w:hAnsi="Arial" w:cs="Arial"/>
                <w:b/>
                <w:bCs/>
                <w:sz w:val="14"/>
                <w:szCs w:val="14"/>
              </w:rPr>
              <w:t>5</w:t>
            </w:r>
          </w:p>
        </w:tc>
      </w:tr>
      <w:tr w:rsidR="00B3100C" w:rsidRPr="00E47820" w14:paraId="6CAA8EE4" w14:textId="77777777" w:rsidTr="00B011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14:paraId="4BAE7188" w14:textId="77777777" w:rsidR="00B3100C" w:rsidRPr="00654C02" w:rsidRDefault="00B3100C" w:rsidP="00B3100C">
            <w:pPr>
              <w:widowControl w:val="0"/>
              <w:autoSpaceDE w:val="0"/>
              <w:autoSpaceDN w:val="0"/>
              <w:spacing w:line="480" w:lineRule="auto"/>
              <w:rPr>
                <w:rFonts w:ascii="Arial" w:eastAsia="Arial" w:hAnsi="Arial" w:cs="Arial"/>
                <w:b/>
                <w:bCs/>
                <w:color w:val="000000"/>
                <w:sz w:val="14"/>
                <w:szCs w:val="14"/>
              </w:rPr>
            </w:pPr>
            <w:r w:rsidRPr="00654C02">
              <w:rPr>
                <w:rFonts w:ascii="Arial" w:eastAsia="Arial" w:hAnsi="Arial" w:cs="Arial"/>
                <w:b/>
                <w:bCs/>
                <w:color w:val="000000"/>
                <w:sz w:val="14"/>
                <w:szCs w:val="14"/>
              </w:rPr>
              <w:t>Meningism</w:t>
            </w:r>
          </w:p>
        </w:tc>
        <w:tc>
          <w:tcPr>
            <w:tcW w:w="1842" w:type="dxa"/>
          </w:tcPr>
          <w:p w14:paraId="7E46452B" w14:textId="5B195E8D" w:rsidR="00B3100C" w:rsidRPr="00654C02" w:rsidRDefault="00B3100C" w:rsidP="00B3100C">
            <w:pPr>
              <w:widowControl w:val="0"/>
              <w:autoSpaceDE w:val="0"/>
              <w:autoSpaceDN w:val="0"/>
              <w:spacing w:line="480"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b/>
                <w:bCs/>
                <w:color w:val="000000"/>
                <w:sz w:val="14"/>
                <w:szCs w:val="14"/>
              </w:rPr>
            </w:pPr>
            <w:r>
              <w:rPr>
                <w:rFonts w:ascii="Arial" w:eastAsia="Arial" w:hAnsi="Arial" w:cs="Arial"/>
                <w:b/>
                <w:bCs/>
                <w:color w:val="000000"/>
                <w:sz w:val="14"/>
                <w:szCs w:val="14"/>
              </w:rPr>
              <w:t>55</w:t>
            </w:r>
            <w:r w:rsidRPr="00654C02">
              <w:rPr>
                <w:rFonts w:ascii="Arial" w:eastAsia="Arial" w:hAnsi="Arial" w:cs="Arial"/>
                <w:b/>
                <w:bCs/>
                <w:color w:val="000000"/>
                <w:sz w:val="14"/>
                <w:szCs w:val="14"/>
              </w:rPr>
              <w:t>5(100)</w:t>
            </w:r>
          </w:p>
        </w:tc>
        <w:tc>
          <w:tcPr>
            <w:tcW w:w="1701" w:type="dxa"/>
          </w:tcPr>
          <w:p w14:paraId="68D88FDC" w14:textId="5F3204D1" w:rsidR="00B3100C" w:rsidRPr="00654C02" w:rsidRDefault="009E3C29" w:rsidP="00B3100C">
            <w:pPr>
              <w:widowControl w:val="0"/>
              <w:autoSpaceDE w:val="0"/>
              <w:autoSpaceDN w:val="0"/>
              <w:spacing w:line="480"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b/>
                <w:bCs/>
                <w:color w:val="000000"/>
                <w:sz w:val="14"/>
                <w:szCs w:val="14"/>
              </w:rPr>
            </w:pPr>
            <w:r>
              <w:rPr>
                <w:rFonts w:ascii="Arial" w:eastAsia="Arial" w:hAnsi="Arial" w:cs="Arial"/>
                <w:b/>
                <w:bCs/>
                <w:color w:val="000000"/>
                <w:sz w:val="14"/>
                <w:szCs w:val="14"/>
              </w:rPr>
              <w:t>25(5.2</w:t>
            </w:r>
            <w:r w:rsidR="00B3100C" w:rsidRPr="00654C02">
              <w:rPr>
                <w:rFonts w:ascii="Arial" w:eastAsia="Arial" w:hAnsi="Arial" w:cs="Arial"/>
                <w:b/>
                <w:bCs/>
                <w:color w:val="000000"/>
                <w:sz w:val="14"/>
                <w:szCs w:val="14"/>
              </w:rPr>
              <w:t>)</w:t>
            </w:r>
          </w:p>
        </w:tc>
        <w:tc>
          <w:tcPr>
            <w:tcW w:w="1701" w:type="dxa"/>
          </w:tcPr>
          <w:p w14:paraId="5713D3E5" w14:textId="44BA34FA" w:rsidR="00B3100C" w:rsidRPr="00654C02" w:rsidRDefault="009E3C29" w:rsidP="00B3100C">
            <w:pPr>
              <w:widowControl w:val="0"/>
              <w:autoSpaceDE w:val="0"/>
              <w:autoSpaceDN w:val="0"/>
              <w:spacing w:line="480"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b/>
                <w:bCs/>
                <w:color w:val="000000"/>
                <w:sz w:val="14"/>
                <w:szCs w:val="14"/>
              </w:rPr>
            </w:pPr>
            <w:r>
              <w:rPr>
                <w:rFonts w:ascii="Arial" w:eastAsia="Arial" w:hAnsi="Arial" w:cs="Arial"/>
                <w:b/>
                <w:bCs/>
                <w:color w:val="000000"/>
                <w:sz w:val="14"/>
                <w:szCs w:val="14"/>
              </w:rPr>
              <w:t>7(9.0</w:t>
            </w:r>
            <w:r w:rsidR="00B3100C" w:rsidRPr="00654C02">
              <w:rPr>
                <w:rFonts w:ascii="Arial" w:eastAsia="Arial" w:hAnsi="Arial" w:cs="Arial"/>
                <w:b/>
                <w:bCs/>
                <w:color w:val="000000"/>
                <w:sz w:val="14"/>
                <w:szCs w:val="14"/>
              </w:rPr>
              <w:t>)</w:t>
            </w:r>
          </w:p>
        </w:tc>
        <w:tc>
          <w:tcPr>
            <w:tcW w:w="988" w:type="dxa"/>
          </w:tcPr>
          <w:p w14:paraId="2EB4E464" w14:textId="76E5190B" w:rsidR="00B3100C" w:rsidRPr="00654C02" w:rsidRDefault="007A7A81" w:rsidP="00B3100C">
            <w:pPr>
              <w:widowControl w:val="0"/>
              <w:autoSpaceDE w:val="0"/>
              <w:autoSpaceDN w:val="0"/>
              <w:spacing w:line="480"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b/>
                <w:bCs/>
                <w:sz w:val="14"/>
                <w:szCs w:val="14"/>
              </w:rPr>
            </w:pPr>
            <w:r>
              <w:rPr>
                <w:rFonts w:ascii="Arial" w:eastAsia="Arial" w:hAnsi="Arial" w:cs="Arial"/>
                <w:b/>
                <w:bCs/>
                <w:sz w:val="14"/>
                <w:szCs w:val="14"/>
              </w:rPr>
              <w:t>0.1</w:t>
            </w:r>
            <w:r w:rsidR="009E7AE4">
              <w:rPr>
                <w:rFonts w:ascii="Arial" w:eastAsia="Arial" w:hAnsi="Arial" w:cs="Arial"/>
                <w:b/>
                <w:bCs/>
                <w:sz w:val="14"/>
                <w:szCs w:val="14"/>
              </w:rPr>
              <w:t>9</w:t>
            </w:r>
          </w:p>
        </w:tc>
      </w:tr>
    </w:tbl>
    <w:p w14:paraId="6638B45E" w14:textId="77777777" w:rsidR="0090090F" w:rsidRPr="00E47820" w:rsidRDefault="0090090F" w:rsidP="0090090F">
      <w:pPr>
        <w:widowControl w:val="0"/>
        <w:autoSpaceDE w:val="0"/>
        <w:autoSpaceDN w:val="0"/>
        <w:adjustRightInd w:val="0"/>
        <w:rPr>
          <w:rFonts w:ascii="Arial" w:hAnsi="Arial" w:cs="Arial"/>
          <w:i/>
          <w:iCs/>
          <w:color w:val="333333"/>
          <w:sz w:val="14"/>
          <w:szCs w:val="14"/>
          <w:shd w:val="clear" w:color="auto" w:fill="FFFFFF"/>
        </w:rPr>
      </w:pPr>
    </w:p>
    <w:p w14:paraId="286C5796" w14:textId="77777777" w:rsidR="0090090F" w:rsidRPr="00E47820" w:rsidRDefault="0090090F" w:rsidP="0090090F">
      <w:pPr>
        <w:widowControl w:val="0"/>
        <w:autoSpaceDE w:val="0"/>
        <w:autoSpaceDN w:val="0"/>
        <w:adjustRightInd w:val="0"/>
        <w:rPr>
          <w:rFonts w:ascii="Arial" w:hAnsi="Arial" w:cs="Arial"/>
          <w:i/>
          <w:iCs/>
          <w:color w:val="333333"/>
          <w:sz w:val="14"/>
          <w:szCs w:val="14"/>
          <w:shd w:val="clear" w:color="auto" w:fill="FFFFFF"/>
        </w:rPr>
      </w:pPr>
    </w:p>
    <w:p w14:paraId="5F68DC5F" w14:textId="614CF7F7" w:rsidR="0090090F" w:rsidRPr="007E2AEA" w:rsidRDefault="0090090F" w:rsidP="0090090F">
      <w:pPr>
        <w:widowControl w:val="0"/>
        <w:autoSpaceDE w:val="0"/>
        <w:autoSpaceDN w:val="0"/>
        <w:adjustRightInd w:val="0"/>
        <w:rPr>
          <w:rFonts w:ascii="Arial" w:hAnsi="Arial" w:cs="Arial"/>
          <w:i/>
          <w:iCs/>
          <w:color w:val="FF0000"/>
          <w:sz w:val="14"/>
          <w:szCs w:val="14"/>
          <w:shd w:val="clear" w:color="auto" w:fill="FFFFFF"/>
        </w:rPr>
      </w:pPr>
      <w:r w:rsidRPr="00E47820">
        <w:rPr>
          <w:rFonts w:ascii="Arial" w:hAnsi="Arial" w:cs="Arial"/>
          <w:i/>
          <w:iCs/>
          <w:color w:val="333333"/>
          <w:sz w:val="14"/>
          <w:szCs w:val="14"/>
          <w:shd w:val="clear" w:color="auto" w:fill="FFFFFF"/>
        </w:rPr>
        <w:t>*IQR=Interquartile range</w:t>
      </w:r>
      <w:r w:rsidR="007E2AEA">
        <w:rPr>
          <w:rFonts w:ascii="Arial" w:hAnsi="Arial" w:cs="Arial"/>
          <w:i/>
          <w:iCs/>
          <w:color w:val="333333"/>
          <w:sz w:val="14"/>
          <w:szCs w:val="14"/>
          <w:shd w:val="clear" w:color="auto" w:fill="FFFFFF"/>
        </w:rPr>
        <w:t xml:space="preserve">, </w:t>
      </w:r>
      <w:r w:rsidR="007E2AEA">
        <w:rPr>
          <w:rFonts w:ascii="Arial" w:hAnsi="Arial" w:cs="Arial"/>
          <w:i/>
          <w:iCs/>
          <w:color w:val="FF0000"/>
          <w:sz w:val="14"/>
          <w:szCs w:val="14"/>
          <w:shd w:val="clear" w:color="auto" w:fill="FFFFFF"/>
        </w:rPr>
        <w:t xml:space="preserve">statistically significant </w:t>
      </w:r>
    </w:p>
    <w:p w14:paraId="54DB2245" w14:textId="77777777" w:rsidR="0090090F" w:rsidRPr="00E47820" w:rsidRDefault="0090090F" w:rsidP="0090090F"/>
    <w:p w14:paraId="75BE9145" w14:textId="77777777" w:rsidR="0090090F" w:rsidRPr="00E47820" w:rsidRDefault="0090090F" w:rsidP="0090090F"/>
    <w:p w14:paraId="2AD80CF6" w14:textId="77777777" w:rsidR="0090090F" w:rsidRPr="00E47820" w:rsidRDefault="0090090F" w:rsidP="0090090F"/>
    <w:p w14:paraId="3D760DD0" w14:textId="77777777" w:rsidR="0090090F" w:rsidRPr="00E47820" w:rsidRDefault="0090090F" w:rsidP="0090090F"/>
    <w:p w14:paraId="74FCB33C" w14:textId="77777777" w:rsidR="0090090F" w:rsidRPr="00E47820" w:rsidRDefault="0090090F" w:rsidP="0090090F"/>
    <w:p w14:paraId="1D74FA5D" w14:textId="77777777" w:rsidR="0090090F" w:rsidRPr="00E47820" w:rsidRDefault="0090090F" w:rsidP="0090090F"/>
    <w:p w14:paraId="2BB5751D" w14:textId="77777777" w:rsidR="0090090F" w:rsidRPr="00E47820" w:rsidRDefault="0090090F" w:rsidP="0090090F"/>
    <w:p w14:paraId="6B5A9D45" w14:textId="77777777" w:rsidR="0090090F" w:rsidRPr="00E47820" w:rsidRDefault="0090090F" w:rsidP="0090090F"/>
    <w:p w14:paraId="0E5041B4" w14:textId="77777777" w:rsidR="0090090F" w:rsidRPr="00E47820" w:rsidRDefault="0090090F" w:rsidP="0090090F"/>
    <w:p w14:paraId="37F53D94" w14:textId="77777777" w:rsidR="0090090F" w:rsidRPr="00E47820" w:rsidRDefault="0090090F" w:rsidP="0090090F"/>
    <w:p w14:paraId="56483087" w14:textId="77777777" w:rsidR="0090090F" w:rsidRPr="00E47820" w:rsidRDefault="0090090F" w:rsidP="0090090F"/>
    <w:p w14:paraId="2A7A9C1D" w14:textId="01E286F6" w:rsidR="0090090F" w:rsidRPr="00E47820" w:rsidRDefault="0090090F" w:rsidP="0090090F"/>
    <w:p w14:paraId="6A604C8D" w14:textId="0B65BE7B" w:rsidR="00B0114A" w:rsidRPr="00E47820" w:rsidRDefault="00B0114A" w:rsidP="0090090F"/>
    <w:p w14:paraId="3C03F66D" w14:textId="0B22EB48" w:rsidR="0090090F" w:rsidRDefault="0090090F" w:rsidP="0090090F"/>
    <w:p w14:paraId="55A8CED8" w14:textId="77777777" w:rsidR="0041380B" w:rsidRPr="00E47820" w:rsidRDefault="0041380B" w:rsidP="0090090F"/>
    <w:p w14:paraId="7C113BE2" w14:textId="77777777" w:rsidR="009C4761" w:rsidRDefault="009C4761" w:rsidP="0090090F"/>
    <w:p w14:paraId="35EE6EBE" w14:textId="1D0C4DCC" w:rsidR="0090090F" w:rsidRPr="00E47820" w:rsidRDefault="007E2AEA" w:rsidP="0090090F">
      <w:pPr>
        <w:rPr>
          <w:rFonts w:ascii="Arial" w:hAnsi="Arial" w:cs="Arial"/>
          <w:i/>
          <w:sz w:val="22"/>
          <w:szCs w:val="22"/>
        </w:rPr>
      </w:pPr>
      <w:r>
        <w:rPr>
          <w:rFonts w:ascii="Arial" w:hAnsi="Arial" w:cs="Arial"/>
          <w:i/>
          <w:sz w:val="22"/>
          <w:szCs w:val="22"/>
        </w:rPr>
        <w:lastRenderedPageBreak/>
        <w:t>Table 5</w:t>
      </w:r>
      <w:r w:rsidR="0090090F" w:rsidRPr="00E47820">
        <w:rPr>
          <w:rFonts w:ascii="Arial" w:hAnsi="Arial" w:cs="Arial"/>
          <w:i/>
          <w:sz w:val="22"/>
          <w:szCs w:val="22"/>
        </w:rPr>
        <w:t>: Investigations</w:t>
      </w:r>
      <w:r>
        <w:rPr>
          <w:rFonts w:ascii="Arial" w:hAnsi="Arial" w:cs="Arial"/>
          <w:i/>
          <w:sz w:val="22"/>
          <w:szCs w:val="22"/>
        </w:rPr>
        <w:t xml:space="preserve"> performed and comparisons between cohorts</w:t>
      </w:r>
    </w:p>
    <w:tbl>
      <w:tblPr>
        <w:tblStyle w:val="PlainTable51"/>
        <w:tblpPr w:leftFromText="180" w:rightFromText="180" w:vertAnchor="text" w:horzAnchor="margin" w:tblpXSpec="center" w:tblpY="433"/>
        <w:tblW w:w="9493" w:type="dxa"/>
        <w:tblLook w:val="04A0" w:firstRow="1" w:lastRow="0" w:firstColumn="1" w:lastColumn="0" w:noHBand="0" w:noVBand="1"/>
      </w:tblPr>
      <w:tblGrid>
        <w:gridCol w:w="3261"/>
        <w:gridCol w:w="1842"/>
        <w:gridCol w:w="1701"/>
        <w:gridCol w:w="1701"/>
        <w:gridCol w:w="988"/>
      </w:tblGrid>
      <w:tr w:rsidR="0090090F" w:rsidRPr="00E47820" w14:paraId="1904CF76" w14:textId="77777777" w:rsidTr="00B0114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261" w:type="dxa"/>
          </w:tcPr>
          <w:p w14:paraId="171B49EA" w14:textId="77777777" w:rsidR="0090090F" w:rsidRPr="00654C02" w:rsidRDefault="0090090F" w:rsidP="00B0114A">
            <w:pPr>
              <w:widowControl w:val="0"/>
              <w:autoSpaceDE w:val="0"/>
              <w:autoSpaceDN w:val="0"/>
              <w:spacing w:line="480" w:lineRule="auto"/>
              <w:rPr>
                <w:rFonts w:ascii="Arial" w:eastAsia="Arial" w:hAnsi="Arial" w:cs="Arial"/>
                <w:b/>
                <w:bCs/>
                <w:sz w:val="14"/>
                <w:szCs w:val="14"/>
              </w:rPr>
            </w:pPr>
            <w:r w:rsidRPr="00654C02">
              <w:rPr>
                <w:rFonts w:ascii="Arial" w:eastAsia="Arial" w:hAnsi="Arial" w:cs="Arial"/>
                <w:b/>
                <w:bCs/>
                <w:sz w:val="14"/>
                <w:szCs w:val="14"/>
              </w:rPr>
              <w:t xml:space="preserve">Test </w:t>
            </w:r>
          </w:p>
        </w:tc>
        <w:tc>
          <w:tcPr>
            <w:tcW w:w="1842" w:type="dxa"/>
          </w:tcPr>
          <w:p w14:paraId="0CEF5626" w14:textId="77777777" w:rsidR="0090090F" w:rsidRPr="00654C02" w:rsidRDefault="0090090F" w:rsidP="00B0114A">
            <w:pPr>
              <w:widowControl w:val="0"/>
              <w:autoSpaceDE w:val="0"/>
              <w:autoSpaceDN w:val="0"/>
              <w:spacing w:line="480" w:lineRule="auto"/>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b/>
                <w:bCs/>
                <w:sz w:val="14"/>
                <w:szCs w:val="14"/>
              </w:rPr>
            </w:pPr>
            <w:r w:rsidRPr="00654C02">
              <w:rPr>
                <w:rFonts w:ascii="Arial" w:eastAsia="Arial" w:hAnsi="Arial" w:cs="Arial"/>
                <w:b/>
                <w:bCs/>
                <w:sz w:val="14"/>
                <w:szCs w:val="14"/>
              </w:rPr>
              <w:t>Performed N(%)</w:t>
            </w:r>
          </w:p>
        </w:tc>
        <w:tc>
          <w:tcPr>
            <w:tcW w:w="1701" w:type="dxa"/>
          </w:tcPr>
          <w:p w14:paraId="54C8B5DD" w14:textId="77777777" w:rsidR="0090090F" w:rsidRPr="00654C02" w:rsidRDefault="0090090F" w:rsidP="00B0114A">
            <w:pPr>
              <w:widowControl w:val="0"/>
              <w:autoSpaceDE w:val="0"/>
              <w:autoSpaceDN w:val="0"/>
              <w:spacing w:line="480" w:lineRule="auto"/>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b/>
                <w:bCs/>
                <w:sz w:val="14"/>
                <w:szCs w:val="14"/>
              </w:rPr>
            </w:pPr>
            <w:r w:rsidRPr="00654C02">
              <w:rPr>
                <w:rFonts w:ascii="Arial" w:eastAsia="Arial" w:hAnsi="Arial" w:cs="Arial"/>
                <w:b/>
                <w:bCs/>
                <w:sz w:val="14"/>
                <w:szCs w:val="14"/>
              </w:rPr>
              <w:t>Without Serious Bacterial Infection</w:t>
            </w:r>
          </w:p>
          <w:p w14:paraId="32F5B2C2" w14:textId="77777777" w:rsidR="0090090F" w:rsidRPr="00654C02" w:rsidRDefault="0090090F" w:rsidP="00B0114A">
            <w:pPr>
              <w:widowControl w:val="0"/>
              <w:autoSpaceDE w:val="0"/>
              <w:autoSpaceDN w:val="0"/>
              <w:spacing w:line="480" w:lineRule="auto"/>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b/>
                <w:bCs/>
                <w:sz w:val="14"/>
                <w:szCs w:val="14"/>
              </w:rPr>
            </w:pPr>
            <w:r w:rsidRPr="00654C02">
              <w:rPr>
                <w:rFonts w:ascii="Arial" w:eastAsia="Arial" w:hAnsi="Arial" w:cs="Arial"/>
                <w:b/>
                <w:bCs/>
                <w:sz w:val="14"/>
                <w:szCs w:val="14"/>
              </w:rPr>
              <w:t>Median(IQR)</w:t>
            </w:r>
          </w:p>
        </w:tc>
        <w:tc>
          <w:tcPr>
            <w:tcW w:w="1701" w:type="dxa"/>
          </w:tcPr>
          <w:p w14:paraId="16D77D4B" w14:textId="77777777" w:rsidR="0090090F" w:rsidRPr="00654C02" w:rsidRDefault="0090090F" w:rsidP="00B0114A">
            <w:pPr>
              <w:widowControl w:val="0"/>
              <w:autoSpaceDE w:val="0"/>
              <w:autoSpaceDN w:val="0"/>
              <w:spacing w:line="480" w:lineRule="auto"/>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b/>
                <w:bCs/>
                <w:sz w:val="14"/>
                <w:szCs w:val="14"/>
              </w:rPr>
            </w:pPr>
            <w:r w:rsidRPr="00654C02">
              <w:rPr>
                <w:rFonts w:ascii="Arial" w:eastAsia="Arial" w:hAnsi="Arial" w:cs="Arial"/>
                <w:b/>
                <w:bCs/>
                <w:sz w:val="14"/>
                <w:szCs w:val="14"/>
              </w:rPr>
              <w:t>With Serious Bacterial Infection</w:t>
            </w:r>
          </w:p>
          <w:p w14:paraId="63EE5E4A" w14:textId="77777777" w:rsidR="0090090F" w:rsidRPr="00654C02" w:rsidRDefault="0090090F" w:rsidP="00B0114A">
            <w:pPr>
              <w:widowControl w:val="0"/>
              <w:autoSpaceDE w:val="0"/>
              <w:autoSpaceDN w:val="0"/>
              <w:spacing w:line="480" w:lineRule="auto"/>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b/>
                <w:bCs/>
                <w:sz w:val="14"/>
                <w:szCs w:val="14"/>
              </w:rPr>
            </w:pPr>
            <w:r w:rsidRPr="00654C02">
              <w:rPr>
                <w:rFonts w:ascii="Arial" w:eastAsia="Arial" w:hAnsi="Arial" w:cs="Arial"/>
                <w:b/>
                <w:bCs/>
                <w:sz w:val="14"/>
                <w:szCs w:val="14"/>
              </w:rPr>
              <w:t>Median(IQR)</w:t>
            </w:r>
          </w:p>
        </w:tc>
        <w:tc>
          <w:tcPr>
            <w:tcW w:w="988" w:type="dxa"/>
          </w:tcPr>
          <w:p w14:paraId="4AA437FD" w14:textId="77777777" w:rsidR="0090090F" w:rsidRPr="00654C02" w:rsidRDefault="0090090F" w:rsidP="00B0114A">
            <w:pPr>
              <w:widowControl w:val="0"/>
              <w:autoSpaceDE w:val="0"/>
              <w:autoSpaceDN w:val="0"/>
              <w:spacing w:line="480" w:lineRule="auto"/>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b/>
                <w:bCs/>
                <w:sz w:val="14"/>
                <w:szCs w:val="14"/>
              </w:rPr>
            </w:pPr>
            <w:r w:rsidRPr="00654C02">
              <w:rPr>
                <w:rFonts w:ascii="Arial" w:eastAsia="Arial" w:hAnsi="Arial" w:cs="Arial"/>
                <w:b/>
                <w:bCs/>
                <w:sz w:val="14"/>
                <w:szCs w:val="14"/>
              </w:rPr>
              <w:t>P Value</w:t>
            </w:r>
          </w:p>
        </w:tc>
      </w:tr>
      <w:tr w:rsidR="0090090F" w:rsidRPr="00E47820" w14:paraId="78A199B8" w14:textId="77777777" w:rsidTr="00B011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14:paraId="60DB94F4" w14:textId="44D5FA29" w:rsidR="0090090F" w:rsidRPr="00654C02" w:rsidRDefault="00616488" w:rsidP="00B0114A">
            <w:pPr>
              <w:widowControl w:val="0"/>
              <w:autoSpaceDE w:val="0"/>
              <w:autoSpaceDN w:val="0"/>
              <w:spacing w:line="480" w:lineRule="auto"/>
              <w:rPr>
                <w:rFonts w:ascii="Arial" w:eastAsia="Arial" w:hAnsi="Arial" w:cs="Arial"/>
                <w:b/>
                <w:bCs/>
                <w:color w:val="000000"/>
                <w:sz w:val="14"/>
                <w:szCs w:val="14"/>
              </w:rPr>
            </w:pPr>
            <w:r>
              <w:rPr>
                <w:rFonts w:ascii="Arial" w:eastAsia="Arial" w:hAnsi="Arial" w:cs="Arial"/>
                <w:b/>
                <w:bCs/>
                <w:color w:val="000000"/>
                <w:sz w:val="14"/>
                <w:szCs w:val="14"/>
              </w:rPr>
              <w:t>White Cell Count 10</w:t>
            </w:r>
            <w:r w:rsidRPr="00616488">
              <w:rPr>
                <w:rFonts w:ascii="Arial" w:eastAsia="Arial" w:hAnsi="Arial" w:cs="Arial"/>
                <w:b/>
                <w:bCs/>
                <w:color w:val="000000"/>
                <w:sz w:val="14"/>
                <w:szCs w:val="14"/>
                <w:vertAlign w:val="superscript"/>
              </w:rPr>
              <w:t>9</w:t>
            </w:r>
            <w:r>
              <w:rPr>
                <w:rFonts w:ascii="Arial" w:eastAsia="Arial" w:hAnsi="Arial" w:cs="Arial"/>
                <w:b/>
                <w:bCs/>
                <w:color w:val="000000"/>
                <w:sz w:val="14"/>
                <w:szCs w:val="14"/>
              </w:rPr>
              <w:t>/l</w:t>
            </w:r>
          </w:p>
        </w:tc>
        <w:tc>
          <w:tcPr>
            <w:tcW w:w="1842" w:type="dxa"/>
          </w:tcPr>
          <w:p w14:paraId="62EE31DA" w14:textId="7456D343" w:rsidR="0090090F" w:rsidRPr="00654C02" w:rsidRDefault="00030C95" w:rsidP="00B0114A">
            <w:pPr>
              <w:widowControl w:val="0"/>
              <w:autoSpaceDE w:val="0"/>
              <w:autoSpaceDN w:val="0"/>
              <w:spacing w:line="480"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b/>
                <w:bCs/>
                <w:color w:val="000000"/>
                <w:sz w:val="14"/>
                <w:szCs w:val="14"/>
              </w:rPr>
            </w:pPr>
            <w:r>
              <w:rPr>
                <w:rFonts w:ascii="Arial" w:eastAsia="Arial" w:hAnsi="Arial" w:cs="Arial"/>
                <w:b/>
                <w:bCs/>
                <w:color w:val="000000"/>
                <w:sz w:val="14"/>
                <w:szCs w:val="14"/>
              </w:rPr>
              <w:t>441(79.5</w:t>
            </w:r>
            <w:r w:rsidR="0090090F" w:rsidRPr="00654C02">
              <w:rPr>
                <w:rFonts w:ascii="Arial" w:eastAsia="Arial" w:hAnsi="Arial" w:cs="Arial"/>
                <w:b/>
                <w:bCs/>
                <w:color w:val="000000"/>
                <w:sz w:val="14"/>
                <w:szCs w:val="14"/>
              </w:rPr>
              <w:t>)</w:t>
            </w:r>
          </w:p>
        </w:tc>
        <w:tc>
          <w:tcPr>
            <w:tcW w:w="1701" w:type="dxa"/>
          </w:tcPr>
          <w:p w14:paraId="66FB5089" w14:textId="1B1F88F6" w:rsidR="0090090F" w:rsidRPr="00654C02" w:rsidRDefault="00030C95" w:rsidP="00B0114A">
            <w:pPr>
              <w:widowControl w:val="0"/>
              <w:autoSpaceDE w:val="0"/>
              <w:autoSpaceDN w:val="0"/>
              <w:spacing w:line="480"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b/>
                <w:bCs/>
                <w:color w:val="000000"/>
                <w:sz w:val="14"/>
                <w:szCs w:val="14"/>
              </w:rPr>
            </w:pPr>
            <w:r>
              <w:rPr>
                <w:rFonts w:ascii="Arial" w:eastAsia="Arial" w:hAnsi="Arial" w:cs="Arial"/>
                <w:b/>
                <w:bCs/>
                <w:color w:val="000000"/>
                <w:sz w:val="14"/>
                <w:szCs w:val="14"/>
              </w:rPr>
              <w:t>11.2(8.0 to 15.1</w:t>
            </w:r>
            <w:r w:rsidR="0090090F" w:rsidRPr="00654C02">
              <w:rPr>
                <w:rFonts w:ascii="Arial" w:eastAsia="Arial" w:hAnsi="Arial" w:cs="Arial"/>
                <w:b/>
                <w:bCs/>
                <w:color w:val="000000"/>
                <w:sz w:val="14"/>
                <w:szCs w:val="14"/>
              </w:rPr>
              <w:t>)</w:t>
            </w:r>
          </w:p>
        </w:tc>
        <w:tc>
          <w:tcPr>
            <w:tcW w:w="1701" w:type="dxa"/>
          </w:tcPr>
          <w:p w14:paraId="524D7787" w14:textId="673905C8" w:rsidR="0090090F" w:rsidRPr="00654C02" w:rsidRDefault="00030C95" w:rsidP="00B0114A">
            <w:pPr>
              <w:widowControl w:val="0"/>
              <w:autoSpaceDE w:val="0"/>
              <w:autoSpaceDN w:val="0"/>
              <w:spacing w:line="480"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b/>
                <w:bCs/>
                <w:color w:val="000000"/>
                <w:sz w:val="14"/>
                <w:szCs w:val="14"/>
              </w:rPr>
            </w:pPr>
            <w:r>
              <w:rPr>
                <w:rFonts w:ascii="Arial" w:eastAsia="Arial" w:hAnsi="Arial" w:cs="Arial"/>
                <w:b/>
                <w:bCs/>
                <w:color w:val="000000"/>
                <w:sz w:val="14"/>
                <w:szCs w:val="14"/>
              </w:rPr>
              <w:t>13.0(9.1</w:t>
            </w:r>
            <w:r w:rsidR="0090090F" w:rsidRPr="00654C02">
              <w:rPr>
                <w:rFonts w:ascii="Arial" w:eastAsia="Arial" w:hAnsi="Arial" w:cs="Arial"/>
                <w:b/>
                <w:bCs/>
                <w:color w:val="000000"/>
                <w:sz w:val="14"/>
                <w:szCs w:val="14"/>
              </w:rPr>
              <w:t xml:space="preserve"> to </w:t>
            </w:r>
            <w:r w:rsidR="0012386F">
              <w:rPr>
                <w:rFonts w:ascii="Arial" w:eastAsia="Arial" w:hAnsi="Arial" w:cs="Arial"/>
                <w:b/>
                <w:bCs/>
                <w:color w:val="000000"/>
                <w:sz w:val="14"/>
                <w:szCs w:val="14"/>
              </w:rPr>
              <w:t>1</w:t>
            </w:r>
            <w:r>
              <w:rPr>
                <w:rFonts w:ascii="Arial" w:eastAsia="Arial" w:hAnsi="Arial" w:cs="Arial"/>
                <w:b/>
                <w:bCs/>
                <w:color w:val="000000"/>
                <w:sz w:val="14"/>
                <w:szCs w:val="14"/>
              </w:rPr>
              <w:t>7.7</w:t>
            </w:r>
            <w:r w:rsidR="0090090F" w:rsidRPr="00654C02">
              <w:rPr>
                <w:rFonts w:ascii="Arial" w:eastAsia="Arial" w:hAnsi="Arial" w:cs="Arial"/>
                <w:b/>
                <w:bCs/>
                <w:color w:val="000000"/>
                <w:sz w:val="14"/>
                <w:szCs w:val="14"/>
              </w:rPr>
              <w:t>)</w:t>
            </w:r>
          </w:p>
        </w:tc>
        <w:tc>
          <w:tcPr>
            <w:tcW w:w="988" w:type="dxa"/>
          </w:tcPr>
          <w:p w14:paraId="00EF5522" w14:textId="25DE711F" w:rsidR="0090090F" w:rsidRPr="00654C02" w:rsidRDefault="007A7A81" w:rsidP="00B0114A">
            <w:pPr>
              <w:widowControl w:val="0"/>
              <w:autoSpaceDE w:val="0"/>
              <w:autoSpaceDN w:val="0"/>
              <w:spacing w:line="480"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b/>
                <w:bCs/>
                <w:sz w:val="14"/>
                <w:szCs w:val="14"/>
              </w:rPr>
            </w:pPr>
            <w:r>
              <w:rPr>
                <w:rFonts w:ascii="Arial" w:eastAsia="Arial" w:hAnsi="Arial" w:cs="Arial"/>
                <w:b/>
                <w:bCs/>
                <w:color w:val="FF0000"/>
                <w:sz w:val="14"/>
                <w:szCs w:val="14"/>
              </w:rPr>
              <w:t>0.020</w:t>
            </w:r>
          </w:p>
        </w:tc>
      </w:tr>
      <w:tr w:rsidR="0090090F" w:rsidRPr="00E47820" w14:paraId="73E427C1" w14:textId="77777777" w:rsidTr="00B0114A">
        <w:tc>
          <w:tcPr>
            <w:cnfStyle w:val="001000000000" w:firstRow="0" w:lastRow="0" w:firstColumn="1" w:lastColumn="0" w:oddVBand="0" w:evenVBand="0" w:oddHBand="0" w:evenHBand="0" w:firstRowFirstColumn="0" w:firstRowLastColumn="0" w:lastRowFirstColumn="0" w:lastRowLastColumn="0"/>
            <w:tcW w:w="3261" w:type="dxa"/>
          </w:tcPr>
          <w:p w14:paraId="6A9313AA" w14:textId="6F601625" w:rsidR="0090090F" w:rsidRPr="00654C02" w:rsidRDefault="00616488" w:rsidP="00B0114A">
            <w:pPr>
              <w:widowControl w:val="0"/>
              <w:autoSpaceDE w:val="0"/>
              <w:autoSpaceDN w:val="0"/>
              <w:spacing w:line="480" w:lineRule="auto"/>
              <w:rPr>
                <w:rFonts w:ascii="Arial" w:eastAsia="Arial" w:hAnsi="Arial" w:cs="Arial"/>
                <w:b/>
                <w:bCs/>
                <w:color w:val="000000"/>
                <w:sz w:val="14"/>
                <w:szCs w:val="14"/>
              </w:rPr>
            </w:pPr>
            <w:r>
              <w:rPr>
                <w:rFonts w:ascii="Arial" w:eastAsia="Arial" w:hAnsi="Arial" w:cs="Arial"/>
                <w:b/>
                <w:bCs/>
                <w:color w:val="000000"/>
                <w:sz w:val="14"/>
                <w:szCs w:val="14"/>
              </w:rPr>
              <w:t>Neutrophil Count 10</w:t>
            </w:r>
            <w:r w:rsidRPr="00616488">
              <w:rPr>
                <w:rFonts w:ascii="Arial" w:eastAsia="Arial" w:hAnsi="Arial" w:cs="Arial"/>
                <w:b/>
                <w:bCs/>
                <w:color w:val="000000"/>
                <w:sz w:val="14"/>
                <w:szCs w:val="14"/>
                <w:vertAlign w:val="superscript"/>
              </w:rPr>
              <w:t>9</w:t>
            </w:r>
            <w:r>
              <w:rPr>
                <w:rFonts w:ascii="Arial" w:eastAsia="Arial" w:hAnsi="Arial" w:cs="Arial"/>
                <w:b/>
                <w:bCs/>
                <w:color w:val="000000"/>
                <w:sz w:val="14"/>
                <w:szCs w:val="14"/>
              </w:rPr>
              <w:t>/l</w:t>
            </w:r>
          </w:p>
        </w:tc>
        <w:tc>
          <w:tcPr>
            <w:tcW w:w="1842" w:type="dxa"/>
          </w:tcPr>
          <w:p w14:paraId="276654D3" w14:textId="603C54E8" w:rsidR="0090090F" w:rsidRPr="00654C02" w:rsidRDefault="00030C95" w:rsidP="00B0114A">
            <w:pPr>
              <w:widowControl w:val="0"/>
              <w:autoSpaceDE w:val="0"/>
              <w:autoSpaceDN w:val="0"/>
              <w:spacing w:line="48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b/>
                <w:bCs/>
                <w:color w:val="000000"/>
                <w:sz w:val="14"/>
                <w:szCs w:val="14"/>
              </w:rPr>
            </w:pPr>
            <w:r>
              <w:rPr>
                <w:rFonts w:ascii="Arial" w:eastAsia="Arial" w:hAnsi="Arial" w:cs="Arial"/>
                <w:b/>
                <w:bCs/>
                <w:color w:val="000000"/>
                <w:sz w:val="14"/>
                <w:szCs w:val="14"/>
              </w:rPr>
              <w:t>425(76.6</w:t>
            </w:r>
            <w:r w:rsidR="0090090F" w:rsidRPr="00654C02">
              <w:rPr>
                <w:rFonts w:ascii="Arial" w:eastAsia="Arial" w:hAnsi="Arial" w:cs="Arial"/>
                <w:b/>
                <w:bCs/>
                <w:color w:val="000000"/>
                <w:sz w:val="14"/>
                <w:szCs w:val="14"/>
              </w:rPr>
              <w:t>)</w:t>
            </w:r>
          </w:p>
        </w:tc>
        <w:tc>
          <w:tcPr>
            <w:tcW w:w="1701" w:type="dxa"/>
          </w:tcPr>
          <w:p w14:paraId="1BD0E3FE" w14:textId="7DF4286D" w:rsidR="0090090F" w:rsidRPr="00654C02" w:rsidRDefault="00030C95" w:rsidP="00B0114A">
            <w:pPr>
              <w:widowControl w:val="0"/>
              <w:autoSpaceDE w:val="0"/>
              <w:autoSpaceDN w:val="0"/>
              <w:spacing w:line="48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b/>
                <w:bCs/>
                <w:color w:val="000000"/>
                <w:sz w:val="14"/>
                <w:szCs w:val="14"/>
              </w:rPr>
            </w:pPr>
            <w:r>
              <w:rPr>
                <w:rFonts w:ascii="Arial" w:eastAsia="Arial" w:hAnsi="Arial" w:cs="Arial"/>
                <w:b/>
                <w:bCs/>
                <w:color w:val="000000"/>
                <w:sz w:val="14"/>
                <w:szCs w:val="14"/>
              </w:rPr>
              <w:t>4.8(3.2 to 8.01</w:t>
            </w:r>
            <w:r w:rsidR="0090090F" w:rsidRPr="00654C02">
              <w:rPr>
                <w:rFonts w:ascii="Arial" w:eastAsia="Arial" w:hAnsi="Arial" w:cs="Arial"/>
                <w:b/>
                <w:bCs/>
                <w:color w:val="000000"/>
                <w:sz w:val="14"/>
                <w:szCs w:val="14"/>
              </w:rPr>
              <w:t>)</w:t>
            </w:r>
          </w:p>
        </w:tc>
        <w:tc>
          <w:tcPr>
            <w:tcW w:w="1701" w:type="dxa"/>
          </w:tcPr>
          <w:p w14:paraId="37C749BC" w14:textId="291AB888" w:rsidR="0090090F" w:rsidRPr="00654C02" w:rsidRDefault="00030C95" w:rsidP="00B0114A">
            <w:pPr>
              <w:widowControl w:val="0"/>
              <w:autoSpaceDE w:val="0"/>
              <w:autoSpaceDN w:val="0"/>
              <w:spacing w:line="48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b/>
                <w:bCs/>
                <w:color w:val="000000"/>
                <w:sz w:val="14"/>
                <w:szCs w:val="14"/>
              </w:rPr>
            </w:pPr>
            <w:r>
              <w:rPr>
                <w:rFonts w:ascii="Arial" w:eastAsia="Arial" w:hAnsi="Arial" w:cs="Arial"/>
                <w:b/>
                <w:bCs/>
                <w:color w:val="000000"/>
                <w:sz w:val="14"/>
                <w:szCs w:val="14"/>
              </w:rPr>
              <w:t>6.9(4.3 to 9.6</w:t>
            </w:r>
            <w:r w:rsidR="0090090F" w:rsidRPr="00654C02">
              <w:rPr>
                <w:rFonts w:ascii="Arial" w:eastAsia="Arial" w:hAnsi="Arial" w:cs="Arial"/>
                <w:b/>
                <w:bCs/>
                <w:color w:val="000000"/>
                <w:sz w:val="14"/>
                <w:szCs w:val="14"/>
              </w:rPr>
              <w:t>)</w:t>
            </w:r>
          </w:p>
        </w:tc>
        <w:tc>
          <w:tcPr>
            <w:tcW w:w="988" w:type="dxa"/>
          </w:tcPr>
          <w:p w14:paraId="73648F8E" w14:textId="3E49F0AC" w:rsidR="0090090F" w:rsidRPr="00654C02" w:rsidRDefault="00030C95" w:rsidP="00B0114A">
            <w:pPr>
              <w:widowControl w:val="0"/>
              <w:autoSpaceDE w:val="0"/>
              <w:autoSpaceDN w:val="0"/>
              <w:spacing w:line="48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b/>
                <w:bCs/>
                <w:color w:val="FF0000"/>
                <w:sz w:val="14"/>
                <w:szCs w:val="14"/>
              </w:rPr>
            </w:pPr>
            <w:r>
              <w:rPr>
                <w:rFonts w:ascii="Arial" w:eastAsia="Arial" w:hAnsi="Arial" w:cs="Arial"/>
                <w:b/>
                <w:bCs/>
                <w:color w:val="FF0000"/>
                <w:sz w:val="14"/>
                <w:szCs w:val="14"/>
              </w:rPr>
              <w:t>0.0043</w:t>
            </w:r>
          </w:p>
        </w:tc>
      </w:tr>
      <w:tr w:rsidR="0090090F" w:rsidRPr="00E47820" w14:paraId="204638E3" w14:textId="77777777" w:rsidTr="00B011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14:paraId="12D609FB" w14:textId="7CD78068" w:rsidR="0090090F" w:rsidRPr="00654C02" w:rsidRDefault="00616488" w:rsidP="00B0114A">
            <w:pPr>
              <w:widowControl w:val="0"/>
              <w:autoSpaceDE w:val="0"/>
              <w:autoSpaceDN w:val="0"/>
              <w:spacing w:line="480" w:lineRule="auto"/>
              <w:rPr>
                <w:rFonts w:ascii="Arial" w:eastAsia="Arial" w:hAnsi="Arial" w:cs="Arial"/>
                <w:b/>
                <w:bCs/>
                <w:color w:val="000000"/>
                <w:sz w:val="14"/>
                <w:szCs w:val="14"/>
              </w:rPr>
            </w:pPr>
            <w:r>
              <w:rPr>
                <w:rFonts w:ascii="Arial" w:eastAsia="Arial" w:hAnsi="Arial" w:cs="Arial"/>
                <w:b/>
                <w:bCs/>
                <w:color w:val="000000"/>
                <w:sz w:val="14"/>
                <w:szCs w:val="14"/>
              </w:rPr>
              <w:t>Lymphocyte Count 10</w:t>
            </w:r>
            <w:r w:rsidRPr="00616488">
              <w:rPr>
                <w:rFonts w:ascii="Arial" w:eastAsia="Arial" w:hAnsi="Arial" w:cs="Arial"/>
                <w:b/>
                <w:bCs/>
                <w:color w:val="000000"/>
                <w:sz w:val="14"/>
                <w:szCs w:val="14"/>
                <w:vertAlign w:val="superscript"/>
              </w:rPr>
              <w:t>9</w:t>
            </w:r>
            <w:r>
              <w:rPr>
                <w:rFonts w:ascii="Arial" w:eastAsia="Arial" w:hAnsi="Arial" w:cs="Arial"/>
                <w:b/>
                <w:bCs/>
                <w:color w:val="000000"/>
                <w:sz w:val="14"/>
                <w:szCs w:val="14"/>
              </w:rPr>
              <w:t>/l</w:t>
            </w:r>
          </w:p>
        </w:tc>
        <w:tc>
          <w:tcPr>
            <w:tcW w:w="1842" w:type="dxa"/>
          </w:tcPr>
          <w:p w14:paraId="3849A731" w14:textId="3E5A719F" w:rsidR="0090090F" w:rsidRPr="00654C02" w:rsidRDefault="00030C95" w:rsidP="00B0114A">
            <w:pPr>
              <w:widowControl w:val="0"/>
              <w:autoSpaceDE w:val="0"/>
              <w:autoSpaceDN w:val="0"/>
              <w:spacing w:line="480"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b/>
                <w:bCs/>
                <w:color w:val="000000"/>
                <w:sz w:val="14"/>
                <w:szCs w:val="14"/>
              </w:rPr>
            </w:pPr>
            <w:r>
              <w:rPr>
                <w:rFonts w:ascii="Arial" w:eastAsia="Arial" w:hAnsi="Arial" w:cs="Arial"/>
                <w:b/>
                <w:bCs/>
                <w:color w:val="000000"/>
                <w:sz w:val="14"/>
                <w:szCs w:val="14"/>
              </w:rPr>
              <w:t>414(74.6</w:t>
            </w:r>
            <w:r w:rsidR="0090090F" w:rsidRPr="00654C02">
              <w:rPr>
                <w:rFonts w:ascii="Arial" w:eastAsia="Arial" w:hAnsi="Arial" w:cs="Arial"/>
                <w:b/>
                <w:bCs/>
                <w:color w:val="000000"/>
                <w:sz w:val="14"/>
                <w:szCs w:val="14"/>
              </w:rPr>
              <w:t>)</w:t>
            </w:r>
          </w:p>
        </w:tc>
        <w:tc>
          <w:tcPr>
            <w:tcW w:w="1701" w:type="dxa"/>
          </w:tcPr>
          <w:p w14:paraId="7C9FE7CD" w14:textId="19A3D6C5" w:rsidR="0090090F" w:rsidRPr="00654C02" w:rsidRDefault="0090090F" w:rsidP="00B0114A">
            <w:pPr>
              <w:widowControl w:val="0"/>
              <w:autoSpaceDE w:val="0"/>
              <w:autoSpaceDN w:val="0"/>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b/>
                <w:bCs/>
                <w:color w:val="000000"/>
                <w:sz w:val="14"/>
                <w:szCs w:val="14"/>
              </w:rPr>
            </w:pPr>
            <w:r w:rsidRPr="00654C02">
              <w:rPr>
                <w:rFonts w:ascii="Arial" w:eastAsia="Arial" w:hAnsi="Arial" w:cs="Arial"/>
                <w:b/>
                <w:bCs/>
                <w:color w:val="000000"/>
                <w:sz w:val="14"/>
                <w:szCs w:val="14"/>
              </w:rPr>
              <w:t>3.</w:t>
            </w:r>
            <w:r w:rsidR="00030C95">
              <w:rPr>
                <w:rFonts w:ascii="Arial" w:eastAsia="Arial" w:hAnsi="Arial" w:cs="Arial"/>
                <w:b/>
                <w:bCs/>
                <w:color w:val="000000"/>
                <w:sz w:val="14"/>
                <w:szCs w:val="14"/>
              </w:rPr>
              <w:t>9(2.6 to 5.5</w:t>
            </w:r>
            <w:r w:rsidRPr="00654C02">
              <w:rPr>
                <w:rFonts w:ascii="Arial" w:eastAsia="Arial" w:hAnsi="Arial" w:cs="Arial"/>
                <w:b/>
                <w:bCs/>
                <w:color w:val="000000"/>
                <w:sz w:val="14"/>
                <w:szCs w:val="14"/>
              </w:rPr>
              <w:t>)</w:t>
            </w:r>
          </w:p>
        </w:tc>
        <w:tc>
          <w:tcPr>
            <w:tcW w:w="1701" w:type="dxa"/>
          </w:tcPr>
          <w:p w14:paraId="1D8C9DFC" w14:textId="2A8638C2" w:rsidR="0090090F" w:rsidRPr="00654C02" w:rsidRDefault="00030C95" w:rsidP="00B0114A">
            <w:pPr>
              <w:widowControl w:val="0"/>
              <w:autoSpaceDE w:val="0"/>
              <w:autoSpaceDN w:val="0"/>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b/>
                <w:bCs/>
                <w:color w:val="000000"/>
                <w:sz w:val="14"/>
                <w:szCs w:val="14"/>
              </w:rPr>
            </w:pPr>
            <w:r>
              <w:rPr>
                <w:rFonts w:ascii="Arial" w:eastAsia="Arial" w:hAnsi="Arial" w:cs="Arial"/>
                <w:b/>
                <w:bCs/>
                <w:color w:val="000000"/>
                <w:sz w:val="14"/>
                <w:szCs w:val="14"/>
              </w:rPr>
              <w:t>3.</w:t>
            </w:r>
            <w:r w:rsidR="0090090F" w:rsidRPr="00654C02">
              <w:rPr>
                <w:rFonts w:ascii="Arial" w:eastAsia="Arial" w:hAnsi="Arial" w:cs="Arial"/>
                <w:b/>
                <w:bCs/>
                <w:color w:val="000000"/>
                <w:sz w:val="14"/>
                <w:szCs w:val="14"/>
              </w:rPr>
              <w:t>(</w:t>
            </w:r>
            <w:r>
              <w:rPr>
                <w:rFonts w:ascii="Arial" w:eastAsia="Arial" w:hAnsi="Arial" w:cs="Arial"/>
                <w:b/>
                <w:bCs/>
                <w:color w:val="000000"/>
                <w:sz w:val="14"/>
                <w:szCs w:val="14"/>
              </w:rPr>
              <w:t>2.4 to 5.5)</w:t>
            </w:r>
          </w:p>
        </w:tc>
        <w:tc>
          <w:tcPr>
            <w:tcW w:w="988" w:type="dxa"/>
          </w:tcPr>
          <w:p w14:paraId="36957F6D" w14:textId="31C59765" w:rsidR="0090090F" w:rsidRPr="00654C02" w:rsidRDefault="00030C95" w:rsidP="00B0114A">
            <w:pPr>
              <w:widowControl w:val="0"/>
              <w:autoSpaceDE w:val="0"/>
              <w:autoSpaceDN w:val="0"/>
              <w:spacing w:line="480"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b/>
                <w:bCs/>
                <w:sz w:val="14"/>
                <w:szCs w:val="14"/>
              </w:rPr>
            </w:pPr>
            <w:r>
              <w:rPr>
                <w:rFonts w:ascii="Arial" w:eastAsia="Arial" w:hAnsi="Arial" w:cs="Arial"/>
                <w:b/>
                <w:bCs/>
                <w:sz w:val="14"/>
                <w:szCs w:val="14"/>
              </w:rPr>
              <w:t>0.75</w:t>
            </w:r>
          </w:p>
        </w:tc>
      </w:tr>
      <w:tr w:rsidR="0090090F" w:rsidRPr="00E47820" w14:paraId="17382097" w14:textId="77777777" w:rsidTr="00B0114A">
        <w:tc>
          <w:tcPr>
            <w:cnfStyle w:val="001000000000" w:firstRow="0" w:lastRow="0" w:firstColumn="1" w:lastColumn="0" w:oddVBand="0" w:evenVBand="0" w:oddHBand="0" w:evenHBand="0" w:firstRowFirstColumn="0" w:firstRowLastColumn="0" w:lastRowFirstColumn="0" w:lastRowLastColumn="0"/>
            <w:tcW w:w="3261" w:type="dxa"/>
          </w:tcPr>
          <w:p w14:paraId="41013076" w14:textId="792388BF" w:rsidR="0090090F" w:rsidRPr="00654C02" w:rsidRDefault="0090090F" w:rsidP="00B0114A">
            <w:pPr>
              <w:widowControl w:val="0"/>
              <w:autoSpaceDE w:val="0"/>
              <w:autoSpaceDN w:val="0"/>
              <w:spacing w:line="480" w:lineRule="auto"/>
              <w:rPr>
                <w:rFonts w:ascii="Arial" w:eastAsia="Arial" w:hAnsi="Arial" w:cs="Arial"/>
                <w:b/>
                <w:bCs/>
                <w:color w:val="000000"/>
                <w:sz w:val="14"/>
                <w:szCs w:val="14"/>
              </w:rPr>
            </w:pPr>
            <w:r w:rsidRPr="00654C02">
              <w:rPr>
                <w:rFonts w:ascii="Arial" w:eastAsia="Arial" w:hAnsi="Arial" w:cs="Arial"/>
                <w:b/>
                <w:bCs/>
                <w:color w:val="000000"/>
                <w:sz w:val="14"/>
                <w:szCs w:val="14"/>
              </w:rPr>
              <w:t>CRP</w:t>
            </w:r>
            <w:r w:rsidR="00616488">
              <w:rPr>
                <w:rFonts w:ascii="Arial" w:eastAsia="Arial" w:hAnsi="Arial" w:cs="Arial"/>
                <w:b/>
                <w:bCs/>
                <w:color w:val="000000"/>
                <w:sz w:val="14"/>
                <w:szCs w:val="14"/>
              </w:rPr>
              <w:t xml:space="preserve"> mg/l</w:t>
            </w:r>
          </w:p>
        </w:tc>
        <w:tc>
          <w:tcPr>
            <w:tcW w:w="1842" w:type="dxa"/>
          </w:tcPr>
          <w:p w14:paraId="65ACEA18" w14:textId="08EB2D30" w:rsidR="0090090F" w:rsidRPr="00654C02" w:rsidRDefault="00030C95" w:rsidP="00B0114A">
            <w:pPr>
              <w:widowControl w:val="0"/>
              <w:autoSpaceDE w:val="0"/>
              <w:autoSpaceDN w:val="0"/>
              <w:spacing w:line="48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b/>
                <w:bCs/>
                <w:color w:val="000000"/>
                <w:sz w:val="14"/>
                <w:szCs w:val="14"/>
              </w:rPr>
            </w:pPr>
            <w:r>
              <w:rPr>
                <w:rFonts w:ascii="Arial" w:eastAsia="Arial" w:hAnsi="Arial" w:cs="Arial"/>
                <w:b/>
                <w:bCs/>
                <w:color w:val="000000"/>
                <w:sz w:val="14"/>
                <w:szCs w:val="14"/>
              </w:rPr>
              <w:t>447(80.5</w:t>
            </w:r>
            <w:r w:rsidR="0090090F" w:rsidRPr="00654C02">
              <w:rPr>
                <w:rFonts w:ascii="Arial" w:eastAsia="Arial" w:hAnsi="Arial" w:cs="Arial"/>
                <w:b/>
                <w:bCs/>
                <w:color w:val="000000"/>
                <w:sz w:val="14"/>
                <w:szCs w:val="14"/>
              </w:rPr>
              <w:t>)</w:t>
            </w:r>
          </w:p>
        </w:tc>
        <w:tc>
          <w:tcPr>
            <w:tcW w:w="1701" w:type="dxa"/>
          </w:tcPr>
          <w:p w14:paraId="359D82A5" w14:textId="39776409" w:rsidR="0090090F" w:rsidRPr="00654C02" w:rsidRDefault="0090090F" w:rsidP="00B0114A">
            <w:pPr>
              <w:widowControl w:val="0"/>
              <w:autoSpaceDE w:val="0"/>
              <w:autoSpaceDN w:val="0"/>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b/>
                <w:bCs/>
                <w:color w:val="000000"/>
                <w:sz w:val="14"/>
                <w:szCs w:val="14"/>
              </w:rPr>
            </w:pPr>
            <w:r w:rsidRPr="00654C02">
              <w:rPr>
                <w:rFonts w:ascii="Arial" w:eastAsia="Arial" w:hAnsi="Arial" w:cs="Arial"/>
                <w:b/>
                <w:bCs/>
                <w:color w:val="000000"/>
                <w:sz w:val="14"/>
                <w:szCs w:val="14"/>
              </w:rPr>
              <w:t>13.0(</w:t>
            </w:r>
            <w:r w:rsidR="00030C95">
              <w:rPr>
                <w:rFonts w:ascii="Arial" w:eastAsia="Arial" w:hAnsi="Arial" w:cs="Arial"/>
                <w:b/>
                <w:bCs/>
                <w:color w:val="000000"/>
                <w:sz w:val="14"/>
                <w:szCs w:val="14"/>
              </w:rPr>
              <w:t>5.0 to 31.0</w:t>
            </w:r>
            <w:r w:rsidRPr="00654C02">
              <w:rPr>
                <w:rFonts w:ascii="Arial" w:eastAsia="Arial" w:hAnsi="Arial" w:cs="Arial"/>
                <w:b/>
                <w:bCs/>
                <w:color w:val="000000"/>
                <w:sz w:val="14"/>
                <w:szCs w:val="14"/>
              </w:rPr>
              <w:t>)</w:t>
            </w:r>
          </w:p>
        </w:tc>
        <w:tc>
          <w:tcPr>
            <w:tcW w:w="1701" w:type="dxa"/>
          </w:tcPr>
          <w:p w14:paraId="76A9CB4E" w14:textId="5EDB77BD" w:rsidR="0090090F" w:rsidRPr="00654C02" w:rsidRDefault="00030C95" w:rsidP="00B0114A">
            <w:pPr>
              <w:widowControl w:val="0"/>
              <w:autoSpaceDE w:val="0"/>
              <w:autoSpaceDN w:val="0"/>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b/>
                <w:bCs/>
                <w:color w:val="000000"/>
                <w:sz w:val="14"/>
                <w:szCs w:val="14"/>
              </w:rPr>
            </w:pPr>
            <w:r>
              <w:rPr>
                <w:rFonts w:ascii="Arial" w:eastAsia="Arial" w:hAnsi="Arial" w:cs="Arial"/>
                <w:b/>
                <w:bCs/>
                <w:color w:val="000000"/>
                <w:sz w:val="14"/>
                <w:szCs w:val="14"/>
              </w:rPr>
              <w:t xml:space="preserve">33.0(11.0 to </w:t>
            </w:r>
            <w:r w:rsidR="001B6166">
              <w:rPr>
                <w:rFonts w:ascii="Arial" w:eastAsia="Arial" w:hAnsi="Arial" w:cs="Arial"/>
                <w:b/>
                <w:bCs/>
                <w:color w:val="000000"/>
                <w:sz w:val="14"/>
                <w:szCs w:val="14"/>
              </w:rPr>
              <w:t>79.0</w:t>
            </w:r>
            <w:r w:rsidR="0090090F" w:rsidRPr="00654C02">
              <w:rPr>
                <w:rFonts w:ascii="Arial" w:eastAsia="Arial" w:hAnsi="Arial" w:cs="Arial"/>
                <w:b/>
                <w:bCs/>
                <w:color w:val="000000"/>
                <w:sz w:val="14"/>
                <w:szCs w:val="14"/>
              </w:rPr>
              <w:t>)</w:t>
            </w:r>
          </w:p>
        </w:tc>
        <w:tc>
          <w:tcPr>
            <w:tcW w:w="988" w:type="dxa"/>
          </w:tcPr>
          <w:p w14:paraId="6AE96798" w14:textId="77777777" w:rsidR="0090090F" w:rsidRPr="00654C02" w:rsidRDefault="0090090F" w:rsidP="00B0114A">
            <w:pPr>
              <w:widowControl w:val="0"/>
              <w:autoSpaceDE w:val="0"/>
              <w:autoSpaceDN w:val="0"/>
              <w:spacing w:line="48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b/>
                <w:bCs/>
                <w:color w:val="FF0000"/>
                <w:sz w:val="14"/>
                <w:szCs w:val="14"/>
              </w:rPr>
            </w:pPr>
            <w:r w:rsidRPr="00654C02">
              <w:rPr>
                <w:rFonts w:ascii="Arial" w:eastAsia="Arial" w:hAnsi="Arial" w:cs="Arial"/>
                <w:b/>
                <w:bCs/>
                <w:color w:val="FF0000"/>
                <w:sz w:val="14"/>
                <w:szCs w:val="14"/>
              </w:rPr>
              <w:t>&lt;0.0001</w:t>
            </w:r>
          </w:p>
        </w:tc>
      </w:tr>
    </w:tbl>
    <w:p w14:paraId="5F4709C2" w14:textId="77777777" w:rsidR="0090090F" w:rsidRPr="00E47820" w:rsidRDefault="0090090F" w:rsidP="0090090F">
      <w:pPr>
        <w:rPr>
          <w:i/>
        </w:rPr>
      </w:pPr>
    </w:p>
    <w:p w14:paraId="434E4D90" w14:textId="6E654443" w:rsidR="0090090F" w:rsidRPr="00E47820" w:rsidRDefault="007E2AEA" w:rsidP="0090090F">
      <w:pPr>
        <w:rPr>
          <w:i/>
        </w:rPr>
      </w:pPr>
      <w:r>
        <w:rPr>
          <w:rFonts w:ascii="Arial" w:hAnsi="Arial" w:cs="Arial"/>
          <w:i/>
          <w:iCs/>
          <w:color w:val="FF0000"/>
          <w:sz w:val="14"/>
          <w:szCs w:val="14"/>
          <w:shd w:val="clear" w:color="auto" w:fill="FFFFFF"/>
        </w:rPr>
        <w:t>Statistically significant</w:t>
      </w:r>
    </w:p>
    <w:p w14:paraId="2E027158" w14:textId="77777777" w:rsidR="0090090F" w:rsidRPr="00E47820" w:rsidRDefault="0090090F" w:rsidP="0090090F">
      <w:pPr>
        <w:rPr>
          <w:i/>
        </w:rPr>
      </w:pPr>
    </w:p>
    <w:p w14:paraId="2EC30341" w14:textId="3FD4CDAA" w:rsidR="0090090F" w:rsidRDefault="0090090F" w:rsidP="0090090F">
      <w:pPr>
        <w:rPr>
          <w:i/>
        </w:rPr>
      </w:pPr>
    </w:p>
    <w:p w14:paraId="61E2C82D" w14:textId="457F8D1B" w:rsidR="00D15979" w:rsidRDefault="00D15979" w:rsidP="0090090F">
      <w:pPr>
        <w:rPr>
          <w:i/>
        </w:rPr>
      </w:pPr>
    </w:p>
    <w:p w14:paraId="49550F96" w14:textId="1C12257B" w:rsidR="009C4761" w:rsidRDefault="009C4761" w:rsidP="0090090F">
      <w:pPr>
        <w:rPr>
          <w:i/>
        </w:rPr>
      </w:pPr>
    </w:p>
    <w:p w14:paraId="7F34AD75" w14:textId="5B140180" w:rsidR="009C4761" w:rsidRDefault="009C4761" w:rsidP="0090090F">
      <w:pPr>
        <w:rPr>
          <w:i/>
        </w:rPr>
      </w:pPr>
    </w:p>
    <w:p w14:paraId="298A700E" w14:textId="77777777" w:rsidR="009C4761" w:rsidRDefault="009C4761" w:rsidP="0090090F">
      <w:pPr>
        <w:rPr>
          <w:i/>
        </w:rPr>
      </w:pPr>
    </w:p>
    <w:p w14:paraId="71634145" w14:textId="77777777" w:rsidR="00880977" w:rsidRDefault="00880977" w:rsidP="00880977">
      <w:pPr>
        <w:autoSpaceDE w:val="0"/>
        <w:autoSpaceDN w:val="0"/>
        <w:adjustRightInd w:val="0"/>
        <w:rPr>
          <w:sz w:val="20"/>
          <w:szCs w:val="20"/>
        </w:rPr>
      </w:pPr>
    </w:p>
    <w:p w14:paraId="34C5FFA4" w14:textId="5799A0DD" w:rsidR="00880977" w:rsidRDefault="00880977" w:rsidP="00880977">
      <w:pPr>
        <w:autoSpaceDE w:val="0"/>
        <w:autoSpaceDN w:val="0"/>
        <w:adjustRightInd w:val="0"/>
        <w:rPr>
          <w:sz w:val="20"/>
          <w:szCs w:val="20"/>
        </w:rPr>
      </w:pPr>
    </w:p>
    <w:p w14:paraId="7C1920C4" w14:textId="77777777" w:rsidR="0090090F" w:rsidRPr="00654C02" w:rsidRDefault="0090090F" w:rsidP="003A0C19">
      <w:pPr>
        <w:tabs>
          <w:tab w:val="left" w:pos="1329"/>
        </w:tabs>
        <w:rPr>
          <w:lang w:eastAsia="en-US"/>
        </w:rPr>
      </w:pPr>
    </w:p>
    <w:sectPr w:rsidR="0090090F" w:rsidRPr="00654C02" w:rsidSect="00681B13">
      <w:footerReference w:type="default" r:id="rId19"/>
      <w:pgSz w:w="11900" w:h="16840"/>
      <w:pgMar w:top="1440" w:right="1440" w:bottom="1440" w:left="1440" w:header="113" w:footer="17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7032A7A" w16cid:durableId="22457336"/>
  <w16cid:commentId w16cid:paraId="785DBF40" w16cid:durableId="22457337"/>
  <w16cid:commentId w16cid:paraId="50BE2EEC" w16cid:durableId="22457338"/>
  <w16cid:commentId w16cid:paraId="59F640B0" w16cid:durableId="22457339"/>
  <w16cid:commentId w16cid:paraId="2ADE5A46" w16cid:durableId="2245733A"/>
  <w16cid:commentId w16cid:paraId="043EB6B7" w16cid:durableId="2245733B"/>
  <w16cid:commentId w16cid:paraId="32A6216D" w16cid:durableId="2245733C"/>
  <w16cid:commentId w16cid:paraId="3C42F6F1" w16cid:durableId="2245733D"/>
  <w16cid:commentId w16cid:paraId="184D839F" w16cid:durableId="2245733E"/>
  <w16cid:commentId w16cid:paraId="1F23A6AE" w16cid:durableId="2245733F"/>
  <w16cid:commentId w16cid:paraId="640BF9EF" w16cid:durableId="22457340"/>
  <w16cid:commentId w16cid:paraId="1A1DCE65" w16cid:durableId="22457341"/>
  <w16cid:commentId w16cid:paraId="0BA064B0" w16cid:durableId="22457342"/>
  <w16cid:commentId w16cid:paraId="768BF191" w16cid:durableId="22457344"/>
  <w16cid:commentId w16cid:paraId="36FE98B0" w16cid:durableId="22457345"/>
  <w16cid:commentId w16cid:paraId="14FFCF92" w16cid:durableId="22457346"/>
  <w16cid:commentId w16cid:paraId="4BFFF599" w16cid:durableId="22457347"/>
  <w16cid:commentId w16cid:paraId="732C32F4" w16cid:durableId="22457348"/>
  <w16cid:commentId w16cid:paraId="5938A371" w16cid:durableId="2245734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468EE0" w14:textId="77777777" w:rsidR="00B01B02" w:rsidRDefault="00B01B02" w:rsidP="00C52F4F">
      <w:r>
        <w:separator/>
      </w:r>
    </w:p>
  </w:endnote>
  <w:endnote w:type="continuationSeparator" w:id="0">
    <w:p w14:paraId="16259212" w14:textId="77777777" w:rsidR="00B01B02" w:rsidRDefault="00B01B02" w:rsidP="00C52F4F">
      <w:r>
        <w:continuationSeparator/>
      </w:r>
    </w:p>
  </w:endnote>
  <w:endnote w:type="continuationNotice" w:id="1">
    <w:p w14:paraId="48F32587" w14:textId="77777777" w:rsidR="00B01B02" w:rsidRDefault="00B01B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1362381"/>
      <w:docPartObj>
        <w:docPartGallery w:val="Page Numbers (Bottom of Page)"/>
        <w:docPartUnique/>
      </w:docPartObj>
    </w:sdtPr>
    <w:sdtEndPr>
      <w:rPr>
        <w:noProof/>
      </w:rPr>
    </w:sdtEndPr>
    <w:sdtContent>
      <w:p w14:paraId="32ED8670" w14:textId="7F572C6A" w:rsidR="00F54EF6" w:rsidRDefault="00F54EF6">
        <w:pPr>
          <w:pStyle w:val="Footer"/>
        </w:pPr>
        <w:r>
          <w:fldChar w:fldCharType="begin"/>
        </w:r>
        <w:r>
          <w:instrText xml:space="preserve"> PAGE   \* MERGEFORMAT </w:instrText>
        </w:r>
        <w:r>
          <w:fldChar w:fldCharType="separate"/>
        </w:r>
        <w:r w:rsidR="00674215">
          <w:rPr>
            <w:noProof/>
          </w:rPr>
          <w:t>1</w:t>
        </w:r>
        <w:r>
          <w:rPr>
            <w:noProof/>
          </w:rPr>
          <w:fldChar w:fldCharType="end"/>
        </w:r>
      </w:p>
    </w:sdtContent>
  </w:sdt>
  <w:p w14:paraId="1D0D8032" w14:textId="77777777" w:rsidR="00F54EF6" w:rsidRDefault="00F54E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1B58BA" w14:textId="77777777" w:rsidR="00B01B02" w:rsidRDefault="00B01B02" w:rsidP="00C52F4F">
      <w:r>
        <w:separator/>
      </w:r>
    </w:p>
  </w:footnote>
  <w:footnote w:type="continuationSeparator" w:id="0">
    <w:p w14:paraId="1D8886E7" w14:textId="77777777" w:rsidR="00B01B02" w:rsidRDefault="00B01B02" w:rsidP="00C52F4F">
      <w:r>
        <w:continuationSeparator/>
      </w:r>
    </w:p>
  </w:footnote>
  <w:footnote w:type="continuationNotice" w:id="1">
    <w:p w14:paraId="7900F9E0" w14:textId="77777777" w:rsidR="00B01B02" w:rsidRDefault="00B01B02"/>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47D77"/>
    <w:multiLevelType w:val="hybridMultilevel"/>
    <w:tmpl w:val="09C09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A15053"/>
    <w:multiLevelType w:val="hybridMultilevel"/>
    <w:tmpl w:val="7F28B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164C0C"/>
    <w:multiLevelType w:val="hybridMultilevel"/>
    <w:tmpl w:val="3738AE8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EFD28B6"/>
    <w:multiLevelType w:val="hybridMultilevel"/>
    <w:tmpl w:val="12BE584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2311D60"/>
    <w:multiLevelType w:val="hybridMultilevel"/>
    <w:tmpl w:val="5DCCC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9D15DC"/>
    <w:multiLevelType w:val="hybridMultilevel"/>
    <w:tmpl w:val="9ABA3E96"/>
    <w:lvl w:ilvl="0" w:tplc="08090001">
      <w:start w:val="1"/>
      <w:numFmt w:val="bullet"/>
      <w:lvlText w:val=""/>
      <w:lvlJc w:val="left"/>
      <w:pPr>
        <w:ind w:left="776" w:hanging="360"/>
      </w:pPr>
      <w:rPr>
        <w:rFonts w:ascii="Symbol" w:hAnsi="Symbol" w:hint="default"/>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6" w15:restartNumberingAfterBreak="0">
    <w:nsid w:val="13E60676"/>
    <w:multiLevelType w:val="hybridMultilevel"/>
    <w:tmpl w:val="3202E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6C104B"/>
    <w:multiLevelType w:val="hybridMultilevel"/>
    <w:tmpl w:val="BA44503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56C7BE4"/>
    <w:multiLevelType w:val="multilevel"/>
    <w:tmpl w:val="564C2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ABB3639"/>
    <w:multiLevelType w:val="multilevel"/>
    <w:tmpl w:val="BF6C2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B096DA7"/>
    <w:multiLevelType w:val="hybridMultilevel"/>
    <w:tmpl w:val="BE74E9BA"/>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1" w15:restartNumberingAfterBreak="0">
    <w:nsid w:val="27534E5E"/>
    <w:multiLevelType w:val="hybridMultilevel"/>
    <w:tmpl w:val="6C488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963D96"/>
    <w:multiLevelType w:val="multilevel"/>
    <w:tmpl w:val="A9B2C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8D95610"/>
    <w:multiLevelType w:val="hybridMultilevel"/>
    <w:tmpl w:val="FD0C679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F6337A0"/>
    <w:multiLevelType w:val="hybridMultilevel"/>
    <w:tmpl w:val="74123036"/>
    <w:lvl w:ilvl="0" w:tplc="CBDC6D7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0865486"/>
    <w:multiLevelType w:val="hybridMultilevel"/>
    <w:tmpl w:val="B3F67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120CD2"/>
    <w:multiLevelType w:val="multilevel"/>
    <w:tmpl w:val="137E0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4D51673"/>
    <w:multiLevelType w:val="hybridMultilevel"/>
    <w:tmpl w:val="4548368E"/>
    <w:lvl w:ilvl="0" w:tplc="0809000F">
      <w:start w:val="1"/>
      <w:numFmt w:val="decimal"/>
      <w:lvlText w:val="%1."/>
      <w:lvlJc w:val="left"/>
      <w:pPr>
        <w:ind w:left="1440" w:hanging="360"/>
      </w:pPr>
    </w:lvl>
    <w:lvl w:ilvl="1" w:tplc="08090001">
      <w:start w:val="1"/>
      <w:numFmt w:val="bullet"/>
      <w:lvlText w:val=""/>
      <w:lvlJc w:val="left"/>
      <w:pPr>
        <w:ind w:left="2160" w:hanging="360"/>
      </w:pPr>
      <w:rPr>
        <w:rFonts w:ascii="Symbol" w:hAnsi="Symbol" w:hint="default"/>
      </w:r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363A156D"/>
    <w:multiLevelType w:val="hybridMultilevel"/>
    <w:tmpl w:val="6C64C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6BB7175"/>
    <w:multiLevelType w:val="multilevel"/>
    <w:tmpl w:val="C30C3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7BF4E12"/>
    <w:multiLevelType w:val="hybridMultilevel"/>
    <w:tmpl w:val="9E941B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89A2A87"/>
    <w:multiLevelType w:val="hybridMultilevel"/>
    <w:tmpl w:val="53C64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9E25C0A"/>
    <w:multiLevelType w:val="hybridMultilevel"/>
    <w:tmpl w:val="7FAC815A"/>
    <w:lvl w:ilvl="0" w:tplc="08090001">
      <w:start w:val="1"/>
      <w:numFmt w:val="bullet"/>
      <w:lvlText w:val=""/>
      <w:lvlJc w:val="left"/>
      <w:pPr>
        <w:ind w:left="781" w:hanging="360"/>
      </w:pPr>
      <w:rPr>
        <w:rFonts w:ascii="Symbol" w:hAnsi="Symbol" w:hint="default"/>
      </w:rPr>
    </w:lvl>
    <w:lvl w:ilvl="1" w:tplc="08090003" w:tentative="1">
      <w:start w:val="1"/>
      <w:numFmt w:val="bullet"/>
      <w:lvlText w:val="o"/>
      <w:lvlJc w:val="left"/>
      <w:pPr>
        <w:ind w:left="1501" w:hanging="360"/>
      </w:pPr>
      <w:rPr>
        <w:rFonts w:ascii="Courier New" w:hAnsi="Courier New" w:cs="Courier New" w:hint="default"/>
      </w:rPr>
    </w:lvl>
    <w:lvl w:ilvl="2" w:tplc="08090005" w:tentative="1">
      <w:start w:val="1"/>
      <w:numFmt w:val="bullet"/>
      <w:lvlText w:val=""/>
      <w:lvlJc w:val="left"/>
      <w:pPr>
        <w:ind w:left="2221" w:hanging="360"/>
      </w:pPr>
      <w:rPr>
        <w:rFonts w:ascii="Wingdings" w:hAnsi="Wingdings" w:hint="default"/>
      </w:rPr>
    </w:lvl>
    <w:lvl w:ilvl="3" w:tplc="08090001" w:tentative="1">
      <w:start w:val="1"/>
      <w:numFmt w:val="bullet"/>
      <w:lvlText w:val=""/>
      <w:lvlJc w:val="left"/>
      <w:pPr>
        <w:ind w:left="2941" w:hanging="360"/>
      </w:pPr>
      <w:rPr>
        <w:rFonts w:ascii="Symbol" w:hAnsi="Symbol" w:hint="default"/>
      </w:rPr>
    </w:lvl>
    <w:lvl w:ilvl="4" w:tplc="08090003" w:tentative="1">
      <w:start w:val="1"/>
      <w:numFmt w:val="bullet"/>
      <w:lvlText w:val="o"/>
      <w:lvlJc w:val="left"/>
      <w:pPr>
        <w:ind w:left="3661" w:hanging="360"/>
      </w:pPr>
      <w:rPr>
        <w:rFonts w:ascii="Courier New" w:hAnsi="Courier New" w:cs="Courier New" w:hint="default"/>
      </w:rPr>
    </w:lvl>
    <w:lvl w:ilvl="5" w:tplc="08090005" w:tentative="1">
      <w:start w:val="1"/>
      <w:numFmt w:val="bullet"/>
      <w:lvlText w:val=""/>
      <w:lvlJc w:val="left"/>
      <w:pPr>
        <w:ind w:left="4381" w:hanging="360"/>
      </w:pPr>
      <w:rPr>
        <w:rFonts w:ascii="Wingdings" w:hAnsi="Wingdings" w:hint="default"/>
      </w:rPr>
    </w:lvl>
    <w:lvl w:ilvl="6" w:tplc="08090001" w:tentative="1">
      <w:start w:val="1"/>
      <w:numFmt w:val="bullet"/>
      <w:lvlText w:val=""/>
      <w:lvlJc w:val="left"/>
      <w:pPr>
        <w:ind w:left="5101" w:hanging="360"/>
      </w:pPr>
      <w:rPr>
        <w:rFonts w:ascii="Symbol" w:hAnsi="Symbol" w:hint="default"/>
      </w:rPr>
    </w:lvl>
    <w:lvl w:ilvl="7" w:tplc="08090003" w:tentative="1">
      <w:start w:val="1"/>
      <w:numFmt w:val="bullet"/>
      <w:lvlText w:val="o"/>
      <w:lvlJc w:val="left"/>
      <w:pPr>
        <w:ind w:left="5821" w:hanging="360"/>
      </w:pPr>
      <w:rPr>
        <w:rFonts w:ascii="Courier New" w:hAnsi="Courier New" w:cs="Courier New" w:hint="default"/>
      </w:rPr>
    </w:lvl>
    <w:lvl w:ilvl="8" w:tplc="08090005" w:tentative="1">
      <w:start w:val="1"/>
      <w:numFmt w:val="bullet"/>
      <w:lvlText w:val=""/>
      <w:lvlJc w:val="left"/>
      <w:pPr>
        <w:ind w:left="6541" w:hanging="360"/>
      </w:pPr>
      <w:rPr>
        <w:rFonts w:ascii="Wingdings" w:hAnsi="Wingdings" w:hint="default"/>
      </w:rPr>
    </w:lvl>
  </w:abstractNum>
  <w:abstractNum w:abstractNumId="23" w15:restartNumberingAfterBreak="0">
    <w:nsid w:val="3B2C5452"/>
    <w:multiLevelType w:val="hybridMultilevel"/>
    <w:tmpl w:val="4A4CC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C0C6050"/>
    <w:multiLevelType w:val="hybridMultilevel"/>
    <w:tmpl w:val="58D2C86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41F922BB"/>
    <w:multiLevelType w:val="hybridMultilevel"/>
    <w:tmpl w:val="17AA5480"/>
    <w:lvl w:ilvl="0" w:tplc="3872B97A">
      <w:start w:val="1"/>
      <w:numFmt w:val="decimal"/>
      <w:lvlText w:val="%1."/>
      <w:lvlJc w:val="left"/>
      <w:pPr>
        <w:ind w:left="720" w:hanging="360"/>
      </w:pPr>
      <w:rPr>
        <w:rFonts w:hint="default"/>
        <w:sz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4B52577"/>
    <w:multiLevelType w:val="hybridMultilevel"/>
    <w:tmpl w:val="0884E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53951A7"/>
    <w:multiLevelType w:val="hybridMultilevel"/>
    <w:tmpl w:val="605C19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FDE3E55"/>
    <w:multiLevelType w:val="hybridMultilevel"/>
    <w:tmpl w:val="10B2C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07902BA"/>
    <w:multiLevelType w:val="hybridMultilevel"/>
    <w:tmpl w:val="7C64A2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0AA6351"/>
    <w:multiLevelType w:val="hybridMultilevel"/>
    <w:tmpl w:val="B6A46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17E199C"/>
    <w:multiLevelType w:val="hybridMultilevel"/>
    <w:tmpl w:val="46602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C1604E2"/>
    <w:multiLevelType w:val="hybridMultilevel"/>
    <w:tmpl w:val="B1128E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C5F6FB8"/>
    <w:multiLevelType w:val="hybridMultilevel"/>
    <w:tmpl w:val="9D8694A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CE7653E"/>
    <w:multiLevelType w:val="hybridMultilevel"/>
    <w:tmpl w:val="BA44503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39D3EE3"/>
    <w:multiLevelType w:val="hybridMultilevel"/>
    <w:tmpl w:val="7E90F0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4637F8C"/>
    <w:multiLevelType w:val="multilevel"/>
    <w:tmpl w:val="41364074"/>
    <w:lvl w:ilvl="0">
      <w:start w:val="1"/>
      <w:numFmt w:val="decimal"/>
      <w:lvlText w:val="%1."/>
      <w:lvlJc w:val="left"/>
      <w:pPr>
        <w:tabs>
          <w:tab w:val="num" w:pos="360"/>
        </w:tabs>
        <w:ind w:left="360" w:hanging="360"/>
      </w:pPr>
      <w:rPr>
        <w:rFonts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7" w15:restartNumberingAfterBreak="0">
    <w:nsid w:val="64A903E3"/>
    <w:multiLevelType w:val="hybridMultilevel"/>
    <w:tmpl w:val="B9C413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90E149C"/>
    <w:multiLevelType w:val="hybridMultilevel"/>
    <w:tmpl w:val="CBB67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BAD19BE"/>
    <w:multiLevelType w:val="hybridMultilevel"/>
    <w:tmpl w:val="9F62F1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D300BF5"/>
    <w:multiLevelType w:val="hybridMultilevel"/>
    <w:tmpl w:val="E7E26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1D3058F"/>
    <w:multiLevelType w:val="hybridMultilevel"/>
    <w:tmpl w:val="AEA459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30C70ED"/>
    <w:multiLevelType w:val="hybridMultilevel"/>
    <w:tmpl w:val="E38AE5DE"/>
    <w:lvl w:ilvl="0" w:tplc="08090001">
      <w:start w:val="1"/>
      <w:numFmt w:val="bullet"/>
      <w:lvlText w:val=""/>
      <w:lvlJc w:val="left"/>
      <w:pPr>
        <w:ind w:left="771" w:hanging="360"/>
      </w:pPr>
      <w:rPr>
        <w:rFonts w:ascii="Symbol" w:hAnsi="Symbol" w:hint="default"/>
      </w:rPr>
    </w:lvl>
    <w:lvl w:ilvl="1" w:tplc="08090003" w:tentative="1">
      <w:start w:val="1"/>
      <w:numFmt w:val="bullet"/>
      <w:lvlText w:val="o"/>
      <w:lvlJc w:val="left"/>
      <w:pPr>
        <w:ind w:left="1491" w:hanging="360"/>
      </w:pPr>
      <w:rPr>
        <w:rFonts w:ascii="Courier New" w:hAnsi="Courier New" w:cs="Courier New" w:hint="default"/>
      </w:rPr>
    </w:lvl>
    <w:lvl w:ilvl="2" w:tplc="08090005" w:tentative="1">
      <w:start w:val="1"/>
      <w:numFmt w:val="bullet"/>
      <w:lvlText w:val=""/>
      <w:lvlJc w:val="left"/>
      <w:pPr>
        <w:ind w:left="2211" w:hanging="360"/>
      </w:pPr>
      <w:rPr>
        <w:rFonts w:ascii="Wingdings" w:hAnsi="Wingdings" w:hint="default"/>
      </w:rPr>
    </w:lvl>
    <w:lvl w:ilvl="3" w:tplc="08090001" w:tentative="1">
      <w:start w:val="1"/>
      <w:numFmt w:val="bullet"/>
      <w:lvlText w:val=""/>
      <w:lvlJc w:val="left"/>
      <w:pPr>
        <w:ind w:left="2931" w:hanging="360"/>
      </w:pPr>
      <w:rPr>
        <w:rFonts w:ascii="Symbol" w:hAnsi="Symbol" w:hint="default"/>
      </w:rPr>
    </w:lvl>
    <w:lvl w:ilvl="4" w:tplc="08090003" w:tentative="1">
      <w:start w:val="1"/>
      <w:numFmt w:val="bullet"/>
      <w:lvlText w:val="o"/>
      <w:lvlJc w:val="left"/>
      <w:pPr>
        <w:ind w:left="3651" w:hanging="360"/>
      </w:pPr>
      <w:rPr>
        <w:rFonts w:ascii="Courier New" w:hAnsi="Courier New" w:cs="Courier New" w:hint="default"/>
      </w:rPr>
    </w:lvl>
    <w:lvl w:ilvl="5" w:tplc="08090005" w:tentative="1">
      <w:start w:val="1"/>
      <w:numFmt w:val="bullet"/>
      <w:lvlText w:val=""/>
      <w:lvlJc w:val="left"/>
      <w:pPr>
        <w:ind w:left="4371" w:hanging="360"/>
      </w:pPr>
      <w:rPr>
        <w:rFonts w:ascii="Wingdings" w:hAnsi="Wingdings" w:hint="default"/>
      </w:rPr>
    </w:lvl>
    <w:lvl w:ilvl="6" w:tplc="08090001" w:tentative="1">
      <w:start w:val="1"/>
      <w:numFmt w:val="bullet"/>
      <w:lvlText w:val=""/>
      <w:lvlJc w:val="left"/>
      <w:pPr>
        <w:ind w:left="5091" w:hanging="360"/>
      </w:pPr>
      <w:rPr>
        <w:rFonts w:ascii="Symbol" w:hAnsi="Symbol" w:hint="default"/>
      </w:rPr>
    </w:lvl>
    <w:lvl w:ilvl="7" w:tplc="08090003" w:tentative="1">
      <w:start w:val="1"/>
      <w:numFmt w:val="bullet"/>
      <w:lvlText w:val="o"/>
      <w:lvlJc w:val="left"/>
      <w:pPr>
        <w:ind w:left="5811" w:hanging="360"/>
      </w:pPr>
      <w:rPr>
        <w:rFonts w:ascii="Courier New" w:hAnsi="Courier New" w:cs="Courier New" w:hint="default"/>
      </w:rPr>
    </w:lvl>
    <w:lvl w:ilvl="8" w:tplc="08090005" w:tentative="1">
      <w:start w:val="1"/>
      <w:numFmt w:val="bullet"/>
      <w:lvlText w:val=""/>
      <w:lvlJc w:val="left"/>
      <w:pPr>
        <w:ind w:left="6531" w:hanging="360"/>
      </w:pPr>
      <w:rPr>
        <w:rFonts w:ascii="Wingdings" w:hAnsi="Wingdings" w:hint="default"/>
      </w:rPr>
    </w:lvl>
  </w:abstractNum>
  <w:abstractNum w:abstractNumId="43" w15:restartNumberingAfterBreak="0">
    <w:nsid w:val="749F392C"/>
    <w:multiLevelType w:val="hybridMultilevel"/>
    <w:tmpl w:val="2D50B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7D33D7F"/>
    <w:multiLevelType w:val="multilevel"/>
    <w:tmpl w:val="F108482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788F47ED"/>
    <w:multiLevelType w:val="hybridMultilevel"/>
    <w:tmpl w:val="0062F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AB71CA2"/>
    <w:multiLevelType w:val="hybridMultilevel"/>
    <w:tmpl w:val="459619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F163A27"/>
    <w:multiLevelType w:val="hybridMultilevel"/>
    <w:tmpl w:val="328EF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F6642A3"/>
    <w:multiLevelType w:val="hybridMultilevel"/>
    <w:tmpl w:val="F3EEAAE8"/>
    <w:lvl w:ilvl="0" w:tplc="8170457C">
      <w:start w:val="1"/>
      <w:numFmt w:val="low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28"/>
  </w:num>
  <w:num w:numId="2">
    <w:abstractNumId w:val="21"/>
  </w:num>
  <w:num w:numId="3">
    <w:abstractNumId w:val="15"/>
  </w:num>
  <w:num w:numId="4">
    <w:abstractNumId w:val="10"/>
  </w:num>
  <w:num w:numId="5">
    <w:abstractNumId w:val="48"/>
  </w:num>
  <w:num w:numId="6">
    <w:abstractNumId w:val="4"/>
  </w:num>
  <w:num w:numId="7">
    <w:abstractNumId w:val="44"/>
  </w:num>
  <w:num w:numId="8">
    <w:abstractNumId w:val="37"/>
  </w:num>
  <w:num w:numId="9">
    <w:abstractNumId w:val="38"/>
  </w:num>
  <w:num w:numId="10">
    <w:abstractNumId w:val="40"/>
  </w:num>
  <w:num w:numId="11">
    <w:abstractNumId w:val="1"/>
  </w:num>
  <w:num w:numId="12">
    <w:abstractNumId w:val="41"/>
  </w:num>
  <w:num w:numId="13">
    <w:abstractNumId w:val="8"/>
    <w:lvlOverride w:ilvl="0">
      <w:lvl w:ilvl="0">
        <w:numFmt w:val="decimal"/>
        <w:lvlText w:val="%1."/>
        <w:lvlJc w:val="left"/>
      </w:lvl>
    </w:lvlOverride>
  </w:num>
  <w:num w:numId="14">
    <w:abstractNumId w:val="16"/>
    <w:lvlOverride w:ilvl="0">
      <w:lvl w:ilvl="0">
        <w:numFmt w:val="decimal"/>
        <w:lvlText w:val="%1."/>
        <w:lvlJc w:val="left"/>
      </w:lvl>
    </w:lvlOverride>
  </w:num>
  <w:num w:numId="15">
    <w:abstractNumId w:val="19"/>
    <w:lvlOverride w:ilvl="0">
      <w:lvl w:ilvl="0">
        <w:numFmt w:val="decimal"/>
        <w:lvlText w:val="%1."/>
        <w:lvlJc w:val="left"/>
      </w:lvl>
    </w:lvlOverride>
  </w:num>
  <w:num w:numId="16">
    <w:abstractNumId w:val="12"/>
    <w:lvlOverride w:ilvl="0">
      <w:lvl w:ilvl="0">
        <w:numFmt w:val="decimal"/>
        <w:lvlText w:val="%1."/>
        <w:lvlJc w:val="left"/>
      </w:lvl>
    </w:lvlOverride>
  </w:num>
  <w:num w:numId="17">
    <w:abstractNumId w:val="25"/>
  </w:num>
  <w:num w:numId="18">
    <w:abstractNumId w:val="36"/>
  </w:num>
  <w:num w:numId="19">
    <w:abstractNumId w:val="5"/>
  </w:num>
  <w:num w:numId="20">
    <w:abstractNumId w:val="46"/>
  </w:num>
  <w:num w:numId="21">
    <w:abstractNumId w:val="14"/>
  </w:num>
  <w:num w:numId="22">
    <w:abstractNumId w:val="22"/>
  </w:num>
  <w:num w:numId="23">
    <w:abstractNumId w:val="27"/>
  </w:num>
  <w:num w:numId="24">
    <w:abstractNumId w:val="7"/>
  </w:num>
  <w:num w:numId="25">
    <w:abstractNumId w:val="34"/>
  </w:num>
  <w:num w:numId="26">
    <w:abstractNumId w:val="0"/>
  </w:num>
  <w:num w:numId="27">
    <w:abstractNumId w:val="17"/>
  </w:num>
  <w:num w:numId="28">
    <w:abstractNumId w:val="30"/>
  </w:num>
  <w:num w:numId="29">
    <w:abstractNumId w:val="3"/>
  </w:num>
  <w:num w:numId="30">
    <w:abstractNumId w:val="13"/>
  </w:num>
  <w:num w:numId="31">
    <w:abstractNumId w:val="33"/>
  </w:num>
  <w:num w:numId="32">
    <w:abstractNumId w:val="45"/>
  </w:num>
  <w:num w:numId="33">
    <w:abstractNumId w:val="11"/>
  </w:num>
  <w:num w:numId="34">
    <w:abstractNumId w:val="47"/>
  </w:num>
  <w:num w:numId="35">
    <w:abstractNumId w:val="18"/>
  </w:num>
  <w:num w:numId="36">
    <w:abstractNumId w:val="6"/>
  </w:num>
  <w:num w:numId="37">
    <w:abstractNumId w:val="23"/>
  </w:num>
  <w:num w:numId="38">
    <w:abstractNumId w:val="42"/>
  </w:num>
  <w:num w:numId="39">
    <w:abstractNumId w:val="32"/>
  </w:num>
  <w:num w:numId="40">
    <w:abstractNumId w:val="43"/>
  </w:num>
  <w:num w:numId="41">
    <w:abstractNumId w:val="20"/>
  </w:num>
  <w:num w:numId="42">
    <w:abstractNumId w:val="35"/>
  </w:num>
  <w:num w:numId="43">
    <w:abstractNumId w:val="26"/>
  </w:num>
  <w:num w:numId="44">
    <w:abstractNumId w:val="31"/>
  </w:num>
  <w:num w:numId="45">
    <w:abstractNumId w:val="39"/>
  </w:num>
  <w:num w:numId="46">
    <w:abstractNumId w:val="9"/>
  </w:num>
  <w:num w:numId="47">
    <w:abstractNumId w:val="29"/>
  </w:num>
  <w:num w:numId="48">
    <w:abstractNumId w:val="2"/>
  </w:num>
  <w:num w:numId="4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3"/>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C5F"/>
    <w:rsid w:val="00000043"/>
    <w:rsid w:val="000017E0"/>
    <w:rsid w:val="0000216D"/>
    <w:rsid w:val="000027D1"/>
    <w:rsid w:val="000044A8"/>
    <w:rsid w:val="000049DF"/>
    <w:rsid w:val="00005E2F"/>
    <w:rsid w:val="00006814"/>
    <w:rsid w:val="00007A9D"/>
    <w:rsid w:val="00010CD8"/>
    <w:rsid w:val="000114AF"/>
    <w:rsid w:val="00011B8D"/>
    <w:rsid w:val="00017CF9"/>
    <w:rsid w:val="000218D1"/>
    <w:rsid w:val="00022F2F"/>
    <w:rsid w:val="000237A2"/>
    <w:rsid w:val="00024F2A"/>
    <w:rsid w:val="00025B2A"/>
    <w:rsid w:val="00025E1C"/>
    <w:rsid w:val="00027B78"/>
    <w:rsid w:val="00030A54"/>
    <w:rsid w:val="00030A92"/>
    <w:rsid w:val="00030C95"/>
    <w:rsid w:val="00031B8F"/>
    <w:rsid w:val="00033996"/>
    <w:rsid w:val="00034026"/>
    <w:rsid w:val="00034C9C"/>
    <w:rsid w:val="00035D51"/>
    <w:rsid w:val="00036A28"/>
    <w:rsid w:val="00036F08"/>
    <w:rsid w:val="0004089C"/>
    <w:rsid w:val="000426A3"/>
    <w:rsid w:val="00046EF2"/>
    <w:rsid w:val="00047250"/>
    <w:rsid w:val="000513F9"/>
    <w:rsid w:val="00051E13"/>
    <w:rsid w:val="00054937"/>
    <w:rsid w:val="000629B2"/>
    <w:rsid w:val="00062D70"/>
    <w:rsid w:val="000639E7"/>
    <w:rsid w:val="00064399"/>
    <w:rsid w:val="00066A61"/>
    <w:rsid w:val="00067871"/>
    <w:rsid w:val="0007178B"/>
    <w:rsid w:val="000737B6"/>
    <w:rsid w:val="0007585D"/>
    <w:rsid w:val="00076691"/>
    <w:rsid w:val="0008316E"/>
    <w:rsid w:val="00083C50"/>
    <w:rsid w:val="0008778E"/>
    <w:rsid w:val="0009003F"/>
    <w:rsid w:val="00090B40"/>
    <w:rsid w:val="00091060"/>
    <w:rsid w:val="00091C8B"/>
    <w:rsid w:val="00092AD9"/>
    <w:rsid w:val="00095D3F"/>
    <w:rsid w:val="000A394B"/>
    <w:rsid w:val="000A3E4F"/>
    <w:rsid w:val="000A55EE"/>
    <w:rsid w:val="000A5968"/>
    <w:rsid w:val="000A6CD8"/>
    <w:rsid w:val="000B18F4"/>
    <w:rsid w:val="000B2EE5"/>
    <w:rsid w:val="000B4D8F"/>
    <w:rsid w:val="000B4DE6"/>
    <w:rsid w:val="000C04FD"/>
    <w:rsid w:val="000C0C27"/>
    <w:rsid w:val="000C2355"/>
    <w:rsid w:val="000C7588"/>
    <w:rsid w:val="000C77A9"/>
    <w:rsid w:val="000D0B20"/>
    <w:rsid w:val="000D3747"/>
    <w:rsid w:val="000E3D88"/>
    <w:rsid w:val="000E6B12"/>
    <w:rsid w:val="000E6C5F"/>
    <w:rsid w:val="000E796D"/>
    <w:rsid w:val="000F3DD4"/>
    <w:rsid w:val="000F50F8"/>
    <w:rsid w:val="000F5189"/>
    <w:rsid w:val="001000EC"/>
    <w:rsid w:val="00101E79"/>
    <w:rsid w:val="00102533"/>
    <w:rsid w:val="0010422C"/>
    <w:rsid w:val="00104624"/>
    <w:rsid w:val="00104F90"/>
    <w:rsid w:val="001158BA"/>
    <w:rsid w:val="0012005E"/>
    <w:rsid w:val="0012065E"/>
    <w:rsid w:val="00121158"/>
    <w:rsid w:val="00122761"/>
    <w:rsid w:val="001232D0"/>
    <w:rsid w:val="0012386F"/>
    <w:rsid w:val="00123A17"/>
    <w:rsid w:val="001242B1"/>
    <w:rsid w:val="00124A17"/>
    <w:rsid w:val="00124AC2"/>
    <w:rsid w:val="00124D01"/>
    <w:rsid w:val="00126FFF"/>
    <w:rsid w:val="00131BA8"/>
    <w:rsid w:val="00140AEC"/>
    <w:rsid w:val="001414C8"/>
    <w:rsid w:val="0014191D"/>
    <w:rsid w:val="00143112"/>
    <w:rsid w:val="0014415B"/>
    <w:rsid w:val="00145E6E"/>
    <w:rsid w:val="001460CC"/>
    <w:rsid w:val="00146F3D"/>
    <w:rsid w:val="00147613"/>
    <w:rsid w:val="001479C3"/>
    <w:rsid w:val="00150F32"/>
    <w:rsid w:val="00151F25"/>
    <w:rsid w:val="0015333E"/>
    <w:rsid w:val="0015482F"/>
    <w:rsid w:val="00156440"/>
    <w:rsid w:val="00161AB0"/>
    <w:rsid w:val="00162BF4"/>
    <w:rsid w:val="00163299"/>
    <w:rsid w:val="00165BBC"/>
    <w:rsid w:val="00166080"/>
    <w:rsid w:val="00170935"/>
    <w:rsid w:val="001726D2"/>
    <w:rsid w:val="00172DBF"/>
    <w:rsid w:val="00174F18"/>
    <w:rsid w:val="001767E0"/>
    <w:rsid w:val="00177D48"/>
    <w:rsid w:val="001802B4"/>
    <w:rsid w:val="0018317C"/>
    <w:rsid w:val="0018380F"/>
    <w:rsid w:val="00186169"/>
    <w:rsid w:val="00187945"/>
    <w:rsid w:val="00195CC5"/>
    <w:rsid w:val="00197AC2"/>
    <w:rsid w:val="001A04CE"/>
    <w:rsid w:val="001A327A"/>
    <w:rsid w:val="001A39B5"/>
    <w:rsid w:val="001A6CE9"/>
    <w:rsid w:val="001A7119"/>
    <w:rsid w:val="001B41BB"/>
    <w:rsid w:val="001B4B5B"/>
    <w:rsid w:val="001B5388"/>
    <w:rsid w:val="001B6021"/>
    <w:rsid w:val="001B6166"/>
    <w:rsid w:val="001B73EF"/>
    <w:rsid w:val="001B7919"/>
    <w:rsid w:val="001C258B"/>
    <w:rsid w:val="001C35EB"/>
    <w:rsid w:val="001C3BB2"/>
    <w:rsid w:val="001C42F3"/>
    <w:rsid w:val="001C4C68"/>
    <w:rsid w:val="001C77E9"/>
    <w:rsid w:val="001C7A23"/>
    <w:rsid w:val="001D20BB"/>
    <w:rsid w:val="001D2E26"/>
    <w:rsid w:val="001D3CA1"/>
    <w:rsid w:val="001D4448"/>
    <w:rsid w:val="001D6E44"/>
    <w:rsid w:val="001E158F"/>
    <w:rsid w:val="001E3C24"/>
    <w:rsid w:val="001E5A21"/>
    <w:rsid w:val="001F1330"/>
    <w:rsid w:val="001F2230"/>
    <w:rsid w:val="001F2CBD"/>
    <w:rsid w:val="001F53C9"/>
    <w:rsid w:val="00202197"/>
    <w:rsid w:val="0020244B"/>
    <w:rsid w:val="00202A7B"/>
    <w:rsid w:val="00202ED6"/>
    <w:rsid w:val="0020317E"/>
    <w:rsid w:val="0020390D"/>
    <w:rsid w:val="00205131"/>
    <w:rsid w:val="00205D0E"/>
    <w:rsid w:val="00207E3B"/>
    <w:rsid w:val="00215C63"/>
    <w:rsid w:val="002162F9"/>
    <w:rsid w:val="002168BA"/>
    <w:rsid w:val="00220754"/>
    <w:rsid w:val="00221FE7"/>
    <w:rsid w:val="00222C3C"/>
    <w:rsid w:val="00224CE4"/>
    <w:rsid w:val="0022566F"/>
    <w:rsid w:val="002317B0"/>
    <w:rsid w:val="00232C62"/>
    <w:rsid w:val="00233593"/>
    <w:rsid w:val="002336CB"/>
    <w:rsid w:val="002345D0"/>
    <w:rsid w:val="0023677D"/>
    <w:rsid w:val="00240AF7"/>
    <w:rsid w:val="00241148"/>
    <w:rsid w:val="00242B0F"/>
    <w:rsid w:val="0024656F"/>
    <w:rsid w:val="00246FFC"/>
    <w:rsid w:val="00247764"/>
    <w:rsid w:val="00247C9B"/>
    <w:rsid w:val="002510DF"/>
    <w:rsid w:val="00255358"/>
    <w:rsid w:val="00256A89"/>
    <w:rsid w:val="00260B0C"/>
    <w:rsid w:val="00261A2D"/>
    <w:rsid w:val="002620C5"/>
    <w:rsid w:val="00262D1C"/>
    <w:rsid w:val="00263531"/>
    <w:rsid w:val="00265B7B"/>
    <w:rsid w:val="00265BB7"/>
    <w:rsid w:val="00265BE0"/>
    <w:rsid w:val="00270458"/>
    <w:rsid w:val="002709F0"/>
    <w:rsid w:val="00272B79"/>
    <w:rsid w:val="002737C5"/>
    <w:rsid w:val="0028299E"/>
    <w:rsid w:val="00290FFF"/>
    <w:rsid w:val="002918E3"/>
    <w:rsid w:val="00293014"/>
    <w:rsid w:val="00295759"/>
    <w:rsid w:val="00297023"/>
    <w:rsid w:val="002A0261"/>
    <w:rsid w:val="002A0E14"/>
    <w:rsid w:val="002A1B47"/>
    <w:rsid w:val="002A2661"/>
    <w:rsid w:val="002A3EB4"/>
    <w:rsid w:val="002A4485"/>
    <w:rsid w:val="002A498B"/>
    <w:rsid w:val="002A4CD6"/>
    <w:rsid w:val="002A4FD1"/>
    <w:rsid w:val="002A7FAF"/>
    <w:rsid w:val="002B1C54"/>
    <w:rsid w:val="002B403A"/>
    <w:rsid w:val="002B58B6"/>
    <w:rsid w:val="002B68D2"/>
    <w:rsid w:val="002B770D"/>
    <w:rsid w:val="002C12DF"/>
    <w:rsid w:val="002C1D46"/>
    <w:rsid w:val="002C4ECE"/>
    <w:rsid w:val="002C69A4"/>
    <w:rsid w:val="002D24A8"/>
    <w:rsid w:val="002D2524"/>
    <w:rsid w:val="002D3192"/>
    <w:rsid w:val="002D3B80"/>
    <w:rsid w:val="002D4DDB"/>
    <w:rsid w:val="002D561B"/>
    <w:rsid w:val="002D7992"/>
    <w:rsid w:val="002E08AF"/>
    <w:rsid w:val="002E2575"/>
    <w:rsid w:val="002E26DF"/>
    <w:rsid w:val="002E2BF0"/>
    <w:rsid w:val="002E37BF"/>
    <w:rsid w:val="002E5A33"/>
    <w:rsid w:val="002E6BDC"/>
    <w:rsid w:val="002F218C"/>
    <w:rsid w:val="002F2D95"/>
    <w:rsid w:val="002F5FAC"/>
    <w:rsid w:val="002F629C"/>
    <w:rsid w:val="002F68E8"/>
    <w:rsid w:val="002F7471"/>
    <w:rsid w:val="002F74F1"/>
    <w:rsid w:val="003011FF"/>
    <w:rsid w:val="00301D25"/>
    <w:rsid w:val="00307D7D"/>
    <w:rsid w:val="00310A97"/>
    <w:rsid w:val="003110C0"/>
    <w:rsid w:val="00311A2D"/>
    <w:rsid w:val="00311DFE"/>
    <w:rsid w:val="00312123"/>
    <w:rsid w:val="00314D23"/>
    <w:rsid w:val="0031587C"/>
    <w:rsid w:val="00315E8E"/>
    <w:rsid w:val="003205BB"/>
    <w:rsid w:val="00324E98"/>
    <w:rsid w:val="00325B70"/>
    <w:rsid w:val="003342A8"/>
    <w:rsid w:val="003421CF"/>
    <w:rsid w:val="003447D6"/>
    <w:rsid w:val="003456F8"/>
    <w:rsid w:val="00346256"/>
    <w:rsid w:val="003464B8"/>
    <w:rsid w:val="00346F86"/>
    <w:rsid w:val="00347BC1"/>
    <w:rsid w:val="00347D56"/>
    <w:rsid w:val="0035139C"/>
    <w:rsid w:val="003516B8"/>
    <w:rsid w:val="00353BB5"/>
    <w:rsid w:val="003555D1"/>
    <w:rsid w:val="003615D2"/>
    <w:rsid w:val="003616AD"/>
    <w:rsid w:val="00363919"/>
    <w:rsid w:val="00363B8D"/>
    <w:rsid w:val="00366640"/>
    <w:rsid w:val="00366760"/>
    <w:rsid w:val="00370D58"/>
    <w:rsid w:val="0037410F"/>
    <w:rsid w:val="00374B7E"/>
    <w:rsid w:val="003755C6"/>
    <w:rsid w:val="00376D53"/>
    <w:rsid w:val="00377E19"/>
    <w:rsid w:val="00382199"/>
    <w:rsid w:val="003823E2"/>
    <w:rsid w:val="00382B5E"/>
    <w:rsid w:val="00383A9D"/>
    <w:rsid w:val="003862CF"/>
    <w:rsid w:val="0038783B"/>
    <w:rsid w:val="0039520E"/>
    <w:rsid w:val="00395388"/>
    <w:rsid w:val="00397397"/>
    <w:rsid w:val="003974C9"/>
    <w:rsid w:val="003A0298"/>
    <w:rsid w:val="003A0B23"/>
    <w:rsid w:val="003A0C19"/>
    <w:rsid w:val="003A1BCB"/>
    <w:rsid w:val="003A1F3E"/>
    <w:rsid w:val="003A31D1"/>
    <w:rsid w:val="003A47E0"/>
    <w:rsid w:val="003A53D2"/>
    <w:rsid w:val="003A5C7A"/>
    <w:rsid w:val="003A64E9"/>
    <w:rsid w:val="003A7A15"/>
    <w:rsid w:val="003B03CC"/>
    <w:rsid w:val="003B0DD3"/>
    <w:rsid w:val="003B2281"/>
    <w:rsid w:val="003B31CC"/>
    <w:rsid w:val="003B5B23"/>
    <w:rsid w:val="003B618C"/>
    <w:rsid w:val="003B77B1"/>
    <w:rsid w:val="003B7898"/>
    <w:rsid w:val="003C1447"/>
    <w:rsid w:val="003C14F9"/>
    <w:rsid w:val="003C17A7"/>
    <w:rsid w:val="003C1D58"/>
    <w:rsid w:val="003C3F11"/>
    <w:rsid w:val="003C6B3F"/>
    <w:rsid w:val="003D13A5"/>
    <w:rsid w:val="003D665F"/>
    <w:rsid w:val="003D6A84"/>
    <w:rsid w:val="003E0584"/>
    <w:rsid w:val="003E2D15"/>
    <w:rsid w:val="003F2B62"/>
    <w:rsid w:val="003F3EFE"/>
    <w:rsid w:val="003F436D"/>
    <w:rsid w:val="003F4D29"/>
    <w:rsid w:val="003F5FB5"/>
    <w:rsid w:val="003F695F"/>
    <w:rsid w:val="003F734F"/>
    <w:rsid w:val="003F76C2"/>
    <w:rsid w:val="00404910"/>
    <w:rsid w:val="00406CA2"/>
    <w:rsid w:val="0041380B"/>
    <w:rsid w:val="004147A1"/>
    <w:rsid w:val="00414A17"/>
    <w:rsid w:val="00414D2E"/>
    <w:rsid w:val="00416E1C"/>
    <w:rsid w:val="00421AF3"/>
    <w:rsid w:val="00425345"/>
    <w:rsid w:val="00425F08"/>
    <w:rsid w:val="0042614E"/>
    <w:rsid w:val="00426BF4"/>
    <w:rsid w:val="00433285"/>
    <w:rsid w:val="00433344"/>
    <w:rsid w:val="004339DB"/>
    <w:rsid w:val="00433D49"/>
    <w:rsid w:val="00437670"/>
    <w:rsid w:val="004430DC"/>
    <w:rsid w:val="0044694A"/>
    <w:rsid w:val="00446DEA"/>
    <w:rsid w:val="00450596"/>
    <w:rsid w:val="004512B5"/>
    <w:rsid w:val="00452C48"/>
    <w:rsid w:val="00453364"/>
    <w:rsid w:val="00453A4E"/>
    <w:rsid w:val="00454DD3"/>
    <w:rsid w:val="0045576F"/>
    <w:rsid w:val="0045614F"/>
    <w:rsid w:val="00456A07"/>
    <w:rsid w:val="00457D59"/>
    <w:rsid w:val="004601FA"/>
    <w:rsid w:val="00465198"/>
    <w:rsid w:val="00466057"/>
    <w:rsid w:val="00466670"/>
    <w:rsid w:val="0047067E"/>
    <w:rsid w:val="004715C9"/>
    <w:rsid w:val="00475275"/>
    <w:rsid w:val="004755C1"/>
    <w:rsid w:val="00480611"/>
    <w:rsid w:val="00480DED"/>
    <w:rsid w:val="00482888"/>
    <w:rsid w:val="00486C17"/>
    <w:rsid w:val="0049053E"/>
    <w:rsid w:val="00490641"/>
    <w:rsid w:val="0049163D"/>
    <w:rsid w:val="00492D32"/>
    <w:rsid w:val="004936F2"/>
    <w:rsid w:val="00493B72"/>
    <w:rsid w:val="004A0A8C"/>
    <w:rsid w:val="004A203B"/>
    <w:rsid w:val="004A4FF9"/>
    <w:rsid w:val="004A6F45"/>
    <w:rsid w:val="004B030D"/>
    <w:rsid w:val="004B04CD"/>
    <w:rsid w:val="004B0944"/>
    <w:rsid w:val="004B2F00"/>
    <w:rsid w:val="004B3544"/>
    <w:rsid w:val="004C09F8"/>
    <w:rsid w:val="004C1816"/>
    <w:rsid w:val="004C1946"/>
    <w:rsid w:val="004C37D4"/>
    <w:rsid w:val="004C5EEB"/>
    <w:rsid w:val="004C61C3"/>
    <w:rsid w:val="004C6823"/>
    <w:rsid w:val="004D09E5"/>
    <w:rsid w:val="004D202B"/>
    <w:rsid w:val="004D3F18"/>
    <w:rsid w:val="004D6515"/>
    <w:rsid w:val="004D794A"/>
    <w:rsid w:val="004E33C7"/>
    <w:rsid w:val="004E672F"/>
    <w:rsid w:val="004E742F"/>
    <w:rsid w:val="004E76A0"/>
    <w:rsid w:val="004F026C"/>
    <w:rsid w:val="004F17D3"/>
    <w:rsid w:val="004F3094"/>
    <w:rsid w:val="005007C8"/>
    <w:rsid w:val="00502532"/>
    <w:rsid w:val="005031AB"/>
    <w:rsid w:val="0050360A"/>
    <w:rsid w:val="00503B9E"/>
    <w:rsid w:val="00503ED8"/>
    <w:rsid w:val="00505F38"/>
    <w:rsid w:val="0050609B"/>
    <w:rsid w:val="0050648F"/>
    <w:rsid w:val="005072CF"/>
    <w:rsid w:val="00507463"/>
    <w:rsid w:val="0051073B"/>
    <w:rsid w:val="005112D8"/>
    <w:rsid w:val="0051175F"/>
    <w:rsid w:val="005148A0"/>
    <w:rsid w:val="00514F3C"/>
    <w:rsid w:val="00516682"/>
    <w:rsid w:val="00516962"/>
    <w:rsid w:val="00517C29"/>
    <w:rsid w:val="00520198"/>
    <w:rsid w:val="005205EF"/>
    <w:rsid w:val="00520B96"/>
    <w:rsid w:val="00525B4A"/>
    <w:rsid w:val="00526053"/>
    <w:rsid w:val="00526319"/>
    <w:rsid w:val="00530B22"/>
    <w:rsid w:val="00530E47"/>
    <w:rsid w:val="005317E5"/>
    <w:rsid w:val="00531E6B"/>
    <w:rsid w:val="0053258F"/>
    <w:rsid w:val="00535A36"/>
    <w:rsid w:val="00537920"/>
    <w:rsid w:val="005401BE"/>
    <w:rsid w:val="00540CF6"/>
    <w:rsid w:val="00542D42"/>
    <w:rsid w:val="00543BB3"/>
    <w:rsid w:val="00544184"/>
    <w:rsid w:val="0054480B"/>
    <w:rsid w:val="005454D5"/>
    <w:rsid w:val="005476CA"/>
    <w:rsid w:val="005502B2"/>
    <w:rsid w:val="005536AE"/>
    <w:rsid w:val="00553DAF"/>
    <w:rsid w:val="00553F71"/>
    <w:rsid w:val="00554738"/>
    <w:rsid w:val="005571C4"/>
    <w:rsid w:val="00557BB4"/>
    <w:rsid w:val="00561F38"/>
    <w:rsid w:val="00561F49"/>
    <w:rsid w:val="00562B83"/>
    <w:rsid w:val="00564314"/>
    <w:rsid w:val="005643C6"/>
    <w:rsid w:val="00565EE0"/>
    <w:rsid w:val="00566647"/>
    <w:rsid w:val="00571F69"/>
    <w:rsid w:val="00574F0C"/>
    <w:rsid w:val="005839FE"/>
    <w:rsid w:val="00584B13"/>
    <w:rsid w:val="00585E3E"/>
    <w:rsid w:val="0059041C"/>
    <w:rsid w:val="00590901"/>
    <w:rsid w:val="00590AAC"/>
    <w:rsid w:val="00591990"/>
    <w:rsid w:val="00595998"/>
    <w:rsid w:val="005960D9"/>
    <w:rsid w:val="00597987"/>
    <w:rsid w:val="00597AE4"/>
    <w:rsid w:val="005A01A2"/>
    <w:rsid w:val="005A041E"/>
    <w:rsid w:val="005A1F82"/>
    <w:rsid w:val="005A20A8"/>
    <w:rsid w:val="005A5873"/>
    <w:rsid w:val="005A7A14"/>
    <w:rsid w:val="005B0A13"/>
    <w:rsid w:val="005B1160"/>
    <w:rsid w:val="005B3AAD"/>
    <w:rsid w:val="005B41BE"/>
    <w:rsid w:val="005B7F29"/>
    <w:rsid w:val="005C0CCA"/>
    <w:rsid w:val="005C20B7"/>
    <w:rsid w:val="005C32E2"/>
    <w:rsid w:val="005C401C"/>
    <w:rsid w:val="005C519B"/>
    <w:rsid w:val="005D082A"/>
    <w:rsid w:val="005D0B0F"/>
    <w:rsid w:val="005D0D2E"/>
    <w:rsid w:val="005D1C31"/>
    <w:rsid w:val="005D2029"/>
    <w:rsid w:val="005D3072"/>
    <w:rsid w:val="005D3907"/>
    <w:rsid w:val="005D61B9"/>
    <w:rsid w:val="005E0A88"/>
    <w:rsid w:val="005E2ABB"/>
    <w:rsid w:val="005E3D03"/>
    <w:rsid w:val="005E4E53"/>
    <w:rsid w:val="005F0E4F"/>
    <w:rsid w:val="005F2903"/>
    <w:rsid w:val="005F4335"/>
    <w:rsid w:val="005F4E55"/>
    <w:rsid w:val="005F65CB"/>
    <w:rsid w:val="0060133F"/>
    <w:rsid w:val="00605E77"/>
    <w:rsid w:val="00607CCC"/>
    <w:rsid w:val="00613297"/>
    <w:rsid w:val="00614D87"/>
    <w:rsid w:val="00616488"/>
    <w:rsid w:val="00616742"/>
    <w:rsid w:val="00621676"/>
    <w:rsid w:val="00624F6E"/>
    <w:rsid w:val="006257D8"/>
    <w:rsid w:val="00634334"/>
    <w:rsid w:val="006343FC"/>
    <w:rsid w:val="00640E37"/>
    <w:rsid w:val="00641691"/>
    <w:rsid w:val="00641A4E"/>
    <w:rsid w:val="00642C8B"/>
    <w:rsid w:val="00644902"/>
    <w:rsid w:val="00645C4E"/>
    <w:rsid w:val="006461D7"/>
    <w:rsid w:val="0065168A"/>
    <w:rsid w:val="00654C02"/>
    <w:rsid w:val="006552B7"/>
    <w:rsid w:val="006567A4"/>
    <w:rsid w:val="00657EB6"/>
    <w:rsid w:val="00660850"/>
    <w:rsid w:val="0066174A"/>
    <w:rsid w:val="00662D94"/>
    <w:rsid w:val="0066441B"/>
    <w:rsid w:val="006657F9"/>
    <w:rsid w:val="006669CA"/>
    <w:rsid w:val="00670C20"/>
    <w:rsid w:val="00671D80"/>
    <w:rsid w:val="00672D96"/>
    <w:rsid w:val="00673224"/>
    <w:rsid w:val="00674215"/>
    <w:rsid w:val="0067561B"/>
    <w:rsid w:val="00675EA8"/>
    <w:rsid w:val="0068003B"/>
    <w:rsid w:val="00680164"/>
    <w:rsid w:val="00680E38"/>
    <w:rsid w:val="00680F64"/>
    <w:rsid w:val="00681B13"/>
    <w:rsid w:val="00681BE0"/>
    <w:rsid w:val="006857EB"/>
    <w:rsid w:val="00691DCE"/>
    <w:rsid w:val="0069229B"/>
    <w:rsid w:val="00692DA7"/>
    <w:rsid w:val="00693CC3"/>
    <w:rsid w:val="00696785"/>
    <w:rsid w:val="00696CCB"/>
    <w:rsid w:val="00696DDE"/>
    <w:rsid w:val="00697382"/>
    <w:rsid w:val="006A2585"/>
    <w:rsid w:val="006A5538"/>
    <w:rsid w:val="006A6B22"/>
    <w:rsid w:val="006A739C"/>
    <w:rsid w:val="006A7463"/>
    <w:rsid w:val="006B5208"/>
    <w:rsid w:val="006B7CB9"/>
    <w:rsid w:val="006C10B5"/>
    <w:rsid w:val="006C616B"/>
    <w:rsid w:val="006C66E0"/>
    <w:rsid w:val="006D042C"/>
    <w:rsid w:val="006D1DE5"/>
    <w:rsid w:val="006D55EF"/>
    <w:rsid w:val="006D66E6"/>
    <w:rsid w:val="006D72D0"/>
    <w:rsid w:val="006E029E"/>
    <w:rsid w:val="006E1A19"/>
    <w:rsid w:val="006E1FF1"/>
    <w:rsid w:val="006E3246"/>
    <w:rsid w:val="006E42C1"/>
    <w:rsid w:val="006E5257"/>
    <w:rsid w:val="006E65F0"/>
    <w:rsid w:val="006F08EA"/>
    <w:rsid w:val="006F31BA"/>
    <w:rsid w:val="00702ECD"/>
    <w:rsid w:val="007059AA"/>
    <w:rsid w:val="0070765D"/>
    <w:rsid w:val="00711A10"/>
    <w:rsid w:val="00712057"/>
    <w:rsid w:val="00712223"/>
    <w:rsid w:val="0071585F"/>
    <w:rsid w:val="0072045A"/>
    <w:rsid w:val="007208FF"/>
    <w:rsid w:val="00720A1E"/>
    <w:rsid w:val="00720A45"/>
    <w:rsid w:val="007218B3"/>
    <w:rsid w:val="00721C3B"/>
    <w:rsid w:val="00725540"/>
    <w:rsid w:val="007322BD"/>
    <w:rsid w:val="00732E9A"/>
    <w:rsid w:val="00734DB3"/>
    <w:rsid w:val="0073714A"/>
    <w:rsid w:val="007404CE"/>
    <w:rsid w:val="00742D51"/>
    <w:rsid w:val="00745B73"/>
    <w:rsid w:val="00746EE7"/>
    <w:rsid w:val="0075294B"/>
    <w:rsid w:val="00755AE0"/>
    <w:rsid w:val="007569AF"/>
    <w:rsid w:val="00761282"/>
    <w:rsid w:val="00765D7B"/>
    <w:rsid w:val="0076610E"/>
    <w:rsid w:val="00766204"/>
    <w:rsid w:val="00766D8A"/>
    <w:rsid w:val="0077043C"/>
    <w:rsid w:val="007707BF"/>
    <w:rsid w:val="00770931"/>
    <w:rsid w:val="0077248D"/>
    <w:rsid w:val="007731E2"/>
    <w:rsid w:val="00773BF8"/>
    <w:rsid w:val="0077426F"/>
    <w:rsid w:val="00774C39"/>
    <w:rsid w:val="00782544"/>
    <w:rsid w:val="00782B7F"/>
    <w:rsid w:val="00782F06"/>
    <w:rsid w:val="007851B1"/>
    <w:rsid w:val="00786619"/>
    <w:rsid w:val="007903DC"/>
    <w:rsid w:val="00792220"/>
    <w:rsid w:val="00793964"/>
    <w:rsid w:val="007940CD"/>
    <w:rsid w:val="007941D7"/>
    <w:rsid w:val="00794367"/>
    <w:rsid w:val="0079566A"/>
    <w:rsid w:val="0079588B"/>
    <w:rsid w:val="007A2B66"/>
    <w:rsid w:val="007A6F6C"/>
    <w:rsid w:val="007A7A81"/>
    <w:rsid w:val="007B0600"/>
    <w:rsid w:val="007B38B9"/>
    <w:rsid w:val="007B7870"/>
    <w:rsid w:val="007B78B5"/>
    <w:rsid w:val="007C1CD0"/>
    <w:rsid w:val="007C23BB"/>
    <w:rsid w:val="007C448A"/>
    <w:rsid w:val="007C545B"/>
    <w:rsid w:val="007D0CE0"/>
    <w:rsid w:val="007D249D"/>
    <w:rsid w:val="007D32F2"/>
    <w:rsid w:val="007D54CB"/>
    <w:rsid w:val="007D572F"/>
    <w:rsid w:val="007D6014"/>
    <w:rsid w:val="007D688C"/>
    <w:rsid w:val="007E08AF"/>
    <w:rsid w:val="007E1A49"/>
    <w:rsid w:val="007E2AEA"/>
    <w:rsid w:val="007E2AF0"/>
    <w:rsid w:val="007E4751"/>
    <w:rsid w:val="007E7C79"/>
    <w:rsid w:val="007F2BCD"/>
    <w:rsid w:val="007F52FC"/>
    <w:rsid w:val="007F5A40"/>
    <w:rsid w:val="00801E66"/>
    <w:rsid w:val="00803488"/>
    <w:rsid w:val="00814551"/>
    <w:rsid w:val="00817D41"/>
    <w:rsid w:val="00820490"/>
    <w:rsid w:val="00822122"/>
    <w:rsid w:val="008261CB"/>
    <w:rsid w:val="0082656E"/>
    <w:rsid w:val="008300A3"/>
    <w:rsid w:val="008327BA"/>
    <w:rsid w:val="00832B58"/>
    <w:rsid w:val="00832BBF"/>
    <w:rsid w:val="0083391A"/>
    <w:rsid w:val="008345E1"/>
    <w:rsid w:val="008366E3"/>
    <w:rsid w:val="00840651"/>
    <w:rsid w:val="00840950"/>
    <w:rsid w:val="008433D5"/>
    <w:rsid w:val="0084429D"/>
    <w:rsid w:val="00844518"/>
    <w:rsid w:val="0085315E"/>
    <w:rsid w:val="00853434"/>
    <w:rsid w:val="00853979"/>
    <w:rsid w:val="008579DB"/>
    <w:rsid w:val="00866218"/>
    <w:rsid w:val="0087148D"/>
    <w:rsid w:val="008772FE"/>
    <w:rsid w:val="00877612"/>
    <w:rsid w:val="00880977"/>
    <w:rsid w:val="00880D53"/>
    <w:rsid w:val="0088133D"/>
    <w:rsid w:val="00881356"/>
    <w:rsid w:val="008826D3"/>
    <w:rsid w:val="008844E6"/>
    <w:rsid w:val="00884ADC"/>
    <w:rsid w:val="0088564A"/>
    <w:rsid w:val="00887230"/>
    <w:rsid w:val="00887510"/>
    <w:rsid w:val="008A087E"/>
    <w:rsid w:val="008A1914"/>
    <w:rsid w:val="008A4BB2"/>
    <w:rsid w:val="008A553E"/>
    <w:rsid w:val="008A58E1"/>
    <w:rsid w:val="008A6E89"/>
    <w:rsid w:val="008B34B4"/>
    <w:rsid w:val="008B7152"/>
    <w:rsid w:val="008C1C12"/>
    <w:rsid w:val="008C2151"/>
    <w:rsid w:val="008C2428"/>
    <w:rsid w:val="008C33F7"/>
    <w:rsid w:val="008C4D2B"/>
    <w:rsid w:val="008C6CD4"/>
    <w:rsid w:val="008C6DC1"/>
    <w:rsid w:val="008C7BB1"/>
    <w:rsid w:val="008D11CE"/>
    <w:rsid w:val="008D16D6"/>
    <w:rsid w:val="008D24EF"/>
    <w:rsid w:val="008D48FA"/>
    <w:rsid w:val="008D4AB7"/>
    <w:rsid w:val="008D5C24"/>
    <w:rsid w:val="008E350D"/>
    <w:rsid w:val="008E3E28"/>
    <w:rsid w:val="008E3E72"/>
    <w:rsid w:val="008E610C"/>
    <w:rsid w:val="008E70CC"/>
    <w:rsid w:val="008F0E57"/>
    <w:rsid w:val="008F3422"/>
    <w:rsid w:val="008F5012"/>
    <w:rsid w:val="008F5047"/>
    <w:rsid w:val="008F60A6"/>
    <w:rsid w:val="008F664A"/>
    <w:rsid w:val="0090090F"/>
    <w:rsid w:val="009073CE"/>
    <w:rsid w:val="009077ED"/>
    <w:rsid w:val="009100B8"/>
    <w:rsid w:val="0091141B"/>
    <w:rsid w:val="0091165D"/>
    <w:rsid w:val="009130E8"/>
    <w:rsid w:val="00914CFC"/>
    <w:rsid w:val="009156AB"/>
    <w:rsid w:val="00916387"/>
    <w:rsid w:val="00921414"/>
    <w:rsid w:val="00923904"/>
    <w:rsid w:val="0092391A"/>
    <w:rsid w:val="00923DBC"/>
    <w:rsid w:val="00924D66"/>
    <w:rsid w:val="00925EDA"/>
    <w:rsid w:val="00932038"/>
    <w:rsid w:val="00932E39"/>
    <w:rsid w:val="00936B40"/>
    <w:rsid w:val="00941B65"/>
    <w:rsid w:val="009425B2"/>
    <w:rsid w:val="00942A27"/>
    <w:rsid w:val="00943BB1"/>
    <w:rsid w:val="00947EBA"/>
    <w:rsid w:val="00952393"/>
    <w:rsid w:val="00953B4C"/>
    <w:rsid w:val="00954FE0"/>
    <w:rsid w:val="00960448"/>
    <w:rsid w:val="00964296"/>
    <w:rsid w:val="009645DF"/>
    <w:rsid w:val="009655A8"/>
    <w:rsid w:val="0096633F"/>
    <w:rsid w:val="00966FA5"/>
    <w:rsid w:val="00971342"/>
    <w:rsid w:val="00971ECA"/>
    <w:rsid w:val="00973CA8"/>
    <w:rsid w:val="0097486B"/>
    <w:rsid w:val="00981934"/>
    <w:rsid w:val="00987E51"/>
    <w:rsid w:val="00991585"/>
    <w:rsid w:val="00992088"/>
    <w:rsid w:val="009935B1"/>
    <w:rsid w:val="0099557E"/>
    <w:rsid w:val="00995807"/>
    <w:rsid w:val="009A0137"/>
    <w:rsid w:val="009A1371"/>
    <w:rsid w:val="009A1E22"/>
    <w:rsid w:val="009A35A5"/>
    <w:rsid w:val="009A3E58"/>
    <w:rsid w:val="009A5DC9"/>
    <w:rsid w:val="009A7C07"/>
    <w:rsid w:val="009B2A05"/>
    <w:rsid w:val="009B49C0"/>
    <w:rsid w:val="009B7A0E"/>
    <w:rsid w:val="009B7B6E"/>
    <w:rsid w:val="009C0BEA"/>
    <w:rsid w:val="009C23CD"/>
    <w:rsid w:val="009C4553"/>
    <w:rsid w:val="009C4761"/>
    <w:rsid w:val="009C5642"/>
    <w:rsid w:val="009C56AF"/>
    <w:rsid w:val="009D420C"/>
    <w:rsid w:val="009D42D9"/>
    <w:rsid w:val="009D6736"/>
    <w:rsid w:val="009D77E5"/>
    <w:rsid w:val="009E3009"/>
    <w:rsid w:val="009E3C29"/>
    <w:rsid w:val="009E475E"/>
    <w:rsid w:val="009E7AE4"/>
    <w:rsid w:val="009E7DA7"/>
    <w:rsid w:val="009F1425"/>
    <w:rsid w:val="009F7DE8"/>
    <w:rsid w:val="00A00E9E"/>
    <w:rsid w:val="00A03081"/>
    <w:rsid w:val="00A04F8D"/>
    <w:rsid w:val="00A06CCF"/>
    <w:rsid w:val="00A118C4"/>
    <w:rsid w:val="00A1492B"/>
    <w:rsid w:val="00A14B2A"/>
    <w:rsid w:val="00A16497"/>
    <w:rsid w:val="00A22529"/>
    <w:rsid w:val="00A229C2"/>
    <w:rsid w:val="00A23D51"/>
    <w:rsid w:val="00A2417A"/>
    <w:rsid w:val="00A2509F"/>
    <w:rsid w:val="00A25828"/>
    <w:rsid w:val="00A301C8"/>
    <w:rsid w:val="00A31CD8"/>
    <w:rsid w:val="00A320CA"/>
    <w:rsid w:val="00A3247F"/>
    <w:rsid w:val="00A40698"/>
    <w:rsid w:val="00A40B46"/>
    <w:rsid w:val="00A40F78"/>
    <w:rsid w:val="00A439BD"/>
    <w:rsid w:val="00A43CAF"/>
    <w:rsid w:val="00A44FDD"/>
    <w:rsid w:val="00A463DC"/>
    <w:rsid w:val="00A46B00"/>
    <w:rsid w:val="00A476C2"/>
    <w:rsid w:val="00A5020C"/>
    <w:rsid w:val="00A51EC7"/>
    <w:rsid w:val="00A52EB2"/>
    <w:rsid w:val="00A539FD"/>
    <w:rsid w:val="00A557C1"/>
    <w:rsid w:val="00A565E2"/>
    <w:rsid w:val="00A67008"/>
    <w:rsid w:val="00A71A54"/>
    <w:rsid w:val="00A73337"/>
    <w:rsid w:val="00A776AB"/>
    <w:rsid w:val="00A82363"/>
    <w:rsid w:val="00A84352"/>
    <w:rsid w:val="00A85D30"/>
    <w:rsid w:val="00A862DD"/>
    <w:rsid w:val="00A87F18"/>
    <w:rsid w:val="00A90288"/>
    <w:rsid w:val="00A916BD"/>
    <w:rsid w:val="00A91D49"/>
    <w:rsid w:val="00A91EA4"/>
    <w:rsid w:val="00A922BC"/>
    <w:rsid w:val="00A9383A"/>
    <w:rsid w:val="00A955CE"/>
    <w:rsid w:val="00AA0562"/>
    <w:rsid w:val="00AA2007"/>
    <w:rsid w:val="00AA2C43"/>
    <w:rsid w:val="00AA32CB"/>
    <w:rsid w:val="00AA36D4"/>
    <w:rsid w:val="00AA3D7D"/>
    <w:rsid w:val="00AA417C"/>
    <w:rsid w:val="00AA4B5D"/>
    <w:rsid w:val="00AA5368"/>
    <w:rsid w:val="00AA688E"/>
    <w:rsid w:val="00AA77B0"/>
    <w:rsid w:val="00AB0727"/>
    <w:rsid w:val="00AB08DD"/>
    <w:rsid w:val="00AB10A5"/>
    <w:rsid w:val="00AB1441"/>
    <w:rsid w:val="00AB1888"/>
    <w:rsid w:val="00AB2B0F"/>
    <w:rsid w:val="00AB30BF"/>
    <w:rsid w:val="00AB3803"/>
    <w:rsid w:val="00AB4C9A"/>
    <w:rsid w:val="00AB6F41"/>
    <w:rsid w:val="00AD00DA"/>
    <w:rsid w:val="00AD055A"/>
    <w:rsid w:val="00AD32A3"/>
    <w:rsid w:val="00AD40B7"/>
    <w:rsid w:val="00AD5B72"/>
    <w:rsid w:val="00AD75A1"/>
    <w:rsid w:val="00AD76E2"/>
    <w:rsid w:val="00AE395A"/>
    <w:rsid w:val="00AE3F66"/>
    <w:rsid w:val="00AE50F1"/>
    <w:rsid w:val="00AF121F"/>
    <w:rsid w:val="00AF2C76"/>
    <w:rsid w:val="00B0114A"/>
    <w:rsid w:val="00B01B02"/>
    <w:rsid w:val="00B01CAE"/>
    <w:rsid w:val="00B02264"/>
    <w:rsid w:val="00B0490A"/>
    <w:rsid w:val="00B04AC9"/>
    <w:rsid w:val="00B0566A"/>
    <w:rsid w:val="00B1551F"/>
    <w:rsid w:val="00B16B75"/>
    <w:rsid w:val="00B20E9E"/>
    <w:rsid w:val="00B2186F"/>
    <w:rsid w:val="00B22CF8"/>
    <w:rsid w:val="00B2379C"/>
    <w:rsid w:val="00B259A8"/>
    <w:rsid w:val="00B259EA"/>
    <w:rsid w:val="00B25AAF"/>
    <w:rsid w:val="00B26328"/>
    <w:rsid w:val="00B30386"/>
    <w:rsid w:val="00B3100C"/>
    <w:rsid w:val="00B32548"/>
    <w:rsid w:val="00B346C0"/>
    <w:rsid w:val="00B36B12"/>
    <w:rsid w:val="00B37700"/>
    <w:rsid w:val="00B412A7"/>
    <w:rsid w:val="00B4190F"/>
    <w:rsid w:val="00B43424"/>
    <w:rsid w:val="00B44305"/>
    <w:rsid w:val="00B44E06"/>
    <w:rsid w:val="00B458F1"/>
    <w:rsid w:val="00B51F0B"/>
    <w:rsid w:val="00B52DFD"/>
    <w:rsid w:val="00B55D62"/>
    <w:rsid w:val="00B564DD"/>
    <w:rsid w:val="00B566EE"/>
    <w:rsid w:val="00B56FD6"/>
    <w:rsid w:val="00B57483"/>
    <w:rsid w:val="00B63E8D"/>
    <w:rsid w:val="00B65715"/>
    <w:rsid w:val="00B66867"/>
    <w:rsid w:val="00B67832"/>
    <w:rsid w:val="00B725D8"/>
    <w:rsid w:val="00B747B7"/>
    <w:rsid w:val="00B754CB"/>
    <w:rsid w:val="00B76447"/>
    <w:rsid w:val="00B8059D"/>
    <w:rsid w:val="00B813BB"/>
    <w:rsid w:val="00B84400"/>
    <w:rsid w:val="00B8703A"/>
    <w:rsid w:val="00B87D1D"/>
    <w:rsid w:val="00B93D3A"/>
    <w:rsid w:val="00B94370"/>
    <w:rsid w:val="00B94766"/>
    <w:rsid w:val="00B9540B"/>
    <w:rsid w:val="00B96992"/>
    <w:rsid w:val="00BA0766"/>
    <w:rsid w:val="00BA0A10"/>
    <w:rsid w:val="00BA1ECC"/>
    <w:rsid w:val="00BA28F1"/>
    <w:rsid w:val="00BA2B4E"/>
    <w:rsid w:val="00BA547E"/>
    <w:rsid w:val="00BB13D6"/>
    <w:rsid w:val="00BB24B2"/>
    <w:rsid w:val="00BB3DDB"/>
    <w:rsid w:val="00BB423B"/>
    <w:rsid w:val="00BB5E6D"/>
    <w:rsid w:val="00BC015A"/>
    <w:rsid w:val="00BC1D75"/>
    <w:rsid w:val="00BC5552"/>
    <w:rsid w:val="00BC6A92"/>
    <w:rsid w:val="00BD0181"/>
    <w:rsid w:val="00BD1015"/>
    <w:rsid w:val="00BD3D48"/>
    <w:rsid w:val="00BD5358"/>
    <w:rsid w:val="00BD7293"/>
    <w:rsid w:val="00BE1250"/>
    <w:rsid w:val="00BE3BDD"/>
    <w:rsid w:val="00BE44B1"/>
    <w:rsid w:val="00BE5155"/>
    <w:rsid w:val="00BE7F1E"/>
    <w:rsid w:val="00BF022F"/>
    <w:rsid w:val="00BF0714"/>
    <w:rsid w:val="00BF3D3C"/>
    <w:rsid w:val="00C00188"/>
    <w:rsid w:val="00C0039F"/>
    <w:rsid w:val="00C00618"/>
    <w:rsid w:val="00C02D53"/>
    <w:rsid w:val="00C02F41"/>
    <w:rsid w:val="00C03552"/>
    <w:rsid w:val="00C03A23"/>
    <w:rsid w:val="00C042B1"/>
    <w:rsid w:val="00C046BD"/>
    <w:rsid w:val="00C07718"/>
    <w:rsid w:val="00C11BA5"/>
    <w:rsid w:val="00C134FF"/>
    <w:rsid w:val="00C13630"/>
    <w:rsid w:val="00C164F2"/>
    <w:rsid w:val="00C22270"/>
    <w:rsid w:val="00C2328D"/>
    <w:rsid w:val="00C23DC8"/>
    <w:rsid w:val="00C25DD2"/>
    <w:rsid w:val="00C26679"/>
    <w:rsid w:val="00C30B34"/>
    <w:rsid w:val="00C316BC"/>
    <w:rsid w:val="00C32A19"/>
    <w:rsid w:val="00C32A40"/>
    <w:rsid w:val="00C32F98"/>
    <w:rsid w:val="00C34D61"/>
    <w:rsid w:val="00C3611E"/>
    <w:rsid w:val="00C36823"/>
    <w:rsid w:val="00C37D80"/>
    <w:rsid w:val="00C405E5"/>
    <w:rsid w:val="00C4291A"/>
    <w:rsid w:val="00C441D3"/>
    <w:rsid w:val="00C4505F"/>
    <w:rsid w:val="00C46BD8"/>
    <w:rsid w:val="00C52F4F"/>
    <w:rsid w:val="00C54E56"/>
    <w:rsid w:val="00C54F26"/>
    <w:rsid w:val="00C569B1"/>
    <w:rsid w:val="00C61D61"/>
    <w:rsid w:val="00C62EB8"/>
    <w:rsid w:val="00C63627"/>
    <w:rsid w:val="00C63749"/>
    <w:rsid w:val="00C64B10"/>
    <w:rsid w:val="00C65ED0"/>
    <w:rsid w:val="00C67B10"/>
    <w:rsid w:val="00C70011"/>
    <w:rsid w:val="00C72A64"/>
    <w:rsid w:val="00C73CF5"/>
    <w:rsid w:val="00C73D65"/>
    <w:rsid w:val="00C748CF"/>
    <w:rsid w:val="00C75CCB"/>
    <w:rsid w:val="00C76B3E"/>
    <w:rsid w:val="00C823C5"/>
    <w:rsid w:val="00C82688"/>
    <w:rsid w:val="00C85D8A"/>
    <w:rsid w:val="00C8698F"/>
    <w:rsid w:val="00C87EBD"/>
    <w:rsid w:val="00C90787"/>
    <w:rsid w:val="00C91E1A"/>
    <w:rsid w:val="00C95B17"/>
    <w:rsid w:val="00C95BC8"/>
    <w:rsid w:val="00CA1DA6"/>
    <w:rsid w:val="00CA1E29"/>
    <w:rsid w:val="00CA23C7"/>
    <w:rsid w:val="00CA4CC3"/>
    <w:rsid w:val="00CA5388"/>
    <w:rsid w:val="00CA64EA"/>
    <w:rsid w:val="00CB5455"/>
    <w:rsid w:val="00CC334C"/>
    <w:rsid w:val="00CC39A5"/>
    <w:rsid w:val="00CC3E98"/>
    <w:rsid w:val="00CC4CA6"/>
    <w:rsid w:val="00CC6E0F"/>
    <w:rsid w:val="00CD0918"/>
    <w:rsid w:val="00CD50E8"/>
    <w:rsid w:val="00CD528D"/>
    <w:rsid w:val="00CD7917"/>
    <w:rsid w:val="00CE3403"/>
    <w:rsid w:val="00CE4300"/>
    <w:rsid w:val="00CE5AD7"/>
    <w:rsid w:val="00CF143A"/>
    <w:rsid w:val="00CF153F"/>
    <w:rsid w:val="00CF39B8"/>
    <w:rsid w:val="00CF7D80"/>
    <w:rsid w:val="00D005D6"/>
    <w:rsid w:val="00D00EC2"/>
    <w:rsid w:val="00D01880"/>
    <w:rsid w:val="00D01991"/>
    <w:rsid w:val="00D03776"/>
    <w:rsid w:val="00D03ED9"/>
    <w:rsid w:val="00D05D15"/>
    <w:rsid w:val="00D1133E"/>
    <w:rsid w:val="00D127FC"/>
    <w:rsid w:val="00D15979"/>
    <w:rsid w:val="00D26A31"/>
    <w:rsid w:val="00D276AC"/>
    <w:rsid w:val="00D2779D"/>
    <w:rsid w:val="00D27AC3"/>
    <w:rsid w:val="00D31305"/>
    <w:rsid w:val="00D33492"/>
    <w:rsid w:val="00D33A42"/>
    <w:rsid w:val="00D34D9F"/>
    <w:rsid w:val="00D34FCA"/>
    <w:rsid w:val="00D35F3A"/>
    <w:rsid w:val="00D37CF0"/>
    <w:rsid w:val="00D37EB6"/>
    <w:rsid w:val="00D406AA"/>
    <w:rsid w:val="00D40DAD"/>
    <w:rsid w:val="00D41B61"/>
    <w:rsid w:val="00D42322"/>
    <w:rsid w:val="00D45F55"/>
    <w:rsid w:val="00D46239"/>
    <w:rsid w:val="00D51175"/>
    <w:rsid w:val="00D53C9A"/>
    <w:rsid w:val="00D55D30"/>
    <w:rsid w:val="00D56A8F"/>
    <w:rsid w:val="00D627F2"/>
    <w:rsid w:val="00D62E0A"/>
    <w:rsid w:val="00D65A87"/>
    <w:rsid w:val="00D719F1"/>
    <w:rsid w:val="00D741C9"/>
    <w:rsid w:val="00D745C0"/>
    <w:rsid w:val="00D75BFF"/>
    <w:rsid w:val="00D77235"/>
    <w:rsid w:val="00D801F0"/>
    <w:rsid w:val="00D822D8"/>
    <w:rsid w:val="00D82F30"/>
    <w:rsid w:val="00D85097"/>
    <w:rsid w:val="00D876EC"/>
    <w:rsid w:val="00D9029E"/>
    <w:rsid w:val="00D906CA"/>
    <w:rsid w:val="00D9179E"/>
    <w:rsid w:val="00D9292C"/>
    <w:rsid w:val="00D94C03"/>
    <w:rsid w:val="00D95470"/>
    <w:rsid w:val="00D957C4"/>
    <w:rsid w:val="00D9616F"/>
    <w:rsid w:val="00D97280"/>
    <w:rsid w:val="00DA1143"/>
    <w:rsid w:val="00DA380A"/>
    <w:rsid w:val="00DA44FB"/>
    <w:rsid w:val="00DB1EA0"/>
    <w:rsid w:val="00DB3053"/>
    <w:rsid w:val="00DB58EF"/>
    <w:rsid w:val="00DB5D21"/>
    <w:rsid w:val="00DB6CA2"/>
    <w:rsid w:val="00DC2AF5"/>
    <w:rsid w:val="00DC403A"/>
    <w:rsid w:val="00DC4DC8"/>
    <w:rsid w:val="00DC59C0"/>
    <w:rsid w:val="00DC5AC9"/>
    <w:rsid w:val="00DC73DA"/>
    <w:rsid w:val="00DD34AB"/>
    <w:rsid w:val="00DD467D"/>
    <w:rsid w:val="00DD49A3"/>
    <w:rsid w:val="00DD7113"/>
    <w:rsid w:val="00DF11D8"/>
    <w:rsid w:val="00DF2088"/>
    <w:rsid w:val="00E00C5B"/>
    <w:rsid w:val="00E01085"/>
    <w:rsid w:val="00E012B0"/>
    <w:rsid w:val="00E03798"/>
    <w:rsid w:val="00E07F51"/>
    <w:rsid w:val="00E10500"/>
    <w:rsid w:val="00E13FAB"/>
    <w:rsid w:val="00E14D89"/>
    <w:rsid w:val="00E163B9"/>
    <w:rsid w:val="00E16C07"/>
    <w:rsid w:val="00E177D4"/>
    <w:rsid w:val="00E17CAD"/>
    <w:rsid w:val="00E20336"/>
    <w:rsid w:val="00E3099B"/>
    <w:rsid w:val="00E31107"/>
    <w:rsid w:val="00E326AF"/>
    <w:rsid w:val="00E347B8"/>
    <w:rsid w:val="00E352CB"/>
    <w:rsid w:val="00E401B3"/>
    <w:rsid w:val="00E41006"/>
    <w:rsid w:val="00E47820"/>
    <w:rsid w:val="00E47B74"/>
    <w:rsid w:val="00E47E6E"/>
    <w:rsid w:val="00E51468"/>
    <w:rsid w:val="00E52E4C"/>
    <w:rsid w:val="00E54CE3"/>
    <w:rsid w:val="00E55C99"/>
    <w:rsid w:val="00E57AFA"/>
    <w:rsid w:val="00E62100"/>
    <w:rsid w:val="00E65868"/>
    <w:rsid w:val="00E65C98"/>
    <w:rsid w:val="00E672C2"/>
    <w:rsid w:val="00E72D9E"/>
    <w:rsid w:val="00E76818"/>
    <w:rsid w:val="00E76FFE"/>
    <w:rsid w:val="00E81D87"/>
    <w:rsid w:val="00E83D93"/>
    <w:rsid w:val="00E85EA1"/>
    <w:rsid w:val="00E875CE"/>
    <w:rsid w:val="00E903FE"/>
    <w:rsid w:val="00EA7539"/>
    <w:rsid w:val="00EB034A"/>
    <w:rsid w:val="00EB1A31"/>
    <w:rsid w:val="00EB4E66"/>
    <w:rsid w:val="00EC1010"/>
    <w:rsid w:val="00EC183F"/>
    <w:rsid w:val="00ED0564"/>
    <w:rsid w:val="00ED0BEF"/>
    <w:rsid w:val="00ED22F8"/>
    <w:rsid w:val="00ED2BD1"/>
    <w:rsid w:val="00ED3566"/>
    <w:rsid w:val="00ED45E2"/>
    <w:rsid w:val="00ED4F77"/>
    <w:rsid w:val="00ED6060"/>
    <w:rsid w:val="00ED7643"/>
    <w:rsid w:val="00EE23DC"/>
    <w:rsid w:val="00EF07C6"/>
    <w:rsid w:val="00EF0E17"/>
    <w:rsid w:val="00EF3D6E"/>
    <w:rsid w:val="00EF4514"/>
    <w:rsid w:val="00EF65F0"/>
    <w:rsid w:val="00EF6BEC"/>
    <w:rsid w:val="00EF7457"/>
    <w:rsid w:val="00EF76B8"/>
    <w:rsid w:val="00F00296"/>
    <w:rsid w:val="00F00C76"/>
    <w:rsid w:val="00F028F4"/>
    <w:rsid w:val="00F02903"/>
    <w:rsid w:val="00F03402"/>
    <w:rsid w:val="00F03C0B"/>
    <w:rsid w:val="00F05F51"/>
    <w:rsid w:val="00F063F1"/>
    <w:rsid w:val="00F06D4A"/>
    <w:rsid w:val="00F075DE"/>
    <w:rsid w:val="00F07BD4"/>
    <w:rsid w:val="00F07DCA"/>
    <w:rsid w:val="00F1014E"/>
    <w:rsid w:val="00F10366"/>
    <w:rsid w:val="00F11D20"/>
    <w:rsid w:val="00F13002"/>
    <w:rsid w:val="00F15485"/>
    <w:rsid w:val="00F16172"/>
    <w:rsid w:val="00F166A5"/>
    <w:rsid w:val="00F25207"/>
    <w:rsid w:val="00F26CA6"/>
    <w:rsid w:val="00F27BFC"/>
    <w:rsid w:val="00F27D32"/>
    <w:rsid w:val="00F32A82"/>
    <w:rsid w:val="00F33E7A"/>
    <w:rsid w:val="00F35CAF"/>
    <w:rsid w:val="00F36746"/>
    <w:rsid w:val="00F3714B"/>
    <w:rsid w:val="00F37945"/>
    <w:rsid w:val="00F41B2F"/>
    <w:rsid w:val="00F42202"/>
    <w:rsid w:val="00F439B3"/>
    <w:rsid w:val="00F45197"/>
    <w:rsid w:val="00F519B5"/>
    <w:rsid w:val="00F5360A"/>
    <w:rsid w:val="00F5467F"/>
    <w:rsid w:val="00F54EF6"/>
    <w:rsid w:val="00F556F1"/>
    <w:rsid w:val="00F56D76"/>
    <w:rsid w:val="00F56E9E"/>
    <w:rsid w:val="00F5739F"/>
    <w:rsid w:val="00F579CC"/>
    <w:rsid w:val="00F61B7D"/>
    <w:rsid w:val="00F61F37"/>
    <w:rsid w:val="00F62477"/>
    <w:rsid w:val="00F65236"/>
    <w:rsid w:val="00F65383"/>
    <w:rsid w:val="00F67DD0"/>
    <w:rsid w:val="00F730AF"/>
    <w:rsid w:val="00F73818"/>
    <w:rsid w:val="00F73921"/>
    <w:rsid w:val="00F74489"/>
    <w:rsid w:val="00F7516A"/>
    <w:rsid w:val="00F80BB8"/>
    <w:rsid w:val="00F81E7E"/>
    <w:rsid w:val="00F84487"/>
    <w:rsid w:val="00F853D8"/>
    <w:rsid w:val="00F85D7E"/>
    <w:rsid w:val="00F87D79"/>
    <w:rsid w:val="00F90222"/>
    <w:rsid w:val="00F913AD"/>
    <w:rsid w:val="00F95634"/>
    <w:rsid w:val="00F95869"/>
    <w:rsid w:val="00F95FFC"/>
    <w:rsid w:val="00FA0D0C"/>
    <w:rsid w:val="00FA0F1C"/>
    <w:rsid w:val="00FA57C9"/>
    <w:rsid w:val="00FA5D07"/>
    <w:rsid w:val="00FA620C"/>
    <w:rsid w:val="00FB2DF0"/>
    <w:rsid w:val="00FB563F"/>
    <w:rsid w:val="00FB5CCB"/>
    <w:rsid w:val="00FB60E4"/>
    <w:rsid w:val="00FB67BB"/>
    <w:rsid w:val="00FC045A"/>
    <w:rsid w:val="00FC3427"/>
    <w:rsid w:val="00FC5875"/>
    <w:rsid w:val="00FC6DBF"/>
    <w:rsid w:val="00FC7753"/>
    <w:rsid w:val="00FD225C"/>
    <w:rsid w:val="00FD3C62"/>
    <w:rsid w:val="00FD52EF"/>
    <w:rsid w:val="00FD5688"/>
    <w:rsid w:val="00FD6F63"/>
    <w:rsid w:val="00FE161B"/>
    <w:rsid w:val="00FE2295"/>
    <w:rsid w:val="00FE279E"/>
    <w:rsid w:val="00FE5180"/>
    <w:rsid w:val="00FE55C4"/>
    <w:rsid w:val="00FE601E"/>
    <w:rsid w:val="00FF142B"/>
    <w:rsid w:val="00FF1A73"/>
    <w:rsid w:val="00FF309E"/>
    <w:rsid w:val="00FF343D"/>
    <w:rsid w:val="00FF61E0"/>
    <w:rsid w:val="00FF7A31"/>
    <w:rsid w:val="00FF7D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4C26E8"/>
  <w14:defaultImageDpi w14:val="32767"/>
  <w15:chartTrackingRefBased/>
  <w15:docId w15:val="{A51532FF-91FD-F341-803B-27E873B55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11D8"/>
    <w:rPr>
      <w:rFonts w:ascii="Times New Roman" w:eastAsia="Times New Roman" w:hAnsi="Times New Roman" w:cs="Times New Roman"/>
      <w:lang w:eastAsia="en-GB"/>
    </w:rPr>
  </w:style>
  <w:style w:type="paragraph" w:styleId="Heading1">
    <w:name w:val="heading 1"/>
    <w:basedOn w:val="Normal"/>
    <w:next w:val="Normal"/>
    <w:link w:val="Heading1Char"/>
    <w:uiPriority w:val="9"/>
    <w:qFormat/>
    <w:rsid w:val="00D627F2"/>
    <w:pPr>
      <w:keepNext/>
      <w:keepLines/>
      <w:spacing w:before="240"/>
      <w:outlineLvl w:val="0"/>
    </w:pPr>
    <w:rPr>
      <w:rFonts w:asciiTheme="majorHAnsi" w:eastAsiaTheme="majorEastAsia" w:hAnsiTheme="majorHAnsi" w:cstheme="majorBidi"/>
      <w:color w:val="2F5496" w:themeColor="accent1" w:themeShade="BF"/>
      <w:sz w:val="32"/>
      <w:szCs w:val="32"/>
      <w:lang w:eastAsia="en-US"/>
    </w:rPr>
  </w:style>
  <w:style w:type="paragraph" w:styleId="Heading2">
    <w:name w:val="heading 2"/>
    <w:basedOn w:val="Normal"/>
    <w:next w:val="Normal"/>
    <w:link w:val="Heading2Char"/>
    <w:uiPriority w:val="9"/>
    <w:unhideWhenUsed/>
    <w:qFormat/>
    <w:rsid w:val="000E6C5F"/>
    <w:pPr>
      <w:keepNext/>
      <w:keepLines/>
      <w:spacing w:before="40"/>
      <w:outlineLvl w:val="1"/>
    </w:pPr>
    <w:rPr>
      <w:rFonts w:asciiTheme="majorHAnsi" w:eastAsiaTheme="majorEastAsia" w:hAnsiTheme="majorHAnsi" w:cstheme="majorBidi"/>
      <w:color w:val="2F5496" w:themeColor="accent1" w:themeShade="BF"/>
      <w:sz w:val="26"/>
      <w:szCs w:val="26"/>
      <w:lang w:eastAsia="en-US"/>
    </w:rPr>
  </w:style>
  <w:style w:type="paragraph" w:styleId="Heading3">
    <w:name w:val="heading 3"/>
    <w:basedOn w:val="Normal"/>
    <w:next w:val="Normal"/>
    <w:link w:val="Heading3Char"/>
    <w:uiPriority w:val="9"/>
    <w:unhideWhenUsed/>
    <w:qFormat/>
    <w:rsid w:val="00B8059D"/>
    <w:pPr>
      <w:keepNext/>
      <w:keepLines/>
      <w:spacing w:before="40"/>
      <w:outlineLvl w:val="2"/>
    </w:pPr>
    <w:rPr>
      <w:rFonts w:asciiTheme="majorHAnsi" w:eastAsiaTheme="majorEastAsia" w:hAnsiTheme="majorHAnsi" w:cstheme="majorBidi"/>
      <w:color w:val="1F3763" w:themeColor="accent1" w:themeShade="7F"/>
      <w:lang w:eastAsia="en-US"/>
    </w:rPr>
  </w:style>
  <w:style w:type="paragraph" w:styleId="Heading7">
    <w:name w:val="heading 7"/>
    <w:basedOn w:val="Normal"/>
    <w:next w:val="Normal"/>
    <w:link w:val="Heading7Char"/>
    <w:uiPriority w:val="9"/>
    <w:unhideWhenUsed/>
    <w:qFormat/>
    <w:rsid w:val="00866218"/>
    <w:pPr>
      <w:keepNext/>
      <w:keepLines/>
      <w:spacing w:before="40"/>
      <w:outlineLvl w:val="6"/>
    </w:pPr>
    <w:rPr>
      <w:rFonts w:asciiTheme="majorHAnsi" w:eastAsiaTheme="majorEastAsia" w:hAnsiTheme="majorHAnsi" w:cstheme="majorBidi"/>
      <w:i/>
      <w:iCs/>
      <w:color w:val="1F3763" w:themeColor="accent1" w:themeShade="7F"/>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E6C5F"/>
    <w:pPr>
      <w:contextualSpacing/>
    </w:pPr>
    <w:rPr>
      <w:rFonts w:asciiTheme="majorHAnsi" w:eastAsiaTheme="majorEastAsia" w:hAnsiTheme="majorHAnsi" w:cstheme="majorBidi"/>
      <w:spacing w:val="-10"/>
      <w:kern w:val="28"/>
      <w:sz w:val="56"/>
      <w:szCs w:val="56"/>
      <w:lang w:eastAsia="en-US"/>
    </w:rPr>
  </w:style>
  <w:style w:type="character" w:customStyle="1" w:styleId="TitleChar">
    <w:name w:val="Title Char"/>
    <w:basedOn w:val="DefaultParagraphFont"/>
    <w:link w:val="Title"/>
    <w:uiPriority w:val="10"/>
    <w:rsid w:val="000E6C5F"/>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0E6C5F"/>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0E6C5F"/>
    <w:rPr>
      <w:color w:val="0000FF"/>
      <w:u w:val="single"/>
    </w:rPr>
  </w:style>
  <w:style w:type="character" w:customStyle="1" w:styleId="apple-converted-space">
    <w:name w:val="apple-converted-space"/>
    <w:basedOn w:val="DefaultParagraphFont"/>
    <w:rsid w:val="000E6C5F"/>
  </w:style>
  <w:style w:type="character" w:styleId="CommentReference">
    <w:name w:val="annotation reference"/>
    <w:basedOn w:val="DefaultParagraphFont"/>
    <w:uiPriority w:val="99"/>
    <w:semiHidden/>
    <w:unhideWhenUsed/>
    <w:rsid w:val="000E6C5F"/>
    <w:rPr>
      <w:sz w:val="16"/>
      <w:szCs w:val="16"/>
    </w:rPr>
  </w:style>
  <w:style w:type="paragraph" w:styleId="CommentText">
    <w:name w:val="annotation text"/>
    <w:basedOn w:val="Normal"/>
    <w:link w:val="CommentTextChar"/>
    <w:uiPriority w:val="99"/>
    <w:unhideWhenUsed/>
    <w:rsid w:val="000E6C5F"/>
    <w:rPr>
      <w:sz w:val="20"/>
      <w:szCs w:val="20"/>
      <w:lang w:eastAsia="en-US"/>
    </w:rPr>
  </w:style>
  <w:style w:type="character" w:customStyle="1" w:styleId="CommentTextChar">
    <w:name w:val="Comment Text Char"/>
    <w:basedOn w:val="DefaultParagraphFont"/>
    <w:link w:val="CommentText"/>
    <w:uiPriority w:val="99"/>
    <w:rsid w:val="000E6C5F"/>
    <w:rPr>
      <w:sz w:val="20"/>
      <w:szCs w:val="20"/>
    </w:rPr>
  </w:style>
  <w:style w:type="paragraph" w:styleId="CommentSubject">
    <w:name w:val="annotation subject"/>
    <w:basedOn w:val="CommentText"/>
    <w:next w:val="CommentText"/>
    <w:link w:val="CommentSubjectChar"/>
    <w:uiPriority w:val="99"/>
    <w:semiHidden/>
    <w:unhideWhenUsed/>
    <w:rsid w:val="000E6C5F"/>
    <w:rPr>
      <w:b/>
      <w:bCs/>
    </w:rPr>
  </w:style>
  <w:style w:type="character" w:customStyle="1" w:styleId="CommentSubjectChar">
    <w:name w:val="Comment Subject Char"/>
    <w:basedOn w:val="CommentTextChar"/>
    <w:link w:val="CommentSubject"/>
    <w:uiPriority w:val="99"/>
    <w:semiHidden/>
    <w:rsid w:val="000E6C5F"/>
    <w:rPr>
      <w:b/>
      <w:bCs/>
      <w:sz w:val="20"/>
      <w:szCs w:val="20"/>
    </w:rPr>
  </w:style>
  <w:style w:type="paragraph" w:styleId="BalloonText">
    <w:name w:val="Balloon Text"/>
    <w:basedOn w:val="Normal"/>
    <w:link w:val="BalloonTextChar"/>
    <w:uiPriority w:val="99"/>
    <w:semiHidden/>
    <w:unhideWhenUsed/>
    <w:rsid w:val="000E6C5F"/>
    <w:rPr>
      <w:sz w:val="18"/>
      <w:szCs w:val="18"/>
      <w:lang w:eastAsia="en-US"/>
    </w:rPr>
  </w:style>
  <w:style w:type="character" w:customStyle="1" w:styleId="BalloonTextChar">
    <w:name w:val="Balloon Text Char"/>
    <w:basedOn w:val="DefaultParagraphFont"/>
    <w:link w:val="BalloonText"/>
    <w:uiPriority w:val="99"/>
    <w:semiHidden/>
    <w:rsid w:val="000E6C5F"/>
    <w:rPr>
      <w:rFonts w:ascii="Times New Roman" w:hAnsi="Times New Roman" w:cs="Times New Roman"/>
      <w:sz w:val="18"/>
      <w:szCs w:val="18"/>
    </w:rPr>
  </w:style>
  <w:style w:type="character" w:customStyle="1" w:styleId="Heading3Char">
    <w:name w:val="Heading 3 Char"/>
    <w:basedOn w:val="DefaultParagraphFont"/>
    <w:link w:val="Heading3"/>
    <w:uiPriority w:val="9"/>
    <w:rsid w:val="00B8059D"/>
    <w:rPr>
      <w:rFonts w:asciiTheme="majorHAnsi" w:eastAsiaTheme="majorEastAsia" w:hAnsiTheme="majorHAnsi" w:cstheme="majorBidi"/>
      <w:color w:val="1F3763" w:themeColor="accent1" w:themeShade="7F"/>
    </w:rPr>
  </w:style>
  <w:style w:type="paragraph" w:customStyle="1" w:styleId="p">
    <w:name w:val="p"/>
    <w:basedOn w:val="Normal"/>
    <w:rsid w:val="00B8059D"/>
    <w:pPr>
      <w:spacing w:before="100" w:beforeAutospacing="1" w:after="100" w:afterAutospacing="1"/>
    </w:pPr>
    <w:rPr>
      <w:lang w:eastAsia="en-US"/>
    </w:rPr>
  </w:style>
  <w:style w:type="character" w:styleId="FollowedHyperlink">
    <w:name w:val="FollowedHyperlink"/>
    <w:basedOn w:val="DefaultParagraphFont"/>
    <w:uiPriority w:val="99"/>
    <w:semiHidden/>
    <w:unhideWhenUsed/>
    <w:rsid w:val="00272B79"/>
    <w:rPr>
      <w:color w:val="954F72" w:themeColor="followedHyperlink"/>
      <w:u w:val="single"/>
    </w:rPr>
  </w:style>
  <w:style w:type="table" w:styleId="TableGrid">
    <w:name w:val="Table Grid"/>
    <w:basedOn w:val="TableNormal"/>
    <w:uiPriority w:val="39"/>
    <w:rsid w:val="00AB18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5">
    <w:name w:val="Plain Table 5"/>
    <w:basedOn w:val="TableNormal"/>
    <w:uiPriority w:val="45"/>
    <w:rsid w:val="00D05D15"/>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TableParagraph">
    <w:name w:val="Table Paragraph"/>
    <w:basedOn w:val="Normal"/>
    <w:uiPriority w:val="1"/>
    <w:qFormat/>
    <w:rsid w:val="00E17CAD"/>
    <w:pPr>
      <w:widowControl w:val="0"/>
      <w:autoSpaceDE w:val="0"/>
      <w:autoSpaceDN w:val="0"/>
      <w:ind w:left="102"/>
    </w:pPr>
    <w:rPr>
      <w:rFonts w:ascii="Calibri" w:eastAsia="Calibri" w:hAnsi="Calibri" w:cs="Calibri"/>
      <w:sz w:val="22"/>
      <w:szCs w:val="22"/>
      <w:lang w:val="en-US" w:eastAsia="en-US"/>
    </w:rPr>
  </w:style>
  <w:style w:type="character" w:customStyle="1" w:styleId="Heading1Char">
    <w:name w:val="Heading 1 Char"/>
    <w:basedOn w:val="DefaultParagraphFont"/>
    <w:link w:val="Heading1"/>
    <w:uiPriority w:val="9"/>
    <w:rsid w:val="00D627F2"/>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261A2D"/>
    <w:pPr>
      <w:ind w:left="720"/>
      <w:contextualSpacing/>
    </w:pPr>
    <w:rPr>
      <w:lang w:eastAsia="en-US"/>
    </w:rPr>
  </w:style>
  <w:style w:type="paragraph" w:styleId="Revision">
    <w:name w:val="Revision"/>
    <w:hidden/>
    <w:uiPriority w:val="99"/>
    <w:semiHidden/>
    <w:rsid w:val="006F08EA"/>
    <w:rPr>
      <w:rFonts w:ascii="Times New Roman" w:eastAsia="Times New Roman" w:hAnsi="Times New Roman" w:cs="Times New Roman"/>
    </w:rPr>
  </w:style>
  <w:style w:type="paragraph" w:styleId="Header">
    <w:name w:val="header"/>
    <w:basedOn w:val="Normal"/>
    <w:link w:val="HeaderChar"/>
    <w:uiPriority w:val="99"/>
    <w:unhideWhenUsed/>
    <w:rsid w:val="00C52F4F"/>
    <w:pPr>
      <w:tabs>
        <w:tab w:val="center" w:pos="4513"/>
        <w:tab w:val="right" w:pos="9026"/>
      </w:tabs>
    </w:pPr>
    <w:rPr>
      <w:lang w:eastAsia="en-US"/>
    </w:rPr>
  </w:style>
  <w:style w:type="character" w:customStyle="1" w:styleId="HeaderChar">
    <w:name w:val="Header Char"/>
    <w:basedOn w:val="DefaultParagraphFont"/>
    <w:link w:val="Header"/>
    <w:uiPriority w:val="99"/>
    <w:rsid w:val="00C52F4F"/>
    <w:rPr>
      <w:rFonts w:ascii="Times New Roman" w:eastAsia="Times New Roman" w:hAnsi="Times New Roman" w:cs="Times New Roman"/>
    </w:rPr>
  </w:style>
  <w:style w:type="character" w:styleId="PageNumber">
    <w:name w:val="page number"/>
    <w:basedOn w:val="DefaultParagraphFont"/>
    <w:uiPriority w:val="99"/>
    <w:semiHidden/>
    <w:unhideWhenUsed/>
    <w:rsid w:val="00C52F4F"/>
  </w:style>
  <w:style w:type="character" w:customStyle="1" w:styleId="UnresolvedMention1">
    <w:name w:val="Unresolved Mention1"/>
    <w:basedOn w:val="DefaultParagraphFont"/>
    <w:uiPriority w:val="99"/>
    <w:semiHidden/>
    <w:unhideWhenUsed/>
    <w:rsid w:val="00E62100"/>
    <w:rPr>
      <w:color w:val="605E5C"/>
      <w:shd w:val="clear" w:color="auto" w:fill="E1DFDD"/>
    </w:rPr>
  </w:style>
  <w:style w:type="character" w:customStyle="1" w:styleId="UnresolvedMention2">
    <w:name w:val="Unresolved Mention2"/>
    <w:basedOn w:val="DefaultParagraphFont"/>
    <w:uiPriority w:val="99"/>
    <w:rsid w:val="00F87D79"/>
    <w:rPr>
      <w:color w:val="605E5C"/>
      <w:shd w:val="clear" w:color="auto" w:fill="E1DFDD"/>
    </w:rPr>
  </w:style>
  <w:style w:type="character" w:customStyle="1" w:styleId="Heading7Char">
    <w:name w:val="Heading 7 Char"/>
    <w:basedOn w:val="DefaultParagraphFont"/>
    <w:link w:val="Heading7"/>
    <w:uiPriority w:val="9"/>
    <w:rsid w:val="00866218"/>
    <w:rPr>
      <w:rFonts w:asciiTheme="majorHAnsi" w:eastAsiaTheme="majorEastAsia" w:hAnsiTheme="majorHAnsi" w:cstheme="majorBidi"/>
      <w:i/>
      <w:iCs/>
      <w:color w:val="1F3763" w:themeColor="accent1" w:themeShade="7F"/>
    </w:rPr>
  </w:style>
  <w:style w:type="paragraph" w:styleId="NormalWeb">
    <w:name w:val="Normal (Web)"/>
    <w:basedOn w:val="Normal"/>
    <w:uiPriority w:val="99"/>
    <w:semiHidden/>
    <w:unhideWhenUsed/>
    <w:rsid w:val="001802B4"/>
    <w:pPr>
      <w:spacing w:before="100" w:beforeAutospacing="1" w:after="100" w:afterAutospacing="1"/>
    </w:pPr>
  </w:style>
  <w:style w:type="paragraph" w:styleId="BodyText">
    <w:name w:val="Body Text"/>
    <w:basedOn w:val="Normal"/>
    <w:link w:val="BodyTextChar"/>
    <w:uiPriority w:val="1"/>
    <w:qFormat/>
    <w:rsid w:val="009655A8"/>
    <w:pPr>
      <w:widowControl w:val="0"/>
      <w:autoSpaceDE w:val="0"/>
      <w:autoSpaceDN w:val="0"/>
    </w:pPr>
    <w:rPr>
      <w:rFonts w:ascii="Arial" w:eastAsia="Arial" w:hAnsi="Arial" w:cs="Arial"/>
      <w:sz w:val="22"/>
      <w:szCs w:val="22"/>
      <w:lang w:val="en-US" w:eastAsia="en-US"/>
    </w:rPr>
  </w:style>
  <w:style w:type="character" w:customStyle="1" w:styleId="BodyTextChar">
    <w:name w:val="Body Text Char"/>
    <w:basedOn w:val="DefaultParagraphFont"/>
    <w:link w:val="BodyText"/>
    <w:uiPriority w:val="1"/>
    <w:rsid w:val="009655A8"/>
    <w:rPr>
      <w:rFonts w:ascii="Arial" w:eastAsia="Arial" w:hAnsi="Arial" w:cs="Arial"/>
      <w:sz w:val="22"/>
      <w:szCs w:val="22"/>
      <w:lang w:val="en-US"/>
    </w:rPr>
  </w:style>
  <w:style w:type="character" w:styleId="Strong">
    <w:name w:val="Strong"/>
    <w:basedOn w:val="DefaultParagraphFont"/>
    <w:uiPriority w:val="22"/>
    <w:qFormat/>
    <w:rsid w:val="009655A8"/>
    <w:rPr>
      <w:b/>
      <w:bCs/>
    </w:rPr>
  </w:style>
  <w:style w:type="table" w:styleId="GridTable1Light-Accent1">
    <w:name w:val="Grid Table 1 Light Accent 1"/>
    <w:basedOn w:val="TableNormal"/>
    <w:uiPriority w:val="46"/>
    <w:rsid w:val="00C03552"/>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customStyle="1" w:styleId="UnresolvedMention3">
    <w:name w:val="Unresolved Mention3"/>
    <w:basedOn w:val="DefaultParagraphFont"/>
    <w:uiPriority w:val="99"/>
    <w:semiHidden/>
    <w:unhideWhenUsed/>
    <w:rsid w:val="00B37700"/>
    <w:rPr>
      <w:color w:val="605E5C"/>
      <w:shd w:val="clear" w:color="auto" w:fill="E1DFDD"/>
    </w:rPr>
  </w:style>
  <w:style w:type="paragraph" w:styleId="Footer">
    <w:name w:val="footer"/>
    <w:basedOn w:val="Normal"/>
    <w:link w:val="FooterChar"/>
    <w:uiPriority w:val="99"/>
    <w:unhideWhenUsed/>
    <w:rsid w:val="005401BE"/>
    <w:pPr>
      <w:tabs>
        <w:tab w:val="center" w:pos="4513"/>
        <w:tab w:val="right" w:pos="9026"/>
      </w:tabs>
    </w:pPr>
    <w:rPr>
      <w:lang w:eastAsia="en-US"/>
    </w:rPr>
  </w:style>
  <w:style w:type="character" w:customStyle="1" w:styleId="FooterChar">
    <w:name w:val="Footer Char"/>
    <w:basedOn w:val="DefaultParagraphFont"/>
    <w:link w:val="Footer"/>
    <w:uiPriority w:val="99"/>
    <w:rsid w:val="005401BE"/>
    <w:rPr>
      <w:rFonts w:ascii="Times New Roman" w:eastAsia="Times New Roman" w:hAnsi="Times New Roman" w:cs="Times New Roman"/>
    </w:rPr>
  </w:style>
  <w:style w:type="character" w:customStyle="1" w:styleId="UnresolvedMention4">
    <w:name w:val="Unresolved Mention4"/>
    <w:basedOn w:val="DefaultParagraphFont"/>
    <w:uiPriority w:val="99"/>
    <w:semiHidden/>
    <w:unhideWhenUsed/>
    <w:rsid w:val="001E158F"/>
    <w:rPr>
      <w:color w:val="605E5C"/>
      <w:shd w:val="clear" w:color="auto" w:fill="E1DFDD"/>
    </w:rPr>
  </w:style>
  <w:style w:type="character" w:customStyle="1" w:styleId="highwire-citation-authors">
    <w:name w:val="highwire-citation-authors"/>
    <w:basedOn w:val="DefaultParagraphFont"/>
    <w:rsid w:val="00D127FC"/>
  </w:style>
  <w:style w:type="character" w:customStyle="1" w:styleId="highwire-citation-author">
    <w:name w:val="highwire-citation-author"/>
    <w:basedOn w:val="DefaultParagraphFont"/>
    <w:rsid w:val="00D127FC"/>
  </w:style>
  <w:style w:type="character" w:customStyle="1" w:styleId="nlm-surname">
    <w:name w:val="nlm-surname"/>
    <w:basedOn w:val="DefaultParagraphFont"/>
    <w:rsid w:val="00D127FC"/>
  </w:style>
  <w:style w:type="character" w:customStyle="1" w:styleId="citation-et">
    <w:name w:val="citation-et"/>
    <w:basedOn w:val="DefaultParagraphFont"/>
    <w:rsid w:val="00D127FC"/>
  </w:style>
  <w:style w:type="character" w:customStyle="1" w:styleId="highwire-cite-metadata-journal">
    <w:name w:val="highwire-cite-metadata-journal"/>
    <w:basedOn w:val="DefaultParagraphFont"/>
    <w:rsid w:val="00D127FC"/>
  </w:style>
  <w:style w:type="character" w:customStyle="1" w:styleId="highwire-cite-metadata-year">
    <w:name w:val="highwire-cite-metadata-year"/>
    <w:basedOn w:val="DefaultParagraphFont"/>
    <w:rsid w:val="00D127FC"/>
  </w:style>
  <w:style w:type="character" w:customStyle="1" w:styleId="highwire-cite-metadata-volume">
    <w:name w:val="highwire-cite-metadata-volume"/>
    <w:basedOn w:val="DefaultParagraphFont"/>
    <w:rsid w:val="00D127FC"/>
  </w:style>
  <w:style w:type="character" w:customStyle="1" w:styleId="highwire-cite-metadata-pages">
    <w:name w:val="highwire-cite-metadata-pages"/>
    <w:basedOn w:val="DefaultParagraphFont"/>
    <w:rsid w:val="00D127FC"/>
  </w:style>
  <w:style w:type="table" w:styleId="PlainTable3">
    <w:name w:val="Plain Table 3"/>
    <w:basedOn w:val="TableNormal"/>
    <w:uiPriority w:val="43"/>
    <w:rsid w:val="006B7CB9"/>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51">
    <w:name w:val="Plain Table 51"/>
    <w:basedOn w:val="TableNormal"/>
    <w:uiPriority w:val="45"/>
    <w:rsid w:val="00162BF4"/>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4">
    <w:name w:val="Plain Table 4"/>
    <w:basedOn w:val="TableNormal"/>
    <w:uiPriority w:val="44"/>
    <w:rsid w:val="00F37945"/>
    <w:rPr>
      <w:sz w:val="22"/>
      <w:szCs w:val="22"/>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Emphasis">
    <w:name w:val="Emphasis"/>
    <w:basedOn w:val="DefaultParagraphFont"/>
    <w:uiPriority w:val="20"/>
    <w:qFormat/>
    <w:rsid w:val="00654C0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92678">
      <w:bodyDiv w:val="1"/>
      <w:marLeft w:val="0"/>
      <w:marRight w:val="0"/>
      <w:marTop w:val="0"/>
      <w:marBottom w:val="0"/>
      <w:divBdr>
        <w:top w:val="none" w:sz="0" w:space="0" w:color="auto"/>
        <w:left w:val="none" w:sz="0" w:space="0" w:color="auto"/>
        <w:bottom w:val="none" w:sz="0" w:space="0" w:color="auto"/>
        <w:right w:val="none" w:sz="0" w:space="0" w:color="auto"/>
      </w:divBdr>
    </w:div>
    <w:div w:id="19286617">
      <w:bodyDiv w:val="1"/>
      <w:marLeft w:val="0"/>
      <w:marRight w:val="0"/>
      <w:marTop w:val="0"/>
      <w:marBottom w:val="0"/>
      <w:divBdr>
        <w:top w:val="none" w:sz="0" w:space="0" w:color="auto"/>
        <w:left w:val="none" w:sz="0" w:space="0" w:color="auto"/>
        <w:bottom w:val="none" w:sz="0" w:space="0" w:color="auto"/>
        <w:right w:val="none" w:sz="0" w:space="0" w:color="auto"/>
      </w:divBdr>
    </w:div>
    <w:div w:id="31880636">
      <w:bodyDiv w:val="1"/>
      <w:marLeft w:val="0"/>
      <w:marRight w:val="0"/>
      <w:marTop w:val="0"/>
      <w:marBottom w:val="0"/>
      <w:divBdr>
        <w:top w:val="none" w:sz="0" w:space="0" w:color="auto"/>
        <w:left w:val="none" w:sz="0" w:space="0" w:color="auto"/>
        <w:bottom w:val="none" w:sz="0" w:space="0" w:color="auto"/>
        <w:right w:val="none" w:sz="0" w:space="0" w:color="auto"/>
      </w:divBdr>
    </w:div>
    <w:div w:id="32312597">
      <w:bodyDiv w:val="1"/>
      <w:marLeft w:val="0"/>
      <w:marRight w:val="0"/>
      <w:marTop w:val="0"/>
      <w:marBottom w:val="0"/>
      <w:divBdr>
        <w:top w:val="none" w:sz="0" w:space="0" w:color="auto"/>
        <w:left w:val="none" w:sz="0" w:space="0" w:color="auto"/>
        <w:bottom w:val="none" w:sz="0" w:space="0" w:color="auto"/>
        <w:right w:val="none" w:sz="0" w:space="0" w:color="auto"/>
      </w:divBdr>
    </w:div>
    <w:div w:id="35787550">
      <w:bodyDiv w:val="1"/>
      <w:marLeft w:val="0"/>
      <w:marRight w:val="0"/>
      <w:marTop w:val="0"/>
      <w:marBottom w:val="0"/>
      <w:divBdr>
        <w:top w:val="none" w:sz="0" w:space="0" w:color="auto"/>
        <w:left w:val="none" w:sz="0" w:space="0" w:color="auto"/>
        <w:bottom w:val="none" w:sz="0" w:space="0" w:color="auto"/>
        <w:right w:val="none" w:sz="0" w:space="0" w:color="auto"/>
      </w:divBdr>
    </w:div>
    <w:div w:id="43798100">
      <w:bodyDiv w:val="1"/>
      <w:marLeft w:val="0"/>
      <w:marRight w:val="0"/>
      <w:marTop w:val="0"/>
      <w:marBottom w:val="0"/>
      <w:divBdr>
        <w:top w:val="none" w:sz="0" w:space="0" w:color="auto"/>
        <w:left w:val="none" w:sz="0" w:space="0" w:color="auto"/>
        <w:bottom w:val="none" w:sz="0" w:space="0" w:color="auto"/>
        <w:right w:val="none" w:sz="0" w:space="0" w:color="auto"/>
      </w:divBdr>
    </w:div>
    <w:div w:id="46682501">
      <w:bodyDiv w:val="1"/>
      <w:marLeft w:val="0"/>
      <w:marRight w:val="0"/>
      <w:marTop w:val="0"/>
      <w:marBottom w:val="0"/>
      <w:divBdr>
        <w:top w:val="none" w:sz="0" w:space="0" w:color="auto"/>
        <w:left w:val="none" w:sz="0" w:space="0" w:color="auto"/>
        <w:bottom w:val="none" w:sz="0" w:space="0" w:color="auto"/>
        <w:right w:val="none" w:sz="0" w:space="0" w:color="auto"/>
      </w:divBdr>
    </w:div>
    <w:div w:id="48044037">
      <w:bodyDiv w:val="1"/>
      <w:marLeft w:val="0"/>
      <w:marRight w:val="0"/>
      <w:marTop w:val="0"/>
      <w:marBottom w:val="0"/>
      <w:divBdr>
        <w:top w:val="none" w:sz="0" w:space="0" w:color="auto"/>
        <w:left w:val="none" w:sz="0" w:space="0" w:color="auto"/>
        <w:bottom w:val="none" w:sz="0" w:space="0" w:color="auto"/>
        <w:right w:val="none" w:sz="0" w:space="0" w:color="auto"/>
      </w:divBdr>
    </w:div>
    <w:div w:id="56629353">
      <w:bodyDiv w:val="1"/>
      <w:marLeft w:val="0"/>
      <w:marRight w:val="0"/>
      <w:marTop w:val="0"/>
      <w:marBottom w:val="0"/>
      <w:divBdr>
        <w:top w:val="none" w:sz="0" w:space="0" w:color="auto"/>
        <w:left w:val="none" w:sz="0" w:space="0" w:color="auto"/>
        <w:bottom w:val="none" w:sz="0" w:space="0" w:color="auto"/>
        <w:right w:val="none" w:sz="0" w:space="0" w:color="auto"/>
      </w:divBdr>
    </w:div>
    <w:div w:id="58989898">
      <w:bodyDiv w:val="1"/>
      <w:marLeft w:val="0"/>
      <w:marRight w:val="0"/>
      <w:marTop w:val="0"/>
      <w:marBottom w:val="0"/>
      <w:divBdr>
        <w:top w:val="none" w:sz="0" w:space="0" w:color="auto"/>
        <w:left w:val="none" w:sz="0" w:space="0" w:color="auto"/>
        <w:bottom w:val="none" w:sz="0" w:space="0" w:color="auto"/>
        <w:right w:val="none" w:sz="0" w:space="0" w:color="auto"/>
      </w:divBdr>
    </w:div>
    <w:div w:id="61492982">
      <w:bodyDiv w:val="1"/>
      <w:marLeft w:val="0"/>
      <w:marRight w:val="0"/>
      <w:marTop w:val="0"/>
      <w:marBottom w:val="0"/>
      <w:divBdr>
        <w:top w:val="none" w:sz="0" w:space="0" w:color="auto"/>
        <w:left w:val="none" w:sz="0" w:space="0" w:color="auto"/>
        <w:bottom w:val="none" w:sz="0" w:space="0" w:color="auto"/>
        <w:right w:val="none" w:sz="0" w:space="0" w:color="auto"/>
      </w:divBdr>
    </w:div>
    <w:div w:id="69425215">
      <w:bodyDiv w:val="1"/>
      <w:marLeft w:val="0"/>
      <w:marRight w:val="0"/>
      <w:marTop w:val="0"/>
      <w:marBottom w:val="0"/>
      <w:divBdr>
        <w:top w:val="none" w:sz="0" w:space="0" w:color="auto"/>
        <w:left w:val="none" w:sz="0" w:space="0" w:color="auto"/>
        <w:bottom w:val="none" w:sz="0" w:space="0" w:color="auto"/>
        <w:right w:val="none" w:sz="0" w:space="0" w:color="auto"/>
      </w:divBdr>
    </w:div>
    <w:div w:id="74324653">
      <w:bodyDiv w:val="1"/>
      <w:marLeft w:val="0"/>
      <w:marRight w:val="0"/>
      <w:marTop w:val="0"/>
      <w:marBottom w:val="0"/>
      <w:divBdr>
        <w:top w:val="none" w:sz="0" w:space="0" w:color="auto"/>
        <w:left w:val="none" w:sz="0" w:space="0" w:color="auto"/>
        <w:bottom w:val="none" w:sz="0" w:space="0" w:color="auto"/>
        <w:right w:val="none" w:sz="0" w:space="0" w:color="auto"/>
      </w:divBdr>
    </w:div>
    <w:div w:id="84692606">
      <w:bodyDiv w:val="1"/>
      <w:marLeft w:val="0"/>
      <w:marRight w:val="0"/>
      <w:marTop w:val="0"/>
      <w:marBottom w:val="0"/>
      <w:divBdr>
        <w:top w:val="none" w:sz="0" w:space="0" w:color="auto"/>
        <w:left w:val="none" w:sz="0" w:space="0" w:color="auto"/>
        <w:bottom w:val="none" w:sz="0" w:space="0" w:color="auto"/>
        <w:right w:val="none" w:sz="0" w:space="0" w:color="auto"/>
      </w:divBdr>
    </w:div>
    <w:div w:id="106193418">
      <w:bodyDiv w:val="1"/>
      <w:marLeft w:val="0"/>
      <w:marRight w:val="0"/>
      <w:marTop w:val="0"/>
      <w:marBottom w:val="0"/>
      <w:divBdr>
        <w:top w:val="none" w:sz="0" w:space="0" w:color="auto"/>
        <w:left w:val="none" w:sz="0" w:space="0" w:color="auto"/>
        <w:bottom w:val="none" w:sz="0" w:space="0" w:color="auto"/>
        <w:right w:val="none" w:sz="0" w:space="0" w:color="auto"/>
      </w:divBdr>
    </w:div>
    <w:div w:id="120392884">
      <w:bodyDiv w:val="1"/>
      <w:marLeft w:val="0"/>
      <w:marRight w:val="0"/>
      <w:marTop w:val="0"/>
      <w:marBottom w:val="0"/>
      <w:divBdr>
        <w:top w:val="none" w:sz="0" w:space="0" w:color="auto"/>
        <w:left w:val="none" w:sz="0" w:space="0" w:color="auto"/>
        <w:bottom w:val="none" w:sz="0" w:space="0" w:color="auto"/>
        <w:right w:val="none" w:sz="0" w:space="0" w:color="auto"/>
      </w:divBdr>
    </w:div>
    <w:div w:id="128279960">
      <w:bodyDiv w:val="1"/>
      <w:marLeft w:val="0"/>
      <w:marRight w:val="0"/>
      <w:marTop w:val="0"/>
      <w:marBottom w:val="0"/>
      <w:divBdr>
        <w:top w:val="none" w:sz="0" w:space="0" w:color="auto"/>
        <w:left w:val="none" w:sz="0" w:space="0" w:color="auto"/>
        <w:bottom w:val="none" w:sz="0" w:space="0" w:color="auto"/>
        <w:right w:val="none" w:sz="0" w:space="0" w:color="auto"/>
      </w:divBdr>
    </w:div>
    <w:div w:id="131678759">
      <w:bodyDiv w:val="1"/>
      <w:marLeft w:val="0"/>
      <w:marRight w:val="0"/>
      <w:marTop w:val="0"/>
      <w:marBottom w:val="0"/>
      <w:divBdr>
        <w:top w:val="none" w:sz="0" w:space="0" w:color="auto"/>
        <w:left w:val="none" w:sz="0" w:space="0" w:color="auto"/>
        <w:bottom w:val="none" w:sz="0" w:space="0" w:color="auto"/>
        <w:right w:val="none" w:sz="0" w:space="0" w:color="auto"/>
      </w:divBdr>
    </w:div>
    <w:div w:id="146215715">
      <w:bodyDiv w:val="1"/>
      <w:marLeft w:val="0"/>
      <w:marRight w:val="0"/>
      <w:marTop w:val="0"/>
      <w:marBottom w:val="0"/>
      <w:divBdr>
        <w:top w:val="none" w:sz="0" w:space="0" w:color="auto"/>
        <w:left w:val="none" w:sz="0" w:space="0" w:color="auto"/>
        <w:bottom w:val="none" w:sz="0" w:space="0" w:color="auto"/>
        <w:right w:val="none" w:sz="0" w:space="0" w:color="auto"/>
      </w:divBdr>
    </w:div>
    <w:div w:id="149374531">
      <w:bodyDiv w:val="1"/>
      <w:marLeft w:val="0"/>
      <w:marRight w:val="0"/>
      <w:marTop w:val="0"/>
      <w:marBottom w:val="0"/>
      <w:divBdr>
        <w:top w:val="none" w:sz="0" w:space="0" w:color="auto"/>
        <w:left w:val="none" w:sz="0" w:space="0" w:color="auto"/>
        <w:bottom w:val="none" w:sz="0" w:space="0" w:color="auto"/>
        <w:right w:val="none" w:sz="0" w:space="0" w:color="auto"/>
      </w:divBdr>
    </w:div>
    <w:div w:id="200634997">
      <w:bodyDiv w:val="1"/>
      <w:marLeft w:val="0"/>
      <w:marRight w:val="0"/>
      <w:marTop w:val="0"/>
      <w:marBottom w:val="0"/>
      <w:divBdr>
        <w:top w:val="none" w:sz="0" w:space="0" w:color="auto"/>
        <w:left w:val="none" w:sz="0" w:space="0" w:color="auto"/>
        <w:bottom w:val="none" w:sz="0" w:space="0" w:color="auto"/>
        <w:right w:val="none" w:sz="0" w:space="0" w:color="auto"/>
      </w:divBdr>
    </w:div>
    <w:div w:id="200943852">
      <w:bodyDiv w:val="1"/>
      <w:marLeft w:val="0"/>
      <w:marRight w:val="0"/>
      <w:marTop w:val="0"/>
      <w:marBottom w:val="0"/>
      <w:divBdr>
        <w:top w:val="none" w:sz="0" w:space="0" w:color="auto"/>
        <w:left w:val="none" w:sz="0" w:space="0" w:color="auto"/>
        <w:bottom w:val="none" w:sz="0" w:space="0" w:color="auto"/>
        <w:right w:val="none" w:sz="0" w:space="0" w:color="auto"/>
      </w:divBdr>
    </w:div>
    <w:div w:id="206987642">
      <w:bodyDiv w:val="1"/>
      <w:marLeft w:val="0"/>
      <w:marRight w:val="0"/>
      <w:marTop w:val="0"/>
      <w:marBottom w:val="0"/>
      <w:divBdr>
        <w:top w:val="none" w:sz="0" w:space="0" w:color="auto"/>
        <w:left w:val="none" w:sz="0" w:space="0" w:color="auto"/>
        <w:bottom w:val="none" w:sz="0" w:space="0" w:color="auto"/>
        <w:right w:val="none" w:sz="0" w:space="0" w:color="auto"/>
      </w:divBdr>
    </w:div>
    <w:div w:id="277762050">
      <w:bodyDiv w:val="1"/>
      <w:marLeft w:val="0"/>
      <w:marRight w:val="0"/>
      <w:marTop w:val="0"/>
      <w:marBottom w:val="0"/>
      <w:divBdr>
        <w:top w:val="none" w:sz="0" w:space="0" w:color="auto"/>
        <w:left w:val="none" w:sz="0" w:space="0" w:color="auto"/>
        <w:bottom w:val="none" w:sz="0" w:space="0" w:color="auto"/>
        <w:right w:val="none" w:sz="0" w:space="0" w:color="auto"/>
      </w:divBdr>
    </w:div>
    <w:div w:id="283926942">
      <w:bodyDiv w:val="1"/>
      <w:marLeft w:val="0"/>
      <w:marRight w:val="0"/>
      <w:marTop w:val="0"/>
      <w:marBottom w:val="0"/>
      <w:divBdr>
        <w:top w:val="none" w:sz="0" w:space="0" w:color="auto"/>
        <w:left w:val="none" w:sz="0" w:space="0" w:color="auto"/>
        <w:bottom w:val="none" w:sz="0" w:space="0" w:color="auto"/>
        <w:right w:val="none" w:sz="0" w:space="0" w:color="auto"/>
      </w:divBdr>
    </w:div>
    <w:div w:id="287787537">
      <w:bodyDiv w:val="1"/>
      <w:marLeft w:val="0"/>
      <w:marRight w:val="0"/>
      <w:marTop w:val="0"/>
      <w:marBottom w:val="0"/>
      <w:divBdr>
        <w:top w:val="none" w:sz="0" w:space="0" w:color="auto"/>
        <w:left w:val="none" w:sz="0" w:space="0" w:color="auto"/>
        <w:bottom w:val="none" w:sz="0" w:space="0" w:color="auto"/>
        <w:right w:val="none" w:sz="0" w:space="0" w:color="auto"/>
      </w:divBdr>
      <w:divsChild>
        <w:div w:id="539519280">
          <w:marLeft w:val="0"/>
          <w:marRight w:val="0"/>
          <w:marTop w:val="166"/>
          <w:marBottom w:val="166"/>
          <w:divBdr>
            <w:top w:val="none" w:sz="0" w:space="0" w:color="auto"/>
            <w:left w:val="none" w:sz="0" w:space="0" w:color="auto"/>
            <w:bottom w:val="none" w:sz="0" w:space="0" w:color="auto"/>
            <w:right w:val="none" w:sz="0" w:space="0" w:color="auto"/>
          </w:divBdr>
        </w:div>
        <w:div w:id="248076368">
          <w:marLeft w:val="0"/>
          <w:marRight w:val="0"/>
          <w:marTop w:val="166"/>
          <w:marBottom w:val="166"/>
          <w:divBdr>
            <w:top w:val="none" w:sz="0" w:space="0" w:color="auto"/>
            <w:left w:val="none" w:sz="0" w:space="0" w:color="auto"/>
            <w:bottom w:val="none" w:sz="0" w:space="0" w:color="auto"/>
            <w:right w:val="none" w:sz="0" w:space="0" w:color="auto"/>
          </w:divBdr>
        </w:div>
      </w:divsChild>
    </w:div>
    <w:div w:id="295840083">
      <w:bodyDiv w:val="1"/>
      <w:marLeft w:val="0"/>
      <w:marRight w:val="0"/>
      <w:marTop w:val="0"/>
      <w:marBottom w:val="0"/>
      <w:divBdr>
        <w:top w:val="none" w:sz="0" w:space="0" w:color="auto"/>
        <w:left w:val="none" w:sz="0" w:space="0" w:color="auto"/>
        <w:bottom w:val="none" w:sz="0" w:space="0" w:color="auto"/>
        <w:right w:val="none" w:sz="0" w:space="0" w:color="auto"/>
      </w:divBdr>
    </w:div>
    <w:div w:id="298190271">
      <w:bodyDiv w:val="1"/>
      <w:marLeft w:val="0"/>
      <w:marRight w:val="0"/>
      <w:marTop w:val="0"/>
      <w:marBottom w:val="0"/>
      <w:divBdr>
        <w:top w:val="none" w:sz="0" w:space="0" w:color="auto"/>
        <w:left w:val="none" w:sz="0" w:space="0" w:color="auto"/>
        <w:bottom w:val="none" w:sz="0" w:space="0" w:color="auto"/>
        <w:right w:val="none" w:sz="0" w:space="0" w:color="auto"/>
      </w:divBdr>
    </w:div>
    <w:div w:id="313143712">
      <w:bodyDiv w:val="1"/>
      <w:marLeft w:val="0"/>
      <w:marRight w:val="0"/>
      <w:marTop w:val="0"/>
      <w:marBottom w:val="0"/>
      <w:divBdr>
        <w:top w:val="none" w:sz="0" w:space="0" w:color="auto"/>
        <w:left w:val="none" w:sz="0" w:space="0" w:color="auto"/>
        <w:bottom w:val="none" w:sz="0" w:space="0" w:color="auto"/>
        <w:right w:val="none" w:sz="0" w:space="0" w:color="auto"/>
      </w:divBdr>
    </w:div>
    <w:div w:id="329063032">
      <w:bodyDiv w:val="1"/>
      <w:marLeft w:val="0"/>
      <w:marRight w:val="0"/>
      <w:marTop w:val="0"/>
      <w:marBottom w:val="0"/>
      <w:divBdr>
        <w:top w:val="none" w:sz="0" w:space="0" w:color="auto"/>
        <w:left w:val="none" w:sz="0" w:space="0" w:color="auto"/>
        <w:bottom w:val="none" w:sz="0" w:space="0" w:color="auto"/>
        <w:right w:val="none" w:sz="0" w:space="0" w:color="auto"/>
      </w:divBdr>
    </w:div>
    <w:div w:id="357967911">
      <w:bodyDiv w:val="1"/>
      <w:marLeft w:val="0"/>
      <w:marRight w:val="0"/>
      <w:marTop w:val="0"/>
      <w:marBottom w:val="0"/>
      <w:divBdr>
        <w:top w:val="none" w:sz="0" w:space="0" w:color="auto"/>
        <w:left w:val="none" w:sz="0" w:space="0" w:color="auto"/>
        <w:bottom w:val="none" w:sz="0" w:space="0" w:color="auto"/>
        <w:right w:val="none" w:sz="0" w:space="0" w:color="auto"/>
      </w:divBdr>
    </w:div>
    <w:div w:id="363100256">
      <w:bodyDiv w:val="1"/>
      <w:marLeft w:val="0"/>
      <w:marRight w:val="0"/>
      <w:marTop w:val="0"/>
      <w:marBottom w:val="0"/>
      <w:divBdr>
        <w:top w:val="none" w:sz="0" w:space="0" w:color="auto"/>
        <w:left w:val="none" w:sz="0" w:space="0" w:color="auto"/>
        <w:bottom w:val="none" w:sz="0" w:space="0" w:color="auto"/>
        <w:right w:val="none" w:sz="0" w:space="0" w:color="auto"/>
      </w:divBdr>
    </w:div>
    <w:div w:id="391271890">
      <w:bodyDiv w:val="1"/>
      <w:marLeft w:val="0"/>
      <w:marRight w:val="0"/>
      <w:marTop w:val="0"/>
      <w:marBottom w:val="0"/>
      <w:divBdr>
        <w:top w:val="none" w:sz="0" w:space="0" w:color="auto"/>
        <w:left w:val="none" w:sz="0" w:space="0" w:color="auto"/>
        <w:bottom w:val="none" w:sz="0" w:space="0" w:color="auto"/>
        <w:right w:val="none" w:sz="0" w:space="0" w:color="auto"/>
      </w:divBdr>
    </w:div>
    <w:div w:id="400251785">
      <w:bodyDiv w:val="1"/>
      <w:marLeft w:val="0"/>
      <w:marRight w:val="0"/>
      <w:marTop w:val="0"/>
      <w:marBottom w:val="0"/>
      <w:divBdr>
        <w:top w:val="none" w:sz="0" w:space="0" w:color="auto"/>
        <w:left w:val="none" w:sz="0" w:space="0" w:color="auto"/>
        <w:bottom w:val="none" w:sz="0" w:space="0" w:color="auto"/>
        <w:right w:val="none" w:sz="0" w:space="0" w:color="auto"/>
      </w:divBdr>
    </w:div>
    <w:div w:id="407966897">
      <w:bodyDiv w:val="1"/>
      <w:marLeft w:val="0"/>
      <w:marRight w:val="0"/>
      <w:marTop w:val="0"/>
      <w:marBottom w:val="0"/>
      <w:divBdr>
        <w:top w:val="none" w:sz="0" w:space="0" w:color="auto"/>
        <w:left w:val="none" w:sz="0" w:space="0" w:color="auto"/>
        <w:bottom w:val="none" w:sz="0" w:space="0" w:color="auto"/>
        <w:right w:val="none" w:sz="0" w:space="0" w:color="auto"/>
      </w:divBdr>
    </w:div>
    <w:div w:id="410005865">
      <w:bodyDiv w:val="1"/>
      <w:marLeft w:val="0"/>
      <w:marRight w:val="0"/>
      <w:marTop w:val="0"/>
      <w:marBottom w:val="0"/>
      <w:divBdr>
        <w:top w:val="none" w:sz="0" w:space="0" w:color="auto"/>
        <w:left w:val="none" w:sz="0" w:space="0" w:color="auto"/>
        <w:bottom w:val="none" w:sz="0" w:space="0" w:color="auto"/>
        <w:right w:val="none" w:sz="0" w:space="0" w:color="auto"/>
      </w:divBdr>
    </w:div>
    <w:div w:id="435639851">
      <w:bodyDiv w:val="1"/>
      <w:marLeft w:val="0"/>
      <w:marRight w:val="0"/>
      <w:marTop w:val="0"/>
      <w:marBottom w:val="0"/>
      <w:divBdr>
        <w:top w:val="none" w:sz="0" w:space="0" w:color="auto"/>
        <w:left w:val="none" w:sz="0" w:space="0" w:color="auto"/>
        <w:bottom w:val="none" w:sz="0" w:space="0" w:color="auto"/>
        <w:right w:val="none" w:sz="0" w:space="0" w:color="auto"/>
      </w:divBdr>
    </w:div>
    <w:div w:id="436486084">
      <w:bodyDiv w:val="1"/>
      <w:marLeft w:val="0"/>
      <w:marRight w:val="0"/>
      <w:marTop w:val="0"/>
      <w:marBottom w:val="0"/>
      <w:divBdr>
        <w:top w:val="none" w:sz="0" w:space="0" w:color="auto"/>
        <w:left w:val="none" w:sz="0" w:space="0" w:color="auto"/>
        <w:bottom w:val="none" w:sz="0" w:space="0" w:color="auto"/>
        <w:right w:val="none" w:sz="0" w:space="0" w:color="auto"/>
      </w:divBdr>
    </w:div>
    <w:div w:id="453712059">
      <w:bodyDiv w:val="1"/>
      <w:marLeft w:val="0"/>
      <w:marRight w:val="0"/>
      <w:marTop w:val="0"/>
      <w:marBottom w:val="0"/>
      <w:divBdr>
        <w:top w:val="none" w:sz="0" w:space="0" w:color="auto"/>
        <w:left w:val="none" w:sz="0" w:space="0" w:color="auto"/>
        <w:bottom w:val="none" w:sz="0" w:space="0" w:color="auto"/>
        <w:right w:val="none" w:sz="0" w:space="0" w:color="auto"/>
      </w:divBdr>
    </w:div>
    <w:div w:id="459687586">
      <w:bodyDiv w:val="1"/>
      <w:marLeft w:val="0"/>
      <w:marRight w:val="0"/>
      <w:marTop w:val="0"/>
      <w:marBottom w:val="0"/>
      <w:divBdr>
        <w:top w:val="none" w:sz="0" w:space="0" w:color="auto"/>
        <w:left w:val="none" w:sz="0" w:space="0" w:color="auto"/>
        <w:bottom w:val="none" w:sz="0" w:space="0" w:color="auto"/>
        <w:right w:val="none" w:sz="0" w:space="0" w:color="auto"/>
      </w:divBdr>
    </w:div>
    <w:div w:id="483938534">
      <w:bodyDiv w:val="1"/>
      <w:marLeft w:val="0"/>
      <w:marRight w:val="0"/>
      <w:marTop w:val="0"/>
      <w:marBottom w:val="0"/>
      <w:divBdr>
        <w:top w:val="none" w:sz="0" w:space="0" w:color="auto"/>
        <w:left w:val="none" w:sz="0" w:space="0" w:color="auto"/>
        <w:bottom w:val="none" w:sz="0" w:space="0" w:color="auto"/>
        <w:right w:val="none" w:sz="0" w:space="0" w:color="auto"/>
      </w:divBdr>
      <w:divsChild>
        <w:div w:id="277369659">
          <w:marLeft w:val="240"/>
          <w:marRight w:val="0"/>
          <w:marTop w:val="120"/>
          <w:marBottom w:val="0"/>
          <w:divBdr>
            <w:top w:val="none" w:sz="0" w:space="0" w:color="auto"/>
            <w:left w:val="none" w:sz="0" w:space="0" w:color="auto"/>
            <w:bottom w:val="none" w:sz="0" w:space="0" w:color="auto"/>
            <w:right w:val="none" w:sz="0" w:space="0" w:color="auto"/>
          </w:divBdr>
        </w:div>
        <w:div w:id="504707844">
          <w:marLeft w:val="240"/>
          <w:marRight w:val="0"/>
          <w:marTop w:val="120"/>
          <w:marBottom w:val="0"/>
          <w:divBdr>
            <w:top w:val="none" w:sz="0" w:space="0" w:color="auto"/>
            <w:left w:val="none" w:sz="0" w:space="0" w:color="auto"/>
            <w:bottom w:val="none" w:sz="0" w:space="0" w:color="auto"/>
            <w:right w:val="none" w:sz="0" w:space="0" w:color="auto"/>
          </w:divBdr>
        </w:div>
      </w:divsChild>
    </w:div>
    <w:div w:id="500042864">
      <w:bodyDiv w:val="1"/>
      <w:marLeft w:val="0"/>
      <w:marRight w:val="0"/>
      <w:marTop w:val="0"/>
      <w:marBottom w:val="0"/>
      <w:divBdr>
        <w:top w:val="none" w:sz="0" w:space="0" w:color="auto"/>
        <w:left w:val="none" w:sz="0" w:space="0" w:color="auto"/>
        <w:bottom w:val="none" w:sz="0" w:space="0" w:color="auto"/>
        <w:right w:val="none" w:sz="0" w:space="0" w:color="auto"/>
      </w:divBdr>
      <w:divsChild>
        <w:div w:id="2006324586">
          <w:marLeft w:val="0"/>
          <w:marRight w:val="0"/>
          <w:marTop w:val="0"/>
          <w:marBottom w:val="0"/>
          <w:divBdr>
            <w:top w:val="none" w:sz="0" w:space="0" w:color="auto"/>
            <w:left w:val="none" w:sz="0" w:space="0" w:color="auto"/>
            <w:bottom w:val="none" w:sz="0" w:space="0" w:color="auto"/>
            <w:right w:val="none" w:sz="0" w:space="0" w:color="auto"/>
          </w:divBdr>
          <w:divsChild>
            <w:div w:id="427310631">
              <w:marLeft w:val="0"/>
              <w:marRight w:val="0"/>
              <w:marTop w:val="0"/>
              <w:marBottom w:val="0"/>
              <w:divBdr>
                <w:top w:val="none" w:sz="0" w:space="0" w:color="auto"/>
                <w:left w:val="none" w:sz="0" w:space="0" w:color="auto"/>
                <w:bottom w:val="none" w:sz="0" w:space="0" w:color="auto"/>
                <w:right w:val="none" w:sz="0" w:space="0" w:color="auto"/>
              </w:divBdr>
              <w:divsChild>
                <w:div w:id="1856377631">
                  <w:marLeft w:val="0"/>
                  <w:marRight w:val="0"/>
                  <w:marTop w:val="0"/>
                  <w:marBottom w:val="0"/>
                  <w:divBdr>
                    <w:top w:val="none" w:sz="0" w:space="0" w:color="auto"/>
                    <w:left w:val="none" w:sz="0" w:space="0" w:color="auto"/>
                    <w:bottom w:val="none" w:sz="0" w:space="0" w:color="auto"/>
                    <w:right w:val="none" w:sz="0" w:space="0" w:color="auto"/>
                  </w:divBdr>
                  <w:divsChild>
                    <w:div w:id="17728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0142148">
      <w:bodyDiv w:val="1"/>
      <w:marLeft w:val="0"/>
      <w:marRight w:val="0"/>
      <w:marTop w:val="0"/>
      <w:marBottom w:val="0"/>
      <w:divBdr>
        <w:top w:val="none" w:sz="0" w:space="0" w:color="auto"/>
        <w:left w:val="none" w:sz="0" w:space="0" w:color="auto"/>
        <w:bottom w:val="none" w:sz="0" w:space="0" w:color="auto"/>
        <w:right w:val="none" w:sz="0" w:space="0" w:color="auto"/>
      </w:divBdr>
    </w:div>
    <w:div w:id="538586905">
      <w:bodyDiv w:val="1"/>
      <w:marLeft w:val="0"/>
      <w:marRight w:val="0"/>
      <w:marTop w:val="0"/>
      <w:marBottom w:val="0"/>
      <w:divBdr>
        <w:top w:val="none" w:sz="0" w:space="0" w:color="auto"/>
        <w:left w:val="none" w:sz="0" w:space="0" w:color="auto"/>
        <w:bottom w:val="none" w:sz="0" w:space="0" w:color="auto"/>
        <w:right w:val="none" w:sz="0" w:space="0" w:color="auto"/>
      </w:divBdr>
    </w:div>
    <w:div w:id="541405294">
      <w:bodyDiv w:val="1"/>
      <w:marLeft w:val="0"/>
      <w:marRight w:val="0"/>
      <w:marTop w:val="0"/>
      <w:marBottom w:val="0"/>
      <w:divBdr>
        <w:top w:val="none" w:sz="0" w:space="0" w:color="auto"/>
        <w:left w:val="none" w:sz="0" w:space="0" w:color="auto"/>
        <w:bottom w:val="none" w:sz="0" w:space="0" w:color="auto"/>
        <w:right w:val="none" w:sz="0" w:space="0" w:color="auto"/>
      </w:divBdr>
    </w:div>
    <w:div w:id="564755805">
      <w:bodyDiv w:val="1"/>
      <w:marLeft w:val="0"/>
      <w:marRight w:val="0"/>
      <w:marTop w:val="0"/>
      <w:marBottom w:val="0"/>
      <w:divBdr>
        <w:top w:val="none" w:sz="0" w:space="0" w:color="auto"/>
        <w:left w:val="none" w:sz="0" w:space="0" w:color="auto"/>
        <w:bottom w:val="none" w:sz="0" w:space="0" w:color="auto"/>
        <w:right w:val="none" w:sz="0" w:space="0" w:color="auto"/>
      </w:divBdr>
    </w:div>
    <w:div w:id="577325708">
      <w:bodyDiv w:val="1"/>
      <w:marLeft w:val="0"/>
      <w:marRight w:val="0"/>
      <w:marTop w:val="0"/>
      <w:marBottom w:val="0"/>
      <w:divBdr>
        <w:top w:val="none" w:sz="0" w:space="0" w:color="auto"/>
        <w:left w:val="none" w:sz="0" w:space="0" w:color="auto"/>
        <w:bottom w:val="none" w:sz="0" w:space="0" w:color="auto"/>
        <w:right w:val="none" w:sz="0" w:space="0" w:color="auto"/>
      </w:divBdr>
      <w:divsChild>
        <w:div w:id="898705835">
          <w:marLeft w:val="0"/>
          <w:marRight w:val="0"/>
          <w:marTop w:val="0"/>
          <w:marBottom w:val="0"/>
          <w:divBdr>
            <w:top w:val="none" w:sz="0" w:space="0" w:color="auto"/>
            <w:left w:val="none" w:sz="0" w:space="0" w:color="auto"/>
            <w:bottom w:val="none" w:sz="0" w:space="0" w:color="auto"/>
            <w:right w:val="none" w:sz="0" w:space="0" w:color="auto"/>
          </w:divBdr>
          <w:divsChild>
            <w:div w:id="124807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627694">
      <w:bodyDiv w:val="1"/>
      <w:marLeft w:val="0"/>
      <w:marRight w:val="0"/>
      <w:marTop w:val="0"/>
      <w:marBottom w:val="0"/>
      <w:divBdr>
        <w:top w:val="none" w:sz="0" w:space="0" w:color="auto"/>
        <w:left w:val="none" w:sz="0" w:space="0" w:color="auto"/>
        <w:bottom w:val="none" w:sz="0" w:space="0" w:color="auto"/>
        <w:right w:val="none" w:sz="0" w:space="0" w:color="auto"/>
      </w:divBdr>
    </w:div>
    <w:div w:id="596063386">
      <w:bodyDiv w:val="1"/>
      <w:marLeft w:val="0"/>
      <w:marRight w:val="0"/>
      <w:marTop w:val="0"/>
      <w:marBottom w:val="0"/>
      <w:divBdr>
        <w:top w:val="none" w:sz="0" w:space="0" w:color="auto"/>
        <w:left w:val="none" w:sz="0" w:space="0" w:color="auto"/>
        <w:bottom w:val="none" w:sz="0" w:space="0" w:color="auto"/>
        <w:right w:val="none" w:sz="0" w:space="0" w:color="auto"/>
      </w:divBdr>
    </w:div>
    <w:div w:id="608247240">
      <w:bodyDiv w:val="1"/>
      <w:marLeft w:val="0"/>
      <w:marRight w:val="0"/>
      <w:marTop w:val="0"/>
      <w:marBottom w:val="0"/>
      <w:divBdr>
        <w:top w:val="none" w:sz="0" w:space="0" w:color="auto"/>
        <w:left w:val="none" w:sz="0" w:space="0" w:color="auto"/>
        <w:bottom w:val="none" w:sz="0" w:space="0" w:color="auto"/>
        <w:right w:val="none" w:sz="0" w:space="0" w:color="auto"/>
      </w:divBdr>
    </w:div>
    <w:div w:id="618416114">
      <w:bodyDiv w:val="1"/>
      <w:marLeft w:val="0"/>
      <w:marRight w:val="0"/>
      <w:marTop w:val="0"/>
      <w:marBottom w:val="0"/>
      <w:divBdr>
        <w:top w:val="none" w:sz="0" w:space="0" w:color="auto"/>
        <w:left w:val="none" w:sz="0" w:space="0" w:color="auto"/>
        <w:bottom w:val="none" w:sz="0" w:space="0" w:color="auto"/>
        <w:right w:val="none" w:sz="0" w:space="0" w:color="auto"/>
      </w:divBdr>
    </w:div>
    <w:div w:id="623852456">
      <w:bodyDiv w:val="1"/>
      <w:marLeft w:val="0"/>
      <w:marRight w:val="0"/>
      <w:marTop w:val="0"/>
      <w:marBottom w:val="0"/>
      <w:divBdr>
        <w:top w:val="none" w:sz="0" w:space="0" w:color="auto"/>
        <w:left w:val="none" w:sz="0" w:space="0" w:color="auto"/>
        <w:bottom w:val="none" w:sz="0" w:space="0" w:color="auto"/>
        <w:right w:val="none" w:sz="0" w:space="0" w:color="auto"/>
      </w:divBdr>
    </w:div>
    <w:div w:id="626857096">
      <w:bodyDiv w:val="1"/>
      <w:marLeft w:val="0"/>
      <w:marRight w:val="0"/>
      <w:marTop w:val="0"/>
      <w:marBottom w:val="0"/>
      <w:divBdr>
        <w:top w:val="none" w:sz="0" w:space="0" w:color="auto"/>
        <w:left w:val="none" w:sz="0" w:space="0" w:color="auto"/>
        <w:bottom w:val="none" w:sz="0" w:space="0" w:color="auto"/>
        <w:right w:val="none" w:sz="0" w:space="0" w:color="auto"/>
      </w:divBdr>
      <w:divsChild>
        <w:div w:id="1091511860">
          <w:marLeft w:val="0"/>
          <w:marRight w:val="0"/>
          <w:marTop w:val="0"/>
          <w:marBottom w:val="0"/>
          <w:divBdr>
            <w:top w:val="none" w:sz="0" w:space="0" w:color="auto"/>
            <w:left w:val="none" w:sz="0" w:space="0" w:color="auto"/>
            <w:bottom w:val="none" w:sz="0" w:space="0" w:color="auto"/>
            <w:right w:val="none" w:sz="0" w:space="0" w:color="auto"/>
          </w:divBdr>
          <w:divsChild>
            <w:div w:id="985546755">
              <w:marLeft w:val="0"/>
              <w:marRight w:val="0"/>
              <w:marTop w:val="0"/>
              <w:marBottom w:val="0"/>
              <w:divBdr>
                <w:top w:val="none" w:sz="0" w:space="0" w:color="auto"/>
                <w:left w:val="none" w:sz="0" w:space="0" w:color="auto"/>
                <w:bottom w:val="none" w:sz="0" w:space="0" w:color="auto"/>
                <w:right w:val="none" w:sz="0" w:space="0" w:color="auto"/>
              </w:divBdr>
              <w:divsChild>
                <w:div w:id="1914705289">
                  <w:marLeft w:val="0"/>
                  <w:marRight w:val="0"/>
                  <w:marTop w:val="0"/>
                  <w:marBottom w:val="0"/>
                  <w:divBdr>
                    <w:top w:val="none" w:sz="0" w:space="0" w:color="auto"/>
                    <w:left w:val="none" w:sz="0" w:space="0" w:color="auto"/>
                    <w:bottom w:val="none" w:sz="0" w:space="0" w:color="auto"/>
                    <w:right w:val="none" w:sz="0" w:space="0" w:color="auto"/>
                  </w:divBdr>
                  <w:divsChild>
                    <w:div w:id="57956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9311910">
      <w:bodyDiv w:val="1"/>
      <w:marLeft w:val="0"/>
      <w:marRight w:val="0"/>
      <w:marTop w:val="0"/>
      <w:marBottom w:val="0"/>
      <w:divBdr>
        <w:top w:val="none" w:sz="0" w:space="0" w:color="auto"/>
        <w:left w:val="none" w:sz="0" w:space="0" w:color="auto"/>
        <w:bottom w:val="none" w:sz="0" w:space="0" w:color="auto"/>
        <w:right w:val="none" w:sz="0" w:space="0" w:color="auto"/>
      </w:divBdr>
      <w:divsChild>
        <w:div w:id="785121371">
          <w:marLeft w:val="960"/>
          <w:marRight w:val="0"/>
          <w:marTop w:val="0"/>
          <w:marBottom w:val="0"/>
          <w:divBdr>
            <w:top w:val="none" w:sz="0" w:space="0" w:color="auto"/>
            <w:left w:val="none" w:sz="0" w:space="0" w:color="auto"/>
            <w:bottom w:val="none" w:sz="0" w:space="0" w:color="auto"/>
            <w:right w:val="none" w:sz="0" w:space="0" w:color="auto"/>
          </w:divBdr>
        </w:div>
      </w:divsChild>
    </w:div>
    <w:div w:id="688213446">
      <w:bodyDiv w:val="1"/>
      <w:marLeft w:val="0"/>
      <w:marRight w:val="0"/>
      <w:marTop w:val="0"/>
      <w:marBottom w:val="0"/>
      <w:divBdr>
        <w:top w:val="none" w:sz="0" w:space="0" w:color="auto"/>
        <w:left w:val="none" w:sz="0" w:space="0" w:color="auto"/>
        <w:bottom w:val="none" w:sz="0" w:space="0" w:color="auto"/>
        <w:right w:val="none" w:sz="0" w:space="0" w:color="auto"/>
      </w:divBdr>
    </w:div>
    <w:div w:id="691996270">
      <w:bodyDiv w:val="1"/>
      <w:marLeft w:val="0"/>
      <w:marRight w:val="0"/>
      <w:marTop w:val="0"/>
      <w:marBottom w:val="0"/>
      <w:divBdr>
        <w:top w:val="none" w:sz="0" w:space="0" w:color="auto"/>
        <w:left w:val="none" w:sz="0" w:space="0" w:color="auto"/>
        <w:bottom w:val="none" w:sz="0" w:space="0" w:color="auto"/>
        <w:right w:val="none" w:sz="0" w:space="0" w:color="auto"/>
      </w:divBdr>
    </w:div>
    <w:div w:id="698118237">
      <w:bodyDiv w:val="1"/>
      <w:marLeft w:val="0"/>
      <w:marRight w:val="0"/>
      <w:marTop w:val="0"/>
      <w:marBottom w:val="0"/>
      <w:divBdr>
        <w:top w:val="none" w:sz="0" w:space="0" w:color="auto"/>
        <w:left w:val="none" w:sz="0" w:space="0" w:color="auto"/>
        <w:bottom w:val="none" w:sz="0" w:space="0" w:color="auto"/>
        <w:right w:val="none" w:sz="0" w:space="0" w:color="auto"/>
      </w:divBdr>
    </w:div>
    <w:div w:id="725378612">
      <w:bodyDiv w:val="1"/>
      <w:marLeft w:val="0"/>
      <w:marRight w:val="0"/>
      <w:marTop w:val="0"/>
      <w:marBottom w:val="0"/>
      <w:divBdr>
        <w:top w:val="none" w:sz="0" w:space="0" w:color="auto"/>
        <w:left w:val="none" w:sz="0" w:space="0" w:color="auto"/>
        <w:bottom w:val="none" w:sz="0" w:space="0" w:color="auto"/>
        <w:right w:val="none" w:sz="0" w:space="0" w:color="auto"/>
      </w:divBdr>
    </w:div>
    <w:div w:id="733967141">
      <w:bodyDiv w:val="1"/>
      <w:marLeft w:val="0"/>
      <w:marRight w:val="0"/>
      <w:marTop w:val="0"/>
      <w:marBottom w:val="0"/>
      <w:divBdr>
        <w:top w:val="none" w:sz="0" w:space="0" w:color="auto"/>
        <w:left w:val="none" w:sz="0" w:space="0" w:color="auto"/>
        <w:bottom w:val="none" w:sz="0" w:space="0" w:color="auto"/>
        <w:right w:val="none" w:sz="0" w:space="0" w:color="auto"/>
      </w:divBdr>
      <w:divsChild>
        <w:div w:id="1721173302">
          <w:marLeft w:val="0"/>
          <w:marRight w:val="0"/>
          <w:marTop w:val="0"/>
          <w:marBottom w:val="0"/>
          <w:divBdr>
            <w:top w:val="none" w:sz="0" w:space="0" w:color="auto"/>
            <w:left w:val="none" w:sz="0" w:space="0" w:color="auto"/>
            <w:bottom w:val="none" w:sz="0" w:space="0" w:color="auto"/>
            <w:right w:val="none" w:sz="0" w:space="0" w:color="auto"/>
          </w:divBdr>
          <w:divsChild>
            <w:div w:id="1060589796">
              <w:marLeft w:val="0"/>
              <w:marRight w:val="0"/>
              <w:marTop w:val="0"/>
              <w:marBottom w:val="0"/>
              <w:divBdr>
                <w:top w:val="none" w:sz="0" w:space="0" w:color="auto"/>
                <w:left w:val="none" w:sz="0" w:space="0" w:color="auto"/>
                <w:bottom w:val="none" w:sz="0" w:space="0" w:color="auto"/>
                <w:right w:val="none" w:sz="0" w:space="0" w:color="auto"/>
              </w:divBdr>
              <w:divsChild>
                <w:div w:id="162060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208174">
          <w:marLeft w:val="0"/>
          <w:marRight w:val="0"/>
          <w:marTop w:val="0"/>
          <w:marBottom w:val="0"/>
          <w:divBdr>
            <w:top w:val="none" w:sz="0" w:space="0" w:color="auto"/>
            <w:left w:val="none" w:sz="0" w:space="0" w:color="auto"/>
            <w:bottom w:val="none" w:sz="0" w:space="0" w:color="auto"/>
            <w:right w:val="none" w:sz="0" w:space="0" w:color="auto"/>
          </w:divBdr>
          <w:divsChild>
            <w:div w:id="1126699345">
              <w:marLeft w:val="0"/>
              <w:marRight w:val="0"/>
              <w:marTop w:val="0"/>
              <w:marBottom w:val="0"/>
              <w:divBdr>
                <w:top w:val="none" w:sz="0" w:space="0" w:color="auto"/>
                <w:left w:val="none" w:sz="0" w:space="0" w:color="auto"/>
                <w:bottom w:val="none" w:sz="0" w:space="0" w:color="auto"/>
                <w:right w:val="none" w:sz="0" w:space="0" w:color="auto"/>
              </w:divBdr>
              <w:divsChild>
                <w:div w:id="1733887402">
                  <w:marLeft w:val="0"/>
                  <w:marRight w:val="0"/>
                  <w:marTop w:val="0"/>
                  <w:marBottom w:val="0"/>
                  <w:divBdr>
                    <w:top w:val="none" w:sz="0" w:space="0" w:color="auto"/>
                    <w:left w:val="none" w:sz="0" w:space="0" w:color="auto"/>
                    <w:bottom w:val="none" w:sz="0" w:space="0" w:color="auto"/>
                    <w:right w:val="none" w:sz="0" w:space="0" w:color="auto"/>
                  </w:divBdr>
                </w:div>
              </w:divsChild>
            </w:div>
            <w:div w:id="1541894951">
              <w:marLeft w:val="0"/>
              <w:marRight w:val="0"/>
              <w:marTop w:val="0"/>
              <w:marBottom w:val="0"/>
              <w:divBdr>
                <w:top w:val="none" w:sz="0" w:space="0" w:color="auto"/>
                <w:left w:val="none" w:sz="0" w:space="0" w:color="auto"/>
                <w:bottom w:val="none" w:sz="0" w:space="0" w:color="auto"/>
                <w:right w:val="none" w:sz="0" w:space="0" w:color="auto"/>
              </w:divBdr>
              <w:divsChild>
                <w:div w:id="1847864299">
                  <w:marLeft w:val="0"/>
                  <w:marRight w:val="0"/>
                  <w:marTop w:val="0"/>
                  <w:marBottom w:val="0"/>
                  <w:divBdr>
                    <w:top w:val="none" w:sz="0" w:space="0" w:color="auto"/>
                    <w:left w:val="none" w:sz="0" w:space="0" w:color="auto"/>
                    <w:bottom w:val="none" w:sz="0" w:space="0" w:color="auto"/>
                    <w:right w:val="none" w:sz="0" w:space="0" w:color="auto"/>
                  </w:divBdr>
                </w:div>
              </w:divsChild>
            </w:div>
            <w:div w:id="22361681">
              <w:marLeft w:val="0"/>
              <w:marRight w:val="0"/>
              <w:marTop w:val="0"/>
              <w:marBottom w:val="0"/>
              <w:divBdr>
                <w:top w:val="none" w:sz="0" w:space="0" w:color="auto"/>
                <w:left w:val="none" w:sz="0" w:space="0" w:color="auto"/>
                <w:bottom w:val="none" w:sz="0" w:space="0" w:color="auto"/>
                <w:right w:val="none" w:sz="0" w:space="0" w:color="auto"/>
              </w:divBdr>
              <w:divsChild>
                <w:div w:id="1091392291">
                  <w:marLeft w:val="0"/>
                  <w:marRight w:val="0"/>
                  <w:marTop w:val="0"/>
                  <w:marBottom w:val="0"/>
                  <w:divBdr>
                    <w:top w:val="none" w:sz="0" w:space="0" w:color="auto"/>
                    <w:left w:val="none" w:sz="0" w:space="0" w:color="auto"/>
                    <w:bottom w:val="none" w:sz="0" w:space="0" w:color="auto"/>
                    <w:right w:val="none" w:sz="0" w:space="0" w:color="auto"/>
                  </w:divBdr>
                </w:div>
                <w:div w:id="2019578020">
                  <w:marLeft w:val="0"/>
                  <w:marRight w:val="0"/>
                  <w:marTop w:val="0"/>
                  <w:marBottom w:val="0"/>
                  <w:divBdr>
                    <w:top w:val="none" w:sz="0" w:space="0" w:color="auto"/>
                    <w:left w:val="none" w:sz="0" w:space="0" w:color="auto"/>
                    <w:bottom w:val="none" w:sz="0" w:space="0" w:color="auto"/>
                    <w:right w:val="none" w:sz="0" w:space="0" w:color="auto"/>
                  </w:divBdr>
                </w:div>
                <w:div w:id="1233614196">
                  <w:marLeft w:val="0"/>
                  <w:marRight w:val="0"/>
                  <w:marTop w:val="0"/>
                  <w:marBottom w:val="0"/>
                  <w:divBdr>
                    <w:top w:val="none" w:sz="0" w:space="0" w:color="auto"/>
                    <w:left w:val="none" w:sz="0" w:space="0" w:color="auto"/>
                    <w:bottom w:val="none" w:sz="0" w:space="0" w:color="auto"/>
                    <w:right w:val="none" w:sz="0" w:space="0" w:color="auto"/>
                  </w:divBdr>
                </w:div>
                <w:div w:id="227040516">
                  <w:marLeft w:val="0"/>
                  <w:marRight w:val="0"/>
                  <w:marTop w:val="0"/>
                  <w:marBottom w:val="0"/>
                  <w:divBdr>
                    <w:top w:val="none" w:sz="0" w:space="0" w:color="auto"/>
                    <w:left w:val="none" w:sz="0" w:space="0" w:color="auto"/>
                    <w:bottom w:val="none" w:sz="0" w:space="0" w:color="auto"/>
                    <w:right w:val="none" w:sz="0" w:space="0" w:color="auto"/>
                  </w:divBdr>
                </w:div>
              </w:divsChild>
            </w:div>
            <w:div w:id="549926787">
              <w:marLeft w:val="0"/>
              <w:marRight w:val="0"/>
              <w:marTop w:val="0"/>
              <w:marBottom w:val="0"/>
              <w:divBdr>
                <w:top w:val="none" w:sz="0" w:space="0" w:color="auto"/>
                <w:left w:val="none" w:sz="0" w:space="0" w:color="auto"/>
                <w:bottom w:val="none" w:sz="0" w:space="0" w:color="auto"/>
                <w:right w:val="none" w:sz="0" w:space="0" w:color="auto"/>
              </w:divBdr>
              <w:divsChild>
                <w:div w:id="119754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877632">
      <w:bodyDiv w:val="1"/>
      <w:marLeft w:val="0"/>
      <w:marRight w:val="0"/>
      <w:marTop w:val="0"/>
      <w:marBottom w:val="0"/>
      <w:divBdr>
        <w:top w:val="none" w:sz="0" w:space="0" w:color="auto"/>
        <w:left w:val="none" w:sz="0" w:space="0" w:color="auto"/>
        <w:bottom w:val="none" w:sz="0" w:space="0" w:color="auto"/>
        <w:right w:val="none" w:sz="0" w:space="0" w:color="auto"/>
      </w:divBdr>
    </w:div>
    <w:div w:id="756825687">
      <w:bodyDiv w:val="1"/>
      <w:marLeft w:val="0"/>
      <w:marRight w:val="0"/>
      <w:marTop w:val="0"/>
      <w:marBottom w:val="0"/>
      <w:divBdr>
        <w:top w:val="none" w:sz="0" w:space="0" w:color="auto"/>
        <w:left w:val="none" w:sz="0" w:space="0" w:color="auto"/>
        <w:bottom w:val="none" w:sz="0" w:space="0" w:color="auto"/>
        <w:right w:val="none" w:sz="0" w:space="0" w:color="auto"/>
      </w:divBdr>
      <w:divsChild>
        <w:div w:id="1070427959">
          <w:marLeft w:val="0"/>
          <w:marRight w:val="0"/>
          <w:marTop w:val="166"/>
          <w:marBottom w:val="166"/>
          <w:divBdr>
            <w:top w:val="none" w:sz="0" w:space="0" w:color="auto"/>
            <w:left w:val="none" w:sz="0" w:space="0" w:color="auto"/>
            <w:bottom w:val="none" w:sz="0" w:space="0" w:color="auto"/>
            <w:right w:val="none" w:sz="0" w:space="0" w:color="auto"/>
          </w:divBdr>
        </w:div>
        <w:div w:id="707343577">
          <w:marLeft w:val="0"/>
          <w:marRight w:val="0"/>
          <w:marTop w:val="166"/>
          <w:marBottom w:val="166"/>
          <w:divBdr>
            <w:top w:val="none" w:sz="0" w:space="0" w:color="auto"/>
            <w:left w:val="none" w:sz="0" w:space="0" w:color="auto"/>
            <w:bottom w:val="none" w:sz="0" w:space="0" w:color="auto"/>
            <w:right w:val="none" w:sz="0" w:space="0" w:color="auto"/>
          </w:divBdr>
        </w:div>
        <w:div w:id="2019574631">
          <w:marLeft w:val="0"/>
          <w:marRight w:val="0"/>
          <w:marTop w:val="166"/>
          <w:marBottom w:val="166"/>
          <w:divBdr>
            <w:top w:val="none" w:sz="0" w:space="0" w:color="auto"/>
            <w:left w:val="none" w:sz="0" w:space="0" w:color="auto"/>
            <w:bottom w:val="none" w:sz="0" w:space="0" w:color="auto"/>
            <w:right w:val="none" w:sz="0" w:space="0" w:color="auto"/>
          </w:divBdr>
        </w:div>
        <w:div w:id="1940285699">
          <w:marLeft w:val="0"/>
          <w:marRight w:val="0"/>
          <w:marTop w:val="166"/>
          <w:marBottom w:val="166"/>
          <w:divBdr>
            <w:top w:val="none" w:sz="0" w:space="0" w:color="auto"/>
            <w:left w:val="none" w:sz="0" w:space="0" w:color="auto"/>
            <w:bottom w:val="none" w:sz="0" w:space="0" w:color="auto"/>
            <w:right w:val="none" w:sz="0" w:space="0" w:color="auto"/>
          </w:divBdr>
        </w:div>
        <w:div w:id="755978916">
          <w:marLeft w:val="0"/>
          <w:marRight w:val="0"/>
          <w:marTop w:val="166"/>
          <w:marBottom w:val="166"/>
          <w:divBdr>
            <w:top w:val="none" w:sz="0" w:space="0" w:color="auto"/>
            <w:left w:val="none" w:sz="0" w:space="0" w:color="auto"/>
            <w:bottom w:val="none" w:sz="0" w:space="0" w:color="auto"/>
            <w:right w:val="none" w:sz="0" w:space="0" w:color="auto"/>
          </w:divBdr>
        </w:div>
        <w:div w:id="2079404687">
          <w:marLeft w:val="0"/>
          <w:marRight w:val="0"/>
          <w:marTop w:val="166"/>
          <w:marBottom w:val="166"/>
          <w:divBdr>
            <w:top w:val="none" w:sz="0" w:space="0" w:color="auto"/>
            <w:left w:val="none" w:sz="0" w:space="0" w:color="auto"/>
            <w:bottom w:val="none" w:sz="0" w:space="0" w:color="auto"/>
            <w:right w:val="none" w:sz="0" w:space="0" w:color="auto"/>
          </w:divBdr>
        </w:div>
      </w:divsChild>
    </w:div>
    <w:div w:id="762532785">
      <w:bodyDiv w:val="1"/>
      <w:marLeft w:val="0"/>
      <w:marRight w:val="0"/>
      <w:marTop w:val="0"/>
      <w:marBottom w:val="0"/>
      <w:divBdr>
        <w:top w:val="none" w:sz="0" w:space="0" w:color="auto"/>
        <w:left w:val="none" w:sz="0" w:space="0" w:color="auto"/>
        <w:bottom w:val="none" w:sz="0" w:space="0" w:color="auto"/>
        <w:right w:val="none" w:sz="0" w:space="0" w:color="auto"/>
      </w:divBdr>
    </w:div>
    <w:div w:id="794254861">
      <w:bodyDiv w:val="1"/>
      <w:marLeft w:val="0"/>
      <w:marRight w:val="0"/>
      <w:marTop w:val="0"/>
      <w:marBottom w:val="0"/>
      <w:divBdr>
        <w:top w:val="none" w:sz="0" w:space="0" w:color="auto"/>
        <w:left w:val="none" w:sz="0" w:space="0" w:color="auto"/>
        <w:bottom w:val="none" w:sz="0" w:space="0" w:color="auto"/>
        <w:right w:val="none" w:sz="0" w:space="0" w:color="auto"/>
      </w:divBdr>
    </w:div>
    <w:div w:id="799808145">
      <w:bodyDiv w:val="1"/>
      <w:marLeft w:val="0"/>
      <w:marRight w:val="0"/>
      <w:marTop w:val="0"/>
      <w:marBottom w:val="0"/>
      <w:divBdr>
        <w:top w:val="none" w:sz="0" w:space="0" w:color="auto"/>
        <w:left w:val="none" w:sz="0" w:space="0" w:color="auto"/>
        <w:bottom w:val="none" w:sz="0" w:space="0" w:color="auto"/>
        <w:right w:val="none" w:sz="0" w:space="0" w:color="auto"/>
      </w:divBdr>
    </w:div>
    <w:div w:id="815142623">
      <w:bodyDiv w:val="1"/>
      <w:marLeft w:val="0"/>
      <w:marRight w:val="0"/>
      <w:marTop w:val="0"/>
      <w:marBottom w:val="0"/>
      <w:divBdr>
        <w:top w:val="none" w:sz="0" w:space="0" w:color="auto"/>
        <w:left w:val="none" w:sz="0" w:space="0" w:color="auto"/>
        <w:bottom w:val="none" w:sz="0" w:space="0" w:color="auto"/>
        <w:right w:val="none" w:sz="0" w:space="0" w:color="auto"/>
      </w:divBdr>
    </w:div>
    <w:div w:id="829374304">
      <w:bodyDiv w:val="1"/>
      <w:marLeft w:val="0"/>
      <w:marRight w:val="0"/>
      <w:marTop w:val="0"/>
      <w:marBottom w:val="0"/>
      <w:divBdr>
        <w:top w:val="none" w:sz="0" w:space="0" w:color="auto"/>
        <w:left w:val="none" w:sz="0" w:space="0" w:color="auto"/>
        <w:bottom w:val="none" w:sz="0" w:space="0" w:color="auto"/>
        <w:right w:val="none" w:sz="0" w:space="0" w:color="auto"/>
      </w:divBdr>
    </w:div>
    <w:div w:id="847014243">
      <w:bodyDiv w:val="1"/>
      <w:marLeft w:val="0"/>
      <w:marRight w:val="0"/>
      <w:marTop w:val="0"/>
      <w:marBottom w:val="0"/>
      <w:divBdr>
        <w:top w:val="none" w:sz="0" w:space="0" w:color="auto"/>
        <w:left w:val="none" w:sz="0" w:space="0" w:color="auto"/>
        <w:bottom w:val="none" w:sz="0" w:space="0" w:color="auto"/>
        <w:right w:val="none" w:sz="0" w:space="0" w:color="auto"/>
      </w:divBdr>
    </w:div>
    <w:div w:id="847716477">
      <w:bodyDiv w:val="1"/>
      <w:marLeft w:val="0"/>
      <w:marRight w:val="0"/>
      <w:marTop w:val="0"/>
      <w:marBottom w:val="0"/>
      <w:divBdr>
        <w:top w:val="none" w:sz="0" w:space="0" w:color="auto"/>
        <w:left w:val="none" w:sz="0" w:space="0" w:color="auto"/>
        <w:bottom w:val="none" w:sz="0" w:space="0" w:color="auto"/>
        <w:right w:val="none" w:sz="0" w:space="0" w:color="auto"/>
      </w:divBdr>
    </w:div>
    <w:div w:id="849492698">
      <w:bodyDiv w:val="1"/>
      <w:marLeft w:val="0"/>
      <w:marRight w:val="0"/>
      <w:marTop w:val="0"/>
      <w:marBottom w:val="0"/>
      <w:divBdr>
        <w:top w:val="none" w:sz="0" w:space="0" w:color="auto"/>
        <w:left w:val="none" w:sz="0" w:space="0" w:color="auto"/>
        <w:bottom w:val="none" w:sz="0" w:space="0" w:color="auto"/>
        <w:right w:val="none" w:sz="0" w:space="0" w:color="auto"/>
      </w:divBdr>
    </w:div>
    <w:div w:id="866529818">
      <w:bodyDiv w:val="1"/>
      <w:marLeft w:val="0"/>
      <w:marRight w:val="0"/>
      <w:marTop w:val="0"/>
      <w:marBottom w:val="0"/>
      <w:divBdr>
        <w:top w:val="none" w:sz="0" w:space="0" w:color="auto"/>
        <w:left w:val="none" w:sz="0" w:space="0" w:color="auto"/>
        <w:bottom w:val="none" w:sz="0" w:space="0" w:color="auto"/>
        <w:right w:val="none" w:sz="0" w:space="0" w:color="auto"/>
      </w:divBdr>
    </w:div>
    <w:div w:id="904296133">
      <w:bodyDiv w:val="1"/>
      <w:marLeft w:val="0"/>
      <w:marRight w:val="0"/>
      <w:marTop w:val="0"/>
      <w:marBottom w:val="0"/>
      <w:divBdr>
        <w:top w:val="none" w:sz="0" w:space="0" w:color="auto"/>
        <w:left w:val="none" w:sz="0" w:space="0" w:color="auto"/>
        <w:bottom w:val="none" w:sz="0" w:space="0" w:color="auto"/>
        <w:right w:val="none" w:sz="0" w:space="0" w:color="auto"/>
      </w:divBdr>
    </w:div>
    <w:div w:id="908031587">
      <w:bodyDiv w:val="1"/>
      <w:marLeft w:val="0"/>
      <w:marRight w:val="0"/>
      <w:marTop w:val="0"/>
      <w:marBottom w:val="0"/>
      <w:divBdr>
        <w:top w:val="none" w:sz="0" w:space="0" w:color="auto"/>
        <w:left w:val="none" w:sz="0" w:space="0" w:color="auto"/>
        <w:bottom w:val="none" w:sz="0" w:space="0" w:color="auto"/>
        <w:right w:val="none" w:sz="0" w:space="0" w:color="auto"/>
      </w:divBdr>
    </w:div>
    <w:div w:id="932588220">
      <w:bodyDiv w:val="1"/>
      <w:marLeft w:val="0"/>
      <w:marRight w:val="0"/>
      <w:marTop w:val="0"/>
      <w:marBottom w:val="0"/>
      <w:divBdr>
        <w:top w:val="none" w:sz="0" w:space="0" w:color="auto"/>
        <w:left w:val="none" w:sz="0" w:space="0" w:color="auto"/>
        <w:bottom w:val="none" w:sz="0" w:space="0" w:color="auto"/>
        <w:right w:val="none" w:sz="0" w:space="0" w:color="auto"/>
      </w:divBdr>
      <w:divsChild>
        <w:div w:id="1221938541">
          <w:marLeft w:val="0"/>
          <w:marRight w:val="0"/>
          <w:marTop w:val="0"/>
          <w:marBottom w:val="0"/>
          <w:divBdr>
            <w:top w:val="none" w:sz="0" w:space="0" w:color="auto"/>
            <w:left w:val="none" w:sz="0" w:space="0" w:color="auto"/>
            <w:bottom w:val="none" w:sz="0" w:space="0" w:color="auto"/>
            <w:right w:val="none" w:sz="0" w:space="0" w:color="auto"/>
          </w:divBdr>
        </w:div>
        <w:div w:id="1746299987">
          <w:marLeft w:val="0"/>
          <w:marRight w:val="0"/>
          <w:marTop w:val="0"/>
          <w:marBottom w:val="0"/>
          <w:divBdr>
            <w:top w:val="none" w:sz="0" w:space="0" w:color="auto"/>
            <w:left w:val="none" w:sz="0" w:space="0" w:color="auto"/>
            <w:bottom w:val="none" w:sz="0" w:space="0" w:color="auto"/>
            <w:right w:val="none" w:sz="0" w:space="0" w:color="auto"/>
          </w:divBdr>
        </w:div>
        <w:div w:id="1438402259">
          <w:marLeft w:val="0"/>
          <w:marRight w:val="0"/>
          <w:marTop w:val="0"/>
          <w:marBottom w:val="0"/>
          <w:divBdr>
            <w:top w:val="none" w:sz="0" w:space="0" w:color="auto"/>
            <w:left w:val="none" w:sz="0" w:space="0" w:color="auto"/>
            <w:bottom w:val="none" w:sz="0" w:space="0" w:color="auto"/>
            <w:right w:val="none" w:sz="0" w:space="0" w:color="auto"/>
          </w:divBdr>
        </w:div>
      </w:divsChild>
    </w:div>
    <w:div w:id="933127100">
      <w:bodyDiv w:val="1"/>
      <w:marLeft w:val="0"/>
      <w:marRight w:val="0"/>
      <w:marTop w:val="0"/>
      <w:marBottom w:val="0"/>
      <w:divBdr>
        <w:top w:val="none" w:sz="0" w:space="0" w:color="auto"/>
        <w:left w:val="none" w:sz="0" w:space="0" w:color="auto"/>
        <w:bottom w:val="none" w:sz="0" w:space="0" w:color="auto"/>
        <w:right w:val="none" w:sz="0" w:space="0" w:color="auto"/>
      </w:divBdr>
    </w:div>
    <w:div w:id="964193259">
      <w:bodyDiv w:val="1"/>
      <w:marLeft w:val="0"/>
      <w:marRight w:val="0"/>
      <w:marTop w:val="0"/>
      <w:marBottom w:val="0"/>
      <w:divBdr>
        <w:top w:val="none" w:sz="0" w:space="0" w:color="auto"/>
        <w:left w:val="none" w:sz="0" w:space="0" w:color="auto"/>
        <w:bottom w:val="none" w:sz="0" w:space="0" w:color="auto"/>
        <w:right w:val="none" w:sz="0" w:space="0" w:color="auto"/>
      </w:divBdr>
    </w:div>
    <w:div w:id="964626085">
      <w:bodyDiv w:val="1"/>
      <w:marLeft w:val="0"/>
      <w:marRight w:val="0"/>
      <w:marTop w:val="0"/>
      <w:marBottom w:val="0"/>
      <w:divBdr>
        <w:top w:val="none" w:sz="0" w:space="0" w:color="auto"/>
        <w:left w:val="none" w:sz="0" w:space="0" w:color="auto"/>
        <w:bottom w:val="none" w:sz="0" w:space="0" w:color="auto"/>
        <w:right w:val="none" w:sz="0" w:space="0" w:color="auto"/>
      </w:divBdr>
    </w:div>
    <w:div w:id="973758424">
      <w:bodyDiv w:val="1"/>
      <w:marLeft w:val="0"/>
      <w:marRight w:val="0"/>
      <w:marTop w:val="0"/>
      <w:marBottom w:val="0"/>
      <w:divBdr>
        <w:top w:val="none" w:sz="0" w:space="0" w:color="auto"/>
        <w:left w:val="none" w:sz="0" w:space="0" w:color="auto"/>
        <w:bottom w:val="none" w:sz="0" w:space="0" w:color="auto"/>
        <w:right w:val="none" w:sz="0" w:space="0" w:color="auto"/>
      </w:divBdr>
    </w:div>
    <w:div w:id="978653936">
      <w:bodyDiv w:val="1"/>
      <w:marLeft w:val="0"/>
      <w:marRight w:val="0"/>
      <w:marTop w:val="0"/>
      <w:marBottom w:val="0"/>
      <w:divBdr>
        <w:top w:val="none" w:sz="0" w:space="0" w:color="auto"/>
        <w:left w:val="none" w:sz="0" w:space="0" w:color="auto"/>
        <w:bottom w:val="none" w:sz="0" w:space="0" w:color="auto"/>
        <w:right w:val="none" w:sz="0" w:space="0" w:color="auto"/>
      </w:divBdr>
    </w:div>
    <w:div w:id="1009910630">
      <w:bodyDiv w:val="1"/>
      <w:marLeft w:val="0"/>
      <w:marRight w:val="0"/>
      <w:marTop w:val="0"/>
      <w:marBottom w:val="0"/>
      <w:divBdr>
        <w:top w:val="none" w:sz="0" w:space="0" w:color="auto"/>
        <w:left w:val="none" w:sz="0" w:space="0" w:color="auto"/>
        <w:bottom w:val="none" w:sz="0" w:space="0" w:color="auto"/>
        <w:right w:val="none" w:sz="0" w:space="0" w:color="auto"/>
      </w:divBdr>
    </w:div>
    <w:div w:id="1013459416">
      <w:bodyDiv w:val="1"/>
      <w:marLeft w:val="0"/>
      <w:marRight w:val="0"/>
      <w:marTop w:val="0"/>
      <w:marBottom w:val="0"/>
      <w:divBdr>
        <w:top w:val="none" w:sz="0" w:space="0" w:color="auto"/>
        <w:left w:val="none" w:sz="0" w:space="0" w:color="auto"/>
        <w:bottom w:val="none" w:sz="0" w:space="0" w:color="auto"/>
        <w:right w:val="none" w:sz="0" w:space="0" w:color="auto"/>
      </w:divBdr>
      <w:divsChild>
        <w:div w:id="1386179326">
          <w:marLeft w:val="0"/>
          <w:marRight w:val="0"/>
          <w:marTop w:val="0"/>
          <w:marBottom w:val="0"/>
          <w:divBdr>
            <w:top w:val="none" w:sz="0" w:space="0" w:color="auto"/>
            <w:left w:val="none" w:sz="0" w:space="0" w:color="auto"/>
            <w:bottom w:val="none" w:sz="0" w:space="0" w:color="auto"/>
            <w:right w:val="none" w:sz="0" w:space="0" w:color="auto"/>
          </w:divBdr>
          <w:divsChild>
            <w:div w:id="58989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930305">
      <w:bodyDiv w:val="1"/>
      <w:marLeft w:val="0"/>
      <w:marRight w:val="0"/>
      <w:marTop w:val="0"/>
      <w:marBottom w:val="0"/>
      <w:divBdr>
        <w:top w:val="none" w:sz="0" w:space="0" w:color="auto"/>
        <w:left w:val="none" w:sz="0" w:space="0" w:color="auto"/>
        <w:bottom w:val="none" w:sz="0" w:space="0" w:color="auto"/>
        <w:right w:val="none" w:sz="0" w:space="0" w:color="auto"/>
      </w:divBdr>
      <w:divsChild>
        <w:div w:id="159204070">
          <w:marLeft w:val="0"/>
          <w:marRight w:val="0"/>
          <w:marTop w:val="0"/>
          <w:marBottom w:val="75"/>
          <w:divBdr>
            <w:top w:val="none" w:sz="0" w:space="0" w:color="auto"/>
            <w:left w:val="none" w:sz="0" w:space="0" w:color="auto"/>
            <w:bottom w:val="none" w:sz="0" w:space="0" w:color="auto"/>
            <w:right w:val="none" w:sz="0" w:space="0" w:color="auto"/>
          </w:divBdr>
        </w:div>
        <w:div w:id="133568626">
          <w:marLeft w:val="0"/>
          <w:marRight w:val="0"/>
          <w:marTop w:val="0"/>
          <w:marBottom w:val="75"/>
          <w:divBdr>
            <w:top w:val="none" w:sz="0" w:space="0" w:color="auto"/>
            <w:left w:val="none" w:sz="0" w:space="0" w:color="auto"/>
            <w:bottom w:val="none" w:sz="0" w:space="0" w:color="auto"/>
            <w:right w:val="none" w:sz="0" w:space="0" w:color="auto"/>
          </w:divBdr>
        </w:div>
        <w:div w:id="1350596504">
          <w:marLeft w:val="0"/>
          <w:marRight w:val="0"/>
          <w:marTop w:val="0"/>
          <w:marBottom w:val="75"/>
          <w:divBdr>
            <w:top w:val="none" w:sz="0" w:space="0" w:color="auto"/>
            <w:left w:val="none" w:sz="0" w:space="0" w:color="auto"/>
            <w:bottom w:val="none" w:sz="0" w:space="0" w:color="auto"/>
            <w:right w:val="none" w:sz="0" w:space="0" w:color="auto"/>
          </w:divBdr>
        </w:div>
        <w:div w:id="807940161">
          <w:marLeft w:val="0"/>
          <w:marRight w:val="0"/>
          <w:marTop w:val="0"/>
          <w:marBottom w:val="75"/>
          <w:divBdr>
            <w:top w:val="none" w:sz="0" w:space="0" w:color="auto"/>
            <w:left w:val="none" w:sz="0" w:space="0" w:color="auto"/>
            <w:bottom w:val="none" w:sz="0" w:space="0" w:color="auto"/>
            <w:right w:val="none" w:sz="0" w:space="0" w:color="auto"/>
          </w:divBdr>
        </w:div>
      </w:divsChild>
    </w:div>
    <w:div w:id="1030835692">
      <w:bodyDiv w:val="1"/>
      <w:marLeft w:val="0"/>
      <w:marRight w:val="0"/>
      <w:marTop w:val="0"/>
      <w:marBottom w:val="0"/>
      <w:divBdr>
        <w:top w:val="none" w:sz="0" w:space="0" w:color="auto"/>
        <w:left w:val="none" w:sz="0" w:space="0" w:color="auto"/>
        <w:bottom w:val="none" w:sz="0" w:space="0" w:color="auto"/>
        <w:right w:val="none" w:sz="0" w:space="0" w:color="auto"/>
      </w:divBdr>
    </w:div>
    <w:div w:id="1053967315">
      <w:bodyDiv w:val="1"/>
      <w:marLeft w:val="0"/>
      <w:marRight w:val="0"/>
      <w:marTop w:val="0"/>
      <w:marBottom w:val="0"/>
      <w:divBdr>
        <w:top w:val="none" w:sz="0" w:space="0" w:color="auto"/>
        <w:left w:val="none" w:sz="0" w:space="0" w:color="auto"/>
        <w:bottom w:val="none" w:sz="0" w:space="0" w:color="auto"/>
        <w:right w:val="none" w:sz="0" w:space="0" w:color="auto"/>
      </w:divBdr>
    </w:div>
    <w:div w:id="1058744449">
      <w:bodyDiv w:val="1"/>
      <w:marLeft w:val="0"/>
      <w:marRight w:val="0"/>
      <w:marTop w:val="0"/>
      <w:marBottom w:val="0"/>
      <w:divBdr>
        <w:top w:val="none" w:sz="0" w:space="0" w:color="auto"/>
        <w:left w:val="none" w:sz="0" w:space="0" w:color="auto"/>
        <w:bottom w:val="none" w:sz="0" w:space="0" w:color="auto"/>
        <w:right w:val="none" w:sz="0" w:space="0" w:color="auto"/>
      </w:divBdr>
    </w:div>
    <w:div w:id="1060714040">
      <w:bodyDiv w:val="1"/>
      <w:marLeft w:val="0"/>
      <w:marRight w:val="0"/>
      <w:marTop w:val="0"/>
      <w:marBottom w:val="0"/>
      <w:divBdr>
        <w:top w:val="none" w:sz="0" w:space="0" w:color="auto"/>
        <w:left w:val="none" w:sz="0" w:space="0" w:color="auto"/>
        <w:bottom w:val="none" w:sz="0" w:space="0" w:color="auto"/>
        <w:right w:val="none" w:sz="0" w:space="0" w:color="auto"/>
      </w:divBdr>
    </w:div>
    <w:div w:id="1061102682">
      <w:bodyDiv w:val="1"/>
      <w:marLeft w:val="0"/>
      <w:marRight w:val="0"/>
      <w:marTop w:val="0"/>
      <w:marBottom w:val="0"/>
      <w:divBdr>
        <w:top w:val="none" w:sz="0" w:space="0" w:color="auto"/>
        <w:left w:val="none" w:sz="0" w:space="0" w:color="auto"/>
        <w:bottom w:val="none" w:sz="0" w:space="0" w:color="auto"/>
        <w:right w:val="none" w:sz="0" w:space="0" w:color="auto"/>
      </w:divBdr>
    </w:div>
    <w:div w:id="1095440426">
      <w:bodyDiv w:val="1"/>
      <w:marLeft w:val="0"/>
      <w:marRight w:val="0"/>
      <w:marTop w:val="0"/>
      <w:marBottom w:val="0"/>
      <w:divBdr>
        <w:top w:val="none" w:sz="0" w:space="0" w:color="auto"/>
        <w:left w:val="none" w:sz="0" w:space="0" w:color="auto"/>
        <w:bottom w:val="none" w:sz="0" w:space="0" w:color="auto"/>
        <w:right w:val="none" w:sz="0" w:space="0" w:color="auto"/>
      </w:divBdr>
    </w:div>
    <w:div w:id="1117866610">
      <w:bodyDiv w:val="1"/>
      <w:marLeft w:val="0"/>
      <w:marRight w:val="0"/>
      <w:marTop w:val="0"/>
      <w:marBottom w:val="0"/>
      <w:divBdr>
        <w:top w:val="none" w:sz="0" w:space="0" w:color="auto"/>
        <w:left w:val="none" w:sz="0" w:space="0" w:color="auto"/>
        <w:bottom w:val="none" w:sz="0" w:space="0" w:color="auto"/>
        <w:right w:val="none" w:sz="0" w:space="0" w:color="auto"/>
      </w:divBdr>
    </w:div>
    <w:div w:id="1142967312">
      <w:bodyDiv w:val="1"/>
      <w:marLeft w:val="0"/>
      <w:marRight w:val="0"/>
      <w:marTop w:val="0"/>
      <w:marBottom w:val="0"/>
      <w:divBdr>
        <w:top w:val="none" w:sz="0" w:space="0" w:color="auto"/>
        <w:left w:val="none" w:sz="0" w:space="0" w:color="auto"/>
        <w:bottom w:val="none" w:sz="0" w:space="0" w:color="auto"/>
        <w:right w:val="none" w:sz="0" w:space="0" w:color="auto"/>
      </w:divBdr>
    </w:div>
    <w:div w:id="1146435668">
      <w:bodyDiv w:val="1"/>
      <w:marLeft w:val="0"/>
      <w:marRight w:val="0"/>
      <w:marTop w:val="0"/>
      <w:marBottom w:val="0"/>
      <w:divBdr>
        <w:top w:val="none" w:sz="0" w:space="0" w:color="auto"/>
        <w:left w:val="none" w:sz="0" w:space="0" w:color="auto"/>
        <w:bottom w:val="none" w:sz="0" w:space="0" w:color="auto"/>
        <w:right w:val="none" w:sz="0" w:space="0" w:color="auto"/>
      </w:divBdr>
    </w:div>
    <w:div w:id="1168053470">
      <w:bodyDiv w:val="1"/>
      <w:marLeft w:val="0"/>
      <w:marRight w:val="0"/>
      <w:marTop w:val="0"/>
      <w:marBottom w:val="0"/>
      <w:divBdr>
        <w:top w:val="none" w:sz="0" w:space="0" w:color="auto"/>
        <w:left w:val="none" w:sz="0" w:space="0" w:color="auto"/>
        <w:bottom w:val="none" w:sz="0" w:space="0" w:color="auto"/>
        <w:right w:val="none" w:sz="0" w:space="0" w:color="auto"/>
      </w:divBdr>
    </w:div>
    <w:div w:id="1176381933">
      <w:bodyDiv w:val="1"/>
      <w:marLeft w:val="0"/>
      <w:marRight w:val="0"/>
      <w:marTop w:val="0"/>
      <w:marBottom w:val="0"/>
      <w:divBdr>
        <w:top w:val="none" w:sz="0" w:space="0" w:color="auto"/>
        <w:left w:val="none" w:sz="0" w:space="0" w:color="auto"/>
        <w:bottom w:val="none" w:sz="0" w:space="0" w:color="auto"/>
        <w:right w:val="none" w:sz="0" w:space="0" w:color="auto"/>
      </w:divBdr>
    </w:div>
    <w:div w:id="1181552998">
      <w:bodyDiv w:val="1"/>
      <w:marLeft w:val="0"/>
      <w:marRight w:val="0"/>
      <w:marTop w:val="0"/>
      <w:marBottom w:val="0"/>
      <w:divBdr>
        <w:top w:val="none" w:sz="0" w:space="0" w:color="auto"/>
        <w:left w:val="none" w:sz="0" w:space="0" w:color="auto"/>
        <w:bottom w:val="none" w:sz="0" w:space="0" w:color="auto"/>
        <w:right w:val="none" w:sz="0" w:space="0" w:color="auto"/>
      </w:divBdr>
    </w:div>
    <w:div w:id="1189222413">
      <w:bodyDiv w:val="1"/>
      <w:marLeft w:val="0"/>
      <w:marRight w:val="0"/>
      <w:marTop w:val="0"/>
      <w:marBottom w:val="0"/>
      <w:divBdr>
        <w:top w:val="none" w:sz="0" w:space="0" w:color="auto"/>
        <w:left w:val="none" w:sz="0" w:space="0" w:color="auto"/>
        <w:bottom w:val="none" w:sz="0" w:space="0" w:color="auto"/>
        <w:right w:val="none" w:sz="0" w:space="0" w:color="auto"/>
      </w:divBdr>
      <w:divsChild>
        <w:div w:id="1967740045">
          <w:marLeft w:val="0"/>
          <w:marRight w:val="0"/>
          <w:marTop w:val="0"/>
          <w:marBottom w:val="0"/>
          <w:divBdr>
            <w:top w:val="none" w:sz="0" w:space="0" w:color="auto"/>
            <w:left w:val="none" w:sz="0" w:space="0" w:color="auto"/>
            <w:bottom w:val="none" w:sz="0" w:space="0" w:color="auto"/>
            <w:right w:val="none" w:sz="0" w:space="0" w:color="auto"/>
          </w:divBdr>
        </w:div>
      </w:divsChild>
    </w:div>
    <w:div w:id="1216895211">
      <w:bodyDiv w:val="1"/>
      <w:marLeft w:val="0"/>
      <w:marRight w:val="0"/>
      <w:marTop w:val="0"/>
      <w:marBottom w:val="0"/>
      <w:divBdr>
        <w:top w:val="none" w:sz="0" w:space="0" w:color="auto"/>
        <w:left w:val="none" w:sz="0" w:space="0" w:color="auto"/>
        <w:bottom w:val="none" w:sz="0" w:space="0" w:color="auto"/>
        <w:right w:val="none" w:sz="0" w:space="0" w:color="auto"/>
      </w:divBdr>
      <w:divsChild>
        <w:div w:id="388773039">
          <w:marLeft w:val="0"/>
          <w:marRight w:val="0"/>
          <w:marTop w:val="0"/>
          <w:marBottom w:val="0"/>
          <w:divBdr>
            <w:top w:val="none" w:sz="0" w:space="0" w:color="auto"/>
            <w:left w:val="none" w:sz="0" w:space="0" w:color="auto"/>
            <w:bottom w:val="none" w:sz="0" w:space="0" w:color="auto"/>
            <w:right w:val="none" w:sz="0" w:space="0" w:color="auto"/>
          </w:divBdr>
        </w:div>
        <w:div w:id="695620173">
          <w:marLeft w:val="0"/>
          <w:marRight w:val="0"/>
          <w:marTop w:val="0"/>
          <w:marBottom w:val="0"/>
          <w:divBdr>
            <w:top w:val="none" w:sz="0" w:space="0" w:color="auto"/>
            <w:left w:val="none" w:sz="0" w:space="0" w:color="auto"/>
            <w:bottom w:val="none" w:sz="0" w:space="0" w:color="auto"/>
            <w:right w:val="none" w:sz="0" w:space="0" w:color="auto"/>
          </w:divBdr>
        </w:div>
        <w:div w:id="1917132864">
          <w:marLeft w:val="0"/>
          <w:marRight w:val="0"/>
          <w:marTop w:val="0"/>
          <w:marBottom w:val="0"/>
          <w:divBdr>
            <w:top w:val="none" w:sz="0" w:space="0" w:color="auto"/>
            <w:left w:val="none" w:sz="0" w:space="0" w:color="auto"/>
            <w:bottom w:val="none" w:sz="0" w:space="0" w:color="auto"/>
            <w:right w:val="none" w:sz="0" w:space="0" w:color="auto"/>
          </w:divBdr>
        </w:div>
      </w:divsChild>
    </w:div>
    <w:div w:id="1218012639">
      <w:bodyDiv w:val="1"/>
      <w:marLeft w:val="0"/>
      <w:marRight w:val="0"/>
      <w:marTop w:val="0"/>
      <w:marBottom w:val="0"/>
      <w:divBdr>
        <w:top w:val="none" w:sz="0" w:space="0" w:color="auto"/>
        <w:left w:val="none" w:sz="0" w:space="0" w:color="auto"/>
        <w:bottom w:val="none" w:sz="0" w:space="0" w:color="auto"/>
        <w:right w:val="none" w:sz="0" w:space="0" w:color="auto"/>
      </w:divBdr>
    </w:div>
    <w:div w:id="1223566082">
      <w:bodyDiv w:val="1"/>
      <w:marLeft w:val="0"/>
      <w:marRight w:val="0"/>
      <w:marTop w:val="0"/>
      <w:marBottom w:val="0"/>
      <w:divBdr>
        <w:top w:val="none" w:sz="0" w:space="0" w:color="auto"/>
        <w:left w:val="none" w:sz="0" w:space="0" w:color="auto"/>
        <w:bottom w:val="none" w:sz="0" w:space="0" w:color="auto"/>
        <w:right w:val="none" w:sz="0" w:space="0" w:color="auto"/>
      </w:divBdr>
    </w:div>
    <w:div w:id="1262907297">
      <w:bodyDiv w:val="1"/>
      <w:marLeft w:val="0"/>
      <w:marRight w:val="0"/>
      <w:marTop w:val="0"/>
      <w:marBottom w:val="0"/>
      <w:divBdr>
        <w:top w:val="none" w:sz="0" w:space="0" w:color="auto"/>
        <w:left w:val="none" w:sz="0" w:space="0" w:color="auto"/>
        <w:bottom w:val="none" w:sz="0" w:space="0" w:color="auto"/>
        <w:right w:val="none" w:sz="0" w:space="0" w:color="auto"/>
      </w:divBdr>
    </w:div>
    <w:div w:id="1268276366">
      <w:bodyDiv w:val="1"/>
      <w:marLeft w:val="0"/>
      <w:marRight w:val="0"/>
      <w:marTop w:val="0"/>
      <w:marBottom w:val="0"/>
      <w:divBdr>
        <w:top w:val="none" w:sz="0" w:space="0" w:color="auto"/>
        <w:left w:val="none" w:sz="0" w:space="0" w:color="auto"/>
        <w:bottom w:val="none" w:sz="0" w:space="0" w:color="auto"/>
        <w:right w:val="none" w:sz="0" w:space="0" w:color="auto"/>
      </w:divBdr>
    </w:div>
    <w:div w:id="1312632735">
      <w:bodyDiv w:val="1"/>
      <w:marLeft w:val="0"/>
      <w:marRight w:val="0"/>
      <w:marTop w:val="0"/>
      <w:marBottom w:val="0"/>
      <w:divBdr>
        <w:top w:val="none" w:sz="0" w:space="0" w:color="auto"/>
        <w:left w:val="none" w:sz="0" w:space="0" w:color="auto"/>
        <w:bottom w:val="none" w:sz="0" w:space="0" w:color="auto"/>
        <w:right w:val="none" w:sz="0" w:space="0" w:color="auto"/>
      </w:divBdr>
    </w:div>
    <w:div w:id="1358430266">
      <w:bodyDiv w:val="1"/>
      <w:marLeft w:val="0"/>
      <w:marRight w:val="0"/>
      <w:marTop w:val="0"/>
      <w:marBottom w:val="0"/>
      <w:divBdr>
        <w:top w:val="none" w:sz="0" w:space="0" w:color="auto"/>
        <w:left w:val="none" w:sz="0" w:space="0" w:color="auto"/>
        <w:bottom w:val="none" w:sz="0" w:space="0" w:color="auto"/>
        <w:right w:val="none" w:sz="0" w:space="0" w:color="auto"/>
      </w:divBdr>
      <w:divsChild>
        <w:div w:id="1057358998">
          <w:marLeft w:val="0"/>
          <w:marRight w:val="0"/>
          <w:marTop w:val="150"/>
          <w:marBottom w:val="270"/>
          <w:divBdr>
            <w:top w:val="none" w:sz="0" w:space="0" w:color="auto"/>
            <w:left w:val="none" w:sz="0" w:space="0" w:color="auto"/>
            <w:bottom w:val="none" w:sz="0" w:space="0" w:color="auto"/>
            <w:right w:val="none" w:sz="0" w:space="0" w:color="auto"/>
          </w:divBdr>
        </w:div>
        <w:div w:id="56828841">
          <w:marLeft w:val="0"/>
          <w:marRight w:val="0"/>
          <w:marTop w:val="150"/>
          <w:marBottom w:val="270"/>
          <w:divBdr>
            <w:top w:val="none" w:sz="0" w:space="0" w:color="auto"/>
            <w:left w:val="none" w:sz="0" w:space="0" w:color="auto"/>
            <w:bottom w:val="none" w:sz="0" w:space="0" w:color="auto"/>
            <w:right w:val="none" w:sz="0" w:space="0" w:color="auto"/>
          </w:divBdr>
        </w:div>
        <w:div w:id="250283387">
          <w:marLeft w:val="0"/>
          <w:marRight w:val="0"/>
          <w:marTop w:val="150"/>
          <w:marBottom w:val="270"/>
          <w:divBdr>
            <w:top w:val="none" w:sz="0" w:space="0" w:color="auto"/>
            <w:left w:val="none" w:sz="0" w:space="0" w:color="auto"/>
            <w:bottom w:val="none" w:sz="0" w:space="0" w:color="auto"/>
            <w:right w:val="none" w:sz="0" w:space="0" w:color="auto"/>
          </w:divBdr>
        </w:div>
      </w:divsChild>
    </w:div>
    <w:div w:id="1361273032">
      <w:bodyDiv w:val="1"/>
      <w:marLeft w:val="0"/>
      <w:marRight w:val="0"/>
      <w:marTop w:val="0"/>
      <w:marBottom w:val="0"/>
      <w:divBdr>
        <w:top w:val="none" w:sz="0" w:space="0" w:color="auto"/>
        <w:left w:val="none" w:sz="0" w:space="0" w:color="auto"/>
        <w:bottom w:val="none" w:sz="0" w:space="0" w:color="auto"/>
        <w:right w:val="none" w:sz="0" w:space="0" w:color="auto"/>
      </w:divBdr>
    </w:div>
    <w:div w:id="1362782549">
      <w:bodyDiv w:val="1"/>
      <w:marLeft w:val="0"/>
      <w:marRight w:val="0"/>
      <w:marTop w:val="0"/>
      <w:marBottom w:val="0"/>
      <w:divBdr>
        <w:top w:val="none" w:sz="0" w:space="0" w:color="auto"/>
        <w:left w:val="none" w:sz="0" w:space="0" w:color="auto"/>
        <w:bottom w:val="none" w:sz="0" w:space="0" w:color="auto"/>
        <w:right w:val="none" w:sz="0" w:space="0" w:color="auto"/>
      </w:divBdr>
    </w:div>
    <w:div w:id="1364359359">
      <w:bodyDiv w:val="1"/>
      <w:marLeft w:val="0"/>
      <w:marRight w:val="0"/>
      <w:marTop w:val="0"/>
      <w:marBottom w:val="0"/>
      <w:divBdr>
        <w:top w:val="none" w:sz="0" w:space="0" w:color="auto"/>
        <w:left w:val="none" w:sz="0" w:space="0" w:color="auto"/>
        <w:bottom w:val="none" w:sz="0" w:space="0" w:color="auto"/>
        <w:right w:val="none" w:sz="0" w:space="0" w:color="auto"/>
      </w:divBdr>
    </w:div>
    <w:div w:id="1379470083">
      <w:bodyDiv w:val="1"/>
      <w:marLeft w:val="0"/>
      <w:marRight w:val="0"/>
      <w:marTop w:val="0"/>
      <w:marBottom w:val="0"/>
      <w:divBdr>
        <w:top w:val="none" w:sz="0" w:space="0" w:color="auto"/>
        <w:left w:val="none" w:sz="0" w:space="0" w:color="auto"/>
        <w:bottom w:val="none" w:sz="0" w:space="0" w:color="auto"/>
        <w:right w:val="none" w:sz="0" w:space="0" w:color="auto"/>
      </w:divBdr>
    </w:div>
    <w:div w:id="1387492200">
      <w:bodyDiv w:val="1"/>
      <w:marLeft w:val="0"/>
      <w:marRight w:val="0"/>
      <w:marTop w:val="0"/>
      <w:marBottom w:val="0"/>
      <w:divBdr>
        <w:top w:val="none" w:sz="0" w:space="0" w:color="auto"/>
        <w:left w:val="none" w:sz="0" w:space="0" w:color="auto"/>
        <w:bottom w:val="none" w:sz="0" w:space="0" w:color="auto"/>
        <w:right w:val="none" w:sz="0" w:space="0" w:color="auto"/>
      </w:divBdr>
      <w:divsChild>
        <w:div w:id="1990673268">
          <w:marLeft w:val="0"/>
          <w:marRight w:val="0"/>
          <w:marTop w:val="0"/>
          <w:marBottom w:val="0"/>
          <w:divBdr>
            <w:top w:val="none" w:sz="0" w:space="0" w:color="auto"/>
            <w:left w:val="none" w:sz="0" w:space="0" w:color="auto"/>
            <w:bottom w:val="none" w:sz="0" w:space="0" w:color="auto"/>
            <w:right w:val="none" w:sz="0" w:space="0" w:color="auto"/>
          </w:divBdr>
          <w:divsChild>
            <w:div w:id="179590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583408">
      <w:bodyDiv w:val="1"/>
      <w:marLeft w:val="0"/>
      <w:marRight w:val="0"/>
      <w:marTop w:val="0"/>
      <w:marBottom w:val="0"/>
      <w:divBdr>
        <w:top w:val="none" w:sz="0" w:space="0" w:color="auto"/>
        <w:left w:val="none" w:sz="0" w:space="0" w:color="auto"/>
        <w:bottom w:val="none" w:sz="0" w:space="0" w:color="auto"/>
        <w:right w:val="none" w:sz="0" w:space="0" w:color="auto"/>
      </w:divBdr>
    </w:div>
    <w:div w:id="1406881829">
      <w:bodyDiv w:val="1"/>
      <w:marLeft w:val="0"/>
      <w:marRight w:val="0"/>
      <w:marTop w:val="0"/>
      <w:marBottom w:val="0"/>
      <w:divBdr>
        <w:top w:val="none" w:sz="0" w:space="0" w:color="auto"/>
        <w:left w:val="none" w:sz="0" w:space="0" w:color="auto"/>
        <w:bottom w:val="none" w:sz="0" w:space="0" w:color="auto"/>
        <w:right w:val="none" w:sz="0" w:space="0" w:color="auto"/>
      </w:divBdr>
    </w:div>
    <w:div w:id="1406953629">
      <w:bodyDiv w:val="1"/>
      <w:marLeft w:val="0"/>
      <w:marRight w:val="0"/>
      <w:marTop w:val="0"/>
      <w:marBottom w:val="0"/>
      <w:divBdr>
        <w:top w:val="none" w:sz="0" w:space="0" w:color="auto"/>
        <w:left w:val="none" w:sz="0" w:space="0" w:color="auto"/>
        <w:bottom w:val="none" w:sz="0" w:space="0" w:color="auto"/>
        <w:right w:val="none" w:sz="0" w:space="0" w:color="auto"/>
      </w:divBdr>
    </w:div>
    <w:div w:id="1425803720">
      <w:bodyDiv w:val="1"/>
      <w:marLeft w:val="0"/>
      <w:marRight w:val="0"/>
      <w:marTop w:val="0"/>
      <w:marBottom w:val="0"/>
      <w:divBdr>
        <w:top w:val="none" w:sz="0" w:space="0" w:color="auto"/>
        <w:left w:val="none" w:sz="0" w:space="0" w:color="auto"/>
        <w:bottom w:val="none" w:sz="0" w:space="0" w:color="auto"/>
        <w:right w:val="none" w:sz="0" w:space="0" w:color="auto"/>
      </w:divBdr>
    </w:div>
    <w:div w:id="1439134022">
      <w:bodyDiv w:val="1"/>
      <w:marLeft w:val="0"/>
      <w:marRight w:val="0"/>
      <w:marTop w:val="0"/>
      <w:marBottom w:val="0"/>
      <w:divBdr>
        <w:top w:val="none" w:sz="0" w:space="0" w:color="auto"/>
        <w:left w:val="none" w:sz="0" w:space="0" w:color="auto"/>
        <w:bottom w:val="none" w:sz="0" w:space="0" w:color="auto"/>
        <w:right w:val="none" w:sz="0" w:space="0" w:color="auto"/>
      </w:divBdr>
    </w:div>
    <w:div w:id="1440023169">
      <w:bodyDiv w:val="1"/>
      <w:marLeft w:val="0"/>
      <w:marRight w:val="0"/>
      <w:marTop w:val="0"/>
      <w:marBottom w:val="0"/>
      <w:divBdr>
        <w:top w:val="none" w:sz="0" w:space="0" w:color="auto"/>
        <w:left w:val="none" w:sz="0" w:space="0" w:color="auto"/>
        <w:bottom w:val="none" w:sz="0" w:space="0" w:color="auto"/>
        <w:right w:val="none" w:sz="0" w:space="0" w:color="auto"/>
      </w:divBdr>
    </w:div>
    <w:div w:id="1443765627">
      <w:bodyDiv w:val="1"/>
      <w:marLeft w:val="0"/>
      <w:marRight w:val="0"/>
      <w:marTop w:val="0"/>
      <w:marBottom w:val="0"/>
      <w:divBdr>
        <w:top w:val="none" w:sz="0" w:space="0" w:color="auto"/>
        <w:left w:val="none" w:sz="0" w:space="0" w:color="auto"/>
        <w:bottom w:val="none" w:sz="0" w:space="0" w:color="auto"/>
        <w:right w:val="none" w:sz="0" w:space="0" w:color="auto"/>
      </w:divBdr>
      <w:divsChild>
        <w:div w:id="659578757">
          <w:marLeft w:val="0"/>
          <w:marRight w:val="0"/>
          <w:marTop w:val="0"/>
          <w:marBottom w:val="0"/>
          <w:divBdr>
            <w:top w:val="none" w:sz="0" w:space="0" w:color="auto"/>
            <w:left w:val="none" w:sz="0" w:space="0" w:color="auto"/>
            <w:bottom w:val="none" w:sz="0" w:space="0" w:color="auto"/>
            <w:right w:val="none" w:sz="0" w:space="0" w:color="auto"/>
          </w:divBdr>
        </w:div>
        <w:div w:id="134566164">
          <w:marLeft w:val="0"/>
          <w:marRight w:val="0"/>
          <w:marTop w:val="75"/>
          <w:marBottom w:val="0"/>
          <w:divBdr>
            <w:top w:val="none" w:sz="0" w:space="0" w:color="auto"/>
            <w:left w:val="none" w:sz="0" w:space="0" w:color="auto"/>
            <w:bottom w:val="none" w:sz="0" w:space="0" w:color="auto"/>
            <w:right w:val="none" w:sz="0" w:space="0" w:color="auto"/>
          </w:divBdr>
        </w:div>
        <w:div w:id="528958307">
          <w:marLeft w:val="0"/>
          <w:marRight w:val="0"/>
          <w:marTop w:val="75"/>
          <w:marBottom w:val="0"/>
          <w:divBdr>
            <w:top w:val="none" w:sz="0" w:space="0" w:color="auto"/>
            <w:left w:val="none" w:sz="0" w:space="0" w:color="auto"/>
            <w:bottom w:val="none" w:sz="0" w:space="0" w:color="auto"/>
            <w:right w:val="none" w:sz="0" w:space="0" w:color="auto"/>
          </w:divBdr>
        </w:div>
      </w:divsChild>
    </w:div>
    <w:div w:id="1458452398">
      <w:bodyDiv w:val="1"/>
      <w:marLeft w:val="0"/>
      <w:marRight w:val="0"/>
      <w:marTop w:val="0"/>
      <w:marBottom w:val="0"/>
      <w:divBdr>
        <w:top w:val="none" w:sz="0" w:space="0" w:color="auto"/>
        <w:left w:val="none" w:sz="0" w:space="0" w:color="auto"/>
        <w:bottom w:val="none" w:sz="0" w:space="0" w:color="auto"/>
        <w:right w:val="none" w:sz="0" w:space="0" w:color="auto"/>
      </w:divBdr>
    </w:div>
    <w:div w:id="1473714633">
      <w:bodyDiv w:val="1"/>
      <w:marLeft w:val="0"/>
      <w:marRight w:val="0"/>
      <w:marTop w:val="0"/>
      <w:marBottom w:val="0"/>
      <w:divBdr>
        <w:top w:val="none" w:sz="0" w:space="0" w:color="auto"/>
        <w:left w:val="none" w:sz="0" w:space="0" w:color="auto"/>
        <w:bottom w:val="none" w:sz="0" w:space="0" w:color="auto"/>
        <w:right w:val="none" w:sz="0" w:space="0" w:color="auto"/>
      </w:divBdr>
    </w:div>
    <w:div w:id="1477797838">
      <w:bodyDiv w:val="1"/>
      <w:marLeft w:val="0"/>
      <w:marRight w:val="0"/>
      <w:marTop w:val="0"/>
      <w:marBottom w:val="0"/>
      <w:divBdr>
        <w:top w:val="none" w:sz="0" w:space="0" w:color="auto"/>
        <w:left w:val="none" w:sz="0" w:space="0" w:color="auto"/>
        <w:bottom w:val="none" w:sz="0" w:space="0" w:color="auto"/>
        <w:right w:val="none" w:sz="0" w:space="0" w:color="auto"/>
      </w:divBdr>
    </w:div>
    <w:div w:id="1483309055">
      <w:bodyDiv w:val="1"/>
      <w:marLeft w:val="0"/>
      <w:marRight w:val="0"/>
      <w:marTop w:val="0"/>
      <w:marBottom w:val="0"/>
      <w:divBdr>
        <w:top w:val="none" w:sz="0" w:space="0" w:color="auto"/>
        <w:left w:val="none" w:sz="0" w:space="0" w:color="auto"/>
        <w:bottom w:val="none" w:sz="0" w:space="0" w:color="auto"/>
        <w:right w:val="none" w:sz="0" w:space="0" w:color="auto"/>
      </w:divBdr>
    </w:div>
    <w:div w:id="1490636936">
      <w:bodyDiv w:val="1"/>
      <w:marLeft w:val="0"/>
      <w:marRight w:val="0"/>
      <w:marTop w:val="0"/>
      <w:marBottom w:val="0"/>
      <w:divBdr>
        <w:top w:val="none" w:sz="0" w:space="0" w:color="auto"/>
        <w:left w:val="none" w:sz="0" w:space="0" w:color="auto"/>
        <w:bottom w:val="none" w:sz="0" w:space="0" w:color="auto"/>
        <w:right w:val="none" w:sz="0" w:space="0" w:color="auto"/>
      </w:divBdr>
    </w:div>
    <w:div w:id="1514223111">
      <w:bodyDiv w:val="1"/>
      <w:marLeft w:val="0"/>
      <w:marRight w:val="0"/>
      <w:marTop w:val="0"/>
      <w:marBottom w:val="0"/>
      <w:divBdr>
        <w:top w:val="none" w:sz="0" w:space="0" w:color="auto"/>
        <w:left w:val="none" w:sz="0" w:space="0" w:color="auto"/>
        <w:bottom w:val="none" w:sz="0" w:space="0" w:color="auto"/>
        <w:right w:val="none" w:sz="0" w:space="0" w:color="auto"/>
      </w:divBdr>
    </w:div>
    <w:div w:id="1526022606">
      <w:bodyDiv w:val="1"/>
      <w:marLeft w:val="0"/>
      <w:marRight w:val="0"/>
      <w:marTop w:val="0"/>
      <w:marBottom w:val="0"/>
      <w:divBdr>
        <w:top w:val="none" w:sz="0" w:space="0" w:color="auto"/>
        <w:left w:val="none" w:sz="0" w:space="0" w:color="auto"/>
        <w:bottom w:val="none" w:sz="0" w:space="0" w:color="auto"/>
        <w:right w:val="none" w:sz="0" w:space="0" w:color="auto"/>
      </w:divBdr>
    </w:div>
    <w:div w:id="1542867244">
      <w:bodyDiv w:val="1"/>
      <w:marLeft w:val="0"/>
      <w:marRight w:val="0"/>
      <w:marTop w:val="0"/>
      <w:marBottom w:val="0"/>
      <w:divBdr>
        <w:top w:val="none" w:sz="0" w:space="0" w:color="auto"/>
        <w:left w:val="none" w:sz="0" w:space="0" w:color="auto"/>
        <w:bottom w:val="none" w:sz="0" w:space="0" w:color="auto"/>
        <w:right w:val="none" w:sz="0" w:space="0" w:color="auto"/>
      </w:divBdr>
    </w:div>
    <w:div w:id="1607300291">
      <w:bodyDiv w:val="1"/>
      <w:marLeft w:val="0"/>
      <w:marRight w:val="0"/>
      <w:marTop w:val="0"/>
      <w:marBottom w:val="0"/>
      <w:divBdr>
        <w:top w:val="none" w:sz="0" w:space="0" w:color="auto"/>
        <w:left w:val="none" w:sz="0" w:space="0" w:color="auto"/>
        <w:bottom w:val="none" w:sz="0" w:space="0" w:color="auto"/>
        <w:right w:val="none" w:sz="0" w:space="0" w:color="auto"/>
      </w:divBdr>
    </w:div>
    <w:div w:id="1620642900">
      <w:bodyDiv w:val="1"/>
      <w:marLeft w:val="0"/>
      <w:marRight w:val="0"/>
      <w:marTop w:val="0"/>
      <w:marBottom w:val="0"/>
      <w:divBdr>
        <w:top w:val="none" w:sz="0" w:space="0" w:color="auto"/>
        <w:left w:val="none" w:sz="0" w:space="0" w:color="auto"/>
        <w:bottom w:val="none" w:sz="0" w:space="0" w:color="auto"/>
        <w:right w:val="none" w:sz="0" w:space="0" w:color="auto"/>
      </w:divBdr>
    </w:div>
    <w:div w:id="1621034148">
      <w:bodyDiv w:val="1"/>
      <w:marLeft w:val="0"/>
      <w:marRight w:val="0"/>
      <w:marTop w:val="0"/>
      <w:marBottom w:val="0"/>
      <w:divBdr>
        <w:top w:val="none" w:sz="0" w:space="0" w:color="auto"/>
        <w:left w:val="none" w:sz="0" w:space="0" w:color="auto"/>
        <w:bottom w:val="none" w:sz="0" w:space="0" w:color="auto"/>
        <w:right w:val="none" w:sz="0" w:space="0" w:color="auto"/>
      </w:divBdr>
    </w:div>
    <w:div w:id="1658877674">
      <w:bodyDiv w:val="1"/>
      <w:marLeft w:val="0"/>
      <w:marRight w:val="0"/>
      <w:marTop w:val="0"/>
      <w:marBottom w:val="0"/>
      <w:divBdr>
        <w:top w:val="none" w:sz="0" w:space="0" w:color="auto"/>
        <w:left w:val="none" w:sz="0" w:space="0" w:color="auto"/>
        <w:bottom w:val="none" w:sz="0" w:space="0" w:color="auto"/>
        <w:right w:val="none" w:sz="0" w:space="0" w:color="auto"/>
      </w:divBdr>
    </w:div>
    <w:div w:id="1659461404">
      <w:bodyDiv w:val="1"/>
      <w:marLeft w:val="0"/>
      <w:marRight w:val="0"/>
      <w:marTop w:val="0"/>
      <w:marBottom w:val="0"/>
      <w:divBdr>
        <w:top w:val="none" w:sz="0" w:space="0" w:color="auto"/>
        <w:left w:val="none" w:sz="0" w:space="0" w:color="auto"/>
        <w:bottom w:val="none" w:sz="0" w:space="0" w:color="auto"/>
        <w:right w:val="none" w:sz="0" w:space="0" w:color="auto"/>
      </w:divBdr>
    </w:div>
    <w:div w:id="1662729186">
      <w:bodyDiv w:val="1"/>
      <w:marLeft w:val="0"/>
      <w:marRight w:val="0"/>
      <w:marTop w:val="0"/>
      <w:marBottom w:val="0"/>
      <w:divBdr>
        <w:top w:val="none" w:sz="0" w:space="0" w:color="auto"/>
        <w:left w:val="none" w:sz="0" w:space="0" w:color="auto"/>
        <w:bottom w:val="none" w:sz="0" w:space="0" w:color="auto"/>
        <w:right w:val="none" w:sz="0" w:space="0" w:color="auto"/>
      </w:divBdr>
      <w:divsChild>
        <w:div w:id="271206470">
          <w:marLeft w:val="0"/>
          <w:marRight w:val="0"/>
          <w:marTop w:val="166"/>
          <w:marBottom w:val="166"/>
          <w:divBdr>
            <w:top w:val="none" w:sz="0" w:space="0" w:color="auto"/>
            <w:left w:val="none" w:sz="0" w:space="0" w:color="auto"/>
            <w:bottom w:val="none" w:sz="0" w:space="0" w:color="auto"/>
            <w:right w:val="none" w:sz="0" w:space="0" w:color="auto"/>
          </w:divBdr>
        </w:div>
        <w:div w:id="1119566096">
          <w:marLeft w:val="0"/>
          <w:marRight w:val="0"/>
          <w:marTop w:val="166"/>
          <w:marBottom w:val="166"/>
          <w:divBdr>
            <w:top w:val="none" w:sz="0" w:space="0" w:color="auto"/>
            <w:left w:val="none" w:sz="0" w:space="0" w:color="auto"/>
            <w:bottom w:val="none" w:sz="0" w:space="0" w:color="auto"/>
            <w:right w:val="none" w:sz="0" w:space="0" w:color="auto"/>
          </w:divBdr>
        </w:div>
        <w:div w:id="1120103018">
          <w:marLeft w:val="0"/>
          <w:marRight w:val="0"/>
          <w:marTop w:val="166"/>
          <w:marBottom w:val="166"/>
          <w:divBdr>
            <w:top w:val="none" w:sz="0" w:space="0" w:color="auto"/>
            <w:left w:val="none" w:sz="0" w:space="0" w:color="auto"/>
            <w:bottom w:val="none" w:sz="0" w:space="0" w:color="auto"/>
            <w:right w:val="none" w:sz="0" w:space="0" w:color="auto"/>
          </w:divBdr>
        </w:div>
        <w:div w:id="52436646">
          <w:marLeft w:val="0"/>
          <w:marRight w:val="0"/>
          <w:marTop w:val="166"/>
          <w:marBottom w:val="166"/>
          <w:divBdr>
            <w:top w:val="none" w:sz="0" w:space="0" w:color="auto"/>
            <w:left w:val="none" w:sz="0" w:space="0" w:color="auto"/>
            <w:bottom w:val="none" w:sz="0" w:space="0" w:color="auto"/>
            <w:right w:val="none" w:sz="0" w:space="0" w:color="auto"/>
          </w:divBdr>
        </w:div>
      </w:divsChild>
    </w:div>
    <w:div w:id="1705716692">
      <w:bodyDiv w:val="1"/>
      <w:marLeft w:val="0"/>
      <w:marRight w:val="0"/>
      <w:marTop w:val="0"/>
      <w:marBottom w:val="0"/>
      <w:divBdr>
        <w:top w:val="none" w:sz="0" w:space="0" w:color="auto"/>
        <w:left w:val="none" w:sz="0" w:space="0" w:color="auto"/>
        <w:bottom w:val="none" w:sz="0" w:space="0" w:color="auto"/>
        <w:right w:val="none" w:sz="0" w:space="0" w:color="auto"/>
      </w:divBdr>
    </w:div>
    <w:div w:id="1726636040">
      <w:bodyDiv w:val="1"/>
      <w:marLeft w:val="0"/>
      <w:marRight w:val="0"/>
      <w:marTop w:val="0"/>
      <w:marBottom w:val="0"/>
      <w:divBdr>
        <w:top w:val="none" w:sz="0" w:space="0" w:color="auto"/>
        <w:left w:val="none" w:sz="0" w:space="0" w:color="auto"/>
        <w:bottom w:val="none" w:sz="0" w:space="0" w:color="auto"/>
        <w:right w:val="none" w:sz="0" w:space="0" w:color="auto"/>
      </w:divBdr>
    </w:div>
    <w:div w:id="1726837219">
      <w:bodyDiv w:val="1"/>
      <w:marLeft w:val="0"/>
      <w:marRight w:val="0"/>
      <w:marTop w:val="0"/>
      <w:marBottom w:val="0"/>
      <w:divBdr>
        <w:top w:val="none" w:sz="0" w:space="0" w:color="auto"/>
        <w:left w:val="none" w:sz="0" w:space="0" w:color="auto"/>
        <w:bottom w:val="none" w:sz="0" w:space="0" w:color="auto"/>
        <w:right w:val="none" w:sz="0" w:space="0" w:color="auto"/>
      </w:divBdr>
    </w:div>
    <w:div w:id="1729037509">
      <w:bodyDiv w:val="1"/>
      <w:marLeft w:val="0"/>
      <w:marRight w:val="0"/>
      <w:marTop w:val="0"/>
      <w:marBottom w:val="0"/>
      <w:divBdr>
        <w:top w:val="none" w:sz="0" w:space="0" w:color="auto"/>
        <w:left w:val="none" w:sz="0" w:space="0" w:color="auto"/>
        <w:bottom w:val="none" w:sz="0" w:space="0" w:color="auto"/>
        <w:right w:val="none" w:sz="0" w:space="0" w:color="auto"/>
      </w:divBdr>
    </w:div>
    <w:div w:id="1729568745">
      <w:bodyDiv w:val="1"/>
      <w:marLeft w:val="0"/>
      <w:marRight w:val="0"/>
      <w:marTop w:val="0"/>
      <w:marBottom w:val="0"/>
      <w:divBdr>
        <w:top w:val="none" w:sz="0" w:space="0" w:color="auto"/>
        <w:left w:val="none" w:sz="0" w:space="0" w:color="auto"/>
        <w:bottom w:val="none" w:sz="0" w:space="0" w:color="auto"/>
        <w:right w:val="none" w:sz="0" w:space="0" w:color="auto"/>
      </w:divBdr>
    </w:div>
    <w:div w:id="1735548586">
      <w:bodyDiv w:val="1"/>
      <w:marLeft w:val="0"/>
      <w:marRight w:val="0"/>
      <w:marTop w:val="0"/>
      <w:marBottom w:val="0"/>
      <w:divBdr>
        <w:top w:val="none" w:sz="0" w:space="0" w:color="auto"/>
        <w:left w:val="none" w:sz="0" w:space="0" w:color="auto"/>
        <w:bottom w:val="none" w:sz="0" w:space="0" w:color="auto"/>
        <w:right w:val="none" w:sz="0" w:space="0" w:color="auto"/>
      </w:divBdr>
    </w:div>
    <w:div w:id="1736734085">
      <w:bodyDiv w:val="1"/>
      <w:marLeft w:val="0"/>
      <w:marRight w:val="0"/>
      <w:marTop w:val="0"/>
      <w:marBottom w:val="0"/>
      <w:divBdr>
        <w:top w:val="none" w:sz="0" w:space="0" w:color="auto"/>
        <w:left w:val="none" w:sz="0" w:space="0" w:color="auto"/>
        <w:bottom w:val="none" w:sz="0" w:space="0" w:color="auto"/>
        <w:right w:val="none" w:sz="0" w:space="0" w:color="auto"/>
      </w:divBdr>
    </w:div>
    <w:div w:id="1744259717">
      <w:bodyDiv w:val="1"/>
      <w:marLeft w:val="0"/>
      <w:marRight w:val="0"/>
      <w:marTop w:val="0"/>
      <w:marBottom w:val="0"/>
      <w:divBdr>
        <w:top w:val="none" w:sz="0" w:space="0" w:color="auto"/>
        <w:left w:val="none" w:sz="0" w:space="0" w:color="auto"/>
        <w:bottom w:val="none" w:sz="0" w:space="0" w:color="auto"/>
        <w:right w:val="none" w:sz="0" w:space="0" w:color="auto"/>
      </w:divBdr>
    </w:div>
    <w:div w:id="1766263024">
      <w:bodyDiv w:val="1"/>
      <w:marLeft w:val="0"/>
      <w:marRight w:val="0"/>
      <w:marTop w:val="0"/>
      <w:marBottom w:val="0"/>
      <w:divBdr>
        <w:top w:val="none" w:sz="0" w:space="0" w:color="auto"/>
        <w:left w:val="none" w:sz="0" w:space="0" w:color="auto"/>
        <w:bottom w:val="none" w:sz="0" w:space="0" w:color="auto"/>
        <w:right w:val="none" w:sz="0" w:space="0" w:color="auto"/>
      </w:divBdr>
    </w:div>
    <w:div w:id="1791824283">
      <w:bodyDiv w:val="1"/>
      <w:marLeft w:val="0"/>
      <w:marRight w:val="0"/>
      <w:marTop w:val="0"/>
      <w:marBottom w:val="0"/>
      <w:divBdr>
        <w:top w:val="none" w:sz="0" w:space="0" w:color="auto"/>
        <w:left w:val="none" w:sz="0" w:space="0" w:color="auto"/>
        <w:bottom w:val="none" w:sz="0" w:space="0" w:color="auto"/>
        <w:right w:val="none" w:sz="0" w:space="0" w:color="auto"/>
      </w:divBdr>
    </w:div>
    <w:div w:id="1800299836">
      <w:bodyDiv w:val="1"/>
      <w:marLeft w:val="0"/>
      <w:marRight w:val="0"/>
      <w:marTop w:val="0"/>
      <w:marBottom w:val="0"/>
      <w:divBdr>
        <w:top w:val="none" w:sz="0" w:space="0" w:color="auto"/>
        <w:left w:val="none" w:sz="0" w:space="0" w:color="auto"/>
        <w:bottom w:val="none" w:sz="0" w:space="0" w:color="auto"/>
        <w:right w:val="none" w:sz="0" w:space="0" w:color="auto"/>
      </w:divBdr>
    </w:div>
    <w:div w:id="1812595413">
      <w:bodyDiv w:val="1"/>
      <w:marLeft w:val="0"/>
      <w:marRight w:val="0"/>
      <w:marTop w:val="0"/>
      <w:marBottom w:val="0"/>
      <w:divBdr>
        <w:top w:val="none" w:sz="0" w:space="0" w:color="auto"/>
        <w:left w:val="none" w:sz="0" w:space="0" w:color="auto"/>
        <w:bottom w:val="none" w:sz="0" w:space="0" w:color="auto"/>
        <w:right w:val="none" w:sz="0" w:space="0" w:color="auto"/>
      </w:divBdr>
    </w:div>
    <w:div w:id="1814829310">
      <w:bodyDiv w:val="1"/>
      <w:marLeft w:val="0"/>
      <w:marRight w:val="0"/>
      <w:marTop w:val="0"/>
      <w:marBottom w:val="0"/>
      <w:divBdr>
        <w:top w:val="none" w:sz="0" w:space="0" w:color="auto"/>
        <w:left w:val="none" w:sz="0" w:space="0" w:color="auto"/>
        <w:bottom w:val="none" w:sz="0" w:space="0" w:color="auto"/>
        <w:right w:val="none" w:sz="0" w:space="0" w:color="auto"/>
      </w:divBdr>
    </w:div>
    <w:div w:id="1819757932">
      <w:bodyDiv w:val="1"/>
      <w:marLeft w:val="0"/>
      <w:marRight w:val="0"/>
      <w:marTop w:val="0"/>
      <w:marBottom w:val="0"/>
      <w:divBdr>
        <w:top w:val="none" w:sz="0" w:space="0" w:color="auto"/>
        <w:left w:val="none" w:sz="0" w:space="0" w:color="auto"/>
        <w:bottom w:val="none" w:sz="0" w:space="0" w:color="auto"/>
        <w:right w:val="none" w:sz="0" w:space="0" w:color="auto"/>
      </w:divBdr>
      <w:divsChild>
        <w:div w:id="176970995">
          <w:marLeft w:val="0"/>
          <w:marRight w:val="0"/>
          <w:marTop w:val="0"/>
          <w:marBottom w:val="0"/>
          <w:divBdr>
            <w:top w:val="none" w:sz="0" w:space="0" w:color="auto"/>
            <w:left w:val="none" w:sz="0" w:space="0" w:color="auto"/>
            <w:bottom w:val="none" w:sz="0" w:space="0" w:color="auto"/>
            <w:right w:val="none" w:sz="0" w:space="0" w:color="auto"/>
          </w:divBdr>
          <w:divsChild>
            <w:div w:id="1479999638">
              <w:marLeft w:val="0"/>
              <w:marRight w:val="0"/>
              <w:marTop w:val="0"/>
              <w:marBottom w:val="0"/>
              <w:divBdr>
                <w:top w:val="none" w:sz="0" w:space="0" w:color="auto"/>
                <w:left w:val="none" w:sz="0" w:space="0" w:color="auto"/>
                <w:bottom w:val="none" w:sz="0" w:space="0" w:color="auto"/>
                <w:right w:val="none" w:sz="0" w:space="0" w:color="auto"/>
              </w:divBdr>
              <w:divsChild>
                <w:div w:id="602154289">
                  <w:marLeft w:val="0"/>
                  <w:marRight w:val="0"/>
                  <w:marTop w:val="0"/>
                  <w:marBottom w:val="0"/>
                  <w:divBdr>
                    <w:top w:val="none" w:sz="0" w:space="0" w:color="auto"/>
                    <w:left w:val="none" w:sz="0" w:space="0" w:color="auto"/>
                    <w:bottom w:val="none" w:sz="0" w:space="0" w:color="auto"/>
                    <w:right w:val="none" w:sz="0" w:space="0" w:color="auto"/>
                  </w:divBdr>
                  <w:divsChild>
                    <w:div w:id="1596402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0584297">
      <w:bodyDiv w:val="1"/>
      <w:marLeft w:val="0"/>
      <w:marRight w:val="0"/>
      <w:marTop w:val="0"/>
      <w:marBottom w:val="0"/>
      <w:divBdr>
        <w:top w:val="none" w:sz="0" w:space="0" w:color="auto"/>
        <w:left w:val="none" w:sz="0" w:space="0" w:color="auto"/>
        <w:bottom w:val="none" w:sz="0" w:space="0" w:color="auto"/>
        <w:right w:val="none" w:sz="0" w:space="0" w:color="auto"/>
      </w:divBdr>
    </w:div>
    <w:div w:id="1888955039">
      <w:bodyDiv w:val="1"/>
      <w:marLeft w:val="0"/>
      <w:marRight w:val="0"/>
      <w:marTop w:val="0"/>
      <w:marBottom w:val="0"/>
      <w:divBdr>
        <w:top w:val="none" w:sz="0" w:space="0" w:color="auto"/>
        <w:left w:val="none" w:sz="0" w:space="0" w:color="auto"/>
        <w:bottom w:val="none" w:sz="0" w:space="0" w:color="auto"/>
        <w:right w:val="none" w:sz="0" w:space="0" w:color="auto"/>
      </w:divBdr>
      <w:divsChild>
        <w:div w:id="459230380">
          <w:marLeft w:val="0"/>
          <w:marRight w:val="0"/>
          <w:marTop w:val="0"/>
          <w:marBottom w:val="0"/>
          <w:divBdr>
            <w:top w:val="none" w:sz="0" w:space="0" w:color="auto"/>
            <w:left w:val="none" w:sz="0" w:space="0" w:color="auto"/>
            <w:bottom w:val="none" w:sz="0" w:space="0" w:color="auto"/>
            <w:right w:val="none" w:sz="0" w:space="0" w:color="auto"/>
          </w:divBdr>
          <w:divsChild>
            <w:div w:id="64844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775262">
      <w:bodyDiv w:val="1"/>
      <w:marLeft w:val="0"/>
      <w:marRight w:val="0"/>
      <w:marTop w:val="0"/>
      <w:marBottom w:val="0"/>
      <w:divBdr>
        <w:top w:val="none" w:sz="0" w:space="0" w:color="auto"/>
        <w:left w:val="none" w:sz="0" w:space="0" w:color="auto"/>
        <w:bottom w:val="none" w:sz="0" w:space="0" w:color="auto"/>
        <w:right w:val="none" w:sz="0" w:space="0" w:color="auto"/>
      </w:divBdr>
    </w:div>
    <w:div w:id="1898735498">
      <w:bodyDiv w:val="1"/>
      <w:marLeft w:val="0"/>
      <w:marRight w:val="0"/>
      <w:marTop w:val="0"/>
      <w:marBottom w:val="0"/>
      <w:divBdr>
        <w:top w:val="none" w:sz="0" w:space="0" w:color="auto"/>
        <w:left w:val="none" w:sz="0" w:space="0" w:color="auto"/>
        <w:bottom w:val="none" w:sz="0" w:space="0" w:color="auto"/>
        <w:right w:val="none" w:sz="0" w:space="0" w:color="auto"/>
      </w:divBdr>
    </w:div>
    <w:div w:id="1901402327">
      <w:bodyDiv w:val="1"/>
      <w:marLeft w:val="0"/>
      <w:marRight w:val="0"/>
      <w:marTop w:val="0"/>
      <w:marBottom w:val="0"/>
      <w:divBdr>
        <w:top w:val="none" w:sz="0" w:space="0" w:color="auto"/>
        <w:left w:val="none" w:sz="0" w:space="0" w:color="auto"/>
        <w:bottom w:val="none" w:sz="0" w:space="0" w:color="auto"/>
        <w:right w:val="none" w:sz="0" w:space="0" w:color="auto"/>
      </w:divBdr>
    </w:div>
    <w:div w:id="1904095790">
      <w:bodyDiv w:val="1"/>
      <w:marLeft w:val="0"/>
      <w:marRight w:val="0"/>
      <w:marTop w:val="0"/>
      <w:marBottom w:val="0"/>
      <w:divBdr>
        <w:top w:val="none" w:sz="0" w:space="0" w:color="auto"/>
        <w:left w:val="none" w:sz="0" w:space="0" w:color="auto"/>
        <w:bottom w:val="none" w:sz="0" w:space="0" w:color="auto"/>
        <w:right w:val="none" w:sz="0" w:space="0" w:color="auto"/>
      </w:divBdr>
    </w:div>
    <w:div w:id="1904171931">
      <w:bodyDiv w:val="1"/>
      <w:marLeft w:val="0"/>
      <w:marRight w:val="0"/>
      <w:marTop w:val="0"/>
      <w:marBottom w:val="0"/>
      <w:divBdr>
        <w:top w:val="none" w:sz="0" w:space="0" w:color="auto"/>
        <w:left w:val="none" w:sz="0" w:space="0" w:color="auto"/>
        <w:bottom w:val="none" w:sz="0" w:space="0" w:color="auto"/>
        <w:right w:val="none" w:sz="0" w:space="0" w:color="auto"/>
      </w:divBdr>
    </w:div>
    <w:div w:id="1906798905">
      <w:bodyDiv w:val="1"/>
      <w:marLeft w:val="0"/>
      <w:marRight w:val="0"/>
      <w:marTop w:val="0"/>
      <w:marBottom w:val="0"/>
      <w:divBdr>
        <w:top w:val="none" w:sz="0" w:space="0" w:color="auto"/>
        <w:left w:val="none" w:sz="0" w:space="0" w:color="auto"/>
        <w:bottom w:val="none" w:sz="0" w:space="0" w:color="auto"/>
        <w:right w:val="none" w:sz="0" w:space="0" w:color="auto"/>
      </w:divBdr>
    </w:div>
    <w:div w:id="1911235332">
      <w:bodyDiv w:val="1"/>
      <w:marLeft w:val="0"/>
      <w:marRight w:val="0"/>
      <w:marTop w:val="0"/>
      <w:marBottom w:val="0"/>
      <w:divBdr>
        <w:top w:val="none" w:sz="0" w:space="0" w:color="auto"/>
        <w:left w:val="none" w:sz="0" w:space="0" w:color="auto"/>
        <w:bottom w:val="none" w:sz="0" w:space="0" w:color="auto"/>
        <w:right w:val="none" w:sz="0" w:space="0" w:color="auto"/>
      </w:divBdr>
    </w:div>
    <w:div w:id="1931429382">
      <w:bodyDiv w:val="1"/>
      <w:marLeft w:val="0"/>
      <w:marRight w:val="0"/>
      <w:marTop w:val="0"/>
      <w:marBottom w:val="0"/>
      <w:divBdr>
        <w:top w:val="none" w:sz="0" w:space="0" w:color="auto"/>
        <w:left w:val="none" w:sz="0" w:space="0" w:color="auto"/>
        <w:bottom w:val="none" w:sz="0" w:space="0" w:color="auto"/>
        <w:right w:val="none" w:sz="0" w:space="0" w:color="auto"/>
      </w:divBdr>
    </w:div>
    <w:div w:id="1935631104">
      <w:bodyDiv w:val="1"/>
      <w:marLeft w:val="0"/>
      <w:marRight w:val="0"/>
      <w:marTop w:val="0"/>
      <w:marBottom w:val="0"/>
      <w:divBdr>
        <w:top w:val="none" w:sz="0" w:space="0" w:color="auto"/>
        <w:left w:val="none" w:sz="0" w:space="0" w:color="auto"/>
        <w:bottom w:val="none" w:sz="0" w:space="0" w:color="auto"/>
        <w:right w:val="none" w:sz="0" w:space="0" w:color="auto"/>
      </w:divBdr>
    </w:div>
    <w:div w:id="1940213398">
      <w:bodyDiv w:val="1"/>
      <w:marLeft w:val="0"/>
      <w:marRight w:val="0"/>
      <w:marTop w:val="0"/>
      <w:marBottom w:val="0"/>
      <w:divBdr>
        <w:top w:val="none" w:sz="0" w:space="0" w:color="auto"/>
        <w:left w:val="none" w:sz="0" w:space="0" w:color="auto"/>
        <w:bottom w:val="none" w:sz="0" w:space="0" w:color="auto"/>
        <w:right w:val="none" w:sz="0" w:space="0" w:color="auto"/>
      </w:divBdr>
    </w:div>
    <w:div w:id="1940483188">
      <w:bodyDiv w:val="1"/>
      <w:marLeft w:val="0"/>
      <w:marRight w:val="0"/>
      <w:marTop w:val="0"/>
      <w:marBottom w:val="0"/>
      <w:divBdr>
        <w:top w:val="none" w:sz="0" w:space="0" w:color="auto"/>
        <w:left w:val="none" w:sz="0" w:space="0" w:color="auto"/>
        <w:bottom w:val="none" w:sz="0" w:space="0" w:color="auto"/>
        <w:right w:val="none" w:sz="0" w:space="0" w:color="auto"/>
      </w:divBdr>
    </w:div>
    <w:div w:id="1967083263">
      <w:bodyDiv w:val="1"/>
      <w:marLeft w:val="0"/>
      <w:marRight w:val="0"/>
      <w:marTop w:val="0"/>
      <w:marBottom w:val="0"/>
      <w:divBdr>
        <w:top w:val="none" w:sz="0" w:space="0" w:color="auto"/>
        <w:left w:val="none" w:sz="0" w:space="0" w:color="auto"/>
        <w:bottom w:val="none" w:sz="0" w:space="0" w:color="auto"/>
        <w:right w:val="none" w:sz="0" w:space="0" w:color="auto"/>
      </w:divBdr>
    </w:div>
    <w:div w:id="1982419295">
      <w:bodyDiv w:val="1"/>
      <w:marLeft w:val="0"/>
      <w:marRight w:val="0"/>
      <w:marTop w:val="0"/>
      <w:marBottom w:val="0"/>
      <w:divBdr>
        <w:top w:val="none" w:sz="0" w:space="0" w:color="auto"/>
        <w:left w:val="none" w:sz="0" w:space="0" w:color="auto"/>
        <w:bottom w:val="none" w:sz="0" w:space="0" w:color="auto"/>
        <w:right w:val="none" w:sz="0" w:space="0" w:color="auto"/>
      </w:divBdr>
    </w:div>
    <w:div w:id="1986230200">
      <w:bodyDiv w:val="1"/>
      <w:marLeft w:val="0"/>
      <w:marRight w:val="0"/>
      <w:marTop w:val="0"/>
      <w:marBottom w:val="0"/>
      <w:divBdr>
        <w:top w:val="none" w:sz="0" w:space="0" w:color="auto"/>
        <w:left w:val="none" w:sz="0" w:space="0" w:color="auto"/>
        <w:bottom w:val="none" w:sz="0" w:space="0" w:color="auto"/>
        <w:right w:val="none" w:sz="0" w:space="0" w:color="auto"/>
      </w:divBdr>
    </w:div>
    <w:div w:id="1997612565">
      <w:bodyDiv w:val="1"/>
      <w:marLeft w:val="0"/>
      <w:marRight w:val="0"/>
      <w:marTop w:val="0"/>
      <w:marBottom w:val="0"/>
      <w:divBdr>
        <w:top w:val="none" w:sz="0" w:space="0" w:color="auto"/>
        <w:left w:val="none" w:sz="0" w:space="0" w:color="auto"/>
        <w:bottom w:val="none" w:sz="0" w:space="0" w:color="auto"/>
        <w:right w:val="none" w:sz="0" w:space="0" w:color="auto"/>
      </w:divBdr>
    </w:div>
    <w:div w:id="1998721769">
      <w:bodyDiv w:val="1"/>
      <w:marLeft w:val="0"/>
      <w:marRight w:val="0"/>
      <w:marTop w:val="0"/>
      <w:marBottom w:val="0"/>
      <w:divBdr>
        <w:top w:val="none" w:sz="0" w:space="0" w:color="auto"/>
        <w:left w:val="none" w:sz="0" w:space="0" w:color="auto"/>
        <w:bottom w:val="none" w:sz="0" w:space="0" w:color="auto"/>
        <w:right w:val="none" w:sz="0" w:space="0" w:color="auto"/>
      </w:divBdr>
    </w:div>
    <w:div w:id="2015523767">
      <w:bodyDiv w:val="1"/>
      <w:marLeft w:val="0"/>
      <w:marRight w:val="0"/>
      <w:marTop w:val="0"/>
      <w:marBottom w:val="0"/>
      <w:divBdr>
        <w:top w:val="none" w:sz="0" w:space="0" w:color="auto"/>
        <w:left w:val="none" w:sz="0" w:space="0" w:color="auto"/>
        <w:bottom w:val="none" w:sz="0" w:space="0" w:color="auto"/>
        <w:right w:val="none" w:sz="0" w:space="0" w:color="auto"/>
      </w:divBdr>
    </w:div>
    <w:div w:id="2022465925">
      <w:bodyDiv w:val="1"/>
      <w:marLeft w:val="0"/>
      <w:marRight w:val="0"/>
      <w:marTop w:val="0"/>
      <w:marBottom w:val="0"/>
      <w:divBdr>
        <w:top w:val="none" w:sz="0" w:space="0" w:color="auto"/>
        <w:left w:val="none" w:sz="0" w:space="0" w:color="auto"/>
        <w:bottom w:val="none" w:sz="0" w:space="0" w:color="auto"/>
        <w:right w:val="none" w:sz="0" w:space="0" w:color="auto"/>
      </w:divBdr>
    </w:div>
    <w:div w:id="2034450150">
      <w:bodyDiv w:val="1"/>
      <w:marLeft w:val="0"/>
      <w:marRight w:val="0"/>
      <w:marTop w:val="0"/>
      <w:marBottom w:val="0"/>
      <w:divBdr>
        <w:top w:val="none" w:sz="0" w:space="0" w:color="auto"/>
        <w:left w:val="none" w:sz="0" w:space="0" w:color="auto"/>
        <w:bottom w:val="none" w:sz="0" w:space="0" w:color="auto"/>
        <w:right w:val="none" w:sz="0" w:space="0" w:color="auto"/>
      </w:divBdr>
    </w:div>
    <w:div w:id="2040667192">
      <w:bodyDiv w:val="1"/>
      <w:marLeft w:val="0"/>
      <w:marRight w:val="0"/>
      <w:marTop w:val="0"/>
      <w:marBottom w:val="0"/>
      <w:divBdr>
        <w:top w:val="none" w:sz="0" w:space="0" w:color="auto"/>
        <w:left w:val="none" w:sz="0" w:space="0" w:color="auto"/>
        <w:bottom w:val="none" w:sz="0" w:space="0" w:color="auto"/>
        <w:right w:val="none" w:sz="0" w:space="0" w:color="auto"/>
      </w:divBdr>
    </w:div>
    <w:div w:id="2041317975">
      <w:bodyDiv w:val="1"/>
      <w:marLeft w:val="0"/>
      <w:marRight w:val="0"/>
      <w:marTop w:val="0"/>
      <w:marBottom w:val="0"/>
      <w:divBdr>
        <w:top w:val="none" w:sz="0" w:space="0" w:color="auto"/>
        <w:left w:val="none" w:sz="0" w:space="0" w:color="auto"/>
        <w:bottom w:val="none" w:sz="0" w:space="0" w:color="auto"/>
        <w:right w:val="none" w:sz="0" w:space="0" w:color="auto"/>
      </w:divBdr>
    </w:div>
    <w:div w:id="2048485713">
      <w:bodyDiv w:val="1"/>
      <w:marLeft w:val="0"/>
      <w:marRight w:val="0"/>
      <w:marTop w:val="0"/>
      <w:marBottom w:val="0"/>
      <w:divBdr>
        <w:top w:val="none" w:sz="0" w:space="0" w:color="auto"/>
        <w:left w:val="none" w:sz="0" w:space="0" w:color="auto"/>
        <w:bottom w:val="none" w:sz="0" w:space="0" w:color="auto"/>
        <w:right w:val="none" w:sz="0" w:space="0" w:color="auto"/>
      </w:divBdr>
    </w:div>
    <w:div w:id="2074043904">
      <w:bodyDiv w:val="1"/>
      <w:marLeft w:val="0"/>
      <w:marRight w:val="0"/>
      <w:marTop w:val="0"/>
      <w:marBottom w:val="0"/>
      <w:divBdr>
        <w:top w:val="none" w:sz="0" w:space="0" w:color="auto"/>
        <w:left w:val="none" w:sz="0" w:space="0" w:color="auto"/>
        <w:bottom w:val="none" w:sz="0" w:space="0" w:color="auto"/>
        <w:right w:val="none" w:sz="0" w:space="0" w:color="auto"/>
      </w:divBdr>
    </w:div>
    <w:div w:id="2080130880">
      <w:bodyDiv w:val="1"/>
      <w:marLeft w:val="0"/>
      <w:marRight w:val="0"/>
      <w:marTop w:val="0"/>
      <w:marBottom w:val="0"/>
      <w:divBdr>
        <w:top w:val="none" w:sz="0" w:space="0" w:color="auto"/>
        <w:left w:val="none" w:sz="0" w:space="0" w:color="auto"/>
        <w:bottom w:val="none" w:sz="0" w:space="0" w:color="auto"/>
        <w:right w:val="none" w:sz="0" w:space="0" w:color="auto"/>
      </w:divBdr>
    </w:div>
    <w:div w:id="2090227018">
      <w:bodyDiv w:val="1"/>
      <w:marLeft w:val="0"/>
      <w:marRight w:val="0"/>
      <w:marTop w:val="0"/>
      <w:marBottom w:val="0"/>
      <w:divBdr>
        <w:top w:val="none" w:sz="0" w:space="0" w:color="auto"/>
        <w:left w:val="none" w:sz="0" w:space="0" w:color="auto"/>
        <w:bottom w:val="none" w:sz="0" w:space="0" w:color="auto"/>
        <w:right w:val="none" w:sz="0" w:space="0" w:color="auto"/>
      </w:divBdr>
    </w:div>
    <w:div w:id="2095201632">
      <w:bodyDiv w:val="1"/>
      <w:marLeft w:val="0"/>
      <w:marRight w:val="0"/>
      <w:marTop w:val="0"/>
      <w:marBottom w:val="0"/>
      <w:divBdr>
        <w:top w:val="none" w:sz="0" w:space="0" w:color="auto"/>
        <w:left w:val="none" w:sz="0" w:space="0" w:color="auto"/>
        <w:bottom w:val="none" w:sz="0" w:space="0" w:color="auto"/>
        <w:right w:val="none" w:sz="0" w:space="0" w:color="auto"/>
      </w:divBdr>
    </w:div>
    <w:div w:id="2101098119">
      <w:bodyDiv w:val="1"/>
      <w:marLeft w:val="0"/>
      <w:marRight w:val="0"/>
      <w:marTop w:val="0"/>
      <w:marBottom w:val="0"/>
      <w:divBdr>
        <w:top w:val="none" w:sz="0" w:space="0" w:color="auto"/>
        <w:left w:val="none" w:sz="0" w:space="0" w:color="auto"/>
        <w:bottom w:val="none" w:sz="0" w:space="0" w:color="auto"/>
        <w:right w:val="none" w:sz="0" w:space="0" w:color="auto"/>
      </w:divBdr>
    </w:div>
    <w:div w:id="2109110117">
      <w:bodyDiv w:val="1"/>
      <w:marLeft w:val="0"/>
      <w:marRight w:val="0"/>
      <w:marTop w:val="0"/>
      <w:marBottom w:val="0"/>
      <w:divBdr>
        <w:top w:val="none" w:sz="0" w:space="0" w:color="auto"/>
        <w:left w:val="none" w:sz="0" w:space="0" w:color="auto"/>
        <w:bottom w:val="none" w:sz="0" w:space="0" w:color="auto"/>
        <w:right w:val="none" w:sz="0" w:space="0" w:color="auto"/>
      </w:divBdr>
    </w:div>
    <w:div w:id="2120836068">
      <w:bodyDiv w:val="1"/>
      <w:marLeft w:val="0"/>
      <w:marRight w:val="0"/>
      <w:marTop w:val="0"/>
      <w:marBottom w:val="0"/>
      <w:divBdr>
        <w:top w:val="none" w:sz="0" w:space="0" w:color="auto"/>
        <w:left w:val="none" w:sz="0" w:space="0" w:color="auto"/>
        <w:bottom w:val="none" w:sz="0" w:space="0" w:color="auto"/>
        <w:right w:val="none" w:sz="0" w:space="0" w:color="auto"/>
      </w:divBdr>
    </w:div>
    <w:div w:id="2137600581">
      <w:bodyDiv w:val="1"/>
      <w:marLeft w:val="0"/>
      <w:marRight w:val="0"/>
      <w:marTop w:val="0"/>
      <w:marBottom w:val="0"/>
      <w:divBdr>
        <w:top w:val="none" w:sz="0" w:space="0" w:color="auto"/>
        <w:left w:val="none" w:sz="0" w:space="0" w:color="auto"/>
        <w:bottom w:val="none" w:sz="0" w:space="0" w:color="auto"/>
        <w:right w:val="none" w:sz="0" w:space="0" w:color="auto"/>
      </w:divBdr>
    </w:div>
    <w:div w:id="2141267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ice.org.uk/guidance/ng51" TargetMode="External"/><Relationship Id="rId18" Type="http://schemas.openxmlformats.org/officeDocument/2006/relationships/hyperlink" Target="https://www.nice.org.uk/guidance/dg18"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clinicaltrials.gov" TargetMode="External"/><Relationship Id="rId17" Type="http://schemas.openxmlformats.org/officeDocument/2006/relationships/hyperlink" Target="http://www.hra-decisiontools.org.uk/research/" TargetMode="External"/><Relationship Id="rId2" Type="http://schemas.openxmlformats.org/officeDocument/2006/relationships/customXml" Target="../customXml/item2.xml"/><Relationship Id="rId16" Type="http://schemas.openxmlformats.org/officeDocument/2006/relationships/hyperlink" Target="http://www.ncbi.nlm.nih.gov/pubmed/18929686"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waterfield@qub.ac.uk" TargetMode="External"/><Relationship Id="rId5" Type="http://schemas.openxmlformats.org/officeDocument/2006/relationships/numbering" Target="numbering.xml"/><Relationship Id="rId15" Type="http://schemas.openxmlformats.org/officeDocument/2006/relationships/hyperlink" Target="https://doi.org/10.1093/jacamr/dlab029"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ice.org.uk/guidance/ng143" TargetMode="External"/><Relationship Id="rId30"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618D15AB0991D429692D5EED32A5860" ma:contentTypeVersion="10" ma:contentTypeDescription="Create a new document." ma:contentTypeScope="" ma:versionID="a4624f40dd3fc37be0ea22e44d00fd95">
  <xsd:schema xmlns:xsd="http://www.w3.org/2001/XMLSchema" xmlns:xs="http://www.w3.org/2001/XMLSchema" xmlns:p="http://schemas.microsoft.com/office/2006/metadata/properties" xmlns:ns3="8194fe6f-3c6d-4925-921f-265dcea4df96" targetNamespace="http://schemas.microsoft.com/office/2006/metadata/properties" ma:root="true" ma:fieldsID="a5e9bd322811af894aaf810110645a68" ns3:_="">
    <xsd:import namespace="8194fe6f-3c6d-4925-921f-265dcea4df9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94fe6f-3c6d-4925-921f-265dcea4df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BD1095-7628-4442-BDFE-38AABCC3C82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E08128F-B44B-4437-9821-4F6E0E23B3D4}">
  <ds:schemaRefs>
    <ds:schemaRef ds:uri="http://schemas.microsoft.com/sharepoint/v3/contenttype/forms"/>
  </ds:schemaRefs>
</ds:datastoreItem>
</file>

<file path=customXml/itemProps3.xml><?xml version="1.0" encoding="utf-8"?>
<ds:datastoreItem xmlns:ds="http://schemas.openxmlformats.org/officeDocument/2006/customXml" ds:itemID="{61445BF0-3761-46C4-B4F4-AD68E7694B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94fe6f-3c6d-4925-921f-265dcea4df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970F206-18E4-4E30-BE26-8369B339D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5375</Words>
  <Characters>30638</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Waterfield</dc:creator>
  <cp:keywords/>
  <dc:description/>
  <cp:lastModifiedBy>Tom Waterfield</cp:lastModifiedBy>
  <cp:revision>2</cp:revision>
  <cp:lastPrinted>2019-12-17T11:02:00Z</cp:lastPrinted>
  <dcterms:created xsi:type="dcterms:W3CDTF">2021-08-27T19:44:00Z</dcterms:created>
  <dcterms:modified xsi:type="dcterms:W3CDTF">2021-08-27T19:44:00Z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a84b88d2-11c6-3d6f-bee3-65d0e2855f98</vt:lpwstr>
  </property>
  <property fmtid="{D5CDD505-2E9C-101B-9397-08002B2CF9AE}" pid="4" name="Mendeley Citation Style_1">
    <vt:lpwstr>http://www.zotero.org/styles/vancouver</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7th edition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17th edition (author-date)</vt:lpwstr>
  </property>
  <property fmtid="{D5CDD505-2E9C-101B-9397-08002B2CF9AE}" pid="13" name="Mendeley Recent Style Id 4_1">
    <vt:lpwstr>http://www.zotero.org/styles/harvard-cite-them-right</vt:lpwstr>
  </property>
  <property fmtid="{D5CDD505-2E9C-101B-9397-08002B2CF9AE}" pid="14" name="Mendeley Recent Style Name 4_1">
    <vt:lpwstr>Cite Them Right 10th edition - Harvard</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http://www.zotero.org/styles/modern-humanities-research-association</vt:lpwstr>
  </property>
  <property fmtid="{D5CDD505-2E9C-101B-9397-08002B2CF9AE}" pid="18" name="Mendeley Recent Style Name 6_1">
    <vt:lpwstr>Modern Humanities Research Association 3rd edition (note with bibliography)</vt:lpwstr>
  </property>
  <property fmtid="{D5CDD505-2E9C-101B-9397-08002B2CF9AE}" pid="19" name="Mendeley Recent Style Id 7_1">
    <vt:lpwstr>http://www.zotero.org/styles/modern-language-association</vt:lpwstr>
  </property>
  <property fmtid="{D5CDD505-2E9C-101B-9397-08002B2CF9AE}" pid="20" name="Mendeley Recent Style Name 7_1">
    <vt:lpwstr>Modern Language Association 8th edition</vt:lpwstr>
  </property>
  <property fmtid="{D5CDD505-2E9C-101B-9397-08002B2CF9AE}" pid="21" name="Mendeley Recent Style Id 8_1">
    <vt:lpwstr>http://www.zotero.org/styles/nature</vt:lpwstr>
  </property>
  <property fmtid="{D5CDD505-2E9C-101B-9397-08002B2CF9AE}" pid="22" name="Mendeley Recent Style Name 8_1">
    <vt:lpwstr>Nature</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y fmtid="{D5CDD505-2E9C-101B-9397-08002B2CF9AE}" pid="25" name="ContentTypeId">
    <vt:lpwstr>0x0101008618D15AB0991D429692D5EED32A5860</vt:lpwstr>
  </property>
</Properties>
</file>