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38439" w14:textId="4BB2AC13" w:rsidR="00D865FF" w:rsidRPr="009C223B" w:rsidRDefault="00B51AF8" w:rsidP="005B499C">
      <w:pPr>
        <w:spacing w:line="480" w:lineRule="auto"/>
        <w:rPr>
          <w:b/>
          <w:bCs/>
          <w:sz w:val="24"/>
        </w:rPr>
      </w:pPr>
      <w:r w:rsidRPr="00227194">
        <w:rPr>
          <w:rFonts w:ascii="LbvkvgAdvTTe45e47d2" w:hAnsi="LbvkvgAdvTTe45e47d2" w:cs="LbvkvgAdvTTe45e47d2"/>
          <w:color w:val="131413"/>
          <w:sz w:val="36"/>
          <w:szCs w:val="48"/>
        </w:rPr>
        <w:t>Barriers and facilitators</w:t>
      </w:r>
      <w:r>
        <w:rPr>
          <w:rFonts w:ascii="LbvkvgAdvTTe45e47d2" w:hAnsi="LbvkvgAdvTTe45e47d2" w:cs="LbvkvgAdvTTe45e47d2"/>
          <w:color w:val="131413"/>
          <w:sz w:val="36"/>
          <w:szCs w:val="48"/>
        </w:rPr>
        <w:t xml:space="preserve"> to the administration of pre-hospital </w:t>
      </w:r>
      <w:r w:rsidRPr="00227194">
        <w:rPr>
          <w:rFonts w:ascii="LbvkvgAdvTTe45e47d2" w:hAnsi="LbvkvgAdvTTe45e47d2" w:cs="LbvkvgAdvTTe45e47d2"/>
          <w:color w:val="131413"/>
          <w:sz w:val="36"/>
          <w:szCs w:val="48"/>
        </w:rPr>
        <w:t>tranexamic acid: a</w:t>
      </w:r>
      <w:r w:rsidR="0021632E">
        <w:rPr>
          <w:rFonts w:ascii="LbvkvgAdvTTe45e47d2" w:hAnsi="LbvkvgAdvTTe45e47d2" w:cs="LbvkvgAdvTTe45e47d2"/>
          <w:color w:val="131413"/>
          <w:sz w:val="36"/>
          <w:szCs w:val="48"/>
        </w:rPr>
        <w:t xml:space="preserve"> paramedic </w:t>
      </w:r>
      <w:r w:rsidRPr="00227194">
        <w:rPr>
          <w:rFonts w:ascii="LbvkvgAdvTTe45e47d2" w:hAnsi="LbvkvgAdvTTe45e47d2" w:cs="LbvkvgAdvTTe45e47d2"/>
          <w:color w:val="131413"/>
          <w:sz w:val="36"/>
          <w:szCs w:val="48"/>
        </w:rPr>
        <w:t xml:space="preserve">interview study using the </w:t>
      </w:r>
      <w:r w:rsidR="0021632E">
        <w:rPr>
          <w:rFonts w:ascii="LbvkvgAdvTTe45e47d2" w:hAnsi="LbvkvgAdvTTe45e47d2" w:cs="LbvkvgAdvTTe45e47d2"/>
          <w:color w:val="131413"/>
          <w:sz w:val="36"/>
          <w:szCs w:val="48"/>
        </w:rPr>
        <w:t>t</w:t>
      </w:r>
      <w:r w:rsidRPr="00227194">
        <w:rPr>
          <w:rFonts w:ascii="LbvkvgAdvTTe45e47d2" w:hAnsi="LbvkvgAdvTTe45e47d2" w:cs="LbvkvgAdvTTe45e47d2"/>
          <w:color w:val="131413"/>
          <w:sz w:val="36"/>
          <w:szCs w:val="48"/>
        </w:rPr>
        <w:t>heoretical</w:t>
      </w:r>
      <w:r>
        <w:rPr>
          <w:rFonts w:ascii="LbvkvgAdvTTe45e47d2" w:hAnsi="LbvkvgAdvTTe45e47d2" w:cs="LbvkvgAdvTTe45e47d2"/>
          <w:color w:val="131413"/>
          <w:sz w:val="36"/>
          <w:szCs w:val="48"/>
        </w:rPr>
        <w:t xml:space="preserve"> </w:t>
      </w:r>
      <w:r w:rsidR="0021632E">
        <w:rPr>
          <w:rFonts w:ascii="LbvkvgAdvTTe45e47d2" w:hAnsi="LbvkvgAdvTTe45e47d2" w:cs="LbvkvgAdvTTe45e47d2"/>
          <w:color w:val="131413"/>
          <w:sz w:val="36"/>
          <w:szCs w:val="48"/>
        </w:rPr>
        <w:t>d</w:t>
      </w:r>
      <w:r w:rsidRPr="00227194">
        <w:rPr>
          <w:rFonts w:ascii="LbvkvgAdvTTe45e47d2" w:hAnsi="LbvkvgAdvTTe45e47d2" w:cs="LbvkvgAdvTTe45e47d2"/>
          <w:color w:val="131413"/>
          <w:sz w:val="36"/>
          <w:szCs w:val="48"/>
        </w:rPr>
        <w:t xml:space="preserve">omains </w:t>
      </w:r>
      <w:r w:rsidR="0021632E">
        <w:rPr>
          <w:rFonts w:ascii="LbvkvgAdvTTe45e47d2" w:hAnsi="LbvkvgAdvTTe45e47d2" w:cs="LbvkvgAdvTTe45e47d2"/>
          <w:color w:val="131413"/>
          <w:sz w:val="36"/>
          <w:szCs w:val="48"/>
        </w:rPr>
        <w:t>f</w:t>
      </w:r>
      <w:r w:rsidRPr="00227194">
        <w:rPr>
          <w:rFonts w:ascii="LbvkvgAdvTTe45e47d2" w:hAnsi="LbvkvgAdvTTe45e47d2" w:cs="LbvkvgAdvTTe45e47d2"/>
          <w:color w:val="131413"/>
          <w:sz w:val="36"/>
          <w:szCs w:val="48"/>
        </w:rPr>
        <w:t>ramework</w:t>
      </w:r>
    </w:p>
    <w:p w14:paraId="79163003" w14:textId="41DB866A" w:rsidR="00D865FF" w:rsidRDefault="00426C39" w:rsidP="005B499C">
      <w:pPr>
        <w:spacing w:line="480" w:lineRule="auto"/>
        <w:rPr>
          <w:bCs/>
          <w:vertAlign w:val="superscript"/>
        </w:rPr>
      </w:pPr>
      <w:r>
        <w:rPr>
          <w:bCs/>
        </w:rPr>
        <w:t xml:space="preserve">Laura </w:t>
      </w:r>
      <w:r w:rsidR="00D865FF" w:rsidRPr="00D865FF">
        <w:rPr>
          <w:bCs/>
        </w:rPr>
        <w:t>Goodwin</w:t>
      </w:r>
      <w:r>
        <w:rPr>
          <w:bCs/>
          <w:vertAlign w:val="superscript"/>
        </w:rPr>
        <w:t>1</w:t>
      </w:r>
      <w:r w:rsidR="00DF4FB8">
        <w:rPr>
          <w:bCs/>
          <w:vertAlign w:val="superscript"/>
        </w:rPr>
        <w:t>*</w:t>
      </w:r>
      <w:r w:rsidR="00D865FF" w:rsidRPr="00D865FF">
        <w:rPr>
          <w:bCs/>
        </w:rPr>
        <w:t xml:space="preserve">, </w:t>
      </w:r>
      <w:r>
        <w:rPr>
          <w:bCs/>
        </w:rPr>
        <w:t xml:space="preserve">Helen </w:t>
      </w:r>
      <w:r w:rsidR="00D865FF" w:rsidRPr="00D865FF">
        <w:rPr>
          <w:bCs/>
        </w:rPr>
        <w:t>Nicholson</w:t>
      </w:r>
      <w:r>
        <w:rPr>
          <w:bCs/>
          <w:vertAlign w:val="superscript"/>
        </w:rPr>
        <w:t>1</w:t>
      </w:r>
      <w:r w:rsidR="00D865FF" w:rsidRPr="00D865FF">
        <w:rPr>
          <w:bCs/>
        </w:rPr>
        <w:t xml:space="preserve">, </w:t>
      </w:r>
      <w:r>
        <w:rPr>
          <w:bCs/>
        </w:rPr>
        <w:t xml:space="preserve">Maria </w:t>
      </w:r>
      <w:r w:rsidR="00D865FF" w:rsidRPr="00D865FF">
        <w:rPr>
          <w:bCs/>
        </w:rPr>
        <w:t>Robinson</w:t>
      </w:r>
      <w:r>
        <w:rPr>
          <w:bCs/>
          <w:vertAlign w:val="superscript"/>
        </w:rPr>
        <w:t>2</w:t>
      </w:r>
      <w:r w:rsidR="00D865FF" w:rsidRPr="00D865FF">
        <w:rPr>
          <w:bCs/>
        </w:rPr>
        <w:t xml:space="preserve">, </w:t>
      </w:r>
      <w:r w:rsidR="00C842CA">
        <w:rPr>
          <w:bCs/>
        </w:rPr>
        <w:t xml:space="preserve">Adam </w:t>
      </w:r>
      <w:r w:rsidR="00C842CA" w:rsidRPr="00D865FF">
        <w:rPr>
          <w:bCs/>
        </w:rPr>
        <w:t>Bedson</w:t>
      </w:r>
      <w:r w:rsidR="00C842CA">
        <w:rPr>
          <w:bCs/>
          <w:vertAlign w:val="superscript"/>
        </w:rPr>
        <w:t>2</w:t>
      </w:r>
      <w:r w:rsidR="00C842CA">
        <w:rPr>
          <w:bCs/>
        </w:rPr>
        <w:t>, S</w:t>
      </w:r>
      <w:r>
        <w:rPr>
          <w:bCs/>
        </w:rPr>
        <w:t xml:space="preserve">arah </w:t>
      </w:r>
      <w:r w:rsidR="00D865FF" w:rsidRPr="00D865FF">
        <w:rPr>
          <w:bCs/>
        </w:rPr>
        <w:t>Black</w:t>
      </w:r>
      <w:r w:rsidR="00072B81">
        <w:rPr>
          <w:bCs/>
          <w:vertAlign w:val="superscript"/>
        </w:rPr>
        <w:t>2</w:t>
      </w:r>
      <w:r w:rsidR="00D865FF" w:rsidRPr="00D865FF">
        <w:rPr>
          <w:bCs/>
        </w:rPr>
        <w:t xml:space="preserve">, </w:t>
      </w:r>
      <w:r w:rsidR="00DF4FB8">
        <w:rPr>
          <w:bCs/>
        </w:rPr>
        <w:t xml:space="preserve">Kim </w:t>
      </w:r>
      <w:r w:rsidR="00D865FF" w:rsidRPr="00D865FF">
        <w:rPr>
          <w:bCs/>
        </w:rPr>
        <w:t>Kirby</w:t>
      </w:r>
      <w:r w:rsidR="00DF4FB8">
        <w:rPr>
          <w:bCs/>
          <w:vertAlign w:val="superscript"/>
        </w:rPr>
        <w:t>1</w:t>
      </w:r>
      <w:r w:rsidR="00D865FF" w:rsidRPr="00D865FF">
        <w:rPr>
          <w:bCs/>
        </w:rPr>
        <w:t xml:space="preserve">, </w:t>
      </w:r>
      <w:r w:rsidR="00DF4FB8">
        <w:rPr>
          <w:bCs/>
        </w:rPr>
        <w:t xml:space="preserve">Hazel </w:t>
      </w:r>
      <w:r w:rsidR="00D865FF" w:rsidRPr="00D865FF">
        <w:rPr>
          <w:bCs/>
        </w:rPr>
        <w:t>Taylor</w:t>
      </w:r>
      <w:r w:rsidR="00072B81">
        <w:rPr>
          <w:bCs/>
          <w:vertAlign w:val="superscript"/>
        </w:rPr>
        <w:t>3</w:t>
      </w:r>
      <w:r w:rsidR="00D865FF" w:rsidRPr="00D865FF">
        <w:rPr>
          <w:bCs/>
        </w:rPr>
        <w:t xml:space="preserve">, </w:t>
      </w:r>
      <w:r w:rsidR="00DF4FB8">
        <w:rPr>
          <w:bCs/>
        </w:rPr>
        <w:t xml:space="preserve">Sarah </w:t>
      </w:r>
      <w:r w:rsidR="00D865FF" w:rsidRPr="00D865FF">
        <w:rPr>
          <w:bCs/>
        </w:rPr>
        <w:t>Voss</w:t>
      </w:r>
      <w:r w:rsidR="00DF4FB8">
        <w:rPr>
          <w:bCs/>
          <w:vertAlign w:val="superscript"/>
        </w:rPr>
        <w:t>1</w:t>
      </w:r>
      <w:r w:rsidR="00D865FF" w:rsidRPr="00D865FF">
        <w:rPr>
          <w:bCs/>
        </w:rPr>
        <w:t xml:space="preserve">, &amp; </w:t>
      </w:r>
      <w:r w:rsidR="00DF4FB8">
        <w:rPr>
          <w:bCs/>
        </w:rPr>
        <w:t xml:space="preserve">Jonathan </w:t>
      </w:r>
      <w:r w:rsidR="00D865FF" w:rsidRPr="00D865FF">
        <w:rPr>
          <w:bCs/>
        </w:rPr>
        <w:t>Benger</w:t>
      </w:r>
      <w:r w:rsidR="00DF4FB8">
        <w:rPr>
          <w:bCs/>
          <w:vertAlign w:val="superscript"/>
        </w:rPr>
        <w:t>1</w:t>
      </w:r>
    </w:p>
    <w:p w14:paraId="2A0FF9B1" w14:textId="77777777" w:rsidR="00DF4FB8" w:rsidRDefault="00DF4FB8" w:rsidP="005B499C">
      <w:pPr>
        <w:spacing w:line="480" w:lineRule="auto"/>
        <w:rPr>
          <w:bCs/>
        </w:rPr>
      </w:pPr>
    </w:p>
    <w:p w14:paraId="34AB0F1C" w14:textId="5C05D039" w:rsidR="00DF4FB8" w:rsidRDefault="00DF4FB8" w:rsidP="005B499C">
      <w:pPr>
        <w:spacing w:after="0" w:line="480" w:lineRule="auto"/>
      </w:pPr>
      <w:r w:rsidRPr="00DF4FB8">
        <w:rPr>
          <w:vertAlign w:val="superscript"/>
        </w:rPr>
        <w:t>1</w:t>
      </w:r>
      <w:r w:rsidRPr="00DF4FB8">
        <w:t xml:space="preserve"> </w:t>
      </w:r>
      <w:r w:rsidR="00B131F3">
        <w:t xml:space="preserve">Faculty of Health and Applied Sciences, </w:t>
      </w:r>
      <w:r>
        <w:t xml:space="preserve">University of the West of England, </w:t>
      </w:r>
      <w:r w:rsidR="00FF7722">
        <w:t>Glenside Campus</w:t>
      </w:r>
      <w:r w:rsidR="00B131F3">
        <w:t xml:space="preserve"> (1H14)</w:t>
      </w:r>
      <w:r w:rsidR="00FF7722">
        <w:t xml:space="preserve">, </w:t>
      </w:r>
      <w:r w:rsidR="00B131F3">
        <w:t xml:space="preserve">Blackberry Hill, </w:t>
      </w:r>
      <w:r>
        <w:t xml:space="preserve">Bristol, </w:t>
      </w:r>
      <w:r w:rsidR="00FF7722">
        <w:rPr>
          <w:rFonts w:ascii="Calibri" w:hAnsi="Calibri" w:cs="Calibri"/>
          <w:color w:val="000000"/>
        </w:rPr>
        <w:t xml:space="preserve">BS16 1DD, </w:t>
      </w:r>
      <w:r w:rsidR="00B131F3">
        <w:t>England</w:t>
      </w:r>
    </w:p>
    <w:p w14:paraId="44F543F3" w14:textId="0275BC2F" w:rsidR="00235B10" w:rsidRPr="00072B81" w:rsidRDefault="00DF4FB8" w:rsidP="005B499C">
      <w:pPr>
        <w:spacing w:after="0" w:line="480" w:lineRule="auto"/>
        <w:rPr>
          <w:vertAlign w:val="superscript"/>
        </w:rPr>
      </w:pPr>
      <w:r w:rsidRPr="00DF4FB8">
        <w:rPr>
          <w:vertAlign w:val="superscript"/>
        </w:rPr>
        <w:t xml:space="preserve">2 </w:t>
      </w:r>
      <w:r w:rsidR="00235B10" w:rsidRPr="00DF4FB8">
        <w:t>S</w:t>
      </w:r>
      <w:r w:rsidRPr="00DF4FB8">
        <w:t xml:space="preserve">outh Western Ambulance Service NHS Foundation Trust, </w:t>
      </w:r>
      <w:r w:rsidR="00B131F3">
        <w:t xml:space="preserve">Eagle Way, </w:t>
      </w:r>
      <w:r w:rsidRPr="00DF4FB8">
        <w:t xml:space="preserve">Exeter, </w:t>
      </w:r>
      <w:r w:rsidR="00FF7722" w:rsidRPr="00FF7722">
        <w:t>EX2 7HY</w:t>
      </w:r>
      <w:r w:rsidR="00FF7722">
        <w:t xml:space="preserve">, </w:t>
      </w:r>
      <w:r w:rsidR="00B131F3">
        <w:t>England</w:t>
      </w:r>
    </w:p>
    <w:p w14:paraId="03795F94" w14:textId="119AE93F" w:rsidR="00DF4FB8" w:rsidRPr="00DF4FB8" w:rsidRDefault="00072B81" w:rsidP="005B499C">
      <w:pPr>
        <w:spacing w:after="0" w:line="480" w:lineRule="auto"/>
      </w:pPr>
      <w:r>
        <w:rPr>
          <w:vertAlign w:val="superscript"/>
        </w:rPr>
        <w:t>3</w:t>
      </w:r>
      <w:r w:rsidR="00DF4FB8" w:rsidRPr="00DF4FB8">
        <w:t xml:space="preserve"> Research Design Service</w:t>
      </w:r>
      <w:r>
        <w:t xml:space="preserve"> – South West</w:t>
      </w:r>
      <w:r w:rsidR="00DF4FB8" w:rsidRPr="00DF4FB8">
        <w:t xml:space="preserve">, </w:t>
      </w:r>
      <w:r>
        <w:t xml:space="preserve">University Hospitals Bristol NHS Foundation Trust, </w:t>
      </w:r>
      <w:r w:rsidR="00FF7722" w:rsidRPr="00FF7722">
        <w:t>Upper Maudlin Street, Bristol, BS2 8AE</w:t>
      </w:r>
      <w:r w:rsidR="00FF7722">
        <w:t xml:space="preserve">, </w:t>
      </w:r>
      <w:r w:rsidR="00B131F3">
        <w:t>England</w:t>
      </w:r>
    </w:p>
    <w:p w14:paraId="49E78370" w14:textId="77777777" w:rsidR="00DF4FB8" w:rsidRPr="00DF4FB8" w:rsidRDefault="00DF4FB8" w:rsidP="005B499C">
      <w:pPr>
        <w:spacing w:after="0" w:line="480" w:lineRule="auto"/>
      </w:pPr>
    </w:p>
    <w:p w14:paraId="5D5F81DE" w14:textId="77777777" w:rsidR="007573BC" w:rsidRDefault="00DF4FB8" w:rsidP="007573BC">
      <w:pPr>
        <w:rPr>
          <w:bCs/>
        </w:rPr>
      </w:pPr>
      <w:r w:rsidRPr="00DF4FB8">
        <w:rPr>
          <w:bCs/>
        </w:rPr>
        <w:t>*corresponding author</w:t>
      </w:r>
    </w:p>
    <w:p w14:paraId="41E7954C" w14:textId="0DB18C01" w:rsidR="007573BC" w:rsidRDefault="007573BC" w:rsidP="007573BC">
      <w:pPr>
        <w:rPr>
          <w:rFonts w:ascii="Times New Roman" w:eastAsia="Calibri" w:hAnsi="Times New Roman" w:cs="Times New Roman"/>
          <w:noProof/>
          <w:sz w:val="24"/>
          <w:szCs w:val="24"/>
          <w:lang w:eastAsia="en-GB"/>
        </w:rPr>
      </w:pPr>
      <w:r>
        <w:rPr>
          <w:bCs/>
        </w:rPr>
        <w:t>Address:</w:t>
      </w:r>
      <w:r w:rsidRPr="007573BC">
        <w:rPr>
          <w:rFonts w:ascii="Calibri" w:eastAsia="Calibri" w:hAnsi="Calibri" w:cs="Calibri"/>
          <w:noProof/>
          <w:color w:val="000000"/>
          <w:lang w:eastAsia="en-GB"/>
        </w:rPr>
        <w:t xml:space="preserve"> </w:t>
      </w:r>
      <w:r>
        <w:rPr>
          <w:rFonts w:ascii="Calibri" w:eastAsia="Calibri" w:hAnsi="Calibri" w:cs="Calibri"/>
          <w:noProof/>
          <w:color w:val="000000"/>
          <w:lang w:eastAsia="en-GB"/>
        </w:rPr>
        <w:t>Faculty of Health and Applied Sciences</w:t>
      </w:r>
      <w:r>
        <w:rPr>
          <w:rFonts w:ascii="Times New Roman" w:eastAsia="Calibri" w:hAnsi="Times New Roman" w:cs="Times New Roman"/>
          <w:noProof/>
          <w:sz w:val="24"/>
          <w:szCs w:val="24"/>
          <w:lang w:eastAsia="en-GB"/>
        </w:rPr>
        <w:t xml:space="preserve">, </w:t>
      </w:r>
      <w:r>
        <w:rPr>
          <w:rFonts w:ascii="Calibri" w:eastAsia="Calibri" w:hAnsi="Calibri" w:cs="Calibri"/>
          <w:noProof/>
          <w:color w:val="000000"/>
          <w:lang w:eastAsia="en-GB"/>
        </w:rPr>
        <w:t>Room 1H14, Glenside Campus</w:t>
      </w:r>
      <w:r>
        <w:rPr>
          <w:rFonts w:ascii="Times New Roman" w:eastAsia="Calibri" w:hAnsi="Times New Roman" w:cs="Times New Roman"/>
          <w:noProof/>
          <w:sz w:val="24"/>
          <w:szCs w:val="24"/>
          <w:lang w:eastAsia="en-GB"/>
        </w:rPr>
        <w:t xml:space="preserve"> </w:t>
      </w:r>
      <w:r>
        <w:rPr>
          <w:rFonts w:ascii="Calibri" w:eastAsia="Calibri" w:hAnsi="Calibri" w:cs="Calibri"/>
          <w:noProof/>
          <w:color w:val="000000"/>
          <w:lang w:eastAsia="en-GB"/>
        </w:rPr>
        <w:t>Bristol, BS16 1DD</w:t>
      </w:r>
    </w:p>
    <w:p w14:paraId="4FFAE1D2" w14:textId="1B77F39F" w:rsidR="00DF4FB8" w:rsidRPr="00DF4FB8" w:rsidRDefault="007573BC" w:rsidP="005B499C">
      <w:pPr>
        <w:spacing w:line="480" w:lineRule="auto"/>
        <w:rPr>
          <w:bCs/>
        </w:rPr>
      </w:pPr>
      <w:r>
        <w:rPr>
          <w:bCs/>
        </w:rPr>
        <w:t>E</w:t>
      </w:r>
      <w:r w:rsidR="00DF4FB8" w:rsidRPr="00DF4FB8">
        <w:rPr>
          <w:bCs/>
        </w:rPr>
        <w:t xml:space="preserve">mail address: </w:t>
      </w:r>
      <w:hyperlink r:id="rId11" w:history="1">
        <w:r w:rsidR="00DF4FB8" w:rsidRPr="00DF4FB8">
          <w:rPr>
            <w:rStyle w:val="Hyperlink"/>
            <w:bCs/>
          </w:rPr>
          <w:t>laura.goodwin@uwe.ac.uk</w:t>
        </w:r>
      </w:hyperlink>
      <w:r w:rsidR="00DF4FB8" w:rsidRPr="00DF4FB8">
        <w:rPr>
          <w:bCs/>
        </w:rPr>
        <w:t>, Twitter: @laurakgoodwin</w:t>
      </w:r>
    </w:p>
    <w:p w14:paraId="1F328D2E" w14:textId="77777777" w:rsidR="007573BC" w:rsidRDefault="007573BC" w:rsidP="005B499C">
      <w:pPr>
        <w:spacing w:line="480" w:lineRule="auto"/>
        <w:rPr>
          <w:b/>
          <w:bCs/>
        </w:rPr>
      </w:pPr>
    </w:p>
    <w:p w14:paraId="63294CBB" w14:textId="128F951B" w:rsidR="00DF4FB8" w:rsidRDefault="006A1C15" w:rsidP="005B499C">
      <w:pPr>
        <w:spacing w:line="480" w:lineRule="auto"/>
        <w:rPr>
          <w:bCs/>
        </w:rPr>
      </w:pPr>
      <w:r>
        <w:rPr>
          <w:b/>
          <w:bCs/>
        </w:rPr>
        <w:t xml:space="preserve">Keywords: </w:t>
      </w:r>
      <w:r>
        <w:rPr>
          <w:bCs/>
        </w:rPr>
        <w:t>Tranexamic acid</w:t>
      </w:r>
      <w:r w:rsidR="00B51AF8">
        <w:rPr>
          <w:bCs/>
        </w:rPr>
        <w:t xml:space="preserve">, </w:t>
      </w:r>
      <w:r w:rsidR="0021632E">
        <w:rPr>
          <w:bCs/>
        </w:rPr>
        <w:t xml:space="preserve">emergency medical services, </w:t>
      </w:r>
      <w:proofErr w:type="spellStart"/>
      <w:r w:rsidR="00B51AF8">
        <w:rPr>
          <w:bCs/>
        </w:rPr>
        <w:t>hemorrhage</w:t>
      </w:r>
      <w:proofErr w:type="spellEnd"/>
      <w:r w:rsidR="00B51AF8">
        <w:rPr>
          <w:bCs/>
        </w:rPr>
        <w:t xml:space="preserve">, </w:t>
      </w:r>
      <w:r>
        <w:rPr>
          <w:bCs/>
        </w:rPr>
        <w:t xml:space="preserve">trauma, </w:t>
      </w:r>
      <w:r w:rsidR="0012668C">
        <w:rPr>
          <w:bCs/>
        </w:rPr>
        <w:t>theoretical domains framework</w:t>
      </w:r>
      <w:r w:rsidR="0021632E">
        <w:rPr>
          <w:bCs/>
        </w:rPr>
        <w:t>.</w:t>
      </w:r>
    </w:p>
    <w:p w14:paraId="7AE25C25" w14:textId="571327A7" w:rsidR="0012668C" w:rsidRPr="00CD0670" w:rsidRDefault="006406CE" w:rsidP="005B499C">
      <w:pPr>
        <w:spacing w:line="480" w:lineRule="auto"/>
        <w:rPr>
          <w:b/>
          <w:bCs/>
        </w:rPr>
      </w:pPr>
      <w:r w:rsidRPr="00CD0670">
        <w:rPr>
          <w:b/>
          <w:bCs/>
        </w:rPr>
        <w:t xml:space="preserve">Word count: </w:t>
      </w:r>
      <w:r w:rsidR="00A34A41">
        <w:rPr>
          <w:b/>
          <w:bCs/>
        </w:rPr>
        <w:t xml:space="preserve"> 3,</w:t>
      </w:r>
      <w:r w:rsidR="00C509F6">
        <w:rPr>
          <w:b/>
          <w:bCs/>
        </w:rPr>
        <w:t>632</w:t>
      </w:r>
      <w:r w:rsidR="00C50602">
        <w:rPr>
          <w:b/>
          <w:bCs/>
        </w:rPr>
        <w:t xml:space="preserve"> </w:t>
      </w:r>
    </w:p>
    <w:p w14:paraId="4E9F6210" w14:textId="77777777" w:rsidR="007573BC" w:rsidRDefault="007573BC">
      <w:pPr>
        <w:rPr>
          <w:b/>
          <w:bCs/>
          <w:sz w:val="24"/>
        </w:rPr>
      </w:pPr>
      <w:r>
        <w:rPr>
          <w:b/>
          <w:bCs/>
          <w:sz w:val="24"/>
        </w:rPr>
        <w:br w:type="page"/>
      </w:r>
    </w:p>
    <w:p w14:paraId="06DBF8E1" w14:textId="78512162" w:rsidR="003F0666" w:rsidRPr="009C223B" w:rsidRDefault="006406CE" w:rsidP="005B499C">
      <w:pPr>
        <w:spacing w:line="480" w:lineRule="auto"/>
        <w:rPr>
          <w:b/>
          <w:bCs/>
          <w:sz w:val="24"/>
        </w:rPr>
      </w:pPr>
      <w:r w:rsidRPr="009C223B">
        <w:rPr>
          <w:b/>
          <w:bCs/>
          <w:sz w:val="24"/>
        </w:rPr>
        <w:lastRenderedPageBreak/>
        <w:t>ABSTRACT</w:t>
      </w:r>
    </w:p>
    <w:p w14:paraId="6748118A" w14:textId="7F4EB886" w:rsidR="0008071F" w:rsidRPr="003C2D1B" w:rsidRDefault="003F0666" w:rsidP="005B499C">
      <w:pPr>
        <w:spacing w:line="480" w:lineRule="auto"/>
      </w:pPr>
      <w:r w:rsidRPr="00F71E3E">
        <w:rPr>
          <w:b/>
        </w:rPr>
        <w:t>Background:</w:t>
      </w:r>
      <w:r w:rsidR="00F71E3E">
        <w:t xml:space="preserve"> </w:t>
      </w:r>
      <w:r w:rsidR="003C2D1B" w:rsidRPr="003C2D1B">
        <w:t xml:space="preserve">Tranexamic acid (TXA) is an antifibrinolytic drug used to prevent </w:t>
      </w:r>
      <w:r w:rsidR="003C2D1B">
        <w:t>bleeding</w:t>
      </w:r>
      <w:r w:rsidR="0021632E">
        <w:t>. It</w:t>
      </w:r>
      <w:r w:rsidR="003C2D1B">
        <w:t xml:space="preserve"> was introduced as an intervention </w:t>
      </w:r>
      <w:r w:rsidR="003C2D1B" w:rsidRPr="003C2D1B">
        <w:t>for post-trauma</w:t>
      </w:r>
      <w:r w:rsidR="0021632E">
        <w:t>tic</w:t>
      </w:r>
      <w:r w:rsidR="003C2D1B" w:rsidRPr="003C2D1B">
        <w:t xml:space="preserve"> </w:t>
      </w:r>
      <w:r w:rsidR="0021632E">
        <w:t>haemorrhage</w:t>
      </w:r>
      <w:r w:rsidR="003C2D1B" w:rsidRPr="003C2D1B">
        <w:t xml:space="preserve"> across </w:t>
      </w:r>
      <w:r w:rsidR="0021632E">
        <w:t>emergency medical</w:t>
      </w:r>
      <w:r w:rsidR="003C2D1B" w:rsidRPr="003C2D1B">
        <w:t xml:space="preserve"> services </w:t>
      </w:r>
      <w:r w:rsidR="0021632E">
        <w:t xml:space="preserve">(EMS) </w:t>
      </w:r>
      <w:r w:rsidR="003C2D1B" w:rsidRPr="003C2D1B">
        <w:t>in the U</w:t>
      </w:r>
      <w:r w:rsidR="0021632E">
        <w:t xml:space="preserve">nited </w:t>
      </w:r>
      <w:r w:rsidR="003C2D1B" w:rsidRPr="003C2D1B">
        <w:t>K</w:t>
      </w:r>
      <w:r w:rsidR="0021632E">
        <w:t xml:space="preserve">ingdom (UK) </w:t>
      </w:r>
      <w:r w:rsidR="003C2D1B" w:rsidRPr="003C2D1B">
        <w:t>during 2012</w:t>
      </w:r>
      <w:r w:rsidR="003C2D1B">
        <w:t>.</w:t>
      </w:r>
      <w:r w:rsidR="00F71E3E">
        <w:t xml:space="preserve"> </w:t>
      </w:r>
      <w:r w:rsidR="00C2024F">
        <w:t>However, d</w:t>
      </w:r>
      <w:r w:rsidR="00C2024F" w:rsidRPr="00C2024F">
        <w:t>espite strong evidence of effectiveness</w:t>
      </w:r>
      <w:r w:rsidR="00A7119C">
        <w:t>,</w:t>
      </w:r>
      <w:r w:rsidR="00C2024F">
        <w:t xml:space="preserve"> </w:t>
      </w:r>
      <w:r w:rsidR="003C2D1B">
        <w:t>pre-</w:t>
      </w:r>
      <w:r w:rsidR="003C2D1B" w:rsidRPr="003C2D1B">
        <w:t xml:space="preserve">hospital TXA administration rates are low. This study used </w:t>
      </w:r>
      <w:r w:rsidR="00F71E3E" w:rsidRPr="003C2D1B">
        <w:t xml:space="preserve">the </w:t>
      </w:r>
      <w:r w:rsidR="0021632E">
        <w:t>t</w:t>
      </w:r>
      <w:r w:rsidR="00F71E3E" w:rsidRPr="003C2D1B">
        <w:t xml:space="preserve">heoretical </w:t>
      </w:r>
      <w:r w:rsidR="0021632E">
        <w:t>d</w:t>
      </w:r>
      <w:r w:rsidR="00F71E3E" w:rsidRPr="003C2D1B">
        <w:t xml:space="preserve">omains </w:t>
      </w:r>
      <w:r w:rsidR="0021632E">
        <w:t>f</w:t>
      </w:r>
      <w:r w:rsidR="00F71E3E" w:rsidRPr="003C2D1B">
        <w:t xml:space="preserve">ramework (TDF) </w:t>
      </w:r>
      <w:r w:rsidR="003C2D1B" w:rsidRPr="003C2D1B">
        <w:t xml:space="preserve">to identify barriers and facilitators to </w:t>
      </w:r>
      <w:r w:rsidR="0021632E">
        <w:t>the</w:t>
      </w:r>
      <w:r w:rsidR="003C2D1B" w:rsidRPr="003C2D1B">
        <w:t xml:space="preserve"> administration of TXA to trauma patients </w:t>
      </w:r>
      <w:r w:rsidR="0021632E">
        <w:t xml:space="preserve">by EMS providers (paramedics) </w:t>
      </w:r>
      <w:r w:rsidR="003C2D1B" w:rsidRPr="003C2D1B">
        <w:t>in the UK.</w:t>
      </w:r>
    </w:p>
    <w:p w14:paraId="651F667E" w14:textId="18E2045D" w:rsidR="0008071F" w:rsidRPr="00517100" w:rsidRDefault="003F0666" w:rsidP="005B499C">
      <w:pPr>
        <w:spacing w:line="480" w:lineRule="auto"/>
      </w:pPr>
      <w:r w:rsidRPr="00F360D1">
        <w:rPr>
          <w:b/>
        </w:rPr>
        <w:t>Methods:</w:t>
      </w:r>
      <w:r w:rsidR="003C2D1B" w:rsidRPr="00F360D1">
        <w:t xml:space="preserve"> </w:t>
      </w:r>
      <w:r w:rsidR="00157EA9">
        <w:t>I</w:t>
      </w:r>
      <w:r w:rsidR="003C2D1B" w:rsidRPr="00F360D1">
        <w:t xml:space="preserve">nterviews </w:t>
      </w:r>
      <w:r w:rsidR="0021632E">
        <w:t xml:space="preserve">were completed </w:t>
      </w:r>
      <w:r w:rsidR="003C2D1B" w:rsidRPr="00F360D1">
        <w:t>with 1</w:t>
      </w:r>
      <w:r w:rsidR="00F360D1">
        <w:t>8</w:t>
      </w:r>
      <w:r w:rsidR="003C2D1B" w:rsidRPr="00F360D1">
        <w:t xml:space="preserve"> UK paramedics from a single </w:t>
      </w:r>
      <w:r w:rsidR="0021632E">
        <w:t>EMS provider organisation</w:t>
      </w:r>
      <w:r w:rsidR="003C2D1B" w:rsidRPr="00F360D1">
        <w:t>. A convenience sampling approach was used</w:t>
      </w:r>
      <w:r w:rsidR="00906C35">
        <w:t xml:space="preserve">, and interviews continued until </w:t>
      </w:r>
      <w:r w:rsidR="00924954">
        <w:t xml:space="preserve">thematic </w:t>
      </w:r>
      <w:r w:rsidR="00906C35">
        <w:t>saturation was reached</w:t>
      </w:r>
      <w:r w:rsidR="003C2D1B" w:rsidRPr="00F360D1">
        <w:t xml:space="preserve">. Semi-structured telephone interviews explored paramedics’ experiences of administering TXA to trauma patients, </w:t>
      </w:r>
      <w:r w:rsidR="00F360D1" w:rsidRPr="00F360D1">
        <w:t xml:space="preserve">including </w:t>
      </w:r>
      <w:r w:rsidR="00305A9D">
        <w:t>identifying</w:t>
      </w:r>
      <w:r w:rsidR="00F360D1" w:rsidRPr="00F360D1">
        <w:t xml:space="preserve"> whether or not patients were at risk of bleeding</w:t>
      </w:r>
      <w:r w:rsidR="003C2D1B" w:rsidRPr="00F360D1">
        <w:t xml:space="preserve">. Data were analysed </w:t>
      </w:r>
      <w:r w:rsidR="00F360D1" w:rsidRPr="00F360D1">
        <w:t xml:space="preserve">inductively </w:t>
      </w:r>
      <w:r w:rsidR="003C2D1B" w:rsidRPr="00F360D1">
        <w:t xml:space="preserve">using </w:t>
      </w:r>
      <w:r w:rsidR="0021632E">
        <w:t>t</w:t>
      </w:r>
      <w:r w:rsidR="00F360D1" w:rsidRPr="00F360D1">
        <w:t xml:space="preserve">hematic </w:t>
      </w:r>
      <w:r w:rsidR="0021632E">
        <w:t>a</w:t>
      </w:r>
      <w:r w:rsidR="00F360D1" w:rsidRPr="00F360D1">
        <w:t xml:space="preserve">nalysis (stage 1). Themes were mapped to the theoretical domains of </w:t>
      </w:r>
      <w:r w:rsidR="003C2D1B" w:rsidRPr="00F360D1">
        <w:t xml:space="preserve">the TDF to identify </w:t>
      </w:r>
      <w:r w:rsidR="005D08FF">
        <w:t xml:space="preserve">behavioural </w:t>
      </w:r>
      <w:r w:rsidR="003C2D1B" w:rsidRPr="00F360D1">
        <w:t>theory-derived barriers</w:t>
      </w:r>
      <w:r w:rsidR="00F360D1" w:rsidRPr="00F360D1">
        <w:t xml:space="preserve"> and facilitators</w:t>
      </w:r>
      <w:r w:rsidR="003C2D1B" w:rsidRPr="00F360D1">
        <w:t xml:space="preserve"> to </w:t>
      </w:r>
      <w:r w:rsidR="00F360D1" w:rsidRPr="00F360D1">
        <w:t>the administration of TXA to trauma patients</w:t>
      </w:r>
      <w:r w:rsidR="003C2D1B" w:rsidRPr="00F360D1">
        <w:t xml:space="preserve"> (st</w:t>
      </w:r>
      <w:r w:rsidR="00F360D1" w:rsidRPr="00F360D1">
        <w:t>age</w:t>
      </w:r>
      <w:r w:rsidR="003C2D1B" w:rsidRPr="00F360D1">
        <w:t xml:space="preserve"> 2). </w:t>
      </w:r>
      <w:r w:rsidR="00F360D1" w:rsidRPr="00F360D1">
        <w:t>Belief statements were identified and assessed for importance according to prevalence, discordance and evidence base (</w:t>
      </w:r>
      <w:r w:rsidR="003C2D1B" w:rsidRPr="00F360D1">
        <w:t>st</w:t>
      </w:r>
      <w:r w:rsidR="00F360D1" w:rsidRPr="00F360D1">
        <w:t>age</w:t>
      </w:r>
      <w:r w:rsidR="003C2D1B" w:rsidRPr="00F360D1">
        <w:t xml:space="preserve"> </w:t>
      </w:r>
      <w:r w:rsidR="00F360D1" w:rsidRPr="00F360D1">
        <w:t>3</w:t>
      </w:r>
      <w:r w:rsidR="003C2D1B" w:rsidRPr="00F360D1">
        <w:t>).</w:t>
      </w:r>
    </w:p>
    <w:p w14:paraId="47952491" w14:textId="62E5A949" w:rsidR="00F360D1" w:rsidRDefault="003F0666" w:rsidP="005B499C">
      <w:pPr>
        <w:spacing w:line="480" w:lineRule="auto"/>
      </w:pPr>
      <w:r w:rsidRPr="00517100">
        <w:rPr>
          <w:b/>
        </w:rPr>
        <w:t>Results:</w:t>
      </w:r>
      <w:r w:rsidR="00F360D1" w:rsidRPr="00517100">
        <w:rPr>
          <w:rFonts w:ascii="PsjxpnYngrgfAdvTTb5929f4c" w:hAnsi="PsjxpnYngrgfAdvTTb5929f4c" w:cs="PsjxpnYngrgfAdvTTb5929f4c"/>
        </w:rPr>
        <w:t xml:space="preserve"> </w:t>
      </w:r>
      <w:r w:rsidR="00F360D1" w:rsidRPr="00517100">
        <w:t>Barriers</w:t>
      </w:r>
      <w:r w:rsidR="00F360D1">
        <w:t xml:space="preserve"> and facilitators to paramedics</w:t>
      </w:r>
      <w:r w:rsidR="00F360D1">
        <w:rPr>
          <w:rFonts w:ascii="DqclqhAdvTTb5929f4c+20" w:hAnsi="DqclqhAdvTTb5929f4c+20" w:cs="DqclqhAdvTTb5929f4c+20"/>
        </w:rPr>
        <w:t xml:space="preserve">’ administration of TXA to trauma patients </w:t>
      </w:r>
      <w:r w:rsidR="00F360D1">
        <w:t>were represented by eleven</w:t>
      </w:r>
      <w:r w:rsidR="005D08FF">
        <w:t xml:space="preserve"> of the 14</w:t>
      </w:r>
      <w:r w:rsidR="00F360D1">
        <w:t xml:space="preserve"> domains of the TDF. </w:t>
      </w:r>
      <w:r w:rsidR="00F360D1" w:rsidRPr="00F360D1">
        <w:t>Important barriers included</w:t>
      </w:r>
      <w:r w:rsidR="00F360D1">
        <w:t xml:space="preserve"> </w:t>
      </w:r>
      <w:r w:rsidR="003F3008">
        <w:t xml:space="preserve">a </w:t>
      </w:r>
      <w:r w:rsidR="003F3008" w:rsidRPr="003F3008">
        <w:t>lack of knowledge and experience with TXA</w:t>
      </w:r>
      <w:r w:rsidR="00537052">
        <w:t xml:space="preserve"> (Domain: Knowledge and Skills)</w:t>
      </w:r>
      <w:r w:rsidR="003F3008">
        <w:t xml:space="preserve">, </w:t>
      </w:r>
      <w:r w:rsidR="003F3008" w:rsidRPr="003F3008">
        <w:t>confusion</w:t>
      </w:r>
      <w:r w:rsidR="003F3008">
        <w:t xml:space="preserve"> and </w:t>
      </w:r>
      <w:r w:rsidR="003F3008" w:rsidRPr="003F3008">
        <w:t>restrictions relating to the guidelines for TXA administration</w:t>
      </w:r>
      <w:r w:rsidR="00537052">
        <w:t xml:space="preserve"> (Domain: Social/</w:t>
      </w:r>
      <w:r w:rsidR="00CE1C21">
        <w:t>p</w:t>
      </w:r>
      <w:r w:rsidR="00537052">
        <w:t xml:space="preserve">rofessional </w:t>
      </w:r>
      <w:r w:rsidR="00CE1C21">
        <w:t>r</w:t>
      </w:r>
      <w:r w:rsidR="00537052">
        <w:t>ole</w:t>
      </w:r>
      <w:r w:rsidR="00CE1C21">
        <w:t xml:space="preserve"> and identity</w:t>
      </w:r>
      <w:r w:rsidR="00537052">
        <w:t>)</w:t>
      </w:r>
      <w:r w:rsidR="003F3008">
        <w:t xml:space="preserve">, a lack of </w:t>
      </w:r>
      <w:r w:rsidR="00517100">
        <w:t>resources</w:t>
      </w:r>
      <w:r w:rsidR="00537052">
        <w:t xml:space="preserve"> (Domain: Environmental context and resources)</w:t>
      </w:r>
      <w:r w:rsidR="00517100">
        <w:t xml:space="preserve">, and </w:t>
      </w:r>
      <w:r w:rsidR="003F3008" w:rsidRPr="003F3008">
        <w:t>difficulty in identifying patients at risk of bleeding</w:t>
      </w:r>
      <w:r w:rsidR="00537052">
        <w:t xml:space="preserve"> (</w:t>
      </w:r>
      <w:r w:rsidR="00537052" w:rsidRPr="00537052">
        <w:t>Domain: Memory, attention and decision processes)</w:t>
      </w:r>
      <w:r w:rsidR="00517100">
        <w:t>.</w:t>
      </w:r>
    </w:p>
    <w:p w14:paraId="1B65CD95" w14:textId="6AB59DA1" w:rsidR="003F0666" w:rsidRPr="003B6008" w:rsidRDefault="003F0666" w:rsidP="005B499C">
      <w:pPr>
        <w:spacing w:line="480" w:lineRule="auto"/>
        <w:rPr>
          <w:i/>
        </w:rPr>
      </w:pPr>
      <w:r w:rsidRPr="00517100">
        <w:rPr>
          <w:b/>
        </w:rPr>
        <w:t>Conclusions:</w:t>
      </w:r>
      <w:r w:rsidR="00517100">
        <w:rPr>
          <w:i/>
        </w:rPr>
        <w:t xml:space="preserve"> </w:t>
      </w:r>
      <w:r w:rsidR="00517100">
        <w:rPr>
          <w:rFonts w:ascii="PsjxpnYngrgfAdvTTb5929f4c" w:hAnsi="PsjxpnYngrgfAdvTTb5929f4c" w:cs="PsjxpnYngrgfAdvTTb5929f4c"/>
        </w:rPr>
        <w:t xml:space="preserve">This study presents a </w:t>
      </w:r>
      <w:r w:rsidR="00FD03FF">
        <w:rPr>
          <w:rFonts w:ascii="PsjxpnYngrgfAdvTTb5929f4c" w:hAnsi="PsjxpnYngrgfAdvTTb5929f4c" w:cs="PsjxpnYngrgfAdvTTb5929f4c"/>
        </w:rPr>
        <w:t xml:space="preserve">behavioural </w:t>
      </w:r>
      <w:r w:rsidR="00517100">
        <w:rPr>
          <w:rFonts w:ascii="PsjxpnYngrgfAdvTTb5929f4c" w:hAnsi="PsjxpnYngrgfAdvTTb5929f4c" w:cs="PsjxpnYngrgfAdvTTb5929f4c"/>
        </w:rPr>
        <w:t>theory-based approach to identifying barriers and facilitators to the pre-hospital administration of TXA to trauma patients in the UK. It identifies multiple influencing factors that may serve as a basis for developing an intervention to increase pre-hospital administration of TXA.</w:t>
      </w:r>
    </w:p>
    <w:p w14:paraId="110864C7" w14:textId="1EA56FEB" w:rsidR="005B499C" w:rsidRDefault="005B499C" w:rsidP="005B499C">
      <w:pPr>
        <w:spacing w:line="480" w:lineRule="auto"/>
        <w:rPr>
          <w:b/>
          <w:bCs/>
          <w:sz w:val="24"/>
        </w:rPr>
      </w:pPr>
    </w:p>
    <w:p w14:paraId="4BC3463D" w14:textId="5EA29E36" w:rsidR="0096556D" w:rsidRDefault="0096556D" w:rsidP="005B499C">
      <w:pPr>
        <w:spacing w:line="480" w:lineRule="auto"/>
        <w:rPr>
          <w:b/>
          <w:bCs/>
          <w:sz w:val="24"/>
        </w:rPr>
      </w:pPr>
      <w:r>
        <w:rPr>
          <w:b/>
          <w:bCs/>
          <w:sz w:val="24"/>
        </w:rPr>
        <w:t>KEY MESSAGES</w:t>
      </w:r>
    </w:p>
    <w:tbl>
      <w:tblPr>
        <w:tblStyle w:val="TableGrid"/>
        <w:tblW w:w="0" w:type="auto"/>
        <w:tblLook w:val="04A0" w:firstRow="1" w:lastRow="0" w:firstColumn="1" w:lastColumn="0" w:noHBand="0" w:noVBand="1"/>
      </w:tblPr>
      <w:tblGrid>
        <w:gridCol w:w="9016"/>
      </w:tblGrid>
      <w:tr w:rsidR="0096556D" w14:paraId="3F0359BE" w14:textId="77777777" w:rsidTr="0096556D">
        <w:tc>
          <w:tcPr>
            <w:tcW w:w="9016" w:type="dxa"/>
          </w:tcPr>
          <w:p w14:paraId="54FE68B2" w14:textId="5181BBCD" w:rsidR="0096556D" w:rsidRPr="0096556D" w:rsidRDefault="0096556D" w:rsidP="0096556D">
            <w:pPr>
              <w:pStyle w:val="NormalWeb"/>
              <w:spacing w:before="0" w:beforeAutospacing="0" w:after="0" w:line="480" w:lineRule="auto"/>
              <w:textAlignment w:val="baseline"/>
              <w:rPr>
                <w:rFonts w:asciiTheme="minorHAnsi" w:eastAsiaTheme="minorHAnsi" w:hAnsiTheme="minorHAnsi" w:cstheme="minorBidi"/>
                <w:bCs/>
                <w:sz w:val="22"/>
                <w:szCs w:val="22"/>
                <w:lang w:eastAsia="en-US"/>
              </w:rPr>
            </w:pPr>
            <w:r w:rsidRPr="0096556D">
              <w:rPr>
                <w:rFonts w:asciiTheme="minorHAnsi" w:eastAsiaTheme="minorHAnsi" w:hAnsiTheme="minorHAnsi" w:cstheme="minorBidi"/>
                <w:b/>
                <w:sz w:val="22"/>
                <w:szCs w:val="22"/>
                <w:lang w:eastAsia="en-US"/>
              </w:rPr>
              <w:t>Section 1: What is already known on this subject</w:t>
            </w:r>
          </w:p>
        </w:tc>
      </w:tr>
      <w:tr w:rsidR="0096556D" w14:paraId="74E378C1" w14:textId="77777777" w:rsidTr="0096556D">
        <w:tc>
          <w:tcPr>
            <w:tcW w:w="9016" w:type="dxa"/>
          </w:tcPr>
          <w:p w14:paraId="7B9114C9" w14:textId="77777777" w:rsidR="0096556D" w:rsidRPr="0096556D" w:rsidRDefault="0096556D" w:rsidP="0096556D">
            <w:pPr>
              <w:pStyle w:val="NormalWeb"/>
              <w:numPr>
                <w:ilvl w:val="0"/>
                <w:numId w:val="6"/>
              </w:numPr>
              <w:spacing w:line="480" w:lineRule="auto"/>
              <w:textAlignment w:val="baseline"/>
              <w:rPr>
                <w:rFonts w:asciiTheme="minorHAnsi" w:eastAsiaTheme="minorHAnsi" w:hAnsiTheme="minorHAnsi" w:cstheme="minorBidi"/>
                <w:bCs/>
                <w:sz w:val="22"/>
                <w:szCs w:val="22"/>
                <w:lang w:eastAsia="en-US"/>
              </w:rPr>
            </w:pPr>
            <w:r w:rsidRPr="0096556D">
              <w:rPr>
                <w:rFonts w:asciiTheme="minorHAnsi" w:eastAsiaTheme="minorHAnsi" w:hAnsiTheme="minorHAnsi" w:cstheme="minorBidi"/>
                <w:bCs/>
                <w:sz w:val="22"/>
                <w:szCs w:val="22"/>
                <w:lang w:eastAsia="en-US"/>
              </w:rPr>
              <w:t xml:space="preserve">The administration of Tranexamic acid (TXA) for post-traumatic haemorrhage was introduced as an intervention across all emergency medical service (EMS) provider organisations (ambulance services) in the UK during 2012. </w:t>
            </w:r>
          </w:p>
          <w:p w14:paraId="07D76B6E" w14:textId="77777777" w:rsidR="0096556D" w:rsidRPr="0096556D" w:rsidRDefault="0096556D" w:rsidP="0096556D">
            <w:pPr>
              <w:pStyle w:val="NormalWeb"/>
              <w:numPr>
                <w:ilvl w:val="0"/>
                <w:numId w:val="6"/>
              </w:numPr>
              <w:spacing w:line="480" w:lineRule="auto"/>
              <w:textAlignment w:val="baseline"/>
              <w:rPr>
                <w:rFonts w:asciiTheme="minorHAnsi" w:eastAsiaTheme="minorHAnsi" w:hAnsiTheme="minorHAnsi" w:cstheme="minorBidi"/>
                <w:bCs/>
                <w:sz w:val="22"/>
                <w:szCs w:val="22"/>
                <w:lang w:eastAsia="en-US"/>
              </w:rPr>
            </w:pPr>
            <w:r w:rsidRPr="0096556D">
              <w:rPr>
                <w:rFonts w:asciiTheme="minorHAnsi" w:eastAsiaTheme="minorHAnsi" w:hAnsiTheme="minorHAnsi" w:cstheme="minorBidi"/>
                <w:bCs/>
                <w:sz w:val="22"/>
                <w:szCs w:val="22"/>
                <w:lang w:eastAsia="en-US"/>
              </w:rPr>
              <w:t xml:space="preserve">Despite a strong evidence base, a nationwide approach to implementation, and inclusion in UK ambulance guidelines, only around 5% of all patients at risk of haemorrhage following trauma receive TXA in the pre-hospital setting; this is concerning, as the earlier TXA is given the more effective it is. </w:t>
            </w:r>
          </w:p>
          <w:p w14:paraId="7E96A922" w14:textId="005ACB9F" w:rsidR="0096556D" w:rsidRPr="0096556D" w:rsidRDefault="0096556D" w:rsidP="0096556D">
            <w:pPr>
              <w:pStyle w:val="NormalWeb"/>
              <w:numPr>
                <w:ilvl w:val="0"/>
                <w:numId w:val="6"/>
              </w:numPr>
              <w:spacing w:after="0" w:afterAutospacing="0" w:line="480" w:lineRule="auto"/>
              <w:textAlignment w:val="baseline"/>
              <w:rPr>
                <w:rFonts w:ascii="inherit" w:hAnsi="inherit"/>
                <w:color w:val="000000"/>
              </w:rPr>
            </w:pPr>
            <w:r w:rsidRPr="0096556D">
              <w:rPr>
                <w:rFonts w:asciiTheme="minorHAnsi" w:eastAsiaTheme="minorHAnsi" w:hAnsiTheme="minorHAnsi" w:cstheme="minorBidi"/>
                <w:bCs/>
                <w:sz w:val="22"/>
                <w:szCs w:val="22"/>
                <w:lang w:eastAsia="en-US"/>
              </w:rPr>
              <w:t>Paramedics are best placed to administer TXA in the pre-hospital setting, however the barriers to TXA administration by paramedics are currently unknown.</w:t>
            </w:r>
            <w:r w:rsidRPr="0085101D">
              <w:rPr>
                <w:rFonts w:ascii="inherit" w:hAnsi="inherit"/>
                <w:color w:val="000000"/>
              </w:rPr>
              <w:t xml:space="preserve"> </w:t>
            </w:r>
          </w:p>
        </w:tc>
      </w:tr>
      <w:tr w:rsidR="0096556D" w14:paraId="211059AC" w14:textId="77777777" w:rsidTr="0096556D">
        <w:tc>
          <w:tcPr>
            <w:tcW w:w="9016" w:type="dxa"/>
          </w:tcPr>
          <w:p w14:paraId="69F2C22E" w14:textId="66ABED30" w:rsidR="0096556D" w:rsidRPr="0096556D" w:rsidRDefault="0096556D" w:rsidP="0096556D">
            <w:pPr>
              <w:pStyle w:val="NormalWeb"/>
              <w:spacing w:before="0" w:beforeAutospacing="0" w:after="0" w:line="480" w:lineRule="auto"/>
              <w:textAlignment w:val="baseline"/>
              <w:rPr>
                <w:rFonts w:asciiTheme="minorHAnsi" w:eastAsiaTheme="minorHAnsi" w:hAnsiTheme="minorHAnsi" w:cstheme="minorBidi"/>
                <w:b/>
                <w:sz w:val="22"/>
                <w:szCs w:val="22"/>
                <w:lang w:eastAsia="en-US"/>
              </w:rPr>
            </w:pPr>
            <w:r w:rsidRPr="0096556D">
              <w:rPr>
                <w:rFonts w:asciiTheme="minorHAnsi" w:eastAsiaTheme="minorHAnsi" w:hAnsiTheme="minorHAnsi" w:cstheme="minorBidi"/>
                <w:b/>
                <w:sz w:val="22"/>
                <w:szCs w:val="22"/>
                <w:lang w:eastAsia="en-US"/>
              </w:rPr>
              <w:t>Section 2: What this study adds</w:t>
            </w:r>
          </w:p>
        </w:tc>
      </w:tr>
      <w:tr w:rsidR="0096556D" w14:paraId="3CD65126" w14:textId="77777777" w:rsidTr="0096556D">
        <w:tc>
          <w:tcPr>
            <w:tcW w:w="9016" w:type="dxa"/>
          </w:tcPr>
          <w:p w14:paraId="5D20AB46" w14:textId="14426195" w:rsidR="0096556D" w:rsidRPr="0096556D" w:rsidRDefault="00A7119C" w:rsidP="0096556D">
            <w:pPr>
              <w:pStyle w:val="NormalWeb"/>
              <w:numPr>
                <w:ilvl w:val="0"/>
                <w:numId w:val="6"/>
              </w:numPr>
              <w:spacing w:line="480" w:lineRule="auto"/>
              <w:textAlignment w:val="baseline"/>
              <w:rPr>
                <w:rFonts w:asciiTheme="minorHAnsi" w:eastAsiaTheme="minorHAnsi" w:hAnsiTheme="minorHAnsi" w:cstheme="minorBidi"/>
                <w:bCs/>
                <w:sz w:val="22"/>
                <w:szCs w:val="22"/>
                <w:lang w:eastAsia="en-US"/>
              </w:rPr>
            </w:pPr>
            <w:r>
              <w:rPr>
                <w:rFonts w:asciiTheme="minorHAnsi" w:eastAsiaTheme="minorHAnsi" w:hAnsiTheme="minorHAnsi" w:cstheme="minorBidi"/>
                <w:bCs/>
                <w:sz w:val="22"/>
                <w:szCs w:val="22"/>
                <w:lang w:eastAsia="en-US"/>
              </w:rPr>
              <w:t xml:space="preserve">In this qualitative study of 18 paramedics, </w:t>
            </w:r>
            <w:r w:rsidR="001B2F68">
              <w:rPr>
                <w:rFonts w:asciiTheme="minorHAnsi" w:eastAsiaTheme="minorHAnsi" w:hAnsiTheme="minorHAnsi" w:cstheme="minorBidi"/>
                <w:bCs/>
                <w:sz w:val="22"/>
                <w:szCs w:val="22"/>
                <w:lang w:eastAsia="en-US"/>
              </w:rPr>
              <w:t>i</w:t>
            </w:r>
            <w:r w:rsidR="0096556D" w:rsidRPr="0096556D">
              <w:rPr>
                <w:rFonts w:asciiTheme="minorHAnsi" w:eastAsiaTheme="minorHAnsi" w:hAnsiTheme="minorHAnsi" w:cstheme="minorBidi"/>
                <w:bCs/>
                <w:sz w:val="22"/>
                <w:szCs w:val="22"/>
                <w:lang w:eastAsia="en-US"/>
              </w:rPr>
              <w:t>mportant barriers to paramedic TXA administration</w:t>
            </w:r>
            <w:r>
              <w:rPr>
                <w:rFonts w:asciiTheme="minorHAnsi" w:eastAsiaTheme="minorHAnsi" w:hAnsiTheme="minorHAnsi" w:cstheme="minorBidi"/>
                <w:bCs/>
                <w:sz w:val="22"/>
                <w:szCs w:val="22"/>
                <w:lang w:eastAsia="en-US"/>
              </w:rPr>
              <w:t xml:space="preserve"> were described and</w:t>
            </w:r>
            <w:r w:rsidR="0096556D" w:rsidRPr="0096556D">
              <w:rPr>
                <w:rFonts w:asciiTheme="minorHAnsi" w:eastAsiaTheme="minorHAnsi" w:hAnsiTheme="minorHAnsi" w:cstheme="minorBidi"/>
                <w:bCs/>
                <w:sz w:val="22"/>
                <w:szCs w:val="22"/>
                <w:lang w:eastAsia="en-US"/>
              </w:rPr>
              <w:t xml:space="preserve"> included a lack of knowledge and experience with TXA</w:t>
            </w:r>
            <w:r w:rsidR="005B31A0">
              <w:rPr>
                <w:rFonts w:asciiTheme="minorHAnsi" w:eastAsiaTheme="minorHAnsi" w:hAnsiTheme="minorHAnsi" w:cstheme="minorBidi"/>
                <w:bCs/>
                <w:sz w:val="22"/>
                <w:szCs w:val="22"/>
                <w:lang w:eastAsia="en-US"/>
              </w:rPr>
              <w:t xml:space="preserve"> (</w:t>
            </w:r>
            <w:r w:rsidR="000A7147">
              <w:rPr>
                <w:rFonts w:asciiTheme="minorHAnsi" w:eastAsiaTheme="minorHAnsi" w:hAnsiTheme="minorHAnsi" w:cstheme="minorBidi"/>
                <w:bCs/>
                <w:sz w:val="22"/>
                <w:szCs w:val="22"/>
                <w:lang w:eastAsia="en-US"/>
              </w:rPr>
              <w:t>Domain</w:t>
            </w:r>
            <w:r w:rsidR="005B31A0">
              <w:rPr>
                <w:rFonts w:asciiTheme="minorHAnsi" w:eastAsiaTheme="minorHAnsi" w:hAnsiTheme="minorHAnsi" w:cstheme="minorBidi"/>
                <w:bCs/>
                <w:sz w:val="22"/>
                <w:szCs w:val="22"/>
                <w:lang w:eastAsia="en-US"/>
              </w:rPr>
              <w:t>: Knowledge and Skills)</w:t>
            </w:r>
            <w:r w:rsidR="0096556D" w:rsidRPr="0096556D">
              <w:rPr>
                <w:rFonts w:asciiTheme="minorHAnsi" w:eastAsiaTheme="minorHAnsi" w:hAnsiTheme="minorHAnsi" w:cstheme="minorBidi"/>
                <w:bCs/>
                <w:sz w:val="22"/>
                <w:szCs w:val="22"/>
                <w:lang w:eastAsia="en-US"/>
              </w:rPr>
              <w:t>, confusion and restrictions relating to the guidelines for TXA administration</w:t>
            </w:r>
            <w:r w:rsidR="005B31A0">
              <w:rPr>
                <w:rFonts w:asciiTheme="minorHAnsi" w:eastAsiaTheme="minorHAnsi" w:hAnsiTheme="minorHAnsi" w:cstheme="minorBidi"/>
                <w:bCs/>
                <w:sz w:val="22"/>
                <w:szCs w:val="22"/>
                <w:lang w:eastAsia="en-US"/>
              </w:rPr>
              <w:t xml:space="preserve"> (</w:t>
            </w:r>
            <w:r w:rsidR="000A7147">
              <w:rPr>
                <w:rFonts w:asciiTheme="minorHAnsi" w:eastAsiaTheme="minorHAnsi" w:hAnsiTheme="minorHAnsi" w:cstheme="minorBidi"/>
                <w:bCs/>
                <w:sz w:val="22"/>
                <w:szCs w:val="22"/>
                <w:lang w:eastAsia="en-US"/>
              </w:rPr>
              <w:t>Domain</w:t>
            </w:r>
            <w:r w:rsidR="005B31A0">
              <w:rPr>
                <w:rFonts w:asciiTheme="minorHAnsi" w:eastAsiaTheme="minorHAnsi" w:hAnsiTheme="minorHAnsi" w:cstheme="minorBidi"/>
                <w:bCs/>
                <w:sz w:val="22"/>
                <w:szCs w:val="22"/>
                <w:lang w:eastAsia="en-US"/>
              </w:rPr>
              <w:t xml:space="preserve">: </w:t>
            </w:r>
            <w:r w:rsidR="005B31A0" w:rsidRPr="005B31A0">
              <w:rPr>
                <w:rFonts w:asciiTheme="minorHAnsi" w:eastAsiaTheme="minorHAnsi" w:hAnsiTheme="minorHAnsi" w:cstheme="minorBidi"/>
                <w:bCs/>
                <w:sz w:val="22"/>
                <w:szCs w:val="22"/>
                <w:lang w:eastAsia="en-US"/>
              </w:rPr>
              <w:t>Social</w:t>
            </w:r>
            <w:r w:rsidR="00537052">
              <w:rPr>
                <w:rFonts w:asciiTheme="minorHAnsi" w:eastAsiaTheme="minorHAnsi" w:hAnsiTheme="minorHAnsi" w:cstheme="minorBidi"/>
                <w:bCs/>
                <w:sz w:val="22"/>
                <w:szCs w:val="22"/>
                <w:lang w:eastAsia="en-US"/>
              </w:rPr>
              <w:t>/</w:t>
            </w:r>
            <w:r w:rsidR="00CE1C21">
              <w:rPr>
                <w:rFonts w:asciiTheme="minorHAnsi" w:eastAsiaTheme="minorHAnsi" w:hAnsiTheme="minorHAnsi" w:cstheme="minorBidi"/>
                <w:bCs/>
                <w:sz w:val="22"/>
                <w:szCs w:val="22"/>
                <w:lang w:eastAsia="en-US"/>
              </w:rPr>
              <w:t>p</w:t>
            </w:r>
            <w:r w:rsidR="005B31A0" w:rsidRPr="005B31A0">
              <w:rPr>
                <w:rFonts w:asciiTheme="minorHAnsi" w:eastAsiaTheme="minorHAnsi" w:hAnsiTheme="minorHAnsi" w:cstheme="minorBidi"/>
                <w:bCs/>
                <w:sz w:val="22"/>
                <w:szCs w:val="22"/>
                <w:lang w:eastAsia="en-US"/>
              </w:rPr>
              <w:t xml:space="preserve">rofessional </w:t>
            </w:r>
            <w:r w:rsidR="00CE1C21">
              <w:rPr>
                <w:rFonts w:asciiTheme="minorHAnsi" w:eastAsiaTheme="minorHAnsi" w:hAnsiTheme="minorHAnsi" w:cstheme="minorBidi"/>
                <w:bCs/>
                <w:sz w:val="22"/>
                <w:szCs w:val="22"/>
                <w:lang w:eastAsia="en-US"/>
              </w:rPr>
              <w:t>r</w:t>
            </w:r>
            <w:r w:rsidR="005B31A0" w:rsidRPr="005B31A0">
              <w:rPr>
                <w:rFonts w:asciiTheme="minorHAnsi" w:eastAsiaTheme="minorHAnsi" w:hAnsiTheme="minorHAnsi" w:cstheme="minorBidi"/>
                <w:bCs/>
                <w:sz w:val="22"/>
                <w:szCs w:val="22"/>
                <w:lang w:eastAsia="en-US"/>
              </w:rPr>
              <w:t>ole</w:t>
            </w:r>
            <w:r w:rsidR="00CE1C21">
              <w:rPr>
                <w:rFonts w:asciiTheme="minorHAnsi" w:eastAsiaTheme="minorHAnsi" w:hAnsiTheme="minorHAnsi" w:cstheme="minorBidi"/>
                <w:bCs/>
                <w:sz w:val="22"/>
                <w:szCs w:val="22"/>
                <w:lang w:eastAsia="en-US"/>
              </w:rPr>
              <w:t xml:space="preserve"> and identity</w:t>
            </w:r>
            <w:r w:rsidR="005B31A0">
              <w:rPr>
                <w:rFonts w:asciiTheme="minorHAnsi" w:eastAsiaTheme="minorHAnsi" w:hAnsiTheme="minorHAnsi" w:cstheme="minorBidi"/>
                <w:bCs/>
                <w:sz w:val="22"/>
                <w:szCs w:val="22"/>
                <w:lang w:eastAsia="en-US"/>
              </w:rPr>
              <w:t>)</w:t>
            </w:r>
            <w:r w:rsidR="0096556D" w:rsidRPr="0096556D">
              <w:rPr>
                <w:rFonts w:asciiTheme="minorHAnsi" w:eastAsiaTheme="minorHAnsi" w:hAnsiTheme="minorHAnsi" w:cstheme="minorBidi"/>
                <w:bCs/>
                <w:sz w:val="22"/>
                <w:szCs w:val="22"/>
                <w:lang w:eastAsia="en-US"/>
              </w:rPr>
              <w:t>, a lack of resources</w:t>
            </w:r>
            <w:r w:rsidR="005B31A0">
              <w:rPr>
                <w:rFonts w:asciiTheme="minorHAnsi" w:eastAsiaTheme="minorHAnsi" w:hAnsiTheme="minorHAnsi" w:cstheme="minorBidi"/>
                <w:bCs/>
                <w:sz w:val="22"/>
                <w:szCs w:val="22"/>
                <w:lang w:eastAsia="en-US"/>
              </w:rPr>
              <w:t xml:space="preserve"> (</w:t>
            </w:r>
            <w:r w:rsidR="000A7147">
              <w:rPr>
                <w:rFonts w:asciiTheme="minorHAnsi" w:eastAsiaTheme="minorHAnsi" w:hAnsiTheme="minorHAnsi" w:cstheme="minorBidi"/>
                <w:bCs/>
                <w:sz w:val="22"/>
                <w:szCs w:val="22"/>
                <w:lang w:eastAsia="en-US"/>
              </w:rPr>
              <w:t>Domain</w:t>
            </w:r>
            <w:r w:rsidR="005B31A0">
              <w:rPr>
                <w:rFonts w:asciiTheme="minorHAnsi" w:eastAsiaTheme="minorHAnsi" w:hAnsiTheme="minorHAnsi" w:cstheme="minorBidi"/>
                <w:bCs/>
                <w:sz w:val="22"/>
                <w:szCs w:val="22"/>
                <w:lang w:eastAsia="en-US"/>
              </w:rPr>
              <w:t xml:space="preserve">: </w:t>
            </w:r>
            <w:r w:rsidR="005B31A0" w:rsidRPr="005B31A0">
              <w:rPr>
                <w:rFonts w:asciiTheme="minorHAnsi" w:eastAsiaTheme="minorHAnsi" w:hAnsiTheme="minorHAnsi" w:cstheme="minorBidi"/>
                <w:bCs/>
                <w:sz w:val="22"/>
                <w:szCs w:val="22"/>
                <w:lang w:eastAsia="en-US"/>
              </w:rPr>
              <w:t>Environmental context and resources</w:t>
            </w:r>
            <w:r w:rsidR="005B31A0">
              <w:rPr>
                <w:rFonts w:asciiTheme="minorHAnsi" w:eastAsiaTheme="minorHAnsi" w:hAnsiTheme="minorHAnsi" w:cstheme="minorBidi"/>
                <w:bCs/>
                <w:sz w:val="22"/>
                <w:szCs w:val="22"/>
                <w:lang w:eastAsia="en-US"/>
              </w:rPr>
              <w:t>)</w:t>
            </w:r>
            <w:r w:rsidR="0096556D" w:rsidRPr="0096556D">
              <w:rPr>
                <w:rFonts w:asciiTheme="minorHAnsi" w:eastAsiaTheme="minorHAnsi" w:hAnsiTheme="minorHAnsi" w:cstheme="minorBidi"/>
                <w:bCs/>
                <w:sz w:val="22"/>
                <w:szCs w:val="22"/>
                <w:lang w:eastAsia="en-US"/>
              </w:rPr>
              <w:t>, and difficulty in identifying patients at risk of bleeding</w:t>
            </w:r>
            <w:r w:rsidR="005B31A0">
              <w:rPr>
                <w:rFonts w:asciiTheme="minorHAnsi" w:eastAsiaTheme="minorHAnsi" w:hAnsiTheme="minorHAnsi" w:cstheme="minorBidi"/>
                <w:bCs/>
                <w:sz w:val="22"/>
                <w:szCs w:val="22"/>
                <w:lang w:eastAsia="en-US"/>
              </w:rPr>
              <w:t xml:space="preserve"> (</w:t>
            </w:r>
            <w:r w:rsidR="000A7147">
              <w:rPr>
                <w:rFonts w:asciiTheme="minorHAnsi" w:eastAsiaTheme="minorHAnsi" w:hAnsiTheme="minorHAnsi" w:cstheme="minorBidi"/>
                <w:bCs/>
                <w:sz w:val="22"/>
                <w:szCs w:val="22"/>
                <w:lang w:eastAsia="en-US"/>
              </w:rPr>
              <w:t>Domain</w:t>
            </w:r>
            <w:r w:rsidR="005B31A0">
              <w:rPr>
                <w:rFonts w:asciiTheme="minorHAnsi" w:eastAsiaTheme="minorHAnsi" w:hAnsiTheme="minorHAnsi" w:cstheme="minorBidi"/>
                <w:bCs/>
                <w:sz w:val="22"/>
                <w:szCs w:val="22"/>
                <w:lang w:eastAsia="en-US"/>
              </w:rPr>
              <w:t xml:space="preserve">: </w:t>
            </w:r>
            <w:r w:rsidR="005B31A0" w:rsidRPr="005B31A0">
              <w:rPr>
                <w:rFonts w:asciiTheme="minorHAnsi" w:eastAsiaTheme="minorHAnsi" w:hAnsiTheme="minorHAnsi" w:cstheme="minorBidi"/>
                <w:bCs/>
                <w:sz w:val="22"/>
                <w:szCs w:val="22"/>
                <w:lang w:eastAsia="en-US"/>
              </w:rPr>
              <w:t>Memory, attention and decision processes</w:t>
            </w:r>
            <w:r w:rsidR="005B31A0">
              <w:rPr>
                <w:rFonts w:asciiTheme="minorHAnsi" w:eastAsiaTheme="minorHAnsi" w:hAnsiTheme="minorHAnsi" w:cstheme="minorBidi"/>
                <w:bCs/>
                <w:sz w:val="22"/>
                <w:szCs w:val="22"/>
                <w:lang w:eastAsia="en-US"/>
              </w:rPr>
              <w:t>)</w:t>
            </w:r>
            <w:r w:rsidR="0096556D" w:rsidRPr="0096556D">
              <w:rPr>
                <w:rFonts w:asciiTheme="minorHAnsi" w:eastAsiaTheme="minorHAnsi" w:hAnsiTheme="minorHAnsi" w:cstheme="minorBidi"/>
                <w:bCs/>
                <w:sz w:val="22"/>
                <w:szCs w:val="22"/>
                <w:lang w:eastAsia="en-US"/>
              </w:rPr>
              <w:t>.</w:t>
            </w:r>
          </w:p>
          <w:p w14:paraId="0A10AD55" w14:textId="08842751" w:rsidR="0096556D" w:rsidRDefault="0096556D" w:rsidP="0096556D">
            <w:pPr>
              <w:pStyle w:val="NormalWeb"/>
              <w:numPr>
                <w:ilvl w:val="0"/>
                <w:numId w:val="6"/>
              </w:numPr>
              <w:spacing w:after="0" w:afterAutospacing="0" w:line="480" w:lineRule="auto"/>
              <w:textAlignment w:val="baseline"/>
              <w:rPr>
                <w:b/>
                <w:bCs/>
              </w:rPr>
            </w:pPr>
            <w:r w:rsidRPr="0096556D">
              <w:rPr>
                <w:rFonts w:asciiTheme="minorHAnsi" w:eastAsiaTheme="minorHAnsi" w:hAnsiTheme="minorHAnsi" w:cstheme="minorBidi"/>
                <w:bCs/>
                <w:sz w:val="22"/>
                <w:szCs w:val="22"/>
                <w:lang w:eastAsia="en-US"/>
              </w:rPr>
              <w:t>This study presents a</w:t>
            </w:r>
            <w:r w:rsidR="001B04F9">
              <w:rPr>
                <w:rFonts w:asciiTheme="minorHAnsi" w:eastAsiaTheme="minorHAnsi" w:hAnsiTheme="minorHAnsi" w:cstheme="minorBidi"/>
                <w:bCs/>
                <w:sz w:val="22"/>
                <w:szCs w:val="22"/>
                <w:lang w:eastAsia="en-US"/>
              </w:rPr>
              <w:t xml:space="preserve"> behavioural</w:t>
            </w:r>
            <w:r w:rsidRPr="0096556D">
              <w:rPr>
                <w:rFonts w:asciiTheme="minorHAnsi" w:eastAsiaTheme="minorHAnsi" w:hAnsiTheme="minorHAnsi" w:cstheme="minorBidi"/>
                <w:bCs/>
                <w:sz w:val="22"/>
                <w:szCs w:val="22"/>
                <w:lang w:eastAsia="en-US"/>
              </w:rPr>
              <w:t xml:space="preserve"> theory-based approach to identifying barriers and facilitators to the pre-hospital administration of TXA to trauma patients in the UK, and identifies multiple influencing factors that may serve as a basis for developing an intervention to increase pre-hospital administration of TXA.</w:t>
            </w:r>
          </w:p>
        </w:tc>
      </w:tr>
    </w:tbl>
    <w:p w14:paraId="38E4BF11" w14:textId="49BA3CAB" w:rsidR="0096556D" w:rsidRDefault="0096556D" w:rsidP="005B499C">
      <w:pPr>
        <w:spacing w:line="480" w:lineRule="auto"/>
        <w:rPr>
          <w:b/>
          <w:bCs/>
          <w:sz w:val="24"/>
        </w:rPr>
      </w:pPr>
    </w:p>
    <w:p w14:paraId="08B6418B" w14:textId="77777777" w:rsidR="0096556D" w:rsidRDefault="0096556D" w:rsidP="005B499C">
      <w:pPr>
        <w:spacing w:line="480" w:lineRule="auto"/>
        <w:rPr>
          <w:b/>
          <w:bCs/>
          <w:sz w:val="24"/>
        </w:rPr>
      </w:pPr>
    </w:p>
    <w:p w14:paraId="0B6992A3" w14:textId="0DB7182B" w:rsidR="00FC4D6E" w:rsidRPr="009C223B" w:rsidRDefault="006406CE" w:rsidP="005B499C">
      <w:pPr>
        <w:spacing w:line="480" w:lineRule="auto"/>
        <w:rPr>
          <w:b/>
          <w:bCs/>
          <w:sz w:val="24"/>
        </w:rPr>
      </w:pPr>
      <w:r w:rsidRPr="009C223B">
        <w:rPr>
          <w:b/>
          <w:bCs/>
          <w:sz w:val="24"/>
        </w:rPr>
        <w:t>BACKGROUND</w:t>
      </w:r>
    </w:p>
    <w:p w14:paraId="672009C5" w14:textId="27BDC3A7" w:rsidR="005120D0" w:rsidRPr="00FB463E" w:rsidRDefault="00967607" w:rsidP="005B499C">
      <w:pPr>
        <w:spacing w:line="480" w:lineRule="auto"/>
        <w:rPr>
          <w:bCs/>
        </w:rPr>
      </w:pPr>
      <w:r w:rsidRPr="00FB463E">
        <w:rPr>
          <w:bCs/>
        </w:rPr>
        <w:t xml:space="preserve">Trauma remains one of the </w:t>
      </w:r>
      <w:r w:rsidR="00891675" w:rsidRPr="00FB463E">
        <w:rPr>
          <w:bCs/>
        </w:rPr>
        <w:t>most common</w:t>
      </w:r>
      <w:r w:rsidRPr="00FB463E">
        <w:rPr>
          <w:bCs/>
        </w:rPr>
        <w:t xml:space="preserve"> causes of death and disability</w:t>
      </w:r>
      <w:r w:rsidR="00891675" w:rsidRPr="00FB463E">
        <w:rPr>
          <w:bCs/>
        </w:rPr>
        <w:t xml:space="preserve"> globall</w:t>
      </w:r>
      <w:r w:rsidR="00213DB2" w:rsidRPr="00FB463E">
        <w:rPr>
          <w:bCs/>
        </w:rPr>
        <w:t>y</w:t>
      </w:r>
      <w:r w:rsidR="00741C47">
        <w:rPr>
          <w:bCs/>
        </w:rPr>
        <w:t>.[1]</w:t>
      </w:r>
      <w:r w:rsidR="00891675" w:rsidRPr="00FB463E">
        <w:rPr>
          <w:bCs/>
        </w:rPr>
        <w:t xml:space="preserve"> </w:t>
      </w:r>
      <w:r w:rsidR="00367794">
        <w:rPr>
          <w:bCs/>
        </w:rPr>
        <w:t xml:space="preserve">Across </w:t>
      </w:r>
      <w:r w:rsidR="00213DB2" w:rsidRPr="00FB463E">
        <w:rPr>
          <w:bCs/>
        </w:rPr>
        <w:t>England</w:t>
      </w:r>
      <w:r w:rsidR="00367794">
        <w:rPr>
          <w:bCs/>
        </w:rPr>
        <w:t xml:space="preserve"> and Wales</w:t>
      </w:r>
      <w:r w:rsidR="00213DB2" w:rsidRPr="00FB463E">
        <w:rPr>
          <w:bCs/>
        </w:rPr>
        <w:t xml:space="preserve">, </w:t>
      </w:r>
      <w:r w:rsidR="00E86439">
        <w:rPr>
          <w:bCs/>
        </w:rPr>
        <w:t xml:space="preserve">trauma accounts for </w:t>
      </w:r>
      <w:r w:rsidR="00367794">
        <w:rPr>
          <w:bCs/>
        </w:rPr>
        <w:t>around</w:t>
      </w:r>
      <w:r w:rsidR="00891675" w:rsidRPr="00FB463E">
        <w:rPr>
          <w:bCs/>
        </w:rPr>
        <w:t xml:space="preserve"> </w:t>
      </w:r>
      <w:r w:rsidR="00B479E1">
        <w:rPr>
          <w:bCs/>
        </w:rPr>
        <w:t>16</w:t>
      </w:r>
      <w:r w:rsidR="00891675" w:rsidRPr="00FB463E">
        <w:rPr>
          <w:bCs/>
        </w:rPr>
        <w:t xml:space="preserve">,000 </w:t>
      </w:r>
      <w:r w:rsidR="00E86439">
        <w:rPr>
          <w:bCs/>
        </w:rPr>
        <w:t>deaths per year</w:t>
      </w:r>
      <w:r w:rsidR="00741C47">
        <w:rPr>
          <w:bCs/>
        </w:rPr>
        <w:t>.[2]</w:t>
      </w:r>
      <w:r w:rsidR="00891675" w:rsidRPr="00FB463E">
        <w:rPr>
          <w:bCs/>
        </w:rPr>
        <w:t xml:space="preserve"> </w:t>
      </w:r>
      <w:r w:rsidR="004474CE" w:rsidRPr="00FB463E">
        <w:rPr>
          <w:bCs/>
        </w:rPr>
        <w:t xml:space="preserve">One of the </w:t>
      </w:r>
      <w:r w:rsidR="003F0666" w:rsidRPr="00FB463E">
        <w:rPr>
          <w:bCs/>
        </w:rPr>
        <w:t xml:space="preserve">main causes of death </w:t>
      </w:r>
      <w:r w:rsidR="004474CE" w:rsidRPr="00FB463E">
        <w:rPr>
          <w:bCs/>
        </w:rPr>
        <w:t>from</w:t>
      </w:r>
      <w:r w:rsidR="003F0666" w:rsidRPr="00FB463E">
        <w:rPr>
          <w:bCs/>
        </w:rPr>
        <w:t xml:space="preserve"> trauma is bleeding</w:t>
      </w:r>
      <w:r w:rsidR="00213DB2" w:rsidRPr="00FB463E">
        <w:rPr>
          <w:bCs/>
        </w:rPr>
        <w:t>,</w:t>
      </w:r>
      <w:r w:rsidR="00741C47">
        <w:rPr>
          <w:bCs/>
        </w:rPr>
        <w:t>[3]</w:t>
      </w:r>
      <w:r w:rsidR="00213DB2" w:rsidRPr="00FB463E">
        <w:rPr>
          <w:bCs/>
        </w:rPr>
        <w:t xml:space="preserve"> </w:t>
      </w:r>
      <w:r w:rsidR="00215B50" w:rsidRPr="00FB463E">
        <w:rPr>
          <w:bCs/>
        </w:rPr>
        <w:t xml:space="preserve">accounting for </w:t>
      </w:r>
      <w:r w:rsidR="002D09CB" w:rsidRPr="00FB463E">
        <w:rPr>
          <w:bCs/>
        </w:rPr>
        <w:t xml:space="preserve">over half </w:t>
      </w:r>
      <w:r w:rsidR="00215B50" w:rsidRPr="00FB463E">
        <w:rPr>
          <w:bCs/>
        </w:rPr>
        <w:t>of all trauma deaths</w:t>
      </w:r>
      <w:r w:rsidR="00741C47">
        <w:rPr>
          <w:bCs/>
        </w:rPr>
        <w:t>.[4]</w:t>
      </w:r>
      <w:r w:rsidR="00F3634A" w:rsidRPr="00FB463E">
        <w:rPr>
          <w:bCs/>
        </w:rPr>
        <w:t xml:space="preserve"> </w:t>
      </w:r>
    </w:p>
    <w:p w14:paraId="65660261" w14:textId="69D28807" w:rsidR="00D11CB6" w:rsidRDefault="003F0666" w:rsidP="00D11CB6">
      <w:pPr>
        <w:spacing w:line="480" w:lineRule="auto"/>
        <w:rPr>
          <w:bCs/>
        </w:rPr>
      </w:pPr>
      <w:r w:rsidRPr="00FB463E">
        <w:rPr>
          <w:bCs/>
        </w:rPr>
        <w:t>Tranexamic acid (TXA) is a</w:t>
      </w:r>
      <w:r w:rsidR="00215B50" w:rsidRPr="00FB463E">
        <w:rPr>
          <w:bCs/>
        </w:rPr>
        <w:t>n</w:t>
      </w:r>
      <w:r w:rsidRPr="00FB463E">
        <w:rPr>
          <w:bCs/>
        </w:rPr>
        <w:t xml:space="preserve"> </w:t>
      </w:r>
      <w:r w:rsidR="00215B50" w:rsidRPr="00FB463E">
        <w:rPr>
          <w:bCs/>
        </w:rPr>
        <w:t xml:space="preserve">antifibrinolytic </w:t>
      </w:r>
      <w:r w:rsidRPr="00FB463E">
        <w:rPr>
          <w:bCs/>
        </w:rPr>
        <w:t xml:space="preserve">drug </w:t>
      </w:r>
      <w:r w:rsidR="00743A7A">
        <w:rPr>
          <w:bCs/>
        </w:rPr>
        <w:t xml:space="preserve">that </w:t>
      </w:r>
      <w:r w:rsidR="002804B0" w:rsidRPr="00FB463E">
        <w:rPr>
          <w:bCs/>
        </w:rPr>
        <w:t>prevent</w:t>
      </w:r>
      <w:r w:rsidR="00743A7A">
        <w:rPr>
          <w:bCs/>
        </w:rPr>
        <w:t>s</w:t>
      </w:r>
      <w:r w:rsidR="002804B0" w:rsidRPr="00FB463E">
        <w:rPr>
          <w:bCs/>
        </w:rPr>
        <w:t xml:space="preserve"> bleeding, and </w:t>
      </w:r>
      <w:r w:rsidR="003E1F0C" w:rsidRPr="00FB463E">
        <w:rPr>
          <w:bCs/>
        </w:rPr>
        <w:t xml:space="preserve">has been used in </w:t>
      </w:r>
      <w:r w:rsidR="00F313E5" w:rsidRPr="00FB463E">
        <w:rPr>
          <w:bCs/>
        </w:rPr>
        <w:t>surgical practice for half a century</w:t>
      </w:r>
      <w:r w:rsidR="002804B0" w:rsidRPr="00FB463E">
        <w:rPr>
          <w:bCs/>
        </w:rPr>
        <w:t>.</w:t>
      </w:r>
      <w:r w:rsidR="00741C47">
        <w:rPr>
          <w:bCs/>
        </w:rPr>
        <w:t>[5]</w:t>
      </w:r>
      <w:r w:rsidR="002804B0" w:rsidRPr="00FB463E">
        <w:rPr>
          <w:bCs/>
        </w:rPr>
        <w:t xml:space="preserve"> More recently, TXA has been </w:t>
      </w:r>
      <w:r w:rsidR="00743A7A">
        <w:rPr>
          <w:bCs/>
        </w:rPr>
        <w:t>administered</w:t>
      </w:r>
      <w:r w:rsidR="002804B0" w:rsidRPr="00FB463E">
        <w:rPr>
          <w:bCs/>
        </w:rPr>
        <w:t xml:space="preserve"> </w:t>
      </w:r>
      <w:r w:rsidR="0064467B">
        <w:rPr>
          <w:bCs/>
        </w:rPr>
        <w:t>to treat</w:t>
      </w:r>
      <w:r w:rsidR="0064467B" w:rsidRPr="00FB463E">
        <w:rPr>
          <w:bCs/>
        </w:rPr>
        <w:t xml:space="preserve"> </w:t>
      </w:r>
      <w:r w:rsidR="002804B0" w:rsidRPr="00FB463E">
        <w:rPr>
          <w:bCs/>
        </w:rPr>
        <w:t>traumatic bleeding after injury, and in</w:t>
      </w:r>
      <w:r w:rsidRPr="00FB463E">
        <w:rPr>
          <w:bCs/>
        </w:rPr>
        <w:t xml:space="preserve"> a large international tri</w:t>
      </w:r>
      <w:r w:rsidR="002804B0" w:rsidRPr="00FB463E">
        <w:rPr>
          <w:bCs/>
        </w:rPr>
        <w:t>al</w:t>
      </w:r>
      <w:r w:rsidRPr="00FB463E">
        <w:rPr>
          <w:bCs/>
        </w:rPr>
        <w:t xml:space="preserve"> </w:t>
      </w:r>
      <w:r w:rsidR="002804B0" w:rsidRPr="00FB463E">
        <w:rPr>
          <w:bCs/>
        </w:rPr>
        <w:t xml:space="preserve">it was shown </w:t>
      </w:r>
      <w:r w:rsidRPr="00FB463E">
        <w:rPr>
          <w:bCs/>
        </w:rPr>
        <w:t>to</w:t>
      </w:r>
      <w:r w:rsidR="004D05CC" w:rsidRPr="00FB463E">
        <w:rPr>
          <w:bCs/>
        </w:rPr>
        <w:t xml:space="preserve"> significantly</w:t>
      </w:r>
      <w:r w:rsidRPr="00FB463E">
        <w:rPr>
          <w:bCs/>
        </w:rPr>
        <w:t xml:space="preserve"> reduce the risk of death from bleeding following trauma.</w:t>
      </w:r>
      <w:r w:rsidR="00741C47">
        <w:rPr>
          <w:bCs/>
        </w:rPr>
        <w:t>[6]</w:t>
      </w:r>
      <w:r w:rsidRPr="00FB463E">
        <w:rPr>
          <w:bCs/>
        </w:rPr>
        <w:t xml:space="preserve"> This is well supported by other research</w:t>
      </w:r>
      <w:r w:rsidR="00B73765" w:rsidRPr="00FB463E">
        <w:rPr>
          <w:bCs/>
        </w:rPr>
        <w:t xml:space="preserve">, in which </w:t>
      </w:r>
      <w:r w:rsidR="002804B0" w:rsidRPr="00FB463E">
        <w:rPr>
          <w:bCs/>
        </w:rPr>
        <w:t xml:space="preserve">administration of </w:t>
      </w:r>
      <w:r w:rsidR="00B73765" w:rsidRPr="00FB463E">
        <w:rPr>
          <w:bCs/>
        </w:rPr>
        <w:t xml:space="preserve">TXA </w:t>
      </w:r>
      <w:r w:rsidR="00483104" w:rsidRPr="00FB463E">
        <w:rPr>
          <w:bCs/>
        </w:rPr>
        <w:t>i</w:t>
      </w:r>
      <w:r w:rsidR="00B73765" w:rsidRPr="00FB463E">
        <w:rPr>
          <w:bCs/>
        </w:rPr>
        <w:t>s shown to effectively control bleeding</w:t>
      </w:r>
      <w:r w:rsidR="00741C47">
        <w:rPr>
          <w:bCs/>
        </w:rPr>
        <w:t>[7]</w:t>
      </w:r>
      <w:r w:rsidR="00B73765" w:rsidRPr="00FB463E">
        <w:rPr>
          <w:bCs/>
        </w:rPr>
        <w:t xml:space="preserve"> and significantly reduce the development of multiorgan failure</w:t>
      </w:r>
      <w:r w:rsidR="00743A7A">
        <w:rPr>
          <w:bCs/>
        </w:rPr>
        <w:t>,</w:t>
      </w:r>
      <w:r w:rsidR="00741C47">
        <w:rPr>
          <w:bCs/>
        </w:rPr>
        <w:t>[7-8]</w:t>
      </w:r>
      <w:r w:rsidR="00743A7A">
        <w:rPr>
          <w:bCs/>
        </w:rPr>
        <w:t xml:space="preserve"> with </w:t>
      </w:r>
      <w:r w:rsidR="009B66DD" w:rsidRPr="00FB463E">
        <w:rPr>
          <w:bCs/>
        </w:rPr>
        <w:t>no adverse effects</w:t>
      </w:r>
      <w:r w:rsidR="00F83C35" w:rsidRPr="00FB463E">
        <w:rPr>
          <w:bCs/>
        </w:rPr>
        <w:t>.</w:t>
      </w:r>
      <w:r w:rsidR="00741C47">
        <w:rPr>
          <w:bCs/>
        </w:rPr>
        <w:t>[9]</w:t>
      </w:r>
      <w:r w:rsidR="00F83C35" w:rsidRPr="00FB463E">
        <w:rPr>
          <w:bCs/>
        </w:rPr>
        <w:t xml:space="preserve"> </w:t>
      </w:r>
    </w:p>
    <w:p w14:paraId="7213D013" w14:textId="72D2051A" w:rsidR="00CC7C8B" w:rsidRPr="000550FE" w:rsidRDefault="00A7119C" w:rsidP="005B499C">
      <w:pPr>
        <w:spacing w:line="480" w:lineRule="auto"/>
        <w:rPr>
          <w:bCs/>
        </w:rPr>
      </w:pPr>
      <w:r>
        <w:rPr>
          <w:bCs/>
        </w:rPr>
        <w:t>Early administration of TXA is critical</w:t>
      </w:r>
      <w:r w:rsidRPr="00FB463E">
        <w:rPr>
          <w:bCs/>
        </w:rPr>
        <w:t>.</w:t>
      </w:r>
      <w:r>
        <w:rPr>
          <w:bCs/>
        </w:rPr>
        <w:t>[5,1</w:t>
      </w:r>
      <w:r w:rsidR="00193CB5">
        <w:rPr>
          <w:bCs/>
        </w:rPr>
        <w:t>0</w:t>
      </w:r>
      <w:r>
        <w:rPr>
          <w:bCs/>
        </w:rPr>
        <w:t>]</w:t>
      </w:r>
      <w:r w:rsidRPr="00FB463E">
        <w:rPr>
          <w:bCs/>
        </w:rPr>
        <w:t xml:space="preserve"> A meta-analysis of two large trials of TXA administration (CRASH-2</w:t>
      </w:r>
      <w:r>
        <w:rPr>
          <w:bCs/>
        </w:rPr>
        <w:t>[6]</w:t>
      </w:r>
      <w:r w:rsidRPr="00FB463E">
        <w:rPr>
          <w:bCs/>
        </w:rPr>
        <w:t xml:space="preserve"> and WOMAN</w:t>
      </w:r>
      <w:r>
        <w:rPr>
          <w:bCs/>
        </w:rPr>
        <w:t>[1</w:t>
      </w:r>
      <w:r w:rsidR="00193CB5">
        <w:rPr>
          <w:bCs/>
        </w:rPr>
        <w:t>1</w:t>
      </w:r>
      <w:r>
        <w:rPr>
          <w:bCs/>
        </w:rPr>
        <w:t>]</w:t>
      </w:r>
      <w:r w:rsidRPr="00FB463E">
        <w:rPr>
          <w:bCs/>
        </w:rPr>
        <w:t>) found that immediate treatment improved survival by more than 70%, and that this survival benefit decreased by 10% for every 15 minutes of treatment delay</w:t>
      </w:r>
      <w:r>
        <w:rPr>
          <w:bCs/>
        </w:rPr>
        <w:t>.[1</w:t>
      </w:r>
      <w:r w:rsidR="00193CB5">
        <w:rPr>
          <w:bCs/>
        </w:rPr>
        <w:t>2</w:t>
      </w:r>
      <w:r>
        <w:rPr>
          <w:bCs/>
        </w:rPr>
        <w:t>]</w:t>
      </w:r>
      <w:r w:rsidRPr="00FB463E">
        <w:rPr>
          <w:bCs/>
        </w:rPr>
        <w:t xml:space="preserve"> </w:t>
      </w:r>
      <w:r w:rsidR="002804B0" w:rsidRPr="00FB463E">
        <w:rPr>
          <w:bCs/>
        </w:rPr>
        <w:t xml:space="preserve">As such, </w:t>
      </w:r>
      <w:r w:rsidR="00D11CB6">
        <w:rPr>
          <w:bCs/>
        </w:rPr>
        <w:t xml:space="preserve"> t</w:t>
      </w:r>
      <w:r w:rsidR="003017E8" w:rsidRPr="00FB463E">
        <w:rPr>
          <w:bCs/>
        </w:rPr>
        <w:t xml:space="preserve">he administration of </w:t>
      </w:r>
      <w:r w:rsidR="00DD6035" w:rsidRPr="00FB463E">
        <w:rPr>
          <w:bCs/>
        </w:rPr>
        <w:t>TXA for post-trauma</w:t>
      </w:r>
      <w:r w:rsidR="00017DA9">
        <w:rPr>
          <w:bCs/>
        </w:rPr>
        <w:t xml:space="preserve">tic </w:t>
      </w:r>
      <w:r w:rsidR="002C07B1">
        <w:rPr>
          <w:bCs/>
        </w:rPr>
        <w:t>haemorrhage</w:t>
      </w:r>
      <w:r w:rsidR="00DD6035" w:rsidRPr="00FB463E">
        <w:rPr>
          <w:bCs/>
        </w:rPr>
        <w:t xml:space="preserve"> was </w:t>
      </w:r>
      <w:r w:rsidR="001D4E0B" w:rsidRPr="00FB463E">
        <w:rPr>
          <w:bCs/>
        </w:rPr>
        <w:t xml:space="preserve">introduced as an intervention across all </w:t>
      </w:r>
      <w:r w:rsidR="00017DA9">
        <w:rPr>
          <w:bCs/>
        </w:rPr>
        <w:t>emergency medical service (EMS) provider organisations (</w:t>
      </w:r>
      <w:r w:rsidR="001D4E0B" w:rsidRPr="00FB463E">
        <w:rPr>
          <w:bCs/>
        </w:rPr>
        <w:t>ambulance services</w:t>
      </w:r>
      <w:r w:rsidR="00017DA9">
        <w:rPr>
          <w:bCs/>
        </w:rPr>
        <w:t>)</w:t>
      </w:r>
      <w:r w:rsidR="001D4E0B" w:rsidRPr="00FB463E">
        <w:rPr>
          <w:bCs/>
        </w:rPr>
        <w:t xml:space="preserve"> in the UK during 2012.</w:t>
      </w:r>
      <w:r w:rsidR="00741C47">
        <w:rPr>
          <w:bCs/>
        </w:rPr>
        <w:t>[1</w:t>
      </w:r>
      <w:r w:rsidR="00A675FA">
        <w:rPr>
          <w:bCs/>
        </w:rPr>
        <w:t>3</w:t>
      </w:r>
      <w:r w:rsidR="00741C47">
        <w:rPr>
          <w:bCs/>
        </w:rPr>
        <w:t>]</w:t>
      </w:r>
      <w:r w:rsidR="001D4E0B" w:rsidRPr="00FB463E">
        <w:rPr>
          <w:bCs/>
        </w:rPr>
        <w:t xml:space="preserve"> However, despite </w:t>
      </w:r>
      <w:r w:rsidR="00DD6035" w:rsidRPr="00FB463E">
        <w:rPr>
          <w:bCs/>
        </w:rPr>
        <w:t>a strong evidence base,</w:t>
      </w:r>
      <w:r w:rsidR="001D4E0B" w:rsidRPr="00FB463E">
        <w:rPr>
          <w:bCs/>
        </w:rPr>
        <w:t xml:space="preserve"> a nationwide approach to implementation</w:t>
      </w:r>
      <w:r w:rsidR="00DD6035" w:rsidRPr="00FB463E">
        <w:rPr>
          <w:bCs/>
        </w:rPr>
        <w:t>,</w:t>
      </w:r>
      <w:r w:rsidR="001D4E0B" w:rsidRPr="00FB463E">
        <w:rPr>
          <w:bCs/>
        </w:rPr>
        <w:t xml:space="preserve"> and inclusion in the Joint Royal Colleges Ambu</w:t>
      </w:r>
      <w:r w:rsidR="009E5ED8" w:rsidRPr="00FB463E">
        <w:rPr>
          <w:bCs/>
        </w:rPr>
        <w:t>lance Liaison Committee</w:t>
      </w:r>
      <w:r w:rsidR="001D4E0B" w:rsidRPr="00FB463E">
        <w:rPr>
          <w:bCs/>
        </w:rPr>
        <w:t xml:space="preserve"> </w:t>
      </w:r>
      <w:r w:rsidR="0071756F" w:rsidRPr="00FB463E">
        <w:rPr>
          <w:bCs/>
        </w:rPr>
        <w:t xml:space="preserve">(JRCALC) </w:t>
      </w:r>
      <w:r w:rsidR="001D4E0B" w:rsidRPr="00FB463E">
        <w:rPr>
          <w:bCs/>
        </w:rPr>
        <w:t>guidelines</w:t>
      </w:r>
      <w:r w:rsidR="00DA4452">
        <w:rPr>
          <w:bCs/>
        </w:rPr>
        <w:t xml:space="preserve"> </w:t>
      </w:r>
      <w:r w:rsidR="003C7F14">
        <w:rPr>
          <w:bCs/>
        </w:rPr>
        <w:t>since</w:t>
      </w:r>
      <w:r w:rsidR="00DA4452">
        <w:rPr>
          <w:bCs/>
        </w:rPr>
        <w:t xml:space="preserve"> 2013</w:t>
      </w:r>
      <w:r w:rsidR="001D4E0B" w:rsidRPr="00FB463E">
        <w:rPr>
          <w:bCs/>
        </w:rPr>
        <w:t>,</w:t>
      </w:r>
      <w:r w:rsidR="001740AB" w:rsidRPr="00FB463E">
        <w:rPr>
          <w:bCs/>
        </w:rPr>
        <w:t xml:space="preserve"> o</w:t>
      </w:r>
      <w:r w:rsidR="003F0666" w:rsidRPr="00FB463E">
        <w:rPr>
          <w:bCs/>
        </w:rPr>
        <w:t xml:space="preserve">nly </w:t>
      </w:r>
      <w:r w:rsidR="009F1DA2">
        <w:rPr>
          <w:bCs/>
        </w:rPr>
        <w:t xml:space="preserve">around </w:t>
      </w:r>
      <w:r w:rsidR="003F0666" w:rsidRPr="00FB463E">
        <w:rPr>
          <w:bCs/>
        </w:rPr>
        <w:t xml:space="preserve">5% of all patients in </w:t>
      </w:r>
      <w:r w:rsidR="009F1B54" w:rsidRPr="00FB463E">
        <w:rPr>
          <w:bCs/>
        </w:rPr>
        <w:t xml:space="preserve">the </w:t>
      </w:r>
      <w:r w:rsidR="00AF55C7" w:rsidRPr="00FB463E">
        <w:rPr>
          <w:bCs/>
        </w:rPr>
        <w:t>UK</w:t>
      </w:r>
      <w:r w:rsidR="009F1B54" w:rsidRPr="00FB463E">
        <w:rPr>
          <w:bCs/>
        </w:rPr>
        <w:t xml:space="preserve"> Trauma Audit and</w:t>
      </w:r>
      <w:r w:rsidR="003F0666" w:rsidRPr="00FB463E">
        <w:rPr>
          <w:bCs/>
        </w:rPr>
        <w:t xml:space="preserve"> Research Network (TARN) who </w:t>
      </w:r>
      <w:r w:rsidR="00DB1D4D">
        <w:rPr>
          <w:bCs/>
        </w:rPr>
        <w:t>are at risk of haemorrhage following trauma re</w:t>
      </w:r>
      <w:r w:rsidR="003F0666" w:rsidRPr="00FB463E">
        <w:rPr>
          <w:bCs/>
        </w:rPr>
        <w:t>ceive TXA in the pre-hospital setting</w:t>
      </w:r>
      <w:r w:rsidR="007675D9">
        <w:rPr>
          <w:bCs/>
        </w:rPr>
        <w:t>[1</w:t>
      </w:r>
      <w:r w:rsidR="00A675FA">
        <w:rPr>
          <w:bCs/>
        </w:rPr>
        <w:t>4</w:t>
      </w:r>
      <w:r w:rsidR="007675D9">
        <w:rPr>
          <w:bCs/>
        </w:rPr>
        <w:t>]</w:t>
      </w:r>
      <w:r w:rsidR="003F0666" w:rsidRPr="00FB463E">
        <w:rPr>
          <w:bCs/>
        </w:rPr>
        <w:t>.</w:t>
      </w:r>
      <w:r w:rsidR="00DD6035" w:rsidRPr="00FB463E">
        <w:rPr>
          <w:bCs/>
        </w:rPr>
        <w:t xml:space="preserve"> </w:t>
      </w:r>
    </w:p>
    <w:p w14:paraId="779422EC" w14:textId="1B6FF05D" w:rsidR="005B499C" w:rsidRPr="005B499C" w:rsidRDefault="00027C0C" w:rsidP="005B499C">
      <w:pPr>
        <w:spacing w:line="480" w:lineRule="auto"/>
        <w:rPr>
          <w:bCs/>
        </w:rPr>
      </w:pPr>
      <w:r>
        <w:rPr>
          <w:bCs/>
        </w:rPr>
        <w:t>EMS providers (pa</w:t>
      </w:r>
      <w:r w:rsidR="0071756F" w:rsidRPr="00FB463E">
        <w:rPr>
          <w:bCs/>
        </w:rPr>
        <w:t>ramedics</w:t>
      </w:r>
      <w:r>
        <w:rPr>
          <w:bCs/>
        </w:rPr>
        <w:t>)</w:t>
      </w:r>
      <w:r w:rsidR="0071756F" w:rsidRPr="00FB463E">
        <w:rPr>
          <w:bCs/>
        </w:rPr>
        <w:t xml:space="preserve"> are therefore best placed to administer TXA, as they are </w:t>
      </w:r>
      <w:r w:rsidR="005B6D70" w:rsidRPr="00FB463E">
        <w:rPr>
          <w:bCs/>
        </w:rPr>
        <w:t xml:space="preserve">usually </w:t>
      </w:r>
      <w:r w:rsidR="0071756F" w:rsidRPr="00FB463E">
        <w:rPr>
          <w:bCs/>
        </w:rPr>
        <w:t xml:space="preserve">the first </w:t>
      </w:r>
      <w:r>
        <w:rPr>
          <w:bCs/>
        </w:rPr>
        <w:t xml:space="preserve">to </w:t>
      </w:r>
      <w:r w:rsidR="0071756F" w:rsidRPr="00FB463E">
        <w:rPr>
          <w:bCs/>
        </w:rPr>
        <w:t>attend</w:t>
      </w:r>
      <w:r>
        <w:rPr>
          <w:bCs/>
        </w:rPr>
        <w:t xml:space="preserve"> a</w:t>
      </w:r>
      <w:r w:rsidR="0071756F" w:rsidRPr="00FB463E">
        <w:rPr>
          <w:bCs/>
        </w:rPr>
        <w:t xml:space="preserve"> </w:t>
      </w:r>
      <w:r>
        <w:rPr>
          <w:bCs/>
        </w:rPr>
        <w:t xml:space="preserve">trauma </w:t>
      </w:r>
      <w:r w:rsidR="0071756F" w:rsidRPr="00FB463E">
        <w:rPr>
          <w:bCs/>
        </w:rPr>
        <w:t>patient</w:t>
      </w:r>
      <w:r w:rsidR="000A66D5">
        <w:rPr>
          <w:bCs/>
        </w:rPr>
        <w:t xml:space="preserve">, and TXA administration occurs sooner when given by paramedics compared to hospital </w:t>
      </w:r>
      <w:proofErr w:type="gramStart"/>
      <w:r w:rsidR="000A66D5">
        <w:rPr>
          <w:bCs/>
        </w:rPr>
        <w:t>staff</w:t>
      </w:r>
      <w:r w:rsidR="0071756F" w:rsidRPr="00FB463E">
        <w:rPr>
          <w:bCs/>
        </w:rPr>
        <w:t>.</w:t>
      </w:r>
      <w:r w:rsidR="00741C47">
        <w:rPr>
          <w:bCs/>
        </w:rPr>
        <w:t>[</w:t>
      </w:r>
      <w:proofErr w:type="gramEnd"/>
      <w:r w:rsidR="00741C47">
        <w:rPr>
          <w:bCs/>
        </w:rPr>
        <w:t>1</w:t>
      </w:r>
      <w:r w:rsidR="00A675FA">
        <w:rPr>
          <w:bCs/>
        </w:rPr>
        <w:t>5</w:t>
      </w:r>
      <w:r w:rsidR="00741C47">
        <w:rPr>
          <w:bCs/>
        </w:rPr>
        <w:t>]</w:t>
      </w:r>
      <w:r w:rsidR="0071756F" w:rsidRPr="00FB463E">
        <w:rPr>
          <w:bCs/>
        </w:rPr>
        <w:t xml:space="preserve"> </w:t>
      </w:r>
      <w:r w:rsidR="00A7119C">
        <w:rPr>
          <w:bCs/>
        </w:rPr>
        <w:t xml:space="preserve"> </w:t>
      </w:r>
      <w:r w:rsidR="00CF6830" w:rsidRPr="00FB463E">
        <w:rPr>
          <w:bCs/>
        </w:rPr>
        <w:t xml:space="preserve">Given </w:t>
      </w:r>
      <w:r w:rsidR="003F69B5" w:rsidRPr="00FB463E">
        <w:rPr>
          <w:bCs/>
        </w:rPr>
        <w:t xml:space="preserve">the clear benefits of </w:t>
      </w:r>
      <w:r w:rsidR="00CC7C8B" w:rsidRPr="00FB463E">
        <w:rPr>
          <w:bCs/>
        </w:rPr>
        <w:t xml:space="preserve">pre-hospital </w:t>
      </w:r>
      <w:r w:rsidR="003F69B5" w:rsidRPr="00FB463E">
        <w:rPr>
          <w:bCs/>
        </w:rPr>
        <w:t>TXA treatment</w:t>
      </w:r>
      <w:r w:rsidR="003F69B5" w:rsidRPr="003F69B5">
        <w:rPr>
          <w:bCs/>
        </w:rPr>
        <w:t xml:space="preserve"> for trauma patients at risk of bleeding,</w:t>
      </w:r>
      <w:r w:rsidR="00CF6830" w:rsidRPr="003F69B5">
        <w:rPr>
          <w:bCs/>
        </w:rPr>
        <w:t xml:space="preserve"> it is important to understand the barriers associated with its </w:t>
      </w:r>
      <w:r w:rsidR="00CF6830" w:rsidRPr="003F69B5">
        <w:rPr>
          <w:bCs/>
        </w:rPr>
        <w:lastRenderedPageBreak/>
        <w:t>administration</w:t>
      </w:r>
      <w:r w:rsidR="003F69B5">
        <w:rPr>
          <w:bCs/>
        </w:rPr>
        <w:t xml:space="preserve"> by</w:t>
      </w:r>
      <w:r w:rsidR="00CC7C8B">
        <w:rPr>
          <w:bCs/>
        </w:rPr>
        <w:t xml:space="preserve"> </w:t>
      </w:r>
      <w:r w:rsidR="003F69B5">
        <w:rPr>
          <w:bCs/>
        </w:rPr>
        <w:t>paramedics</w:t>
      </w:r>
      <w:r w:rsidR="00CC7C8B">
        <w:rPr>
          <w:bCs/>
        </w:rPr>
        <w:t xml:space="preserve"> in the UK</w:t>
      </w:r>
      <w:r w:rsidR="00CF6830" w:rsidRPr="003F69B5">
        <w:rPr>
          <w:bCs/>
        </w:rPr>
        <w:t xml:space="preserve">. </w:t>
      </w:r>
      <w:r w:rsidR="000B28AA">
        <w:rPr>
          <w:bCs/>
        </w:rPr>
        <w:t xml:space="preserve">A recent systematic review of the literature found no </w:t>
      </w:r>
      <w:r w:rsidR="009E6DD7">
        <w:rPr>
          <w:bCs/>
        </w:rPr>
        <w:t>previous work</w:t>
      </w:r>
      <w:r w:rsidR="000B28AA">
        <w:rPr>
          <w:bCs/>
        </w:rPr>
        <w:t xml:space="preserve"> explicitly</w:t>
      </w:r>
      <w:r w:rsidR="000B28AA" w:rsidRPr="000B28AA">
        <w:t xml:space="preserve"> </w:t>
      </w:r>
      <w:r w:rsidR="000B28AA">
        <w:rPr>
          <w:bCs/>
        </w:rPr>
        <w:t>explor</w:t>
      </w:r>
      <w:r w:rsidR="009E6DD7">
        <w:rPr>
          <w:bCs/>
        </w:rPr>
        <w:t>ing</w:t>
      </w:r>
      <w:r w:rsidR="000B28AA" w:rsidRPr="000B28AA">
        <w:rPr>
          <w:bCs/>
        </w:rPr>
        <w:t xml:space="preserve"> these barriers</w:t>
      </w:r>
      <w:r w:rsidR="000B28AA">
        <w:rPr>
          <w:bCs/>
        </w:rPr>
        <w:t xml:space="preserve"> (Nicholson</w:t>
      </w:r>
      <w:r w:rsidR="003C7F14">
        <w:rPr>
          <w:bCs/>
        </w:rPr>
        <w:t xml:space="preserve"> H</w:t>
      </w:r>
      <w:r w:rsidR="000B28AA">
        <w:rPr>
          <w:bCs/>
        </w:rPr>
        <w:t xml:space="preserve">, personal communication, 2021). </w:t>
      </w:r>
      <w:r w:rsidR="00CF6830" w:rsidRPr="003F69B5">
        <w:rPr>
          <w:bCs/>
        </w:rPr>
        <w:t>Th</w:t>
      </w:r>
      <w:r w:rsidR="00924954">
        <w:rPr>
          <w:bCs/>
        </w:rPr>
        <w:t>e</w:t>
      </w:r>
      <w:r w:rsidR="00CF6830" w:rsidRPr="003F69B5">
        <w:rPr>
          <w:bCs/>
        </w:rPr>
        <w:t xml:space="preserve"> research</w:t>
      </w:r>
      <w:r w:rsidR="00924954">
        <w:rPr>
          <w:bCs/>
        </w:rPr>
        <w:t xml:space="preserve"> reported in this paper</w:t>
      </w:r>
      <w:r w:rsidR="00CF6830" w:rsidRPr="003F69B5">
        <w:rPr>
          <w:bCs/>
        </w:rPr>
        <w:t xml:space="preserve"> used the Theoretical Domains </w:t>
      </w:r>
      <w:proofErr w:type="gramStart"/>
      <w:r w:rsidR="00CF6830" w:rsidRPr="003F69B5">
        <w:rPr>
          <w:bCs/>
        </w:rPr>
        <w:t>Framework</w:t>
      </w:r>
      <w:r w:rsidR="00741C47">
        <w:rPr>
          <w:bCs/>
        </w:rPr>
        <w:t>[</w:t>
      </w:r>
      <w:proofErr w:type="gramEnd"/>
      <w:r w:rsidR="00741C47">
        <w:rPr>
          <w:bCs/>
        </w:rPr>
        <w:t>1</w:t>
      </w:r>
      <w:r w:rsidR="00A675FA">
        <w:rPr>
          <w:bCs/>
        </w:rPr>
        <w:t>6</w:t>
      </w:r>
      <w:r w:rsidR="00741C47">
        <w:rPr>
          <w:bCs/>
        </w:rPr>
        <w:t>]</w:t>
      </w:r>
      <w:r w:rsidR="00CF6830" w:rsidRPr="003F69B5">
        <w:rPr>
          <w:bCs/>
        </w:rPr>
        <w:t xml:space="preserve"> (TDF) to address this</w:t>
      </w:r>
      <w:r w:rsidR="0071756F">
        <w:rPr>
          <w:bCs/>
        </w:rPr>
        <w:t xml:space="preserve"> knowledge</w:t>
      </w:r>
      <w:r w:rsidR="00CF6830" w:rsidRPr="003F69B5">
        <w:rPr>
          <w:bCs/>
        </w:rPr>
        <w:t xml:space="preserve"> gap</w:t>
      </w:r>
      <w:bookmarkStart w:id="0" w:name="_Hlk39480507"/>
      <w:r w:rsidR="00CF6830" w:rsidRPr="003F69B5">
        <w:rPr>
          <w:bCs/>
        </w:rPr>
        <w:t>.</w:t>
      </w:r>
      <w:bookmarkEnd w:id="0"/>
      <w:r w:rsidR="00CF6830" w:rsidRPr="003F69B5">
        <w:rPr>
          <w:bCs/>
        </w:rPr>
        <w:t xml:space="preserve"> </w:t>
      </w:r>
    </w:p>
    <w:p w14:paraId="20184920" w14:textId="3D257CAB" w:rsidR="00F52B26" w:rsidRPr="009C223B" w:rsidRDefault="006406CE" w:rsidP="005B499C">
      <w:pPr>
        <w:spacing w:line="480" w:lineRule="auto"/>
        <w:rPr>
          <w:b/>
          <w:sz w:val="24"/>
        </w:rPr>
      </w:pPr>
      <w:r w:rsidRPr="009C223B">
        <w:rPr>
          <w:b/>
          <w:sz w:val="24"/>
        </w:rPr>
        <w:t>METHODS</w:t>
      </w:r>
    </w:p>
    <w:p w14:paraId="4397DB0C" w14:textId="6520B922" w:rsidR="002F40DF" w:rsidRPr="00FB463E" w:rsidRDefault="00157B1B" w:rsidP="005B499C">
      <w:pPr>
        <w:spacing w:line="480" w:lineRule="auto"/>
      </w:pPr>
      <w:r>
        <w:t>A</w:t>
      </w:r>
      <w:r w:rsidR="002F40DF" w:rsidRPr="00FB463E">
        <w:t xml:space="preserve">pproval for this study was obtained from the Health Research Authority (19/HRA/5247) </w:t>
      </w:r>
      <w:r>
        <w:t>and</w:t>
      </w:r>
      <w:r w:rsidR="002F40DF" w:rsidRPr="00FB463E">
        <w:t xml:space="preserve"> the University of the West of England Faculty of Health and Applied Sciences Research Ethics Committee (HAS.19.08.016).</w:t>
      </w:r>
    </w:p>
    <w:p w14:paraId="623FD34F" w14:textId="671368CC" w:rsidR="000B1985" w:rsidRPr="00FB463E" w:rsidRDefault="00FA0924" w:rsidP="005B499C">
      <w:pPr>
        <w:spacing w:line="480" w:lineRule="auto"/>
      </w:pPr>
      <w:r w:rsidRPr="00FB463E">
        <w:t>Semi</w:t>
      </w:r>
      <w:r w:rsidR="000B1985" w:rsidRPr="00FB463E">
        <w:t xml:space="preserve">-structured telephone interviews </w:t>
      </w:r>
      <w:r w:rsidRPr="00FB463E">
        <w:t xml:space="preserve">were conducted </w:t>
      </w:r>
      <w:r w:rsidR="000B1985" w:rsidRPr="00FB463E">
        <w:t>with 18 operational paramedics from the South Western Ambulance Service NHS Foundation Trust (SWASFT) to explore the barriers and facilitators to TXA administration to trauma patients. This qualitative approach was chosen to enable researchers to explore, explain and describe complex processes and behaviours within the context in which they occur.</w:t>
      </w:r>
      <w:r w:rsidR="009F0B57" w:rsidRPr="00FB463E">
        <w:t xml:space="preserve"> </w:t>
      </w:r>
    </w:p>
    <w:p w14:paraId="30234656" w14:textId="7AD05AEB" w:rsidR="000B1985" w:rsidRPr="006406CE" w:rsidRDefault="000B1985" w:rsidP="005B499C">
      <w:pPr>
        <w:spacing w:after="0" w:line="480" w:lineRule="auto"/>
        <w:rPr>
          <w:b/>
        </w:rPr>
      </w:pPr>
      <w:r w:rsidRPr="006406CE">
        <w:rPr>
          <w:b/>
        </w:rPr>
        <w:t>Setting</w:t>
      </w:r>
    </w:p>
    <w:p w14:paraId="395BCE8A" w14:textId="2FDFB520" w:rsidR="0008293B" w:rsidRPr="00FB463E" w:rsidRDefault="005D3BDB" w:rsidP="005B499C">
      <w:pPr>
        <w:spacing w:line="480" w:lineRule="auto"/>
        <w:rPr>
          <w:color w:val="FF0000"/>
        </w:rPr>
      </w:pPr>
      <w:r>
        <w:t xml:space="preserve">SWASFT </w:t>
      </w:r>
      <w:r w:rsidR="00027C0C">
        <w:t>is</w:t>
      </w:r>
      <w:r w:rsidR="009F0B57" w:rsidRPr="00FB463E">
        <w:t xml:space="preserve"> a large </w:t>
      </w:r>
      <w:r>
        <w:t>EMS provider organisation</w:t>
      </w:r>
      <w:r w:rsidR="009F0B57" w:rsidRPr="00FB463E">
        <w:t xml:space="preserve">, </w:t>
      </w:r>
      <w:r w:rsidR="008563C2" w:rsidRPr="00FB463E">
        <w:t xml:space="preserve">with responsibility for the provision of ambulance services across an area of 10,000 square miles of </w:t>
      </w:r>
      <w:r w:rsidR="00D865FF" w:rsidRPr="00FB463E">
        <w:t>South West</w:t>
      </w:r>
      <w:r w:rsidR="008563C2" w:rsidRPr="00FB463E">
        <w:t xml:space="preserve"> England</w:t>
      </w:r>
      <w:r w:rsidR="00D865FF" w:rsidRPr="00FB463E">
        <w:t xml:space="preserve">, </w:t>
      </w:r>
      <w:r w:rsidR="008563C2" w:rsidRPr="00FB463E">
        <w:t>serv</w:t>
      </w:r>
      <w:r w:rsidR="00D865FF" w:rsidRPr="00FB463E">
        <w:t>ing</w:t>
      </w:r>
      <w:r w:rsidR="008563C2" w:rsidRPr="00FB463E">
        <w:t xml:space="preserve"> a total population of over 5.5 million</w:t>
      </w:r>
      <w:r w:rsidR="00D865FF" w:rsidRPr="00FB463E">
        <w:t xml:space="preserve">. </w:t>
      </w:r>
      <w:r w:rsidR="00FB7B88">
        <w:rPr>
          <w:bCs/>
        </w:rPr>
        <w:t>The Trust</w:t>
      </w:r>
      <w:r w:rsidR="00DD6035" w:rsidRPr="00FB463E">
        <w:rPr>
          <w:bCs/>
        </w:rPr>
        <w:t xml:space="preserve"> has been a </w:t>
      </w:r>
      <w:r w:rsidR="000B1985" w:rsidRPr="00FB463E">
        <w:rPr>
          <w:bCs/>
        </w:rPr>
        <w:t>pioneer of TXA in pre-hospital practice</w:t>
      </w:r>
      <w:r w:rsidR="00DD6035" w:rsidRPr="00FB463E">
        <w:rPr>
          <w:bCs/>
        </w:rPr>
        <w:t xml:space="preserve">, and in 2011 was the first </w:t>
      </w:r>
      <w:r w:rsidR="005B6D70" w:rsidRPr="00FB463E">
        <w:rPr>
          <w:bCs/>
        </w:rPr>
        <w:t>a</w:t>
      </w:r>
      <w:r w:rsidR="00DD6035" w:rsidRPr="00FB463E">
        <w:rPr>
          <w:bCs/>
        </w:rPr>
        <w:t xml:space="preserve">mbulance </w:t>
      </w:r>
      <w:r w:rsidR="005B6D70" w:rsidRPr="00FB463E">
        <w:rPr>
          <w:bCs/>
        </w:rPr>
        <w:t>s</w:t>
      </w:r>
      <w:r w:rsidR="00DD6035" w:rsidRPr="00FB463E">
        <w:rPr>
          <w:bCs/>
        </w:rPr>
        <w:t xml:space="preserve">ervice in the UK to </w:t>
      </w:r>
      <w:r w:rsidR="00804611">
        <w:rPr>
          <w:bCs/>
        </w:rPr>
        <w:t>implement</w:t>
      </w:r>
      <w:r w:rsidR="00DD6035" w:rsidRPr="00FB463E">
        <w:rPr>
          <w:bCs/>
        </w:rPr>
        <w:t xml:space="preserve"> administration of TXA </w:t>
      </w:r>
      <w:r>
        <w:rPr>
          <w:bCs/>
        </w:rPr>
        <w:t xml:space="preserve">to </w:t>
      </w:r>
      <w:r w:rsidR="00DD6035" w:rsidRPr="00FB463E">
        <w:rPr>
          <w:bCs/>
        </w:rPr>
        <w:t>trauma patients</w:t>
      </w:r>
      <w:r w:rsidR="000B1985" w:rsidRPr="00FB463E">
        <w:rPr>
          <w:bCs/>
        </w:rPr>
        <w:t>.</w:t>
      </w:r>
    </w:p>
    <w:p w14:paraId="58739814" w14:textId="55DA78DE" w:rsidR="000B1985" w:rsidRPr="006406CE" w:rsidRDefault="000B1985" w:rsidP="005B499C">
      <w:pPr>
        <w:spacing w:after="0" w:line="480" w:lineRule="auto"/>
        <w:rPr>
          <w:b/>
        </w:rPr>
      </w:pPr>
      <w:r w:rsidRPr="006406CE">
        <w:rPr>
          <w:b/>
        </w:rPr>
        <w:t>Participant recruitment</w:t>
      </w:r>
    </w:p>
    <w:p w14:paraId="4E902E31" w14:textId="4089EB4A" w:rsidR="002F40DF" w:rsidRPr="00FB463E" w:rsidRDefault="002F40DF" w:rsidP="005B499C">
      <w:pPr>
        <w:spacing w:line="480" w:lineRule="auto"/>
      </w:pPr>
      <w:r w:rsidRPr="00FB463E">
        <w:t>A c</w:t>
      </w:r>
      <w:r w:rsidR="004825FE" w:rsidRPr="00FB463E">
        <w:t>onvenience sampling</w:t>
      </w:r>
      <w:r w:rsidRPr="00FB463E">
        <w:t xml:space="preserve"> approach</w:t>
      </w:r>
      <w:r w:rsidR="004825FE" w:rsidRPr="00FB463E">
        <w:t xml:space="preserve"> was used</w:t>
      </w:r>
      <w:r w:rsidR="000B1985" w:rsidRPr="00FB463E">
        <w:t xml:space="preserve"> for recruitment</w:t>
      </w:r>
      <w:r w:rsidR="005D3BDB">
        <w:t>. P</w:t>
      </w:r>
      <w:r w:rsidRPr="00FB463E">
        <w:t xml:space="preserve">articipants were eligible to take part if they were </w:t>
      </w:r>
      <w:r w:rsidR="00157B1B">
        <w:t xml:space="preserve">working operationally as a paramedic, </w:t>
      </w:r>
      <w:r w:rsidR="00804611">
        <w:t xml:space="preserve">aged </w:t>
      </w:r>
      <w:r w:rsidRPr="00FB463E">
        <w:t xml:space="preserve">18 years or over, and had </w:t>
      </w:r>
      <w:r w:rsidR="005D3BDB">
        <w:t xml:space="preserve">sufficient </w:t>
      </w:r>
      <w:r w:rsidRPr="00FB463E">
        <w:t xml:space="preserve">proficiency in the English language to be able to engage in </w:t>
      </w:r>
      <w:r w:rsidR="00804611">
        <w:t>an</w:t>
      </w:r>
      <w:r w:rsidRPr="00FB463E">
        <w:t xml:space="preserve"> interview. </w:t>
      </w:r>
      <w:r w:rsidR="00D90C49">
        <w:t>P</w:t>
      </w:r>
      <w:r w:rsidRPr="00FB463E">
        <w:t>aramedics with less than one year’s experience were excluded.</w:t>
      </w:r>
    </w:p>
    <w:p w14:paraId="61C0D5F2" w14:textId="2A7CE3EA" w:rsidR="00E77895" w:rsidRPr="00FB463E" w:rsidRDefault="005D3BDB" w:rsidP="005B499C">
      <w:pPr>
        <w:spacing w:line="480" w:lineRule="auto"/>
      </w:pPr>
      <w:r>
        <w:lastRenderedPageBreak/>
        <w:t xml:space="preserve">The study was promoted in the </w:t>
      </w:r>
      <w:r w:rsidR="00E77895" w:rsidRPr="00FB463E">
        <w:t xml:space="preserve">weekly </w:t>
      </w:r>
      <w:r w:rsidR="002F40DF" w:rsidRPr="00FB463E">
        <w:t xml:space="preserve">SWASFT news bulletin and </w:t>
      </w:r>
      <w:r w:rsidR="00E77895" w:rsidRPr="00FB463E">
        <w:t xml:space="preserve">eligible participants were </w:t>
      </w:r>
      <w:r w:rsidR="002F40DF" w:rsidRPr="00FB463E">
        <w:t xml:space="preserve">invited to contact the research team to take part. </w:t>
      </w:r>
      <w:r w:rsidR="00157B1B">
        <w:t>P</w:t>
      </w:r>
      <w:r w:rsidR="00E77895" w:rsidRPr="00FB463E">
        <w:t xml:space="preserve">otential participants received a study information sheet, privacy notice and consent form via email and were asked to return the signed consent form if they </w:t>
      </w:r>
      <w:r w:rsidR="00804611">
        <w:t>wished</w:t>
      </w:r>
      <w:r>
        <w:t xml:space="preserve"> to participate</w:t>
      </w:r>
      <w:r w:rsidR="00E77895" w:rsidRPr="00FB463E">
        <w:t xml:space="preserve">. Verbal confirmation of consent was </w:t>
      </w:r>
      <w:r w:rsidR="00912FFB" w:rsidRPr="00FB463E">
        <w:t>audio-</w:t>
      </w:r>
      <w:r w:rsidR="00E77895" w:rsidRPr="00FB463E">
        <w:t xml:space="preserve">recorded </w:t>
      </w:r>
      <w:r w:rsidR="00912FFB" w:rsidRPr="00FB463E">
        <w:t>at</w:t>
      </w:r>
      <w:r w:rsidR="00E77895" w:rsidRPr="00FB463E">
        <w:t xml:space="preserve"> the start of the </w:t>
      </w:r>
      <w:r w:rsidR="00091E22" w:rsidRPr="00FB463E">
        <w:t xml:space="preserve">telephone </w:t>
      </w:r>
      <w:r w:rsidR="00E77895" w:rsidRPr="00FB463E">
        <w:t>interview. A £10 gift voucher was given to each participant to acknowledge the</w:t>
      </w:r>
      <w:r>
        <w:t>ir</w:t>
      </w:r>
      <w:r w:rsidR="00E77895" w:rsidRPr="00FB463E">
        <w:t xml:space="preserve"> contribution.</w:t>
      </w:r>
      <w:r w:rsidR="00FE6CC2">
        <w:t xml:space="preserve"> </w:t>
      </w:r>
      <w:r w:rsidR="00FE6CC2" w:rsidRPr="00FE6CC2">
        <w:t xml:space="preserve">Recruitment concluded when interviews ceased yielding new information related to </w:t>
      </w:r>
      <w:r w:rsidR="00F432E5" w:rsidRPr="00FB463E">
        <w:t>identifying patients at risk of bleeding</w:t>
      </w:r>
      <w:r w:rsidR="00F432E5">
        <w:t xml:space="preserve"> and TXA administration</w:t>
      </w:r>
      <w:r w:rsidR="00FE6CC2" w:rsidRPr="00FE6CC2">
        <w:t>.</w:t>
      </w:r>
    </w:p>
    <w:p w14:paraId="09F8FFCA" w14:textId="42903A88" w:rsidR="000B1985" w:rsidRPr="006406CE" w:rsidRDefault="000B1985" w:rsidP="005B499C">
      <w:pPr>
        <w:spacing w:after="0" w:line="480" w:lineRule="auto"/>
        <w:rPr>
          <w:b/>
        </w:rPr>
      </w:pPr>
      <w:r w:rsidRPr="006406CE">
        <w:rPr>
          <w:b/>
        </w:rPr>
        <w:t>Design</w:t>
      </w:r>
    </w:p>
    <w:p w14:paraId="195EC7A0" w14:textId="7D5C7DAF" w:rsidR="004F5E8C" w:rsidRDefault="00030E4A" w:rsidP="005B499C">
      <w:pPr>
        <w:spacing w:line="480" w:lineRule="auto"/>
      </w:pPr>
      <w:r w:rsidRPr="00FB463E">
        <w:t>A topic guide (Appendix 1) was developed by the study team, including t</w:t>
      </w:r>
      <w:r w:rsidR="00207658" w:rsidRPr="00FB463E">
        <w:t>hree</w:t>
      </w:r>
      <w:r w:rsidRPr="00FB463E">
        <w:t xml:space="preserve"> paramedics, </w:t>
      </w:r>
      <w:r w:rsidR="00207658" w:rsidRPr="00FB463E">
        <w:t xml:space="preserve">two senior academics in </w:t>
      </w:r>
      <w:r w:rsidRPr="00FB463E">
        <w:t xml:space="preserve">Emergency </w:t>
      </w:r>
      <w:r w:rsidR="0099749D" w:rsidRPr="00FB463E">
        <w:t>C</w:t>
      </w:r>
      <w:r w:rsidRPr="00FB463E">
        <w:t>are</w:t>
      </w:r>
      <w:r w:rsidR="00207658" w:rsidRPr="00FB463E">
        <w:t xml:space="preserve">, </w:t>
      </w:r>
      <w:r w:rsidR="0099749D" w:rsidRPr="00FB463E">
        <w:t>the research manager of SWASFT, and a member of the N</w:t>
      </w:r>
      <w:r w:rsidR="00761028" w:rsidRPr="00FB463E">
        <w:t xml:space="preserve">ational </w:t>
      </w:r>
      <w:r w:rsidR="0099749D" w:rsidRPr="00FB463E">
        <w:t>I</w:t>
      </w:r>
      <w:r w:rsidR="00761028" w:rsidRPr="00FB463E">
        <w:t xml:space="preserve">nstitute for </w:t>
      </w:r>
      <w:r w:rsidR="0099749D" w:rsidRPr="00FB463E">
        <w:t>H</w:t>
      </w:r>
      <w:r w:rsidR="00761028" w:rsidRPr="00FB463E">
        <w:t xml:space="preserve">ealth </w:t>
      </w:r>
      <w:r w:rsidR="0099749D" w:rsidRPr="00FB463E">
        <w:t>R</w:t>
      </w:r>
      <w:r w:rsidR="00761028" w:rsidRPr="00FB463E">
        <w:t>esearch (NIHR)</w:t>
      </w:r>
      <w:r w:rsidR="0099749D" w:rsidRPr="00FB463E">
        <w:t xml:space="preserve"> Research Design Service. </w:t>
      </w:r>
      <w:r w:rsidRPr="00FB463E">
        <w:t>Questions explore</w:t>
      </w:r>
      <w:r w:rsidR="00804611">
        <w:t>d</w:t>
      </w:r>
      <w:r w:rsidRPr="00FB463E">
        <w:t xml:space="preserve"> participants’ experiences of attending trauma patients, in relation to identifying patients at risk of bleeding, and administering TXA.</w:t>
      </w:r>
      <w:r w:rsidR="00621875" w:rsidRPr="00FB463E">
        <w:rPr>
          <w:color w:val="FF0000"/>
        </w:rPr>
        <w:t xml:space="preserve"> </w:t>
      </w:r>
      <w:r w:rsidRPr="00FB463E">
        <w:t xml:space="preserve">Telephone interviews lasted between 20-45 minutes, and were conducted by </w:t>
      </w:r>
      <w:r w:rsidR="00621875" w:rsidRPr="00FB463E">
        <w:t>an experienced qualitative researcher (LG)</w:t>
      </w:r>
      <w:r w:rsidRPr="00FB463E">
        <w:t xml:space="preserve"> at a time convenient to the participant. Audio-recordings of </w:t>
      </w:r>
      <w:r w:rsidR="005D3BDB">
        <w:t xml:space="preserve">the </w:t>
      </w:r>
      <w:r w:rsidRPr="00FB463E">
        <w:t>interviews were made using Skype for Business.</w:t>
      </w:r>
      <w:r w:rsidR="004F5E8C" w:rsidRPr="00FB463E">
        <w:t xml:space="preserve"> </w:t>
      </w:r>
      <w:r w:rsidR="00621875" w:rsidRPr="00FB463E">
        <w:t>Recordings were transcribed verbatim and anonymised.</w:t>
      </w:r>
    </w:p>
    <w:p w14:paraId="1A8CB8A8" w14:textId="77777777" w:rsidR="005E4781" w:rsidRPr="006406CE" w:rsidRDefault="005E4781" w:rsidP="005E4781">
      <w:pPr>
        <w:spacing w:line="480" w:lineRule="auto"/>
        <w:rPr>
          <w:b/>
        </w:rPr>
      </w:pPr>
      <w:r w:rsidRPr="006406CE">
        <w:rPr>
          <w:b/>
        </w:rPr>
        <w:t>Patient and public involvement (PPI)</w:t>
      </w:r>
    </w:p>
    <w:p w14:paraId="2394C373" w14:textId="77777777" w:rsidR="005E4781" w:rsidRPr="00AE1729" w:rsidRDefault="005E4781" w:rsidP="005E4781">
      <w:pPr>
        <w:spacing w:line="480" w:lineRule="auto"/>
      </w:pPr>
      <w:r w:rsidRPr="00AE1729">
        <w:t>The SWASFT Patient Involvement in Research Group (PIRG) were involved from the early stages of the study; the study team were in regular consultation with the group who advised on key questions, structure of the interviews (including length and incentive offered), and participant recruitment methods.</w:t>
      </w:r>
    </w:p>
    <w:p w14:paraId="40FCC8BF" w14:textId="1D95DD7D" w:rsidR="00E90C98" w:rsidRPr="006406CE" w:rsidRDefault="00E90C98" w:rsidP="005B499C">
      <w:pPr>
        <w:spacing w:after="0" w:line="480" w:lineRule="auto"/>
        <w:rPr>
          <w:b/>
        </w:rPr>
      </w:pPr>
      <w:r w:rsidRPr="006406CE">
        <w:rPr>
          <w:b/>
        </w:rPr>
        <w:t>Data Analysis</w:t>
      </w:r>
    </w:p>
    <w:p w14:paraId="33DF543C" w14:textId="2F9390F1" w:rsidR="00D43DA2" w:rsidRDefault="005950D3" w:rsidP="005B499C">
      <w:pPr>
        <w:spacing w:line="480" w:lineRule="auto"/>
      </w:pPr>
      <w:r>
        <w:t xml:space="preserve">The Theoretical Domains Framework </w:t>
      </w:r>
      <w:r w:rsidR="001B04F9">
        <w:t xml:space="preserve">(TDF) </w:t>
      </w:r>
      <w:r>
        <w:t xml:space="preserve">was used to explore the data for theory-based influences on behaviour. </w:t>
      </w:r>
      <w:r w:rsidRPr="003F69B5">
        <w:rPr>
          <w:bCs/>
        </w:rPr>
        <w:t>The TDF is a</w:t>
      </w:r>
      <w:r w:rsidR="00916BC5">
        <w:rPr>
          <w:bCs/>
        </w:rPr>
        <w:t xml:space="preserve"> </w:t>
      </w:r>
      <w:r w:rsidR="00FB7B88" w:rsidRPr="003F69B5">
        <w:rPr>
          <w:bCs/>
        </w:rPr>
        <w:t>theor</w:t>
      </w:r>
      <w:r w:rsidR="00FB7B88">
        <w:rPr>
          <w:bCs/>
        </w:rPr>
        <w:t>y</w:t>
      </w:r>
      <w:r w:rsidR="00D908A7">
        <w:rPr>
          <w:bCs/>
        </w:rPr>
        <w:t>-</w:t>
      </w:r>
      <w:r w:rsidRPr="003F69B5">
        <w:rPr>
          <w:bCs/>
        </w:rPr>
        <w:t xml:space="preserve">based </w:t>
      </w:r>
      <w:r w:rsidR="004C4BF2">
        <w:rPr>
          <w:bCs/>
        </w:rPr>
        <w:t xml:space="preserve">validated </w:t>
      </w:r>
      <w:r>
        <w:rPr>
          <w:bCs/>
        </w:rPr>
        <w:t>tool,</w:t>
      </w:r>
      <w:r w:rsidRPr="003F69B5">
        <w:rPr>
          <w:bCs/>
        </w:rPr>
        <w:t xml:space="preserve"> </w:t>
      </w:r>
      <w:r w:rsidRPr="00BF6403">
        <w:rPr>
          <w:bCs/>
        </w:rPr>
        <w:t>developed by a collaboration of behavioural scientists and implementation researchers</w:t>
      </w:r>
      <w:r w:rsidR="00916BC5">
        <w:rPr>
          <w:bCs/>
        </w:rPr>
        <w:t>,</w:t>
      </w:r>
      <w:r>
        <w:rPr>
          <w:bCs/>
        </w:rPr>
        <w:t xml:space="preserve"> </w:t>
      </w:r>
      <w:r w:rsidR="00916BC5">
        <w:rPr>
          <w:bCs/>
        </w:rPr>
        <w:t xml:space="preserve">which has been used to help understand the behaviour </w:t>
      </w:r>
      <w:r w:rsidR="00916BC5">
        <w:rPr>
          <w:bCs/>
        </w:rPr>
        <w:lastRenderedPageBreak/>
        <w:t xml:space="preserve">of health professionals in a variety of </w:t>
      </w:r>
      <w:proofErr w:type="gramStart"/>
      <w:r w:rsidR="00916BC5">
        <w:rPr>
          <w:bCs/>
        </w:rPr>
        <w:t>settings.</w:t>
      </w:r>
      <w:r w:rsidR="00741C47">
        <w:rPr>
          <w:bCs/>
        </w:rPr>
        <w:t>[</w:t>
      </w:r>
      <w:proofErr w:type="gramEnd"/>
      <w:r w:rsidR="00741C47">
        <w:rPr>
          <w:bCs/>
        </w:rPr>
        <w:t>1</w:t>
      </w:r>
      <w:r w:rsidR="00A675FA">
        <w:rPr>
          <w:bCs/>
        </w:rPr>
        <w:t>6</w:t>
      </w:r>
      <w:r w:rsidR="00741C47">
        <w:rPr>
          <w:bCs/>
        </w:rPr>
        <w:t>]</w:t>
      </w:r>
      <w:r w:rsidR="00916BC5">
        <w:rPr>
          <w:bCs/>
        </w:rPr>
        <w:t xml:space="preserve"> </w:t>
      </w:r>
      <w:r>
        <w:rPr>
          <w:bCs/>
        </w:rPr>
        <w:t>It synthesises 33 theories of behaviour and behaviour change, clustered into 14 domains which</w:t>
      </w:r>
      <w:r w:rsidRPr="003F69B5">
        <w:rPr>
          <w:bCs/>
        </w:rPr>
        <w:t xml:space="preserve"> </w:t>
      </w:r>
      <w:r>
        <w:rPr>
          <w:bCs/>
        </w:rPr>
        <w:t>are</w:t>
      </w:r>
      <w:r w:rsidRPr="003F69B5">
        <w:rPr>
          <w:bCs/>
        </w:rPr>
        <w:t xml:space="preserve"> used </w:t>
      </w:r>
      <w:r w:rsidR="001B04F9">
        <w:rPr>
          <w:bCs/>
        </w:rPr>
        <w:t xml:space="preserve">for data coding </w:t>
      </w:r>
      <w:r w:rsidRPr="003F69B5">
        <w:rPr>
          <w:bCs/>
        </w:rPr>
        <w:t xml:space="preserve">to detect </w:t>
      </w:r>
      <w:r>
        <w:rPr>
          <w:bCs/>
        </w:rPr>
        <w:t xml:space="preserve">a </w:t>
      </w:r>
      <w:r w:rsidRPr="00E57D37">
        <w:rPr>
          <w:bCs/>
        </w:rPr>
        <w:t>range of possible theory-based barriers and</w:t>
      </w:r>
      <w:r>
        <w:rPr>
          <w:bCs/>
        </w:rPr>
        <w:t xml:space="preserve"> </w:t>
      </w:r>
      <w:r w:rsidRPr="00E57D37">
        <w:rPr>
          <w:bCs/>
        </w:rPr>
        <w:t>enablers to behaviour and behaviour change</w:t>
      </w:r>
      <w:r>
        <w:rPr>
          <w:bCs/>
        </w:rPr>
        <w:t>.</w:t>
      </w:r>
      <w:r w:rsidR="00741C47">
        <w:rPr>
          <w:bCs/>
        </w:rPr>
        <w:t>[1</w:t>
      </w:r>
      <w:r w:rsidR="00A675FA">
        <w:rPr>
          <w:bCs/>
        </w:rPr>
        <w:t>6</w:t>
      </w:r>
      <w:r w:rsidR="00741C47">
        <w:rPr>
          <w:bCs/>
        </w:rPr>
        <w:t>]</w:t>
      </w:r>
      <w:r>
        <w:t xml:space="preserve"> </w:t>
      </w:r>
    </w:p>
    <w:p w14:paraId="069F0E9E" w14:textId="68383DB5" w:rsidR="00F34A4D" w:rsidRDefault="00690B50" w:rsidP="005B499C">
      <w:pPr>
        <w:spacing w:line="480" w:lineRule="auto"/>
      </w:pPr>
      <w:r>
        <w:t>Data were analysed across three stages</w:t>
      </w:r>
      <w:r w:rsidR="00F047DA">
        <w:t xml:space="preserve"> (</w:t>
      </w:r>
      <w:r w:rsidR="000E05DF">
        <w:t>Table 1</w:t>
      </w:r>
      <w:r w:rsidR="00F047DA">
        <w:t>)</w:t>
      </w:r>
      <w:r>
        <w:t xml:space="preserve">, beginning with inductive coding, followed by coding </w:t>
      </w:r>
      <w:r w:rsidR="00DA0D22">
        <w:t xml:space="preserve">core </w:t>
      </w:r>
      <w:r>
        <w:t xml:space="preserve">themes into the domains outlined by the </w:t>
      </w:r>
      <w:r w:rsidR="005950D3">
        <w:t>TDF</w:t>
      </w:r>
      <w:r w:rsidR="006406CE">
        <w:t xml:space="preserve"> (Insert Table 1 here)</w:t>
      </w:r>
      <w:r>
        <w:t xml:space="preserve">. </w:t>
      </w:r>
    </w:p>
    <w:p w14:paraId="784A0397" w14:textId="43323ADC" w:rsidR="00E01C91" w:rsidRDefault="00E01C91" w:rsidP="005B499C">
      <w:pPr>
        <w:spacing w:line="480" w:lineRule="auto"/>
      </w:pPr>
      <w:r>
        <w:t xml:space="preserve">Table 1. </w:t>
      </w:r>
      <w:r w:rsidR="007573BC">
        <w:t>The three stages of data analysis</w:t>
      </w:r>
    </w:p>
    <w:tbl>
      <w:tblPr>
        <w:tblStyle w:val="TableGrid"/>
        <w:tblW w:w="0" w:type="auto"/>
        <w:tblLook w:val="04A0" w:firstRow="1" w:lastRow="0" w:firstColumn="1" w:lastColumn="0" w:noHBand="0" w:noVBand="1"/>
      </w:tblPr>
      <w:tblGrid>
        <w:gridCol w:w="1413"/>
        <w:gridCol w:w="7603"/>
      </w:tblGrid>
      <w:tr w:rsidR="00E01C91" w14:paraId="431951E8" w14:textId="77777777" w:rsidTr="00E01C91">
        <w:tc>
          <w:tcPr>
            <w:tcW w:w="1413" w:type="dxa"/>
            <w:vAlign w:val="center"/>
          </w:tcPr>
          <w:p w14:paraId="5B48B222" w14:textId="08917AE6" w:rsidR="00E01C91" w:rsidRPr="00E01C91" w:rsidRDefault="00E01C91" w:rsidP="00E01C91">
            <w:pPr>
              <w:spacing w:line="276" w:lineRule="auto"/>
            </w:pPr>
            <w:bookmarkStart w:id="1" w:name="_Hlk82430722"/>
            <w:r w:rsidRPr="00E01C91">
              <w:t>Stage</w:t>
            </w:r>
          </w:p>
        </w:tc>
        <w:tc>
          <w:tcPr>
            <w:tcW w:w="7603" w:type="dxa"/>
            <w:vAlign w:val="center"/>
          </w:tcPr>
          <w:p w14:paraId="0EE6B0CD" w14:textId="0FBEE2DC" w:rsidR="00E01C91" w:rsidRPr="00E01C91" w:rsidRDefault="00E01C91" w:rsidP="00E01C91">
            <w:pPr>
              <w:spacing w:line="276" w:lineRule="auto"/>
            </w:pPr>
            <w:r>
              <w:t>Procedures</w:t>
            </w:r>
          </w:p>
        </w:tc>
      </w:tr>
      <w:tr w:rsidR="00E01C91" w14:paraId="68D8E42C" w14:textId="77777777" w:rsidTr="00E01C91">
        <w:tc>
          <w:tcPr>
            <w:tcW w:w="1413" w:type="dxa"/>
            <w:vAlign w:val="center"/>
          </w:tcPr>
          <w:p w14:paraId="3D681C48" w14:textId="1E99E55D" w:rsidR="00E01C91" w:rsidRPr="00E01C91" w:rsidRDefault="00E01C91" w:rsidP="00E01C91">
            <w:pPr>
              <w:spacing w:line="276" w:lineRule="auto"/>
            </w:pPr>
            <w:r w:rsidRPr="00E01C91">
              <w:t>1</w:t>
            </w:r>
            <w:r>
              <w:t>: Thematic Analysis</w:t>
            </w:r>
          </w:p>
        </w:tc>
        <w:tc>
          <w:tcPr>
            <w:tcW w:w="7603" w:type="dxa"/>
            <w:vAlign w:val="center"/>
          </w:tcPr>
          <w:p w14:paraId="5E11B851" w14:textId="44C36EFE" w:rsidR="00E01C91" w:rsidRPr="00E01C91" w:rsidRDefault="00E01C91" w:rsidP="00E01C91">
            <w:pPr>
              <w:spacing w:line="276" w:lineRule="auto"/>
            </w:pPr>
            <w:r>
              <w:t>T</w:t>
            </w:r>
            <w:r w:rsidRPr="00621875">
              <w:t>hematic analysis</w:t>
            </w:r>
            <w:r w:rsidR="005545A5">
              <w:t xml:space="preserve"> </w:t>
            </w:r>
            <w:r>
              <w:t xml:space="preserve">was </w:t>
            </w:r>
            <w:r w:rsidRPr="005D4A7D">
              <w:t>used</w:t>
            </w:r>
            <w:r>
              <w:t xml:space="preserve"> to analyse each data source, </w:t>
            </w:r>
            <w:r w:rsidRPr="00621875">
              <w:t>in a data‐driven inductive approach</w:t>
            </w:r>
            <w:r>
              <w:t>. T</w:t>
            </w:r>
            <w:r w:rsidRPr="00621875">
              <w:t xml:space="preserve">ranscripts were imported into the data‐management software NVivo 10, where </w:t>
            </w:r>
            <w:r>
              <w:t xml:space="preserve">two researchers (HN and LG) </w:t>
            </w:r>
            <w:r w:rsidRPr="00F34A4D">
              <w:t>read the transcripts several times</w:t>
            </w:r>
            <w:r>
              <w:t xml:space="preserve">, and then independently coded </w:t>
            </w:r>
            <w:r w:rsidRPr="00621875">
              <w:t>selections of text to represent instances of a concept</w:t>
            </w:r>
            <w:r>
              <w:t>. C</w:t>
            </w:r>
            <w:r w:rsidRPr="00621875">
              <w:t>odes were reviewed in terms of their relationship to other codes and combined to create more developed themes.</w:t>
            </w:r>
            <w:r>
              <w:t xml:space="preserve"> </w:t>
            </w:r>
            <w:r w:rsidRPr="00621875">
              <w:t xml:space="preserve">From this analysis, distinctions </w:t>
            </w:r>
            <w:r>
              <w:t xml:space="preserve">could be made </w:t>
            </w:r>
            <w:r w:rsidRPr="00621875">
              <w:t>between the different levels of themes (e</w:t>
            </w:r>
            <w:r>
              <w:t>.</w:t>
            </w:r>
            <w:r w:rsidRPr="00621875">
              <w:t>g</w:t>
            </w:r>
            <w:r>
              <w:t>.</w:t>
            </w:r>
            <w:r w:rsidRPr="00621875">
              <w:t xml:space="preserve"> main overarching themes and subthemes within them).</w:t>
            </w:r>
            <w:r>
              <w:t xml:space="preserve"> </w:t>
            </w:r>
          </w:p>
        </w:tc>
      </w:tr>
      <w:tr w:rsidR="00E01C91" w14:paraId="5064DE47" w14:textId="77777777" w:rsidTr="00E01C91">
        <w:tc>
          <w:tcPr>
            <w:tcW w:w="1413" w:type="dxa"/>
            <w:vAlign w:val="center"/>
          </w:tcPr>
          <w:p w14:paraId="63B669A3" w14:textId="1C571F81" w:rsidR="00E01C91" w:rsidRPr="00E01C91" w:rsidRDefault="00E01C91" w:rsidP="00E01C91">
            <w:pPr>
              <w:spacing w:line="276" w:lineRule="auto"/>
            </w:pPr>
            <w:r>
              <w:t xml:space="preserve">2: </w:t>
            </w:r>
            <w:r w:rsidRPr="00E01C91">
              <w:t>Coding themes into TDF domains</w:t>
            </w:r>
          </w:p>
        </w:tc>
        <w:tc>
          <w:tcPr>
            <w:tcW w:w="7603" w:type="dxa"/>
            <w:vAlign w:val="center"/>
          </w:tcPr>
          <w:p w14:paraId="67FF8381" w14:textId="5C52287C" w:rsidR="00E01C91" w:rsidRPr="00E01C91" w:rsidRDefault="00E01C91" w:rsidP="00E01C91">
            <w:pPr>
              <w:spacing w:line="276" w:lineRule="auto"/>
            </w:pPr>
            <w:r w:rsidRPr="00E01C91">
              <w:t>Two researchers (HN and LG) independently coded themes into the TDF domains; going back to the original data coded within each theme to check this was an accurate representation of the domain.</w:t>
            </w:r>
          </w:p>
        </w:tc>
      </w:tr>
      <w:tr w:rsidR="00E01C91" w14:paraId="69A65836" w14:textId="77777777" w:rsidTr="00E01C91">
        <w:tc>
          <w:tcPr>
            <w:tcW w:w="1413" w:type="dxa"/>
            <w:vAlign w:val="center"/>
          </w:tcPr>
          <w:p w14:paraId="240237E5" w14:textId="57897D4C" w:rsidR="00E01C91" w:rsidRPr="00E01C91" w:rsidRDefault="00E01C91" w:rsidP="00E01C91">
            <w:pPr>
              <w:spacing w:line="276" w:lineRule="auto"/>
            </w:pPr>
            <w:r>
              <w:t xml:space="preserve">3: </w:t>
            </w:r>
            <w:r w:rsidRPr="00E01C91">
              <w:t>Thematic synthesis and generation of belief statements</w:t>
            </w:r>
          </w:p>
        </w:tc>
        <w:tc>
          <w:tcPr>
            <w:tcW w:w="7603" w:type="dxa"/>
            <w:vAlign w:val="center"/>
          </w:tcPr>
          <w:p w14:paraId="10DDDB5A" w14:textId="77777777" w:rsidR="00E01C91" w:rsidRDefault="00E01C91" w:rsidP="00E01C91">
            <w:pPr>
              <w:spacing w:line="276" w:lineRule="auto"/>
            </w:pPr>
            <w:r>
              <w:t xml:space="preserve">The researchers came together to compare coding of themes into domains. Themes that were coded in different domains by the researchers were discussed to establish consensus. In instances where single domain allocation agreement could not be reached, a third researcher (SV) was asked for input. </w:t>
            </w:r>
          </w:p>
          <w:p w14:paraId="0427103B" w14:textId="2A34CA90" w:rsidR="00E01C91" w:rsidRPr="00E01C91" w:rsidRDefault="00E01C91" w:rsidP="00E01C91">
            <w:pPr>
              <w:spacing w:line="276" w:lineRule="auto"/>
            </w:pPr>
            <w:r>
              <w:t>One researcher (LG) generated ‘belief statements’ to represent the specific belief from each theme, and provide detail about the role of the domain in influencing the target behaviour (TXA administration). This strategy was reviewed by the second researcher (HN) to ensure an accurate representation of content</w:t>
            </w:r>
          </w:p>
        </w:tc>
      </w:tr>
      <w:bookmarkEnd w:id="1"/>
    </w:tbl>
    <w:p w14:paraId="426A0FBD" w14:textId="1F9C5508" w:rsidR="0090501D" w:rsidRDefault="0090501D" w:rsidP="005B499C">
      <w:pPr>
        <w:spacing w:line="480" w:lineRule="auto"/>
        <w:rPr>
          <w:color w:val="FF0000"/>
        </w:rPr>
      </w:pPr>
    </w:p>
    <w:p w14:paraId="3AD06B9E" w14:textId="568858D1" w:rsidR="00FC4D6E" w:rsidRPr="009C223B" w:rsidRDefault="006406CE" w:rsidP="005B499C">
      <w:pPr>
        <w:spacing w:line="480" w:lineRule="auto"/>
        <w:rPr>
          <w:b/>
          <w:sz w:val="24"/>
        </w:rPr>
      </w:pPr>
      <w:r w:rsidRPr="009C223B">
        <w:rPr>
          <w:b/>
          <w:sz w:val="24"/>
        </w:rPr>
        <w:t>RESULTS</w:t>
      </w:r>
    </w:p>
    <w:p w14:paraId="67ED7910" w14:textId="237FC5BD" w:rsidR="003E1649" w:rsidRPr="006406CE" w:rsidRDefault="003E1649" w:rsidP="005B499C">
      <w:pPr>
        <w:spacing w:after="0" w:line="480" w:lineRule="auto"/>
        <w:rPr>
          <w:b/>
        </w:rPr>
      </w:pPr>
      <w:r w:rsidRPr="006406CE">
        <w:rPr>
          <w:b/>
        </w:rPr>
        <w:t>Participant characteristics</w:t>
      </w:r>
    </w:p>
    <w:p w14:paraId="3CD0CC2D" w14:textId="1EE31E32" w:rsidR="009C2C2F" w:rsidRPr="00AA78A9" w:rsidRDefault="00CB39F9" w:rsidP="005B499C">
      <w:pPr>
        <w:spacing w:line="480" w:lineRule="auto"/>
        <w:rPr>
          <w:color w:val="FF0000"/>
        </w:rPr>
      </w:pPr>
      <w:r>
        <w:t>Eighteen operational paramedics took part in semi-structured telephone interviews</w:t>
      </w:r>
      <w:r w:rsidR="003505A5">
        <w:t xml:space="preserve"> during December 2019</w:t>
      </w:r>
      <w:r>
        <w:t xml:space="preserve">. </w:t>
      </w:r>
      <w:r w:rsidR="003E1649">
        <w:t>The</w:t>
      </w:r>
      <w:r w:rsidR="005A1C78">
        <w:t xml:space="preserve"> majority of</w:t>
      </w:r>
      <w:r w:rsidR="003E1649">
        <w:t xml:space="preserve"> participants </w:t>
      </w:r>
      <w:r w:rsidR="005A1C78">
        <w:t>were male (78</w:t>
      </w:r>
      <w:r w:rsidR="005A1C78" w:rsidRPr="0033167A">
        <w:t xml:space="preserve">%). Participants </w:t>
      </w:r>
      <w:r w:rsidR="003E1649" w:rsidRPr="0033167A">
        <w:t>represented the full range of paramedic qualification routes</w:t>
      </w:r>
      <w:r w:rsidR="00295353" w:rsidRPr="0033167A">
        <w:t>, and experience</w:t>
      </w:r>
      <w:r w:rsidR="005A1C78" w:rsidRPr="0033167A">
        <w:t xml:space="preserve"> as a qualified paramedic</w:t>
      </w:r>
      <w:r w:rsidR="00295353" w:rsidRPr="0033167A">
        <w:t xml:space="preserve"> ranged from 13 months to </w:t>
      </w:r>
      <w:r w:rsidR="00AF0001" w:rsidRPr="0033167A">
        <w:t>34</w:t>
      </w:r>
      <w:r w:rsidR="00295353" w:rsidRPr="0033167A">
        <w:t xml:space="preserve"> years</w:t>
      </w:r>
      <w:r w:rsidR="00CD0670">
        <w:t xml:space="preserve">. </w:t>
      </w:r>
      <w:r w:rsidR="005A1C78" w:rsidRPr="0033167A">
        <w:t xml:space="preserve">Participants’ job titles </w:t>
      </w:r>
      <w:r w:rsidR="007F246E" w:rsidRPr="0033167A">
        <w:t>comprised</w:t>
      </w:r>
      <w:r w:rsidR="005A1C78" w:rsidRPr="005A1C78">
        <w:t xml:space="preserve">: </w:t>
      </w:r>
      <w:r w:rsidR="00D90C49">
        <w:t>C</w:t>
      </w:r>
      <w:r w:rsidR="005A1C78" w:rsidRPr="005A1C78">
        <w:t xml:space="preserve">linical </w:t>
      </w:r>
      <w:r w:rsidR="00D90C49">
        <w:t>L</w:t>
      </w:r>
      <w:r w:rsidR="005A1C78" w:rsidRPr="005A1C78">
        <w:t>ead (</w:t>
      </w:r>
      <w:r w:rsidR="005A1C78">
        <w:t xml:space="preserve">n = </w:t>
      </w:r>
      <w:r w:rsidR="005A1C78" w:rsidRPr="005A1C78">
        <w:t xml:space="preserve">1); </w:t>
      </w:r>
      <w:r w:rsidR="00082867" w:rsidRPr="00082867">
        <w:t xml:space="preserve">Hazardous Area Response </w:t>
      </w:r>
      <w:r w:rsidR="00082867" w:rsidRPr="00082867">
        <w:lastRenderedPageBreak/>
        <w:t>Team</w:t>
      </w:r>
      <w:r w:rsidR="00082867">
        <w:t xml:space="preserve"> </w:t>
      </w:r>
      <w:r w:rsidR="00D90C49">
        <w:t>P</w:t>
      </w:r>
      <w:r w:rsidR="005A1C78" w:rsidRPr="005A1C78">
        <w:t>aramedic (</w:t>
      </w:r>
      <w:r w:rsidR="005A1C78">
        <w:t xml:space="preserve">n = </w:t>
      </w:r>
      <w:r w:rsidR="005A1C78" w:rsidRPr="005A1C78">
        <w:t>1); Learning Development Officer (</w:t>
      </w:r>
      <w:r w:rsidR="005A1C78">
        <w:t xml:space="preserve">n = </w:t>
      </w:r>
      <w:r w:rsidR="005A1C78" w:rsidRPr="005A1C78">
        <w:t>1); Lead Paramedic (</w:t>
      </w:r>
      <w:r w:rsidR="005A1C78">
        <w:t xml:space="preserve">n = </w:t>
      </w:r>
      <w:r w:rsidR="005A1C78" w:rsidRPr="005A1C78">
        <w:t>2); Newly Qualified Paramedic (</w:t>
      </w:r>
      <w:r w:rsidR="005A1C78">
        <w:t xml:space="preserve">n = </w:t>
      </w:r>
      <w:r w:rsidR="005A1C78" w:rsidRPr="005A1C78">
        <w:t>4); Operations Officer (</w:t>
      </w:r>
      <w:r w:rsidR="005A1C78">
        <w:t xml:space="preserve">n = </w:t>
      </w:r>
      <w:r w:rsidR="005A1C78" w:rsidRPr="005A1C78">
        <w:t>2); and Paramedic (</w:t>
      </w:r>
      <w:r w:rsidR="005A1C78">
        <w:t xml:space="preserve">n = </w:t>
      </w:r>
      <w:r w:rsidR="005A1C78" w:rsidRPr="005A1C78">
        <w:t>7).</w:t>
      </w:r>
      <w:r w:rsidR="00B92361" w:rsidRPr="00B92361">
        <w:t xml:space="preserve"> </w:t>
      </w:r>
      <w:r w:rsidR="00B92361">
        <w:t>All but one</w:t>
      </w:r>
      <w:r w:rsidR="00B92361" w:rsidRPr="00B92361">
        <w:t xml:space="preserve"> participant had experience of administering TXA</w:t>
      </w:r>
      <w:r w:rsidR="005545A5">
        <w:t xml:space="preserve"> themselves</w:t>
      </w:r>
      <w:r w:rsidR="00B92361" w:rsidRPr="00B92361">
        <w:t xml:space="preserve">, while </w:t>
      </w:r>
      <w:r w:rsidR="00B92361">
        <w:t>the other</w:t>
      </w:r>
      <w:r w:rsidR="00B92361" w:rsidRPr="00B92361">
        <w:t xml:space="preserve"> participant had not </w:t>
      </w:r>
      <w:r w:rsidR="005545A5">
        <w:t xml:space="preserve">personally </w:t>
      </w:r>
      <w:r w:rsidR="00B92361" w:rsidRPr="00B92361">
        <w:t xml:space="preserve">administered TXA but had seen it being </w:t>
      </w:r>
      <w:r w:rsidR="00CE1C21">
        <w:t>given</w:t>
      </w:r>
      <w:r w:rsidR="00B92361" w:rsidRPr="00B92361">
        <w:t xml:space="preserve"> by </w:t>
      </w:r>
      <w:r w:rsidR="00B92361">
        <w:t xml:space="preserve">the </w:t>
      </w:r>
      <w:r w:rsidR="00B92361" w:rsidRPr="00B92361">
        <w:t xml:space="preserve">Helicopter Emergency Medical Services </w:t>
      </w:r>
      <w:r w:rsidR="00B92361">
        <w:t>(</w:t>
      </w:r>
      <w:r w:rsidR="00B92361" w:rsidRPr="00B92361">
        <w:t>HEM</w:t>
      </w:r>
      <w:r w:rsidR="00B92361">
        <w:t>S) team</w:t>
      </w:r>
      <w:r w:rsidR="00B92361" w:rsidRPr="00B92361">
        <w:t xml:space="preserve">. </w:t>
      </w:r>
    </w:p>
    <w:p w14:paraId="25C2A875" w14:textId="63B7C23A" w:rsidR="0090501D" w:rsidRPr="006406CE" w:rsidRDefault="00237D7D" w:rsidP="005B499C">
      <w:pPr>
        <w:spacing w:after="0" w:line="480" w:lineRule="auto"/>
        <w:rPr>
          <w:b/>
        </w:rPr>
      </w:pPr>
      <w:r w:rsidRPr="006406CE">
        <w:rPr>
          <w:b/>
        </w:rPr>
        <w:t xml:space="preserve">Key Theoretical </w:t>
      </w:r>
      <w:r w:rsidR="0090501D" w:rsidRPr="006406CE">
        <w:rPr>
          <w:b/>
        </w:rPr>
        <w:t>Domains</w:t>
      </w:r>
    </w:p>
    <w:p w14:paraId="760835D8" w14:textId="538B9E44" w:rsidR="002A5609" w:rsidRDefault="00AA78A9" w:rsidP="005B499C">
      <w:pPr>
        <w:spacing w:line="480" w:lineRule="auto"/>
      </w:pPr>
      <w:r>
        <w:t>A total of 947 utterances from the 18 interviews were coded into the 1</w:t>
      </w:r>
      <w:r w:rsidR="00FD6F84">
        <w:t>4</w:t>
      </w:r>
      <w:r>
        <w:t xml:space="preserve"> domains of TD</w:t>
      </w:r>
      <w:r w:rsidR="00655FCF">
        <w:t>F.</w:t>
      </w:r>
      <w:r>
        <w:t xml:space="preserve"> </w:t>
      </w:r>
      <w:r w:rsidR="002F731F">
        <w:t>Eleven</w:t>
      </w:r>
      <w:r w:rsidR="00742D9E" w:rsidRPr="00742D9E">
        <w:t xml:space="preserve"> domains of the TDF collectively captured the major barriers and facilitators to paramedic administration of TXA to trauma patients</w:t>
      </w:r>
      <w:r w:rsidR="00716281" w:rsidRPr="00742D9E">
        <w:t xml:space="preserve">: </w:t>
      </w:r>
      <w:bookmarkStart w:id="2" w:name="_Hlk41470216"/>
      <w:r w:rsidR="00FD6F84">
        <w:t>Knowledge; Skills; Social/professional role and identity; Beliefs about capabilities; Beliefs about consequences; Reinforcement;</w:t>
      </w:r>
      <w:r w:rsidR="00397537">
        <w:t xml:space="preserve"> Goals;</w:t>
      </w:r>
      <w:r w:rsidR="00FD6F84">
        <w:t xml:space="preserve"> Memory, attention and decision processes; Environmental context and resources; Social influences; Emotion</w:t>
      </w:r>
      <w:r w:rsidR="00577F7A">
        <w:t>.</w:t>
      </w:r>
      <w:r w:rsidR="00FD6F84">
        <w:t xml:space="preserve"> </w:t>
      </w:r>
      <w:bookmarkEnd w:id="2"/>
      <w:r w:rsidR="002F731F">
        <w:t xml:space="preserve">The domains of </w:t>
      </w:r>
      <w:r w:rsidR="00FD6F84">
        <w:t>‘</w:t>
      </w:r>
      <w:r w:rsidR="002F731F">
        <w:t>Knowledge</w:t>
      </w:r>
      <w:r w:rsidR="00FD6F84">
        <w:t>’</w:t>
      </w:r>
      <w:r w:rsidR="002F731F">
        <w:t xml:space="preserve"> and </w:t>
      </w:r>
      <w:r w:rsidR="00FD6F84">
        <w:t>‘</w:t>
      </w:r>
      <w:r w:rsidR="002F731F">
        <w:t>Skills</w:t>
      </w:r>
      <w:r w:rsidR="00FD6F84">
        <w:t>’</w:t>
      </w:r>
      <w:r w:rsidR="002F731F">
        <w:t xml:space="preserve"> were co</w:t>
      </w:r>
      <w:r w:rsidR="00FD6F84">
        <w:t>mbined</w:t>
      </w:r>
      <w:r w:rsidR="002F731F">
        <w:t xml:space="preserve"> to form one domain</w:t>
      </w:r>
      <w:r w:rsidR="00FD6F84">
        <w:t xml:space="preserve"> of ‘Knowledge and Skills’</w:t>
      </w:r>
      <w:r w:rsidR="002F731F">
        <w:t xml:space="preserve"> due to the interconnection of the domains in participant responses</w:t>
      </w:r>
      <w:r w:rsidR="003A7551">
        <w:t>, therefore ten domains are presented in the findings of this paper</w:t>
      </w:r>
      <w:r w:rsidR="000E154B">
        <w:t xml:space="preserve"> (Table </w:t>
      </w:r>
      <w:r w:rsidR="000E05DF">
        <w:t>2</w:t>
      </w:r>
      <w:r w:rsidR="000E154B">
        <w:t>)</w:t>
      </w:r>
      <w:r w:rsidR="002F731F">
        <w:t>.</w:t>
      </w:r>
      <w:r w:rsidR="000A49BB">
        <w:t xml:space="preserve"> </w:t>
      </w:r>
    </w:p>
    <w:p w14:paraId="3E6AFA9F" w14:textId="77777777" w:rsidR="00F5243A" w:rsidRDefault="00F5243A" w:rsidP="00F5243A">
      <w:pPr>
        <w:sectPr w:rsidR="00F5243A" w:rsidSect="005B499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lnNumType w:countBy="1" w:restart="continuous"/>
          <w:cols w:space="708"/>
          <w:docGrid w:linePitch="360"/>
        </w:sectPr>
      </w:pPr>
    </w:p>
    <w:p w14:paraId="11ED3C16" w14:textId="77777777" w:rsidR="00F5243A" w:rsidRDefault="00F5243A" w:rsidP="00F5243A">
      <w:r>
        <w:lastRenderedPageBreak/>
        <w:t>Table 2</w:t>
      </w:r>
      <w:r w:rsidRPr="00A1196B">
        <w:t xml:space="preserve">: </w:t>
      </w:r>
      <w:r>
        <w:t>S</w:t>
      </w:r>
      <w:r w:rsidRPr="00A1196B">
        <w:t xml:space="preserve">ummary of belief statements and </w:t>
      </w:r>
      <w:r>
        <w:t>illustrative quotes by domain of the TDF.</w:t>
      </w:r>
    </w:p>
    <w:tbl>
      <w:tblPr>
        <w:tblStyle w:val="TableGrid"/>
        <w:tblW w:w="14176" w:type="dxa"/>
        <w:tblInd w:w="-147" w:type="dxa"/>
        <w:tblLayout w:type="fixed"/>
        <w:tblLook w:val="04A0" w:firstRow="1" w:lastRow="0" w:firstColumn="1" w:lastColumn="0" w:noHBand="0" w:noVBand="1"/>
      </w:tblPr>
      <w:tblGrid>
        <w:gridCol w:w="1555"/>
        <w:gridCol w:w="1276"/>
        <w:gridCol w:w="3401"/>
        <w:gridCol w:w="851"/>
        <w:gridCol w:w="4536"/>
        <w:gridCol w:w="1276"/>
        <w:gridCol w:w="1281"/>
      </w:tblGrid>
      <w:tr w:rsidR="00BC3DCC" w14:paraId="652DB637" w14:textId="77777777" w:rsidTr="004645D5">
        <w:trPr>
          <w:trHeight w:val="557"/>
        </w:trPr>
        <w:tc>
          <w:tcPr>
            <w:tcW w:w="1555" w:type="dxa"/>
            <w:shd w:val="clear" w:color="auto" w:fill="auto"/>
          </w:tcPr>
          <w:p w14:paraId="1FCFB4B3" w14:textId="77777777" w:rsidR="00F5243A" w:rsidRPr="00EE6670" w:rsidRDefault="00F5243A" w:rsidP="004645D5">
            <w:pPr>
              <w:rPr>
                <w:b/>
              </w:rPr>
            </w:pPr>
            <w:r w:rsidRPr="00EE6670">
              <w:rPr>
                <w:b/>
              </w:rPr>
              <w:t>Domain</w:t>
            </w:r>
          </w:p>
        </w:tc>
        <w:tc>
          <w:tcPr>
            <w:tcW w:w="1276" w:type="dxa"/>
            <w:shd w:val="clear" w:color="auto" w:fill="auto"/>
          </w:tcPr>
          <w:p w14:paraId="7E53FFDB" w14:textId="77777777" w:rsidR="00F5243A" w:rsidRDefault="00F5243A" w:rsidP="004645D5">
            <w:pPr>
              <w:rPr>
                <w:b/>
              </w:rPr>
            </w:pPr>
            <w:r>
              <w:rPr>
                <w:b/>
              </w:rPr>
              <w:t>Barrier/</w:t>
            </w:r>
          </w:p>
          <w:p w14:paraId="778B63AD" w14:textId="77777777" w:rsidR="00F5243A" w:rsidRPr="00EE6670" w:rsidRDefault="00F5243A" w:rsidP="004645D5">
            <w:pPr>
              <w:rPr>
                <w:b/>
              </w:rPr>
            </w:pPr>
            <w:r>
              <w:rPr>
                <w:b/>
              </w:rPr>
              <w:t xml:space="preserve">Facilitator </w:t>
            </w:r>
          </w:p>
        </w:tc>
        <w:tc>
          <w:tcPr>
            <w:tcW w:w="3401" w:type="dxa"/>
            <w:shd w:val="clear" w:color="auto" w:fill="auto"/>
          </w:tcPr>
          <w:p w14:paraId="397BCC13" w14:textId="77777777" w:rsidR="00F5243A" w:rsidRPr="00EE6670" w:rsidRDefault="00F5243A" w:rsidP="004645D5">
            <w:pPr>
              <w:rPr>
                <w:b/>
              </w:rPr>
            </w:pPr>
            <w:r w:rsidRPr="00EE6670">
              <w:rPr>
                <w:b/>
              </w:rPr>
              <w:t>Belief statement</w:t>
            </w:r>
          </w:p>
        </w:tc>
        <w:tc>
          <w:tcPr>
            <w:tcW w:w="851" w:type="dxa"/>
            <w:shd w:val="clear" w:color="auto" w:fill="auto"/>
          </w:tcPr>
          <w:p w14:paraId="5D50C1DA" w14:textId="77777777" w:rsidR="00F5243A" w:rsidRPr="00A025DE" w:rsidRDefault="00F5243A" w:rsidP="004645D5">
            <w:pPr>
              <w:rPr>
                <w:b/>
              </w:rPr>
            </w:pPr>
            <w:r w:rsidRPr="00A025DE">
              <w:rPr>
                <w:b/>
              </w:rPr>
              <w:t>Quote</w:t>
            </w:r>
          </w:p>
        </w:tc>
        <w:tc>
          <w:tcPr>
            <w:tcW w:w="4536" w:type="dxa"/>
            <w:shd w:val="clear" w:color="auto" w:fill="auto"/>
          </w:tcPr>
          <w:p w14:paraId="7E29B6F0" w14:textId="77777777" w:rsidR="00F5243A" w:rsidRPr="00EE6670" w:rsidRDefault="00F5243A" w:rsidP="004645D5">
            <w:pPr>
              <w:rPr>
                <w:b/>
              </w:rPr>
            </w:pPr>
            <w:r w:rsidRPr="00311518">
              <w:rPr>
                <w:b/>
              </w:rPr>
              <w:t>Example quote</w:t>
            </w:r>
          </w:p>
        </w:tc>
        <w:tc>
          <w:tcPr>
            <w:tcW w:w="1276" w:type="dxa"/>
            <w:shd w:val="clear" w:color="auto" w:fill="auto"/>
          </w:tcPr>
          <w:p w14:paraId="215C00DD" w14:textId="77777777" w:rsidR="00F5243A" w:rsidRPr="00EE6670" w:rsidRDefault="00F5243A" w:rsidP="004645D5">
            <w:pPr>
              <w:rPr>
                <w:b/>
              </w:rPr>
            </w:pPr>
            <w:r w:rsidRPr="00EE6670">
              <w:rPr>
                <w:b/>
              </w:rPr>
              <w:t>No. of transcripts</w:t>
            </w:r>
            <w:r>
              <w:rPr>
                <w:b/>
              </w:rPr>
              <w:t xml:space="preserve"> </w:t>
            </w:r>
          </w:p>
        </w:tc>
        <w:tc>
          <w:tcPr>
            <w:tcW w:w="1281" w:type="dxa"/>
            <w:shd w:val="clear" w:color="auto" w:fill="auto"/>
          </w:tcPr>
          <w:p w14:paraId="6199D282" w14:textId="77777777" w:rsidR="00F5243A" w:rsidRPr="00EE6670" w:rsidRDefault="00F5243A" w:rsidP="004645D5">
            <w:pPr>
              <w:rPr>
                <w:b/>
              </w:rPr>
            </w:pPr>
            <w:r>
              <w:rPr>
                <w:b/>
              </w:rPr>
              <w:t>Richness of description</w:t>
            </w:r>
          </w:p>
        </w:tc>
      </w:tr>
      <w:tr w:rsidR="00BC3DCC" w14:paraId="51FC85A5" w14:textId="77777777" w:rsidTr="004645D5">
        <w:trPr>
          <w:trHeight w:val="552"/>
        </w:trPr>
        <w:tc>
          <w:tcPr>
            <w:tcW w:w="1555" w:type="dxa"/>
            <w:vMerge w:val="restart"/>
            <w:shd w:val="clear" w:color="auto" w:fill="auto"/>
          </w:tcPr>
          <w:p w14:paraId="25B458E3" w14:textId="77777777" w:rsidR="00F5243A" w:rsidRDefault="00F5243A" w:rsidP="004645D5">
            <w:r>
              <w:t>Beliefs about capabilities</w:t>
            </w:r>
          </w:p>
        </w:tc>
        <w:tc>
          <w:tcPr>
            <w:tcW w:w="1276" w:type="dxa"/>
            <w:vMerge w:val="restart"/>
            <w:shd w:val="clear" w:color="auto" w:fill="auto"/>
          </w:tcPr>
          <w:p w14:paraId="12C2CE71" w14:textId="77777777" w:rsidR="00F5243A" w:rsidRDefault="00F5243A" w:rsidP="004645D5">
            <w:r>
              <w:t xml:space="preserve">Barriers </w:t>
            </w:r>
          </w:p>
        </w:tc>
        <w:tc>
          <w:tcPr>
            <w:tcW w:w="3401" w:type="dxa"/>
            <w:shd w:val="clear" w:color="auto" w:fill="auto"/>
          </w:tcPr>
          <w:p w14:paraId="56766D96" w14:textId="77777777" w:rsidR="00F5243A" w:rsidRDefault="00F5243A" w:rsidP="004645D5">
            <w:r>
              <w:t>I/my colleagues do not have the confidence to administer TXA to a trauma patient</w:t>
            </w:r>
          </w:p>
        </w:tc>
        <w:tc>
          <w:tcPr>
            <w:tcW w:w="851" w:type="dxa"/>
            <w:shd w:val="clear" w:color="auto" w:fill="auto"/>
          </w:tcPr>
          <w:p w14:paraId="1856F799" w14:textId="77777777" w:rsidR="00F5243A" w:rsidRPr="00A025DE" w:rsidRDefault="00F5243A" w:rsidP="004645D5">
            <w:r>
              <w:t>Q13</w:t>
            </w:r>
          </w:p>
        </w:tc>
        <w:tc>
          <w:tcPr>
            <w:tcW w:w="4536" w:type="dxa"/>
            <w:shd w:val="clear" w:color="auto" w:fill="auto"/>
          </w:tcPr>
          <w:p w14:paraId="5B6575D5" w14:textId="77777777" w:rsidR="00F5243A" w:rsidRDefault="00F5243A" w:rsidP="004645D5">
            <w:r w:rsidRPr="00311518">
              <w:rPr>
                <w:i/>
              </w:rPr>
              <w:t>There's a couple of patients that I thought about it but I wasn't 100% sure so I kind of left it to somebody else to make the decision I suppose (P018)</w:t>
            </w:r>
          </w:p>
        </w:tc>
        <w:tc>
          <w:tcPr>
            <w:tcW w:w="1276" w:type="dxa"/>
            <w:shd w:val="clear" w:color="auto" w:fill="auto"/>
          </w:tcPr>
          <w:p w14:paraId="5E6650A2" w14:textId="77777777" w:rsidR="00F5243A" w:rsidRDefault="00F5243A" w:rsidP="004645D5">
            <w:r>
              <w:t xml:space="preserve">7 </w:t>
            </w:r>
          </w:p>
        </w:tc>
        <w:tc>
          <w:tcPr>
            <w:tcW w:w="1281" w:type="dxa"/>
            <w:vMerge w:val="restart"/>
            <w:shd w:val="clear" w:color="auto" w:fill="auto"/>
            <w:vAlign w:val="center"/>
          </w:tcPr>
          <w:p w14:paraId="1630320B" w14:textId="77777777" w:rsidR="00F5243A" w:rsidRDefault="00F5243A" w:rsidP="004645D5">
            <w:r>
              <w:t>Medium</w:t>
            </w:r>
          </w:p>
        </w:tc>
      </w:tr>
      <w:tr w:rsidR="00BC3DCC" w14:paraId="57E642A3" w14:textId="77777777" w:rsidTr="004645D5">
        <w:trPr>
          <w:trHeight w:val="552"/>
        </w:trPr>
        <w:tc>
          <w:tcPr>
            <w:tcW w:w="1555" w:type="dxa"/>
            <w:vMerge/>
            <w:shd w:val="clear" w:color="auto" w:fill="auto"/>
          </w:tcPr>
          <w:p w14:paraId="5F9FE6E0" w14:textId="77777777" w:rsidR="00F5243A" w:rsidRDefault="00F5243A" w:rsidP="004645D5"/>
        </w:tc>
        <w:tc>
          <w:tcPr>
            <w:tcW w:w="1276" w:type="dxa"/>
            <w:vMerge/>
            <w:shd w:val="clear" w:color="auto" w:fill="auto"/>
          </w:tcPr>
          <w:p w14:paraId="14691AB6" w14:textId="77777777" w:rsidR="00F5243A" w:rsidRDefault="00F5243A" w:rsidP="004645D5"/>
        </w:tc>
        <w:tc>
          <w:tcPr>
            <w:tcW w:w="3401" w:type="dxa"/>
            <w:shd w:val="clear" w:color="auto" w:fill="auto"/>
          </w:tcPr>
          <w:p w14:paraId="1F326AD9" w14:textId="77777777" w:rsidR="00F5243A" w:rsidRDefault="00F5243A" w:rsidP="004645D5">
            <w:r>
              <w:t>Paramedics get insufficient feedback on whether or not TXA was appropriately given, which hinders our confidence in administering it</w:t>
            </w:r>
          </w:p>
        </w:tc>
        <w:tc>
          <w:tcPr>
            <w:tcW w:w="851" w:type="dxa"/>
            <w:shd w:val="clear" w:color="auto" w:fill="auto"/>
          </w:tcPr>
          <w:p w14:paraId="6C39B92E" w14:textId="77777777" w:rsidR="00F5243A" w:rsidRDefault="00F5243A" w:rsidP="004645D5">
            <w:r>
              <w:t>Q14</w:t>
            </w:r>
          </w:p>
          <w:p w14:paraId="7D821C4F" w14:textId="77777777" w:rsidR="00F5243A" w:rsidRPr="006A4ECC" w:rsidRDefault="00F5243A" w:rsidP="004645D5"/>
        </w:tc>
        <w:tc>
          <w:tcPr>
            <w:tcW w:w="4536" w:type="dxa"/>
            <w:shd w:val="clear" w:color="auto" w:fill="auto"/>
          </w:tcPr>
          <w:p w14:paraId="0384F39F" w14:textId="77777777" w:rsidR="00F5243A" w:rsidRPr="00311518" w:rsidRDefault="00F5243A" w:rsidP="004645D5">
            <w:pPr>
              <w:rPr>
                <w:i/>
              </w:rPr>
            </w:pPr>
            <w:r w:rsidRPr="00311518">
              <w:rPr>
                <w:i/>
              </w:rPr>
              <w:t>We rarely get a chance to follow up on our patients, we never know whether what we've done is right or wrong so we don't know if a particular patient we went to did get TXA in hospital and did benefit from it. (P008)</w:t>
            </w:r>
          </w:p>
        </w:tc>
        <w:tc>
          <w:tcPr>
            <w:tcW w:w="1276" w:type="dxa"/>
            <w:shd w:val="clear" w:color="auto" w:fill="auto"/>
          </w:tcPr>
          <w:p w14:paraId="1E82C40D" w14:textId="77777777" w:rsidR="00F5243A" w:rsidRDefault="00F5243A" w:rsidP="004645D5">
            <w:pPr>
              <w:ind w:right="5617"/>
            </w:pPr>
            <w:r>
              <w:t>4</w:t>
            </w:r>
          </w:p>
        </w:tc>
        <w:tc>
          <w:tcPr>
            <w:tcW w:w="1281" w:type="dxa"/>
            <w:vMerge/>
            <w:shd w:val="clear" w:color="auto" w:fill="auto"/>
            <w:vAlign w:val="center"/>
          </w:tcPr>
          <w:p w14:paraId="19A7DD6C" w14:textId="77777777" w:rsidR="00F5243A" w:rsidRDefault="00F5243A" w:rsidP="004645D5"/>
        </w:tc>
      </w:tr>
      <w:tr w:rsidR="00BC3DCC" w14:paraId="45FE8005" w14:textId="77777777" w:rsidTr="004645D5">
        <w:trPr>
          <w:trHeight w:val="478"/>
        </w:trPr>
        <w:tc>
          <w:tcPr>
            <w:tcW w:w="1555" w:type="dxa"/>
            <w:vMerge/>
            <w:shd w:val="clear" w:color="auto" w:fill="auto"/>
          </w:tcPr>
          <w:p w14:paraId="37974F37" w14:textId="77777777" w:rsidR="00F5243A" w:rsidRDefault="00F5243A" w:rsidP="004645D5"/>
        </w:tc>
        <w:tc>
          <w:tcPr>
            <w:tcW w:w="1276" w:type="dxa"/>
            <w:vMerge w:val="restart"/>
            <w:shd w:val="clear" w:color="auto" w:fill="auto"/>
          </w:tcPr>
          <w:p w14:paraId="42C6CF51" w14:textId="77777777" w:rsidR="00F5243A" w:rsidRDefault="00F5243A" w:rsidP="004645D5">
            <w:r>
              <w:t xml:space="preserve">Facilitators </w:t>
            </w:r>
          </w:p>
        </w:tc>
        <w:tc>
          <w:tcPr>
            <w:tcW w:w="3401" w:type="dxa"/>
            <w:shd w:val="clear" w:color="auto" w:fill="auto"/>
          </w:tcPr>
          <w:p w14:paraId="600C2433" w14:textId="77777777" w:rsidR="00F5243A" w:rsidRDefault="00F5243A" w:rsidP="004645D5">
            <w:r>
              <w:t>I feel c</w:t>
            </w:r>
            <w:r w:rsidRPr="00EE6670">
              <w:t>omfortable administering TXA to a trauma patient</w:t>
            </w:r>
          </w:p>
        </w:tc>
        <w:tc>
          <w:tcPr>
            <w:tcW w:w="851" w:type="dxa"/>
            <w:shd w:val="clear" w:color="auto" w:fill="auto"/>
          </w:tcPr>
          <w:p w14:paraId="4CD5A732" w14:textId="77777777" w:rsidR="00F5243A" w:rsidRPr="00A025DE" w:rsidRDefault="00F5243A" w:rsidP="004645D5">
            <w:r>
              <w:t>Q12</w:t>
            </w:r>
          </w:p>
        </w:tc>
        <w:tc>
          <w:tcPr>
            <w:tcW w:w="4536" w:type="dxa"/>
            <w:shd w:val="clear" w:color="auto" w:fill="auto"/>
          </w:tcPr>
          <w:p w14:paraId="3B7C0DDE" w14:textId="77777777" w:rsidR="00F5243A" w:rsidRDefault="00F5243A" w:rsidP="004645D5">
            <w:r w:rsidRPr="00311518">
              <w:rPr>
                <w:i/>
              </w:rPr>
              <w:t>I haven't known of any adverse reactions or hypertension or anything from giving the drug.  So, I think they're sort of, they're not scared of using it. (P014)</w:t>
            </w:r>
          </w:p>
        </w:tc>
        <w:tc>
          <w:tcPr>
            <w:tcW w:w="1276" w:type="dxa"/>
            <w:shd w:val="clear" w:color="auto" w:fill="auto"/>
          </w:tcPr>
          <w:p w14:paraId="212CDC49" w14:textId="77777777" w:rsidR="00F5243A" w:rsidRDefault="00F5243A" w:rsidP="004645D5">
            <w:r>
              <w:t>9</w:t>
            </w:r>
          </w:p>
        </w:tc>
        <w:tc>
          <w:tcPr>
            <w:tcW w:w="1281" w:type="dxa"/>
            <w:vMerge w:val="restart"/>
            <w:shd w:val="clear" w:color="auto" w:fill="auto"/>
            <w:vAlign w:val="center"/>
          </w:tcPr>
          <w:p w14:paraId="510B9FCE" w14:textId="77777777" w:rsidR="00F5243A" w:rsidRDefault="00F5243A" w:rsidP="004645D5">
            <w:r>
              <w:t>Medium</w:t>
            </w:r>
          </w:p>
        </w:tc>
      </w:tr>
      <w:tr w:rsidR="00BC3DCC" w14:paraId="22A4745F" w14:textId="77777777" w:rsidTr="004645D5">
        <w:trPr>
          <w:trHeight w:val="966"/>
        </w:trPr>
        <w:tc>
          <w:tcPr>
            <w:tcW w:w="1555" w:type="dxa"/>
            <w:vMerge/>
            <w:tcBorders>
              <w:bottom w:val="single" w:sz="4" w:space="0" w:color="auto"/>
            </w:tcBorders>
            <w:shd w:val="clear" w:color="auto" w:fill="auto"/>
          </w:tcPr>
          <w:p w14:paraId="4F822605" w14:textId="77777777" w:rsidR="00F5243A" w:rsidRDefault="00F5243A" w:rsidP="004645D5"/>
        </w:tc>
        <w:tc>
          <w:tcPr>
            <w:tcW w:w="1276" w:type="dxa"/>
            <w:vMerge/>
            <w:tcBorders>
              <w:bottom w:val="single" w:sz="4" w:space="0" w:color="auto"/>
            </w:tcBorders>
            <w:shd w:val="clear" w:color="auto" w:fill="auto"/>
          </w:tcPr>
          <w:p w14:paraId="4EF95E5D" w14:textId="77777777" w:rsidR="00F5243A" w:rsidRDefault="00F5243A" w:rsidP="004645D5"/>
        </w:tc>
        <w:tc>
          <w:tcPr>
            <w:tcW w:w="3401" w:type="dxa"/>
            <w:tcBorders>
              <w:bottom w:val="single" w:sz="4" w:space="0" w:color="auto"/>
            </w:tcBorders>
            <w:shd w:val="clear" w:color="auto" w:fill="auto"/>
          </w:tcPr>
          <w:p w14:paraId="4FA5F9BD" w14:textId="77777777" w:rsidR="00F5243A" w:rsidRDefault="00F5243A" w:rsidP="004645D5">
            <w:r>
              <w:t xml:space="preserve">I observe </w:t>
            </w:r>
            <w:r w:rsidRPr="00EE6670">
              <w:t xml:space="preserve">HEMS administer TXA </w:t>
            </w:r>
            <w:r>
              <w:t>frequently</w:t>
            </w:r>
            <w:r w:rsidRPr="00EE6670">
              <w:t xml:space="preserve">, </w:t>
            </w:r>
            <w:r>
              <w:t xml:space="preserve">which has given me more confidence to administer it </w:t>
            </w:r>
          </w:p>
        </w:tc>
        <w:tc>
          <w:tcPr>
            <w:tcW w:w="851" w:type="dxa"/>
            <w:tcBorders>
              <w:bottom w:val="single" w:sz="4" w:space="0" w:color="auto"/>
            </w:tcBorders>
            <w:shd w:val="clear" w:color="auto" w:fill="auto"/>
          </w:tcPr>
          <w:p w14:paraId="2D6AAD57" w14:textId="77777777" w:rsidR="00F5243A" w:rsidRPr="00A025DE" w:rsidRDefault="00F5243A" w:rsidP="004645D5">
            <w:r>
              <w:t>Q15</w:t>
            </w:r>
          </w:p>
        </w:tc>
        <w:tc>
          <w:tcPr>
            <w:tcW w:w="4536" w:type="dxa"/>
            <w:tcBorders>
              <w:bottom w:val="single" w:sz="4" w:space="0" w:color="auto"/>
            </w:tcBorders>
            <w:shd w:val="clear" w:color="auto" w:fill="auto"/>
          </w:tcPr>
          <w:p w14:paraId="7088A8BC" w14:textId="77777777" w:rsidR="00F5243A" w:rsidRDefault="00F5243A" w:rsidP="004645D5">
            <w:r w:rsidRPr="00311518">
              <w:rPr>
                <w:i/>
              </w:rPr>
              <w:t>I've also had quite a lot of experience using it on … on HEMS, without any adverse effects that I've ever been aware of, and I've also seen it given fairly liberally in A&amp;E. (P005)</w:t>
            </w:r>
          </w:p>
        </w:tc>
        <w:tc>
          <w:tcPr>
            <w:tcW w:w="1276" w:type="dxa"/>
            <w:tcBorders>
              <w:bottom w:val="single" w:sz="4" w:space="0" w:color="auto"/>
            </w:tcBorders>
            <w:shd w:val="clear" w:color="auto" w:fill="auto"/>
          </w:tcPr>
          <w:p w14:paraId="45BE3519" w14:textId="77777777" w:rsidR="00F5243A" w:rsidRDefault="00F5243A" w:rsidP="004645D5">
            <w:r>
              <w:t>4</w:t>
            </w:r>
          </w:p>
        </w:tc>
        <w:tc>
          <w:tcPr>
            <w:tcW w:w="1281" w:type="dxa"/>
            <w:vMerge/>
            <w:tcBorders>
              <w:bottom w:val="single" w:sz="4" w:space="0" w:color="auto"/>
            </w:tcBorders>
            <w:shd w:val="clear" w:color="auto" w:fill="auto"/>
            <w:vAlign w:val="center"/>
          </w:tcPr>
          <w:p w14:paraId="2D07E337" w14:textId="77777777" w:rsidR="00F5243A" w:rsidRDefault="00F5243A" w:rsidP="004645D5"/>
        </w:tc>
      </w:tr>
      <w:tr w:rsidR="00BC3DCC" w14:paraId="7B3951C0" w14:textId="77777777" w:rsidTr="004645D5">
        <w:trPr>
          <w:trHeight w:val="478"/>
        </w:trPr>
        <w:tc>
          <w:tcPr>
            <w:tcW w:w="1555" w:type="dxa"/>
            <w:vMerge w:val="restart"/>
            <w:shd w:val="clear" w:color="auto" w:fill="auto"/>
          </w:tcPr>
          <w:p w14:paraId="1A112D9E" w14:textId="77777777" w:rsidR="00F5243A" w:rsidRDefault="00F5243A" w:rsidP="004645D5">
            <w:r>
              <w:t>Beliefs about consequences</w:t>
            </w:r>
          </w:p>
        </w:tc>
        <w:tc>
          <w:tcPr>
            <w:tcW w:w="1276" w:type="dxa"/>
            <w:shd w:val="clear" w:color="auto" w:fill="auto"/>
          </w:tcPr>
          <w:p w14:paraId="200FB65B" w14:textId="77777777" w:rsidR="00F5243A" w:rsidRDefault="00F5243A" w:rsidP="004645D5">
            <w:r>
              <w:t xml:space="preserve">Barrier </w:t>
            </w:r>
          </w:p>
        </w:tc>
        <w:tc>
          <w:tcPr>
            <w:tcW w:w="3401" w:type="dxa"/>
            <w:shd w:val="clear" w:color="auto" w:fill="auto"/>
          </w:tcPr>
          <w:p w14:paraId="15D37E21" w14:textId="77777777" w:rsidR="00F5243A" w:rsidRDefault="00F5243A" w:rsidP="004645D5">
            <w:r>
              <w:t>If I administer TXA, it means that they are a major trauma patient (and so they need to go to a trauma centre)</w:t>
            </w:r>
          </w:p>
        </w:tc>
        <w:tc>
          <w:tcPr>
            <w:tcW w:w="851" w:type="dxa"/>
            <w:shd w:val="clear" w:color="auto" w:fill="auto"/>
          </w:tcPr>
          <w:p w14:paraId="6D9A6CE3" w14:textId="77777777" w:rsidR="00F5243A" w:rsidRPr="00A025DE" w:rsidRDefault="00F5243A" w:rsidP="004645D5">
            <w:r>
              <w:t>Q18</w:t>
            </w:r>
          </w:p>
        </w:tc>
        <w:tc>
          <w:tcPr>
            <w:tcW w:w="4536" w:type="dxa"/>
            <w:shd w:val="clear" w:color="auto" w:fill="auto"/>
          </w:tcPr>
          <w:p w14:paraId="58502372" w14:textId="77777777" w:rsidR="00F5243A" w:rsidRDefault="00F5243A" w:rsidP="004645D5">
            <w:r w:rsidRPr="00311518">
              <w:rPr>
                <w:i/>
              </w:rPr>
              <w:t xml:space="preserve">I think people get a bit nervous of it because </w:t>
            </w:r>
            <w:proofErr w:type="gramStart"/>
            <w:r w:rsidRPr="00311518">
              <w:rPr>
                <w:i/>
              </w:rPr>
              <w:t>it</w:t>
            </w:r>
            <w:proofErr w:type="gramEnd"/>
            <w:r w:rsidRPr="00311518">
              <w:rPr>
                <w:i/>
              </w:rPr>
              <w:t xml:space="preserve"> kind of signifies actually we have got quite a significant injury here and I think sometimes people are a bit scared of making that call. (P009)</w:t>
            </w:r>
          </w:p>
        </w:tc>
        <w:tc>
          <w:tcPr>
            <w:tcW w:w="1276" w:type="dxa"/>
            <w:shd w:val="clear" w:color="auto" w:fill="auto"/>
          </w:tcPr>
          <w:p w14:paraId="156CA44F" w14:textId="77777777" w:rsidR="00F5243A" w:rsidRDefault="00F5243A" w:rsidP="004645D5">
            <w:r>
              <w:t>5</w:t>
            </w:r>
          </w:p>
        </w:tc>
        <w:tc>
          <w:tcPr>
            <w:tcW w:w="1281" w:type="dxa"/>
            <w:shd w:val="clear" w:color="auto" w:fill="auto"/>
            <w:vAlign w:val="center"/>
          </w:tcPr>
          <w:p w14:paraId="03E820A7" w14:textId="77777777" w:rsidR="00F5243A" w:rsidRDefault="00F5243A" w:rsidP="004645D5">
            <w:r>
              <w:t>Medium</w:t>
            </w:r>
          </w:p>
        </w:tc>
      </w:tr>
      <w:tr w:rsidR="00BC3DCC" w14:paraId="708DA4A5" w14:textId="77777777" w:rsidTr="004645D5">
        <w:trPr>
          <w:trHeight w:val="478"/>
        </w:trPr>
        <w:tc>
          <w:tcPr>
            <w:tcW w:w="1555" w:type="dxa"/>
            <w:vMerge/>
            <w:shd w:val="clear" w:color="auto" w:fill="auto"/>
          </w:tcPr>
          <w:p w14:paraId="61021D99" w14:textId="77777777" w:rsidR="00F5243A" w:rsidRDefault="00F5243A" w:rsidP="004645D5"/>
        </w:tc>
        <w:tc>
          <w:tcPr>
            <w:tcW w:w="1276" w:type="dxa"/>
            <w:shd w:val="clear" w:color="auto" w:fill="auto"/>
          </w:tcPr>
          <w:p w14:paraId="29365152" w14:textId="77777777" w:rsidR="00F5243A" w:rsidRDefault="00F5243A" w:rsidP="004645D5">
            <w:r>
              <w:t xml:space="preserve">Both </w:t>
            </w:r>
          </w:p>
        </w:tc>
        <w:tc>
          <w:tcPr>
            <w:tcW w:w="3401" w:type="dxa"/>
            <w:shd w:val="clear" w:color="auto" w:fill="auto"/>
          </w:tcPr>
          <w:p w14:paraId="23DA8F5B" w14:textId="77777777" w:rsidR="00F5243A" w:rsidRDefault="00F5243A" w:rsidP="004645D5">
            <w:r>
              <w:t>I am aware/not aware of the safety of TXA</w:t>
            </w:r>
          </w:p>
        </w:tc>
        <w:tc>
          <w:tcPr>
            <w:tcW w:w="851" w:type="dxa"/>
            <w:shd w:val="clear" w:color="auto" w:fill="auto"/>
          </w:tcPr>
          <w:p w14:paraId="12BA645D" w14:textId="77777777" w:rsidR="00F5243A" w:rsidRPr="00A025DE" w:rsidRDefault="00F5243A" w:rsidP="004645D5">
            <w:r>
              <w:t>Q16</w:t>
            </w:r>
          </w:p>
        </w:tc>
        <w:tc>
          <w:tcPr>
            <w:tcW w:w="4536" w:type="dxa"/>
            <w:shd w:val="clear" w:color="auto" w:fill="auto"/>
          </w:tcPr>
          <w:p w14:paraId="13A8F025" w14:textId="77777777" w:rsidR="00F5243A" w:rsidRDefault="00F5243A" w:rsidP="004645D5">
            <w:r w:rsidRPr="00311518">
              <w:rPr>
                <w:i/>
              </w:rPr>
              <w:t>I suppose I don't fully understand what the drug can do. You know - is it going to be a dangerous drug that if I give it and they are not bleeding, is it going to harm them? (P018)</w:t>
            </w:r>
          </w:p>
        </w:tc>
        <w:tc>
          <w:tcPr>
            <w:tcW w:w="1276" w:type="dxa"/>
            <w:shd w:val="clear" w:color="auto" w:fill="auto"/>
          </w:tcPr>
          <w:p w14:paraId="5311834C" w14:textId="77777777" w:rsidR="00F5243A" w:rsidRDefault="00F5243A" w:rsidP="004645D5">
            <w:r>
              <w:t>8</w:t>
            </w:r>
          </w:p>
        </w:tc>
        <w:tc>
          <w:tcPr>
            <w:tcW w:w="1281" w:type="dxa"/>
            <w:shd w:val="clear" w:color="auto" w:fill="auto"/>
            <w:vAlign w:val="center"/>
          </w:tcPr>
          <w:p w14:paraId="61E6DBDD" w14:textId="77777777" w:rsidR="00F5243A" w:rsidRDefault="00F5243A" w:rsidP="004645D5">
            <w:r>
              <w:t>Medium</w:t>
            </w:r>
          </w:p>
        </w:tc>
      </w:tr>
      <w:tr w:rsidR="00BC3DCC" w14:paraId="221D02B1" w14:textId="77777777" w:rsidTr="004645D5">
        <w:trPr>
          <w:trHeight w:val="478"/>
        </w:trPr>
        <w:tc>
          <w:tcPr>
            <w:tcW w:w="1555" w:type="dxa"/>
            <w:vMerge/>
            <w:shd w:val="clear" w:color="auto" w:fill="auto"/>
          </w:tcPr>
          <w:p w14:paraId="04F23559" w14:textId="77777777" w:rsidR="00F5243A" w:rsidRDefault="00F5243A" w:rsidP="004645D5"/>
        </w:tc>
        <w:tc>
          <w:tcPr>
            <w:tcW w:w="1276" w:type="dxa"/>
            <w:shd w:val="clear" w:color="auto" w:fill="auto"/>
          </w:tcPr>
          <w:p w14:paraId="5AF53DEB" w14:textId="77777777" w:rsidR="00F5243A" w:rsidRDefault="00F5243A" w:rsidP="004645D5">
            <w:r>
              <w:t xml:space="preserve">Facilitator </w:t>
            </w:r>
          </w:p>
        </w:tc>
        <w:tc>
          <w:tcPr>
            <w:tcW w:w="3401" w:type="dxa"/>
            <w:shd w:val="clear" w:color="auto" w:fill="auto"/>
          </w:tcPr>
          <w:p w14:paraId="0D554F1E" w14:textId="77777777" w:rsidR="00F5243A" w:rsidRDefault="00F5243A" w:rsidP="004645D5">
            <w:r>
              <w:t>The benefits of administering TXA outweigh the risks</w:t>
            </w:r>
          </w:p>
          <w:p w14:paraId="1CC8F736" w14:textId="77777777" w:rsidR="00F5243A" w:rsidRDefault="00F5243A" w:rsidP="004645D5"/>
        </w:tc>
        <w:tc>
          <w:tcPr>
            <w:tcW w:w="851" w:type="dxa"/>
            <w:shd w:val="clear" w:color="auto" w:fill="auto"/>
          </w:tcPr>
          <w:p w14:paraId="64C086C4" w14:textId="77777777" w:rsidR="00F5243A" w:rsidRPr="00A025DE" w:rsidRDefault="00F5243A" w:rsidP="004645D5">
            <w:r>
              <w:t>Q17</w:t>
            </w:r>
          </w:p>
        </w:tc>
        <w:tc>
          <w:tcPr>
            <w:tcW w:w="4536" w:type="dxa"/>
            <w:shd w:val="clear" w:color="auto" w:fill="auto"/>
          </w:tcPr>
          <w:p w14:paraId="48FEF73A" w14:textId="77777777" w:rsidR="00F5243A" w:rsidRDefault="00F5243A" w:rsidP="004645D5">
            <w:r>
              <w:rPr>
                <w:i/>
              </w:rPr>
              <w:t>T</w:t>
            </w:r>
            <w:r w:rsidRPr="00311518">
              <w:rPr>
                <w:i/>
              </w:rPr>
              <w:t>he risks of not giving it outweigh the risks of giving it, if you know what I mean. (P009)</w:t>
            </w:r>
          </w:p>
        </w:tc>
        <w:tc>
          <w:tcPr>
            <w:tcW w:w="1276" w:type="dxa"/>
            <w:shd w:val="clear" w:color="auto" w:fill="auto"/>
          </w:tcPr>
          <w:p w14:paraId="785F46BB" w14:textId="77777777" w:rsidR="00F5243A" w:rsidRDefault="00F5243A" w:rsidP="004645D5">
            <w:r>
              <w:t>14</w:t>
            </w:r>
          </w:p>
        </w:tc>
        <w:tc>
          <w:tcPr>
            <w:tcW w:w="1281" w:type="dxa"/>
            <w:shd w:val="clear" w:color="auto" w:fill="auto"/>
            <w:vAlign w:val="center"/>
          </w:tcPr>
          <w:p w14:paraId="7A296BE4" w14:textId="77777777" w:rsidR="00F5243A" w:rsidRDefault="00F5243A" w:rsidP="004645D5">
            <w:r>
              <w:t>High</w:t>
            </w:r>
          </w:p>
        </w:tc>
      </w:tr>
      <w:tr w:rsidR="00BC3DCC" w14:paraId="31085132" w14:textId="77777777" w:rsidTr="004645D5">
        <w:trPr>
          <w:trHeight w:val="478"/>
        </w:trPr>
        <w:tc>
          <w:tcPr>
            <w:tcW w:w="1555" w:type="dxa"/>
            <w:shd w:val="clear" w:color="auto" w:fill="auto"/>
          </w:tcPr>
          <w:p w14:paraId="4DFCF354" w14:textId="77777777" w:rsidR="00F5243A" w:rsidRDefault="00F5243A" w:rsidP="004645D5">
            <w:r>
              <w:lastRenderedPageBreak/>
              <w:t>Emotion</w:t>
            </w:r>
          </w:p>
        </w:tc>
        <w:tc>
          <w:tcPr>
            <w:tcW w:w="1276" w:type="dxa"/>
            <w:shd w:val="clear" w:color="auto" w:fill="auto"/>
          </w:tcPr>
          <w:p w14:paraId="7C0FABBD" w14:textId="77777777" w:rsidR="00F5243A" w:rsidRDefault="00F5243A" w:rsidP="004645D5">
            <w:r>
              <w:t xml:space="preserve">Barrier </w:t>
            </w:r>
          </w:p>
        </w:tc>
        <w:tc>
          <w:tcPr>
            <w:tcW w:w="3401" w:type="dxa"/>
            <w:shd w:val="clear" w:color="auto" w:fill="auto"/>
          </w:tcPr>
          <w:p w14:paraId="003C63C8" w14:textId="77777777" w:rsidR="00F5243A" w:rsidRDefault="00F5243A" w:rsidP="004645D5">
            <w:r>
              <w:t>The stress of a trauma job means that TXA is sometimes forgotten/not prioritised</w:t>
            </w:r>
          </w:p>
          <w:p w14:paraId="27CC9559" w14:textId="77777777" w:rsidR="00F5243A" w:rsidRDefault="00F5243A" w:rsidP="004645D5"/>
          <w:p w14:paraId="6E8A38D1" w14:textId="77777777" w:rsidR="00F5243A" w:rsidRDefault="00F5243A" w:rsidP="004645D5"/>
        </w:tc>
        <w:tc>
          <w:tcPr>
            <w:tcW w:w="851" w:type="dxa"/>
            <w:shd w:val="clear" w:color="auto" w:fill="auto"/>
          </w:tcPr>
          <w:p w14:paraId="47B2AF13" w14:textId="77777777" w:rsidR="00F5243A" w:rsidRPr="00A025DE" w:rsidRDefault="00F5243A" w:rsidP="004645D5">
            <w:r>
              <w:t>Q34</w:t>
            </w:r>
          </w:p>
        </w:tc>
        <w:tc>
          <w:tcPr>
            <w:tcW w:w="4536" w:type="dxa"/>
            <w:shd w:val="clear" w:color="auto" w:fill="auto"/>
          </w:tcPr>
          <w:p w14:paraId="2CF33D33" w14:textId="77777777" w:rsidR="00F5243A" w:rsidRDefault="00F5243A" w:rsidP="004645D5">
            <w:r>
              <w:rPr>
                <w:i/>
              </w:rPr>
              <w:t>T</w:t>
            </w:r>
            <w:r w:rsidRPr="00311518">
              <w:rPr>
                <w:i/>
              </w:rPr>
              <w:t>here's so much going on, we want to get lines in, we want to get fluids, we want to sort airways out.  Sometimes it does slip your mind because you're just trying to think about so many things and you know TXA sometimes is a bit of an afterthought. (P017)</w:t>
            </w:r>
          </w:p>
        </w:tc>
        <w:tc>
          <w:tcPr>
            <w:tcW w:w="1276" w:type="dxa"/>
            <w:shd w:val="clear" w:color="auto" w:fill="auto"/>
          </w:tcPr>
          <w:p w14:paraId="0A7FAA71" w14:textId="77777777" w:rsidR="00F5243A" w:rsidRDefault="00F5243A" w:rsidP="004645D5">
            <w:r>
              <w:t>3</w:t>
            </w:r>
          </w:p>
        </w:tc>
        <w:tc>
          <w:tcPr>
            <w:tcW w:w="1281" w:type="dxa"/>
            <w:shd w:val="clear" w:color="auto" w:fill="auto"/>
            <w:vAlign w:val="center"/>
          </w:tcPr>
          <w:p w14:paraId="5EBA6D84" w14:textId="77777777" w:rsidR="00F5243A" w:rsidRDefault="00F5243A" w:rsidP="004645D5">
            <w:r>
              <w:t>Low</w:t>
            </w:r>
          </w:p>
        </w:tc>
      </w:tr>
      <w:tr w:rsidR="00BC3DCC" w14:paraId="7748ABF9" w14:textId="77777777" w:rsidTr="004645D5">
        <w:trPr>
          <w:trHeight w:val="478"/>
        </w:trPr>
        <w:tc>
          <w:tcPr>
            <w:tcW w:w="1555" w:type="dxa"/>
            <w:vMerge w:val="restart"/>
            <w:shd w:val="clear" w:color="auto" w:fill="auto"/>
          </w:tcPr>
          <w:p w14:paraId="271FC8C0" w14:textId="77777777" w:rsidR="00F5243A" w:rsidRDefault="00F5243A" w:rsidP="004645D5">
            <w:r>
              <w:t>Environmental context and resources</w:t>
            </w:r>
          </w:p>
        </w:tc>
        <w:tc>
          <w:tcPr>
            <w:tcW w:w="1276" w:type="dxa"/>
            <w:shd w:val="clear" w:color="auto" w:fill="auto"/>
          </w:tcPr>
          <w:p w14:paraId="09654293" w14:textId="77777777" w:rsidR="00F5243A" w:rsidRDefault="00F5243A" w:rsidP="004645D5">
            <w:r>
              <w:t xml:space="preserve">Barrier </w:t>
            </w:r>
          </w:p>
        </w:tc>
        <w:tc>
          <w:tcPr>
            <w:tcW w:w="3401" w:type="dxa"/>
            <w:shd w:val="clear" w:color="auto" w:fill="auto"/>
          </w:tcPr>
          <w:p w14:paraId="0CB7A632" w14:textId="77777777" w:rsidR="00F5243A" w:rsidRDefault="00F5243A" w:rsidP="004645D5">
            <w:r>
              <w:t>I/we do not have sufficient resources (staff; time) to administer TXA</w:t>
            </w:r>
          </w:p>
        </w:tc>
        <w:tc>
          <w:tcPr>
            <w:tcW w:w="851" w:type="dxa"/>
            <w:shd w:val="clear" w:color="auto" w:fill="auto"/>
          </w:tcPr>
          <w:p w14:paraId="7C6F86C1" w14:textId="77777777" w:rsidR="00F5243A" w:rsidRDefault="00F5243A" w:rsidP="004645D5">
            <w:r>
              <w:t>Q27</w:t>
            </w:r>
          </w:p>
          <w:p w14:paraId="5D919BF6" w14:textId="77777777" w:rsidR="00F5243A" w:rsidRDefault="00F5243A" w:rsidP="004645D5"/>
          <w:p w14:paraId="36192454" w14:textId="77777777" w:rsidR="00F5243A" w:rsidRDefault="00F5243A" w:rsidP="004645D5"/>
          <w:p w14:paraId="7D937CEF" w14:textId="77777777" w:rsidR="00F5243A" w:rsidRDefault="00F5243A" w:rsidP="004645D5"/>
          <w:p w14:paraId="1E2CD589" w14:textId="77777777" w:rsidR="00F5243A" w:rsidRDefault="00F5243A" w:rsidP="004645D5"/>
          <w:p w14:paraId="3908B439" w14:textId="77777777" w:rsidR="00F5243A" w:rsidRPr="00A025DE" w:rsidRDefault="00F5243A" w:rsidP="004645D5">
            <w:r>
              <w:t>Q28</w:t>
            </w:r>
          </w:p>
        </w:tc>
        <w:tc>
          <w:tcPr>
            <w:tcW w:w="4536" w:type="dxa"/>
            <w:shd w:val="clear" w:color="auto" w:fill="auto"/>
          </w:tcPr>
          <w:p w14:paraId="1DF6C52D" w14:textId="77777777" w:rsidR="00F5243A" w:rsidRPr="00311518" w:rsidRDefault="00F5243A" w:rsidP="004645D5">
            <w:pPr>
              <w:rPr>
                <w:i/>
              </w:rPr>
            </w:pPr>
            <w:r w:rsidRPr="00311518">
              <w:rPr>
                <w:i/>
              </w:rPr>
              <w:t>I think one of the biggest barriers I see of TXA…is the time it takes to draw up because it's quite labour intensive (P001).</w:t>
            </w:r>
          </w:p>
          <w:p w14:paraId="1EF71A5A" w14:textId="77777777" w:rsidR="00F5243A" w:rsidRPr="00311518" w:rsidRDefault="00F5243A" w:rsidP="004645D5">
            <w:pPr>
              <w:rPr>
                <w:i/>
              </w:rPr>
            </w:pPr>
          </w:p>
          <w:p w14:paraId="08BAC1B8" w14:textId="77777777" w:rsidR="00F5243A" w:rsidRDefault="00F5243A" w:rsidP="004645D5">
            <w:r w:rsidRPr="00311518">
              <w:rPr>
                <w:i/>
              </w:rPr>
              <w:t>And I think also the need to give it over 10 minutes is probably the biggest barrier. Because if you do sort of comply with the guideline and give it over 10 minutes its - one it’s very difficult to do and - secondly it ties you up for 10 minutes trying to administer that through an IV.  And generally, in those sorts of situations</w:t>
            </w:r>
            <w:r>
              <w:rPr>
                <w:i/>
              </w:rPr>
              <w:t>,</w:t>
            </w:r>
            <w:r w:rsidRPr="00311518">
              <w:rPr>
                <w:i/>
              </w:rPr>
              <w:t xml:space="preserve"> there's other things that you'd like to be doing really. (P005)</w:t>
            </w:r>
          </w:p>
        </w:tc>
        <w:tc>
          <w:tcPr>
            <w:tcW w:w="1276" w:type="dxa"/>
            <w:shd w:val="clear" w:color="auto" w:fill="auto"/>
          </w:tcPr>
          <w:p w14:paraId="7FA66D35" w14:textId="77777777" w:rsidR="00F5243A" w:rsidRDefault="00F5243A" w:rsidP="004645D5">
            <w:r>
              <w:t>13</w:t>
            </w:r>
          </w:p>
        </w:tc>
        <w:tc>
          <w:tcPr>
            <w:tcW w:w="1281" w:type="dxa"/>
            <w:shd w:val="clear" w:color="auto" w:fill="auto"/>
            <w:vAlign w:val="center"/>
          </w:tcPr>
          <w:p w14:paraId="2EB88164" w14:textId="77777777" w:rsidR="00F5243A" w:rsidRDefault="00F5243A" w:rsidP="004645D5">
            <w:r>
              <w:t>High</w:t>
            </w:r>
          </w:p>
        </w:tc>
      </w:tr>
      <w:tr w:rsidR="00BC3DCC" w14:paraId="1C360E30" w14:textId="77777777" w:rsidTr="004645D5">
        <w:trPr>
          <w:trHeight w:val="478"/>
        </w:trPr>
        <w:tc>
          <w:tcPr>
            <w:tcW w:w="1555" w:type="dxa"/>
            <w:vMerge/>
            <w:shd w:val="clear" w:color="auto" w:fill="auto"/>
          </w:tcPr>
          <w:p w14:paraId="39FA56B5" w14:textId="77777777" w:rsidR="00F5243A" w:rsidRDefault="00F5243A" w:rsidP="004645D5"/>
        </w:tc>
        <w:tc>
          <w:tcPr>
            <w:tcW w:w="1276" w:type="dxa"/>
            <w:vMerge w:val="restart"/>
            <w:shd w:val="clear" w:color="auto" w:fill="auto"/>
          </w:tcPr>
          <w:p w14:paraId="53DD4348" w14:textId="77777777" w:rsidR="00F5243A" w:rsidRDefault="00F5243A" w:rsidP="004645D5">
            <w:r>
              <w:t xml:space="preserve">Facilitators </w:t>
            </w:r>
          </w:p>
        </w:tc>
        <w:tc>
          <w:tcPr>
            <w:tcW w:w="3401" w:type="dxa"/>
            <w:shd w:val="clear" w:color="auto" w:fill="auto"/>
          </w:tcPr>
          <w:p w14:paraId="6A6AFFB7" w14:textId="77777777" w:rsidR="00F5243A" w:rsidRDefault="00F5243A" w:rsidP="004645D5">
            <w:r>
              <w:t>TXA might be administered more often if it could be given in a different way</w:t>
            </w:r>
          </w:p>
        </w:tc>
        <w:tc>
          <w:tcPr>
            <w:tcW w:w="851" w:type="dxa"/>
            <w:shd w:val="clear" w:color="auto" w:fill="auto"/>
          </w:tcPr>
          <w:p w14:paraId="25E0F22A" w14:textId="77777777" w:rsidR="00F5243A" w:rsidRPr="00A025DE" w:rsidRDefault="00F5243A" w:rsidP="004645D5">
            <w:r>
              <w:t>Q29</w:t>
            </w:r>
          </w:p>
        </w:tc>
        <w:tc>
          <w:tcPr>
            <w:tcW w:w="4536" w:type="dxa"/>
            <w:shd w:val="clear" w:color="auto" w:fill="auto"/>
          </w:tcPr>
          <w:p w14:paraId="41B6F133" w14:textId="77777777" w:rsidR="00F5243A" w:rsidRDefault="00F5243A" w:rsidP="004645D5">
            <w:r w:rsidRPr="00311518">
              <w:rPr>
                <w:i/>
              </w:rPr>
              <w:t xml:space="preserve">The </w:t>
            </w:r>
            <w:proofErr w:type="gramStart"/>
            <w:r w:rsidRPr="00311518">
              <w:rPr>
                <w:i/>
              </w:rPr>
              <w:t>more simple</w:t>
            </w:r>
            <w:proofErr w:type="gramEnd"/>
            <w:r w:rsidRPr="00311518">
              <w:rPr>
                <w:i/>
              </w:rPr>
              <w:t xml:space="preserve"> the medicine administration the more likely it</w:t>
            </w:r>
            <w:r>
              <w:rPr>
                <w:i/>
              </w:rPr>
              <w:t>’</w:t>
            </w:r>
            <w:r w:rsidRPr="00311518">
              <w:rPr>
                <w:i/>
              </w:rPr>
              <w:t>s going to get thought of and done…if we were allowed to add it into the fluid bag as part of an infusion, I don't know if that would work any better (P007).</w:t>
            </w:r>
          </w:p>
        </w:tc>
        <w:tc>
          <w:tcPr>
            <w:tcW w:w="1276" w:type="dxa"/>
            <w:shd w:val="clear" w:color="auto" w:fill="auto"/>
          </w:tcPr>
          <w:p w14:paraId="2250175B" w14:textId="77777777" w:rsidR="00F5243A" w:rsidRDefault="00F5243A" w:rsidP="004645D5">
            <w:r>
              <w:t>5</w:t>
            </w:r>
          </w:p>
        </w:tc>
        <w:tc>
          <w:tcPr>
            <w:tcW w:w="1281" w:type="dxa"/>
            <w:vMerge w:val="restart"/>
            <w:shd w:val="clear" w:color="auto" w:fill="auto"/>
            <w:vAlign w:val="center"/>
          </w:tcPr>
          <w:p w14:paraId="759CD220" w14:textId="77777777" w:rsidR="00F5243A" w:rsidRDefault="00F5243A" w:rsidP="004645D5">
            <w:r>
              <w:t>Medium</w:t>
            </w:r>
          </w:p>
        </w:tc>
      </w:tr>
      <w:tr w:rsidR="00BC3DCC" w14:paraId="27397C4D" w14:textId="77777777" w:rsidTr="004645D5">
        <w:trPr>
          <w:trHeight w:val="478"/>
        </w:trPr>
        <w:tc>
          <w:tcPr>
            <w:tcW w:w="1555" w:type="dxa"/>
            <w:vMerge/>
            <w:shd w:val="clear" w:color="auto" w:fill="auto"/>
          </w:tcPr>
          <w:p w14:paraId="60CB04F4" w14:textId="77777777" w:rsidR="00F5243A" w:rsidRDefault="00F5243A" w:rsidP="004645D5"/>
        </w:tc>
        <w:tc>
          <w:tcPr>
            <w:tcW w:w="1276" w:type="dxa"/>
            <w:vMerge/>
            <w:shd w:val="clear" w:color="auto" w:fill="auto"/>
          </w:tcPr>
          <w:p w14:paraId="6789E359" w14:textId="77777777" w:rsidR="00F5243A" w:rsidRDefault="00F5243A" w:rsidP="004645D5"/>
        </w:tc>
        <w:tc>
          <w:tcPr>
            <w:tcW w:w="3401" w:type="dxa"/>
            <w:shd w:val="clear" w:color="auto" w:fill="auto"/>
          </w:tcPr>
          <w:p w14:paraId="2FE3BDF3" w14:textId="77777777" w:rsidR="00F5243A" w:rsidRDefault="00F5243A" w:rsidP="004645D5">
            <w:r>
              <w:t>TXA might be administered more often if paramedics had specialised equipment to help them identify bleeding</w:t>
            </w:r>
          </w:p>
        </w:tc>
        <w:tc>
          <w:tcPr>
            <w:tcW w:w="851" w:type="dxa"/>
            <w:shd w:val="clear" w:color="auto" w:fill="auto"/>
          </w:tcPr>
          <w:p w14:paraId="4EFAED57" w14:textId="77777777" w:rsidR="00F5243A" w:rsidRPr="00A025DE" w:rsidRDefault="00F5243A" w:rsidP="004645D5">
            <w:r>
              <w:t>Q30</w:t>
            </w:r>
          </w:p>
        </w:tc>
        <w:tc>
          <w:tcPr>
            <w:tcW w:w="4536" w:type="dxa"/>
            <w:shd w:val="clear" w:color="auto" w:fill="auto"/>
          </w:tcPr>
          <w:p w14:paraId="0B700930" w14:textId="77777777" w:rsidR="00F5243A" w:rsidRDefault="00F5243A" w:rsidP="004645D5">
            <w:r w:rsidRPr="00311518">
              <w:rPr>
                <w:i/>
              </w:rPr>
              <w:t>If there was another diagnostics tool like ultrasound just to see if physically you can see the bleed, rather than going on the observations - I think that would just be a big positive and that would like, give people even more confidence to give it in those certain situations. (P004)</w:t>
            </w:r>
          </w:p>
        </w:tc>
        <w:tc>
          <w:tcPr>
            <w:tcW w:w="1276" w:type="dxa"/>
            <w:shd w:val="clear" w:color="auto" w:fill="auto"/>
          </w:tcPr>
          <w:p w14:paraId="641D1D19" w14:textId="77777777" w:rsidR="00F5243A" w:rsidRDefault="00F5243A" w:rsidP="004645D5">
            <w:r>
              <w:t>6</w:t>
            </w:r>
          </w:p>
        </w:tc>
        <w:tc>
          <w:tcPr>
            <w:tcW w:w="1281" w:type="dxa"/>
            <w:vMerge/>
            <w:shd w:val="clear" w:color="auto" w:fill="auto"/>
            <w:vAlign w:val="center"/>
          </w:tcPr>
          <w:p w14:paraId="4BF23DCB" w14:textId="77777777" w:rsidR="00F5243A" w:rsidRDefault="00F5243A" w:rsidP="004645D5"/>
        </w:tc>
      </w:tr>
      <w:tr w:rsidR="00BC3DCC" w14:paraId="52D0EEC4" w14:textId="77777777" w:rsidTr="004645D5">
        <w:trPr>
          <w:trHeight w:val="478"/>
        </w:trPr>
        <w:tc>
          <w:tcPr>
            <w:tcW w:w="1555" w:type="dxa"/>
            <w:shd w:val="clear" w:color="auto" w:fill="auto"/>
          </w:tcPr>
          <w:p w14:paraId="63624A7F" w14:textId="77777777" w:rsidR="00F5243A" w:rsidRDefault="00F5243A" w:rsidP="004645D5">
            <w:r>
              <w:t>Goals</w:t>
            </w:r>
          </w:p>
        </w:tc>
        <w:tc>
          <w:tcPr>
            <w:tcW w:w="1276" w:type="dxa"/>
            <w:shd w:val="clear" w:color="auto" w:fill="auto"/>
          </w:tcPr>
          <w:p w14:paraId="4CD0D0A3" w14:textId="77777777" w:rsidR="00F5243A" w:rsidRDefault="00F5243A" w:rsidP="004645D5">
            <w:r>
              <w:t xml:space="preserve">Barrier </w:t>
            </w:r>
          </w:p>
        </w:tc>
        <w:tc>
          <w:tcPr>
            <w:tcW w:w="3401" w:type="dxa"/>
            <w:shd w:val="clear" w:color="auto" w:fill="auto"/>
          </w:tcPr>
          <w:p w14:paraId="01E0E9A4" w14:textId="77777777" w:rsidR="00F5243A" w:rsidRDefault="00F5243A" w:rsidP="004645D5">
            <w:r>
              <w:t>Administration of TXA is not seen as a priority for trauma jobs</w:t>
            </w:r>
          </w:p>
          <w:p w14:paraId="2C6FE5B0" w14:textId="77777777" w:rsidR="00F5243A" w:rsidRDefault="00F5243A" w:rsidP="004645D5"/>
          <w:p w14:paraId="5BCB51C0" w14:textId="77777777" w:rsidR="00F5243A" w:rsidRDefault="00F5243A" w:rsidP="004645D5"/>
        </w:tc>
        <w:tc>
          <w:tcPr>
            <w:tcW w:w="851" w:type="dxa"/>
            <w:shd w:val="clear" w:color="auto" w:fill="auto"/>
          </w:tcPr>
          <w:p w14:paraId="220C282A" w14:textId="77777777" w:rsidR="00F5243A" w:rsidRPr="00A025DE" w:rsidRDefault="00F5243A" w:rsidP="004645D5">
            <w:r>
              <w:lastRenderedPageBreak/>
              <w:t>Q21</w:t>
            </w:r>
          </w:p>
        </w:tc>
        <w:tc>
          <w:tcPr>
            <w:tcW w:w="4536" w:type="dxa"/>
            <w:shd w:val="clear" w:color="auto" w:fill="auto"/>
          </w:tcPr>
          <w:p w14:paraId="476D9EEF" w14:textId="77777777" w:rsidR="00F5243A" w:rsidRDefault="00F5243A" w:rsidP="004645D5">
            <w:r w:rsidRPr="00311518">
              <w:rPr>
                <w:i/>
              </w:rPr>
              <w:t xml:space="preserve">And I think some people in situations where you've got somebody that's that injured it is </w:t>
            </w:r>
            <w:r w:rsidRPr="00311518">
              <w:rPr>
                <w:i/>
              </w:rPr>
              <w:lastRenderedPageBreak/>
              <w:t>‘right let's get going, let's get out, let's get in the ambulance, and let's get to hospital’. I think some people are worried about wasting too much time doing interventions when that sort of thing you can do it on the way. (P009)</w:t>
            </w:r>
          </w:p>
        </w:tc>
        <w:tc>
          <w:tcPr>
            <w:tcW w:w="1276" w:type="dxa"/>
            <w:shd w:val="clear" w:color="auto" w:fill="auto"/>
          </w:tcPr>
          <w:p w14:paraId="53772232" w14:textId="77777777" w:rsidR="00F5243A" w:rsidRDefault="00F5243A" w:rsidP="004645D5">
            <w:r>
              <w:lastRenderedPageBreak/>
              <w:t>8</w:t>
            </w:r>
          </w:p>
        </w:tc>
        <w:tc>
          <w:tcPr>
            <w:tcW w:w="1281" w:type="dxa"/>
            <w:shd w:val="clear" w:color="auto" w:fill="auto"/>
            <w:vAlign w:val="center"/>
          </w:tcPr>
          <w:p w14:paraId="1C67BD2B" w14:textId="77777777" w:rsidR="00F5243A" w:rsidRDefault="00F5243A" w:rsidP="004645D5">
            <w:r>
              <w:t>Medium</w:t>
            </w:r>
          </w:p>
        </w:tc>
      </w:tr>
      <w:tr w:rsidR="00BC3DCC" w14:paraId="1F603B17" w14:textId="77777777" w:rsidTr="004645D5">
        <w:trPr>
          <w:trHeight w:val="2954"/>
        </w:trPr>
        <w:tc>
          <w:tcPr>
            <w:tcW w:w="1555" w:type="dxa"/>
            <w:vMerge w:val="restart"/>
            <w:shd w:val="clear" w:color="auto" w:fill="auto"/>
          </w:tcPr>
          <w:p w14:paraId="3464AE5E" w14:textId="77777777" w:rsidR="00F5243A" w:rsidRDefault="00F5243A" w:rsidP="004645D5">
            <w:r>
              <w:t xml:space="preserve">Knowledge and Skills </w:t>
            </w:r>
          </w:p>
        </w:tc>
        <w:tc>
          <w:tcPr>
            <w:tcW w:w="1276" w:type="dxa"/>
            <w:vMerge w:val="restart"/>
            <w:shd w:val="clear" w:color="auto" w:fill="auto"/>
          </w:tcPr>
          <w:p w14:paraId="15822BD6" w14:textId="77777777" w:rsidR="00F5243A" w:rsidRDefault="00F5243A" w:rsidP="004645D5">
            <w:r>
              <w:t xml:space="preserve">Barriers </w:t>
            </w:r>
          </w:p>
        </w:tc>
        <w:tc>
          <w:tcPr>
            <w:tcW w:w="3401" w:type="dxa"/>
            <w:shd w:val="clear" w:color="auto" w:fill="auto"/>
          </w:tcPr>
          <w:p w14:paraId="3DD8627F" w14:textId="77777777" w:rsidR="00F5243A" w:rsidRDefault="00F5243A" w:rsidP="004645D5">
            <w:r>
              <w:t>Paramedics do not understand how TXA works</w:t>
            </w:r>
          </w:p>
        </w:tc>
        <w:tc>
          <w:tcPr>
            <w:tcW w:w="851" w:type="dxa"/>
            <w:shd w:val="clear" w:color="auto" w:fill="auto"/>
          </w:tcPr>
          <w:p w14:paraId="31476CFE" w14:textId="77777777" w:rsidR="00F5243A" w:rsidRDefault="00F5243A" w:rsidP="004645D5">
            <w:r>
              <w:t>Q1</w:t>
            </w:r>
          </w:p>
          <w:p w14:paraId="1C2D115C" w14:textId="77777777" w:rsidR="00F5243A" w:rsidRDefault="00F5243A" w:rsidP="004645D5"/>
          <w:p w14:paraId="07FFBC09" w14:textId="77777777" w:rsidR="00F5243A" w:rsidRDefault="00F5243A" w:rsidP="004645D5"/>
          <w:p w14:paraId="78DD4EED" w14:textId="77777777" w:rsidR="00F5243A" w:rsidRDefault="00F5243A" w:rsidP="004645D5"/>
          <w:p w14:paraId="5D29DA00" w14:textId="77777777" w:rsidR="00F5243A" w:rsidRDefault="00F5243A" w:rsidP="004645D5"/>
          <w:p w14:paraId="299D0E3D" w14:textId="77777777" w:rsidR="00F5243A" w:rsidRDefault="00F5243A" w:rsidP="004645D5"/>
          <w:p w14:paraId="093804A4" w14:textId="77777777" w:rsidR="00F5243A" w:rsidRDefault="00F5243A" w:rsidP="004645D5"/>
          <w:p w14:paraId="4516D02F" w14:textId="77777777" w:rsidR="00F5243A" w:rsidRDefault="00F5243A" w:rsidP="004645D5"/>
          <w:p w14:paraId="173D754A" w14:textId="77777777" w:rsidR="00F5243A" w:rsidRDefault="00F5243A" w:rsidP="004645D5"/>
          <w:p w14:paraId="2BC96609" w14:textId="77777777" w:rsidR="00F5243A" w:rsidRPr="00A025DE" w:rsidRDefault="00F5243A" w:rsidP="004645D5">
            <w:r>
              <w:t>Q2</w:t>
            </w:r>
          </w:p>
        </w:tc>
        <w:tc>
          <w:tcPr>
            <w:tcW w:w="4536" w:type="dxa"/>
            <w:shd w:val="clear" w:color="auto" w:fill="auto"/>
          </w:tcPr>
          <w:p w14:paraId="685C2C0D" w14:textId="77777777" w:rsidR="00F5243A" w:rsidRPr="00311518" w:rsidRDefault="00F5243A" w:rsidP="004645D5">
            <w:pPr>
              <w:rPr>
                <w:i/>
              </w:rPr>
            </w:pPr>
            <w:r w:rsidRPr="00311518">
              <w:rPr>
                <w:i/>
              </w:rPr>
              <w:t>Essentially it was due to a lack of knowledge around how the drug works and what the drug is actually indicated for… I think the level of understanding of what the drug actually does is quite low within the paramedics, you know. Just from who I've spoken to and the conversations I've had. (P001)</w:t>
            </w:r>
          </w:p>
          <w:p w14:paraId="3312E52F" w14:textId="77777777" w:rsidR="00F5243A" w:rsidRPr="00311518" w:rsidRDefault="00F5243A" w:rsidP="004645D5">
            <w:pPr>
              <w:rPr>
                <w:i/>
              </w:rPr>
            </w:pPr>
          </w:p>
          <w:p w14:paraId="76EF1C94" w14:textId="77777777" w:rsidR="00F5243A" w:rsidRDefault="00F5243A" w:rsidP="004645D5">
            <w:r w:rsidRPr="00311518">
              <w:rPr>
                <w:i/>
              </w:rPr>
              <w:t xml:space="preserve">Maybe a few people are unsure of the doses. I know…that a lot of people assume that its one ampule is the dose.  I mean its … </w:t>
            </w:r>
            <w:proofErr w:type="spellStart"/>
            <w:r w:rsidRPr="00311518">
              <w:rPr>
                <w:i/>
              </w:rPr>
              <w:t>its</w:t>
            </w:r>
            <w:proofErr w:type="spellEnd"/>
            <w:r w:rsidRPr="00311518">
              <w:rPr>
                <w:i/>
              </w:rPr>
              <w:t xml:space="preserve"> not, </w:t>
            </w:r>
            <w:proofErr w:type="spellStart"/>
            <w:r w:rsidRPr="00311518">
              <w:rPr>
                <w:i/>
              </w:rPr>
              <w:t>its</w:t>
            </w:r>
            <w:proofErr w:type="spellEnd"/>
            <w:r w:rsidRPr="00311518">
              <w:rPr>
                <w:i/>
              </w:rPr>
              <w:t xml:space="preserve"> actually two ampules.  Uh, so I come across, not so much now, but I come across people giving just one ampule or 500mg and they think that that's the dose.  (P005)</w:t>
            </w:r>
          </w:p>
        </w:tc>
        <w:tc>
          <w:tcPr>
            <w:tcW w:w="1276" w:type="dxa"/>
            <w:shd w:val="clear" w:color="auto" w:fill="auto"/>
          </w:tcPr>
          <w:p w14:paraId="4E28582B" w14:textId="77777777" w:rsidR="00F5243A" w:rsidRDefault="00F5243A" w:rsidP="004645D5">
            <w:r>
              <w:t>11</w:t>
            </w:r>
          </w:p>
        </w:tc>
        <w:tc>
          <w:tcPr>
            <w:tcW w:w="1281" w:type="dxa"/>
            <w:vMerge w:val="restart"/>
            <w:shd w:val="clear" w:color="auto" w:fill="auto"/>
            <w:vAlign w:val="center"/>
          </w:tcPr>
          <w:p w14:paraId="7CCB53F1" w14:textId="77777777" w:rsidR="00F5243A" w:rsidRDefault="00F5243A" w:rsidP="004645D5">
            <w:r>
              <w:t>High</w:t>
            </w:r>
          </w:p>
        </w:tc>
      </w:tr>
      <w:tr w:rsidR="00BC3DCC" w14:paraId="790167BA" w14:textId="77777777" w:rsidTr="004645D5">
        <w:trPr>
          <w:trHeight w:val="570"/>
        </w:trPr>
        <w:tc>
          <w:tcPr>
            <w:tcW w:w="1555" w:type="dxa"/>
            <w:vMerge/>
            <w:shd w:val="clear" w:color="auto" w:fill="auto"/>
          </w:tcPr>
          <w:p w14:paraId="49C7A29E" w14:textId="77777777" w:rsidR="00F5243A" w:rsidRDefault="00F5243A" w:rsidP="004645D5"/>
        </w:tc>
        <w:tc>
          <w:tcPr>
            <w:tcW w:w="1276" w:type="dxa"/>
            <w:vMerge/>
            <w:shd w:val="clear" w:color="auto" w:fill="auto"/>
          </w:tcPr>
          <w:p w14:paraId="0AB66942" w14:textId="77777777" w:rsidR="00F5243A" w:rsidRDefault="00F5243A" w:rsidP="004645D5"/>
        </w:tc>
        <w:tc>
          <w:tcPr>
            <w:tcW w:w="3401" w:type="dxa"/>
            <w:shd w:val="clear" w:color="auto" w:fill="auto"/>
          </w:tcPr>
          <w:p w14:paraId="12F0C4FF" w14:textId="77777777" w:rsidR="00F5243A" w:rsidRDefault="00F5243A" w:rsidP="004645D5">
            <w:r>
              <w:t>I have not had enough training on when to administer TXA</w:t>
            </w:r>
          </w:p>
        </w:tc>
        <w:tc>
          <w:tcPr>
            <w:tcW w:w="851" w:type="dxa"/>
            <w:shd w:val="clear" w:color="auto" w:fill="auto"/>
          </w:tcPr>
          <w:p w14:paraId="39C23112" w14:textId="77777777" w:rsidR="00F5243A" w:rsidRPr="00A025DE" w:rsidRDefault="00F5243A" w:rsidP="004645D5">
            <w:r>
              <w:t>Q5</w:t>
            </w:r>
          </w:p>
        </w:tc>
        <w:tc>
          <w:tcPr>
            <w:tcW w:w="4536" w:type="dxa"/>
            <w:shd w:val="clear" w:color="auto" w:fill="auto"/>
          </w:tcPr>
          <w:p w14:paraId="69E14F7C" w14:textId="77777777" w:rsidR="00F5243A" w:rsidRDefault="00F5243A" w:rsidP="004645D5">
            <w:r w:rsidRPr="00311518">
              <w:rPr>
                <w:i/>
              </w:rPr>
              <w:t xml:space="preserve"> I think maybe perhaps it hasn't been emphasised enough during training. (P014)</w:t>
            </w:r>
          </w:p>
        </w:tc>
        <w:tc>
          <w:tcPr>
            <w:tcW w:w="1276" w:type="dxa"/>
            <w:shd w:val="clear" w:color="auto" w:fill="auto"/>
          </w:tcPr>
          <w:p w14:paraId="03B340FC" w14:textId="77777777" w:rsidR="00F5243A" w:rsidRDefault="00F5243A" w:rsidP="004645D5">
            <w:r>
              <w:t>16</w:t>
            </w:r>
          </w:p>
        </w:tc>
        <w:tc>
          <w:tcPr>
            <w:tcW w:w="1281" w:type="dxa"/>
            <w:vMerge/>
            <w:shd w:val="clear" w:color="auto" w:fill="auto"/>
            <w:vAlign w:val="center"/>
          </w:tcPr>
          <w:p w14:paraId="0ED0BD78" w14:textId="77777777" w:rsidR="00F5243A" w:rsidRDefault="00F5243A" w:rsidP="004645D5"/>
        </w:tc>
      </w:tr>
      <w:tr w:rsidR="00BC3DCC" w14:paraId="62A54241" w14:textId="77777777" w:rsidTr="004645D5">
        <w:trPr>
          <w:trHeight w:val="478"/>
        </w:trPr>
        <w:tc>
          <w:tcPr>
            <w:tcW w:w="1555" w:type="dxa"/>
            <w:vMerge/>
            <w:shd w:val="clear" w:color="auto" w:fill="auto"/>
          </w:tcPr>
          <w:p w14:paraId="45F5412F" w14:textId="77777777" w:rsidR="00F5243A" w:rsidRDefault="00F5243A" w:rsidP="004645D5"/>
        </w:tc>
        <w:tc>
          <w:tcPr>
            <w:tcW w:w="1276" w:type="dxa"/>
            <w:shd w:val="clear" w:color="auto" w:fill="auto"/>
          </w:tcPr>
          <w:p w14:paraId="6CD2703A" w14:textId="77777777" w:rsidR="00F5243A" w:rsidRDefault="00F5243A" w:rsidP="004645D5">
            <w:r>
              <w:t xml:space="preserve">Both </w:t>
            </w:r>
          </w:p>
        </w:tc>
        <w:tc>
          <w:tcPr>
            <w:tcW w:w="3401" w:type="dxa"/>
            <w:shd w:val="clear" w:color="auto" w:fill="auto"/>
          </w:tcPr>
          <w:p w14:paraId="60285E33" w14:textId="77777777" w:rsidR="00F5243A" w:rsidRDefault="00F5243A" w:rsidP="004645D5">
            <w:r>
              <w:t xml:space="preserve">I do/do not have much experience using TXA </w:t>
            </w:r>
          </w:p>
        </w:tc>
        <w:tc>
          <w:tcPr>
            <w:tcW w:w="851" w:type="dxa"/>
            <w:shd w:val="clear" w:color="auto" w:fill="auto"/>
          </w:tcPr>
          <w:p w14:paraId="07B2B18F" w14:textId="77777777" w:rsidR="00F5243A" w:rsidRPr="00A025DE" w:rsidRDefault="00F5243A" w:rsidP="004645D5">
            <w:r>
              <w:t>Q6</w:t>
            </w:r>
          </w:p>
        </w:tc>
        <w:tc>
          <w:tcPr>
            <w:tcW w:w="4536" w:type="dxa"/>
            <w:shd w:val="clear" w:color="auto" w:fill="auto"/>
          </w:tcPr>
          <w:p w14:paraId="6D52650E" w14:textId="77777777" w:rsidR="00F5243A" w:rsidRPr="00311518" w:rsidRDefault="00F5243A" w:rsidP="004645D5">
            <w:pPr>
              <w:rPr>
                <w:i/>
              </w:rPr>
            </w:pPr>
            <w:r w:rsidRPr="00311518">
              <w:rPr>
                <w:i/>
              </w:rPr>
              <w:t>I can probably count on one hand the amount of times I've given it in the past three and a half years just purely because we don't see that much trauma. (P017)</w:t>
            </w:r>
          </w:p>
        </w:tc>
        <w:tc>
          <w:tcPr>
            <w:tcW w:w="1276" w:type="dxa"/>
            <w:shd w:val="clear" w:color="auto" w:fill="auto"/>
          </w:tcPr>
          <w:p w14:paraId="0CFBCD70" w14:textId="77777777" w:rsidR="00F5243A" w:rsidRDefault="00F5243A" w:rsidP="004645D5">
            <w:r>
              <w:t>13</w:t>
            </w:r>
          </w:p>
        </w:tc>
        <w:tc>
          <w:tcPr>
            <w:tcW w:w="1281" w:type="dxa"/>
            <w:shd w:val="clear" w:color="auto" w:fill="auto"/>
            <w:vAlign w:val="center"/>
          </w:tcPr>
          <w:p w14:paraId="33050533" w14:textId="77777777" w:rsidR="00F5243A" w:rsidRDefault="00F5243A" w:rsidP="004645D5">
            <w:r>
              <w:t>High</w:t>
            </w:r>
          </w:p>
        </w:tc>
      </w:tr>
      <w:tr w:rsidR="00BC3DCC" w14:paraId="6252C63F" w14:textId="77777777" w:rsidTr="004645D5">
        <w:trPr>
          <w:trHeight w:val="478"/>
        </w:trPr>
        <w:tc>
          <w:tcPr>
            <w:tcW w:w="1555" w:type="dxa"/>
            <w:vMerge/>
            <w:shd w:val="clear" w:color="auto" w:fill="auto"/>
          </w:tcPr>
          <w:p w14:paraId="78EB9173" w14:textId="77777777" w:rsidR="00F5243A" w:rsidRDefault="00F5243A" w:rsidP="004645D5"/>
        </w:tc>
        <w:tc>
          <w:tcPr>
            <w:tcW w:w="1276" w:type="dxa"/>
            <w:shd w:val="clear" w:color="auto" w:fill="auto"/>
          </w:tcPr>
          <w:p w14:paraId="0037E0D1" w14:textId="77777777" w:rsidR="00F5243A" w:rsidRDefault="00F5243A" w:rsidP="004645D5">
            <w:r>
              <w:t xml:space="preserve">Facilitator </w:t>
            </w:r>
          </w:p>
        </w:tc>
        <w:tc>
          <w:tcPr>
            <w:tcW w:w="3401" w:type="dxa"/>
            <w:shd w:val="clear" w:color="auto" w:fill="auto"/>
          </w:tcPr>
          <w:p w14:paraId="7AB86519" w14:textId="77777777" w:rsidR="00F5243A" w:rsidRDefault="00F5243A" w:rsidP="004645D5">
            <w:r>
              <w:t>I/we know the evidence base behind administering TXA</w:t>
            </w:r>
          </w:p>
        </w:tc>
        <w:tc>
          <w:tcPr>
            <w:tcW w:w="851" w:type="dxa"/>
            <w:shd w:val="clear" w:color="auto" w:fill="auto"/>
          </w:tcPr>
          <w:p w14:paraId="0F0B729D" w14:textId="77777777" w:rsidR="00F5243A" w:rsidRDefault="00F5243A" w:rsidP="004645D5">
            <w:r>
              <w:t>Q3</w:t>
            </w:r>
          </w:p>
          <w:p w14:paraId="45389C92" w14:textId="77777777" w:rsidR="00F5243A" w:rsidRDefault="00F5243A" w:rsidP="004645D5"/>
          <w:p w14:paraId="27DB54F9" w14:textId="77777777" w:rsidR="00F5243A" w:rsidRDefault="00F5243A" w:rsidP="004645D5"/>
          <w:p w14:paraId="24579652" w14:textId="77777777" w:rsidR="00F5243A" w:rsidRDefault="00F5243A" w:rsidP="004645D5"/>
          <w:p w14:paraId="4F2E94AA" w14:textId="77777777" w:rsidR="00F5243A" w:rsidRPr="00A025DE" w:rsidRDefault="00F5243A" w:rsidP="004645D5">
            <w:r>
              <w:t>Q4</w:t>
            </w:r>
          </w:p>
        </w:tc>
        <w:tc>
          <w:tcPr>
            <w:tcW w:w="4536" w:type="dxa"/>
            <w:shd w:val="clear" w:color="auto" w:fill="auto"/>
          </w:tcPr>
          <w:p w14:paraId="490A2589" w14:textId="77777777" w:rsidR="00F5243A" w:rsidRPr="00311518" w:rsidRDefault="00F5243A" w:rsidP="004645D5">
            <w:pPr>
              <w:rPr>
                <w:i/>
              </w:rPr>
            </w:pPr>
            <w:r w:rsidRPr="00311518">
              <w:rPr>
                <w:i/>
              </w:rPr>
              <w:t>I've done a bit of reading up on TXA, I've listened to some podcasts and things on it and I think I've got a good idea of what the current thinking is on it. (P005)</w:t>
            </w:r>
          </w:p>
          <w:p w14:paraId="254EC234" w14:textId="77777777" w:rsidR="00F5243A" w:rsidRPr="00311518" w:rsidRDefault="00F5243A" w:rsidP="004645D5">
            <w:pPr>
              <w:rPr>
                <w:i/>
              </w:rPr>
            </w:pPr>
          </w:p>
          <w:p w14:paraId="597CF8AA" w14:textId="77777777" w:rsidR="00F5243A" w:rsidRPr="00311518" w:rsidRDefault="00F5243A" w:rsidP="004645D5">
            <w:pPr>
              <w:rPr>
                <w:i/>
              </w:rPr>
            </w:pPr>
            <w:r w:rsidRPr="00311518">
              <w:rPr>
                <w:i/>
              </w:rPr>
              <w:t>We’re mindful the quicker we give TXA the greater benefit. (P007)</w:t>
            </w:r>
          </w:p>
        </w:tc>
        <w:tc>
          <w:tcPr>
            <w:tcW w:w="1276" w:type="dxa"/>
            <w:shd w:val="clear" w:color="auto" w:fill="auto"/>
          </w:tcPr>
          <w:p w14:paraId="2A5C7F4E" w14:textId="77777777" w:rsidR="00F5243A" w:rsidRDefault="00F5243A" w:rsidP="004645D5">
            <w:r>
              <w:t>13</w:t>
            </w:r>
          </w:p>
        </w:tc>
        <w:tc>
          <w:tcPr>
            <w:tcW w:w="1281" w:type="dxa"/>
            <w:shd w:val="clear" w:color="auto" w:fill="auto"/>
            <w:vAlign w:val="center"/>
          </w:tcPr>
          <w:p w14:paraId="398C9C3E" w14:textId="77777777" w:rsidR="00F5243A" w:rsidRDefault="00F5243A" w:rsidP="004645D5">
            <w:r>
              <w:t>High</w:t>
            </w:r>
          </w:p>
        </w:tc>
      </w:tr>
      <w:tr w:rsidR="00BC3DCC" w14:paraId="00A07D64" w14:textId="77777777" w:rsidTr="004645D5">
        <w:trPr>
          <w:trHeight w:val="478"/>
        </w:trPr>
        <w:tc>
          <w:tcPr>
            <w:tcW w:w="1555" w:type="dxa"/>
            <w:vMerge w:val="restart"/>
            <w:shd w:val="clear" w:color="auto" w:fill="auto"/>
          </w:tcPr>
          <w:p w14:paraId="1C8C42EB" w14:textId="77777777" w:rsidR="00F5243A" w:rsidRDefault="00F5243A" w:rsidP="004645D5">
            <w:r>
              <w:lastRenderedPageBreak/>
              <w:t>Memory, attention and decision processes</w:t>
            </w:r>
          </w:p>
        </w:tc>
        <w:tc>
          <w:tcPr>
            <w:tcW w:w="1276" w:type="dxa"/>
            <w:shd w:val="clear" w:color="auto" w:fill="auto"/>
          </w:tcPr>
          <w:p w14:paraId="4BEFF7A7" w14:textId="77777777" w:rsidR="00F5243A" w:rsidRDefault="00F5243A" w:rsidP="004645D5">
            <w:r>
              <w:t xml:space="preserve">Barrier </w:t>
            </w:r>
          </w:p>
        </w:tc>
        <w:tc>
          <w:tcPr>
            <w:tcW w:w="3401" w:type="dxa"/>
            <w:shd w:val="clear" w:color="auto" w:fill="auto"/>
          </w:tcPr>
          <w:p w14:paraId="4FFCAA0B" w14:textId="77777777" w:rsidR="00F5243A" w:rsidRDefault="00F5243A" w:rsidP="004645D5">
            <w:r>
              <w:t>It can be difficult to identify whether or not trauma patients are at risk of bleeding</w:t>
            </w:r>
          </w:p>
        </w:tc>
        <w:tc>
          <w:tcPr>
            <w:tcW w:w="851" w:type="dxa"/>
            <w:shd w:val="clear" w:color="auto" w:fill="auto"/>
          </w:tcPr>
          <w:p w14:paraId="2B1442D0" w14:textId="77777777" w:rsidR="00F5243A" w:rsidRDefault="00F5243A" w:rsidP="004645D5">
            <w:r>
              <w:t>Q24</w:t>
            </w:r>
          </w:p>
          <w:p w14:paraId="4353DEBC" w14:textId="77777777" w:rsidR="00F5243A" w:rsidRDefault="00F5243A" w:rsidP="004645D5"/>
          <w:p w14:paraId="03949C7B" w14:textId="77777777" w:rsidR="00F5243A" w:rsidRDefault="00F5243A" w:rsidP="004645D5"/>
          <w:p w14:paraId="7743C76A" w14:textId="77777777" w:rsidR="00F5243A" w:rsidRDefault="00F5243A" w:rsidP="004645D5"/>
          <w:p w14:paraId="7E461834" w14:textId="77777777" w:rsidR="00F5243A" w:rsidRDefault="00F5243A" w:rsidP="004645D5"/>
          <w:p w14:paraId="621B75E7" w14:textId="77777777" w:rsidR="00F5243A" w:rsidRPr="00A025DE" w:rsidRDefault="00F5243A" w:rsidP="004645D5">
            <w:r>
              <w:t>Q25</w:t>
            </w:r>
          </w:p>
        </w:tc>
        <w:tc>
          <w:tcPr>
            <w:tcW w:w="4536" w:type="dxa"/>
            <w:shd w:val="clear" w:color="auto" w:fill="auto"/>
          </w:tcPr>
          <w:p w14:paraId="5287183A" w14:textId="77777777" w:rsidR="00F5243A" w:rsidRPr="00311518" w:rsidRDefault="00F5243A" w:rsidP="004645D5">
            <w:pPr>
              <w:rPr>
                <w:i/>
              </w:rPr>
            </w:pPr>
            <w:r w:rsidRPr="00311518">
              <w:rPr>
                <w:i/>
              </w:rPr>
              <w:t>I think in theory it's easy because I can run off a list of things that we should be looking for but I think in practice it's not that easy.  (P017)</w:t>
            </w:r>
          </w:p>
          <w:p w14:paraId="23B945D5" w14:textId="77777777" w:rsidR="00F5243A" w:rsidRPr="00311518" w:rsidRDefault="00F5243A" w:rsidP="004645D5">
            <w:pPr>
              <w:rPr>
                <w:i/>
              </w:rPr>
            </w:pPr>
          </w:p>
          <w:p w14:paraId="15B8D147" w14:textId="77777777" w:rsidR="00F5243A" w:rsidRDefault="00F5243A" w:rsidP="004645D5">
            <w:r w:rsidRPr="00311518">
              <w:rPr>
                <w:i/>
              </w:rPr>
              <w:t>I think if they are really unwell it's really obvious, it's the ones that the sort of moderate ones that can be really difficult. (P008)</w:t>
            </w:r>
          </w:p>
        </w:tc>
        <w:tc>
          <w:tcPr>
            <w:tcW w:w="1276" w:type="dxa"/>
            <w:shd w:val="clear" w:color="auto" w:fill="auto"/>
          </w:tcPr>
          <w:p w14:paraId="6E413C8C" w14:textId="77777777" w:rsidR="00F5243A" w:rsidRDefault="00F5243A" w:rsidP="004645D5">
            <w:r>
              <w:t>15</w:t>
            </w:r>
          </w:p>
        </w:tc>
        <w:tc>
          <w:tcPr>
            <w:tcW w:w="1281" w:type="dxa"/>
            <w:shd w:val="clear" w:color="auto" w:fill="auto"/>
            <w:vAlign w:val="center"/>
          </w:tcPr>
          <w:p w14:paraId="57BCCA0F" w14:textId="77777777" w:rsidR="00F5243A" w:rsidRDefault="00F5243A" w:rsidP="004645D5">
            <w:r>
              <w:t>High</w:t>
            </w:r>
          </w:p>
        </w:tc>
      </w:tr>
      <w:tr w:rsidR="00BC3DCC" w14:paraId="522AB6A9" w14:textId="77777777" w:rsidTr="004645D5">
        <w:trPr>
          <w:trHeight w:val="478"/>
        </w:trPr>
        <w:tc>
          <w:tcPr>
            <w:tcW w:w="1555" w:type="dxa"/>
            <w:vMerge/>
            <w:shd w:val="clear" w:color="auto" w:fill="auto"/>
          </w:tcPr>
          <w:p w14:paraId="27F713EF" w14:textId="77777777" w:rsidR="00F5243A" w:rsidRDefault="00F5243A" w:rsidP="004645D5"/>
        </w:tc>
        <w:tc>
          <w:tcPr>
            <w:tcW w:w="1276" w:type="dxa"/>
            <w:shd w:val="clear" w:color="auto" w:fill="auto"/>
          </w:tcPr>
          <w:p w14:paraId="4CC490EA" w14:textId="77777777" w:rsidR="00F5243A" w:rsidRDefault="00F5243A" w:rsidP="004645D5">
            <w:r>
              <w:t xml:space="preserve">Both </w:t>
            </w:r>
          </w:p>
        </w:tc>
        <w:tc>
          <w:tcPr>
            <w:tcW w:w="3401" w:type="dxa"/>
            <w:shd w:val="clear" w:color="auto" w:fill="auto"/>
          </w:tcPr>
          <w:p w14:paraId="2BF8453A" w14:textId="77777777" w:rsidR="00F5243A" w:rsidRDefault="00F5243A" w:rsidP="004645D5">
            <w:r>
              <w:t xml:space="preserve">When </w:t>
            </w:r>
            <w:r w:rsidRPr="000945BF">
              <w:t xml:space="preserve">the patients’ bleeding risk is unclear (i.e. no obvious external/internal bleeding) I use </w:t>
            </w:r>
            <w:r>
              <w:t xml:space="preserve">one/a number of </w:t>
            </w:r>
            <w:r w:rsidRPr="000945BF">
              <w:t xml:space="preserve">the </w:t>
            </w:r>
            <w:r>
              <w:t>following factors to</w:t>
            </w:r>
            <w:r w:rsidRPr="000945BF">
              <w:t xml:space="preserve"> make my decision on whether or not to administer TXA</w:t>
            </w:r>
            <w:r>
              <w:t>:</w:t>
            </w:r>
          </w:p>
          <w:p w14:paraId="6E84868D" w14:textId="77777777" w:rsidR="00F5243A" w:rsidRDefault="00F5243A" w:rsidP="00F5243A">
            <w:pPr>
              <w:pStyle w:val="ListParagraph"/>
              <w:numPr>
                <w:ilvl w:val="0"/>
                <w:numId w:val="8"/>
              </w:numPr>
            </w:pPr>
            <w:r>
              <w:t>Clinical observations (CO)</w:t>
            </w:r>
          </w:p>
          <w:p w14:paraId="6D2AD02C" w14:textId="77777777" w:rsidR="00F5243A" w:rsidRDefault="00F5243A" w:rsidP="00F5243A">
            <w:pPr>
              <w:pStyle w:val="ListParagraph"/>
              <w:numPr>
                <w:ilvl w:val="0"/>
                <w:numId w:val="8"/>
              </w:numPr>
            </w:pPr>
            <w:r>
              <w:t>Mechanism of injury (MOI)</w:t>
            </w:r>
          </w:p>
          <w:p w14:paraId="1E81190E" w14:textId="77777777" w:rsidR="00F5243A" w:rsidRDefault="00F5243A" w:rsidP="00F5243A">
            <w:pPr>
              <w:pStyle w:val="ListParagraph"/>
              <w:numPr>
                <w:ilvl w:val="0"/>
                <w:numId w:val="8"/>
              </w:numPr>
            </w:pPr>
            <w:r>
              <w:t>Patient presentation (PP)</w:t>
            </w:r>
          </w:p>
          <w:p w14:paraId="59AAE54F" w14:textId="77777777" w:rsidR="00F5243A" w:rsidRDefault="00F5243A" w:rsidP="00F5243A">
            <w:pPr>
              <w:pStyle w:val="ListParagraph"/>
              <w:numPr>
                <w:ilvl w:val="0"/>
                <w:numId w:val="8"/>
              </w:numPr>
            </w:pPr>
            <w:r>
              <w:t>Type of injury (TOI)</w:t>
            </w:r>
          </w:p>
          <w:p w14:paraId="0C2BDC86" w14:textId="77777777" w:rsidR="00F5243A" w:rsidRDefault="00F5243A" w:rsidP="00F5243A">
            <w:pPr>
              <w:pStyle w:val="ListParagraph"/>
              <w:numPr>
                <w:ilvl w:val="0"/>
                <w:numId w:val="8"/>
              </w:numPr>
            </w:pPr>
            <w:r>
              <w:t>Patient history (PH)</w:t>
            </w:r>
          </w:p>
          <w:p w14:paraId="09B7A579" w14:textId="77777777" w:rsidR="00F5243A" w:rsidRDefault="00F5243A" w:rsidP="00F5243A">
            <w:pPr>
              <w:pStyle w:val="ListParagraph"/>
              <w:numPr>
                <w:ilvl w:val="0"/>
                <w:numId w:val="8"/>
              </w:numPr>
            </w:pPr>
            <w:r>
              <w:t>Clinical judgement (CJ)</w:t>
            </w:r>
          </w:p>
        </w:tc>
        <w:tc>
          <w:tcPr>
            <w:tcW w:w="851" w:type="dxa"/>
            <w:shd w:val="clear" w:color="auto" w:fill="auto"/>
          </w:tcPr>
          <w:p w14:paraId="6553CD8D" w14:textId="77777777" w:rsidR="00F5243A" w:rsidRDefault="00F5243A" w:rsidP="004645D5">
            <w:r>
              <w:t>Q22</w:t>
            </w:r>
          </w:p>
          <w:p w14:paraId="5B0175B5" w14:textId="77777777" w:rsidR="00F5243A" w:rsidRDefault="00F5243A" w:rsidP="004645D5"/>
          <w:p w14:paraId="620D98A3" w14:textId="77777777" w:rsidR="00F5243A" w:rsidRDefault="00F5243A" w:rsidP="004645D5"/>
          <w:p w14:paraId="3EA59708" w14:textId="77777777" w:rsidR="00F5243A" w:rsidRDefault="00F5243A" w:rsidP="004645D5"/>
          <w:p w14:paraId="719FE45F" w14:textId="77777777" w:rsidR="00F5243A" w:rsidRDefault="00F5243A" w:rsidP="004645D5"/>
          <w:p w14:paraId="1E0901E1" w14:textId="77777777" w:rsidR="00F5243A" w:rsidRPr="00A025DE" w:rsidRDefault="00F5243A" w:rsidP="004645D5">
            <w:r>
              <w:t>Q23</w:t>
            </w:r>
          </w:p>
        </w:tc>
        <w:tc>
          <w:tcPr>
            <w:tcW w:w="4536" w:type="dxa"/>
            <w:shd w:val="clear" w:color="auto" w:fill="auto"/>
          </w:tcPr>
          <w:p w14:paraId="5A99E7D5" w14:textId="77777777" w:rsidR="00F5243A" w:rsidRPr="00311518" w:rsidRDefault="00F5243A" w:rsidP="004645D5">
            <w:pPr>
              <w:rPr>
                <w:i/>
              </w:rPr>
            </w:pPr>
            <w:proofErr w:type="gramStart"/>
            <w:r w:rsidRPr="00311518">
              <w:rPr>
                <w:i/>
              </w:rPr>
              <w:t>So</w:t>
            </w:r>
            <w:proofErr w:type="gramEnd"/>
            <w:r w:rsidRPr="00311518">
              <w:rPr>
                <w:i/>
              </w:rPr>
              <w:t xml:space="preserve"> characteristics, I'd be looking for systemic changes such as tachycardia, and hypotension. (P017)</w:t>
            </w:r>
          </w:p>
          <w:p w14:paraId="5D5FC113" w14:textId="77777777" w:rsidR="00F5243A" w:rsidRPr="00311518" w:rsidRDefault="00F5243A" w:rsidP="004645D5">
            <w:pPr>
              <w:rPr>
                <w:i/>
              </w:rPr>
            </w:pPr>
          </w:p>
          <w:p w14:paraId="3D7EE8EB" w14:textId="77777777" w:rsidR="00F5243A" w:rsidRDefault="00F5243A" w:rsidP="004645D5">
            <w:r w:rsidRPr="00311518">
              <w:rPr>
                <w:i/>
              </w:rPr>
              <w:t>I think actually to be honest, I've gone by mechanism a lot of the time, and if the mechanism is suggestive of an internal bleed then I've used that clue to guide things really. (P005)</w:t>
            </w:r>
          </w:p>
        </w:tc>
        <w:tc>
          <w:tcPr>
            <w:tcW w:w="1276" w:type="dxa"/>
            <w:shd w:val="clear" w:color="auto" w:fill="auto"/>
          </w:tcPr>
          <w:p w14:paraId="48BA523E" w14:textId="77777777" w:rsidR="00F5243A" w:rsidRDefault="00F5243A" w:rsidP="004645D5">
            <w:r>
              <w:t>CO: 18</w:t>
            </w:r>
          </w:p>
          <w:p w14:paraId="2EF1EA51" w14:textId="77777777" w:rsidR="00F5243A" w:rsidRDefault="00F5243A" w:rsidP="004645D5"/>
          <w:p w14:paraId="11B6FE72" w14:textId="77777777" w:rsidR="00F5243A" w:rsidRDefault="00F5243A" w:rsidP="004645D5">
            <w:r>
              <w:t>MOI: 18</w:t>
            </w:r>
          </w:p>
          <w:p w14:paraId="344C06CC" w14:textId="77777777" w:rsidR="00F5243A" w:rsidRDefault="00F5243A" w:rsidP="004645D5"/>
          <w:p w14:paraId="63ADA077" w14:textId="77777777" w:rsidR="00F5243A" w:rsidRDefault="00F5243A" w:rsidP="004645D5">
            <w:r>
              <w:t>PP: 15</w:t>
            </w:r>
          </w:p>
          <w:p w14:paraId="16F1E5B3" w14:textId="77777777" w:rsidR="00F5243A" w:rsidRDefault="00F5243A" w:rsidP="004645D5"/>
          <w:p w14:paraId="5905D027" w14:textId="77777777" w:rsidR="00F5243A" w:rsidRDefault="00F5243A" w:rsidP="004645D5">
            <w:r>
              <w:t>TOI: 11</w:t>
            </w:r>
          </w:p>
          <w:p w14:paraId="4F0F56FC" w14:textId="77777777" w:rsidR="00F5243A" w:rsidRDefault="00F5243A" w:rsidP="004645D5"/>
          <w:p w14:paraId="1A88F431" w14:textId="77777777" w:rsidR="00F5243A" w:rsidRDefault="00F5243A" w:rsidP="004645D5">
            <w:r>
              <w:t>PH: 4</w:t>
            </w:r>
          </w:p>
          <w:p w14:paraId="130CABD5" w14:textId="77777777" w:rsidR="00F5243A" w:rsidRDefault="00F5243A" w:rsidP="004645D5"/>
          <w:p w14:paraId="6828CE69" w14:textId="77777777" w:rsidR="00F5243A" w:rsidRDefault="00F5243A" w:rsidP="004645D5">
            <w:r>
              <w:t>CJ: 4</w:t>
            </w:r>
          </w:p>
        </w:tc>
        <w:tc>
          <w:tcPr>
            <w:tcW w:w="1281" w:type="dxa"/>
            <w:shd w:val="clear" w:color="auto" w:fill="auto"/>
            <w:vAlign w:val="center"/>
          </w:tcPr>
          <w:p w14:paraId="00838FA7" w14:textId="77777777" w:rsidR="00F5243A" w:rsidRDefault="00F5243A" w:rsidP="004645D5">
            <w:r>
              <w:t>High</w:t>
            </w:r>
          </w:p>
        </w:tc>
      </w:tr>
      <w:tr w:rsidR="00BC3DCC" w14:paraId="6F52B8A6" w14:textId="77777777" w:rsidTr="004645D5">
        <w:trPr>
          <w:trHeight w:val="478"/>
        </w:trPr>
        <w:tc>
          <w:tcPr>
            <w:tcW w:w="1555" w:type="dxa"/>
            <w:vMerge/>
            <w:shd w:val="clear" w:color="auto" w:fill="auto"/>
          </w:tcPr>
          <w:p w14:paraId="4BAE45B1" w14:textId="77777777" w:rsidR="00F5243A" w:rsidRDefault="00F5243A" w:rsidP="004645D5"/>
        </w:tc>
        <w:tc>
          <w:tcPr>
            <w:tcW w:w="1276" w:type="dxa"/>
            <w:shd w:val="clear" w:color="auto" w:fill="auto"/>
          </w:tcPr>
          <w:p w14:paraId="77B46380" w14:textId="77777777" w:rsidR="00F5243A" w:rsidRDefault="00F5243A" w:rsidP="004645D5">
            <w:r>
              <w:t xml:space="preserve">Facilitator </w:t>
            </w:r>
          </w:p>
        </w:tc>
        <w:tc>
          <w:tcPr>
            <w:tcW w:w="3401" w:type="dxa"/>
            <w:shd w:val="clear" w:color="auto" w:fill="auto"/>
          </w:tcPr>
          <w:p w14:paraId="5E5A1B49" w14:textId="77777777" w:rsidR="00F5243A" w:rsidRDefault="00F5243A" w:rsidP="004645D5">
            <w:r>
              <w:t>It would be helpful to have a triage tool/flow chart like the major trauma tool to help me decide when to administer TXA</w:t>
            </w:r>
          </w:p>
        </w:tc>
        <w:tc>
          <w:tcPr>
            <w:tcW w:w="851" w:type="dxa"/>
            <w:shd w:val="clear" w:color="auto" w:fill="auto"/>
          </w:tcPr>
          <w:p w14:paraId="41D5AE0A" w14:textId="77777777" w:rsidR="00F5243A" w:rsidRPr="00A025DE" w:rsidRDefault="00F5243A" w:rsidP="004645D5">
            <w:r>
              <w:t>Q26</w:t>
            </w:r>
          </w:p>
        </w:tc>
        <w:tc>
          <w:tcPr>
            <w:tcW w:w="4536" w:type="dxa"/>
            <w:shd w:val="clear" w:color="auto" w:fill="auto"/>
          </w:tcPr>
          <w:p w14:paraId="3D828C66" w14:textId="77777777" w:rsidR="00F5243A" w:rsidRDefault="00F5243A" w:rsidP="004645D5">
            <w:r w:rsidRPr="00311518">
              <w:rPr>
                <w:i/>
              </w:rPr>
              <w:t>Maybe kind of like a flow chart type thing, like we have with the major trauma tool. A flow chart to maybe encourage patients with more moderate bleeding to be given it - could help. (P008)</w:t>
            </w:r>
          </w:p>
        </w:tc>
        <w:tc>
          <w:tcPr>
            <w:tcW w:w="1276" w:type="dxa"/>
            <w:shd w:val="clear" w:color="auto" w:fill="auto"/>
          </w:tcPr>
          <w:p w14:paraId="54510BEE" w14:textId="77777777" w:rsidR="00F5243A" w:rsidRDefault="00F5243A" w:rsidP="004645D5">
            <w:r>
              <w:t>9</w:t>
            </w:r>
          </w:p>
        </w:tc>
        <w:tc>
          <w:tcPr>
            <w:tcW w:w="1281" w:type="dxa"/>
            <w:shd w:val="clear" w:color="auto" w:fill="auto"/>
            <w:vAlign w:val="center"/>
          </w:tcPr>
          <w:p w14:paraId="4443925C" w14:textId="77777777" w:rsidR="00F5243A" w:rsidRDefault="00F5243A" w:rsidP="004645D5">
            <w:r>
              <w:t>Medium</w:t>
            </w:r>
          </w:p>
        </w:tc>
      </w:tr>
      <w:tr w:rsidR="00BC3DCC" w14:paraId="212F7A89" w14:textId="77777777" w:rsidTr="004645D5">
        <w:trPr>
          <w:trHeight w:val="478"/>
        </w:trPr>
        <w:tc>
          <w:tcPr>
            <w:tcW w:w="1555" w:type="dxa"/>
            <w:vMerge w:val="restart"/>
            <w:shd w:val="clear" w:color="auto" w:fill="auto"/>
          </w:tcPr>
          <w:p w14:paraId="5382A15A" w14:textId="77777777" w:rsidR="00F5243A" w:rsidRDefault="00F5243A" w:rsidP="004645D5">
            <w:r>
              <w:t>Reinforcement</w:t>
            </w:r>
          </w:p>
        </w:tc>
        <w:tc>
          <w:tcPr>
            <w:tcW w:w="1276" w:type="dxa"/>
            <w:vMerge w:val="restart"/>
            <w:shd w:val="clear" w:color="auto" w:fill="auto"/>
          </w:tcPr>
          <w:p w14:paraId="5574ED02" w14:textId="77777777" w:rsidR="00F5243A" w:rsidRDefault="00F5243A" w:rsidP="004645D5">
            <w:r>
              <w:t xml:space="preserve">Barriers </w:t>
            </w:r>
          </w:p>
        </w:tc>
        <w:tc>
          <w:tcPr>
            <w:tcW w:w="3401" w:type="dxa"/>
            <w:shd w:val="clear" w:color="auto" w:fill="auto"/>
          </w:tcPr>
          <w:p w14:paraId="01B5547A" w14:textId="77777777" w:rsidR="00F5243A" w:rsidRDefault="00F5243A" w:rsidP="004645D5">
            <w:r>
              <w:t>The lack of immediate visible effect of TXA on patients inhibits its use by paramedics.</w:t>
            </w:r>
          </w:p>
        </w:tc>
        <w:tc>
          <w:tcPr>
            <w:tcW w:w="851" w:type="dxa"/>
            <w:shd w:val="clear" w:color="auto" w:fill="auto"/>
          </w:tcPr>
          <w:p w14:paraId="24766B45" w14:textId="77777777" w:rsidR="00F5243A" w:rsidRDefault="00F5243A" w:rsidP="004645D5">
            <w:r>
              <w:t>Q20</w:t>
            </w:r>
          </w:p>
          <w:p w14:paraId="6DFDEA37" w14:textId="77777777" w:rsidR="00F5243A" w:rsidRPr="001F0A91" w:rsidRDefault="00F5243A" w:rsidP="004645D5"/>
        </w:tc>
        <w:tc>
          <w:tcPr>
            <w:tcW w:w="4536" w:type="dxa"/>
            <w:shd w:val="clear" w:color="auto" w:fill="auto"/>
          </w:tcPr>
          <w:p w14:paraId="410F4102" w14:textId="77777777" w:rsidR="00F5243A" w:rsidRDefault="00F5243A" w:rsidP="004645D5">
            <w:r w:rsidRPr="00311518">
              <w:rPr>
                <w:i/>
              </w:rPr>
              <w:t xml:space="preserve">I do remember that whenever I, as a student even seeing TXA being used, I was kind of, it was a bit of an anti-climax because I was kind of like what's going to happen now. I was like ah okay [nothing]. And it was, </w:t>
            </w:r>
            <w:proofErr w:type="gramStart"/>
            <w:r w:rsidRPr="00311518">
              <w:rPr>
                <w:i/>
              </w:rPr>
              <w:t>you</w:t>
            </w:r>
            <w:proofErr w:type="gramEnd"/>
            <w:r w:rsidRPr="00311518">
              <w:rPr>
                <w:i/>
              </w:rPr>
              <w:t xml:space="preserve"> kind of, you look at these things and you are expecting to see something great and fantastic happening but it doesn’t. (P003)</w:t>
            </w:r>
          </w:p>
        </w:tc>
        <w:tc>
          <w:tcPr>
            <w:tcW w:w="1276" w:type="dxa"/>
            <w:shd w:val="clear" w:color="auto" w:fill="auto"/>
          </w:tcPr>
          <w:p w14:paraId="013DBB7A" w14:textId="77777777" w:rsidR="00F5243A" w:rsidRDefault="00F5243A" w:rsidP="004645D5">
            <w:r>
              <w:t>2</w:t>
            </w:r>
          </w:p>
        </w:tc>
        <w:tc>
          <w:tcPr>
            <w:tcW w:w="1281" w:type="dxa"/>
            <w:vMerge w:val="restart"/>
            <w:shd w:val="clear" w:color="auto" w:fill="auto"/>
            <w:vAlign w:val="center"/>
          </w:tcPr>
          <w:p w14:paraId="384DF151" w14:textId="77777777" w:rsidR="00F5243A" w:rsidRDefault="00F5243A" w:rsidP="004645D5">
            <w:r>
              <w:t>Low</w:t>
            </w:r>
          </w:p>
        </w:tc>
      </w:tr>
      <w:tr w:rsidR="00BC3DCC" w14:paraId="1E00914A" w14:textId="77777777" w:rsidTr="004645D5">
        <w:trPr>
          <w:trHeight w:val="478"/>
        </w:trPr>
        <w:tc>
          <w:tcPr>
            <w:tcW w:w="1555" w:type="dxa"/>
            <w:vMerge/>
            <w:shd w:val="clear" w:color="auto" w:fill="auto"/>
          </w:tcPr>
          <w:p w14:paraId="357C8B00" w14:textId="77777777" w:rsidR="00F5243A" w:rsidRDefault="00F5243A" w:rsidP="004645D5"/>
        </w:tc>
        <w:tc>
          <w:tcPr>
            <w:tcW w:w="1276" w:type="dxa"/>
            <w:vMerge/>
            <w:shd w:val="clear" w:color="auto" w:fill="auto"/>
          </w:tcPr>
          <w:p w14:paraId="05ED3F71" w14:textId="77777777" w:rsidR="00F5243A" w:rsidRDefault="00F5243A" w:rsidP="004645D5"/>
        </w:tc>
        <w:tc>
          <w:tcPr>
            <w:tcW w:w="3401" w:type="dxa"/>
            <w:shd w:val="clear" w:color="auto" w:fill="auto"/>
          </w:tcPr>
          <w:p w14:paraId="79A78D9E" w14:textId="77777777" w:rsidR="00F5243A" w:rsidRDefault="00F5243A" w:rsidP="004645D5">
            <w:r>
              <w:t>I/my colleagues have a fear of repercussion of administering TXA to patients who do not need it</w:t>
            </w:r>
          </w:p>
        </w:tc>
        <w:tc>
          <w:tcPr>
            <w:tcW w:w="851" w:type="dxa"/>
            <w:shd w:val="clear" w:color="auto" w:fill="auto"/>
          </w:tcPr>
          <w:p w14:paraId="2BF0CFC0" w14:textId="77777777" w:rsidR="00F5243A" w:rsidRPr="00A025DE" w:rsidRDefault="00F5243A" w:rsidP="004645D5">
            <w:r>
              <w:t>Q19</w:t>
            </w:r>
          </w:p>
        </w:tc>
        <w:tc>
          <w:tcPr>
            <w:tcW w:w="4536" w:type="dxa"/>
            <w:shd w:val="clear" w:color="auto" w:fill="auto"/>
          </w:tcPr>
          <w:p w14:paraId="505EBB36" w14:textId="77777777" w:rsidR="00F5243A" w:rsidRDefault="00F5243A" w:rsidP="004645D5">
            <w:r w:rsidRPr="00311518">
              <w:rPr>
                <w:i/>
              </w:rPr>
              <w:t>The fear of repercussion can obviously impact people's clinical decisions, and that can either be the repercussion from the patient or the repercussions from management. (P003)</w:t>
            </w:r>
          </w:p>
        </w:tc>
        <w:tc>
          <w:tcPr>
            <w:tcW w:w="1276" w:type="dxa"/>
            <w:shd w:val="clear" w:color="auto" w:fill="auto"/>
          </w:tcPr>
          <w:p w14:paraId="5D40E4E0" w14:textId="77777777" w:rsidR="00F5243A" w:rsidRDefault="00F5243A" w:rsidP="004645D5">
            <w:r>
              <w:t>5</w:t>
            </w:r>
          </w:p>
        </w:tc>
        <w:tc>
          <w:tcPr>
            <w:tcW w:w="1281" w:type="dxa"/>
            <w:vMerge/>
            <w:shd w:val="clear" w:color="auto" w:fill="auto"/>
            <w:vAlign w:val="center"/>
          </w:tcPr>
          <w:p w14:paraId="1D99528C" w14:textId="77777777" w:rsidR="00F5243A" w:rsidRDefault="00F5243A" w:rsidP="004645D5"/>
        </w:tc>
      </w:tr>
      <w:tr w:rsidR="00BC3DCC" w14:paraId="229BED30" w14:textId="77777777" w:rsidTr="004645D5">
        <w:trPr>
          <w:trHeight w:val="478"/>
        </w:trPr>
        <w:tc>
          <w:tcPr>
            <w:tcW w:w="1555" w:type="dxa"/>
            <w:vMerge w:val="restart"/>
            <w:shd w:val="clear" w:color="auto" w:fill="auto"/>
          </w:tcPr>
          <w:p w14:paraId="16D281DA" w14:textId="77777777" w:rsidR="00F5243A" w:rsidRDefault="00F5243A" w:rsidP="004645D5">
            <w:r>
              <w:t>Social influences</w:t>
            </w:r>
          </w:p>
        </w:tc>
        <w:tc>
          <w:tcPr>
            <w:tcW w:w="1276" w:type="dxa"/>
            <w:shd w:val="clear" w:color="auto" w:fill="auto"/>
          </w:tcPr>
          <w:p w14:paraId="24CC43FD" w14:textId="77777777" w:rsidR="00F5243A" w:rsidRDefault="00F5243A" w:rsidP="004645D5">
            <w:r>
              <w:t xml:space="preserve">Barrier </w:t>
            </w:r>
          </w:p>
        </w:tc>
        <w:tc>
          <w:tcPr>
            <w:tcW w:w="3401" w:type="dxa"/>
            <w:shd w:val="clear" w:color="auto" w:fill="auto"/>
          </w:tcPr>
          <w:p w14:paraId="4B5918CD" w14:textId="77777777" w:rsidR="00F5243A" w:rsidRDefault="00F5243A" w:rsidP="004645D5">
            <w:r>
              <w:t>Trust culture hinders administration of TXA (TXA is only given for major trauma)</w:t>
            </w:r>
          </w:p>
        </w:tc>
        <w:tc>
          <w:tcPr>
            <w:tcW w:w="851" w:type="dxa"/>
            <w:shd w:val="clear" w:color="auto" w:fill="auto"/>
          </w:tcPr>
          <w:p w14:paraId="34194CC9" w14:textId="77777777" w:rsidR="00F5243A" w:rsidRPr="00A025DE" w:rsidRDefault="00F5243A" w:rsidP="004645D5">
            <w:r>
              <w:t>Q31</w:t>
            </w:r>
          </w:p>
        </w:tc>
        <w:tc>
          <w:tcPr>
            <w:tcW w:w="4536" w:type="dxa"/>
            <w:shd w:val="clear" w:color="auto" w:fill="auto"/>
          </w:tcPr>
          <w:p w14:paraId="49A38C77" w14:textId="77777777" w:rsidR="00F5243A" w:rsidRDefault="00F5243A" w:rsidP="004645D5">
            <w:r w:rsidRPr="00311518">
              <w:rPr>
                <w:i/>
              </w:rPr>
              <w:t>It probably is almost like a cultural thing that TXA is a kind of a major trauma thing, rather than a routine for use drug. (P002)</w:t>
            </w:r>
          </w:p>
        </w:tc>
        <w:tc>
          <w:tcPr>
            <w:tcW w:w="1276" w:type="dxa"/>
            <w:shd w:val="clear" w:color="auto" w:fill="auto"/>
          </w:tcPr>
          <w:p w14:paraId="22509C15" w14:textId="77777777" w:rsidR="00F5243A" w:rsidRDefault="00F5243A" w:rsidP="004645D5">
            <w:r>
              <w:t>4</w:t>
            </w:r>
          </w:p>
        </w:tc>
        <w:tc>
          <w:tcPr>
            <w:tcW w:w="1281" w:type="dxa"/>
            <w:shd w:val="clear" w:color="auto" w:fill="auto"/>
            <w:vAlign w:val="center"/>
          </w:tcPr>
          <w:p w14:paraId="098085DC" w14:textId="77777777" w:rsidR="00F5243A" w:rsidRDefault="00F5243A" w:rsidP="004645D5">
            <w:r>
              <w:t>Low</w:t>
            </w:r>
          </w:p>
        </w:tc>
      </w:tr>
      <w:tr w:rsidR="00BC3DCC" w14:paraId="16EC175C" w14:textId="77777777" w:rsidTr="004645D5">
        <w:trPr>
          <w:trHeight w:val="966"/>
        </w:trPr>
        <w:tc>
          <w:tcPr>
            <w:tcW w:w="1555" w:type="dxa"/>
            <w:vMerge/>
            <w:shd w:val="clear" w:color="auto" w:fill="auto"/>
          </w:tcPr>
          <w:p w14:paraId="52E720FB" w14:textId="77777777" w:rsidR="00F5243A" w:rsidRDefault="00F5243A" w:rsidP="004645D5"/>
        </w:tc>
        <w:tc>
          <w:tcPr>
            <w:tcW w:w="1276" w:type="dxa"/>
            <w:shd w:val="clear" w:color="auto" w:fill="auto"/>
          </w:tcPr>
          <w:p w14:paraId="07E90F29" w14:textId="77777777" w:rsidR="00F5243A" w:rsidRDefault="00F5243A" w:rsidP="004645D5">
            <w:r>
              <w:t xml:space="preserve">Both </w:t>
            </w:r>
          </w:p>
        </w:tc>
        <w:tc>
          <w:tcPr>
            <w:tcW w:w="3401" w:type="dxa"/>
            <w:shd w:val="clear" w:color="auto" w:fill="auto"/>
          </w:tcPr>
          <w:p w14:paraId="12F7406F" w14:textId="77777777" w:rsidR="00F5243A" w:rsidRDefault="00F5243A" w:rsidP="004645D5">
            <w:r>
              <w:t>My colleagues’ opinions affect my administration of TXA</w:t>
            </w:r>
          </w:p>
        </w:tc>
        <w:tc>
          <w:tcPr>
            <w:tcW w:w="851" w:type="dxa"/>
            <w:shd w:val="clear" w:color="auto" w:fill="auto"/>
          </w:tcPr>
          <w:p w14:paraId="326FA011" w14:textId="77777777" w:rsidR="00F5243A" w:rsidRPr="00A025DE" w:rsidRDefault="00F5243A" w:rsidP="004645D5">
            <w:r>
              <w:t>Q32</w:t>
            </w:r>
          </w:p>
        </w:tc>
        <w:tc>
          <w:tcPr>
            <w:tcW w:w="4536" w:type="dxa"/>
            <w:shd w:val="clear" w:color="auto" w:fill="auto"/>
          </w:tcPr>
          <w:p w14:paraId="7F5C796C" w14:textId="77777777" w:rsidR="00F5243A" w:rsidRDefault="00F5243A" w:rsidP="004645D5">
            <w:r w:rsidRPr="00311518">
              <w:rPr>
                <w:i/>
              </w:rPr>
              <w:t>I discussed it with another paramedic who was on with me at the time, so we had this discussion as to whether to administer or not and that's how we came to the decision. (P017)</w:t>
            </w:r>
          </w:p>
        </w:tc>
        <w:tc>
          <w:tcPr>
            <w:tcW w:w="1276" w:type="dxa"/>
            <w:shd w:val="clear" w:color="auto" w:fill="auto"/>
          </w:tcPr>
          <w:p w14:paraId="19AB2EDB" w14:textId="77777777" w:rsidR="00F5243A" w:rsidRDefault="00F5243A" w:rsidP="004645D5">
            <w:r>
              <w:t>6</w:t>
            </w:r>
          </w:p>
        </w:tc>
        <w:tc>
          <w:tcPr>
            <w:tcW w:w="1281" w:type="dxa"/>
            <w:shd w:val="clear" w:color="auto" w:fill="auto"/>
            <w:vAlign w:val="center"/>
          </w:tcPr>
          <w:p w14:paraId="57313C88" w14:textId="77777777" w:rsidR="00F5243A" w:rsidRDefault="00F5243A" w:rsidP="004645D5">
            <w:r>
              <w:t>Medium</w:t>
            </w:r>
          </w:p>
        </w:tc>
      </w:tr>
      <w:tr w:rsidR="00BC3DCC" w14:paraId="1A847995" w14:textId="77777777" w:rsidTr="004645D5">
        <w:trPr>
          <w:trHeight w:val="478"/>
        </w:trPr>
        <w:tc>
          <w:tcPr>
            <w:tcW w:w="1555" w:type="dxa"/>
            <w:vMerge/>
            <w:shd w:val="clear" w:color="auto" w:fill="auto"/>
          </w:tcPr>
          <w:p w14:paraId="7A48D1C0" w14:textId="77777777" w:rsidR="00F5243A" w:rsidRDefault="00F5243A" w:rsidP="004645D5"/>
        </w:tc>
        <w:tc>
          <w:tcPr>
            <w:tcW w:w="1276" w:type="dxa"/>
            <w:shd w:val="clear" w:color="auto" w:fill="auto"/>
          </w:tcPr>
          <w:p w14:paraId="56A3AED5" w14:textId="77777777" w:rsidR="00F5243A" w:rsidRDefault="00F5243A" w:rsidP="004645D5">
            <w:r>
              <w:t xml:space="preserve">Facilitator </w:t>
            </w:r>
          </w:p>
        </w:tc>
        <w:tc>
          <w:tcPr>
            <w:tcW w:w="3401" w:type="dxa"/>
            <w:shd w:val="clear" w:color="auto" w:fill="auto"/>
          </w:tcPr>
          <w:p w14:paraId="6076F36C" w14:textId="77777777" w:rsidR="00F5243A" w:rsidRDefault="00F5243A" w:rsidP="004645D5">
            <w:r>
              <w:t>I usually check with a senior colleague/doctor before administering TXA</w:t>
            </w:r>
          </w:p>
        </w:tc>
        <w:tc>
          <w:tcPr>
            <w:tcW w:w="851" w:type="dxa"/>
            <w:shd w:val="clear" w:color="auto" w:fill="auto"/>
          </w:tcPr>
          <w:p w14:paraId="4E657277" w14:textId="77777777" w:rsidR="00F5243A" w:rsidRPr="00A025DE" w:rsidRDefault="00F5243A" w:rsidP="004645D5">
            <w:r>
              <w:t>Q33</w:t>
            </w:r>
          </w:p>
        </w:tc>
        <w:tc>
          <w:tcPr>
            <w:tcW w:w="4536" w:type="dxa"/>
            <w:shd w:val="clear" w:color="auto" w:fill="auto"/>
          </w:tcPr>
          <w:p w14:paraId="24E51F37" w14:textId="77777777" w:rsidR="00F5243A" w:rsidRPr="00311518" w:rsidRDefault="00F5243A" w:rsidP="004645D5">
            <w:pPr>
              <w:rPr>
                <w:i/>
              </w:rPr>
            </w:pPr>
            <w:r w:rsidRPr="00311518">
              <w:rPr>
                <w:i/>
              </w:rPr>
              <w:t>I'd probably call up [the hospital] and say ‘this is what I'm bringing you, I'm going to be an hour, do you want me to start TXA?’ (P007)</w:t>
            </w:r>
          </w:p>
        </w:tc>
        <w:tc>
          <w:tcPr>
            <w:tcW w:w="1276" w:type="dxa"/>
            <w:shd w:val="clear" w:color="auto" w:fill="auto"/>
          </w:tcPr>
          <w:p w14:paraId="04EB4E9C" w14:textId="77777777" w:rsidR="00F5243A" w:rsidRDefault="00F5243A" w:rsidP="004645D5">
            <w:r>
              <w:t>7</w:t>
            </w:r>
          </w:p>
        </w:tc>
        <w:tc>
          <w:tcPr>
            <w:tcW w:w="1281" w:type="dxa"/>
            <w:shd w:val="clear" w:color="auto" w:fill="auto"/>
            <w:vAlign w:val="center"/>
          </w:tcPr>
          <w:p w14:paraId="5233710A" w14:textId="77777777" w:rsidR="00F5243A" w:rsidRDefault="00F5243A" w:rsidP="004645D5">
            <w:r>
              <w:t>Medium</w:t>
            </w:r>
          </w:p>
        </w:tc>
      </w:tr>
      <w:tr w:rsidR="00BC3DCC" w14:paraId="5D5F34F7" w14:textId="77777777" w:rsidTr="004645D5">
        <w:trPr>
          <w:trHeight w:val="1074"/>
        </w:trPr>
        <w:tc>
          <w:tcPr>
            <w:tcW w:w="1555" w:type="dxa"/>
            <w:vMerge w:val="restart"/>
            <w:shd w:val="clear" w:color="auto" w:fill="auto"/>
          </w:tcPr>
          <w:p w14:paraId="673900A6" w14:textId="77777777" w:rsidR="00F5243A" w:rsidRDefault="00F5243A" w:rsidP="004645D5">
            <w:pPr>
              <w:tabs>
                <w:tab w:val="left" w:pos="1130"/>
              </w:tabs>
            </w:pPr>
            <w:r>
              <w:t>Social/ professional role and identity</w:t>
            </w:r>
          </w:p>
        </w:tc>
        <w:tc>
          <w:tcPr>
            <w:tcW w:w="1276" w:type="dxa"/>
            <w:vMerge w:val="restart"/>
            <w:shd w:val="clear" w:color="auto" w:fill="auto"/>
          </w:tcPr>
          <w:p w14:paraId="10DAD100" w14:textId="77777777" w:rsidR="00F5243A" w:rsidRDefault="00F5243A" w:rsidP="004645D5">
            <w:r>
              <w:t xml:space="preserve">Barriers </w:t>
            </w:r>
          </w:p>
        </w:tc>
        <w:tc>
          <w:tcPr>
            <w:tcW w:w="3401" w:type="dxa"/>
            <w:shd w:val="clear" w:color="auto" w:fill="auto"/>
          </w:tcPr>
          <w:p w14:paraId="3590A7AB" w14:textId="77777777" w:rsidR="00F5243A" w:rsidRDefault="00F5243A" w:rsidP="004645D5">
            <w:r>
              <w:t>The restrictions of working to a PGD hinder the administration of TXA to patients who would benefit from it</w:t>
            </w:r>
          </w:p>
        </w:tc>
        <w:tc>
          <w:tcPr>
            <w:tcW w:w="851" w:type="dxa"/>
            <w:shd w:val="clear" w:color="auto" w:fill="auto"/>
          </w:tcPr>
          <w:p w14:paraId="097D2D95" w14:textId="77777777" w:rsidR="00F5243A" w:rsidRPr="00A025DE" w:rsidRDefault="00F5243A" w:rsidP="004645D5">
            <w:r>
              <w:t>Q7</w:t>
            </w:r>
          </w:p>
        </w:tc>
        <w:tc>
          <w:tcPr>
            <w:tcW w:w="4536" w:type="dxa"/>
            <w:shd w:val="clear" w:color="auto" w:fill="auto"/>
          </w:tcPr>
          <w:p w14:paraId="224A542B" w14:textId="77777777" w:rsidR="00F5243A" w:rsidRDefault="00F5243A" w:rsidP="004645D5">
            <w:r w:rsidRPr="00311518">
              <w:rPr>
                <w:i/>
              </w:rPr>
              <w:t>I don't know whether it needs to be a change in the wording of the guidance to encourage [TXA administration]. I am just actually having a look at the guidance now, even the fact that itself that it is a PGD. I just don't really get why it should be a PGD. (P003)</w:t>
            </w:r>
          </w:p>
        </w:tc>
        <w:tc>
          <w:tcPr>
            <w:tcW w:w="1276" w:type="dxa"/>
            <w:shd w:val="clear" w:color="auto" w:fill="auto"/>
          </w:tcPr>
          <w:p w14:paraId="188BC174" w14:textId="77777777" w:rsidR="00F5243A" w:rsidRDefault="00F5243A" w:rsidP="004645D5">
            <w:r>
              <w:t>18</w:t>
            </w:r>
          </w:p>
        </w:tc>
        <w:tc>
          <w:tcPr>
            <w:tcW w:w="1281" w:type="dxa"/>
            <w:vMerge w:val="restart"/>
            <w:shd w:val="clear" w:color="auto" w:fill="auto"/>
            <w:vAlign w:val="center"/>
          </w:tcPr>
          <w:p w14:paraId="44892BB9" w14:textId="77777777" w:rsidR="00F5243A" w:rsidRDefault="00F5243A" w:rsidP="004645D5">
            <w:r>
              <w:t>High</w:t>
            </w:r>
          </w:p>
        </w:tc>
      </w:tr>
      <w:tr w:rsidR="00BC3DCC" w14:paraId="60D36A1C" w14:textId="77777777" w:rsidTr="004645D5">
        <w:trPr>
          <w:trHeight w:val="478"/>
        </w:trPr>
        <w:tc>
          <w:tcPr>
            <w:tcW w:w="1555" w:type="dxa"/>
            <w:vMerge/>
            <w:shd w:val="clear" w:color="auto" w:fill="auto"/>
          </w:tcPr>
          <w:p w14:paraId="287FE2FD" w14:textId="77777777" w:rsidR="00F5243A" w:rsidRDefault="00F5243A" w:rsidP="004645D5">
            <w:pPr>
              <w:tabs>
                <w:tab w:val="left" w:pos="1130"/>
              </w:tabs>
            </w:pPr>
          </w:p>
        </w:tc>
        <w:tc>
          <w:tcPr>
            <w:tcW w:w="1276" w:type="dxa"/>
            <w:vMerge/>
            <w:shd w:val="clear" w:color="auto" w:fill="auto"/>
          </w:tcPr>
          <w:p w14:paraId="4D33D608" w14:textId="77777777" w:rsidR="00F5243A" w:rsidRDefault="00F5243A" w:rsidP="004645D5"/>
        </w:tc>
        <w:tc>
          <w:tcPr>
            <w:tcW w:w="3401" w:type="dxa"/>
            <w:shd w:val="clear" w:color="auto" w:fill="auto"/>
          </w:tcPr>
          <w:p w14:paraId="58A6CDBE" w14:textId="77777777" w:rsidR="00F5243A" w:rsidRDefault="00F5243A" w:rsidP="004645D5">
            <w:r>
              <w:t>I/my colleagues are unsure as to which conditions/injuries we are able to administer TXA for</w:t>
            </w:r>
          </w:p>
        </w:tc>
        <w:tc>
          <w:tcPr>
            <w:tcW w:w="851" w:type="dxa"/>
            <w:shd w:val="clear" w:color="auto" w:fill="auto"/>
          </w:tcPr>
          <w:p w14:paraId="122FCDE3" w14:textId="77777777" w:rsidR="00F5243A" w:rsidRDefault="00F5243A" w:rsidP="004645D5">
            <w:r>
              <w:t>Q8</w:t>
            </w:r>
          </w:p>
          <w:p w14:paraId="4EFA4B77" w14:textId="77777777" w:rsidR="00F5243A" w:rsidRDefault="00F5243A" w:rsidP="004645D5"/>
          <w:p w14:paraId="732DF170" w14:textId="77777777" w:rsidR="00F5243A" w:rsidRDefault="00F5243A" w:rsidP="004645D5"/>
          <w:p w14:paraId="44945464" w14:textId="77777777" w:rsidR="00F5243A" w:rsidRDefault="00F5243A" w:rsidP="004645D5"/>
          <w:p w14:paraId="0976602A" w14:textId="77777777" w:rsidR="00F5243A" w:rsidRDefault="00F5243A" w:rsidP="004645D5"/>
          <w:p w14:paraId="1D53EAF3" w14:textId="77777777" w:rsidR="00F5243A" w:rsidRDefault="00F5243A" w:rsidP="004645D5"/>
          <w:p w14:paraId="37692EE4" w14:textId="77777777" w:rsidR="00F5243A" w:rsidRDefault="00F5243A" w:rsidP="004645D5"/>
          <w:p w14:paraId="5938A6A9" w14:textId="77777777" w:rsidR="00F5243A" w:rsidRPr="00A025DE" w:rsidRDefault="00F5243A" w:rsidP="004645D5">
            <w:r>
              <w:t>Q9</w:t>
            </w:r>
          </w:p>
        </w:tc>
        <w:tc>
          <w:tcPr>
            <w:tcW w:w="4536" w:type="dxa"/>
            <w:shd w:val="clear" w:color="auto" w:fill="auto"/>
          </w:tcPr>
          <w:p w14:paraId="6D5E8652" w14:textId="77777777" w:rsidR="00F5243A" w:rsidRPr="00311518" w:rsidRDefault="00F5243A" w:rsidP="004645D5">
            <w:pPr>
              <w:rPr>
                <w:i/>
              </w:rPr>
            </w:pPr>
            <w:r w:rsidRPr="00311518">
              <w:rPr>
                <w:i/>
              </w:rPr>
              <w:t>I also think that gynaecological and GI bleeds or trauma also need to be clarified in the guidance.  I'd like to see that given a mention because people are never sure whether to give that or not. (P005)</w:t>
            </w:r>
          </w:p>
          <w:p w14:paraId="5E53EB54" w14:textId="77777777" w:rsidR="00F5243A" w:rsidRPr="00311518" w:rsidRDefault="00F5243A" w:rsidP="004645D5">
            <w:pPr>
              <w:rPr>
                <w:i/>
              </w:rPr>
            </w:pPr>
          </w:p>
          <w:p w14:paraId="5477D2F3" w14:textId="77777777" w:rsidR="00F5243A" w:rsidRDefault="00F5243A" w:rsidP="004645D5">
            <w:r w:rsidRPr="00311518">
              <w:rPr>
                <w:i/>
              </w:rPr>
              <w:t>It's like any of our guidelines in the JRCALC, they can be a little bit vague, and that's what they are they are guidelines but they can be a little bit too open to interpretation in my mind. (P009)</w:t>
            </w:r>
          </w:p>
        </w:tc>
        <w:tc>
          <w:tcPr>
            <w:tcW w:w="1276" w:type="dxa"/>
            <w:shd w:val="clear" w:color="auto" w:fill="auto"/>
          </w:tcPr>
          <w:p w14:paraId="13E4A187" w14:textId="77777777" w:rsidR="00F5243A" w:rsidRDefault="00F5243A" w:rsidP="004645D5">
            <w:r>
              <w:t>6</w:t>
            </w:r>
          </w:p>
        </w:tc>
        <w:tc>
          <w:tcPr>
            <w:tcW w:w="1281" w:type="dxa"/>
            <w:vMerge/>
            <w:shd w:val="clear" w:color="auto" w:fill="auto"/>
            <w:vAlign w:val="center"/>
          </w:tcPr>
          <w:p w14:paraId="45156513" w14:textId="77777777" w:rsidR="00F5243A" w:rsidRDefault="00F5243A" w:rsidP="004645D5"/>
        </w:tc>
      </w:tr>
      <w:tr w:rsidR="00BC3DCC" w14:paraId="46369CBB" w14:textId="77777777" w:rsidTr="004645D5">
        <w:trPr>
          <w:trHeight w:val="478"/>
        </w:trPr>
        <w:tc>
          <w:tcPr>
            <w:tcW w:w="1555" w:type="dxa"/>
            <w:vMerge/>
            <w:shd w:val="clear" w:color="auto" w:fill="auto"/>
          </w:tcPr>
          <w:p w14:paraId="299A96B4" w14:textId="77777777" w:rsidR="00F5243A" w:rsidRDefault="00F5243A" w:rsidP="004645D5">
            <w:pPr>
              <w:tabs>
                <w:tab w:val="left" w:pos="1130"/>
              </w:tabs>
            </w:pPr>
          </w:p>
        </w:tc>
        <w:tc>
          <w:tcPr>
            <w:tcW w:w="1276" w:type="dxa"/>
            <w:shd w:val="clear" w:color="auto" w:fill="auto"/>
          </w:tcPr>
          <w:p w14:paraId="2A944BC3" w14:textId="77777777" w:rsidR="00F5243A" w:rsidRDefault="00F5243A" w:rsidP="004645D5">
            <w:r>
              <w:t xml:space="preserve">Both </w:t>
            </w:r>
          </w:p>
        </w:tc>
        <w:tc>
          <w:tcPr>
            <w:tcW w:w="3401" w:type="dxa"/>
            <w:shd w:val="clear" w:color="auto" w:fill="auto"/>
          </w:tcPr>
          <w:p w14:paraId="162B3F8D" w14:textId="77777777" w:rsidR="00F5243A" w:rsidRDefault="00F5243A" w:rsidP="004645D5">
            <w:r>
              <w:t>There are differences in TXA administration guidelines between paramedics and HEMS/doctors</w:t>
            </w:r>
          </w:p>
        </w:tc>
        <w:tc>
          <w:tcPr>
            <w:tcW w:w="851" w:type="dxa"/>
            <w:shd w:val="clear" w:color="auto" w:fill="auto"/>
          </w:tcPr>
          <w:p w14:paraId="1431B12F" w14:textId="77777777" w:rsidR="00F5243A" w:rsidRDefault="00F5243A" w:rsidP="004645D5">
            <w:r>
              <w:t>Q11</w:t>
            </w:r>
          </w:p>
          <w:p w14:paraId="51670AF3" w14:textId="77777777" w:rsidR="00F5243A" w:rsidRPr="006A4ECC" w:rsidRDefault="00F5243A" w:rsidP="004645D5"/>
        </w:tc>
        <w:tc>
          <w:tcPr>
            <w:tcW w:w="4536" w:type="dxa"/>
            <w:shd w:val="clear" w:color="auto" w:fill="auto"/>
          </w:tcPr>
          <w:p w14:paraId="791BF2ED" w14:textId="77777777" w:rsidR="00F5243A" w:rsidRPr="00311518" w:rsidRDefault="00F5243A" w:rsidP="004645D5">
            <w:pPr>
              <w:rPr>
                <w:i/>
              </w:rPr>
            </w:pPr>
            <w:r w:rsidRPr="00311518">
              <w:rPr>
                <w:i/>
              </w:rPr>
              <w:t>I think, obviously the critical care and HEMS and things probably get on board a little bit quicker.  So then obviously when sometimes when they turn up they'll start doing things or administering things slightly differently because their guidelines are slightly different, and obviously, a doctor can do things slightly differently to a paramedic.  (P007)</w:t>
            </w:r>
          </w:p>
        </w:tc>
        <w:tc>
          <w:tcPr>
            <w:tcW w:w="1276" w:type="dxa"/>
            <w:shd w:val="clear" w:color="auto" w:fill="auto"/>
          </w:tcPr>
          <w:p w14:paraId="40436875" w14:textId="77777777" w:rsidR="00F5243A" w:rsidRDefault="00F5243A" w:rsidP="004645D5">
            <w:r>
              <w:t>4</w:t>
            </w:r>
          </w:p>
        </w:tc>
        <w:tc>
          <w:tcPr>
            <w:tcW w:w="1281" w:type="dxa"/>
            <w:shd w:val="clear" w:color="auto" w:fill="auto"/>
            <w:vAlign w:val="center"/>
          </w:tcPr>
          <w:p w14:paraId="750B1BCE" w14:textId="77777777" w:rsidR="00F5243A" w:rsidRDefault="00F5243A" w:rsidP="004645D5">
            <w:r>
              <w:t>Low</w:t>
            </w:r>
          </w:p>
        </w:tc>
      </w:tr>
      <w:tr w:rsidR="00BC3DCC" w14:paraId="4EBFBDBD" w14:textId="77777777" w:rsidTr="004645D5">
        <w:trPr>
          <w:trHeight w:val="478"/>
        </w:trPr>
        <w:tc>
          <w:tcPr>
            <w:tcW w:w="1555" w:type="dxa"/>
            <w:vMerge/>
            <w:shd w:val="clear" w:color="auto" w:fill="auto"/>
          </w:tcPr>
          <w:p w14:paraId="3827852E" w14:textId="77777777" w:rsidR="00F5243A" w:rsidRDefault="00F5243A" w:rsidP="004645D5">
            <w:pPr>
              <w:tabs>
                <w:tab w:val="left" w:pos="1130"/>
              </w:tabs>
            </w:pPr>
          </w:p>
        </w:tc>
        <w:tc>
          <w:tcPr>
            <w:tcW w:w="1276" w:type="dxa"/>
            <w:shd w:val="clear" w:color="auto" w:fill="auto"/>
          </w:tcPr>
          <w:p w14:paraId="5F2D07FB" w14:textId="77777777" w:rsidR="00F5243A" w:rsidRDefault="00F5243A" w:rsidP="004645D5">
            <w:r>
              <w:t xml:space="preserve">Facilitator </w:t>
            </w:r>
          </w:p>
        </w:tc>
        <w:tc>
          <w:tcPr>
            <w:tcW w:w="3401" w:type="dxa"/>
            <w:shd w:val="clear" w:color="auto" w:fill="auto"/>
          </w:tcPr>
          <w:p w14:paraId="5D9812F4" w14:textId="77777777" w:rsidR="00F5243A" w:rsidRDefault="00F5243A" w:rsidP="004645D5">
            <w:r>
              <w:t>Paramedics should be able to administer TXA for more conditions/injuries</w:t>
            </w:r>
          </w:p>
        </w:tc>
        <w:tc>
          <w:tcPr>
            <w:tcW w:w="851" w:type="dxa"/>
            <w:shd w:val="clear" w:color="auto" w:fill="auto"/>
          </w:tcPr>
          <w:p w14:paraId="2E1C14A0" w14:textId="77777777" w:rsidR="00F5243A" w:rsidRDefault="00F5243A" w:rsidP="004645D5">
            <w:r>
              <w:t>Q10</w:t>
            </w:r>
          </w:p>
          <w:p w14:paraId="06500CE1" w14:textId="77777777" w:rsidR="00F5243A" w:rsidRPr="006A4ECC" w:rsidRDefault="00F5243A" w:rsidP="004645D5"/>
        </w:tc>
        <w:tc>
          <w:tcPr>
            <w:tcW w:w="4536" w:type="dxa"/>
            <w:shd w:val="clear" w:color="auto" w:fill="auto"/>
          </w:tcPr>
          <w:p w14:paraId="480AC38B" w14:textId="77777777" w:rsidR="00F5243A" w:rsidRDefault="00F5243A" w:rsidP="004645D5">
            <w:r w:rsidRPr="00311518">
              <w:rPr>
                <w:i/>
              </w:rPr>
              <w:t>I think for a drug that we do use, maybe there's scope to expand or extend our protocols for use in patients that have other symptoms, maybe not just a very specific set of vital signs. (P007)</w:t>
            </w:r>
          </w:p>
        </w:tc>
        <w:tc>
          <w:tcPr>
            <w:tcW w:w="1276" w:type="dxa"/>
            <w:shd w:val="clear" w:color="auto" w:fill="auto"/>
          </w:tcPr>
          <w:p w14:paraId="5FFC80FD" w14:textId="77777777" w:rsidR="00F5243A" w:rsidRDefault="00F5243A" w:rsidP="004645D5">
            <w:r>
              <w:t>12</w:t>
            </w:r>
          </w:p>
        </w:tc>
        <w:tc>
          <w:tcPr>
            <w:tcW w:w="1281" w:type="dxa"/>
            <w:shd w:val="clear" w:color="auto" w:fill="auto"/>
            <w:vAlign w:val="center"/>
          </w:tcPr>
          <w:p w14:paraId="74ED4D69" w14:textId="77777777" w:rsidR="00F5243A" w:rsidRDefault="00F5243A" w:rsidP="004645D5">
            <w:r>
              <w:t>High</w:t>
            </w:r>
          </w:p>
        </w:tc>
      </w:tr>
    </w:tbl>
    <w:p w14:paraId="03BB96D1" w14:textId="77777777" w:rsidR="00F5243A" w:rsidRDefault="00F5243A" w:rsidP="005B499C">
      <w:pPr>
        <w:spacing w:line="480" w:lineRule="auto"/>
        <w:rPr>
          <w:rFonts w:ascii="Calibri" w:hAnsi="Calibri" w:cs="Calibri"/>
          <w:bCs/>
          <w:vertAlign w:val="superscript"/>
          <w:lang w:val="en-US"/>
        </w:rPr>
        <w:sectPr w:rsidR="00F5243A" w:rsidSect="00F5243A">
          <w:pgSz w:w="16838" w:h="11906" w:orient="landscape"/>
          <w:pgMar w:top="1440" w:right="1440" w:bottom="1440" w:left="1440" w:header="708" w:footer="708" w:gutter="0"/>
          <w:lnNumType w:countBy="1" w:restart="continuous"/>
          <w:cols w:space="708"/>
          <w:docGrid w:linePitch="360"/>
        </w:sectPr>
      </w:pPr>
    </w:p>
    <w:p w14:paraId="7B26714A" w14:textId="290A1B07" w:rsidR="00F5243A" w:rsidRPr="00F9174C" w:rsidRDefault="00F5243A" w:rsidP="005B499C">
      <w:pPr>
        <w:spacing w:line="480" w:lineRule="auto"/>
        <w:rPr>
          <w:rFonts w:ascii="Calibri" w:hAnsi="Calibri" w:cs="Calibri"/>
          <w:bCs/>
          <w:vertAlign w:val="superscript"/>
          <w:lang w:val="en-US"/>
        </w:rPr>
      </w:pPr>
    </w:p>
    <w:p w14:paraId="768D7F51" w14:textId="447F6205" w:rsidR="002A5609" w:rsidRPr="006406CE" w:rsidRDefault="002A5609" w:rsidP="005B499C">
      <w:pPr>
        <w:spacing w:after="0" w:line="480" w:lineRule="auto"/>
      </w:pPr>
      <w:r w:rsidRPr="006406CE">
        <w:t>Knowledge and Skills</w:t>
      </w:r>
    </w:p>
    <w:p w14:paraId="611F5E41" w14:textId="4D1EEB9B" w:rsidR="00BB609D" w:rsidRDefault="005D7BC4" w:rsidP="005B499C">
      <w:pPr>
        <w:spacing w:line="480" w:lineRule="auto"/>
      </w:pPr>
      <w:r w:rsidRPr="005B28EC">
        <w:t xml:space="preserve">More than half of the participants </w:t>
      </w:r>
      <w:r w:rsidR="00F432E5">
        <w:t>reported</w:t>
      </w:r>
      <w:r w:rsidR="00F432E5" w:rsidRPr="005B28EC">
        <w:t xml:space="preserve"> </w:t>
      </w:r>
      <w:r w:rsidRPr="005B28EC">
        <w:t xml:space="preserve">that </w:t>
      </w:r>
      <w:r w:rsidR="009B1317">
        <w:t xml:space="preserve">a lack of </w:t>
      </w:r>
      <w:r w:rsidRPr="005B28EC">
        <w:t>knowledge</w:t>
      </w:r>
      <w:r w:rsidR="003E302F">
        <w:t xml:space="preserve"> about</w:t>
      </w:r>
      <w:r w:rsidR="007D7D09">
        <w:t xml:space="preserve"> the physical effect of</w:t>
      </w:r>
      <w:r w:rsidR="009B1317">
        <w:t xml:space="preserve"> TXA</w:t>
      </w:r>
      <w:r w:rsidRPr="005B28EC">
        <w:t xml:space="preserve"> was a barrier to its use</w:t>
      </w:r>
      <w:r w:rsidR="003D7D47">
        <w:t xml:space="preserve"> (Q1</w:t>
      </w:r>
      <w:r w:rsidR="00BF4914">
        <w:t>-2</w:t>
      </w:r>
      <w:r w:rsidR="003D7D47">
        <w:t>)</w:t>
      </w:r>
      <w:r w:rsidRPr="005B28EC">
        <w:t xml:space="preserve">. Additionally, participants emphasised the relative novelty of TXA in paramedic practice, and </w:t>
      </w:r>
      <w:r w:rsidR="00F432E5">
        <w:t>noted</w:t>
      </w:r>
      <w:r w:rsidR="00F432E5" w:rsidRPr="005B28EC">
        <w:t xml:space="preserve"> </w:t>
      </w:r>
      <w:r w:rsidRPr="005B28EC">
        <w:t xml:space="preserve">that consequently paramedics may not think of using it </w:t>
      </w:r>
      <w:r w:rsidR="0095680D">
        <w:t xml:space="preserve">when attending </w:t>
      </w:r>
      <w:r w:rsidRPr="005B28EC">
        <w:t xml:space="preserve">trauma </w:t>
      </w:r>
      <w:r w:rsidR="0095680D">
        <w:t>patients</w:t>
      </w:r>
      <w:r w:rsidRPr="005B28EC">
        <w:t>.</w:t>
      </w:r>
      <w:r w:rsidR="005B28EC">
        <w:t xml:space="preserve"> </w:t>
      </w:r>
      <w:r w:rsidR="009B1317">
        <w:t>However</w:t>
      </w:r>
      <w:r w:rsidR="007D7D09">
        <w:t>,</w:t>
      </w:r>
      <w:r w:rsidR="009B1317">
        <w:t xml:space="preserve"> knowledge </w:t>
      </w:r>
      <w:r w:rsidR="007D7D09">
        <w:t>of the evidence</w:t>
      </w:r>
      <w:r w:rsidR="005D08FF">
        <w:t>-</w:t>
      </w:r>
      <w:r w:rsidR="007D7D09">
        <w:t xml:space="preserve">base behind TXA use (i.e. effectiveness, timing and indications) </w:t>
      </w:r>
      <w:r w:rsidR="009B1317">
        <w:t xml:space="preserve">was cited as a facilitator to TXA </w:t>
      </w:r>
      <w:r w:rsidR="007D7D09">
        <w:t>administration</w:t>
      </w:r>
      <w:r w:rsidR="00BF4914">
        <w:t xml:space="preserve"> (Q3-4)</w:t>
      </w:r>
      <w:r w:rsidR="009B1317">
        <w:t xml:space="preserve">. </w:t>
      </w:r>
    </w:p>
    <w:p w14:paraId="240E8F51" w14:textId="78E89E23" w:rsidR="00BB609D" w:rsidRDefault="007D7D09" w:rsidP="005B499C">
      <w:pPr>
        <w:spacing w:line="480" w:lineRule="auto"/>
      </w:pPr>
      <w:r>
        <w:t xml:space="preserve">Training </w:t>
      </w:r>
      <w:r w:rsidR="0095680D">
        <w:t>in</w:t>
      </w:r>
      <w:r>
        <w:t xml:space="preserve"> TXA and its administration was discussed by almost all participants, who felt that the current training was inadequate, and that more could </w:t>
      </w:r>
      <w:r w:rsidRPr="00EE6175">
        <w:t>be done to raise awareness of the benefits and safety of TXA administration for trauma patients</w:t>
      </w:r>
      <w:r w:rsidR="003032E4">
        <w:t xml:space="preserve"> (Q</w:t>
      </w:r>
      <w:r w:rsidR="00BF4914">
        <w:t>5</w:t>
      </w:r>
      <w:r w:rsidR="003032E4">
        <w:t>)</w:t>
      </w:r>
      <w:r w:rsidRPr="00EE6175">
        <w:t xml:space="preserve">. </w:t>
      </w:r>
      <w:r w:rsidR="00BB609D">
        <w:t xml:space="preserve">Participants also </w:t>
      </w:r>
      <w:r w:rsidR="00F432E5">
        <w:t xml:space="preserve">identified </w:t>
      </w:r>
      <w:r w:rsidR="00BB609D">
        <w:t>a need for additional training on elderly trauma, and how to identify internal bleeding</w:t>
      </w:r>
      <w:r w:rsidR="008A227F">
        <w:t>, in order to increase TXA administration rates.</w:t>
      </w:r>
    </w:p>
    <w:p w14:paraId="0BAF00BA" w14:textId="7B542EFD" w:rsidR="005D7BC4" w:rsidRPr="005B28EC" w:rsidRDefault="007D7D09" w:rsidP="005B499C">
      <w:pPr>
        <w:spacing w:line="480" w:lineRule="auto"/>
      </w:pPr>
      <w:r w:rsidRPr="00EE6175">
        <w:t>Individual e</w:t>
      </w:r>
      <w:r w:rsidR="005B28EC" w:rsidRPr="00EE6175">
        <w:t>xperience</w:t>
      </w:r>
      <w:r w:rsidRPr="00EE6175">
        <w:t xml:space="preserve"> was </w:t>
      </w:r>
      <w:r w:rsidR="00BB609D">
        <w:t xml:space="preserve">also </w:t>
      </w:r>
      <w:r w:rsidR="00F432E5">
        <w:t>reported</w:t>
      </w:r>
      <w:r w:rsidR="00F432E5" w:rsidRPr="00EE6175">
        <w:t xml:space="preserve"> </w:t>
      </w:r>
      <w:r w:rsidRPr="00EE6175">
        <w:t>as a major barrier/facilitator in TXA administration</w:t>
      </w:r>
      <w:r w:rsidR="000550FE">
        <w:t xml:space="preserve"> </w:t>
      </w:r>
      <w:r w:rsidR="003032E4">
        <w:t>(Q</w:t>
      </w:r>
      <w:r w:rsidR="00BF4914">
        <w:t>6</w:t>
      </w:r>
      <w:r w:rsidR="003032E4">
        <w:t>)</w:t>
      </w:r>
      <w:r w:rsidRPr="00EE6175">
        <w:t xml:space="preserve">; while some participants </w:t>
      </w:r>
      <w:r w:rsidR="00F432E5">
        <w:t>felt</w:t>
      </w:r>
      <w:r w:rsidR="00F432E5" w:rsidRPr="00EE6175">
        <w:t xml:space="preserve"> </w:t>
      </w:r>
      <w:r w:rsidRPr="00EE6175">
        <w:t xml:space="preserve">that their own experience of using the drug (or watching a colleague administer it) had boosted their confidence in administering TXA, others felt </w:t>
      </w:r>
      <w:r w:rsidR="00EE6175" w:rsidRPr="00EE6175">
        <w:t xml:space="preserve">that their inexperience acted as a barrier to use, and </w:t>
      </w:r>
      <w:r w:rsidR="00564361">
        <w:t>reflected</w:t>
      </w:r>
      <w:r w:rsidR="00564361" w:rsidRPr="00EE6175">
        <w:t xml:space="preserve"> </w:t>
      </w:r>
      <w:r w:rsidR="00EE6175" w:rsidRPr="00EE6175">
        <w:t xml:space="preserve">that this was due to a lack of </w:t>
      </w:r>
      <w:r w:rsidR="00BB609D">
        <w:t xml:space="preserve">paramedic </w:t>
      </w:r>
      <w:r w:rsidR="00EE6175" w:rsidRPr="00EE6175">
        <w:t xml:space="preserve">exposure to trauma </w:t>
      </w:r>
      <w:r w:rsidR="0095680D">
        <w:t>patients</w:t>
      </w:r>
      <w:r w:rsidR="00EE6175" w:rsidRPr="00EE6175">
        <w:t>.</w:t>
      </w:r>
    </w:p>
    <w:p w14:paraId="28B422FD" w14:textId="5D9CE2B4" w:rsidR="002A5609" w:rsidRPr="006406CE" w:rsidRDefault="002A5609" w:rsidP="005B499C">
      <w:pPr>
        <w:spacing w:after="0" w:line="480" w:lineRule="auto"/>
      </w:pPr>
      <w:r w:rsidRPr="006406CE">
        <w:t>Social/professional role and identity</w:t>
      </w:r>
    </w:p>
    <w:p w14:paraId="3F822D00" w14:textId="1BF72A3F" w:rsidR="008A227F" w:rsidRDefault="001603BC" w:rsidP="005B499C">
      <w:pPr>
        <w:spacing w:line="480" w:lineRule="auto"/>
      </w:pPr>
      <w:r w:rsidRPr="00F52B26">
        <w:t>All participants</w:t>
      </w:r>
      <w:r w:rsidR="00A36F99">
        <w:t xml:space="preserve"> </w:t>
      </w:r>
      <w:r w:rsidR="00564361">
        <w:t xml:space="preserve">reported </w:t>
      </w:r>
      <w:r w:rsidRPr="00F52B26">
        <w:t xml:space="preserve">that </w:t>
      </w:r>
      <w:r w:rsidR="002E6BF5" w:rsidRPr="00F52B26">
        <w:t>administering TXA</w:t>
      </w:r>
      <w:r w:rsidRPr="00F52B26">
        <w:t xml:space="preserve"> under </w:t>
      </w:r>
      <w:r w:rsidR="00690B50">
        <w:t>the current</w:t>
      </w:r>
      <w:r w:rsidRPr="00F52B26">
        <w:t xml:space="preserve"> P</w:t>
      </w:r>
      <w:r w:rsidR="00AF3A6A">
        <w:t xml:space="preserve">atient </w:t>
      </w:r>
      <w:r w:rsidRPr="00F52B26">
        <w:t>G</w:t>
      </w:r>
      <w:r w:rsidR="00AF3A6A">
        <w:t xml:space="preserve">roup </w:t>
      </w:r>
      <w:r w:rsidRPr="00F52B26">
        <w:t>D</w:t>
      </w:r>
      <w:r w:rsidR="00AF3A6A">
        <w:t>irection (PGD)</w:t>
      </w:r>
      <w:r w:rsidRPr="00F52B26">
        <w:t xml:space="preserve"> </w:t>
      </w:r>
      <w:r w:rsidR="00F52B26" w:rsidRPr="00F52B26">
        <w:t xml:space="preserve">felt restrictive or confusing, and </w:t>
      </w:r>
      <w:r w:rsidRPr="00F52B26">
        <w:t>could</w:t>
      </w:r>
      <w:r w:rsidR="00F52B26" w:rsidRPr="00F52B26">
        <w:t xml:space="preserve"> therefore</w:t>
      </w:r>
      <w:r w:rsidRPr="00F52B26">
        <w:t xml:space="preserve"> hinder the administration of TXA to patients who would benefit from it</w:t>
      </w:r>
      <w:r w:rsidR="003032E4">
        <w:t xml:space="preserve"> (Q</w:t>
      </w:r>
      <w:r w:rsidR="00BF4914">
        <w:t>7</w:t>
      </w:r>
      <w:r w:rsidR="003032E4">
        <w:t>)</w:t>
      </w:r>
      <w:r w:rsidRPr="00F52B26">
        <w:t>.</w:t>
      </w:r>
      <w:r w:rsidR="00F52B26">
        <w:t xml:space="preserve"> A third of participants cited uncertainty over which conditions/injuries TXA is indicated for</w:t>
      </w:r>
      <w:r w:rsidR="003032E4">
        <w:t xml:space="preserve"> (Q</w:t>
      </w:r>
      <w:r w:rsidR="00BF4914">
        <w:t>8-9</w:t>
      </w:r>
      <w:r w:rsidR="003032E4">
        <w:t>)</w:t>
      </w:r>
      <w:r w:rsidR="00F52B26">
        <w:t xml:space="preserve">, and two thirds </w:t>
      </w:r>
      <w:r w:rsidR="00564361">
        <w:t xml:space="preserve">felt </w:t>
      </w:r>
      <w:r w:rsidR="00F52B26">
        <w:t>that paramedics should be able to administer TXA in more instances</w:t>
      </w:r>
      <w:r w:rsidR="00724A2F">
        <w:t>, such as persistent heavy nosebleeds or</w:t>
      </w:r>
      <w:r w:rsidR="00724A2F" w:rsidRPr="00724A2F">
        <w:t xml:space="preserve"> </w:t>
      </w:r>
      <w:r w:rsidR="000F0692">
        <w:t>where bleeding risk was uncertain</w:t>
      </w:r>
      <w:r w:rsidR="003032E4">
        <w:t xml:space="preserve"> (Q</w:t>
      </w:r>
      <w:r w:rsidR="00BF4914">
        <w:t>10</w:t>
      </w:r>
      <w:r w:rsidR="003032E4">
        <w:t>)</w:t>
      </w:r>
      <w:r w:rsidR="00F52B26">
        <w:t>.</w:t>
      </w:r>
      <w:r w:rsidR="008A227F">
        <w:t xml:space="preserve"> </w:t>
      </w:r>
    </w:p>
    <w:p w14:paraId="7AC80BEE" w14:textId="656B9E3B" w:rsidR="002A5609" w:rsidRPr="002A5609" w:rsidRDefault="008A227F" w:rsidP="005B499C">
      <w:pPr>
        <w:spacing w:line="480" w:lineRule="auto"/>
      </w:pPr>
      <w:r>
        <w:lastRenderedPageBreak/>
        <w:t xml:space="preserve">There was also discussion regarding the disparity between paramedic TXA guidelines and those of HEMS doctors; participants noted that HEMS </w:t>
      </w:r>
      <w:r w:rsidR="00924954">
        <w:t xml:space="preserve">doctors </w:t>
      </w:r>
      <w:r>
        <w:t xml:space="preserve">did not have to work </w:t>
      </w:r>
      <w:r w:rsidR="00924954">
        <w:t xml:space="preserve">with </w:t>
      </w:r>
      <w:r>
        <w:t>the same ‘restrictions’ on TXA administration, and that this could cause confusion amongst paramedics</w:t>
      </w:r>
      <w:r w:rsidR="003032E4">
        <w:t xml:space="preserve"> (Q</w:t>
      </w:r>
      <w:r w:rsidR="00BF4914">
        <w:t>11</w:t>
      </w:r>
      <w:r w:rsidR="003032E4">
        <w:t>)</w:t>
      </w:r>
      <w:r>
        <w:t>.</w:t>
      </w:r>
    </w:p>
    <w:p w14:paraId="3AC02F1E" w14:textId="2EF01C0D" w:rsidR="002A5609" w:rsidRPr="006406CE" w:rsidRDefault="002A5609" w:rsidP="005B499C">
      <w:pPr>
        <w:spacing w:after="0" w:line="480" w:lineRule="auto"/>
      </w:pPr>
      <w:r w:rsidRPr="006406CE">
        <w:t>Beliefs about capabilities</w:t>
      </w:r>
    </w:p>
    <w:p w14:paraId="7F5146BF" w14:textId="6A2E5D1E" w:rsidR="002A5609" w:rsidRPr="002A5609" w:rsidRDefault="00512260" w:rsidP="005B499C">
      <w:pPr>
        <w:spacing w:line="480" w:lineRule="auto"/>
      </w:pPr>
      <w:r>
        <w:t>P</w:t>
      </w:r>
      <w:r w:rsidR="008A227F">
        <w:t xml:space="preserve">articipants differed greatly in their self-perceived </w:t>
      </w:r>
      <w:r w:rsidR="00783CA0">
        <w:t xml:space="preserve">confidence and comfort </w:t>
      </w:r>
      <w:r w:rsidR="008A227F">
        <w:t>administering TXA to trauma patients</w:t>
      </w:r>
      <w:r>
        <w:t>, and thus beliefs about capabilities could be either a barrier or a facilitator, depending on participant</w:t>
      </w:r>
      <w:r w:rsidR="00286BD3">
        <w:t xml:space="preserve"> (Q</w:t>
      </w:r>
      <w:r w:rsidR="00BF4914">
        <w:t>12-13</w:t>
      </w:r>
      <w:r w:rsidR="00286BD3">
        <w:t>)</w:t>
      </w:r>
      <w:r w:rsidR="008A227F">
        <w:t xml:space="preserve">. </w:t>
      </w:r>
      <w:r w:rsidR="00E45A62">
        <w:t>For those who</w:t>
      </w:r>
      <w:r w:rsidR="00500A40">
        <w:t xml:space="preserve"> expressed a</w:t>
      </w:r>
      <w:r w:rsidR="00E45A62">
        <w:t xml:space="preserve"> lack</w:t>
      </w:r>
      <w:r w:rsidR="00500A40">
        <w:t xml:space="preserve"> of</w:t>
      </w:r>
      <w:r w:rsidR="00E45A62">
        <w:t xml:space="preserve"> confidence in administering TXA, an additional barrier</w:t>
      </w:r>
      <w:r w:rsidR="00783CA0">
        <w:t xml:space="preserve"> was the lack of feedback given to paramedics regarding patient outcome (i.e. whether TXA was administered/not administered correctly</w:t>
      </w:r>
      <w:r w:rsidR="003032E4">
        <w:t>, Q</w:t>
      </w:r>
      <w:r w:rsidR="007A1B5B">
        <w:t>1</w:t>
      </w:r>
      <w:r w:rsidR="00BF4914">
        <w:t>4</w:t>
      </w:r>
      <w:r w:rsidR="00783CA0">
        <w:t>)</w:t>
      </w:r>
      <w:r w:rsidR="00E45A62">
        <w:t xml:space="preserve">. However, </w:t>
      </w:r>
      <w:r w:rsidR="00927B01">
        <w:t xml:space="preserve">some participants </w:t>
      </w:r>
      <w:r w:rsidR="00564361">
        <w:t xml:space="preserve">reported </w:t>
      </w:r>
      <w:r w:rsidR="00927B01">
        <w:t>that watching their HEMS colleagues administer TXA had boosted their own confidence and comfort in using the drug</w:t>
      </w:r>
      <w:r>
        <w:t>, acting as a facilitator to future use</w:t>
      </w:r>
      <w:r w:rsidR="003032E4">
        <w:t xml:space="preserve"> (Q</w:t>
      </w:r>
      <w:r w:rsidR="007A1B5B">
        <w:t>1</w:t>
      </w:r>
      <w:r w:rsidR="00BF4914">
        <w:t>5</w:t>
      </w:r>
      <w:r w:rsidR="003032E4">
        <w:t>)</w:t>
      </w:r>
      <w:r w:rsidR="00927B01">
        <w:t>.</w:t>
      </w:r>
    </w:p>
    <w:p w14:paraId="5B4A5390" w14:textId="6C140006" w:rsidR="002A5609" w:rsidRPr="006406CE" w:rsidRDefault="002A5609" w:rsidP="005B499C">
      <w:pPr>
        <w:spacing w:after="0" w:line="480" w:lineRule="auto"/>
      </w:pPr>
      <w:r w:rsidRPr="006406CE">
        <w:t>Beliefs about consequences</w:t>
      </w:r>
    </w:p>
    <w:p w14:paraId="06FD9344" w14:textId="02C82AD9" w:rsidR="00D72B9A" w:rsidRDefault="00D72B9A" w:rsidP="005B499C">
      <w:pPr>
        <w:spacing w:line="480" w:lineRule="auto"/>
      </w:pPr>
      <w:r w:rsidRPr="00D72B9A">
        <w:t>The consequences of administering TXA were discussed in terms of safety, with some participants suggesting that they were unaware of the risks of inappropriate administration</w:t>
      </w:r>
      <w:r w:rsidR="003032E4">
        <w:t xml:space="preserve"> (Q</w:t>
      </w:r>
      <w:r w:rsidR="007A1B5B">
        <w:t>1</w:t>
      </w:r>
      <w:r w:rsidR="00BF4914">
        <w:t>6</w:t>
      </w:r>
      <w:r w:rsidR="003032E4">
        <w:t>)</w:t>
      </w:r>
      <w:r w:rsidRPr="00D72B9A">
        <w:t xml:space="preserve">. </w:t>
      </w:r>
      <w:proofErr w:type="gramStart"/>
      <w:r w:rsidRPr="00D72B9A">
        <w:t>However</w:t>
      </w:r>
      <w:proofErr w:type="gramEnd"/>
      <w:r w:rsidRPr="00D72B9A">
        <w:t xml:space="preserve"> t</w:t>
      </w:r>
      <w:r w:rsidR="00A05A8C" w:rsidRPr="00D72B9A">
        <w:t xml:space="preserve">he </w:t>
      </w:r>
      <w:r w:rsidR="00A05A8C" w:rsidRPr="00A05A8C">
        <w:t xml:space="preserve">majority of participants </w:t>
      </w:r>
      <w:r w:rsidR="008F0EC7">
        <w:t>felt</w:t>
      </w:r>
      <w:r w:rsidR="008F0EC7" w:rsidRPr="00A05A8C">
        <w:t xml:space="preserve"> </w:t>
      </w:r>
      <w:r w:rsidR="00A05A8C" w:rsidRPr="00A05A8C">
        <w:t>that the benefits of administering TXA outweighed the risks</w:t>
      </w:r>
      <w:r w:rsidR="003032E4">
        <w:t xml:space="preserve"> (Q</w:t>
      </w:r>
      <w:r w:rsidR="007A1B5B">
        <w:t>1</w:t>
      </w:r>
      <w:r w:rsidR="00BF4914">
        <w:t>7</w:t>
      </w:r>
      <w:r w:rsidR="003032E4">
        <w:t>)</w:t>
      </w:r>
      <w:r w:rsidR="00A67BAC">
        <w:t>.</w:t>
      </w:r>
      <w:r w:rsidR="00951804">
        <w:t xml:space="preserve"> </w:t>
      </w:r>
    </w:p>
    <w:p w14:paraId="5651E316" w14:textId="67761A6E" w:rsidR="002A5609" w:rsidRPr="002A5609" w:rsidRDefault="00D72B9A" w:rsidP="005B499C">
      <w:pPr>
        <w:spacing w:line="480" w:lineRule="auto"/>
      </w:pPr>
      <w:r>
        <w:t>S</w:t>
      </w:r>
      <w:r w:rsidR="00A05A8C">
        <w:t>ome participants</w:t>
      </w:r>
      <w:r w:rsidR="00CB57FF">
        <w:t xml:space="preserve"> </w:t>
      </w:r>
      <w:r w:rsidR="00A05A8C">
        <w:t xml:space="preserve">felt that the </w:t>
      </w:r>
      <w:r w:rsidR="00A05A8C" w:rsidRPr="00951804">
        <w:t xml:space="preserve">act of administering TXA signalled </w:t>
      </w:r>
      <w:r w:rsidR="00951804" w:rsidRPr="00951804">
        <w:t>that their patient was a major trauma patient</w:t>
      </w:r>
      <w:r w:rsidR="00951804">
        <w:t xml:space="preserve">, </w:t>
      </w:r>
      <w:r w:rsidR="00A05A8C" w:rsidRPr="00951804">
        <w:t xml:space="preserve">who would need to </w:t>
      </w:r>
      <w:r w:rsidR="00951804">
        <w:t>be admitted</w:t>
      </w:r>
      <w:r w:rsidR="00A05A8C" w:rsidRPr="00951804">
        <w:t xml:space="preserve"> to a major trauma centre</w:t>
      </w:r>
      <w:r w:rsidR="003032E4">
        <w:t xml:space="preserve"> (Q</w:t>
      </w:r>
      <w:r w:rsidR="007A1B5B">
        <w:t>1</w:t>
      </w:r>
      <w:r w:rsidR="00BF4914">
        <w:t>8</w:t>
      </w:r>
      <w:r w:rsidR="003032E4">
        <w:t>)</w:t>
      </w:r>
      <w:r w:rsidR="00951804" w:rsidRPr="00951804">
        <w:t xml:space="preserve">. </w:t>
      </w:r>
      <w:r w:rsidR="007F7242">
        <w:t>P</w:t>
      </w:r>
      <w:r w:rsidR="00951804" w:rsidRPr="00951804">
        <w:t xml:space="preserve">articipants </w:t>
      </w:r>
      <w:r w:rsidR="008F0EC7">
        <w:t>noted</w:t>
      </w:r>
      <w:r w:rsidR="008F0EC7" w:rsidRPr="00951804">
        <w:t xml:space="preserve"> </w:t>
      </w:r>
      <w:r w:rsidR="00951804" w:rsidRPr="00951804">
        <w:t>that this could act as a barrier to TXA administration if there were concerns that their patient may not be accepted</w:t>
      </w:r>
      <w:r w:rsidR="0095680D">
        <w:t xml:space="preserve"> by the receiving staff</w:t>
      </w:r>
      <w:r w:rsidR="00951804" w:rsidRPr="00951804">
        <w:t xml:space="preserve"> at </w:t>
      </w:r>
      <w:r w:rsidR="00DE4E93">
        <w:t>this facility</w:t>
      </w:r>
      <w:r w:rsidR="00951804" w:rsidRPr="00951804">
        <w:t>.</w:t>
      </w:r>
    </w:p>
    <w:p w14:paraId="0D78630B" w14:textId="4D3ABA61" w:rsidR="002A5609" w:rsidRPr="006406CE" w:rsidRDefault="002A5609" w:rsidP="005B499C">
      <w:pPr>
        <w:spacing w:after="0" w:line="480" w:lineRule="auto"/>
      </w:pPr>
      <w:r w:rsidRPr="006406CE">
        <w:t>Reinforcement</w:t>
      </w:r>
    </w:p>
    <w:p w14:paraId="23165360" w14:textId="056CA27A" w:rsidR="00233D11" w:rsidRPr="00B1540D" w:rsidRDefault="00AD548E" w:rsidP="005B499C">
      <w:pPr>
        <w:spacing w:line="480" w:lineRule="auto"/>
      </w:pPr>
      <w:r w:rsidRPr="00B1540D">
        <w:t xml:space="preserve">The most frequent </w:t>
      </w:r>
      <w:r w:rsidR="00B1540D" w:rsidRPr="00B1540D">
        <w:t>barrier within this domain was the fear of repercussion from administering TXA to patients who did not need it</w:t>
      </w:r>
      <w:r w:rsidR="003032E4">
        <w:t xml:space="preserve"> (Q</w:t>
      </w:r>
      <w:r w:rsidR="007A1B5B">
        <w:t>1</w:t>
      </w:r>
      <w:r w:rsidR="00151BC9">
        <w:t>9</w:t>
      </w:r>
      <w:r w:rsidR="003032E4">
        <w:t>)</w:t>
      </w:r>
      <w:r w:rsidR="00B1540D" w:rsidRPr="00B1540D">
        <w:t xml:space="preserve">. Repercussion was spoken about both in terms of formal discipline from the Trust, but also judgement from colleagues and/or other clinical staff. A further barrier within this domain was the </w:t>
      </w:r>
      <w:r w:rsidR="00233D11" w:rsidRPr="00B1540D">
        <w:t>lack of</w:t>
      </w:r>
      <w:r w:rsidR="0095680D">
        <w:t xml:space="preserve"> an</w:t>
      </w:r>
      <w:r w:rsidR="00233D11" w:rsidRPr="00B1540D">
        <w:t xml:space="preserve"> immediate visible effect of TXA on </w:t>
      </w:r>
      <w:r w:rsidR="00B1540D" w:rsidRPr="00B1540D">
        <w:t xml:space="preserve">trauma patients; </w:t>
      </w:r>
      <w:r w:rsidR="00B1540D" w:rsidRPr="00B1540D">
        <w:lastRenderedPageBreak/>
        <w:t>participants felt that this inhibited use of the drug, as paramedics rarely saw any positive effects from its administration</w:t>
      </w:r>
      <w:r w:rsidR="00690B50">
        <w:t xml:space="preserve"> during the pre-hospital phase of care</w:t>
      </w:r>
      <w:r w:rsidR="00286BD3">
        <w:t xml:space="preserve"> (Q</w:t>
      </w:r>
      <w:r w:rsidR="00151BC9">
        <w:t>20</w:t>
      </w:r>
      <w:r w:rsidR="00286BD3">
        <w:t>)</w:t>
      </w:r>
      <w:r w:rsidR="00B1540D" w:rsidRPr="00B1540D">
        <w:t>.</w:t>
      </w:r>
    </w:p>
    <w:p w14:paraId="2252A3EE" w14:textId="1BC132D3" w:rsidR="00397537" w:rsidRPr="006406CE" w:rsidRDefault="00397537" w:rsidP="005B499C">
      <w:pPr>
        <w:spacing w:after="0" w:line="480" w:lineRule="auto"/>
      </w:pPr>
      <w:r w:rsidRPr="006406CE">
        <w:t>Goals</w:t>
      </w:r>
    </w:p>
    <w:p w14:paraId="0BEB2E83" w14:textId="19E9307E" w:rsidR="00D15F8A" w:rsidRDefault="00D15F8A" w:rsidP="005B499C">
      <w:pPr>
        <w:spacing w:line="480" w:lineRule="auto"/>
      </w:pPr>
      <w:r>
        <w:t xml:space="preserve">Participants </w:t>
      </w:r>
      <w:r w:rsidR="008F0EC7">
        <w:t xml:space="preserve">reported </w:t>
      </w:r>
      <w:r>
        <w:t xml:space="preserve">that the administration of TXA was often not seen as a priority for trauma </w:t>
      </w:r>
      <w:r w:rsidR="0095680D">
        <w:t>patients</w:t>
      </w:r>
      <w:r>
        <w:t>, and that other treatments such as administering fluids would take precedent</w:t>
      </w:r>
      <w:r w:rsidR="00AF00FB">
        <w:t xml:space="preserve"> (Q</w:t>
      </w:r>
      <w:r w:rsidR="00151BC9">
        <w:t>21</w:t>
      </w:r>
      <w:r w:rsidR="00AF00FB">
        <w:t>)</w:t>
      </w:r>
      <w:r>
        <w:t xml:space="preserve">. Participants also spoke about the prioritisation of distracting injuries, and </w:t>
      </w:r>
      <w:r w:rsidR="008F0EC7">
        <w:t xml:space="preserve">noted </w:t>
      </w:r>
      <w:r>
        <w:t xml:space="preserve">that TXA was often only considered once all of these other issues had been resolved. Some participants also cited the guidelines stating that </w:t>
      </w:r>
      <w:r w:rsidR="00624C12">
        <w:t xml:space="preserve">TXA should be given within 3 hours; </w:t>
      </w:r>
      <w:r w:rsidR="008F0EC7">
        <w:t xml:space="preserve">reflecting </w:t>
      </w:r>
      <w:r w:rsidR="00624C12">
        <w:t>that this 3-hour window reduced the perceived urgency of administering TXA</w:t>
      </w:r>
      <w:r w:rsidR="007F7242">
        <w:t>.</w:t>
      </w:r>
    </w:p>
    <w:p w14:paraId="36BE5C74" w14:textId="59B1EC7B" w:rsidR="002A5609" w:rsidRPr="006406CE" w:rsidRDefault="002A5609" w:rsidP="005B499C">
      <w:pPr>
        <w:spacing w:after="0" w:line="480" w:lineRule="auto"/>
      </w:pPr>
      <w:r w:rsidRPr="006406CE">
        <w:t>Memory, attention and decision processes</w:t>
      </w:r>
    </w:p>
    <w:p w14:paraId="62923255" w14:textId="352734A4" w:rsidR="00F1646A" w:rsidRPr="00F1646A" w:rsidRDefault="00624C12" w:rsidP="005B499C">
      <w:pPr>
        <w:spacing w:line="480" w:lineRule="auto"/>
      </w:pPr>
      <w:r w:rsidRPr="00F1646A">
        <w:t xml:space="preserve">This was one of the most frequently populated domains. Within </w:t>
      </w:r>
      <w:r w:rsidRPr="00624C12">
        <w:t>this domain, participants discussed the decision-making process around whether</w:t>
      </w:r>
      <w:r w:rsidR="00BA2A89">
        <w:t xml:space="preserve"> they believed</w:t>
      </w:r>
      <w:r w:rsidRPr="00624C12">
        <w:t xml:space="preserve"> trauma patients were at risk of bleeding</w:t>
      </w:r>
      <w:r w:rsidR="00BA2A89">
        <w:t xml:space="preserve"> or not</w:t>
      </w:r>
      <w:r w:rsidRPr="00624C12">
        <w:t xml:space="preserve">. </w:t>
      </w:r>
      <w:r w:rsidR="00F1646A">
        <w:t xml:space="preserve">A number of factors were used to help paramedics </w:t>
      </w:r>
      <w:r w:rsidR="00690B50">
        <w:t xml:space="preserve">identify </w:t>
      </w:r>
      <w:r w:rsidR="00F1646A">
        <w:t>whether or not a trauma patient was at risk of bleeding</w:t>
      </w:r>
      <w:r w:rsidR="00F1646A" w:rsidRPr="00F1646A">
        <w:t>. The most commonly discussed were mechanism of injury and clinical observations</w:t>
      </w:r>
      <w:r w:rsidR="00992632">
        <w:t>.</w:t>
      </w:r>
      <w:r w:rsidR="00F1646A" w:rsidRPr="00F1646A">
        <w:t xml:space="preserve"> Other factors included patient presentation, type of injur</w:t>
      </w:r>
      <w:r w:rsidR="00992632">
        <w:t>y</w:t>
      </w:r>
      <w:r w:rsidR="00F1646A" w:rsidRPr="00F1646A">
        <w:t>, patient history and clinical judgement</w:t>
      </w:r>
      <w:r w:rsidR="00AF00FB">
        <w:t xml:space="preserve"> (Q</w:t>
      </w:r>
      <w:r w:rsidR="00151BC9">
        <w:t>22</w:t>
      </w:r>
      <w:r w:rsidR="00EC3541">
        <w:t>-2</w:t>
      </w:r>
      <w:r w:rsidR="00151BC9">
        <w:t>3</w:t>
      </w:r>
      <w:r w:rsidR="00AF00FB">
        <w:t>)</w:t>
      </w:r>
      <w:r w:rsidR="00F1646A" w:rsidRPr="00F1646A">
        <w:t>.</w:t>
      </w:r>
    </w:p>
    <w:p w14:paraId="28E728D9" w14:textId="73C67D13" w:rsidR="00F1646A" w:rsidRPr="00F1646A" w:rsidRDefault="00624C12" w:rsidP="005B499C">
      <w:pPr>
        <w:spacing w:line="480" w:lineRule="auto"/>
      </w:pPr>
      <w:r w:rsidRPr="00624C12">
        <w:t>The majority of participants c</w:t>
      </w:r>
      <w:r w:rsidR="00397537" w:rsidRPr="00624C12">
        <w:t xml:space="preserve">ommented on the difficulty </w:t>
      </w:r>
      <w:r w:rsidRPr="00624C12">
        <w:t>of</w:t>
      </w:r>
      <w:r w:rsidR="00397537" w:rsidRPr="00624C12">
        <w:t xml:space="preserve"> identifying </w:t>
      </w:r>
      <w:r w:rsidRPr="00624C12">
        <w:t xml:space="preserve">patients at risk of </w:t>
      </w:r>
      <w:r w:rsidR="00397537" w:rsidRPr="00624C12">
        <w:t xml:space="preserve">bleeding </w:t>
      </w:r>
      <w:r w:rsidRPr="00624C12">
        <w:t>after trauma</w:t>
      </w:r>
      <w:r w:rsidR="00AF00FB">
        <w:t xml:space="preserve"> (Q</w:t>
      </w:r>
      <w:r w:rsidR="00EC3541">
        <w:t>2</w:t>
      </w:r>
      <w:r w:rsidR="00151BC9">
        <w:t>4</w:t>
      </w:r>
      <w:r w:rsidR="00EC3541">
        <w:t>-2</w:t>
      </w:r>
      <w:r w:rsidR="00151BC9">
        <w:t>5</w:t>
      </w:r>
      <w:r w:rsidR="00AF00FB">
        <w:t>)</w:t>
      </w:r>
      <w:r w:rsidR="00397537" w:rsidRPr="00624C12">
        <w:t xml:space="preserve">. Generally, it was </w:t>
      </w:r>
      <w:r w:rsidR="0043341D">
        <w:t>reporte</w:t>
      </w:r>
      <w:r w:rsidR="0043341D" w:rsidRPr="00624C12">
        <w:t xml:space="preserve">d </w:t>
      </w:r>
      <w:r w:rsidR="00397537" w:rsidRPr="00624C12">
        <w:t>that obvious bleeding or those in severe shock w</w:t>
      </w:r>
      <w:r w:rsidR="0095680D">
        <w:t>ere</w:t>
      </w:r>
      <w:r w:rsidR="00397537" w:rsidRPr="00624C12">
        <w:t xml:space="preserve"> easily identified, however less obvious bleeding, including </w:t>
      </w:r>
      <w:r w:rsidR="0095680D">
        <w:t>occult/</w:t>
      </w:r>
      <w:r w:rsidR="00397537" w:rsidRPr="00624C12">
        <w:t xml:space="preserve">internal </w:t>
      </w:r>
      <w:r w:rsidR="0095680D">
        <w:t>haemorrhage</w:t>
      </w:r>
      <w:r w:rsidR="00397537" w:rsidRPr="00624C12">
        <w:t>, w</w:t>
      </w:r>
      <w:r w:rsidR="0095680D">
        <w:t>as</w:t>
      </w:r>
      <w:r w:rsidR="00397537" w:rsidRPr="00624C12">
        <w:t xml:space="preserve"> much harder to identify. This </w:t>
      </w:r>
      <w:r w:rsidRPr="00624C12">
        <w:t xml:space="preserve">could be </w:t>
      </w:r>
      <w:r w:rsidR="00397537" w:rsidRPr="00624C12">
        <w:t>co</w:t>
      </w:r>
      <w:r w:rsidR="0095680D">
        <w:t>mpoun</w:t>
      </w:r>
      <w:r w:rsidR="00397537" w:rsidRPr="00624C12">
        <w:t xml:space="preserve">ded by evolving clinical signs, </w:t>
      </w:r>
      <w:r w:rsidR="0095680D">
        <w:t xml:space="preserve">the challenge of more subtle </w:t>
      </w:r>
      <w:r w:rsidRPr="00624C12">
        <w:t>presentation</w:t>
      </w:r>
      <w:r w:rsidR="0095680D">
        <w:t xml:space="preserve">s in the </w:t>
      </w:r>
      <w:r w:rsidRPr="00624C12">
        <w:t xml:space="preserve">elderly, </w:t>
      </w:r>
      <w:r w:rsidR="00397537" w:rsidRPr="00F1646A">
        <w:t xml:space="preserve">misleading clinical signs and </w:t>
      </w:r>
      <w:r w:rsidRPr="00F1646A">
        <w:t>and/or a</w:t>
      </w:r>
      <w:r w:rsidR="00397537" w:rsidRPr="00F1646A">
        <w:t xml:space="preserve"> lack of a mechanism of injury.</w:t>
      </w:r>
    </w:p>
    <w:p w14:paraId="3C3EC448" w14:textId="41B7314E" w:rsidR="00C7539D" w:rsidRPr="00D4797F" w:rsidRDefault="00F1646A" w:rsidP="005B499C">
      <w:pPr>
        <w:spacing w:line="480" w:lineRule="auto"/>
      </w:pPr>
      <w:r w:rsidRPr="00F1646A">
        <w:t xml:space="preserve">Half of the participants </w:t>
      </w:r>
      <w:r w:rsidR="0043341D">
        <w:t>reflected</w:t>
      </w:r>
      <w:r w:rsidR="0043341D" w:rsidRPr="00F1646A">
        <w:t xml:space="preserve"> </w:t>
      </w:r>
      <w:r w:rsidRPr="00F1646A">
        <w:t>that it would be useful to have a decision-making t</w:t>
      </w:r>
      <w:r w:rsidR="00C7539D" w:rsidRPr="00F1646A">
        <w:t>ool</w:t>
      </w:r>
      <w:r w:rsidRPr="00F1646A">
        <w:t>,</w:t>
      </w:r>
      <w:r w:rsidR="00C7539D" w:rsidRPr="00F1646A">
        <w:t xml:space="preserve"> </w:t>
      </w:r>
      <w:r w:rsidRPr="00F1646A">
        <w:t>similar to</w:t>
      </w:r>
      <w:r w:rsidR="00C7539D" w:rsidRPr="00F1646A">
        <w:t xml:space="preserve"> a triage</w:t>
      </w:r>
      <w:r w:rsidRPr="00F1646A">
        <w:t xml:space="preserve"> flowchart or </w:t>
      </w:r>
      <w:r w:rsidR="00C7539D" w:rsidRPr="00F1646A">
        <w:t>major trauma tool</w:t>
      </w:r>
      <w:r w:rsidRPr="00F1646A">
        <w:t xml:space="preserve">, to assist them in </w:t>
      </w:r>
      <w:r w:rsidR="00690B50">
        <w:t>identifying a</w:t>
      </w:r>
      <w:r w:rsidRPr="00F1646A">
        <w:t xml:space="preserve"> patient</w:t>
      </w:r>
      <w:r w:rsidR="0095680D">
        <w:t>’</w:t>
      </w:r>
      <w:r w:rsidRPr="00F1646A">
        <w:t xml:space="preserve">s bleeding risk, and </w:t>
      </w:r>
      <w:r w:rsidR="0095680D">
        <w:t xml:space="preserve">support </w:t>
      </w:r>
      <w:r w:rsidRPr="00F1646A">
        <w:t>subsequent</w:t>
      </w:r>
      <w:r w:rsidR="00690B50">
        <w:t xml:space="preserve"> decision</w:t>
      </w:r>
      <w:r w:rsidR="0095680D">
        <w:t>-making</w:t>
      </w:r>
      <w:r w:rsidR="00690B50">
        <w:t xml:space="preserve"> regarding</w:t>
      </w:r>
      <w:r w:rsidRPr="00F1646A">
        <w:t xml:space="preserve"> TXA administration</w:t>
      </w:r>
      <w:r w:rsidR="00AF00FB">
        <w:t xml:space="preserve"> (Q</w:t>
      </w:r>
      <w:r w:rsidR="007A1B5B">
        <w:t>2</w:t>
      </w:r>
      <w:r w:rsidR="00151BC9">
        <w:t>6</w:t>
      </w:r>
      <w:r w:rsidR="00AF00FB">
        <w:t>)</w:t>
      </w:r>
      <w:r w:rsidRPr="00F1646A">
        <w:t xml:space="preserve">. </w:t>
      </w:r>
    </w:p>
    <w:p w14:paraId="766DBBDE" w14:textId="6A939EC4" w:rsidR="002A5609" w:rsidRPr="006406CE" w:rsidRDefault="002A5609" w:rsidP="005B499C">
      <w:pPr>
        <w:spacing w:after="0" w:line="480" w:lineRule="auto"/>
      </w:pPr>
      <w:r w:rsidRPr="006406CE">
        <w:lastRenderedPageBreak/>
        <w:t>Environmental context and resources</w:t>
      </w:r>
    </w:p>
    <w:p w14:paraId="797C5698" w14:textId="140F2E39" w:rsidR="00513C92" w:rsidRPr="00513C92" w:rsidRDefault="002C4BAB" w:rsidP="005B499C">
      <w:pPr>
        <w:spacing w:line="480" w:lineRule="auto"/>
      </w:pPr>
      <w:r w:rsidRPr="00513C92">
        <w:t>A lack of</w:t>
      </w:r>
      <w:r w:rsidR="00120735" w:rsidRPr="00513C92">
        <w:t xml:space="preserve"> sufficient resources</w:t>
      </w:r>
      <w:r w:rsidRPr="00513C92">
        <w:t xml:space="preserve"> (time and staffing) was one of the most frequently cited barriers to TXA administration</w:t>
      </w:r>
      <w:r w:rsidR="00AF00FB">
        <w:t xml:space="preserve"> (Q</w:t>
      </w:r>
      <w:r w:rsidR="007A1B5B">
        <w:t>2</w:t>
      </w:r>
      <w:r w:rsidR="00151BC9">
        <w:t>7</w:t>
      </w:r>
      <w:r w:rsidR="00AF00FB">
        <w:t>)</w:t>
      </w:r>
      <w:r w:rsidRPr="00513C92">
        <w:t xml:space="preserve">. </w:t>
      </w:r>
      <w:r w:rsidR="00513C92" w:rsidRPr="00513C92">
        <w:t>P</w:t>
      </w:r>
      <w:r w:rsidRPr="00513C92">
        <w:t xml:space="preserve">articipants felt that </w:t>
      </w:r>
      <w:r w:rsidR="007F7242">
        <w:t>there were not enough ‘hands’ to</w:t>
      </w:r>
      <w:r w:rsidRPr="00513C92">
        <w:t xml:space="preserve"> administer TXA over 10 minutes</w:t>
      </w:r>
      <w:r w:rsidR="00513C92" w:rsidRPr="00513C92">
        <w:t xml:space="preserve">, as </w:t>
      </w:r>
      <w:r w:rsidR="007F7242">
        <w:t>in a typical</w:t>
      </w:r>
      <w:r w:rsidR="00513C92" w:rsidRPr="00513C92">
        <w:t xml:space="preserve"> a two-person crew, one person would be busy for 10 minutes and unable to assist with other treatments</w:t>
      </w:r>
      <w:r w:rsidR="00AF00FB">
        <w:t xml:space="preserve"> (Q</w:t>
      </w:r>
      <w:r w:rsidR="007A1B5B">
        <w:t>2</w:t>
      </w:r>
      <w:r w:rsidR="00151BC9">
        <w:t>8</w:t>
      </w:r>
      <w:r w:rsidR="00AF00FB">
        <w:t>)</w:t>
      </w:r>
      <w:r w:rsidR="00513C92" w:rsidRPr="00513C92">
        <w:t xml:space="preserve">. Participants </w:t>
      </w:r>
      <w:r w:rsidR="00F432E5">
        <w:t>reported</w:t>
      </w:r>
      <w:r w:rsidR="00F432E5" w:rsidRPr="00513C92">
        <w:t xml:space="preserve"> </w:t>
      </w:r>
      <w:r w:rsidR="00513C92" w:rsidRPr="00513C92">
        <w:t xml:space="preserve">that unless there was obvious significant bleeding that they would </w:t>
      </w:r>
      <w:r w:rsidRPr="00513C92">
        <w:t>instead prioritis</w:t>
      </w:r>
      <w:r w:rsidR="00513C92" w:rsidRPr="00513C92">
        <w:t>e</w:t>
      </w:r>
      <w:r w:rsidRPr="00513C92">
        <w:t xml:space="preserve"> transfer of the patient to hospital. This was </w:t>
      </w:r>
      <w:r w:rsidR="00F432E5">
        <w:t>noted by paramedics to be more likely</w:t>
      </w:r>
      <w:r w:rsidRPr="00513C92">
        <w:t xml:space="preserve"> when there were short transfer times to hospital, as paramedics felt that TXA could be administered on arrival by hospital staff. </w:t>
      </w:r>
    </w:p>
    <w:p w14:paraId="03286AD5" w14:textId="62922BD6" w:rsidR="00120735" w:rsidRDefault="00513C92" w:rsidP="005B499C">
      <w:pPr>
        <w:spacing w:line="480" w:lineRule="auto"/>
      </w:pPr>
      <w:r w:rsidRPr="00513C92">
        <w:t>T</w:t>
      </w:r>
      <w:r w:rsidR="002C4BAB" w:rsidRPr="00513C92">
        <w:t xml:space="preserve">he time taken to </w:t>
      </w:r>
      <w:r w:rsidRPr="00513C92">
        <w:t xml:space="preserve">prepare </w:t>
      </w:r>
      <w:r w:rsidR="002C4BAB" w:rsidRPr="00513C92">
        <w:t xml:space="preserve">TXA for administration </w:t>
      </w:r>
      <w:r w:rsidRPr="00513C92">
        <w:t xml:space="preserve">was also </w:t>
      </w:r>
      <w:r w:rsidR="007F7242">
        <w:t>reported</w:t>
      </w:r>
      <w:r w:rsidR="007F7242" w:rsidRPr="00513C92">
        <w:t xml:space="preserve"> </w:t>
      </w:r>
      <w:r w:rsidRPr="00513C92">
        <w:t>as a potential barrier for its use by paramedics</w:t>
      </w:r>
      <w:r w:rsidR="00A67BAC">
        <w:t xml:space="preserve">. Some participants emphasised the fact that an adult dose of TXA requires two vials to be administered, and </w:t>
      </w:r>
      <w:r w:rsidR="00F432E5">
        <w:t xml:space="preserve">stated </w:t>
      </w:r>
      <w:r w:rsidR="00A67BAC">
        <w:t xml:space="preserve">that this could cause confusion or take additional time in stressful or time-pressured situations. </w:t>
      </w:r>
      <w:r w:rsidR="0043341D">
        <w:t>Some</w:t>
      </w:r>
      <w:r w:rsidR="00A67BAC">
        <w:t xml:space="preserve"> participants</w:t>
      </w:r>
      <w:r w:rsidR="0043341D">
        <w:t xml:space="preserve"> felt</w:t>
      </w:r>
      <w:r w:rsidR="00A67BAC">
        <w:t xml:space="preserve"> that </w:t>
      </w:r>
      <w:r w:rsidR="002C4BAB" w:rsidRPr="00513C92">
        <w:t>alternative administration could negate these issues</w:t>
      </w:r>
      <w:r w:rsidR="00A67BAC">
        <w:t xml:space="preserve"> and make the presentation of the drug more clinician-friendly to promote use</w:t>
      </w:r>
      <w:r w:rsidR="00AF00FB">
        <w:t xml:space="preserve"> (Q</w:t>
      </w:r>
      <w:r w:rsidR="00EC3541">
        <w:t>2</w:t>
      </w:r>
      <w:r w:rsidR="00151BC9">
        <w:t>9</w:t>
      </w:r>
      <w:r w:rsidR="00AF00FB">
        <w:t>)</w:t>
      </w:r>
      <w:r w:rsidR="002C4BAB" w:rsidRPr="00513C92">
        <w:t>. For example, participants</w:t>
      </w:r>
      <w:r w:rsidR="0043341D">
        <w:t xml:space="preserve"> felt</w:t>
      </w:r>
      <w:r w:rsidR="002C4BAB" w:rsidRPr="00513C92">
        <w:t xml:space="preserve"> that TXA might be given to patients more frequently by paramedics if it came in a pre-filled syringe, or if they were able to administer it as a rapid bolus, or infuse it with fluids. </w:t>
      </w:r>
    </w:p>
    <w:p w14:paraId="6B2CDD97" w14:textId="0A6B9245" w:rsidR="00120735" w:rsidRPr="002A5609" w:rsidRDefault="00822707" w:rsidP="005B499C">
      <w:pPr>
        <w:spacing w:line="480" w:lineRule="auto"/>
      </w:pPr>
      <w:r>
        <w:t xml:space="preserve">Increased or better equipment was </w:t>
      </w:r>
      <w:r w:rsidR="00446040">
        <w:t xml:space="preserve">cited </w:t>
      </w:r>
      <w:r>
        <w:t xml:space="preserve">by participants as a possible facilitator to TXA administration, including </w:t>
      </w:r>
      <w:r w:rsidR="00F94795">
        <w:t>ideas such as a triage tool, flowchart or ultrasound</w:t>
      </w:r>
      <w:r w:rsidR="00AF00FB">
        <w:t xml:space="preserve"> (Q</w:t>
      </w:r>
      <w:r w:rsidR="00151BC9">
        <w:t>30</w:t>
      </w:r>
      <w:r w:rsidR="00AF00FB">
        <w:t>)</w:t>
      </w:r>
      <w:r w:rsidR="00F94795">
        <w:t>.</w:t>
      </w:r>
    </w:p>
    <w:p w14:paraId="00C88133" w14:textId="16E2FA04" w:rsidR="002A5609" w:rsidRPr="006406CE" w:rsidRDefault="002A5609" w:rsidP="005B499C">
      <w:pPr>
        <w:spacing w:after="0" w:line="480" w:lineRule="auto"/>
      </w:pPr>
      <w:r w:rsidRPr="006406CE">
        <w:t>Social influences</w:t>
      </w:r>
    </w:p>
    <w:p w14:paraId="3B6597C4" w14:textId="716DFC40" w:rsidR="006862D5" w:rsidRDefault="00521C87" w:rsidP="005B499C">
      <w:pPr>
        <w:spacing w:line="480" w:lineRule="auto"/>
      </w:pPr>
      <w:r w:rsidRPr="00521C87">
        <w:t>Within this domain, belief statements centred around</w:t>
      </w:r>
      <w:r w:rsidR="00DE5A73">
        <w:t xml:space="preserve"> the</w:t>
      </w:r>
      <w:r w:rsidR="007A4AB1">
        <w:t xml:space="preserve"> influence of Trust </w:t>
      </w:r>
      <w:r w:rsidRPr="00521C87">
        <w:t xml:space="preserve">culture </w:t>
      </w:r>
      <w:r w:rsidR="007A4AB1">
        <w:t>and</w:t>
      </w:r>
      <w:r w:rsidRPr="00521C87">
        <w:t xml:space="preserve"> colleagues. TXA was seen as something that is only given for major trauma</w:t>
      </w:r>
      <w:r w:rsidR="00EC3541">
        <w:t xml:space="preserve"> (Q</w:t>
      </w:r>
      <w:r w:rsidR="007C50D2">
        <w:t>31</w:t>
      </w:r>
      <w:r w:rsidR="00EC3541">
        <w:t>)</w:t>
      </w:r>
      <w:r w:rsidRPr="00521C87">
        <w:t xml:space="preserve">. </w:t>
      </w:r>
      <w:r w:rsidR="007A4AB1">
        <w:t>P</w:t>
      </w:r>
      <w:r w:rsidRPr="00521C87">
        <w:t>articipants</w:t>
      </w:r>
      <w:r w:rsidR="007A4AB1">
        <w:t xml:space="preserve"> reported </w:t>
      </w:r>
      <w:r w:rsidRPr="00521C87">
        <w:t xml:space="preserve">concern that they may be judged negatively by colleagues if they </w:t>
      </w:r>
      <w:r w:rsidRPr="006862D5">
        <w:t>administered TXA</w:t>
      </w:r>
      <w:r w:rsidR="0095680D">
        <w:t xml:space="preserve"> to patients with less severe injuries.</w:t>
      </w:r>
      <w:r w:rsidR="006862D5">
        <w:t xml:space="preserve"> </w:t>
      </w:r>
    </w:p>
    <w:p w14:paraId="0C76D46D" w14:textId="24CD75D8" w:rsidR="006862D5" w:rsidRPr="00C2201F" w:rsidRDefault="0095680D" w:rsidP="005B499C">
      <w:pPr>
        <w:spacing w:line="480" w:lineRule="auto"/>
        <w:rPr>
          <w:color w:val="FF0000"/>
        </w:rPr>
      </w:pPr>
      <w:r>
        <w:t>The opinion of c</w:t>
      </w:r>
      <w:r w:rsidR="006862D5">
        <w:t xml:space="preserve">olleagues </w:t>
      </w:r>
      <w:r>
        <w:t>was therefore</w:t>
      </w:r>
      <w:r w:rsidR="006862D5">
        <w:t xml:space="preserve"> seen to influence participants’ administration of TXA, and participants noted that </w:t>
      </w:r>
      <w:r w:rsidR="00521C87" w:rsidRPr="006862D5">
        <w:t>th</w:t>
      </w:r>
      <w:r w:rsidR="006862D5">
        <w:t>ey</w:t>
      </w:r>
      <w:r w:rsidR="00521C87" w:rsidRPr="006862D5">
        <w:t xml:space="preserve"> often</w:t>
      </w:r>
      <w:r w:rsidR="006862D5">
        <w:t xml:space="preserve"> had</w:t>
      </w:r>
      <w:r w:rsidR="00521C87" w:rsidRPr="006862D5">
        <w:t xml:space="preserve"> clinical discussions with </w:t>
      </w:r>
      <w:r w:rsidR="00C2201F">
        <w:t xml:space="preserve">other paramedic </w:t>
      </w:r>
      <w:r w:rsidR="00521C87" w:rsidRPr="006862D5">
        <w:t xml:space="preserve">colleagues on scene </w:t>
      </w:r>
      <w:r w:rsidR="00521C87" w:rsidRPr="006862D5">
        <w:lastRenderedPageBreak/>
        <w:t>to decide whether or not administration was appropriate</w:t>
      </w:r>
      <w:r w:rsidR="00AF00FB">
        <w:t xml:space="preserve"> (Q</w:t>
      </w:r>
      <w:r w:rsidR="007C50D2">
        <w:t>32</w:t>
      </w:r>
      <w:r w:rsidR="00AF00FB">
        <w:t>)</w:t>
      </w:r>
      <w:r w:rsidR="006862D5" w:rsidRPr="00C2201F">
        <w:t>.</w:t>
      </w:r>
      <w:r w:rsidR="00C2201F" w:rsidRPr="00C2201F">
        <w:t xml:space="preserve"> Others reported checking with a senior colleague/hospital staff before administering TXA</w:t>
      </w:r>
      <w:r w:rsidR="00AF00FB">
        <w:t xml:space="preserve"> (Q</w:t>
      </w:r>
      <w:r w:rsidR="00EC3541">
        <w:t>3</w:t>
      </w:r>
      <w:r w:rsidR="007C50D2">
        <w:t>3</w:t>
      </w:r>
      <w:r w:rsidR="00AF00FB">
        <w:t>)</w:t>
      </w:r>
      <w:r w:rsidR="00C2201F" w:rsidRPr="00C2201F">
        <w:t xml:space="preserve">. </w:t>
      </w:r>
    </w:p>
    <w:p w14:paraId="2F660632" w14:textId="3CEFC149" w:rsidR="00521C87" w:rsidRPr="006862D5" w:rsidRDefault="00C2201F" w:rsidP="005B499C">
      <w:pPr>
        <w:spacing w:line="480" w:lineRule="auto"/>
      </w:pPr>
      <w:r>
        <w:t>Participants</w:t>
      </w:r>
      <w:r w:rsidR="00521C87" w:rsidRPr="006862D5">
        <w:t xml:space="preserve"> </w:t>
      </w:r>
      <w:r w:rsidR="006862D5" w:rsidRPr="006862D5">
        <w:t>noted a</w:t>
      </w:r>
      <w:r w:rsidR="00521C87" w:rsidRPr="006862D5">
        <w:t xml:space="preserve"> more liberal </w:t>
      </w:r>
      <w:r w:rsidR="006862D5" w:rsidRPr="006862D5">
        <w:t xml:space="preserve">approach to TXA </w:t>
      </w:r>
      <w:r w:rsidR="00521C87" w:rsidRPr="006862D5">
        <w:t>administration by HEMS</w:t>
      </w:r>
      <w:r w:rsidR="006862D5" w:rsidRPr="006862D5">
        <w:t xml:space="preserve"> team members</w:t>
      </w:r>
      <w:r w:rsidR="00521C87" w:rsidRPr="006862D5">
        <w:t xml:space="preserve">, and </w:t>
      </w:r>
      <w:r w:rsidR="00446040">
        <w:t>reported</w:t>
      </w:r>
      <w:r w:rsidR="00446040" w:rsidRPr="006862D5">
        <w:t xml:space="preserve"> </w:t>
      </w:r>
      <w:r w:rsidR="00521C87" w:rsidRPr="006862D5">
        <w:t xml:space="preserve">that </w:t>
      </w:r>
      <w:r w:rsidR="006862D5" w:rsidRPr="006862D5">
        <w:t xml:space="preserve">witnessing </w:t>
      </w:r>
      <w:r w:rsidR="00521C87" w:rsidRPr="006862D5">
        <w:t>this</w:t>
      </w:r>
      <w:r w:rsidR="006862D5" w:rsidRPr="006862D5">
        <w:t xml:space="preserve"> approach</w:t>
      </w:r>
      <w:r w:rsidR="00521C87" w:rsidRPr="006862D5">
        <w:t xml:space="preserve"> encouraged their </w:t>
      </w:r>
      <w:r w:rsidR="006862D5">
        <w:t xml:space="preserve">own </w:t>
      </w:r>
      <w:r w:rsidR="00521C87" w:rsidRPr="006862D5">
        <w:t>use of TXA</w:t>
      </w:r>
      <w:r w:rsidR="00AF00FB">
        <w:t xml:space="preserve"> (Q</w:t>
      </w:r>
      <w:r w:rsidR="00BF4914">
        <w:t>1</w:t>
      </w:r>
      <w:r w:rsidR="007C50D2">
        <w:t>5</w:t>
      </w:r>
      <w:r w:rsidR="00AF00FB">
        <w:t>)</w:t>
      </w:r>
      <w:r w:rsidR="006862D5" w:rsidRPr="006862D5">
        <w:t>.</w:t>
      </w:r>
      <w:r w:rsidR="00521C87" w:rsidRPr="006862D5">
        <w:t xml:space="preserve"> </w:t>
      </w:r>
      <w:r w:rsidR="006862D5" w:rsidRPr="006862D5">
        <w:t xml:space="preserve"> However, </w:t>
      </w:r>
      <w:r w:rsidR="00446040">
        <w:t xml:space="preserve">it seemed as though </w:t>
      </w:r>
      <w:r w:rsidR="006862D5" w:rsidRPr="006862D5">
        <w:t xml:space="preserve">the knowledge that HEMS were likely to administer TXA could also act as a barrier to </w:t>
      </w:r>
      <w:r w:rsidR="007B4316">
        <w:t xml:space="preserve">paramedic </w:t>
      </w:r>
      <w:r w:rsidR="006862D5" w:rsidRPr="006862D5">
        <w:t xml:space="preserve">administration, as some participants expressed </w:t>
      </w:r>
      <w:r w:rsidR="007B4316">
        <w:t>a preference to</w:t>
      </w:r>
      <w:r w:rsidR="006862D5" w:rsidRPr="006862D5">
        <w:t xml:space="preserve"> wait </w:t>
      </w:r>
      <w:r w:rsidR="007B4316">
        <w:t>for a</w:t>
      </w:r>
      <w:r w:rsidR="006862D5" w:rsidRPr="006862D5">
        <w:t xml:space="preserve"> HEMS team member </w:t>
      </w:r>
      <w:r w:rsidR="007B4316">
        <w:t xml:space="preserve">to </w:t>
      </w:r>
      <w:r w:rsidR="006862D5" w:rsidRPr="006862D5">
        <w:t>administer it.</w:t>
      </w:r>
    </w:p>
    <w:p w14:paraId="4387690D" w14:textId="27113275" w:rsidR="002A5609" w:rsidRPr="006406CE" w:rsidRDefault="002A5609" w:rsidP="005B499C">
      <w:pPr>
        <w:spacing w:after="0" w:line="480" w:lineRule="auto"/>
      </w:pPr>
      <w:r w:rsidRPr="006406CE">
        <w:t>Emotion</w:t>
      </w:r>
    </w:p>
    <w:p w14:paraId="68BC0E28" w14:textId="1434B502" w:rsidR="00D74410" w:rsidRPr="004C1B45" w:rsidRDefault="004C1B45" w:rsidP="005B499C">
      <w:pPr>
        <w:spacing w:line="480" w:lineRule="auto"/>
      </w:pPr>
      <w:r w:rsidRPr="004C1B45">
        <w:t xml:space="preserve">Paramedics emphasised the nature of trauma jobs as stressful, and </w:t>
      </w:r>
      <w:r w:rsidR="00446040">
        <w:t>felt</w:t>
      </w:r>
      <w:r w:rsidR="00446040" w:rsidRPr="004C1B45">
        <w:t xml:space="preserve"> </w:t>
      </w:r>
      <w:r w:rsidRPr="004C1B45">
        <w:t xml:space="preserve">that this stress could lead to TXA </w:t>
      </w:r>
      <w:r>
        <w:t xml:space="preserve">administration </w:t>
      </w:r>
      <w:r w:rsidRPr="004C1B45">
        <w:t>being overlooked or deprioritised</w:t>
      </w:r>
      <w:r w:rsidR="00AF00FB">
        <w:t xml:space="preserve"> (Q</w:t>
      </w:r>
      <w:r w:rsidR="007A1B5B">
        <w:t>3</w:t>
      </w:r>
      <w:r w:rsidR="007C50D2">
        <w:t>4</w:t>
      </w:r>
      <w:r w:rsidR="00AF00FB">
        <w:t>)</w:t>
      </w:r>
      <w:r w:rsidRPr="004C1B45">
        <w:t xml:space="preserve">. </w:t>
      </w:r>
    </w:p>
    <w:p w14:paraId="6851D51F" w14:textId="634DAAE5" w:rsidR="00FC4D6E" w:rsidRPr="009C223B" w:rsidRDefault="006406CE" w:rsidP="005B499C">
      <w:pPr>
        <w:spacing w:line="480" w:lineRule="auto"/>
        <w:rPr>
          <w:b/>
          <w:sz w:val="24"/>
          <w:szCs w:val="24"/>
        </w:rPr>
      </w:pPr>
      <w:r w:rsidRPr="009C223B">
        <w:rPr>
          <w:b/>
          <w:sz w:val="24"/>
          <w:szCs w:val="24"/>
        </w:rPr>
        <w:t>DISCUSSION</w:t>
      </w:r>
    </w:p>
    <w:p w14:paraId="1540D607" w14:textId="780D941A" w:rsidR="00F86031" w:rsidRPr="00BD26E5" w:rsidRDefault="000F71BD" w:rsidP="003506AF">
      <w:pPr>
        <w:spacing w:line="480" w:lineRule="auto"/>
      </w:pPr>
      <w:r>
        <w:t xml:space="preserve">Although </w:t>
      </w:r>
      <w:r w:rsidR="003506AF">
        <w:t xml:space="preserve">TXA </w:t>
      </w:r>
      <w:r>
        <w:t xml:space="preserve">is recommended as a </w:t>
      </w:r>
      <w:r w:rsidR="003506AF">
        <w:t xml:space="preserve">pre-hospital intervention for </w:t>
      </w:r>
      <w:r w:rsidR="003F5FDB" w:rsidRPr="003F5FDB">
        <w:t>post-traumatic haemorrhage</w:t>
      </w:r>
      <w:r>
        <w:t>,</w:t>
      </w:r>
      <w:r w:rsidR="003F5FDB">
        <w:t xml:space="preserve"> </w:t>
      </w:r>
      <w:r w:rsidR="003506AF">
        <w:t xml:space="preserve">administration rates, remain </w:t>
      </w:r>
      <w:proofErr w:type="gramStart"/>
      <w:r w:rsidR="003506AF">
        <w:t>low</w:t>
      </w:r>
      <w:r w:rsidR="00B905D6">
        <w:t>.</w:t>
      </w:r>
      <w:r w:rsidR="007675D9">
        <w:t>[</w:t>
      </w:r>
      <w:proofErr w:type="gramEnd"/>
      <w:r w:rsidR="007675D9">
        <w:t>1</w:t>
      </w:r>
      <w:r w:rsidR="00A675FA">
        <w:t>4</w:t>
      </w:r>
      <w:r w:rsidR="007675D9">
        <w:t>]</w:t>
      </w:r>
      <w:r w:rsidR="003506AF">
        <w:t xml:space="preserve"> </w:t>
      </w:r>
      <w:r w:rsidR="00F86031" w:rsidRPr="00F86031">
        <w:t xml:space="preserve">We </w:t>
      </w:r>
      <w:r w:rsidR="00651D33" w:rsidRPr="00F86031">
        <w:t>applied the T</w:t>
      </w:r>
      <w:r w:rsidR="00582F40">
        <w:t>heoretical Domains Framework</w:t>
      </w:r>
      <w:r w:rsidR="00754D98">
        <w:t>[1</w:t>
      </w:r>
      <w:r w:rsidR="00A675FA">
        <w:t>6</w:t>
      </w:r>
      <w:r w:rsidR="00754D98">
        <w:t>]</w:t>
      </w:r>
      <w:r w:rsidR="00651D33" w:rsidRPr="00F86031">
        <w:t xml:space="preserve"> to help understand </w:t>
      </w:r>
      <w:r>
        <w:t xml:space="preserve">barriers and facilitators to TXA administration a </w:t>
      </w:r>
      <w:r w:rsidR="00F86031" w:rsidRPr="00F86031">
        <w:t xml:space="preserve">from </w:t>
      </w:r>
      <w:r>
        <w:t xml:space="preserve">behavioural </w:t>
      </w:r>
      <w:r w:rsidR="00F86031" w:rsidRPr="00F86031">
        <w:t>theor</w:t>
      </w:r>
      <w:r>
        <w:t xml:space="preserve">y </w:t>
      </w:r>
      <w:r w:rsidR="00F86031" w:rsidRPr="00F86031">
        <w:t>standpoint</w:t>
      </w:r>
      <w:r w:rsidR="00651D33" w:rsidRPr="00F86031">
        <w:t>. The</w:t>
      </w:r>
      <w:r w:rsidR="00B73FB3">
        <w:t xml:space="preserve"> </w:t>
      </w:r>
      <w:r w:rsidR="00651D33" w:rsidRPr="00F86031">
        <w:t>most</w:t>
      </w:r>
      <w:r w:rsidR="00F86031" w:rsidRPr="00F86031">
        <w:t xml:space="preserve"> </w:t>
      </w:r>
      <w:r w:rsidR="00651D33" w:rsidRPr="00F86031">
        <w:t>frequently mentioned influences</w:t>
      </w:r>
      <w:r>
        <w:t xml:space="preserve"> and related key issues</w:t>
      </w:r>
      <w:r w:rsidR="00651D33" w:rsidRPr="00F86031">
        <w:t xml:space="preserve"> </w:t>
      </w:r>
      <w:r>
        <w:t>determining</w:t>
      </w:r>
      <w:r w:rsidR="00F86031" w:rsidRPr="00F86031">
        <w:t xml:space="preserve"> </w:t>
      </w:r>
      <w:r w:rsidR="00F86031" w:rsidRPr="00AF3A6A">
        <w:t>administration</w:t>
      </w:r>
      <w:r w:rsidR="00582F40" w:rsidRPr="00AF3A6A">
        <w:t xml:space="preserve"> of TXA</w:t>
      </w:r>
      <w:r w:rsidR="00F86031" w:rsidRPr="00AF3A6A">
        <w:t xml:space="preserve"> </w:t>
      </w:r>
      <w:r w:rsidR="00651D33" w:rsidRPr="00AF3A6A">
        <w:t xml:space="preserve">were categorised </w:t>
      </w:r>
      <w:r>
        <w:t xml:space="preserve">in the TDF </w:t>
      </w:r>
      <w:r w:rsidR="00DF4E74">
        <w:t xml:space="preserve">domains of: </w:t>
      </w:r>
      <w:r w:rsidR="00582F40" w:rsidRPr="00AF3A6A">
        <w:t>Knowledge and skills</w:t>
      </w:r>
      <w:r w:rsidRPr="000F71BD">
        <w:t xml:space="preserve"> </w:t>
      </w:r>
      <w:r>
        <w:t>(</w:t>
      </w:r>
      <w:r w:rsidRPr="00BD04B1">
        <w:t>knowledge and experience with TXA</w:t>
      </w:r>
      <w:r>
        <w:t>)</w:t>
      </w:r>
      <w:r w:rsidR="00DF4E74">
        <w:t>;</w:t>
      </w:r>
      <w:r w:rsidR="00582F40" w:rsidRPr="00AF3A6A">
        <w:t xml:space="preserve"> Memory attention and decision processe</w:t>
      </w:r>
      <w:r w:rsidR="00382725">
        <w:t>s</w:t>
      </w:r>
      <w:r w:rsidRPr="000F71BD">
        <w:t xml:space="preserve"> </w:t>
      </w:r>
      <w:r>
        <w:t>(</w:t>
      </w:r>
      <w:r w:rsidRPr="00BD04B1">
        <w:t>difficulty in identifying patients at risk of bleeding</w:t>
      </w:r>
      <w:r>
        <w:t>)</w:t>
      </w:r>
      <w:r w:rsidR="00DF4E74">
        <w:t xml:space="preserve">; </w:t>
      </w:r>
      <w:r w:rsidR="00AF3A6A" w:rsidRPr="00AF3A6A">
        <w:t>S</w:t>
      </w:r>
      <w:r w:rsidR="00582F40" w:rsidRPr="00AF3A6A">
        <w:t>ocial/professional</w:t>
      </w:r>
      <w:r w:rsidR="00BD04B1">
        <w:t xml:space="preserve"> role</w:t>
      </w:r>
      <w:r w:rsidR="00CE1C21">
        <w:t xml:space="preserve"> and identity</w:t>
      </w:r>
      <w:r>
        <w:t xml:space="preserve"> (</w:t>
      </w:r>
      <w:r w:rsidRPr="00BD04B1">
        <w:t>confusion and restrictions relating to the guidelines for TXA administration</w:t>
      </w:r>
      <w:r>
        <w:t>)</w:t>
      </w:r>
      <w:r w:rsidR="00BD04B1">
        <w:t>; Environmental context and resources</w:t>
      </w:r>
      <w:r w:rsidRPr="000F71BD">
        <w:t xml:space="preserve"> </w:t>
      </w:r>
      <w:r>
        <w:t>(</w:t>
      </w:r>
      <w:r w:rsidRPr="00BD04B1">
        <w:t>a lack of resources</w:t>
      </w:r>
      <w:r>
        <w:t>)</w:t>
      </w:r>
      <w:r w:rsidR="00BD04B1">
        <w:t xml:space="preserve">. </w:t>
      </w:r>
    </w:p>
    <w:p w14:paraId="41C1F112" w14:textId="31507C1A" w:rsidR="007D105F" w:rsidRPr="00393751" w:rsidRDefault="000F71BD" w:rsidP="005B499C">
      <w:pPr>
        <w:spacing w:line="480" w:lineRule="auto"/>
      </w:pPr>
      <w:r>
        <w:rPr>
          <w:bCs/>
        </w:rPr>
        <w:t>P</w:t>
      </w:r>
      <w:r w:rsidR="005077BC" w:rsidRPr="00BD26E5">
        <w:rPr>
          <w:bCs/>
        </w:rPr>
        <w:t xml:space="preserve">aramedics’ lack of knowledge </w:t>
      </w:r>
      <w:r w:rsidR="0043030E" w:rsidRPr="00BD26E5">
        <w:rPr>
          <w:bCs/>
        </w:rPr>
        <w:t xml:space="preserve">of, </w:t>
      </w:r>
      <w:r w:rsidR="005077BC" w:rsidRPr="00BD26E5">
        <w:rPr>
          <w:bCs/>
        </w:rPr>
        <w:t>and experience with</w:t>
      </w:r>
      <w:r w:rsidR="00DF4E74">
        <w:rPr>
          <w:bCs/>
        </w:rPr>
        <w:t>,</w:t>
      </w:r>
      <w:r w:rsidR="005077BC" w:rsidRPr="00BD26E5">
        <w:rPr>
          <w:bCs/>
        </w:rPr>
        <w:t xml:space="preserve"> TXA was a considerable </w:t>
      </w:r>
      <w:r w:rsidR="00446040">
        <w:rPr>
          <w:bCs/>
        </w:rPr>
        <w:t xml:space="preserve">influencing </w:t>
      </w:r>
      <w:r w:rsidR="005077BC" w:rsidRPr="00BD26E5">
        <w:rPr>
          <w:bCs/>
        </w:rPr>
        <w:t>factor</w:t>
      </w:r>
      <w:r w:rsidR="00446040">
        <w:rPr>
          <w:bCs/>
        </w:rPr>
        <w:t xml:space="preserve"> for its use</w:t>
      </w:r>
      <w:r w:rsidR="005077BC" w:rsidRPr="00BD26E5">
        <w:rPr>
          <w:bCs/>
        </w:rPr>
        <w:t xml:space="preserve">. </w:t>
      </w:r>
      <w:r>
        <w:rPr>
          <w:bCs/>
        </w:rPr>
        <w:t>Although there is little p</w:t>
      </w:r>
      <w:r w:rsidR="00BD26E5">
        <w:rPr>
          <w:bCs/>
        </w:rPr>
        <w:t>re-hospital research</w:t>
      </w:r>
      <w:r>
        <w:rPr>
          <w:bCs/>
        </w:rPr>
        <w:t xml:space="preserve"> on TXA, this issue has been raised in</w:t>
      </w:r>
      <w:r w:rsidR="007E0F19" w:rsidRPr="00BD26E5">
        <w:rPr>
          <w:bCs/>
        </w:rPr>
        <w:t xml:space="preserve"> </w:t>
      </w:r>
      <w:r>
        <w:rPr>
          <w:bCs/>
        </w:rPr>
        <w:t>prior</w:t>
      </w:r>
      <w:r w:rsidR="00BD26E5">
        <w:rPr>
          <w:bCs/>
        </w:rPr>
        <w:t xml:space="preserve"> </w:t>
      </w:r>
      <w:r>
        <w:rPr>
          <w:bCs/>
        </w:rPr>
        <w:t xml:space="preserve">literature regarding </w:t>
      </w:r>
      <w:r w:rsidR="00B73FB3">
        <w:rPr>
          <w:bCs/>
        </w:rPr>
        <w:t>the</w:t>
      </w:r>
      <w:r w:rsidR="00BD26E5">
        <w:rPr>
          <w:bCs/>
        </w:rPr>
        <w:t xml:space="preserve"> administration</w:t>
      </w:r>
      <w:r w:rsidR="00B73FB3">
        <w:rPr>
          <w:bCs/>
        </w:rPr>
        <w:t xml:space="preserve"> of other treatments/drugs</w:t>
      </w:r>
      <w:r w:rsidR="00BD26E5">
        <w:rPr>
          <w:bCs/>
        </w:rPr>
        <w:t xml:space="preserve"> by ambulance </w:t>
      </w:r>
      <w:proofErr w:type="gramStart"/>
      <w:r w:rsidR="00BD26E5">
        <w:rPr>
          <w:bCs/>
        </w:rPr>
        <w:t>staff.</w:t>
      </w:r>
      <w:r w:rsidR="00754D98">
        <w:rPr>
          <w:bCs/>
        </w:rPr>
        <w:t>[</w:t>
      </w:r>
      <w:proofErr w:type="gramEnd"/>
      <w:r w:rsidR="00754D98">
        <w:rPr>
          <w:bCs/>
        </w:rPr>
        <w:t>1</w:t>
      </w:r>
      <w:r w:rsidR="000B5C3E">
        <w:rPr>
          <w:bCs/>
        </w:rPr>
        <w:t>7</w:t>
      </w:r>
      <w:r w:rsidR="00754D98">
        <w:rPr>
          <w:bCs/>
        </w:rPr>
        <w:t>-</w:t>
      </w:r>
      <w:r w:rsidR="000B5C3E">
        <w:rPr>
          <w:bCs/>
        </w:rPr>
        <w:t>18</w:t>
      </w:r>
      <w:r w:rsidR="00754D98">
        <w:rPr>
          <w:bCs/>
        </w:rPr>
        <w:t>]</w:t>
      </w:r>
      <w:r w:rsidR="007C58FD">
        <w:t xml:space="preserve"> </w:t>
      </w:r>
      <w:r>
        <w:t xml:space="preserve">Not surprisingly, </w:t>
      </w:r>
      <w:r w:rsidR="00B73FB3">
        <w:t>confidence in self-perceived knowledge appears to facilitate administration rates; i</w:t>
      </w:r>
      <w:r w:rsidR="006F5C55">
        <w:t xml:space="preserve">n our </w:t>
      </w:r>
      <w:r w:rsidR="006F5C55" w:rsidRPr="00ED4B2D">
        <w:t xml:space="preserve">study, paramedics </w:t>
      </w:r>
      <w:r w:rsidR="00ED4B2D">
        <w:t xml:space="preserve">who reported </w:t>
      </w:r>
      <w:r w:rsidR="006F5C55" w:rsidRPr="00ED4B2D">
        <w:t xml:space="preserve">knowledge of research relating to TXA </w:t>
      </w:r>
      <w:r w:rsidR="00446040">
        <w:t xml:space="preserve">felt that </w:t>
      </w:r>
      <w:r w:rsidR="00ED4B2D">
        <w:t>this</w:t>
      </w:r>
      <w:r w:rsidR="006F5C55" w:rsidRPr="00ED4B2D">
        <w:t xml:space="preserve"> </w:t>
      </w:r>
      <w:r w:rsidR="00446040">
        <w:t>w</w:t>
      </w:r>
      <w:r w:rsidR="006F5C55" w:rsidRPr="00ED4B2D">
        <w:t xml:space="preserve">as a facilitator </w:t>
      </w:r>
      <w:r w:rsidR="006F5C55" w:rsidRPr="00ED4B2D">
        <w:lastRenderedPageBreak/>
        <w:t xml:space="preserve">to its use. </w:t>
      </w:r>
      <w:r w:rsidR="007E0F19" w:rsidRPr="00ED4B2D">
        <w:t>This suggests that increasing</w:t>
      </w:r>
      <w:r w:rsidR="007A4AB1">
        <w:t xml:space="preserve"> </w:t>
      </w:r>
      <w:r w:rsidR="007E0F19" w:rsidRPr="00ED4B2D">
        <w:t xml:space="preserve">awareness of </w:t>
      </w:r>
      <w:r w:rsidR="007A4AB1">
        <w:t xml:space="preserve">findings in </w:t>
      </w:r>
      <w:r w:rsidR="007E0F19" w:rsidRPr="00ED4B2D">
        <w:t>TXA research amongst paramedics may help to increase administration rates</w:t>
      </w:r>
      <w:r w:rsidR="006E57E1">
        <w:t xml:space="preserve">. </w:t>
      </w:r>
      <w:r w:rsidR="00382725">
        <w:t>I</w:t>
      </w:r>
      <w:r w:rsidR="00F1062C" w:rsidRPr="00ED4B2D">
        <w:t>n particular,</w:t>
      </w:r>
      <w:r w:rsidR="006E57E1" w:rsidRPr="00ED4B2D" w:rsidDel="006E57E1">
        <w:t xml:space="preserve"> </w:t>
      </w:r>
      <w:r w:rsidR="006E57E1">
        <w:t>p</w:t>
      </w:r>
      <w:r w:rsidR="00F1062C" w:rsidRPr="00ED4B2D">
        <w:t xml:space="preserve">articipants in the current study </w:t>
      </w:r>
      <w:r w:rsidR="00B73FB3">
        <w:t>reported</w:t>
      </w:r>
      <w:r w:rsidR="00F1062C" w:rsidRPr="00ED4B2D">
        <w:t xml:space="preserve"> a </w:t>
      </w:r>
      <w:r w:rsidR="00B73FB3">
        <w:t xml:space="preserve">general </w:t>
      </w:r>
      <w:r w:rsidR="00F1062C" w:rsidRPr="00ED4B2D">
        <w:t xml:space="preserve">lack of awareness </w:t>
      </w:r>
      <w:r w:rsidR="00B73FB3">
        <w:t>amongst</w:t>
      </w:r>
      <w:r w:rsidR="00446040">
        <w:t xml:space="preserve"> the</w:t>
      </w:r>
      <w:r w:rsidR="00B73FB3">
        <w:t xml:space="preserve"> paramedic</w:t>
      </w:r>
      <w:r w:rsidR="00446040">
        <w:t xml:space="preserve"> community</w:t>
      </w:r>
      <w:r w:rsidR="00B73FB3">
        <w:t xml:space="preserve"> regarding t</w:t>
      </w:r>
      <w:r w:rsidR="006F5C55" w:rsidRPr="00ED4B2D">
        <w:t xml:space="preserve">he </w:t>
      </w:r>
      <w:r w:rsidR="006E57E1">
        <w:t xml:space="preserve">diminishing survival effect of TXA with delay to treatment. </w:t>
      </w:r>
      <w:r w:rsidR="001E228D">
        <w:t>This lack of awareness of the</w:t>
      </w:r>
      <w:r w:rsidR="00B53B99">
        <w:t xml:space="preserve"> need for early administration </w:t>
      </w:r>
      <w:r w:rsidR="00F57518">
        <w:t>could potentially result</w:t>
      </w:r>
      <w:r w:rsidR="00B53B99">
        <w:t xml:space="preserve"> in under-prioritisation of TXA administration.</w:t>
      </w:r>
      <w:r w:rsidR="006F5C55" w:rsidRPr="00ED4B2D">
        <w:t xml:space="preserve"> </w:t>
      </w:r>
      <w:r w:rsidR="006E57E1">
        <w:t xml:space="preserve">A </w:t>
      </w:r>
      <w:r w:rsidR="007D105F" w:rsidRPr="00ED4B2D">
        <w:t xml:space="preserve">case series review of pre-hospital TXA use </w:t>
      </w:r>
      <w:r w:rsidR="00350403" w:rsidRPr="00350403">
        <w:t xml:space="preserve">by the British Columbia Ambulance Service </w:t>
      </w:r>
      <w:r w:rsidR="00ED4B2D">
        <w:t xml:space="preserve">found that </w:t>
      </w:r>
      <w:r w:rsidR="00ED4B2D" w:rsidRPr="00ED4B2D">
        <w:t>on several occasions</w:t>
      </w:r>
      <w:r w:rsidR="007D105F" w:rsidRPr="00ED4B2D">
        <w:t xml:space="preserve"> TXA was not administered because individual practitioners </w:t>
      </w:r>
      <w:r w:rsidR="007D105F" w:rsidRPr="00393751">
        <w:t xml:space="preserve">determined that there were other priorities that required their </w:t>
      </w:r>
      <w:proofErr w:type="gramStart"/>
      <w:r w:rsidR="007D105F" w:rsidRPr="00393751">
        <w:t>attention</w:t>
      </w:r>
      <w:r w:rsidR="00ED4B2D" w:rsidRPr="00393751">
        <w:t>.</w:t>
      </w:r>
      <w:r w:rsidR="00754D98">
        <w:t>[</w:t>
      </w:r>
      <w:proofErr w:type="gramEnd"/>
      <w:r w:rsidR="000B5C3E">
        <w:t>19</w:t>
      </w:r>
      <w:r w:rsidR="00754D98">
        <w:t>]</w:t>
      </w:r>
    </w:p>
    <w:p w14:paraId="62651B21" w14:textId="2B93A5A1" w:rsidR="00D70158" w:rsidRPr="00BD33A2" w:rsidRDefault="00ED4B2D" w:rsidP="005B499C">
      <w:pPr>
        <w:spacing w:line="480" w:lineRule="auto"/>
        <w:rPr>
          <w:bCs/>
          <w:color w:val="FF0000"/>
        </w:rPr>
      </w:pPr>
      <w:r w:rsidRPr="00393751">
        <w:rPr>
          <w:bCs/>
        </w:rPr>
        <w:t>The s</w:t>
      </w:r>
      <w:r w:rsidR="005077BC" w:rsidRPr="00393751">
        <w:rPr>
          <w:bCs/>
        </w:rPr>
        <w:t>econd</w:t>
      </w:r>
      <w:r w:rsidRPr="00393751">
        <w:rPr>
          <w:bCs/>
        </w:rPr>
        <w:t xml:space="preserve"> key barrier </w:t>
      </w:r>
      <w:r w:rsidR="006E57E1">
        <w:rPr>
          <w:bCs/>
        </w:rPr>
        <w:t>was</w:t>
      </w:r>
      <w:r w:rsidRPr="00393751">
        <w:rPr>
          <w:bCs/>
        </w:rPr>
        <w:t xml:space="preserve"> TXA </w:t>
      </w:r>
      <w:r w:rsidR="004A1A63">
        <w:rPr>
          <w:bCs/>
        </w:rPr>
        <w:t xml:space="preserve">administration </w:t>
      </w:r>
      <w:r w:rsidRPr="00393751">
        <w:rPr>
          <w:bCs/>
        </w:rPr>
        <w:t>guidelines</w:t>
      </w:r>
      <w:r w:rsidR="008E6BB7">
        <w:rPr>
          <w:bCs/>
        </w:rPr>
        <w:t xml:space="preserve">, which </w:t>
      </w:r>
      <w:r w:rsidRPr="00393751">
        <w:rPr>
          <w:bCs/>
        </w:rPr>
        <w:t xml:space="preserve">participants perceived </w:t>
      </w:r>
      <w:r w:rsidR="00393751" w:rsidRPr="00393751">
        <w:rPr>
          <w:bCs/>
        </w:rPr>
        <w:t>to be</w:t>
      </w:r>
      <w:r w:rsidRPr="00393751">
        <w:rPr>
          <w:bCs/>
        </w:rPr>
        <w:t xml:space="preserve"> restrictive and confusing</w:t>
      </w:r>
      <w:r w:rsidR="005077BC" w:rsidRPr="00393751">
        <w:rPr>
          <w:bCs/>
        </w:rPr>
        <w:t xml:space="preserve">. </w:t>
      </w:r>
      <w:r w:rsidR="00E915D1">
        <w:rPr>
          <w:bCs/>
        </w:rPr>
        <w:t xml:space="preserve">UK </w:t>
      </w:r>
      <w:r w:rsidR="006E57E1">
        <w:rPr>
          <w:bCs/>
        </w:rPr>
        <w:t>l</w:t>
      </w:r>
      <w:r w:rsidR="00E915D1" w:rsidRPr="00DD5C58">
        <w:rPr>
          <w:bCs/>
        </w:rPr>
        <w:t>egislation permits all paramedics to administer a limited range of medications to manage emergency conditions</w:t>
      </w:r>
      <w:r w:rsidR="003F5FDB">
        <w:rPr>
          <w:bCs/>
        </w:rPr>
        <w:t>.[2</w:t>
      </w:r>
      <w:r w:rsidR="000B5C3E">
        <w:rPr>
          <w:bCs/>
        </w:rPr>
        <w:t>0</w:t>
      </w:r>
      <w:r w:rsidR="003F5FDB">
        <w:rPr>
          <w:bCs/>
        </w:rPr>
        <w:t>]</w:t>
      </w:r>
      <w:r w:rsidR="00E915D1" w:rsidRPr="00DD5C58">
        <w:rPr>
          <w:bCs/>
        </w:rPr>
        <w:t xml:space="preserve"> NHS </w:t>
      </w:r>
      <w:r w:rsidR="00F57518">
        <w:rPr>
          <w:bCs/>
        </w:rPr>
        <w:t>a</w:t>
      </w:r>
      <w:r w:rsidR="00E915D1">
        <w:rPr>
          <w:bCs/>
        </w:rPr>
        <w:t xml:space="preserve">mbulance </w:t>
      </w:r>
      <w:r w:rsidR="00F57518">
        <w:rPr>
          <w:bCs/>
        </w:rPr>
        <w:t>s</w:t>
      </w:r>
      <w:r w:rsidR="00E915D1">
        <w:rPr>
          <w:bCs/>
        </w:rPr>
        <w:t>ervices</w:t>
      </w:r>
      <w:r w:rsidR="00E915D1" w:rsidRPr="00DD5C58">
        <w:rPr>
          <w:bCs/>
        </w:rPr>
        <w:t xml:space="preserve"> can also authorise paramedics to use additional prescription</w:t>
      </w:r>
      <w:r w:rsidR="00E915D1">
        <w:rPr>
          <w:bCs/>
        </w:rPr>
        <w:t>-</w:t>
      </w:r>
      <w:r w:rsidR="00E915D1" w:rsidRPr="00DD5C58">
        <w:rPr>
          <w:bCs/>
        </w:rPr>
        <w:t>only medications</w:t>
      </w:r>
      <w:r w:rsidR="00E915D1">
        <w:rPr>
          <w:bCs/>
        </w:rPr>
        <w:t xml:space="preserve">, </w:t>
      </w:r>
      <w:r w:rsidR="00E915D1" w:rsidRPr="00DD5C58">
        <w:rPr>
          <w:bCs/>
        </w:rPr>
        <w:t xml:space="preserve">under </w:t>
      </w:r>
      <w:r w:rsidR="00E915D1">
        <w:rPr>
          <w:bCs/>
        </w:rPr>
        <w:t>P</w:t>
      </w:r>
      <w:r w:rsidR="00E915D1" w:rsidRPr="00DD5C58">
        <w:rPr>
          <w:bCs/>
        </w:rPr>
        <w:t xml:space="preserve">atient </w:t>
      </w:r>
      <w:r w:rsidR="00E915D1">
        <w:rPr>
          <w:bCs/>
        </w:rPr>
        <w:t>G</w:t>
      </w:r>
      <w:r w:rsidR="00E915D1" w:rsidRPr="00DD5C58">
        <w:rPr>
          <w:bCs/>
        </w:rPr>
        <w:t xml:space="preserve">roup </w:t>
      </w:r>
      <w:r w:rsidR="00E915D1">
        <w:rPr>
          <w:bCs/>
        </w:rPr>
        <w:t>D</w:t>
      </w:r>
      <w:r w:rsidR="00E915D1" w:rsidRPr="00DD5C58">
        <w:rPr>
          <w:bCs/>
        </w:rPr>
        <w:t>irections (PGDs)</w:t>
      </w:r>
      <w:r w:rsidR="00382725">
        <w:rPr>
          <w:bCs/>
        </w:rPr>
        <w:t>,</w:t>
      </w:r>
      <w:r w:rsidR="003F5FDB">
        <w:rPr>
          <w:bCs/>
        </w:rPr>
        <w:t>[2</w:t>
      </w:r>
      <w:r w:rsidR="000B5C3E">
        <w:rPr>
          <w:bCs/>
        </w:rPr>
        <w:t>0</w:t>
      </w:r>
      <w:r w:rsidR="003F5FDB">
        <w:rPr>
          <w:bCs/>
        </w:rPr>
        <w:t>]</w:t>
      </w:r>
      <w:r w:rsidR="00E915D1" w:rsidRPr="00DD5C58">
        <w:rPr>
          <w:bCs/>
        </w:rPr>
        <w:t xml:space="preserve"> </w:t>
      </w:r>
      <w:r w:rsidR="006E57E1">
        <w:rPr>
          <w:bCs/>
        </w:rPr>
        <w:t>which provide</w:t>
      </w:r>
      <w:r w:rsidR="00E915D1" w:rsidRPr="00DD5C58">
        <w:rPr>
          <w:bCs/>
        </w:rPr>
        <w:t xml:space="preserve"> written instruction</w:t>
      </w:r>
      <w:r w:rsidR="00A36F99">
        <w:rPr>
          <w:bCs/>
        </w:rPr>
        <w:t>s</w:t>
      </w:r>
      <w:r w:rsidR="00E915D1" w:rsidRPr="00DD5C58">
        <w:rPr>
          <w:bCs/>
        </w:rPr>
        <w:t xml:space="preserve"> for the supply or administration of medicine in an identified clinical situation that meets pre-determined criteria</w:t>
      </w:r>
      <w:r w:rsidR="00E915D1">
        <w:rPr>
          <w:bCs/>
        </w:rPr>
        <w:t xml:space="preserve">. </w:t>
      </w:r>
      <w:r w:rsidR="005077BC" w:rsidRPr="00393751">
        <w:rPr>
          <w:bCs/>
        </w:rPr>
        <w:t xml:space="preserve">Currently, UK paramedics administer </w:t>
      </w:r>
      <w:r w:rsidR="00D70158">
        <w:rPr>
          <w:bCs/>
        </w:rPr>
        <w:t xml:space="preserve">TXA </w:t>
      </w:r>
      <w:r w:rsidR="003F230F">
        <w:rPr>
          <w:bCs/>
        </w:rPr>
        <w:t xml:space="preserve">under a </w:t>
      </w:r>
      <w:r w:rsidR="00393751" w:rsidRPr="00921503">
        <w:rPr>
          <w:bCs/>
        </w:rPr>
        <w:t xml:space="preserve">PGD, </w:t>
      </w:r>
      <w:r w:rsidR="00AA411C">
        <w:rPr>
          <w:bCs/>
        </w:rPr>
        <w:t>which</w:t>
      </w:r>
      <w:r w:rsidR="00AA411C" w:rsidRPr="00AA411C">
        <w:rPr>
          <w:bCs/>
        </w:rPr>
        <w:t xml:space="preserve"> provide</w:t>
      </w:r>
      <w:r w:rsidR="00AA411C">
        <w:rPr>
          <w:bCs/>
        </w:rPr>
        <w:t>s</w:t>
      </w:r>
      <w:r w:rsidR="00AA411C" w:rsidRPr="00AA411C">
        <w:rPr>
          <w:bCs/>
        </w:rPr>
        <w:t xml:space="preserve"> a legal mechanism for</w:t>
      </w:r>
      <w:r w:rsidR="00E915D1">
        <w:rPr>
          <w:bCs/>
        </w:rPr>
        <w:t xml:space="preserve"> </w:t>
      </w:r>
      <w:r w:rsidR="00AA411C" w:rsidRPr="00AA411C">
        <w:rPr>
          <w:bCs/>
        </w:rPr>
        <w:t>administration</w:t>
      </w:r>
      <w:r w:rsidR="00C3150C">
        <w:rPr>
          <w:bCs/>
        </w:rPr>
        <w:t xml:space="preserve"> in circumstances where</w:t>
      </w:r>
      <w:r w:rsidR="00382725">
        <w:rPr>
          <w:bCs/>
        </w:rPr>
        <w:t xml:space="preserve"> </w:t>
      </w:r>
      <w:r w:rsidR="00E915D1">
        <w:rPr>
          <w:bCs/>
        </w:rPr>
        <w:t xml:space="preserve">a patient </w:t>
      </w:r>
      <w:r w:rsidR="00AA411C" w:rsidRPr="00AA411C">
        <w:rPr>
          <w:bCs/>
        </w:rPr>
        <w:t>meet</w:t>
      </w:r>
      <w:r w:rsidR="00E915D1">
        <w:rPr>
          <w:bCs/>
        </w:rPr>
        <w:t>s the</w:t>
      </w:r>
      <w:r w:rsidR="00AA411C">
        <w:rPr>
          <w:bCs/>
        </w:rPr>
        <w:t xml:space="preserve"> </w:t>
      </w:r>
      <w:r w:rsidR="00AA411C" w:rsidRPr="00AA411C">
        <w:rPr>
          <w:bCs/>
        </w:rPr>
        <w:t xml:space="preserve">pre-determined clinical </w:t>
      </w:r>
      <w:r w:rsidR="00AA411C" w:rsidRPr="000F0B8D">
        <w:rPr>
          <w:bCs/>
        </w:rPr>
        <w:t>inclusion criteria</w:t>
      </w:r>
      <w:r w:rsidR="00BC3DCC">
        <w:rPr>
          <w:bCs/>
        </w:rPr>
        <w:t>.</w:t>
      </w:r>
      <w:r w:rsidR="00754D98">
        <w:rPr>
          <w:bCs/>
        </w:rPr>
        <w:t>[2</w:t>
      </w:r>
      <w:r w:rsidR="000B5C3E">
        <w:rPr>
          <w:bCs/>
        </w:rPr>
        <w:t>0</w:t>
      </w:r>
      <w:r w:rsidR="00754D98">
        <w:rPr>
          <w:bCs/>
        </w:rPr>
        <w:t>]</w:t>
      </w:r>
      <w:r w:rsidR="00AA411C" w:rsidRPr="000F0B8D">
        <w:rPr>
          <w:bCs/>
        </w:rPr>
        <w:t xml:space="preserve"> </w:t>
      </w:r>
      <w:r w:rsidR="00C3150C">
        <w:rPr>
          <w:bCs/>
        </w:rPr>
        <w:t xml:space="preserve">In our study, paramedics </w:t>
      </w:r>
      <w:r w:rsidR="00382725">
        <w:rPr>
          <w:bCs/>
        </w:rPr>
        <w:t xml:space="preserve">were concerned that they may be </w:t>
      </w:r>
      <w:r w:rsidR="00382725" w:rsidRPr="00382725">
        <w:rPr>
          <w:bCs/>
        </w:rPr>
        <w:t>judged as having exceeded their legal privileges</w:t>
      </w:r>
      <w:r w:rsidR="00382725">
        <w:rPr>
          <w:bCs/>
        </w:rPr>
        <w:t xml:space="preserve"> if a patient did not clearly meet the pre-defined criteria</w:t>
      </w:r>
      <w:r w:rsidR="00C3150C">
        <w:rPr>
          <w:bCs/>
        </w:rPr>
        <w:t xml:space="preserve">, which resulted in reluctance </w:t>
      </w:r>
      <w:r w:rsidR="004A1A63" w:rsidRPr="000F0B8D">
        <w:rPr>
          <w:bCs/>
        </w:rPr>
        <w:t>to administer TXA</w:t>
      </w:r>
      <w:r w:rsidR="003445F3">
        <w:rPr>
          <w:bCs/>
        </w:rPr>
        <w:t xml:space="preserve"> and </w:t>
      </w:r>
      <w:r w:rsidR="00C3150C">
        <w:rPr>
          <w:bCs/>
        </w:rPr>
        <w:t>many</w:t>
      </w:r>
      <w:r w:rsidR="00BA4BE3" w:rsidRPr="000F0B8D">
        <w:rPr>
          <w:bCs/>
        </w:rPr>
        <w:t xml:space="preserve">  </w:t>
      </w:r>
      <w:r w:rsidR="00382725">
        <w:rPr>
          <w:bCs/>
        </w:rPr>
        <w:t xml:space="preserve">reported </w:t>
      </w:r>
      <w:r w:rsidR="00BA4BE3" w:rsidRPr="000F0B8D">
        <w:rPr>
          <w:bCs/>
        </w:rPr>
        <w:t>deferring this decision to senior colleagues or doctors, who were seen to have less restrictive guidelines surrounding TXA use</w:t>
      </w:r>
      <w:r w:rsidR="00D70158" w:rsidRPr="000F0B8D">
        <w:rPr>
          <w:bCs/>
        </w:rPr>
        <w:t xml:space="preserve">. </w:t>
      </w:r>
      <w:r w:rsidR="000F0B8D" w:rsidRPr="000F0B8D">
        <w:rPr>
          <w:bCs/>
        </w:rPr>
        <w:t xml:space="preserve">Similar attitudes towards PGDs were found in </w:t>
      </w:r>
      <w:r w:rsidR="00BD33A2" w:rsidRPr="000F0B8D">
        <w:rPr>
          <w:bCs/>
        </w:rPr>
        <w:t>a</w:t>
      </w:r>
      <w:r w:rsidR="00D70158" w:rsidRPr="000F0B8D">
        <w:rPr>
          <w:bCs/>
        </w:rPr>
        <w:t xml:space="preserve"> UK survey of specialist paramedics</w:t>
      </w:r>
      <w:r w:rsidR="000F0B8D" w:rsidRPr="000F0B8D">
        <w:rPr>
          <w:bCs/>
        </w:rPr>
        <w:t>,</w:t>
      </w:r>
      <w:r w:rsidR="00D70158" w:rsidRPr="000F0B8D">
        <w:rPr>
          <w:bCs/>
        </w:rPr>
        <w:t xml:space="preserve"> </w:t>
      </w:r>
      <w:r w:rsidR="000F0B8D" w:rsidRPr="000F0B8D">
        <w:rPr>
          <w:bCs/>
        </w:rPr>
        <w:t>where</w:t>
      </w:r>
      <w:r w:rsidR="00BD33A2" w:rsidRPr="000F0B8D">
        <w:rPr>
          <w:bCs/>
        </w:rPr>
        <w:t xml:space="preserve"> a </w:t>
      </w:r>
      <w:r w:rsidR="00BA4BE3" w:rsidRPr="000F0B8D">
        <w:rPr>
          <w:bCs/>
        </w:rPr>
        <w:t>si</w:t>
      </w:r>
      <w:r w:rsidR="00D70158" w:rsidRPr="000F0B8D">
        <w:rPr>
          <w:bCs/>
        </w:rPr>
        <w:t xml:space="preserve">gnificant minority of participants </w:t>
      </w:r>
      <w:r w:rsidR="00157F38">
        <w:rPr>
          <w:bCs/>
        </w:rPr>
        <w:t>reported</w:t>
      </w:r>
      <w:r w:rsidR="00157F38" w:rsidRPr="000F0B8D">
        <w:rPr>
          <w:bCs/>
        </w:rPr>
        <w:t xml:space="preserve"> </w:t>
      </w:r>
      <w:r w:rsidR="00BD33A2" w:rsidRPr="000F0B8D">
        <w:rPr>
          <w:bCs/>
        </w:rPr>
        <w:t>that</w:t>
      </w:r>
      <w:r w:rsidR="00D70158" w:rsidRPr="000F0B8D">
        <w:rPr>
          <w:bCs/>
        </w:rPr>
        <w:t xml:space="preserve"> PGDs </w:t>
      </w:r>
      <w:r w:rsidR="00BD33A2" w:rsidRPr="000F0B8D">
        <w:rPr>
          <w:bCs/>
        </w:rPr>
        <w:t>could</w:t>
      </w:r>
      <w:r w:rsidR="00D70158" w:rsidRPr="000F0B8D">
        <w:rPr>
          <w:bCs/>
        </w:rPr>
        <w:t xml:space="preserve"> be</w:t>
      </w:r>
      <w:r w:rsidR="00BA4BE3" w:rsidRPr="000F0B8D">
        <w:rPr>
          <w:bCs/>
        </w:rPr>
        <w:t xml:space="preserve"> </w:t>
      </w:r>
      <w:r w:rsidR="00D70158" w:rsidRPr="000F0B8D">
        <w:rPr>
          <w:bCs/>
        </w:rPr>
        <w:t>restrictive and</w:t>
      </w:r>
      <w:r w:rsidR="00BD33A2" w:rsidRPr="000F0B8D">
        <w:rPr>
          <w:bCs/>
        </w:rPr>
        <w:t xml:space="preserve"> </w:t>
      </w:r>
      <w:r w:rsidR="00D70158" w:rsidRPr="000F0B8D">
        <w:rPr>
          <w:bCs/>
        </w:rPr>
        <w:t xml:space="preserve">did not always allow them to supply the appropriate </w:t>
      </w:r>
      <w:proofErr w:type="gramStart"/>
      <w:r w:rsidR="00D70158" w:rsidRPr="000F0B8D">
        <w:rPr>
          <w:bCs/>
        </w:rPr>
        <w:t>medication</w:t>
      </w:r>
      <w:r w:rsidR="000F0B8D">
        <w:rPr>
          <w:bCs/>
        </w:rPr>
        <w:t>.</w:t>
      </w:r>
      <w:r w:rsidR="00754D98">
        <w:rPr>
          <w:bCs/>
        </w:rPr>
        <w:t>[</w:t>
      </w:r>
      <w:proofErr w:type="gramEnd"/>
      <w:r w:rsidR="00754D98">
        <w:rPr>
          <w:bCs/>
        </w:rPr>
        <w:t>2</w:t>
      </w:r>
      <w:r w:rsidR="000B5C3E">
        <w:rPr>
          <w:bCs/>
        </w:rPr>
        <w:t>0</w:t>
      </w:r>
      <w:r w:rsidR="00754D98">
        <w:rPr>
          <w:bCs/>
        </w:rPr>
        <w:t>]</w:t>
      </w:r>
    </w:p>
    <w:p w14:paraId="09986996" w14:textId="7A58948D" w:rsidR="00234788" w:rsidRDefault="00BA4BE3" w:rsidP="005B499C">
      <w:pPr>
        <w:spacing w:line="480" w:lineRule="auto"/>
        <w:rPr>
          <w:color w:val="FF0000"/>
        </w:rPr>
      </w:pPr>
      <w:r>
        <w:t>While a</w:t>
      </w:r>
      <w:r w:rsidR="004A1A63" w:rsidRPr="004A1A63">
        <w:t xml:space="preserve"> </w:t>
      </w:r>
      <w:r w:rsidR="00D74F0D" w:rsidRPr="004A1A63">
        <w:t>major facilitator</w:t>
      </w:r>
      <w:r w:rsidR="004A1A63" w:rsidRPr="004A1A63">
        <w:t xml:space="preserve"> to TXA administration</w:t>
      </w:r>
      <w:r w:rsidR="00D74F0D" w:rsidRPr="004A1A63">
        <w:t xml:space="preserve"> was </w:t>
      </w:r>
      <w:r w:rsidR="004A1A63" w:rsidRPr="004A1A63">
        <w:t>participants’</w:t>
      </w:r>
      <w:r w:rsidR="004A1A63">
        <w:t xml:space="preserve"> </w:t>
      </w:r>
      <w:r w:rsidR="004A1A63" w:rsidRPr="004A1A63">
        <w:t xml:space="preserve">beliefs that </w:t>
      </w:r>
      <w:r w:rsidR="00D74F0D" w:rsidRPr="004A1A63">
        <w:t>the benefits</w:t>
      </w:r>
      <w:r w:rsidR="004A1A63" w:rsidRPr="004A1A63">
        <w:t xml:space="preserve"> of giving TXA</w:t>
      </w:r>
      <w:r w:rsidR="00D74F0D" w:rsidRPr="004A1A63">
        <w:t xml:space="preserve"> </w:t>
      </w:r>
      <w:r w:rsidR="004A1A63" w:rsidRPr="004A1A63">
        <w:t xml:space="preserve">to a patient who needed it </w:t>
      </w:r>
      <w:r w:rsidR="00D74F0D" w:rsidRPr="004A1A63">
        <w:t xml:space="preserve">outweighed the </w:t>
      </w:r>
      <w:r w:rsidR="004A1A63" w:rsidRPr="004A1A63">
        <w:t xml:space="preserve">potential </w:t>
      </w:r>
      <w:r w:rsidR="00D74F0D" w:rsidRPr="004A1A63">
        <w:t xml:space="preserve">risks </w:t>
      </w:r>
      <w:r w:rsidR="004A1A63" w:rsidRPr="004A1A63">
        <w:t>of administering it to someone who did not</w:t>
      </w:r>
      <w:r>
        <w:t>, m</w:t>
      </w:r>
      <w:r w:rsidR="004A1A63">
        <w:t xml:space="preserve">any </w:t>
      </w:r>
      <w:r w:rsidR="004A1A63" w:rsidRPr="004A1A63">
        <w:t xml:space="preserve">paramedics </w:t>
      </w:r>
      <w:r w:rsidR="004A1A63">
        <w:t xml:space="preserve">reported </w:t>
      </w:r>
      <w:r w:rsidR="003F230F">
        <w:t>being</w:t>
      </w:r>
      <w:r w:rsidR="004A1A63">
        <w:t xml:space="preserve"> significantly</w:t>
      </w:r>
      <w:r w:rsidR="004A1A63" w:rsidRPr="004A1A63">
        <w:t xml:space="preserve"> </w:t>
      </w:r>
      <w:r w:rsidR="004A1A63">
        <w:t xml:space="preserve">risk-averse when it came to administering </w:t>
      </w:r>
      <w:r w:rsidR="004A1A63">
        <w:lastRenderedPageBreak/>
        <w:t xml:space="preserve">TXA, </w:t>
      </w:r>
      <w:r w:rsidR="004A1A63" w:rsidRPr="004A1A63">
        <w:t>suggesting a lack of clarity and empowerment surrounding TXA guideline</w:t>
      </w:r>
      <w:r w:rsidR="004A1A63">
        <w:t xml:space="preserve">s, </w:t>
      </w:r>
      <w:r w:rsidR="004A1A63" w:rsidRPr="004A1A63">
        <w:t>training</w:t>
      </w:r>
      <w:r w:rsidR="004A1A63">
        <w:t>, and support</w:t>
      </w:r>
      <w:r w:rsidR="004A1A63" w:rsidRPr="004A1A63">
        <w:t xml:space="preserve">. </w:t>
      </w:r>
    </w:p>
    <w:p w14:paraId="641D07A5" w14:textId="386A9B83" w:rsidR="00DB5F19" w:rsidRPr="00C94447" w:rsidRDefault="00DB5F19" w:rsidP="005B499C">
      <w:pPr>
        <w:spacing w:line="480" w:lineRule="auto"/>
      </w:pPr>
      <w:r w:rsidRPr="00C94447">
        <w:t xml:space="preserve">Thirdly, time and staffing restrictions were seen as a key barrier to TXA administration by paramedics; participants </w:t>
      </w:r>
      <w:r w:rsidR="003445F3">
        <w:t>reported</w:t>
      </w:r>
      <w:r w:rsidR="003445F3" w:rsidRPr="00C94447">
        <w:t xml:space="preserve"> </w:t>
      </w:r>
      <w:r w:rsidRPr="00C94447">
        <w:t>that administration recommendations (an intravenous</w:t>
      </w:r>
      <w:r w:rsidR="00412534">
        <w:t xml:space="preserve"> (IV)</w:t>
      </w:r>
      <w:r w:rsidRPr="00C94447">
        <w:t xml:space="preserve"> </w:t>
      </w:r>
      <w:r w:rsidR="00740EA7">
        <w:t>injection delivered</w:t>
      </w:r>
      <w:r w:rsidRPr="00C94447">
        <w:t xml:space="preserve"> over 10 minutes) limited their ability to perform other necessary interventions, and could delay transfer to hospital. Similar issues are </w:t>
      </w:r>
      <w:r w:rsidR="003F230F">
        <w:t>discussed</w:t>
      </w:r>
      <w:r w:rsidRPr="00C94447">
        <w:t xml:space="preserve"> in the </w:t>
      </w:r>
      <w:r w:rsidR="00360778" w:rsidRPr="00C94447">
        <w:t>military literature, w</w:t>
      </w:r>
      <w:r w:rsidR="003F230F">
        <w:t xml:space="preserve">ith the administration of </w:t>
      </w:r>
      <w:r w:rsidR="00360778" w:rsidRPr="00C94447">
        <w:t xml:space="preserve">TXA </w:t>
      </w:r>
      <w:r w:rsidR="003F230F">
        <w:t xml:space="preserve">being seen as </w:t>
      </w:r>
      <w:r w:rsidR="00360778" w:rsidRPr="00C94447">
        <w:t>inc</w:t>
      </w:r>
      <w:r w:rsidRPr="00C94447">
        <w:t xml:space="preserve">ompatible with a tactical </w:t>
      </w:r>
      <w:proofErr w:type="gramStart"/>
      <w:r w:rsidRPr="00C94447">
        <w:t>situation</w:t>
      </w:r>
      <w:r w:rsidR="00360778" w:rsidRPr="00C94447">
        <w:t>.</w:t>
      </w:r>
      <w:r w:rsidR="00754D98">
        <w:t>[</w:t>
      </w:r>
      <w:proofErr w:type="gramEnd"/>
      <w:r w:rsidR="00754D98">
        <w:t>2</w:t>
      </w:r>
      <w:r w:rsidR="000B5C3E">
        <w:t>1</w:t>
      </w:r>
      <w:r w:rsidR="00754D98">
        <w:t>]</w:t>
      </w:r>
      <w:r w:rsidRPr="00C94447">
        <w:t xml:space="preserve"> </w:t>
      </w:r>
      <w:r w:rsidR="00A36F99">
        <w:t xml:space="preserve">The </w:t>
      </w:r>
      <w:r w:rsidR="00360778" w:rsidRPr="00C94447">
        <w:t xml:space="preserve"> paramedics in our study</w:t>
      </w:r>
      <w:r w:rsidR="00A36F99">
        <w:t xml:space="preserve"> suggested a solution similar to that of the authors of the military study, which is</w:t>
      </w:r>
      <w:r w:rsidR="00360778" w:rsidRPr="00C94447">
        <w:t xml:space="preserve"> exploring </w:t>
      </w:r>
      <w:r w:rsidRPr="00C94447">
        <w:t>administration via slow IV push</w:t>
      </w:r>
      <w:r w:rsidR="001304AB" w:rsidRPr="00C94447">
        <w:t>, to improve administration rates</w:t>
      </w:r>
      <w:r w:rsidRPr="00C94447">
        <w:t>.</w:t>
      </w:r>
      <w:r w:rsidR="00754D98">
        <w:t>[2</w:t>
      </w:r>
      <w:r w:rsidR="000B5C3E">
        <w:t>1</w:t>
      </w:r>
      <w:r w:rsidR="00754D98">
        <w:t>]</w:t>
      </w:r>
      <w:r w:rsidRPr="00C94447">
        <w:t xml:space="preserve"> </w:t>
      </w:r>
    </w:p>
    <w:p w14:paraId="0E555650" w14:textId="6D74A7C6" w:rsidR="002077B9" w:rsidRPr="00911FAC" w:rsidRDefault="00FE2171">
      <w:pPr>
        <w:spacing w:line="480" w:lineRule="auto"/>
      </w:pPr>
      <w:r>
        <w:t>P</w:t>
      </w:r>
      <w:r w:rsidR="00911FAC" w:rsidRPr="00911FAC">
        <w:t xml:space="preserve">aramedics in the UK </w:t>
      </w:r>
      <w:r w:rsidR="00234788" w:rsidRPr="00911FAC">
        <w:t xml:space="preserve">are expected to minimise on-scene time </w:t>
      </w:r>
      <w:r w:rsidR="006134A6">
        <w:t xml:space="preserve">and TXA administration is contraindicated if other critical interventions leave insufficient time to </w:t>
      </w:r>
      <w:r w:rsidR="006134A6" w:rsidRPr="006134A6">
        <w:t xml:space="preserve">do </w:t>
      </w:r>
      <w:proofErr w:type="gramStart"/>
      <w:r w:rsidR="006134A6" w:rsidRPr="006134A6">
        <w:t>so.</w:t>
      </w:r>
      <w:r w:rsidR="00754D98">
        <w:t>[</w:t>
      </w:r>
      <w:proofErr w:type="gramEnd"/>
      <w:r w:rsidR="00754D98">
        <w:t>2</w:t>
      </w:r>
      <w:r w:rsidR="000B5C3E">
        <w:t>2</w:t>
      </w:r>
      <w:r w:rsidR="00754D98">
        <w:t>]</w:t>
      </w:r>
      <w:r w:rsidR="006134A6" w:rsidRPr="006134A6">
        <w:t xml:space="preserve"> I</w:t>
      </w:r>
      <w:r w:rsidR="00911FAC" w:rsidRPr="006134A6">
        <w:t xml:space="preserve">t is therefore </w:t>
      </w:r>
      <w:r w:rsidR="00911FAC" w:rsidRPr="00911FAC">
        <w:t xml:space="preserve">unsurprising that many of the paramedics in this study reported concerns regarding potential delays as a result of TXA administration, and </w:t>
      </w:r>
      <w:r w:rsidR="00157F38">
        <w:t>noted</w:t>
      </w:r>
      <w:r w:rsidR="00157F38" w:rsidRPr="00911FAC">
        <w:t xml:space="preserve"> </w:t>
      </w:r>
      <w:r w:rsidR="00911FAC" w:rsidRPr="00911FAC">
        <w:t xml:space="preserve">that transfer to hospital was sometimes prioritised </w:t>
      </w:r>
      <w:r w:rsidR="002F5785">
        <w:t>over</w:t>
      </w:r>
      <w:r w:rsidR="00911FAC" w:rsidRPr="00911FAC">
        <w:t xml:space="preserve"> this intervention.</w:t>
      </w:r>
      <w:r w:rsidR="00586A92" w:rsidRPr="00586A92">
        <w:t xml:space="preserve"> </w:t>
      </w:r>
      <w:r w:rsidR="00A36F99">
        <w:t xml:space="preserve">Similar concerns have been found </w:t>
      </w:r>
      <w:proofErr w:type="gramStart"/>
      <w:r w:rsidR="00A36F99">
        <w:t>previously</w:t>
      </w:r>
      <w:r w:rsidR="00A36F99" w:rsidRPr="00586A92">
        <w:t>.</w:t>
      </w:r>
      <w:r w:rsidR="00A36F99">
        <w:t>[</w:t>
      </w:r>
      <w:proofErr w:type="gramEnd"/>
      <w:r w:rsidR="000B5C3E">
        <w:t>19</w:t>
      </w:r>
      <w:r w:rsidR="00A36F99">
        <w:t>]</w:t>
      </w:r>
      <w:r w:rsidR="00A36F99" w:rsidRPr="00586A92">
        <w:t xml:space="preserve"> </w:t>
      </w:r>
      <w:r w:rsidR="00B53B99">
        <w:t>It may help for paramedics to be made aware that</w:t>
      </w:r>
      <w:r w:rsidR="00924954">
        <w:t xml:space="preserve"> t</w:t>
      </w:r>
      <w:r w:rsidR="00924954" w:rsidRPr="002077B9">
        <w:t xml:space="preserve">he median time from emergency call to hospital arrival in trauma patients conveyed directly to a Major Trauma Centre </w:t>
      </w:r>
      <w:r w:rsidR="00924954">
        <w:t xml:space="preserve">in England </w:t>
      </w:r>
      <w:r w:rsidR="00924954" w:rsidRPr="002077B9">
        <w:t>is 1.4 hours</w:t>
      </w:r>
      <w:r w:rsidR="00924954">
        <w:t>,[2</w:t>
      </w:r>
      <w:r w:rsidR="000B5C3E">
        <w:t>3</w:t>
      </w:r>
      <w:r w:rsidR="00924954">
        <w:t xml:space="preserve">] </w:t>
      </w:r>
      <w:r w:rsidR="003445F3">
        <w:t>leaving</w:t>
      </w:r>
      <w:r w:rsidR="00924954" w:rsidRPr="002077B9">
        <w:t xml:space="preserve"> ample opportunity to deliver TXA in the pre-hospital phase of care</w:t>
      </w:r>
      <w:r w:rsidR="003445F3">
        <w:t>.</w:t>
      </w:r>
    </w:p>
    <w:p w14:paraId="565307B1" w14:textId="6BAF01B3" w:rsidR="009B58D9" w:rsidRDefault="00963B5D" w:rsidP="005B499C">
      <w:pPr>
        <w:spacing w:line="480" w:lineRule="auto"/>
      </w:pPr>
      <w:r w:rsidRPr="00A41316">
        <w:t xml:space="preserve">The </w:t>
      </w:r>
      <w:r w:rsidR="00DB5F19">
        <w:t>fourth</w:t>
      </w:r>
      <w:r w:rsidRPr="00A41316">
        <w:t xml:space="preserve"> </w:t>
      </w:r>
      <w:r w:rsidR="00916317">
        <w:t xml:space="preserve">key </w:t>
      </w:r>
      <w:r w:rsidRPr="00A41316">
        <w:t>barrier to TXA administration was the perceived difficulty in identifying whether or not trauma patients were at risk of bleeding</w:t>
      </w:r>
      <w:r w:rsidR="00B73FB3">
        <w:t>; paramedics in our study</w:t>
      </w:r>
      <w:r w:rsidR="00A41316">
        <w:t xml:space="preserve"> </w:t>
      </w:r>
      <w:r w:rsidR="00157F38">
        <w:t xml:space="preserve">reported </w:t>
      </w:r>
      <w:r w:rsidR="00A41316">
        <w:t>that TXA was often not administered due to uncertainties over the patients’ bleeding risk</w:t>
      </w:r>
      <w:r w:rsidRPr="00A41316">
        <w:t>.</w:t>
      </w:r>
      <w:r w:rsidR="001802F6" w:rsidRPr="009B58D9">
        <w:t xml:space="preserve"> </w:t>
      </w:r>
      <w:r w:rsidR="001802F6">
        <w:rPr>
          <w:bCs/>
        </w:rPr>
        <w:t>R</w:t>
      </w:r>
      <w:r w:rsidR="00B73FB3">
        <w:rPr>
          <w:bCs/>
        </w:rPr>
        <w:t>ecently published</w:t>
      </w:r>
      <w:r w:rsidR="0071756F" w:rsidRPr="00A41316">
        <w:rPr>
          <w:bCs/>
        </w:rPr>
        <w:t xml:space="preserve"> UK data suggest that patients who receiv</w:t>
      </w:r>
      <w:r w:rsidR="00B73FB3">
        <w:rPr>
          <w:bCs/>
        </w:rPr>
        <w:t>ed</w:t>
      </w:r>
      <w:r w:rsidR="0071756F" w:rsidRPr="00A41316">
        <w:rPr>
          <w:bCs/>
        </w:rPr>
        <w:t xml:space="preserve"> TXA from paramedics </w:t>
      </w:r>
      <w:r w:rsidR="00B73FB3">
        <w:rPr>
          <w:bCs/>
        </w:rPr>
        <w:t>ha</w:t>
      </w:r>
      <w:r w:rsidR="00190D1D">
        <w:rPr>
          <w:bCs/>
        </w:rPr>
        <w:t>ve</w:t>
      </w:r>
      <w:r w:rsidR="0071756F" w:rsidRPr="00A41316">
        <w:rPr>
          <w:bCs/>
        </w:rPr>
        <w:t xml:space="preserve"> physiological observations (such as pulse and blood pressure) more</w:t>
      </w:r>
      <w:r w:rsidRPr="00A41316">
        <w:rPr>
          <w:bCs/>
        </w:rPr>
        <w:t xml:space="preserve"> obviously</w:t>
      </w:r>
      <w:r w:rsidR="0071756F" w:rsidRPr="00A41316">
        <w:rPr>
          <w:bCs/>
        </w:rPr>
        <w:t xml:space="preserve"> suggestive of bleeding.</w:t>
      </w:r>
      <w:r w:rsidR="00754D98">
        <w:rPr>
          <w:bCs/>
        </w:rPr>
        <w:t>[2</w:t>
      </w:r>
      <w:r w:rsidR="000B5C3E">
        <w:rPr>
          <w:bCs/>
        </w:rPr>
        <w:t>4</w:t>
      </w:r>
      <w:r w:rsidR="00754D98">
        <w:rPr>
          <w:bCs/>
        </w:rPr>
        <w:t>]</w:t>
      </w:r>
      <w:r w:rsidR="00B86565">
        <w:rPr>
          <w:rFonts w:ascii="Calibri" w:hAnsi="Calibri" w:cs="Calibri"/>
          <w:vertAlign w:val="superscript"/>
          <w:lang w:val="en-US"/>
        </w:rPr>
        <w:t xml:space="preserve"> </w:t>
      </w:r>
      <w:r w:rsidR="00947A38">
        <w:rPr>
          <w:bCs/>
        </w:rPr>
        <w:t>Studies</w:t>
      </w:r>
      <w:r w:rsidR="00CD57A0">
        <w:rPr>
          <w:bCs/>
        </w:rPr>
        <w:t xml:space="preserve"> on</w:t>
      </w:r>
      <w:r w:rsidR="00DE24C8">
        <w:rPr>
          <w:bCs/>
        </w:rPr>
        <w:t xml:space="preserve"> TXA use in </w:t>
      </w:r>
      <w:r w:rsidR="00DE24C8" w:rsidRPr="00DE24C8">
        <w:rPr>
          <w:bCs/>
        </w:rPr>
        <w:t>the pre-hospital military setting in</w:t>
      </w:r>
      <w:r w:rsidR="00CD57A0">
        <w:rPr>
          <w:bCs/>
        </w:rPr>
        <w:t xml:space="preserve"> both the UK and</w:t>
      </w:r>
      <w:r w:rsidR="00DE24C8" w:rsidRPr="00DE24C8">
        <w:rPr>
          <w:bCs/>
        </w:rPr>
        <w:t xml:space="preserve"> the United States</w:t>
      </w:r>
      <w:r w:rsidR="00947A38">
        <w:rPr>
          <w:bCs/>
        </w:rPr>
        <w:t xml:space="preserve"> </w:t>
      </w:r>
      <w:r w:rsidR="00A36F99">
        <w:rPr>
          <w:bCs/>
        </w:rPr>
        <w:t>also found that those</w:t>
      </w:r>
      <w:r w:rsidR="00DE24C8" w:rsidRPr="00DE24C8">
        <w:rPr>
          <w:bCs/>
        </w:rPr>
        <w:t xml:space="preserve"> who received TXA </w:t>
      </w:r>
      <w:r w:rsidR="00A36F99">
        <w:rPr>
          <w:bCs/>
        </w:rPr>
        <w:t>had</w:t>
      </w:r>
      <w:r w:rsidR="00DE24C8" w:rsidRPr="00DE24C8">
        <w:rPr>
          <w:bCs/>
        </w:rPr>
        <w:t xml:space="preserve"> more obvious injuries.</w:t>
      </w:r>
      <w:r w:rsidR="00754D98">
        <w:rPr>
          <w:bCs/>
        </w:rPr>
        <w:t>[2</w:t>
      </w:r>
      <w:r w:rsidR="000B5C3E">
        <w:rPr>
          <w:bCs/>
        </w:rPr>
        <w:t>1</w:t>
      </w:r>
      <w:r w:rsidR="00754D98">
        <w:rPr>
          <w:bCs/>
        </w:rPr>
        <w:t>]</w:t>
      </w:r>
      <w:r w:rsidR="00DE24C8" w:rsidRPr="00DE24C8">
        <w:rPr>
          <w:bCs/>
        </w:rPr>
        <w:t xml:space="preserve"> </w:t>
      </w:r>
      <w:r w:rsidR="001802F6" w:rsidRPr="009B58D9">
        <w:t xml:space="preserve">One of the ideas put forward by participants was the possibility of an assistive ‘tool’ to help them identify </w:t>
      </w:r>
      <w:r w:rsidR="001802F6" w:rsidRPr="009519A5">
        <w:t>which trauma patients are at risk of bleeding</w:t>
      </w:r>
      <w:r w:rsidR="001802F6">
        <w:t xml:space="preserve">. However, it </w:t>
      </w:r>
      <w:r w:rsidR="001802F6">
        <w:lastRenderedPageBreak/>
        <w:t xml:space="preserve">may also help to provide paramedics education that </w:t>
      </w:r>
      <w:r w:rsidR="0071756F" w:rsidRPr="00DE24C8">
        <w:rPr>
          <w:bCs/>
        </w:rPr>
        <w:t xml:space="preserve">TXA can be safely administered to a wide spectrum of patients with traumatic bleeding and </w:t>
      </w:r>
      <w:r w:rsidR="001802F6">
        <w:rPr>
          <w:bCs/>
        </w:rPr>
        <w:t xml:space="preserve">does not need to </w:t>
      </w:r>
      <w:r w:rsidR="0071756F" w:rsidRPr="00DE24C8">
        <w:rPr>
          <w:bCs/>
        </w:rPr>
        <w:t xml:space="preserve">be restricted to the most severely </w:t>
      </w:r>
      <w:proofErr w:type="gramStart"/>
      <w:r w:rsidR="0071756F" w:rsidRPr="00DE24C8">
        <w:rPr>
          <w:bCs/>
        </w:rPr>
        <w:t>injured.</w:t>
      </w:r>
      <w:r w:rsidR="00754D98">
        <w:rPr>
          <w:bCs/>
        </w:rPr>
        <w:t>[</w:t>
      </w:r>
      <w:proofErr w:type="gramEnd"/>
      <w:r w:rsidR="00754D98">
        <w:rPr>
          <w:bCs/>
        </w:rPr>
        <w:t>6]</w:t>
      </w:r>
      <w:r w:rsidR="00A41316" w:rsidRPr="00DE24C8">
        <w:rPr>
          <w:bCs/>
        </w:rPr>
        <w:t xml:space="preserve"> </w:t>
      </w:r>
    </w:p>
    <w:p w14:paraId="096EA221" w14:textId="165172AE" w:rsidR="00FF7867" w:rsidRPr="00765937" w:rsidRDefault="00FF7867" w:rsidP="005B499C">
      <w:pPr>
        <w:spacing w:after="0" w:line="480" w:lineRule="auto"/>
      </w:pPr>
      <w:r w:rsidRPr="00765937">
        <w:t>Study limitations, strengths and future directions</w:t>
      </w:r>
    </w:p>
    <w:p w14:paraId="48CE7C5D" w14:textId="7655FE58" w:rsidR="00CD57A0" w:rsidRPr="00CD57A0" w:rsidRDefault="00FF7867" w:rsidP="005B499C">
      <w:pPr>
        <w:spacing w:line="480" w:lineRule="auto"/>
      </w:pPr>
      <w:r w:rsidRPr="00CD57A0">
        <w:t xml:space="preserve">Interview data were coded using the TDF approach after inductive thematic analysis had been completed. </w:t>
      </w:r>
      <w:r w:rsidR="00F5243A">
        <w:t>However, the TDF was not used to design the interview topic guide, as is usually recommended for this approach. This was because the framework was adopted after data had been collected. Consequently, there may have been missed opportunities to prompt paramedics to</w:t>
      </w:r>
      <w:r w:rsidR="000A7147">
        <w:t xml:space="preserve"> </w:t>
      </w:r>
      <w:r w:rsidRPr="00CD57A0">
        <w:t>reflect on barriers that did not spontaneously come to mind</w:t>
      </w:r>
      <w:r w:rsidR="00CD57A0" w:rsidRPr="00CD57A0">
        <w:t>.</w:t>
      </w:r>
    </w:p>
    <w:p w14:paraId="0FFC0ECC" w14:textId="38994741" w:rsidR="00FF7867" w:rsidRPr="00CD57A0" w:rsidRDefault="00190D1D" w:rsidP="005B499C">
      <w:pPr>
        <w:spacing w:line="480" w:lineRule="auto"/>
      </w:pPr>
      <w:r>
        <w:t>A</w:t>
      </w:r>
      <w:r w:rsidR="00CD57A0" w:rsidRPr="00CD57A0">
        <w:t>ll p</w:t>
      </w:r>
      <w:r w:rsidR="00B73FB3">
        <w:t>articipants</w:t>
      </w:r>
      <w:r w:rsidR="00CD57A0" w:rsidRPr="00CD57A0">
        <w:t xml:space="preserve"> were from a single </w:t>
      </w:r>
      <w:r>
        <w:t>EMS provider organisation</w:t>
      </w:r>
      <w:r w:rsidR="00CD57A0" w:rsidRPr="00CD57A0">
        <w:t xml:space="preserve">, </w:t>
      </w:r>
      <w:r w:rsidR="001802F6">
        <w:t>whose</w:t>
      </w:r>
      <w:r w:rsidR="00CD57A0" w:rsidRPr="00CD57A0">
        <w:t xml:space="preserve"> culture </w:t>
      </w:r>
      <w:r>
        <w:t>and practices</w:t>
      </w:r>
      <w:r w:rsidR="000E5C1C">
        <w:t xml:space="preserve"> </w:t>
      </w:r>
      <w:r w:rsidR="001802F6">
        <w:t>may differ from</w:t>
      </w:r>
      <w:r>
        <w:t xml:space="preserve"> other EMS providers in the UK and internationally. </w:t>
      </w:r>
      <w:r w:rsidR="00CD57A0" w:rsidRPr="00CD57A0">
        <w:t>This is especially important s</w:t>
      </w:r>
      <w:r>
        <w:t>ince</w:t>
      </w:r>
      <w:r w:rsidR="00CD57A0" w:rsidRPr="00CD57A0">
        <w:t xml:space="preserve"> </w:t>
      </w:r>
      <w:r>
        <w:t>SWASFT was a p</w:t>
      </w:r>
      <w:r w:rsidR="00CD57A0" w:rsidRPr="00CD57A0">
        <w:t>ioneer in UK pre-hospital TXA use</w:t>
      </w:r>
      <w:r w:rsidR="00ED7CB3">
        <w:t>, and so paramedics from this ambulance service may hold more positive views towards TXA administration than those from other Trusts</w:t>
      </w:r>
      <w:r w:rsidR="00CD57A0" w:rsidRPr="00CD57A0">
        <w:t>.</w:t>
      </w:r>
    </w:p>
    <w:p w14:paraId="3018C7B2" w14:textId="77777777" w:rsidR="000E5C1C" w:rsidRDefault="001802F6" w:rsidP="000E5C1C">
      <w:pPr>
        <w:spacing w:after="0" w:line="480" w:lineRule="auto"/>
        <w:rPr>
          <w:b/>
          <w:bCs/>
        </w:rPr>
      </w:pPr>
      <w:r w:rsidRPr="000E5C1C">
        <w:rPr>
          <w:b/>
          <w:bCs/>
        </w:rPr>
        <w:t>Implications</w:t>
      </w:r>
    </w:p>
    <w:p w14:paraId="29A6D6F6" w14:textId="6EBA8324" w:rsidR="00412534" w:rsidRPr="00217D68" w:rsidRDefault="00EE363E" w:rsidP="005B499C">
      <w:pPr>
        <w:spacing w:line="480" w:lineRule="auto"/>
        <w:rPr>
          <w:rFonts w:cstheme="minorHAnsi"/>
        </w:rPr>
      </w:pPr>
      <w:r>
        <w:rPr>
          <w:rFonts w:cstheme="minorHAnsi"/>
        </w:rPr>
        <w:t xml:space="preserve">Our findings suggest </w:t>
      </w:r>
      <w:r w:rsidR="001802F6">
        <w:rPr>
          <w:rFonts w:cstheme="minorHAnsi"/>
        </w:rPr>
        <w:t xml:space="preserve">several </w:t>
      </w:r>
      <w:r w:rsidR="00217D68">
        <w:rPr>
          <w:rFonts w:cstheme="minorHAnsi"/>
        </w:rPr>
        <w:t>potential facilitators to</w:t>
      </w:r>
      <w:r w:rsidR="000E5C1C">
        <w:rPr>
          <w:rFonts w:cstheme="minorHAnsi"/>
        </w:rPr>
        <w:t xml:space="preserve"> TXA</w:t>
      </w:r>
      <w:r w:rsidR="00217D68">
        <w:rPr>
          <w:rFonts w:cstheme="minorHAnsi"/>
        </w:rPr>
        <w:t xml:space="preserve"> administration, including</w:t>
      </w:r>
      <w:r w:rsidR="00412534" w:rsidRPr="00C94447">
        <w:t xml:space="preserve"> </w:t>
      </w:r>
      <w:r w:rsidR="00412534">
        <w:t>different administration routes</w:t>
      </w:r>
      <w:r>
        <w:t>, further training on the benefits of TXA,</w:t>
      </w:r>
      <w:r w:rsidR="00412534">
        <w:t xml:space="preserve"> an</w:t>
      </w:r>
      <w:r>
        <w:t>d an</w:t>
      </w:r>
      <w:r w:rsidR="00412534">
        <w:t xml:space="preserve"> evidence-based tool to identify </w:t>
      </w:r>
      <w:r w:rsidR="00217D68">
        <w:t>patients who might benefit from TXA</w:t>
      </w:r>
      <w:r w:rsidR="009B58D9" w:rsidRPr="009B58D9">
        <w:rPr>
          <w:rFonts w:cstheme="minorHAnsi"/>
        </w:rPr>
        <w:t xml:space="preserve">. </w:t>
      </w:r>
      <w:r w:rsidR="00D71582">
        <w:rPr>
          <w:rFonts w:cstheme="minorHAnsi"/>
        </w:rPr>
        <w:t>This tool, and associated training,</w:t>
      </w:r>
      <w:r w:rsidR="009B58D9" w:rsidRPr="009B58D9">
        <w:rPr>
          <w:rFonts w:cstheme="minorHAnsi"/>
        </w:rPr>
        <w:t xml:space="preserve"> could</w:t>
      </w:r>
      <w:r w:rsidR="00D71582">
        <w:rPr>
          <w:rFonts w:cstheme="minorHAnsi"/>
        </w:rPr>
        <w:t xml:space="preserve"> raise awareness of the importance of early TXA administration, and</w:t>
      </w:r>
      <w:r w:rsidR="009B58D9" w:rsidRPr="009B58D9">
        <w:rPr>
          <w:rFonts w:cstheme="minorHAnsi"/>
        </w:rPr>
        <w:t xml:space="preserve"> </w:t>
      </w:r>
      <w:r w:rsidR="00D71582">
        <w:rPr>
          <w:rFonts w:cstheme="minorHAnsi"/>
        </w:rPr>
        <w:t xml:space="preserve">provide paramedics with </w:t>
      </w:r>
      <w:r w:rsidR="009B58D9" w:rsidRPr="009B58D9">
        <w:rPr>
          <w:rFonts w:cstheme="minorHAnsi"/>
        </w:rPr>
        <w:t xml:space="preserve">objective support for decision-making and a potential </w:t>
      </w:r>
      <w:r w:rsidR="00D71582">
        <w:rPr>
          <w:rFonts w:cstheme="minorHAnsi"/>
        </w:rPr>
        <w:t>‘</w:t>
      </w:r>
      <w:r w:rsidR="009B58D9" w:rsidRPr="009B58D9">
        <w:rPr>
          <w:rFonts w:cstheme="minorHAnsi"/>
        </w:rPr>
        <w:t>permission to administer</w:t>
      </w:r>
      <w:r w:rsidR="00D71582">
        <w:rPr>
          <w:rFonts w:cstheme="minorHAnsi"/>
        </w:rPr>
        <w:t>’</w:t>
      </w:r>
      <w:r w:rsidR="009B58D9" w:rsidRPr="009B58D9">
        <w:rPr>
          <w:rFonts w:cstheme="minorHAnsi"/>
        </w:rPr>
        <w:t>, therefore negating concerns regarding the PGD and Trust policy.</w:t>
      </w:r>
      <w:r w:rsidR="009B58D9">
        <w:rPr>
          <w:rFonts w:cstheme="minorHAnsi"/>
        </w:rPr>
        <w:t xml:space="preserve"> </w:t>
      </w:r>
      <w:bookmarkStart w:id="3" w:name="_GoBack"/>
      <w:bookmarkEnd w:id="3"/>
    </w:p>
    <w:p w14:paraId="1FFB3C99" w14:textId="31A88945" w:rsidR="00FC4D6E" w:rsidRPr="000E154B" w:rsidRDefault="006406CE" w:rsidP="005B499C">
      <w:pPr>
        <w:spacing w:line="480" w:lineRule="auto"/>
        <w:rPr>
          <w:b/>
          <w:sz w:val="24"/>
        </w:rPr>
      </w:pPr>
      <w:r w:rsidRPr="000E154B">
        <w:rPr>
          <w:b/>
          <w:sz w:val="24"/>
        </w:rPr>
        <w:t>CONCLUSIONS</w:t>
      </w:r>
    </w:p>
    <w:p w14:paraId="04506CE9" w14:textId="7B53E94D" w:rsidR="00FC4D6E" w:rsidRPr="00947A38" w:rsidRDefault="0045718D" w:rsidP="005B499C">
      <w:pPr>
        <w:spacing w:line="480" w:lineRule="auto"/>
      </w:pPr>
      <w:r>
        <w:t>The a</w:t>
      </w:r>
      <w:r w:rsidR="00947A38" w:rsidRPr="00947A38">
        <w:t>dministration rate of TXA to trauma patients by paramedics in the UK</w:t>
      </w:r>
      <w:r>
        <w:t xml:space="preserve"> is lower than expected</w:t>
      </w:r>
      <w:r w:rsidR="00FC4D6E" w:rsidRPr="00947A38">
        <w:t>, and there is limited evidence to explain why. Th</w:t>
      </w:r>
      <w:r w:rsidR="00947A38" w:rsidRPr="00947A38">
        <w:t>is</w:t>
      </w:r>
      <w:r w:rsidR="00FC4D6E" w:rsidRPr="00947A38">
        <w:t xml:space="preserve"> study highlight</w:t>
      </w:r>
      <w:r>
        <w:t xml:space="preserve">s </w:t>
      </w:r>
      <w:r w:rsidR="00FC4D6E" w:rsidRPr="00947A38">
        <w:t xml:space="preserve">the factors </w:t>
      </w:r>
      <w:r>
        <w:t xml:space="preserve">that </w:t>
      </w:r>
      <w:r w:rsidR="00FC4D6E" w:rsidRPr="00947A38">
        <w:t>influenc</w:t>
      </w:r>
      <w:r>
        <w:t>e</w:t>
      </w:r>
      <w:r w:rsidR="00FC4D6E" w:rsidRPr="00947A38">
        <w:t xml:space="preserve"> </w:t>
      </w:r>
      <w:r w:rsidR="00FC4D6E" w:rsidRPr="00947A38">
        <w:lastRenderedPageBreak/>
        <w:t>paramedics’ use of TXA and identifie</w:t>
      </w:r>
      <w:r>
        <w:t>s</w:t>
      </w:r>
      <w:r w:rsidR="00FC4D6E" w:rsidRPr="00947A38">
        <w:t xml:space="preserve"> several potential </w:t>
      </w:r>
      <w:r w:rsidR="00947A38" w:rsidRPr="00947A38">
        <w:t xml:space="preserve">barriers and </w:t>
      </w:r>
      <w:r w:rsidR="00FC4D6E" w:rsidRPr="00947A38">
        <w:t>facilitators. The results of this study</w:t>
      </w:r>
      <w:r w:rsidR="00947A38" w:rsidRPr="00947A38">
        <w:t xml:space="preserve"> could</w:t>
      </w:r>
      <w:r w:rsidR="00FC4D6E" w:rsidRPr="00947A38">
        <w:t xml:space="preserve"> </w:t>
      </w:r>
      <w:r w:rsidR="00947A38" w:rsidRPr="00947A38">
        <w:t>inform the design of an intervention to improve pre-hospital TXA administration rates</w:t>
      </w:r>
      <w:r>
        <w:t>.</w:t>
      </w:r>
    </w:p>
    <w:p w14:paraId="1D9210C7" w14:textId="77777777" w:rsidR="00610473" w:rsidRDefault="00610473">
      <w:pPr>
        <w:rPr>
          <w:b/>
          <w:sz w:val="24"/>
        </w:rPr>
      </w:pPr>
      <w:r>
        <w:rPr>
          <w:b/>
          <w:sz w:val="24"/>
        </w:rPr>
        <w:br w:type="page"/>
      </w:r>
    </w:p>
    <w:p w14:paraId="194E33A0" w14:textId="00692519" w:rsidR="001F0A8A" w:rsidRPr="00265642" w:rsidRDefault="00610473" w:rsidP="005B499C">
      <w:pPr>
        <w:spacing w:after="0" w:line="480" w:lineRule="auto"/>
        <w:rPr>
          <w:b/>
        </w:rPr>
      </w:pPr>
      <w:r w:rsidRPr="00265642">
        <w:rPr>
          <w:b/>
        </w:rPr>
        <w:lastRenderedPageBreak/>
        <w:t>ETHIC</w:t>
      </w:r>
      <w:r>
        <w:rPr>
          <w:b/>
        </w:rPr>
        <w:t>S APPROVAL AND CONSENT TO PARTICIPATE</w:t>
      </w:r>
    </w:p>
    <w:p w14:paraId="681F4B57" w14:textId="4D664068" w:rsidR="001F0A8A" w:rsidRDefault="00B02694" w:rsidP="005B499C">
      <w:pPr>
        <w:spacing w:line="480" w:lineRule="auto"/>
      </w:pPr>
      <w:r>
        <w:t xml:space="preserve">All participants gave informed written consent. </w:t>
      </w:r>
      <w:r w:rsidR="001F0A8A">
        <w:t>Ethical approval for this study was obtained from the Health Research Authority (</w:t>
      </w:r>
      <w:r w:rsidR="001F0A8A" w:rsidRPr="00212AA8">
        <w:t>19/HRA/5247</w:t>
      </w:r>
      <w:r w:rsidR="001F0A8A">
        <w:t>) as well as the University of the West of England Health and Applied Sciences Faculty Ethics Committee (HAS.19.08.016).</w:t>
      </w:r>
    </w:p>
    <w:p w14:paraId="139A325F" w14:textId="17577AD6" w:rsidR="001F0A8A" w:rsidRDefault="00610473" w:rsidP="005B499C">
      <w:pPr>
        <w:spacing w:after="0" w:line="480" w:lineRule="auto"/>
        <w:rPr>
          <w:b/>
        </w:rPr>
      </w:pPr>
      <w:r w:rsidRPr="008B5D4B">
        <w:rPr>
          <w:b/>
        </w:rPr>
        <w:t>CONSENT FOR PUBLICATION</w:t>
      </w:r>
    </w:p>
    <w:p w14:paraId="418E4D46" w14:textId="1ECD96EA" w:rsidR="001F0A8A" w:rsidRPr="001F0A8A" w:rsidRDefault="001F0A8A" w:rsidP="005B499C">
      <w:pPr>
        <w:spacing w:line="480" w:lineRule="auto"/>
      </w:pPr>
      <w:r w:rsidRPr="001F0A8A">
        <w:t>Not applicable</w:t>
      </w:r>
    </w:p>
    <w:p w14:paraId="1D8B1592" w14:textId="3EEF3A42" w:rsidR="001F0A8A" w:rsidRPr="00265642" w:rsidRDefault="00610473" w:rsidP="005B499C">
      <w:pPr>
        <w:spacing w:after="0" w:line="480" w:lineRule="auto"/>
        <w:rPr>
          <w:b/>
        </w:rPr>
      </w:pPr>
      <w:r>
        <w:rPr>
          <w:b/>
        </w:rPr>
        <w:t>DATA AVAILABILITY STATEMENT</w:t>
      </w:r>
    </w:p>
    <w:p w14:paraId="7BC73835" w14:textId="77777777" w:rsidR="001F0A8A" w:rsidRDefault="001F0A8A" w:rsidP="005B499C">
      <w:pPr>
        <w:spacing w:line="480" w:lineRule="auto"/>
      </w:pPr>
      <w:r>
        <w:t>The datasets generated and analysed during this study are not publicly available due to participant confidentiality, but are available from the corresponding author on reasonable request.</w:t>
      </w:r>
    </w:p>
    <w:p w14:paraId="24C455F9" w14:textId="658528D3" w:rsidR="001F0A8A" w:rsidRDefault="00610473" w:rsidP="005B499C">
      <w:pPr>
        <w:spacing w:after="0" w:line="480" w:lineRule="auto"/>
        <w:rPr>
          <w:b/>
        </w:rPr>
      </w:pPr>
      <w:r w:rsidRPr="00265642">
        <w:rPr>
          <w:b/>
        </w:rPr>
        <w:t>COMPETING INTERESTS</w:t>
      </w:r>
    </w:p>
    <w:p w14:paraId="05C2CD87" w14:textId="23519B06" w:rsidR="001F0A8A" w:rsidRPr="008B5D4B" w:rsidRDefault="0062717E" w:rsidP="005B499C">
      <w:pPr>
        <w:spacing w:line="480" w:lineRule="auto"/>
      </w:pPr>
      <w:r w:rsidRPr="0062717E">
        <w:t>The authors declare that they have no competing interests</w:t>
      </w:r>
      <w:r>
        <w:t>.</w:t>
      </w:r>
    </w:p>
    <w:p w14:paraId="256D6E39" w14:textId="4222CE88" w:rsidR="001F0A8A" w:rsidRPr="00265642" w:rsidRDefault="00610473" w:rsidP="005B499C">
      <w:pPr>
        <w:spacing w:after="0" w:line="480" w:lineRule="auto"/>
        <w:rPr>
          <w:b/>
        </w:rPr>
      </w:pPr>
      <w:r w:rsidRPr="00265642">
        <w:rPr>
          <w:b/>
        </w:rPr>
        <w:t>FUNDING</w:t>
      </w:r>
    </w:p>
    <w:p w14:paraId="722A3887" w14:textId="74753BC7" w:rsidR="001F0A8A" w:rsidRDefault="001F0A8A" w:rsidP="005B499C">
      <w:pPr>
        <w:spacing w:line="480" w:lineRule="auto"/>
      </w:pPr>
      <w:r>
        <w:t>This study was supported by Research Capability Funding from the South Western Ambulance Service NHS Foundation Trust</w:t>
      </w:r>
      <w:r w:rsidR="00353DB0">
        <w:t xml:space="preserve"> (SWASFT/RCF/2019)</w:t>
      </w:r>
      <w:r>
        <w:t>. The funder</w:t>
      </w:r>
      <w:r w:rsidR="009953CB">
        <w:t xml:space="preserve"> had no role in the collection or analysis of data, or in the interpretation of the results. Authors from the funding organisation were involved in the design of the study and reviewing the manuscript for submission.</w:t>
      </w:r>
    </w:p>
    <w:p w14:paraId="58C7793E" w14:textId="15F75DF5" w:rsidR="001F0A8A" w:rsidRDefault="00610473" w:rsidP="005B499C">
      <w:pPr>
        <w:spacing w:after="0" w:line="480" w:lineRule="auto"/>
        <w:jc w:val="both"/>
        <w:rPr>
          <w:b/>
        </w:rPr>
      </w:pPr>
      <w:r w:rsidRPr="00265642">
        <w:rPr>
          <w:b/>
        </w:rPr>
        <w:t>AUTHOR</w:t>
      </w:r>
      <w:r>
        <w:rPr>
          <w:b/>
        </w:rPr>
        <w:t>S CONTRIBUTIONS</w:t>
      </w:r>
    </w:p>
    <w:p w14:paraId="5B79EA0A" w14:textId="5776ACBE" w:rsidR="009953CB" w:rsidRPr="00873774" w:rsidRDefault="00E74745" w:rsidP="005B499C">
      <w:pPr>
        <w:spacing w:line="480" w:lineRule="auto"/>
      </w:pPr>
      <w:r w:rsidRPr="00873774">
        <w:t xml:space="preserve">LG </w:t>
      </w:r>
      <w:r w:rsidR="00873774">
        <w:t xml:space="preserve">participated in study coordination, </w:t>
      </w:r>
      <w:r w:rsidRPr="00873774">
        <w:t>performed and coded the interviews, analysed the data, and drafted the manuscript. HN participated in study conception, design and coordination, coded the interviews, analysed the data, and participated in editing the manuscript. MR participated in study conception, design and coordination</w:t>
      </w:r>
      <w:r w:rsidR="00873774" w:rsidRPr="00873774">
        <w:t>, and was Chief Investigator with overall responsibility for the study</w:t>
      </w:r>
      <w:r w:rsidRPr="00873774">
        <w:t xml:space="preserve">. AB, SB, KK and HT participated in study conception and design. SV participated in study conception, design and coordination, and participated in interpretation of the results. JB </w:t>
      </w:r>
      <w:r w:rsidR="00873774" w:rsidRPr="00873774">
        <w:lastRenderedPageBreak/>
        <w:t>participated in study conception, design and coordination. All authors were responsible for the critical revision of the manuscript for publication and approved the final version to be published.</w:t>
      </w:r>
    </w:p>
    <w:p w14:paraId="7783366E" w14:textId="55CB8E51" w:rsidR="001F0A8A" w:rsidRDefault="00610473" w:rsidP="005B499C">
      <w:pPr>
        <w:spacing w:line="480" w:lineRule="auto"/>
        <w:rPr>
          <w:b/>
        </w:rPr>
      </w:pPr>
      <w:r>
        <w:rPr>
          <w:b/>
        </w:rPr>
        <w:t>ACKNOWLEDGEMENTS</w:t>
      </w:r>
    </w:p>
    <w:p w14:paraId="01897608" w14:textId="72F4D2DC" w:rsidR="00A75C19" w:rsidRDefault="00873774" w:rsidP="005B499C">
      <w:pPr>
        <w:spacing w:line="480" w:lineRule="auto"/>
      </w:pPr>
      <w:r w:rsidRPr="00873774">
        <w:t>Not applicable</w:t>
      </w:r>
    </w:p>
    <w:p w14:paraId="3F98F1E2" w14:textId="77777777" w:rsidR="00610473" w:rsidRDefault="00610473" w:rsidP="005B499C">
      <w:pPr>
        <w:spacing w:line="480" w:lineRule="auto"/>
        <w:rPr>
          <w:b/>
          <w:sz w:val="24"/>
        </w:rPr>
      </w:pPr>
    </w:p>
    <w:p w14:paraId="513F5E4F" w14:textId="17CD71F1" w:rsidR="00EC572A" w:rsidRPr="00F27798" w:rsidRDefault="00610473" w:rsidP="005B499C">
      <w:pPr>
        <w:spacing w:line="480" w:lineRule="auto"/>
        <w:rPr>
          <w:b/>
          <w:sz w:val="24"/>
        </w:rPr>
      </w:pPr>
      <w:r w:rsidRPr="00F27798">
        <w:rPr>
          <w:b/>
          <w:sz w:val="24"/>
        </w:rPr>
        <w:t>REFERENCES</w:t>
      </w:r>
    </w:p>
    <w:p w14:paraId="022FFC96" w14:textId="22AE67AF" w:rsidR="009D549A" w:rsidRPr="001C5679" w:rsidRDefault="004C58A1" w:rsidP="009D549A">
      <w:pPr>
        <w:pStyle w:val="NormalWeb"/>
        <w:spacing w:line="480" w:lineRule="auto"/>
        <w:rPr>
          <w:rFonts w:ascii="Calibri" w:hAnsi="Calibri" w:cs="Calibri"/>
          <w:sz w:val="22"/>
        </w:rPr>
      </w:pPr>
      <w:r>
        <w:rPr>
          <w:rFonts w:ascii="Calibri" w:hAnsi="Calibri" w:cs="Calibri"/>
          <w:sz w:val="22"/>
        </w:rPr>
        <w:t>1</w:t>
      </w:r>
      <w:r w:rsidR="009D549A" w:rsidRPr="001C5679">
        <w:rPr>
          <w:rFonts w:ascii="Calibri" w:hAnsi="Calibri" w:cs="Calibri"/>
          <w:sz w:val="22"/>
        </w:rPr>
        <w:t xml:space="preserve">. </w:t>
      </w:r>
      <w:proofErr w:type="spellStart"/>
      <w:r w:rsidR="009D549A" w:rsidRPr="001C5679">
        <w:rPr>
          <w:rFonts w:ascii="Calibri" w:hAnsi="Calibri" w:cs="Calibri"/>
          <w:sz w:val="22"/>
        </w:rPr>
        <w:t>Naghavi</w:t>
      </w:r>
      <w:proofErr w:type="spellEnd"/>
      <w:r w:rsidR="009D549A" w:rsidRPr="001C5679">
        <w:rPr>
          <w:rFonts w:ascii="Calibri" w:hAnsi="Calibri" w:cs="Calibri"/>
          <w:sz w:val="22"/>
        </w:rPr>
        <w:t xml:space="preserve"> M, </w:t>
      </w:r>
      <w:proofErr w:type="spellStart"/>
      <w:r w:rsidR="009D549A" w:rsidRPr="001C5679">
        <w:rPr>
          <w:rFonts w:ascii="Calibri" w:hAnsi="Calibri" w:cs="Calibri"/>
          <w:sz w:val="22"/>
        </w:rPr>
        <w:t>Abajobir</w:t>
      </w:r>
      <w:proofErr w:type="spellEnd"/>
      <w:r w:rsidR="009D549A" w:rsidRPr="001C5679">
        <w:rPr>
          <w:rFonts w:ascii="Calibri" w:hAnsi="Calibri" w:cs="Calibri"/>
          <w:sz w:val="22"/>
        </w:rPr>
        <w:t xml:space="preserve"> AA, </w:t>
      </w:r>
      <w:proofErr w:type="spellStart"/>
      <w:r w:rsidR="009D549A" w:rsidRPr="001C5679">
        <w:rPr>
          <w:rFonts w:ascii="Calibri" w:hAnsi="Calibri" w:cs="Calibri"/>
          <w:sz w:val="22"/>
        </w:rPr>
        <w:t>Abbafati</w:t>
      </w:r>
      <w:proofErr w:type="spellEnd"/>
      <w:r w:rsidR="009D549A" w:rsidRPr="001C5679">
        <w:rPr>
          <w:rFonts w:ascii="Calibri" w:hAnsi="Calibri" w:cs="Calibri"/>
          <w:sz w:val="22"/>
        </w:rPr>
        <w:t xml:space="preserve"> C, et al. Global, regional, and national age-sex specific mortality for 264 causes of death, 1980–2016: A systematic analysis for the global burden of disease study 2016. </w:t>
      </w:r>
      <w:r w:rsidR="009D549A" w:rsidRPr="0055196E">
        <w:rPr>
          <w:rFonts w:ascii="Calibri" w:hAnsi="Calibri" w:cs="Calibri"/>
          <w:i/>
          <w:iCs/>
          <w:sz w:val="22"/>
        </w:rPr>
        <w:t>The Lancet</w:t>
      </w:r>
      <w:r w:rsidR="009D549A" w:rsidRPr="0055196E">
        <w:rPr>
          <w:rFonts w:ascii="Calibri" w:hAnsi="Calibri" w:cs="Calibri"/>
          <w:i/>
          <w:sz w:val="22"/>
        </w:rPr>
        <w:t>.</w:t>
      </w:r>
      <w:r w:rsidR="009D549A" w:rsidRPr="001C5679">
        <w:rPr>
          <w:rFonts w:ascii="Calibri" w:hAnsi="Calibri" w:cs="Calibri"/>
          <w:sz w:val="22"/>
        </w:rPr>
        <w:t xml:space="preserve"> 2017;390(10100):1151-1210.</w:t>
      </w:r>
    </w:p>
    <w:p w14:paraId="05F9C2AA" w14:textId="128F150E" w:rsidR="009D549A" w:rsidRPr="001C5679" w:rsidRDefault="004C58A1" w:rsidP="009D549A">
      <w:pPr>
        <w:pStyle w:val="NormalWeb"/>
        <w:spacing w:line="480" w:lineRule="auto"/>
        <w:rPr>
          <w:rFonts w:ascii="Calibri" w:hAnsi="Calibri" w:cs="Calibri"/>
          <w:sz w:val="22"/>
        </w:rPr>
      </w:pPr>
      <w:r>
        <w:rPr>
          <w:rFonts w:ascii="Calibri" w:hAnsi="Calibri" w:cs="Calibri"/>
          <w:sz w:val="22"/>
        </w:rPr>
        <w:t>2</w:t>
      </w:r>
      <w:r w:rsidR="009D549A" w:rsidRPr="001C5679">
        <w:rPr>
          <w:rFonts w:ascii="Calibri" w:hAnsi="Calibri" w:cs="Calibri"/>
          <w:sz w:val="22"/>
        </w:rPr>
        <w:t>. Trauma Audit Research Network</w:t>
      </w:r>
      <w:r w:rsidR="00C94FC8">
        <w:rPr>
          <w:rFonts w:ascii="Calibri" w:hAnsi="Calibri" w:cs="Calibri"/>
          <w:sz w:val="22"/>
        </w:rPr>
        <w:t xml:space="preserve">: </w:t>
      </w:r>
      <w:r w:rsidR="009D549A" w:rsidRPr="001C5679">
        <w:rPr>
          <w:rFonts w:ascii="Calibri" w:hAnsi="Calibri" w:cs="Calibri"/>
          <w:sz w:val="22"/>
        </w:rPr>
        <w:t xml:space="preserve">TARN - home. </w:t>
      </w:r>
      <w:hyperlink r:id="rId18" w:history="1">
        <w:r w:rsidR="00C94FC8" w:rsidRPr="009C52C3">
          <w:rPr>
            <w:rStyle w:val="Hyperlink"/>
            <w:rFonts w:ascii="Calibri" w:hAnsi="Calibri" w:cs="Calibri"/>
            <w:sz w:val="22"/>
          </w:rPr>
          <w:t>https://www.tarn.ac.uk/Home.aspx</w:t>
        </w:r>
      </w:hyperlink>
      <w:r w:rsidR="00934234">
        <w:rPr>
          <w:rStyle w:val="Hyperlink"/>
          <w:rFonts w:ascii="Calibri" w:hAnsi="Calibri" w:cs="Calibri"/>
          <w:sz w:val="22"/>
        </w:rPr>
        <w:t>.</w:t>
      </w:r>
      <w:r w:rsidR="00C94FC8">
        <w:rPr>
          <w:rFonts w:ascii="Calibri" w:hAnsi="Calibri" w:cs="Calibri"/>
          <w:sz w:val="22"/>
        </w:rPr>
        <w:t xml:space="preserve"> 2020. </w:t>
      </w:r>
      <w:r w:rsidR="009D549A" w:rsidRPr="001C5679">
        <w:rPr>
          <w:rFonts w:ascii="Calibri" w:hAnsi="Calibri" w:cs="Calibri"/>
          <w:sz w:val="22"/>
        </w:rPr>
        <w:t>Accessed 3 June 2020.</w:t>
      </w:r>
    </w:p>
    <w:p w14:paraId="76C6113F" w14:textId="41221F8E" w:rsidR="009D549A" w:rsidRPr="001C5679" w:rsidRDefault="004C58A1" w:rsidP="009D549A">
      <w:pPr>
        <w:pStyle w:val="NormalWeb"/>
        <w:spacing w:line="480" w:lineRule="auto"/>
        <w:rPr>
          <w:rFonts w:ascii="Calibri" w:hAnsi="Calibri" w:cs="Calibri"/>
          <w:sz w:val="22"/>
        </w:rPr>
      </w:pPr>
      <w:r>
        <w:rPr>
          <w:rFonts w:ascii="Calibri" w:hAnsi="Calibri" w:cs="Calibri"/>
          <w:sz w:val="22"/>
        </w:rPr>
        <w:t>3</w:t>
      </w:r>
      <w:r w:rsidR="009D549A" w:rsidRPr="001C5679">
        <w:rPr>
          <w:rFonts w:ascii="Calibri" w:hAnsi="Calibri" w:cs="Calibri"/>
          <w:sz w:val="22"/>
        </w:rPr>
        <w:t>. World Health Organization. World health statistics 2009: Cause-specific mortality and morbidity. 2009.</w:t>
      </w:r>
      <w:r w:rsidR="007D4CBD">
        <w:rPr>
          <w:rFonts w:ascii="Calibri" w:hAnsi="Calibri" w:cs="Calibri"/>
          <w:sz w:val="22"/>
        </w:rPr>
        <w:t xml:space="preserve"> </w:t>
      </w:r>
      <w:hyperlink r:id="rId19" w:history="1">
        <w:r w:rsidR="007D4CBD" w:rsidRPr="009C52C3">
          <w:rPr>
            <w:rStyle w:val="Hyperlink"/>
            <w:rFonts w:ascii="Calibri" w:hAnsi="Calibri" w:cs="Calibri"/>
            <w:sz w:val="22"/>
          </w:rPr>
          <w:t>https://www.who.int/whosis/whostat/EN_WHS09_Table2.pdf</w:t>
        </w:r>
      </w:hyperlink>
      <w:r w:rsidR="007D4CBD">
        <w:rPr>
          <w:rFonts w:ascii="Calibri" w:hAnsi="Calibri" w:cs="Calibri"/>
          <w:sz w:val="22"/>
        </w:rPr>
        <w:t>. Accessed 5 June 2020.</w:t>
      </w:r>
    </w:p>
    <w:p w14:paraId="27909C4B" w14:textId="57CA3BB8" w:rsidR="009D549A" w:rsidRPr="001C5679" w:rsidRDefault="004C58A1" w:rsidP="009D549A">
      <w:pPr>
        <w:pStyle w:val="NormalWeb"/>
        <w:spacing w:line="480" w:lineRule="auto"/>
        <w:rPr>
          <w:rFonts w:ascii="Calibri" w:hAnsi="Calibri" w:cs="Calibri"/>
          <w:sz w:val="22"/>
        </w:rPr>
      </w:pPr>
      <w:r>
        <w:rPr>
          <w:rFonts w:ascii="Calibri" w:hAnsi="Calibri" w:cs="Calibri"/>
          <w:sz w:val="22"/>
        </w:rPr>
        <w:t>4</w:t>
      </w:r>
      <w:r w:rsidR="009D549A" w:rsidRPr="001C5679">
        <w:rPr>
          <w:rFonts w:ascii="Calibri" w:hAnsi="Calibri" w:cs="Calibri"/>
          <w:sz w:val="22"/>
        </w:rPr>
        <w:t xml:space="preserve">. </w:t>
      </w:r>
      <w:proofErr w:type="spellStart"/>
      <w:r w:rsidR="009D549A" w:rsidRPr="001C5679">
        <w:rPr>
          <w:rFonts w:ascii="Calibri" w:hAnsi="Calibri" w:cs="Calibri"/>
          <w:sz w:val="22"/>
        </w:rPr>
        <w:t>Brohi</w:t>
      </w:r>
      <w:proofErr w:type="spellEnd"/>
      <w:r w:rsidR="009D549A" w:rsidRPr="001C5679">
        <w:rPr>
          <w:rFonts w:ascii="Calibri" w:hAnsi="Calibri" w:cs="Calibri"/>
          <w:sz w:val="22"/>
        </w:rPr>
        <w:t xml:space="preserve"> K, Gruen RL, Holcomb JB. Why are bleeding trauma patients still dying? </w:t>
      </w:r>
      <w:r w:rsidR="009D549A" w:rsidRPr="0055196E">
        <w:rPr>
          <w:rFonts w:ascii="Calibri" w:hAnsi="Calibri" w:cs="Calibri"/>
          <w:i/>
          <w:iCs/>
          <w:sz w:val="22"/>
        </w:rPr>
        <w:t>Intensive Care Medicine</w:t>
      </w:r>
      <w:r w:rsidR="009D549A" w:rsidRPr="0055196E">
        <w:rPr>
          <w:rFonts w:ascii="Calibri" w:hAnsi="Calibri" w:cs="Calibri"/>
          <w:i/>
          <w:sz w:val="22"/>
        </w:rPr>
        <w:t>.</w:t>
      </w:r>
      <w:r w:rsidR="009D549A" w:rsidRPr="001C5679">
        <w:rPr>
          <w:rFonts w:ascii="Calibri" w:hAnsi="Calibri" w:cs="Calibri"/>
          <w:sz w:val="22"/>
        </w:rPr>
        <w:t xml:space="preserve"> </w:t>
      </w:r>
      <w:proofErr w:type="gramStart"/>
      <w:r w:rsidR="009D549A" w:rsidRPr="001C5679">
        <w:rPr>
          <w:rFonts w:ascii="Calibri" w:hAnsi="Calibri" w:cs="Calibri"/>
          <w:sz w:val="22"/>
        </w:rPr>
        <w:t>2019;45:709</w:t>
      </w:r>
      <w:proofErr w:type="gramEnd"/>
      <w:r w:rsidR="009D549A" w:rsidRPr="001C5679">
        <w:rPr>
          <w:rFonts w:ascii="Calibri" w:hAnsi="Calibri" w:cs="Calibri"/>
          <w:sz w:val="22"/>
        </w:rPr>
        <w:t>-711.</w:t>
      </w:r>
    </w:p>
    <w:p w14:paraId="3AA99A6E" w14:textId="132BAFC9" w:rsidR="009D549A" w:rsidRPr="001C5679" w:rsidRDefault="004C58A1" w:rsidP="009D549A">
      <w:pPr>
        <w:pStyle w:val="NormalWeb"/>
        <w:spacing w:line="480" w:lineRule="auto"/>
        <w:rPr>
          <w:rFonts w:ascii="Calibri" w:hAnsi="Calibri" w:cs="Calibri"/>
          <w:sz w:val="22"/>
        </w:rPr>
      </w:pPr>
      <w:r>
        <w:rPr>
          <w:rFonts w:ascii="Calibri" w:hAnsi="Calibri" w:cs="Calibri"/>
          <w:sz w:val="22"/>
        </w:rPr>
        <w:t>5</w:t>
      </w:r>
      <w:r w:rsidR="009D549A" w:rsidRPr="001C5679">
        <w:rPr>
          <w:rFonts w:ascii="Calibri" w:hAnsi="Calibri" w:cs="Calibri"/>
          <w:sz w:val="22"/>
        </w:rPr>
        <w:t>. Roberts I, Edwards P, Prieto D</w:t>
      </w:r>
      <w:r w:rsidR="007D4CBD">
        <w:rPr>
          <w:rFonts w:ascii="Calibri" w:hAnsi="Calibri" w:cs="Calibri"/>
          <w:sz w:val="22"/>
        </w:rPr>
        <w:t xml:space="preserve">, </w:t>
      </w:r>
      <w:r w:rsidR="009D549A" w:rsidRPr="001C5679">
        <w:rPr>
          <w:rFonts w:ascii="Calibri" w:hAnsi="Calibri" w:cs="Calibri"/>
          <w:sz w:val="22"/>
        </w:rPr>
        <w:t xml:space="preserve">et al. Tranexamic acid in bleeding trauma patients: An exploration of benefits and harms. </w:t>
      </w:r>
      <w:r w:rsidR="009D549A" w:rsidRPr="0055196E">
        <w:rPr>
          <w:rFonts w:ascii="Calibri" w:hAnsi="Calibri" w:cs="Calibri"/>
          <w:i/>
          <w:iCs/>
          <w:sz w:val="22"/>
        </w:rPr>
        <w:t>Trials</w:t>
      </w:r>
      <w:r w:rsidR="009D549A" w:rsidRPr="0055196E">
        <w:rPr>
          <w:rFonts w:ascii="Calibri" w:hAnsi="Calibri" w:cs="Calibri"/>
          <w:i/>
          <w:sz w:val="22"/>
        </w:rPr>
        <w:t>.</w:t>
      </w:r>
      <w:r w:rsidR="009D549A" w:rsidRPr="001C5679">
        <w:rPr>
          <w:rFonts w:ascii="Calibri" w:hAnsi="Calibri" w:cs="Calibri"/>
          <w:sz w:val="22"/>
        </w:rPr>
        <w:t xml:space="preserve"> 2017;18(1):48.</w:t>
      </w:r>
    </w:p>
    <w:p w14:paraId="779E7F8F" w14:textId="6E9E400B" w:rsidR="009D549A" w:rsidRPr="001C5679" w:rsidRDefault="004C58A1" w:rsidP="009D549A">
      <w:pPr>
        <w:pStyle w:val="NormalWeb"/>
        <w:spacing w:line="480" w:lineRule="auto"/>
        <w:rPr>
          <w:rFonts w:ascii="Calibri" w:hAnsi="Calibri" w:cs="Calibri"/>
          <w:sz w:val="22"/>
        </w:rPr>
      </w:pPr>
      <w:r>
        <w:rPr>
          <w:rFonts w:ascii="Calibri" w:hAnsi="Calibri" w:cs="Calibri"/>
          <w:sz w:val="22"/>
        </w:rPr>
        <w:t>6</w:t>
      </w:r>
      <w:r w:rsidR="009D549A" w:rsidRPr="001C5679">
        <w:rPr>
          <w:rFonts w:ascii="Calibri" w:hAnsi="Calibri" w:cs="Calibri"/>
          <w:sz w:val="22"/>
        </w:rPr>
        <w:t>. Roberts I, Shakur H, Coats T,</w:t>
      </w:r>
      <w:r w:rsidR="007D4CBD">
        <w:rPr>
          <w:rFonts w:ascii="Calibri" w:hAnsi="Calibri" w:cs="Calibri"/>
          <w:sz w:val="22"/>
        </w:rPr>
        <w:t xml:space="preserve"> </w:t>
      </w:r>
      <w:r w:rsidR="009D549A" w:rsidRPr="001C5679">
        <w:rPr>
          <w:rFonts w:ascii="Calibri" w:hAnsi="Calibri" w:cs="Calibri"/>
          <w:sz w:val="22"/>
        </w:rPr>
        <w:t xml:space="preserve">et al. The CRASH-2 trial: A randomised controlled trial and economic evaluation of the effects of tranexamic acid on death, vascular occlusive events and transfusion requirement in bleeding trauma patients. </w:t>
      </w:r>
      <w:r w:rsidR="009D549A" w:rsidRPr="0055196E">
        <w:rPr>
          <w:rFonts w:ascii="Calibri" w:hAnsi="Calibri" w:cs="Calibri"/>
          <w:i/>
          <w:iCs/>
          <w:sz w:val="22"/>
        </w:rPr>
        <w:t>Health Technol</w:t>
      </w:r>
      <w:r w:rsidR="00934234">
        <w:rPr>
          <w:rFonts w:ascii="Calibri" w:hAnsi="Calibri" w:cs="Calibri"/>
          <w:i/>
          <w:iCs/>
          <w:sz w:val="22"/>
        </w:rPr>
        <w:t>ogy</w:t>
      </w:r>
      <w:r w:rsidR="009D549A" w:rsidRPr="0055196E">
        <w:rPr>
          <w:rFonts w:ascii="Calibri" w:hAnsi="Calibri" w:cs="Calibri"/>
          <w:i/>
          <w:iCs/>
          <w:sz w:val="22"/>
        </w:rPr>
        <w:t xml:space="preserve"> Assess</w:t>
      </w:r>
      <w:r w:rsidR="00934234">
        <w:rPr>
          <w:rFonts w:ascii="Calibri" w:hAnsi="Calibri" w:cs="Calibri"/>
          <w:i/>
          <w:iCs/>
          <w:sz w:val="22"/>
        </w:rPr>
        <w:t>ment</w:t>
      </w:r>
      <w:r w:rsidR="009D549A" w:rsidRPr="0055196E">
        <w:rPr>
          <w:rFonts w:ascii="Calibri" w:hAnsi="Calibri" w:cs="Calibri"/>
          <w:i/>
          <w:sz w:val="22"/>
        </w:rPr>
        <w:t>.</w:t>
      </w:r>
      <w:r w:rsidR="009D549A" w:rsidRPr="001C5679">
        <w:rPr>
          <w:rFonts w:ascii="Calibri" w:hAnsi="Calibri" w:cs="Calibri"/>
          <w:sz w:val="22"/>
        </w:rPr>
        <w:t xml:space="preserve"> 2013;17(10):1-79. </w:t>
      </w:r>
    </w:p>
    <w:p w14:paraId="169099B2" w14:textId="70C6E93C" w:rsidR="009D549A" w:rsidRPr="001C5679" w:rsidRDefault="004C58A1" w:rsidP="009D549A">
      <w:pPr>
        <w:pStyle w:val="NormalWeb"/>
        <w:spacing w:line="480" w:lineRule="auto"/>
        <w:rPr>
          <w:rFonts w:ascii="Calibri" w:hAnsi="Calibri" w:cs="Calibri"/>
          <w:sz w:val="22"/>
        </w:rPr>
      </w:pPr>
      <w:r>
        <w:rPr>
          <w:rFonts w:ascii="Calibri" w:hAnsi="Calibri" w:cs="Calibri"/>
          <w:sz w:val="22"/>
        </w:rPr>
        <w:lastRenderedPageBreak/>
        <w:t>7</w:t>
      </w:r>
      <w:r w:rsidR="009D549A" w:rsidRPr="001C5679">
        <w:rPr>
          <w:rFonts w:ascii="Calibri" w:hAnsi="Calibri" w:cs="Calibri"/>
          <w:sz w:val="22"/>
        </w:rPr>
        <w:t>. Kunze-</w:t>
      </w:r>
      <w:proofErr w:type="spellStart"/>
      <w:r w:rsidR="009D549A" w:rsidRPr="001C5679">
        <w:rPr>
          <w:rFonts w:ascii="Calibri" w:hAnsi="Calibri" w:cs="Calibri"/>
          <w:sz w:val="22"/>
        </w:rPr>
        <w:t>Szikszay</w:t>
      </w:r>
      <w:proofErr w:type="spellEnd"/>
      <w:r w:rsidR="009D549A" w:rsidRPr="001C5679">
        <w:rPr>
          <w:rFonts w:ascii="Calibri" w:hAnsi="Calibri" w:cs="Calibri"/>
          <w:sz w:val="22"/>
        </w:rPr>
        <w:t xml:space="preserve"> N, </w:t>
      </w:r>
      <w:proofErr w:type="spellStart"/>
      <w:r w:rsidR="009D549A" w:rsidRPr="001C5679">
        <w:rPr>
          <w:rFonts w:ascii="Calibri" w:hAnsi="Calibri" w:cs="Calibri"/>
          <w:sz w:val="22"/>
        </w:rPr>
        <w:t>Krack</w:t>
      </w:r>
      <w:proofErr w:type="spellEnd"/>
      <w:r w:rsidR="009D549A" w:rsidRPr="001C5679">
        <w:rPr>
          <w:rFonts w:ascii="Calibri" w:hAnsi="Calibri" w:cs="Calibri"/>
          <w:sz w:val="22"/>
        </w:rPr>
        <w:t xml:space="preserve"> LA, </w:t>
      </w:r>
      <w:proofErr w:type="spellStart"/>
      <w:r w:rsidR="009D549A" w:rsidRPr="001C5679">
        <w:rPr>
          <w:rFonts w:ascii="Calibri" w:hAnsi="Calibri" w:cs="Calibri"/>
          <w:sz w:val="22"/>
        </w:rPr>
        <w:t>Wildenauer</w:t>
      </w:r>
      <w:proofErr w:type="spellEnd"/>
      <w:r w:rsidR="009D549A" w:rsidRPr="001C5679">
        <w:rPr>
          <w:rFonts w:ascii="Calibri" w:hAnsi="Calibri" w:cs="Calibri"/>
          <w:sz w:val="22"/>
        </w:rPr>
        <w:t xml:space="preserve"> P, et al. The pre-hospital administration of tranexamic acid to patients with multiple injuries and its effects on rotational </w:t>
      </w:r>
      <w:proofErr w:type="spellStart"/>
      <w:r w:rsidR="009D549A" w:rsidRPr="001C5679">
        <w:rPr>
          <w:rFonts w:ascii="Calibri" w:hAnsi="Calibri" w:cs="Calibri"/>
          <w:sz w:val="22"/>
        </w:rPr>
        <w:t>thrombelastometry</w:t>
      </w:r>
      <w:proofErr w:type="spellEnd"/>
      <w:r w:rsidR="009D549A" w:rsidRPr="001C5679">
        <w:rPr>
          <w:rFonts w:ascii="Calibri" w:hAnsi="Calibri" w:cs="Calibri"/>
          <w:sz w:val="22"/>
        </w:rPr>
        <w:t xml:space="preserve">: A prospective observational study in pre-hospital emergency medicine. </w:t>
      </w:r>
      <w:r w:rsidR="009D549A" w:rsidRPr="0055196E">
        <w:rPr>
          <w:rFonts w:ascii="Calibri" w:hAnsi="Calibri" w:cs="Calibri"/>
          <w:i/>
          <w:iCs/>
          <w:sz w:val="22"/>
        </w:rPr>
        <w:t>Scandinavian journal of trauma, resuscitation and emergency medicine</w:t>
      </w:r>
      <w:r w:rsidR="009D549A" w:rsidRPr="0055196E">
        <w:rPr>
          <w:rFonts w:ascii="Calibri" w:hAnsi="Calibri" w:cs="Calibri"/>
          <w:i/>
          <w:sz w:val="22"/>
        </w:rPr>
        <w:t>.</w:t>
      </w:r>
      <w:r w:rsidR="009D549A" w:rsidRPr="001C5679">
        <w:rPr>
          <w:rFonts w:ascii="Calibri" w:hAnsi="Calibri" w:cs="Calibri"/>
          <w:sz w:val="22"/>
        </w:rPr>
        <w:t xml:space="preserve"> 2016;24(1):122.</w:t>
      </w:r>
    </w:p>
    <w:p w14:paraId="72F756E6" w14:textId="47E4A922" w:rsidR="009D549A" w:rsidRPr="001C5679" w:rsidRDefault="004C58A1" w:rsidP="009D549A">
      <w:pPr>
        <w:pStyle w:val="NormalWeb"/>
        <w:spacing w:line="480" w:lineRule="auto"/>
        <w:rPr>
          <w:rFonts w:ascii="Calibri" w:hAnsi="Calibri" w:cs="Calibri"/>
          <w:sz w:val="22"/>
        </w:rPr>
      </w:pPr>
      <w:r>
        <w:rPr>
          <w:rFonts w:ascii="Calibri" w:hAnsi="Calibri" w:cs="Calibri"/>
          <w:sz w:val="22"/>
        </w:rPr>
        <w:t>8</w:t>
      </w:r>
      <w:r w:rsidR="009D549A" w:rsidRPr="001C5679">
        <w:rPr>
          <w:rFonts w:ascii="Calibri" w:hAnsi="Calibri" w:cs="Calibri"/>
          <w:sz w:val="22"/>
        </w:rPr>
        <w:t xml:space="preserve">. Cole E, Davenport R, Willett K, </w:t>
      </w:r>
      <w:r w:rsidR="0055196E">
        <w:rPr>
          <w:rFonts w:ascii="Calibri" w:hAnsi="Calibri" w:cs="Calibri"/>
          <w:sz w:val="22"/>
        </w:rPr>
        <w:t>et al</w:t>
      </w:r>
      <w:r w:rsidR="009D549A" w:rsidRPr="001C5679">
        <w:rPr>
          <w:rFonts w:ascii="Calibri" w:hAnsi="Calibri" w:cs="Calibri"/>
          <w:sz w:val="22"/>
        </w:rPr>
        <w:t xml:space="preserve">. Tranexamic acid use in severely injured civilian patients and the effects on outcomes: A prospective cohort study. </w:t>
      </w:r>
      <w:r w:rsidR="009D549A" w:rsidRPr="0055196E">
        <w:rPr>
          <w:rFonts w:ascii="Calibri" w:hAnsi="Calibri" w:cs="Calibri"/>
          <w:i/>
          <w:iCs/>
          <w:sz w:val="22"/>
        </w:rPr>
        <w:t>Ann</w:t>
      </w:r>
      <w:r w:rsidR="00934234">
        <w:rPr>
          <w:rFonts w:ascii="Calibri" w:hAnsi="Calibri" w:cs="Calibri"/>
          <w:i/>
          <w:iCs/>
          <w:sz w:val="22"/>
        </w:rPr>
        <w:t>als of</w:t>
      </w:r>
      <w:r w:rsidR="009D549A" w:rsidRPr="0055196E">
        <w:rPr>
          <w:rFonts w:ascii="Calibri" w:hAnsi="Calibri" w:cs="Calibri"/>
          <w:i/>
          <w:iCs/>
          <w:sz w:val="22"/>
        </w:rPr>
        <w:t xml:space="preserve"> Surg</w:t>
      </w:r>
      <w:r w:rsidR="00934234">
        <w:rPr>
          <w:rFonts w:ascii="Calibri" w:hAnsi="Calibri" w:cs="Calibri"/>
          <w:i/>
          <w:iCs/>
          <w:sz w:val="22"/>
        </w:rPr>
        <w:t>ery</w:t>
      </w:r>
      <w:r w:rsidR="009D549A" w:rsidRPr="0055196E">
        <w:rPr>
          <w:rFonts w:ascii="Calibri" w:hAnsi="Calibri" w:cs="Calibri"/>
          <w:i/>
          <w:sz w:val="22"/>
        </w:rPr>
        <w:t xml:space="preserve">. </w:t>
      </w:r>
      <w:r w:rsidR="009D549A" w:rsidRPr="001C5679">
        <w:rPr>
          <w:rFonts w:ascii="Calibri" w:hAnsi="Calibri" w:cs="Calibri"/>
          <w:sz w:val="22"/>
        </w:rPr>
        <w:t>2015;261(2):390-394.</w:t>
      </w:r>
    </w:p>
    <w:p w14:paraId="15CDAA5F" w14:textId="3DA6144E" w:rsidR="009D549A" w:rsidRPr="001C5679" w:rsidRDefault="004C58A1" w:rsidP="009D549A">
      <w:pPr>
        <w:pStyle w:val="NormalWeb"/>
        <w:spacing w:line="480" w:lineRule="auto"/>
        <w:rPr>
          <w:rFonts w:ascii="Calibri" w:hAnsi="Calibri" w:cs="Calibri"/>
          <w:sz w:val="22"/>
        </w:rPr>
      </w:pPr>
      <w:r>
        <w:rPr>
          <w:rFonts w:ascii="Calibri" w:hAnsi="Calibri" w:cs="Calibri"/>
          <w:sz w:val="22"/>
        </w:rPr>
        <w:t>9</w:t>
      </w:r>
      <w:r w:rsidR="009D549A" w:rsidRPr="001C5679">
        <w:rPr>
          <w:rFonts w:ascii="Calibri" w:hAnsi="Calibri" w:cs="Calibri"/>
          <w:sz w:val="22"/>
        </w:rPr>
        <w:t xml:space="preserve">. Stansfield R, Morris D, </w:t>
      </w:r>
      <w:proofErr w:type="spellStart"/>
      <w:r w:rsidR="009D549A" w:rsidRPr="001C5679">
        <w:rPr>
          <w:rFonts w:ascii="Calibri" w:hAnsi="Calibri" w:cs="Calibri"/>
          <w:sz w:val="22"/>
        </w:rPr>
        <w:t>Jesulola</w:t>
      </w:r>
      <w:proofErr w:type="spellEnd"/>
      <w:r w:rsidR="009D549A" w:rsidRPr="001C5679">
        <w:rPr>
          <w:rFonts w:ascii="Calibri" w:hAnsi="Calibri" w:cs="Calibri"/>
          <w:sz w:val="22"/>
        </w:rPr>
        <w:t xml:space="preserve"> E. The use of tranexamic acid (TXA) for the management of </w:t>
      </w:r>
      <w:proofErr w:type="spellStart"/>
      <w:r w:rsidR="009D549A" w:rsidRPr="001C5679">
        <w:rPr>
          <w:rFonts w:ascii="Calibri" w:hAnsi="Calibri" w:cs="Calibri"/>
          <w:sz w:val="22"/>
        </w:rPr>
        <w:t>hemorrhage</w:t>
      </w:r>
      <w:proofErr w:type="spellEnd"/>
      <w:r w:rsidR="009D549A" w:rsidRPr="001C5679">
        <w:rPr>
          <w:rFonts w:ascii="Calibri" w:hAnsi="Calibri" w:cs="Calibri"/>
          <w:sz w:val="22"/>
        </w:rPr>
        <w:t xml:space="preserve"> in trauma patients in the prehospital environment: Literature review and descriptive analysis of principal themes.</w:t>
      </w:r>
      <w:r w:rsidR="009D549A" w:rsidRPr="0055196E">
        <w:rPr>
          <w:rFonts w:ascii="Calibri" w:hAnsi="Calibri" w:cs="Calibri"/>
          <w:i/>
          <w:sz w:val="22"/>
        </w:rPr>
        <w:t xml:space="preserve"> </w:t>
      </w:r>
      <w:r w:rsidR="009D549A" w:rsidRPr="0055196E">
        <w:rPr>
          <w:rFonts w:ascii="Calibri" w:hAnsi="Calibri" w:cs="Calibri"/>
          <w:i/>
          <w:iCs/>
          <w:sz w:val="22"/>
        </w:rPr>
        <w:t>Shock</w:t>
      </w:r>
      <w:r w:rsidR="009D549A" w:rsidRPr="001C5679">
        <w:rPr>
          <w:rFonts w:ascii="Calibri" w:hAnsi="Calibri" w:cs="Calibri"/>
          <w:sz w:val="22"/>
        </w:rPr>
        <w:t>. 2020;53(3):277-283.</w:t>
      </w:r>
    </w:p>
    <w:p w14:paraId="4E32B037" w14:textId="143731B0" w:rsidR="00D31A10" w:rsidRPr="007675D9" w:rsidRDefault="00D31A10" w:rsidP="00D31A10">
      <w:pPr>
        <w:pStyle w:val="NormalWeb"/>
        <w:spacing w:line="480" w:lineRule="auto"/>
        <w:rPr>
          <w:rFonts w:ascii="Calibri" w:hAnsi="Calibri" w:cs="Calibri"/>
          <w:sz w:val="22"/>
        </w:rPr>
      </w:pPr>
      <w:r w:rsidRPr="007675D9">
        <w:rPr>
          <w:rFonts w:ascii="Calibri" w:hAnsi="Calibri" w:cs="Calibri"/>
          <w:sz w:val="22"/>
        </w:rPr>
        <w:t>1</w:t>
      </w:r>
      <w:r>
        <w:rPr>
          <w:rFonts w:ascii="Calibri" w:hAnsi="Calibri" w:cs="Calibri"/>
          <w:sz w:val="22"/>
        </w:rPr>
        <w:t>0</w:t>
      </w:r>
      <w:r w:rsidRPr="007675D9">
        <w:rPr>
          <w:rFonts w:ascii="Calibri" w:hAnsi="Calibri" w:cs="Calibri"/>
          <w:sz w:val="22"/>
        </w:rPr>
        <w:t xml:space="preserve">. Crash-2 Collaborators. The importance of early treatment with tranexamic acid in bleeding trauma patients: An exploratory analysis of the CRASH-2 randomised controlled trial. </w:t>
      </w:r>
      <w:r w:rsidRPr="007675D9">
        <w:rPr>
          <w:rFonts w:ascii="Calibri" w:hAnsi="Calibri" w:cs="Calibri"/>
          <w:i/>
          <w:iCs/>
          <w:sz w:val="22"/>
        </w:rPr>
        <w:t>The Lancet</w:t>
      </w:r>
      <w:r w:rsidRPr="007675D9">
        <w:rPr>
          <w:rFonts w:ascii="Calibri" w:hAnsi="Calibri" w:cs="Calibri"/>
          <w:i/>
          <w:sz w:val="22"/>
        </w:rPr>
        <w:t>.</w:t>
      </w:r>
      <w:r w:rsidRPr="007675D9">
        <w:rPr>
          <w:rFonts w:ascii="Calibri" w:hAnsi="Calibri" w:cs="Calibri"/>
          <w:sz w:val="22"/>
        </w:rPr>
        <w:t xml:space="preserve"> 2011;377(9771):1096-1101.</w:t>
      </w:r>
    </w:p>
    <w:p w14:paraId="099EFB63" w14:textId="262C3AAA" w:rsidR="00D31A10" w:rsidRPr="001C5679" w:rsidRDefault="00D31A10" w:rsidP="00D31A10">
      <w:pPr>
        <w:pStyle w:val="NormalWeb"/>
        <w:spacing w:line="480" w:lineRule="auto"/>
        <w:rPr>
          <w:rFonts w:ascii="Calibri" w:hAnsi="Calibri" w:cs="Calibri"/>
          <w:sz w:val="22"/>
        </w:rPr>
      </w:pPr>
      <w:r w:rsidRPr="007675D9">
        <w:rPr>
          <w:rFonts w:ascii="Calibri" w:hAnsi="Calibri" w:cs="Calibri"/>
          <w:sz w:val="22"/>
        </w:rPr>
        <w:t>1</w:t>
      </w:r>
      <w:r>
        <w:rPr>
          <w:rFonts w:ascii="Calibri" w:hAnsi="Calibri" w:cs="Calibri"/>
          <w:sz w:val="22"/>
        </w:rPr>
        <w:t>1</w:t>
      </w:r>
      <w:r w:rsidRPr="007675D9">
        <w:rPr>
          <w:rFonts w:ascii="Calibri" w:hAnsi="Calibri" w:cs="Calibri"/>
          <w:sz w:val="22"/>
        </w:rPr>
        <w:t>. WOMAN Trial Collaborators. Effect of early tranexamic acid administration on mortality, hysterectomy, and other morbidities</w:t>
      </w:r>
      <w:r w:rsidRPr="001C5679">
        <w:rPr>
          <w:rFonts w:ascii="Calibri" w:hAnsi="Calibri" w:cs="Calibri"/>
          <w:sz w:val="22"/>
        </w:rPr>
        <w:t xml:space="preserve"> in women with post-partum haemorrhage (WOMAN): An international, randomised, double-blind, placebo-controlled trial. </w:t>
      </w:r>
      <w:r w:rsidRPr="00934234">
        <w:rPr>
          <w:rFonts w:ascii="Calibri" w:hAnsi="Calibri" w:cs="Calibri"/>
          <w:i/>
          <w:sz w:val="22"/>
        </w:rPr>
        <w:t>The</w:t>
      </w:r>
      <w:r>
        <w:rPr>
          <w:rFonts w:ascii="Calibri" w:hAnsi="Calibri" w:cs="Calibri"/>
          <w:sz w:val="22"/>
        </w:rPr>
        <w:t xml:space="preserve"> </w:t>
      </w:r>
      <w:r w:rsidRPr="0055196E">
        <w:rPr>
          <w:rFonts w:ascii="Calibri" w:hAnsi="Calibri" w:cs="Calibri"/>
          <w:i/>
          <w:iCs/>
          <w:sz w:val="22"/>
        </w:rPr>
        <w:t>Lancet</w:t>
      </w:r>
      <w:r w:rsidRPr="0055196E">
        <w:rPr>
          <w:rFonts w:ascii="Calibri" w:hAnsi="Calibri" w:cs="Calibri"/>
          <w:i/>
          <w:sz w:val="22"/>
        </w:rPr>
        <w:t>.</w:t>
      </w:r>
      <w:r w:rsidRPr="001C5679">
        <w:rPr>
          <w:rFonts w:ascii="Calibri" w:hAnsi="Calibri" w:cs="Calibri"/>
          <w:sz w:val="22"/>
        </w:rPr>
        <w:t xml:space="preserve"> 2017;389(10084):2105-2116. </w:t>
      </w:r>
    </w:p>
    <w:p w14:paraId="0FC7F11B" w14:textId="6DCEFBCD" w:rsidR="00D31A10" w:rsidRPr="001C5679" w:rsidRDefault="00D31A10" w:rsidP="00D31A10">
      <w:pPr>
        <w:pStyle w:val="NormalWeb"/>
        <w:spacing w:line="480" w:lineRule="auto"/>
        <w:rPr>
          <w:rFonts w:ascii="Calibri" w:hAnsi="Calibri" w:cs="Calibri"/>
          <w:sz w:val="22"/>
        </w:rPr>
      </w:pPr>
      <w:r>
        <w:rPr>
          <w:rFonts w:ascii="Calibri" w:hAnsi="Calibri" w:cs="Calibri"/>
          <w:sz w:val="22"/>
        </w:rPr>
        <w:t>1</w:t>
      </w:r>
      <w:r w:rsidR="000A6A10">
        <w:rPr>
          <w:rFonts w:ascii="Calibri" w:hAnsi="Calibri" w:cs="Calibri"/>
          <w:sz w:val="22"/>
        </w:rPr>
        <w:t>2</w:t>
      </w:r>
      <w:r w:rsidRPr="001C5679">
        <w:rPr>
          <w:rFonts w:ascii="Calibri" w:hAnsi="Calibri" w:cs="Calibri"/>
          <w:sz w:val="22"/>
        </w:rPr>
        <w:t xml:space="preserve">. </w:t>
      </w:r>
      <w:proofErr w:type="spellStart"/>
      <w:r w:rsidRPr="001C5679">
        <w:rPr>
          <w:rFonts w:ascii="Calibri" w:hAnsi="Calibri" w:cs="Calibri"/>
          <w:sz w:val="22"/>
        </w:rPr>
        <w:t>Gayet</w:t>
      </w:r>
      <w:proofErr w:type="spellEnd"/>
      <w:r w:rsidRPr="001C5679">
        <w:rPr>
          <w:rFonts w:ascii="Calibri" w:hAnsi="Calibri" w:cs="Calibri"/>
          <w:sz w:val="22"/>
        </w:rPr>
        <w:t>-Ageron A, Prieto-Merino D, Ker K,</w:t>
      </w:r>
      <w:r>
        <w:rPr>
          <w:rFonts w:ascii="Calibri" w:hAnsi="Calibri" w:cs="Calibri"/>
          <w:sz w:val="22"/>
        </w:rPr>
        <w:t xml:space="preserve"> </w:t>
      </w:r>
      <w:r w:rsidRPr="001C5679">
        <w:rPr>
          <w:rFonts w:ascii="Calibri" w:hAnsi="Calibri" w:cs="Calibri"/>
          <w:sz w:val="22"/>
        </w:rPr>
        <w:t xml:space="preserve">et al. Effect of treatment delay on the effectiveness and safety of antifibrinolytics in acute severe haemorrhage: A meta-analysis of individual patient-level data from 40 138 bleeding patients. </w:t>
      </w:r>
      <w:r w:rsidRPr="0055196E">
        <w:rPr>
          <w:rFonts w:ascii="Calibri" w:hAnsi="Calibri" w:cs="Calibri"/>
          <w:i/>
          <w:iCs/>
          <w:sz w:val="22"/>
        </w:rPr>
        <w:t>The Lancet</w:t>
      </w:r>
      <w:r w:rsidRPr="0055196E">
        <w:rPr>
          <w:rFonts w:ascii="Calibri" w:hAnsi="Calibri" w:cs="Calibri"/>
          <w:i/>
          <w:sz w:val="22"/>
        </w:rPr>
        <w:t>.</w:t>
      </w:r>
      <w:r w:rsidRPr="001C5679">
        <w:rPr>
          <w:rFonts w:ascii="Calibri" w:hAnsi="Calibri" w:cs="Calibri"/>
          <w:sz w:val="22"/>
        </w:rPr>
        <w:t xml:space="preserve"> 2018;391(10116):125-132.</w:t>
      </w:r>
    </w:p>
    <w:p w14:paraId="0E733033" w14:textId="620DDE89" w:rsidR="009D549A" w:rsidRPr="001C5679" w:rsidRDefault="004C58A1" w:rsidP="009D549A">
      <w:pPr>
        <w:pStyle w:val="NormalWeb"/>
        <w:spacing w:line="480" w:lineRule="auto"/>
        <w:rPr>
          <w:rFonts w:ascii="Calibri" w:hAnsi="Calibri" w:cs="Calibri"/>
          <w:sz w:val="22"/>
        </w:rPr>
      </w:pPr>
      <w:r>
        <w:rPr>
          <w:rFonts w:ascii="Calibri" w:hAnsi="Calibri" w:cs="Calibri"/>
          <w:sz w:val="22"/>
        </w:rPr>
        <w:t>1</w:t>
      </w:r>
      <w:r w:rsidR="000A6A10">
        <w:rPr>
          <w:rFonts w:ascii="Calibri" w:hAnsi="Calibri" w:cs="Calibri"/>
          <w:sz w:val="22"/>
        </w:rPr>
        <w:t>3</w:t>
      </w:r>
      <w:r w:rsidR="009D549A" w:rsidRPr="001C5679">
        <w:rPr>
          <w:rFonts w:ascii="Calibri" w:hAnsi="Calibri" w:cs="Calibri"/>
          <w:sz w:val="22"/>
        </w:rPr>
        <w:t xml:space="preserve">. National Institute for Health Research. </w:t>
      </w:r>
      <w:r w:rsidR="007D4CBD">
        <w:rPr>
          <w:rFonts w:ascii="Calibri" w:hAnsi="Calibri" w:cs="Calibri"/>
          <w:sz w:val="22"/>
        </w:rPr>
        <w:t xml:space="preserve">NIHR Themed Review: </w:t>
      </w:r>
      <w:r w:rsidR="009D549A" w:rsidRPr="001C5679">
        <w:rPr>
          <w:rFonts w:ascii="Calibri" w:hAnsi="Calibri" w:cs="Calibri"/>
          <w:sz w:val="22"/>
        </w:rPr>
        <w:t>Care at the scene</w:t>
      </w:r>
      <w:r w:rsidR="007D4CBD">
        <w:rPr>
          <w:rFonts w:ascii="Calibri" w:hAnsi="Calibri" w:cs="Calibri"/>
          <w:sz w:val="22"/>
        </w:rPr>
        <w:t xml:space="preserve"> -</w:t>
      </w:r>
      <w:r w:rsidR="009D549A" w:rsidRPr="001C5679">
        <w:rPr>
          <w:rFonts w:ascii="Calibri" w:hAnsi="Calibri" w:cs="Calibri"/>
          <w:sz w:val="22"/>
        </w:rPr>
        <w:t xml:space="preserve"> </w:t>
      </w:r>
      <w:r w:rsidR="007D4CBD">
        <w:rPr>
          <w:rFonts w:ascii="Calibri" w:hAnsi="Calibri" w:cs="Calibri"/>
          <w:sz w:val="22"/>
        </w:rPr>
        <w:t>R</w:t>
      </w:r>
      <w:r w:rsidR="009D549A" w:rsidRPr="001C5679">
        <w:rPr>
          <w:rFonts w:ascii="Calibri" w:hAnsi="Calibri" w:cs="Calibri"/>
          <w:sz w:val="22"/>
        </w:rPr>
        <w:t>esearch for ambulance services. 2016.</w:t>
      </w:r>
      <w:r w:rsidR="007D4CBD">
        <w:rPr>
          <w:rFonts w:ascii="Calibri" w:hAnsi="Calibri" w:cs="Calibri"/>
          <w:sz w:val="22"/>
        </w:rPr>
        <w:t xml:space="preserve"> </w:t>
      </w:r>
      <w:hyperlink r:id="rId20" w:history="1">
        <w:r w:rsidR="007D4CBD" w:rsidRPr="009C52C3">
          <w:rPr>
            <w:rStyle w:val="Hyperlink"/>
            <w:rFonts w:ascii="Calibri" w:hAnsi="Calibri" w:cs="Calibri"/>
            <w:sz w:val="22"/>
          </w:rPr>
          <w:t>https://evidence.nihr.ac.uk/wp-content/uploads/2020/03/Care-at-the-scene-final-for-web.pdf</w:t>
        </w:r>
      </w:hyperlink>
      <w:r w:rsidR="007D4CBD">
        <w:rPr>
          <w:rFonts w:ascii="Calibri" w:hAnsi="Calibri" w:cs="Calibri"/>
          <w:sz w:val="22"/>
        </w:rPr>
        <w:t>. Accessed 10 May 2020.</w:t>
      </w:r>
    </w:p>
    <w:p w14:paraId="1D16B011" w14:textId="6464D4FC" w:rsidR="007675D9" w:rsidRPr="007675D9" w:rsidRDefault="004C58A1" w:rsidP="009D549A">
      <w:pPr>
        <w:pStyle w:val="NormalWeb"/>
        <w:spacing w:line="480" w:lineRule="auto"/>
        <w:rPr>
          <w:rFonts w:ascii="Calibri" w:hAnsi="Calibri" w:cs="Calibri"/>
          <w:sz w:val="22"/>
        </w:rPr>
      </w:pPr>
      <w:r>
        <w:rPr>
          <w:rFonts w:ascii="Calibri" w:hAnsi="Calibri" w:cs="Calibri"/>
          <w:sz w:val="22"/>
        </w:rPr>
        <w:lastRenderedPageBreak/>
        <w:t>1</w:t>
      </w:r>
      <w:r w:rsidR="000A6A10">
        <w:rPr>
          <w:rFonts w:ascii="Calibri" w:hAnsi="Calibri" w:cs="Calibri"/>
          <w:sz w:val="22"/>
        </w:rPr>
        <w:t>4</w:t>
      </w:r>
      <w:r w:rsidR="009D549A" w:rsidRPr="001C5679">
        <w:rPr>
          <w:rFonts w:ascii="Calibri" w:hAnsi="Calibri" w:cs="Calibri"/>
          <w:sz w:val="22"/>
        </w:rPr>
        <w:t xml:space="preserve">. </w:t>
      </w:r>
      <w:r w:rsidR="007675D9">
        <w:rPr>
          <w:rFonts w:ascii="Calibri" w:hAnsi="Calibri" w:cs="Calibri"/>
          <w:sz w:val="22"/>
        </w:rPr>
        <w:t xml:space="preserve">Ageron F-X, Coats T, </w:t>
      </w:r>
      <w:proofErr w:type="spellStart"/>
      <w:r w:rsidR="007675D9">
        <w:rPr>
          <w:rFonts w:ascii="Calibri" w:hAnsi="Calibri" w:cs="Calibri"/>
          <w:sz w:val="22"/>
        </w:rPr>
        <w:t>Darioli</w:t>
      </w:r>
      <w:proofErr w:type="spellEnd"/>
      <w:r w:rsidR="007675D9">
        <w:rPr>
          <w:rFonts w:ascii="Calibri" w:hAnsi="Calibri" w:cs="Calibri"/>
          <w:sz w:val="22"/>
        </w:rPr>
        <w:t xml:space="preserve"> V, et al. Validation of the BATT score for prehospital risk stratification of traumatic haemorrhagic death: usefulness for tranexamic acid treatment criteria. </w:t>
      </w:r>
      <w:r w:rsidR="007675D9">
        <w:rPr>
          <w:rFonts w:ascii="Calibri" w:hAnsi="Calibri" w:cs="Calibri"/>
          <w:i/>
          <w:sz w:val="22"/>
        </w:rPr>
        <w:t xml:space="preserve">Scandinavian </w:t>
      </w:r>
      <w:r w:rsidR="007675D9" w:rsidRPr="007675D9">
        <w:rPr>
          <w:rFonts w:ascii="Calibri" w:hAnsi="Calibri" w:cs="Calibri"/>
          <w:i/>
          <w:sz w:val="22"/>
        </w:rPr>
        <w:t>Journal of Trauma, Resuscitation and Emergency Medicine</w:t>
      </w:r>
      <w:r w:rsidR="007675D9">
        <w:rPr>
          <w:rFonts w:ascii="Calibri" w:hAnsi="Calibri" w:cs="Calibri"/>
          <w:i/>
          <w:sz w:val="22"/>
        </w:rPr>
        <w:t xml:space="preserve">. </w:t>
      </w:r>
      <w:r w:rsidR="007675D9">
        <w:rPr>
          <w:rFonts w:ascii="Calibri" w:hAnsi="Calibri" w:cs="Calibri"/>
          <w:sz w:val="22"/>
        </w:rPr>
        <w:t>2021;29(6):1-9.</w:t>
      </w:r>
    </w:p>
    <w:p w14:paraId="74B995DE" w14:textId="187AB436" w:rsidR="009D549A" w:rsidRPr="001C5679" w:rsidRDefault="00B86565" w:rsidP="009D549A">
      <w:pPr>
        <w:pStyle w:val="NormalWeb"/>
        <w:spacing w:line="480" w:lineRule="auto"/>
        <w:rPr>
          <w:rFonts w:ascii="Calibri" w:hAnsi="Calibri" w:cs="Calibri"/>
          <w:sz w:val="22"/>
        </w:rPr>
      </w:pPr>
      <w:r>
        <w:rPr>
          <w:rFonts w:ascii="Calibri" w:hAnsi="Calibri" w:cs="Calibri"/>
          <w:sz w:val="22"/>
        </w:rPr>
        <w:t>1</w:t>
      </w:r>
      <w:r w:rsidR="000A6A10">
        <w:rPr>
          <w:rFonts w:ascii="Calibri" w:hAnsi="Calibri" w:cs="Calibri"/>
          <w:sz w:val="22"/>
        </w:rPr>
        <w:t>5</w:t>
      </w:r>
      <w:r w:rsidR="009D549A" w:rsidRPr="001C5679">
        <w:rPr>
          <w:rFonts w:ascii="Calibri" w:hAnsi="Calibri" w:cs="Calibri"/>
          <w:sz w:val="22"/>
        </w:rPr>
        <w:t xml:space="preserve">. Coats TJ, Fragoso-Iniguez M, Roberts I. Implementation of tranexamic acid for bleeding trauma patients: A longitudinal and cross-sectional study. </w:t>
      </w:r>
      <w:r w:rsidR="009D549A" w:rsidRPr="0055196E">
        <w:rPr>
          <w:rFonts w:ascii="Calibri" w:hAnsi="Calibri" w:cs="Calibri"/>
          <w:i/>
          <w:iCs/>
          <w:sz w:val="22"/>
        </w:rPr>
        <w:t>Emerg</w:t>
      </w:r>
      <w:r w:rsidR="00934234">
        <w:rPr>
          <w:rFonts w:ascii="Calibri" w:hAnsi="Calibri" w:cs="Calibri"/>
          <w:i/>
          <w:iCs/>
          <w:sz w:val="22"/>
        </w:rPr>
        <w:t>ency</w:t>
      </w:r>
      <w:r w:rsidR="009D549A" w:rsidRPr="0055196E">
        <w:rPr>
          <w:rFonts w:ascii="Calibri" w:hAnsi="Calibri" w:cs="Calibri"/>
          <w:i/>
          <w:iCs/>
          <w:sz w:val="22"/>
        </w:rPr>
        <w:t xml:space="preserve"> Med</w:t>
      </w:r>
      <w:r w:rsidR="00934234">
        <w:rPr>
          <w:rFonts w:ascii="Calibri" w:hAnsi="Calibri" w:cs="Calibri"/>
          <w:i/>
          <w:iCs/>
          <w:sz w:val="22"/>
        </w:rPr>
        <w:t>icine</w:t>
      </w:r>
      <w:r w:rsidR="009D549A" w:rsidRPr="0055196E">
        <w:rPr>
          <w:rFonts w:ascii="Calibri" w:hAnsi="Calibri" w:cs="Calibri"/>
          <w:i/>
          <w:iCs/>
          <w:sz w:val="22"/>
        </w:rPr>
        <w:t xml:space="preserve"> J</w:t>
      </w:r>
      <w:r w:rsidR="00934234">
        <w:rPr>
          <w:rFonts w:ascii="Calibri" w:hAnsi="Calibri" w:cs="Calibri"/>
          <w:i/>
          <w:iCs/>
          <w:sz w:val="22"/>
        </w:rPr>
        <w:t>ournal</w:t>
      </w:r>
      <w:r w:rsidR="009D549A" w:rsidRPr="0055196E">
        <w:rPr>
          <w:rFonts w:ascii="Calibri" w:hAnsi="Calibri" w:cs="Calibri"/>
          <w:i/>
          <w:sz w:val="22"/>
        </w:rPr>
        <w:t>.</w:t>
      </w:r>
      <w:r w:rsidR="009D549A" w:rsidRPr="001C5679">
        <w:rPr>
          <w:rFonts w:ascii="Calibri" w:hAnsi="Calibri" w:cs="Calibri"/>
          <w:sz w:val="22"/>
        </w:rPr>
        <w:t xml:space="preserve"> 2019;36(2):78-81. </w:t>
      </w:r>
    </w:p>
    <w:p w14:paraId="0EB75119" w14:textId="64AAF035" w:rsidR="009D549A" w:rsidRPr="001C5679" w:rsidRDefault="00B86565" w:rsidP="009D549A">
      <w:pPr>
        <w:pStyle w:val="NormalWeb"/>
        <w:spacing w:line="480" w:lineRule="auto"/>
        <w:rPr>
          <w:rFonts w:ascii="Calibri" w:hAnsi="Calibri" w:cs="Calibri"/>
          <w:sz w:val="22"/>
        </w:rPr>
      </w:pPr>
      <w:r>
        <w:rPr>
          <w:rFonts w:ascii="Calibri" w:hAnsi="Calibri" w:cs="Calibri"/>
          <w:sz w:val="22"/>
        </w:rPr>
        <w:t>1</w:t>
      </w:r>
      <w:r w:rsidR="000A6A10">
        <w:rPr>
          <w:rFonts w:ascii="Calibri" w:hAnsi="Calibri" w:cs="Calibri"/>
          <w:sz w:val="22"/>
        </w:rPr>
        <w:t>6</w:t>
      </w:r>
      <w:r w:rsidR="009D549A" w:rsidRPr="001C5679">
        <w:rPr>
          <w:rFonts w:ascii="Calibri" w:hAnsi="Calibri" w:cs="Calibri"/>
          <w:sz w:val="22"/>
        </w:rPr>
        <w:t xml:space="preserve">. Cane J, O’Connor D, Michie S. Validation of the theoretical domains framework for use in behaviour change and implementation research. </w:t>
      </w:r>
      <w:r w:rsidR="009D549A" w:rsidRPr="0055196E">
        <w:rPr>
          <w:rFonts w:ascii="Calibri" w:hAnsi="Calibri" w:cs="Calibri"/>
          <w:i/>
          <w:iCs/>
          <w:sz w:val="22"/>
        </w:rPr>
        <w:t>Implementation science</w:t>
      </w:r>
      <w:r w:rsidR="009D549A" w:rsidRPr="0055196E">
        <w:rPr>
          <w:rFonts w:ascii="Calibri" w:hAnsi="Calibri" w:cs="Calibri"/>
          <w:i/>
          <w:sz w:val="22"/>
        </w:rPr>
        <w:t>.</w:t>
      </w:r>
      <w:r w:rsidR="009D549A" w:rsidRPr="001C5679">
        <w:rPr>
          <w:rFonts w:ascii="Calibri" w:hAnsi="Calibri" w:cs="Calibri"/>
          <w:sz w:val="22"/>
        </w:rPr>
        <w:t xml:space="preserve"> 2012;7(1):37.</w:t>
      </w:r>
    </w:p>
    <w:p w14:paraId="53AF1D98" w14:textId="7A48A677" w:rsidR="009D549A" w:rsidRPr="001C5679" w:rsidRDefault="00B86565" w:rsidP="009D549A">
      <w:pPr>
        <w:pStyle w:val="NormalWeb"/>
        <w:spacing w:line="480" w:lineRule="auto"/>
        <w:rPr>
          <w:rFonts w:ascii="Calibri" w:hAnsi="Calibri" w:cs="Calibri"/>
          <w:sz w:val="22"/>
        </w:rPr>
      </w:pPr>
      <w:r>
        <w:rPr>
          <w:rFonts w:ascii="Calibri" w:hAnsi="Calibri" w:cs="Calibri"/>
          <w:sz w:val="22"/>
        </w:rPr>
        <w:t>1</w:t>
      </w:r>
      <w:r w:rsidR="000A6A10">
        <w:rPr>
          <w:rFonts w:ascii="Calibri" w:hAnsi="Calibri" w:cs="Calibri"/>
          <w:sz w:val="22"/>
        </w:rPr>
        <w:t>7</w:t>
      </w:r>
      <w:r w:rsidR="009D549A" w:rsidRPr="001C5679">
        <w:rPr>
          <w:rFonts w:ascii="Calibri" w:hAnsi="Calibri" w:cs="Calibri"/>
          <w:sz w:val="22"/>
        </w:rPr>
        <w:t>. Evans BA, Brown A, Bulger J,</w:t>
      </w:r>
      <w:r w:rsidR="00A10A36">
        <w:rPr>
          <w:rFonts w:ascii="Calibri" w:hAnsi="Calibri" w:cs="Calibri"/>
          <w:sz w:val="22"/>
        </w:rPr>
        <w:t xml:space="preserve"> </w:t>
      </w:r>
      <w:r w:rsidR="009D549A" w:rsidRPr="001C5679">
        <w:rPr>
          <w:rFonts w:ascii="Calibri" w:hAnsi="Calibri" w:cs="Calibri"/>
          <w:sz w:val="22"/>
        </w:rPr>
        <w:t xml:space="preserve">et al. Paramedics' experiences of administering fascia </w:t>
      </w:r>
      <w:proofErr w:type="spellStart"/>
      <w:r w:rsidR="009D549A" w:rsidRPr="001C5679">
        <w:rPr>
          <w:rFonts w:ascii="Calibri" w:hAnsi="Calibri" w:cs="Calibri"/>
          <w:sz w:val="22"/>
        </w:rPr>
        <w:t>iliaca</w:t>
      </w:r>
      <w:proofErr w:type="spellEnd"/>
      <w:r w:rsidR="009D549A" w:rsidRPr="001C5679">
        <w:rPr>
          <w:rFonts w:ascii="Calibri" w:hAnsi="Calibri" w:cs="Calibri"/>
          <w:sz w:val="22"/>
        </w:rPr>
        <w:t xml:space="preserve"> compartment block to patients in south wales with suspected hip fracture at the scene of injury: Results of focus groups. </w:t>
      </w:r>
      <w:r w:rsidR="009D549A" w:rsidRPr="00AF36F7">
        <w:rPr>
          <w:rFonts w:ascii="Calibri" w:hAnsi="Calibri" w:cs="Calibri"/>
          <w:i/>
          <w:iCs/>
          <w:sz w:val="22"/>
        </w:rPr>
        <w:t>BMJ Open</w:t>
      </w:r>
      <w:r w:rsidR="009D549A" w:rsidRPr="00AF36F7">
        <w:rPr>
          <w:rFonts w:ascii="Calibri" w:hAnsi="Calibri" w:cs="Calibri"/>
          <w:i/>
          <w:sz w:val="22"/>
        </w:rPr>
        <w:t>.</w:t>
      </w:r>
      <w:r w:rsidR="009D549A" w:rsidRPr="001C5679">
        <w:rPr>
          <w:rFonts w:ascii="Calibri" w:hAnsi="Calibri" w:cs="Calibri"/>
          <w:sz w:val="22"/>
        </w:rPr>
        <w:t xml:space="preserve"> 2019;9(2</w:t>
      </w:r>
      <w:proofErr w:type="gramStart"/>
      <w:r w:rsidR="009D549A" w:rsidRPr="001C5679">
        <w:rPr>
          <w:rFonts w:ascii="Calibri" w:hAnsi="Calibri" w:cs="Calibri"/>
          <w:sz w:val="22"/>
        </w:rPr>
        <w:t>)</w:t>
      </w:r>
      <w:r w:rsidR="00A10A36">
        <w:rPr>
          <w:rFonts w:ascii="Calibri" w:hAnsi="Calibri" w:cs="Calibri"/>
          <w:sz w:val="22"/>
        </w:rPr>
        <w:t>:e</w:t>
      </w:r>
      <w:proofErr w:type="gramEnd"/>
      <w:r w:rsidR="009D549A" w:rsidRPr="001C5679">
        <w:rPr>
          <w:rFonts w:ascii="Calibri" w:hAnsi="Calibri" w:cs="Calibri"/>
          <w:sz w:val="22"/>
        </w:rPr>
        <w:t xml:space="preserve">026073-2018-026073. </w:t>
      </w:r>
    </w:p>
    <w:p w14:paraId="000F4124" w14:textId="2443E6EE" w:rsidR="009D549A" w:rsidRPr="001C5679" w:rsidRDefault="000A6A10" w:rsidP="009D549A">
      <w:pPr>
        <w:pStyle w:val="NormalWeb"/>
        <w:spacing w:line="480" w:lineRule="auto"/>
        <w:rPr>
          <w:rFonts w:ascii="Calibri" w:hAnsi="Calibri" w:cs="Calibri"/>
          <w:sz w:val="22"/>
        </w:rPr>
      </w:pPr>
      <w:r>
        <w:rPr>
          <w:rFonts w:ascii="Calibri" w:hAnsi="Calibri" w:cs="Calibri"/>
          <w:sz w:val="22"/>
        </w:rPr>
        <w:t>18</w:t>
      </w:r>
      <w:r w:rsidR="009D549A" w:rsidRPr="001C5679">
        <w:rPr>
          <w:rFonts w:ascii="Calibri" w:hAnsi="Calibri" w:cs="Calibri"/>
          <w:sz w:val="22"/>
        </w:rPr>
        <w:t xml:space="preserve">. </w:t>
      </w:r>
      <w:proofErr w:type="spellStart"/>
      <w:r w:rsidR="009D549A" w:rsidRPr="001C5679">
        <w:rPr>
          <w:rFonts w:ascii="Calibri" w:hAnsi="Calibri" w:cs="Calibri"/>
          <w:sz w:val="22"/>
        </w:rPr>
        <w:t>Berben</w:t>
      </w:r>
      <w:proofErr w:type="spellEnd"/>
      <w:r w:rsidR="009D549A" w:rsidRPr="001C5679">
        <w:rPr>
          <w:rFonts w:ascii="Calibri" w:hAnsi="Calibri" w:cs="Calibri"/>
          <w:sz w:val="22"/>
        </w:rPr>
        <w:t xml:space="preserve"> SA, </w:t>
      </w:r>
      <w:proofErr w:type="spellStart"/>
      <w:r w:rsidR="009D549A" w:rsidRPr="001C5679">
        <w:rPr>
          <w:rFonts w:ascii="Calibri" w:hAnsi="Calibri" w:cs="Calibri"/>
          <w:sz w:val="22"/>
        </w:rPr>
        <w:t>Meijs</w:t>
      </w:r>
      <w:proofErr w:type="spellEnd"/>
      <w:r w:rsidR="009D549A" w:rsidRPr="001C5679">
        <w:rPr>
          <w:rFonts w:ascii="Calibri" w:hAnsi="Calibri" w:cs="Calibri"/>
          <w:sz w:val="22"/>
        </w:rPr>
        <w:t xml:space="preserve"> TH, van </w:t>
      </w:r>
      <w:proofErr w:type="spellStart"/>
      <w:r w:rsidR="009D549A" w:rsidRPr="001C5679">
        <w:rPr>
          <w:rFonts w:ascii="Calibri" w:hAnsi="Calibri" w:cs="Calibri"/>
          <w:sz w:val="22"/>
        </w:rPr>
        <w:t>Grunsven</w:t>
      </w:r>
      <w:proofErr w:type="spellEnd"/>
      <w:r w:rsidR="009D549A" w:rsidRPr="001C5679">
        <w:rPr>
          <w:rFonts w:ascii="Calibri" w:hAnsi="Calibri" w:cs="Calibri"/>
          <w:sz w:val="22"/>
        </w:rPr>
        <w:t xml:space="preserve"> PM, </w:t>
      </w:r>
      <w:r w:rsidR="00AF36F7">
        <w:rPr>
          <w:rFonts w:ascii="Calibri" w:hAnsi="Calibri" w:cs="Calibri"/>
          <w:sz w:val="22"/>
        </w:rPr>
        <w:t>et al.</w:t>
      </w:r>
      <w:r w:rsidR="009D549A" w:rsidRPr="001C5679">
        <w:rPr>
          <w:rFonts w:ascii="Calibri" w:hAnsi="Calibri" w:cs="Calibri"/>
          <w:sz w:val="22"/>
        </w:rPr>
        <w:t xml:space="preserve"> Facilitators and barriers in pain management for trauma patients in the chain of emergency care. </w:t>
      </w:r>
      <w:r w:rsidR="009D549A" w:rsidRPr="00AF36F7">
        <w:rPr>
          <w:rFonts w:ascii="Calibri" w:hAnsi="Calibri" w:cs="Calibri"/>
          <w:i/>
          <w:iCs/>
          <w:sz w:val="22"/>
        </w:rPr>
        <w:t>Injury</w:t>
      </w:r>
      <w:r w:rsidR="009D549A" w:rsidRPr="00AF36F7">
        <w:rPr>
          <w:rFonts w:ascii="Calibri" w:hAnsi="Calibri" w:cs="Calibri"/>
          <w:i/>
          <w:sz w:val="22"/>
        </w:rPr>
        <w:t>.</w:t>
      </w:r>
      <w:r w:rsidR="009D549A" w:rsidRPr="001C5679">
        <w:rPr>
          <w:rFonts w:ascii="Calibri" w:hAnsi="Calibri" w:cs="Calibri"/>
          <w:sz w:val="22"/>
        </w:rPr>
        <w:t xml:space="preserve"> 2012;43(9):1397-1402.</w:t>
      </w:r>
    </w:p>
    <w:p w14:paraId="6CB20BF9" w14:textId="14FFA448" w:rsidR="009D549A" w:rsidRPr="001C5679" w:rsidRDefault="000A6A10" w:rsidP="009D549A">
      <w:pPr>
        <w:pStyle w:val="NormalWeb"/>
        <w:spacing w:line="480" w:lineRule="auto"/>
        <w:rPr>
          <w:rFonts w:ascii="Calibri" w:hAnsi="Calibri" w:cs="Calibri"/>
          <w:sz w:val="22"/>
        </w:rPr>
      </w:pPr>
      <w:r>
        <w:rPr>
          <w:rFonts w:ascii="Calibri" w:hAnsi="Calibri" w:cs="Calibri"/>
          <w:sz w:val="22"/>
        </w:rPr>
        <w:t>19</w:t>
      </w:r>
      <w:r w:rsidR="009D549A" w:rsidRPr="001C5679">
        <w:rPr>
          <w:rFonts w:ascii="Calibri" w:hAnsi="Calibri" w:cs="Calibri"/>
          <w:sz w:val="22"/>
        </w:rPr>
        <w:t xml:space="preserve">. Vu EN, </w:t>
      </w:r>
      <w:proofErr w:type="spellStart"/>
      <w:r w:rsidR="009D549A" w:rsidRPr="001C5679">
        <w:rPr>
          <w:rFonts w:ascii="Calibri" w:hAnsi="Calibri" w:cs="Calibri"/>
          <w:sz w:val="22"/>
        </w:rPr>
        <w:t>Schlamp</w:t>
      </w:r>
      <w:proofErr w:type="spellEnd"/>
      <w:r w:rsidR="009D549A" w:rsidRPr="001C5679">
        <w:rPr>
          <w:rFonts w:ascii="Calibri" w:hAnsi="Calibri" w:cs="Calibri"/>
          <w:sz w:val="22"/>
        </w:rPr>
        <w:t xml:space="preserve"> RS, Wand RT, </w:t>
      </w:r>
      <w:r w:rsidR="00AF36F7">
        <w:rPr>
          <w:rFonts w:ascii="Calibri" w:hAnsi="Calibri" w:cs="Calibri"/>
          <w:sz w:val="22"/>
        </w:rPr>
        <w:t>et al</w:t>
      </w:r>
      <w:r w:rsidR="009D549A" w:rsidRPr="001C5679">
        <w:rPr>
          <w:rFonts w:ascii="Calibri" w:hAnsi="Calibri" w:cs="Calibri"/>
          <w:sz w:val="22"/>
        </w:rPr>
        <w:t xml:space="preserve">. Prehospital use of tranexamic acid for </w:t>
      </w:r>
      <w:proofErr w:type="spellStart"/>
      <w:r w:rsidR="009D549A" w:rsidRPr="001C5679">
        <w:rPr>
          <w:rFonts w:ascii="Calibri" w:hAnsi="Calibri" w:cs="Calibri"/>
          <w:sz w:val="22"/>
        </w:rPr>
        <w:t>hemorrhagic</w:t>
      </w:r>
      <w:proofErr w:type="spellEnd"/>
      <w:r w:rsidR="009D549A" w:rsidRPr="001C5679">
        <w:rPr>
          <w:rFonts w:ascii="Calibri" w:hAnsi="Calibri" w:cs="Calibri"/>
          <w:sz w:val="22"/>
        </w:rPr>
        <w:t xml:space="preserve"> shock in primary and secondary air medical evacuation. </w:t>
      </w:r>
      <w:r w:rsidR="009D549A" w:rsidRPr="00AF36F7">
        <w:rPr>
          <w:rFonts w:ascii="Calibri" w:hAnsi="Calibri" w:cs="Calibri"/>
          <w:i/>
          <w:iCs/>
          <w:sz w:val="22"/>
        </w:rPr>
        <w:t>Air Med</w:t>
      </w:r>
      <w:r w:rsidR="00934234">
        <w:rPr>
          <w:rFonts w:ascii="Calibri" w:hAnsi="Calibri" w:cs="Calibri"/>
          <w:i/>
          <w:iCs/>
          <w:sz w:val="22"/>
        </w:rPr>
        <w:t>ical</w:t>
      </w:r>
      <w:r w:rsidR="009D549A" w:rsidRPr="00AF36F7">
        <w:rPr>
          <w:rFonts w:ascii="Calibri" w:hAnsi="Calibri" w:cs="Calibri"/>
          <w:i/>
          <w:iCs/>
          <w:sz w:val="22"/>
        </w:rPr>
        <w:t xml:space="preserve"> J</w:t>
      </w:r>
      <w:r w:rsidR="00934234">
        <w:rPr>
          <w:rFonts w:ascii="Calibri" w:hAnsi="Calibri" w:cs="Calibri"/>
          <w:i/>
          <w:iCs/>
          <w:sz w:val="22"/>
        </w:rPr>
        <w:t>ournal</w:t>
      </w:r>
      <w:r w:rsidR="009D549A" w:rsidRPr="00AF36F7">
        <w:rPr>
          <w:rFonts w:ascii="Calibri" w:hAnsi="Calibri" w:cs="Calibri"/>
          <w:i/>
          <w:sz w:val="22"/>
        </w:rPr>
        <w:t>.</w:t>
      </w:r>
      <w:r w:rsidR="009D549A" w:rsidRPr="001C5679">
        <w:rPr>
          <w:rFonts w:ascii="Calibri" w:hAnsi="Calibri" w:cs="Calibri"/>
          <w:sz w:val="22"/>
        </w:rPr>
        <w:t xml:space="preserve"> 2013;32(5):289-292.</w:t>
      </w:r>
    </w:p>
    <w:p w14:paraId="058251FC" w14:textId="0A11F1BF" w:rsidR="009D549A" w:rsidRPr="001C5679" w:rsidRDefault="00B86565" w:rsidP="009D549A">
      <w:pPr>
        <w:pStyle w:val="NormalWeb"/>
        <w:spacing w:line="480" w:lineRule="auto"/>
        <w:rPr>
          <w:rFonts w:ascii="Calibri" w:hAnsi="Calibri" w:cs="Calibri"/>
          <w:sz w:val="22"/>
        </w:rPr>
      </w:pPr>
      <w:r>
        <w:rPr>
          <w:rFonts w:ascii="Calibri" w:hAnsi="Calibri" w:cs="Calibri"/>
          <w:sz w:val="22"/>
        </w:rPr>
        <w:t>2</w:t>
      </w:r>
      <w:r w:rsidR="000A6A10">
        <w:rPr>
          <w:rFonts w:ascii="Calibri" w:hAnsi="Calibri" w:cs="Calibri"/>
          <w:sz w:val="22"/>
        </w:rPr>
        <w:t>0</w:t>
      </w:r>
      <w:r w:rsidR="009D549A" w:rsidRPr="001C5679">
        <w:rPr>
          <w:rFonts w:ascii="Calibri" w:hAnsi="Calibri" w:cs="Calibri"/>
          <w:sz w:val="22"/>
        </w:rPr>
        <w:t>. Bedson AM, Latter SM. Providing medicines in emergency and urgent care: A survey of specialist paramedics</w:t>
      </w:r>
      <w:r w:rsidR="00A10A36">
        <w:rPr>
          <w:rFonts w:ascii="Calibri" w:hAnsi="Calibri" w:cs="Calibri"/>
          <w:sz w:val="22"/>
        </w:rPr>
        <w:t>’</w:t>
      </w:r>
      <w:r w:rsidR="009D549A" w:rsidRPr="001C5679">
        <w:rPr>
          <w:rFonts w:ascii="Calibri" w:hAnsi="Calibri" w:cs="Calibri"/>
          <w:sz w:val="22"/>
        </w:rPr>
        <w:t xml:space="preserve"> experiences of medication supply and views on paramedic independent prescribing. </w:t>
      </w:r>
      <w:r w:rsidR="009D549A" w:rsidRPr="00AF36F7">
        <w:rPr>
          <w:rFonts w:ascii="Calibri" w:hAnsi="Calibri" w:cs="Calibri"/>
          <w:i/>
          <w:iCs/>
          <w:sz w:val="22"/>
        </w:rPr>
        <w:t>British Paramedic Journal</w:t>
      </w:r>
      <w:r w:rsidR="009D549A" w:rsidRPr="00AF36F7">
        <w:rPr>
          <w:rFonts w:ascii="Calibri" w:hAnsi="Calibri" w:cs="Calibri"/>
          <w:i/>
          <w:sz w:val="22"/>
        </w:rPr>
        <w:t>.</w:t>
      </w:r>
      <w:r w:rsidR="009D549A" w:rsidRPr="001C5679">
        <w:rPr>
          <w:rFonts w:ascii="Calibri" w:hAnsi="Calibri" w:cs="Calibri"/>
          <w:sz w:val="22"/>
        </w:rPr>
        <w:t xml:space="preserve"> 2018;3(3):1-9.</w:t>
      </w:r>
    </w:p>
    <w:p w14:paraId="738FF434" w14:textId="10CB0994" w:rsidR="009D549A" w:rsidRPr="001C5679" w:rsidRDefault="00B86565" w:rsidP="009D549A">
      <w:pPr>
        <w:pStyle w:val="NormalWeb"/>
        <w:spacing w:line="480" w:lineRule="auto"/>
        <w:rPr>
          <w:rFonts w:ascii="Calibri" w:hAnsi="Calibri" w:cs="Calibri"/>
          <w:sz w:val="22"/>
        </w:rPr>
      </w:pPr>
      <w:r>
        <w:rPr>
          <w:rFonts w:ascii="Calibri" w:hAnsi="Calibri" w:cs="Calibri"/>
          <w:sz w:val="22"/>
        </w:rPr>
        <w:t>2</w:t>
      </w:r>
      <w:r w:rsidR="000A6A10">
        <w:rPr>
          <w:rFonts w:ascii="Calibri" w:hAnsi="Calibri" w:cs="Calibri"/>
          <w:sz w:val="22"/>
        </w:rPr>
        <w:t>1</w:t>
      </w:r>
      <w:r w:rsidR="009D549A" w:rsidRPr="001C5679">
        <w:rPr>
          <w:rFonts w:ascii="Calibri" w:hAnsi="Calibri" w:cs="Calibri"/>
          <w:sz w:val="22"/>
        </w:rPr>
        <w:t xml:space="preserve">. Fisher AD, </w:t>
      </w:r>
      <w:proofErr w:type="spellStart"/>
      <w:r w:rsidR="009D549A" w:rsidRPr="001C5679">
        <w:rPr>
          <w:rFonts w:ascii="Calibri" w:hAnsi="Calibri" w:cs="Calibri"/>
          <w:sz w:val="22"/>
        </w:rPr>
        <w:t>Carius</w:t>
      </w:r>
      <w:proofErr w:type="spellEnd"/>
      <w:r w:rsidR="009D549A" w:rsidRPr="001C5679">
        <w:rPr>
          <w:rFonts w:ascii="Calibri" w:hAnsi="Calibri" w:cs="Calibri"/>
          <w:sz w:val="22"/>
        </w:rPr>
        <w:t xml:space="preserve"> BM, April MD, </w:t>
      </w:r>
      <w:r w:rsidR="00AF36F7">
        <w:rPr>
          <w:rFonts w:ascii="Calibri" w:hAnsi="Calibri" w:cs="Calibri"/>
          <w:sz w:val="22"/>
        </w:rPr>
        <w:t>et al</w:t>
      </w:r>
      <w:r w:rsidR="009D549A" w:rsidRPr="001C5679">
        <w:rPr>
          <w:rFonts w:ascii="Calibri" w:hAnsi="Calibri" w:cs="Calibri"/>
          <w:sz w:val="22"/>
        </w:rPr>
        <w:t xml:space="preserve">. An analysis of adherence to tactical combat casualty care guidelines for the administration of tranexamic acid. </w:t>
      </w:r>
      <w:r w:rsidR="00934234" w:rsidRPr="00934234">
        <w:rPr>
          <w:rFonts w:ascii="Calibri" w:hAnsi="Calibri" w:cs="Calibri"/>
          <w:i/>
          <w:sz w:val="22"/>
        </w:rPr>
        <w:t xml:space="preserve">The </w:t>
      </w:r>
      <w:r w:rsidR="009D549A" w:rsidRPr="00AF36F7">
        <w:rPr>
          <w:rFonts w:ascii="Calibri" w:hAnsi="Calibri" w:cs="Calibri"/>
          <w:i/>
          <w:iCs/>
          <w:sz w:val="22"/>
        </w:rPr>
        <w:t>J</w:t>
      </w:r>
      <w:r w:rsidR="00934234">
        <w:rPr>
          <w:rFonts w:ascii="Calibri" w:hAnsi="Calibri" w:cs="Calibri"/>
          <w:i/>
          <w:iCs/>
          <w:sz w:val="22"/>
        </w:rPr>
        <w:t>ournal of</w:t>
      </w:r>
      <w:r w:rsidR="009D549A" w:rsidRPr="00AF36F7">
        <w:rPr>
          <w:rFonts w:ascii="Calibri" w:hAnsi="Calibri" w:cs="Calibri"/>
          <w:i/>
          <w:iCs/>
          <w:sz w:val="22"/>
        </w:rPr>
        <w:t xml:space="preserve"> Emerg</w:t>
      </w:r>
      <w:r w:rsidR="00934234">
        <w:rPr>
          <w:rFonts w:ascii="Calibri" w:hAnsi="Calibri" w:cs="Calibri"/>
          <w:i/>
          <w:iCs/>
          <w:sz w:val="22"/>
        </w:rPr>
        <w:t>ency</w:t>
      </w:r>
      <w:r w:rsidR="009D549A" w:rsidRPr="00AF36F7">
        <w:rPr>
          <w:rFonts w:ascii="Calibri" w:hAnsi="Calibri" w:cs="Calibri"/>
          <w:i/>
          <w:iCs/>
          <w:sz w:val="22"/>
        </w:rPr>
        <w:t xml:space="preserve"> Med</w:t>
      </w:r>
      <w:r w:rsidR="00934234">
        <w:rPr>
          <w:rFonts w:ascii="Calibri" w:hAnsi="Calibri" w:cs="Calibri"/>
          <w:i/>
          <w:iCs/>
          <w:sz w:val="22"/>
        </w:rPr>
        <w:t>icine</w:t>
      </w:r>
      <w:r w:rsidR="009D549A" w:rsidRPr="00AF36F7">
        <w:rPr>
          <w:rFonts w:ascii="Calibri" w:hAnsi="Calibri" w:cs="Calibri"/>
          <w:i/>
          <w:sz w:val="22"/>
        </w:rPr>
        <w:t>.</w:t>
      </w:r>
      <w:r w:rsidR="009D549A" w:rsidRPr="001C5679">
        <w:rPr>
          <w:rFonts w:ascii="Calibri" w:hAnsi="Calibri" w:cs="Calibri"/>
          <w:sz w:val="22"/>
        </w:rPr>
        <w:t xml:space="preserve"> 2019;57(5):646-652.</w:t>
      </w:r>
    </w:p>
    <w:p w14:paraId="170A5C1F" w14:textId="7532ED1A" w:rsidR="009D549A" w:rsidRPr="001C5679" w:rsidRDefault="00B86565" w:rsidP="009D549A">
      <w:pPr>
        <w:pStyle w:val="NormalWeb"/>
        <w:spacing w:line="480" w:lineRule="auto"/>
        <w:rPr>
          <w:rFonts w:ascii="Calibri" w:hAnsi="Calibri" w:cs="Calibri"/>
          <w:sz w:val="22"/>
        </w:rPr>
      </w:pPr>
      <w:r>
        <w:rPr>
          <w:rFonts w:ascii="Calibri" w:hAnsi="Calibri" w:cs="Calibri"/>
          <w:sz w:val="22"/>
        </w:rPr>
        <w:lastRenderedPageBreak/>
        <w:t>2</w:t>
      </w:r>
      <w:r w:rsidR="000A6A10">
        <w:rPr>
          <w:rFonts w:ascii="Calibri" w:hAnsi="Calibri" w:cs="Calibri"/>
          <w:sz w:val="22"/>
        </w:rPr>
        <w:t>2</w:t>
      </w:r>
      <w:r w:rsidR="009D549A" w:rsidRPr="001C5679">
        <w:rPr>
          <w:rFonts w:ascii="Calibri" w:hAnsi="Calibri" w:cs="Calibri"/>
          <w:sz w:val="22"/>
        </w:rPr>
        <w:t>. Joint Royal Colleges Ambulance Liaison Committee</w:t>
      </w:r>
      <w:r w:rsidR="00E646E7">
        <w:rPr>
          <w:rFonts w:ascii="Calibri" w:hAnsi="Calibri" w:cs="Calibri"/>
          <w:sz w:val="22"/>
        </w:rPr>
        <w:t xml:space="preserve">, </w:t>
      </w:r>
      <w:r w:rsidR="009D549A" w:rsidRPr="001C5679">
        <w:rPr>
          <w:rFonts w:ascii="Calibri" w:hAnsi="Calibri" w:cs="Calibri"/>
          <w:sz w:val="22"/>
        </w:rPr>
        <w:t xml:space="preserve">Association of </w:t>
      </w:r>
      <w:r w:rsidR="00E646E7">
        <w:rPr>
          <w:rFonts w:ascii="Calibri" w:hAnsi="Calibri" w:cs="Calibri"/>
          <w:sz w:val="22"/>
        </w:rPr>
        <w:t>A</w:t>
      </w:r>
      <w:r w:rsidR="009D549A" w:rsidRPr="001C5679">
        <w:rPr>
          <w:rFonts w:ascii="Calibri" w:hAnsi="Calibri" w:cs="Calibri"/>
          <w:sz w:val="22"/>
        </w:rPr>
        <w:t>mbulance</w:t>
      </w:r>
      <w:r w:rsidR="00E646E7">
        <w:rPr>
          <w:rFonts w:ascii="Calibri" w:hAnsi="Calibri" w:cs="Calibri"/>
          <w:sz w:val="22"/>
        </w:rPr>
        <w:t xml:space="preserve"> C</w:t>
      </w:r>
      <w:r w:rsidR="009D549A" w:rsidRPr="001C5679">
        <w:rPr>
          <w:rFonts w:ascii="Calibri" w:hAnsi="Calibri" w:cs="Calibri"/>
          <w:sz w:val="22"/>
        </w:rPr>
        <w:t xml:space="preserve">hief </w:t>
      </w:r>
      <w:r w:rsidR="00E646E7">
        <w:rPr>
          <w:rFonts w:ascii="Calibri" w:hAnsi="Calibri" w:cs="Calibri"/>
          <w:sz w:val="22"/>
        </w:rPr>
        <w:t>E</w:t>
      </w:r>
      <w:r w:rsidR="009D549A" w:rsidRPr="001C5679">
        <w:rPr>
          <w:rFonts w:ascii="Calibri" w:hAnsi="Calibri" w:cs="Calibri"/>
          <w:sz w:val="22"/>
        </w:rPr>
        <w:t xml:space="preserve">xecutives. </w:t>
      </w:r>
      <w:r w:rsidR="009D549A" w:rsidRPr="001C5679">
        <w:rPr>
          <w:rFonts w:ascii="Calibri" w:hAnsi="Calibri" w:cs="Calibri"/>
          <w:iCs/>
          <w:sz w:val="22"/>
        </w:rPr>
        <w:t>UK Ambulance Services Clinical Practice Guidelines</w:t>
      </w:r>
      <w:r w:rsidR="00A10A36">
        <w:rPr>
          <w:rFonts w:ascii="Calibri" w:hAnsi="Calibri" w:cs="Calibri"/>
          <w:iCs/>
          <w:sz w:val="22"/>
        </w:rPr>
        <w:t xml:space="preserve"> 2016</w:t>
      </w:r>
      <w:r w:rsidR="009D549A" w:rsidRPr="001C5679">
        <w:rPr>
          <w:rFonts w:ascii="Calibri" w:hAnsi="Calibri" w:cs="Calibri"/>
          <w:sz w:val="22"/>
        </w:rPr>
        <w:t xml:space="preserve">. </w:t>
      </w:r>
      <w:r w:rsidR="00A10A36">
        <w:rPr>
          <w:rFonts w:ascii="Calibri" w:hAnsi="Calibri" w:cs="Calibri"/>
          <w:sz w:val="22"/>
        </w:rPr>
        <w:t xml:space="preserve">Somerset: Class Professional Publishing; </w:t>
      </w:r>
      <w:r w:rsidR="009D549A" w:rsidRPr="001C5679">
        <w:rPr>
          <w:rFonts w:ascii="Calibri" w:hAnsi="Calibri" w:cs="Calibri"/>
          <w:sz w:val="22"/>
        </w:rPr>
        <w:t>2016.</w:t>
      </w:r>
    </w:p>
    <w:p w14:paraId="348689AA" w14:textId="1B9F562F" w:rsidR="00B905D6" w:rsidRDefault="00B905D6" w:rsidP="00B86565">
      <w:pPr>
        <w:pStyle w:val="NormalWeb"/>
        <w:spacing w:line="480" w:lineRule="auto"/>
        <w:rPr>
          <w:rFonts w:ascii="Calibri" w:hAnsi="Calibri" w:cs="Calibri"/>
          <w:sz w:val="22"/>
        </w:rPr>
      </w:pPr>
      <w:r>
        <w:rPr>
          <w:rFonts w:ascii="Calibri" w:hAnsi="Calibri" w:cs="Calibri"/>
          <w:sz w:val="22"/>
        </w:rPr>
        <w:t>2</w:t>
      </w:r>
      <w:r w:rsidR="000A6A10">
        <w:rPr>
          <w:rFonts w:ascii="Calibri" w:hAnsi="Calibri" w:cs="Calibri"/>
          <w:sz w:val="22"/>
        </w:rPr>
        <w:t>3</w:t>
      </w:r>
      <w:r>
        <w:rPr>
          <w:rFonts w:ascii="Calibri" w:hAnsi="Calibri" w:cs="Calibri"/>
          <w:sz w:val="22"/>
        </w:rPr>
        <w:t xml:space="preserve">. </w:t>
      </w:r>
      <w:r w:rsidRPr="00B905D6">
        <w:rPr>
          <w:rFonts w:ascii="Calibri" w:hAnsi="Calibri" w:cs="Calibri"/>
          <w:sz w:val="22"/>
        </w:rPr>
        <w:t xml:space="preserve">Haslam NR, </w:t>
      </w:r>
      <w:proofErr w:type="spellStart"/>
      <w:r w:rsidRPr="00B905D6">
        <w:rPr>
          <w:rFonts w:ascii="Calibri" w:hAnsi="Calibri" w:cs="Calibri"/>
          <w:sz w:val="22"/>
        </w:rPr>
        <w:t>Bouamra</w:t>
      </w:r>
      <w:proofErr w:type="spellEnd"/>
      <w:r w:rsidRPr="00B905D6">
        <w:rPr>
          <w:rFonts w:ascii="Calibri" w:hAnsi="Calibri" w:cs="Calibri"/>
          <w:sz w:val="22"/>
        </w:rPr>
        <w:t xml:space="preserve"> </w:t>
      </w:r>
      <w:r>
        <w:rPr>
          <w:rFonts w:ascii="Calibri" w:hAnsi="Calibri" w:cs="Calibri"/>
          <w:sz w:val="22"/>
        </w:rPr>
        <w:t>O</w:t>
      </w:r>
      <w:r w:rsidRPr="00B905D6">
        <w:rPr>
          <w:rFonts w:ascii="Calibri" w:hAnsi="Calibri" w:cs="Calibri"/>
          <w:sz w:val="22"/>
        </w:rPr>
        <w:t xml:space="preserve">, Lawrence T, </w:t>
      </w:r>
      <w:r>
        <w:rPr>
          <w:rFonts w:ascii="Calibri" w:hAnsi="Calibri" w:cs="Calibri"/>
          <w:sz w:val="22"/>
        </w:rPr>
        <w:t>et al</w:t>
      </w:r>
      <w:r w:rsidRPr="00B905D6">
        <w:rPr>
          <w:rFonts w:ascii="Calibri" w:hAnsi="Calibri" w:cs="Calibri"/>
          <w:sz w:val="22"/>
        </w:rPr>
        <w:t xml:space="preserve">. Time to definitive care within major trauma networks in England. </w:t>
      </w:r>
      <w:r w:rsidRPr="00B905D6">
        <w:rPr>
          <w:rFonts w:ascii="Calibri" w:hAnsi="Calibri" w:cs="Calibri"/>
          <w:i/>
          <w:sz w:val="22"/>
        </w:rPr>
        <w:t>BJS Open.</w:t>
      </w:r>
      <w:r w:rsidRPr="00B905D6">
        <w:rPr>
          <w:rFonts w:ascii="Calibri" w:hAnsi="Calibri" w:cs="Calibri"/>
          <w:sz w:val="22"/>
        </w:rPr>
        <w:t xml:space="preserve"> 2020;4(5):963–969. </w:t>
      </w:r>
    </w:p>
    <w:p w14:paraId="61EA98A4" w14:textId="304DC792" w:rsidR="001238F4" w:rsidRPr="001238F4" w:rsidRDefault="00B86565" w:rsidP="00B86565">
      <w:pPr>
        <w:pStyle w:val="NormalWeb"/>
        <w:spacing w:line="480" w:lineRule="auto"/>
        <w:rPr>
          <w:rFonts w:ascii="Calibri" w:hAnsi="Calibri" w:cs="Calibri"/>
          <w:b/>
          <w:sz w:val="22"/>
        </w:rPr>
      </w:pPr>
      <w:r>
        <w:rPr>
          <w:rFonts w:ascii="Calibri" w:hAnsi="Calibri" w:cs="Calibri"/>
          <w:sz w:val="22"/>
        </w:rPr>
        <w:t>2</w:t>
      </w:r>
      <w:r w:rsidR="000A6A10">
        <w:rPr>
          <w:rFonts w:ascii="Calibri" w:hAnsi="Calibri" w:cs="Calibri"/>
          <w:sz w:val="22"/>
        </w:rPr>
        <w:t>4</w:t>
      </w:r>
      <w:r w:rsidR="009D549A" w:rsidRPr="001C5679">
        <w:rPr>
          <w:rFonts w:ascii="Calibri" w:hAnsi="Calibri" w:cs="Calibri"/>
          <w:sz w:val="22"/>
        </w:rPr>
        <w:t xml:space="preserve">. </w:t>
      </w:r>
      <w:r w:rsidRPr="001C5679">
        <w:rPr>
          <w:rFonts w:ascii="Calibri" w:hAnsi="Calibri" w:cs="Calibri"/>
          <w:sz w:val="22"/>
        </w:rPr>
        <w:t xml:space="preserve">Marsden ME, </w:t>
      </w:r>
      <w:proofErr w:type="spellStart"/>
      <w:r w:rsidRPr="001C5679">
        <w:rPr>
          <w:rFonts w:ascii="Calibri" w:hAnsi="Calibri" w:cs="Calibri"/>
          <w:sz w:val="22"/>
        </w:rPr>
        <w:t>Rossetto</w:t>
      </w:r>
      <w:proofErr w:type="spellEnd"/>
      <w:r w:rsidRPr="001C5679">
        <w:rPr>
          <w:rFonts w:ascii="Calibri" w:hAnsi="Calibri" w:cs="Calibri"/>
          <w:sz w:val="22"/>
        </w:rPr>
        <w:t xml:space="preserve"> A, Duffield CA, et al. Prehospital tranexamic acid shortens the interval to administration by half in major trauma networks: A service evaluation. </w:t>
      </w:r>
      <w:r w:rsidRPr="00AF36F7">
        <w:rPr>
          <w:rFonts w:ascii="Calibri" w:hAnsi="Calibri" w:cs="Calibri"/>
          <w:i/>
          <w:iCs/>
          <w:sz w:val="22"/>
        </w:rPr>
        <w:t>Emergency Medicine Journal</w:t>
      </w:r>
      <w:r w:rsidRPr="001C5679">
        <w:rPr>
          <w:rFonts w:ascii="Calibri" w:hAnsi="Calibri" w:cs="Calibri"/>
          <w:sz w:val="22"/>
        </w:rPr>
        <w:t>. 2019;36(7):395-400.</w:t>
      </w:r>
    </w:p>
    <w:sectPr w:rsidR="001238F4" w:rsidRPr="001238F4" w:rsidSect="00F5243A">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B08B" w16cex:dateUtc="2021-09-28T22:17:00Z"/>
  <w16cex:commentExtensible w16cex:durableId="24FDB114" w16cex:dateUtc="2021-09-28T22:19:00Z"/>
  <w16cex:commentExtensible w16cex:durableId="24FDB419" w16cex:dateUtc="2021-09-28T22: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0EB71" w14:textId="77777777" w:rsidR="00382725" w:rsidRDefault="00382725" w:rsidP="00F755E3">
      <w:pPr>
        <w:spacing w:after="0" w:line="240" w:lineRule="auto"/>
      </w:pPr>
      <w:r>
        <w:separator/>
      </w:r>
    </w:p>
  </w:endnote>
  <w:endnote w:type="continuationSeparator" w:id="0">
    <w:p w14:paraId="5E8833CD" w14:textId="77777777" w:rsidR="00382725" w:rsidRDefault="00382725" w:rsidP="00F755E3">
      <w:pPr>
        <w:spacing w:after="0" w:line="240" w:lineRule="auto"/>
      </w:pPr>
      <w:r>
        <w:continuationSeparator/>
      </w:r>
    </w:p>
  </w:endnote>
  <w:endnote w:type="continuationNotice" w:id="1">
    <w:p w14:paraId="474C4B6C" w14:textId="77777777" w:rsidR="00382725" w:rsidRDefault="00382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bvkvgAdvTTe45e47d2">
    <w:altName w:val="Calibri"/>
    <w:panose1 w:val="00000000000000000000"/>
    <w:charset w:val="00"/>
    <w:family w:val="swiss"/>
    <w:notTrueType/>
    <w:pitch w:val="default"/>
    <w:sig w:usb0="00000003" w:usb1="00000000" w:usb2="00000000" w:usb3="00000000" w:csb0="00000001" w:csb1="00000000"/>
  </w:font>
  <w:font w:name="PsjxpnYngrgfAdvTTb5929f4c">
    <w:altName w:val="Calibri"/>
    <w:panose1 w:val="00000000000000000000"/>
    <w:charset w:val="00"/>
    <w:family w:val="swiss"/>
    <w:notTrueType/>
    <w:pitch w:val="default"/>
    <w:sig w:usb0="00000003" w:usb1="00000000" w:usb2="00000000" w:usb3="00000000" w:csb0="00000001" w:csb1="00000000"/>
  </w:font>
  <w:font w:name="DqclqhAdvTTb5929f4c+20">
    <w:altName w:val="Calibri"/>
    <w:panose1 w:val="00000000000000000000"/>
    <w:charset w:val="00"/>
    <w:family w:val="swiss"/>
    <w:notTrueType/>
    <w:pitch w:val="default"/>
    <w:sig w:usb0="00000003" w:usb1="00000000" w:usb2="00000000" w:usb3="00000000" w:csb0="0000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3F39" w14:textId="77777777" w:rsidR="00382725" w:rsidRDefault="00382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E945" w14:textId="77777777" w:rsidR="00382725" w:rsidRDefault="00382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9D4BF" w14:textId="77777777" w:rsidR="00382725" w:rsidRDefault="0038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E4EEE" w14:textId="77777777" w:rsidR="00382725" w:rsidRDefault="00382725" w:rsidP="00F755E3">
      <w:pPr>
        <w:spacing w:after="0" w:line="240" w:lineRule="auto"/>
      </w:pPr>
      <w:r>
        <w:separator/>
      </w:r>
    </w:p>
  </w:footnote>
  <w:footnote w:type="continuationSeparator" w:id="0">
    <w:p w14:paraId="0DCEFEA5" w14:textId="77777777" w:rsidR="00382725" w:rsidRDefault="00382725" w:rsidP="00F755E3">
      <w:pPr>
        <w:spacing w:after="0" w:line="240" w:lineRule="auto"/>
      </w:pPr>
      <w:r>
        <w:continuationSeparator/>
      </w:r>
    </w:p>
  </w:footnote>
  <w:footnote w:type="continuationNotice" w:id="1">
    <w:p w14:paraId="33F6FEA0" w14:textId="77777777" w:rsidR="00382725" w:rsidRDefault="00382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0A44" w14:textId="77777777" w:rsidR="00382725" w:rsidRDefault="00382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763527"/>
      <w:docPartObj>
        <w:docPartGallery w:val="Page Numbers (Top of Page)"/>
        <w:docPartUnique/>
      </w:docPartObj>
    </w:sdtPr>
    <w:sdtEndPr>
      <w:rPr>
        <w:noProof/>
      </w:rPr>
    </w:sdtEndPr>
    <w:sdtContent>
      <w:p w14:paraId="1653634E" w14:textId="05F0933F" w:rsidR="00382725" w:rsidRDefault="003827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5CC2C2" w14:textId="77777777" w:rsidR="00382725" w:rsidRDefault="00382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0130" w14:textId="77777777" w:rsidR="00382725" w:rsidRDefault="00382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BC8"/>
    <w:multiLevelType w:val="hybridMultilevel"/>
    <w:tmpl w:val="E61077A2"/>
    <w:lvl w:ilvl="0" w:tplc="03B4833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6735A"/>
    <w:multiLevelType w:val="hybridMultilevel"/>
    <w:tmpl w:val="2340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B73FF"/>
    <w:multiLevelType w:val="hybridMultilevel"/>
    <w:tmpl w:val="87949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AD0EA5"/>
    <w:multiLevelType w:val="multilevel"/>
    <w:tmpl w:val="FDD0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76AE3"/>
    <w:multiLevelType w:val="hybridMultilevel"/>
    <w:tmpl w:val="206AE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F04F9"/>
    <w:multiLevelType w:val="multilevel"/>
    <w:tmpl w:val="C2CC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AC5653"/>
    <w:multiLevelType w:val="hybridMultilevel"/>
    <w:tmpl w:val="33280ADE"/>
    <w:lvl w:ilvl="0" w:tplc="49B4DF3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88344B"/>
    <w:multiLevelType w:val="hybridMultilevel"/>
    <w:tmpl w:val="AE8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98"/>
    <w:rsid w:val="0000042B"/>
    <w:rsid w:val="000012BC"/>
    <w:rsid w:val="00017DA9"/>
    <w:rsid w:val="00027C0C"/>
    <w:rsid w:val="00030E4A"/>
    <w:rsid w:val="00034417"/>
    <w:rsid w:val="00037E73"/>
    <w:rsid w:val="0004790A"/>
    <w:rsid w:val="000550FE"/>
    <w:rsid w:val="00064943"/>
    <w:rsid w:val="00072B81"/>
    <w:rsid w:val="00073991"/>
    <w:rsid w:val="00075686"/>
    <w:rsid w:val="0008071F"/>
    <w:rsid w:val="00082867"/>
    <w:rsid w:val="0008293B"/>
    <w:rsid w:val="00083114"/>
    <w:rsid w:val="00091E22"/>
    <w:rsid w:val="000A1712"/>
    <w:rsid w:val="000A49BB"/>
    <w:rsid w:val="000A66D5"/>
    <w:rsid w:val="000A6A10"/>
    <w:rsid w:val="000A7147"/>
    <w:rsid w:val="000B190D"/>
    <w:rsid w:val="000B1985"/>
    <w:rsid w:val="000B28AA"/>
    <w:rsid w:val="000B5C3E"/>
    <w:rsid w:val="000C13EF"/>
    <w:rsid w:val="000D1BF9"/>
    <w:rsid w:val="000D5217"/>
    <w:rsid w:val="000E05DF"/>
    <w:rsid w:val="000E154B"/>
    <w:rsid w:val="000E2BE0"/>
    <w:rsid w:val="000E4F9D"/>
    <w:rsid w:val="000E5C1C"/>
    <w:rsid w:val="000F0193"/>
    <w:rsid w:val="000F0692"/>
    <w:rsid w:val="000F0B8D"/>
    <w:rsid w:val="000F5B28"/>
    <w:rsid w:val="000F71BD"/>
    <w:rsid w:val="000F7392"/>
    <w:rsid w:val="000F7ECD"/>
    <w:rsid w:val="0010432B"/>
    <w:rsid w:val="00105CD1"/>
    <w:rsid w:val="0011295C"/>
    <w:rsid w:val="001171A6"/>
    <w:rsid w:val="00120735"/>
    <w:rsid w:val="00123269"/>
    <w:rsid w:val="001238F4"/>
    <w:rsid w:val="001238F8"/>
    <w:rsid w:val="0012668C"/>
    <w:rsid w:val="001304AB"/>
    <w:rsid w:val="00131BC9"/>
    <w:rsid w:val="001432EE"/>
    <w:rsid w:val="00147C53"/>
    <w:rsid w:val="00151BC9"/>
    <w:rsid w:val="00153A3E"/>
    <w:rsid w:val="00157B1B"/>
    <w:rsid w:val="00157EA9"/>
    <w:rsid w:val="00157F38"/>
    <w:rsid w:val="001603BC"/>
    <w:rsid w:val="001724CA"/>
    <w:rsid w:val="001740AB"/>
    <w:rsid w:val="00176F70"/>
    <w:rsid w:val="001802F6"/>
    <w:rsid w:val="00190D1D"/>
    <w:rsid w:val="00193CB5"/>
    <w:rsid w:val="001944C9"/>
    <w:rsid w:val="001A05CF"/>
    <w:rsid w:val="001A295C"/>
    <w:rsid w:val="001B04F9"/>
    <w:rsid w:val="001B2F68"/>
    <w:rsid w:val="001C5679"/>
    <w:rsid w:val="001D0D5E"/>
    <w:rsid w:val="001D4E0B"/>
    <w:rsid w:val="001D51EC"/>
    <w:rsid w:val="001D5BEB"/>
    <w:rsid w:val="001D7155"/>
    <w:rsid w:val="001E1A91"/>
    <w:rsid w:val="001E228D"/>
    <w:rsid w:val="001F0A8A"/>
    <w:rsid w:val="00203F81"/>
    <w:rsid w:val="002055A7"/>
    <w:rsid w:val="00207658"/>
    <w:rsid w:val="002077B9"/>
    <w:rsid w:val="00211AAD"/>
    <w:rsid w:val="00212AA8"/>
    <w:rsid w:val="00213DB2"/>
    <w:rsid w:val="00215B50"/>
    <w:rsid w:val="0021632E"/>
    <w:rsid w:val="00217D68"/>
    <w:rsid w:val="00227194"/>
    <w:rsid w:val="00233D11"/>
    <w:rsid w:val="00234788"/>
    <w:rsid w:val="00235B10"/>
    <w:rsid w:val="00237D7D"/>
    <w:rsid w:val="00242D84"/>
    <w:rsid w:val="002433EA"/>
    <w:rsid w:val="002501AA"/>
    <w:rsid w:val="00250DE3"/>
    <w:rsid w:val="002573CF"/>
    <w:rsid w:val="00260A31"/>
    <w:rsid w:val="00262A50"/>
    <w:rsid w:val="00265642"/>
    <w:rsid w:val="002765CC"/>
    <w:rsid w:val="002804B0"/>
    <w:rsid w:val="002816ED"/>
    <w:rsid w:val="00286BD3"/>
    <w:rsid w:val="00295353"/>
    <w:rsid w:val="002A5609"/>
    <w:rsid w:val="002B0EB2"/>
    <w:rsid w:val="002B37BE"/>
    <w:rsid w:val="002B4D87"/>
    <w:rsid w:val="002B72CD"/>
    <w:rsid w:val="002C07B1"/>
    <w:rsid w:val="002C4BAB"/>
    <w:rsid w:val="002C5A05"/>
    <w:rsid w:val="002D09CB"/>
    <w:rsid w:val="002D1732"/>
    <w:rsid w:val="002E2128"/>
    <w:rsid w:val="002E6BF5"/>
    <w:rsid w:val="002F40DF"/>
    <w:rsid w:val="002F5785"/>
    <w:rsid w:val="002F731F"/>
    <w:rsid w:val="003017E8"/>
    <w:rsid w:val="003032E4"/>
    <w:rsid w:val="00305A9D"/>
    <w:rsid w:val="00316C81"/>
    <w:rsid w:val="00326347"/>
    <w:rsid w:val="0033167A"/>
    <w:rsid w:val="0033531A"/>
    <w:rsid w:val="00341C7C"/>
    <w:rsid w:val="003445F3"/>
    <w:rsid w:val="00350403"/>
    <w:rsid w:val="003505A5"/>
    <w:rsid w:val="003506AF"/>
    <w:rsid w:val="00353DB0"/>
    <w:rsid w:val="00360725"/>
    <w:rsid w:val="00360778"/>
    <w:rsid w:val="00361271"/>
    <w:rsid w:val="00364F6A"/>
    <w:rsid w:val="00367794"/>
    <w:rsid w:val="00372226"/>
    <w:rsid w:val="00374E18"/>
    <w:rsid w:val="00382725"/>
    <w:rsid w:val="00393751"/>
    <w:rsid w:val="00397537"/>
    <w:rsid w:val="003A7551"/>
    <w:rsid w:val="003B6008"/>
    <w:rsid w:val="003C0476"/>
    <w:rsid w:val="003C0893"/>
    <w:rsid w:val="003C2D1B"/>
    <w:rsid w:val="003C7F14"/>
    <w:rsid w:val="003D13E3"/>
    <w:rsid w:val="003D7D47"/>
    <w:rsid w:val="003E1649"/>
    <w:rsid w:val="003E1F0C"/>
    <w:rsid w:val="003E302F"/>
    <w:rsid w:val="003F0666"/>
    <w:rsid w:val="003F230F"/>
    <w:rsid w:val="003F3008"/>
    <w:rsid w:val="003F5FDB"/>
    <w:rsid w:val="003F69B5"/>
    <w:rsid w:val="003F7BE0"/>
    <w:rsid w:val="004073E2"/>
    <w:rsid w:val="00412534"/>
    <w:rsid w:val="004139CD"/>
    <w:rsid w:val="004222FD"/>
    <w:rsid w:val="00423CFD"/>
    <w:rsid w:val="00423E6A"/>
    <w:rsid w:val="00426C39"/>
    <w:rsid w:val="0043030E"/>
    <w:rsid w:val="0043341D"/>
    <w:rsid w:val="0043414A"/>
    <w:rsid w:val="00446040"/>
    <w:rsid w:val="00446CBA"/>
    <w:rsid w:val="004474CE"/>
    <w:rsid w:val="0045718D"/>
    <w:rsid w:val="00457456"/>
    <w:rsid w:val="00467DD1"/>
    <w:rsid w:val="00470693"/>
    <w:rsid w:val="00481A86"/>
    <w:rsid w:val="004825FE"/>
    <w:rsid w:val="00483104"/>
    <w:rsid w:val="00487DCE"/>
    <w:rsid w:val="004A1A63"/>
    <w:rsid w:val="004B5D15"/>
    <w:rsid w:val="004C0214"/>
    <w:rsid w:val="004C1B45"/>
    <w:rsid w:val="004C4BF2"/>
    <w:rsid w:val="004C58A1"/>
    <w:rsid w:val="004D05CC"/>
    <w:rsid w:val="004D0DE6"/>
    <w:rsid w:val="004D3384"/>
    <w:rsid w:val="004E4F1A"/>
    <w:rsid w:val="004F5E8C"/>
    <w:rsid w:val="005005FE"/>
    <w:rsid w:val="00500A40"/>
    <w:rsid w:val="005077BC"/>
    <w:rsid w:val="005120D0"/>
    <w:rsid w:val="00512260"/>
    <w:rsid w:val="00513C92"/>
    <w:rsid w:val="00517100"/>
    <w:rsid w:val="005204AB"/>
    <w:rsid w:val="00521855"/>
    <w:rsid w:val="00521C87"/>
    <w:rsid w:val="00534201"/>
    <w:rsid w:val="00537052"/>
    <w:rsid w:val="00542B01"/>
    <w:rsid w:val="00546F31"/>
    <w:rsid w:val="0055196E"/>
    <w:rsid w:val="005545A5"/>
    <w:rsid w:val="00564361"/>
    <w:rsid w:val="0057661D"/>
    <w:rsid w:val="00576D78"/>
    <w:rsid w:val="00577F7A"/>
    <w:rsid w:val="00582B3C"/>
    <w:rsid w:val="00582F40"/>
    <w:rsid w:val="00583655"/>
    <w:rsid w:val="00586A92"/>
    <w:rsid w:val="005950D3"/>
    <w:rsid w:val="005A1C78"/>
    <w:rsid w:val="005B07D2"/>
    <w:rsid w:val="005B25C1"/>
    <w:rsid w:val="005B28EC"/>
    <w:rsid w:val="005B31A0"/>
    <w:rsid w:val="005B499C"/>
    <w:rsid w:val="005B5035"/>
    <w:rsid w:val="005B6D70"/>
    <w:rsid w:val="005C2BE6"/>
    <w:rsid w:val="005D08FF"/>
    <w:rsid w:val="005D3BDB"/>
    <w:rsid w:val="005D4A7D"/>
    <w:rsid w:val="005D7BC4"/>
    <w:rsid w:val="005E4781"/>
    <w:rsid w:val="005F2272"/>
    <w:rsid w:val="005F381A"/>
    <w:rsid w:val="005F6367"/>
    <w:rsid w:val="00604379"/>
    <w:rsid w:val="00604F6D"/>
    <w:rsid w:val="00610473"/>
    <w:rsid w:val="006134A6"/>
    <w:rsid w:val="00613871"/>
    <w:rsid w:val="00621875"/>
    <w:rsid w:val="00624C12"/>
    <w:rsid w:val="0062717E"/>
    <w:rsid w:val="006406CE"/>
    <w:rsid w:val="0064154D"/>
    <w:rsid w:val="0064467B"/>
    <w:rsid w:val="00645F66"/>
    <w:rsid w:val="00646D2F"/>
    <w:rsid w:val="00651D33"/>
    <w:rsid w:val="00655FCF"/>
    <w:rsid w:val="0066045E"/>
    <w:rsid w:val="00660BDB"/>
    <w:rsid w:val="0067427D"/>
    <w:rsid w:val="00676A3F"/>
    <w:rsid w:val="006862D5"/>
    <w:rsid w:val="00690B50"/>
    <w:rsid w:val="006A1C15"/>
    <w:rsid w:val="006A62DA"/>
    <w:rsid w:val="006B432F"/>
    <w:rsid w:val="006B4E6B"/>
    <w:rsid w:val="006B6D17"/>
    <w:rsid w:val="006D4D30"/>
    <w:rsid w:val="006E408C"/>
    <w:rsid w:val="006E57E1"/>
    <w:rsid w:val="006F377D"/>
    <w:rsid w:val="006F5C55"/>
    <w:rsid w:val="00716281"/>
    <w:rsid w:val="0071756F"/>
    <w:rsid w:val="00724A2F"/>
    <w:rsid w:val="00733716"/>
    <w:rsid w:val="00733B35"/>
    <w:rsid w:val="00734500"/>
    <w:rsid w:val="00740EA7"/>
    <w:rsid w:val="00741C47"/>
    <w:rsid w:val="00742D9E"/>
    <w:rsid w:val="00743A50"/>
    <w:rsid w:val="00743A7A"/>
    <w:rsid w:val="00743D5B"/>
    <w:rsid w:val="00750491"/>
    <w:rsid w:val="007522A4"/>
    <w:rsid w:val="00754D98"/>
    <w:rsid w:val="007573BC"/>
    <w:rsid w:val="00761028"/>
    <w:rsid w:val="00765937"/>
    <w:rsid w:val="007675D9"/>
    <w:rsid w:val="00776C7F"/>
    <w:rsid w:val="00777279"/>
    <w:rsid w:val="007821EE"/>
    <w:rsid w:val="00783CA0"/>
    <w:rsid w:val="007841EB"/>
    <w:rsid w:val="007A1B5B"/>
    <w:rsid w:val="007A4549"/>
    <w:rsid w:val="007A4AB1"/>
    <w:rsid w:val="007B4316"/>
    <w:rsid w:val="007C231E"/>
    <w:rsid w:val="007C50D2"/>
    <w:rsid w:val="007C58FD"/>
    <w:rsid w:val="007D105F"/>
    <w:rsid w:val="007D4CBD"/>
    <w:rsid w:val="007D764C"/>
    <w:rsid w:val="007D7D09"/>
    <w:rsid w:val="007E0F19"/>
    <w:rsid w:val="007E33CC"/>
    <w:rsid w:val="007E505C"/>
    <w:rsid w:val="007F004F"/>
    <w:rsid w:val="007F04E7"/>
    <w:rsid w:val="007F246E"/>
    <w:rsid w:val="007F7242"/>
    <w:rsid w:val="008041AA"/>
    <w:rsid w:val="00804611"/>
    <w:rsid w:val="008141BC"/>
    <w:rsid w:val="00817911"/>
    <w:rsid w:val="00822707"/>
    <w:rsid w:val="00825AAB"/>
    <w:rsid w:val="008427AF"/>
    <w:rsid w:val="008563C2"/>
    <w:rsid w:val="00857D2C"/>
    <w:rsid w:val="008613FD"/>
    <w:rsid w:val="00863749"/>
    <w:rsid w:val="0086663D"/>
    <w:rsid w:val="00873774"/>
    <w:rsid w:val="00874B8A"/>
    <w:rsid w:val="008903D9"/>
    <w:rsid w:val="00891675"/>
    <w:rsid w:val="008A227F"/>
    <w:rsid w:val="008B5D4B"/>
    <w:rsid w:val="008B66A8"/>
    <w:rsid w:val="008B7E3D"/>
    <w:rsid w:val="008C1259"/>
    <w:rsid w:val="008C25A9"/>
    <w:rsid w:val="008D2AFE"/>
    <w:rsid w:val="008D3A41"/>
    <w:rsid w:val="008E6BB7"/>
    <w:rsid w:val="008F0EC7"/>
    <w:rsid w:val="009021D2"/>
    <w:rsid w:val="0090501D"/>
    <w:rsid w:val="00906C35"/>
    <w:rsid w:val="00906CDB"/>
    <w:rsid w:val="00911FAC"/>
    <w:rsid w:val="00912FFB"/>
    <w:rsid w:val="00913D86"/>
    <w:rsid w:val="00916317"/>
    <w:rsid w:val="00916BC5"/>
    <w:rsid w:val="00921503"/>
    <w:rsid w:val="00921939"/>
    <w:rsid w:val="00924954"/>
    <w:rsid w:val="00927B01"/>
    <w:rsid w:val="00931A04"/>
    <w:rsid w:val="00934234"/>
    <w:rsid w:val="00947A38"/>
    <w:rsid w:val="00950D26"/>
    <w:rsid w:val="0095119F"/>
    <w:rsid w:val="00951804"/>
    <w:rsid w:val="009519A5"/>
    <w:rsid w:val="009567A3"/>
    <w:rsid w:val="0095680D"/>
    <w:rsid w:val="00962956"/>
    <w:rsid w:val="00963B5D"/>
    <w:rsid w:val="0096556D"/>
    <w:rsid w:val="00967607"/>
    <w:rsid w:val="00990BD9"/>
    <w:rsid w:val="00991D47"/>
    <w:rsid w:val="00992632"/>
    <w:rsid w:val="00992DE1"/>
    <w:rsid w:val="00994069"/>
    <w:rsid w:val="009953CB"/>
    <w:rsid w:val="0099749D"/>
    <w:rsid w:val="009A2F1F"/>
    <w:rsid w:val="009A3E08"/>
    <w:rsid w:val="009B0E2C"/>
    <w:rsid w:val="009B1317"/>
    <w:rsid w:val="009B58D9"/>
    <w:rsid w:val="009B66DD"/>
    <w:rsid w:val="009C223B"/>
    <w:rsid w:val="009C2C2F"/>
    <w:rsid w:val="009D549A"/>
    <w:rsid w:val="009E27C8"/>
    <w:rsid w:val="009E5ED8"/>
    <w:rsid w:val="009E6DD7"/>
    <w:rsid w:val="009F0B57"/>
    <w:rsid w:val="009F1B54"/>
    <w:rsid w:val="009F1DA2"/>
    <w:rsid w:val="00A05A8C"/>
    <w:rsid w:val="00A10A36"/>
    <w:rsid w:val="00A1196B"/>
    <w:rsid w:val="00A12672"/>
    <w:rsid w:val="00A1452D"/>
    <w:rsid w:val="00A14F57"/>
    <w:rsid w:val="00A34A41"/>
    <w:rsid w:val="00A36F99"/>
    <w:rsid w:val="00A41316"/>
    <w:rsid w:val="00A4436D"/>
    <w:rsid w:val="00A524BE"/>
    <w:rsid w:val="00A52710"/>
    <w:rsid w:val="00A561F4"/>
    <w:rsid w:val="00A602E4"/>
    <w:rsid w:val="00A62257"/>
    <w:rsid w:val="00A675FA"/>
    <w:rsid w:val="00A67BAC"/>
    <w:rsid w:val="00A70237"/>
    <w:rsid w:val="00A7119C"/>
    <w:rsid w:val="00A71A5F"/>
    <w:rsid w:val="00A730EE"/>
    <w:rsid w:val="00A75C19"/>
    <w:rsid w:val="00A844FA"/>
    <w:rsid w:val="00A93F66"/>
    <w:rsid w:val="00A96AF0"/>
    <w:rsid w:val="00AA0956"/>
    <w:rsid w:val="00AA2493"/>
    <w:rsid w:val="00AA411C"/>
    <w:rsid w:val="00AA4808"/>
    <w:rsid w:val="00AA78A9"/>
    <w:rsid w:val="00AB7C1E"/>
    <w:rsid w:val="00AD548E"/>
    <w:rsid w:val="00AD5CD5"/>
    <w:rsid w:val="00AD5E22"/>
    <w:rsid w:val="00AE0C43"/>
    <w:rsid w:val="00AE1729"/>
    <w:rsid w:val="00AE7D2D"/>
    <w:rsid w:val="00AF0001"/>
    <w:rsid w:val="00AF00FB"/>
    <w:rsid w:val="00AF013B"/>
    <w:rsid w:val="00AF043C"/>
    <w:rsid w:val="00AF36F7"/>
    <w:rsid w:val="00AF3A6A"/>
    <w:rsid w:val="00AF55C7"/>
    <w:rsid w:val="00B02694"/>
    <w:rsid w:val="00B119BD"/>
    <w:rsid w:val="00B131F3"/>
    <w:rsid w:val="00B1540D"/>
    <w:rsid w:val="00B160FF"/>
    <w:rsid w:val="00B1685E"/>
    <w:rsid w:val="00B21222"/>
    <w:rsid w:val="00B2370D"/>
    <w:rsid w:val="00B239EB"/>
    <w:rsid w:val="00B24BDC"/>
    <w:rsid w:val="00B30A24"/>
    <w:rsid w:val="00B42DE2"/>
    <w:rsid w:val="00B479E1"/>
    <w:rsid w:val="00B51AF8"/>
    <w:rsid w:val="00B53B99"/>
    <w:rsid w:val="00B541C5"/>
    <w:rsid w:val="00B70303"/>
    <w:rsid w:val="00B73765"/>
    <w:rsid w:val="00B73FB3"/>
    <w:rsid w:val="00B82632"/>
    <w:rsid w:val="00B86565"/>
    <w:rsid w:val="00B86897"/>
    <w:rsid w:val="00B905D6"/>
    <w:rsid w:val="00B92361"/>
    <w:rsid w:val="00B946BA"/>
    <w:rsid w:val="00BA11BF"/>
    <w:rsid w:val="00BA2A89"/>
    <w:rsid w:val="00BA4621"/>
    <w:rsid w:val="00BA4BE3"/>
    <w:rsid w:val="00BB609D"/>
    <w:rsid w:val="00BC226F"/>
    <w:rsid w:val="00BC3DCC"/>
    <w:rsid w:val="00BD04B1"/>
    <w:rsid w:val="00BD1EAA"/>
    <w:rsid w:val="00BD217D"/>
    <w:rsid w:val="00BD26E5"/>
    <w:rsid w:val="00BD33A2"/>
    <w:rsid w:val="00BD7C6B"/>
    <w:rsid w:val="00BE3E60"/>
    <w:rsid w:val="00BE3FA2"/>
    <w:rsid w:val="00BE794A"/>
    <w:rsid w:val="00BF45A5"/>
    <w:rsid w:val="00BF4914"/>
    <w:rsid w:val="00BF6403"/>
    <w:rsid w:val="00C002A5"/>
    <w:rsid w:val="00C037B8"/>
    <w:rsid w:val="00C06825"/>
    <w:rsid w:val="00C2024F"/>
    <w:rsid w:val="00C2201F"/>
    <w:rsid w:val="00C3150C"/>
    <w:rsid w:val="00C343B3"/>
    <w:rsid w:val="00C464D3"/>
    <w:rsid w:val="00C50602"/>
    <w:rsid w:val="00C509F6"/>
    <w:rsid w:val="00C558E3"/>
    <w:rsid w:val="00C700A7"/>
    <w:rsid w:val="00C74CBD"/>
    <w:rsid w:val="00C7539D"/>
    <w:rsid w:val="00C842CA"/>
    <w:rsid w:val="00C94447"/>
    <w:rsid w:val="00C94FC8"/>
    <w:rsid w:val="00CA4B77"/>
    <w:rsid w:val="00CB39F9"/>
    <w:rsid w:val="00CB57FF"/>
    <w:rsid w:val="00CC7C8B"/>
    <w:rsid w:val="00CD0670"/>
    <w:rsid w:val="00CD57A0"/>
    <w:rsid w:val="00CE1C21"/>
    <w:rsid w:val="00CE543F"/>
    <w:rsid w:val="00CE7699"/>
    <w:rsid w:val="00CF6830"/>
    <w:rsid w:val="00CF6853"/>
    <w:rsid w:val="00D04893"/>
    <w:rsid w:val="00D11CB6"/>
    <w:rsid w:val="00D1456A"/>
    <w:rsid w:val="00D15F8A"/>
    <w:rsid w:val="00D22E65"/>
    <w:rsid w:val="00D30FA4"/>
    <w:rsid w:val="00D31A10"/>
    <w:rsid w:val="00D31ECE"/>
    <w:rsid w:val="00D321FF"/>
    <w:rsid w:val="00D36F90"/>
    <w:rsid w:val="00D37551"/>
    <w:rsid w:val="00D43DA2"/>
    <w:rsid w:val="00D4797F"/>
    <w:rsid w:val="00D51056"/>
    <w:rsid w:val="00D57C26"/>
    <w:rsid w:val="00D70158"/>
    <w:rsid w:val="00D71582"/>
    <w:rsid w:val="00D72B9A"/>
    <w:rsid w:val="00D74410"/>
    <w:rsid w:val="00D74F0D"/>
    <w:rsid w:val="00D81FD7"/>
    <w:rsid w:val="00D865FF"/>
    <w:rsid w:val="00D908A7"/>
    <w:rsid w:val="00D90C49"/>
    <w:rsid w:val="00D97BFE"/>
    <w:rsid w:val="00DA0D22"/>
    <w:rsid w:val="00DA4452"/>
    <w:rsid w:val="00DB1D4D"/>
    <w:rsid w:val="00DB4D33"/>
    <w:rsid w:val="00DB5F19"/>
    <w:rsid w:val="00DD4137"/>
    <w:rsid w:val="00DD6035"/>
    <w:rsid w:val="00DE0320"/>
    <w:rsid w:val="00DE24C8"/>
    <w:rsid w:val="00DE4E93"/>
    <w:rsid w:val="00DE5A73"/>
    <w:rsid w:val="00DF3796"/>
    <w:rsid w:val="00DF4E74"/>
    <w:rsid w:val="00DF4FB8"/>
    <w:rsid w:val="00E01C91"/>
    <w:rsid w:val="00E10D0A"/>
    <w:rsid w:val="00E11037"/>
    <w:rsid w:val="00E34BA1"/>
    <w:rsid w:val="00E35F8B"/>
    <w:rsid w:val="00E374B3"/>
    <w:rsid w:val="00E45A62"/>
    <w:rsid w:val="00E542E6"/>
    <w:rsid w:val="00E57D37"/>
    <w:rsid w:val="00E646E7"/>
    <w:rsid w:val="00E64FDB"/>
    <w:rsid w:val="00E71D36"/>
    <w:rsid w:val="00E74745"/>
    <w:rsid w:val="00E77895"/>
    <w:rsid w:val="00E86439"/>
    <w:rsid w:val="00E90C98"/>
    <w:rsid w:val="00E915D1"/>
    <w:rsid w:val="00EC0CBF"/>
    <w:rsid w:val="00EC3541"/>
    <w:rsid w:val="00EC572A"/>
    <w:rsid w:val="00ED4B2D"/>
    <w:rsid w:val="00ED7CB3"/>
    <w:rsid w:val="00EE02C7"/>
    <w:rsid w:val="00EE3039"/>
    <w:rsid w:val="00EE363E"/>
    <w:rsid w:val="00EE6175"/>
    <w:rsid w:val="00EE6B24"/>
    <w:rsid w:val="00F047DA"/>
    <w:rsid w:val="00F1062C"/>
    <w:rsid w:val="00F1646A"/>
    <w:rsid w:val="00F26BF8"/>
    <w:rsid w:val="00F27798"/>
    <w:rsid w:val="00F3077F"/>
    <w:rsid w:val="00F313E5"/>
    <w:rsid w:val="00F31957"/>
    <w:rsid w:val="00F34A4D"/>
    <w:rsid w:val="00F360D1"/>
    <w:rsid w:val="00F3634A"/>
    <w:rsid w:val="00F40567"/>
    <w:rsid w:val="00F432E5"/>
    <w:rsid w:val="00F5243A"/>
    <w:rsid w:val="00F52B26"/>
    <w:rsid w:val="00F57518"/>
    <w:rsid w:val="00F60235"/>
    <w:rsid w:val="00F60802"/>
    <w:rsid w:val="00F6779F"/>
    <w:rsid w:val="00F71E3E"/>
    <w:rsid w:val="00F73828"/>
    <w:rsid w:val="00F755E3"/>
    <w:rsid w:val="00F75A2F"/>
    <w:rsid w:val="00F77388"/>
    <w:rsid w:val="00F82B57"/>
    <w:rsid w:val="00F83C35"/>
    <w:rsid w:val="00F86031"/>
    <w:rsid w:val="00F9174C"/>
    <w:rsid w:val="00F94795"/>
    <w:rsid w:val="00FA0924"/>
    <w:rsid w:val="00FA393B"/>
    <w:rsid w:val="00FA6490"/>
    <w:rsid w:val="00FB463E"/>
    <w:rsid w:val="00FB7670"/>
    <w:rsid w:val="00FB794A"/>
    <w:rsid w:val="00FB7B88"/>
    <w:rsid w:val="00FC4D6E"/>
    <w:rsid w:val="00FC7EE6"/>
    <w:rsid w:val="00FD03FF"/>
    <w:rsid w:val="00FD66CC"/>
    <w:rsid w:val="00FD6F84"/>
    <w:rsid w:val="00FE2171"/>
    <w:rsid w:val="00FE507E"/>
    <w:rsid w:val="00FE6CC2"/>
    <w:rsid w:val="00FF5A94"/>
    <w:rsid w:val="00FF7722"/>
    <w:rsid w:val="00FF78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67F1"/>
  <w15:chartTrackingRefBased/>
  <w15:docId w15:val="{7CF4C56A-4839-445C-A5D8-B27C17E9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7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0AB"/>
    <w:rPr>
      <w:sz w:val="16"/>
      <w:szCs w:val="16"/>
    </w:rPr>
  </w:style>
  <w:style w:type="paragraph" w:styleId="CommentText">
    <w:name w:val="annotation text"/>
    <w:basedOn w:val="Normal"/>
    <w:link w:val="CommentTextChar"/>
    <w:uiPriority w:val="99"/>
    <w:unhideWhenUsed/>
    <w:rsid w:val="001740AB"/>
    <w:pPr>
      <w:spacing w:line="240" w:lineRule="auto"/>
    </w:pPr>
    <w:rPr>
      <w:sz w:val="20"/>
      <w:szCs w:val="20"/>
    </w:rPr>
  </w:style>
  <w:style w:type="character" w:customStyle="1" w:styleId="CommentTextChar">
    <w:name w:val="Comment Text Char"/>
    <w:basedOn w:val="DefaultParagraphFont"/>
    <w:link w:val="CommentText"/>
    <w:uiPriority w:val="99"/>
    <w:rsid w:val="001740AB"/>
    <w:rPr>
      <w:sz w:val="20"/>
      <w:szCs w:val="20"/>
    </w:rPr>
  </w:style>
  <w:style w:type="paragraph" w:styleId="CommentSubject">
    <w:name w:val="annotation subject"/>
    <w:basedOn w:val="CommentText"/>
    <w:next w:val="CommentText"/>
    <w:link w:val="CommentSubjectChar"/>
    <w:uiPriority w:val="99"/>
    <w:semiHidden/>
    <w:unhideWhenUsed/>
    <w:rsid w:val="001740AB"/>
    <w:rPr>
      <w:b/>
      <w:bCs/>
    </w:rPr>
  </w:style>
  <w:style w:type="character" w:customStyle="1" w:styleId="CommentSubjectChar">
    <w:name w:val="Comment Subject Char"/>
    <w:basedOn w:val="CommentTextChar"/>
    <w:link w:val="CommentSubject"/>
    <w:uiPriority w:val="99"/>
    <w:semiHidden/>
    <w:rsid w:val="001740AB"/>
    <w:rPr>
      <w:b/>
      <w:bCs/>
      <w:sz w:val="20"/>
      <w:szCs w:val="20"/>
    </w:rPr>
  </w:style>
  <w:style w:type="paragraph" w:styleId="BalloonText">
    <w:name w:val="Balloon Text"/>
    <w:basedOn w:val="Normal"/>
    <w:link w:val="BalloonTextChar"/>
    <w:uiPriority w:val="99"/>
    <w:semiHidden/>
    <w:unhideWhenUsed/>
    <w:rsid w:val="00174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0AB"/>
    <w:rPr>
      <w:rFonts w:ascii="Segoe UI" w:hAnsi="Segoe UI" w:cs="Segoe UI"/>
      <w:sz w:val="18"/>
      <w:szCs w:val="18"/>
    </w:rPr>
  </w:style>
  <w:style w:type="character" w:styleId="Hyperlink">
    <w:name w:val="Hyperlink"/>
    <w:basedOn w:val="DefaultParagraphFont"/>
    <w:uiPriority w:val="99"/>
    <w:unhideWhenUsed/>
    <w:rsid w:val="00825AAB"/>
    <w:rPr>
      <w:color w:val="0563C1" w:themeColor="hyperlink"/>
      <w:u w:val="single"/>
    </w:rPr>
  </w:style>
  <w:style w:type="character" w:customStyle="1" w:styleId="author">
    <w:name w:val="author"/>
    <w:basedOn w:val="DefaultParagraphFont"/>
    <w:rsid w:val="006B6D17"/>
  </w:style>
  <w:style w:type="character" w:customStyle="1" w:styleId="booktitle">
    <w:name w:val="booktitle"/>
    <w:basedOn w:val="DefaultParagraphFont"/>
    <w:rsid w:val="006B6D17"/>
  </w:style>
  <w:style w:type="character" w:customStyle="1" w:styleId="publisherlocation">
    <w:name w:val="publisherlocation"/>
    <w:basedOn w:val="DefaultParagraphFont"/>
    <w:rsid w:val="006B6D17"/>
  </w:style>
  <w:style w:type="character" w:customStyle="1" w:styleId="pubyear">
    <w:name w:val="pubyear"/>
    <w:basedOn w:val="DefaultParagraphFont"/>
    <w:rsid w:val="006B6D17"/>
  </w:style>
  <w:style w:type="paragraph" w:styleId="Header">
    <w:name w:val="header"/>
    <w:basedOn w:val="Normal"/>
    <w:link w:val="HeaderChar"/>
    <w:uiPriority w:val="99"/>
    <w:unhideWhenUsed/>
    <w:rsid w:val="00F75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5E3"/>
  </w:style>
  <w:style w:type="paragraph" w:styleId="Footer">
    <w:name w:val="footer"/>
    <w:basedOn w:val="Normal"/>
    <w:link w:val="FooterChar"/>
    <w:uiPriority w:val="99"/>
    <w:unhideWhenUsed/>
    <w:rsid w:val="00F75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5E3"/>
  </w:style>
  <w:style w:type="paragraph" w:styleId="NormalWeb">
    <w:name w:val="Normal (Web)"/>
    <w:basedOn w:val="Normal"/>
    <w:uiPriority w:val="99"/>
    <w:unhideWhenUsed/>
    <w:rsid w:val="00E1103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EC572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F0193"/>
    <w:rPr>
      <w:color w:val="954F72" w:themeColor="followedHyperlink"/>
      <w:u w:val="single"/>
    </w:rPr>
  </w:style>
  <w:style w:type="paragraph" w:customStyle="1" w:styleId="loaitem">
    <w:name w:val="loa__item"/>
    <w:basedOn w:val="Normal"/>
    <w:rsid w:val="00967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series">
    <w:name w:val="ref__series"/>
    <w:basedOn w:val="DefaultParagraphFont"/>
    <w:rsid w:val="00967607"/>
  </w:style>
  <w:style w:type="character" w:customStyle="1" w:styleId="refseriesdate">
    <w:name w:val="ref__seriesdate"/>
    <w:basedOn w:val="DefaultParagraphFont"/>
    <w:rsid w:val="00967607"/>
  </w:style>
  <w:style w:type="character" w:customStyle="1" w:styleId="refseriesvolume">
    <w:name w:val="ref__seriesvolume"/>
    <w:basedOn w:val="DefaultParagraphFont"/>
    <w:rsid w:val="00967607"/>
  </w:style>
  <w:style w:type="character" w:customStyle="1" w:styleId="refseriespages">
    <w:name w:val="ref__seriespages"/>
    <w:basedOn w:val="DefaultParagraphFont"/>
    <w:rsid w:val="00967607"/>
  </w:style>
  <w:style w:type="character" w:customStyle="1" w:styleId="refpublishername">
    <w:name w:val="refpublishername"/>
    <w:basedOn w:val="DefaultParagraphFont"/>
    <w:rsid w:val="00967607"/>
  </w:style>
  <w:style w:type="character" w:customStyle="1" w:styleId="refpublisherloc">
    <w:name w:val="refpublisherloc"/>
    <w:basedOn w:val="DefaultParagraphFont"/>
    <w:rsid w:val="00967607"/>
  </w:style>
  <w:style w:type="character" w:customStyle="1" w:styleId="refdate">
    <w:name w:val="refdate"/>
    <w:basedOn w:val="DefaultParagraphFont"/>
    <w:rsid w:val="00967607"/>
  </w:style>
  <w:style w:type="table" w:styleId="TableGrid">
    <w:name w:val="Table Grid"/>
    <w:basedOn w:val="TableNormal"/>
    <w:uiPriority w:val="39"/>
    <w:rsid w:val="00120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735"/>
    <w:pPr>
      <w:ind w:left="720"/>
      <w:contextualSpacing/>
    </w:pPr>
  </w:style>
  <w:style w:type="character" w:customStyle="1" w:styleId="ref-lnk">
    <w:name w:val="ref-lnk"/>
    <w:basedOn w:val="DefaultParagraphFont"/>
    <w:rsid w:val="0043030E"/>
  </w:style>
  <w:style w:type="character" w:customStyle="1" w:styleId="UnresolvedMention1">
    <w:name w:val="Unresolved Mention1"/>
    <w:basedOn w:val="DefaultParagraphFont"/>
    <w:uiPriority w:val="99"/>
    <w:semiHidden/>
    <w:unhideWhenUsed/>
    <w:rsid w:val="00DF4FB8"/>
    <w:rPr>
      <w:color w:val="605E5C"/>
      <w:shd w:val="clear" w:color="auto" w:fill="E1DFDD"/>
    </w:rPr>
  </w:style>
  <w:style w:type="character" w:styleId="LineNumber">
    <w:name w:val="line number"/>
    <w:basedOn w:val="DefaultParagraphFont"/>
    <w:uiPriority w:val="99"/>
    <w:semiHidden/>
    <w:unhideWhenUsed/>
    <w:rsid w:val="005B499C"/>
  </w:style>
  <w:style w:type="character" w:styleId="UnresolvedMention">
    <w:name w:val="Unresolved Mention"/>
    <w:basedOn w:val="DefaultParagraphFont"/>
    <w:uiPriority w:val="99"/>
    <w:semiHidden/>
    <w:unhideWhenUsed/>
    <w:rsid w:val="00C94FC8"/>
    <w:rPr>
      <w:color w:val="605E5C"/>
      <w:shd w:val="clear" w:color="auto" w:fill="E1DFDD"/>
    </w:rPr>
  </w:style>
  <w:style w:type="character" w:styleId="Strong">
    <w:name w:val="Strong"/>
    <w:basedOn w:val="DefaultParagraphFont"/>
    <w:uiPriority w:val="22"/>
    <w:qFormat/>
    <w:rsid w:val="0096556D"/>
    <w:rPr>
      <w:b/>
      <w:bCs/>
    </w:rPr>
  </w:style>
  <w:style w:type="paragraph" w:styleId="Revision">
    <w:name w:val="Revision"/>
    <w:hidden/>
    <w:uiPriority w:val="99"/>
    <w:semiHidden/>
    <w:rsid w:val="006E5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470">
      <w:bodyDiv w:val="1"/>
      <w:marLeft w:val="0"/>
      <w:marRight w:val="0"/>
      <w:marTop w:val="0"/>
      <w:marBottom w:val="0"/>
      <w:divBdr>
        <w:top w:val="none" w:sz="0" w:space="0" w:color="auto"/>
        <w:left w:val="none" w:sz="0" w:space="0" w:color="auto"/>
        <w:bottom w:val="none" w:sz="0" w:space="0" w:color="auto"/>
        <w:right w:val="none" w:sz="0" w:space="0" w:color="auto"/>
      </w:divBdr>
    </w:div>
    <w:div w:id="180320912">
      <w:bodyDiv w:val="1"/>
      <w:marLeft w:val="0"/>
      <w:marRight w:val="0"/>
      <w:marTop w:val="0"/>
      <w:marBottom w:val="0"/>
      <w:divBdr>
        <w:top w:val="none" w:sz="0" w:space="0" w:color="auto"/>
        <w:left w:val="none" w:sz="0" w:space="0" w:color="auto"/>
        <w:bottom w:val="none" w:sz="0" w:space="0" w:color="auto"/>
        <w:right w:val="none" w:sz="0" w:space="0" w:color="auto"/>
      </w:divBdr>
    </w:div>
    <w:div w:id="221526020">
      <w:bodyDiv w:val="1"/>
      <w:marLeft w:val="0"/>
      <w:marRight w:val="0"/>
      <w:marTop w:val="0"/>
      <w:marBottom w:val="0"/>
      <w:divBdr>
        <w:top w:val="none" w:sz="0" w:space="0" w:color="auto"/>
        <w:left w:val="none" w:sz="0" w:space="0" w:color="auto"/>
        <w:bottom w:val="none" w:sz="0" w:space="0" w:color="auto"/>
        <w:right w:val="none" w:sz="0" w:space="0" w:color="auto"/>
      </w:divBdr>
    </w:div>
    <w:div w:id="271862701">
      <w:bodyDiv w:val="1"/>
      <w:marLeft w:val="0"/>
      <w:marRight w:val="0"/>
      <w:marTop w:val="0"/>
      <w:marBottom w:val="0"/>
      <w:divBdr>
        <w:top w:val="none" w:sz="0" w:space="0" w:color="auto"/>
        <w:left w:val="none" w:sz="0" w:space="0" w:color="auto"/>
        <w:bottom w:val="none" w:sz="0" w:space="0" w:color="auto"/>
        <w:right w:val="none" w:sz="0" w:space="0" w:color="auto"/>
      </w:divBdr>
    </w:div>
    <w:div w:id="322902434">
      <w:bodyDiv w:val="1"/>
      <w:marLeft w:val="0"/>
      <w:marRight w:val="0"/>
      <w:marTop w:val="0"/>
      <w:marBottom w:val="0"/>
      <w:divBdr>
        <w:top w:val="none" w:sz="0" w:space="0" w:color="auto"/>
        <w:left w:val="none" w:sz="0" w:space="0" w:color="auto"/>
        <w:bottom w:val="none" w:sz="0" w:space="0" w:color="auto"/>
        <w:right w:val="none" w:sz="0" w:space="0" w:color="auto"/>
      </w:divBdr>
    </w:div>
    <w:div w:id="584413755">
      <w:bodyDiv w:val="1"/>
      <w:marLeft w:val="0"/>
      <w:marRight w:val="0"/>
      <w:marTop w:val="0"/>
      <w:marBottom w:val="0"/>
      <w:divBdr>
        <w:top w:val="none" w:sz="0" w:space="0" w:color="auto"/>
        <w:left w:val="none" w:sz="0" w:space="0" w:color="auto"/>
        <w:bottom w:val="none" w:sz="0" w:space="0" w:color="auto"/>
        <w:right w:val="none" w:sz="0" w:space="0" w:color="auto"/>
      </w:divBdr>
      <w:divsChild>
        <w:div w:id="971713640">
          <w:marLeft w:val="0"/>
          <w:marRight w:val="0"/>
          <w:marTop w:val="0"/>
          <w:marBottom w:val="0"/>
          <w:divBdr>
            <w:top w:val="none" w:sz="0" w:space="0" w:color="auto"/>
            <w:left w:val="none" w:sz="0" w:space="0" w:color="auto"/>
            <w:bottom w:val="none" w:sz="0" w:space="0" w:color="auto"/>
            <w:right w:val="none" w:sz="0" w:space="0" w:color="auto"/>
          </w:divBdr>
        </w:div>
      </w:divsChild>
    </w:div>
    <w:div w:id="600600825">
      <w:bodyDiv w:val="1"/>
      <w:marLeft w:val="0"/>
      <w:marRight w:val="0"/>
      <w:marTop w:val="0"/>
      <w:marBottom w:val="0"/>
      <w:divBdr>
        <w:top w:val="none" w:sz="0" w:space="0" w:color="auto"/>
        <w:left w:val="none" w:sz="0" w:space="0" w:color="auto"/>
        <w:bottom w:val="none" w:sz="0" w:space="0" w:color="auto"/>
        <w:right w:val="none" w:sz="0" w:space="0" w:color="auto"/>
      </w:divBdr>
    </w:div>
    <w:div w:id="742870364">
      <w:bodyDiv w:val="1"/>
      <w:marLeft w:val="0"/>
      <w:marRight w:val="0"/>
      <w:marTop w:val="0"/>
      <w:marBottom w:val="0"/>
      <w:divBdr>
        <w:top w:val="none" w:sz="0" w:space="0" w:color="auto"/>
        <w:left w:val="none" w:sz="0" w:space="0" w:color="auto"/>
        <w:bottom w:val="none" w:sz="0" w:space="0" w:color="auto"/>
        <w:right w:val="none" w:sz="0" w:space="0" w:color="auto"/>
      </w:divBdr>
    </w:div>
    <w:div w:id="777532304">
      <w:bodyDiv w:val="1"/>
      <w:marLeft w:val="0"/>
      <w:marRight w:val="0"/>
      <w:marTop w:val="0"/>
      <w:marBottom w:val="0"/>
      <w:divBdr>
        <w:top w:val="none" w:sz="0" w:space="0" w:color="auto"/>
        <w:left w:val="none" w:sz="0" w:space="0" w:color="auto"/>
        <w:bottom w:val="none" w:sz="0" w:space="0" w:color="auto"/>
        <w:right w:val="none" w:sz="0" w:space="0" w:color="auto"/>
      </w:divBdr>
    </w:div>
    <w:div w:id="942343334">
      <w:bodyDiv w:val="1"/>
      <w:marLeft w:val="0"/>
      <w:marRight w:val="0"/>
      <w:marTop w:val="0"/>
      <w:marBottom w:val="0"/>
      <w:divBdr>
        <w:top w:val="none" w:sz="0" w:space="0" w:color="auto"/>
        <w:left w:val="none" w:sz="0" w:space="0" w:color="auto"/>
        <w:bottom w:val="none" w:sz="0" w:space="0" w:color="auto"/>
        <w:right w:val="none" w:sz="0" w:space="0" w:color="auto"/>
      </w:divBdr>
    </w:div>
    <w:div w:id="1003362423">
      <w:bodyDiv w:val="1"/>
      <w:marLeft w:val="0"/>
      <w:marRight w:val="0"/>
      <w:marTop w:val="0"/>
      <w:marBottom w:val="0"/>
      <w:divBdr>
        <w:top w:val="none" w:sz="0" w:space="0" w:color="auto"/>
        <w:left w:val="none" w:sz="0" w:space="0" w:color="auto"/>
        <w:bottom w:val="none" w:sz="0" w:space="0" w:color="auto"/>
        <w:right w:val="none" w:sz="0" w:space="0" w:color="auto"/>
      </w:divBdr>
    </w:div>
    <w:div w:id="1267469443">
      <w:bodyDiv w:val="1"/>
      <w:marLeft w:val="0"/>
      <w:marRight w:val="0"/>
      <w:marTop w:val="0"/>
      <w:marBottom w:val="0"/>
      <w:divBdr>
        <w:top w:val="none" w:sz="0" w:space="0" w:color="auto"/>
        <w:left w:val="none" w:sz="0" w:space="0" w:color="auto"/>
        <w:bottom w:val="none" w:sz="0" w:space="0" w:color="auto"/>
        <w:right w:val="none" w:sz="0" w:space="0" w:color="auto"/>
      </w:divBdr>
    </w:div>
    <w:div w:id="1483035697">
      <w:bodyDiv w:val="1"/>
      <w:marLeft w:val="0"/>
      <w:marRight w:val="0"/>
      <w:marTop w:val="0"/>
      <w:marBottom w:val="0"/>
      <w:divBdr>
        <w:top w:val="none" w:sz="0" w:space="0" w:color="auto"/>
        <w:left w:val="none" w:sz="0" w:space="0" w:color="auto"/>
        <w:bottom w:val="none" w:sz="0" w:space="0" w:color="auto"/>
        <w:right w:val="none" w:sz="0" w:space="0" w:color="auto"/>
      </w:divBdr>
    </w:div>
    <w:div w:id="1534225448">
      <w:bodyDiv w:val="1"/>
      <w:marLeft w:val="0"/>
      <w:marRight w:val="0"/>
      <w:marTop w:val="0"/>
      <w:marBottom w:val="0"/>
      <w:divBdr>
        <w:top w:val="none" w:sz="0" w:space="0" w:color="auto"/>
        <w:left w:val="none" w:sz="0" w:space="0" w:color="auto"/>
        <w:bottom w:val="none" w:sz="0" w:space="0" w:color="auto"/>
        <w:right w:val="none" w:sz="0" w:space="0" w:color="auto"/>
      </w:divBdr>
    </w:div>
    <w:div w:id="1551653939">
      <w:bodyDiv w:val="1"/>
      <w:marLeft w:val="0"/>
      <w:marRight w:val="0"/>
      <w:marTop w:val="0"/>
      <w:marBottom w:val="0"/>
      <w:divBdr>
        <w:top w:val="none" w:sz="0" w:space="0" w:color="auto"/>
        <w:left w:val="none" w:sz="0" w:space="0" w:color="auto"/>
        <w:bottom w:val="none" w:sz="0" w:space="0" w:color="auto"/>
        <w:right w:val="none" w:sz="0" w:space="0" w:color="auto"/>
      </w:divBdr>
    </w:div>
    <w:div w:id="1579556409">
      <w:bodyDiv w:val="1"/>
      <w:marLeft w:val="0"/>
      <w:marRight w:val="0"/>
      <w:marTop w:val="0"/>
      <w:marBottom w:val="0"/>
      <w:divBdr>
        <w:top w:val="none" w:sz="0" w:space="0" w:color="auto"/>
        <w:left w:val="none" w:sz="0" w:space="0" w:color="auto"/>
        <w:bottom w:val="none" w:sz="0" w:space="0" w:color="auto"/>
        <w:right w:val="none" w:sz="0" w:space="0" w:color="auto"/>
      </w:divBdr>
    </w:div>
    <w:div w:id="1584753973">
      <w:bodyDiv w:val="1"/>
      <w:marLeft w:val="0"/>
      <w:marRight w:val="0"/>
      <w:marTop w:val="0"/>
      <w:marBottom w:val="0"/>
      <w:divBdr>
        <w:top w:val="none" w:sz="0" w:space="0" w:color="auto"/>
        <w:left w:val="none" w:sz="0" w:space="0" w:color="auto"/>
        <w:bottom w:val="none" w:sz="0" w:space="0" w:color="auto"/>
        <w:right w:val="none" w:sz="0" w:space="0" w:color="auto"/>
      </w:divBdr>
    </w:div>
    <w:div w:id="1585142532">
      <w:bodyDiv w:val="1"/>
      <w:marLeft w:val="0"/>
      <w:marRight w:val="0"/>
      <w:marTop w:val="0"/>
      <w:marBottom w:val="0"/>
      <w:divBdr>
        <w:top w:val="none" w:sz="0" w:space="0" w:color="auto"/>
        <w:left w:val="none" w:sz="0" w:space="0" w:color="auto"/>
        <w:bottom w:val="none" w:sz="0" w:space="0" w:color="auto"/>
        <w:right w:val="none" w:sz="0" w:space="0" w:color="auto"/>
      </w:divBdr>
    </w:div>
    <w:div w:id="1671250485">
      <w:bodyDiv w:val="1"/>
      <w:marLeft w:val="0"/>
      <w:marRight w:val="0"/>
      <w:marTop w:val="0"/>
      <w:marBottom w:val="0"/>
      <w:divBdr>
        <w:top w:val="none" w:sz="0" w:space="0" w:color="auto"/>
        <w:left w:val="none" w:sz="0" w:space="0" w:color="auto"/>
        <w:bottom w:val="none" w:sz="0" w:space="0" w:color="auto"/>
        <w:right w:val="none" w:sz="0" w:space="0" w:color="auto"/>
      </w:divBdr>
    </w:div>
    <w:div w:id="1724982476">
      <w:bodyDiv w:val="1"/>
      <w:marLeft w:val="0"/>
      <w:marRight w:val="0"/>
      <w:marTop w:val="0"/>
      <w:marBottom w:val="0"/>
      <w:divBdr>
        <w:top w:val="none" w:sz="0" w:space="0" w:color="auto"/>
        <w:left w:val="none" w:sz="0" w:space="0" w:color="auto"/>
        <w:bottom w:val="none" w:sz="0" w:space="0" w:color="auto"/>
        <w:right w:val="none" w:sz="0" w:space="0" w:color="auto"/>
      </w:divBdr>
    </w:div>
    <w:div w:id="1831403766">
      <w:bodyDiv w:val="1"/>
      <w:marLeft w:val="0"/>
      <w:marRight w:val="0"/>
      <w:marTop w:val="0"/>
      <w:marBottom w:val="0"/>
      <w:divBdr>
        <w:top w:val="none" w:sz="0" w:space="0" w:color="auto"/>
        <w:left w:val="none" w:sz="0" w:space="0" w:color="auto"/>
        <w:bottom w:val="none" w:sz="0" w:space="0" w:color="auto"/>
        <w:right w:val="none" w:sz="0" w:space="0" w:color="auto"/>
      </w:divBdr>
      <w:divsChild>
        <w:div w:id="1609001270">
          <w:marLeft w:val="0"/>
          <w:marRight w:val="0"/>
          <w:marTop w:val="0"/>
          <w:marBottom w:val="0"/>
          <w:divBdr>
            <w:top w:val="none" w:sz="0" w:space="0" w:color="auto"/>
            <w:left w:val="none" w:sz="0" w:space="0" w:color="auto"/>
            <w:bottom w:val="none" w:sz="0" w:space="0" w:color="auto"/>
            <w:right w:val="none" w:sz="0" w:space="0" w:color="auto"/>
          </w:divBdr>
        </w:div>
      </w:divsChild>
    </w:div>
    <w:div w:id="1869248777">
      <w:bodyDiv w:val="1"/>
      <w:marLeft w:val="0"/>
      <w:marRight w:val="0"/>
      <w:marTop w:val="0"/>
      <w:marBottom w:val="0"/>
      <w:divBdr>
        <w:top w:val="none" w:sz="0" w:space="0" w:color="auto"/>
        <w:left w:val="none" w:sz="0" w:space="0" w:color="auto"/>
        <w:bottom w:val="none" w:sz="0" w:space="0" w:color="auto"/>
        <w:right w:val="none" w:sz="0" w:space="0" w:color="auto"/>
      </w:divBdr>
    </w:div>
    <w:div w:id="1877112059">
      <w:bodyDiv w:val="1"/>
      <w:marLeft w:val="0"/>
      <w:marRight w:val="0"/>
      <w:marTop w:val="0"/>
      <w:marBottom w:val="0"/>
      <w:divBdr>
        <w:top w:val="none" w:sz="0" w:space="0" w:color="auto"/>
        <w:left w:val="none" w:sz="0" w:space="0" w:color="auto"/>
        <w:bottom w:val="none" w:sz="0" w:space="0" w:color="auto"/>
        <w:right w:val="none" w:sz="0" w:space="0" w:color="auto"/>
      </w:divBdr>
    </w:div>
    <w:div w:id="1945266481">
      <w:bodyDiv w:val="1"/>
      <w:marLeft w:val="0"/>
      <w:marRight w:val="0"/>
      <w:marTop w:val="0"/>
      <w:marBottom w:val="0"/>
      <w:divBdr>
        <w:top w:val="none" w:sz="0" w:space="0" w:color="auto"/>
        <w:left w:val="none" w:sz="0" w:space="0" w:color="auto"/>
        <w:bottom w:val="none" w:sz="0" w:space="0" w:color="auto"/>
        <w:right w:val="none" w:sz="0" w:space="0" w:color="auto"/>
      </w:divBdr>
    </w:div>
    <w:div w:id="2031368852">
      <w:bodyDiv w:val="1"/>
      <w:marLeft w:val="0"/>
      <w:marRight w:val="0"/>
      <w:marTop w:val="0"/>
      <w:marBottom w:val="0"/>
      <w:divBdr>
        <w:top w:val="none" w:sz="0" w:space="0" w:color="auto"/>
        <w:left w:val="none" w:sz="0" w:space="0" w:color="auto"/>
        <w:bottom w:val="none" w:sz="0" w:space="0" w:color="auto"/>
        <w:right w:val="none" w:sz="0" w:space="0" w:color="auto"/>
      </w:divBdr>
    </w:div>
    <w:div w:id="21010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arn.ac.uk/Hom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vidence.nihr.ac.uk/wp-content/uploads/2020/03/Care-at-the-scene-final-for-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a.goodwin@uwe.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ho.int/whosis/whostat/EN_WHS09_Table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7A60F6E2ABEE45BA357C1FD7FF2B1A" ma:contentTypeVersion="8" ma:contentTypeDescription="Create a new document." ma:contentTypeScope="" ma:versionID="2a9ee67e2c175df374f446eec5354fdf">
  <xsd:schema xmlns:xsd="http://www.w3.org/2001/XMLSchema" xmlns:xs="http://www.w3.org/2001/XMLSchema" xmlns:p="http://schemas.microsoft.com/office/2006/metadata/properties" xmlns:ns2="a364c01b-c1ed-41fe-b19b-8d3b71a80b83" targetNamespace="http://schemas.microsoft.com/office/2006/metadata/properties" ma:root="true" ma:fieldsID="cc3dc7adba5e65f20905378d7d174cf1" ns2:_="">
    <xsd:import namespace="a364c01b-c1ed-41fe-b19b-8d3b71a80b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4c01b-c1ed-41fe-b19b-8d3b71a80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CE6B-4705-4183-B4AC-057F4F64B321}">
  <ds:schemaRefs>
    <ds:schemaRef ds:uri="a364c01b-c1ed-41fe-b19b-8d3b71a80b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B90F178-3D9B-48E7-B51D-9CDC7CB56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4c01b-c1ed-41fe-b19b-8d3b71a80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25DE6-CC68-4712-A5FD-498FDFFD4F5C}">
  <ds:schemaRefs>
    <ds:schemaRef ds:uri="http://schemas.microsoft.com/sharepoint/v3/contenttype/forms"/>
  </ds:schemaRefs>
</ds:datastoreItem>
</file>

<file path=customXml/itemProps4.xml><?xml version="1.0" encoding="utf-8"?>
<ds:datastoreItem xmlns:ds="http://schemas.openxmlformats.org/officeDocument/2006/customXml" ds:itemID="{C79622D9-588A-423A-BE7B-F8112E28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7231</Words>
  <Characters>41220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Nicholson</dc:creator>
  <cp:keywords/>
  <dc:description/>
  <cp:lastModifiedBy>Laura Goodwin</cp:lastModifiedBy>
  <cp:revision>2</cp:revision>
  <dcterms:created xsi:type="dcterms:W3CDTF">2021-10-01T12:45:00Z</dcterms:created>
  <dcterms:modified xsi:type="dcterms:W3CDTF">2021-10-01T12:45:00Z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0x010100527A60F6E2ABEE45BA357C1FD7FF2B1A</vt:lpwstr>
  </property>
  <property fmtid="{D5CDD505-2E9C-101B-9397-08002B2CF9AE}" pid="3" name="RWProjectId">
    <vt:lpwstr/>
  </property>
</Properties>
</file>