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9647F" w14:textId="77777777" w:rsidR="00E15399" w:rsidRDefault="00E15399" w:rsidP="00836CB3">
      <w:pPr>
        <w:spacing w:line="240" w:lineRule="auto"/>
        <w:jc w:val="center"/>
        <w:rPr>
          <w:sz w:val="30"/>
          <w:szCs w:val="28"/>
        </w:rPr>
      </w:pPr>
    </w:p>
    <w:p w14:paraId="48211635" w14:textId="77777777" w:rsidR="00E15399" w:rsidRDefault="00E15399" w:rsidP="00836CB3">
      <w:pPr>
        <w:spacing w:line="240" w:lineRule="auto"/>
        <w:jc w:val="center"/>
        <w:rPr>
          <w:sz w:val="30"/>
          <w:szCs w:val="28"/>
        </w:rPr>
      </w:pPr>
    </w:p>
    <w:p w14:paraId="385DC054" w14:textId="77777777" w:rsidR="00E15399" w:rsidRDefault="00E15399" w:rsidP="00836CB3">
      <w:pPr>
        <w:spacing w:line="240" w:lineRule="auto"/>
        <w:jc w:val="center"/>
        <w:rPr>
          <w:sz w:val="30"/>
          <w:szCs w:val="28"/>
        </w:rPr>
      </w:pPr>
    </w:p>
    <w:p w14:paraId="7FA81E85" w14:textId="77777777" w:rsidR="00E15399" w:rsidRDefault="00E15399" w:rsidP="00836CB3">
      <w:pPr>
        <w:spacing w:line="240" w:lineRule="auto"/>
        <w:jc w:val="center"/>
        <w:rPr>
          <w:sz w:val="30"/>
          <w:szCs w:val="28"/>
        </w:rPr>
      </w:pPr>
    </w:p>
    <w:p w14:paraId="6FA7C382" w14:textId="77777777" w:rsidR="00E15399" w:rsidRDefault="00E15399" w:rsidP="00836CB3">
      <w:pPr>
        <w:spacing w:line="240" w:lineRule="auto"/>
        <w:jc w:val="center"/>
        <w:rPr>
          <w:sz w:val="30"/>
          <w:szCs w:val="28"/>
        </w:rPr>
      </w:pPr>
    </w:p>
    <w:p w14:paraId="12044159" w14:textId="77777777" w:rsidR="00213AEB" w:rsidRPr="00FF267E" w:rsidRDefault="007047EA" w:rsidP="00836CB3">
      <w:pPr>
        <w:spacing w:line="240" w:lineRule="auto"/>
        <w:jc w:val="center"/>
        <w:rPr>
          <w:sz w:val="44"/>
          <w:szCs w:val="28"/>
        </w:rPr>
      </w:pPr>
      <w:r w:rsidRPr="00FF267E">
        <w:rPr>
          <w:sz w:val="44"/>
          <w:szCs w:val="28"/>
        </w:rPr>
        <w:t xml:space="preserve">Trends in admission and death rates due to </w:t>
      </w:r>
      <w:r w:rsidR="00942B27" w:rsidRPr="00FF267E">
        <w:rPr>
          <w:sz w:val="44"/>
          <w:szCs w:val="28"/>
        </w:rPr>
        <w:t>p</w:t>
      </w:r>
      <w:r w:rsidRPr="00FF267E">
        <w:rPr>
          <w:sz w:val="44"/>
          <w:szCs w:val="28"/>
        </w:rPr>
        <w:t xml:space="preserve">aediatric </w:t>
      </w:r>
      <w:r w:rsidR="00942B27" w:rsidRPr="00FF267E">
        <w:rPr>
          <w:sz w:val="44"/>
          <w:szCs w:val="28"/>
        </w:rPr>
        <w:t>h</w:t>
      </w:r>
      <w:r w:rsidRPr="00FF267E">
        <w:rPr>
          <w:sz w:val="44"/>
          <w:szCs w:val="28"/>
        </w:rPr>
        <w:t>ead injury in England</w:t>
      </w:r>
      <w:r w:rsidR="00942B27" w:rsidRPr="00FF267E">
        <w:rPr>
          <w:sz w:val="44"/>
          <w:szCs w:val="28"/>
        </w:rPr>
        <w:t>,</w:t>
      </w:r>
      <w:r w:rsidRPr="00FF267E">
        <w:rPr>
          <w:sz w:val="44"/>
          <w:szCs w:val="28"/>
        </w:rPr>
        <w:t xml:space="preserve"> 2000-2011</w:t>
      </w:r>
    </w:p>
    <w:p w14:paraId="484BB532" w14:textId="77777777" w:rsidR="00E15399" w:rsidRDefault="00E15399" w:rsidP="00836CB3">
      <w:pPr>
        <w:spacing w:line="240" w:lineRule="auto"/>
        <w:jc w:val="center"/>
        <w:rPr>
          <w:sz w:val="30"/>
          <w:szCs w:val="28"/>
        </w:rPr>
      </w:pPr>
    </w:p>
    <w:p w14:paraId="1B730C0B" w14:textId="77777777" w:rsidR="00E15399" w:rsidRPr="000D53F4" w:rsidRDefault="00E15399" w:rsidP="00836CB3">
      <w:pPr>
        <w:spacing w:line="240" w:lineRule="auto"/>
        <w:jc w:val="center"/>
        <w:rPr>
          <w:sz w:val="30"/>
          <w:szCs w:val="28"/>
        </w:rPr>
      </w:pPr>
    </w:p>
    <w:p w14:paraId="27A1C369" w14:textId="7948AA2C" w:rsidR="00315B02" w:rsidRDefault="00F21CFF" w:rsidP="00836CB3">
      <w:pPr>
        <w:spacing w:line="240" w:lineRule="auto"/>
        <w:jc w:val="right"/>
        <w:rPr>
          <w:sz w:val="24"/>
        </w:rPr>
      </w:pPr>
      <w:r>
        <w:rPr>
          <w:sz w:val="24"/>
        </w:rPr>
        <w:t xml:space="preserve">Robin </w:t>
      </w:r>
      <w:r w:rsidR="00315B02">
        <w:rPr>
          <w:sz w:val="24"/>
        </w:rPr>
        <w:t>Marlow</w:t>
      </w:r>
      <w:r w:rsidRPr="00F21CFF">
        <w:rPr>
          <w:sz w:val="24"/>
          <w:vertAlign w:val="superscript"/>
        </w:rPr>
        <w:t>1</w:t>
      </w:r>
      <w:proofErr w:type="gramStart"/>
      <w:r>
        <w:rPr>
          <w:sz w:val="24"/>
          <w:vertAlign w:val="superscript"/>
        </w:rPr>
        <w:t>,2</w:t>
      </w:r>
      <w:proofErr w:type="gramEnd"/>
      <w:r w:rsidR="00315B02">
        <w:rPr>
          <w:sz w:val="24"/>
        </w:rPr>
        <w:t xml:space="preserve">, </w:t>
      </w:r>
      <w:r w:rsidR="00961983">
        <w:rPr>
          <w:sz w:val="24"/>
        </w:rPr>
        <w:t>Hazel Taylor</w:t>
      </w:r>
      <w:r w:rsidR="00961983">
        <w:rPr>
          <w:sz w:val="24"/>
          <w:vertAlign w:val="superscript"/>
        </w:rPr>
        <w:t>3</w:t>
      </w:r>
      <w:r w:rsidR="00961983" w:rsidRPr="00961983">
        <w:rPr>
          <w:sz w:val="24"/>
        </w:rPr>
        <w:t>,</w:t>
      </w:r>
      <w:r w:rsidR="00961983">
        <w:rPr>
          <w:sz w:val="24"/>
        </w:rPr>
        <w:t xml:space="preserve"> </w:t>
      </w:r>
      <w:r>
        <w:rPr>
          <w:sz w:val="24"/>
        </w:rPr>
        <w:t xml:space="preserve">Julie </w:t>
      </w:r>
      <w:r w:rsidR="00315B02">
        <w:rPr>
          <w:sz w:val="24"/>
        </w:rPr>
        <w:t>Mytton</w:t>
      </w:r>
      <w:r w:rsidR="00961983">
        <w:rPr>
          <w:sz w:val="24"/>
          <w:vertAlign w:val="superscript"/>
        </w:rPr>
        <w:t>4</w:t>
      </w:r>
      <w:r w:rsidR="00315B02">
        <w:rPr>
          <w:sz w:val="24"/>
        </w:rPr>
        <w:t>,</w:t>
      </w:r>
      <w:r w:rsidR="00082ED3">
        <w:rPr>
          <w:sz w:val="24"/>
        </w:rPr>
        <w:t xml:space="preserve"> </w:t>
      </w:r>
      <w:r w:rsidR="00A51E94">
        <w:rPr>
          <w:sz w:val="24"/>
        </w:rPr>
        <w:t xml:space="preserve">Ian </w:t>
      </w:r>
      <w:r w:rsidR="003E0B50">
        <w:rPr>
          <w:sz w:val="24"/>
        </w:rPr>
        <w:t xml:space="preserve">K </w:t>
      </w:r>
      <w:r w:rsidR="00A51E94">
        <w:rPr>
          <w:sz w:val="24"/>
        </w:rPr>
        <w:t>M</w:t>
      </w:r>
      <w:r w:rsidR="00A51E94" w:rsidRPr="00A51E94">
        <w:rPr>
          <w:sz w:val="24"/>
        </w:rPr>
        <w:t>aconochie</w:t>
      </w:r>
      <w:r w:rsidR="00977C95" w:rsidRPr="00977C95">
        <w:rPr>
          <w:sz w:val="24"/>
          <w:vertAlign w:val="superscript"/>
        </w:rPr>
        <w:t>5</w:t>
      </w:r>
      <w:r w:rsidR="00A51E94">
        <w:rPr>
          <w:sz w:val="24"/>
        </w:rPr>
        <w:t>,</w:t>
      </w:r>
      <w:r w:rsidR="00315B02">
        <w:rPr>
          <w:sz w:val="24"/>
        </w:rPr>
        <w:t xml:space="preserve"> </w:t>
      </w:r>
      <w:r>
        <w:rPr>
          <w:sz w:val="24"/>
        </w:rPr>
        <w:t xml:space="preserve">Mark </w:t>
      </w:r>
      <w:r w:rsidR="003E0B50">
        <w:rPr>
          <w:sz w:val="24"/>
        </w:rPr>
        <w:t xml:space="preserve">D </w:t>
      </w:r>
      <w:r w:rsidR="00315B02">
        <w:rPr>
          <w:sz w:val="24"/>
        </w:rPr>
        <w:t>Lyttle</w:t>
      </w:r>
      <w:r w:rsidR="00180B3B" w:rsidRPr="00180B3B">
        <w:rPr>
          <w:sz w:val="24"/>
          <w:vertAlign w:val="superscript"/>
        </w:rPr>
        <w:t>1,</w:t>
      </w:r>
      <w:r w:rsidR="00180B3B">
        <w:rPr>
          <w:sz w:val="24"/>
          <w:vertAlign w:val="superscript"/>
        </w:rPr>
        <w:t>3</w:t>
      </w:r>
    </w:p>
    <w:p w14:paraId="03D25C94" w14:textId="042DE776" w:rsidR="00F976B1" w:rsidRPr="00977C95" w:rsidRDefault="00F21CFF" w:rsidP="00836CB3">
      <w:pPr>
        <w:spacing w:line="240" w:lineRule="auto"/>
        <w:rPr>
          <w:rFonts w:ascii="Calibri" w:hAnsi="Calibri"/>
        </w:rPr>
      </w:pPr>
      <w:r w:rsidRPr="002A70CC">
        <w:rPr>
          <w:vertAlign w:val="superscript"/>
        </w:rPr>
        <w:t xml:space="preserve">1 </w:t>
      </w:r>
      <w:r w:rsidRPr="002A70CC">
        <w:t>Bristol Royal Hospital for Children, University Hospitals Bristol NHS Foundation Trust, Bristol, UK</w:t>
      </w:r>
      <w:r w:rsidRPr="002A70CC">
        <w:br/>
      </w:r>
      <w:r w:rsidRPr="002A70CC">
        <w:rPr>
          <w:vertAlign w:val="superscript"/>
        </w:rPr>
        <w:t>2</w:t>
      </w:r>
      <w:r w:rsidRPr="002A70CC">
        <w:t xml:space="preserve">School of </w:t>
      </w:r>
      <w:proofErr w:type="gramStart"/>
      <w:r w:rsidRPr="002A70CC">
        <w:t xml:space="preserve">Clinical </w:t>
      </w:r>
      <w:r w:rsidR="00180B3B" w:rsidRPr="002A70CC">
        <w:t xml:space="preserve"> </w:t>
      </w:r>
      <w:r w:rsidRPr="002A70CC">
        <w:t>Sciences</w:t>
      </w:r>
      <w:proofErr w:type="gramEnd"/>
      <w:r w:rsidRPr="002A70CC">
        <w:t>, University of Bristol, UK</w:t>
      </w:r>
      <w:r w:rsidRPr="002A70CC">
        <w:br/>
      </w:r>
      <w:r w:rsidR="00961983">
        <w:rPr>
          <w:vertAlign w:val="superscript"/>
        </w:rPr>
        <w:t>3</w:t>
      </w:r>
      <w:r w:rsidR="00961983" w:rsidRPr="001E1DD2">
        <w:t xml:space="preserve"> Research and Innovation, University Hospitals Bristol NHS Foundation Trust.</w:t>
      </w:r>
      <w:r w:rsidR="00961983">
        <w:rPr>
          <w:rFonts w:ascii="Calibri" w:hAnsi="Calibri"/>
        </w:rPr>
        <w:br/>
      </w:r>
      <w:r w:rsidR="00961983">
        <w:rPr>
          <w:vertAlign w:val="superscript"/>
        </w:rPr>
        <w:t>4</w:t>
      </w:r>
      <w:r w:rsidR="00DF6A61" w:rsidRPr="002A70CC">
        <w:t>Centre for Child and Adolescent Health, Faculty of Health and Applied Sciences, U</w:t>
      </w:r>
      <w:r w:rsidRPr="002A70CC">
        <w:t>niversity of the West of England, Bristol, UK</w:t>
      </w:r>
      <w:r w:rsidR="00977C95">
        <w:br/>
      </w:r>
      <w:r w:rsidR="00977C95">
        <w:rPr>
          <w:vertAlign w:val="superscript"/>
        </w:rPr>
        <w:t>5</w:t>
      </w:r>
      <w:r w:rsidR="00A51E94" w:rsidRPr="002A70CC">
        <w:t xml:space="preserve"> </w:t>
      </w:r>
      <w:r w:rsidR="003E0B50" w:rsidRPr="002A70CC">
        <w:rPr>
          <w:rFonts w:ascii="Calibri" w:hAnsi="Calibri"/>
        </w:rPr>
        <w:t>Emergency Department, St Mary’s Hospital, Imperial College NHS Healthcare Trust, London, UK</w:t>
      </w:r>
      <w:r w:rsidRPr="002A70CC">
        <w:br/>
      </w:r>
    </w:p>
    <w:p w14:paraId="38364D8B" w14:textId="77777777" w:rsidR="00F976B1" w:rsidRDefault="00F976B1" w:rsidP="00836CB3">
      <w:pPr>
        <w:spacing w:line="240" w:lineRule="auto"/>
      </w:pPr>
      <w:r w:rsidRPr="0048599A">
        <w:t>Corresponding author</w:t>
      </w:r>
      <w:proofErr w:type="gramStart"/>
      <w:r w:rsidRPr="0048599A">
        <w:t>:</w:t>
      </w:r>
      <w:proofErr w:type="gramEnd"/>
      <w:r w:rsidR="0048599A" w:rsidRPr="0048599A">
        <w:br/>
      </w:r>
      <w:r w:rsidRPr="0048599A">
        <w:t>Dr Robin Marlow</w:t>
      </w:r>
      <w:r w:rsidR="0048599A">
        <w:br/>
      </w:r>
      <w:r w:rsidRPr="0048599A">
        <w:t>Paediatric Emergency Department, Bristol Royal Hospital for Children, Upper Mauldin Street, BS2 8BJ</w:t>
      </w:r>
      <w:r w:rsidRPr="0048599A">
        <w:br/>
      </w:r>
      <w:hyperlink r:id="rId10" w:history="1">
        <w:r w:rsidRPr="0048599A">
          <w:rPr>
            <w:rStyle w:val="Hyperlink"/>
          </w:rPr>
          <w:t>robin.marlow@bristol.ac.uk</w:t>
        </w:r>
      </w:hyperlink>
      <w:r w:rsidRPr="0048599A">
        <w:br/>
        <w:t>0117 3428187</w:t>
      </w:r>
    </w:p>
    <w:p w14:paraId="164994AE" w14:textId="77777777" w:rsidR="00E15399" w:rsidRPr="0048599A" w:rsidRDefault="00E15399" w:rsidP="00836CB3">
      <w:pPr>
        <w:spacing w:line="240" w:lineRule="auto"/>
      </w:pPr>
    </w:p>
    <w:p w14:paraId="1FD9A01E" w14:textId="77777777" w:rsidR="00F976B1" w:rsidRPr="0048599A" w:rsidRDefault="00F976B1" w:rsidP="00836CB3">
      <w:pPr>
        <w:spacing w:line="240" w:lineRule="auto"/>
      </w:pPr>
      <w:r w:rsidRPr="0048599A">
        <w:t>Keywords:</w:t>
      </w:r>
      <w:r w:rsidR="0048599A">
        <w:t xml:space="preserve"> </w:t>
      </w:r>
      <w:proofErr w:type="spellStart"/>
      <w:r w:rsidR="0048599A" w:rsidRPr="0048599A">
        <w:t>Craniocerebral</w:t>
      </w:r>
      <w:proofErr w:type="spellEnd"/>
      <w:r w:rsidR="0048599A" w:rsidRPr="0048599A">
        <w:t xml:space="preserve"> Trauma</w:t>
      </w:r>
      <w:r w:rsidRPr="0048599A">
        <w:t>, Chi</w:t>
      </w:r>
      <w:r w:rsidR="0048599A" w:rsidRPr="0048599A">
        <w:t xml:space="preserve">ld, Epidemiology, Great Britain, </w:t>
      </w:r>
      <w:r w:rsidR="0048599A">
        <w:t>S</w:t>
      </w:r>
      <w:r w:rsidR="0048599A" w:rsidRPr="0048599A">
        <w:t>tandards</w:t>
      </w:r>
    </w:p>
    <w:p w14:paraId="7AE06E9E" w14:textId="77777777" w:rsidR="00E15399" w:rsidRDefault="00E15399" w:rsidP="00D00EEA">
      <w:pPr>
        <w:spacing w:line="240" w:lineRule="auto"/>
      </w:pPr>
    </w:p>
    <w:p w14:paraId="0F00ADCB" w14:textId="70154061" w:rsidR="00F21CFF" w:rsidRPr="00D00EEA" w:rsidRDefault="0048599A" w:rsidP="00D00EEA">
      <w:pPr>
        <w:spacing w:line="240" w:lineRule="auto"/>
      </w:pPr>
      <w:r w:rsidRPr="0048599A">
        <w:t>Word count</w:t>
      </w:r>
      <w:proofErr w:type="gramStart"/>
      <w:r w:rsidRPr="0048599A">
        <w:t>:</w:t>
      </w:r>
      <w:r w:rsidR="00A16AA3">
        <w:t>21</w:t>
      </w:r>
      <w:r w:rsidR="00862226">
        <w:t>36</w:t>
      </w:r>
      <w:proofErr w:type="gramEnd"/>
    </w:p>
    <w:p w14:paraId="28180B1B" w14:textId="77777777" w:rsidR="00F976B1" w:rsidRDefault="00F976B1">
      <w:pPr>
        <w:rPr>
          <w:sz w:val="26"/>
          <w:u w:val="single"/>
        </w:rPr>
      </w:pPr>
      <w:r>
        <w:rPr>
          <w:sz w:val="26"/>
          <w:u w:val="single"/>
        </w:rPr>
        <w:br w:type="page"/>
      </w:r>
    </w:p>
    <w:p w14:paraId="3D6ED3CA" w14:textId="7A53B103" w:rsidR="00525CD1" w:rsidRDefault="00BB65B2" w:rsidP="00417584">
      <w:pPr>
        <w:spacing w:line="360" w:lineRule="auto"/>
      </w:pPr>
      <w:r w:rsidRPr="00315B02">
        <w:rPr>
          <w:sz w:val="26"/>
          <w:u w:val="single"/>
        </w:rPr>
        <w:lastRenderedPageBreak/>
        <w:t>Abstract</w:t>
      </w:r>
      <w:r w:rsidRPr="00315B02">
        <w:rPr>
          <w:sz w:val="26"/>
        </w:rPr>
        <w:br/>
      </w:r>
      <w:r w:rsidR="00525CD1">
        <w:t>Background</w:t>
      </w:r>
      <w:r w:rsidR="00525CD1">
        <w:br/>
      </w:r>
      <w:proofErr w:type="gramStart"/>
      <w:r w:rsidR="00402758">
        <w:t>The</w:t>
      </w:r>
      <w:proofErr w:type="gramEnd"/>
      <w:r w:rsidR="00402758">
        <w:t xml:space="preserve"> number of children admitted to hospital </w:t>
      </w:r>
      <w:r w:rsidR="00C10A9D">
        <w:t>is</w:t>
      </w:r>
      <w:r w:rsidR="00402758">
        <w:t xml:space="preserve"> increasing year on year, with very short stay admissions doubling in the last decade.  </w:t>
      </w:r>
      <w:r w:rsidR="00DE1EAC">
        <w:t>C</w:t>
      </w:r>
      <w:r w:rsidR="00A35FA0">
        <w:t>hildhood head injury accounts for half a million Emergency Department att</w:t>
      </w:r>
      <w:r w:rsidR="00402758">
        <w:t xml:space="preserve">endances in the UK every year. </w:t>
      </w:r>
      <w:r w:rsidR="00B47A09">
        <w:t>The National Institute for Health and Care Excellence has issued three iterations of evidence-based national guidance for head injury since 2003.</w:t>
      </w:r>
    </w:p>
    <w:p w14:paraId="5FBFC313" w14:textId="54DAE422" w:rsidR="00DE1EAC" w:rsidRDefault="00525CD1" w:rsidP="00DE1EAC">
      <w:pPr>
        <w:spacing w:line="240" w:lineRule="auto"/>
      </w:pPr>
      <w:r>
        <w:t>Objectives</w:t>
      </w:r>
    </w:p>
    <w:p w14:paraId="5AAB8FCF" w14:textId="6C6EDAF1" w:rsidR="00DE1EAC" w:rsidRPr="00DE1EAC" w:rsidRDefault="00970005" w:rsidP="00DE1EAC">
      <w:pPr>
        <w:spacing w:line="480" w:lineRule="auto"/>
      </w:pPr>
      <w:r>
        <w:t xml:space="preserve">To </w:t>
      </w:r>
      <w:r w:rsidR="00D01CCA">
        <w:t>a</w:t>
      </w:r>
      <w:r>
        <w:t>ssess</w:t>
      </w:r>
      <w:r w:rsidR="00DE1EAC" w:rsidRPr="00DE1EAC">
        <w:t xml:space="preserve"> if any changes in the rates of admissi</w:t>
      </w:r>
      <w:r w:rsidR="00AC4F90">
        <w:t xml:space="preserve">on, </w:t>
      </w:r>
      <w:r w:rsidR="00DE1EAC" w:rsidRPr="00DE1EAC">
        <w:t>dea</w:t>
      </w:r>
      <w:r w:rsidR="00AC4F90">
        <w:t>th, or causes of head injury could</w:t>
      </w:r>
      <w:r w:rsidR="00DE1EAC" w:rsidRPr="00DE1EAC">
        <w:t xml:space="preserve"> be temporally associated with the introduction of</w:t>
      </w:r>
      <w:r>
        <w:t xml:space="preserve"> sequential national guidelines by l</w:t>
      </w:r>
      <w:r w:rsidRPr="00DE1EAC">
        <w:t xml:space="preserve">ongitudinal analysis of the epidemiology of paediatric head injury admissions in England from </w:t>
      </w:r>
      <w:r w:rsidR="005679F8">
        <w:t>1</w:t>
      </w:r>
      <w:r w:rsidR="005679F8" w:rsidRPr="00294253">
        <w:rPr>
          <w:vertAlign w:val="superscript"/>
        </w:rPr>
        <w:t>st</w:t>
      </w:r>
      <w:r w:rsidR="005679F8">
        <w:t xml:space="preserve"> January </w:t>
      </w:r>
      <w:r>
        <w:t xml:space="preserve">2000 to </w:t>
      </w:r>
      <w:r w:rsidR="005679F8">
        <w:t>31</w:t>
      </w:r>
      <w:r w:rsidR="005679F8" w:rsidRPr="00294253">
        <w:rPr>
          <w:vertAlign w:val="superscript"/>
        </w:rPr>
        <w:t>st</w:t>
      </w:r>
      <w:r w:rsidR="005679F8">
        <w:t xml:space="preserve"> December </w:t>
      </w:r>
      <w:r>
        <w:t>2011.</w:t>
      </w:r>
    </w:p>
    <w:p w14:paraId="02B8E539" w14:textId="77777777" w:rsidR="00525CD1" w:rsidRDefault="00205DDF" w:rsidP="00FF267E">
      <w:pPr>
        <w:spacing w:line="480" w:lineRule="auto"/>
      </w:pPr>
      <w:r>
        <w:t>Methods</w:t>
      </w:r>
      <w:r w:rsidR="00AC4F90">
        <w:br/>
      </w:r>
      <w:r w:rsidR="00BB65B2">
        <w:t>Retrospective analysis of Engl</w:t>
      </w:r>
      <w:r w:rsidR="00315B02">
        <w:t>ish</w:t>
      </w:r>
      <w:r w:rsidR="00BB65B2">
        <w:t xml:space="preserve"> Hospital </w:t>
      </w:r>
      <w:r w:rsidR="00A35FA0">
        <w:t>E</w:t>
      </w:r>
      <w:r w:rsidR="00BB65B2">
        <w:t xml:space="preserve">pisode </w:t>
      </w:r>
      <w:r w:rsidR="00A35FA0">
        <w:t>S</w:t>
      </w:r>
      <w:r w:rsidR="00BB65B2">
        <w:t xml:space="preserve">tatistics </w:t>
      </w:r>
      <w:r w:rsidR="00A35FA0">
        <w:t xml:space="preserve">data </w:t>
      </w:r>
      <w:r>
        <w:t xml:space="preserve">of </w:t>
      </w:r>
      <w:r w:rsidR="00C10A9D">
        <w:t xml:space="preserve">children </w:t>
      </w:r>
      <w:r w:rsidR="000237B3">
        <w:t xml:space="preserve">under </w:t>
      </w:r>
      <w:r w:rsidR="00C10A9D">
        <w:t xml:space="preserve">16 years </w:t>
      </w:r>
      <w:r w:rsidR="00BB65B2">
        <w:t>admi</w:t>
      </w:r>
      <w:r w:rsidR="00C10A9D">
        <w:t>tted</w:t>
      </w:r>
      <w:r w:rsidR="00BB65B2">
        <w:t xml:space="preserve"> to hospital with the discharge diagnosis of head injury.</w:t>
      </w:r>
    </w:p>
    <w:p w14:paraId="0A3E7A33" w14:textId="3F80A7F0" w:rsidR="005F044E" w:rsidRDefault="00BB65B2" w:rsidP="00FF267E">
      <w:pPr>
        <w:spacing w:line="480" w:lineRule="auto"/>
      </w:pPr>
      <w:r>
        <w:t>Results</w:t>
      </w:r>
      <w:r w:rsidR="00AC4F90">
        <w:br/>
      </w:r>
      <w:proofErr w:type="gramStart"/>
      <w:r w:rsidR="00417584">
        <w:t>The</w:t>
      </w:r>
      <w:proofErr w:type="gramEnd"/>
      <w:r w:rsidR="00417584">
        <w:t xml:space="preserve"> number of </w:t>
      </w:r>
      <w:r w:rsidR="00894484">
        <w:t xml:space="preserve">hospital </w:t>
      </w:r>
      <w:r w:rsidR="005F044E">
        <w:t xml:space="preserve">admissions </w:t>
      </w:r>
      <w:r w:rsidR="00576728">
        <w:t xml:space="preserve">with paediatric head injury </w:t>
      </w:r>
      <w:r w:rsidR="00417584">
        <w:t xml:space="preserve">in England </w:t>
      </w:r>
      <w:r w:rsidR="00576728">
        <w:t xml:space="preserve">rose by </w:t>
      </w:r>
      <w:r w:rsidR="00417584">
        <w:t>10</w:t>
      </w:r>
      <w:r w:rsidR="00576728">
        <w:t>%</w:t>
      </w:r>
      <w:r w:rsidR="009C508F">
        <w:t xml:space="preserve"> </w:t>
      </w:r>
      <w:r w:rsidR="002750E4">
        <w:t>from</w:t>
      </w:r>
      <w:r w:rsidR="00AC4F90">
        <w:t xml:space="preserve"> </w:t>
      </w:r>
      <w:r w:rsidR="00AC4F90" w:rsidRPr="00AC4F90">
        <w:t>34150</w:t>
      </w:r>
      <w:r w:rsidR="00AC4F90">
        <w:t xml:space="preserve"> in 2000 to </w:t>
      </w:r>
      <w:r w:rsidR="00AC4F90" w:rsidRPr="00AC4F90">
        <w:t>37430</w:t>
      </w:r>
      <w:r w:rsidR="00AC4F90">
        <w:t xml:space="preserve"> in 2011</w:t>
      </w:r>
      <w:r w:rsidR="00417584">
        <w:t xml:space="preserve">, with the proportion </w:t>
      </w:r>
      <w:r w:rsidR="005F537A">
        <w:t xml:space="preserve">admitted for </w:t>
      </w:r>
      <w:r w:rsidR="00417584">
        <w:t>less than one day rising from 38% to 57%</w:t>
      </w:r>
      <w:r w:rsidR="00576728">
        <w:t xml:space="preserve">.  </w:t>
      </w:r>
      <w:r w:rsidR="00E11786">
        <w:t xml:space="preserve">The main cause </w:t>
      </w:r>
      <w:r w:rsidR="00AC4F90">
        <w:t xml:space="preserve">of head injury </w:t>
      </w:r>
      <w:r w:rsidR="00E11786">
        <w:t xml:space="preserve">was falls (42-47%).  </w:t>
      </w:r>
      <w:proofErr w:type="gramStart"/>
      <w:r w:rsidR="00576728">
        <w:t xml:space="preserve">Deaths due to </w:t>
      </w:r>
      <w:r w:rsidR="005F044E">
        <w:t>head injury</w:t>
      </w:r>
      <w:r w:rsidR="00576728">
        <w:t xml:space="preserve"> </w:t>
      </w:r>
      <w:r w:rsidR="00E11786">
        <w:t>decreased</w:t>
      </w:r>
      <w:r w:rsidR="00576728">
        <w:t xml:space="preserve"> </w:t>
      </w:r>
      <w:r w:rsidR="00576728" w:rsidRPr="00C9526A">
        <w:t xml:space="preserve">by </w:t>
      </w:r>
      <w:r w:rsidR="00C9526A">
        <w:t>52</w:t>
      </w:r>
      <w:r w:rsidR="00576728" w:rsidRPr="00C9526A">
        <w:t>%</w:t>
      </w:r>
      <w:r w:rsidR="00AC4F90">
        <w:t xml:space="preserve"> from 76 in 2000 to 40 in 2011</w:t>
      </w:r>
      <w:r w:rsidR="005F044E" w:rsidRPr="00C9526A">
        <w:t>.</w:t>
      </w:r>
      <w:proofErr w:type="gramEnd"/>
      <w:r w:rsidR="005F044E">
        <w:t xml:space="preserve"> </w:t>
      </w:r>
      <w:r w:rsidR="00AC4F90">
        <w:t xml:space="preserve"> </w:t>
      </w:r>
      <w:r w:rsidR="00604862">
        <w:t>R</w:t>
      </w:r>
      <w:r w:rsidR="005F044E">
        <w:t>oad traffic accidents</w:t>
      </w:r>
      <w:r w:rsidR="00604862">
        <w:t xml:space="preserve"> </w:t>
      </w:r>
      <w:r w:rsidR="009C508F">
        <w:t>were</w:t>
      </w:r>
      <w:r w:rsidR="00604862">
        <w:t xml:space="preserve"> the main cause of death in </w:t>
      </w:r>
      <w:r w:rsidR="009643B9">
        <w:t xml:space="preserve">the year </w:t>
      </w:r>
      <w:r w:rsidR="00AC4F90">
        <w:t xml:space="preserve">2000 (67%) but </w:t>
      </w:r>
      <w:r w:rsidR="00417584">
        <w:t xml:space="preserve">fell to </w:t>
      </w:r>
      <w:r w:rsidR="00AC4F90">
        <w:t>40%</w:t>
      </w:r>
      <w:r w:rsidR="00417584">
        <w:t xml:space="preserve"> by 2011</w:t>
      </w:r>
      <w:r w:rsidR="005F044E">
        <w:t>.</w:t>
      </w:r>
      <w:r w:rsidR="00576728">
        <w:t xml:space="preserve">  </w:t>
      </w:r>
      <w:r w:rsidR="00417584">
        <w:t>In 2000, c</w:t>
      </w:r>
      <w:r w:rsidR="00AC4F90">
        <w:t xml:space="preserve">hildren who were admitted or died from head injuries were more than twice as likely to come from the most </w:t>
      </w:r>
      <w:r w:rsidR="005F537A">
        <w:t xml:space="preserve">deprived </w:t>
      </w:r>
      <w:r w:rsidR="00AC4F90">
        <w:t xml:space="preserve">compared to least deprived homes.  </w:t>
      </w:r>
      <w:r w:rsidR="00417584">
        <w:t>By 2011 the</w:t>
      </w:r>
      <w:r w:rsidR="00972C82">
        <w:t xml:space="preserve"> disparity </w:t>
      </w:r>
      <w:r w:rsidR="00AC4F90">
        <w:t xml:space="preserve">for risk of admission </w:t>
      </w:r>
      <w:r w:rsidR="00417584">
        <w:t xml:space="preserve">had narrowed </w:t>
      </w:r>
      <w:r w:rsidR="00AC4F90">
        <w:t xml:space="preserve">but </w:t>
      </w:r>
      <w:r w:rsidR="00417584">
        <w:t xml:space="preserve">no </w:t>
      </w:r>
      <w:r w:rsidR="00575B06">
        <w:t>change was seen</w:t>
      </w:r>
      <w:r w:rsidR="00417584">
        <w:t xml:space="preserve"> f</w:t>
      </w:r>
      <w:r w:rsidR="00AC4F90">
        <w:t xml:space="preserve">or </w:t>
      </w:r>
      <w:r w:rsidR="00417584">
        <w:t xml:space="preserve">risk of </w:t>
      </w:r>
      <w:r w:rsidR="00AC4F90">
        <w:t>death</w:t>
      </w:r>
      <w:r w:rsidR="00576728">
        <w:t>.</w:t>
      </w:r>
    </w:p>
    <w:p w14:paraId="19E2BCBD" w14:textId="04D39F34" w:rsidR="00622EC0" w:rsidRDefault="005F044E" w:rsidP="00FF267E">
      <w:pPr>
        <w:spacing w:line="480" w:lineRule="auto"/>
      </w:pPr>
      <w:r>
        <w:t>Conclusions</w:t>
      </w:r>
      <w:r>
        <w:br/>
      </w:r>
      <w:r w:rsidR="00E11786">
        <w:t>S</w:t>
      </w:r>
      <w:r>
        <w:t xml:space="preserve">ignificant </w:t>
      </w:r>
      <w:bookmarkStart w:id="0" w:name="_GoBack"/>
      <w:bookmarkEnd w:id="0"/>
      <w:r>
        <w:t>temporal relationship</w:t>
      </w:r>
      <w:r w:rsidR="00E11786">
        <w:t>s</w:t>
      </w:r>
      <w:r>
        <w:t xml:space="preserve"> </w:t>
      </w:r>
      <w:r w:rsidR="00E11786">
        <w:t>exist</w:t>
      </w:r>
      <w:r w:rsidR="00576728">
        <w:t xml:space="preserve"> </w:t>
      </w:r>
      <w:r>
        <w:t xml:space="preserve">between </w:t>
      </w:r>
      <w:r w:rsidR="00576728">
        <w:t>implementation</w:t>
      </w:r>
      <w:r>
        <w:t xml:space="preserve"> of the NICE2007 guidance</w:t>
      </w:r>
      <w:r w:rsidR="00576728">
        <w:t xml:space="preserve"> </w:t>
      </w:r>
      <w:r w:rsidR="00E11786">
        <w:t>and</w:t>
      </w:r>
      <w:r w:rsidR="00327AAE">
        <w:t xml:space="preserve"> increased admissions</w:t>
      </w:r>
      <w:r w:rsidR="00402758">
        <w:t>, shorter hospital stay</w:t>
      </w:r>
      <w:r w:rsidR="00327AAE">
        <w:t xml:space="preserve"> and reduced mortality.  </w:t>
      </w:r>
      <w:proofErr w:type="gramStart"/>
      <w:r w:rsidR="005E6882">
        <w:t>T</w:t>
      </w:r>
      <w:r w:rsidR="00576728">
        <w:t xml:space="preserve">he  </w:t>
      </w:r>
      <w:r w:rsidR="009054A7">
        <w:t>underlying</w:t>
      </w:r>
      <w:proofErr w:type="gramEnd"/>
      <w:r w:rsidR="009054A7">
        <w:t xml:space="preserve"> </w:t>
      </w:r>
      <w:r w:rsidR="00576728">
        <w:t>caus</w:t>
      </w:r>
      <w:r w:rsidR="005E6882">
        <w:t>e</w:t>
      </w:r>
      <w:r w:rsidR="00576728">
        <w:t xml:space="preserve"> of this </w:t>
      </w:r>
      <w:r w:rsidR="005E6882">
        <w:t xml:space="preserve">association </w:t>
      </w:r>
      <w:r w:rsidR="00576728">
        <w:t xml:space="preserve">is likely </w:t>
      </w:r>
      <w:proofErr w:type="spellStart"/>
      <w:r w:rsidR="00576728">
        <w:t>tobe</w:t>
      </w:r>
      <w:proofErr w:type="spellEnd"/>
      <w:r w:rsidR="00327AAE">
        <w:t xml:space="preserve"> multi-factorial</w:t>
      </w:r>
      <w:r w:rsidR="00576728">
        <w:t>.</w:t>
      </w:r>
      <w:r w:rsidR="00622EC0">
        <w:br w:type="page"/>
      </w:r>
    </w:p>
    <w:p w14:paraId="2A6F70B3" w14:textId="458F3EBE" w:rsidR="00496AA8" w:rsidRDefault="00F71C2B" w:rsidP="00FF267E">
      <w:pPr>
        <w:spacing w:line="480" w:lineRule="auto"/>
      </w:pPr>
      <w:r w:rsidRPr="00F71C2B">
        <w:rPr>
          <w:b/>
          <w:sz w:val="26"/>
        </w:rPr>
        <w:lastRenderedPageBreak/>
        <w:t>INTRODUCTION</w:t>
      </w:r>
      <w:r w:rsidR="00315B02">
        <w:rPr>
          <w:sz w:val="26"/>
          <w:u w:val="single"/>
        </w:rPr>
        <w:br/>
      </w:r>
      <w:r w:rsidR="00B4287A">
        <w:t>Over the last decade there has been an increase in childhood hospital admission rates</w:t>
      </w:r>
      <w:r w:rsidR="00E73233">
        <w:t xml:space="preserve"> in England</w:t>
      </w:r>
      <w:r w:rsidR="00B4287A">
        <w:t xml:space="preserve">, with </w:t>
      </w:r>
      <w:r w:rsidR="00866997">
        <w:t>a</w:t>
      </w:r>
      <w:r w:rsidR="00B4287A">
        <w:t xml:space="preserve"> pronounced rise in very short stay </w:t>
      </w:r>
      <w:r w:rsidR="00E11786">
        <w:t xml:space="preserve">(less than one day) </w:t>
      </w:r>
      <w:r w:rsidR="00B4287A">
        <w:t>admissions</w:t>
      </w:r>
      <w:r w:rsidR="00E11786">
        <w:t xml:space="preserve"> </w:t>
      </w:r>
      <w:r w:rsidR="003E0B50">
        <w:t xml:space="preserve">for </w:t>
      </w:r>
      <w:r w:rsidR="00E11786">
        <w:t>medical illness</w:t>
      </w:r>
      <w:r w:rsidR="003E0B50">
        <w:t>es</w:t>
      </w:r>
      <w:r w:rsidR="00B4287A">
        <w:t>.</w:t>
      </w:r>
      <w:r w:rsidR="008C7996">
        <w:fldChar w:fldCharType="begin"/>
      </w:r>
      <w:r w:rsidR="0048599A">
        <w:instrText xml:space="preserve"> ADDIN ZOTERO_ITEM CSL_CITATION {"citationID":"bn6HtX3b","properties":{"formattedCitation":"[1]","plainCitation":"[1]"},"citationItems":[{"id":1192,"uris":["http://zotero.org/users/14208/items/PSF5SA3C"],"uri":["http://zotero.org/users/14208/items/PSF5SA3C"],"itemData":{"id":1192,"type":"article-journal","title":"Increasing Short-Stay Unplanned Hospital Admissions among Children in England; Time Trends Analysis ’97–‘06","container-title":"PLoS ONE","page":"e7484","volume":"4","issue":"10","source":"PLoS Journals","abstract":"Background\nTimely care by general practitioners in the community keeps children out of hospital and provides better continuity of care. Yet in the UK, access to primary care has diminished since 2004 when changes in general practitioners' contracts enabled them to ‘opt out’ of providing out-of-hours care and since then unplanned pediatric hospital admission rates have escalated, particularly through emergency departments. We hypothesised that any increase in isolated short stay admissions for childhood illness might reflect failure to manage these cases in the community over a 10 year period spanning these changes.\n\nMethods and Findings\nWe conducted a population based time trends study of major causes of hospital admission in children &lt;10 years using the Hospital Episode Statistics database, which records all admissions to all NHS hospitals in England using ICD10 codes. Outcomes measures were total and isolated short stay unplanned hospital admissions (lasting less than 2 days without readmission within 28 days) from 1997 to 2006. Over the period annual unplanned admission rates in children aged &lt;10 years rose by 22% (from 73.6/1000 to 89.5/1000 child years) with larger increases of 41% in isolated short stay admissions (from 42.7/1000 to 60.2/1000 child years). There was a smaller fall of 12% in admissions with length of stay of &gt;2 days. By 2006, 67.3% of all unplanned admissions were isolated short stays &lt;2 days. The increases in admission rates were greater for common non-infectious than infectious causes of admissions.\n\nConclusions\nShort stay unplanned hospital admission rates in young children in England have increased substantially in recent years and are not accounted for by reductions in length of in-hospital stay. The majority are isolated short stay admissions for minor illness episodes that could be better managed by primary care in the community and may be evidence of a failure of primary care services.","DOI":"10.1371/journal.pone.0007484","journalAbbreviation":"PLoS ONE","author":[{"family":"Saxena","given":"Sonia"},{"family":"Bottle","given":"Alex"},{"family":"Gilbert","given":"Ruth"},{"family":"Sharland","given":"Mike"}],"issued":{"date-parts":[["2009",10,15]]},"accessed":{"date-parts":[["2014",7,7]]}}}],"schema":"https://github.com/citation-style-language/schema/raw/master/csl-citation.json"} </w:instrText>
      </w:r>
      <w:r w:rsidR="008C7996">
        <w:fldChar w:fldCharType="separate"/>
      </w:r>
      <w:r w:rsidR="0048599A" w:rsidRPr="0048599A">
        <w:rPr>
          <w:rFonts w:ascii="Calibri" w:hAnsi="Calibri"/>
        </w:rPr>
        <w:t>[1]</w:t>
      </w:r>
      <w:r w:rsidR="008C7996">
        <w:fldChar w:fldCharType="end"/>
      </w:r>
      <w:r w:rsidR="00B4287A">
        <w:t xml:space="preserve">  The causes are not clear</w:t>
      </w:r>
      <w:r w:rsidR="005F537A">
        <w:t>;</w:t>
      </w:r>
      <w:r w:rsidR="00B4287A">
        <w:t xml:space="preserve"> </w:t>
      </w:r>
      <w:r w:rsidR="00866997">
        <w:t>re-organisation of</w:t>
      </w:r>
      <w:r w:rsidR="00B4287A">
        <w:t xml:space="preserve"> primary care</w:t>
      </w:r>
      <w:r w:rsidR="006935F6">
        <w:t xml:space="preserve"> out-of-</w:t>
      </w:r>
      <w:r w:rsidR="00E056F0">
        <w:t>hour</w:t>
      </w:r>
      <w:r w:rsidR="006935F6">
        <w:t>s</w:t>
      </w:r>
      <w:r w:rsidR="00E056F0">
        <w:t xml:space="preserve"> provision</w:t>
      </w:r>
      <w:r w:rsidR="00866997">
        <w:t xml:space="preserve">, introduction of </w:t>
      </w:r>
      <w:r w:rsidR="006935F6">
        <w:t>emergency department</w:t>
      </w:r>
      <w:r w:rsidR="00866997">
        <w:t xml:space="preserve"> </w:t>
      </w:r>
      <w:r w:rsidR="00FC51E5">
        <w:t xml:space="preserve">(ED) </w:t>
      </w:r>
      <w:r w:rsidR="00866997">
        <w:t xml:space="preserve">waiting time targets and </w:t>
      </w:r>
      <w:r w:rsidR="00E056F0">
        <w:t xml:space="preserve">changes in </w:t>
      </w:r>
      <w:r w:rsidR="00866997">
        <w:t xml:space="preserve">health seeking behaviour </w:t>
      </w:r>
      <w:r w:rsidR="00E056F0">
        <w:t>have all been suggested.</w:t>
      </w:r>
      <w:r w:rsidR="008C7996">
        <w:fldChar w:fldCharType="begin"/>
      </w:r>
      <w:r w:rsidR="0048599A">
        <w:instrText xml:space="preserve"> ADDIN ZOTERO_ITEM CSL_CITATION {"citationID":"29jq67c9s6","properties":{"formattedCitation":"[2]","plainCitation":"[2]"},"citationItems":[{"id":339,"uris":["http://zotero.org/users/14208/items/8BAD437K"],"uri":["http://zotero.org/users/14208/items/8BAD437K"],"itemData":{"id":339,"type":"article-journal","title":"Increase in emergency admissions to hospital for children aged under 15 in England, 1999–2010: national database analysis","container-title":"Archives of Disease in Childhood","page":"328-334","volume":"98","issue":"5","source":"adc.bmj.com","abstract":"Objective To investigate a reported rise in the emergency hospital admission of children in England for conditions usually managed in the community.\nSetting and design Population-based study of hospital admission rates for children aged under 15, based on analysis of Hospital Episode Statistics and population estimates for England, 1999–2010.\nMain outcome Trends in rates of emergency admission to hospital.\nResults The emergency admission rate for children aged under 15 in England has increased by 28% in the past decade, from 63 per 1000 population in 1999 to 81 per 1000 in 2010. A persistent year-on-year increase is apparent from 2003 onwards. A small decline in the rates of admissions lasting 1 day or more has been offset by a twofold increase in short-term admissions of &lt;1 day. Considering the specific conditions where high emergency admission rates are thought to be inversely related to primary care quality, admission rates for upper respiratory tract infections rose by 22%, lower respiratory tract infections by 40%, urinary tract infections by 43% and gastroenteritis by 31%, while admission rates for chronic conditions fell by 5.6%.\nConclusions The continuing increase in very-short-term admission of children with common infections suggests a systematic failure, both in primary care (by general practice, out-of-hours care and National Health Service Direct) and in hospital (by emergency departments and paediatricians), in the assessment of children with acute illness that could be managed in the community. Solving the problem is likely to require restructuring of the way acute paediatric care is delivered.","DOI":"10.1136/archdischild-2012-302383","ISSN":", 14682044","note":"PMID: 23401058","shortTitle":"Increase in emergency admissions to hospital for children aged under 15 in England, 1999–2010","journalAbbreviation":"Arch Dis Child","language":"en","author":[{"family":"Gill","given":"Peter J."},{"family":"Goldacre","given":"Michael J."},{"family":"Mant","given":"David"},{"family":"Heneghan","given":"Carl"},{"family":"Thomson","given":"Anne"},{"family":"Seagroatt","given":"Valerie"},{"family":"Harnden","given":"Anthony"}],"issued":{"date-parts":[["2013",1,5]]},"accessed":{"date-parts":[["2014",7,7]]},"PMID":"23401058"}}],"schema":"https://github.com/citation-style-language/schema/raw/master/csl-citation.json"} </w:instrText>
      </w:r>
      <w:r w:rsidR="008C7996">
        <w:fldChar w:fldCharType="separate"/>
      </w:r>
      <w:r w:rsidR="0048599A" w:rsidRPr="0048599A">
        <w:rPr>
          <w:rFonts w:ascii="Calibri" w:hAnsi="Calibri"/>
        </w:rPr>
        <w:t>[2]</w:t>
      </w:r>
      <w:r w:rsidR="008C7996">
        <w:fldChar w:fldCharType="end"/>
      </w:r>
      <w:r w:rsidR="00496AA8">
        <w:t xml:space="preserve">  </w:t>
      </w:r>
      <w:r w:rsidR="000A6818">
        <w:t>Head injury is the</w:t>
      </w:r>
      <w:r w:rsidR="00496AA8">
        <w:t xml:space="preserve"> </w:t>
      </w:r>
      <w:r w:rsidR="000A6818">
        <w:t>common</w:t>
      </w:r>
      <w:r w:rsidR="003E0B50">
        <w:t>est</w:t>
      </w:r>
      <w:r w:rsidR="000A6818">
        <w:t xml:space="preserve"> presentation of </w:t>
      </w:r>
      <w:r w:rsidR="00496AA8">
        <w:t xml:space="preserve">major and moderate </w:t>
      </w:r>
      <w:r w:rsidR="000A6818">
        <w:t>paediatric trauma.</w:t>
      </w:r>
      <w:r w:rsidR="008C7996" w:rsidRPr="00B4287A">
        <w:fldChar w:fldCharType="begin"/>
      </w:r>
      <w:r w:rsidR="0048599A">
        <w:instrText xml:space="preserve"> ADDIN ZOTERO_ITEM CSL_CITATION {"citationID":"hsYecnpH","properties":{"formattedCitation":"[3]","plainCitation":"[3]"},"citationItems":[{"id":767,"uris":["http://zotero.org/users/14208/items/GC2JWFIS"],"uri":["http://zotero.org/users/14208/items/GC2JWFIS"],"itemData":{"id":767,"type":"article-journal","title":"Paediatric trauma: injury pattern and mortality in the UK","container-title":"Archives of disease in childhood - Education &amp; practice edition","page":"37-41","volume":"94","issue":"2","source":"ep.bmj.com","abstract":"Objective: Trauma accounts for a large proportion of childhood deaths. No data exist about injury patterns within paediatric trauma in the UK. Identification of specific high-risk injury patterns may lead to improved care and outcome.\nMethods: Data from 24 218 paediatric trauma cases recorded by the Trauma Audit and Research Network (TARN) from 1990 to 2005 were analysed. Main injury, injury patterns and outcome were analysed. Mortality at 93 days’ post-injury was the major outcome measure.\nResults: Limb injuries occurred in 65.0% of patients. In infants 81.4% of head injuries were isolated, compared with 46.5% in 11–15-year-old children. Thoracic injuries were associated with other injuries in 68.4%. The overall mortality rate was 3.7% (n = 893). Mortality decreased from 4.2% to 3.1%; this was most evident in non-isolated head injuries. It was low in isolated injuries: 1.5% (n = 293). In children aged 1–15 years the highest mortalities occurred in multiple injuries including head/thoracic (47.7%) and head/abdominal injuries (49.9%). Having a Glasgow Coma Scale of &lt;15 on presentation to hospital was associated with a mortality of 16%.\nConclusions: Differences in injury patterns and mortality exist between different age groups and high-risk injury patterns can be identified. With increasing age, a decline in the proportion of children with head injury and an increase in the proportion with limb injury were observed. This information is useful for directing ongoing care of severely injured children. Future analyses of the TARN database may help to evaluate the management of high-risk children and to identify the most effective care.","DOI":"10.1136/adc.2007.132787","ISSN":", 1743-0593","note":"PMID: 19304898","shortTitle":"Paediatric trauma","journalAbbreviation":"Arch Dis Child Educ Pract Ed","language":"en","author":[{"family":"Bayreuther","given":"J."},{"family":"Wagener","given":"S."},{"family":"Woodford","given":"M."},{"family":"Edwards","given":"A."},{"family":"Lecky","given":"F."},{"family":"Bouamra","given":"O."},{"family":"Dykes","given":"E."}],"issued":{"date-parts":[["2009",1,4]]},"accessed":{"date-parts":[["2014",11,26]]},"PMID":"19304898"}}],"schema":"https://github.com/citation-style-language/schema/raw/master/csl-citation.json"} </w:instrText>
      </w:r>
      <w:r w:rsidR="008C7996" w:rsidRPr="00B4287A">
        <w:fldChar w:fldCharType="separate"/>
      </w:r>
      <w:r w:rsidR="0048599A" w:rsidRPr="0048599A">
        <w:rPr>
          <w:rFonts w:ascii="Calibri" w:hAnsi="Calibri"/>
        </w:rPr>
        <w:t>[3]</w:t>
      </w:r>
      <w:r w:rsidR="008C7996" w:rsidRPr="00B4287A">
        <w:fldChar w:fldCharType="end"/>
      </w:r>
      <w:r w:rsidR="000A6818" w:rsidRPr="00B4287A">
        <w:t xml:space="preserve"> </w:t>
      </w:r>
      <w:r w:rsidR="000A6818">
        <w:t xml:space="preserve"> A</w:t>
      </w:r>
      <w:r w:rsidR="00B4287A">
        <w:t>lthough</w:t>
      </w:r>
      <w:r w:rsidR="00174852" w:rsidRPr="00AF7A20">
        <w:t xml:space="preserve"> </w:t>
      </w:r>
      <w:r w:rsidR="00B4287A">
        <w:t>m</w:t>
      </w:r>
      <w:r w:rsidR="00FB38BF" w:rsidRPr="00B4287A">
        <w:t>os</w:t>
      </w:r>
      <w:r w:rsidR="00B532D6" w:rsidRPr="00B4287A">
        <w:t>t</w:t>
      </w:r>
      <w:r w:rsidR="00496AA8">
        <w:t xml:space="preserve"> have</w:t>
      </w:r>
      <w:r w:rsidR="00FC51E5">
        <w:t xml:space="preserve"> no</w:t>
      </w:r>
      <w:r w:rsidR="00B532D6">
        <w:t xml:space="preserve"> </w:t>
      </w:r>
      <w:r w:rsidR="002D375D">
        <w:t>long term consequences</w:t>
      </w:r>
      <w:r w:rsidR="00026143">
        <w:t xml:space="preserve">, </w:t>
      </w:r>
      <w:r w:rsidR="00B532D6">
        <w:t>a p</w:t>
      </w:r>
      <w:r w:rsidR="002D375D">
        <w:t xml:space="preserve">roportion suffer traumatic </w:t>
      </w:r>
      <w:r w:rsidR="00E54833">
        <w:t>brain in</w:t>
      </w:r>
      <w:r w:rsidR="00B532D6">
        <w:t xml:space="preserve">jury </w:t>
      </w:r>
      <w:r w:rsidR="002D375D">
        <w:t>(TBI)</w:t>
      </w:r>
      <w:r w:rsidR="00D00EEA">
        <w:t>,</w:t>
      </w:r>
      <w:r w:rsidR="008C7996">
        <w:fldChar w:fldCharType="begin"/>
      </w:r>
      <w:r w:rsidR="0048599A">
        <w:instrText xml:space="preserve"> ADDIN ZOTERO_ITEM CSL_CITATION {"citationID":"81ocParx","properties":{"formattedCitation":"[4]","plainCitation":"[4]"},"citationItems":[{"id":1003,"uris":["http://zotero.org/users/14208/items/KKJ96C2W"],"uri":["http://zotero.org/users/14208/items/KKJ96C2W"],"itemData":{"id":1003,"type":"article-journal","title":"Derivation of the children’s head injury algorithm for the prediction of important clinical events decision rule for head injury in children","container-title":"Archives of Disease in Childhood","page":"885-891","volume":"91","issue":"11","source":"adc.bmj.com","abstract":"Background: A quarter of all patients presenting to emergency departments are children. Although there are several large, well-conducted studies on adults enabling accurate selection of patients with head injury at high risk for computed tomography scanning, no such study has derived a rule for children.\nAim: To conduct a prospective multicentre diagnostic cohort study to provide a rule for selection of high-risk children with head injury for computed tomography scanning.\nDesign: All children presenting to the emergency departments of 10 hospitals in the northwest of England with any severity of head injury were recruited. A tailor-made proforma was used to collect data on around 40 clinical variables for each child. These variables were defined from a literature review, and a pilot study was conducted before the children’s head injury algorithm for the prediction of important clinical events (CHALICE) study. All children who had a clinically significant head injury (death, need for neurosurgical intervention or abnormality on a computed tomography scan) were identified. Recursive partitioning was used to create a highly sensitive rule for the prediction of significant intracranial pathology.\nResults: 22 772 children were recruited over 2½ years. 65% of these were boys and 56% were &lt;5 years old. 281 children showed an abnormality on the computed tomography scan, 137 had a neurosurgical operation and 15 died. The CHALICE rule was derived with a sensitivity of 98% (95% confidence interval (CI) 96% to 100%) and a specificity of 87% (95% CI 86% to 87%) for the prediction of clinically significant head injury, and requires a computed tomography scan rate of 14%.\nConclusion: A highly sensitive clinical decision rule is derived for the identification of children who should undergo computed tomography scanning after head injury. This rule has the potential to improve and standardise the care of children presenting with head injuries. Validation of this rule in new cohorts of patients should now be undertaken.","DOI":"10.1136/adc.2005.083980","ISSN":", 14682044","journalAbbreviation":"Arch Dis Child","language":"en","author":[{"family":"Dunning","given":"J."},{"family":"Daly","given":"J. Patrick"},{"family":"Lomas","given":"J.-P."},{"family":"Lecky","given":"F."},{"family":"Batchelor","given":"J."},{"family":"Mackway-Jones","given":"K."}],"issued":{"date-parts":[["2006",1,11]]},"accessed":{"date-parts":[["2013",7,23]]}}}],"schema":"https://github.com/citation-style-language/schema/raw/master/csl-citation.json"} </w:instrText>
      </w:r>
      <w:r w:rsidR="008C7996">
        <w:fldChar w:fldCharType="separate"/>
      </w:r>
      <w:r w:rsidR="0048599A" w:rsidRPr="0048599A">
        <w:rPr>
          <w:rFonts w:ascii="Calibri" w:hAnsi="Calibri"/>
        </w:rPr>
        <w:t>[4]</w:t>
      </w:r>
      <w:r w:rsidR="008C7996">
        <w:fldChar w:fldCharType="end"/>
      </w:r>
      <w:r w:rsidR="00FC51E5">
        <w:t xml:space="preserve"> </w:t>
      </w:r>
      <w:r w:rsidR="005E6882">
        <w:t xml:space="preserve">which remains (?) </w:t>
      </w:r>
      <w:r w:rsidR="00FC51E5">
        <w:t>the</w:t>
      </w:r>
      <w:r w:rsidR="00026143">
        <w:t xml:space="preserve"> leading </w:t>
      </w:r>
      <w:r w:rsidR="00DF6A61">
        <w:t xml:space="preserve">potentially </w:t>
      </w:r>
      <w:r w:rsidR="00FB38BF">
        <w:t xml:space="preserve">avoidable </w:t>
      </w:r>
      <w:r w:rsidR="00026143">
        <w:t>cause of death and chronic neuro</w:t>
      </w:r>
      <w:r w:rsidR="00E768FE">
        <w:t>-</w:t>
      </w:r>
      <w:r w:rsidR="00026143">
        <w:t>disability in childhood.</w:t>
      </w:r>
      <w:r w:rsidR="008C7996">
        <w:fldChar w:fldCharType="begin"/>
      </w:r>
      <w:r w:rsidR="0048599A">
        <w:instrText xml:space="preserve"> ADDIN ZOTERO_ITEM CSL_CITATION {"citationID":"8r4MC1v4","properties":{"formattedCitation":"[5]","plainCitation":"[5]"},"citationItems":[{"id":1710,"uris":["http://zotero.org/users/14208/items/ZXKZZN5T"],"uri":["http://zotero.org/users/14208/items/ZXKZZN5T"],"itemData":{"id":1710,"type":"article-journal","title":"Why children die: death in infants, children and young people in the UK Part A","source":"Google Scholar","URL":"http://www.ncb.org.uk/media/1130496/rcpch_ncb_may_2014_-_why_children_die__part_a.pdf","shortTitle":"Why children die","author":[{"family":"Wolfe","given":"Ingrid"},{"family":"Macfarlane","given":"Alison"},{"family":"Donkin","given":"Angela"},{"family":"Marmot","given":"Michael"},{"family":"Viner","given":"Russell"}],"issued":{"date-parts":[["2014"]]},"accessed":{"date-parts":[["2014",11,27]]}}}],"schema":"https://github.com/citation-style-language/schema/raw/master/csl-citation.json"} </w:instrText>
      </w:r>
      <w:r w:rsidR="008C7996">
        <w:fldChar w:fldCharType="separate"/>
      </w:r>
      <w:r w:rsidR="0048599A" w:rsidRPr="0048599A">
        <w:rPr>
          <w:rFonts w:ascii="Calibri" w:hAnsi="Calibri"/>
        </w:rPr>
        <w:t>[5]</w:t>
      </w:r>
      <w:r w:rsidR="008C7996">
        <w:fldChar w:fldCharType="end"/>
      </w:r>
    </w:p>
    <w:p w14:paraId="104349A7" w14:textId="5CE55B4D" w:rsidR="00AB6F65" w:rsidRDefault="00026143" w:rsidP="00FF267E">
      <w:pPr>
        <w:spacing w:line="480" w:lineRule="auto"/>
      </w:pPr>
      <w:r>
        <w:t>P</w:t>
      </w:r>
      <w:r w:rsidR="002D375D">
        <w:t xml:space="preserve">rompt </w:t>
      </w:r>
      <w:r w:rsidR="00FC51E5">
        <w:t>identification</w:t>
      </w:r>
      <w:r w:rsidR="002D375D">
        <w:t xml:space="preserve"> and </w:t>
      </w:r>
      <w:r>
        <w:t xml:space="preserve">early intervention </w:t>
      </w:r>
      <w:r w:rsidR="005F537A">
        <w:t>in s</w:t>
      </w:r>
      <w:r w:rsidR="007D55F7">
        <w:t>erious</w:t>
      </w:r>
      <w:r w:rsidR="005F537A">
        <w:t xml:space="preserve"> TBI </w:t>
      </w:r>
      <w:r>
        <w:t>may</w:t>
      </w:r>
      <w:r w:rsidR="00B532D6">
        <w:t xml:space="preserve"> </w:t>
      </w:r>
      <w:r w:rsidR="00174852">
        <w:t>prevent</w:t>
      </w:r>
      <w:r>
        <w:t xml:space="preserve"> </w:t>
      </w:r>
      <w:r w:rsidR="00DF6A61">
        <w:t xml:space="preserve">life-changing </w:t>
      </w:r>
      <w:r w:rsidR="00FC51E5">
        <w:t xml:space="preserve">detrimental </w:t>
      </w:r>
      <w:r w:rsidR="002D375D">
        <w:t>outcomes.</w:t>
      </w:r>
      <w:r w:rsidR="00B41673">
        <w:t xml:space="preserve"> </w:t>
      </w:r>
      <w:r w:rsidR="005F537A">
        <w:t xml:space="preserve">To </w:t>
      </w:r>
      <w:r w:rsidR="007D55F7">
        <w:t>detect</w:t>
      </w:r>
      <w:r w:rsidR="005F537A">
        <w:t xml:space="preserve"> such injuries c</w:t>
      </w:r>
      <w:r w:rsidR="00666825">
        <w:t>ranial C</w:t>
      </w:r>
      <w:r w:rsidR="003A3251">
        <w:t xml:space="preserve">omputed </w:t>
      </w:r>
      <w:r w:rsidR="00666825">
        <w:t>T</w:t>
      </w:r>
      <w:r w:rsidR="003A3251">
        <w:t>omography (CT)</w:t>
      </w:r>
      <w:r w:rsidR="00666825">
        <w:t xml:space="preserve"> </w:t>
      </w:r>
      <w:r w:rsidR="00304AC3">
        <w:t xml:space="preserve">is the gold standard </w:t>
      </w:r>
      <w:r w:rsidR="003A3251">
        <w:t>investigation</w:t>
      </w:r>
      <w:r w:rsidR="003E0B50">
        <w:t>.</w:t>
      </w:r>
      <w:r w:rsidR="003A3251">
        <w:t xml:space="preserve"> </w:t>
      </w:r>
      <w:r w:rsidR="003E0B50">
        <w:t xml:space="preserve"> It</w:t>
      </w:r>
      <w:r w:rsidR="00E3483F">
        <w:t xml:space="preserve"> identif</w:t>
      </w:r>
      <w:r w:rsidR="003E0B50">
        <w:t>ies</w:t>
      </w:r>
      <w:r w:rsidR="00E3483F">
        <w:t xml:space="preserve"> those who </w:t>
      </w:r>
      <w:r>
        <w:t xml:space="preserve">require neurosurgical intervention or other intensive therapy, and aids in discharge decisions </w:t>
      </w:r>
      <w:r w:rsidR="003E0B50">
        <w:t>when normal</w:t>
      </w:r>
      <w:r w:rsidR="00E3483F">
        <w:t xml:space="preserve">.  </w:t>
      </w:r>
      <w:r w:rsidR="004A4ED0">
        <w:t>W</w:t>
      </w:r>
      <w:r w:rsidR="002D375D">
        <w:t>ith technological advancement an</w:t>
      </w:r>
      <w:r w:rsidR="00FB6239">
        <w:t xml:space="preserve">d </w:t>
      </w:r>
      <w:r>
        <w:t xml:space="preserve">increased </w:t>
      </w:r>
      <w:r w:rsidR="00FB6239">
        <w:t xml:space="preserve">availability, </w:t>
      </w:r>
      <w:r w:rsidR="002D375D">
        <w:t xml:space="preserve">rates of CT </w:t>
      </w:r>
      <w:r>
        <w:t>for</w:t>
      </w:r>
      <w:r w:rsidR="002D375D">
        <w:t xml:space="preserve"> </w:t>
      </w:r>
      <w:r>
        <w:t xml:space="preserve">childhood </w:t>
      </w:r>
      <w:r w:rsidR="002D375D">
        <w:t xml:space="preserve">head injuries approached </w:t>
      </w:r>
      <w:r w:rsidR="0073488E">
        <w:t>50</w:t>
      </w:r>
      <w:r w:rsidR="002D375D">
        <w:t xml:space="preserve">% in </w:t>
      </w:r>
      <w:r w:rsidR="00BB7048">
        <w:t>N</w:t>
      </w:r>
      <w:r w:rsidR="0073488E">
        <w:t>orth America</w:t>
      </w:r>
      <w:r w:rsidR="0057561E">
        <w:t xml:space="preserve"> by 2003</w:t>
      </w:r>
      <w:r w:rsidR="00D00EEA">
        <w:t>.</w:t>
      </w:r>
      <w:r w:rsidR="008C7996">
        <w:fldChar w:fldCharType="begin"/>
      </w:r>
      <w:r w:rsidR="0048599A">
        <w:instrText xml:space="preserve"> ADDIN ZOTERO_ITEM CSL_CITATION {"citationID":"eU7cOXPe","properties":{"formattedCitation":"[6]","plainCitation":"[6]"},"citationItems":[{"id":1613,"uris":["http://zotero.org/users/14208/items/X49EJVCJ"],"uri":["http://zotero.org/users/14208/items/X49EJVCJ"],"itemData":{"id":1613,"type":"article-journal","title":"Identification of children at very low risk of clinically-important brain injuries after head trauma: a prospective cohort study","container-title":"The Lancet","page":"1160-1170","volume":"374","issue":"9696","source":"ScienceDirect","abstract":"SummaryBackground\nCT imaging of head-injured children has risks of radiation-induced malignancy. Our aim was to identify children at very low risk of clinically-important traumatic brain injuries (ciTBI) for whom CT might be unnecessary. Methods\nWe enrolled patients younger than 18 years presenting within 24 h of head trauma with Glasgow Coma Scale scores of 14–15 in 25 North American emergency departments. We derived and validated age-specific prediction rules for ciTBI (death from traumatic brain injury, neurosurgery, intubation &amp;gt;24 h, or hospital admission ≥2 nights). Findings\nWe enrolled and analysed 42</w:instrText>
      </w:r>
      <w:r w:rsidR="0048599A">
        <w:rPr>
          <w:rFonts w:ascii="Cambria Math" w:hAnsi="Cambria Math" w:cs="Cambria Math"/>
        </w:rPr>
        <w:instrText> </w:instrText>
      </w:r>
      <w:r w:rsidR="0048599A">
        <w:rPr>
          <w:rFonts w:ascii="Calibri" w:hAnsi="Calibri" w:cs="Calibri"/>
        </w:rPr>
        <w:instrText>412 children (derivation and validation populations: 8502 and 2216 you</w:instrText>
      </w:r>
      <w:r w:rsidR="0048599A">
        <w:instrText>nger than 2 years, and 25</w:instrText>
      </w:r>
      <w:r w:rsidR="0048599A">
        <w:rPr>
          <w:rFonts w:ascii="Cambria Math" w:hAnsi="Cambria Math" w:cs="Cambria Math"/>
        </w:rPr>
        <w:instrText> </w:instrText>
      </w:r>
      <w:r w:rsidR="0048599A">
        <w:rPr>
          <w:rFonts w:ascii="Calibri" w:hAnsi="Calibri" w:cs="Calibri"/>
        </w:rPr>
        <w:instrText>283 and 6411 aged 2 years and older). We obtained CT scans on 14</w:instrText>
      </w:r>
      <w:r w:rsidR="0048599A">
        <w:rPr>
          <w:rFonts w:ascii="Cambria Math" w:hAnsi="Cambria Math" w:cs="Cambria Math"/>
        </w:rPr>
        <w:instrText> </w:instrText>
      </w:r>
      <w:r w:rsidR="0048599A">
        <w:rPr>
          <w:rFonts w:ascii="Calibri" w:hAnsi="Calibri" w:cs="Calibri"/>
        </w:rPr>
        <w:instrText>969 (35·3%); ciTBIs occurred in 376 (0·9%), and 60 (0·1%) underwent neurosurgery. In the validation population, the prediction rule for children younger than 2 years</w:instrText>
      </w:r>
      <w:r w:rsidR="0048599A">
        <w:instrText xml:space="preserve"> (normal mental status, no scalp haematoma except frontal, no loss of consciousness or loss of consciousness for less than 5 s, non-severe injury mechanism, no palpable skull fracture, and acting normally according to the parents) had a negative predictive value for ciTBI of 1176/1176 (100·0%, 95% CI 99·7–100</w:instrText>
      </w:r>
      <w:r w:rsidR="0048599A">
        <w:rPr>
          <w:rFonts w:ascii="Cambria Math" w:hAnsi="Cambria Math" w:cs="Cambria Math"/>
        </w:rPr>
        <w:instrText> </w:instrText>
      </w:r>
      <w:r w:rsidR="0048599A">
        <w:rPr>
          <w:rFonts w:ascii="Calibri" w:hAnsi="Calibri" w:cs="Calibri"/>
        </w:rPr>
        <w:instrText>0) and sensitivity of 25/25 (100%, 86·3–100·0). 167 (24·1%) of 694 CT-imaged patients younger than 2 years were in this low-risk group. The prediction rule for children aged 2 years and older (normal m</w:instrText>
      </w:r>
      <w:r w:rsidR="0048599A">
        <w:instrText xml:space="preserve">ental status, no loss of consciousness, no vomiting, non-severe injury mechanism, no signs of basilar skull fracture, and no severe headache) had a negative predictive value of 3798/3800 (99·95%, 99·81–99·99) and sensitivity of 61/63 (96·8%, 89·0–99·6). 446 (20.1%) of 2223 CT-imaged patients aged 2 years and older were in this low-risk group. Neither rule missed neurosurgery in validation populations. Interpretation\nThese validated prediction rules identified children at very low risk of ciTBIs for whom CT can routinely be obviated. Funding\nThe Emergency Medical Services for Children Programme of the Maternal and Child Health Bureau, and the Maternal and Child Health Bureau Research Programme, Health Resources and Services Administration, US Department of Health and Human Services.","DOI":"10.1016/S0140-6736(09)61558-0","ISSN":"0140-6736","shortTitle":"Identification of children at very low risk of clinically-important brain injuries after head trauma","journalAbbreviation":"The Lancet","author":[{"family":"Kuppermann","given":"Nathan"},{"family":"Holmes","given":"James F"},{"family":"Dayan","given":"Peter S"},{"family":"Hoyle Jr","given":"John D"},{"family":"Atabaki","given":"Shireen M"},{"family":"Holubkov","given":"Richard"},{"family":"Nadel","given":"Frances M"},{"family":"Monroe","given":"David"},{"family":"Stanley","given":"Rachel M"},{"family":"Borgialli","given":"Dominic A"},{"family":"Badawy","given":"Mohamed K"},{"family":"Schunk","given":"Jeff E"},{"family":"Quayle","given":"Kimberly S"},{"family":"Mahajan","given":"Prashant"},{"family":"Lichenstein","given":"Richard"},{"family":"Lillis","given":"Kathleen A"},{"family":"Tunik","given":"Michael G"},{"family":"Jacobs","given":"Elizabeth S"},{"family":"Callahan","given":"James M"},{"family":"Gorelick","given":"Marc H"},{"family":"Glass","given":"Todd F"},{"family":"Lee","given":"Lois K"},{"family":"Bachman","given":"Michael C"},{"family":"Cooper","given":"Arthur"},{"family":"Powell","given":"Elizabeth C"},{"family":"Gerardi","given":"Michael J"},{"family":"Melville","given":"Kraig A"},{"family":"Muizelaar","given":"J Paul"},{"family":"Wisner","given":"David H"},{"family":"Zuspan","given":"Sally Jo"},{"family":"Dean","given":"J Michael"},{"family":"Wootton-Gorges","given":"Sandra L"}],"issued":{"date-parts":[["2009"]]},"accessed":{"date-parts":[["2013",7,23]]}}}],"schema":"https://github.com/citation-style-language/schema/raw/master/csl-citation.json"} </w:instrText>
      </w:r>
      <w:r w:rsidR="008C7996">
        <w:fldChar w:fldCharType="separate"/>
      </w:r>
      <w:r w:rsidR="0048599A" w:rsidRPr="0048599A">
        <w:rPr>
          <w:rFonts w:ascii="Calibri" w:hAnsi="Calibri"/>
        </w:rPr>
        <w:t>[6]</w:t>
      </w:r>
      <w:r w:rsidR="008C7996">
        <w:fldChar w:fldCharType="end"/>
      </w:r>
      <w:r w:rsidR="002D375D">
        <w:t xml:space="preserve">  </w:t>
      </w:r>
      <w:r w:rsidR="00AB6F65">
        <w:t>However the</w:t>
      </w:r>
      <w:r w:rsidR="00B41673">
        <w:t xml:space="preserve"> </w:t>
      </w:r>
      <w:r w:rsidR="00AB6F65">
        <w:t>re</w:t>
      </w:r>
      <w:r w:rsidR="00F454F4">
        <w:t>cognition</w:t>
      </w:r>
      <w:r w:rsidR="002C43BB">
        <w:t xml:space="preserve"> </w:t>
      </w:r>
      <w:r w:rsidR="00AB6F65">
        <w:t>that</w:t>
      </w:r>
      <w:r w:rsidR="00AF7A20">
        <w:t xml:space="preserve"> radiation exposure</w:t>
      </w:r>
      <w:r w:rsidR="00AB6F65">
        <w:t xml:space="preserve"> </w:t>
      </w:r>
      <w:r w:rsidR="00F454F4">
        <w:t xml:space="preserve">from </w:t>
      </w:r>
      <w:r w:rsidR="00AB6F65">
        <w:t>CT</w:t>
      </w:r>
      <w:r w:rsidR="00F454F4">
        <w:t xml:space="preserve"> in childhood</w:t>
      </w:r>
      <w:r w:rsidR="00AB6F65">
        <w:t xml:space="preserve"> may </w:t>
      </w:r>
      <w:r w:rsidR="00F454F4">
        <w:t>reduce IQ</w:t>
      </w:r>
      <w:r w:rsidR="008C7996">
        <w:fldChar w:fldCharType="begin"/>
      </w:r>
      <w:r w:rsidR="0048599A">
        <w:instrText xml:space="preserve"> ADDIN ZOTERO_ITEM CSL_CITATION {"citationID":"12bg7ud6tg","properties":{"formattedCitation":"[7]","plainCitation":"[7]"},"citationItems":[{"id":1124,"uris":["http://zotero.org/users/14208/items/NHGZWXSN"],"uri":["http://zotero.org/users/14208/items/NHGZWXSN"],"itemData":{"id":1124,"type":"article-journal","title":"Effect of low doses of ionising radiation in infancy on cognitive function in adulthood: Swedish population based cohort study","container-title":"Bmj","page":"19","volume":"328","issue":"7430","source":"Google Scholar","shortTitle":"Effect of low doses of ionising radiation in infancy on cognitive function in adulthood","author":[{"family":"Hall","given":"Per"},{"family":"Adami","given":"Hans-Olov"},{"family":"Trichopoulos","given":"Dimitrios"},{"family":"Pedersen","given":"Nancy L."},{"family":"Lagiou","given":"Pagona"},{"family":"Ekbom","given":"Anders"},{"family":"Ingvar","given":"Martin"},{"family":"Lundell","given":"Marie"},{"family":"Granath","given":"Fredrik"}],"issued":{"date-parts":[["2004"]]},"accessed":{"date-parts":[["2013",9,17]]}}}],"schema":"https://github.com/citation-style-language/schema/raw/master/csl-citation.json"} </w:instrText>
      </w:r>
      <w:r w:rsidR="008C7996">
        <w:fldChar w:fldCharType="separate"/>
      </w:r>
      <w:r w:rsidR="0048599A" w:rsidRPr="0048599A">
        <w:rPr>
          <w:rFonts w:ascii="Calibri" w:hAnsi="Calibri"/>
        </w:rPr>
        <w:t>[7]</w:t>
      </w:r>
      <w:r w:rsidR="008C7996">
        <w:fldChar w:fldCharType="end"/>
      </w:r>
      <w:r w:rsidR="00F454F4">
        <w:t xml:space="preserve"> or </w:t>
      </w:r>
      <w:r w:rsidR="00AB6F65">
        <w:t xml:space="preserve">increase the risk of </w:t>
      </w:r>
      <w:r w:rsidR="00F454F4">
        <w:t xml:space="preserve">later </w:t>
      </w:r>
      <w:r w:rsidR="00E768FE">
        <w:t>malignancy</w:t>
      </w:r>
      <w:r w:rsidR="008C7996">
        <w:fldChar w:fldCharType="begin"/>
      </w:r>
      <w:r w:rsidR="0048599A">
        <w:instrText xml:space="preserve"> ADDIN ZOTERO_ITEM CSL_CITATION {"citationID":"21i2o06nhu","properties":{"formattedCitation":"[8,9]","plainCitation":"[8,9]"},"citationItems":[{"id":59,"uris":["http://zotero.org/users/14208/items/3697MCGU"],"uri":["http://zotero.org/users/14208/items/3697MCGU"],"itemData":{"id":59,"type":"article-journal","title":"Radiation exposure from CT scans in childhood and subsequent risk of leukaemia and brain tumours: a retrospective cohort study","container-title":"The Lancet","page":"499-505","volume":"380","issue":"9840","source":"ScienceDirect","abstract":"SummaryBackground\nAlthough CT scans are very useful clinically, potential cancer risks exist from associated ionising radiation, in particular for children who are more radiosensitive than adults. We aimed to assess the excess risk of leukaemia and brain tumours after CT scans in a cohort of children and young adults.\nMethods\nIn our retrospective cohort study, we included patients without previous cancer diagnoses who were first examined with CT in National Health Service (NHS) centres in England, Wales, or Scotland (Great Britain) between 1985 and 2002, when they were younger than 22 years of age. We obtained data for cancer incidence, mortality, and loss to follow-up from the NHS Central Registry from Jan 1, 1985, to Dec 31, 2008. We estimated absorbed brain and red bone marrow doses per CT scan in mGy and assessed excess incidence of leukaemia and brain tumours cancer with Poisson relative risk models. To avoid inclusion of CT scans related to cancer diagnosis, follow-up for leukaemia began 2 years after the first CT and for brain tumours 5 years after the first CT.\nFindings\nDuring follow-up, 74 of 178</w:instrText>
      </w:r>
      <w:r w:rsidR="0048599A">
        <w:rPr>
          <w:rFonts w:ascii="Cambria Math" w:hAnsi="Cambria Math" w:cs="Cambria Math"/>
        </w:rPr>
        <w:instrText> </w:instrText>
      </w:r>
      <w:r w:rsidR="0048599A">
        <w:rPr>
          <w:rFonts w:ascii="Calibri" w:hAnsi="Calibri" w:cs="Calibri"/>
        </w:rPr>
        <w:instrText>604 patients were diagnosed with leukaemia and 135 of 176</w:instrText>
      </w:r>
      <w:r w:rsidR="0048599A">
        <w:rPr>
          <w:rFonts w:ascii="Cambria Math" w:hAnsi="Cambria Math" w:cs="Cambria Math"/>
        </w:rPr>
        <w:instrText> </w:instrText>
      </w:r>
      <w:r w:rsidR="0048599A">
        <w:rPr>
          <w:rFonts w:ascii="Calibri" w:hAnsi="Calibri" w:cs="Calibri"/>
        </w:rPr>
        <w:instrText>5</w:instrText>
      </w:r>
      <w:r w:rsidR="0048599A">
        <w:instrText>87 patients were diagnosed with brain tumours. We noted a positive association between radiation dose from CT scans and leukaemia (excess relative risk [ERR] per mGy 0·036, 95% CI 0·005–0·120; p=0·0097) and brain tumours (0·023, 0·010–0·049; p&amp;lt;0·0001). Compared with patients who received a dose of less than 5 mGy, the relative risk of leukaemia for patients who received a cumulative dose of at least 30 mGy (mean dose 51·13 mGy) was 3·18 (95% CI 1·46–6·94) and the relative risk of brain cancer for patients who received a cumulative dose of 50–74 mGy (mean dose 60·42 mGy) was 2·82 (1·33–6·03).\nInterpretation\nUse of CT scans in children to deliver cumulative doses of about 50 mGy might almost triple the risk of leukaemia and doses of about 60 mGy might triple the risk of brain cancer. Because these cancers are relatively rare, the cumulative absolute risks are small: in the 10 years after the first scan for patients younger than 10 years, one excess case of leukaemia and one excess case of brain tumour per 10</w:instrText>
      </w:r>
      <w:r w:rsidR="0048599A">
        <w:rPr>
          <w:rFonts w:ascii="Cambria Math" w:hAnsi="Cambria Math" w:cs="Cambria Math"/>
        </w:rPr>
        <w:instrText> </w:instrText>
      </w:r>
      <w:r w:rsidR="0048599A">
        <w:rPr>
          <w:rFonts w:ascii="Calibri" w:hAnsi="Calibri" w:cs="Calibri"/>
        </w:rPr>
        <w:instrText>000 head CT scans is estimated to occur. Nevertheless, although clinical benefits should outweigh the small absolute risks, radiation doses from CT scans ought to be kept as low as possible and alternative procedures, which do not involve ionising radia</w:instrText>
      </w:r>
      <w:r w:rsidR="0048599A">
        <w:instrText xml:space="preserve">tion, should be considered if appropriate.\nFunding\nUS National Cancer Institute and UK Department of Health.","DOI":"10.1016/S0140-6736(12)60815-0","ISSN":"0140-6736","shortTitle":"Radiation exposure from CT scans in childhood and subsequent risk of leukaemia and brain tumours","journalAbbreviation":"The Lancet","author":[{"family":"Pearce","given":"Mark S"},{"family":"Salotti","given":"Jane A"},{"family":"Little","given":"Mark P"},{"family":"McHugh","given":"Kieran"},{"family":"Lee","given":"Choonsik"},{"family":"Kim","given":"Kwang Pyo"},{"family":"Howe","given":"Nicola L"},{"family":"Ronckers","given":"Cecile M"},{"family":"Rajaraman","given":"Preetha"},{"family":"Craft","given":"Alan W"},{"family":"Parker","given":"Louise"},{"family":"Berrington de González","given":"Amy"}],"issued":{"literal":"4"},"accessed":{"date-parts":[["2013",9,23]]}},"label":"page"},{"id":1683,"uris":["http://zotero.org/users/14208/items/ZJ9X9NJN"],"uri":["http://zotero.org/users/14208/items/ZJ9X9NJN"],"itemData":{"id":1683,"type":"article-journal","title":"Cancer risk in 680 000 people exposed to computed tomography scans in childhood or adolescence: data linkage study of 11 million Australians","container-title":"BMJ","page":"f2360-f2360","volume":"346","issue":"may21 1","source":"CrossRef","DOI":"10.1136/bmj.f2360","ISSN":"1756-1833","shortTitle":"Cancer risk in 680 000 people exposed to computed tomography scans in childhood or adolescence","author":[{"family":"Mathews","given":"J. D."},{"family":"Forsythe","given":"A. V."},{"family":"Brady","given":"Z."},{"family":"Butler","given":"M. W."},{"family":"Goergen","given":"S. K."},{"family":"Byrnes","given":"G. B."},{"family":"Giles","given":"G. G."},{"family":"Wallace","given":"A. B."},{"family":"Anderson","given":"P. R."},{"family":"Guiver","given":"T. A."},{"family":"McGale","given":"P."},{"family":"Cain","given":"T. M."},{"family":"Dowty","given":"J. G."},{"family":"Bickerstaffe","given":"A. C."},{"family":"Darby","given":"S. C."}],"issued":{"date-parts":[["2013",5,21]]},"accessed":{"date-parts":[["2013",9,23]]}},"label":"page"}],"schema":"https://github.com/citation-style-language/schema/raw/master/csl-citation.json"} </w:instrText>
      </w:r>
      <w:r w:rsidR="008C7996">
        <w:fldChar w:fldCharType="separate"/>
      </w:r>
      <w:r w:rsidR="0048599A" w:rsidRPr="0048599A">
        <w:rPr>
          <w:rFonts w:ascii="Calibri" w:hAnsi="Calibri"/>
        </w:rPr>
        <w:t>[8,9]</w:t>
      </w:r>
      <w:r w:rsidR="008C7996">
        <w:fldChar w:fldCharType="end"/>
      </w:r>
      <w:r w:rsidR="00F454F4">
        <w:t xml:space="preserve"> </w:t>
      </w:r>
      <w:r w:rsidR="00496AA8">
        <w:t>has driven research to identify which children</w:t>
      </w:r>
      <w:r w:rsidR="00191F90">
        <w:t xml:space="preserve"> </w:t>
      </w:r>
      <w:r w:rsidR="00AB6F65">
        <w:t xml:space="preserve">are at sufficiently high risk </w:t>
      </w:r>
      <w:r w:rsidR="00F454F4">
        <w:t>of</w:t>
      </w:r>
      <w:r w:rsidR="00AB6F65">
        <w:t xml:space="preserve"> </w:t>
      </w:r>
      <w:r w:rsidR="00F454F4">
        <w:t xml:space="preserve">traumatic </w:t>
      </w:r>
      <w:r w:rsidR="00AB6F65">
        <w:t xml:space="preserve">brain injury to </w:t>
      </w:r>
      <w:r w:rsidR="0057561E">
        <w:t>warrant CT</w:t>
      </w:r>
      <w:r w:rsidR="00AB6F65">
        <w:t>.</w:t>
      </w:r>
      <w:r w:rsidR="008C7996">
        <w:fldChar w:fldCharType="begin"/>
      </w:r>
      <w:r w:rsidR="0048599A">
        <w:instrText xml:space="preserve"> ADDIN ZOTERO_ITEM CSL_CITATION {"citationID":"G7xgbWJC","properties":{"unsorted":false,"formattedCitation":"[4,6,10]","plainCitation":"[4,6,10]"},"citationItems":[{"id":1162,"uris":["http://zotero.org/users/14208/items/PAAHSWXG"],"uri":["http://zotero.org/users/14208/items/PAAHSWXG"],"itemData":{"id":1162,"type":"article-journal","title":"CATCH: a clinical decision rule for the use of computed tomography in children with minor head injury","container-title":"Canadian Medical Association Journal","page":"341-348","volume":"182","issue":"4","source":"www.cmaj.ca","abstract":"Background: There is controversy about which children with minor head injury need to undergo computed tomography (CT). We aimed to develop a highly sensitive clinical decision rule for the use of CT in children with minor head injury.\nMethods: For this multicentre cohort study, we enrolled consecutive children with blunt head trauma presenting with a score of 13–15 on the Glasgow Coma Scale and loss of consciousness, amnesia, disorientation, persistent vomiting or irritability. For each child, staff in the emergency department completed a standardized assessment form before any CT. The main outcomes were need for neurologic intervention and presence of brain injury as determined by CT. We developed a decision rule by using recursive partitioning to combine variables that were both reliable and strongly associated with the outcome measures and thus to find the best combinations of predictor variables that were highly sensitive for detecting the outcome measures with maximal specificity.\nResults: Among the 3866 patients enrolled (mean age 9.2 years), 95 (2.5%) had a score of 13 on the Glasgow Coma Scale, 282 (7.3%) had a score of 14, and 3489 (90.2%) had a score of 15. CT revealed that 159 (4.1%) had a brain injury, and 24 (0.6%) underwent neurologic intervention. We derived a decision rule for CT of the head consisting of four high-risk factors (failure to reach score of 15 on the Glasgow coma scale within two hours, suspicion of open skull fracture, worsening headache and irritability) and three additional medium-risk factors (large, boggy hematoma of the scalp; signs of basal skull fracture; dangerous mechanism of injury). The high-risk factors were 100.0% sensitive (95% CI 86.2%–100.0%) for predicting the need for neurologic intervention and would require that 30.2% of patients undergo CT. The medium-risk factors resulted in 98.1% sensitivity (95% CI 94.6%–99.4%) for the prediction of brain injury by CT and would require that 52.0% of patients undergo CT.\nInterpretation: The decision rule developed in this study identifies children at two levels of risk. Once the decision rule has been prospectively validated, it has the potential to standardize and improve the use of CT for children with minor head injury.","DOI":"10.1503/cmaj.091421","ISSN":"0820-3946, 1488-2329","note":"PMID: 20142371","shortTitle":"CATCH","journalAbbreviation":"CMAJ","language":"en","author":[{"family":"Osmond","given":"Martin H."},{"family":"Klassen","given":"Terry P."},{"family":"Wells","given":"George A."},{"family":"Correll","given":"Rhonda"},{"family":"Jarvis","given":"Anna"},{"family":"Joubert","given":"Gary"},{"family":"Bailey","given":"Benoit"},{"family":"Chauvin-Kimoff","given":"Laurel"},{"family":"Pusic","given":"Martin"},{"family":"McConnell","given":"Don"},{"family":"Nijssen-Jordan","given":"Cheri"},{"family":"Silver","given":"Norm"},{"family":"Taylor","given":"Brett"},{"family":"Stiell","given":"Ian G."}],"issued":{"date-parts":[["2010",9,3]]},"accessed":{"date-parts":[["2013",7,23]]},"PMID":"20142371"},"label":"page"},{"id":1613,"uris":["http://zotero.org/users/14208/items/X49EJVCJ"],"uri":["http://zotero.org/users/14208/items/X49EJVCJ"],"itemData":{"id":1613,"type":"article-journal","title":"Identification of children at very low risk of clinically-important brain injuries after head trauma: a prospective cohort study","container-title":"The Lancet","page":"1160-1170","volume":"374","issue":"9696","source":"ScienceDirect","abstract":"SummaryBackground\nCT imaging of head-injured children has risks of radiation-induced malignancy. Our aim was to identify children at very low risk of clinically-important traumatic brain injuries (ciTBI) for whom CT might be unnecessary. Methods\nWe enrolled patients younger than 18 years presenting within 24 h of head trauma with Glasgow Coma Scale scores of 14–15 in 25 North American emergency departments. We derived and validated age-specific prediction rules for ciTBI (death from traumatic brain injury, neurosurgery, intubation &amp;gt;24 h, or hospital admission ≥2 nights). Findings\nWe enrolled and analysed 42</w:instrText>
      </w:r>
      <w:r w:rsidR="0048599A">
        <w:rPr>
          <w:rFonts w:ascii="Cambria Math" w:hAnsi="Cambria Math" w:cs="Cambria Math"/>
        </w:rPr>
        <w:instrText> </w:instrText>
      </w:r>
      <w:r w:rsidR="0048599A">
        <w:rPr>
          <w:rFonts w:ascii="Calibri" w:hAnsi="Calibri" w:cs="Calibri"/>
        </w:rPr>
        <w:instrText>412 children (derivatio</w:instrText>
      </w:r>
      <w:r w:rsidR="0048599A">
        <w:instrText>n and validation populations: 8502 and 2216 younger than 2 years, and 25</w:instrText>
      </w:r>
      <w:r w:rsidR="0048599A">
        <w:rPr>
          <w:rFonts w:ascii="Cambria Math" w:hAnsi="Cambria Math" w:cs="Cambria Math"/>
        </w:rPr>
        <w:instrText> </w:instrText>
      </w:r>
      <w:r w:rsidR="0048599A">
        <w:rPr>
          <w:rFonts w:ascii="Calibri" w:hAnsi="Calibri" w:cs="Calibri"/>
        </w:rPr>
        <w:instrText>283 and 6411 aged 2 years and older). We obtained CT scans on 14</w:instrText>
      </w:r>
      <w:r w:rsidR="0048599A">
        <w:rPr>
          <w:rFonts w:ascii="Cambria Math" w:hAnsi="Cambria Math" w:cs="Cambria Math"/>
        </w:rPr>
        <w:instrText> </w:instrText>
      </w:r>
      <w:r w:rsidR="0048599A">
        <w:rPr>
          <w:rFonts w:ascii="Calibri" w:hAnsi="Calibri" w:cs="Calibri"/>
        </w:rPr>
        <w:instrText>969 (35·3%); ciTBIs occurred in 376 (0·9%), and 60 (0·1%) underwent neurosurgery. In the validation population, the pr</w:instrText>
      </w:r>
      <w:r w:rsidR="0048599A">
        <w:instrText>ediction rule for children younger than 2 years (normal mental status, no scalp haematoma except frontal, no loss of consciousness or loss of consciousness for less than 5 s, non-severe injury mechanism, no palpable skull fracture, and acting normally according to the parents) had a negative predictive value for ciTBI of 1176/1176 (100·0%, 95% CI 99·7–100</w:instrText>
      </w:r>
      <w:r w:rsidR="0048599A">
        <w:rPr>
          <w:rFonts w:ascii="Cambria Math" w:hAnsi="Cambria Math" w:cs="Cambria Math"/>
        </w:rPr>
        <w:instrText> </w:instrText>
      </w:r>
      <w:r w:rsidR="0048599A">
        <w:rPr>
          <w:rFonts w:ascii="Calibri" w:hAnsi="Calibri" w:cs="Calibri"/>
        </w:rPr>
        <w:instrText>0) and sensitivity of 25/25 (100%, 86·3–100·0). 167 (24·1%) of 694 CT-imaged patients younger than 2 years were in this low-risk group. The prediction rul</w:instrText>
      </w:r>
      <w:r w:rsidR="0048599A">
        <w:instrText xml:space="preserve">e for children aged 2 years and older (normal mental status, no loss of consciousness, no vomiting, non-severe injury mechanism, no signs of basilar skull fracture, and no severe headache) had a negative predictive value of 3798/3800 (99·95%, 99·81–99·99) and sensitivity of 61/63 (96·8%, 89·0–99·6). 446 (20.1%) of 2223 CT-imaged patients aged 2 years and older were in this low-risk group. Neither rule missed neurosurgery in validation populations. Interpretation\nThese validated prediction rules identified children at very low risk of ciTBIs for whom CT can routinely be obviated. Funding\nThe Emergency Medical Services for Children Programme of the Maternal and Child Health Bureau, and the Maternal and Child Health Bureau Research Programme, Health Resources and Services Administration, US Department of Health and Human Services.","DOI":"10.1016/S0140-6736(09)61558-0","ISSN":"0140-6736","shortTitle":"Identification of children at very low risk of clinically-important brain injuries after head trauma","journalAbbreviation":"The Lancet","author":[{"family":"Kuppermann","given":"Nathan"},{"family":"Holmes","given":"James F"},{"family":"Dayan","given":"Peter S"},{"family":"Hoyle Jr","given":"John D"},{"family":"Atabaki","given":"Shireen M"},{"family":"Holubkov","given":"Richard"},{"family":"Nadel","given":"Frances M"},{"family":"Monroe","given":"David"},{"family":"Stanley","given":"Rachel M"},{"family":"Borgialli","given":"Dominic A"},{"family":"Badawy","given":"Mohamed K"},{"family":"Schunk","given":"Jeff E"},{"family":"Quayle","given":"Kimberly S"},{"family":"Mahajan","given":"Prashant"},{"family":"Lichenstein","given":"Richard"},{"family":"Lillis","given":"Kathleen A"},{"family":"Tunik","given":"Michael G"},{"family":"Jacobs","given":"Elizabeth S"},{"family":"Callahan","given":"James M"},{"family":"Gorelick","given":"Marc H"},{"family":"Glass","given":"Todd F"},{"family":"Lee","given":"Lois K"},{"family":"Bachman","given":"Michael C"},{"family":"Cooper","given":"Arthur"},{"family":"Powell","given":"Elizabeth C"},{"family":"Gerardi","given":"Michael J"},{"family":"Melville","given":"Kraig A"},{"family":"Muizelaar","given":"J Paul"},{"family":"Wisner","given":"David H"},{"family":"Zuspan","given":"Sally Jo"},{"family":"Dean","given":"J Michael"},{"family":"Wootton-Gorges","given":"Sandra L"}],"issued":{"date-parts":[["2009"]]},"accessed":{"date-parts":[["2013",7,23]]}},"label":"page"},{"id":1003,"uris":["http://zotero.org/users/14208/items/KKJ96C2W"],"uri":["http://zotero.org/users/14208/items/KKJ96C2W"],"itemData":{"id":1003,"type":"article-journal","title":"Derivation of the children’s head injury algorithm for the prediction of important clinical events decision rule for head injury in children","container-title":"Archives of Disease in Childhood","page":"885-891","volume":"91","issue":"11","source":"adc.bmj.com","abstract":"Background: A quarter of all patients presenting to emergency departments are children. Although there are several large, well-conducted studies on adults enabling accurate selection of patients with head injury at high risk for computed tomography scanning, no such study has derived a rule for children.\nAim: To conduct a prospective multicentre diagnostic cohort study to provide a rule for selection of high-risk children with head injury for computed tomography scanning.\nDesign: All children presenting to the emergency departments of 10 hospitals in the northwest of England with any severity of head injury were recruited. A tailor-made proforma was used to collect data on around 40 clinical variables for each child. These variables were defined from a literature review, and a pilot study was conducted before the children’s head injury algorithm for the prediction of important clinical events (CHALICE) study. All children who had a clinically significant head injury (death, need for neurosurgical intervention or abnormality on a computed tomography scan) were identified. Recursive partitioning was used to create a highly sensitive rule for the prediction of significant intracranial pathology.\nResults: 22 772 children were recruited over 2½ years. 65% of these were boys and 56% were &lt;5 years old. 281 children showed an abnormality on the computed tomography scan, 137 had a neurosurgical operation and 15 died. The CHALICE rule was derived with a sensitivity of 98% (95% confidence interval (CI) 96% to 100%) and a specificity of 87% (95% CI 86% to 87%) for the prediction of clinically significant head injury, and requires a computed tomography scan rate of 14%.\nConclusion: A highly sensitive clinical decision rule is derived for the identification of children who should undergo computed tomography scanning after head injury. This rule has the potential to improve and standardise the care of children presenting with head injuries. Validation of this rule in new cohorts of patients should now be undertaken.","DOI":"10.1136/adc.2005.083980","ISSN":", 14682044","journalAbbreviation":"Arch Dis Child","language":"en","author":[{"family":"Dunning","given":"J."},{"family":"Daly","given":"J. Patrick"},{"family":"Lomas","given":"J.-P."},{"family":"Lecky","given":"F."},{"family":"Batchelor","given":"J."},{"family":"Mackway-Jones","given":"K."}],"issued":{"date-parts":[["2006",1,11]]},"accessed":{"date-parts":[["2013",7,23]]}},"label":"page"}],"schema":"https://github.com/citation-style-language/schema/raw/master/csl-citation.json"} </w:instrText>
      </w:r>
      <w:r w:rsidR="008C7996">
        <w:fldChar w:fldCharType="separate"/>
      </w:r>
      <w:r w:rsidR="0048599A" w:rsidRPr="0048599A">
        <w:rPr>
          <w:rFonts w:ascii="Calibri" w:hAnsi="Calibri"/>
        </w:rPr>
        <w:t>[4</w:t>
      </w:r>
      <w:proofErr w:type="gramStart"/>
      <w:r w:rsidR="0048599A" w:rsidRPr="0048599A">
        <w:rPr>
          <w:rFonts w:ascii="Calibri" w:hAnsi="Calibri"/>
        </w:rPr>
        <w:t>,6,10</w:t>
      </w:r>
      <w:proofErr w:type="gramEnd"/>
      <w:r w:rsidR="0048599A" w:rsidRPr="0048599A">
        <w:rPr>
          <w:rFonts w:ascii="Calibri" w:hAnsi="Calibri"/>
        </w:rPr>
        <w:t>]</w:t>
      </w:r>
      <w:r w:rsidR="008C7996">
        <w:fldChar w:fldCharType="end"/>
      </w:r>
    </w:p>
    <w:p w14:paraId="006D337F" w14:textId="695CFAF1" w:rsidR="00C36013" w:rsidRDefault="006A1BE0" w:rsidP="00FF267E">
      <w:pPr>
        <w:spacing w:line="480" w:lineRule="auto"/>
      </w:pPr>
      <w:r>
        <w:t>T</w:t>
      </w:r>
      <w:r w:rsidR="009932C4">
        <w:t xml:space="preserve">he </w:t>
      </w:r>
      <w:r w:rsidR="00C36013">
        <w:t>National Institute for Hea</w:t>
      </w:r>
      <w:r w:rsidR="002C43BB">
        <w:t>l</w:t>
      </w:r>
      <w:r w:rsidR="00A91883">
        <w:t>th and Care E</w:t>
      </w:r>
      <w:r w:rsidR="00C36013">
        <w:t xml:space="preserve">xcellence </w:t>
      </w:r>
      <w:r w:rsidR="00AF7A20">
        <w:t xml:space="preserve">(NICE) </w:t>
      </w:r>
      <w:r w:rsidR="002C43BB">
        <w:t xml:space="preserve">has </w:t>
      </w:r>
      <w:r w:rsidR="00AF7A20">
        <w:t xml:space="preserve">produced three </w:t>
      </w:r>
      <w:r w:rsidR="003A3251">
        <w:t>iterations of</w:t>
      </w:r>
      <w:r w:rsidR="002C43BB">
        <w:t xml:space="preserve"> </w:t>
      </w:r>
      <w:r w:rsidR="00E768FE">
        <w:t>evidence</w:t>
      </w:r>
      <w:r w:rsidR="00AF7A20">
        <w:t>-</w:t>
      </w:r>
      <w:r w:rsidR="00E768FE">
        <w:t xml:space="preserve">based </w:t>
      </w:r>
      <w:r w:rsidR="00AF7A20">
        <w:t xml:space="preserve">guidelines </w:t>
      </w:r>
      <w:r w:rsidR="002C43BB">
        <w:t xml:space="preserve">for the </w:t>
      </w:r>
      <w:r w:rsidR="0057561E">
        <w:t>e</w:t>
      </w:r>
      <w:r w:rsidR="002C43BB">
        <w:t xml:space="preserve">arly </w:t>
      </w:r>
      <w:r w:rsidR="0057561E">
        <w:t>m</w:t>
      </w:r>
      <w:r w:rsidR="002C43BB">
        <w:t xml:space="preserve">anagement of </w:t>
      </w:r>
      <w:r w:rsidR="0057561E">
        <w:t>c</w:t>
      </w:r>
      <w:r w:rsidR="002C43BB">
        <w:t xml:space="preserve">hildren with </w:t>
      </w:r>
      <w:r w:rsidR="0057561E">
        <w:t>h</w:t>
      </w:r>
      <w:r w:rsidR="002C43BB">
        <w:t xml:space="preserve">ead </w:t>
      </w:r>
      <w:r w:rsidR="0057561E">
        <w:t>i</w:t>
      </w:r>
      <w:r w:rsidR="002C43BB">
        <w:t>njury</w:t>
      </w:r>
      <w:r w:rsidR="00FF4127">
        <w:t xml:space="preserve"> in 2003, 2007 and 2014</w:t>
      </w:r>
      <w:r w:rsidR="00D00EEA">
        <w:t>,</w:t>
      </w:r>
      <w:r w:rsidR="008C7996">
        <w:fldChar w:fldCharType="begin"/>
      </w:r>
      <w:r w:rsidR="0048599A">
        <w:instrText xml:space="preserve"> ADDIN ZOTERO_ITEM CSL_CITATION {"citationID":"1vru59kl3o","properties":{"unsorted":false,"formattedCitation":"{\\rtf [11\\uc0\\u8211{}13]}","plainCitation":"[11–13]"},"citationItems":[{"id":494,"uris":["http://zotero.org/users/14208/items/B5VEKEIP"],"uri":["http://zotero.org/users/14208/items/B5VEKEIP"],"itemData":{"id":494,"type":"book","title":"Head injury: triage, assessment, investigation and early management of head injury in infants, children and adults.","collection-title":"CG4","publisher":"National Institute for Clinical Excellence","publisher-place":"London","source":"Open WorldCat","event-place":"London","ISBN":"1842573063  9781842573068","shortTitle":"Head injury","language":"English","author":[{"family":"National Institute for Clinical Excellence","given":""}],"issued":{"date-parts":[["2003"]]}},"label":"page"},{"id":199,"uris":["http://zotero.org/users/14208/items/5SB68BD8"],"uri":["http://zotero.org/users/14208/items/5SB68BD8"],"itemData":{"id":199,"type":"book","title":"Head injury triage, assessment, investigation, and early management of head injury in infants, children, and adults","collection-title":"CG56","publisher":"National Collaborating Centre for Acute Care","publisher-place":"London","source":"Open WorldCat","event-place":"London","abstract":"The guideline covers best practice advice on the care of adults, children (aged 1-15 years) and infants (under one year) who present with a suspected or confirmed traumatic head injury with or without other major trauma. In certain circumstances, the age group infants and young children' (that is, those aged under 5 years) is used. Cut-off points of 10 years and 12 years are also used. The guideline will offer advice on the management of patients with a suspected or confirmed head injury who may be unaware that they have sustained a head injury because of intoxication or other causes. The primary patient outcome of concern throughout the guideline is clinically important brain or cervical spine injury. For the purposes of this guideline, clinically important brain or cervical spine injury is defined as any acute condition that has been identified by imaging or by assessment of risk factors. This update covers the following: the benefits of transporting patients with head injuries to a neurosciences unit compared to an emergency department; the benefits of secondary transfer of patients; the best imaging tool for identifying patients with head and cervical spine injuries; the best clinical prediction rule for selecting patients with head and cervical spine injuries for the imaging tool selected; evidence on harm associated with radiation to the head and/or spine; identification of patients who should be referred to rehabilitation services following the initial management of a head injury.","ISBN":"9780954976057 0954976053","shortTitle":"Head injury triage, assessment, investigation, and early management of head injury in infants, children, and adults","language":"English","author":[{"family":"National Institute for Health and Clinical Excellence","given":""}],"issued":{"date-parts":[["2007"]]}},"label":"page"},{"id":955,"uris":["http://zotero.org/users/14208/items/JRDDJS46"],"uri":["http://zotero.org/users/14208/items/JRDDJS46"],"itemData":{"id":955,"type":"book","title":"Head injury: Triage, assessment, investigation and early management of head injury in children, young people and adults","collection-title":"CG176","publisher-place":"London","event-place":"London","URL":"http://www.nice.org.uk/guidance/CG176","ISBN":"978-1-4731-0405-1","shortTitle":"Head injury","language":"eng","author":[{"family":"National Institute for Health and Care Excellence","given":""}],"issued":{"date-parts":[["2014"]]},"accessed":{"date-parts":[["2014",7,29]]}},"label":"page"}],"schema":"https://github.com/citation-style-language/schema/raw/master/csl-citation.json"} </w:instrText>
      </w:r>
      <w:r w:rsidR="008C7996">
        <w:fldChar w:fldCharType="separate"/>
      </w:r>
      <w:r w:rsidR="0048599A" w:rsidRPr="0048599A">
        <w:rPr>
          <w:rFonts w:ascii="Calibri" w:hAnsi="Calibri" w:cs="Times New Roman"/>
          <w:szCs w:val="24"/>
        </w:rPr>
        <w:t>[11–13]</w:t>
      </w:r>
      <w:r w:rsidR="008C7996">
        <w:fldChar w:fldCharType="end"/>
      </w:r>
      <w:r w:rsidR="003A3251">
        <w:t xml:space="preserve"> </w:t>
      </w:r>
      <w:r w:rsidR="00E768FE">
        <w:t>replac</w:t>
      </w:r>
      <w:r w:rsidR="003A3251">
        <w:t>ing</w:t>
      </w:r>
      <w:r w:rsidR="00E768FE">
        <w:t xml:space="preserve"> </w:t>
      </w:r>
      <w:r w:rsidR="00F454F4">
        <w:t>advice</w:t>
      </w:r>
      <w:r w:rsidR="00E768FE">
        <w:t xml:space="preserve"> from the Royal College of Surgeons</w:t>
      </w:r>
      <w:r w:rsidR="00F4109D">
        <w:t xml:space="preserve"> </w:t>
      </w:r>
      <w:r w:rsidR="007D55F7">
        <w:t xml:space="preserve">(in </w:t>
      </w:r>
      <w:r w:rsidR="00F4109D">
        <w:t>1984 and 1999</w:t>
      </w:r>
      <w:r w:rsidR="007D55F7">
        <w:t>)</w:t>
      </w:r>
      <w:r w:rsidR="00A91883">
        <w:t>.</w:t>
      </w:r>
      <w:r w:rsidR="008C7996">
        <w:fldChar w:fldCharType="begin"/>
      </w:r>
      <w:r w:rsidR="0048599A">
        <w:instrText xml:space="preserve"> ADDIN ZOTERO_ITEM CSL_CITATION {"citationID":"6k1c1teg6","properties":{"formattedCitation":"[14,15]","plainCitation":"[14,15]"},"citationItems":[{"id":1374,"uris":["http://zotero.org/users/14208/items/T4PTMNE7"],"uri":["http://zotero.org/users/14208/items/T4PTMNE7"],"itemData":{"id":1374,"type":"article-journal","title":"Guidelines for initial management after head injury in adults. Suggestions from a group of neurosurgeons","container-title":"British Medical Journal (Clinical Research Ed.)","page":"983-985","volume":"288","issue":"6422","source":"NCBI PubMed","ISSN":"0267-0623","note":"PMID: 6423173 \nPMCID: PMC1442492","journalAbbreviation":"Br Med J (Clin Res Ed)","language":"eng","issued":{"date-parts":[["1984",3,31]]},"PMID":"6423173","PMCID":"PMC1442492"},"label":"page"},{"id":617,"uris":["http://zotero.org/users/14208/items/DES7K56T"],"uri":["http://zotero.org/users/14208/items/DES7K56T"],"itemData":{"id":617,"type":"webpage","title":"Report of the Working Party on the Management of Patients with Head Injuries","URL":"https://www.rcseng.ac.uk/publications/docs/report_head_injuries.html/@@download/pdffile/Management.pdf","author":[{"family":"The Royal College of Surgeons of England","given":""}],"issued":{"date-parts":[["1999"]]},"accessed":{"date-parts":[["2014",7,13]]}},"label":"page"}],"schema":"https://github.com/citation-style-language/schema/raw/master/csl-citation.json"} </w:instrText>
      </w:r>
      <w:r w:rsidR="008C7996">
        <w:fldChar w:fldCharType="separate"/>
      </w:r>
      <w:r w:rsidR="0048599A" w:rsidRPr="0048599A">
        <w:rPr>
          <w:rFonts w:ascii="Calibri" w:hAnsi="Calibri"/>
        </w:rPr>
        <w:t>[14</w:t>
      </w:r>
      <w:proofErr w:type="gramStart"/>
      <w:r w:rsidR="0048599A" w:rsidRPr="0048599A">
        <w:rPr>
          <w:rFonts w:ascii="Calibri" w:hAnsi="Calibri"/>
        </w:rPr>
        <w:t>,15</w:t>
      </w:r>
      <w:proofErr w:type="gramEnd"/>
      <w:r w:rsidR="0048599A" w:rsidRPr="0048599A">
        <w:rPr>
          <w:rFonts w:ascii="Calibri" w:hAnsi="Calibri"/>
        </w:rPr>
        <w:t>]</w:t>
      </w:r>
      <w:r w:rsidR="008C7996">
        <w:fldChar w:fldCharType="end"/>
      </w:r>
      <w:r w:rsidR="00A91883">
        <w:t xml:space="preserve">  A crucial</w:t>
      </w:r>
      <w:r w:rsidR="002C43BB">
        <w:t xml:space="preserve"> component in all versions has bee</w:t>
      </w:r>
      <w:r w:rsidR="00174852">
        <w:t xml:space="preserve">n guidance regarding imaging.  </w:t>
      </w:r>
      <w:r>
        <w:t xml:space="preserve">The first NICE </w:t>
      </w:r>
      <w:r w:rsidR="00AF7A20">
        <w:t>guideline</w:t>
      </w:r>
      <w:r w:rsidR="00496484">
        <w:t xml:space="preserve"> </w:t>
      </w:r>
      <w:r w:rsidR="009E664E">
        <w:t>was largely extrapolat</w:t>
      </w:r>
      <w:r w:rsidR="0057561E">
        <w:t>ed</w:t>
      </w:r>
      <w:r w:rsidR="009E664E">
        <w:t xml:space="preserve"> from adult studies </w:t>
      </w:r>
      <w:r w:rsidR="0057561E">
        <w:t xml:space="preserve">due to </w:t>
      </w:r>
      <w:r w:rsidR="004A4ED0">
        <w:t xml:space="preserve">limited </w:t>
      </w:r>
      <w:r w:rsidR="000D53F4">
        <w:t>paediatric</w:t>
      </w:r>
      <w:r w:rsidR="0057561E">
        <w:t>-</w:t>
      </w:r>
      <w:r w:rsidR="00F454F4">
        <w:t xml:space="preserve">specific </w:t>
      </w:r>
      <w:r w:rsidR="000D53F4">
        <w:t>evidence</w:t>
      </w:r>
      <w:r w:rsidR="004A4ED0">
        <w:t xml:space="preserve">.  </w:t>
      </w:r>
      <w:r w:rsidR="00C36013">
        <w:t xml:space="preserve"> </w:t>
      </w:r>
      <w:r w:rsidR="00604862">
        <w:t>M</w:t>
      </w:r>
      <w:r w:rsidR="00C36013">
        <w:t xml:space="preserve">any clinicians </w:t>
      </w:r>
      <w:r w:rsidR="009640A2">
        <w:t>f</w:t>
      </w:r>
      <w:r w:rsidR="003A3251">
        <w:t xml:space="preserve">elt </w:t>
      </w:r>
      <w:r w:rsidR="004A4ED0">
        <w:t xml:space="preserve">this </w:t>
      </w:r>
      <w:r w:rsidR="00A91883">
        <w:t>led to</w:t>
      </w:r>
      <w:r w:rsidR="004A4ED0">
        <w:t xml:space="preserve"> unacceptably high </w:t>
      </w:r>
      <w:r w:rsidR="003A3251">
        <w:t xml:space="preserve">CT </w:t>
      </w:r>
      <w:r w:rsidR="004A4ED0">
        <w:t>rate</w:t>
      </w:r>
      <w:r w:rsidR="00191F90">
        <w:t xml:space="preserve">s </w:t>
      </w:r>
      <w:r>
        <w:t xml:space="preserve">and </w:t>
      </w:r>
      <w:r w:rsidR="006525F9">
        <w:t>use</w:t>
      </w:r>
      <w:r w:rsidR="0057561E">
        <w:t>d</w:t>
      </w:r>
      <w:r w:rsidR="00C36013">
        <w:t xml:space="preserve"> </w:t>
      </w:r>
      <w:r w:rsidR="00E65738">
        <w:t xml:space="preserve">locally derived </w:t>
      </w:r>
      <w:r w:rsidR="00C36013">
        <w:t>guidelines</w:t>
      </w:r>
      <w:r w:rsidR="004A4ED0">
        <w:t xml:space="preserve"> with higher threshold</w:t>
      </w:r>
      <w:r w:rsidR="009E664E">
        <w:t>s</w:t>
      </w:r>
      <w:r w:rsidR="00F454F4">
        <w:t xml:space="preserve"> and lower scan rates</w:t>
      </w:r>
      <w:r w:rsidR="00C36013">
        <w:t>.</w:t>
      </w:r>
      <w:r w:rsidR="008C7996">
        <w:fldChar w:fldCharType="begin"/>
      </w:r>
      <w:r w:rsidR="0048599A">
        <w:instrText xml:space="preserve"> ADDIN ZOTERO_ITEM CSL_CITATION {"citationID":"b6but8He","properties":{"formattedCitation":"[16,17]","plainCitation":"[16,17]"},"citationItems":[{"id":645,"uris":["http://zotero.org/users/14208/items/E3HZR4W2"],"uri":["http://zotero.org/users/14208/items/E3HZR4W2"],"itemData":{"id":645,"type":"article-journal","title":"Not a NICE CT protocol for the acutely head injured child","container-title":"Clinical radiology","page":"165-169","volume":"63","issue":"2","source":"NCBI PubMed","abstract":"AIM: To assess the impact of the introduction of the Birmingham Children's Hospital (BCH) head injury computed tomography (CT) guidelines, when compared with the National Institute of Health and Clinical Excellence (NICE) guidelines, on the number of children with head injuries referred from the Emergency Department (ED) undergoing a CT examination of the head.\nMATERIAL AND METHODS: All children attending BCH ED over a 6-month period with any severity of head injury were included in the study. ED case notes were reviewed and data were collected on a specifically designed proforma. Indications for a CT examination according to both NICE and BCH head injury guidelines and whether or not CT examinations were performed were recorded.\nRESULTS: A total of 1428 children attended the BCH ED following a head injury in the 6-month period. The median age was 4 years (range 6 days to 15 years) and 65% were boys. Four percent of children were referred for a CT using BCH guidelines and were appropriately examined. If the NICE guidelines had been strictly adhered to a further 8% of children would have undergone a CT examination of the head. All of these children were discharged without complication. The remaining 88% had no indication for CT examination by either BCH or NICE and appropriately did not undergo CT.\nCONCLUSIONS: Adherence to the NICE head injury guidelines would have resulted in a three-fold increase in the total number of CT examinations of the head. The BCH head injury guidelines are both safe and appropriate in the setting of a large children's hospital experienced in the management of children with head injuries.","DOI":"10.1016/j.crad.2007.05.027","ISSN":"0009-9260","note":"PMID: 18194692","journalAbbreviation":"Clin Radiol","language":"eng","author":[{"family":"Willis","given":"A P"},{"family":"Latif","given":"S A A"},{"family":"Chandratre","given":"S"},{"family":"Stanhope","given":"B"},{"family":"Johnson","given":"K"}],"issued":{"date-parts":[["2008",2]]},"PMID":"18194692"},"label":"page"},{"id":864,"uris":["http://zotero.org/users/14208/items/I67Q9HEJ"],"uri":["http://zotero.org/users/14208/items/I67Q9HEJ"],"itemData":{"id":864,"type":"article-journal","title":"CT or not CT--that is the question. Whether 'tis better to evaluate clinically and x ray than to undertake a CT head scan!","container-title":"Emergency medicine journal: EMJ","page":"541-543","volume":"22","issue":"8","source":"NCBI PubMed","abstract":"OBJECTIVE: To evaluate the usage of computed tomography (CT) head scanning in children at the Royal Aberdeen Children's Hospital after the publication of the National Institute of Clinical Excellence (NICE) guidelines on the management of head injury.\nMETHODS: The Accident and Emergency case records of all children presenting with a head injury over a three month period were reviewed and the number of attendances, radiographs, and CT head scans undertaken were noted. Also noted was the number of additional CT head scans that would have been performed if the NICE guidelines had been rigidly followed.\nRESULTS: Five hundred and thirty seven children were included in the study: 67% were boys. Two hundred and ten (39%) had skull radiographs: six demonstrated skull fractures and eight (1.5%) underwent CT head scan, with one positive report of a skull fracture. There were no reports of intracranial abnormalities. Ninety nine (18.4%) were admitted. Strictly applying all the NICE criteria for CT scanning would have resulted in an additional 54 patients being scanned.\nCONCLUSION: Rigid adherence to the NICE guidelines in all children with head injuries would have resulted in an almost eightfold increase in CT head scans performed. None of these children had clinical signs of intracranial injury and would have been exposed to a large amount of ionising radiation. The use of guidelines in practice must always be considered in conjunction with clinical judgement.","DOI":"10.1136/emj.2004.017160","ISSN":"1472-0213","note":"PMID: 16046751","journalAbbreviation":"Emerg Med J","language":"eng","author":[{"family":"Macgregor","given":"D M"},{"family":"McKie","given":"L"}],"issued":{"date-parts":[["2005",8]]},"PMID":"16046751"},"label":"page"}],"schema":"https://github.com/citation-style-language/schema/raw/master/csl-citation.json"} </w:instrText>
      </w:r>
      <w:r w:rsidR="008C7996">
        <w:fldChar w:fldCharType="separate"/>
      </w:r>
      <w:r w:rsidR="0048599A" w:rsidRPr="0048599A">
        <w:rPr>
          <w:rFonts w:ascii="Calibri" w:hAnsi="Calibri"/>
        </w:rPr>
        <w:t>[16,17]</w:t>
      </w:r>
      <w:r w:rsidR="008C7996">
        <w:fldChar w:fldCharType="end"/>
      </w:r>
      <w:r w:rsidR="00191F90">
        <w:t xml:space="preserve"> </w:t>
      </w:r>
      <w:r w:rsidR="00C36013">
        <w:t xml:space="preserve"> </w:t>
      </w:r>
      <w:r w:rsidR="009640A2">
        <w:t xml:space="preserve">The </w:t>
      </w:r>
      <w:r w:rsidR="0057561E">
        <w:t>2007</w:t>
      </w:r>
      <w:r w:rsidR="009640A2">
        <w:t xml:space="preserve"> revision </w:t>
      </w:r>
      <w:r>
        <w:t>incorporated</w:t>
      </w:r>
      <w:r w:rsidR="000D53F4">
        <w:t xml:space="preserve"> </w:t>
      </w:r>
      <w:r w:rsidR="009640A2">
        <w:t xml:space="preserve">criteria </w:t>
      </w:r>
      <w:r>
        <w:t>from</w:t>
      </w:r>
      <w:r w:rsidR="009640A2">
        <w:t xml:space="preserve"> a </w:t>
      </w:r>
      <w:r w:rsidR="0057561E">
        <w:t>paediatric</w:t>
      </w:r>
      <w:r w:rsidR="009640A2">
        <w:t xml:space="preserve"> UK study</w:t>
      </w:r>
      <w:r w:rsidR="00D00EEA">
        <w:t>;</w:t>
      </w:r>
      <w:r w:rsidR="008C7996">
        <w:fldChar w:fldCharType="begin"/>
      </w:r>
      <w:r w:rsidR="0048599A">
        <w:instrText xml:space="preserve"> ADDIN ZOTERO_ITEM CSL_CITATION {"citationID":"13cabubjis","properties":{"formattedCitation":"[4]","plainCitation":"[4]"},"citationItems":[{"id":1003,"uris":["http://zotero.org/users/14208/items/KKJ96C2W"],"uri":["http://zotero.org/users/14208/items/KKJ96C2W"],"itemData":{"id":1003,"type":"article-journal","title":"Derivation of the children’s head injury algorithm for the prediction of important clinical events decision rule for head injury in children","container-title":"Archives of Disease in Childhood","page":"885-891","volume":"91","issue":"11","source":"adc.bmj.com","abstract":"Background: A quarter of all patients presenting to emergency departments are children. Although there are several large, well-conducted studies on adults enabling accurate selection of patients with head injury at high risk for computed tomography scanning, no such study has derived a rule for children.\nAim: To conduct a prospective multicentre diagnostic cohort study to provide a rule for selection of high-risk children with head injury for computed tomography scanning.\nDesign: All children presenting to the emergency departments of 10 hospitals in the northwest of England with any severity of head injury were recruited. A tailor-made proforma was used to collect data on around 40 clinical variables for each child. These variables were defined from a literature review, and a pilot study was conducted before the children’s head injury algorithm for the prediction of important clinical events (CHALICE) study. All children who had a clinically significant head injury (death, need for neurosurgical intervention or abnormality on a computed tomography scan) were identified. Recursive partitioning was used to create a highly sensitive rule for the prediction of significant intracranial pathology.\nResults: 22 772 children were recruited over 2½ years. 65% of these were boys and 56% were &lt;5 years old. 281 children showed an abnormality on the computed tomography scan, 137 had a neurosurgical operation and 15 died. The CHALICE rule was derived with a sensitivity of 98% (95% confidence interval (CI) 96% to 100%) and a specificity of 87% (95% CI 86% to 87%) for the prediction of clinically significant head injury, and requires a computed tomography scan rate of 14%.\nConclusion: A highly sensitive clinical decision rule is derived for the identification of children who should undergo computed tomography scanning after head injury. This rule has the potential to improve and standardise the care of children presenting with head injuries. Validation of this rule in new cohorts of patients should now be undertaken.","DOI":"10.1136/adc.2005.083980","ISSN":", 14682044","journalAbbreviation":"Arch Dis Child","language":"en","author":[{"family":"Dunning","given":"J."},{"family":"Daly","given":"J. Patrick"},{"family":"Lomas","given":"J.-P."},{"family":"Lecky","given":"F."},{"family":"Batchelor","given":"J."},{"family":"Mackway-Jones","given":"K."}],"issued":{"date-parts":[["2006",1,11]]},"accessed":{"date-parts":[["2013",7,23]]}}}],"schema":"https://github.com/citation-style-language/schema/raw/master/csl-citation.json"} </w:instrText>
      </w:r>
      <w:r w:rsidR="008C7996">
        <w:fldChar w:fldCharType="separate"/>
      </w:r>
      <w:r w:rsidR="0048599A" w:rsidRPr="0048599A">
        <w:rPr>
          <w:rFonts w:ascii="Calibri" w:hAnsi="Calibri"/>
        </w:rPr>
        <w:t>[4]</w:t>
      </w:r>
      <w:r w:rsidR="008C7996">
        <w:fldChar w:fldCharType="end"/>
      </w:r>
      <w:r w:rsidR="00763911">
        <w:t xml:space="preserve"> with </w:t>
      </w:r>
      <w:r w:rsidR="000F0026">
        <w:t>acceptable</w:t>
      </w:r>
      <w:r w:rsidR="00763911">
        <w:t xml:space="preserve"> </w:t>
      </w:r>
      <w:r w:rsidR="0057561E">
        <w:t>CT</w:t>
      </w:r>
      <w:r w:rsidR="00763911">
        <w:t xml:space="preserve"> rates this became widely used</w:t>
      </w:r>
      <w:r w:rsidR="007D55F7">
        <w:t>, though with some centres making minor modifications</w:t>
      </w:r>
      <w:r w:rsidR="009640A2">
        <w:t>.</w:t>
      </w:r>
      <w:r w:rsidR="008C7996">
        <w:fldChar w:fldCharType="begin"/>
      </w:r>
      <w:r w:rsidR="0048599A">
        <w:instrText xml:space="preserve"> ADDIN ZOTERO_ITEM CSL_CITATION {"citationID":"BrrRuyEA","properties":{"formattedCitation":"[18]","plainCitation":"[18]"},"citationItems":[{"id":937,"uris":["http://zotero.org/users/14208/items/JH98GZ4X"],"uri":["http://zotero.org/users/14208/items/JH98GZ4X"],"itemData":{"id":937,"type":"article-journal","title":"Management of isolated minor head injury in the UK","container-title":"Emergency Medicine Journal","page":"856-859","volume":"27","issue":"11","source":"emj.bmj.com","abstract":"Background Recent guidelines and service developments may have changed the management of isolated minor head injuries in the UK. The authors aimed to review current practice and national statistics, and determine whether methods of service delivery are associated with differences in admission rates.\nMethods The authors surveyed management of minor head injuries in all acute hospitals in the UK and then correlated these responses with Hospital Episodes Statistics (HES) emergency department data relating to head injury.\nResults Responses relating to children were received from 174/250 hospitals and adults from 181/250. Nearly all hospitals had unrestricted access to CT scanning (adults 96%, children 94.5%). Most hospitals (70.1%) admitted adults under the emergency department staff, usually (61.4%) to an observation ward or clinical decision unit. Children were usually formally admitted to a ward (86.7%) under an inpatient team (78.5%). The median proportion of attendances admitted was higher for adults (18%) than for children (9%). There was no evidence of any association between the proportion admitted and the admission team, location or requirement for senior or specialist approval (all p&gt;0.1).\nConclusion Minor head injury admission, especially for adults, is increasingly the responsibility of the emergency department. Admission policies had no significant effect on the proportion admitted, although improved HES data are required to confirm this.","DOI":"10.1136/emj.2009.086389","ISSN":", 1472-0213","note":"PMID: 20522436","journalAbbreviation":"Emerg Med J","language":"en","author":[{"family":"Goodacre","given":"Steve W."},{"family":"Pandor","given":"Abdullah"},{"family":"Pickering","given":"Alastair"}],"issued":{"date-parts":[["2010",1,11]]},"accessed":{"date-parts":[["2013",9,23]]},"PMID":"20522436"}}],"schema":"https://github.com/citation-style-language/schema/raw/master/csl-citation.json"} </w:instrText>
      </w:r>
      <w:r w:rsidR="008C7996">
        <w:fldChar w:fldCharType="separate"/>
      </w:r>
      <w:r w:rsidR="0048599A" w:rsidRPr="0048599A">
        <w:rPr>
          <w:rFonts w:ascii="Calibri" w:hAnsi="Calibri"/>
        </w:rPr>
        <w:t>[18]</w:t>
      </w:r>
      <w:r w:rsidR="008C7996">
        <w:fldChar w:fldCharType="end"/>
      </w:r>
      <w:r w:rsidR="007047EA">
        <w:t xml:space="preserve"> </w:t>
      </w:r>
      <w:r w:rsidR="009E664E">
        <w:t xml:space="preserve"> </w:t>
      </w:r>
      <w:proofErr w:type="gramStart"/>
      <w:r w:rsidR="00E71A87" w:rsidRPr="000F0026">
        <w:t>The</w:t>
      </w:r>
      <w:proofErr w:type="gramEnd"/>
      <w:r w:rsidR="00E71A87" w:rsidRPr="000F0026">
        <w:t xml:space="preserve"> most recent version</w:t>
      </w:r>
      <w:r w:rsidR="006525F9" w:rsidRPr="000F0026">
        <w:t xml:space="preserve"> </w:t>
      </w:r>
      <w:r w:rsidR="00E71A87" w:rsidRPr="000F0026">
        <w:t>(NICE</w:t>
      </w:r>
      <w:r w:rsidR="004848E1">
        <w:t xml:space="preserve"> </w:t>
      </w:r>
      <w:r w:rsidR="00E71A87" w:rsidRPr="000F0026">
        <w:t xml:space="preserve">2014) </w:t>
      </w:r>
      <w:r w:rsidR="00E54833" w:rsidRPr="000F0026">
        <w:t xml:space="preserve">introduced </w:t>
      </w:r>
      <w:r w:rsidR="00A90776" w:rsidRPr="000F0026">
        <w:t>risk stratification, defining</w:t>
      </w:r>
      <w:r w:rsidR="00A91883" w:rsidRPr="000F0026">
        <w:t xml:space="preserve"> </w:t>
      </w:r>
      <w:r w:rsidR="00E54833" w:rsidRPr="000F0026">
        <w:t xml:space="preserve">a cohort </w:t>
      </w:r>
      <w:r w:rsidR="009E664E" w:rsidRPr="000F0026">
        <w:t xml:space="preserve">of children </w:t>
      </w:r>
      <w:r w:rsidR="009640A2" w:rsidRPr="000F0026">
        <w:t>who may</w:t>
      </w:r>
      <w:r w:rsidR="009E664E" w:rsidRPr="000F0026">
        <w:t xml:space="preserve"> </w:t>
      </w:r>
      <w:r w:rsidR="00E54833" w:rsidRPr="000F0026">
        <w:t>be actively observed</w:t>
      </w:r>
      <w:r w:rsidR="00A90776" w:rsidRPr="000F0026">
        <w:t xml:space="preserve"> </w:t>
      </w:r>
      <w:r w:rsidR="00082605">
        <w:t xml:space="preserve">rather </w:t>
      </w:r>
      <w:r w:rsidR="00082605">
        <w:lastRenderedPageBreak/>
        <w:t>than progressing to immediate CT scan</w:t>
      </w:r>
      <w:r w:rsidR="00E54833" w:rsidRPr="000F0026">
        <w:t>.</w:t>
      </w:r>
      <w:r w:rsidR="0095032B" w:rsidRPr="000F0026">
        <w:t xml:space="preserve"> </w:t>
      </w:r>
      <w:r w:rsidR="00DC7F0C">
        <w:t xml:space="preserve"> </w:t>
      </w:r>
      <w:r w:rsidR="00082605">
        <w:t>This practice</w:t>
      </w:r>
      <w:r w:rsidR="00DC7F0C">
        <w:t xml:space="preserve"> for selected patients has been shown to be</w:t>
      </w:r>
      <w:r w:rsidR="005B1FA3" w:rsidRPr="000F0026">
        <w:t xml:space="preserve"> associated with approximately half the adjusted odds of </w:t>
      </w:r>
      <w:r w:rsidR="00DC7F0C">
        <w:t>performing CT</w:t>
      </w:r>
      <w:r w:rsidR="005B1FA3" w:rsidRPr="000F0026">
        <w:t xml:space="preserve"> </w:t>
      </w:r>
      <w:r w:rsidR="00DC7F0C">
        <w:t xml:space="preserve">and </w:t>
      </w:r>
      <w:r w:rsidR="000F0026" w:rsidRPr="000F0026">
        <w:t xml:space="preserve">no </w:t>
      </w:r>
      <w:r w:rsidR="00DC7F0C">
        <w:t xml:space="preserve">increase in </w:t>
      </w:r>
      <w:r w:rsidR="000F0026" w:rsidRPr="000F0026">
        <w:t>adverse effects</w:t>
      </w:r>
      <w:r w:rsidR="00DC7F0C">
        <w:t>,</w:t>
      </w:r>
      <w:r w:rsidR="000F0026" w:rsidRPr="000F0026">
        <w:t xml:space="preserve"> </w:t>
      </w:r>
      <w:r w:rsidR="00F4109D" w:rsidRPr="000F0026">
        <w:t>leading to the  suggestion that  this approach could safely reduce CT rates</w:t>
      </w:r>
      <w:r w:rsidR="00E71A87" w:rsidRPr="000F0026">
        <w:t>.</w:t>
      </w:r>
      <w:r w:rsidR="008C7996" w:rsidRPr="000F0026">
        <w:fldChar w:fldCharType="begin"/>
      </w:r>
      <w:r w:rsidR="0048599A">
        <w:instrText xml:space="preserve"> ADDIN ZOTERO_ITEM CSL_CITATION {"citationID":"t484pfca9","properties":{"formattedCitation":"[19]","plainCitation":"[19]"},"citationItems":[{"id":551,"uris":["http://zotero.org/users/14208/items/C6GRZABN"],"uri":["http://zotero.org/users/14208/items/C6GRZABN"],"itemData":{"id":551,"type":"article-journal","title":"The Effect of Observation on Cranial Computed Tomography Utilization for Children After Blunt Head Trauma","container-title":"Pediatrics","page":"1067-1073","volume":"127","issue":"6","source":"pediatrics.aappublications.org","abstract":"OBJECTIVE: Children with minor blunt head trauma often are observed in the emergency department before a decision is made regarding computed tomography use. We studied the impact of this clinical strategy on computed tomography use and outcomes.\nMETHODS: We performed a subanalysis of a prospective multicenter observational study of children with minor blunt head trauma. Clinicians completed case report forms indicating whether the child was observed before making a decision regarding computed tomography. We defined clinically important traumatic brain injury as an intracranial injury resulting in death, neurosurgical intervention, intubation for longer than 24 hours, or hospital admission for 2 nights or longer. To compare computed tomography rates between children observed and those not observed before a decision was made regarding computed tomography use, we used a generalized estimating equation model to control for hospital clustering and patient characteristics.\nRESULTS: Of 42 412 children enrolled in the study, clinicians noted if the patient was observed before making a decision on computed tomography in 40 113 (95%). Of these, 5433 (14%) children were observed. The computed tomography use rate was lower in those observed than in those not observed (31.1% vs 35.0%; difference: −3.9% [95% confidence interval: −5.3 to −2.6]), but the rate of clinically important traumatic brain injury was similar (0.75% vs 0.87%; difference: −0.1% [95% confidence interval: −0.4 to 0.1]). After adjustment for hospital and patient characteristics, the difference in the computed tomography use rate remained significant (adjusted odds ratio for obtaining a computed tomography in the observed group: 0.53 [95% confidence interval: 0.43–0.66]).\nCONCLUSIONS: Clinical observation was associated with reduced computed tomography use among children with minor blunt head trauma and may be an effective strategy to reduce computed tomography use.","DOI":"10.1542/peds.2010-3373","ISSN":"0031-4005, 1098-4275","note":"PMID: 21555498","journalAbbreviation":"Pediatrics","language":"en","author":[{"family":"Nigrovic","given":"Lise E."},{"family":"Schunk","given":"Jeff E."},{"family":"Foerster","given":"Adele"},{"family":"Cooper","given":"Arthur"},{"family":"Miskin","given":"Michelle"},{"family":"Atabaki","given":"Shireen M."},{"family":"Hoyle","given":"John"},{"family":"Dayan","given":"Peter S."},{"family":"Holmes","given":"James F."},{"family":"Kuppermann","given":"Nathan"}],"issued":{"date-parts":[["2011",1,6]]},"accessed":{"date-parts":[["2014",7,7]]},"PMID":"21555498"}}],"schema":"https://github.com/citation-style-language/schema/raw/master/csl-citation.json"} </w:instrText>
      </w:r>
      <w:r w:rsidR="008C7996" w:rsidRPr="000F0026">
        <w:fldChar w:fldCharType="separate"/>
      </w:r>
      <w:r w:rsidR="0048599A" w:rsidRPr="0048599A">
        <w:rPr>
          <w:rFonts w:ascii="Calibri" w:hAnsi="Calibri"/>
        </w:rPr>
        <w:t>[19]</w:t>
      </w:r>
      <w:r w:rsidR="008C7996" w:rsidRPr="000F0026">
        <w:fldChar w:fldCharType="end"/>
      </w:r>
    </w:p>
    <w:p w14:paraId="785D4438" w14:textId="77777777" w:rsidR="009640A2" w:rsidRPr="006935F6" w:rsidRDefault="00DC7F0C" w:rsidP="00FF267E">
      <w:pPr>
        <w:spacing w:line="480" w:lineRule="auto"/>
      </w:pPr>
      <w:r>
        <w:t>We aimed to</w:t>
      </w:r>
      <w:r w:rsidR="00FF4127">
        <w:t xml:space="preserve"> determine </w:t>
      </w:r>
      <w:r>
        <w:t>whether</w:t>
      </w:r>
      <w:r w:rsidR="00FF4127">
        <w:t xml:space="preserve"> mortality or admission </w:t>
      </w:r>
      <w:r w:rsidR="0047154B">
        <w:t>rates</w:t>
      </w:r>
      <w:r w:rsidR="00FF4127">
        <w:t xml:space="preserve"> from childhood head injury have changed </w:t>
      </w:r>
      <w:r>
        <w:t>with</w:t>
      </w:r>
      <w:r w:rsidR="00FF4127">
        <w:t xml:space="preserve"> successive iterations of NICE guidance</w:t>
      </w:r>
      <w:r>
        <w:t>,</w:t>
      </w:r>
      <w:r w:rsidR="00FF4127">
        <w:t xml:space="preserve"> and to explore the epidemiology to identify any potentially alternative influences.</w:t>
      </w:r>
    </w:p>
    <w:p w14:paraId="2D0F1FEE" w14:textId="77777777" w:rsidR="00FF267E" w:rsidRDefault="00FF267E" w:rsidP="00FF267E">
      <w:pPr>
        <w:spacing w:line="480" w:lineRule="auto"/>
        <w:rPr>
          <w:b/>
          <w:sz w:val="26"/>
        </w:rPr>
      </w:pPr>
    </w:p>
    <w:p w14:paraId="3848B35F" w14:textId="3BE2BFF6" w:rsidR="00265D79" w:rsidRDefault="00F71C2B" w:rsidP="00FF267E">
      <w:pPr>
        <w:spacing w:line="480" w:lineRule="auto"/>
      </w:pPr>
      <w:r w:rsidRPr="00F71C2B">
        <w:rPr>
          <w:b/>
          <w:sz w:val="26"/>
        </w:rPr>
        <w:t>METHODS</w:t>
      </w:r>
      <w:r w:rsidR="006525F9">
        <w:br/>
      </w:r>
      <w:r w:rsidR="00265D79" w:rsidRPr="00F71C2B">
        <w:rPr>
          <w:b/>
        </w:rPr>
        <w:t>Data sources</w:t>
      </w:r>
      <w:r w:rsidR="00E44D77">
        <w:br/>
      </w:r>
      <w:r w:rsidR="006525F9" w:rsidRPr="00417638">
        <w:t xml:space="preserve">Hospital </w:t>
      </w:r>
      <w:r w:rsidR="00C20750" w:rsidRPr="00417638">
        <w:t>E</w:t>
      </w:r>
      <w:r w:rsidR="006525F9" w:rsidRPr="00417638">
        <w:t xml:space="preserve">pisode </w:t>
      </w:r>
      <w:r w:rsidR="00C20750" w:rsidRPr="00417638">
        <w:t>S</w:t>
      </w:r>
      <w:r w:rsidR="006525F9" w:rsidRPr="00417638">
        <w:t>tatistics</w:t>
      </w:r>
      <w:r w:rsidR="00C20750" w:rsidRPr="00417638">
        <w:t xml:space="preserve"> (HES)</w:t>
      </w:r>
      <w:r w:rsidR="00E44D77" w:rsidRPr="00417638">
        <w:t xml:space="preserve"> is a</w:t>
      </w:r>
      <w:r w:rsidR="006525F9" w:rsidRPr="00417638">
        <w:t xml:space="preserve"> centrally collected </w:t>
      </w:r>
      <w:r w:rsidR="004A4ED0" w:rsidRPr="00417638">
        <w:t>ano</w:t>
      </w:r>
      <w:r w:rsidR="00FB6239" w:rsidRPr="00417638">
        <w:t>nymis</w:t>
      </w:r>
      <w:r w:rsidR="004A4ED0" w:rsidRPr="00417638">
        <w:t>ed</w:t>
      </w:r>
      <w:r w:rsidR="00445DA1" w:rsidRPr="00417638">
        <w:t xml:space="preserve"> </w:t>
      </w:r>
      <w:r w:rsidR="000F0026">
        <w:t xml:space="preserve">record </w:t>
      </w:r>
      <w:r w:rsidR="006525F9" w:rsidRPr="00417638">
        <w:t xml:space="preserve">of all admissions to </w:t>
      </w:r>
      <w:r w:rsidR="00DC7F0C">
        <w:t xml:space="preserve">English </w:t>
      </w:r>
      <w:r w:rsidR="003E01FB" w:rsidRPr="00417638">
        <w:t xml:space="preserve">National Health Service </w:t>
      </w:r>
      <w:r w:rsidR="006525F9" w:rsidRPr="00417638">
        <w:t>hospital</w:t>
      </w:r>
      <w:r w:rsidR="003E01FB" w:rsidRPr="00417638">
        <w:t>s</w:t>
      </w:r>
      <w:r w:rsidR="00EF391B" w:rsidRPr="00417638">
        <w:t xml:space="preserve">. </w:t>
      </w:r>
      <w:r w:rsidR="000F0026">
        <w:t xml:space="preserve">It uses </w:t>
      </w:r>
      <w:r w:rsidR="0093282A" w:rsidRPr="00417638">
        <w:t xml:space="preserve">nationally </w:t>
      </w:r>
      <w:r w:rsidR="000F0026">
        <w:t>standardized coding systems</w:t>
      </w:r>
      <w:r w:rsidR="0093282A" w:rsidRPr="00417638">
        <w:t xml:space="preserve"> to record diagnoses (</w:t>
      </w:r>
      <w:r w:rsidR="008117FE" w:rsidRPr="00417638">
        <w:t>International Classification of Disease</w:t>
      </w:r>
      <w:r w:rsidR="00417638" w:rsidRPr="00417638">
        <w:t>s - ICD</w:t>
      </w:r>
      <w:r w:rsidR="0093282A" w:rsidRPr="00417638">
        <w:t>10)</w:t>
      </w:r>
      <w:r w:rsidR="00DC7F0C">
        <w:t>,</w:t>
      </w:r>
      <w:r w:rsidR="0093282A" w:rsidRPr="00417638">
        <w:t xml:space="preserve"> procedures </w:t>
      </w:r>
      <w:r w:rsidR="00DC7F0C">
        <w:t xml:space="preserve">and </w:t>
      </w:r>
      <w:r w:rsidR="0093282A" w:rsidRPr="00417638">
        <w:t>operations (</w:t>
      </w:r>
      <w:r w:rsidR="00417638" w:rsidRPr="00417638">
        <w:t xml:space="preserve">Office of Population Censuses and Surveys </w:t>
      </w:r>
      <w:r w:rsidR="00417638" w:rsidRPr="00417638">
        <w:rPr>
          <w:rStyle w:val="CommentReference"/>
          <w:sz w:val="22"/>
          <w:szCs w:val="22"/>
        </w:rPr>
        <w:t>- OPCS4</w:t>
      </w:r>
      <w:r w:rsidR="0093282A" w:rsidRPr="00417638">
        <w:t xml:space="preserve">).  </w:t>
      </w:r>
      <w:r w:rsidR="004A4ED0" w:rsidRPr="00417638">
        <w:t xml:space="preserve">We </w:t>
      </w:r>
      <w:r w:rsidR="00E44D77" w:rsidRPr="00417638">
        <w:t xml:space="preserve">used this </w:t>
      </w:r>
      <w:r w:rsidR="00021E03" w:rsidRPr="00417638">
        <w:t xml:space="preserve">dataset </w:t>
      </w:r>
      <w:r w:rsidR="00E44D77" w:rsidRPr="00417638">
        <w:t xml:space="preserve">to </w:t>
      </w:r>
      <w:r w:rsidR="0093282A" w:rsidRPr="00417638">
        <w:t>identify</w:t>
      </w:r>
      <w:r w:rsidR="0059576A" w:rsidRPr="00417638">
        <w:t xml:space="preserve"> all</w:t>
      </w:r>
      <w:r w:rsidR="006525F9" w:rsidRPr="00417638">
        <w:t xml:space="preserve"> admissions </w:t>
      </w:r>
      <w:r w:rsidR="00265D79" w:rsidRPr="00417638">
        <w:t xml:space="preserve">during </w:t>
      </w:r>
      <w:r w:rsidR="005C487C">
        <w:t>1</w:t>
      </w:r>
      <w:r w:rsidR="005C487C" w:rsidRPr="00294253">
        <w:rPr>
          <w:vertAlign w:val="superscript"/>
        </w:rPr>
        <w:t>st</w:t>
      </w:r>
      <w:r w:rsidR="005C487C">
        <w:t xml:space="preserve"> January </w:t>
      </w:r>
      <w:r w:rsidR="00FB6239" w:rsidRPr="00417638">
        <w:t>2000</w:t>
      </w:r>
      <w:r w:rsidR="00C20750" w:rsidRPr="00417638">
        <w:t>-</w:t>
      </w:r>
      <w:r w:rsidR="005C487C">
        <w:t>31</w:t>
      </w:r>
      <w:r w:rsidR="005C487C" w:rsidRPr="00294253">
        <w:rPr>
          <w:vertAlign w:val="superscript"/>
        </w:rPr>
        <w:t>st</w:t>
      </w:r>
      <w:r w:rsidR="005C487C">
        <w:t xml:space="preserve"> December </w:t>
      </w:r>
      <w:r w:rsidR="00FB6239" w:rsidRPr="00417638">
        <w:t>2011</w:t>
      </w:r>
      <w:r w:rsidR="0059576A" w:rsidRPr="00417638">
        <w:t xml:space="preserve"> </w:t>
      </w:r>
      <w:r w:rsidR="00611CDA" w:rsidRPr="00417638">
        <w:t xml:space="preserve">of children </w:t>
      </w:r>
      <w:proofErr w:type="gramStart"/>
      <w:r w:rsidR="009D12F1">
        <w:t>under</w:t>
      </w:r>
      <w:proofErr w:type="gramEnd"/>
      <w:r w:rsidR="00213AEB" w:rsidRPr="00417638">
        <w:t xml:space="preserve"> 16 years </w:t>
      </w:r>
      <w:r w:rsidR="005C487C">
        <w:t xml:space="preserve">at the time of admission given </w:t>
      </w:r>
      <w:r w:rsidR="001B5AAA" w:rsidRPr="00417638">
        <w:t xml:space="preserve">a </w:t>
      </w:r>
      <w:r w:rsidR="00213AEB" w:rsidRPr="00417638">
        <w:t xml:space="preserve">coded </w:t>
      </w:r>
      <w:r w:rsidR="001B5AAA" w:rsidRPr="00417638">
        <w:t>diagnosis of head injury</w:t>
      </w:r>
      <w:r w:rsidR="0059576A" w:rsidRPr="00417638">
        <w:t xml:space="preserve"> </w:t>
      </w:r>
      <w:r w:rsidR="001B5AAA" w:rsidRPr="00417638">
        <w:t>(</w:t>
      </w:r>
      <w:r w:rsidR="006525F9" w:rsidRPr="00417638">
        <w:t xml:space="preserve">ICD10 </w:t>
      </w:r>
      <w:r w:rsidR="00445DA1" w:rsidRPr="00417638">
        <w:t>code</w:t>
      </w:r>
      <w:r w:rsidR="003A699B" w:rsidRPr="00417638">
        <w:t>s</w:t>
      </w:r>
      <w:r w:rsidR="00445DA1" w:rsidRPr="00417638">
        <w:t xml:space="preserve"> S00-S09</w:t>
      </w:r>
      <w:r w:rsidR="001B5AAA" w:rsidRPr="00417638">
        <w:t>)</w:t>
      </w:r>
      <w:r w:rsidR="004B41D6" w:rsidRPr="00417638">
        <w:t xml:space="preserve">.  </w:t>
      </w:r>
      <w:r w:rsidR="0093282A" w:rsidRPr="00417638">
        <w:t>W</w:t>
      </w:r>
      <w:r w:rsidR="004B41D6" w:rsidRPr="00417638">
        <w:t xml:space="preserve">e </w:t>
      </w:r>
      <w:r w:rsidR="0093282A" w:rsidRPr="00417638">
        <w:t xml:space="preserve">grouped the coded mechanism of injury into </w:t>
      </w:r>
      <w:r w:rsidR="004B41D6" w:rsidRPr="00417638">
        <w:t xml:space="preserve">Road Traffic Injuries (V00-V99), </w:t>
      </w:r>
      <w:proofErr w:type="gramStart"/>
      <w:r w:rsidR="004B41D6" w:rsidRPr="00417638">
        <w:t>Falls</w:t>
      </w:r>
      <w:proofErr w:type="gramEnd"/>
      <w:r w:rsidR="00611CDA" w:rsidRPr="00417638">
        <w:t xml:space="preserve"> </w:t>
      </w:r>
      <w:r w:rsidR="004B41D6" w:rsidRPr="00417638">
        <w:t>(W00-W19), Struck by animate object (W20-W49), Struck by inanimate object (W50-64), Assault (X85-Y09)</w:t>
      </w:r>
      <w:r w:rsidR="007D66A3">
        <w:t>;</w:t>
      </w:r>
      <w:r w:rsidR="004B41D6" w:rsidRPr="00417638">
        <w:t xml:space="preserve"> Unrecorded and Others (all other</w:t>
      </w:r>
      <w:r w:rsidR="004B41D6">
        <w:t xml:space="preserve"> coded causes of injury).  </w:t>
      </w:r>
      <w:r w:rsidR="00265D79">
        <w:t xml:space="preserve">We </w:t>
      </w:r>
      <w:r w:rsidR="00213AEB">
        <w:t xml:space="preserve">identified </w:t>
      </w:r>
      <w:r w:rsidR="002C631D">
        <w:t xml:space="preserve">episodes </w:t>
      </w:r>
      <w:r w:rsidR="009D12F1">
        <w:t>with</w:t>
      </w:r>
      <w:r w:rsidR="002C631D">
        <w:t xml:space="preserve"> neuro</w:t>
      </w:r>
      <w:r w:rsidR="00265D79">
        <w:t>surgical intervention</w:t>
      </w:r>
      <w:r w:rsidR="002C631D">
        <w:t xml:space="preserve">s (OPCS4 codes A05, A40, A41, </w:t>
      </w:r>
      <w:proofErr w:type="gramStart"/>
      <w:r w:rsidR="002C631D">
        <w:t>V03</w:t>
      </w:r>
      <w:proofErr w:type="gramEnd"/>
      <w:r w:rsidR="002C631D">
        <w:t>)</w:t>
      </w:r>
      <w:r w:rsidR="00265D79">
        <w:t xml:space="preserve"> </w:t>
      </w:r>
      <w:r w:rsidR="002C631D">
        <w:t>or</w:t>
      </w:r>
      <w:r w:rsidR="00265D79">
        <w:t xml:space="preserve"> cr</w:t>
      </w:r>
      <w:r w:rsidR="00213AEB">
        <w:t>anial imaging</w:t>
      </w:r>
      <w:r w:rsidR="002C631D">
        <w:t xml:space="preserve"> (OPCS4 code U051)</w:t>
      </w:r>
      <w:r w:rsidR="00A40628">
        <w:t xml:space="preserve"> although </w:t>
      </w:r>
      <w:r w:rsidR="000F0026">
        <w:t>CT</w:t>
      </w:r>
      <w:r w:rsidR="00DC7F0C">
        <w:t>s</w:t>
      </w:r>
      <w:r w:rsidR="000F0026">
        <w:t xml:space="preserve"> </w:t>
      </w:r>
      <w:r w:rsidR="00A40628">
        <w:t xml:space="preserve">were not routinely recorded </w:t>
      </w:r>
      <w:r w:rsidR="00DC7F0C">
        <w:t>before</w:t>
      </w:r>
      <w:r w:rsidR="00A40628">
        <w:t xml:space="preserve"> 2006</w:t>
      </w:r>
      <w:r w:rsidR="00AD1B3F">
        <w:t>.</w:t>
      </w:r>
      <w:r w:rsidR="006F4FC7">
        <w:t xml:space="preserve">  </w:t>
      </w:r>
    </w:p>
    <w:p w14:paraId="5816090B" w14:textId="565894D4" w:rsidR="00736FB0" w:rsidRDefault="009D12F1" w:rsidP="00FF267E">
      <w:pPr>
        <w:spacing w:line="480" w:lineRule="auto"/>
      </w:pPr>
      <w:r>
        <w:t>We</w:t>
      </w:r>
      <w:r w:rsidR="0053380C">
        <w:t xml:space="preserve"> used Office for National Statistics mid-year estimates</w:t>
      </w:r>
      <w:r w:rsidR="00265D79">
        <w:t xml:space="preserve"> of the </w:t>
      </w:r>
      <w:r w:rsidR="0059576A">
        <w:t xml:space="preserve">English </w:t>
      </w:r>
      <w:r w:rsidR="00265D79">
        <w:t xml:space="preserve">population </w:t>
      </w:r>
      <w:r w:rsidR="0053380C">
        <w:t xml:space="preserve">as our </w:t>
      </w:r>
      <w:r w:rsidR="0059576A">
        <w:t>denominator</w:t>
      </w:r>
      <w:r w:rsidR="00736FB0">
        <w:t xml:space="preserve">. To evaluate association of socio-economic status with risk of avoidable injury, we identified the index of multiple deprivation (IMD) </w:t>
      </w:r>
      <w:proofErr w:type="gramStart"/>
      <w:r w:rsidR="00736FB0">
        <w:t>decile</w:t>
      </w:r>
      <w:proofErr w:type="gramEnd"/>
      <w:r w:rsidR="00736FB0">
        <w:t xml:space="preserve"> for the household location of each head injury admission.</w:t>
      </w:r>
      <w:r w:rsidR="005C487C" w:rsidRPr="005C487C">
        <w:t xml:space="preserve"> </w:t>
      </w:r>
      <w:r w:rsidR="005C487C">
        <w:t xml:space="preserve">The IMD </w:t>
      </w:r>
      <w:r w:rsidR="005C487C" w:rsidRPr="00124A0D">
        <w:t>provide</w:t>
      </w:r>
      <w:r w:rsidR="005C487C">
        <w:t>s</w:t>
      </w:r>
      <w:r w:rsidR="005C487C" w:rsidRPr="00124A0D">
        <w:t xml:space="preserve"> a relative measure of deprivation at s</w:t>
      </w:r>
      <w:r w:rsidR="005C487C">
        <w:t>mall area level across England.  Combining</w:t>
      </w:r>
      <w:r w:rsidR="005C487C" w:rsidRPr="00124A0D">
        <w:t xml:space="preserve"> seven diff</w:t>
      </w:r>
      <w:r w:rsidR="005C487C">
        <w:t xml:space="preserve">erent dimensions of deprivation, it ranks England into 32,482 areas </w:t>
      </w:r>
      <w:r w:rsidR="005C487C" w:rsidRPr="00124A0D">
        <w:t xml:space="preserve">from least </w:t>
      </w:r>
      <w:r w:rsidR="005C487C">
        <w:t xml:space="preserve">to most </w:t>
      </w:r>
      <w:r w:rsidR="005C487C" w:rsidRPr="00124A0D">
        <w:t>deprived</w:t>
      </w:r>
      <w:r w:rsidR="005C487C">
        <w:fldChar w:fldCharType="begin"/>
      </w:r>
      <w:r w:rsidR="005C487C">
        <w:instrText xml:space="preserve"> ADDIN ZOTERO_ITEM CSL_CITATION {"citationID":"3Qp2OG0C","properties":{"formattedCitation":"[20]","plainCitation":"[20]"},"citationItems":[{"id":3619,"uris":["http://zotero.org/users/14208/items/MS8GKQJS"],"uri":["http://zotero.org/users/14208/items/MS8GKQJS"],"itemData":{"id":3619,"type":"webpage","title":"OpenDataCommunities - Deprivation Mapper","URL":"http://opendatacommunities.org/showcase/deprivation","accessed":{"date-parts":[["2015",6,16]]}}}],"schema":"https://github.com/citation-style-language/schema/raw/master/csl-citation.json"} </w:instrText>
      </w:r>
      <w:r w:rsidR="005C487C">
        <w:fldChar w:fldCharType="separate"/>
      </w:r>
      <w:r w:rsidR="005C487C" w:rsidRPr="00487EFF">
        <w:rPr>
          <w:rFonts w:ascii="Calibri" w:hAnsi="Calibri"/>
        </w:rPr>
        <w:t>[20]</w:t>
      </w:r>
      <w:r w:rsidR="005C487C">
        <w:fldChar w:fldCharType="end"/>
      </w:r>
      <w:r w:rsidR="005C487C">
        <w:t xml:space="preserve">.  </w:t>
      </w:r>
    </w:p>
    <w:p w14:paraId="6065DA6A" w14:textId="509F3F23" w:rsidR="00A40628" w:rsidRDefault="00265D79" w:rsidP="00FF267E">
      <w:pPr>
        <w:spacing w:line="480" w:lineRule="auto"/>
      </w:pPr>
      <w:proofErr w:type="gramStart"/>
      <w:r w:rsidRPr="00F71C2B">
        <w:rPr>
          <w:b/>
        </w:rPr>
        <w:lastRenderedPageBreak/>
        <w:t>Data analysis</w:t>
      </w:r>
      <w:r w:rsidR="00E220C8" w:rsidRPr="00F71C2B">
        <w:rPr>
          <w:b/>
        </w:rPr>
        <w:t>.</w:t>
      </w:r>
      <w:proofErr w:type="gramEnd"/>
      <w:r w:rsidR="00206B74">
        <w:t xml:space="preserve">  </w:t>
      </w:r>
      <w:r w:rsidR="00206B74">
        <w:br/>
        <w:t>To</w:t>
      </w:r>
      <w:r w:rsidR="00E5130B">
        <w:t xml:space="preserve"> </w:t>
      </w:r>
      <w:r w:rsidR="00CB5B48">
        <w:t>standardize</w:t>
      </w:r>
      <w:r w:rsidR="00206B74">
        <w:t xml:space="preserve"> between years, annual </w:t>
      </w:r>
      <w:r w:rsidR="001A32D1" w:rsidRPr="00017D23">
        <w:t>head injury</w:t>
      </w:r>
      <w:r w:rsidR="009D12F1" w:rsidRPr="00017D23">
        <w:t xml:space="preserve"> </w:t>
      </w:r>
      <w:r w:rsidR="00B17557">
        <w:t>admission</w:t>
      </w:r>
      <w:r w:rsidR="002371A0">
        <w:t>,</w:t>
      </w:r>
      <w:r w:rsidR="009D12F1">
        <w:t xml:space="preserve"> </w:t>
      </w:r>
      <w:r w:rsidR="00567F98">
        <w:t>mortality,</w:t>
      </w:r>
      <w:r w:rsidR="002371A0">
        <w:t xml:space="preserve"> and neurosurgery rates</w:t>
      </w:r>
      <w:r w:rsidR="00F350C6">
        <w:t xml:space="preserve"> </w:t>
      </w:r>
      <w:r w:rsidR="00B17557">
        <w:t>were calculated</w:t>
      </w:r>
      <w:r w:rsidR="00567F98">
        <w:t xml:space="preserve"> for the English population under the age of 16 </w:t>
      </w:r>
      <w:r w:rsidR="00AD7FA7">
        <w:t xml:space="preserve">as incidence rate ratios with 95% confidence intervals, relative to the year </w:t>
      </w:r>
      <w:r w:rsidR="00567F98">
        <w:t>2000</w:t>
      </w:r>
      <w:r w:rsidR="00B17557">
        <w:t xml:space="preserve">. </w:t>
      </w:r>
      <w:r w:rsidR="00567F98">
        <w:t xml:space="preserve"> </w:t>
      </w:r>
      <w:r w:rsidR="00AD7FA7">
        <w:t xml:space="preserve">For these outcomes a negative binomial regression model was fitted and a test for a linear trend by year was carried out. </w:t>
      </w:r>
      <w:r w:rsidR="00567F98">
        <w:t xml:space="preserve"> </w:t>
      </w:r>
      <w:r w:rsidR="00792143">
        <w:t>W</w:t>
      </w:r>
      <w:r w:rsidR="005F2D6C">
        <w:t xml:space="preserve">e </w:t>
      </w:r>
      <w:r w:rsidR="00567F98">
        <w:t>assessed</w:t>
      </w:r>
      <w:r w:rsidR="005F2D6C">
        <w:t xml:space="preserve"> guideline eras </w:t>
      </w:r>
      <w:r w:rsidR="004521E9">
        <w:t>by</w:t>
      </w:r>
      <w:r w:rsidR="005F2D6C">
        <w:t xml:space="preserve"> </w:t>
      </w:r>
      <w:r w:rsidR="00792143">
        <w:t>assessing</w:t>
      </w:r>
      <w:r w:rsidR="00076E20">
        <w:t xml:space="preserve"> </w:t>
      </w:r>
      <w:r w:rsidR="004521E9">
        <w:t>the last three years of their use</w:t>
      </w:r>
      <w:r w:rsidR="00792143" w:rsidRPr="00792143">
        <w:t xml:space="preserve"> </w:t>
      </w:r>
      <w:r w:rsidR="00792143">
        <w:t>to allow for implementation delays</w:t>
      </w:r>
      <w:r w:rsidR="005F2D6C">
        <w:t xml:space="preserve">.  </w:t>
      </w:r>
      <w:r w:rsidR="00017D23">
        <w:t xml:space="preserve">Between </w:t>
      </w:r>
      <w:r w:rsidR="00082ED3">
        <w:t>these periods</w:t>
      </w:r>
      <w:r w:rsidR="004521E9">
        <w:t xml:space="preserve">, </w:t>
      </w:r>
      <w:r w:rsidR="00F350C6">
        <w:t>admission</w:t>
      </w:r>
      <w:r w:rsidR="00B17557">
        <w:t xml:space="preserve"> rate</w:t>
      </w:r>
      <w:r w:rsidR="00F350C6">
        <w:t>s</w:t>
      </w:r>
      <w:r w:rsidR="00DB345F">
        <w:t>,</w:t>
      </w:r>
      <w:r w:rsidR="00126620">
        <w:t xml:space="preserve"> death rates</w:t>
      </w:r>
      <w:r w:rsidR="00DB345F">
        <w:t xml:space="preserve"> and neurosurgery rates </w:t>
      </w:r>
      <w:r w:rsidR="00126620">
        <w:t>were compared by fitting a nega</w:t>
      </w:r>
      <w:r w:rsidR="00567F98">
        <w:t>tive binomial regression model</w:t>
      </w:r>
      <w:r w:rsidR="00792143">
        <w:t>.</w:t>
      </w:r>
      <w:r w:rsidR="00417638">
        <w:t xml:space="preserve"> </w:t>
      </w:r>
      <w:r w:rsidR="00F20CC0">
        <w:t>Logistic regress</w:t>
      </w:r>
      <w:r w:rsidR="006434C7">
        <w:t>ion models were fitted in order to test for a linear trend by year for</w:t>
      </w:r>
      <w:r w:rsidR="00F20CC0">
        <w:t xml:space="preserve"> the proportion of admissions</w:t>
      </w:r>
      <w:r w:rsidR="00DB345F">
        <w:t xml:space="preserve"> </w:t>
      </w:r>
      <w:r w:rsidR="006434C7">
        <w:t>being admitted for less tha</w:t>
      </w:r>
      <w:r w:rsidR="00D1794D">
        <w:t>n a day, one day, or two</w:t>
      </w:r>
      <w:r w:rsidR="006434C7">
        <w:t xml:space="preserve"> days or more.</w:t>
      </w:r>
      <w:r w:rsidR="0039397E">
        <w:t xml:space="preserve"> </w:t>
      </w:r>
      <w:r w:rsidR="00567F98">
        <w:t xml:space="preserve"> </w:t>
      </w:r>
      <w:r w:rsidR="0096091D" w:rsidRPr="00D1036A">
        <w:t>To analyse the effect</w:t>
      </w:r>
      <w:r w:rsidR="00CB5B48" w:rsidRPr="00D1036A">
        <w:t>s</w:t>
      </w:r>
      <w:r w:rsidR="0096091D" w:rsidRPr="00D1036A">
        <w:t xml:space="preserve"> of </w:t>
      </w:r>
      <w:r w:rsidR="00CB5B48" w:rsidRPr="00D1036A">
        <w:t>socio-economic status</w:t>
      </w:r>
      <w:r w:rsidR="0096091D" w:rsidRPr="00D1036A">
        <w:t>, w</w:t>
      </w:r>
      <w:r w:rsidR="0083472B" w:rsidRPr="00D1036A">
        <w:t xml:space="preserve">e </w:t>
      </w:r>
      <w:r w:rsidR="00792143">
        <w:t xml:space="preserve">fitted </w:t>
      </w:r>
      <w:r w:rsidR="001E1DD2" w:rsidRPr="00D1036A">
        <w:t>negative bin</w:t>
      </w:r>
      <w:r w:rsidR="00792143">
        <w:t xml:space="preserve">omial models for admission </w:t>
      </w:r>
      <w:r w:rsidR="001E1DD2" w:rsidRPr="00D1036A">
        <w:t xml:space="preserve">and </w:t>
      </w:r>
      <w:r w:rsidR="00792143">
        <w:t xml:space="preserve">for </w:t>
      </w:r>
      <w:r w:rsidR="001E1DD2" w:rsidRPr="00D1036A">
        <w:t>death rates over the</w:t>
      </w:r>
      <w:r w:rsidR="001E1DD2">
        <w:t xml:space="preserve"> twelve year period against IMD quintile</w:t>
      </w:r>
      <w:r w:rsidR="00792143">
        <w:t>s</w:t>
      </w:r>
      <w:r w:rsidR="001E1DD2">
        <w:t xml:space="preserve"> (using the least deprived as baseline) </w:t>
      </w:r>
      <w:r w:rsidR="00792143">
        <w:t xml:space="preserve">adjusting for quintile population density </w:t>
      </w:r>
      <w:r w:rsidR="001E1DD2">
        <w:t>t</w:t>
      </w:r>
      <w:r w:rsidR="00D01CCA">
        <w:t>o calculate</w:t>
      </w:r>
      <w:r w:rsidR="001E1DD2">
        <w:t xml:space="preserve"> incidence rate ratios</w:t>
      </w:r>
      <w:r w:rsidR="0083472B">
        <w:t>.</w:t>
      </w:r>
      <w:r w:rsidR="0096091D">
        <w:t xml:space="preserve"> </w:t>
      </w:r>
      <w:r w:rsidR="0083472B">
        <w:t xml:space="preserve"> </w:t>
      </w:r>
      <w:r w:rsidR="00AD1B3F">
        <w:t xml:space="preserve">Data </w:t>
      </w:r>
      <w:r w:rsidR="00206B74">
        <w:t>extraction and analysis w</w:t>
      </w:r>
      <w:r w:rsidR="00B17557">
        <w:t>ere completed</w:t>
      </w:r>
      <w:r w:rsidR="00206B74">
        <w:t xml:space="preserve"> using</w:t>
      </w:r>
      <w:r w:rsidR="00AD1B3F">
        <w:t xml:space="preserve"> </w:t>
      </w:r>
      <w:r w:rsidR="00BD3C42">
        <w:t>the statistical language</w:t>
      </w:r>
      <w:r w:rsidR="001E1DD2">
        <w:t>s</w:t>
      </w:r>
      <w:r w:rsidR="00BD3C42">
        <w:t xml:space="preserve"> </w:t>
      </w:r>
      <w:r w:rsidR="00AD1B3F">
        <w:t>R</w:t>
      </w:r>
      <w:r w:rsidR="008C7996">
        <w:fldChar w:fldCharType="begin"/>
      </w:r>
      <w:r w:rsidR="00487EFF">
        <w:instrText xml:space="preserve"> ADDIN ZOTERO_ITEM CSL_CITATION {"citationID":"2ijmEtFa","properties":{"formattedCitation":"[21]","plainCitation":"[21]"},"citationItems":[{"id":38,"uris":["http://zotero.org/users/14208/items/2TBWRBFD"],"uri":["http://zotero.org/users/14208/items/2TBWRBFD"],"itemData":{"id":38,"type":"book","title":"R: A Language and Environment for Statistical Computing","publisher":"R Foundation for Statistical Computing","publisher-place":"Vienna, Austria","event-place":"Vienna, Austria","URL":"http://www.R-project.org/","author":[{"family":"R Core Team","given":""}],"issued":{"date-parts":[["2014"]]}}}],"schema":"https://github.com/citation-style-language/schema/raw/master/csl-citation.json"} </w:instrText>
      </w:r>
      <w:r w:rsidR="008C7996">
        <w:fldChar w:fldCharType="separate"/>
      </w:r>
      <w:r w:rsidR="00487EFF" w:rsidRPr="00487EFF">
        <w:rPr>
          <w:rFonts w:ascii="Calibri" w:hAnsi="Calibri"/>
        </w:rPr>
        <w:t>[21]</w:t>
      </w:r>
      <w:r w:rsidR="008C7996">
        <w:fldChar w:fldCharType="end"/>
      </w:r>
      <w:r w:rsidR="001E1DD2">
        <w:t xml:space="preserve"> and Stata</w:t>
      </w:r>
      <w:r w:rsidR="008C7996">
        <w:fldChar w:fldCharType="begin"/>
      </w:r>
      <w:r w:rsidR="00487EFF">
        <w:instrText xml:space="preserve"> ADDIN ZOTERO_ITEM CSL_CITATION {"citationID":"cGxhxNOz","properties":{"formattedCitation":"[22]","plainCitation":"[22]"},"citationItems":[{"id":62,"uris":["http://zotero.org/users/14208/items/37U54UEG"],"uri":["http://zotero.org/users/14208/items/37U54UEG"],"itemData":{"id":62,"type":"book","title":"Stata Statistical Software: Release 12. College Station, TX","author":[{"family":"StataCorp.","given":""}],"issued":{"date-parts":[["2011"]]}}}],"schema":"https://github.com/citation-style-language/schema/raw/master/csl-citation.json"} </w:instrText>
      </w:r>
      <w:r w:rsidR="008C7996">
        <w:fldChar w:fldCharType="separate"/>
      </w:r>
      <w:r w:rsidR="00487EFF" w:rsidRPr="00487EFF">
        <w:rPr>
          <w:rFonts w:ascii="Calibri" w:hAnsi="Calibri"/>
        </w:rPr>
        <w:t>[22]</w:t>
      </w:r>
      <w:r w:rsidR="008C7996">
        <w:fldChar w:fldCharType="end"/>
      </w:r>
      <w:r w:rsidR="001E1DD2">
        <w:t>.</w:t>
      </w:r>
      <w:r w:rsidR="00206B74">
        <w:t xml:space="preserve"> </w:t>
      </w:r>
    </w:p>
    <w:p w14:paraId="3E78F22B" w14:textId="77777777" w:rsidR="00FF267E" w:rsidRDefault="00FF267E" w:rsidP="00FF267E">
      <w:pPr>
        <w:spacing w:line="480" w:lineRule="auto"/>
        <w:rPr>
          <w:b/>
        </w:rPr>
      </w:pPr>
    </w:p>
    <w:p w14:paraId="40EF3769" w14:textId="77777777" w:rsidR="00671563" w:rsidRPr="00E15399" w:rsidRDefault="00F71C2B" w:rsidP="00FF267E">
      <w:pPr>
        <w:spacing w:line="480" w:lineRule="auto"/>
        <w:rPr>
          <w:b/>
        </w:rPr>
      </w:pPr>
      <w:proofErr w:type="gramStart"/>
      <w:r w:rsidRPr="00AE4C12">
        <w:rPr>
          <w:b/>
        </w:rPr>
        <w:t>RESULTS</w:t>
      </w:r>
      <w:proofErr w:type="gramEnd"/>
      <w:r w:rsidR="00417638">
        <w:rPr>
          <w:b/>
        </w:rPr>
        <w:br/>
      </w:r>
      <w:r w:rsidR="00E15399">
        <w:rPr>
          <w:sz w:val="18"/>
        </w:rPr>
        <w:t>[</w:t>
      </w:r>
      <w:r w:rsidR="00E15399" w:rsidRPr="00C76F22">
        <w:rPr>
          <w:sz w:val="18"/>
        </w:rPr>
        <w:t>Table 1 – Description of admissions and deaths due to head injury in children aged 0-15</w:t>
      </w:r>
      <w:r w:rsidR="00E15399">
        <w:rPr>
          <w:sz w:val="18"/>
        </w:rPr>
        <w:t xml:space="preserve"> years, </w:t>
      </w:r>
      <w:r w:rsidR="00E15399" w:rsidRPr="00C76F22">
        <w:rPr>
          <w:sz w:val="18"/>
        </w:rPr>
        <w:t>2000-2011</w:t>
      </w:r>
      <w:r w:rsidR="00E15399">
        <w:rPr>
          <w:sz w:val="18"/>
        </w:rPr>
        <w:t>]</w:t>
      </w:r>
    </w:p>
    <w:p w14:paraId="342D7E2D" w14:textId="3F0D2386" w:rsidR="00B0592F" w:rsidRDefault="00F21CFF" w:rsidP="00FF267E">
      <w:pPr>
        <w:spacing w:line="480" w:lineRule="auto"/>
      </w:pPr>
      <w:r w:rsidRPr="00F71C2B">
        <w:rPr>
          <w:b/>
        </w:rPr>
        <w:t>Epidemiological</w:t>
      </w:r>
      <w:r w:rsidR="00263B3F" w:rsidRPr="00F71C2B">
        <w:rPr>
          <w:b/>
        </w:rPr>
        <w:t xml:space="preserve"> Trends</w:t>
      </w:r>
      <w:r w:rsidR="00B0592F">
        <w:br/>
      </w:r>
      <w:r w:rsidR="005F2D6C">
        <w:t>B</w:t>
      </w:r>
      <w:r w:rsidR="00B0592F">
        <w:t xml:space="preserve">etween 2000 and 2011 </w:t>
      </w:r>
      <w:r w:rsidR="0076436C">
        <w:t xml:space="preserve">there was a statistically significant rise in </w:t>
      </w:r>
      <w:r w:rsidR="00B0592F">
        <w:t xml:space="preserve">admissions with head injury </w:t>
      </w:r>
      <w:r w:rsidR="00C2493F">
        <w:t xml:space="preserve">(Table 1) </w:t>
      </w:r>
      <w:r w:rsidR="00B0592F" w:rsidRPr="00805E2A">
        <w:t>from 3</w:t>
      </w:r>
      <w:r w:rsidR="002D3872" w:rsidRPr="00805E2A">
        <w:t>4</w:t>
      </w:r>
      <w:r w:rsidR="00B0592F" w:rsidRPr="00805E2A">
        <w:t xml:space="preserve"> to 3</w:t>
      </w:r>
      <w:r w:rsidR="002D3872" w:rsidRPr="00805E2A">
        <w:t>7</w:t>
      </w:r>
      <w:r w:rsidR="00082ED3">
        <w:t xml:space="preserve"> per 10,000 children</w:t>
      </w:r>
      <w:r w:rsidR="00940FCA" w:rsidRPr="00805E2A">
        <w:t>, whilst the number dying due to</w:t>
      </w:r>
      <w:r w:rsidR="00B0592F" w:rsidRPr="00805E2A">
        <w:t xml:space="preserve"> </w:t>
      </w:r>
      <w:r w:rsidR="001A32D1" w:rsidRPr="00805E2A">
        <w:t>head injury</w:t>
      </w:r>
      <w:r w:rsidR="00B0592F" w:rsidRPr="00805E2A">
        <w:t xml:space="preserve"> fell </w:t>
      </w:r>
      <w:r w:rsidR="005C487C">
        <w:t xml:space="preserve">significantly </w:t>
      </w:r>
      <w:r w:rsidR="00B0592F" w:rsidRPr="00805E2A">
        <w:t>fr</w:t>
      </w:r>
      <w:r w:rsidR="00604862" w:rsidRPr="00805E2A">
        <w:t>om 7.</w:t>
      </w:r>
      <w:r w:rsidR="002D3872" w:rsidRPr="00805E2A">
        <w:t>6</w:t>
      </w:r>
      <w:r w:rsidR="004A0D0B" w:rsidRPr="00805E2A">
        <w:t xml:space="preserve"> to </w:t>
      </w:r>
      <w:r w:rsidR="002D3872" w:rsidRPr="00805E2A">
        <w:t>4.0</w:t>
      </w:r>
      <w:r w:rsidR="004A0D0B" w:rsidRPr="00805E2A">
        <w:t xml:space="preserve"> per million)</w:t>
      </w:r>
      <w:r w:rsidR="00B0592F" w:rsidRPr="00805E2A">
        <w:t>.</w:t>
      </w:r>
      <w:r w:rsidR="00263B3F" w:rsidRPr="00805E2A">
        <w:t xml:space="preserve"> </w:t>
      </w:r>
      <w:r w:rsidR="00CB330E" w:rsidRPr="00CB330E">
        <w:t xml:space="preserve">There was no statistically significant trend in the neurosurgery rate (relative to the population) (p=0.220).  </w:t>
      </w:r>
      <w:r w:rsidR="00263B3F" w:rsidRPr="00805E2A">
        <w:t xml:space="preserve"> </w:t>
      </w:r>
      <w:r w:rsidR="00016EDC">
        <w:t>Of those adm</w:t>
      </w:r>
      <w:r w:rsidR="00D01CCA">
        <w:t xml:space="preserve">itted, the number admitted for </w:t>
      </w:r>
      <w:r w:rsidR="00016EDC">
        <w:t>a very short duration (less than 1 day)</w:t>
      </w:r>
      <w:r w:rsidR="00B0592F" w:rsidRPr="00805E2A">
        <w:t xml:space="preserve"> </w:t>
      </w:r>
      <w:r w:rsidR="00E00385" w:rsidRPr="00805E2A">
        <w:t xml:space="preserve">rose </w:t>
      </w:r>
      <w:r w:rsidR="00805E2A" w:rsidRPr="00805E2A">
        <w:t>20</w:t>
      </w:r>
      <w:r w:rsidR="00C06DD2" w:rsidRPr="00805E2A">
        <w:t xml:space="preserve">% </w:t>
      </w:r>
      <w:r w:rsidR="00860729" w:rsidRPr="00805E2A">
        <w:t xml:space="preserve">from </w:t>
      </w:r>
      <w:r w:rsidR="0076436C" w:rsidRPr="00805E2A">
        <w:t xml:space="preserve">37.6% in </w:t>
      </w:r>
      <w:r w:rsidR="00860729" w:rsidRPr="00805E2A">
        <w:t>2000</w:t>
      </w:r>
      <w:r w:rsidR="0076436C" w:rsidRPr="00805E2A">
        <w:t xml:space="preserve"> to 57.4% in 2011</w:t>
      </w:r>
      <w:r w:rsidR="00582438">
        <w:t xml:space="preserve"> (p&lt;0.001 for linear trend)</w:t>
      </w:r>
      <w:r w:rsidR="00E00385" w:rsidRPr="00805E2A">
        <w:t>.</w:t>
      </w:r>
      <w:r w:rsidR="00D01CCA">
        <w:t xml:space="preserve"> Correspondingly admissions for one day fell by 14% </w:t>
      </w:r>
      <w:r w:rsidR="00D1794D">
        <w:t>and f</w:t>
      </w:r>
      <w:r w:rsidR="00D01CCA">
        <w:t>or</w:t>
      </w:r>
      <w:r w:rsidR="00582438">
        <w:t xml:space="preserve"> two days or more</w:t>
      </w:r>
      <w:r w:rsidR="00D01CCA">
        <w:t xml:space="preserve"> (≥2) </w:t>
      </w:r>
      <w:r w:rsidR="00582438">
        <w:t>dropped by</w:t>
      </w:r>
      <w:r w:rsidR="00D01CCA">
        <w:t xml:space="preserve"> </w:t>
      </w:r>
      <w:r w:rsidR="00805E2A" w:rsidRPr="00805E2A">
        <w:t>6</w:t>
      </w:r>
      <w:r w:rsidR="00D1794D">
        <w:t xml:space="preserve">% </w:t>
      </w:r>
      <w:r w:rsidR="00582438">
        <w:t>(</w:t>
      </w:r>
      <w:r w:rsidR="00D01CCA">
        <w:t xml:space="preserve">both </w:t>
      </w:r>
      <w:r w:rsidR="00582438">
        <w:t>p&lt;0.001 for a linear trend by year)</w:t>
      </w:r>
      <w:r w:rsidR="00C06DD2" w:rsidRPr="00805E2A">
        <w:t xml:space="preserve">.  </w:t>
      </w:r>
      <w:r w:rsidR="0076436C">
        <w:t xml:space="preserve">Between 2006 and 2009 the proportion of </w:t>
      </w:r>
      <w:r w:rsidR="00940FCA">
        <w:t xml:space="preserve">admitted </w:t>
      </w:r>
      <w:r w:rsidR="0076436C">
        <w:t>patients having a C</w:t>
      </w:r>
      <w:r w:rsidR="005409B9">
        <w:t xml:space="preserve">T rose and </w:t>
      </w:r>
      <w:r w:rsidR="00D86413" w:rsidRPr="00D86413">
        <w:t>plateaued</w:t>
      </w:r>
      <w:r w:rsidR="005C487C">
        <w:t xml:space="preserve"> thereafter</w:t>
      </w:r>
      <w:r w:rsidR="005409B9">
        <w:t>.</w:t>
      </w:r>
    </w:p>
    <w:p w14:paraId="504E65AE" w14:textId="77777777" w:rsidR="00B63F12" w:rsidRDefault="00B63F12">
      <w:pPr>
        <w:rPr>
          <w:b/>
        </w:rPr>
      </w:pPr>
    </w:p>
    <w:p w14:paraId="6A9F9C2D" w14:textId="77777777" w:rsidR="00E15399" w:rsidRDefault="00EB714F" w:rsidP="00FF267E">
      <w:pPr>
        <w:spacing w:line="480" w:lineRule="auto"/>
      </w:pPr>
      <w:r w:rsidRPr="00F71C2B">
        <w:rPr>
          <w:b/>
        </w:rPr>
        <w:t xml:space="preserve">Guideline </w:t>
      </w:r>
      <w:proofErr w:type="gramStart"/>
      <w:r w:rsidRPr="00F71C2B">
        <w:rPr>
          <w:b/>
        </w:rPr>
        <w:t>E</w:t>
      </w:r>
      <w:r w:rsidR="00B0592F" w:rsidRPr="00F71C2B">
        <w:rPr>
          <w:b/>
        </w:rPr>
        <w:t>ras</w:t>
      </w:r>
      <w:proofErr w:type="gramEnd"/>
      <w:r w:rsidR="00B0592F">
        <w:br/>
      </w:r>
      <w:r w:rsidR="00E15399">
        <w:t>[Table 2 – Comparisons between guideline eras].</w:t>
      </w:r>
    </w:p>
    <w:p w14:paraId="4CA9E6D0" w14:textId="15EBA8B3" w:rsidR="00082ED3" w:rsidRDefault="001243BD" w:rsidP="00FF267E">
      <w:pPr>
        <w:spacing w:line="480" w:lineRule="auto"/>
      </w:pPr>
      <w:r>
        <w:t>There was a statistically significant difference in admission rates</w:t>
      </w:r>
      <w:r w:rsidR="00126620">
        <w:t xml:space="preserve"> </w:t>
      </w:r>
      <w:r>
        <w:t>between guideline eras (p = 0.0022</w:t>
      </w:r>
      <w:r w:rsidR="00441908">
        <w:t>)</w:t>
      </w:r>
      <w:r w:rsidR="005679F8">
        <w:t>. A</w:t>
      </w:r>
      <w:r w:rsidR="00441908">
        <w:t xml:space="preserve">dmission rates </w:t>
      </w:r>
      <w:r w:rsidR="005679F8">
        <w:t xml:space="preserve">were </w:t>
      </w:r>
      <w:r w:rsidR="00441908">
        <w:t xml:space="preserve">higher in </w:t>
      </w:r>
      <w:r w:rsidR="00D01CCA">
        <w:t>NICE</w:t>
      </w:r>
      <w:r w:rsidR="005029AA">
        <w:t xml:space="preserve"> </w:t>
      </w:r>
      <w:r w:rsidR="00D01CCA">
        <w:t>2003 compared to RCS</w:t>
      </w:r>
      <w:r w:rsidR="005679F8">
        <w:t>.  Admission rates were also higher</w:t>
      </w:r>
      <w:r w:rsidR="00D01CCA">
        <w:t xml:space="preserve"> </w:t>
      </w:r>
      <w:r w:rsidR="005C487C">
        <w:t xml:space="preserve">in </w:t>
      </w:r>
      <w:r w:rsidR="00441908">
        <w:t>NICE</w:t>
      </w:r>
      <w:r w:rsidR="005029AA">
        <w:t xml:space="preserve"> </w:t>
      </w:r>
      <w:r w:rsidR="00441908">
        <w:t xml:space="preserve">2007 compared to </w:t>
      </w:r>
      <w:r w:rsidR="00D01CCA">
        <w:t xml:space="preserve">either </w:t>
      </w:r>
      <w:r w:rsidR="00441908">
        <w:t xml:space="preserve">NICE 2003 </w:t>
      </w:r>
      <w:r w:rsidR="00D01CCA">
        <w:t>or</w:t>
      </w:r>
      <w:r w:rsidR="00441908">
        <w:t xml:space="preserve"> RCS</w:t>
      </w:r>
      <w:r w:rsidR="00EE671C">
        <w:t>. There was a statistically significant difference in death rates between guideline eras</w:t>
      </w:r>
      <w:r w:rsidR="00441908">
        <w:t xml:space="preserve"> </w:t>
      </w:r>
      <w:r w:rsidR="00EE671C">
        <w:t>(</w:t>
      </w:r>
      <w:r w:rsidR="00C5635F">
        <w:t>p=0.006</w:t>
      </w:r>
      <w:r>
        <w:t>)</w:t>
      </w:r>
      <w:r w:rsidR="00F20CC0">
        <w:t xml:space="preserve">, with the death rates statistically significantly </w:t>
      </w:r>
      <w:r w:rsidR="00082ED3">
        <w:t xml:space="preserve">lower </w:t>
      </w:r>
      <w:r w:rsidR="00F20CC0">
        <w:t>in NICE</w:t>
      </w:r>
      <w:r w:rsidR="005029AA">
        <w:t xml:space="preserve"> </w:t>
      </w:r>
      <w:r w:rsidR="00F20CC0">
        <w:t xml:space="preserve">2007 compared to </w:t>
      </w:r>
      <w:r w:rsidR="00D01CCA">
        <w:t>either</w:t>
      </w:r>
      <w:r w:rsidR="00F20CC0">
        <w:t xml:space="preserve"> RCS </w:t>
      </w:r>
      <w:r w:rsidR="00D01CCA">
        <w:t>or</w:t>
      </w:r>
      <w:r w:rsidR="00F20CC0">
        <w:t xml:space="preserve"> NICE</w:t>
      </w:r>
      <w:r w:rsidR="005029AA">
        <w:t xml:space="preserve"> </w:t>
      </w:r>
      <w:r w:rsidR="00F20CC0">
        <w:t>2003</w:t>
      </w:r>
      <w:r w:rsidR="00126620">
        <w:t xml:space="preserve">. </w:t>
      </w:r>
      <w:r>
        <w:t xml:space="preserve"> </w:t>
      </w:r>
      <w:r w:rsidR="005C487C">
        <w:t>N</w:t>
      </w:r>
      <w:r w:rsidR="00AC5BCB">
        <w:t>eurosurgery rates di</w:t>
      </w:r>
      <w:r w:rsidR="00A537EC">
        <w:t>d not differ between guideline eras</w:t>
      </w:r>
      <w:r w:rsidR="005029AA">
        <w:t xml:space="preserve"> greater than could have occurred by chance</w:t>
      </w:r>
      <w:r w:rsidR="00AC5BCB">
        <w:t xml:space="preserve"> (p=0.1647).</w:t>
      </w:r>
      <w:r w:rsidR="00D01CCA">
        <w:t xml:space="preserve"> </w:t>
      </w:r>
      <w:r w:rsidR="00D56DA5">
        <w:t xml:space="preserve">For those admitted, the proportion of </w:t>
      </w:r>
      <w:r w:rsidR="00D01CCA">
        <w:t>less than one day</w:t>
      </w:r>
      <w:r w:rsidR="00D56DA5">
        <w:t xml:space="preserve"> admissions rose significantly (p&lt;0.001) between the guideline periods, and the proportion of longer admissions (</w:t>
      </w:r>
      <w:r w:rsidR="00D01CCA">
        <w:t xml:space="preserve">1 day or </w:t>
      </w:r>
      <w:r w:rsidR="00D56DA5">
        <w:t>2 days or more) dropped significantly (p&lt;0.001).</w:t>
      </w:r>
    </w:p>
    <w:p w14:paraId="2D08A4C9" w14:textId="77777777" w:rsidR="00C76F22" w:rsidRPr="00F71C2B" w:rsidRDefault="009A32FA" w:rsidP="00FF267E">
      <w:pPr>
        <w:spacing w:line="480" w:lineRule="auto"/>
        <w:rPr>
          <w:b/>
        </w:rPr>
      </w:pPr>
      <w:r w:rsidRPr="00F71C2B">
        <w:rPr>
          <w:b/>
        </w:rPr>
        <w:t>Aetiology of admissions and deaths</w:t>
      </w:r>
      <w:r w:rsidRPr="00F71C2B">
        <w:rPr>
          <w:b/>
          <w:noProof/>
        </w:rPr>
        <w:t xml:space="preserve"> </w:t>
      </w:r>
    </w:p>
    <w:p w14:paraId="3FA68A16" w14:textId="77777777" w:rsidR="00C76F22" w:rsidRDefault="00C76F22" w:rsidP="00FF267E">
      <w:pPr>
        <w:spacing w:line="480" w:lineRule="auto"/>
      </w:pPr>
      <w:r w:rsidRPr="00C76F22">
        <w:rPr>
          <w:sz w:val="18"/>
        </w:rPr>
        <w:t>Figure 1) Causes o</w:t>
      </w:r>
      <w:r w:rsidR="0047154B">
        <w:rPr>
          <w:sz w:val="18"/>
        </w:rPr>
        <w:t>f head injury</w:t>
      </w:r>
      <w:r w:rsidR="00D00EEA">
        <w:rPr>
          <w:sz w:val="18"/>
        </w:rPr>
        <w:t xml:space="preserve"> admission / year </w:t>
      </w:r>
      <w:r w:rsidR="00D00EEA">
        <w:rPr>
          <w:sz w:val="18"/>
        </w:rPr>
        <w:tab/>
      </w:r>
      <w:r w:rsidR="00D00EEA">
        <w:rPr>
          <w:sz w:val="18"/>
        </w:rPr>
        <w:tab/>
      </w:r>
      <w:r w:rsidRPr="00C76F22">
        <w:rPr>
          <w:sz w:val="18"/>
        </w:rPr>
        <w:tab/>
      </w:r>
      <w:r w:rsidR="0047154B">
        <w:rPr>
          <w:sz w:val="18"/>
        </w:rPr>
        <w:t>Figure 2) Causes of head injury d</w:t>
      </w:r>
      <w:r w:rsidRPr="00C76F22">
        <w:rPr>
          <w:sz w:val="18"/>
        </w:rPr>
        <w:t>eath / year</w:t>
      </w:r>
    </w:p>
    <w:p w14:paraId="730C4A60" w14:textId="0CB38E48" w:rsidR="00972C82" w:rsidRDefault="00C76F22" w:rsidP="00FF267E">
      <w:pPr>
        <w:spacing w:line="480" w:lineRule="auto"/>
      </w:pPr>
      <w:bookmarkStart w:id="1" w:name="OLE_LINK1"/>
      <w:bookmarkStart w:id="2" w:name="OLE_LINK2"/>
      <w:r>
        <w:t xml:space="preserve">The leading cause of </w:t>
      </w:r>
      <w:r w:rsidR="005C487C">
        <w:t xml:space="preserve">head injuries requiring </w:t>
      </w:r>
      <w:r>
        <w:t>admission was falls (42-47%)</w:t>
      </w:r>
      <w:r w:rsidR="000B5519">
        <w:t xml:space="preserve"> with other causes remaining constant</w:t>
      </w:r>
      <w:r w:rsidR="0033437A">
        <w:t xml:space="preserve"> (fig 1)</w:t>
      </w:r>
      <w:r w:rsidR="000B5519">
        <w:t>.</w:t>
      </w:r>
      <w:r>
        <w:t xml:space="preserve">  </w:t>
      </w:r>
      <w:r w:rsidR="00A84692">
        <w:t>T</w:t>
      </w:r>
      <w:r w:rsidR="001745E7">
        <w:t>he predominant</w:t>
      </w:r>
      <w:r w:rsidR="000B5519">
        <w:t xml:space="preserve"> </w:t>
      </w:r>
      <w:r w:rsidR="001745E7">
        <w:t xml:space="preserve">cause </w:t>
      </w:r>
      <w:r w:rsidR="00A84692">
        <w:t xml:space="preserve">of death </w:t>
      </w:r>
      <w:r w:rsidR="0033437A">
        <w:t xml:space="preserve">(fig2) </w:t>
      </w:r>
      <w:r w:rsidR="001745E7">
        <w:t>was road traffic accidents</w:t>
      </w:r>
      <w:r w:rsidR="006E4506">
        <w:t>, r</w:t>
      </w:r>
      <w:r w:rsidR="00E7540B">
        <w:t>educing</w:t>
      </w:r>
      <w:r w:rsidR="000B5519">
        <w:t xml:space="preserve"> </w:t>
      </w:r>
      <w:r w:rsidR="0030164B">
        <w:t xml:space="preserve">from 67% of all </w:t>
      </w:r>
      <w:r w:rsidR="006E4506">
        <w:t xml:space="preserve">head injury related </w:t>
      </w:r>
      <w:r w:rsidR="00A84692">
        <w:t xml:space="preserve">deaths </w:t>
      </w:r>
      <w:r w:rsidR="0030164B">
        <w:t xml:space="preserve">in </w:t>
      </w:r>
      <w:r w:rsidR="000B5519">
        <w:t xml:space="preserve">2000 </w:t>
      </w:r>
      <w:r w:rsidR="0030164B">
        <w:t xml:space="preserve">to </w:t>
      </w:r>
      <w:r w:rsidR="00327AAE">
        <w:t>40</w:t>
      </w:r>
      <w:r w:rsidR="0030164B">
        <w:t xml:space="preserve">% in </w:t>
      </w:r>
      <w:r w:rsidR="000B5519">
        <w:t>2011</w:t>
      </w:r>
      <w:r w:rsidR="00894484">
        <w:t xml:space="preserve"> (</w:t>
      </w:r>
      <w:r w:rsidR="00327AAE">
        <w:t>p=0.01)</w:t>
      </w:r>
      <w:r w:rsidR="000B5519">
        <w:t xml:space="preserve">. Of fatal road traffic accidents, </w:t>
      </w:r>
      <w:r>
        <w:t>65-100</w:t>
      </w:r>
      <w:r w:rsidR="00A84692">
        <w:t xml:space="preserve">% </w:t>
      </w:r>
      <w:proofErr w:type="gramStart"/>
      <w:r w:rsidR="00A84692">
        <w:t>were</w:t>
      </w:r>
      <w:proofErr w:type="gramEnd"/>
      <w:r w:rsidR="00C46D68">
        <w:t xml:space="preserve"> pedestrians or cyclists</w:t>
      </w:r>
      <w:r w:rsidR="00BB4965">
        <w:t>.</w:t>
      </w:r>
    </w:p>
    <w:bookmarkEnd w:id="1"/>
    <w:bookmarkEnd w:id="2"/>
    <w:p w14:paraId="398E43A8" w14:textId="0A0DCA43" w:rsidR="00836CB3" w:rsidRPr="00384DF8" w:rsidRDefault="003F156A" w:rsidP="00434CFB">
      <w:pPr>
        <w:spacing w:line="480" w:lineRule="auto"/>
        <w:rPr>
          <w:b/>
        </w:rPr>
      </w:pPr>
      <w:r w:rsidRPr="00F71C2B">
        <w:rPr>
          <w:b/>
        </w:rPr>
        <w:t>Deprivation</w:t>
      </w:r>
      <w:r w:rsidR="00263B3F" w:rsidRPr="00F71C2B">
        <w:rPr>
          <w:b/>
        </w:rPr>
        <w:t xml:space="preserve"> </w:t>
      </w:r>
      <w:r w:rsidR="00263B3F">
        <w:br/>
      </w:r>
      <w:r w:rsidR="006E4506" w:rsidRPr="00384DF8">
        <w:t>D</w:t>
      </w:r>
      <w:r w:rsidR="00DE3E45" w:rsidRPr="00384DF8">
        <w:t xml:space="preserve">ifferences in admission and death rates </w:t>
      </w:r>
      <w:r w:rsidR="006E4506" w:rsidRPr="00384DF8">
        <w:t xml:space="preserve">exist </w:t>
      </w:r>
      <w:r w:rsidR="00DE3E45" w:rsidRPr="00384DF8">
        <w:t xml:space="preserve">between children from different socioeconomic quintiles.   </w:t>
      </w:r>
      <w:r w:rsidR="0065362A">
        <w:t xml:space="preserve">One percent of records </w:t>
      </w:r>
      <w:proofErr w:type="gramStart"/>
      <w:r w:rsidR="0065362A">
        <w:t>were</w:t>
      </w:r>
      <w:proofErr w:type="gramEnd"/>
      <w:r w:rsidR="0065362A">
        <w:t xml:space="preserve"> missing socio-economic </w:t>
      </w:r>
      <w:r w:rsidR="00970005">
        <w:t>data</w:t>
      </w:r>
      <w:r w:rsidR="0065362A">
        <w:t xml:space="preserve">, and were excluded from the analysis.  </w:t>
      </w:r>
      <w:r w:rsidR="00792143">
        <w:t>I</w:t>
      </w:r>
      <w:r w:rsidR="00DE3E45" w:rsidRPr="00384DF8">
        <w:t xml:space="preserve">n 2000 </w:t>
      </w:r>
      <w:r w:rsidR="00DB3E86" w:rsidRPr="00384DF8">
        <w:t xml:space="preserve">twice as many </w:t>
      </w:r>
      <w:r w:rsidR="00AC19A7" w:rsidRPr="00384DF8">
        <w:t xml:space="preserve">children </w:t>
      </w:r>
      <w:r w:rsidR="006E4506" w:rsidRPr="00384DF8">
        <w:t xml:space="preserve">from the most deprived quintiles </w:t>
      </w:r>
      <w:r w:rsidR="00DB3E86" w:rsidRPr="00384DF8">
        <w:t xml:space="preserve">were admitted </w:t>
      </w:r>
      <w:r w:rsidR="00F607A4" w:rsidRPr="00384DF8">
        <w:t xml:space="preserve">(incidence rate ratio </w:t>
      </w:r>
      <w:r w:rsidR="006E4506" w:rsidRPr="00384DF8">
        <w:t>[</w:t>
      </w:r>
      <w:r w:rsidR="009764D6" w:rsidRPr="00384DF8">
        <w:t>IRR</w:t>
      </w:r>
      <w:r w:rsidR="006E4506" w:rsidRPr="00384DF8">
        <w:t>]</w:t>
      </w:r>
      <w:r w:rsidR="009764D6" w:rsidRPr="00384DF8">
        <w:t xml:space="preserve"> </w:t>
      </w:r>
      <w:r w:rsidR="00D06371" w:rsidRPr="00384DF8">
        <w:t>2.06 [</w:t>
      </w:r>
      <w:r w:rsidR="00384DF8">
        <w:t>95% CI 1.99-</w:t>
      </w:r>
      <w:r w:rsidR="00D06371" w:rsidRPr="00384DF8">
        <w:t>2.13]</w:t>
      </w:r>
      <w:r w:rsidR="00F607A4" w:rsidRPr="00384DF8">
        <w:t xml:space="preserve">) </w:t>
      </w:r>
      <w:r w:rsidR="00DB3E86" w:rsidRPr="00384DF8">
        <w:t xml:space="preserve">and </w:t>
      </w:r>
      <w:r w:rsidR="0047568D" w:rsidRPr="00384DF8">
        <w:t>more than tw</w:t>
      </w:r>
      <w:r w:rsidR="0083472B" w:rsidRPr="00384DF8">
        <w:t>ice</w:t>
      </w:r>
      <w:r w:rsidR="00F607A4" w:rsidRPr="00384DF8">
        <w:t xml:space="preserve"> </w:t>
      </w:r>
      <w:r w:rsidR="00DB3E86" w:rsidRPr="00384DF8">
        <w:t>a</w:t>
      </w:r>
      <w:r w:rsidR="00DB621D" w:rsidRPr="00384DF8">
        <w:t>s</w:t>
      </w:r>
      <w:r w:rsidR="00310B9A" w:rsidRPr="00384DF8">
        <w:t xml:space="preserve"> many died </w:t>
      </w:r>
      <w:r w:rsidR="006E4506" w:rsidRPr="00384DF8">
        <w:t>(</w:t>
      </w:r>
      <w:r w:rsidR="00D06371" w:rsidRPr="00384DF8">
        <w:t>2.31 [</w:t>
      </w:r>
      <w:r w:rsidR="00384DF8">
        <w:t xml:space="preserve">95% CI </w:t>
      </w:r>
      <w:r w:rsidR="00D06371" w:rsidRPr="00384DF8">
        <w:t>1.77- 3.02]</w:t>
      </w:r>
      <w:r w:rsidR="00F607A4" w:rsidRPr="00384DF8">
        <w:t>)</w:t>
      </w:r>
      <w:r w:rsidR="00DE3E45" w:rsidRPr="00384DF8">
        <w:t xml:space="preserve"> compar</w:t>
      </w:r>
      <w:r w:rsidR="006E4506" w:rsidRPr="00384DF8">
        <w:t xml:space="preserve">ed to </w:t>
      </w:r>
      <w:r w:rsidR="00DE3E45" w:rsidRPr="00384DF8">
        <w:t>those from the least deprived</w:t>
      </w:r>
      <w:r w:rsidR="00A83C72">
        <w:t xml:space="preserve"> quintile</w:t>
      </w:r>
      <w:proofErr w:type="gramStart"/>
      <w:r w:rsidR="00A83C72">
        <w:t>?</w:t>
      </w:r>
      <w:r w:rsidR="009764D6" w:rsidRPr="00384DF8">
        <w:t>.</w:t>
      </w:r>
      <w:proofErr w:type="gramEnd"/>
      <w:r w:rsidR="00A97C93">
        <w:t xml:space="preserve">  Less marked although still significant differences were seen comparing other quintiles </w:t>
      </w:r>
      <w:r w:rsidR="00A97C93" w:rsidRPr="00384DF8">
        <w:t xml:space="preserve">[table 3 </w:t>
      </w:r>
      <w:r w:rsidR="00A97C93">
        <w:t xml:space="preserve">&amp; 4 </w:t>
      </w:r>
      <w:r w:rsidR="00A97C93" w:rsidRPr="00384DF8">
        <w:t>online only]</w:t>
      </w:r>
      <w:r w:rsidR="00A97C93">
        <w:t xml:space="preserve">. </w:t>
      </w:r>
      <w:r w:rsidR="0083472B" w:rsidRPr="00384DF8">
        <w:t xml:space="preserve"> </w:t>
      </w:r>
      <w:r w:rsidR="00384DF8" w:rsidRPr="00384DF8">
        <w:t>Over the period studied t</w:t>
      </w:r>
      <w:r w:rsidR="00D06371" w:rsidRPr="00384DF8">
        <w:t xml:space="preserve">he </w:t>
      </w:r>
      <w:r w:rsidR="00DE3E45" w:rsidRPr="00384DF8">
        <w:t xml:space="preserve">disparity </w:t>
      </w:r>
      <w:r w:rsidR="00D06371" w:rsidRPr="00384DF8">
        <w:t xml:space="preserve">in </w:t>
      </w:r>
      <w:r w:rsidR="00384DF8" w:rsidRPr="00384DF8">
        <w:t xml:space="preserve">rates of </w:t>
      </w:r>
      <w:r w:rsidR="00D06371" w:rsidRPr="00384DF8">
        <w:t xml:space="preserve">admissions </w:t>
      </w:r>
      <w:r w:rsidR="00D06371" w:rsidRPr="00384DF8">
        <w:lastRenderedPageBreak/>
        <w:t xml:space="preserve">significantly </w:t>
      </w:r>
      <w:r w:rsidR="00082605">
        <w:t>reduced</w:t>
      </w:r>
      <w:r w:rsidR="00DE3E45" w:rsidRPr="00384DF8">
        <w:t xml:space="preserve"> </w:t>
      </w:r>
      <w:r w:rsidR="00384DF8" w:rsidRPr="00384DF8">
        <w:t>(p&lt;0.001) across all levels of socioeconomic status</w:t>
      </w:r>
      <w:r w:rsidR="00A97C93">
        <w:t xml:space="preserve">.  </w:t>
      </w:r>
      <w:r w:rsidR="00384DF8" w:rsidRPr="00384DF8">
        <w:t xml:space="preserve"> By 2011 </w:t>
      </w:r>
      <w:r w:rsidR="00082605">
        <w:t xml:space="preserve">when </w:t>
      </w:r>
      <w:r w:rsidR="00384DF8" w:rsidRPr="00384DF8">
        <w:t>compared to the highest quintile</w:t>
      </w:r>
      <w:r w:rsidR="00082605">
        <w:t>,</w:t>
      </w:r>
      <w:r w:rsidR="00384DF8" w:rsidRPr="00384DF8">
        <w:t xml:space="preserve"> </w:t>
      </w:r>
      <w:r w:rsidR="00DE3E45" w:rsidRPr="00384DF8">
        <w:t>the IRR of a</w:t>
      </w:r>
      <w:r w:rsidR="00384DF8" w:rsidRPr="00384DF8">
        <w:t>dmission</w:t>
      </w:r>
      <w:r w:rsidR="00DE3E45" w:rsidRPr="00384DF8">
        <w:t xml:space="preserve"> </w:t>
      </w:r>
      <w:r w:rsidR="00D06371" w:rsidRPr="00384DF8">
        <w:t>in the lowest quintile had fallen to 1.47[</w:t>
      </w:r>
      <w:r w:rsidR="00384DF8">
        <w:t>95% CI 1.43-</w:t>
      </w:r>
      <w:r w:rsidR="00D06371" w:rsidRPr="00384DF8">
        <w:t>1.52]</w:t>
      </w:r>
      <w:r w:rsidR="00384DF8" w:rsidRPr="00384DF8">
        <w:t>.</w:t>
      </w:r>
      <w:r w:rsidR="00961983">
        <w:t xml:space="preserve">  W</w:t>
      </w:r>
      <w:r w:rsidR="00384DF8" w:rsidRPr="00384DF8">
        <w:t xml:space="preserve">ith </w:t>
      </w:r>
      <w:r w:rsidR="00961983">
        <w:t xml:space="preserve">comparatively </w:t>
      </w:r>
      <w:r w:rsidR="00384DF8" w:rsidRPr="00384DF8">
        <w:t xml:space="preserve">small numbers of deaths there was no statistically significant interaction between year and deprivation quintile, </w:t>
      </w:r>
      <w:r w:rsidR="00961983">
        <w:t>suggesting</w:t>
      </w:r>
      <w:r w:rsidR="00384DF8" w:rsidRPr="00384DF8">
        <w:t xml:space="preserve"> that the relationship between death rates and deprivation quintile remained similar across the years</w:t>
      </w:r>
      <w:r w:rsidR="00A97C93">
        <w:t>.</w:t>
      </w:r>
    </w:p>
    <w:p w14:paraId="21C64466" w14:textId="77777777" w:rsidR="001E1DD2" w:rsidRDefault="001E1DD2" w:rsidP="00FF267E">
      <w:pPr>
        <w:spacing w:line="480" w:lineRule="auto"/>
        <w:rPr>
          <w:b/>
        </w:rPr>
      </w:pPr>
    </w:p>
    <w:p w14:paraId="4E3AB1A7" w14:textId="77777777" w:rsidR="00205DDF" w:rsidRPr="00F71C2B" w:rsidRDefault="00F71C2B" w:rsidP="00FF267E">
      <w:pPr>
        <w:spacing w:line="480" w:lineRule="auto"/>
        <w:rPr>
          <w:b/>
        </w:rPr>
      </w:pPr>
      <w:r w:rsidRPr="00F71C2B">
        <w:rPr>
          <w:b/>
        </w:rPr>
        <w:t>DISCUSSION</w:t>
      </w:r>
    </w:p>
    <w:p w14:paraId="3CBE4124" w14:textId="1EB40118" w:rsidR="00705132" w:rsidRDefault="00377832" w:rsidP="00FF267E">
      <w:pPr>
        <w:spacing w:line="480" w:lineRule="auto"/>
      </w:pPr>
      <w:proofErr w:type="gramStart"/>
      <w:r>
        <w:t>B</w:t>
      </w:r>
      <w:r w:rsidR="008F332E">
        <w:t xml:space="preserve">etween 2000 and 2011 rates of </w:t>
      </w:r>
      <w:r w:rsidR="00654AE6" w:rsidRPr="00A91883">
        <w:t>admission</w:t>
      </w:r>
      <w:r w:rsidR="000A4E4B">
        <w:t xml:space="preserve"> for childhood head injury </w:t>
      </w:r>
      <w:r w:rsidR="00A84692">
        <w:t>rose</w:t>
      </w:r>
      <w:r w:rsidR="006E4506">
        <w:t>.</w:t>
      </w:r>
      <w:proofErr w:type="gramEnd"/>
      <w:r w:rsidR="006E4506">
        <w:t xml:space="preserve">  However within this overall rise, we have demonstrated </w:t>
      </w:r>
      <w:r w:rsidR="000A4E4B">
        <w:t>a</w:t>
      </w:r>
      <w:r w:rsidR="00A84692">
        <w:t>n increasing</w:t>
      </w:r>
      <w:r w:rsidR="00E7540B">
        <w:t xml:space="preserve"> </w:t>
      </w:r>
      <w:r w:rsidR="0046483E" w:rsidRPr="00A91883">
        <w:t>propor</w:t>
      </w:r>
      <w:r w:rsidR="000A4E4B">
        <w:t>tion</w:t>
      </w:r>
      <w:r w:rsidR="004B253C">
        <w:t xml:space="preserve"> </w:t>
      </w:r>
      <w:r w:rsidR="006E4506">
        <w:t xml:space="preserve">of admissions </w:t>
      </w:r>
      <w:r w:rsidR="000A4E4B">
        <w:t>lasting less than one day</w:t>
      </w:r>
      <w:r w:rsidR="006E4506">
        <w:t>, and</w:t>
      </w:r>
      <w:r w:rsidR="007138FD">
        <w:t xml:space="preserve"> a </w:t>
      </w:r>
      <w:r w:rsidR="006E4506">
        <w:t xml:space="preserve">significant </w:t>
      </w:r>
      <w:r w:rsidR="007138FD">
        <w:t>reduction in the overall number of bed days occupied.</w:t>
      </w:r>
      <w:r w:rsidR="00A84692">
        <w:t xml:space="preserve"> </w:t>
      </w:r>
      <w:r w:rsidR="006E4506">
        <w:t xml:space="preserve"> </w:t>
      </w:r>
      <w:r>
        <w:t>Over the same period t</w:t>
      </w:r>
      <w:r w:rsidR="000A4E4B">
        <w:t>he</w:t>
      </w:r>
      <w:r w:rsidR="00EF10E1">
        <w:t xml:space="preserve">re was a reduction in mortality due to </w:t>
      </w:r>
      <w:r w:rsidR="006F3B67">
        <w:t>head injury</w:t>
      </w:r>
      <w:r w:rsidR="00EF10E1">
        <w:t>,</w:t>
      </w:r>
      <w:r w:rsidR="007138FD">
        <w:t xml:space="preserve"> </w:t>
      </w:r>
      <w:r w:rsidR="006E4506">
        <w:t xml:space="preserve">whilst </w:t>
      </w:r>
      <w:r w:rsidR="007138FD">
        <w:t>the number of children requiring neurosurgical intervention remained constant.</w:t>
      </w:r>
    </w:p>
    <w:p w14:paraId="69D5C403" w14:textId="7E1F45A3" w:rsidR="006F3B67" w:rsidRDefault="006F3B67" w:rsidP="00FF267E">
      <w:pPr>
        <w:spacing w:line="480" w:lineRule="auto"/>
      </w:pPr>
      <w:r>
        <w:t>Previous analysis of</w:t>
      </w:r>
      <w:r w:rsidRPr="00A91883">
        <w:t xml:space="preserve"> HES data</w:t>
      </w:r>
      <w:r w:rsidR="008C7996">
        <w:fldChar w:fldCharType="begin"/>
      </w:r>
      <w:r w:rsidR="00487EFF">
        <w:instrText xml:space="preserve"> ADDIN ZOTERO_ITEM CSL_CITATION {"citationID":"a2xPpORM","properties":{"formattedCitation":"[23]","plainCitation":"[23]"},"citationItems":[{"id":1521,"uris":["http://zotero.org/users/14208/items/V97R3PAP"],"uri":["http://zotero.org/users/14208/items/V97R3PAP"],"itemData":{"id":1521,"type":"article-journal","title":"Hospital admissions with head injury following publication of NICE guidance","container-title":"Emergency Medicine Journal","page":"556-557","volume":"25","issue":"9","source":"emj.bmj.com","abstract":"Background: A recent update suggested that the National Institute for Health and Clinical Excellence (NICE) guidance on head injury had led to safe early discharge, evidence of a reduction in the numbers of admitted patients and cost savings in some centres. The aim of this study was to use national Hospital Episodes Statistics (HES) data to determine whether admissions with head injury have changed since the NICE guidance was introduced.\nMethods: HES data coded as S00–S09 “Injuries to the head” from 1998–9 to 2006–7 were examined for admissions, age and length of stay.\nResults: Admissions rates did not change markedly until 2003 when the NICE head injury guidelines were issued. From 2003, admissions increased for all adult age groups but not for children. Mean length of stay remained constant between 1998 and 2007, so bed days increased in proportion to admission rates.\nConclusion: Adult head injury admissions in England have increased markedly since the introduction of the NICE guidelines. Given that there is little evidence that hospital admission is beneficial for patients with minor head injury, NICE head injury guidance appears to have failed to promote cost effective care.","DOI":"10.1136/emj.2007.055723","ISSN":", 1472-0213","note":"PMID: 18723700","journalAbbreviation":"Emerg Med J","language":"en","author":[{"family":"Goodacre","given":"S."}],"issued":{"date-parts":[["2008",1,9]]},"accessed":{"date-parts":[["2013",9,18]]},"PMID":"18723700"}}],"schema":"https://github.com/citation-style-language/schema/raw/master/csl-citation.json"} </w:instrText>
      </w:r>
      <w:r w:rsidR="008C7996">
        <w:fldChar w:fldCharType="separate"/>
      </w:r>
      <w:r w:rsidR="00487EFF" w:rsidRPr="00487EFF">
        <w:rPr>
          <w:rFonts w:ascii="Calibri" w:hAnsi="Calibri"/>
        </w:rPr>
        <w:t>[23]</w:t>
      </w:r>
      <w:r w:rsidR="008C7996">
        <w:fldChar w:fldCharType="end"/>
      </w:r>
      <w:r>
        <w:t xml:space="preserve"> demonstrated </w:t>
      </w:r>
      <w:r w:rsidRPr="00A91883">
        <w:t xml:space="preserve">that after introduction of the </w:t>
      </w:r>
      <w:r>
        <w:t>NICE</w:t>
      </w:r>
      <w:r w:rsidR="00EB1637">
        <w:t xml:space="preserve"> </w:t>
      </w:r>
      <w:r w:rsidRPr="00A91883">
        <w:t>2003 guideline</w:t>
      </w:r>
      <w:r>
        <w:t>,</w:t>
      </w:r>
      <w:r w:rsidRPr="00A91883">
        <w:t xml:space="preserve"> admission rates for adults increased but children were unaffected.</w:t>
      </w:r>
      <w:r>
        <w:t xml:space="preserve"> </w:t>
      </w:r>
      <w:r w:rsidR="00D83ACC">
        <w:t xml:space="preserve"> We have shown that following implementation of the NICE</w:t>
      </w:r>
      <w:r w:rsidR="00EB1637">
        <w:t xml:space="preserve"> </w:t>
      </w:r>
      <w:r w:rsidR="00D83ACC">
        <w:t xml:space="preserve">2007 guideline there was a statistically significant rise in the number of admissions and fall in the number of </w:t>
      </w:r>
      <w:r w:rsidR="00D83ACC" w:rsidRPr="00781A3B">
        <w:t>deaths</w:t>
      </w:r>
      <w:r w:rsidR="00D83ACC">
        <w:t xml:space="preserve"> in the paediatric population. </w:t>
      </w:r>
      <w:r w:rsidR="005F6AFA">
        <w:t>The clinical decision rule on which NICE</w:t>
      </w:r>
      <w:r w:rsidR="00EB1637">
        <w:t xml:space="preserve"> </w:t>
      </w:r>
      <w:r w:rsidR="005F6AFA">
        <w:t xml:space="preserve">2007 </w:t>
      </w:r>
      <w:proofErr w:type="gramStart"/>
      <w:r w:rsidR="005F6AFA">
        <w:t>was</w:t>
      </w:r>
      <w:proofErr w:type="gramEnd"/>
      <w:r w:rsidR="005F6AFA">
        <w:t xml:space="preserve"> based predicted a rise in rates of CT scanning from a baseline of 3.3% to just over 14% if fully implemented. </w:t>
      </w:r>
      <w:r w:rsidR="00FA7240">
        <w:t>It would be expected that full implementation of NICE</w:t>
      </w:r>
      <w:r w:rsidR="00EB1637">
        <w:t xml:space="preserve"> </w:t>
      </w:r>
      <w:r w:rsidR="00FA7240">
        <w:t>2007 guidance would have resulted in increased CT rates</w:t>
      </w:r>
      <w:r w:rsidR="00923DA7">
        <w:t>, perhaps</w:t>
      </w:r>
      <w:r w:rsidR="00FA7240">
        <w:t xml:space="preserve"> with an associated reduction in </w:t>
      </w:r>
      <w:r w:rsidR="00D83ACC">
        <w:t xml:space="preserve">admissions and length of stay.  </w:t>
      </w:r>
      <w:r w:rsidR="00862226">
        <w:t>CT s</w:t>
      </w:r>
      <w:r w:rsidR="00C73C42" w:rsidRPr="00C73C42">
        <w:t xml:space="preserve">canning </w:t>
      </w:r>
      <w:r w:rsidR="00D83ACC">
        <w:t xml:space="preserve">and discharge direct from ED </w:t>
      </w:r>
      <w:r w:rsidR="00C73C42" w:rsidRPr="00C73C42">
        <w:t>compared to admission for observation is a cost-saving strategy.</w:t>
      </w:r>
      <w:r w:rsidR="00C73C42">
        <w:t xml:space="preserve"> </w:t>
      </w:r>
      <w:r w:rsidR="00C73C42" w:rsidRPr="00C73C42">
        <w:t xml:space="preserve"> </w:t>
      </w:r>
      <w:r w:rsidR="00575B06">
        <w:t>Using</w:t>
      </w:r>
      <w:r w:rsidR="00C73C42" w:rsidRPr="00C73C42">
        <w:t xml:space="preserve"> the NHS 2013 reference </w:t>
      </w:r>
      <w:r w:rsidR="00575B06">
        <w:t xml:space="preserve">payment </w:t>
      </w:r>
      <w:r w:rsidR="00C73C42" w:rsidRPr="00C73C42">
        <w:t>tariffs,</w:t>
      </w:r>
      <w:r w:rsidR="008C7996" w:rsidRPr="00C73C42">
        <w:fldChar w:fldCharType="begin"/>
      </w:r>
      <w:r w:rsidR="00487EFF">
        <w:instrText xml:space="preserve"> ADDIN ZOTERO_ITEM CSL_CITATION {"citationID":"DjNVVUA3","properties":{"formattedCitation":"[24]","plainCitation":"[24]"},"citationItems":[{"id":1198,"uris":["http://zotero.org/users/14208/items/PV4HIEGD"],"uri":["http://zotero.org/users/14208/items/PV4HIEGD"],"itemData":{"id":1198,"type":"webpage","title":"NHS reference costs 2013 to 2014 - Publications - GOV.UK","abstract":"Information on how NHS providers spent money to provide healthcare to patients.","URL":"https://www.gov.uk/government/publications/nhs-reference-costs-2013-to-2014","accessed":{"date-parts":[["2015",1,29]],"season":"12:48:47"}}}],"schema":"https://github.com/citation-style-language/schema/raw/master/csl-citation.json"} </w:instrText>
      </w:r>
      <w:r w:rsidR="008C7996" w:rsidRPr="00C73C42">
        <w:fldChar w:fldCharType="separate"/>
      </w:r>
      <w:r w:rsidR="00487EFF" w:rsidRPr="00487EFF">
        <w:rPr>
          <w:rFonts w:ascii="Calibri" w:hAnsi="Calibri"/>
        </w:rPr>
        <w:t>[24]</w:t>
      </w:r>
      <w:r w:rsidR="008C7996" w:rsidRPr="00C73C42">
        <w:fldChar w:fldCharType="end"/>
      </w:r>
      <w:r w:rsidR="00C73C42" w:rsidRPr="00C73C42">
        <w:t xml:space="preserve"> an ED </w:t>
      </w:r>
      <w:r w:rsidR="00C73C42">
        <w:t xml:space="preserve">attendance where the patient </w:t>
      </w:r>
      <w:r w:rsidR="00575B06">
        <w:t>has a CT scan and</w:t>
      </w:r>
      <w:r w:rsidR="00C73C42" w:rsidRPr="00C73C42">
        <w:t xml:space="preserve"> is discharged (VB03Z  £242) costs one third the combined tariffs of an ED attendance and admission for observation (£730 = VB04Z £228 + PR07B £502). </w:t>
      </w:r>
      <w:r w:rsidR="00C73C42">
        <w:rPr>
          <w:b/>
        </w:rPr>
        <w:t xml:space="preserve"> </w:t>
      </w:r>
      <w:r w:rsidR="00862226">
        <w:t>If</w:t>
      </w:r>
      <w:r w:rsidR="00FA7240">
        <w:t xml:space="preserve"> clinicians </w:t>
      </w:r>
      <w:r w:rsidR="0047154B">
        <w:t xml:space="preserve">observe </w:t>
      </w:r>
      <w:r w:rsidR="00FA7240">
        <w:t xml:space="preserve">children for a short </w:t>
      </w:r>
      <w:r w:rsidR="00FA7240">
        <w:lastRenderedPageBreak/>
        <w:t xml:space="preserve">period of </w:t>
      </w:r>
      <w:r w:rsidR="00D83ACC">
        <w:t>time</w:t>
      </w:r>
      <w:r w:rsidR="00FA7240">
        <w:t xml:space="preserve"> prior to a decision on the need for imaging (the approach </w:t>
      </w:r>
      <w:r w:rsidR="007506F7">
        <w:t xml:space="preserve">now </w:t>
      </w:r>
      <w:r w:rsidR="00FA7240">
        <w:t>suggested in NICE</w:t>
      </w:r>
      <w:r w:rsidR="00EB1637">
        <w:t xml:space="preserve"> </w:t>
      </w:r>
      <w:r w:rsidR="00FA7240">
        <w:t xml:space="preserve">2014) </w:t>
      </w:r>
      <w:r w:rsidR="007506F7">
        <w:t xml:space="preserve">we </w:t>
      </w:r>
      <w:r w:rsidR="008259F1">
        <w:t>may</w:t>
      </w:r>
      <w:r w:rsidR="007506F7">
        <w:t xml:space="preserve"> see </w:t>
      </w:r>
      <w:r w:rsidR="00D83ACC">
        <w:t xml:space="preserve">yet further </w:t>
      </w:r>
      <w:r w:rsidR="007506F7">
        <w:t>increasing</w:t>
      </w:r>
      <w:r w:rsidR="00FA7240">
        <w:t xml:space="preserve"> admission rates</w:t>
      </w:r>
      <w:r w:rsidR="00D83ACC">
        <w:t xml:space="preserve"> and resulting costs</w:t>
      </w:r>
      <w:r w:rsidR="00FA7240">
        <w:t>.</w:t>
      </w:r>
      <w:r w:rsidR="00FA7240">
        <w:rPr>
          <w:b/>
        </w:rPr>
        <w:t xml:space="preserve">  </w:t>
      </w:r>
    </w:p>
    <w:p w14:paraId="48CDA14C" w14:textId="1C05D032" w:rsidR="0030164B" w:rsidRPr="00A91883" w:rsidRDefault="007506F7" w:rsidP="00FF267E">
      <w:pPr>
        <w:spacing w:line="480" w:lineRule="auto"/>
      </w:pPr>
      <w:r>
        <w:t xml:space="preserve">The limitations of our study are mainly due to the nature of the routinely collected dataset.  Our </w:t>
      </w:r>
      <w:proofErr w:type="gramStart"/>
      <w:r>
        <w:t xml:space="preserve">choice of </w:t>
      </w:r>
      <w:r w:rsidR="00196993">
        <w:t>outcome</w:t>
      </w:r>
      <w:r w:rsidR="000B20C2">
        <w:t>s</w:t>
      </w:r>
      <w:r>
        <w:t xml:space="preserve"> as </w:t>
      </w:r>
      <w:r w:rsidR="008259F1">
        <w:t>“</w:t>
      </w:r>
      <w:r>
        <w:t>admission or death due to head injury</w:t>
      </w:r>
      <w:r w:rsidR="008259F1">
        <w:t>”</w:t>
      </w:r>
      <w:r>
        <w:t xml:space="preserve"> are</w:t>
      </w:r>
      <w:proofErr w:type="gramEnd"/>
      <w:r>
        <w:t xml:space="preserve"> pragmatic</w:t>
      </w:r>
      <w:r w:rsidR="00923DA7">
        <w:t>;</w:t>
      </w:r>
      <w:r w:rsidR="0065362A">
        <w:t xml:space="preserve"> w</w:t>
      </w:r>
      <w:r>
        <w:t xml:space="preserve">e were not able </w:t>
      </w:r>
      <w:r w:rsidR="00923DA7">
        <w:t xml:space="preserve">to </w:t>
      </w:r>
      <w:r>
        <w:t xml:space="preserve">assess how many children </w:t>
      </w:r>
      <w:r w:rsidR="00923DA7">
        <w:t>survived</w:t>
      </w:r>
      <w:r>
        <w:t xml:space="preserve"> but </w:t>
      </w:r>
      <w:r w:rsidR="00923DA7">
        <w:t>had adverse neurological outcomes</w:t>
      </w:r>
      <w:r w:rsidR="00196993">
        <w:t>.</w:t>
      </w:r>
      <w:r w:rsidR="00FA7240">
        <w:t xml:space="preserve">  </w:t>
      </w:r>
      <w:r w:rsidR="00A84692" w:rsidRPr="00434CFB">
        <w:t xml:space="preserve">Despite HES data being rigorously collected using a strictly defined </w:t>
      </w:r>
      <w:proofErr w:type="gramStart"/>
      <w:r w:rsidR="00A84692" w:rsidRPr="00434CFB">
        <w:t>dataset</w:t>
      </w:r>
      <w:r w:rsidR="007138FD" w:rsidRPr="00434CFB">
        <w:t>,</w:t>
      </w:r>
      <w:proofErr w:type="gramEnd"/>
      <w:r w:rsidR="00A84692" w:rsidRPr="00434CFB">
        <w:t xml:space="preserve"> </w:t>
      </w:r>
      <w:r w:rsidR="00D83ACC">
        <w:t xml:space="preserve">it is </w:t>
      </w:r>
      <w:r w:rsidR="007138FD" w:rsidRPr="00434CFB">
        <w:t>prone to external factors</w:t>
      </w:r>
      <w:r w:rsidR="00BB7312" w:rsidRPr="00434CFB">
        <w:t xml:space="preserve"> </w:t>
      </w:r>
      <w:r w:rsidR="00D83ACC">
        <w:t>that</w:t>
      </w:r>
      <w:r w:rsidR="00BB7312" w:rsidRPr="00434CFB">
        <w:t xml:space="preserve"> may change over time</w:t>
      </w:r>
      <w:r w:rsidRPr="00434CFB">
        <w:t xml:space="preserve">.  This can be seen in the anomalous rise in numbers of CT scans </w:t>
      </w:r>
      <w:r w:rsidR="00923DA7" w:rsidRPr="00434CFB">
        <w:t xml:space="preserve">following their </w:t>
      </w:r>
      <w:r w:rsidRPr="00434CFB">
        <w:t>introduc</w:t>
      </w:r>
      <w:r w:rsidR="00923DA7" w:rsidRPr="00434CFB">
        <w:t>tion</w:t>
      </w:r>
      <w:r w:rsidRPr="00434CFB">
        <w:t xml:space="preserve"> to the dataset in 2006</w:t>
      </w:r>
      <w:r w:rsidR="00196993" w:rsidRPr="00434CFB">
        <w:t>.</w:t>
      </w:r>
      <w:r w:rsidR="00BB7312" w:rsidRPr="00434CFB">
        <w:t xml:space="preserve">  HES is the gold standard NHS activity dataset,  extracted directly from hospitals’ reports to the</w:t>
      </w:r>
      <w:r w:rsidR="00205AAF" w:rsidRPr="00434CFB">
        <w:t>i</w:t>
      </w:r>
      <w:r w:rsidR="00BB7312" w:rsidRPr="00434CFB">
        <w:t>r commissio</w:t>
      </w:r>
      <w:r w:rsidR="00AA4821" w:rsidRPr="00434CFB">
        <w:t>ners to claim payment; and estimated to capture 99.8</w:t>
      </w:r>
      <w:r w:rsidR="00BB7312" w:rsidRPr="00434CFB">
        <w:t>% of all admissions</w:t>
      </w:r>
      <w:r w:rsidR="008C7996" w:rsidRPr="00434CFB">
        <w:fldChar w:fldCharType="begin"/>
      </w:r>
      <w:r w:rsidR="00487EFF" w:rsidRPr="00434CFB">
        <w:instrText xml:space="preserve"> ADDIN ZOTERO_ITEM CSL_CITATION {"citationID":"oWje1aES","properties":{"formattedCitation":"[25]","plainCitation":"[25]"},"citationItems":[{"id":1791,"uris":["http://zotero.org/users/14208/items/UDI9GUW2"],"uri":["http://zotero.org/users/14208/items/UDI9GUW2"],"itemData":{"id":1791,"type":"webpage","title":"Hospital Episode Statistics, Admitted Patient Care - England, 2011-12 - Data Quality","URL":"http://www.hscic.gov.uk/catalogue/PUB08288/hosp-epis-stat-admi-pati-care-eng-11-12-qual.pdf","author":[{"family":"Health and Social Care Information Centre","given":""}],"issued":{"date-parts":[["2011"]]}}}],"schema":"https://github.com/citation-style-language/schema/raw/master/csl-citation.json"} </w:instrText>
      </w:r>
      <w:r w:rsidR="008C7996" w:rsidRPr="00434CFB">
        <w:fldChar w:fldCharType="separate"/>
      </w:r>
      <w:r w:rsidR="00487EFF" w:rsidRPr="00434CFB">
        <w:rPr>
          <w:rFonts w:ascii="Calibri" w:hAnsi="Calibri"/>
        </w:rPr>
        <w:t>[25]</w:t>
      </w:r>
      <w:r w:rsidR="008C7996" w:rsidRPr="00434CFB">
        <w:fldChar w:fldCharType="end"/>
      </w:r>
      <w:r w:rsidR="00BB7312" w:rsidRPr="00434CFB">
        <w:t>.</w:t>
      </w:r>
      <w:r w:rsidR="00AA4821" w:rsidRPr="00434CFB">
        <w:t xml:space="preserve">  </w:t>
      </w:r>
      <w:r w:rsidR="00923DA7">
        <w:t xml:space="preserve">It has been postulated that </w:t>
      </w:r>
      <w:r w:rsidR="00E262BF">
        <w:t>i</w:t>
      </w:r>
      <w:r w:rsidR="008A7F79">
        <w:t xml:space="preserve">ntroduction of </w:t>
      </w:r>
      <w:r w:rsidR="002C098A">
        <w:t xml:space="preserve">ED quality indicators </w:t>
      </w:r>
      <w:r>
        <w:t>(</w:t>
      </w:r>
      <w:r w:rsidR="00923DA7">
        <w:t>especially</w:t>
      </w:r>
      <w:r w:rsidR="002C098A">
        <w:t xml:space="preserve"> the drive to spend no </w:t>
      </w:r>
      <w:r>
        <w:t>more</w:t>
      </w:r>
      <w:r w:rsidR="002C098A">
        <w:t xml:space="preserve"> than four hours in an </w:t>
      </w:r>
      <w:r w:rsidR="00923DA7">
        <w:t xml:space="preserve">ED, first introduced in </w:t>
      </w:r>
      <w:r w:rsidR="00972C82">
        <w:t>2001</w:t>
      </w:r>
      <w:r>
        <w:t>)</w:t>
      </w:r>
      <w:r w:rsidR="002C098A">
        <w:t xml:space="preserve"> </w:t>
      </w:r>
      <w:r w:rsidR="001A3AAF">
        <w:t>ha</w:t>
      </w:r>
      <w:r w:rsidR="00923DA7">
        <w:t>s</w:t>
      </w:r>
      <w:r w:rsidR="00196993">
        <w:t xml:space="preserve"> caused</w:t>
      </w:r>
      <w:r w:rsidR="002C098A">
        <w:t xml:space="preserve"> the</w:t>
      </w:r>
      <w:r w:rsidR="001A3AAF">
        <w:t xml:space="preserve"> </w:t>
      </w:r>
      <w:r w:rsidR="002C098A">
        <w:t xml:space="preserve">rising </w:t>
      </w:r>
      <w:r w:rsidR="001A3AAF">
        <w:t xml:space="preserve">number of </w:t>
      </w:r>
      <w:r w:rsidR="008A7F79">
        <w:t xml:space="preserve">short term </w:t>
      </w:r>
      <w:r w:rsidR="00720013">
        <w:t>admissions</w:t>
      </w:r>
      <w:r w:rsidR="008A7F79">
        <w:t>.</w:t>
      </w:r>
      <w:r w:rsidR="00196993">
        <w:t xml:space="preserve"> </w:t>
      </w:r>
      <w:r w:rsidR="008A7F79">
        <w:t xml:space="preserve"> However</w:t>
      </w:r>
      <w:r w:rsidR="009314ED">
        <w:t xml:space="preserve"> admission </w:t>
      </w:r>
      <w:r w:rsidR="0030616E">
        <w:t xml:space="preserve">rates </w:t>
      </w:r>
      <w:r w:rsidR="009314ED">
        <w:t xml:space="preserve">for children with medical </w:t>
      </w:r>
      <w:r w:rsidR="00923DA7">
        <w:t>complaints</w:t>
      </w:r>
      <w:r w:rsidR="009314ED">
        <w:t xml:space="preserve"> </w:t>
      </w:r>
      <w:r w:rsidR="001A3AAF">
        <w:t>were</w:t>
      </w:r>
      <w:r w:rsidR="009314ED">
        <w:t xml:space="preserve"> </w:t>
      </w:r>
      <w:r w:rsidR="002C098A">
        <w:t xml:space="preserve">already </w:t>
      </w:r>
      <w:r w:rsidR="009314ED">
        <w:t>rising</w:t>
      </w:r>
      <w:r w:rsidR="008C7996">
        <w:fldChar w:fldCharType="begin"/>
      </w:r>
      <w:r w:rsidR="0048599A">
        <w:instrText xml:space="preserve"> ADDIN ZOTERO_ITEM CSL_CITATION {"citationID":"qJxh4sFT","properties":{"formattedCitation":"[2]","plainCitation":"[2]"},"citationItems":[{"id":339,"uris":["http://zotero.org/users/14208/items/8BAD437K"],"uri":["http://zotero.org/users/14208/items/8BAD437K"],"itemData":{"id":339,"type":"article-journal","title":"Increase in emergency admissions to hospital for children aged under 15 in England, 1999–2010: national database analysis","container-title":"Archives of Disease in Childhood","page":"328-334","volume":"98","issue":"5","source":"adc.bmj.com","abstract":"Objective To investigate a reported rise in the emergency hospital admission of children in England for conditions usually managed in the community.\nSetting and design Population-based study of hospital admission rates for children aged under 15, based on analysis of Hospital Episode Statistics and population estimates for England, 1999–2010.\nMain outcome Trends in rates of emergency admission to hospital.\nResults The emergency admission rate for children aged under 15 in England has increased by 28% in the past decade, from 63 per 1000 population in 1999 to 81 per 1000 in 2010. A persistent year-on-year increase is apparent from 2003 onwards. A small decline in the rates of admissions lasting 1 day or more has been offset by a twofold increase in short-term admissions of &lt;1 day. Considering the specific conditions where high emergency admission rates are thought to be inversely related to primary care quality, admission rates for upper respiratory tract infections rose by 22%, lower respiratory tract infections by 40%, urinary tract infections by 43% and gastroenteritis by 31%, while admission rates for chronic conditions fell by 5.6%.\nConclusions The continuing increase in very-short-term admission of children with common infections suggests a systematic failure, both in primary care (by general practice, out-of-hours care and National Health Service Direct) and in hospital (by emergency departments and paediatricians), in the assessment of children with acute illness that could be managed in the community. Solving the problem is likely to require restructuring of the way acute paediatric care is delivered.","DOI":"10.1136/archdischild-2012-302383","ISSN":", 14682044","note":"PMID: 23401058","shortTitle":"Increase in emergency admissions to hospital for children aged under 15 in England, 1999–2010","journalAbbreviation":"Arch Dis Child","language":"en","author":[{"family":"Gill","given":"Peter J."},{"family":"Goldacre","given":"Michael J."},{"family":"Mant","given":"David"},{"family":"Heneghan","given":"Carl"},{"family":"Thomson","given":"Anne"},{"family":"Seagroatt","given":"Valerie"},{"family":"Harnden","given":"Anthony"}],"issued":{"date-parts":[["2013",1,5]]},"accessed":{"date-parts":[["2014",7,7]]},"PMID":"23401058"}}],"schema":"https://github.com/citation-style-language/schema/raw/master/csl-citation.json"} </w:instrText>
      </w:r>
      <w:r w:rsidR="008C7996">
        <w:fldChar w:fldCharType="separate"/>
      </w:r>
      <w:r w:rsidR="0048599A" w:rsidRPr="0048599A">
        <w:rPr>
          <w:rFonts w:ascii="Calibri" w:hAnsi="Calibri"/>
        </w:rPr>
        <w:t>[2]</w:t>
      </w:r>
      <w:r w:rsidR="008C7996">
        <w:fldChar w:fldCharType="end"/>
      </w:r>
      <w:r w:rsidR="00D55721">
        <w:t xml:space="preserve"> prior to </w:t>
      </w:r>
      <w:r>
        <w:t>their</w:t>
      </w:r>
      <w:r w:rsidR="00D55721">
        <w:t xml:space="preserve"> introduction</w:t>
      </w:r>
      <w:r w:rsidR="00720013">
        <w:t xml:space="preserve">.  </w:t>
      </w:r>
      <w:r w:rsidR="000B20C2">
        <w:t>N</w:t>
      </w:r>
      <w:r w:rsidR="001A3AAF">
        <w:t xml:space="preserve">eurosurgery </w:t>
      </w:r>
      <w:r w:rsidR="000B20C2">
        <w:t xml:space="preserve">rates </w:t>
      </w:r>
      <w:r w:rsidR="001A3AAF">
        <w:t xml:space="preserve">have not significantly changed despite </w:t>
      </w:r>
      <w:r w:rsidR="006C787D">
        <w:t>increas</w:t>
      </w:r>
      <w:r w:rsidR="00923DA7">
        <w:t>ing</w:t>
      </w:r>
      <w:r w:rsidR="006C787D">
        <w:t xml:space="preserve"> admissions</w:t>
      </w:r>
      <w:r w:rsidR="00923DA7">
        <w:t xml:space="preserve">, </w:t>
      </w:r>
      <w:r w:rsidR="008822B6">
        <w:t>suggest</w:t>
      </w:r>
      <w:r w:rsidR="00923DA7">
        <w:t>ing</w:t>
      </w:r>
      <w:r w:rsidR="008822B6">
        <w:t xml:space="preserve"> </w:t>
      </w:r>
      <w:r w:rsidR="001A3AAF">
        <w:t xml:space="preserve">that the </w:t>
      </w:r>
      <w:r w:rsidR="000B20C2">
        <w:t>overall incidence of s</w:t>
      </w:r>
      <w:r w:rsidR="001A3AAF">
        <w:t xml:space="preserve">evere </w:t>
      </w:r>
      <w:r w:rsidR="000B20C2">
        <w:t xml:space="preserve">head </w:t>
      </w:r>
      <w:r w:rsidR="001A3AAF">
        <w:t>injur</w:t>
      </w:r>
      <w:r w:rsidR="000B20C2">
        <w:t>y</w:t>
      </w:r>
      <w:r w:rsidR="001A3AAF">
        <w:t xml:space="preserve"> </w:t>
      </w:r>
      <w:r w:rsidR="000B20C2">
        <w:t xml:space="preserve">in childhood </w:t>
      </w:r>
      <w:r w:rsidR="001A3AAF">
        <w:t xml:space="preserve">has remained relatively constant.  </w:t>
      </w:r>
      <w:r w:rsidR="0030616E">
        <w:t xml:space="preserve">We believe that these findings </w:t>
      </w:r>
      <w:r w:rsidR="007F14D1">
        <w:t xml:space="preserve">may therefore </w:t>
      </w:r>
      <w:r w:rsidR="0030616E">
        <w:t xml:space="preserve">represent </w:t>
      </w:r>
      <w:r w:rsidR="008822B6">
        <w:t xml:space="preserve">a change in clinician behaviour, with </w:t>
      </w:r>
      <w:r w:rsidR="007F14D1">
        <w:t xml:space="preserve">lower severity thresholds for admission combined with </w:t>
      </w:r>
      <w:r w:rsidR="0030616E">
        <w:t>shorter stay</w:t>
      </w:r>
      <w:r w:rsidR="007F14D1">
        <w:t>s before discharge</w:t>
      </w:r>
      <w:r w:rsidR="008822B6">
        <w:t xml:space="preserve">.  </w:t>
      </w:r>
      <w:r w:rsidR="005F2D6C">
        <w:t xml:space="preserve"> An alternative </w:t>
      </w:r>
      <w:r w:rsidR="0030616E">
        <w:t>hypothesis</w:t>
      </w:r>
      <w:r w:rsidR="005F2D6C">
        <w:t xml:space="preserve"> is that the </w:t>
      </w:r>
      <w:r w:rsidR="005F2D6C" w:rsidRPr="005F2D6C">
        <w:rPr>
          <w:i/>
        </w:rPr>
        <w:t>proportion</w:t>
      </w:r>
      <w:r w:rsidR="0030616E">
        <w:t xml:space="preserve"> of children being admitted has remained</w:t>
      </w:r>
      <w:r w:rsidR="005F2D6C">
        <w:t xml:space="preserve"> constant, </w:t>
      </w:r>
      <w:r w:rsidR="0030616E">
        <w:t xml:space="preserve">but </w:t>
      </w:r>
      <w:r w:rsidR="005F2D6C">
        <w:t>more children are being taken to ED</w:t>
      </w:r>
      <w:r w:rsidR="0030616E">
        <w:t xml:space="preserve"> and so more</w:t>
      </w:r>
      <w:r w:rsidR="00D641A6">
        <w:t xml:space="preserve"> are</w:t>
      </w:r>
      <w:r w:rsidR="0030616E">
        <w:t xml:space="preserve"> being admitted</w:t>
      </w:r>
      <w:r w:rsidR="005F2D6C">
        <w:t xml:space="preserve">.  </w:t>
      </w:r>
      <w:proofErr w:type="gramStart"/>
      <w:r w:rsidR="005F2D6C">
        <w:t>HES</w:t>
      </w:r>
      <w:proofErr w:type="gramEnd"/>
      <w:r w:rsidR="005F2D6C">
        <w:t xml:space="preserve"> data did not include information on </w:t>
      </w:r>
      <w:r w:rsidR="002C098A">
        <w:t xml:space="preserve">ED </w:t>
      </w:r>
      <w:r w:rsidR="005F2D6C">
        <w:t>attendance</w:t>
      </w:r>
      <w:r w:rsidR="002C098A">
        <w:t>s</w:t>
      </w:r>
      <w:r w:rsidR="005F2D6C">
        <w:t xml:space="preserve"> until 2007 and we have </w:t>
      </w:r>
      <w:r w:rsidR="002C098A">
        <w:t xml:space="preserve">therefore </w:t>
      </w:r>
      <w:r w:rsidR="005F2D6C">
        <w:t>not been able to examine this</w:t>
      </w:r>
      <w:r w:rsidR="00D641A6">
        <w:t xml:space="preserve"> further</w:t>
      </w:r>
      <w:r w:rsidR="005F2D6C">
        <w:t>.</w:t>
      </w:r>
    </w:p>
    <w:p w14:paraId="13B1C444" w14:textId="6BCD6327" w:rsidR="005D5598" w:rsidRDefault="005D5598" w:rsidP="00FF267E">
      <w:pPr>
        <w:spacing w:line="480" w:lineRule="auto"/>
      </w:pPr>
      <w:r>
        <w:t>O</w:t>
      </w:r>
      <w:r w:rsidRPr="00A91883">
        <w:t xml:space="preserve">ur rates of inpatient mortality due to head injury </w:t>
      </w:r>
      <w:r w:rsidR="00C21B82">
        <w:t>combined with those for Wales over the same time period (</w:t>
      </w:r>
      <w:r w:rsidR="00FA7240">
        <w:t>personal communication</w:t>
      </w:r>
      <w:r w:rsidR="00CC62B4">
        <w:t xml:space="preserve"> - NHS Wales </w:t>
      </w:r>
      <w:proofErr w:type="spellStart"/>
      <w:r w:rsidR="00D641A6">
        <w:t>I</w:t>
      </w:r>
      <w:r w:rsidR="00CC62B4">
        <w:t>nfomatics</w:t>
      </w:r>
      <w:proofErr w:type="spellEnd"/>
      <w:r w:rsidR="00CC62B4">
        <w:t xml:space="preserve"> Service</w:t>
      </w:r>
      <w:r w:rsidR="00FA7240">
        <w:t xml:space="preserve">) </w:t>
      </w:r>
      <w:r w:rsidRPr="00A91883">
        <w:t>closely approximate the O</w:t>
      </w:r>
      <w:r w:rsidR="00FB29EB">
        <w:t>ffice for National Statistics</w:t>
      </w:r>
      <w:r w:rsidRPr="00A91883">
        <w:t xml:space="preserve"> figures for </w:t>
      </w:r>
      <w:r w:rsidR="009A32FA">
        <w:t>total</w:t>
      </w:r>
      <w:r w:rsidR="00F64001">
        <w:t xml:space="preserve"> </w:t>
      </w:r>
      <w:r w:rsidRPr="00A91883">
        <w:t>childhood deaths</w:t>
      </w:r>
      <w:r w:rsidR="00C21B82">
        <w:t xml:space="preserve"> </w:t>
      </w:r>
      <w:r w:rsidR="00F64001" w:rsidRPr="00A91883">
        <w:t>due to head injury</w:t>
      </w:r>
      <w:r w:rsidR="00F64001">
        <w:t xml:space="preserve"> </w:t>
      </w:r>
      <w:r w:rsidR="00C21B82">
        <w:t>in England and Wales</w:t>
      </w:r>
      <w:r w:rsidR="00D00EEA">
        <w:t>.</w:t>
      </w:r>
      <w:r w:rsidR="008C7996">
        <w:fldChar w:fldCharType="begin"/>
      </w:r>
      <w:r w:rsidR="00487EFF">
        <w:instrText xml:space="preserve"> ADDIN ZOTERO_ITEM CSL_CITATION {"citationID":"EitZAyfd","properties":{"formattedCitation":"[26]","plainCitation":"[26]"},"citationItems":[{"id":106,"uris":["http://zotero.org/users/14208/items/483KH2W6"],"uri":["http://zotero.org/users/14208/items/483KH2W6"],"itemData":{"id":106,"type":"webpage","title":"Mortality Statistics: Deaths registered in England and Wales (Series DR)","container-title":"Office for National Statistics","URL":"http://www.ons.gov.uk/ons/rel/vsob1/mortality-statistics--deaths-registered-in-england-and-wales--series-dr-/index.html","note":"Annual mortality statistics on deaths registered by age-group, sex and underlying cause of death and by other information collected at the time of registration.","shortTitle":"Mortality Statistics","language":"eng","accessed":{"date-parts":[["2014",12,1]]}}}],"schema":"https://github.com/citation-style-language/schema/raw/master/csl-citation.json"} </w:instrText>
      </w:r>
      <w:r w:rsidR="008C7996">
        <w:fldChar w:fldCharType="separate"/>
      </w:r>
      <w:r w:rsidR="00487EFF" w:rsidRPr="00487EFF">
        <w:rPr>
          <w:rFonts w:ascii="Calibri" w:hAnsi="Calibri"/>
        </w:rPr>
        <w:t>[26]</w:t>
      </w:r>
      <w:r w:rsidR="008C7996">
        <w:fldChar w:fldCharType="end"/>
      </w:r>
      <w:r w:rsidR="00687C80">
        <w:t xml:space="preserve"> </w:t>
      </w:r>
      <w:r>
        <w:t xml:space="preserve"> </w:t>
      </w:r>
      <w:r w:rsidR="00687C80">
        <w:t xml:space="preserve">This </w:t>
      </w:r>
      <w:r w:rsidRPr="00A91883">
        <w:t>suggest</w:t>
      </w:r>
      <w:r w:rsidR="00687C80">
        <w:t>s</w:t>
      </w:r>
      <w:r w:rsidRPr="00A91883">
        <w:t xml:space="preserve"> that most children </w:t>
      </w:r>
      <w:r>
        <w:t xml:space="preserve">who </w:t>
      </w:r>
      <w:r w:rsidRPr="00A91883">
        <w:t>die</w:t>
      </w:r>
      <w:r>
        <w:t xml:space="preserve"> from head injuries</w:t>
      </w:r>
      <w:r w:rsidRPr="00A91883">
        <w:t xml:space="preserve"> </w:t>
      </w:r>
      <w:r w:rsidR="002C098A">
        <w:t>do so in</w:t>
      </w:r>
      <w:r w:rsidRPr="00A91883">
        <w:t xml:space="preserve"> hospital</w:t>
      </w:r>
      <w:r w:rsidR="002C098A">
        <w:t xml:space="preserve"> rather than at the scene of the incident</w:t>
      </w:r>
      <w:r w:rsidRPr="00A91883">
        <w:t>.</w:t>
      </w:r>
      <w:r>
        <w:t xml:space="preserve">  </w:t>
      </w:r>
      <w:r w:rsidR="000A4E4B">
        <w:t>T</w:t>
      </w:r>
      <w:r w:rsidR="00C32409">
        <w:t xml:space="preserve">he </w:t>
      </w:r>
      <w:r w:rsidR="00814AD3">
        <w:t>reduction</w:t>
      </w:r>
      <w:r w:rsidR="00C32409">
        <w:t xml:space="preserve"> in deaths </w:t>
      </w:r>
      <w:r w:rsidR="001503C6">
        <w:t>due to</w:t>
      </w:r>
      <w:r w:rsidR="00C32409">
        <w:t xml:space="preserve"> road traffic accidents</w:t>
      </w:r>
      <w:r w:rsidR="006A3648">
        <w:t xml:space="preserve"> is likely to be </w:t>
      </w:r>
      <w:r w:rsidR="00687C80">
        <w:t xml:space="preserve">due to a combination of factors.  </w:t>
      </w:r>
      <w:r w:rsidR="006A3648">
        <w:t>Over this period there have been improvements in safety for car occupants (e.g. use of boo</w:t>
      </w:r>
      <w:r w:rsidR="00503186">
        <w:t xml:space="preserve">ster </w:t>
      </w:r>
      <w:r w:rsidR="00503186">
        <w:lastRenderedPageBreak/>
        <w:t>seats, airbags</w:t>
      </w:r>
      <w:r w:rsidR="006A3648">
        <w:t xml:space="preserve">). </w:t>
      </w:r>
      <w:r w:rsidR="00687C80">
        <w:t>However,</w:t>
      </w:r>
      <w:r w:rsidR="006A3648">
        <w:t xml:space="preserve"> </w:t>
      </w:r>
      <w:r w:rsidR="000B20C2">
        <w:t>as</w:t>
      </w:r>
      <w:r w:rsidR="006A3648">
        <w:t xml:space="preserve"> </w:t>
      </w:r>
      <w:r w:rsidR="00687C80">
        <w:t xml:space="preserve">the greatest reduction in road traffic deaths has been in </w:t>
      </w:r>
      <w:r w:rsidR="006A3648">
        <w:t>pedestrians</w:t>
      </w:r>
      <w:r w:rsidR="00687C80">
        <w:t>/</w:t>
      </w:r>
      <w:r w:rsidR="0030616E">
        <w:t>cyclists</w:t>
      </w:r>
      <w:r w:rsidR="000B20C2">
        <w:t xml:space="preserve">, </w:t>
      </w:r>
      <w:r w:rsidR="00871185" w:rsidRPr="00871185">
        <w:t>it may be that the focus on hard hitting road safety campaigns has been beneficial</w:t>
      </w:r>
      <w:r w:rsidR="00082605">
        <w:t>,</w:t>
      </w:r>
      <w:r w:rsidR="00871185" w:rsidRPr="00871185">
        <w:t xml:space="preserve"> or </w:t>
      </w:r>
      <w:r w:rsidR="00082605">
        <w:t xml:space="preserve">that </w:t>
      </w:r>
      <w:r w:rsidR="00871185" w:rsidRPr="00871185">
        <w:t>this reflects a reduction in exposure to risk with less walking and cycling in children</w:t>
      </w:r>
      <w:r w:rsidR="00871185">
        <w:t>.</w:t>
      </w:r>
    </w:p>
    <w:p w14:paraId="25C32E82" w14:textId="4161C568" w:rsidR="00652C9A" w:rsidRDefault="00972C82" w:rsidP="00FF267E">
      <w:pPr>
        <w:spacing w:line="480" w:lineRule="auto"/>
      </w:pPr>
      <w:r>
        <w:t>Although there has been improvement over time, t</w:t>
      </w:r>
      <w:r w:rsidR="00C32409" w:rsidRPr="00A91883">
        <w:t xml:space="preserve">he effects of deprivation are </w:t>
      </w:r>
      <w:r>
        <w:t xml:space="preserve">still </w:t>
      </w:r>
      <w:r w:rsidR="00C32409" w:rsidRPr="00A91883">
        <w:t>alarming</w:t>
      </w:r>
      <w:r w:rsidR="00C32409">
        <w:t xml:space="preserve"> with children dying of head injuries </w:t>
      </w:r>
      <w:r w:rsidR="009764D6">
        <w:t>twice</w:t>
      </w:r>
      <w:r w:rsidR="00C32409">
        <w:t xml:space="preserve"> as </w:t>
      </w:r>
      <w:r w:rsidR="00C32409" w:rsidRPr="00A91883">
        <w:t xml:space="preserve">likely </w:t>
      </w:r>
      <w:r w:rsidR="00C32409">
        <w:t>to come from</w:t>
      </w:r>
      <w:r w:rsidR="002F736C">
        <w:t xml:space="preserve"> the most</w:t>
      </w:r>
      <w:r w:rsidR="00C32409" w:rsidRPr="00A91883">
        <w:t xml:space="preserve"> deprived neighbourhoods.</w:t>
      </w:r>
      <w:r w:rsidR="000A4E4B">
        <w:t xml:space="preserve">  </w:t>
      </w:r>
      <w:r w:rsidR="00B676A1">
        <w:t>The recent RCPCH report “Why do Children Die”</w:t>
      </w:r>
      <w:r w:rsidR="008C7996">
        <w:fldChar w:fldCharType="begin"/>
      </w:r>
      <w:r w:rsidR="0048599A">
        <w:instrText xml:space="preserve"> ADDIN ZOTERO_ITEM CSL_CITATION {"citationID":"QEQ9p36x","properties":{"formattedCitation":"[5]","plainCitation":"[5]"},"citationItems":[{"id":1710,"uris":["http://zotero.org/users/14208/items/ZXKZZN5T"],"uri":["http://zotero.org/users/14208/items/ZXKZZN5T"],"itemData":{"id":1710,"type":"article-journal","title":"Why children die: death in infants, children and young people in the UK Part A","source":"Google Scholar","URL":"http://www.ncb.org.uk/media/1130496/rcpch_ncb_may_2014_-_why_children_die__part_a.pdf","shortTitle":"Why children die","author":[{"family":"Wolfe","given":"Ingrid"},{"family":"Macfarlane","given":"Alison"},{"family":"Donkin","given":"Angela"},{"family":"Marmot","given":"Michael"},{"family":"Viner","given":"Russell"}],"issued":{"date-parts":[["2014"]]},"accessed":{"date-parts":[["2014",11,27]]}}}],"schema":"https://github.com/citation-style-language/schema/raw/master/csl-citation.json"} </w:instrText>
      </w:r>
      <w:r w:rsidR="008C7996">
        <w:fldChar w:fldCharType="separate"/>
      </w:r>
      <w:r w:rsidR="0048599A" w:rsidRPr="0048599A">
        <w:rPr>
          <w:rFonts w:ascii="Calibri" w:hAnsi="Calibri"/>
        </w:rPr>
        <w:t>[5]</w:t>
      </w:r>
      <w:r w:rsidR="008C7996">
        <w:fldChar w:fldCharType="end"/>
      </w:r>
      <w:r w:rsidR="00B676A1">
        <w:t xml:space="preserve"> identified injuries and social inequality as two of the modifiable targets to improve the</w:t>
      </w:r>
      <w:r w:rsidR="00196993">
        <w:t xml:space="preserve"> health of children in the UK.</w:t>
      </w:r>
    </w:p>
    <w:p w14:paraId="5325C268" w14:textId="7185F74D" w:rsidR="00D370C7" w:rsidRDefault="00F71C2B" w:rsidP="00FF267E">
      <w:pPr>
        <w:spacing w:line="480" w:lineRule="auto"/>
      </w:pPr>
      <w:r w:rsidRPr="00F71C2B">
        <w:rPr>
          <w:b/>
        </w:rPr>
        <w:t>CONCLUSION</w:t>
      </w:r>
      <w:r w:rsidR="00196993">
        <w:rPr>
          <w:b/>
        </w:rPr>
        <w:br/>
      </w:r>
      <w:proofErr w:type="gramStart"/>
      <w:r w:rsidR="00720013">
        <w:t>T</w:t>
      </w:r>
      <w:r w:rsidR="00B676A1">
        <w:t>hese</w:t>
      </w:r>
      <w:proofErr w:type="gramEnd"/>
      <w:r w:rsidR="00B676A1">
        <w:t xml:space="preserve"> data </w:t>
      </w:r>
      <w:r w:rsidR="00C32409" w:rsidRPr="00A91883">
        <w:t>provide a</w:t>
      </w:r>
      <w:r w:rsidR="00720013">
        <w:t>n</w:t>
      </w:r>
      <w:r w:rsidR="00C32409" w:rsidRPr="00A91883">
        <w:t xml:space="preserve"> important snapshot </w:t>
      </w:r>
      <w:r w:rsidR="004521E9">
        <w:t xml:space="preserve">of healthcare use </w:t>
      </w:r>
      <w:r w:rsidR="00BF6C94">
        <w:t xml:space="preserve">for </w:t>
      </w:r>
      <w:r w:rsidR="007F14D1">
        <w:t xml:space="preserve">the </w:t>
      </w:r>
      <w:r w:rsidR="00720013">
        <w:t>common</w:t>
      </w:r>
      <w:r w:rsidR="007F14D1">
        <w:t>est childhood injury</w:t>
      </w:r>
      <w:r w:rsidR="00D83ACC">
        <w:t xml:space="preserve"> with significant change in outcomes and resource use over time</w:t>
      </w:r>
      <w:r w:rsidR="00687C80">
        <w:t xml:space="preserve">.  </w:t>
      </w:r>
      <w:r w:rsidR="00BF0718">
        <w:t>A</w:t>
      </w:r>
      <w:r w:rsidR="001B2644">
        <w:t xml:space="preserve">dmission rates </w:t>
      </w:r>
      <w:r w:rsidR="00A0507D">
        <w:t>have changed since</w:t>
      </w:r>
      <w:r w:rsidR="001B2644">
        <w:t xml:space="preserve"> the introduction of n</w:t>
      </w:r>
      <w:r w:rsidR="00A0507D">
        <w:t xml:space="preserve">ational </w:t>
      </w:r>
      <w:r w:rsidR="001B2644">
        <w:t xml:space="preserve">guidelines </w:t>
      </w:r>
      <w:r w:rsidR="00800CEB">
        <w:t>with more</w:t>
      </w:r>
      <w:r w:rsidR="00BF0718">
        <w:t xml:space="preserve"> frequent</w:t>
      </w:r>
      <w:r w:rsidR="00720013">
        <w:t>,</w:t>
      </w:r>
      <w:r w:rsidR="00800CEB">
        <w:t xml:space="preserve"> shorter </w:t>
      </w:r>
      <w:r w:rsidR="001B2644">
        <w:t xml:space="preserve">admissions for the same </w:t>
      </w:r>
      <w:r w:rsidR="00A0507D">
        <w:t>rate</w:t>
      </w:r>
      <w:r w:rsidR="00800CEB">
        <w:t xml:space="preserve"> of neurosurgical events</w:t>
      </w:r>
      <w:r w:rsidR="00A0507D">
        <w:t xml:space="preserve">, indicating that </w:t>
      </w:r>
      <w:r w:rsidR="00687C80">
        <w:t>a</w:t>
      </w:r>
      <w:r w:rsidR="001B2644">
        <w:t xml:space="preserve">dmission </w:t>
      </w:r>
      <w:r w:rsidR="00720013">
        <w:t xml:space="preserve">rates </w:t>
      </w:r>
      <w:r w:rsidR="001B2644">
        <w:t xml:space="preserve">may not provide a consistent </w:t>
      </w:r>
      <w:r w:rsidR="00800CEB">
        <w:t>proxy</w:t>
      </w:r>
      <w:r w:rsidR="001B2644">
        <w:t xml:space="preserve"> for severity of injury</w:t>
      </w:r>
      <w:r w:rsidR="004521E9">
        <w:t xml:space="preserve">.  </w:t>
      </w:r>
      <w:r w:rsidR="00D1036A">
        <w:t xml:space="preserve">They also </w:t>
      </w:r>
      <w:r w:rsidR="001B2644">
        <w:t xml:space="preserve">provide a useful measure </w:t>
      </w:r>
      <w:r w:rsidR="00C32409" w:rsidRPr="00A91883">
        <w:t>against which to compare</w:t>
      </w:r>
      <w:r w:rsidR="009640A2">
        <w:t xml:space="preserve"> the effects of the NICE 2014 head injury</w:t>
      </w:r>
      <w:r w:rsidR="00C32409" w:rsidRPr="00A91883">
        <w:t xml:space="preserve"> guidance and </w:t>
      </w:r>
      <w:r w:rsidR="00B676A1">
        <w:t xml:space="preserve">benchmark </w:t>
      </w:r>
      <w:r w:rsidR="00C32409" w:rsidRPr="00A91883">
        <w:t>any future changes of emergency care provision</w:t>
      </w:r>
      <w:r w:rsidR="00D1036A">
        <w:t>.</w:t>
      </w:r>
    </w:p>
    <w:p w14:paraId="6AA000EC" w14:textId="77777777" w:rsidR="00836CB3" w:rsidRDefault="00836CB3" w:rsidP="00FF267E">
      <w:pPr>
        <w:spacing w:line="480" w:lineRule="auto"/>
        <w:rPr>
          <w:u w:val="single"/>
        </w:rPr>
      </w:pPr>
      <w:r>
        <w:rPr>
          <w:u w:val="single"/>
        </w:rPr>
        <w:br w:type="page"/>
      </w:r>
    </w:p>
    <w:p w14:paraId="17504237" w14:textId="3B6D4806" w:rsidR="00402758" w:rsidRDefault="00F71C2B" w:rsidP="00FF267E">
      <w:pPr>
        <w:spacing w:line="480" w:lineRule="auto"/>
      </w:pPr>
      <w:r w:rsidRPr="00F71C2B">
        <w:rPr>
          <w:b/>
        </w:rPr>
        <w:lastRenderedPageBreak/>
        <w:t>ACKNOWLEDGEMENTS</w:t>
      </w:r>
      <w:r w:rsidR="002A70CC">
        <w:rPr>
          <w:b/>
        </w:rPr>
        <w:br/>
      </w:r>
      <w:r w:rsidR="00402758">
        <w:t>Thanks to Dora Wood for comments on the manuscript</w:t>
      </w:r>
      <w:r w:rsidR="006F3B67">
        <w:t xml:space="preserve"> and </w:t>
      </w:r>
      <w:r w:rsidR="00FA7240" w:rsidRPr="00FA7240">
        <w:t>Anna Morris</w:t>
      </w:r>
      <w:r w:rsidR="00FA7240">
        <w:t xml:space="preserve"> (NHS Wales </w:t>
      </w:r>
      <w:proofErr w:type="spellStart"/>
      <w:r w:rsidR="00814AD3">
        <w:t>I</w:t>
      </w:r>
      <w:r w:rsidR="00FA7240">
        <w:t>nfomatics</w:t>
      </w:r>
      <w:proofErr w:type="spellEnd"/>
      <w:r w:rsidR="00FA7240">
        <w:t xml:space="preserve"> Service) for tabulating Welsh paediatric head injury mortality data.</w:t>
      </w:r>
    </w:p>
    <w:p w14:paraId="7D0901B5" w14:textId="77777777" w:rsidR="0093282A" w:rsidRDefault="0093282A" w:rsidP="00FF267E">
      <w:pPr>
        <w:spacing w:line="480" w:lineRule="auto"/>
      </w:pPr>
      <w:r w:rsidRPr="00094D6B">
        <w:t>HES data provided to the University of Bristol by the Health and Social Care Information Centre under data reuse agreement IC Ref: NIC-164132-C45WP, IG Ref: RU919</w:t>
      </w:r>
      <w:r>
        <w:t xml:space="preserve">.  </w:t>
      </w:r>
      <w:proofErr w:type="gramStart"/>
      <w:r w:rsidRPr="00094D6B">
        <w:t xml:space="preserve">Copyright © 2013, </w:t>
      </w:r>
      <w:r>
        <w:t>r</w:t>
      </w:r>
      <w:r w:rsidRPr="00094D6B">
        <w:t>e-used with the permission of The Health and Social Care Information Centre.</w:t>
      </w:r>
      <w:proofErr w:type="gramEnd"/>
      <w:r w:rsidRPr="00094D6B">
        <w:t xml:space="preserve"> All rights reserved.</w:t>
      </w:r>
    </w:p>
    <w:p w14:paraId="5D9372C4" w14:textId="77777777" w:rsidR="00D93066" w:rsidRDefault="00D93066" w:rsidP="00FF267E">
      <w:pPr>
        <w:spacing w:line="480" w:lineRule="auto"/>
      </w:pPr>
      <w:r w:rsidRPr="00D93066">
        <w:t>ONS: Adapted from data from the Office for National Statistics licensed under the Open Government Licence v.1.0.</w:t>
      </w:r>
    </w:p>
    <w:p w14:paraId="7CA6A656" w14:textId="77777777" w:rsidR="00A16AA3" w:rsidRDefault="00FF32FC" w:rsidP="00FF267E">
      <w:pPr>
        <w:spacing w:line="480" w:lineRule="auto"/>
        <w:rPr>
          <w:b/>
        </w:rPr>
      </w:pPr>
      <w:r w:rsidRPr="00FF267E">
        <w:rPr>
          <w:b/>
        </w:rPr>
        <w:t>What i</w:t>
      </w:r>
      <w:r w:rsidR="00FF267E" w:rsidRPr="00FF267E">
        <w:rPr>
          <w:b/>
        </w:rPr>
        <w:t xml:space="preserve">s already known on this </w:t>
      </w:r>
      <w:proofErr w:type="gramStart"/>
      <w:r w:rsidR="00FF267E" w:rsidRPr="00FF267E">
        <w:rPr>
          <w:b/>
        </w:rPr>
        <w:t>topic</w:t>
      </w:r>
      <w:proofErr w:type="gramEnd"/>
    </w:p>
    <w:p w14:paraId="204828FB" w14:textId="77777777" w:rsidR="00A16AA3" w:rsidRDefault="00E15399" w:rsidP="00A16AA3">
      <w:pPr>
        <w:pStyle w:val="ListParagraph"/>
        <w:numPr>
          <w:ilvl w:val="0"/>
          <w:numId w:val="2"/>
        </w:numPr>
        <w:spacing w:line="480" w:lineRule="auto"/>
      </w:pPr>
      <w:r>
        <w:t xml:space="preserve">Rates of attendances to Emergency Departments </w:t>
      </w:r>
      <w:r w:rsidR="007D597F">
        <w:t>with minor medical problems</w:t>
      </w:r>
      <w:r>
        <w:t xml:space="preserve"> have been steadily rising.</w:t>
      </w:r>
    </w:p>
    <w:p w14:paraId="0B58E2DA" w14:textId="77777777" w:rsidR="00A16AA3" w:rsidRDefault="000F1234" w:rsidP="00A16AA3">
      <w:pPr>
        <w:pStyle w:val="ListParagraph"/>
        <w:numPr>
          <w:ilvl w:val="0"/>
          <w:numId w:val="2"/>
        </w:numPr>
        <w:spacing w:line="480" w:lineRule="auto"/>
      </w:pPr>
      <w:r>
        <w:t>Head injury is the commonest presentation of moderate and major paediatric trauma</w:t>
      </w:r>
    </w:p>
    <w:p w14:paraId="6C038B7A" w14:textId="77777777" w:rsidR="00A16AA3" w:rsidRDefault="00FF32FC" w:rsidP="00FF267E">
      <w:pPr>
        <w:spacing w:line="480" w:lineRule="auto"/>
        <w:rPr>
          <w:b/>
        </w:rPr>
      </w:pPr>
      <w:r w:rsidRPr="00FF267E">
        <w:rPr>
          <w:b/>
        </w:rPr>
        <w:t>What this study</w:t>
      </w:r>
      <w:r w:rsidR="00FF267E" w:rsidRPr="00FF267E">
        <w:rPr>
          <w:b/>
        </w:rPr>
        <w:t xml:space="preserve"> adds</w:t>
      </w:r>
    </w:p>
    <w:p w14:paraId="5F0AAFB2" w14:textId="77777777" w:rsidR="00A16AA3" w:rsidRDefault="000F1234" w:rsidP="00A16AA3">
      <w:pPr>
        <w:pStyle w:val="ListParagraph"/>
        <w:numPr>
          <w:ilvl w:val="0"/>
          <w:numId w:val="3"/>
        </w:numPr>
        <w:spacing w:line="480" w:lineRule="auto"/>
      </w:pPr>
      <w:r>
        <w:t>Between 2000 and 2011, t</w:t>
      </w:r>
      <w:r w:rsidR="00FF267E" w:rsidRPr="00FF267E">
        <w:t xml:space="preserve">he number of children admitted with head injuries </w:t>
      </w:r>
      <w:r w:rsidR="00FF267E">
        <w:t>rose significantly and m</w:t>
      </w:r>
      <w:r w:rsidR="00FF267E" w:rsidRPr="00FF267E">
        <w:t>ortality</w:t>
      </w:r>
      <w:r>
        <w:t xml:space="preserve"> halved</w:t>
      </w:r>
      <w:r w:rsidR="007D597F">
        <w:t>.</w:t>
      </w:r>
    </w:p>
    <w:p w14:paraId="38031A8E" w14:textId="77777777" w:rsidR="00A16AA3" w:rsidRDefault="007D597F" w:rsidP="00A16AA3">
      <w:pPr>
        <w:pStyle w:val="ListParagraph"/>
        <w:numPr>
          <w:ilvl w:val="0"/>
          <w:numId w:val="3"/>
        </w:numPr>
        <w:spacing w:line="480" w:lineRule="auto"/>
      </w:pPr>
      <w:r>
        <w:t xml:space="preserve">These changes </w:t>
      </w:r>
      <w:r w:rsidR="007D6FE2">
        <w:t>can</w:t>
      </w:r>
      <w:r>
        <w:t xml:space="preserve"> be correlated with the introduction of NICE 2007 </w:t>
      </w:r>
      <w:r w:rsidR="007D6FE2">
        <w:t>guidance although may represent longitudinal shift due to other factors.</w:t>
      </w:r>
    </w:p>
    <w:p w14:paraId="6A1E79B9" w14:textId="77777777" w:rsidR="00A16AA3" w:rsidRPr="000F1234" w:rsidRDefault="007D597F" w:rsidP="00A16AA3">
      <w:pPr>
        <w:pStyle w:val="ListParagraph"/>
        <w:numPr>
          <w:ilvl w:val="0"/>
          <w:numId w:val="3"/>
        </w:numPr>
        <w:spacing w:line="480" w:lineRule="auto"/>
      </w:pPr>
      <w:r>
        <w:t>Falls were</w:t>
      </w:r>
      <w:r w:rsidR="00FF267E">
        <w:t xml:space="preserve"> the predominant cause of admission but road traffic ac</w:t>
      </w:r>
      <w:r w:rsidR="00A16AA3">
        <w:t>cidents the main cause of death</w:t>
      </w:r>
    </w:p>
    <w:p w14:paraId="2E309AA1" w14:textId="77777777" w:rsidR="00D00EEA" w:rsidRDefault="00D00EEA" w:rsidP="00FF267E">
      <w:pPr>
        <w:spacing w:line="480" w:lineRule="auto"/>
        <w:rPr>
          <w:b/>
        </w:rPr>
      </w:pPr>
      <w:r>
        <w:rPr>
          <w:b/>
        </w:rPr>
        <w:t>COMPETING INTERESTS</w:t>
      </w:r>
      <w:r>
        <w:rPr>
          <w:b/>
        </w:rPr>
        <w:br/>
      </w:r>
      <w:r w:rsidRPr="002A70CC">
        <w:t>none</w:t>
      </w:r>
    </w:p>
    <w:p w14:paraId="19A8E5F6" w14:textId="77777777" w:rsidR="00D00EEA" w:rsidRPr="00A51E94" w:rsidRDefault="00D00EEA" w:rsidP="00FF267E">
      <w:pPr>
        <w:spacing w:line="480" w:lineRule="auto"/>
        <w:rPr>
          <w:sz w:val="18"/>
          <w:szCs w:val="16"/>
        </w:rPr>
      </w:pPr>
      <w:r w:rsidRPr="00E1079C">
        <w:rPr>
          <w:b/>
        </w:rPr>
        <w:t>AUTHOR CONTRIBUTIONS</w:t>
      </w:r>
      <w:r>
        <w:br/>
        <w:t>RM conceived the study, obtained the data, undertook the analyses and wrote the first draft of the manuscript. All authors critically revi</w:t>
      </w:r>
      <w:r w:rsidR="00042BD9">
        <w:t>ewed and edited the manuscript.</w:t>
      </w:r>
    </w:p>
    <w:p w14:paraId="7F8ACF2D" w14:textId="77777777" w:rsidR="00D00EEA" w:rsidRDefault="00D00EEA" w:rsidP="00FF267E">
      <w:pPr>
        <w:spacing w:line="480" w:lineRule="auto"/>
      </w:pPr>
      <w:r w:rsidRPr="00D00EEA">
        <w:rPr>
          <w:b/>
        </w:rPr>
        <w:lastRenderedPageBreak/>
        <w:t xml:space="preserve">FUNDING </w:t>
      </w:r>
      <w:r>
        <w:rPr>
          <w:b/>
        </w:rPr>
        <w:br/>
      </w:r>
      <w:r w:rsidRPr="00D00EEA">
        <w:t>Dr Marlow</w:t>
      </w:r>
      <w:r>
        <w:t xml:space="preserve"> is funded by a University Hospitals</w:t>
      </w:r>
      <w:r w:rsidRPr="00D00EEA">
        <w:t xml:space="preserve"> Bristol </w:t>
      </w:r>
      <w:r>
        <w:t xml:space="preserve">NHS Foundation Trust </w:t>
      </w:r>
      <w:r w:rsidRPr="00D00EEA">
        <w:t>Clinical PhD studentship</w:t>
      </w:r>
    </w:p>
    <w:p w14:paraId="0B3AF620" w14:textId="77777777" w:rsidR="00536481" w:rsidRPr="00D00EEA" w:rsidRDefault="00D00EEA" w:rsidP="00062252">
      <w:pPr>
        <w:spacing w:line="360" w:lineRule="auto"/>
        <w:rPr>
          <w:b/>
        </w:rPr>
      </w:pPr>
      <w:r w:rsidRPr="00D00EEA">
        <w:rPr>
          <w:b/>
        </w:rPr>
        <w:t>REFERENCES</w:t>
      </w:r>
    </w:p>
    <w:p w14:paraId="7000D801" w14:textId="77777777" w:rsidR="00487EFF" w:rsidRPr="00487EFF" w:rsidRDefault="008C7996" w:rsidP="00487EFF">
      <w:pPr>
        <w:pStyle w:val="Bibliography"/>
        <w:rPr>
          <w:rFonts w:ascii="Calibri" w:hAnsi="Calibri"/>
          <w:sz w:val="20"/>
        </w:rPr>
      </w:pPr>
      <w:r>
        <w:rPr>
          <w:sz w:val="20"/>
        </w:rPr>
        <w:fldChar w:fldCharType="begin"/>
      </w:r>
      <w:r w:rsidR="00487EFF">
        <w:rPr>
          <w:sz w:val="20"/>
        </w:rPr>
        <w:instrText xml:space="preserve"> ADDIN ZOTERO_BIBL {"custom":[]} CSL_BIBLIOGRAPHY </w:instrText>
      </w:r>
      <w:r>
        <w:rPr>
          <w:sz w:val="20"/>
        </w:rPr>
        <w:fldChar w:fldCharType="separate"/>
      </w:r>
      <w:r w:rsidR="00487EFF" w:rsidRPr="00487EFF">
        <w:rPr>
          <w:rFonts w:ascii="Calibri" w:hAnsi="Calibri"/>
          <w:sz w:val="20"/>
        </w:rPr>
        <w:t xml:space="preserve">1 </w:t>
      </w:r>
      <w:r w:rsidR="00487EFF" w:rsidRPr="00487EFF">
        <w:rPr>
          <w:rFonts w:ascii="Calibri" w:hAnsi="Calibri"/>
          <w:sz w:val="20"/>
        </w:rPr>
        <w:tab/>
      </w:r>
      <w:proofErr w:type="spellStart"/>
      <w:r w:rsidR="00487EFF" w:rsidRPr="00487EFF">
        <w:rPr>
          <w:rFonts w:ascii="Calibri" w:hAnsi="Calibri"/>
          <w:sz w:val="20"/>
        </w:rPr>
        <w:t>Saxena</w:t>
      </w:r>
      <w:proofErr w:type="spellEnd"/>
      <w:r w:rsidR="00487EFF" w:rsidRPr="00487EFF">
        <w:rPr>
          <w:rFonts w:ascii="Calibri" w:hAnsi="Calibri"/>
          <w:sz w:val="20"/>
        </w:rPr>
        <w:t xml:space="preserve"> S, Bottle A, Gilbert R, </w:t>
      </w:r>
      <w:r w:rsidR="00487EFF" w:rsidRPr="00487EFF">
        <w:rPr>
          <w:rFonts w:ascii="Calibri" w:hAnsi="Calibri"/>
          <w:i/>
          <w:iCs/>
          <w:sz w:val="20"/>
        </w:rPr>
        <w:t>et al.</w:t>
      </w:r>
      <w:r w:rsidR="00487EFF" w:rsidRPr="00487EFF">
        <w:rPr>
          <w:rFonts w:ascii="Calibri" w:hAnsi="Calibri"/>
          <w:sz w:val="20"/>
        </w:rPr>
        <w:t xml:space="preserve"> Increasing Short-Stay Unplanned Hospital Admissions among Children in England; Time Trends Analysis ’97–‘06. </w:t>
      </w:r>
      <w:proofErr w:type="spellStart"/>
      <w:r w:rsidR="00487EFF" w:rsidRPr="00487EFF">
        <w:rPr>
          <w:rFonts w:ascii="Calibri" w:hAnsi="Calibri"/>
          <w:i/>
          <w:iCs/>
          <w:sz w:val="20"/>
        </w:rPr>
        <w:t>PLoS</w:t>
      </w:r>
      <w:proofErr w:type="spellEnd"/>
      <w:r w:rsidR="00487EFF" w:rsidRPr="00487EFF">
        <w:rPr>
          <w:rFonts w:ascii="Calibri" w:hAnsi="Calibri"/>
          <w:i/>
          <w:iCs/>
          <w:sz w:val="20"/>
        </w:rPr>
        <w:t xml:space="preserve"> ONE</w:t>
      </w:r>
      <w:r w:rsidR="00487EFF" w:rsidRPr="00487EFF">
        <w:rPr>
          <w:rFonts w:ascii="Calibri" w:hAnsi="Calibri"/>
          <w:sz w:val="20"/>
        </w:rPr>
        <w:t xml:space="preserve"> 2009</w:t>
      </w:r>
      <w:proofErr w:type="gramStart"/>
      <w:r w:rsidR="00487EFF" w:rsidRPr="00487EFF">
        <w:rPr>
          <w:rFonts w:ascii="Calibri" w:hAnsi="Calibri"/>
          <w:sz w:val="20"/>
        </w:rPr>
        <w:t>;</w:t>
      </w:r>
      <w:r w:rsidR="00487EFF" w:rsidRPr="00487EFF">
        <w:rPr>
          <w:rFonts w:ascii="Calibri" w:hAnsi="Calibri"/>
          <w:b/>
          <w:bCs/>
          <w:sz w:val="20"/>
        </w:rPr>
        <w:t>4</w:t>
      </w:r>
      <w:r w:rsidR="00487EFF" w:rsidRPr="00487EFF">
        <w:rPr>
          <w:rFonts w:ascii="Calibri" w:hAnsi="Calibri"/>
          <w:sz w:val="20"/>
        </w:rPr>
        <w:t>:e7484</w:t>
      </w:r>
      <w:proofErr w:type="gramEnd"/>
      <w:r w:rsidR="00487EFF" w:rsidRPr="00487EFF">
        <w:rPr>
          <w:rFonts w:ascii="Calibri" w:hAnsi="Calibri"/>
          <w:sz w:val="20"/>
        </w:rPr>
        <w:t>. doi:10.1371/journal.pone.0007484</w:t>
      </w:r>
    </w:p>
    <w:p w14:paraId="6B6B88E9" w14:textId="77777777" w:rsidR="00487EFF" w:rsidRPr="00487EFF" w:rsidRDefault="00487EFF" w:rsidP="00487EFF">
      <w:pPr>
        <w:pStyle w:val="Bibliography"/>
        <w:rPr>
          <w:rFonts w:ascii="Calibri" w:hAnsi="Calibri"/>
          <w:sz w:val="20"/>
        </w:rPr>
      </w:pPr>
      <w:r w:rsidRPr="00487EFF">
        <w:rPr>
          <w:rFonts w:ascii="Calibri" w:hAnsi="Calibri"/>
          <w:sz w:val="20"/>
        </w:rPr>
        <w:t xml:space="preserve">2 </w:t>
      </w:r>
      <w:r w:rsidRPr="00487EFF">
        <w:rPr>
          <w:rFonts w:ascii="Calibri" w:hAnsi="Calibri"/>
          <w:sz w:val="20"/>
        </w:rPr>
        <w:tab/>
        <w:t xml:space="preserve">Gill PJ, </w:t>
      </w:r>
      <w:proofErr w:type="spellStart"/>
      <w:r w:rsidRPr="00487EFF">
        <w:rPr>
          <w:rFonts w:ascii="Calibri" w:hAnsi="Calibri"/>
          <w:sz w:val="20"/>
        </w:rPr>
        <w:t>Goldacre</w:t>
      </w:r>
      <w:proofErr w:type="spellEnd"/>
      <w:r w:rsidRPr="00487EFF">
        <w:rPr>
          <w:rFonts w:ascii="Calibri" w:hAnsi="Calibri"/>
          <w:sz w:val="20"/>
        </w:rPr>
        <w:t xml:space="preserve"> MJ, </w:t>
      </w:r>
      <w:proofErr w:type="spellStart"/>
      <w:r w:rsidRPr="00487EFF">
        <w:rPr>
          <w:rFonts w:ascii="Calibri" w:hAnsi="Calibri"/>
          <w:sz w:val="20"/>
        </w:rPr>
        <w:t>Mant</w:t>
      </w:r>
      <w:proofErr w:type="spellEnd"/>
      <w:r w:rsidRPr="00487EFF">
        <w:rPr>
          <w:rFonts w:ascii="Calibri" w:hAnsi="Calibri"/>
          <w:sz w:val="20"/>
        </w:rPr>
        <w:t xml:space="preserve"> D, </w:t>
      </w:r>
      <w:r w:rsidRPr="00487EFF">
        <w:rPr>
          <w:rFonts w:ascii="Calibri" w:hAnsi="Calibri"/>
          <w:i/>
          <w:iCs/>
          <w:sz w:val="20"/>
        </w:rPr>
        <w:t>et al.</w:t>
      </w:r>
      <w:r w:rsidRPr="00487EFF">
        <w:rPr>
          <w:rFonts w:ascii="Calibri" w:hAnsi="Calibri"/>
          <w:sz w:val="20"/>
        </w:rPr>
        <w:t xml:space="preserve"> Increase in emergency admissions to hospital for children aged </w:t>
      </w:r>
      <w:proofErr w:type="gramStart"/>
      <w:r w:rsidRPr="00487EFF">
        <w:rPr>
          <w:rFonts w:ascii="Calibri" w:hAnsi="Calibri"/>
          <w:sz w:val="20"/>
        </w:rPr>
        <w:t>under</w:t>
      </w:r>
      <w:proofErr w:type="gramEnd"/>
      <w:r w:rsidRPr="00487EFF">
        <w:rPr>
          <w:rFonts w:ascii="Calibri" w:hAnsi="Calibri"/>
          <w:sz w:val="20"/>
        </w:rPr>
        <w:t xml:space="preserve"> 15 in England, 1999–2010: national database analysis. </w:t>
      </w:r>
      <w:r w:rsidRPr="00487EFF">
        <w:rPr>
          <w:rFonts w:ascii="Calibri" w:hAnsi="Calibri"/>
          <w:i/>
          <w:iCs/>
          <w:sz w:val="20"/>
        </w:rPr>
        <w:t>Arch Dis Child</w:t>
      </w:r>
      <w:r w:rsidRPr="00487EFF">
        <w:rPr>
          <w:rFonts w:ascii="Calibri" w:hAnsi="Calibri"/>
          <w:sz w:val="20"/>
        </w:rPr>
        <w:t xml:space="preserve"> 2013</w:t>
      </w:r>
      <w:proofErr w:type="gramStart"/>
      <w:r w:rsidRPr="00487EFF">
        <w:rPr>
          <w:rFonts w:ascii="Calibri" w:hAnsi="Calibri"/>
          <w:sz w:val="20"/>
        </w:rPr>
        <w:t>;</w:t>
      </w:r>
      <w:r w:rsidRPr="00487EFF">
        <w:rPr>
          <w:rFonts w:ascii="Calibri" w:hAnsi="Calibri"/>
          <w:b/>
          <w:bCs/>
          <w:sz w:val="20"/>
        </w:rPr>
        <w:t>98</w:t>
      </w:r>
      <w:r w:rsidRPr="00487EFF">
        <w:rPr>
          <w:rFonts w:ascii="Calibri" w:hAnsi="Calibri"/>
          <w:sz w:val="20"/>
        </w:rPr>
        <w:t>:328</w:t>
      </w:r>
      <w:proofErr w:type="gramEnd"/>
      <w:r w:rsidRPr="00487EFF">
        <w:rPr>
          <w:rFonts w:ascii="Calibri" w:hAnsi="Calibri"/>
          <w:sz w:val="20"/>
        </w:rPr>
        <w:t xml:space="preserve">–34. </w:t>
      </w:r>
      <w:proofErr w:type="gramStart"/>
      <w:r w:rsidRPr="00487EFF">
        <w:rPr>
          <w:rFonts w:ascii="Calibri" w:hAnsi="Calibri"/>
          <w:sz w:val="20"/>
        </w:rPr>
        <w:t>doi:</w:t>
      </w:r>
      <w:proofErr w:type="gramEnd"/>
      <w:r w:rsidRPr="00487EFF">
        <w:rPr>
          <w:rFonts w:ascii="Calibri" w:hAnsi="Calibri"/>
          <w:sz w:val="20"/>
        </w:rPr>
        <w:t>10.1136/archdischild-2012-302383</w:t>
      </w:r>
    </w:p>
    <w:p w14:paraId="177037E0" w14:textId="77777777" w:rsidR="00487EFF" w:rsidRPr="00487EFF" w:rsidRDefault="00487EFF" w:rsidP="00487EFF">
      <w:pPr>
        <w:pStyle w:val="Bibliography"/>
        <w:rPr>
          <w:rFonts w:ascii="Calibri" w:hAnsi="Calibri"/>
          <w:sz w:val="20"/>
        </w:rPr>
      </w:pPr>
      <w:r w:rsidRPr="00487EFF">
        <w:rPr>
          <w:rFonts w:ascii="Calibri" w:hAnsi="Calibri"/>
          <w:sz w:val="20"/>
        </w:rPr>
        <w:t xml:space="preserve">3 </w:t>
      </w:r>
      <w:r w:rsidRPr="00487EFF">
        <w:rPr>
          <w:rFonts w:ascii="Calibri" w:hAnsi="Calibri"/>
          <w:sz w:val="20"/>
        </w:rPr>
        <w:tab/>
      </w:r>
      <w:proofErr w:type="spellStart"/>
      <w:r w:rsidRPr="00487EFF">
        <w:rPr>
          <w:rFonts w:ascii="Calibri" w:hAnsi="Calibri"/>
          <w:sz w:val="20"/>
        </w:rPr>
        <w:t>Bayreuther</w:t>
      </w:r>
      <w:proofErr w:type="spellEnd"/>
      <w:r w:rsidRPr="00487EFF">
        <w:rPr>
          <w:rFonts w:ascii="Calibri" w:hAnsi="Calibri"/>
          <w:sz w:val="20"/>
        </w:rPr>
        <w:t xml:space="preserve"> J, Wagener S, Woodford M, </w:t>
      </w:r>
      <w:r w:rsidRPr="00487EFF">
        <w:rPr>
          <w:rFonts w:ascii="Calibri" w:hAnsi="Calibri"/>
          <w:i/>
          <w:iCs/>
          <w:sz w:val="20"/>
        </w:rPr>
        <w:t>et al.</w:t>
      </w:r>
      <w:r w:rsidRPr="00487EFF">
        <w:rPr>
          <w:rFonts w:ascii="Calibri" w:hAnsi="Calibri"/>
          <w:sz w:val="20"/>
        </w:rPr>
        <w:t xml:space="preserve"> Paediatric trauma: injury pattern and mortality in the UK. </w:t>
      </w:r>
      <w:r w:rsidRPr="00487EFF">
        <w:rPr>
          <w:rFonts w:ascii="Calibri" w:hAnsi="Calibri"/>
          <w:i/>
          <w:iCs/>
          <w:sz w:val="20"/>
        </w:rPr>
        <w:t xml:space="preserve">Arch Dis Child - </w:t>
      </w:r>
      <w:proofErr w:type="spellStart"/>
      <w:r w:rsidRPr="00487EFF">
        <w:rPr>
          <w:rFonts w:ascii="Calibri" w:hAnsi="Calibri"/>
          <w:i/>
          <w:iCs/>
          <w:sz w:val="20"/>
        </w:rPr>
        <w:t>Educ</w:t>
      </w:r>
      <w:proofErr w:type="spellEnd"/>
      <w:r w:rsidRPr="00487EFF">
        <w:rPr>
          <w:rFonts w:ascii="Calibri" w:hAnsi="Calibri"/>
          <w:i/>
          <w:iCs/>
          <w:sz w:val="20"/>
        </w:rPr>
        <w:t xml:space="preserve"> </w:t>
      </w:r>
      <w:proofErr w:type="spellStart"/>
      <w:r w:rsidRPr="00487EFF">
        <w:rPr>
          <w:rFonts w:ascii="Calibri" w:hAnsi="Calibri"/>
          <w:i/>
          <w:iCs/>
          <w:sz w:val="20"/>
        </w:rPr>
        <w:t>Pract</w:t>
      </w:r>
      <w:proofErr w:type="spellEnd"/>
      <w:r w:rsidRPr="00487EFF">
        <w:rPr>
          <w:rFonts w:ascii="Calibri" w:hAnsi="Calibri"/>
          <w:i/>
          <w:iCs/>
          <w:sz w:val="20"/>
        </w:rPr>
        <w:t xml:space="preserve"> Ed</w:t>
      </w:r>
      <w:r w:rsidRPr="00487EFF">
        <w:rPr>
          <w:rFonts w:ascii="Calibri" w:hAnsi="Calibri"/>
          <w:sz w:val="20"/>
        </w:rPr>
        <w:t xml:space="preserve"> 2009</w:t>
      </w:r>
      <w:proofErr w:type="gramStart"/>
      <w:r w:rsidRPr="00487EFF">
        <w:rPr>
          <w:rFonts w:ascii="Calibri" w:hAnsi="Calibri"/>
          <w:sz w:val="20"/>
        </w:rPr>
        <w:t>;</w:t>
      </w:r>
      <w:r w:rsidRPr="00487EFF">
        <w:rPr>
          <w:rFonts w:ascii="Calibri" w:hAnsi="Calibri"/>
          <w:b/>
          <w:bCs/>
          <w:sz w:val="20"/>
        </w:rPr>
        <w:t>94</w:t>
      </w:r>
      <w:r w:rsidRPr="00487EFF">
        <w:rPr>
          <w:rFonts w:ascii="Calibri" w:hAnsi="Calibri"/>
          <w:sz w:val="20"/>
        </w:rPr>
        <w:t>:37</w:t>
      </w:r>
      <w:proofErr w:type="gramEnd"/>
      <w:r w:rsidRPr="00487EFF">
        <w:rPr>
          <w:rFonts w:ascii="Calibri" w:hAnsi="Calibri"/>
          <w:sz w:val="20"/>
        </w:rPr>
        <w:t>–41. doi:10.1136/adc.2007.132787</w:t>
      </w:r>
    </w:p>
    <w:p w14:paraId="471C4F23" w14:textId="77777777" w:rsidR="00487EFF" w:rsidRPr="00487EFF" w:rsidRDefault="00487EFF" w:rsidP="00487EFF">
      <w:pPr>
        <w:pStyle w:val="Bibliography"/>
        <w:rPr>
          <w:rFonts w:ascii="Calibri" w:hAnsi="Calibri"/>
          <w:sz w:val="20"/>
        </w:rPr>
      </w:pPr>
      <w:r w:rsidRPr="00487EFF">
        <w:rPr>
          <w:rFonts w:ascii="Calibri" w:hAnsi="Calibri"/>
          <w:sz w:val="20"/>
        </w:rPr>
        <w:t xml:space="preserve">4 </w:t>
      </w:r>
      <w:r w:rsidRPr="00487EFF">
        <w:rPr>
          <w:rFonts w:ascii="Calibri" w:hAnsi="Calibri"/>
          <w:sz w:val="20"/>
        </w:rPr>
        <w:tab/>
        <w:t xml:space="preserve">Dunning J, Daly JP, Lomas J-P, </w:t>
      </w:r>
      <w:r w:rsidRPr="00487EFF">
        <w:rPr>
          <w:rFonts w:ascii="Calibri" w:hAnsi="Calibri"/>
          <w:i/>
          <w:iCs/>
          <w:sz w:val="20"/>
        </w:rPr>
        <w:t>et al.</w:t>
      </w:r>
      <w:r w:rsidRPr="00487EFF">
        <w:rPr>
          <w:rFonts w:ascii="Calibri" w:hAnsi="Calibri"/>
          <w:sz w:val="20"/>
        </w:rPr>
        <w:t xml:space="preserve"> Derivation of the children’s head injury algorithm for the prediction of important clinical events decision rule for head injury in children. </w:t>
      </w:r>
      <w:r w:rsidRPr="00487EFF">
        <w:rPr>
          <w:rFonts w:ascii="Calibri" w:hAnsi="Calibri"/>
          <w:i/>
          <w:iCs/>
          <w:sz w:val="20"/>
        </w:rPr>
        <w:t>Arch Dis Child</w:t>
      </w:r>
      <w:r w:rsidRPr="00487EFF">
        <w:rPr>
          <w:rFonts w:ascii="Calibri" w:hAnsi="Calibri"/>
          <w:sz w:val="20"/>
        </w:rPr>
        <w:t xml:space="preserve"> 2006</w:t>
      </w:r>
      <w:proofErr w:type="gramStart"/>
      <w:r w:rsidRPr="00487EFF">
        <w:rPr>
          <w:rFonts w:ascii="Calibri" w:hAnsi="Calibri"/>
          <w:sz w:val="20"/>
        </w:rPr>
        <w:t>;</w:t>
      </w:r>
      <w:r w:rsidRPr="00487EFF">
        <w:rPr>
          <w:rFonts w:ascii="Calibri" w:hAnsi="Calibri"/>
          <w:b/>
          <w:bCs/>
          <w:sz w:val="20"/>
        </w:rPr>
        <w:t>91</w:t>
      </w:r>
      <w:r w:rsidRPr="00487EFF">
        <w:rPr>
          <w:rFonts w:ascii="Calibri" w:hAnsi="Calibri"/>
          <w:sz w:val="20"/>
        </w:rPr>
        <w:t>:885</w:t>
      </w:r>
      <w:proofErr w:type="gramEnd"/>
      <w:r w:rsidRPr="00487EFF">
        <w:rPr>
          <w:rFonts w:ascii="Calibri" w:hAnsi="Calibri"/>
          <w:sz w:val="20"/>
        </w:rPr>
        <w:t>–91. doi:10.1136/adc.2005.083980</w:t>
      </w:r>
    </w:p>
    <w:p w14:paraId="2414C57D" w14:textId="77777777" w:rsidR="00487EFF" w:rsidRPr="00487EFF" w:rsidRDefault="00487EFF" w:rsidP="00487EFF">
      <w:pPr>
        <w:pStyle w:val="Bibliography"/>
        <w:rPr>
          <w:rFonts w:ascii="Calibri" w:hAnsi="Calibri"/>
          <w:sz w:val="20"/>
        </w:rPr>
      </w:pPr>
      <w:r w:rsidRPr="00487EFF">
        <w:rPr>
          <w:rFonts w:ascii="Calibri" w:hAnsi="Calibri"/>
          <w:sz w:val="20"/>
        </w:rPr>
        <w:t xml:space="preserve">5 </w:t>
      </w:r>
      <w:r w:rsidRPr="00487EFF">
        <w:rPr>
          <w:rFonts w:ascii="Calibri" w:hAnsi="Calibri"/>
          <w:sz w:val="20"/>
        </w:rPr>
        <w:tab/>
        <w:t xml:space="preserve">Wolfe I, Macfarlane A, Donkin A, </w:t>
      </w:r>
      <w:r w:rsidRPr="00487EFF">
        <w:rPr>
          <w:rFonts w:ascii="Calibri" w:hAnsi="Calibri"/>
          <w:i/>
          <w:iCs/>
          <w:sz w:val="20"/>
        </w:rPr>
        <w:t>et al.</w:t>
      </w:r>
      <w:r w:rsidRPr="00487EFF">
        <w:rPr>
          <w:rFonts w:ascii="Calibri" w:hAnsi="Calibri"/>
          <w:sz w:val="20"/>
        </w:rPr>
        <w:t xml:space="preserve"> Why children die: death in infants, children and young people in the UK Part A. Published Online First: 2014.http://www.ncb.org.uk/media/1130496/rcpch_ncb_may_2014_-_why_children_die__part_a.pdf (accessed 27 Nov2014).</w:t>
      </w:r>
    </w:p>
    <w:p w14:paraId="4BE902BC" w14:textId="77777777" w:rsidR="00487EFF" w:rsidRPr="00487EFF" w:rsidRDefault="00487EFF" w:rsidP="00487EFF">
      <w:pPr>
        <w:pStyle w:val="Bibliography"/>
        <w:rPr>
          <w:rFonts w:ascii="Calibri" w:hAnsi="Calibri"/>
          <w:sz w:val="20"/>
        </w:rPr>
      </w:pPr>
      <w:r w:rsidRPr="00487EFF">
        <w:rPr>
          <w:rFonts w:ascii="Calibri" w:hAnsi="Calibri"/>
          <w:sz w:val="20"/>
        </w:rPr>
        <w:t xml:space="preserve">6 </w:t>
      </w:r>
      <w:r w:rsidRPr="00487EFF">
        <w:rPr>
          <w:rFonts w:ascii="Calibri" w:hAnsi="Calibri"/>
          <w:sz w:val="20"/>
        </w:rPr>
        <w:tab/>
        <w:t xml:space="preserve">Kuppermann N, Holmes JF, Dayan PS, </w:t>
      </w:r>
      <w:r w:rsidRPr="00487EFF">
        <w:rPr>
          <w:rFonts w:ascii="Calibri" w:hAnsi="Calibri"/>
          <w:i/>
          <w:iCs/>
          <w:sz w:val="20"/>
        </w:rPr>
        <w:t>et al.</w:t>
      </w:r>
      <w:r w:rsidRPr="00487EFF">
        <w:rPr>
          <w:rFonts w:ascii="Calibri" w:hAnsi="Calibri"/>
          <w:sz w:val="20"/>
        </w:rPr>
        <w:t xml:space="preserve"> Identification of children at very low risk of clinically-important brain injuries after head trauma: a prospective cohort study. </w:t>
      </w:r>
      <w:r w:rsidRPr="00487EFF">
        <w:rPr>
          <w:rFonts w:ascii="Calibri" w:hAnsi="Calibri"/>
          <w:i/>
          <w:iCs/>
          <w:sz w:val="20"/>
        </w:rPr>
        <w:t>The Lancet</w:t>
      </w:r>
      <w:r w:rsidRPr="00487EFF">
        <w:rPr>
          <w:rFonts w:ascii="Calibri" w:hAnsi="Calibri"/>
          <w:sz w:val="20"/>
        </w:rPr>
        <w:t xml:space="preserve"> 2009</w:t>
      </w:r>
      <w:proofErr w:type="gramStart"/>
      <w:r w:rsidRPr="00487EFF">
        <w:rPr>
          <w:rFonts w:ascii="Calibri" w:hAnsi="Calibri"/>
          <w:sz w:val="20"/>
        </w:rPr>
        <w:t>;</w:t>
      </w:r>
      <w:r w:rsidRPr="00487EFF">
        <w:rPr>
          <w:rFonts w:ascii="Calibri" w:hAnsi="Calibri"/>
          <w:b/>
          <w:bCs/>
          <w:sz w:val="20"/>
        </w:rPr>
        <w:t>374</w:t>
      </w:r>
      <w:r w:rsidRPr="00487EFF">
        <w:rPr>
          <w:rFonts w:ascii="Calibri" w:hAnsi="Calibri"/>
          <w:sz w:val="20"/>
        </w:rPr>
        <w:t>:1160</w:t>
      </w:r>
      <w:proofErr w:type="gramEnd"/>
      <w:r w:rsidRPr="00487EFF">
        <w:rPr>
          <w:rFonts w:ascii="Calibri" w:hAnsi="Calibri"/>
          <w:sz w:val="20"/>
        </w:rPr>
        <w:t xml:space="preserve">–70. </w:t>
      </w:r>
      <w:proofErr w:type="gramStart"/>
      <w:r w:rsidRPr="00487EFF">
        <w:rPr>
          <w:rFonts w:ascii="Calibri" w:hAnsi="Calibri"/>
          <w:sz w:val="20"/>
        </w:rPr>
        <w:t>doi:</w:t>
      </w:r>
      <w:proofErr w:type="gramEnd"/>
      <w:r w:rsidRPr="00487EFF">
        <w:rPr>
          <w:rFonts w:ascii="Calibri" w:hAnsi="Calibri"/>
          <w:sz w:val="20"/>
        </w:rPr>
        <w:t>10.1016/S0140-6736(09)61558-0</w:t>
      </w:r>
    </w:p>
    <w:p w14:paraId="451AB439" w14:textId="77777777" w:rsidR="00487EFF" w:rsidRPr="00487EFF" w:rsidRDefault="00487EFF" w:rsidP="00487EFF">
      <w:pPr>
        <w:pStyle w:val="Bibliography"/>
        <w:rPr>
          <w:rFonts w:ascii="Calibri" w:hAnsi="Calibri"/>
          <w:sz w:val="20"/>
        </w:rPr>
      </w:pPr>
      <w:r w:rsidRPr="00487EFF">
        <w:rPr>
          <w:rFonts w:ascii="Calibri" w:hAnsi="Calibri"/>
          <w:sz w:val="20"/>
        </w:rPr>
        <w:t xml:space="preserve">7 </w:t>
      </w:r>
      <w:r w:rsidRPr="00487EFF">
        <w:rPr>
          <w:rFonts w:ascii="Calibri" w:hAnsi="Calibri"/>
          <w:sz w:val="20"/>
        </w:rPr>
        <w:tab/>
        <w:t xml:space="preserve">Hall P, </w:t>
      </w:r>
      <w:proofErr w:type="spellStart"/>
      <w:r w:rsidRPr="00487EFF">
        <w:rPr>
          <w:rFonts w:ascii="Calibri" w:hAnsi="Calibri"/>
          <w:sz w:val="20"/>
        </w:rPr>
        <w:t>Adami</w:t>
      </w:r>
      <w:proofErr w:type="spellEnd"/>
      <w:r w:rsidRPr="00487EFF">
        <w:rPr>
          <w:rFonts w:ascii="Calibri" w:hAnsi="Calibri"/>
          <w:sz w:val="20"/>
        </w:rPr>
        <w:t xml:space="preserve"> H-O, </w:t>
      </w:r>
      <w:proofErr w:type="spellStart"/>
      <w:proofErr w:type="gramStart"/>
      <w:r w:rsidRPr="00487EFF">
        <w:rPr>
          <w:rFonts w:ascii="Calibri" w:hAnsi="Calibri"/>
          <w:sz w:val="20"/>
        </w:rPr>
        <w:t>Trichopoulos</w:t>
      </w:r>
      <w:proofErr w:type="spellEnd"/>
      <w:proofErr w:type="gramEnd"/>
      <w:r w:rsidRPr="00487EFF">
        <w:rPr>
          <w:rFonts w:ascii="Calibri" w:hAnsi="Calibri"/>
          <w:sz w:val="20"/>
        </w:rPr>
        <w:t xml:space="preserve"> D, </w:t>
      </w:r>
      <w:r w:rsidRPr="00487EFF">
        <w:rPr>
          <w:rFonts w:ascii="Calibri" w:hAnsi="Calibri"/>
          <w:i/>
          <w:iCs/>
          <w:sz w:val="20"/>
        </w:rPr>
        <w:t>et al.</w:t>
      </w:r>
      <w:r w:rsidRPr="00487EFF">
        <w:rPr>
          <w:rFonts w:ascii="Calibri" w:hAnsi="Calibri"/>
          <w:sz w:val="20"/>
        </w:rPr>
        <w:t xml:space="preserve"> Effect of low doses of ionising radiation in infancy on cognitive function in adulthood: Swedish population based cohort study. </w:t>
      </w:r>
      <w:proofErr w:type="spellStart"/>
      <w:r w:rsidRPr="00487EFF">
        <w:rPr>
          <w:rFonts w:ascii="Calibri" w:hAnsi="Calibri"/>
          <w:i/>
          <w:iCs/>
          <w:sz w:val="20"/>
        </w:rPr>
        <w:t>Bmj</w:t>
      </w:r>
      <w:proofErr w:type="spellEnd"/>
      <w:r w:rsidRPr="00487EFF">
        <w:rPr>
          <w:rFonts w:ascii="Calibri" w:hAnsi="Calibri"/>
          <w:sz w:val="20"/>
        </w:rPr>
        <w:t xml:space="preserve"> 2004</w:t>
      </w:r>
      <w:proofErr w:type="gramStart"/>
      <w:r w:rsidRPr="00487EFF">
        <w:rPr>
          <w:rFonts w:ascii="Calibri" w:hAnsi="Calibri"/>
          <w:sz w:val="20"/>
        </w:rPr>
        <w:t>;</w:t>
      </w:r>
      <w:r w:rsidRPr="00487EFF">
        <w:rPr>
          <w:rFonts w:ascii="Calibri" w:hAnsi="Calibri"/>
          <w:b/>
          <w:bCs/>
          <w:sz w:val="20"/>
        </w:rPr>
        <w:t>328</w:t>
      </w:r>
      <w:r w:rsidRPr="00487EFF">
        <w:rPr>
          <w:rFonts w:ascii="Calibri" w:hAnsi="Calibri"/>
          <w:sz w:val="20"/>
        </w:rPr>
        <w:t>:19</w:t>
      </w:r>
      <w:proofErr w:type="gramEnd"/>
      <w:r w:rsidRPr="00487EFF">
        <w:rPr>
          <w:rFonts w:ascii="Calibri" w:hAnsi="Calibri"/>
          <w:sz w:val="20"/>
        </w:rPr>
        <w:t>.</w:t>
      </w:r>
    </w:p>
    <w:p w14:paraId="2C80C4F3" w14:textId="77777777" w:rsidR="00487EFF" w:rsidRPr="00487EFF" w:rsidRDefault="00487EFF" w:rsidP="00487EFF">
      <w:pPr>
        <w:pStyle w:val="Bibliography"/>
        <w:rPr>
          <w:rFonts w:ascii="Calibri" w:hAnsi="Calibri"/>
          <w:sz w:val="20"/>
        </w:rPr>
      </w:pPr>
      <w:r w:rsidRPr="00487EFF">
        <w:rPr>
          <w:rFonts w:ascii="Calibri" w:hAnsi="Calibri"/>
          <w:sz w:val="20"/>
        </w:rPr>
        <w:t xml:space="preserve">8 </w:t>
      </w:r>
      <w:r w:rsidRPr="00487EFF">
        <w:rPr>
          <w:rFonts w:ascii="Calibri" w:hAnsi="Calibri"/>
          <w:sz w:val="20"/>
        </w:rPr>
        <w:tab/>
        <w:t xml:space="preserve">Pearce MS, </w:t>
      </w:r>
      <w:proofErr w:type="spellStart"/>
      <w:r w:rsidRPr="00487EFF">
        <w:rPr>
          <w:rFonts w:ascii="Calibri" w:hAnsi="Calibri"/>
          <w:sz w:val="20"/>
        </w:rPr>
        <w:t>Salotti</w:t>
      </w:r>
      <w:proofErr w:type="spellEnd"/>
      <w:r w:rsidRPr="00487EFF">
        <w:rPr>
          <w:rFonts w:ascii="Calibri" w:hAnsi="Calibri"/>
          <w:sz w:val="20"/>
        </w:rPr>
        <w:t xml:space="preserve"> JA, Little MP, </w:t>
      </w:r>
      <w:r w:rsidRPr="00487EFF">
        <w:rPr>
          <w:rFonts w:ascii="Calibri" w:hAnsi="Calibri"/>
          <w:i/>
          <w:iCs/>
          <w:sz w:val="20"/>
        </w:rPr>
        <w:t>et al.</w:t>
      </w:r>
      <w:r w:rsidRPr="00487EFF">
        <w:rPr>
          <w:rFonts w:ascii="Calibri" w:hAnsi="Calibri"/>
          <w:sz w:val="20"/>
        </w:rPr>
        <w:t xml:space="preserve"> Radiation exposure from CT scans in childhood and subsequent risk of leukaemia and brain tumours: a retrospective cohort study. </w:t>
      </w:r>
      <w:r w:rsidRPr="00487EFF">
        <w:rPr>
          <w:rFonts w:ascii="Calibri" w:hAnsi="Calibri"/>
          <w:i/>
          <w:iCs/>
          <w:sz w:val="20"/>
        </w:rPr>
        <w:t>The Lancet</w:t>
      </w:r>
      <w:r w:rsidRPr="00487EFF">
        <w:rPr>
          <w:rFonts w:ascii="Calibri" w:hAnsi="Calibri"/>
          <w:sz w:val="20"/>
        </w:rPr>
        <w:t xml:space="preserve"> 4</w:t>
      </w:r>
      <w:proofErr w:type="gramStart"/>
      <w:r w:rsidRPr="00487EFF">
        <w:rPr>
          <w:rFonts w:ascii="Calibri" w:hAnsi="Calibri"/>
          <w:sz w:val="20"/>
        </w:rPr>
        <w:t>;</w:t>
      </w:r>
      <w:r w:rsidRPr="00487EFF">
        <w:rPr>
          <w:rFonts w:ascii="Calibri" w:hAnsi="Calibri"/>
          <w:b/>
          <w:bCs/>
          <w:sz w:val="20"/>
        </w:rPr>
        <w:t>380</w:t>
      </w:r>
      <w:r w:rsidRPr="00487EFF">
        <w:rPr>
          <w:rFonts w:ascii="Calibri" w:hAnsi="Calibri"/>
          <w:sz w:val="20"/>
        </w:rPr>
        <w:t>:499</w:t>
      </w:r>
      <w:proofErr w:type="gramEnd"/>
      <w:r w:rsidRPr="00487EFF">
        <w:rPr>
          <w:rFonts w:ascii="Calibri" w:hAnsi="Calibri"/>
          <w:sz w:val="20"/>
        </w:rPr>
        <w:t xml:space="preserve">–505. </w:t>
      </w:r>
      <w:proofErr w:type="gramStart"/>
      <w:r w:rsidRPr="00487EFF">
        <w:rPr>
          <w:rFonts w:ascii="Calibri" w:hAnsi="Calibri"/>
          <w:sz w:val="20"/>
        </w:rPr>
        <w:t>doi:</w:t>
      </w:r>
      <w:proofErr w:type="gramEnd"/>
      <w:r w:rsidRPr="00487EFF">
        <w:rPr>
          <w:rFonts w:ascii="Calibri" w:hAnsi="Calibri"/>
          <w:sz w:val="20"/>
        </w:rPr>
        <w:t>10.1016/S0140-6736(12)60815-0</w:t>
      </w:r>
    </w:p>
    <w:p w14:paraId="63107ABD" w14:textId="77777777" w:rsidR="00487EFF" w:rsidRPr="00487EFF" w:rsidRDefault="00487EFF" w:rsidP="00487EFF">
      <w:pPr>
        <w:pStyle w:val="Bibliography"/>
        <w:rPr>
          <w:rFonts w:ascii="Calibri" w:hAnsi="Calibri"/>
          <w:sz w:val="20"/>
        </w:rPr>
      </w:pPr>
      <w:r w:rsidRPr="00487EFF">
        <w:rPr>
          <w:rFonts w:ascii="Calibri" w:hAnsi="Calibri"/>
          <w:sz w:val="20"/>
        </w:rPr>
        <w:t xml:space="preserve">9 </w:t>
      </w:r>
      <w:r w:rsidRPr="00487EFF">
        <w:rPr>
          <w:rFonts w:ascii="Calibri" w:hAnsi="Calibri"/>
          <w:sz w:val="20"/>
        </w:rPr>
        <w:tab/>
        <w:t xml:space="preserve">Mathews JD, Forsythe AV, Brady Z, </w:t>
      </w:r>
      <w:r w:rsidRPr="00487EFF">
        <w:rPr>
          <w:rFonts w:ascii="Calibri" w:hAnsi="Calibri"/>
          <w:i/>
          <w:iCs/>
          <w:sz w:val="20"/>
        </w:rPr>
        <w:t>et al.</w:t>
      </w:r>
      <w:r w:rsidRPr="00487EFF">
        <w:rPr>
          <w:rFonts w:ascii="Calibri" w:hAnsi="Calibri"/>
          <w:sz w:val="20"/>
        </w:rPr>
        <w:t xml:space="preserve"> Cancer risk in 680 000 people exposed to computed tomography scans in childhood or adolescence: data linkage study of 11 million Australians. </w:t>
      </w:r>
      <w:r w:rsidRPr="00487EFF">
        <w:rPr>
          <w:rFonts w:ascii="Calibri" w:hAnsi="Calibri"/>
          <w:i/>
          <w:iCs/>
          <w:sz w:val="20"/>
        </w:rPr>
        <w:t>BMJ</w:t>
      </w:r>
      <w:r w:rsidRPr="00487EFF">
        <w:rPr>
          <w:rFonts w:ascii="Calibri" w:hAnsi="Calibri"/>
          <w:sz w:val="20"/>
        </w:rPr>
        <w:t xml:space="preserve"> 2013</w:t>
      </w:r>
      <w:proofErr w:type="gramStart"/>
      <w:r w:rsidRPr="00487EFF">
        <w:rPr>
          <w:rFonts w:ascii="Calibri" w:hAnsi="Calibri"/>
          <w:sz w:val="20"/>
        </w:rPr>
        <w:t>;</w:t>
      </w:r>
      <w:r w:rsidRPr="00487EFF">
        <w:rPr>
          <w:rFonts w:ascii="Calibri" w:hAnsi="Calibri"/>
          <w:b/>
          <w:bCs/>
          <w:sz w:val="20"/>
        </w:rPr>
        <w:t>346</w:t>
      </w:r>
      <w:r w:rsidRPr="00487EFF">
        <w:rPr>
          <w:rFonts w:ascii="Calibri" w:hAnsi="Calibri"/>
          <w:sz w:val="20"/>
        </w:rPr>
        <w:t>:f2360</w:t>
      </w:r>
      <w:proofErr w:type="gramEnd"/>
      <w:r w:rsidRPr="00487EFF">
        <w:rPr>
          <w:rFonts w:ascii="Calibri" w:hAnsi="Calibri"/>
          <w:sz w:val="20"/>
        </w:rPr>
        <w:t>–f2360. doi:10.1136/bmj.f2360</w:t>
      </w:r>
    </w:p>
    <w:p w14:paraId="0A41840C" w14:textId="77777777" w:rsidR="00487EFF" w:rsidRPr="00487EFF" w:rsidRDefault="00487EFF" w:rsidP="00487EFF">
      <w:pPr>
        <w:pStyle w:val="Bibliography"/>
        <w:rPr>
          <w:rFonts w:ascii="Calibri" w:hAnsi="Calibri"/>
          <w:sz w:val="20"/>
        </w:rPr>
      </w:pPr>
      <w:r w:rsidRPr="00487EFF">
        <w:rPr>
          <w:rFonts w:ascii="Calibri" w:hAnsi="Calibri"/>
          <w:sz w:val="20"/>
        </w:rPr>
        <w:t xml:space="preserve">10 </w:t>
      </w:r>
      <w:r w:rsidRPr="00487EFF">
        <w:rPr>
          <w:rFonts w:ascii="Calibri" w:hAnsi="Calibri"/>
          <w:sz w:val="20"/>
        </w:rPr>
        <w:tab/>
        <w:t xml:space="preserve">Osmond MH, Klassen TP, </w:t>
      </w:r>
      <w:proofErr w:type="gramStart"/>
      <w:r w:rsidRPr="00487EFF">
        <w:rPr>
          <w:rFonts w:ascii="Calibri" w:hAnsi="Calibri"/>
          <w:sz w:val="20"/>
        </w:rPr>
        <w:t>Wells</w:t>
      </w:r>
      <w:proofErr w:type="gramEnd"/>
      <w:r w:rsidRPr="00487EFF">
        <w:rPr>
          <w:rFonts w:ascii="Calibri" w:hAnsi="Calibri"/>
          <w:sz w:val="20"/>
        </w:rPr>
        <w:t xml:space="preserve"> GA, </w:t>
      </w:r>
      <w:r w:rsidRPr="00487EFF">
        <w:rPr>
          <w:rFonts w:ascii="Calibri" w:hAnsi="Calibri"/>
          <w:i/>
          <w:iCs/>
          <w:sz w:val="20"/>
        </w:rPr>
        <w:t>et al.</w:t>
      </w:r>
      <w:r w:rsidRPr="00487EFF">
        <w:rPr>
          <w:rFonts w:ascii="Calibri" w:hAnsi="Calibri"/>
          <w:sz w:val="20"/>
        </w:rPr>
        <w:t xml:space="preserve"> CATCH: a clinical decision rule for the use of computed tomography in children with minor head injury. </w:t>
      </w:r>
      <w:r w:rsidRPr="00487EFF">
        <w:rPr>
          <w:rFonts w:ascii="Calibri" w:hAnsi="Calibri"/>
          <w:i/>
          <w:iCs/>
          <w:sz w:val="20"/>
        </w:rPr>
        <w:t xml:space="preserve">Can Med </w:t>
      </w:r>
      <w:proofErr w:type="spellStart"/>
      <w:r w:rsidRPr="00487EFF">
        <w:rPr>
          <w:rFonts w:ascii="Calibri" w:hAnsi="Calibri"/>
          <w:i/>
          <w:iCs/>
          <w:sz w:val="20"/>
        </w:rPr>
        <w:t>Assoc</w:t>
      </w:r>
      <w:proofErr w:type="spellEnd"/>
      <w:r w:rsidRPr="00487EFF">
        <w:rPr>
          <w:rFonts w:ascii="Calibri" w:hAnsi="Calibri"/>
          <w:i/>
          <w:iCs/>
          <w:sz w:val="20"/>
        </w:rPr>
        <w:t xml:space="preserve"> J</w:t>
      </w:r>
      <w:r w:rsidRPr="00487EFF">
        <w:rPr>
          <w:rFonts w:ascii="Calibri" w:hAnsi="Calibri"/>
          <w:sz w:val="20"/>
        </w:rPr>
        <w:t xml:space="preserve"> 2010</w:t>
      </w:r>
      <w:proofErr w:type="gramStart"/>
      <w:r w:rsidRPr="00487EFF">
        <w:rPr>
          <w:rFonts w:ascii="Calibri" w:hAnsi="Calibri"/>
          <w:sz w:val="20"/>
        </w:rPr>
        <w:t>;</w:t>
      </w:r>
      <w:r w:rsidRPr="00487EFF">
        <w:rPr>
          <w:rFonts w:ascii="Calibri" w:hAnsi="Calibri"/>
          <w:b/>
          <w:bCs/>
          <w:sz w:val="20"/>
        </w:rPr>
        <w:t>182</w:t>
      </w:r>
      <w:r w:rsidRPr="00487EFF">
        <w:rPr>
          <w:rFonts w:ascii="Calibri" w:hAnsi="Calibri"/>
          <w:sz w:val="20"/>
        </w:rPr>
        <w:t>:341</w:t>
      </w:r>
      <w:proofErr w:type="gramEnd"/>
      <w:r w:rsidRPr="00487EFF">
        <w:rPr>
          <w:rFonts w:ascii="Calibri" w:hAnsi="Calibri"/>
          <w:sz w:val="20"/>
        </w:rPr>
        <w:t>–8. doi:10.1503/cmaj.091421</w:t>
      </w:r>
    </w:p>
    <w:p w14:paraId="0E737C9B" w14:textId="77777777" w:rsidR="00487EFF" w:rsidRPr="00487EFF" w:rsidRDefault="00487EFF" w:rsidP="00487EFF">
      <w:pPr>
        <w:pStyle w:val="Bibliography"/>
        <w:rPr>
          <w:rFonts w:ascii="Calibri" w:hAnsi="Calibri"/>
          <w:sz w:val="20"/>
        </w:rPr>
      </w:pPr>
      <w:r w:rsidRPr="00487EFF">
        <w:rPr>
          <w:rFonts w:ascii="Calibri" w:hAnsi="Calibri"/>
          <w:sz w:val="20"/>
        </w:rPr>
        <w:t xml:space="preserve">11 </w:t>
      </w:r>
      <w:r w:rsidRPr="00487EFF">
        <w:rPr>
          <w:rFonts w:ascii="Calibri" w:hAnsi="Calibri"/>
          <w:sz w:val="20"/>
        </w:rPr>
        <w:tab/>
        <w:t xml:space="preserve">National Institute for Clinical Excellence. </w:t>
      </w:r>
      <w:r w:rsidRPr="00487EFF">
        <w:rPr>
          <w:rFonts w:ascii="Calibri" w:hAnsi="Calibri"/>
          <w:i/>
          <w:iCs/>
          <w:sz w:val="20"/>
        </w:rPr>
        <w:t>Head injury: triage, assessment, investigation and early management of head injury in infants, children and adults.</w:t>
      </w:r>
      <w:r w:rsidRPr="00487EFF">
        <w:rPr>
          <w:rFonts w:ascii="Calibri" w:hAnsi="Calibri"/>
          <w:sz w:val="20"/>
        </w:rPr>
        <w:t xml:space="preserve"> London</w:t>
      </w:r>
      <w:proofErr w:type="gramStart"/>
      <w:r w:rsidRPr="00487EFF">
        <w:rPr>
          <w:rFonts w:ascii="Calibri" w:hAnsi="Calibri"/>
          <w:sz w:val="20"/>
        </w:rPr>
        <w:t>: :</w:t>
      </w:r>
      <w:proofErr w:type="gramEnd"/>
      <w:r w:rsidRPr="00487EFF">
        <w:rPr>
          <w:rFonts w:ascii="Calibri" w:hAnsi="Calibri"/>
          <w:sz w:val="20"/>
        </w:rPr>
        <w:t xml:space="preserve"> National Institute for Clinical Excellence 2003. </w:t>
      </w:r>
    </w:p>
    <w:p w14:paraId="7F7FFB48" w14:textId="77777777" w:rsidR="00487EFF" w:rsidRPr="00487EFF" w:rsidRDefault="00487EFF" w:rsidP="00487EFF">
      <w:pPr>
        <w:pStyle w:val="Bibliography"/>
        <w:rPr>
          <w:rFonts w:ascii="Calibri" w:hAnsi="Calibri"/>
          <w:sz w:val="20"/>
        </w:rPr>
      </w:pPr>
      <w:r w:rsidRPr="00487EFF">
        <w:rPr>
          <w:rFonts w:ascii="Calibri" w:hAnsi="Calibri"/>
          <w:sz w:val="20"/>
        </w:rPr>
        <w:t xml:space="preserve">12 </w:t>
      </w:r>
      <w:r w:rsidRPr="00487EFF">
        <w:rPr>
          <w:rFonts w:ascii="Calibri" w:hAnsi="Calibri"/>
          <w:sz w:val="20"/>
        </w:rPr>
        <w:tab/>
        <w:t xml:space="preserve">National Institute for Health and Clinical Excellence. </w:t>
      </w:r>
      <w:proofErr w:type="gramStart"/>
      <w:r w:rsidRPr="00487EFF">
        <w:rPr>
          <w:rFonts w:ascii="Calibri" w:hAnsi="Calibri"/>
          <w:i/>
          <w:iCs/>
          <w:sz w:val="20"/>
        </w:rPr>
        <w:t>Head injury triage, assessment, investigation, and early management of head injury in infants, children, and adults</w:t>
      </w:r>
      <w:r w:rsidRPr="00487EFF">
        <w:rPr>
          <w:rFonts w:ascii="Calibri" w:hAnsi="Calibri"/>
          <w:sz w:val="20"/>
        </w:rPr>
        <w:t>.</w:t>
      </w:r>
      <w:proofErr w:type="gramEnd"/>
      <w:r w:rsidRPr="00487EFF">
        <w:rPr>
          <w:rFonts w:ascii="Calibri" w:hAnsi="Calibri"/>
          <w:sz w:val="20"/>
        </w:rPr>
        <w:t xml:space="preserve"> London</w:t>
      </w:r>
      <w:proofErr w:type="gramStart"/>
      <w:r w:rsidRPr="00487EFF">
        <w:rPr>
          <w:rFonts w:ascii="Calibri" w:hAnsi="Calibri"/>
          <w:sz w:val="20"/>
        </w:rPr>
        <w:t>: :</w:t>
      </w:r>
      <w:proofErr w:type="gramEnd"/>
      <w:r w:rsidRPr="00487EFF">
        <w:rPr>
          <w:rFonts w:ascii="Calibri" w:hAnsi="Calibri"/>
          <w:sz w:val="20"/>
        </w:rPr>
        <w:t xml:space="preserve"> National Collaborating Centre for Acute Care 2007. </w:t>
      </w:r>
    </w:p>
    <w:p w14:paraId="6BD7E31A" w14:textId="77777777" w:rsidR="00487EFF" w:rsidRPr="00487EFF" w:rsidRDefault="00487EFF" w:rsidP="00487EFF">
      <w:pPr>
        <w:pStyle w:val="Bibliography"/>
        <w:rPr>
          <w:rFonts w:ascii="Calibri" w:hAnsi="Calibri"/>
          <w:sz w:val="20"/>
        </w:rPr>
      </w:pPr>
      <w:r w:rsidRPr="00487EFF">
        <w:rPr>
          <w:rFonts w:ascii="Calibri" w:hAnsi="Calibri"/>
          <w:sz w:val="20"/>
        </w:rPr>
        <w:t xml:space="preserve">13 </w:t>
      </w:r>
      <w:r w:rsidRPr="00487EFF">
        <w:rPr>
          <w:rFonts w:ascii="Calibri" w:hAnsi="Calibri"/>
          <w:sz w:val="20"/>
        </w:rPr>
        <w:tab/>
        <w:t xml:space="preserve">National Institute for Health and Care Excellence. </w:t>
      </w:r>
      <w:proofErr w:type="gramStart"/>
      <w:r w:rsidRPr="00487EFF">
        <w:rPr>
          <w:rFonts w:ascii="Calibri" w:hAnsi="Calibri"/>
          <w:i/>
          <w:iCs/>
          <w:sz w:val="20"/>
        </w:rPr>
        <w:t>Head injury: Triage, assessment, investigation and early management of head injury in children, young people and adults</w:t>
      </w:r>
      <w:r w:rsidRPr="00487EFF">
        <w:rPr>
          <w:rFonts w:ascii="Calibri" w:hAnsi="Calibri"/>
          <w:sz w:val="20"/>
        </w:rPr>
        <w:t>.</w:t>
      </w:r>
      <w:proofErr w:type="gramEnd"/>
      <w:r w:rsidRPr="00487EFF">
        <w:rPr>
          <w:rFonts w:ascii="Calibri" w:hAnsi="Calibri"/>
          <w:sz w:val="20"/>
        </w:rPr>
        <w:t xml:space="preserve"> London: 2014. http://www.nice.org.uk/guidance/CG176 (accessed 29 Jul2014).</w:t>
      </w:r>
    </w:p>
    <w:p w14:paraId="543056A7" w14:textId="77777777" w:rsidR="00487EFF" w:rsidRPr="00487EFF" w:rsidRDefault="00487EFF" w:rsidP="00487EFF">
      <w:pPr>
        <w:pStyle w:val="Bibliography"/>
        <w:rPr>
          <w:rFonts w:ascii="Calibri" w:hAnsi="Calibri"/>
          <w:sz w:val="20"/>
        </w:rPr>
      </w:pPr>
      <w:r w:rsidRPr="00487EFF">
        <w:rPr>
          <w:rFonts w:ascii="Calibri" w:hAnsi="Calibri"/>
          <w:sz w:val="20"/>
        </w:rPr>
        <w:t xml:space="preserve">14 </w:t>
      </w:r>
      <w:r w:rsidRPr="00487EFF">
        <w:rPr>
          <w:rFonts w:ascii="Calibri" w:hAnsi="Calibri"/>
          <w:sz w:val="20"/>
        </w:rPr>
        <w:tab/>
        <w:t xml:space="preserve">Guidelines for initial management after head injury in adults. </w:t>
      </w:r>
      <w:proofErr w:type="gramStart"/>
      <w:r w:rsidRPr="00487EFF">
        <w:rPr>
          <w:rFonts w:ascii="Calibri" w:hAnsi="Calibri"/>
          <w:sz w:val="20"/>
        </w:rPr>
        <w:t>Suggestions from a group of neurosurgeons.</w:t>
      </w:r>
      <w:proofErr w:type="gramEnd"/>
      <w:r w:rsidRPr="00487EFF">
        <w:rPr>
          <w:rFonts w:ascii="Calibri" w:hAnsi="Calibri"/>
          <w:sz w:val="20"/>
        </w:rPr>
        <w:t xml:space="preserve"> </w:t>
      </w:r>
      <w:r w:rsidRPr="00487EFF">
        <w:rPr>
          <w:rFonts w:ascii="Calibri" w:hAnsi="Calibri"/>
          <w:i/>
          <w:iCs/>
          <w:sz w:val="20"/>
        </w:rPr>
        <w:t xml:space="preserve">Br Med J </w:t>
      </w:r>
      <w:proofErr w:type="spellStart"/>
      <w:r w:rsidRPr="00487EFF">
        <w:rPr>
          <w:rFonts w:ascii="Calibri" w:hAnsi="Calibri"/>
          <w:i/>
          <w:iCs/>
          <w:sz w:val="20"/>
        </w:rPr>
        <w:t>Clin</w:t>
      </w:r>
      <w:proofErr w:type="spellEnd"/>
      <w:r w:rsidRPr="00487EFF">
        <w:rPr>
          <w:rFonts w:ascii="Calibri" w:hAnsi="Calibri"/>
          <w:i/>
          <w:iCs/>
          <w:sz w:val="20"/>
        </w:rPr>
        <w:t xml:space="preserve"> Res Ed</w:t>
      </w:r>
      <w:r w:rsidRPr="00487EFF">
        <w:rPr>
          <w:rFonts w:ascii="Calibri" w:hAnsi="Calibri"/>
          <w:sz w:val="20"/>
        </w:rPr>
        <w:t xml:space="preserve"> 1984</w:t>
      </w:r>
      <w:proofErr w:type="gramStart"/>
      <w:r w:rsidRPr="00487EFF">
        <w:rPr>
          <w:rFonts w:ascii="Calibri" w:hAnsi="Calibri"/>
          <w:sz w:val="20"/>
        </w:rPr>
        <w:t>;</w:t>
      </w:r>
      <w:r w:rsidRPr="00487EFF">
        <w:rPr>
          <w:rFonts w:ascii="Calibri" w:hAnsi="Calibri"/>
          <w:b/>
          <w:bCs/>
          <w:sz w:val="20"/>
        </w:rPr>
        <w:t>288</w:t>
      </w:r>
      <w:r w:rsidRPr="00487EFF">
        <w:rPr>
          <w:rFonts w:ascii="Calibri" w:hAnsi="Calibri"/>
          <w:sz w:val="20"/>
        </w:rPr>
        <w:t>:983</w:t>
      </w:r>
      <w:proofErr w:type="gramEnd"/>
      <w:r w:rsidRPr="00487EFF">
        <w:rPr>
          <w:rFonts w:ascii="Calibri" w:hAnsi="Calibri"/>
          <w:sz w:val="20"/>
        </w:rPr>
        <w:t>–5.</w:t>
      </w:r>
    </w:p>
    <w:p w14:paraId="5D792865" w14:textId="77777777" w:rsidR="00487EFF" w:rsidRPr="00487EFF" w:rsidRDefault="00487EFF" w:rsidP="00487EFF">
      <w:pPr>
        <w:pStyle w:val="Bibliography"/>
        <w:rPr>
          <w:rFonts w:ascii="Calibri" w:hAnsi="Calibri"/>
          <w:sz w:val="20"/>
        </w:rPr>
      </w:pPr>
      <w:r w:rsidRPr="00487EFF">
        <w:rPr>
          <w:rFonts w:ascii="Calibri" w:hAnsi="Calibri"/>
          <w:sz w:val="20"/>
        </w:rPr>
        <w:lastRenderedPageBreak/>
        <w:t xml:space="preserve">15 </w:t>
      </w:r>
      <w:r w:rsidRPr="00487EFF">
        <w:rPr>
          <w:rFonts w:ascii="Calibri" w:hAnsi="Calibri"/>
          <w:sz w:val="20"/>
        </w:rPr>
        <w:tab/>
        <w:t xml:space="preserve">The Royal College of Surgeons of England. </w:t>
      </w:r>
      <w:proofErr w:type="gramStart"/>
      <w:r w:rsidRPr="00487EFF">
        <w:rPr>
          <w:rFonts w:ascii="Calibri" w:hAnsi="Calibri"/>
          <w:sz w:val="20"/>
        </w:rPr>
        <w:t>Report of the Working Party on the Management of Patients with Head Injuries.</w:t>
      </w:r>
      <w:proofErr w:type="gramEnd"/>
      <w:r w:rsidRPr="00487EFF">
        <w:rPr>
          <w:rFonts w:ascii="Calibri" w:hAnsi="Calibri"/>
          <w:sz w:val="20"/>
        </w:rPr>
        <w:t xml:space="preserve"> 1999</w:t>
      </w:r>
      <w:proofErr w:type="gramStart"/>
      <w:r w:rsidRPr="00487EFF">
        <w:rPr>
          <w:rFonts w:ascii="Calibri" w:hAnsi="Calibri"/>
          <w:sz w:val="20"/>
        </w:rPr>
        <w:t>.https</w:t>
      </w:r>
      <w:proofErr w:type="gramEnd"/>
      <w:r w:rsidRPr="00487EFF">
        <w:rPr>
          <w:rFonts w:ascii="Calibri" w:hAnsi="Calibri"/>
          <w:sz w:val="20"/>
        </w:rPr>
        <w:t>://www.rcseng.ac.uk/publications/docs/report_head_injuries.html/@@download/pdffile/Management.pdf (accessed 13 Jul2014).</w:t>
      </w:r>
    </w:p>
    <w:p w14:paraId="0C0FA1D5" w14:textId="77777777" w:rsidR="00487EFF" w:rsidRPr="00487EFF" w:rsidRDefault="00487EFF" w:rsidP="00487EFF">
      <w:pPr>
        <w:pStyle w:val="Bibliography"/>
        <w:rPr>
          <w:rFonts w:ascii="Calibri" w:hAnsi="Calibri"/>
          <w:sz w:val="20"/>
        </w:rPr>
      </w:pPr>
      <w:r w:rsidRPr="00487EFF">
        <w:rPr>
          <w:rFonts w:ascii="Calibri" w:hAnsi="Calibri"/>
          <w:sz w:val="20"/>
        </w:rPr>
        <w:t xml:space="preserve">16 </w:t>
      </w:r>
      <w:r w:rsidRPr="00487EFF">
        <w:rPr>
          <w:rFonts w:ascii="Calibri" w:hAnsi="Calibri"/>
          <w:sz w:val="20"/>
        </w:rPr>
        <w:tab/>
        <w:t xml:space="preserve">Willis AP, Latif SAA, </w:t>
      </w:r>
      <w:proofErr w:type="spellStart"/>
      <w:r w:rsidRPr="00487EFF">
        <w:rPr>
          <w:rFonts w:ascii="Calibri" w:hAnsi="Calibri"/>
          <w:sz w:val="20"/>
        </w:rPr>
        <w:t>Chandratre</w:t>
      </w:r>
      <w:proofErr w:type="spellEnd"/>
      <w:r w:rsidRPr="00487EFF">
        <w:rPr>
          <w:rFonts w:ascii="Calibri" w:hAnsi="Calibri"/>
          <w:sz w:val="20"/>
        </w:rPr>
        <w:t xml:space="preserve"> S, </w:t>
      </w:r>
      <w:r w:rsidRPr="00487EFF">
        <w:rPr>
          <w:rFonts w:ascii="Calibri" w:hAnsi="Calibri"/>
          <w:i/>
          <w:iCs/>
          <w:sz w:val="20"/>
        </w:rPr>
        <w:t>et al.</w:t>
      </w:r>
      <w:r w:rsidRPr="00487EFF">
        <w:rPr>
          <w:rFonts w:ascii="Calibri" w:hAnsi="Calibri"/>
          <w:sz w:val="20"/>
        </w:rPr>
        <w:t xml:space="preserve"> Not a NICE CT protocol for the acutely head injured child. </w:t>
      </w:r>
      <w:proofErr w:type="spellStart"/>
      <w:r w:rsidRPr="00487EFF">
        <w:rPr>
          <w:rFonts w:ascii="Calibri" w:hAnsi="Calibri"/>
          <w:i/>
          <w:iCs/>
          <w:sz w:val="20"/>
        </w:rPr>
        <w:t>Clin</w:t>
      </w:r>
      <w:proofErr w:type="spellEnd"/>
      <w:r w:rsidRPr="00487EFF">
        <w:rPr>
          <w:rFonts w:ascii="Calibri" w:hAnsi="Calibri"/>
          <w:i/>
          <w:iCs/>
          <w:sz w:val="20"/>
        </w:rPr>
        <w:t xml:space="preserve"> </w:t>
      </w:r>
      <w:proofErr w:type="spellStart"/>
      <w:r w:rsidRPr="00487EFF">
        <w:rPr>
          <w:rFonts w:ascii="Calibri" w:hAnsi="Calibri"/>
          <w:i/>
          <w:iCs/>
          <w:sz w:val="20"/>
        </w:rPr>
        <w:t>Radiol</w:t>
      </w:r>
      <w:proofErr w:type="spellEnd"/>
      <w:r w:rsidRPr="00487EFF">
        <w:rPr>
          <w:rFonts w:ascii="Calibri" w:hAnsi="Calibri"/>
          <w:sz w:val="20"/>
        </w:rPr>
        <w:t xml:space="preserve"> 2008</w:t>
      </w:r>
      <w:proofErr w:type="gramStart"/>
      <w:r w:rsidRPr="00487EFF">
        <w:rPr>
          <w:rFonts w:ascii="Calibri" w:hAnsi="Calibri"/>
          <w:sz w:val="20"/>
        </w:rPr>
        <w:t>;</w:t>
      </w:r>
      <w:r w:rsidRPr="00487EFF">
        <w:rPr>
          <w:rFonts w:ascii="Calibri" w:hAnsi="Calibri"/>
          <w:b/>
          <w:bCs/>
          <w:sz w:val="20"/>
        </w:rPr>
        <w:t>63</w:t>
      </w:r>
      <w:r w:rsidRPr="00487EFF">
        <w:rPr>
          <w:rFonts w:ascii="Calibri" w:hAnsi="Calibri"/>
          <w:sz w:val="20"/>
        </w:rPr>
        <w:t>:165</w:t>
      </w:r>
      <w:proofErr w:type="gramEnd"/>
      <w:r w:rsidRPr="00487EFF">
        <w:rPr>
          <w:rFonts w:ascii="Calibri" w:hAnsi="Calibri"/>
          <w:sz w:val="20"/>
        </w:rPr>
        <w:t>–9. doi:10.1016/j.crad.2007.05.027</w:t>
      </w:r>
    </w:p>
    <w:p w14:paraId="4EC01483" w14:textId="77777777" w:rsidR="00487EFF" w:rsidRPr="00487EFF" w:rsidRDefault="00487EFF" w:rsidP="00487EFF">
      <w:pPr>
        <w:pStyle w:val="Bibliography"/>
        <w:rPr>
          <w:rFonts w:ascii="Calibri" w:hAnsi="Calibri"/>
          <w:sz w:val="20"/>
        </w:rPr>
      </w:pPr>
      <w:r w:rsidRPr="00487EFF">
        <w:rPr>
          <w:rFonts w:ascii="Calibri" w:hAnsi="Calibri"/>
          <w:sz w:val="20"/>
        </w:rPr>
        <w:t xml:space="preserve">17 </w:t>
      </w:r>
      <w:r w:rsidRPr="00487EFF">
        <w:rPr>
          <w:rFonts w:ascii="Calibri" w:hAnsi="Calibri"/>
          <w:sz w:val="20"/>
        </w:rPr>
        <w:tab/>
        <w:t xml:space="preserve">Macgregor DM, </w:t>
      </w:r>
      <w:proofErr w:type="spellStart"/>
      <w:r w:rsidRPr="00487EFF">
        <w:rPr>
          <w:rFonts w:ascii="Calibri" w:hAnsi="Calibri"/>
          <w:sz w:val="20"/>
        </w:rPr>
        <w:t>McKie</w:t>
      </w:r>
      <w:proofErr w:type="spellEnd"/>
      <w:r w:rsidRPr="00487EFF">
        <w:rPr>
          <w:rFonts w:ascii="Calibri" w:hAnsi="Calibri"/>
          <w:sz w:val="20"/>
        </w:rPr>
        <w:t xml:space="preserve"> L. CT or not CT--that is the question. Whether ’tis better to evaluate clinically and x ray than to undertake a CT head scan! </w:t>
      </w:r>
      <w:proofErr w:type="spellStart"/>
      <w:r w:rsidRPr="00487EFF">
        <w:rPr>
          <w:rFonts w:ascii="Calibri" w:hAnsi="Calibri"/>
          <w:i/>
          <w:iCs/>
          <w:sz w:val="20"/>
        </w:rPr>
        <w:t>Emerg</w:t>
      </w:r>
      <w:proofErr w:type="spellEnd"/>
      <w:r w:rsidRPr="00487EFF">
        <w:rPr>
          <w:rFonts w:ascii="Calibri" w:hAnsi="Calibri"/>
          <w:i/>
          <w:iCs/>
          <w:sz w:val="20"/>
        </w:rPr>
        <w:t xml:space="preserve"> Med J EMJ</w:t>
      </w:r>
      <w:r w:rsidRPr="00487EFF">
        <w:rPr>
          <w:rFonts w:ascii="Calibri" w:hAnsi="Calibri"/>
          <w:sz w:val="20"/>
        </w:rPr>
        <w:t xml:space="preserve"> 2005</w:t>
      </w:r>
      <w:proofErr w:type="gramStart"/>
      <w:r w:rsidRPr="00487EFF">
        <w:rPr>
          <w:rFonts w:ascii="Calibri" w:hAnsi="Calibri"/>
          <w:sz w:val="20"/>
        </w:rPr>
        <w:t>;</w:t>
      </w:r>
      <w:r w:rsidRPr="00487EFF">
        <w:rPr>
          <w:rFonts w:ascii="Calibri" w:hAnsi="Calibri"/>
          <w:b/>
          <w:bCs/>
          <w:sz w:val="20"/>
        </w:rPr>
        <w:t>22</w:t>
      </w:r>
      <w:r w:rsidRPr="00487EFF">
        <w:rPr>
          <w:rFonts w:ascii="Calibri" w:hAnsi="Calibri"/>
          <w:sz w:val="20"/>
        </w:rPr>
        <w:t>:541</w:t>
      </w:r>
      <w:proofErr w:type="gramEnd"/>
      <w:r w:rsidRPr="00487EFF">
        <w:rPr>
          <w:rFonts w:ascii="Calibri" w:hAnsi="Calibri"/>
          <w:sz w:val="20"/>
        </w:rPr>
        <w:t>–3. doi:10.1136/emj.2004.017160</w:t>
      </w:r>
    </w:p>
    <w:p w14:paraId="39DFBEE8" w14:textId="77777777" w:rsidR="00487EFF" w:rsidRPr="00487EFF" w:rsidRDefault="00487EFF" w:rsidP="00487EFF">
      <w:pPr>
        <w:pStyle w:val="Bibliography"/>
        <w:rPr>
          <w:rFonts w:ascii="Calibri" w:hAnsi="Calibri"/>
          <w:sz w:val="20"/>
        </w:rPr>
      </w:pPr>
      <w:r w:rsidRPr="00487EFF">
        <w:rPr>
          <w:rFonts w:ascii="Calibri" w:hAnsi="Calibri"/>
          <w:sz w:val="20"/>
        </w:rPr>
        <w:t xml:space="preserve">18 </w:t>
      </w:r>
      <w:r w:rsidRPr="00487EFF">
        <w:rPr>
          <w:rFonts w:ascii="Calibri" w:hAnsi="Calibri"/>
          <w:sz w:val="20"/>
        </w:rPr>
        <w:tab/>
      </w:r>
      <w:proofErr w:type="spellStart"/>
      <w:r w:rsidRPr="00487EFF">
        <w:rPr>
          <w:rFonts w:ascii="Calibri" w:hAnsi="Calibri"/>
          <w:sz w:val="20"/>
        </w:rPr>
        <w:t>Goodacre</w:t>
      </w:r>
      <w:proofErr w:type="spellEnd"/>
      <w:r w:rsidRPr="00487EFF">
        <w:rPr>
          <w:rFonts w:ascii="Calibri" w:hAnsi="Calibri"/>
          <w:sz w:val="20"/>
        </w:rPr>
        <w:t xml:space="preserve"> SW, </w:t>
      </w:r>
      <w:proofErr w:type="spellStart"/>
      <w:r w:rsidRPr="00487EFF">
        <w:rPr>
          <w:rFonts w:ascii="Calibri" w:hAnsi="Calibri"/>
          <w:sz w:val="20"/>
        </w:rPr>
        <w:t>Pandor</w:t>
      </w:r>
      <w:proofErr w:type="spellEnd"/>
      <w:r w:rsidRPr="00487EFF">
        <w:rPr>
          <w:rFonts w:ascii="Calibri" w:hAnsi="Calibri"/>
          <w:sz w:val="20"/>
        </w:rPr>
        <w:t xml:space="preserve"> A, Pickering A. Management of isolated minor head injury in the UK. </w:t>
      </w:r>
      <w:proofErr w:type="spellStart"/>
      <w:r w:rsidRPr="00487EFF">
        <w:rPr>
          <w:rFonts w:ascii="Calibri" w:hAnsi="Calibri"/>
          <w:i/>
          <w:iCs/>
          <w:sz w:val="20"/>
        </w:rPr>
        <w:t>Emerg</w:t>
      </w:r>
      <w:proofErr w:type="spellEnd"/>
      <w:r w:rsidRPr="00487EFF">
        <w:rPr>
          <w:rFonts w:ascii="Calibri" w:hAnsi="Calibri"/>
          <w:i/>
          <w:iCs/>
          <w:sz w:val="20"/>
        </w:rPr>
        <w:t xml:space="preserve"> Med J</w:t>
      </w:r>
      <w:r w:rsidRPr="00487EFF">
        <w:rPr>
          <w:rFonts w:ascii="Calibri" w:hAnsi="Calibri"/>
          <w:sz w:val="20"/>
        </w:rPr>
        <w:t xml:space="preserve"> 2010</w:t>
      </w:r>
      <w:proofErr w:type="gramStart"/>
      <w:r w:rsidRPr="00487EFF">
        <w:rPr>
          <w:rFonts w:ascii="Calibri" w:hAnsi="Calibri"/>
          <w:sz w:val="20"/>
        </w:rPr>
        <w:t>;</w:t>
      </w:r>
      <w:r w:rsidRPr="00487EFF">
        <w:rPr>
          <w:rFonts w:ascii="Calibri" w:hAnsi="Calibri"/>
          <w:b/>
          <w:bCs/>
          <w:sz w:val="20"/>
        </w:rPr>
        <w:t>27</w:t>
      </w:r>
      <w:r w:rsidRPr="00487EFF">
        <w:rPr>
          <w:rFonts w:ascii="Calibri" w:hAnsi="Calibri"/>
          <w:sz w:val="20"/>
        </w:rPr>
        <w:t>:856</w:t>
      </w:r>
      <w:proofErr w:type="gramEnd"/>
      <w:r w:rsidRPr="00487EFF">
        <w:rPr>
          <w:rFonts w:ascii="Calibri" w:hAnsi="Calibri"/>
          <w:sz w:val="20"/>
        </w:rPr>
        <w:t>–9. doi:10.1136/emj.2009.086389</w:t>
      </w:r>
    </w:p>
    <w:p w14:paraId="57AB9189" w14:textId="77777777" w:rsidR="00487EFF" w:rsidRPr="00487EFF" w:rsidRDefault="00487EFF" w:rsidP="00487EFF">
      <w:pPr>
        <w:pStyle w:val="Bibliography"/>
        <w:rPr>
          <w:rFonts w:ascii="Calibri" w:hAnsi="Calibri"/>
          <w:sz w:val="20"/>
        </w:rPr>
      </w:pPr>
      <w:r w:rsidRPr="00487EFF">
        <w:rPr>
          <w:rFonts w:ascii="Calibri" w:hAnsi="Calibri"/>
          <w:sz w:val="20"/>
        </w:rPr>
        <w:t xml:space="preserve">19 </w:t>
      </w:r>
      <w:r w:rsidRPr="00487EFF">
        <w:rPr>
          <w:rFonts w:ascii="Calibri" w:hAnsi="Calibri"/>
          <w:sz w:val="20"/>
        </w:rPr>
        <w:tab/>
      </w:r>
      <w:proofErr w:type="spellStart"/>
      <w:r w:rsidRPr="00487EFF">
        <w:rPr>
          <w:rFonts w:ascii="Calibri" w:hAnsi="Calibri"/>
          <w:sz w:val="20"/>
        </w:rPr>
        <w:t>Nigrovic</w:t>
      </w:r>
      <w:proofErr w:type="spellEnd"/>
      <w:r w:rsidRPr="00487EFF">
        <w:rPr>
          <w:rFonts w:ascii="Calibri" w:hAnsi="Calibri"/>
          <w:sz w:val="20"/>
        </w:rPr>
        <w:t xml:space="preserve"> LE, </w:t>
      </w:r>
      <w:proofErr w:type="spellStart"/>
      <w:r w:rsidRPr="00487EFF">
        <w:rPr>
          <w:rFonts w:ascii="Calibri" w:hAnsi="Calibri"/>
          <w:sz w:val="20"/>
        </w:rPr>
        <w:t>Schunk</w:t>
      </w:r>
      <w:proofErr w:type="spellEnd"/>
      <w:r w:rsidRPr="00487EFF">
        <w:rPr>
          <w:rFonts w:ascii="Calibri" w:hAnsi="Calibri"/>
          <w:sz w:val="20"/>
        </w:rPr>
        <w:t xml:space="preserve"> JE, </w:t>
      </w:r>
      <w:proofErr w:type="spellStart"/>
      <w:r w:rsidRPr="00487EFF">
        <w:rPr>
          <w:rFonts w:ascii="Calibri" w:hAnsi="Calibri"/>
          <w:sz w:val="20"/>
        </w:rPr>
        <w:t>Foerster</w:t>
      </w:r>
      <w:proofErr w:type="spellEnd"/>
      <w:r w:rsidRPr="00487EFF">
        <w:rPr>
          <w:rFonts w:ascii="Calibri" w:hAnsi="Calibri"/>
          <w:sz w:val="20"/>
        </w:rPr>
        <w:t xml:space="preserve"> A, </w:t>
      </w:r>
      <w:r w:rsidRPr="00487EFF">
        <w:rPr>
          <w:rFonts w:ascii="Calibri" w:hAnsi="Calibri"/>
          <w:i/>
          <w:iCs/>
          <w:sz w:val="20"/>
        </w:rPr>
        <w:t>et al.</w:t>
      </w:r>
      <w:r w:rsidRPr="00487EFF">
        <w:rPr>
          <w:rFonts w:ascii="Calibri" w:hAnsi="Calibri"/>
          <w:sz w:val="20"/>
        </w:rPr>
        <w:t xml:space="preserve"> The Effect of Observation on Cranial Computed Tomography Utilization for Children </w:t>
      </w:r>
      <w:proofErr w:type="gramStart"/>
      <w:r w:rsidRPr="00487EFF">
        <w:rPr>
          <w:rFonts w:ascii="Calibri" w:hAnsi="Calibri"/>
          <w:sz w:val="20"/>
        </w:rPr>
        <w:t>After</w:t>
      </w:r>
      <w:proofErr w:type="gramEnd"/>
      <w:r w:rsidRPr="00487EFF">
        <w:rPr>
          <w:rFonts w:ascii="Calibri" w:hAnsi="Calibri"/>
          <w:sz w:val="20"/>
        </w:rPr>
        <w:t xml:space="preserve"> Blunt Head Trauma. </w:t>
      </w:r>
      <w:proofErr w:type="spellStart"/>
      <w:r w:rsidRPr="00487EFF">
        <w:rPr>
          <w:rFonts w:ascii="Calibri" w:hAnsi="Calibri"/>
          <w:i/>
          <w:iCs/>
          <w:sz w:val="20"/>
        </w:rPr>
        <w:t>Pediatrics</w:t>
      </w:r>
      <w:proofErr w:type="spellEnd"/>
      <w:r w:rsidRPr="00487EFF">
        <w:rPr>
          <w:rFonts w:ascii="Calibri" w:hAnsi="Calibri"/>
          <w:sz w:val="20"/>
        </w:rPr>
        <w:t xml:space="preserve"> 2011</w:t>
      </w:r>
      <w:proofErr w:type="gramStart"/>
      <w:r w:rsidRPr="00487EFF">
        <w:rPr>
          <w:rFonts w:ascii="Calibri" w:hAnsi="Calibri"/>
          <w:sz w:val="20"/>
        </w:rPr>
        <w:t>;</w:t>
      </w:r>
      <w:r w:rsidRPr="00487EFF">
        <w:rPr>
          <w:rFonts w:ascii="Calibri" w:hAnsi="Calibri"/>
          <w:b/>
          <w:bCs/>
          <w:sz w:val="20"/>
        </w:rPr>
        <w:t>127</w:t>
      </w:r>
      <w:r w:rsidRPr="00487EFF">
        <w:rPr>
          <w:rFonts w:ascii="Calibri" w:hAnsi="Calibri"/>
          <w:sz w:val="20"/>
        </w:rPr>
        <w:t>:1067</w:t>
      </w:r>
      <w:proofErr w:type="gramEnd"/>
      <w:r w:rsidRPr="00487EFF">
        <w:rPr>
          <w:rFonts w:ascii="Calibri" w:hAnsi="Calibri"/>
          <w:sz w:val="20"/>
        </w:rPr>
        <w:t>–73. doi:10.1542/peds.2010-3373</w:t>
      </w:r>
    </w:p>
    <w:p w14:paraId="6BFB2B01" w14:textId="77777777" w:rsidR="00487EFF" w:rsidRPr="00487EFF" w:rsidRDefault="00487EFF" w:rsidP="00487EFF">
      <w:pPr>
        <w:pStyle w:val="Bibliography"/>
        <w:rPr>
          <w:rFonts w:ascii="Calibri" w:hAnsi="Calibri"/>
          <w:sz w:val="20"/>
        </w:rPr>
      </w:pPr>
      <w:r w:rsidRPr="00487EFF">
        <w:rPr>
          <w:rFonts w:ascii="Calibri" w:hAnsi="Calibri"/>
          <w:sz w:val="20"/>
        </w:rPr>
        <w:t xml:space="preserve">20 </w:t>
      </w:r>
      <w:r w:rsidRPr="00487EFF">
        <w:rPr>
          <w:rFonts w:ascii="Calibri" w:hAnsi="Calibri"/>
          <w:sz w:val="20"/>
        </w:rPr>
        <w:tab/>
      </w:r>
      <w:proofErr w:type="spellStart"/>
      <w:r w:rsidRPr="00487EFF">
        <w:rPr>
          <w:rFonts w:ascii="Calibri" w:hAnsi="Calibri"/>
          <w:sz w:val="20"/>
        </w:rPr>
        <w:t>OpenDataCommunities</w:t>
      </w:r>
      <w:proofErr w:type="spellEnd"/>
      <w:r w:rsidRPr="00487EFF">
        <w:rPr>
          <w:rFonts w:ascii="Calibri" w:hAnsi="Calibri"/>
          <w:sz w:val="20"/>
        </w:rPr>
        <w:t xml:space="preserve"> - Deprivation Mapper. http://opendatacommunities.org/showcase/deprivation (accessed 16 Jun2015).</w:t>
      </w:r>
    </w:p>
    <w:p w14:paraId="1DADB755" w14:textId="77777777" w:rsidR="00487EFF" w:rsidRPr="00487EFF" w:rsidRDefault="00487EFF" w:rsidP="00487EFF">
      <w:pPr>
        <w:pStyle w:val="Bibliography"/>
        <w:rPr>
          <w:rFonts w:ascii="Calibri" w:hAnsi="Calibri"/>
          <w:sz w:val="20"/>
        </w:rPr>
      </w:pPr>
      <w:r w:rsidRPr="00487EFF">
        <w:rPr>
          <w:rFonts w:ascii="Calibri" w:hAnsi="Calibri"/>
          <w:sz w:val="20"/>
        </w:rPr>
        <w:t xml:space="preserve">21 </w:t>
      </w:r>
      <w:r w:rsidRPr="00487EFF">
        <w:rPr>
          <w:rFonts w:ascii="Calibri" w:hAnsi="Calibri"/>
          <w:sz w:val="20"/>
        </w:rPr>
        <w:tab/>
        <w:t xml:space="preserve">R Core Team. </w:t>
      </w:r>
      <w:r w:rsidRPr="00487EFF">
        <w:rPr>
          <w:rFonts w:ascii="Calibri" w:hAnsi="Calibri"/>
          <w:i/>
          <w:iCs/>
          <w:sz w:val="20"/>
        </w:rPr>
        <w:t>R: A Language and Environment for Statistical Computing</w:t>
      </w:r>
      <w:r w:rsidRPr="00487EFF">
        <w:rPr>
          <w:rFonts w:ascii="Calibri" w:hAnsi="Calibri"/>
          <w:sz w:val="20"/>
        </w:rPr>
        <w:t>. Vienna, Austria</w:t>
      </w:r>
      <w:proofErr w:type="gramStart"/>
      <w:r w:rsidRPr="00487EFF">
        <w:rPr>
          <w:rFonts w:ascii="Calibri" w:hAnsi="Calibri"/>
          <w:sz w:val="20"/>
        </w:rPr>
        <w:t>: :</w:t>
      </w:r>
      <w:proofErr w:type="gramEnd"/>
      <w:r w:rsidRPr="00487EFF">
        <w:rPr>
          <w:rFonts w:ascii="Calibri" w:hAnsi="Calibri"/>
          <w:sz w:val="20"/>
        </w:rPr>
        <w:t xml:space="preserve"> R Foundation for Statistical Computing 2014. http://www.R-project.org/</w:t>
      </w:r>
    </w:p>
    <w:p w14:paraId="2C5EF5FF" w14:textId="77777777" w:rsidR="00487EFF" w:rsidRPr="00487EFF" w:rsidRDefault="00487EFF" w:rsidP="00487EFF">
      <w:pPr>
        <w:pStyle w:val="Bibliography"/>
        <w:rPr>
          <w:rFonts w:ascii="Calibri" w:hAnsi="Calibri"/>
          <w:sz w:val="20"/>
        </w:rPr>
      </w:pPr>
      <w:r w:rsidRPr="00487EFF">
        <w:rPr>
          <w:rFonts w:ascii="Calibri" w:hAnsi="Calibri"/>
          <w:sz w:val="20"/>
        </w:rPr>
        <w:t xml:space="preserve">22 </w:t>
      </w:r>
      <w:r w:rsidRPr="00487EFF">
        <w:rPr>
          <w:rFonts w:ascii="Calibri" w:hAnsi="Calibri"/>
          <w:sz w:val="20"/>
        </w:rPr>
        <w:tab/>
      </w:r>
      <w:proofErr w:type="spellStart"/>
      <w:r w:rsidRPr="00487EFF">
        <w:rPr>
          <w:rFonts w:ascii="Calibri" w:hAnsi="Calibri"/>
          <w:sz w:val="20"/>
        </w:rPr>
        <w:t>StataCorp</w:t>
      </w:r>
      <w:proofErr w:type="spellEnd"/>
      <w:r w:rsidRPr="00487EFF">
        <w:rPr>
          <w:rFonts w:ascii="Calibri" w:hAnsi="Calibri"/>
          <w:sz w:val="20"/>
        </w:rPr>
        <w:t xml:space="preserve">. </w:t>
      </w:r>
      <w:r w:rsidRPr="00487EFF">
        <w:rPr>
          <w:rFonts w:ascii="Calibri" w:hAnsi="Calibri"/>
          <w:i/>
          <w:iCs/>
          <w:sz w:val="20"/>
        </w:rPr>
        <w:t>Stata Statistical Software: Release 12. College Station, TX</w:t>
      </w:r>
      <w:r w:rsidRPr="00487EFF">
        <w:rPr>
          <w:rFonts w:ascii="Calibri" w:hAnsi="Calibri"/>
          <w:sz w:val="20"/>
        </w:rPr>
        <w:t xml:space="preserve">. 2011. </w:t>
      </w:r>
    </w:p>
    <w:p w14:paraId="5210015E" w14:textId="77777777" w:rsidR="00487EFF" w:rsidRPr="00487EFF" w:rsidRDefault="00487EFF" w:rsidP="00487EFF">
      <w:pPr>
        <w:pStyle w:val="Bibliography"/>
        <w:rPr>
          <w:rFonts w:ascii="Calibri" w:hAnsi="Calibri"/>
          <w:sz w:val="20"/>
        </w:rPr>
      </w:pPr>
      <w:r w:rsidRPr="00487EFF">
        <w:rPr>
          <w:rFonts w:ascii="Calibri" w:hAnsi="Calibri"/>
          <w:sz w:val="20"/>
        </w:rPr>
        <w:t xml:space="preserve">23 </w:t>
      </w:r>
      <w:r w:rsidRPr="00487EFF">
        <w:rPr>
          <w:rFonts w:ascii="Calibri" w:hAnsi="Calibri"/>
          <w:sz w:val="20"/>
        </w:rPr>
        <w:tab/>
      </w:r>
      <w:proofErr w:type="spellStart"/>
      <w:r w:rsidRPr="00487EFF">
        <w:rPr>
          <w:rFonts w:ascii="Calibri" w:hAnsi="Calibri"/>
          <w:sz w:val="20"/>
        </w:rPr>
        <w:t>Goodacre</w:t>
      </w:r>
      <w:proofErr w:type="spellEnd"/>
      <w:r w:rsidRPr="00487EFF">
        <w:rPr>
          <w:rFonts w:ascii="Calibri" w:hAnsi="Calibri"/>
          <w:sz w:val="20"/>
        </w:rPr>
        <w:t xml:space="preserve"> S. Hospital admissions with head injury following publication of NICE guidance. </w:t>
      </w:r>
      <w:proofErr w:type="spellStart"/>
      <w:r w:rsidRPr="00487EFF">
        <w:rPr>
          <w:rFonts w:ascii="Calibri" w:hAnsi="Calibri"/>
          <w:i/>
          <w:iCs/>
          <w:sz w:val="20"/>
        </w:rPr>
        <w:t>Emerg</w:t>
      </w:r>
      <w:proofErr w:type="spellEnd"/>
      <w:r w:rsidRPr="00487EFF">
        <w:rPr>
          <w:rFonts w:ascii="Calibri" w:hAnsi="Calibri"/>
          <w:i/>
          <w:iCs/>
          <w:sz w:val="20"/>
        </w:rPr>
        <w:t xml:space="preserve"> Med J</w:t>
      </w:r>
      <w:r w:rsidRPr="00487EFF">
        <w:rPr>
          <w:rFonts w:ascii="Calibri" w:hAnsi="Calibri"/>
          <w:sz w:val="20"/>
        </w:rPr>
        <w:t xml:space="preserve"> 2008</w:t>
      </w:r>
      <w:proofErr w:type="gramStart"/>
      <w:r w:rsidRPr="00487EFF">
        <w:rPr>
          <w:rFonts w:ascii="Calibri" w:hAnsi="Calibri"/>
          <w:sz w:val="20"/>
        </w:rPr>
        <w:t>;</w:t>
      </w:r>
      <w:r w:rsidRPr="00487EFF">
        <w:rPr>
          <w:rFonts w:ascii="Calibri" w:hAnsi="Calibri"/>
          <w:b/>
          <w:bCs/>
          <w:sz w:val="20"/>
        </w:rPr>
        <w:t>25</w:t>
      </w:r>
      <w:r w:rsidRPr="00487EFF">
        <w:rPr>
          <w:rFonts w:ascii="Calibri" w:hAnsi="Calibri"/>
          <w:sz w:val="20"/>
        </w:rPr>
        <w:t>:556</w:t>
      </w:r>
      <w:proofErr w:type="gramEnd"/>
      <w:r w:rsidRPr="00487EFF">
        <w:rPr>
          <w:rFonts w:ascii="Calibri" w:hAnsi="Calibri"/>
          <w:sz w:val="20"/>
        </w:rPr>
        <w:t>–7. doi:10.1136/emj.2007.055723</w:t>
      </w:r>
    </w:p>
    <w:p w14:paraId="4B1142CC" w14:textId="77777777" w:rsidR="00487EFF" w:rsidRPr="00487EFF" w:rsidRDefault="00487EFF" w:rsidP="00487EFF">
      <w:pPr>
        <w:pStyle w:val="Bibliography"/>
        <w:rPr>
          <w:rFonts w:ascii="Calibri" w:hAnsi="Calibri"/>
          <w:sz w:val="20"/>
        </w:rPr>
      </w:pPr>
      <w:r w:rsidRPr="00487EFF">
        <w:rPr>
          <w:rFonts w:ascii="Calibri" w:hAnsi="Calibri"/>
          <w:sz w:val="20"/>
        </w:rPr>
        <w:t xml:space="preserve">24 </w:t>
      </w:r>
      <w:r w:rsidRPr="00487EFF">
        <w:rPr>
          <w:rFonts w:ascii="Calibri" w:hAnsi="Calibri"/>
          <w:sz w:val="20"/>
        </w:rPr>
        <w:tab/>
        <w:t>NHS reference costs 2013 to 2014 - Publications - GOV.UK. https://www.gov.uk/government/publications/nhs-reference-costs-2013-to-2014 (accessed 29 Jan2015).</w:t>
      </w:r>
    </w:p>
    <w:p w14:paraId="703C692B" w14:textId="77777777" w:rsidR="00487EFF" w:rsidRPr="00487EFF" w:rsidRDefault="00487EFF" w:rsidP="00487EFF">
      <w:pPr>
        <w:pStyle w:val="Bibliography"/>
        <w:rPr>
          <w:rFonts w:ascii="Calibri" w:hAnsi="Calibri"/>
          <w:sz w:val="20"/>
        </w:rPr>
      </w:pPr>
      <w:r w:rsidRPr="00487EFF">
        <w:rPr>
          <w:rFonts w:ascii="Calibri" w:hAnsi="Calibri"/>
          <w:sz w:val="20"/>
        </w:rPr>
        <w:t xml:space="preserve">25 </w:t>
      </w:r>
      <w:r w:rsidRPr="00487EFF">
        <w:rPr>
          <w:rFonts w:ascii="Calibri" w:hAnsi="Calibri"/>
          <w:sz w:val="20"/>
        </w:rPr>
        <w:tab/>
        <w:t xml:space="preserve">Health and Social Care Information Centre. Hospital Episode </w:t>
      </w:r>
      <w:proofErr w:type="gramStart"/>
      <w:r w:rsidRPr="00487EFF">
        <w:rPr>
          <w:rFonts w:ascii="Calibri" w:hAnsi="Calibri"/>
          <w:sz w:val="20"/>
        </w:rPr>
        <w:t>Statistics,</w:t>
      </w:r>
      <w:proofErr w:type="gramEnd"/>
      <w:r w:rsidRPr="00487EFF">
        <w:rPr>
          <w:rFonts w:ascii="Calibri" w:hAnsi="Calibri"/>
          <w:sz w:val="20"/>
        </w:rPr>
        <w:t xml:space="preserve"> Admitted Patient Care - England, 2011-12 - Data Quality. 2011</w:t>
      </w:r>
      <w:proofErr w:type="gramStart"/>
      <w:r w:rsidRPr="00487EFF">
        <w:rPr>
          <w:rFonts w:ascii="Calibri" w:hAnsi="Calibri"/>
          <w:sz w:val="20"/>
        </w:rPr>
        <w:t>.http</w:t>
      </w:r>
      <w:proofErr w:type="gramEnd"/>
      <w:r w:rsidRPr="00487EFF">
        <w:rPr>
          <w:rFonts w:ascii="Calibri" w:hAnsi="Calibri"/>
          <w:sz w:val="20"/>
        </w:rPr>
        <w:t>://www.hscic.gov.uk/catalogue/PUB08288/hosp-epis-stat-admi-pati-care-eng-11-12-qual.pdf</w:t>
      </w:r>
    </w:p>
    <w:p w14:paraId="589B8763" w14:textId="77777777" w:rsidR="00487EFF" w:rsidRPr="00487EFF" w:rsidRDefault="00487EFF" w:rsidP="00487EFF">
      <w:pPr>
        <w:pStyle w:val="Bibliography"/>
        <w:rPr>
          <w:rFonts w:ascii="Calibri" w:hAnsi="Calibri"/>
          <w:sz w:val="20"/>
        </w:rPr>
      </w:pPr>
      <w:r w:rsidRPr="00487EFF">
        <w:rPr>
          <w:rFonts w:ascii="Calibri" w:hAnsi="Calibri"/>
          <w:sz w:val="20"/>
        </w:rPr>
        <w:t xml:space="preserve">26 </w:t>
      </w:r>
      <w:r w:rsidRPr="00487EFF">
        <w:rPr>
          <w:rFonts w:ascii="Calibri" w:hAnsi="Calibri"/>
          <w:sz w:val="20"/>
        </w:rPr>
        <w:tab/>
        <w:t>Mortality Statistics: Deaths registered in England and Wales (Series DR). Off. Natl. Stat. http://www.ons.gov.uk/ons/rel/vsob1/mortality-statistics--deaths-registered-in-</w:t>
      </w:r>
      <w:proofErr w:type="spellStart"/>
      <w:r w:rsidRPr="00487EFF">
        <w:rPr>
          <w:rFonts w:ascii="Calibri" w:hAnsi="Calibri"/>
          <w:sz w:val="20"/>
        </w:rPr>
        <w:t>england</w:t>
      </w:r>
      <w:proofErr w:type="spellEnd"/>
      <w:r w:rsidRPr="00487EFF">
        <w:rPr>
          <w:rFonts w:ascii="Calibri" w:hAnsi="Calibri"/>
          <w:sz w:val="20"/>
        </w:rPr>
        <w:t>-and-wales--series-</w:t>
      </w:r>
      <w:proofErr w:type="spellStart"/>
      <w:r w:rsidRPr="00487EFF">
        <w:rPr>
          <w:rFonts w:ascii="Calibri" w:hAnsi="Calibri"/>
          <w:sz w:val="20"/>
        </w:rPr>
        <w:t>dr</w:t>
      </w:r>
      <w:proofErr w:type="spellEnd"/>
      <w:r w:rsidRPr="00487EFF">
        <w:rPr>
          <w:rFonts w:ascii="Calibri" w:hAnsi="Calibri"/>
          <w:sz w:val="20"/>
        </w:rPr>
        <w:t>-/index.html (accessed 1 Dec2014).</w:t>
      </w:r>
    </w:p>
    <w:p w14:paraId="61A5C90A" w14:textId="77777777" w:rsidR="00E15399" w:rsidRDefault="008C7996" w:rsidP="00062252">
      <w:pPr>
        <w:spacing w:line="360" w:lineRule="auto"/>
        <w:rPr>
          <w:sz w:val="20"/>
        </w:rPr>
      </w:pPr>
      <w:r>
        <w:rPr>
          <w:sz w:val="20"/>
        </w:rPr>
        <w:fldChar w:fldCharType="end"/>
      </w:r>
    </w:p>
    <w:p w14:paraId="301E69F0" w14:textId="77777777" w:rsidR="00E15399" w:rsidRDefault="00E15399">
      <w:pPr>
        <w:rPr>
          <w:sz w:val="20"/>
        </w:rPr>
      </w:pPr>
      <w:r>
        <w:rPr>
          <w:sz w:val="20"/>
        </w:rPr>
        <w:br w:type="page"/>
      </w:r>
    </w:p>
    <w:p w14:paraId="19D2E5D8" w14:textId="77777777" w:rsidR="00E15399" w:rsidRPr="00AE4C12" w:rsidRDefault="00E15399" w:rsidP="00E15399">
      <w:pPr>
        <w:spacing w:line="360" w:lineRule="auto"/>
        <w:rPr>
          <w:b/>
        </w:rPr>
      </w:pPr>
      <w:r w:rsidRPr="00C76F22">
        <w:rPr>
          <w:sz w:val="18"/>
        </w:rPr>
        <w:lastRenderedPageBreak/>
        <w:t>Table 1 – Description of admissions and deaths due to head injury in children aged 0-15</w:t>
      </w:r>
      <w:r>
        <w:rPr>
          <w:sz w:val="18"/>
        </w:rPr>
        <w:t xml:space="preserve"> years, </w:t>
      </w:r>
      <w:r w:rsidRPr="00C76F22">
        <w:rPr>
          <w:sz w:val="18"/>
        </w:rPr>
        <w:t>2000-2011</w:t>
      </w:r>
    </w:p>
    <w:tbl>
      <w:tblPr>
        <w:tblStyle w:val="TableGrid"/>
        <w:tblW w:w="9472" w:type="dxa"/>
        <w:tblLayout w:type="fixed"/>
        <w:tblLook w:val="04A0" w:firstRow="1" w:lastRow="0" w:firstColumn="1" w:lastColumn="0" w:noHBand="0" w:noVBand="1"/>
      </w:tblPr>
      <w:tblGrid>
        <w:gridCol w:w="1649"/>
        <w:gridCol w:w="651"/>
        <w:gridCol w:w="652"/>
        <w:gridCol w:w="652"/>
        <w:gridCol w:w="652"/>
        <w:gridCol w:w="652"/>
        <w:gridCol w:w="652"/>
        <w:gridCol w:w="652"/>
        <w:gridCol w:w="652"/>
        <w:gridCol w:w="652"/>
        <w:gridCol w:w="652"/>
        <w:gridCol w:w="652"/>
        <w:gridCol w:w="652"/>
      </w:tblGrid>
      <w:tr w:rsidR="00E15399" w14:paraId="1BD080B3" w14:textId="77777777" w:rsidTr="00582438">
        <w:tc>
          <w:tcPr>
            <w:tcW w:w="1649" w:type="dxa"/>
            <w:vAlign w:val="bottom"/>
          </w:tcPr>
          <w:p w14:paraId="4AC85826" w14:textId="77777777" w:rsidR="00E15399" w:rsidRPr="00B505B3" w:rsidRDefault="00E15399" w:rsidP="00582438">
            <w:pPr>
              <w:spacing w:line="276" w:lineRule="auto"/>
              <w:rPr>
                <w:rFonts w:ascii="Calibri" w:hAnsi="Calibri"/>
                <w:color w:val="000000"/>
                <w:sz w:val="16"/>
              </w:rPr>
            </w:pPr>
            <w:r w:rsidRPr="00B505B3">
              <w:rPr>
                <w:rFonts w:ascii="Calibri" w:hAnsi="Calibri"/>
                <w:color w:val="000000"/>
                <w:sz w:val="16"/>
              </w:rPr>
              <w:t>Guideline</w:t>
            </w:r>
          </w:p>
        </w:tc>
        <w:tc>
          <w:tcPr>
            <w:tcW w:w="1955" w:type="dxa"/>
            <w:gridSpan w:val="3"/>
            <w:shd w:val="clear" w:color="auto" w:fill="EEECE1" w:themeFill="background2"/>
            <w:vAlign w:val="bottom"/>
          </w:tcPr>
          <w:p w14:paraId="02EA8AFE" w14:textId="77777777" w:rsidR="00E15399" w:rsidRPr="00B505B3" w:rsidRDefault="00E15399" w:rsidP="00582438">
            <w:pPr>
              <w:spacing w:line="276" w:lineRule="auto"/>
              <w:jc w:val="center"/>
              <w:rPr>
                <w:rFonts w:ascii="Calibri" w:hAnsi="Calibri"/>
                <w:color w:val="000000"/>
                <w:sz w:val="16"/>
              </w:rPr>
            </w:pPr>
            <w:r>
              <w:rPr>
                <w:rFonts w:ascii="Calibri" w:hAnsi="Calibri"/>
                <w:color w:val="000000"/>
                <w:sz w:val="16"/>
              </w:rPr>
              <w:t>RCS</w:t>
            </w:r>
            <w:r w:rsidR="008C7996">
              <w:rPr>
                <w:rFonts w:ascii="Calibri" w:hAnsi="Calibri"/>
                <w:color w:val="000000"/>
                <w:sz w:val="16"/>
              </w:rPr>
              <w:fldChar w:fldCharType="begin"/>
            </w:r>
            <w:r>
              <w:rPr>
                <w:rFonts w:ascii="Calibri" w:hAnsi="Calibri"/>
                <w:color w:val="000000"/>
                <w:sz w:val="16"/>
              </w:rPr>
              <w:instrText xml:space="preserve"> ADDIN ZOTERO_ITEM CSL_CITATION {"citationID":"pJMIFg9E","properties":{"formattedCitation":"[15]","plainCitation":"[15]"},"citationItems":[{"id":617,"uris":["http://zotero.org/users/14208/items/DES7K56T"],"uri":["http://zotero.org/users/14208/items/DES7K56T"],"itemData":{"id":617,"type":"webpage","title":"Report of the Working Party on the Management of Patients with Head Injuries","URL":"https://www.rcseng.ac.uk/publications/docs/report_head_injuries.html/@@download/pdffile/Management.pdf","author":[{"family":"The Royal College of Surgeons of England","given":""}],"issued":{"date-parts":[["1999"]]},"accessed":{"date-parts":[["2014",7,13]]}}}],"schema":"https://github.com/citation-style-language/schema/raw/master/csl-citation.json"} </w:instrText>
            </w:r>
            <w:r w:rsidR="008C7996">
              <w:rPr>
                <w:rFonts w:ascii="Calibri" w:hAnsi="Calibri"/>
                <w:color w:val="000000"/>
                <w:sz w:val="16"/>
              </w:rPr>
              <w:fldChar w:fldCharType="separate"/>
            </w:r>
            <w:r w:rsidRPr="0048599A">
              <w:rPr>
                <w:rFonts w:ascii="Calibri" w:hAnsi="Calibri"/>
                <w:sz w:val="16"/>
              </w:rPr>
              <w:t>[15]</w:t>
            </w:r>
            <w:r w:rsidR="008C7996">
              <w:rPr>
                <w:rFonts w:ascii="Calibri" w:hAnsi="Calibri"/>
                <w:color w:val="000000"/>
                <w:sz w:val="16"/>
              </w:rPr>
              <w:fldChar w:fldCharType="end"/>
            </w:r>
          </w:p>
        </w:tc>
        <w:tc>
          <w:tcPr>
            <w:tcW w:w="2608" w:type="dxa"/>
            <w:gridSpan w:val="4"/>
            <w:shd w:val="clear" w:color="auto" w:fill="FFFFFF" w:themeFill="background1"/>
            <w:vAlign w:val="bottom"/>
          </w:tcPr>
          <w:p w14:paraId="7AE2D5F0" w14:textId="77777777" w:rsidR="00E15399" w:rsidRPr="00B505B3" w:rsidRDefault="00E15399" w:rsidP="00582438">
            <w:pPr>
              <w:spacing w:line="276" w:lineRule="auto"/>
              <w:jc w:val="center"/>
              <w:rPr>
                <w:rFonts w:ascii="Calibri" w:hAnsi="Calibri"/>
                <w:color w:val="000000"/>
                <w:sz w:val="16"/>
              </w:rPr>
            </w:pPr>
            <w:r>
              <w:rPr>
                <w:rFonts w:ascii="Calibri" w:hAnsi="Calibri"/>
                <w:color w:val="000000"/>
                <w:sz w:val="16"/>
              </w:rPr>
              <w:t>NICE 2003</w:t>
            </w:r>
          </w:p>
        </w:tc>
        <w:tc>
          <w:tcPr>
            <w:tcW w:w="3260" w:type="dxa"/>
            <w:gridSpan w:val="5"/>
            <w:shd w:val="clear" w:color="auto" w:fill="EEECE1" w:themeFill="background2"/>
            <w:vAlign w:val="bottom"/>
          </w:tcPr>
          <w:p w14:paraId="6B3643B6" w14:textId="77777777" w:rsidR="00E15399" w:rsidRPr="00B505B3" w:rsidRDefault="00E15399" w:rsidP="00582438">
            <w:pPr>
              <w:spacing w:line="276" w:lineRule="auto"/>
              <w:jc w:val="center"/>
              <w:rPr>
                <w:rFonts w:ascii="Calibri" w:hAnsi="Calibri"/>
                <w:color w:val="000000"/>
                <w:sz w:val="16"/>
              </w:rPr>
            </w:pPr>
            <w:r>
              <w:rPr>
                <w:rFonts w:ascii="Calibri" w:hAnsi="Calibri"/>
                <w:color w:val="000000"/>
                <w:sz w:val="16"/>
              </w:rPr>
              <w:t>NICE 2007</w:t>
            </w:r>
          </w:p>
        </w:tc>
      </w:tr>
      <w:tr w:rsidR="00E15399" w14:paraId="49139CB0" w14:textId="77777777" w:rsidTr="006741F7">
        <w:tc>
          <w:tcPr>
            <w:tcW w:w="1649" w:type="dxa"/>
            <w:vAlign w:val="bottom"/>
          </w:tcPr>
          <w:p w14:paraId="28E615F1" w14:textId="77777777" w:rsidR="00E15399" w:rsidRPr="00B505B3" w:rsidRDefault="00E15399" w:rsidP="00582438">
            <w:pPr>
              <w:spacing w:line="276" w:lineRule="auto"/>
              <w:rPr>
                <w:rFonts w:ascii="Calibri" w:hAnsi="Calibri"/>
                <w:color w:val="000000"/>
                <w:sz w:val="16"/>
              </w:rPr>
            </w:pPr>
            <w:r w:rsidRPr="00B505B3">
              <w:rPr>
                <w:rFonts w:ascii="Calibri" w:hAnsi="Calibri"/>
                <w:color w:val="000000"/>
                <w:sz w:val="16"/>
              </w:rPr>
              <w:t>Year</w:t>
            </w:r>
          </w:p>
        </w:tc>
        <w:tc>
          <w:tcPr>
            <w:tcW w:w="651" w:type="dxa"/>
            <w:shd w:val="clear" w:color="auto" w:fill="EEECE1" w:themeFill="background2"/>
            <w:vAlign w:val="center"/>
          </w:tcPr>
          <w:p w14:paraId="1DE479E5" w14:textId="77777777" w:rsidR="00E15399" w:rsidRPr="00B505B3" w:rsidRDefault="00E15399" w:rsidP="006741F7">
            <w:pPr>
              <w:spacing w:line="276" w:lineRule="auto"/>
              <w:jc w:val="center"/>
              <w:rPr>
                <w:rFonts w:ascii="Calibri" w:hAnsi="Calibri"/>
                <w:color w:val="000000"/>
                <w:sz w:val="16"/>
              </w:rPr>
            </w:pPr>
            <w:r w:rsidRPr="00B505B3">
              <w:rPr>
                <w:rFonts w:ascii="Calibri" w:hAnsi="Calibri"/>
                <w:color w:val="000000"/>
                <w:sz w:val="16"/>
              </w:rPr>
              <w:t>2000</w:t>
            </w:r>
          </w:p>
        </w:tc>
        <w:tc>
          <w:tcPr>
            <w:tcW w:w="652" w:type="dxa"/>
            <w:shd w:val="clear" w:color="auto" w:fill="EEECE1" w:themeFill="background2"/>
            <w:vAlign w:val="center"/>
          </w:tcPr>
          <w:p w14:paraId="61251AA2" w14:textId="77777777" w:rsidR="00E15399" w:rsidRPr="00B505B3" w:rsidRDefault="00E15399" w:rsidP="006741F7">
            <w:pPr>
              <w:spacing w:line="276" w:lineRule="auto"/>
              <w:jc w:val="center"/>
              <w:rPr>
                <w:rFonts w:ascii="Calibri" w:hAnsi="Calibri"/>
                <w:color w:val="000000"/>
                <w:sz w:val="16"/>
              </w:rPr>
            </w:pPr>
            <w:r w:rsidRPr="00B505B3">
              <w:rPr>
                <w:rFonts w:ascii="Calibri" w:hAnsi="Calibri"/>
                <w:color w:val="000000"/>
                <w:sz w:val="16"/>
              </w:rPr>
              <w:t>2001</w:t>
            </w:r>
          </w:p>
        </w:tc>
        <w:tc>
          <w:tcPr>
            <w:tcW w:w="652" w:type="dxa"/>
            <w:shd w:val="clear" w:color="auto" w:fill="EEECE1" w:themeFill="background2"/>
            <w:vAlign w:val="center"/>
          </w:tcPr>
          <w:p w14:paraId="677BADE3" w14:textId="77777777" w:rsidR="00E15399" w:rsidRPr="00B505B3" w:rsidRDefault="00E15399" w:rsidP="006741F7">
            <w:pPr>
              <w:spacing w:line="276" w:lineRule="auto"/>
              <w:jc w:val="center"/>
              <w:rPr>
                <w:rFonts w:ascii="Calibri" w:hAnsi="Calibri"/>
                <w:color w:val="000000"/>
                <w:sz w:val="16"/>
              </w:rPr>
            </w:pPr>
            <w:r w:rsidRPr="00B505B3">
              <w:rPr>
                <w:rFonts w:ascii="Calibri" w:hAnsi="Calibri"/>
                <w:color w:val="000000"/>
                <w:sz w:val="16"/>
              </w:rPr>
              <w:t>2002</w:t>
            </w:r>
          </w:p>
        </w:tc>
        <w:tc>
          <w:tcPr>
            <w:tcW w:w="652" w:type="dxa"/>
            <w:vAlign w:val="center"/>
          </w:tcPr>
          <w:p w14:paraId="0ECAD308" w14:textId="77777777" w:rsidR="00E15399" w:rsidRPr="00B505B3" w:rsidRDefault="00E15399" w:rsidP="006741F7">
            <w:pPr>
              <w:spacing w:line="276" w:lineRule="auto"/>
              <w:jc w:val="center"/>
              <w:rPr>
                <w:rFonts w:ascii="Calibri" w:hAnsi="Calibri"/>
                <w:color w:val="000000"/>
                <w:sz w:val="16"/>
              </w:rPr>
            </w:pPr>
            <w:r w:rsidRPr="00B505B3">
              <w:rPr>
                <w:rFonts w:ascii="Calibri" w:hAnsi="Calibri"/>
                <w:color w:val="000000"/>
                <w:sz w:val="16"/>
              </w:rPr>
              <w:t>2003</w:t>
            </w:r>
          </w:p>
        </w:tc>
        <w:tc>
          <w:tcPr>
            <w:tcW w:w="652" w:type="dxa"/>
            <w:vAlign w:val="center"/>
          </w:tcPr>
          <w:p w14:paraId="160E8D29" w14:textId="77777777" w:rsidR="00E15399" w:rsidRPr="00B505B3" w:rsidRDefault="00E15399" w:rsidP="006741F7">
            <w:pPr>
              <w:spacing w:line="276" w:lineRule="auto"/>
              <w:jc w:val="center"/>
              <w:rPr>
                <w:rFonts w:ascii="Calibri" w:hAnsi="Calibri"/>
                <w:color w:val="000000"/>
                <w:sz w:val="16"/>
              </w:rPr>
            </w:pPr>
            <w:r w:rsidRPr="00B505B3">
              <w:rPr>
                <w:rFonts w:ascii="Calibri" w:hAnsi="Calibri"/>
                <w:color w:val="000000"/>
                <w:sz w:val="16"/>
              </w:rPr>
              <w:t>2004</w:t>
            </w:r>
          </w:p>
        </w:tc>
        <w:tc>
          <w:tcPr>
            <w:tcW w:w="652" w:type="dxa"/>
            <w:vAlign w:val="center"/>
          </w:tcPr>
          <w:p w14:paraId="474A1AA9" w14:textId="77777777" w:rsidR="00E15399" w:rsidRPr="00B505B3" w:rsidRDefault="00E15399" w:rsidP="006741F7">
            <w:pPr>
              <w:spacing w:line="276" w:lineRule="auto"/>
              <w:jc w:val="center"/>
              <w:rPr>
                <w:rFonts w:ascii="Calibri" w:hAnsi="Calibri"/>
                <w:color w:val="000000"/>
                <w:sz w:val="16"/>
              </w:rPr>
            </w:pPr>
            <w:r w:rsidRPr="00B505B3">
              <w:rPr>
                <w:rFonts w:ascii="Calibri" w:hAnsi="Calibri"/>
                <w:color w:val="000000"/>
                <w:sz w:val="16"/>
              </w:rPr>
              <w:t>2005</w:t>
            </w:r>
          </w:p>
        </w:tc>
        <w:tc>
          <w:tcPr>
            <w:tcW w:w="652" w:type="dxa"/>
            <w:vAlign w:val="center"/>
          </w:tcPr>
          <w:p w14:paraId="00EDAB27" w14:textId="77777777" w:rsidR="00E15399" w:rsidRPr="00B505B3" w:rsidRDefault="00E15399" w:rsidP="006741F7">
            <w:pPr>
              <w:spacing w:line="276" w:lineRule="auto"/>
              <w:jc w:val="center"/>
              <w:rPr>
                <w:rFonts w:ascii="Calibri" w:hAnsi="Calibri"/>
                <w:color w:val="000000"/>
                <w:sz w:val="16"/>
              </w:rPr>
            </w:pPr>
            <w:r w:rsidRPr="00B505B3">
              <w:rPr>
                <w:rFonts w:ascii="Calibri" w:hAnsi="Calibri"/>
                <w:color w:val="000000"/>
                <w:sz w:val="16"/>
              </w:rPr>
              <w:t>2006</w:t>
            </w:r>
          </w:p>
        </w:tc>
        <w:tc>
          <w:tcPr>
            <w:tcW w:w="652" w:type="dxa"/>
            <w:shd w:val="clear" w:color="auto" w:fill="EEECE1" w:themeFill="background2"/>
            <w:vAlign w:val="center"/>
          </w:tcPr>
          <w:p w14:paraId="38CB9DE8" w14:textId="77777777" w:rsidR="00E15399" w:rsidRPr="00B505B3" w:rsidRDefault="00E15399" w:rsidP="006741F7">
            <w:pPr>
              <w:spacing w:line="276" w:lineRule="auto"/>
              <w:jc w:val="center"/>
              <w:rPr>
                <w:rFonts w:ascii="Calibri" w:hAnsi="Calibri"/>
                <w:color w:val="000000"/>
                <w:sz w:val="16"/>
              </w:rPr>
            </w:pPr>
            <w:r w:rsidRPr="00B505B3">
              <w:rPr>
                <w:rFonts w:ascii="Calibri" w:hAnsi="Calibri"/>
                <w:color w:val="000000"/>
                <w:sz w:val="16"/>
              </w:rPr>
              <w:t>2007</w:t>
            </w:r>
          </w:p>
        </w:tc>
        <w:tc>
          <w:tcPr>
            <w:tcW w:w="652" w:type="dxa"/>
            <w:shd w:val="clear" w:color="auto" w:fill="EEECE1" w:themeFill="background2"/>
            <w:vAlign w:val="center"/>
          </w:tcPr>
          <w:p w14:paraId="7675A399" w14:textId="77777777" w:rsidR="00E15399" w:rsidRPr="00B505B3" w:rsidRDefault="00E15399" w:rsidP="006741F7">
            <w:pPr>
              <w:spacing w:line="276" w:lineRule="auto"/>
              <w:jc w:val="center"/>
              <w:rPr>
                <w:rFonts w:ascii="Calibri" w:hAnsi="Calibri"/>
                <w:color w:val="000000"/>
                <w:sz w:val="16"/>
              </w:rPr>
            </w:pPr>
            <w:r w:rsidRPr="00B505B3">
              <w:rPr>
                <w:rFonts w:ascii="Calibri" w:hAnsi="Calibri"/>
                <w:color w:val="000000"/>
                <w:sz w:val="16"/>
              </w:rPr>
              <w:t>2008</w:t>
            </w:r>
          </w:p>
        </w:tc>
        <w:tc>
          <w:tcPr>
            <w:tcW w:w="652" w:type="dxa"/>
            <w:shd w:val="clear" w:color="auto" w:fill="EEECE1" w:themeFill="background2"/>
            <w:vAlign w:val="center"/>
          </w:tcPr>
          <w:p w14:paraId="1A12137B" w14:textId="77777777" w:rsidR="00E15399" w:rsidRPr="00B505B3" w:rsidRDefault="00E15399" w:rsidP="006741F7">
            <w:pPr>
              <w:spacing w:line="276" w:lineRule="auto"/>
              <w:jc w:val="center"/>
              <w:rPr>
                <w:rFonts w:ascii="Calibri" w:hAnsi="Calibri"/>
                <w:color w:val="000000"/>
                <w:sz w:val="16"/>
              </w:rPr>
            </w:pPr>
            <w:r w:rsidRPr="00B505B3">
              <w:rPr>
                <w:rFonts w:ascii="Calibri" w:hAnsi="Calibri"/>
                <w:color w:val="000000"/>
                <w:sz w:val="16"/>
              </w:rPr>
              <w:t>2009</w:t>
            </w:r>
          </w:p>
        </w:tc>
        <w:tc>
          <w:tcPr>
            <w:tcW w:w="652" w:type="dxa"/>
            <w:shd w:val="clear" w:color="auto" w:fill="EEECE1" w:themeFill="background2"/>
            <w:vAlign w:val="center"/>
          </w:tcPr>
          <w:p w14:paraId="42820291" w14:textId="77777777" w:rsidR="00E15399" w:rsidRPr="00B505B3" w:rsidRDefault="00E15399" w:rsidP="006741F7">
            <w:pPr>
              <w:spacing w:line="276" w:lineRule="auto"/>
              <w:jc w:val="center"/>
              <w:rPr>
                <w:rFonts w:ascii="Calibri" w:hAnsi="Calibri"/>
                <w:color w:val="000000"/>
                <w:sz w:val="16"/>
              </w:rPr>
            </w:pPr>
            <w:r w:rsidRPr="00B505B3">
              <w:rPr>
                <w:rFonts w:ascii="Calibri" w:hAnsi="Calibri"/>
                <w:color w:val="000000"/>
                <w:sz w:val="16"/>
              </w:rPr>
              <w:t>2010</w:t>
            </w:r>
          </w:p>
        </w:tc>
        <w:tc>
          <w:tcPr>
            <w:tcW w:w="652" w:type="dxa"/>
            <w:shd w:val="clear" w:color="auto" w:fill="EEECE1" w:themeFill="background2"/>
            <w:vAlign w:val="center"/>
          </w:tcPr>
          <w:p w14:paraId="10A946F3" w14:textId="77777777" w:rsidR="00E15399" w:rsidRPr="00B505B3" w:rsidRDefault="00E15399" w:rsidP="006741F7">
            <w:pPr>
              <w:spacing w:line="276" w:lineRule="auto"/>
              <w:jc w:val="center"/>
              <w:rPr>
                <w:rFonts w:ascii="Calibri" w:hAnsi="Calibri"/>
                <w:color w:val="000000"/>
                <w:sz w:val="16"/>
              </w:rPr>
            </w:pPr>
            <w:r w:rsidRPr="00B505B3">
              <w:rPr>
                <w:rFonts w:ascii="Calibri" w:hAnsi="Calibri"/>
                <w:color w:val="000000"/>
                <w:sz w:val="16"/>
              </w:rPr>
              <w:t>2011</w:t>
            </w:r>
          </w:p>
        </w:tc>
      </w:tr>
      <w:tr w:rsidR="00E15399" w14:paraId="27AA14B0" w14:textId="77777777" w:rsidTr="006741F7">
        <w:tc>
          <w:tcPr>
            <w:tcW w:w="1649" w:type="dxa"/>
          </w:tcPr>
          <w:p w14:paraId="106EDF90" w14:textId="77777777" w:rsidR="00E15399" w:rsidRDefault="00E15399" w:rsidP="00582438">
            <w:pPr>
              <w:tabs>
                <w:tab w:val="right" w:pos="1768"/>
              </w:tabs>
              <w:spacing w:line="276" w:lineRule="auto"/>
              <w:rPr>
                <w:sz w:val="16"/>
                <w:szCs w:val="16"/>
              </w:rPr>
            </w:pPr>
            <w:r>
              <w:rPr>
                <w:sz w:val="16"/>
                <w:szCs w:val="16"/>
              </w:rPr>
              <w:t xml:space="preserve">Number of </w:t>
            </w:r>
            <w:r w:rsidR="006741F7">
              <w:rPr>
                <w:sz w:val="16"/>
                <w:szCs w:val="16"/>
              </w:rPr>
              <w:t xml:space="preserve">HI </w:t>
            </w:r>
            <w:r>
              <w:rPr>
                <w:sz w:val="16"/>
                <w:szCs w:val="16"/>
              </w:rPr>
              <w:t>Admissions</w:t>
            </w:r>
          </w:p>
        </w:tc>
        <w:tc>
          <w:tcPr>
            <w:tcW w:w="651" w:type="dxa"/>
            <w:shd w:val="clear" w:color="auto" w:fill="EEECE1" w:themeFill="background2"/>
            <w:vAlign w:val="center"/>
          </w:tcPr>
          <w:p w14:paraId="08833FB4" w14:textId="77777777" w:rsidR="00E15399" w:rsidRPr="002D3872" w:rsidRDefault="00E15399" w:rsidP="006741F7">
            <w:pPr>
              <w:spacing w:line="276" w:lineRule="auto"/>
              <w:jc w:val="center"/>
              <w:rPr>
                <w:rFonts w:ascii="Calibri" w:hAnsi="Calibri"/>
                <w:color w:val="000000"/>
                <w:sz w:val="16"/>
              </w:rPr>
            </w:pPr>
            <w:r w:rsidRPr="002D3872">
              <w:rPr>
                <w:sz w:val="16"/>
              </w:rPr>
              <w:t>34150</w:t>
            </w:r>
          </w:p>
        </w:tc>
        <w:tc>
          <w:tcPr>
            <w:tcW w:w="652" w:type="dxa"/>
            <w:shd w:val="clear" w:color="auto" w:fill="EEECE1" w:themeFill="background2"/>
            <w:vAlign w:val="center"/>
          </w:tcPr>
          <w:p w14:paraId="2E2F8C32" w14:textId="77777777" w:rsidR="00E15399" w:rsidRPr="002D3872" w:rsidRDefault="00E15399" w:rsidP="006741F7">
            <w:pPr>
              <w:spacing w:line="276" w:lineRule="auto"/>
              <w:jc w:val="center"/>
              <w:rPr>
                <w:rFonts w:ascii="Calibri" w:hAnsi="Calibri"/>
                <w:color w:val="000000"/>
                <w:sz w:val="16"/>
              </w:rPr>
            </w:pPr>
            <w:r w:rsidRPr="002D3872">
              <w:rPr>
                <w:sz w:val="16"/>
              </w:rPr>
              <w:t>34754</w:t>
            </w:r>
          </w:p>
        </w:tc>
        <w:tc>
          <w:tcPr>
            <w:tcW w:w="652" w:type="dxa"/>
            <w:shd w:val="clear" w:color="auto" w:fill="EEECE1" w:themeFill="background2"/>
            <w:vAlign w:val="center"/>
          </w:tcPr>
          <w:p w14:paraId="71222FA8" w14:textId="77777777" w:rsidR="00E15399" w:rsidRPr="002D3872" w:rsidRDefault="00E15399" w:rsidP="006741F7">
            <w:pPr>
              <w:spacing w:line="276" w:lineRule="auto"/>
              <w:jc w:val="center"/>
              <w:rPr>
                <w:rFonts w:ascii="Calibri" w:hAnsi="Calibri"/>
                <w:color w:val="000000"/>
                <w:sz w:val="16"/>
              </w:rPr>
            </w:pPr>
            <w:r w:rsidRPr="002D3872">
              <w:rPr>
                <w:sz w:val="16"/>
              </w:rPr>
              <w:t>32704</w:t>
            </w:r>
          </w:p>
        </w:tc>
        <w:tc>
          <w:tcPr>
            <w:tcW w:w="652" w:type="dxa"/>
            <w:vAlign w:val="center"/>
          </w:tcPr>
          <w:p w14:paraId="478B2389" w14:textId="77777777" w:rsidR="00E15399" w:rsidRPr="002D3872" w:rsidRDefault="00E15399" w:rsidP="006741F7">
            <w:pPr>
              <w:spacing w:line="276" w:lineRule="auto"/>
              <w:jc w:val="center"/>
              <w:rPr>
                <w:rFonts w:ascii="Calibri" w:hAnsi="Calibri"/>
                <w:color w:val="000000"/>
                <w:sz w:val="16"/>
              </w:rPr>
            </w:pPr>
            <w:r w:rsidRPr="002D3872">
              <w:rPr>
                <w:sz w:val="16"/>
              </w:rPr>
              <w:t>33842</w:t>
            </w:r>
          </w:p>
        </w:tc>
        <w:tc>
          <w:tcPr>
            <w:tcW w:w="652" w:type="dxa"/>
            <w:vAlign w:val="center"/>
          </w:tcPr>
          <w:p w14:paraId="3FDF2100" w14:textId="77777777" w:rsidR="00E15399" w:rsidRPr="002D3872" w:rsidRDefault="00E15399" w:rsidP="006741F7">
            <w:pPr>
              <w:spacing w:line="276" w:lineRule="auto"/>
              <w:jc w:val="center"/>
              <w:rPr>
                <w:rFonts w:ascii="Calibri" w:hAnsi="Calibri"/>
                <w:color w:val="000000"/>
                <w:sz w:val="16"/>
              </w:rPr>
            </w:pPr>
            <w:r w:rsidRPr="002D3872">
              <w:rPr>
                <w:sz w:val="16"/>
              </w:rPr>
              <w:t>34291</w:t>
            </w:r>
          </w:p>
        </w:tc>
        <w:tc>
          <w:tcPr>
            <w:tcW w:w="652" w:type="dxa"/>
            <w:vAlign w:val="center"/>
          </w:tcPr>
          <w:p w14:paraId="6E01DBDB" w14:textId="77777777" w:rsidR="00E15399" w:rsidRPr="002D3872" w:rsidRDefault="00E15399" w:rsidP="006741F7">
            <w:pPr>
              <w:spacing w:line="276" w:lineRule="auto"/>
              <w:jc w:val="center"/>
              <w:rPr>
                <w:rFonts w:ascii="Calibri" w:hAnsi="Calibri"/>
                <w:color w:val="000000"/>
                <w:sz w:val="16"/>
              </w:rPr>
            </w:pPr>
            <w:r w:rsidRPr="002D3872">
              <w:rPr>
                <w:sz w:val="16"/>
              </w:rPr>
              <w:t>35002</w:t>
            </w:r>
          </w:p>
        </w:tc>
        <w:tc>
          <w:tcPr>
            <w:tcW w:w="652" w:type="dxa"/>
            <w:vAlign w:val="center"/>
          </w:tcPr>
          <w:p w14:paraId="585C5F1C" w14:textId="77777777" w:rsidR="00E15399" w:rsidRPr="002D3872" w:rsidRDefault="00E15399" w:rsidP="006741F7">
            <w:pPr>
              <w:spacing w:line="276" w:lineRule="auto"/>
              <w:jc w:val="center"/>
              <w:rPr>
                <w:rFonts w:ascii="Calibri" w:hAnsi="Calibri"/>
                <w:color w:val="000000"/>
                <w:sz w:val="16"/>
              </w:rPr>
            </w:pPr>
            <w:r w:rsidRPr="002D3872">
              <w:rPr>
                <w:sz w:val="16"/>
              </w:rPr>
              <w:t>34844</w:t>
            </w:r>
          </w:p>
        </w:tc>
        <w:tc>
          <w:tcPr>
            <w:tcW w:w="652" w:type="dxa"/>
            <w:shd w:val="clear" w:color="auto" w:fill="EEECE1" w:themeFill="background2"/>
            <w:vAlign w:val="center"/>
          </w:tcPr>
          <w:p w14:paraId="6AB9AD6E" w14:textId="77777777" w:rsidR="00E15399" w:rsidRPr="002D3872" w:rsidRDefault="00E15399" w:rsidP="006741F7">
            <w:pPr>
              <w:spacing w:line="276" w:lineRule="auto"/>
              <w:jc w:val="center"/>
              <w:rPr>
                <w:rFonts w:ascii="Calibri" w:hAnsi="Calibri"/>
                <w:color w:val="000000"/>
                <w:sz w:val="16"/>
              </w:rPr>
            </w:pPr>
            <w:r w:rsidRPr="002D3872">
              <w:rPr>
                <w:sz w:val="16"/>
              </w:rPr>
              <w:t>33248</w:t>
            </w:r>
          </w:p>
        </w:tc>
        <w:tc>
          <w:tcPr>
            <w:tcW w:w="652" w:type="dxa"/>
            <w:shd w:val="clear" w:color="auto" w:fill="EEECE1" w:themeFill="background2"/>
            <w:vAlign w:val="center"/>
          </w:tcPr>
          <w:p w14:paraId="703F4341" w14:textId="77777777" w:rsidR="00E15399" w:rsidRPr="002D3872" w:rsidRDefault="00E15399" w:rsidP="006741F7">
            <w:pPr>
              <w:spacing w:line="276" w:lineRule="auto"/>
              <w:jc w:val="center"/>
              <w:rPr>
                <w:rFonts w:ascii="Calibri" w:hAnsi="Calibri"/>
                <w:color w:val="000000"/>
                <w:sz w:val="16"/>
              </w:rPr>
            </w:pPr>
            <w:r w:rsidRPr="002D3872">
              <w:rPr>
                <w:sz w:val="16"/>
              </w:rPr>
              <w:t>33331</w:t>
            </w:r>
          </w:p>
        </w:tc>
        <w:tc>
          <w:tcPr>
            <w:tcW w:w="652" w:type="dxa"/>
            <w:shd w:val="clear" w:color="auto" w:fill="EEECE1" w:themeFill="background2"/>
            <w:vAlign w:val="center"/>
          </w:tcPr>
          <w:p w14:paraId="4603FCD7" w14:textId="77777777" w:rsidR="00E15399" w:rsidRPr="002D3872" w:rsidRDefault="00E15399" w:rsidP="006741F7">
            <w:pPr>
              <w:spacing w:line="276" w:lineRule="auto"/>
              <w:jc w:val="center"/>
              <w:rPr>
                <w:rFonts w:ascii="Calibri" w:hAnsi="Calibri"/>
                <w:color w:val="000000"/>
                <w:sz w:val="16"/>
              </w:rPr>
            </w:pPr>
            <w:r w:rsidRPr="002D3872">
              <w:rPr>
                <w:sz w:val="16"/>
              </w:rPr>
              <w:t>35679</w:t>
            </w:r>
          </w:p>
        </w:tc>
        <w:tc>
          <w:tcPr>
            <w:tcW w:w="652" w:type="dxa"/>
            <w:shd w:val="clear" w:color="auto" w:fill="EEECE1" w:themeFill="background2"/>
            <w:vAlign w:val="center"/>
          </w:tcPr>
          <w:p w14:paraId="2207910F" w14:textId="77777777" w:rsidR="00E15399" w:rsidRPr="002D3872" w:rsidRDefault="00E15399" w:rsidP="006741F7">
            <w:pPr>
              <w:spacing w:line="276" w:lineRule="auto"/>
              <w:jc w:val="center"/>
              <w:rPr>
                <w:rFonts w:ascii="Calibri" w:hAnsi="Calibri"/>
                <w:color w:val="000000"/>
                <w:sz w:val="16"/>
              </w:rPr>
            </w:pPr>
            <w:r w:rsidRPr="002D3872">
              <w:rPr>
                <w:sz w:val="16"/>
              </w:rPr>
              <w:t>36360</w:t>
            </w:r>
          </w:p>
        </w:tc>
        <w:tc>
          <w:tcPr>
            <w:tcW w:w="652" w:type="dxa"/>
            <w:shd w:val="clear" w:color="auto" w:fill="EEECE1" w:themeFill="background2"/>
            <w:vAlign w:val="center"/>
          </w:tcPr>
          <w:p w14:paraId="1754B4D5" w14:textId="77777777" w:rsidR="00E15399" w:rsidRPr="002D3872" w:rsidRDefault="00E15399" w:rsidP="006741F7">
            <w:pPr>
              <w:spacing w:line="276" w:lineRule="auto"/>
              <w:jc w:val="center"/>
              <w:rPr>
                <w:rFonts w:ascii="Calibri" w:hAnsi="Calibri"/>
                <w:color w:val="000000"/>
                <w:sz w:val="16"/>
              </w:rPr>
            </w:pPr>
            <w:r w:rsidRPr="002D3872">
              <w:rPr>
                <w:sz w:val="16"/>
              </w:rPr>
              <w:t>37430</w:t>
            </w:r>
          </w:p>
        </w:tc>
      </w:tr>
      <w:tr w:rsidR="00E324BD" w14:paraId="28B164FB" w14:textId="77777777" w:rsidTr="006741F7">
        <w:tc>
          <w:tcPr>
            <w:tcW w:w="1649" w:type="dxa"/>
          </w:tcPr>
          <w:p w14:paraId="42E87E73" w14:textId="77777777" w:rsidR="006741F7" w:rsidRDefault="006741F7" w:rsidP="006741F7">
            <w:pPr>
              <w:spacing w:line="276" w:lineRule="auto"/>
              <w:rPr>
                <w:sz w:val="16"/>
                <w:szCs w:val="16"/>
              </w:rPr>
            </w:pPr>
            <w:r>
              <w:rPr>
                <w:sz w:val="16"/>
                <w:szCs w:val="16"/>
              </w:rPr>
              <w:t>Incidence rate ratio of admission compared to 2000</w:t>
            </w:r>
          </w:p>
          <w:p w14:paraId="6C47EBCC" w14:textId="77777777" w:rsidR="00E324BD" w:rsidRPr="006741F7" w:rsidRDefault="006741F7" w:rsidP="006741F7">
            <w:pPr>
              <w:rPr>
                <w:sz w:val="16"/>
                <w:szCs w:val="16"/>
              </w:rPr>
            </w:pPr>
            <w:r>
              <w:rPr>
                <w:sz w:val="16"/>
                <w:szCs w:val="16"/>
              </w:rPr>
              <w:t>(95% CI)</w:t>
            </w:r>
          </w:p>
        </w:tc>
        <w:tc>
          <w:tcPr>
            <w:tcW w:w="651" w:type="dxa"/>
            <w:shd w:val="clear" w:color="auto" w:fill="EEECE1" w:themeFill="background2"/>
            <w:vAlign w:val="center"/>
          </w:tcPr>
          <w:p w14:paraId="1E2DF223"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1</w:t>
            </w:r>
            <w:r w:rsidR="006741F7">
              <w:rPr>
                <w:rFonts w:ascii="Calibri" w:hAnsi="Calibri"/>
                <w:color w:val="000000"/>
                <w:sz w:val="16"/>
                <w:szCs w:val="16"/>
              </w:rPr>
              <w:t>.00</w:t>
            </w:r>
          </w:p>
        </w:tc>
        <w:tc>
          <w:tcPr>
            <w:tcW w:w="652" w:type="dxa"/>
            <w:shd w:val="clear" w:color="auto" w:fill="EEECE1" w:themeFill="background2"/>
            <w:vAlign w:val="center"/>
          </w:tcPr>
          <w:p w14:paraId="63AEFA76"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1.0</w:t>
            </w:r>
            <w:r w:rsidR="006741F7">
              <w:rPr>
                <w:rFonts w:ascii="Calibri" w:hAnsi="Calibri"/>
                <w:color w:val="000000"/>
                <w:sz w:val="16"/>
                <w:szCs w:val="16"/>
              </w:rPr>
              <w:t>3</w:t>
            </w:r>
            <w:r w:rsidRPr="006741F7">
              <w:rPr>
                <w:rFonts w:ascii="Calibri" w:hAnsi="Calibri"/>
                <w:color w:val="000000"/>
                <w:sz w:val="16"/>
                <w:szCs w:val="16"/>
              </w:rPr>
              <w:t xml:space="preserve"> (1.01-1.04)</w:t>
            </w:r>
          </w:p>
        </w:tc>
        <w:tc>
          <w:tcPr>
            <w:tcW w:w="652" w:type="dxa"/>
            <w:shd w:val="clear" w:color="auto" w:fill="EEECE1" w:themeFill="background2"/>
            <w:vAlign w:val="center"/>
          </w:tcPr>
          <w:p w14:paraId="4ACB613A"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0.9</w:t>
            </w:r>
            <w:r w:rsidR="006741F7">
              <w:rPr>
                <w:rFonts w:ascii="Calibri" w:hAnsi="Calibri"/>
                <w:color w:val="000000"/>
                <w:sz w:val="16"/>
                <w:szCs w:val="16"/>
              </w:rPr>
              <w:t>7</w:t>
            </w:r>
            <w:r w:rsidRPr="006741F7">
              <w:rPr>
                <w:rFonts w:ascii="Calibri" w:hAnsi="Calibri"/>
                <w:color w:val="000000"/>
                <w:sz w:val="16"/>
                <w:szCs w:val="16"/>
              </w:rPr>
              <w:t xml:space="preserve"> (0.95-0.98)</w:t>
            </w:r>
          </w:p>
        </w:tc>
        <w:tc>
          <w:tcPr>
            <w:tcW w:w="652" w:type="dxa"/>
            <w:vAlign w:val="center"/>
          </w:tcPr>
          <w:p w14:paraId="775DB82C"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1.00 (0.99-1.0</w:t>
            </w:r>
            <w:r w:rsidR="006741F7">
              <w:rPr>
                <w:rFonts w:ascii="Calibri" w:hAnsi="Calibri"/>
                <w:color w:val="000000"/>
                <w:sz w:val="16"/>
                <w:szCs w:val="16"/>
              </w:rPr>
              <w:t>2</w:t>
            </w:r>
            <w:r w:rsidRPr="006741F7">
              <w:rPr>
                <w:rFonts w:ascii="Calibri" w:hAnsi="Calibri"/>
                <w:color w:val="000000"/>
                <w:sz w:val="16"/>
                <w:szCs w:val="16"/>
              </w:rPr>
              <w:t>)</w:t>
            </w:r>
          </w:p>
        </w:tc>
        <w:tc>
          <w:tcPr>
            <w:tcW w:w="652" w:type="dxa"/>
            <w:vAlign w:val="center"/>
          </w:tcPr>
          <w:p w14:paraId="616F6279"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1.02 (1.0</w:t>
            </w:r>
            <w:r w:rsidR="006741F7">
              <w:rPr>
                <w:rFonts w:ascii="Calibri" w:hAnsi="Calibri"/>
                <w:color w:val="000000"/>
                <w:sz w:val="16"/>
                <w:szCs w:val="16"/>
              </w:rPr>
              <w:t>1</w:t>
            </w:r>
            <w:r w:rsidRPr="006741F7">
              <w:rPr>
                <w:rFonts w:ascii="Calibri" w:hAnsi="Calibri"/>
                <w:color w:val="000000"/>
                <w:sz w:val="16"/>
                <w:szCs w:val="16"/>
              </w:rPr>
              <w:t>-1.0</w:t>
            </w:r>
            <w:r w:rsidR="006741F7">
              <w:rPr>
                <w:rFonts w:ascii="Calibri" w:hAnsi="Calibri"/>
                <w:color w:val="000000"/>
                <w:sz w:val="16"/>
                <w:szCs w:val="16"/>
              </w:rPr>
              <w:t>4</w:t>
            </w:r>
            <w:r w:rsidRPr="006741F7">
              <w:rPr>
                <w:rFonts w:ascii="Calibri" w:hAnsi="Calibri"/>
                <w:color w:val="000000"/>
                <w:sz w:val="16"/>
                <w:szCs w:val="16"/>
              </w:rPr>
              <w:t>)</w:t>
            </w:r>
          </w:p>
        </w:tc>
        <w:tc>
          <w:tcPr>
            <w:tcW w:w="652" w:type="dxa"/>
            <w:vAlign w:val="center"/>
          </w:tcPr>
          <w:p w14:paraId="0921AAC8"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1.04 (1.0</w:t>
            </w:r>
            <w:r w:rsidR="006741F7">
              <w:rPr>
                <w:rFonts w:ascii="Calibri" w:hAnsi="Calibri"/>
                <w:color w:val="000000"/>
                <w:sz w:val="16"/>
                <w:szCs w:val="16"/>
              </w:rPr>
              <w:t>3</w:t>
            </w:r>
            <w:r w:rsidRPr="006741F7">
              <w:rPr>
                <w:rFonts w:ascii="Calibri" w:hAnsi="Calibri"/>
                <w:color w:val="000000"/>
                <w:sz w:val="16"/>
                <w:szCs w:val="16"/>
              </w:rPr>
              <w:t>-1.0</w:t>
            </w:r>
            <w:r w:rsidR="006741F7">
              <w:rPr>
                <w:rFonts w:ascii="Calibri" w:hAnsi="Calibri"/>
                <w:color w:val="000000"/>
                <w:sz w:val="16"/>
                <w:szCs w:val="16"/>
              </w:rPr>
              <w:t>6</w:t>
            </w:r>
            <w:r w:rsidRPr="006741F7">
              <w:rPr>
                <w:rFonts w:ascii="Calibri" w:hAnsi="Calibri"/>
                <w:color w:val="000000"/>
                <w:sz w:val="16"/>
                <w:szCs w:val="16"/>
              </w:rPr>
              <w:t>)</w:t>
            </w:r>
          </w:p>
        </w:tc>
        <w:tc>
          <w:tcPr>
            <w:tcW w:w="652" w:type="dxa"/>
            <w:vAlign w:val="center"/>
          </w:tcPr>
          <w:p w14:paraId="6BA16091"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1.0</w:t>
            </w:r>
            <w:r w:rsidR="006741F7">
              <w:rPr>
                <w:rFonts w:ascii="Calibri" w:hAnsi="Calibri"/>
                <w:color w:val="000000"/>
                <w:sz w:val="16"/>
                <w:szCs w:val="16"/>
              </w:rPr>
              <w:t>4</w:t>
            </w:r>
            <w:r w:rsidRPr="006741F7">
              <w:rPr>
                <w:rFonts w:ascii="Calibri" w:hAnsi="Calibri"/>
                <w:color w:val="000000"/>
                <w:sz w:val="16"/>
                <w:szCs w:val="16"/>
              </w:rPr>
              <w:t xml:space="preserve"> (1.02-1.05)</w:t>
            </w:r>
          </w:p>
        </w:tc>
        <w:tc>
          <w:tcPr>
            <w:tcW w:w="652" w:type="dxa"/>
            <w:shd w:val="clear" w:color="auto" w:fill="EEECE1" w:themeFill="background2"/>
            <w:vAlign w:val="center"/>
          </w:tcPr>
          <w:p w14:paraId="2902976F"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0.99 (0.9</w:t>
            </w:r>
            <w:r w:rsidR="006741F7">
              <w:rPr>
                <w:rFonts w:ascii="Calibri" w:hAnsi="Calibri"/>
                <w:color w:val="000000"/>
                <w:sz w:val="16"/>
                <w:szCs w:val="16"/>
              </w:rPr>
              <w:t>8-1.01</w:t>
            </w:r>
            <w:r w:rsidRPr="006741F7">
              <w:rPr>
                <w:rFonts w:ascii="Calibri" w:hAnsi="Calibri"/>
                <w:color w:val="000000"/>
                <w:sz w:val="16"/>
                <w:szCs w:val="16"/>
              </w:rPr>
              <w:t>)</w:t>
            </w:r>
          </w:p>
        </w:tc>
        <w:tc>
          <w:tcPr>
            <w:tcW w:w="652" w:type="dxa"/>
            <w:shd w:val="clear" w:color="auto" w:fill="EEECE1" w:themeFill="background2"/>
            <w:vAlign w:val="center"/>
          </w:tcPr>
          <w:p w14:paraId="6378416F"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0.99 (0.97-1.00)</w:t>
            </w:r>
          </w:p>
        </w:tc>
        <w:tc>
          <w:tcPr>
            <w:tcW w:w="652" w:type="dxa"/>
            <w:shd w:val="clear" w:color="auto" w:fill="EEECE1" w:themeFill="background2"/>
            <w:vAlign w:val="center"/>
          </w:tcPr>
          <w:p w14:paraId="17731D70"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1.05 (1.0</w:t>
            </w:r>
            <w:r w:rsidR="006741F7">
              <w:rPr>
                <w:rFonts w:ascii="Calibri" w:hAnsi="Calibri"/>
                <w:color w:val="000000"/>
                <w:sz w:val="16"/>
                <w:szCs w:val="16"/>
              </w:rPr>
              <w:t>4</w:t>
            </w:r>
            <w:r w:rsidRPr="006741F7">
              <w:rPr>
                <w:rFonts w:ascii="Calibri" w:hAnsi="Calibri"/>
                <w:color w:val="000000"/>
                <w:sz w:val="16"/>
                <w:szCs w:val="16"/>
              </w:rPr>
              <w:t>-1.0</w:t>
            </w:r>
            <w:r w:rsidR="006741F7">
              <w:rPr>
                <w:rFonts w:ascii="Calibri" w:hAnsi="Calibri"/>
                <w:color w:val="000000"/>
                <w:sz w:val="16"/>
                <w:szCs w:val="16"/>
              </w:rPr>
              <w:t>7</w:t>
            </w:r>
            <w:r w:rsidRPr="006741F7">
              <w:rPr>
                <w:rFonts w:ascii="Calibri" w:hAnsi="Calibri"/>
                <w:color w:val="000000"/>
                <w:sz w:val="16"/>
                <w:szCs w:val="16"/>
              </w:rPr>
              <w:t>)</w:t>
            </w:r>
          </w:p>
        </w:tc>
        <w:tc>
          <w:tcPr>
            <w:tcW w:w="652" w:type="dxa"/>
            <w:shd w:val="clear" w:color="auto" w:fill="EEECE1" w:themeFill="background2"/>
            <w:vAlign w:val="center"/>
          </w:tcPr>
          <w:p w14:paraId="363D0A8F"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1.07 (1.05-1.08)</w:t>
            </w:r>
          </w:p>
        </w:tc>
        <w:tc>
          <w:tcPr>
            <w:tcW w:w="652" w:type="dxa"/>
            <w:shd w:val="clear" w:color="auto" w:fill="EEECE1" w:themeFill="background2"/>
            <w:vAlign w:val="center"/>
          </w:tcPr>
          <w:p w14:paraId="5ECAE49E"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1.09 (1.0</w:t>
            </w:r>
            <w:r w:rsidR="006741F7">
              <w:rPr>
                <w:rFonts w:ascii="Calibri" w:hAnsi="Calibri"/>
                <w:color w:val="000000"/>
                <w:sz w:val="16"/>
                <w:szCs w:val="16"/>
              </w:rPr>
              <w:t>8</w:t>
            </w:r>
            <w:r w:rsidRPr="006741F7">
              <w:rPr>
                <w:rFonts w:ascii="Calibri" w:hAnsi="Calibri"/>
                <w:color w:val="000000"/>
                <w:sz w:val="16"/>
                <w:szCs w:val="16"/>
              </w:rPr>
              <w:t>-1.1</w:t>
            </w:r>
            <w:r w:rsidR="006741F7">
              <w:rPr>
                <w:rFonts w:ascii="Calibri" w:hAnsi="Calibri"/>
                <w:color w:val="000000"/>
                <w:sz w:val="16"/>
                <w:szCs w:val="16"/>
              </w:rPr>
              <w:t>1</w:t>
            </w:r>
            <w:r w:rsidRPr="006741F7">
              <w:rPr>
                <w:rFonts w:ascii="Calibri" w:hAnsi="Calibri"/>
                <w:color w:val="000000"/>
                <w:sz w:val="16"/>
                <w:szCs w:val="16"/>
              </w:rPr>
              <w:t>)</w:t>
            </w:r>
          </w:p>
        </w:tc>
      </w:tr>
      <w:tr w:rsidR="00E15399" w14:paraId="3834E533" w14:textId="77777777" w:rsidTr="006741F7">
        <w:tc>
          <w:tcPr>
            <w:tcW w:w="1649" w:type="dxa"/>
          </w:tcPr>
          <w:p w14:paraId="387BB405" w14:textId="77777777" w:rsidR="00E15399" w:rsidRPr="006741F7" w:rsidRDefault="00E15399" w:rsidP="00582438">
            <w:pPr>
              <w:spacing w:line="276" w:lineRule="auto"/>
              <w:rPr>
                <w:sz w:val="16"/>
                <w:szCs w:val="16"/>
              </w:rPr>
            </w:pPr>
            <w:r w:rsidRPr="006741F7">
              <w:rPr>
                <w:sz w:val="16"/>
                <w:szCs w:val="16"/>
              </w:rPr>
              <w:t xml:space="preserve">Number of </w:t>
            </w:r>
            <w:r w:rsidR="006741F7">
              <w:rPr>
                <w:sz w:val="16"/>
                <w:szCs w:val="16"/>
              </w:rPr>
              <w:t xml:space="preserve">HI </w:t>
            </w:r>
            <w:r w:rsidRPr="006741F7">
              <w:rPr>
                <w:sz w:val="16"/>
                <w:szCs w:val="16"/>
              </w:rPr>
              <w:t>deaths</w:t>
            </w:r>
          </w:p>
        </w:tc>
        <w:tc>
          <w:tcPr>
            <w:tcW w:w="651" w:type="dxa"/>
            <w:shd w:val="clear" w:color="auto" w:fill="EEECE1" w:themeFill="background2"/>
            <w:vAlign w:val="center"/>
          </w:tcPr>
          <w:p w14:paraId="7CB5FE8D" w14:textId="77777777" w:rsidR="00E15399" w:rsidRPr="006741F7" w:rsidRDefault="00E15399" w:rsidP="006741F7">
            <w:pPr>
              <w:spacing w:line="276" w:lineRule="auto"/>
              <w:jc w:val="center"/>
              <w:rPr>
                <w:rFonts w:ascii="Calibri" w:hAnsi="Calibri"/>
                <w:color w:val="000000"/>
                <w:sz w:val="16"/>
                <w:szCs w:val="16"/>
              </w:rPr>
            </w:pPr>
            <w:r w:rsidRPr="006741F7">
              <w:rPr>
                <w:rFonts w:ascii="Calibri" w:hAnsi="Calibri"/>
                <w:color w:val="000000"/>
                <w:sz w:val="16"/>
                <w:szCs w:val="16"/>
              </w:rPr>
              <w:t>76</w:t>
            </w:r>
          </w:p>
        </w:tc>
        <w:tc>
          <w:tcPr>
            <w:tcW w:w="652" w:type="dxa"/>
            <w:shd w:val="clear" w:color="auto" w:fill="EEECE1" w:themeFill="background2"/>
            <w:vAlign w:val="center"/>
          </w:tcPr>
          <w:p w14:paraId="6CF36626" w14:textId="77777777" w:rsidR="00E15399" w:rsidRPr="006741F7" w:rsidRDefault="00E15399" w:rsidP="006741F7">
            <w:pPr>
              <w:spacing w:line="276" w:lineRule="auto"/>
              <w:jc w:val="center"/>
              <w:rPr>
                <w:rFonts w:ascii="Calibri" w:hAnsi="Calibri"/>
                <w:color w:val="000000"/>
                <w:sz w:val="16"/>
                <w:szCs w:val="16"/>
              </w:rPr>
            </w:pPr>
            <w:r w:rsidRPr="006741F7">
              <w:rPr>
                <w:rFonts w:ascii="Calibri" w:hAnsi="Calibri"/>
                <w:color w:val="000000"/>
                <w:sz w:val="16"/>
                <w:szCs w:val="16"/>
              </w:rPr>
              <w:t>63</w:t>
            </w:r>
          </w:p>
        </w:tc>
        <w:tc>
          <w:tcPr>
            <w:tcW w:w="652" w:type="dxa"/>
            <w:shd w:val="clear" w:color="auto" w:fill="EEECE1" w:themeFill="background2"/>
            <w:vAlign w:val="center"/>
          </w:tcPr>
          <w:p w14:paraId="50A2B49E" w14:textId="77777777" w:rsidR="00E15399" w:rsidRPr="006741F7" w:rsidRDefault="00E15399" w:rsidP="006741F7">
            <w:pPr>
              <w:spacing w:line="276" w:lineRule="auto"/>
              <w:jc w:val="center"/>
              <w:rPr>
                <w:rFonts w:ascii="Calibri" w:hAnsi="Calibri"/>
                <w:color w:val="000000"/>
                <w:sz w:val="16"/>
                <w:szCs w:val="16"/>
              </w:rPr>
            </w:pPr>
            <w:r w:rsidRPr="006741F7">
              <w:rPr>
                <w:rFonts w:ascii="Calibri" w:hAnsi="Calibri"/>
                <w:color w:val="000000"/>
                <w:sz w:val="16"/>
                <w:szCs w:val="16"/>
              </w:rPr>
              <w:t>59</w:t>
            </w:r>
          </w:p>
        </w:tc>
        <w:tc>
          <w:tcPr>
            <w:tcW w:w="652" w:type="dxa"/>
            <w:vAlign w:val="center"/>
          </w:tcPr>
          <w:p w14:paraId="0CF7F222" w14:textId="77777777" w:rsidR="00E15399" w:rsidRPr="006741F7" w:rsidRDefault="00E15399" w:rsidP="006741F7">
            <w:pPr>
              <w:spacing w:line="276" w:lineRule="auto"/>
              <w:jc w:val="center"/>
              <w:rPr>
                <w:rFonts w:ascii="Calibri" w:hAnsi="Calibri"/>
                <w:color w:val="000000"/>
                <w:sz w:val="16"/>
                <w:szCs w:val="16"/>
              </w:rPr>
            </w:pPr>
            <w:r w:rsidRPr="006741F7">
              <w:rPr>
                <w:rFonts w:ascii="Calibri" w:hAnsi="Calibri"/>
                <w:color w:val="000000"/>
                <w:sz w:val="16"/>
                <w:szCs w:val="16"/>
              </w:rPr>
              <w:t>62</w:t>
            </w:r>
          </w:p>
        </w:tc>
        <w:tc>
          <w:tcPr>
            <w:tcW w:w="652" w:type="dxa"/>
            <w:vAlign w:val="center"/>
          </w:tcPr>
          <w:p w14:paraId="1F10C8F0" w14:textId="77777777" w:rsidR="00E15399" w:rsidRPr="006741F7" w:rsidRDefault="00E15399" w:rsidP="006741F7">
            <w:pPr>
              <w:spacing w:line="276" w:lineRule="auto"/>
              <w:jc w:val="center"/>
              <w:rPr>
                <w:rFonts w:ascii="Calibri" w:hAnsi="Calibri"/>
                <w:color w:val="000000"/>
                <w:sz w:val="16"/>
                <w:szCs w:val="16"/>
              </w:rPr>
            </w:pPr>
            <w:r w:rsidRPr="006741F7">
              <w:rPr>
                <w:rFonts w:ascii="Calibri" w:hAnsi="Calibri"/>
                <w:color w:val="000000"/>
                <w:sz w:val="16"/>
                <w:szCs w:val="16"/>
              </w:rPr>
              <w:t>60</w:t>
            </w:r>
          </w:p>
        </w:tc>
        <w:tc>
          <w:tcPr>
            <w:tcW w:w="652" w:type="dxa"/>
            <w:vAlign w:val="center"/>
          </w:tcPr>
          <w:p w14:paraId="61F956B5" w14:textId="77777777" w:rsidR="00E15399" w:rsidRPr="006741F7" w:rsidRDefault="00E15399" w:rsidP="006741F7">
            <w:pPr>
              <w:spacing w:line="276" w:lineRule="auto"/>
              <w:jc w:val="center"/>
              <w:rPr>
                <w:rFonts w:ascii="Calibri" w:hAnsi="Calibri"/>
                <w:color w:val="000000"/>
                <w:sz w:val="16"/>
                <w:szCs w:val="16"/>
              </w:rPr>
            </w:pPr>
            <w:r w:rsidRPr="006741F7">
              <w:rPr>
                <w:rFonts w:ascii="Calibri" w:hAnsi="Calibri"/>
                <w:color w:val="000000"/>
                <w:sz w:val="16"/>
                <w:szCs w:val="16"/>
              </w:rPr>
              <w:t>42</w:t>
            </w:r>
          </w:p>
        </w:tc>
        <w:tc>
          <w:tcPr>
            <w:tcW w:w="652" w:type="dxa"/>
            <w:vAlign w:val="center"/>
          </w:tcPr>
          <w:p w14:paraId="35804E72" w14:textId="77777777" w:rsidR="00E15399" w:rsidRPr="006741F7" w:rsidRDefault="00E15399" w:rsidP="006741F7">
            <w:pPr>
              <w:spacing w:line="276" w:lineRule="auto"/>
              <w:jc w:val="center"/>
              <w:rPr>
                <w:rFonts w:ascii="Calibri" w:hAnsi="Calibri"/>
                <w:color w:val="000000"/>
                <w:sz w:val="16"/>
                <w:szCs w:val="16"/>
              </w:rPr>
            </w:pPr>
            <w:r w:rsidRPr="006741F7">
              <w:rPr>
                <w:rFonts w:ascii="Calibri" w:hAnsi="Calibri"/>
                <w:color w:val="000000"/>
                <w:sz w:val="16"/>
                <w:szCs w:val="16"/>
              </w:rPr>
              <w:t>59</w:t>
            </w:r>
          </w:p>
        </w:tc>
        <w:tc>
          <w:tcPr>
            <w:tcW w:w="652" w:type="dxa"/>
            <w:shd w:val="clear" w:color="auto" w:fill="EEECE1" w:themeFill="background2"/>
            <w:vAlign w:val="center"/>
          </w:tcPr>
          <w:p w14:paraId="164E4C73" w14:textId="77777777" w:rsidR="00E15399" w:rsidRPr="006741F7" w:rsidRDefault="00E15399" w:rsidP="006741F7">
            <w:pPr>
              <w:spacing w:line="276" w:lineRule="auto"/>
              <w:jc w:val="center"/>
              <w:rPr>
                <w:rFonts w:ascii="Calibri" w:hAnsi="Calibri"/>
                <w:color w:val="000000"/>
                <w:sz w:val="16"/>
                <w:szCs w:val="16"/>
              </w:rPr>
            </w:pPr>
            <w:r w:rsidRPr="006741F7">
              <w:rPr>
                <w:rFonts w:ascii="Calibri" w:hAnsi="Calibri"/>
                <w:color w:val="000000"/>
                <w:sz w:val="16"/>
                <w:szCs w:val="16"/>
              </w:rPr>
              <w:t>35</w:t>
            </w:r>
          </w:p>
        </w:tc>
        <w:tc>
          <w:tcPr>
            <w:tcW w:w="652" w:type="dxa"/>
            <w:shd w:val="clear" w:color="auto" w:fill="EEECE1" w:themeFill="background2"/>
            <w:vAlign w:val="center"/>
          </w:tcPr>
          <w:p w14:paraId="54D793DE" w14:textId="77777777" w:rsidR="00E15399" w:rsidRPr="006741F7" w:rsidRDefault="00E15399" w:rsidP="006741F7">
            <w:pPr>
              <w:spacing w:line="276" w:lineRule="auto"/>
              <w:jc w:val="center"/>
              <w:rPr>
                <w:rFonts w:ascii="Calibri" w:hAnsi="Calibri"/>
                <w:color w:val="000000"/>
                <w:sz w:val="16"/>
                <w:szCs w:val="16"/>
              </w:rPr>
            </w:pPr>
            <w:r w:rsidRPr="006741F7">
              <w:rPr>
                <w:rFonts w:ascii="Calibri" w:hAnsi="Calibri"/>
                <w:color w:val="000000"/>
                <w:sz w:val="16"/>
                <w:szCs w:val="16"/>
              </w:rPr>
              <w:t>35</w:t>
            </w:r>
          </w:p>
        </w:tc>
        <w:tc>
          <w:tcPr>
            <w:tcW w:w="652" w:type="dxa"/>
            <w:shd w:val="clear" w:color="auto" w:fill="EEECE1" w:themeFill="background2"/>
            <w:vAlign w:val="center"/>
          </w:tcPr>
          <w:p w14:paraId="6D509F69" w14:textId="77777777" w:rsidR="00E15399" w:rsidRPr="006741F7" w:rsidRDefault="00E15399" w:rsidP="006741F7">
            <w:pPr>
              <w:spacing w:line="276" w:lineRule="auto"/>
              <w:jc w:val="center"/>
              <w:rPr>
                <w:rFonts w:ascii="Calibri" w:hAnsi="Calibri"/>
                <w:color w:val="000000"/>
                <w:sz w:val="16"/>
                <w:szCs w:val="16"/>
              </w:rPr>
            </w:pPr>
            <w:r w:rsidRPr="006741F7">
              <w:rPr>
                <w:rFonts w:ascii="Calibri" w:hAnsi="Calibri"/>
                <w:color w:val="000000"/>
                <w:sz w:val="16"/>
                <w:szCs w:val="16"/>
              </w:rPr>
              <w:t>30</w:t>
            </w:r>
          </w:p>
        </w:tc>
        <w:tc>
          <w:tcPr>
            <w:tcW w:w="652" w:type="dxa"/>
            <w:shd w:val="clear" w:color="auto" w:fill="EEECE1" w:themeFill="background2"/>
            <w:vAlign w:val="center"/>
          </w:tcPr>
          <w:p w14:paraId="49007156" w14:textId="77777777" w:rsidR="00E15399" w:rsidRPr="006741F7" w:rsidRDefault="00E15399" w:rsidP="006741F7">
            <w:pPr>
              <w:spacing w:line="276" w:lineRule="auto"/>
              <w:jc w:val="center"/>
              <w:rPr>
                <w:rFonts w:ascii="Calibri" w:hAnsi="Calibri"/>
                <w:color w:val="000000"/>
                <w:sz w:val="16"/>
                <w:szCs w:val="16"/>
              </w:rPr>
            </w:pPr>
            <w:r w:rsidRPr="006741F7">
              <w:rPr>
                <w:rFonts w:ascii="Calibri" w:hAnsi="Calibri"/>
                <w:color w:val="000000"/>
                <w:sz w:val="16"/>
                <w:szCs w:val="16"/>
              </w:rPr>
              <w:t>26</w:t>
            </w:r>
          </w:p>
        </w:tc>
        <w:tc>
          <w:tcPr>
            <w:tcW w:w="652" w:type="dxa"/>
            <w:shd w:val="clear" w:color="auto" w:fill="EEECE1" w:themeFill="background2"/>
            <w:vAlign w:val="center"/>
          </w:tcPr>
          <w:p w14:paraId="3108C330" w14:textId="77777777" w:rsidR="00E15399" w:rsidRPr="006741F7" w:rsidRDefault="00E15399" w:rsidP="006741F7">
            <w:pPr>
              <w:spacing w:line="276" w:lineRule="auto"/>
              <w:jc w:val="center"/>
              <w:rPr>
                <w:rFonts w:ascii="Calibri" w:hAnsi="Calibri"/>
                <w:color w:val="000000"/>
                <w:sz w:val="16"/>
                <w:szCs w:val="16"/>
              </w:rPr>
            </w:pPr>
            <w:r w:rsidRPr="006741F7">
              <w:rPr>
                <w:rFonts w:ascii="Calibri" w:hAnsi="Calibri"/>
                <w:color w:val="000000"/>
                <w:sz w:val="16"/>
                <w:szCs w:val="16"/>
              </w:rPr>
              <w:t>40</w:t>
            </w:r>
          </w:p>
        </w:tc>
      </w:tr>
      <w:tr w:rsidR="00E324BD" w14:paraId="70F77149" w14:textId="77777777" w:rsidTr="006741F7">
        <w:tc>
          <w:tcPr>
            <w:tcW w:w="1649" w:type="dxa"/>
          </w:tcPr>
          <w:p w14:paraId="6049AA6B" w14:textId="77777777" w:rsidR="00E324BD" w:rsidRPr="006741F7" w:rsidRDefault="006741F7" w:rsidP="006741F7">
            <w:pPr>
              <w:spacing w:line="276" w:lineRule="auto"/>
              <w:rPr>
                <w:sz w:val="16"/>
                <w:szCs w:val="16"/>
              </w:rPr>
            </w:pPr>
            <w:r>
              <w:rPr>
                <w:sz w:val="16"/>
                <w:szCs w:val="16"/>
              </w:rPr>
              <w:t>Incidence rate ratio of death compared to 2000 (95% CI)</w:t>
            </w:r>
          </w:p>
        </w:tc>
        <w:tc>
          <w:tcPr>
            <w:tcW w:w="651" w:type="dxa"/>
            <w:shd w:val="clear" w:color="auto" w:fill="EEECE1" w:themeFill="background2"/>
            <w:vAlign w:val="center"/>
          </w:tcPr>
          <w:p w14:paraId="051BC35C"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1</w:t>
            </w:r>
            <w:r w:rsidR="006741F7">
              <w:rPr>
                <w:rFonts w:ascii="Calibri" w:hAnsi="Calibri"/>
                <w:color w:val="000000"/>
                <w:sz w:val="16"/>
                <w:szCs w:val="16"/>
              </w:rPr>
              <w:t>.00</w:t>
            </w:r>
          </w:p>
        </w:tc>
        <w:tc>
          <w:tcPr>
            <w:tcW w:w="652" w:type="dxa"/>
            <w:shd w:val="clear" w:color="auto" w:fill="EEECE1" w:themeFill="background2"/>
            <w:vAlign w:val="center"/>
          </w:tcPr>
          <w:p w14:paraId="152256E6"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0.83 (0.60-1.17)</w:t>
            </w:r>
          </w:p>
        </w:tc>
        <w:tc>
          <w:tcPr>
            <w:tcW w:w="652" w:type="dxa"/>
            <w:shd w:val="clear" w:color="auto" w:fill="EEECE1" w:themeFill="background2"/>
            <w:vAlign w:val="center"/>
          </w:tcPr>
          <w:p w14:paraId="616C6B0D"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0.79 (0.56-1.10)</w:t>
            </w:r>
          </w:p>
        </w:tc>
        <w:tc>
          <w:tcPr>
            <w:tcW w:w="652" w:type="dxa"/>
            <w:vAlign w:val="center"/>
          </w:tcPr>
          <w:p w14:paraId="1753C617"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0.83 (0.59-1.16)</w:t>
            </w:r>
          </w:p>
        </w:tc>
        <w:tc>
          <w:tcPr>
            <w:tcW w:w="652" w:type="dxa"/>
            <w:vAlign w:val="center"/>
          </w:tcPr>
          <w:p w14:paraId="03E31735"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0.80 (0.57-1.13)</w:t>
            </w:r>
          </w:p>
        </w:tc>
        <w:tc>
          <w:tcPr>
            <w:tcW w:w="652" w:type="dxa"/>
            <w:vAlign w:val="center"/>
          </w:tcPr>
          <w:p w14:paraId="39FDFE3B"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0.56 (0.39-0.82)</w:t>
            </w:r>
          </w:p>
        </w:tc>
        <w:tc>
          <w:tcPr>
            <w:tcW w:w="652" w:type="dxa"/>
            <w:vAlign w:val="center"/>
          </w:tcPr>
          <w:p w14:paraId="600EFD31"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0.79 (0.56-1.11)</w:t>
            </w:r>
          </w:p>
        </w:tc>
        <w:tc>
          <w:tcPr>
            <w:tcW w:w="652" w:type="dxa"/>
            <w:shd w:val="clear" w:color="auto" w:fill="EEECE1" w:themeFill="background2"/>
            <w:vAlign w:val="center"/>
          </w:tcPr>
          <w:p w14:paraId="3A141FE3"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0.47 (0.31-0.70)</w:t>
            </w:r>
          </w:p>
        </w:tc>
        <w:tc>
          <w:tcPr>
            <w:tcW w:w="652" w:type="dxa"/>
            <w:shd w:val="clear" w:color="auto" w:fill="EEECE1" w:themeFill="background2"/>
            <w:vAlign w:val="center"/>
          </w:tcPr>
          <w:p w14:paraId="31180E33"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0.47 (0.31-0.70)</w:t>
            </w:r>
          </w:p>
        </w:tc>
        <w:tc>
          <w:tcPr>
            <w:tcW w:w="652" w:type="dxa"/>
            <w:shd w:val="clear" w:color="auto" w:fill="EEECE1" w:themeFill="background2"/>
            <w:vAlign w:val="center"/>
          </w:tcPr>
          <w:p w14:paraId="02E57FFD"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0.40 (0.26-0.61)</w:t>
            </w:r>
          </w:p>
        </w:tc>
        <w:tc>
          <w:tcPr>
            <w:tcW w:w="652" w:type="dxa"/>
            <w:shd w:val="clear" w:color="auto" w:fill="EEECE1" w:themeFill="background2"/>
            <w:vAlign w:val="center"/>
          </w:tcPr>
          <w:p w14:paraId="396BCEFF"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0.34 (0.22-0.54)</w:t>
            </w:r>
          </w:p>
        </w:tc>
        <w:tc>
          <w:tcPr>
            <w:tcW w:w="652" w:type="dxa"/>
            <w:shd w:val="clear" w:color="auto" w:fill="EEECE1" w:themeFill="background2"/>
            <w:vAlign w:val="center"/>
          </w:tcPr>
          <w:p w14:paraId="77F0EE6B" w14:textId="77777777" w:rsidR="00E324BD" w:rsidRPr="006741F7" w:rsidRDefault="00E324BD" w:rsidP="006741F7">
            <w:pPr>
              <w:jc w:val="center"/>
              <w:rPr>
                <w:rFonts w:ascii="Calibri" w:hAnsi="Calibri"/>
                <w:color w:val="000000"/>
                <w:sz w:val="16"/>
                <w:szCs w:val="16"/>
              </w:rPr>
            </w:pPr>
            <w:r w:rsidRPr="006741F7">
              <w:rPr>
                <w:rFonts w:ascii="Calibri" w:hAnsi="Calibri"/>
                <w:color w:val="000000"/>
                <w:sz w:val="16"/>
                <w:szCs w:val="16"/>
              </w:rPr>
              <w:t>0.52 (0.36-0.77)</w:t>
            </w:r>
          </w:p>
        </w:tc>
      </w:tr>
      <w:tr w:rsidR="006741F7" w:rsidRPr="00E324BD" w14:paraId="3DF536F8" w14:textId="77777777" w:rsidTr="006741F7">
        <w:tc>
          <w:tcPr>
            <w:tcW w:w="1649" w:type="dxa"/>
          </w:tcPr>
          <w:p w14:paraId="5FC1E572" w14:textId="77777777" w:rsidR="006741F7" w:rsidRDefault="006741F7" w:rsidP="00582438">
            <w:pPr>
              <w:rPr>
                <w:sz w:val="16"/>
                <w:szCs w:val="16"/>
              </w:rPr>
            </w:pPr>
            <w:r>
              <w:rPr>
                <w:sz w:val="16"/>
                <w:szCs w:val="16"/>
              </w:rPr>
              <w:t>Number of neurosurgeries</w:t>
            </w:r>
          </w:p>
        </w:tc>
        <w:tc>
          <w:tcPr>
            <w:tcW w:w="651" w:type="dxa"/>
            <w:shd w:val="clear" w:color="auto" w:fill="EEECE1" w:themeFill="background2"/>
            <w:vAlign w:val="center"/>
          </w:tcPr>
          <w:p w14:paraId="2C8C1DDB" w14:textId="77777777" w:rsidR="006741F7" w:rsidRPr="006741F7" w:rsidRDefault="006741F7" w:rsidP="006741F7">
            <w:pPr>
              <w:jc w:val="center"/>
              <w:rPr>
                <w:sz w:val="16"/>
                <w:szCs w:val="16"/>
              </w:rPr>
            </w:pPr>
            <w:r w:rsidRPr="006741F7">
              <w:rPr>
                <w:sz w:val="16"/>
                <w:szCs w:val="16"/>
              </w:rPr>
              <w:t>147</w:t>
            </w:r>
          </w:p>
        </w:tc>
        <w:tc>
          <w:tcPr>
            <w:tcW w:w="652" w:type="dxa"/>
            <w:shd w:val="clear" w:color="auto" w:fill="EEECE1" w:themeFill="background2"/>
            <w:vAlign w:val="center"/>
          </w:tcPr>
          <w:p w14:paraId="1662336D" w14:textId="77777777" w:rsidR="006741F7" w:rsidRPr="006741F7" w:rsidRDefault="006741F7" w:rsidP="006741F7">
            <w:pPr>
              <w:jc w:val="center"/>
              <w:rPr>
                <w:sz w:val="16"/>
                <w:szCs w:val="16"/>
              </w:rPr>
            </w:pPr>
            <w:r w:rsidRPr="006741F7">
              <w:rPr>
                <w:sz w:val="16"/>
                <w:szCs w:val="16"/>
              </w:rPr>
              <w:t>127</w:t>
            </w:r>
          </w:p>
        </w:tc>
        <w:tc>
          <w:tcPr>
            <w:tcW w:w="652" w:type="dxa"/>
            <w:shd w:val="clear" w:color="auto" w:fill="EEECE1" w:themeFill="background2"/>
            <w:vAlign w:val="center"/>
          </w:tcPr>
          <w:p w14:paraId="505BA068" w14:textId="77777777" w:rsidR="006741F7" w:rsidRPr="006741F7" w:rsidRDefault="006741F7" w:rsidP="006741F7">
            <w:pPr>
              <w:jc w:val="center"/>
              <w:rPr>
                <w:sz w:val="16"/>
                <w:szCs w:val="16"/>
              </w:rPr>
            </w:pPr>
            <w:r w:rsidRPr="006741F7">
              <w:rPr>
                <w:sz w:val="16"/>
                <w:szCs w:val="16"/>
              </w:rPr>
              <w:t>107</w:t>
            </w:r>
          </w:p>
        </w:tc>
        <w:tc>
          <w:tcPr>
            <w:tcW w:w="652" w:type="dxa"/>
            <w:vAlign w:val="center"/>
          </w:tcPr>
          <w:p w14:paraId="66259E61" w14:textId="77777777" w:rsidR="006741F7" w:rsidRPr="006741F7" w:rsidRDefault="006741F7" w:rsidP="006741F7">
            <w:pPr>
              <w:jc w:val="center"/>
              <w:rPr>
                <w:sz w:val="16"/>
                <w:szCs w:val="16"/>
              </w:rPr>
            </w:pPr>
            <w:r w:rsidRPr="006741F7">
              <w:rPr>
                <w:sz w:val="16"/>
                <w:szCs w:val="16"/>
              </w:rPr>
              <w:t>144</w:t>
            </w:r>
          </w:p>
        </w:tc>
        <w:tc>
          <w:tcPr>
            <w:tcW w:w="652" w:type="dxa"/>
            <w:vAlign w:val="center"/>
          </w:tcPr>
          <w:p w14:paraId="4C39DEF5" w14:textId="77777777" w:rsidR="006741F7" w:rsidRPr="006741F7" w:rsidRDefault="006741F7" w:rsidP="006741F7">
            <w:pPr>
              <w:jc w:val="center"/>
              <w:rPr>
                <w:sz w:val="16"/>
                <w:szCs w:val="16"/>
              </w:rPr>
            </w:pPr>
            <w:r w:rsidRPr="006741F7">
              <w:rPr>
                <w:sz w:val="16"/>
                <w:szCs w:val="16"/>
              </w:rPr>
              <w:t>127</w:t>
            </w:r>
          </w:p>
        </w:tc>
        <w:tc>
          <w:tcPr>
            <w:tcW w:w="652" w:type="dxa"/>
            <w:vAlign w:val="center"/>
          </w:tcPr>
          <w:p w14:paraId="632B302C" w14:textId="77777777" w:rsidR="006741F7" w:rsidRPr="006741F7" w:rsidRDefault="006741F7" w:rsidP="006741F7">
            <w:pPr>
              <w:jc w:val="center"/>
              <w:rPr>
                <w:sz w:val="16"/>
                <w:szCs w:val="16"/>
              </w:rPr>
            </w:pPr>
            <w:r w:rsidRPr="006741F7">
              <w:rPr>
                <w:sz w:val="16"/>
                <w:szCs w:val="16"/>
              </w:rPr>
              <w:t>153</w:t>
            </w:r>
          </w:p>
        </w:tc>
        <w:tc>
          <w:tcPr>
            <w:tcW w:w="652" w:type="dxa"/>
            <w:vAlign w:val="center"/>
          </w:tcPr>
          <w:p w14:paraId="0AE3F9A7" w14:textId="77777777" w:rsidR="006741F7" w:rsidRPr="006741F7" w:rsidRDefault="006741F7" w:rsidP="006741F7">
            <w:pPr>
              <w:jc w:val="center"/>
              <w:rPr>
                <w:sz w:val="16"/>
                <w:szCs w:val="16"/>
              </w:rPr>
            </w:pPr>
            <w:r w:rsidRPr="006741F7">
              <w:rPr>
                <w:sz w:val="16"/>
                <w:szCs w:val="16"/>
              </w:rPr>
              <w:t>143</w:t>
            </w:r>
          </w:p>
        </w:tc>
        <w:tc>
          <w:tcPr>
            <w:tcW w:w="652" w:type="dxa"/>
            <w:shd w:val="clear" w:color="auto" w:fill="EEECE1" w:themeFill="background2"/>
            <w:vAlign w:val="center"/>
          </w:tcPr>
          <w:p w14:paraId="66ED4432" w14:textId="77777777" w:rsidR="006741F7" w:rsidRPr="006741F7" w:rsidRDefault="006741F7" w:rsidP="006741F7">
            <w:pPr>
              <w:jc w:val="center"/>
              <w:rPr>
                <w:sz w:val="16"/>
                <w:szCs w:val="16"/>
              </w:rPr>
            </w:pPr>
            <w:r w:rsidRPr="006741F7">
              <w:rPr>
                <w:sz w:val="16"/>
                <w:szCs w:val="16"/>
              </w:rPr>
              <w:t>116</w:t>
            </w:r>
          </w:p>
        </w:tc>
        <w:tc>
          <w:tcPr>
            <w:tcW w:w="652" w:type="dxa"/>
            <w:shd w:val="clear" w:color="auto" w:fill="EEECE1" w:themeFill="background2"/>
            <w:vAlign w:val="center"/>
          </w:tcPr>
          <w:p w14:paraId="375E2BC6" w14:textId="77777777" w:rsidR="006741F7" w:rsidRPr="006741F7" w:rsidRDefault="006741F7" w:rsidP="006741F7">
            <w:pPr>
              <w:jc w:val="center"/>
              <w:rPr>
                <w:sz w:val="16"/>
                <w:szCs w:val="16"/>
              </w:rPr>
            </w:pPr>
            <w:r w:rsidRPr="006741F7">
              <w:rPr>
                <w:sz w:val="16"/>
                <w:szCs w:val="16"/>
              </w:rPr>
              <w:t>119</w:t>
            </w:r>
          </w:p>
        </w:tc>
        <w:tc>
          <w:tcPr>
            <w:tcW w:w="652" w:type="dxa"/>
            <w:shd w:val="clear" w:color="auto" w:fill="EEECE1" w:themeFill="background2"/>
            <w:vAlign w:val="center"/>
          </w:tcPr>
          <w:p w14:paraId="32C21D34" w14:textId="77777777" w:rsidR="006741F7" w:rsidRPr="006741F7" w:rsidRDefault="006741F7" w:rsidP="006741F7">
            <w:pPr>
              <w:jc w:val="center"/>
              <w:rPr>
                <w:sz w:val="16"/>
                <w:szCs w:val="16"/>
              </w:rPr>
            </w:pPr>
            <w:r w:rsidRPr="006741F7">
              <w:rPr>
                <w:sz w:val="16"/>
                <w:szCs w:val="16"/>
              </w:rPr>
              <w:t>134</w:t>
            </w:r>
          </w:p>
        </w:tc>
        <w:tc>
          <w:tcPr>
            <w:tcW w:w="652" w:type="dxa"/>
            <w:shd w:val="clear" w:color="auto" w:fill="EEECE1" w:themeFill="background2"/>
            <w:vAlign w:val="center"/>
          </w:tcPr>
          <w:p w14:paraId="5BE7184C" w14:textId="77777777" w:rsidR="006741F7" w:rsidRPr="006741F7" w:rsidRDefault="006741F7" w:rsidP="006741F7">
            <w:pPr>
              <w:jc w:val="center"/>
              <w:rPr>
                <w:sz w:val="16"/>
                <w:szCs w:val="16"/>
              </w:rPr>
            </w:pPr>
            <w:r w:rsidRPr="006741F7">
              <w:rPr>
                <w:sz w:val="16"/>
                <w:szCs w:val="16"/>
              </w:rPr>
              <w:t>117</w:t>
            </w:r>
          </w:p>
        </w:tc>
        <w:tc>
          <w:tcPr>
            <w:tcW w:w="652" w:type="dxa"/>
            <w:shd w:val="clear" w:color="auto" w:fill="EEECE1" w:themeFill="background2"/>
            <w:vAlign w:val="center"/>
          </w:tcPr>
          <w:p w14:paraId="4B9C1598" w14:textId="77777777" w:rsidR="006741F7" w:rsidRPr="006741F7" w:rsidRDefault="006741F7" w:rsidP="006741F7">
            <w:pPr>
              <w:jc w:val="center"/>
              <w:rPr>
                <w:sz w:val="16"/>
                <w:szCs w:val="16"/>
              </w:rPr>
            </w:pPr>
            <w:r w:rsidRPr="006741F7">
              <w:rPr>
                <w:sz w:val="16"/>
                <w:szCs w:val="16"/>
              </w:rPr>
              <w:t>119</w:t>
            </w:r>
          </w:p>
        </w:tc>
      </w:tr>
      <w:tr w:rsidR="00E324BD" w:rsidRPr="00E324BD" w14:paraId="0AC1C607" w14:textId="77777777" w:rsidTr="006741F7">
        <w:tc>
          <w:tcPr>
            <w:tcW w:w="1649" w:type="dxa"/>
          </w:tcPr>
          <w:p w14:paraId="034A9E44" w14:textId="77777777" w:rsidR="00E324BD" w:rsidRDefault="00E324BD" w:rsidP="00582438">
            <w:pPr>
              <w:spacing w:line="276" w:lineRule="auto"/>
              <w:rPr>
                <w:sz w:val="16"/>
                <w:szCs w:val="16"/>
              </w:rPr>
            </w:pPr>
            <w:r>
              <w:rPr>
                <w:sz w:val="16"/>
                <w:szCs w:val="16"/>
              </w:rPr>
              <w:t>Incidence rate ratio of neurosurgery compared to 2000</w:t>
            </w:r>
          </w:p>
          <w:p w14:paraId="60A645D5" w14:textId="77777777" w:rsidR="00E324BD" w:rsidRPr="00B505B3" w:rsidRDefault="00E324BD" w:rsidP="00582438">
            <w:pPr>
              <w:spacing w:line="276" w:lineRule="auto"/>
              <w:rPr>
                <w:sz w:val="16"/>
                <w:szCs w:val="16"/>
              </w:rPr>
            </w:pPr>
            <w:r>
              <w:rPr>
                <w:sz w:val="16"/>
                <w:szCs w:val="16"/>
              </w:rPr>
              <w:t>(95% CI)</w:t>
            </w:r>
          </w:p>
        </w:tc>
        <w:tc>
          <w:tcPr>
            <w:tcW w:w="651" w:type="dxa"/>
            <w:shd w:val="clear" w:color="auto" w:fill="EEECE1" w:themeFill="background2"/>
            <w:vAlign w:val="center"/>
          </w:tcPr>
          <w:p w14:paraId="65D1DFE2" w14:textId="77777777" w:rsidR="00E324BD" w:rsidRPr="00E324BD" w:rsidRDefault="00E324BD" w:rsidP="006741F7">
            <w:pPr>
              <w:jc w:val="center"/>
              <w:rPr>
                <w:rFonts w:ascii="Calibri" w:hAnsi="Calibri"/>
                <w:color w:val="000000"/>
                <w:sz w:val="16"/>
                <w:szCs w:val="16"/>
              </w:rPr>
            </w:pPr>
            <w:r w:rsidRPr="00E324BD">
              <w:rPr>
                <w:rFonts w:ascii="Calibri" w:hAnsi="Calibri"/>
                <w:color w:val="000000"/>
                <w:sz w:val="16"/>
                <w:szCs w:val="16"/>
              </w:rPr>
              <w:t>1</w:t>
            </w:r>
            <w:r w:rsidR="006741F7">
              <w:rPr>
                <w:rFonts w:ascii="Calibri" w:hAnsi="Calibri"/>
                <w:color w:val="000000"/>
                <w:sz w:val="16"/>
                <w:szCs w:val="16"/>
              </w:rPr>
              <w:t>.00</w:t>
            </w:r>
          </w:p>
        </w:tc>
        <w:tc>
          <w:tcPr>
            <w:tcW w:w="652" w:type="dxa"/>
            <w:shd w:val="clear" w:color="auto" w:fill="EEECE1" w:themeFill="background2"/>
            <w:vAlign w:val="center"/>
          </w:tcPr>
          <w:p w14:paraId="3F86DA56" w14:textId="77777777" w:rsidR="00E324BD" w:rsidRPr="00E324BD" w:rsidRDefault="00E324BD" w:rsidP="006741F7">
            <w:pPr>
              <w:jc w:val="center"/>
              <w:rPr>
                <w:rFonts w:ascii="Calibri" w:hAnsi="Calibri"/>
                <w:color w:val="000000"/>
                <w:sz w:val="16"/>
                <w:szCs w:val="16"/>
              </w:rPr>
            </w:pPr>
            <w:r>
              <w:rPr>
                <w:rFonts w:ascii="Calibri" w:hAnsi="Calibri"/>
                <w:color w:val="000000"/>
                <w:sz w:val="16"/>
                <w:szCs w:val="16"/>
              </w:rPr>
              <w:t>0.87 (</w:t>
            </w:r>
            <w:r w:rsidRPr="00E324BD">
              <w:rPr>
                <w:rFonts w:ascii="Calibri" w:hAnsi="Calibri"/>
                <w:color w:val="000000"/>
                <w:sz w:val="16"/>
                <w:szCs w:val="16"/>
              </w:rPr>
              <w:t>0.69</w:t>
            </w:r>
            <w:r>
              <w:rPr>
                <w:rFonts w:ascii="Calibri" w:hAnsi="Calibri"/>
                <w:color w:val="000000"/>
                <w:sz w:val="16"/>
                <w:szCs w:val="16"/>
              </w:rPr>
              <w:t>-</w:t>
            </w:r>
            <w:r w:rsidRPr="00E324BD">
              <w:rPr>
                <w:rFonts w:ascii="Calibri" w:hAnsi="Calibri"/>
                <w:color w:val="000000"/>
                <w:sz w:val="16"/>
                <w:szCs w:val="16"/>
              </w:rPr>
              <w:t xml:space="preserve"> 1.10</w:t>
            </w:r>
            <w:r>
              <w:rPr>
                <w:rFonts w:ascii="Calibri" w:hAnsi="Calibri"/>
                <w:color w:val="000000"/>
                <w:sz w:val="16"/>
                <w:szCs w:val="16"/>
              </w:rPr>
              <w:t>)</w:t>
            </w:r>
          </w:p>
        </w:tc>
        <w:tc>
          <w:tcPr>
            <w:tcW w:w="652" w:type="dxa"/>
            <w:shd w:val="clear" w:color="auto" w:fill="EEECE1" w:themeFill="background2"/>
            <w:vAlign w:val="center"/>
          </w:tcPr>
          <w:p w14:paraId="3372EB09" w14:textId="77777777" w:rsidR="00E324BD" w:rsidRPr="00E324BD" w:rsidRDefault="00E324BD" w:rsidP="006741F7">
            <w:pPr>
              <w:jc w:val="center"/>
              <w:rPr>
                <w:rFonts w:ascii="Calibri" w:hAnsi="Calibri"/>
                <w:color w:val="000000"/>
                <w:sz w:val="16"/>
                <w:szCs w:val="16"/>
              </w:rPr>
            </w:pPr>
            <w:r>
              <w:rPr>
                <w:rFonts w:ascii="Calibri" w:hAnsi="Calibri"/>
                <w:color w:val="000000"/>
                <w:sz w:val="16"/>
                <w:szCs w:val="16"/>
              </w:rPr>
              <w:t>0.74 (0.57-</w:t>
            </w:r>
            <w:r w:rsidRPr="00E324BD">
              <w:rPr>
                <w:rFonts w:ascii="Calibri" w:hAnsi="Calibri"/>
                <w:color w:val="000000"/>
                <w:sz w:val="16"/>
                <w:szCs w:val="16"/>
              </w:rPr>
              <w:t>0.94</w:t>
            </w:r>
            <w:r>
              <w:rPr>
                <w:rFonts w:ascii="Calibri" w:hAnsi="Calibri"/>
                <w:color w:val="000000"/>
                <w:sz w:val="16"/>
                <w:szCs w:val="16"/>
              </w:rPr>
              <w:t>)</w:t>
            </w:r>
          </w:p>
        </w:tc>
        <w:tc>
          <w:tcPr>
            <w:tcW w:w="652" w:type="dxa"/>
            <w:vAlign w:val="center"/>
          </w:tcPr>
          <w:p w14:paraId="5AAF9148" w14:textId="77777777" w:rsidR="00E324BD" w:rsidRPr="00E324BD" w:rsidRDefault="00E324BD" w:rsidP="006741F7">
            <w:pPr>
              <w:jc w:val="center"/>
              <w:rPr>
                <w:rFonts w:ascii="Calibri" w:hAnsi="Calibri"/>
                <w:color w:val="000000"/>
                <w:sz w:val="16"/>
                <w:szCs w:val="16"/>
              </w:rPr>
            </w:pPr>
            <w:r>
              <w:rPr>
                <w:rFonts w:ascii="Calibri" w:hAnsi="Calibri"/>
                <w:color w:val="000000"/>
                <w:sz w:val="16"/>
                <w:szCs w:val="16"/>
              </w:rPr>
              <w:t>0.99 (</w:t>
            </w:r>
            <w:r w:rsidRPr="00E324BD">
              <w:rPr>
                <w:rFonts w:ascii="Calibri" w:hAnsi="Calibri"/>
                <w:color w:val="000000"/>
                <w:sz w:val="16"/>
                <w:szCs w:val="16"/>
              </w:rPr>
              <w:t>0.79</w:t>
            </w:r>
            <w:r>
              <w:rPr>
                <w:rFonts w:ascii="Calibri" w:hAnsi="Calibri"/>
                <w:color w:val="000000"/>
                <w:sz w:val="16"/>
                <w:szCs w:val="16"/>
              </w:rPr>
              <w:t>-</w:t>
            </w:r>
            <w:r w:rsidRPr="00E324BD">
              <w:rPr>
                <w:rFonts w:ascii="Calibri" w:hAnsi="Calibri"/>
                <w:color w:val="000000"/>
                <w:sz w:val="16"/>
                <w:szCs w:val="16"/>
              </w:rPr>
              <w:t xml:space="preserve"> 1.25</w:t>
            </w:r>
            <w:r>
              <w:rPr>
                <w:rFonts w:ascii="Calibri" w:hAnsi="Calibri"/>
                <w:color w:val="000000"/>
                <w:sz w:val="16"/>
                <w:szCs w:val="16"/>
              </w:rPr>
              <w:t>)</w:t>
            </w:r>
          </w:p>
        </w:tc>
        <w:tc>
          <w:tcPr>
            <w:tcW w:w="652" w:type="dxa"/>
            <w:vAlign w:val="center"/>
          </w:tcPr>
          <w:p w14:paraId="1C656F45" w14:textId="77777777" w:rsidR="00E324BD" w:rsidRPr="00E324BD" w:rsidRDefault="00E324BD" w:rsidP="006741F7">
            <w:pPr>
              <w:jc w:val="center"/>
              <w:rPr>
                <w:rFonts w:ascii="Calibri" w:hAnsi="Calibri"/>
                <w:color w:val="000000"/>
                <w:sz w:val="16"/>
                <w:szCs w:val="16"/>
              </w:rPr>
            </w:pPr>
            <w:r w:rsidRPr="00E324BD">
              <w:rPr>
                <w:rFonts w:ascii="Calibri" w:hAnsi="Calibri"/>
                <w:color w:val="000000"/>
                <w:sz w:val="16"/>
                <w:szCs w:val="16"/>
              </w:rPr>
              <w:t xml:space="preserve">0.88 </w:t>
            </w:r>
            <w:r>
              <w:rPr>
                <w:rFonts w:ascii="Calibri" w:hAnsi="Calibri"/>
                <w:color w:val="000000"/>
                <w:sz w:val="16"/>
                <w:szCs w:val="16"/>
              </w:rPr>
              <w:t>(</w:t>
            </w:r>
            <w:r w:rsidRPr="00E324BD">
              <w:rPr>
                <w:rFonts w:ascii="Calibri" w:hAnsi="Calibri"/>
                <w:color w:val="000000"/>
                <w:sz w:val="16"/>
                <w:szCs w:val="16"/>
              </w:rPr>
              <w:t>0.69</w:t>
            </w:r>
            <w:r>
              <w:rPr>
                <w:rFonts w:ascii="Calibri" w:hAnsi="Calibri"/>
                <w:color w:val="000000"/>
                <w:sz w:val="16"/>
                <w:szCs w:val="16"/>
              </w:rPr>
              <w:t>-</w:t>
            </w:r>
            <w:r w:rsidRPr="00E324BD">
              <w:rPr>
                <w:rFonts w:ascii="Calibri" w:hAnsi="Calibri"/>
                <w:color w:val="000000"/>
                <w:sz w:val="16"/>
                <w:szCs w:val="16"/>
              </w:rPr>
              <w:t xml:space="preserve"> 1.11</w:t>
            </w:r>
            <w:r>
              <w:rPr>
                <w:rFonts w:ascii="Calibri" w:hAnsi="Calibri"/>
                <w:color w:val="000000"/>
                <w:sz w:val="16"/>
                <w:szCs w:val="16"/>
              </w:rPr>
              <w:t>)</w:t>
            </w:r>
          </w:p>
        </w:tc>
        <w:tc>
          <w:tcPr>
            <w:tcW w:w="652" w:type="dxa"/>
            <w:vAlign w:val="center"/>
          </w:tcPr>
          <w:p w14:paraId="7A6A640F" w14:textId="77777777" w:rsidR="00E324BD" w:rsidRPr="00E324BD" w:rsidRDefault="00E324BD" w:rsidP="006741F7">
            <w:pPr>
              <w:jc w:val="center"/>
              <w:rPr>
                <w:rFonts w:ascii="Calibri" w:hAnsi="Calibri"/>
                <w:color w:val="000000"/>
                <w:sz w:val="16"/>
                <w:szCs w:val="16"/>
              </w:rPr>
            </w:pPr>
            <w:r>
              <w:rPr>
                <w:rFonts w:ascii="Calibri" w:hAnsi="Calibri"/>
                <w:color w:val="000000"/>
                <w:sz w:val="16"/>
                <w:szCs w:val="16"/>
              </w:rPr>
              <w:t>1.06 (</w:t>
            </w:r>
            <w:r w:rsidRPr="00E324BD">
              <w:rPr>
                <w:rFonts w:ascii="Calibri" w:hAnsi="Calibri"/>
                <w:color w:val="000000"/>
                <w:sz w:val="16"/>
                <w:szCs w:val="16"/>
              </w:rPr>
              <w:t>0.84</w:t>
            </w:r>
            <w:r>
              <w:rPr>
                <w:rFonts w:ascii="Calibri" w:hAnsi="Calibri"/>
                <w:color w:val="000000"/>
                <w:sz w:val="16"/>
                <w:szCs w:val="16"/>
              </w:rPr>
              <w:t>-</w:t>
            </w:r>
            <w:r w:rsidRPr="00E324BD">
              <w:rPr>
                <w:rFonts w:ascii="Calibri" w:hAnsi="Calibri"/>
                <w:color w:val="000000"/>
                <w:sz w:val="16"/>
                <w:szCs w:val="16"/>
              </w:rPr>
              <w:t xml:space="preserve"> 1.33</w:t>
            </w:r>
            <w:r>
              <w:rPr>
                <w:rFonts w:ascii="Calibri" w:hAnsi="Calibri"/>
                <w:color w:val="000000"/>
                <w:sz w:val="16"/>
                <w:szCs w:val="16"/>
              </w:rPr>
              <w:t>)</w:t>
            </w:r>
          </w:p>
        </w:tc>
        <w:tc>
          <w:tcPr>
            <w:tcW w:w="652" w:type="dxa"/>
            <w:vAlign w:val="center"/>
          </w:tcPr>
          <w:p w14:paraId="5E8D83EA" w14:textId="77777777" w:rsidR="00E324BD" w:rsidRPr="00E324BD" w:rsidRDefault="00E324BD" w:rsidP="006741F7">
            <w:pPr>
              <w:jc w:val="center"/>
              <w:rPr>
                <w:rFonts w:ascii="Calibri" w:hAnsi="Calibri"/>
                <w:color w:val="000000"/>
                <w:sz w:val="16"/>
                <w:szCs w:val="16"/>
              </w:rPr>
            </w:pPr>
            <w:r>
              <w:rPr>
                <w:rFonts w:ascii="Calibri" w:hAnsi="Calibri"/>
                <w:color w:val="000000"/>
                <w:sz w:val="16"/>
                <w:szCs w:val="16"/>
              </w:rPr>
              <w:t>0.99 (0.79-</w:t>
            </w:r>
            <w:r w:rsidRPr="00E324BD">
              <w:rPr>
                <w:rFonts w:ascii="Calibri" w:hAnsi="Calibri"/>
                <w:color w:val="000000"/>
                <w:sz w:val="16"/>
                <w:szCs w:val="16"/>
              </w:rPr>
              <w:t>1.25</w:t>
            </w:r>
            <w:r>
              <w:rPr>
                <w:rFonts w:ascii="Calibri" w:hAnsi="Calibri"/>
                <w:color w:val="000000"/>
                <w:sz w:val="16"/>
                <w:szCs w:val="16"/>
              </w:rPr>
              <w:t>)</w:t>
            </w:r>
          </w:p>
        </w:tc>
        <w:tc>
          <w:tcPr>
            <w:tcW w:w="652" w:type="dxa"/>
            <w:shd w:val="clear" w:color="auto" w:fill="EEECE1" w:themeFill="background2"/>
            <w:vAlign w:val="center"/>
          </w:tcPr>
          <w:p w14:paraId="760A9A92" w14:textId="77777777" w:rsidR="00E324BD" w:rsidRPr="00E324BD" w:rsidRDefault="00E324BD" w:rsidP="006741F7">
            <w:pPr>
              <w:jc w:val="center"/>
              <w:rPr>
                <w:rFonts w:ascii="Calibri" w:hAnsi="Calibri"/>
                <w:color w:val="000000"/>
                <w:sz w:val="16"/>
                <w:szCs w:val="16"/>
              </w:rPr>
            </w:pPr>
            <w:r w:rsidRPr="00E324BD">
              <w:rPr>
                <w:rFonts w:ascii="Calibri" w:hAnsi="Calibri"/>
                <w:color w:val="000000"/>
                <w:sz w:val="16"/>
                <w:szCs w:val="16"/>
              </w:rPr>
              <w:t xml:space="preserve">0.80 </w:t>
            </w:r>
            <w:r>
              <w:rPr>
                <w:rFonts w:ascii="Calibri" w:hAnsi="Calibri"/>
                <w:color w:val="000000"/>
                <w:sz w:val="16"/>
                <w:szCs w:val="16"/>
              </w:rPr>
              <w:t>(</w:t>
            </w:r>
            <w:r w:rsidRPr="00E324BD">
              <w:rPr>
                <w:rFonts w:ascii="Calibri" w:hAnsi="Calibri"/>
                <w:color w:val="000000"/>
                <w:sz w:val="16"/>
                <w:szCs w:val="16"/>
              </w:rPr>
              <w:t>0.63</w:t>
            </w:r>
            <w:r>
              <w:rPr>
                <w:rFonts w:ascii="Calibri" w:hAnsi="Calibri"/>
                <w:color w:val="000000"/>
                <w:sz w:val="16"/>
                <w:szCs w:val="16"/>
              </w:rPr>
              <w:t>-</w:t>
            </w:r>
            <w:r w:rsidRPr="00E324BD">
              <w:rPr>
                <w:rFonts w:ascii="Calibri" w:hAnsi="Calibri"/>
                <w:color w:val="000000"/>
                <w:sz w:val="16"/>
                <w:szCs w:val="16"/>
              </w:rPr>
              <w:t xml:space="preserve"> 1.02</w:t>
            </w:r>
            <w:r>
              <w:rPr>
                <w:rFonts w:ascii="Calibri" w:hAnsi="Calibri"/>
                <w:color w:val="000000"/>
                <w:sz w:val="16"/>
                <w:szCs w:val="16"/>
              </w:rPr>
              <w:t>)</w:t>
            </w:r>
          </w:p>
        </w:tc>
        <w:tc>
          <w:tcPr>
            <w:tcW w:w="652" w:type="dxa"/>
            <w:shd w:val="clear" w:color="auto" w:fill="EEECE1" w:themeFill="background2"/>
            <w:vAlign w:val="center"/>
          </w:tcPr>
          <w:p w14:paraId="0FD8C8D4" w14:textId="77777777" w:rsidR="00E324BD" w:rsidRPr="00E324BD" w:rsidRDefault="00E324BD" w:rsidP="006741F7">
            <w:pPr>
              <w:jc w:val="center"/>
              <w:rPr>
                <w:rFonts w:ascii="Calibri" w:hAnsi="Calibri"/>
                <w:color w:val="000000"/>
                <w:sz w:val="16"/>
                <w:szCs w:val="16"/>
              </w:rPr>
            </w:pPr>
            <w:r>
              <w:rPr>
                <w:rFonts w:ascii="Calibri" w:hAnsi="Calibri"/>
                <w:color w:val="000000"/>
                <w:sz w:val="16"/>
                <w:szCs w:val="16"/>
              </w:rPr>
              <w:t>0.82 (0.64-</w:t>
            </w:r>
            <w:r w:rsidRPr="00E324BD">
              <w:rPr>
                <w:rFonts w:ascii="Calibri" w:hAnsi="Calibri"/>
                <w:color w:val="000000"/>
                <w:sz w:val="16"/>
                <w:szCs w:val="16"/>
              </w:rPr>
              <w:t>1.04</w:t>
            </w:r>
            <w:r>
              <w:rPr>
                <w:rFonts w:ascii="Calibri" w:hAnsi="Calibri"/>
                <w:color w:val="000000"/>
                <w:sz w:val="16"/>
                <w:szCs w:val="16"/>
              </w:rPr>
              <w:t>)</w:t>
            </w:r>
          </w:p>
        </w:tc>
        <w:tc>
          <w:tcPr>
            <w:tcW w:w="652" w:type="dxa"/>
            <w:shd w:val="clear" w:color="auto" w:fill="EEECE1" w:themeFill="background2"/>
            <w:vAlign w:val="center"/>
          </w:tcPr>
          <w:p w14:paraId="0A9D352D" w14:textId="77777777" w:rsidR="00E324BD" w:rsidRPr="00E324BD" w:rsidRDefault="00E324BD" w:rsidP="006741F7">
            <w:pPr>
              <w:jc w:val="center"/>
              <w:rPr>
                <w:rFonts w:ascii="Calibri" w:hAnsi="Calibri"/>
                <w:color w:val="000000"/>
                <w:sz w:val="16"/>
                <w:szCs w:val="16"/>
              </w:rPr>
            </w:pPr>
            <w:r>
              <w:rPr>
                <w:rFonts w:ascii="Calibri" w:hAnsi="Calibri"/>
                <w:color w:val="000000"/>
                <w:sz w:val="16"/>
                <w:szCs w:val="16"/>
              </w:rPr>
              <w:t>0.92 (0.73-</w:t>
            </w:r>
            <w:r w:rsidRPr="00E324BD">
              <w:rPr>
                <w:rFonts w:ascii="Calibri" w:hAnsi="Calibri"/>
                <w:color w:val="000000"/>
                <w:sz w:val="16"/>
                <w:szCs w:val="16"/>
              </w:rPr>
              <w:t>1.16</w:t>
            </w:r>
            <w:r>
              <w:rPr>
                <w:rFonts w:ascii="Calibri" w:hAnsi="Calibri"/>
                <w:color w:val="000000"/>
                <w:sz w:val="16"/>
                <w:szCs w:val="16"/>
              </w:rPr>
              <w:t>)</w:t>
            </w:r>
          </w:p>
        </w:tc>
        <w:tc>
          <w:tcPr>
            <w:tcW w:w="652" w:type="dxa"/>
            <w:shd w:val="clear" w:color="auto" w:fill="EEECE1" w:themeFill="background2"/>
            <w:vAlign w:val="center"/>
          </w:tcPr>
          <w:p w14:paraId="4C0DAFC0" w14:textId="77777777" w:rsidR="00E324BD" w:rsidRPr="00E324BD" w:rsidRDefault="00E324BD" w:rsidP="006741F7">
            <w:pPr>
              <w:jc w:val="center"/>
              <w:rPr>
                <w:rFonts w:ascii="Calibri" w:hAnsi="Calibri"/>
                <w:color w:val="000000"/>
                <w:sz w:val="16"/>
                <w:szCs w:val="16"/>
              </w:rPr>
            </w:pPr>
            <w:r>
              <w:rPr>
                <w:rFonts w:ascii="Calibri" w:hAnsi="Calibri"/>
                <w:color w:val="000000"/>
                <w:sz w:val="16"/>
                <w:szCs w:val="16"/>
              </w:rPr>
              <w:t>0.80 (</w:t>
            </w:r>
            <w:r w:rsidRPr="00E324BD">
              <w:rPr>
                <w:rFonts w:ascii="Calibri" w:hAnsi="Calibri"/>
                <w:color w:val="000000"/>
                <w:sz w:val="16"/>
                <w:szCs w:val="16"/>
              </w:rPr>
              <w:t>0.63</w:t>
            </w:r>
            <w:r>
              <w:rPr>
                <w:rFonts w:ascii="Calibri" w:hAnsi="Calibri"/>
                <w:color w:val="000000"/>
                <w:sz w:val="16"/>
                <w:szCs w:val="16"/>
              </w:rPr>
              <w:t>-</w:t>
            </w:r>
            <w:r w:rsidRPr="00E324BD">
              <w:rPr>
                <w:rFonts w:ascii="Calibri" w:hAnsi="Calibri"/>
                <w:color w:val="000000"/>
                <w:sz w:val="16"/>
                <w:szCs w:val="16"/>
              </w:rPr>
              <w:t xml:space="preserve"> 1.02</w:t>
            </w:r>
            <w:r>
              <w:rPr>
                <w:rFonts w:ascii="Calibri" w:hAnsi="Calibri"/>
                <w:color w:val="000000"/>
                <w:sz w:val="16"/>
                <w:szCs w:val="16"/>
              </w:rPr>
              <w:t>)</w:t>
            </w:r>
          </w:p>
        </w:tc>
        <w:tc>
          <w:tcPr>
            <w:tcW w:w="652" w:type="dxa"/>
            <w:shd w:val="clear" w:color="auto" w:fill="EEECE1" w:themeFill="background2"/>
            <w:vAlign w:val="center"/>
          </w:tcPr>
          <w:p w14:paraId="441C3FA0" w14:textId="77777777" w:rsidR="00E324BD" w:rsidRPr="00E324BD" w:rsidRDefault="00E324BD" w:rsidP="006741F7">
            <w:pPr>
              <w:jc w:val="center"/>
              <w:rPr>
                <w:rFonts w:ascii="Calibri" w:hAnsi="Calibri"/>
                <w:color w:val="000000"/>
                <w:sz w:val="16"/>
                <w:szCs w:val="16"/>
              </w:rPr>
            </w:pPr>
            <w:r w:rsidRPr="00E324BD">
              <w:rPr>
                <w:rFonts w:ascii="Calibri" w:hAnsi="Calibri"/>
                <w:color w:val="000000"/>
                <w:sz w:val="16"/>
                <w:szCs w:val="16"/>
              </w:rPr>
              <w:t xml:space="preserve">0.81 </w:t>
            </w:r>
            <w:r>
              <w:rPr>
                <w:rFonts w:ascii="Calibri" w:hAnsi="Calibri"/>
                <w:color w:val="000000"/>
                <w:sz w:val="16"/>
                <w:szCs w:val="16"/>
              </w:rPr>
              <w:t>(</w:t>
            </w:r>
            <w:r w:rsidRPr="00E324BD">
              <w:rPr>
                <w:rFonts w:ascii="Calibri" w:hAnsi="Calibri"/>
                <w:color w:val="000000"/>
                <w:sz w:val="16"/>
                <w:szCs w:val="16"/>
              </w:rPr>
              <w:t>0.63</w:t>
            </w:r>
            <w:r>
              <w:rPr>
                <w:rFonts w:ascii="Calibri" w:hAnsi="Calibri"/>
                <w:color w:val="000000"/>
                <w:sz w:val="16"/>
                <w:szCs w:val="16"/>
              </w:rPr>
              <w:t>-</w:t>
            </w:r>
            <w:r w:rsidRPr="00E324BD">
              <w:rPr>
                <w:rFonts w:ascii="Calibri" w:hAnsi="Calibri"/>
                <w:color w:val="000000"/>
                <w:sz w:val="16"/>
                <w:szCs w:val="16"/>
              </w:rPr>
              <w:t xml:space="preserve"> 1.03</w:t>
            </w:r>
            <w:r>
              <w:rPr>
                <w:rFonts w:ascii="Calibri" w:hAnsi="Calibri"/>
                <w:color w:val="000000"/>
                <w:sz w:val="16"/>
                <w:szCs w:val="16"/>
              </w:rPr>
              <w:t>)</w:t>
            </w:r>
          </w:p>
        </w:tc>
      </w:tr>
      <w:tr w:rsidR="006741F7" w14:paraId="69A257E5" w14:textId="77777777" w:rsidTr="006741F7">
        <w:tc>
          <w:tcPr>
            <w:tcW w:w="1649" w:type="dxa"/>
          </w:tcPr>
          <w:p w14:paraId="46D6B968" w14:textId="77777777" w:rsidR="006741F7" w:rsidRPr="00B505B3" w:rsidRDefault="006741F7" w:rsidP="006741F7">
            <w:pPr>
              <w:spacing w:line="276" w:lineRule="auto"/>
              <w:rPr>
                <w:sz w:val="16"/>
                <w:szCs w:val="16"/>
              </w:rPr>
            </w:pPr>
            <w:r w:rsidRPr="00B505B3">
              <w:rPr>
                <w:sz w:val="16"/>
                <w:szCs w:val="16"/>
              </w:rPr>
              <w:t>%</w:t>
            </w:r>
            <w:r>
              <w:rPr>
                <w:sz w:val="16"/>
                <w:szCs w:val="16"/>
              </w:rPr>
              <w:t xml:space="preserve"> admissions having a CT scan</w:t>
            </w:r>
          </w:p>
        </w:tc>
        <w:tc>
          <w:tcPr>
            <w:tcW w:w="651" w:type="dxa"/>
            <w:shd w:val="clear" w:color="auto" w:fill="EEECE1" w:themeFill="background2"/>
            <w:vAlign w:val="center"/>
          </w:tcPr>
          <w:p w14:paraId="3693B3D5" w14:textId="77777777" w:rsidR="006741F7" w:rsidRPr="002D3872" w:rsidRDefault="006741F7" w:rsidP="006741F7">
            <w:pPr>
              <w:spacing w:line="276" w:lineRule="auto"/>
              <w:jc w:val="center"/>
              <w:rPr>
                <w:rFonts w:ascii="Calibri" w:hAnsi="Calibri"/>
                <w:color w:val="000000"/>
                <w:sz w:val="16"/>
              </w:rPr>
            </w:pPr>
            <w:r w:rsidRPr="002D3872">
              <w:rPr>
                <w:rFonts w:ascii="Calibri" w:hAnsi="Calibri"/>
                <w:color w:val="000000"/>
                <w:sz w:val="16"/>
              </w:rPr>
              <w:t>-</w:t>
            </w:r>
          </w:p>
        </w:tc>
        <w:tc>
          <w:tcPr>
            <w:tcW w:w="652" w:type="dxa"/>
            <w:shd w:val="clear" w:color="auto" w:fill="EEECE1" w:themeFill="background2"/>
            <w:vAlign w:val="center"/>
          </w:tcPr>
          <w:p w14:paraId="5B66BF2E" w14:textId="77777777" w:rsidR="006741F7" w:rsidRPr="002D3872" w:rsidRDefault="006741F7" w:rsidP="006741F7">
            <w:pPr>
              <w:spacing w:line="276" w:lineRule="auto"/>
              <w:jc w:val="center"/>
              <w:rPr>
                <w:rFonts w:ascii="Calibri" w:hAnsi="Calibri"/>
                <w:color w:val="000000"/>
                <w:sz w:val="16"/>
              </w:rPr>
            </w:pPr>
            <w:r w:rsidRPr="002D3872">
              <w:rPr>
                <w:rFonts w:ascii="Calibri" w:hAnsi="Calibri"/>
                <w:color w:val="000000"/>
                <w:sz w:val="16"/>
              </w:rPr>
              <w:t>-</w:t>
            </w:r>
          </w:p>
        </w:tc>
        <w:tc>
          <w:tcPr>
            <w:tcW w:w="652" w:type="dxa"/>
            <w:shd w:val="clear" w:color="auto" w:fill="EEECE1" w:themeFill="background2"/>
            <w:vAlign w:val="center"/>
          </w:tcPr>
          <w:p w14:paraId="0FC12886" w14:textId="77777777" w:rsidR="006741F7" w:rsidRPr="002D3872" w:rsidRDefault="006741F7" w:rsidP="006741F7">
            <w:pPr>
              <w:spacing w:line="276" w:lineRule="auto"/>
              <w:jc w:val="center"/>
              <w:rPr>
                <w:rFonts w:ascii="Calibri" w:hAnsi="Calibri"/>
                <w:color w:val="000000"/>
                <w:sz w:val="16"/>
              </w:rPr>
            </w:pPr>
            <w:r w:rsidRPr="002D3872">
              <w:rPr>
                <w:rFonts w:ascii="Calibri" w:hAnsi="Calibri"/>
                <w:color w:val="000000"/>
                <w:sz w:val="16"/>
              </w:rPr>
              <w:t>-</w:t>
            </w:r>
          </w:p>
        </w:tc>
        <w:tc>
          <w:tcPr>
            <w:tcW w:w="652" w:type="dxa"/>
            <w:vAlign w:val="center"/>
          </w:tcPr>
          <w:p w14:paraId="003C43DF" w14:textId="77777777" w:rsidR="006741F7" w:rsidRPr="002D3872" w:rsidRDefault="006741F7" w:rsidP="006741F7">
            <w:pPr>
              <w:spacing w:line="276" w:lineRule="auto"/>
              <w:jc w:val="center"/>
              <w:rPr>
                <w:rFonts w:ascii="Calibri" w:hAnsi="Calibri"/>
                <w:color w:val="000000"/>
                <w:sz w:val="16"/>
              </w:rPr>
            </w:pPr>
            <w:r w:rsidRPr="002D3872">
              <w:rPr>
                <w:rFonts w:ascii="Calibri" w:hAnsi="Calibri"/>
                <w:color w:val="000000"/>
                <w:sz w:val="16"/>
              </w:rPr>
              <w:t>-</w:t>
            </w:r>
          </w:p>
        </w:tc>
        <w:tc>
          <w:tcPr>
            <w:tcW w:w="652" w:type="dxa"/>
            <w:vAlign w:val="center"/>
          </w:tcPr>
          <w:p w14:paraId="2304756A" w14:textId="77777777" w:rsidR="006741F7" w:rsidRPr="002D3872" w:rsidRDefault="006741F7" w:rsidP="006741F7">
            <w:pPr>
              <w:spacing w:line="276" w:lineRule="auto"/>
              <w:jc w:val="center"/>
              <w:rPr>
                <w:rFonts w:ascii="Calibri" w:hAnsi="Calibri"/>
                <w:color w:val="000000"/>
                <w:sz w:val="16"/>
              </w:rPr>
            </w:pPr>
            <w:r w:rsidRPr="002D3872">
              <w:rPr>
                <w:rFonts w:ascii="Calibri" w:hAnsi="Calibri"/>
                <w:color w:val="000000"/>
                <w:sz w:val="16"/>
              </w:rPr>
              <w:t>-</w:t>
            </w:r>
          </w:p>
        </w:tc>
        <w:tc>
          <w:tcPr>
            <w:tcW w:w="652" w:type="dxa"/>
            <w:vAlign w:val="center"/>
          </w:tcPr>
          <w:p w14:paraId="7D192E36" w14:textId="77777777" w:rsidR="006741F7" w:rsidRPr="002D3872" w:rsidRDefault="006741F7" w:rsidP="006741F7">
            <w:pPr>
              <w:spacing w:line="276" w:lineRule="auto"/>
              <w:jc w:val="center"/>
              <w:rPr>
                <w:rFonts w:ascii="Calibri" w:hAnsi="Calibri"/>
                <w:color w:val="000000"/>
                <w:sz w:val="16"/>
              </w:rPr>
            </w:pPr>
            <w:r w:rsidRPr="002D3872">
              <w:rPr>
                <w:rFonts w:ascii="Calibri" w:hAnsi="Calibri"/>
                <w:color w:val="000000"/>
                <w:sz w:val="16"/>
              </w:rPr>
              <w:t>-</w:t>
            </w:r>
          </w:p>
        </w:tc>
        <w:tc>
          <w:tcPr>
            <w:tcW w:w="652" w:type="dxa"/>
            <w:vAlign w:val="center"/>
          </w:tcPr>
          <w:p w14:paraId="4A0EB983" w14:textId="77777777" w:rsidR="006741F7" w:rsidRPr="002D3872" w:rsidRDefault="006741F7" w:rsidP="006741F7">
            <w:pPr>
              <w:spacing w:line="276" w:lineRule="auto"/>
              <w:jc w:val="center"/>
              <w:rPr>
                <w:rFonts w:ascii="Calibri" w:hAnsi="Calibri"/>
                <w:color w:val="000000"/>
                <w:sz w:val="16"/>
              </w:rPr>
            </w:pPr>
            <w:r w:rsidRPr="002D3872">
              <w:rPr>
                <w:rFonts w:ascii="Calibri" w:hAnsi="Calibri"/>
                <w:color w:val="000000"/>
                <w:sz w:val="16"/>
              </w:rPr>
              <w:t>*6.2</w:t>
            </w:r>
          </w:p>
        </w:tc>
        <w:tc>
          <w:tcPr>
            <w:tcW w:w="652" w:type="dxa"/>
            <w:shd w:val="clear" w:color="auto" w:fill="EEECE1" w:themeFill="background2"/>
            <w:vAlign w:val="center"/>
          </w:tcPr>
          <w:p w14:paraId="31EFC602" w14:textId="77777777" w:rsidR="006741F7" w:rsidRPr="002D3872" w:rsidRDefault="006741F7" w:rsidP="006741F7">
            <w:pPr>
              <w:spacing w:line="276" w:lineRule="auto"/>
              <w:jc w:val="center"/>
              <w:rPr>
                <w:rFonts w:ascii="Calibri" w:hAnsi="Calibri"/>
                <w:color w:val="000000"/>
                <w:sz w:val="16"/>
              </w:rPr>
            </w:pPr>
            <w:r w:rsidRPr="002D3872">
              <w:rPr>
                <w:rFonts w:ascii="Calibri" w:hAnsi="Calibri"/>
                <w:color w:val="000000"/>
                <w:sz w:val="16"/>
              </w:rPr>
              <w:t>*12.0</w:t>
            </w:r>
          </w:p>
        </w:tc>
        <w:tc>
          <w:tcPr>
            <w:tcW w:w="652" w:type="dxa"/>
            <w:shd w:val="clear" w:color="auto" w:fill="EEECE1" w:themeFill="background2"/>
            <w:vAlign w:val="center"/>
          </w:tcPr>
          <w:p w14:paraId="568C1863" w14:textId="77777777" w:rsidR="006741F7" w:rsidRPr="002D3872" w:rsidRDefault="006741F7" w:rsidP="006741F7">
            <w:pPr>
              <w:spacing w:line="276" w:lineRule="auto"/>
              <w:jc w:val="center"/>
              <w:rPr>
                <w:rFonts w:ascii="Calibri" w:hAnsi="Calibri"/>
                <w:color w:val="000000"/>
                <w:sz w:val="16"/>
              </w:rPr>
            </w:pPr>
            <w:r w:rsidRPr="002D3872">
              <w:rPr>
                <w:rFonts w:ascii="Calibri" w:hAnsi="Calibri"/>
                <w:color w:val="000000"/>
                <w:sz w:val="16"/>
              </w:rPr>
              <w:t>14.5</w:t>
            </w:r>
          </w:p>
        </w:tc>
        <w:tc>
          <w:tcPr>
            <w:tcW w:w="652" w:type="dxa"/>
            <w:shd w:val="clear" w:color="auto" w:fill="EEECE1" w:themeFill="background2"/>
            <w:vAlign w:val="center"/>
          </w:tcPr>
          <w:p w14:paraId="579069C0" w14:textId="77777777" w:rsidR="006741F7" w:rsidRPr="002D3872" w:rsidRDefault="006741F7" w:rsidP="006741F7">
            <w:pPr>
              <w:spacing w:line="276" w:lineRule="auto"/>
              <w:jc w:val="center"/>
              <w:rPr>
                <w:rFonts w:ascii="Calibri" w:hAnsi="Calibri"/>
                <w:color w:val="000000"/>
                <w:sz w:val="16"/>
              </w:rPr>
            </w:pPr>
            <w:r w:rsidRPr="002D3872">
              <w:rPr>
                <w:rFonts w:ascii="Calibri" w:hAnsi="Calibri"/>
                <w:color w:val="000000"/>
                <w:sz w:val="16"/>
              </w:rPr>
              <w:t>16.4</w:t>
            </w:r>
          </w:p>
        </w:tc>
        <w:tc>
          <w:tcPr>
            <w:tcW w:w="652" w:type="dxa"/>
            <w:shd w:val="clear" w:color="auto" w:fill="EEECE1" w:themeFill="background2"/>
            <w:vAlign w:val="center"/>
          </w:tcPr>
          <w:p w14:paraId="5A35D825" w14:textId="77777777" w:rsidR="006741F7" w:rsidRPr="002D3872" w:rsidRDefault="006741F7" w:rsidP="006741F7">
            <w:pPr>
              <w:spacing w:line="276" w:lineRule="auto"/>
              <w:jc w:val="center"/>
              <w:rPr>
                <w:rFonts w:ascii="Calibri" w:hAnsi="Calibri"/>
                <w:color w:val="000000"/>
                <w:sz w:val="16"/>
              </w:rPr>
            </w:pPr>
            <w:r w:rsidRPr="002D3872">
              <w:rPr>
                <w:rFonts w:ascii="Calibri" w:hAnsi="Calibri"/>
                <w:color w:val="000000"/>
                <w:sz w:val="16"/>
              </w:rPr>
              <w:t>16.3</w:t>
            </w:r>
          </w:p>
        </w:tc>
        <w:tc>
          <w:tcPr>
            <w:tcW w:w="652" w:type="dxa"/>
            <w:shd w:val="clear" w:color="auto" w:fill="EEECE1" w:themeFill="background2"/>
            <w:vAlign w:val="center"/>
          </w:tcPr>
          <w:p w14:paraId="5EB1E4C6" w14:textId="77777777" w:rsidR="006741F7" w:rsidRPr="002D3872" w:rsidRDefault="006741F7" w:rsidP="006741F7">
            <w:pPr>
              <w:spacing w:line="276" w:lineRule="auto"/>
              <w:jc w:val="center"/>
              <w:rPr>
                <w:rFonts w:ascii="Calibri" w:hAnsi="Calibri"/>
                <w:color w:val="000000"/>
                <w:sz w:val="16"/>
              </w:rPr>
            </w:pPr>
            <w:r w:rsidRPr="002D3872">
              <w:rPr>
                <w:rFonts w:ascii="Calibri" w:hAnsi="Calibri"/>
                <w:color w:val="000000"/>
                <w:sz w:val="16"/>
              </w:rPr>
              <w:t>16.1</w:t>
            </w:r>
          </w:p>
        </w:tc>
      </w:tr>
      <w:tr w:rsidR="00E15399" w:rsidRPr="002D3872" w14:paraId="2860F7F8" w14:textId="77777777" w:rsidTr="006741F7">
        <w:tc>
          <w:tcPr>
            <w:tcW w:w="1649" w:type="dxa"/>
          </w:tcPr>
          <w:p w14:paraId="1412CF79" w14:textId="77777777" w:rsidR="00E15399" w:rsidRPr="002D3872" w:rsidRDefault="00E15399" w:rsidP="00582438">
            <w:pPr>
              <w:spacing w:line="276" w:lineRule="auto"/>
              <w:rPr>
                <w:sz w:val="16"/>
                <w:szCs w:val="16"/>
              </w:rPr>
            </w:pPr>
            <w:r w:rsidRPr="002D3872">
              <w:rPr>
                <w:sz w:val="16"/>
                <w:szCs w:val="16"/>
              </w:rPr>
              <w:t>% admissions with  length of stay &lt;1 day</w:t>
            </w:r>
          </w:p>
        </w:tc>
        <w:tc>
          <w:tcPr>
            <w:tcW w:w="651" w:type="dxa"/>
            <w:shd w:val="clear" w:color="auto" w:fill="EEECE1" w:themeFill="background2"/>
            <w:vAlign w:val="center"/>
          </w:tcPr>
          <w:p w14:paraId="30AE2249"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37.6</w:t>
            </w:r>
          </w:p>
        </w:tc>
        <w:tc>
          <w:tcPr>
            <w:tcW w:w="652" w:type="dxa"/>
            <w:shd w:val="clear" w:color="auto" w:fill="EEECE1" w:themeFill="background2"/>
            <w:vAlign w:val="center"/>
          </w:tcPr>
          <w:p w14:paraId="23660F61"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39.6</w:t>
            </w:r>
          </w:p>
        </w:tc>
        <w:tc>
          <w:tcPr>
            <w:tcW w:w="652" w:type="dxa"/>
            <w:shd w:val="clear" w:color="auto" w:fill="EEECE1" w:themeFill="background2"/>
            <w:vAlign w:val="center"/>
          </w:tcPr>
          <w:p w14:paraId="1D68D34F"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40.8</w:t>
            </w:r>
          </w:p>
        </w:tc>
        <w:tc>
          <w:tcPr>
            <w:tcW w:w="652" w:type="dxa"/>
            <w:vAlign w:val="center"/>
          </w:tcPr>
          <w:p w14:paraId="597F33B9"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41.9</w:t>
            </w:r>
          </w:p>
        </w:tc>
        <w:tc>
          <w:tcPr>
            <w:tcW w:w="652" w:type="dxa"/>
            <w:vAlign w:val="center"/>
          </w:tcPr>
          <w:p w14:paraId="7FF0189E"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44.7</w:t>
            </w:r>
          </w:p>
        </w:tc>
        <w:tc>
          <w:tcPr>
            <w:tcW w:w="652" w:type="dxa"/>
            <w:vAlign w:val="center"/>
          </w:tcPr>
          <w:p w14:paraId="38ED727D"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47.4</w:t>
            </w:r>
          </w:p>
        </w:tc>
        <w:tc>
          <w:tcPr>
            <w:tcW w:w="652" w:type="dxa"/>
            <w:vAlign w:val="center"/>
          </w:tcPr>
          <w:p w14:paraId="084E0074"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50.0</w:t>
            </w:r>
          </w:p>
        </w:tc>
        <w:tc>
          <w:tcPr>
            <w:tcW w:w="652" w:type="dxa"/>
            <w:shd w:val="clear" w:color="auto" w:fill="EEECE1" w:themeFill="background2"/>
            <w:vAlign w:val="center"/>
          </w:tcPr>
          <w:p w14:paraId="337409DB"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51.2</w:t>
            </w:r>
          </w:p>
        </w:tc>
        <w:tc>
          <w:tcPr>
            <w:tcW w:w="652" w:type="dxa"/>
            <w:shd w:val="clear" w:color="auto" w:fill="EEECE1" w:themeFill="background2"/>
            <w:vAlign w:val="center"/>
          </w:tcPr>
          <w:p w14:paraId="05AAD461"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53.5</w:t>
            </w:r>
          </w:p>
        </w:tc>
        <w:tc>
          <w:tcPr>
            <w:tcW w:w="652" w:type="dxa"/>
            <w:shd w:val="clear" w:color="auto" w:fill="EEECE1" w:themeFill="background2"/>
            <w:vAlign w:val="center"/>
          </w:tcPr>
          <w:p w14:paraId="05A23B19"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55.0</w:t>
            </w:r>
          </w:p>
        </w:tc>
        <w:tc>
          <w:tcPr>
            <w:tcW w:w="652" w:type="dxa"/>
            <w:shd w:val="clear" w:color="auto" w:fill="EEECE1" w:themeFill="background2"/>
            <w:vAlign w:val="center"/>
          </w:tcPr>
          <w:p w14:paraId="3BC1E7DA"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56.4</w:t>
            </w:r>
          </w:p>
        </w:tc>
        <w:tc>
          <w:tcPr>
            <w:tcW w:w="652" w:type="dxa"/>
            <w:shd w:val="clear" w:color="auto" w:fill="EEECE1" w:themeFill="background2"/>
            <w:vAlign w:val="center"/>
          </w:tcPr>
          <w:p w14:paraId="18E871C3"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57.4</w:t>
            </w:r>
          </w:p>
        </w:tc>
      </w:tr>
      <w:tr w:rsidR="00E15399" w14:paraId="4960F36E" w14:textId="77777777" w:rsidTr="006741F7">
        <w:tc>
          <w:tcPr>
            <w:tcW w:w="1649" w:type="dxa"/>
          </w:tcPr>
          <w:p w14:paraId="2B15AC6D" w14:textId="77777777" w:rsidR="00E15399" w:rsidRPr="002D3872" w:rsidRDefault="00E15399" w:rsidP="00582438">
            <w:pPr>
              <w:spacing w:line="276" w:lineRule="auto"/>
              <w:rPr>
                <w:sz w:val="16"/>
                <w:szCs w:val="16"/>
              </w:rPr>
            </w:pPr>
            <w:r w:rsidRPr="002D3872">
              <w:rPr>
                <w:sz w:val="16"/>
                <w:szCs w:val="16"/>
              </w:rPr>
              <w:t>% admissions with  length of stay =1 day</w:t>
            </w:r>
          </w:p>
        </w:tc>
        <w:tc>
          <w:tcPr>
            <w:tcW w:w="651" w:type="dxa"/>
            <w:shd w:val="clear" w:color="auto" w:fill="EEECE1" w:themeFill="background2"/>
            <w:vAlign w:val="center"/>
          </w:tcPr>
          <w:p w14:paraId="7984A870"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47.9</w:t>
            </w:r>
          </w:p>
        </w:tc>
        <w:tc>
          <w:tcPr>
            <w:tcW w:w="652" w:type="dxa"/>
            <w:shd w:val="clear" w:color="auto" w:fill="EEECE1" w:themeFill="background2"/>
            <w:vAlign w:val="center"/>
          </w:tcPr>
          <w:p w14:paraId="713EBE88"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46.5</w:t>
            </w:r>
          </w:p>
        </w:tc>
        <w:tc>
          <w:tcPr>
            <w:tcW w:w="652" w:type="dxa"/>
            <w:shd w:val="clear" w:color="auto" w:fill="EEECE1" w:themeFill="background2"/>
            <w:vAlign w:val="center"/>
          </w:tcPr>
          <w:p w14:paraId="0F204C57"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45.1</w:t>
            </w:r>
          </w:p>
        </w:tc>
        <w:tc>
          <w:tcPr>
            <w:tcW w:w="652" w:type="dxa"/>
            <w:vAlign w:val="center"/>
          </w:tcPr>
          <w:p w14:paraId="651D4C7E"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45.1</w:t>
            </w:r>
          </w:p>
        </w:tc>
        <w:tc>
          <w:tcPr>
            <w:tcW w:w="652" w:type="dxa"/>
            <w:vAlign w:val="center"/>
          </w:tcPr>
          <w:p w14:paraId="300C6207"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43.6</w:t>
            </w:r>
          </w:p>
        </w:tc>
        <w:tc>
          <w:tcPr>
            <w:tcW w:w="652" w:type="dxa"/>
            <w:vAlign w:val="center"/>
          </w:tcPr>
          <w:p w14:paraId="661981BB"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41</w:t>
            </w:r>
          </w:p>
        </w:tc>
        <w:tc>
          <w:tcPr>
            <w:tcW w:w="652" w:type="dxa"/>
            <w:vAlign w:val="center"/>
          </w:tcPr>
          <w:p w14:paraId="7B92BEF1"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39.2</w:t>
            </w:r>
          </w:p>
        </w:tc>
        <w:tc>
          <w:tcPr>
            <w:tcW w:w="652" w:type="dxa"/>
            <w:shd w:val="clear" w:color="auto" w:fill="EEECE1" w:themeFill="background2"/>
            <w:vAlign w:val="center"/>
          </w:tcPr>
          <w:p w14:paraId="47B425DA"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38.1</w:t>
            </w:r>
          </w:p>
        </w:tc>
        <w:tc>
          <w:tcPr>
            <w:tcW w:w="652" w:type="dxa"/>
            <w:shd w:val="clear" w:color="auto" w:fill="EEECE1" w:themeFill="background2"/>
            <w:vAlign w:val="center"/>
          </w:tcPr>
          <w:p w14:paraId="651CF13D"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36.5</w:t>
            </w:r>
          </w:p>
        </w:tc>
        <w:tc>
          <w:tcPr>
            <w:tcW w:w="652" w:type="dxa"/>
            <w:shd w:val="clear" w:color="auto" w:fill="EEECE1" w:themeFill="background2"/>
            <w:vAlign w:val="center"/>
          </w:tcPr>
          <w:p w14:paraId="225F9138"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35.1</w:t>
            </w:r>
          </w:p>
        </w:tc>
        <w:tc>
          <w:tcPr>
            <w:tcW w:w="652" w:type="dxa"/>
            <w:shd w:val="clear" w:color="auto" w:fill="EEECE1" w:themeFill="background2"/>
            <w:vAlign w:val="center"/>
          </w:tcPr>
          <w:p w14:paraId="4752E5F0"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34</w:t>
            </w:r>
          </w:p>
        </w:tc>
        <w:tc>
          <w:tcPr>
            <w:tcW w:w="652" w:type="dxa"/>
            <w:shd w:val="clear" w:color="auto" w:fill="EEECE1" w:themeFill="background2"/>
            <w:vAlign w:val="center"/>
          </w:tcPr>
          <w:p w14:paraId="524C04CC"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33.8</w:t>
            </w:r>
          </w:p>
        </w:tc>
      </w:tr>
      <w:tr w:rsidR="00E15399" w14:paraId="316D5D1E" w14:textId="77777777" w:rsidTr="006741F7">
        <w:tc>
          <w:tcPr>
            <w:tcW w:w="1649" w:type="dxa"/>
          </w:tcPr>
          <w:p w14:paraId="27679D54" w14:textId="77777777" w:rsidR="00E15399" w:rsidRPr="002D3872" w:rsidRDefault="00E15399" w:rsidP="00582438">
            <w:pPr>
              <w:spacing w:line="276" w:lineRule="auto"/>
              <w:rPr>
                <w:sz w:val="16"/>
                <w:szCs w:val="16"/>
              </w:rPr>
            </w:pPr>
            <w:r w:rsidRPr="002D3872">
              <w:rPr>
                <w:sz w:val="16"/>
                <w:szCs w:val="16"/>
              </w:rPr>
              <w:t>% ad</w:t>
            </w:r>
            <w:r w:rsidR="00D01CCA">
              <w:rPr>
                <w:sz w:val="16"/>
                <w:szCs w:val="16"/>
              </w:rPr>
              <w:t>missions with length of stay  ≥</w:t>
            </w:r>
            <w:r w:rsidRPr="002D3872">
              <w:rPr>
                <w:sz w:val="16"/>
                <w:szCs w:val="16"/>
              </w:rPr>
              <w:t>2 days</w:t>
            </w:r>
          </w:p>
        </w:tc>
        <w:tc>
          <w:tcPr>
            <w:tcW w:w="651" w:type="dxa"/>
            <w:shd w:val="clear" w:color="auto" w:fill="EEECE1" w:themeFill="background2"/>
            <w:vAlign w:val="center"/>
          </w:tcPr>
          <w:p w14:paraId="4D0B553D"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14.4</w:t>
            </w:r>
          </w:p>
        </w:tc>
        <w:tc>
          <w:tcPr>
            <w:tcW w:w="652" w:type="dxa"/>
            <w:shd w:val="clear" w:color="auto" w:fill="EEECE1" w:themeFill="background2"/>
            <w:vAlign w:val="center"/>
          </w:tcPr>
          <w:p w14:paraId="46D1E811"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13.9</w:t>
            </w:r>
          </w:p>
        </w:tc>
        <w:tc>
          <w:tcPr>
            <w:tcW w:w="652" w:type="dxa"/>
            <w:shd w:val="clear" w:color="auto" w:fill="EEECE1" w:themeFill="background2"/>
            <w:vAlign w:val="center"/>
          </w:tcPr>
          <w:p w14:paraId="7DC0A505"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14.1</w:t>
            </w:r>
          </w:p>
        </w:tc>
        <w:tc>
          <w:tcPr>
            <w:tcW w:w="652" w:type="dxa"/>
            <w:vAlign w:val="center"/>
          </w:tcPr>
          <w:p w14:paraId="6287B0A4"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13.1</w:t>
            </w:r>
          </w:p>
        </w:tc>
        <w:tc>
          <w:tcPr>
            <w:tcW w:w="652" w:type="dxa"/>
            <w:vAlign w:val="center"/>
          </w:tcPr>
          <w:p w14:paraId="0A907F4A"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11.7</w:t>
            </w:r>
          </w:p>
        </w:tc>
        <w:tc>
          <w:tcPr>
            <w:tcW w:w="652" w:type="dxa"/>
            <w:vAlign w:val="center"/>
          </w:tcPr>
          <w:p w14:paraId="646FE916"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11.5</w:t>
            </w:r>
          </w:p>
        </w:tc>
        <w:tc>
          <w:tcPr>
            <w:tcW w:w="652" w:type="dxa"/>
            <w:vAlign w:val="center"/>
          </w:tcPr>
          <w:p w14:paraId="344DDB77"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10.8</w:t>
            </w:r>
          </w:p>
        </w:tc>
        <w:tc>
          <w:tcPr>
            <w:tcW w:w="652" w:type="dxa"/>
            <w:shd w:val="clear" w:color="auto" w:fill="EEECE1" w:themeFill="background2"/>
            <w:vAlign w:val="center"/>
          </w:tcPr>
          <w:p w14:paraId="29E94258"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10.7</w:t>
            </w:r>
          </w:p>
        </w:tc>
        <w:tc>
          <w:tcPr>
            <w:tcW w:w="652" w:type="dxa"/>
            <w:shd w:val="clear" w:color="auto" w:fill="EEECE1" w:themeFill="background2"/>
            <w:vAlign w:val="center"/>
          </w:tcPr>
          <w:p w14:paraId="74A2E2D6"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9.9</w:t>
            </w:r>
          </w:p>
        </w:tc>
        <w:tc>
          <w:tcPr>
            <w:tcW w:w="652" w:type="dxa"/>
            <w:shd w:val="clear" w:color="auto" w:fill="EEECE1" w:themeFill="background2"/>
            <w:vAlign w:val="center"/>
          </w:tcPr>
          <w:p w14:paraId="27E526C7"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9.9</w:t>
            </w:r>
          </w:p>
        </w:tc>
        <w:tc>
          <w:tcPr>
            <w:tcW w:w="652" w:type="dxa"/>
            <w:shd w:val="clear" w:color="auto" w:fill="EEECE1" w:themeFill="background2"/>
            <w:vAlign w:val="center"/>
          </w:tcPr>
          <w:p w14:paraId="1D0D5DA9"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9.6</w:t>
            </w:r>
          </w:p>
        </w:tc>
        <w:tc>
          <w:tcPr>
            <w:tcW w:w="652" w:type="dxa"/>
            <w:shd w:val="clear" w:color="auto" w:fill="EEECE1" w:themeFill="background2"/>
            <w:vAlign w:val="center"/>
          </w:tcPr>
          <w:p w14:paraId="24CEED2B" w14:textId="77777777" w:rsidR="00E15399" w:rsidRPr="002D3872" w:rsidRDefault="00E15399" w:rsidP="006741F7">
            <w:pPr>
              <w:spacing w:line="276" w:lineRule="auto"/>
              <w:jc w:val="center"/>
              <w:rPr>
                <w:rFonts w:ascii="Calibri" w:hAnsi="Calibri"/>
                <w:color w:val="000000"/>
                <w:sz w:val="16"/>
              </w:rPr>
            </w:pPr>
            <w:r w:rsidRPr="002D3872">
              <w:rPr>
                <w:rFonts w:ascii="Calibri" w:hAnsi="Calibri"/>
                <w:color w:val="000000"/>
                <w:sz w:val="16"/>
              </w:rPr>
              <w:t>8.8</w:t>
            </w:r>
          </w:p>
        </w:tc>
      </w:tr>
    </w:tbl>
    <w:p w14:paraId="4B9A2136" w14:textId="77777777" w:rsidR="00E15399" w:rsidRDefault="00E15399" w:rsidP="00E15399">
      <w:pPr>
        <w:spacing w:line="360" w:lineRule="auto"/>
        <w:rPr>
          <w:sz w:val="18"/>
        </w:rPr>
      </w:pPr>
      <w:r>
        <w:rPr>
          <w:sz w:val="18"/>
        </w:rPr>
        <w:t xml:space="preserve">* </w:t>
      </w:r>
      <w:r>
        <w:t xml:space="preserve">CT data was not routinely collected prior to </w:t>
      </w:r>
      <w:proofErr w:type="gramStart"/>
      <w:r>
        <w:t>2006,</w:t>
      </w:r>
      <w:proofErr w:type="gramEnd"/>
      <w:r>
        <w:t xml:space="preserve"> data for 2006 and 2007 may be incomplete</w:t>
      </w:r>
    </w:p>
    <w:p w14:paraId="72F9023C" w14:textId="77777777" w:rsidR="00E15399" w:rsidRDefault="00E15399">
      <w:pPr>
        <w:rPr>
          <w:sz w:val="20"/>
        </w:rPr>
      </w:pPr>
    </w:p>
    <w:p w14:paraId="55D7AE08" w14:textId="77777777" w:rsidR="00E15399" w:rsidRDefault="00E15399" w:rsidP="00E15399">
      <w:proofErr w:type="gramStart"/>
      <w:r>
        <w:t>Table 2 – Comparisons between guideline eras*.</w:t>
      </w:r>
      <w:proofErr w:type="gramEnd"/>
      <w:r>
        <w:t xml:space="preserve"> </w:t>
      </w:r>
    </w:p>
    <w:tbl>
      <w:tblPr>
        <w:tblStyle w:val="TableGrid"/>
        <w:tblW w:w="7338" w:type="dxa"/>
        <w:tblLayout w:type="fixed"/>
        <w:tblLook w:val="04A0" w:firstRow="1" w:lastRow="0" w:firstColumn="1" w:lastColumn="0" w:noHBand="0" w:noVBand="1"/>
      </w:tblPr>
      <w:tblGrid>
        <w:gridCol w:w="2943"/>
        <w:gridCol w:w="1134"/>
        <w:gridCol w:w="1418"/>
        <w:gridCol w:w="1843"/>
      </w:tblGrid>
      <w:tr w:rsidR="00E15399" w14:paraId="4155190F" w14:textId="77777777" w:rsidTr="005B6609">
        <w:tc>
          <w:tcPr>
            <w:tcW w:w="2943" w:type="dxa"/>
            <w:vAlign w:val="bottom"/>
          </w:tcPr>
          <w:p w14:paraId="4E3C5B06" w14:textId="77777777" w:rsidR="00E15399" w:rsidRPr="00B505B3" w:rsidRDefault="00E15399" w:rsidP="00582438">
            <w:pPr>
              <w:spacing w:line="276" w:lineRule="auto"/>
              <w:rPr>
                <w:rFonts w:ascii="Calibri" w:hAnsi="Calibri"/>
                <w:color w:val="000000"/>
                <w:sz w:val="16"/>
              </w:rPr>
            </w:pPr>
            <w:r w:rsidRPr="00B505B3">
              <w:rPr>
                <w:rFonts w:ascii="Calibri" w:hAnsi="Calibri"/>
                <w:color w:val="000000"/>
                <w:sz w:val="16"/>
              </w:rPr>
              <w:t>Guideline</w:t>
            </w:r>
          </w:p>
        </w:tc>
        <w:tc>
          <w:tcPr>
            <w:tcW w:w="1134" w:type="dxa"/>
            <w:shd w:val="clear" w:color="auto" w:fill="EEECE1" w:themeFill="background2"/>
            <w:vAlign w:val="center"/>
          </w:tcPr>
          <w:p w14:paraId="7C7CC127" w14:textId="77777777" w:rsidR="00E15399" w:rsidRPr="00B505B3" w:rsidRDefault="00E15399" w:rsidP="00582438">
            <w:pPr>
              <w:spacing w:line="276" w:lineRule="auto"/>
              <w:jc w:val="center"/>
              <w:rPr>
                <w:rFonts w:ascii="Calibri" w:hAnsi="Calibri"/>
                <w:color w:val="000000"/>
                <w:sz w:val="16"/>
              </w:rPr>
            </w:pPr>
            <w:r>
              <w:rPr>
                <w:rFonts w:ascii="Calibri" w:hAnsi="Calibri"/>
                <w:color w:val="000000"/>
                <w:sz w:val="16"/>
              </w:rPr>
              <w:t>RCS</w:t>
            </w:r>
          </w:p>
        </w:tc>
        <w:tc>
          <w:tcPr>
            <w:tcW w:w="1418" w:type="dxa"/>
            <w:vAlign w:val="center"/>
          </w:tcPr>
          <w:p w14:paraId="590AFC6A" w14:textId="77777777" w:rsidR="00E15399" w:rsidRPr="00B505B3" w:rsidRDefault="00E15399" w:rsidP="00582438">
            <w:pPr>
              <w:spacing w:line="276" w:lineRule="auto"/>
              <w:jc w:val="center"/>
              <w:rPr>
                <w:rFonts w:ascii="Calibri" w:hAnsi="Calibri"/>
                <w:color w:val="000000"/>
                <w:sz w:val="16"/>
              </w:rPr>
            </w:pPr>
            <w:r>
              <w:rPr>
                <w:rFonts w:ascii="Calibri" w:hAnsi="Calibri"/>
                <w:color w:val="000000"/>
                <w:sz w:val="16"/>
              </w:rPr>
              <w:t>NICE 2003</w:t>
            </w:r>
          </w:p>
        </w:tc>
        <w:tc>
          <w:tcPr>
            <w:tcW w:w="1843" w:type="dxa"/>
            <w:shd w:val="clear" w:color="auto" w:fill="EEECE1" w:themeFill="background2"/>
            <w:vAlign w:val="center"/>
          </w:tcPr>
          <w:p w14:paraId="1582431B" w14:textId="77777777" w:rsidR="00E15399" w:rsidRPr="00B505B3" w:rsidRDefault="00E15399" w:rsidP="00582438">
            <w:pPr>
              <w:spacing w:line="276" w:lineRule="auto"/>
              <w:jc w:val="center"/>
              <w:rPr>
                <w:rFonts w:ascii="Calibri" w:hAnsi="Calibri"/>
                <w:color w:val="000000"/>
                <w:sz w:val="16"/>
              </w:rPr>
            </w:pPr>
            <w:r>
              <w:rPr>
                <w:rFonts w:ascii="Calibri" w:hAnsi="Calibri"/>
                <w:color w:val="000000"/>
                <w:sz w:val="16"/>
              </w:rPr>
              <w:t>NICE 2007</w:t>
            </w:r>
          </w:p>
        </w:tc>
      </w:tr>
      <w:tr w:rsidR="00E15399" w14:paraId="577491C7" w14:textId="77777777" w:rsidTr="005B6609">
        <w:tc>
          <w:tcPr>
            <w:tcW w:w="2943" w:type="dxa"/>
            <w:vAlign w:val="bottom"/>
          </w:tcPr>
          <w:p w14:paraId="78AF1B67" w14:textId="77777777" w:rsidR="00E15399" w:rsidRPr="00B505B3" w:rsidRDefault="00E15399" w:rsidP="00582438">
            <w:pPr>
              <w:spacing w:line="276" w:lineRule="auto"/>
              <w:rPr>
                <w:rFonts w:ascii="Calibri" w:hAnsi="Calibri"/>
                <w:color w:val="000000"/>
                <w:sz w:val="16"/>
              </w:rPr>
            </w:pPr>
            <w:r>
              <w:rPr>
                <w:rFonts w:ascii="Calibri" w:hAnsi="Calibri"/>
                <w:color w:val="000000"/>
                <w:sz w:val="16"/>
              </w:rPr>
              <w:t>Period averaged over</w:t>
            </w:r>
          </w:p>
        </w:tc>
        <w:tc>
          <w:tcPr>
            <w:tcW w:w="1134" w:type="dxa"/>
            <w:shd w:val="clear" w:color="auto" w:fill="EEECE1" w:themeFill="background2"/>
            <w:vAlign w:val="center"/>
          </w:tcPr>
          <w:p w14:paraId="70BB3F24" w14:textId="77777777" w:rsidR="00E15399" w:rsidRPr="00B505B3" w:rsidRDefault="00E15399" w:rsidP="00582438">
            <w:pPr>
              <w:spacing w:line="276" w:lineRule="auto"/>
              <w:jc w:val="center"/>
              <w:rPr>
                <w:rFonts w:ascii="Calibri" w:hAnsi="Calibri"/>
                <w:color w:val="000000"/>
                <w:sz w:val="16"/>
              </w:rPr>
            </w:pPr>
            <w:r w:rsidRPr="00B505B3">
              <w:rPr>
                <w:rFonts w:ascii="Calibri" w:hAnsi="Calibri"/>
                <w:color w:val="000000"/>
                <w:sz w:val="16"/>
              </w:rPr>
              <w:t>2000</w:t>
            </w:r>
            <w:r>
              <w:rPr>
                <w:rFonts w:ascii="Calibri" w:hAnsi="Calibri"/>
                <w:color w:val="000000"/>
                <w:sz w:val="16"/>
              </w:rPr>
              <w:t>-2002*</w:t>
            </w:r>
          </w:p>
        </w:tc>
        <w:tc>
          <w:tcPr>
            <w:tcW w:w="1418" w:type="dxa"/>
            <w:vAlign w:val="center"/>
          </w:tcPr>
          <w:p w14:paraId="5A724AAD" w14:textId="77777777" w:rsidR="00E15399" w:rsidRPr="00B505B3" w:rsidRDefault="00E15399" w:rsidP="00582438">
            <w:pPr>
              <w:spacing w:line="276" w:lineRule="auto"/>
              <w:jc w:val="center"/>
              <w:rPr>
                <w:rFonts w:ascii="Calibri" w:hAnsi="Calibri"/>
                <w:color w:val="000000"/>
                <w:sz w:val="16"/>
              </w:rPr>
            </w:pPr>
            <w:r>
              <w:rPr>
                <w:rFonts w:ascii="Calibri" w:hAnsi="Calibri"/>
                <w:color w:val="000000"/>
                <w:sz w:val="16"/>
              </w:rPr>
              <w:t>2004-2006*</w:t>
            </w:r>
          </w:p>
        </w:tc>
        <w:tc>
          <w:tcPr>
            <w:tcW w:w="1843" w:type="dxa"/>
            <w:shd w:val="clear" w:color="auto" w:fill="EEECE1" w:themeFill="background2"/>
            <w:vAlign w:val="center"/>
          </w:tcPr>
          <w:p w14:paraId="6DA7BFC3" w14:textId="77777777" w:rsidR="00E15399" w:rsidRPr="00B505B3" w:rsidRDefault="00E15399" w:rsidP="00582438">
            <w:pPr>
              <w:spacing w:line="276" w:lineRule="auto"/>
              <w:jc w:val="center"/>
              <w:rPr>
                <w:rFonts w:ascii="Calibri" w:hAnsi="Calibri"/>
                <w:color w:val="000000"/>
                <w:sz w:val="16"/>
              </w:rPr>
            </w:pPr>
            <w:r>
              <w:rPr>
                <w:rFonts w:ascii="Calibri" w:hAnsi="Calibri"/>
                <w:color w:val="000000"/>
                <w:sz w:val="16"/>
              </w:rPr>
              <w:t>2009-2011*</w:t>
            </w:r>
          </w:p>
        </w:tc>
      </w:tr>
      <w:tr w:rsidR="00E15399" w14:paraId="1FEA5FBF" w14:textId="77777777" w:rsidTr="005B6609">
        <w:tc>
          <w:tcPr>
            <w:tcW w:w="2943" w:type="dxa"/>
          </w:tcPr>
          <w:p w14:paraId="2E095589" w14:textId="77777777" w:rsidR="00E15399" w:rsidRDefault="00E15399" w:rsidP="00582438">
            <w:pPr>
              <w:tabs>
                <w:tab w:val="right" w:pos="1768"/>
              </w:tabs>
              <w:spacing w:line="276" w:lineRule="auto"/>
              <w:rPr>
                <w:sz w:val="16"/>
                <w:szCs w:val="16"/>
              </w:rPr>
            </w:pPr>
            <w:r>
              <w:rPr>
                <w:sz w:val="16"/>
                <w:szCs w:val="16"/>
              </w:rPr>
              <w:t xml:space="preserve">Mean number of admissions </w:t>
            </w:r>
            <w:r w:rsidR="005B6609">
              <w:rPr>
                <w:sz w:val="16"/>
                <w:szCs w:val="16"/>
              </w:rPr>
              <w:t xml:space="preserve"> per year </w:t>
            </w:r>
            <w:r>
              <w:rPr>
                <w:sz w:val="16"/>
                <w:szCs w:val="16"/>
              </w:rPr>
              <w:t xml:space="preserve">&lt;16yrs </w:t>
            </w:r>
          </w:p>
        </w:tc>
        <w:tc>
          <w:tcPr>
            <w:tcW w:w="1134" w:type="dxa"/>
            <w:shd w:val="clear" w:color="auto" w:fill="EEECE1" w:themeFill="background2"/>
            <w:vAlign w:val="center"/>
          </w:tcPr>
          <w:p w14:paraId="3723453B" w14:textId="77777777" w:rsidR="00E15399" w:rsidRPr="00A715D9" w:rsidRDefault="00B63F12" w:rsidP="00582438">
            <w:pPr>
              <w:spacing w:line="276" w:lineRule="auto"/>
              <w:jc w:val="center"/>
              <w:rPr>
                <w:rFonts w:ascii="Calibri" w:hAnsi="Calibri"/>
                <w:color w:val="000000"/>
                <w:sz w:val="16"/>
              </w:rPr>
            </w:pPr>
            <w:r>
              <w:rPr>
                <w:rFonts w:ascii="Calibri" w:hAnsi="Calibri"/>
                <w:color w:val="000000"/>
                <w:sz w:val="16"/>
              </w:rPr>
              <w:t>33668</w:t>
            </w:r>
          </w:p>
        </w:tc>
        <w:tc>
          <w:tcPr>
            <w:tcW w:w="1418" w:type="dxa"/>
            <w:vAlign w:val="center"/>
          </w:tcPr>
          <w:p w14:paraId="5F23C7D1" w14:textId="77777777" w:rsidR="00E15399" w:rsidRPr="00A715D9" w:rsidRDefault="00B63F12" w:rsidP="00582438">
            <w:pPr>
              <w:spacing w:line="276" w:lineRule="auto"/>
              <w:jc w:val="center"/>
              <w:rPr>
                <w:rFonts w:ascii="Calibri" w:hAnsi="Calibri"/>
                <w:color w:val="000000"/>
                <w:sz w:val="16"/>
              </w:rPr>
            </w:pPr>
            <w:r>
              <w:rPr>
                <w:rFonts w:ascii="Calibri" w:hAnsi="Calibri"/>
                <w:color w:val="000000"/>
                <w:sz w:val="16"/>
              </w:rPr>
              <w:t>34891</w:t>
            </w:r>
          </w:p>
        </w:tc>
        <w:tc>
          <w:tcPr>
            <w:tcW w:w="1843" w:type="dxa"/>
            <w:shd w:val="clear" w:color="auto" w:fill="EEECE1" w:themeFill="background2"/>
            <w:vAlign w:val="center"/>
          </w:tcPr>
          <w:p w14:paraId="7AB57F87" w14:textId="77777777" w:rsidR="00E15399" w:rsidRPr="00A715D9" w:rsidRDefault="00B63F12" w:rsidP="00582438">
            <w:pPr>
              <w:spacing w:line="276" w:lineRule="auto"/>
              <w:jc w:val="center"/>
              <w:rPr>
                <w:rFonts w:ascii="Calibri" w:hAnsi="Calibri"/>
                <w:color w:val="000000"/>
                <w:sz w:val="16"/>
              </w:rPr>
            </w:pPr>
            <w:r>
              <w:rPr>
                <w:rFonts w:ascii="Calibri" w:hAnsi="Calibri"/>
                <w:color w:val="000000"/>
                <w:sz w:val="16"/>
              </w:rPr>
              <w:t>36105</w:t>
            </w:r>
          </w:p>
        </w:tc>
      </w:tr>
      <w:tr w:rsidR="005B6609" w14:paraId="1F885E9C" w14:textId="77777777" w:rsidTr="005B6609">
        <w:tc>
          <w:tcPr>
            <w:tcW w:w="2943" w:type="dxa"/>
          </w:tcPr>
          <w:p w14:paraId="7D67E60B" w14:textId="77777777" w:rsidR="005B6609" w:rsidRDefault="00575B06" w:rsidP="00582438">
            <w:pPr>
              <w:rPr>
                <w:sz w:val="16"/>
                <w:szCs w:val="16"/>
              </w:rPr>
            </w:pPr>
            <w:r>
              <w:rPr>
                <w:sz w:val="16"/>
                <w:szCs w:val="16"/>
              </w:rPr>
              <w:t>IRR for the admission rate (</w:t>
            </w:r>
            <w:r w:rsidR="005B6609">
              <w:rPr>
                <w:sz w:val="16"/>
                <w:szCs w:val="16"/>
              </w:rPr>
              <w:t>95% CI</w:t>
            </w:r>
            <w:r>
              <w:rPr>
                <w:sz w:val="16"/>
                <w:szCs w:val="16"/>
              </w:rPr>
              <w:t>)</w:t>
            </w:r>
          </w:p>
        </w:tc>
        <w:tc>
          <w:tcPr>
            <w:tcW w:w="1134" w:type="dxa"/>
            <w:shd w:val="clear" w:color="auto" w:fill="EEECE1" w:themeFill="background2"/>
            <w:vAlign w:val="center"/>
          </w:tcPr>
          <w:p w14:paraId="15F13507" w14:textId="77777777" w:rsidR="005B6609" w:rsidRDefault="005B6609" w:rsidP="00582438">
            <w:pPr>
              <w:jc w:val="center"/>
              <w:rPr>
                <w:rFonts w:ascii="Calibri" w:hAnsi="Calibri"/>
                <w:color w:val="000000"/>
                <w:sz w:val="16"/>
              </w:rPr>
            </w:pPr>
            <w:r>
              <w:rPr>
                <w:rFonts w:ascii="Calibri" w:hAnsi="Calibri"/>
                <w:color w:val="000000"/>
                <w:sz w:val="16"/>
              </w:rPr>
              <w:t>1.00</w:t>
            </w:r>
          </w:p>
        </w:tc>
        <w:tc>
          <w:tcPr>
            <w:tcW w:w="1418" w:type="dxa"/>
            <w:vAlign w:val="center"/>
          </w:tcPr>
          <w:p w14:paraId="618BF8ED" w14:textId="77777777" w:rsidR="005B6609" w:rsidRDefault="00575B06" w:rsidP="00582438">
            <w:pPr>
              <w:jc w:val="center"/>
              <w:rPr>
                <w:rFonts w:ascii="Calibri" w:hAnsi="Calibri"/>
                <w:color w:val="000000"/>
                <w:sz w:val="16"/>
              </w:rPr>
            </w:pPr>
            <w:r>
              <w:rPr>
                <w:rFonts w:ascii="Calibri" w:hAnsi="Calibri"/>
                <w:color w:val="000000"/>
                <w:sz w:val="16"/>
              </w:rPr>
              <w:t>1.04 (1.01-1.06)</w:t>
            </w:r>
          </w:p>
        </w:tc>
        <w:tc>
          <w:tcPr>
            <w:tcW w:w="1843" w:type="dxa"/>
            <w:shd w:val="clear" w:color="auto" w:fill="EEECE1" w:themeFill="background2"/>
            <w:vAlign w:val="center"/>
          </w:tcPr>
          <w:p w14:paraId="51D97C74" w14:textId="77777777" w:rsidR="005B6609" w:rsidRDefault="005B6609" w:rsidP="00575B06">
            <w:pPr>
              <w:jc w:val="center"/>
              <w:rPr>
                <w:rFonts w:ascii="Calibri" w:hAnsi="Calibri"/>
                <w:color w:val="000000"/>
                <w:sz w:val="16"/>
              </w:rPr>
            </w:pPr>
            <w:r>
              <w:rPr>
                <w:rFonts w:ascii="Calibri" w:hAnsi="Calibri"/>
                <w:color w:val="000000"/>
                <w:sz w:val="16"/>
              </w:rPr>
              <w:t xml:space="preserve">1.07 </w:t>
            </w:r>
            <w:r w:rsidR="00575B06">
              <w:rPr>
                <w:rFonts w:ascii="Calibri" w:hAnsi="Calibri"/>
                <w:color w:val="000000"/>
                <w:sz w:val="16"/>
              </w:rPr>
              <w:t>(1.04-</w:t>
            </w:r>
            <w:r>
              <w:rPr>
                <w:rFonts w:ascii="Calibri" w:hAnsi="Calibri"/>
                <w:color w:val="000000"/>
                <w:sz w:val="16"/>
              </w:rPr>
              <w:t>1.10</w:t>
            </w:r>
            <w:r w:rsidR="00575B06">
              <w:rPr>
                <w:rFonts w:ascii="Calibri" w:hAnsi="Calibri"/>
                <w:color w:val="000000"/>
                <w:sz w:val="16"/>
              </w:rPr>
              <w:t>)</w:t>
            </w:r>
          </w:p>
        </w:tc>
      </w:tr>
      <w:tr w:rsidR="00E15399" w14:paraId="339FDA1F" w14:textId="77777777" w:rsidTr="005B6609">
        <w:tc>
          <w:tcPr>
            <w:tcW w:w="2943" w:type="dxa"/>
          </w:tcPr>
          <w:p w14:paraId="4DA252CC" w14:textId="77777777" w:rsidR="00E15399" w:rsidRPr="00B505B3" w:rsidRDefault="00E15399" w:rsidP="00582438">
            <w:pPr>
              <w:spacing w:line="276" w:lineRule="auto"/>
              <w:rPr>
                <w:sz w:val="16"/>
                <w:szCs w:val="16"/>
              </w:rPr>
            </w:pPr>
            <w:r>
              <w:rPr>
                <w:sz w:val="16"/>
                <w:szCs w:val="16"/>
              </w:rPr>
              <w:t>Mean number of deaths &lt;16 years</w:t>
            </w:r>
          </w:p>
        </w:tc>
        <w:tc>
          <w:tcPr>
            <w:tcW w:w="1134" w:type="dxa"/>
            <w:shd w:val="clear" w:color="auto" w:fill="EEECE1" w:themeFill="background2"/>
            <w:vAlign w:val="center"/>
          </w:tcPr>
          <w:p w14:paraId="674F4AED" w14:textId="77777777" w:rsidR="00E15399" w:rsidRPr="00B505B3" w:rsidRDefault="00B63F12" w:rsidP="00582438">
            <w:pPr>
              <w:spacing w:line="276" w:lineRule="auto"/>
              <w:jc w:val="center"/>
              <w:rPr>
                <w:rFonts w:ascii="Calibri" w:hAnsi="Calibri"/>
                <w:color w:val="000000"/>
                <w:sz w:val="16"/>
              </w:rPr>
            </w:pPr>
            <w:r>
              <w:rPr>
                <w:rFonts w:ascii="Calibri" w:hAnsi="Calibri"/>
                <w:color w:val="000000"/>
                <w:sz w:val="16"/>
              </w:rPr>
              <w:t>66</w:t>
            </w:r>
          </w:p>
        </w:tc>
        <w:tc>
          <w:tcPr>
            <w:tcW w:w="1418" w:type="dxa"/>
            <w:vAlign w:val="center"/>
          </w:tcPr>
          <w:p w14:paraId="67FA58BC" w14:textId="77777777" w:rsidR="00E15399" w:rsidRPr="00B505B3" w:rsidRDefault="00B63F12" w:rsidP="00582438">
            <w:pPr>
              <w:spacing w:line="276" w:lineRule="auto"/>
              <w:jc w:val="center"/>
              <w:rPr>
                <w:rFonts w:ascii="Calibri" w:hAnsi="Calibri"/>
                <w:color w:val="000000"/>
                <w:sz w:val="16"/>
              </w:rPr>
            </w:pPr>
            <w:r>
              <w:rPr>
                <w:rFonts w:ascii="Calibri" w:hAnsi="Calibri"/>
                <w:color w:val="000000"/>
                <w:sz w:val="16"/>
              </w:rPr>
              <w:t>54</w:t>
            </w:r>
          </w:p>
        </w:tc>
        <w:tc>
          <w:tcPr>
            <w:tcW w:w="1843" w:type="dxa"/>
            <w:shd w:val="clear" w:color="auto" w:fill="EEECE1" w:themeFill="background2"/>
            <w:vAlign w:val="center"/>
          </w:tcPr>
          <w:p w14:paraId="0A2B210E" w14:textId="77777777" w:rsidR="00E15399" w:rsidRPr="00B505B3" w:rsidRDefault="00B63F12" w:rsidP="00582438">
            <w:pPr>
              <w:spacing w:line="276" w:lineRule="auto"/>
              <w:jc w:val="center"/>
              <w:rPr>
                <w:rFonts w:ascii="Calibri" w:hAnsi="Calibri"/>
                <w:color w:val="000000"/>
                <w:sz w:val="16"/>
              </w:rPr>
            </w:pPr>
            <w:r>
              <w:rPr>
                <w:rFonts w:ascii="Calibri" w:hAnsi="Calibri"/>
                <w:color w:val="000000"/>
                <w:sz w:val="16"/>
              </w:rPr>
              <w:t>32</w:t>
            </w:r>
          </w:p>
        </w:tc>
      </w:tr>
      <w:tr w:rsidR="00C5635F" w14:paraId="107711A5" w14:textId="77777777" w:rsidTr="005B6609">
        <w:tc>
          <w:tcPr>
            <w:tcW w:w="2943" w:type="dxa"/>
          </w:tcPr>
          <w:p w14:paraId="167FAE68" w14:textId="77777777" w:rsidR="00C5635F" w:rsidRDefault="00C5635F" w:rsidP="00582438">
            <w:pPr>
              <w:rPr>
                <w:sz w:val="16"/>
                <w:szCs w:val="16"/>
              </w:rPr>
            </w:pPr>
            <w:r>
              <w:rPr>
                <w:sz w:val="16"/>
                <w:szCs w:val="16"/>
              </w:rPr>
              <w:t>IRR for the death rate</w:t>
            </w:r>
            <w:r w:rsidR="00575B06">
              <w:rPr>
                <w:sz w:val="16"/>
                <w:szCs w:val="16"/>
              </w:rPr>
              <w:t xml:space="preserve"> (</w:t>
            </w:r>
            <w:r>
              <w:rPr>
                <w:sz w:val="16"/>
                <w:szCs w:val="16"/>
              </w:rPr>
              <w:t>95% CI</w:t>
            </w:r>
            <w:r w:rsidR="00575B06">
              <w:rPr>
                <w:sz w:val="16"/>
                <w:szCs w:val="16"/>
              </w:rPr>
              <w:t>)</w:t>
            </w:r>
          </w:p>
        </w:tc>
        <w:tc>
          <w:tcPr>
            <w:tcW w:w="1134" w:type="dxa"/>
            <w:shd w:val="clear" w:color="auto" w:fill="EEECE1" w:themeFill="background2"/>
            <w:vAlign w:val="center"/>
          </w:tcPr>
          <w:p w14:paraId="3B5288C6" w14:textId="77777777" w:rsidR="00C5635F" w:rsidRDefault="00C5635F" w:rsidP="00582438">
            <w:pPr>
              <w:jc w:val="center"/>
              <w:rPr>
                <w:rFonts w:ascii="Calibri" w:hAnsi="Calibri"/>
                <w:color w:val="000000"/>
                <w:sz w:val="16"/>
              </w:rPr>
            </w:pPr>
            <w:r>
              <w:rPr>
                <w:rFonts w:ascii="Calibri" w:hAnsi="Calibri"/>
                <w:color w:val="000000"/>
                <w:sz w:val="16"/>
              </w:rPr>
              <w:t xml:space="preserve">1.00 </w:t>
            </w:r>
          </w:p>
        </w:tc>
        <w:tc>
          <w:tcPr>
            <w:tcW w:w="1418" w:type="dxa"/>
            <w:vAlign w:val="center"/>
          </w:tcPr>
          <w:p w14:paraId="6855E839" w14:textId="77777777" w:rsidR="00C5635F" w:rsidRDefault="00575B06" w:rsidP="00582438">
            <w:pPr>
              <w:jc w:val="center"/>
              <w:rPr>
                <w:rFonts w:ascii="Calibri" w:hAnsi="Calibri"/>
                <w:color w:val="000000"/>
                <w:sz w:val="16"/>
              </w:rPr>
            </w:pPr>
            <w:r>
              <w:rPr>
                <w:rFonts w:ascii="Calibri" w:hAnsi="Calibri"/>
                <w:color w:val="000000"/>
                <w:sz w:val="16"/>
              </w:rPr>
              <w:t>0.82 (0.67-</w:t>
            </w:r>
            <w:r w:rsidR="00C5635F">
              <w:rPr>
                <w:rFonts w:ascii="Calibri" w:hAnsi="Calibri"/>
                <w:color w:val="000000"/>
                <w:sz w:val="16"/>
              </w:rPr>
              <w:t>1.01</w:t>
            </w:r>
            <w:r>
              <w:rPr>
                <w:rFonts w:ascii="Calibri" w:hAnsi="Calibri"/>
                <w:color w:val="000000"/>
                <w:sz w:val="16"/>
              </w:rPr>
              <w:t>)</w:t>
            </w:r>
          </w:p>
        </w:tc>
        <w:tc>
          <w:tcPr>
            <w:tcW w:w="1843" w:type="dxa"/>
            <w:shd w:val="clear" w:color="auto" w:fill="EEECE1" w:themeFill="background2"/>
            <w:vAlign w:val="center"/>
          </w:tcPr>
          <w:p w14:paraId="42BAB9CF" w14:textId="77777777" w:rsidR="00C5635F" w:rsidRDefault="00575B06" w:rsidP="00582438">
            <w:pPr>
              <w:jc w:val="center"/>
              <w:rPr>
                <w:rFonts w:ascii="Calibri" w:hAnsi="Calibri"/>
                <w:color w:val="000000"/>
                <w:sz w:val="16"/>
              </w:rPr>
            </w:pPr>
            <w:r>
              <w:rPr>
                <w:rFonts w:ascii="Calibri" w:hAnsi="Calibri"/>
                <w:color w:val="000000"/>
                <w:sz w:val="16"/>
              </w:rPr>
              <w:t>0.48 (0.38-</w:t>
            </w:r>
            <w:r w:rsidR="00C5635F">
              <w:rPr>
                <w:rFonts w:ascii="Calibri" w:hAnsi="Calibri"/>
                <w:color w:val="000000"/>
                <w:sz w:val="16"/>
              </w:rPr>
              <w:t>0.62</w:t>
            </w:r>
            <w:r>
              <w:rPr>
                <w:rFonts w:ascii="Calibri" w:hAnsi="Calibri"/>
                <w:color w:val="000000"/>
                <w:sz w:val="16"/>
              </w:rPr>
              <w:t>)</w:t>
            </w:r>
          </w:p>
        </w:tc>
      </w:tr>
      <w:tr w:rsidR="00E15399" w14:paraId="2A547D42" w14:textId="77777777" w:rsidTr="005B6609">
        <w:tc>
          <w:tcPr>
            <w:tcW w:w="2943" w:type="dxa"/>
          </w:tcPr>
          <w:p w14:paraId="42EC9971" w14:textId="77777777" w:rsidR="00E15399" w:rsidRPr="00B505B3" w:rsidRDefault="00E15399" w:rsidP="00582438">
            <w:pPr>
              <w:spacing w:line="276" w:lineRule="auto"/>
              <w:rPr>
                <w:sz w:val="16"/>
                <w:szCs w:val="16"/>
              </w:rPr>
            </w:pPr>
            <w:r>
              <w:rPr>
                <w:sz w:val="16"/>
                <w:szCs w:val="16"/>
              </w:rPr>
              <w:t>Mean number of  admissions</w:t>
            </w:r>
            <w:r w:rsidRPr="00B505B3">
              <w:rPr>
                <w:sz w:val="16"/>
                <w:szCs w:val="16"/>
              </w:rPr>
              <w:t xml:space="preserve"> with neurosurgery</w:t>
            </w:r>
            <w:r w:rsidR="00B011AB">
              <w:rPr>
                <w:sz w:val="16"/>
                <w:szCs w:val="16"/>
              </w:rPr>
              <w:t xml:space="preserve"> per year</w:t>
            </w:r>
          </w:p>
        </w:tc>
        <w:tc>
          <w:tcPr>
            <w:tcW w:w="1134" w:type="dxa"/>
            <w:shd w:val="clear" w:color="auto" w:fill="EEECE1" w:themeFill="background2"/>
            <w:vAlign w:val="center"/>
          </w:tcPr>
          <w:p w14:paraId="09C76E3A" w14:textId="77777777" w:rsidR="00E15399" w:rsidRPr="00B505B3" w:rsidRDefault="00B63F12" w:rsidP="00582438">
            <w:pPr>
              <w:spacing w:line="276" w:lineRule="auto"/>
              <w:jc w:val="center"/>
              <w:rPr>
                <w:rFonts w:ascii="Calibri" w:hAnsi="Calibri"/>
                <w:color w:val="000000"/>
                <w:sz w:val="16"/>
              </w:rPr>
            </w:pPr>
            <w:r>
              <w:rPr>
                <w:rFonts w:ascii="Calibri" w:hAnsi="Calibri"/>
                <w:color w:val="000000"/>
                <w:sz w:val="16"/>
              </w:rPr>
              <w:t>126</w:t>
            </w:r>
          </w:p>
        </w:tc>
        <w:tc>
          <w:tcPr>
            <w:tcW w:w="1418" w:type="dxa"/>
            <w:vAlign w:val="center"/>
          </w:tcPr>
          <w:p w14:paraId="42DC694F" w14:textId="77777777" w:rsidR="00E15399" w:rsidRPr="00B505B3" w:rsidRDefault="00B63F12" w:rsidP="00582438">
            <w:pPr>
              <w:spacing w:line="276" w:lineRule="auto"/>
              <w:jc w:val="center"/>
              <w:rPr>
                <w:rFonts w:ascii="Calibri" w:hAnsi="Calibri"/>
                <w:color w:val="000000"/>
                <w:sz w:val="16"/>
              </w:rPr>
            </w:pPr>
            <w:r>
              <w:rPr>
                <w:rFonts w:ascii="Calibri" w:hAnsi="Calibri"/>
                <w:color w:val="000000"/>
                <w:sz w:val="16"/>
              </w:rPr>
              <w:t>142</w:t>
            </w:r>
          </w:p>
        </w:tc>
        <w:tc>
          <w:tcPr>
            <w:tcW w:w="1843" w:type="dxa"/>
            <w:shd w:val="clear" w:color="auto" w:fill="EEECE1" w:themeFill="background2"/>
            <w:vAlign w:val="center"/>
          </w:tcPr>
          <w:p w14:paraId="1CC0C50E" w14:textId="77777777" w:rsidR="00E15399" w:rsidRPr="00B505B3" w:rsidRDefault="00B63F12" w:rsidP="00582438">
            <w:pPr>
              <w:spacing w:line="276" w:lineRule="auto"/>
              <w:jc w:val="center"/>
              <w:rPr>
                <w:rFonts w:ascii="Calibri" w:hAnsi="Calibri"/>
                <w:color w:val="000000"/>
                <w:sz w:val="16"/>
              </w:rPr>
            </w:pPr>
            <w:r>
              <w:rPr>
                <w:rFonts w:ascii="Calibri" w:hAnsi="Calibri"/>
                <w:color w:val="000000"/>
                <w:sz w:val="16"/>
              </w:rPr>
              <w:t>122</w:t>
            </w:r>
          </w:p>
        </w:tc>
      </w:tr>
      <w:tr w:rsidR="00145E91" w14:paraId="4B04E0BE" w14:textId="77777777" w:rsidTr="005B6609">
        <w:tc>
          <w:tcPr>
            <w:tcW w:w="2943" w:type="dxa"/>
          </w:tcPr>
          <w:p w14:paraId="06561849" w14:textId="77777777" w:rsidR="00145E91" w:rsidRDefault="00575B06" w:rsidP="00582438">
            <w:pPr>
              <w:rPr>
                <w:sz w:val="16"/>
                <w:szCs w:val="16"/>
              </w:rPr>
            </w:pPr>
            <w:r>
              <w:rPr>
                <w:sz w:val="16"/>
                <w:szCs w:val="16"/>
              </w:rPr>
              <w:t>IRR for the neurosurgery rates (</w:t>
            </w:r>
            <w:r w:rsidR="00145E91">
              <w:rPr>
                <w:sz w:val="16"/>
                <w:szCs w:val="16"/>
              </w:rPr>
              <w:t>95% CI</w:t>
            </w:r>
            <w:r>
              <w:rPr>
                <w:sz w:val="16"/>
                <w:szCs w:val="16"/>
              </w:rPr>
              <w:t>)</w:t>
            </w:r>
          </w:p>
        </w:tc>
        <w:tc>
          <w:tcPr>
            <w:tcW w:w="1134" w:type="dxa"/>
            <w:shd w:val="clear" w:color="auto" w:fill="EEECE1" w:themeFill="background2"/>
            <w:vAlign w:val="center"/>
          </w:tcPr>
          <w:p w14:paraId="2FEE4AB0" w14:textId="77777777" w:rsidR="00145E91" w:rsidRDefault="005210C1" w:rsidP="00582438">
            <w:pPr>
              <w:jc w:val="center"/>
              <w:rPr>
                <w:rFonts w:ascii="Calibri" w:hAnsi="Calibri"/>
                <w:color w:val="000000"/>
                <w:sz w:val="16"/>
              </w:rPr>
            </w:pPr>
            <w:r>
              <w:rPr>
                <w:rFonts w:ascii="Calibri" w:hAnsi="Calibri"/>
                <w:color w:val="000000"/>
                <w:sz w:val="16"/>
              </w:rPr>
              <w:t>1.00</w:t>
            </w:r>
          </w:p>
        </w:tc>
        <w:tc>
          <w:tcPr>
            <w:tcW w:w="1418" w:type="dxa"/>
            <w:vAlign w:val="center"/>
          </w:tcPr>
          <w:p w14:paraId="63B4152E" w14:textId="77777777" w:rsidR="00145E91" w:rsidRDefault="00575B06" w:rsidP="00582438">
            <w:pPr>
              <w:jc w:val="center"/>
              <w:rPr>
                <w:rFonts w:ascii="Calibri" w:hAnsi="Calibri"/>
                <w:color w:val="000000"/>
                <w:sz w:val="16"/>
              </w:rPr>
            </w:pPr>
            <w:r>
              <w:rPr>
                <w:rFonts w:ascii="Calibri" w:hAnsi="Calibri"/>
                <w:color w:val="000000"/>
                <w:sz w:val="16"/>
              </w:rPr>
              <w:t>1.12 (0.97-</w:t>
            </w:r>
            <w:r w:rsidR="005210C1">
              <w:rPr>
                <w:rFonts w:ascii="Calibri" w:hAnsi="Calibri"/>
                <w:color w:val="000000"/>
                <w:sz w:val="16"/>
              </w:rPr>
              <w:t>1.30</w:t>
            </w:r>
            <w:r>
              <w:rPr>
                <w:rFonts w:ascii="Calibri" w:hAnsi="Calibri"/>
                <w:color w:val="000000"/>
                <w:sz w:val="16"/>
              </w:rPr>
              <w:t>)</w:t>
            </w:r>
          </w:p>
        </w:tc>
        <w:tc>
          <w:tcPr>
            <w:tcW w:w="1843" w:type="dxa"/>
            <w:shd w:val="clear" w:color="auto" w:fill="EEECE1" w:themeFill="background2"/>
            <w:vAlign w:val="center"/>
          </w:tcPr>
          <w:p w14:paraId="0E9D7E59" w14:textId="77777777" w:rsidR="00145E91" w:rsidRDefault="00575B06" w:rsidP="00582438">
            <w:pPr>
              <w:jc w:val="center"/>
              <w:rPr>
                <w:rFonts w:ascii="Calibri" w:hAnsi="Calibri"/>
                <w:color w:val="000000"/>
                <w:sz w:val="16"/>
              </w:rPr>
            </w:pPr>
            <w:r>
              <w:rPr>
                <w:rFonts w:ascii="Calibri" w:hAnsi="Calibri"/>
                <w:color w:val="000000"/>
                <w:sz w:val="16"/>
              </w:rPr>
              <w:t>0.97 (0.83-</w:t>
            </w:r>
            <w:r w:rsidR="005210C1">
              <w:rPr>
                <w:rFonts w:ascii="Calibri" w:hAnsi="Calibri"/>
                <w:color w:val="000000"/>
                <w:sz w:val="16"/>
              </w:rPr>
              <w:t>1.12</w:t>
            </w:r>
            <w:r>
              <w:rPr>
                <w:rFonts w:ascii="Calibri" w:hAnsi="Calibri"/>
                <w:color w:val="000000"/>
                <w:sz w:val="16"/>
              </w:rPr>
              <w:t>)</w:t>
            </w:r>
          </w:p>
        </w:tc>
      </w:tr>
      <w:tr w:rsidR="00E15399" w14:paraId="11656C93" w14:textId="77777777" w:rsidTr="005B6609">
        <w:tc>
          <w:tcPr>
            <w:tcW w:w="2943" w:type="dxa"/>
          </w:tcPr>
          <w:p w14:paraId="152EACA5" w14:textId="77777777" w:rsidR="00E15399" w:rsidRPr="00B505B3" w:rsidRDefault="00E15399" w:rsidP="00582438">
            <w:pPr>
              <w:spacing w:line="276" w:lineRule="auto"/>
              <w:rPr>
                <w:sz w:val="16"/>
                <w:szCs w:val="16"/>
              </w:rPr>
            </w:pPr>
            <w:r>
              <w:rPr>
                <w:sz w:val="16"/>
                <w:szCs w:val="16"/>
              </w:rPr>
              <w:t>Proportion of admissions with a  length of stay of &lt;1</w:t>
            </w:r>
            <w:r w:rsidRPr="00B505B3">
              <w:rPr>
                <w:sz w:val="16"/>
                <w:szCs w:val="16"/>
              </w:rPr>
              <w:t xml:space="preserve"> day</w:t>
            </w:r>
          </w:p>
        </w:tc>
        <w:tc>
          <w:tcPr>
            <w:tcW w:w="1134" w:type="dxa"/>
            <w:shd w:val="clear" w:color="auto" w:fill="EEECE1" w:themeFill="background2"/>
            <w:vAlign w:val="center"/>
          </w:tcPr>
          <w:p w14:paraId="3AA204B1" w14:textId="77777777" w:rsidR="00E15399" w:rsidRPr="00B505B3" w:rsidRDefault="00E15399" w:rsidP="00582438">
            <w:pPr>
              <w:spacing w:line="276" w:lineRule="auto"/>
              <w:jc w:val="center"/>
              <w:rPr>
                <w:rFonts w:ascii="Calibri" w:hAnsi="Calibri"/>
                <w:color w:val="000000"/>
                <w:sz w:val="16"/>
              </w:rPr>
            </w:pPr>
            <w:r>
              <w:rPr>
                <w:rFonts w:ascii="Calibri" w:hAnsi="Calibri"/>
                <w:color w:val="000000"/>
                <w:sz w:val="16"/>
              </w:rPr>
              <w:t>39.3%</w:t>
            </w:r>
          </w:p>
        </w:tc>
        <w:tc>
          <w:tcPr>
            <w:tcW w:w="1418" w:type="dxa"/>
            <w:vAlign w:val="center"/>
          </w:tcPr>
          <w:p w14:paraId="749AD077" w14:textId="77777777" w:rsidR="00E15399" w:rsidRPr="00B505B3" w:rsidRDefault="00E15399" w:rsidP="00582438">
            <w:pPr>
              <w:spacing w:line="276" w:lineRule="auto"/>
              <w:jc w:val="center"/>
              <w:rPr>
                <w:rFonts w:ascii="Calibri" w:hAnsi="Calibri"/>
                <w:color w:val="000000"/>
                <w:sz w:val="16"/>
              </w:rPr>
            </w:pPr>
            <w:r>
              <w:rPr>
                <w:rFonts w:ascii="Calibri" w:hAnsi="Calibri"/>
                <w:color w:val="000000"/>
                <w:sz w:val="16"/>
              </w:rPr>
              <w:t>47.4%</w:t>
            </w:r>
          </w:p>
        </w:tc>
        <w:tc>
          <w:tcPr>
            <w:tcW w:w="1843" w:type="dxa"/>
            <w:shd w:val="clear" w:color="auto" w:fill="EEECE1" w:themeFill="background2"/>
            <w:vAlign w:val="center"/>
          </w:tcPr>
          <w:p w14:paraId="723C6116" w14:textId="77777777" w:rsidR="00E15399" w:rsidRPr="00B505B3" w:rsidRDefault="00E15399" w:rsidP="00582438">
            <w:pPr>
              <w:spacing w:line="276" w:lineRule="auto"/>
              <w:jc w:val="center"/>
              <w:rPr>
                <w:rFonts w:ascii="Calibri" w:hAnsi="Calibri"/>
                <w:color w:val="000000"/>
                <w:sz w:val="16"/>
              </w:rPr>
            </w:pPr>
            <w:r>
              <w:rPr>
                <w:rFonts w:ascii="Calibri" w:hAnsi="Calibri"/>
                <w:color w:val="000000"/>
                <w:sz w:val="16"/>
              </w:rPr>
              <w:t>56.3%</w:t>
            </w:r>
          </w:p>
        </w:tc>
      </w:tr>
    </w:tbl>
    <w:p w14:paraId="7B03064F" w14:textId="06BBADED" w:rsidR="00E15399" w:rsidRDefault="00E15399" w:rsidP="00062252">
      <w:pPr>
        <w:spacing w:line="360" w:lineRule="auto"/>
      </w:pPr>
      <w:proofErr w:type="gramStart"/>
      <w:r>
        <w:t>*</w:t>
      </w:r>
      <w:r w:rsidR="00575B06">
        <w:t>comparing the last three years of a guidelines use to allow for implementation delays.</w:t>
      </w:r>
      <w:proofErr w:type="gramEnd"/>
    </w:p>
    <w:p w14:paraId="3E160CC5" w14:textId="77777777" w:rsidR="006741F7" w:rsidRDefault="006741F7">
      <w:r>
        <w:br w:type="page"/>
      </w:r>
    </w:p>
    <w:p w14:paraId="6EF4B602" w14:textId="77777777" w:rsidR="00434CFB" w:rsidRDefault="00434CFB" w:rsidP="00062252">
      <w:pPr>
        <w:spacing w:line="360" w:lineRule="auto"/>
      </w:pPr>
      <w:r>
        <w:lastRenderedPageBreak/>
        <w:t xml:space="preserve">Table 3 – </w:t>
      </w:r>
      <w:r w:rsidR="006741F7">
        <w:t>Incidence rate ratios of a</w:t>
      </w:r>
      <w:r>
        <w:t xml:space="preserve">dmissions by </w:t>
      </w:r>
      <w:r w:rsidR="006741F7">
        <w:t>year and socioeconomic quintile.</w:t>
      </w:r>
    </w:p>
    <w:tbl>
      <w:tblPr>
        <w:tblStyle w:val="TableGrid"/>
        <w:tblW w:w="14063" w:type="dxa"/>
        <w:tblInd w:w="-1055" w:type="dxa"/>
        <w:tblLayout w:type="fixed"/>
        <w:tblLook w:val="04A0" w:firstRow="1" w:lastRow="0" w:firstColumn="1" w:lastColumn="0" w:noHBand="0" w:noVBand="1"/>
      </w:tblPr>
      <w:tblGrid>
        <w:gridCol w:w="1305"/>
        <w:gridCol w:w="1063"/>
        <w:gridCol w:w="1063"/>
        <w:gridCol w:w="1063"/>
        <w:gridCol w:w="1063"/>
        <w:gridCol w:w="1063"/>
        <w:gridCol w:w="1064"/>
        <w:gridCol w:w="1063"/>
        <w:gridCol w:w="1063"/>
        <w:gridCol w:w="1063"/>
        <w:gridCol w:w="1063"/>
        <w:gridCol w:w="1063"/>
        <w:gridCol w:w="1064"/>
      </w:tblGrid>
      <w:tr w:rsidR="00434CFB" w14:paraId="1CA555C7" w14:textId="77777777" w:rsidTr="006741F7">
        <w:tc>
          <w:tcPr>
            <w:tcW w:w="1305" w:type="dxa"/>
          </w:tcPr>
          <w:p w14:paraId="3CF75FC4" w14:textId="77777777" w:rsidR="00434CFB" w:rsidRPr="004962FE" w:rsidRDefault="00434CFB" w:rsidP="006741F7">
            <w:pPr>
              <w:rPr>
                <w:sz w:val="16"/>
                <w:szCs w:val="16"/>
              </w:rPr>
            </w:pPr>
          </w:p>
        </w:tc>
        <w:tc>
          <w:tcPr>
            <w:tcW w:w="12758" w:type="dxa"/>
            <w:gridSpan w:val="12"/>
          </w:tcPr>
          <w:p w14:paraId="7921B18D" w14:textId="77777777" w:rsidR="00434CFB" w:rsidRPr="004962FE" w:rsidRDefault="00434CFB" w:rsidP="006741F7">
            <w:pPr>
              <w:jc w:val="center"/>
              <w:rPr>
                <w:sz w:val="16"/>
                <w:szCs w:val="16"/>
              </w:rPr>
            </w:pPr>
            <w:r>
              <w:rPr>
                <w:sz w:val="16"/>
                <w:szCs w:val="16"/>
              </w:rPr>
              <w:t>IRR [95% CI}</w:t>
            </w:r>
          </w:p>
        </w:tc>
      </w:tr>
      <w:tr w:rsidR="00434CFB" w14:paraId="443F9324" w14:textId="77777777" w:rsidTr="006741F7">
        <w:tc>
          <w:tcPr>
            <w:tcW w:w="1305" w:type="dxa"/>
          </w:tcPr>
          <w:p w14:paraId="0DD867F9" w14:textId="77777777" w:rsidR="00434CFB" w:rsidRPr="004962FE" w:rsidRDefault="00434CFB" w:rsidP="006741F7">
            <w:pPr>
              <w:rPr>
                <w:sz w:val="16"/>
                <w:szCs w:val="16"/>
              </w:rPr>
            </w:pPr>
            <w:r>
              <w:rPr>
                <w:sz w:val="16"/>
                <w:szCs w:val="16"/>
              </w:rPr>
              <w:t>Deprivation Quintile</w:t>
            </w:r>
          </w:p>
        </w:tc>
        <w:tc>
          <w:tcPr>
            <w:tcW w:w="1063" w:type="dxa"/>
          </w:tcPr>
          <w:p w14:paraId="4219632B" w14:textId="77777777" w:rsidR="00434CFB" w:rsidRPr="004962FE" w:rsidRDefault="00434CFB" w:rsidP="006741F7">
            <w:pPr>
              <w:rPr>
                <w:sz w:val="16"/>
                <w:szCs w:val="16"/>
              </w:rPr>
            </w:pPr>
            <w:r>
              <w:rPr>
                <w:sz w:val="16"/>
                <w:szCs w:val="16"/>
              </w:rPr>
              <w:t>2000</w:t>
            </w:r>
          </w:p>
        </w:tc>
        <w:tc>
          <w:tcPr>
            <w:tcW w:w="1063" w:type="dxa"/>
          </w:tcPr>
          <w:p w14:paraId="62FE4CCC" w14:textId="77777777" w:rsidR="00434CFB" w:rsidRPr="004962FE" w:rsidRDefault="00434CFB" w:rsidP="006741F7">
            <w:pPr>
              <w:rPr>
                <w:sz w:val="16"/>
                <w:szCs w:val="16"/>
              </w:rPr>
            </w:pPr>
            <w:r>
              <w:rPr>
                <w:sz w:val="16"/>
                <w:szCs w:val="16"/>
              </w:rPr>
              <w:t>2001</w:t>
            </w:r>
          </w:p>
        </w:tc>
        <w:tc>
          <w:tcPr>
            <w:tcW w:w="1063" w:type="dxa"/>
          </w:tcPr>
          <w:p w14:paraId="50D528B1" w14:textId="77777777" w:rsidR="00434CFB" w:rsidRPr="004962FE" w:rsidRDefault="00434CFB" w:rsidP="006741F7">
            <w:pPr>
              <w:rPr>
                <w:sz w:val="16"/>
                <w:szCs w:val="16"/>
              </w:rPr>
            </w:pPr>
            <w:r>
              <w:rPr>
                <w:sz w:val="16"/>
                <w:szCs w:val="16"/>
              </w:rPr>
              <w:t>2002</w:t>
            </w:r>
          </w:p>
        </w:tc>
        <w:tc>
          <w:tcPr>
            <w:tcW w:w="1063" w:type="dxa"/>
          </w:tcPr>
          <w:p w14:paraId="1C86EE70" w14:textId="77777777" w:rsidR="00434CFB" w:rsidRPr="004962FE" w:rsidRDefault="00434CFB" w:rsidP="006741F7">
            <w:pPr>
              <w:rPr>
                <w:sz w:val="16"/>
                <w:szCs w:val="16"/>
              </w:rPr>
            </w:pPr>
            <w:r>
              <w:rPr>
                <w:sz w:val="16"/>
                <w:szCs w:val="16"/>
              </w:rPr>
              <w:t>2003</w:t>
            </w:r>
          </w:p>
        </w:tc>
        <w:tc>
          <w:tcPr>
            <w:tcW w:w="1063" w:type="dxa"/>
          </w:tcPr>
          <w:p w14:paraId="7F75F3E2" w14:textId="77777777" w:rsidR="00434CFB" w:rsidRPr="004962FE" w:rsidRDefault="00434CFB" w:rsidP="006741F7">
            <w:pPr>
              <w:rPr>
                <w:sz w:val="16"/>
                <w:szCs w:val="16"/>
              </w:rPr>
            </w:pPr>
            <w:r>
              <w:rPr>
                <w:sz w:val="16"/>
                <w:szCs w:val="16"/>
              </w:rPr>
              <w:t>2004</w:t>
            </w:r>
          </w:p>
        </w:tc>
        <w:tc>
          <w:tcPr>
            <w:tcW w:w="1064" w:type="dxa"/>
          </w:tcPr>
          <w:p w14:paraId="6B1A23F4" w14:textId="77777777" w:rsidR="00434CFB" w:rsidRPr="004962FE" w:rsidRDefault="00434CFB" w:rsidP="006741F7">
            <w:pPr>
              <w:rPr>
                <w:sz w:val="16"/>
                <w:szCs w:val="16"/>
              </w:rPr>
            </w:pPr>
            <w:r>
              <w:rPr>
                <w:sz w:val="16"/>
                <w:szCs w:val="16"/>
              </w:rPr>
              <w:t>2005</w:t>
            </w:r>
          </w:p>
        </w:tc>
        <w:tc>
          <w:tcPr>
            <w:tcW w:w="1063" w:type="dxa"/>
          </w:tcPr>
          <w:p w14:paraId="64E23569" w14:textId="77777777" w:rsidR="00434CFB" w:rsidRPr="004962FE" w:rsidRDefault="00434CFB" w:rsidP="006741F7">
            <w:pPr>
              <w:rPr>
                <w:sz w:val="16"/>
                <w:szCs w:val="16"/>
              </w:rPr>
            </w:pPr>
            <w:r>
              <w:rPr>
                <w:sz w:val="16"/>
                <w:szCs w:val="16"/>
              </w:rPr>
              <w:t>2006</w:t>
            </w:r>
          </w:p>
        </w:tc>
        <w:tc>
          <w:tcPr>
            <w:tcW w:w="1063" w:type="dxa"/>
          </w:tcPr>
          <w:p w14:paraId="5527DB07" w14:textId="77777777" w:rsidR="00434CFB" w:rsidRPr="004962FE" w:rsidRDefault="00434CFB" w:rsidP="006741F7">
            <w:pPr>
              <w:rPr>
                <w:sz w:val="16"/>
                <w:szCs w:val="16"/>
              </w:rPr>
            </w:pPr>
            <w:r>
              <w:rPr>
                <w:sz w:val="16"/>
                <w:szCs w:val="16"/>
              </w:rPr>
              <w:t>2007</w:t>
            </w:r>
          </w:p>
        </w:tc>
        <w:tc>
          <w:tcPr>
            <w:tcW w:w="1063" w:type="dxa"/>
          </w:tcPr>
          <w:p w14:paraId="750A8C3B" w14:textId="77777777" w:rsidR="00434CFB" w:rsidRPr="004962FE" w:rsidRDefault="00434CFB" w:rsidP="006741F7">
            <w:pPr>
              <w:rPr>
                <w:sz w:val="16"/>
                <w:szCs w:val="16"/>
              </w:rPr>
            </w:pPr>
            <w:r>
              <w:rPr>
                <w:sz w:val="16"/>
                <w:szCs w:val="16"/>
              </w:rPr>
              <w:t>2008</w:t>
            </w:r>
          </w:p>
        </w:tc>
        <w:tc>
          <w:tcPr>
            <w:tcW w:w="1063" w:type="dxa"/>
          </w:tcPr>
          <w:p w14:paraId="30B2BAD5" w14:textId="77777777" w:rsidR="00434CFB" w:rsidRPr="004962FE" w:rsidRDefault="00434CFB" w:rsidP="006741F7">
            <w:pPr>
              <w:rPr>
                <w:sz w:val="16"/>
                <w:szCs w:val="16"/>
              </w:rPr>
            </w:pPr>
            <w:r>
              <w:rPr>
                <w:sz w:val="16"/>
                <w:szCs w:val="16"/>
              </w:rPr>
              <w:t>2009</w:t>
            </w:r>
          </w:p>
        </w:tc>
        <w:tc>
          <w:tcPr>
            <w:tcW w:w="1063" w:type="dxa"/>
          </w:tcPr>
          <w:p w14:paraId="53B6398C" w14:textId="77777777" w:rsidR="00434CFB" w:rsidRDefault="00434CFB" w:rsidP="006741F7">
            <w:pPr>
              <w:rPr>
                <w:sz w:val="16"/>
                <w:szCs w:val="16"/>
              </w:rPr>
            </w:pPr>
            <w:r>
              <w:rPr>
                <w:sz w:val="16"/>
                <w:szCs w:val="16"/>
              </w:rPr>
              <w:t>2010</w:t>
            </w:r>
          </w:p>
        </w:tc>
        <w:tc>
          <w:tcPr>
            <w:tcW w:w="1064" w:type="dxa"/>
          </w:tcPr>
          <w:p w14:paraId="10CA843B" w14:textId="77777777" w:rsidR="00434CFB" w:rsidRPr="004962FE" w:rsidRDefault="00434CFB" w:rsidP="006741F7">
            <w:pPr>
              <w:rPr>
                <w:sz w:val="16"/>
                <w:szCs w:val="16"/>
              </w:rPr>
            </w:pPr>
            <w:r>
              <w:rPr>
                <w:sz w:val="16"/>
                <w:szCs w:val="16"/>
              </w:rPr>
              <w:t>2011</w:t>
            </w:r>
          </w:p>
        </w:tc>
      </w:tr>
      <w:tr w:rsidR="00434CFB" w14:paraId="5FEAEC17" w14:textId="77777777" w:rsidTr="006741F7">
        <w:tc>
          <w:tcPr>
            <w:tcW w:w="1305" w:type="dxa"/>
          </w:tcPr>
          <w:p w14:paraId="55FC9F66" w14:textId="77777777" w:rsidR="00434CFB" w:rsidRPr="004962FE" w:rsidRDefault="00434CFB" w:rsidP="006741F7">
            <w:pPr>
              <w:rPr>
                <w:sz w:val="16"/>
                <w:szCs w:val="16"/>
              </w:rPr>
            </w:pPr>
            <w:r>
              <w:rPr>
                <w:sz w:val="16"/>
                <w:szCs w:val="16"/>
              </w:rPr>
              <w:t xml:space="preserve">Least deprived </w:t>
            </w:r>
            <w:r>
              <w:rPr>
                <w:sz w:val="16"/>
                <w:szCs w:val="16"/>
              </w:rPr>
              <w:br/>
              <w:t>0-20%</w:t>
            </w:r>
          </w:p>
        </w:tc>
        <w:tc>
          <w:tcPr>
            <w:tcW w:w="1063" w:type="dxa"/>
          </w:tcPr>
          <w:p w14:paraId="577BE54B" w14:textId="77777777" w:rsidR="00434CFB" w:rsidRPr="004962FE" w:rsidRDefault="00434CFB" w:rsidP="006741F7">
            <w:pPr>
              <w:rPr>
                <w:sz w:val="16"/>
                <w:szCs w:val="16"/>
              </w:rPr>
            </w:pPr>
            <w:r>
              <w:rPr>
                <w:sz w:val="16"/>
                <w:szCs w:val="16"/>
              </w:rPr>
              <w:t>1.00</w:t>
            </w:r>
          </w:p>
        </w:tc>
        <w:tc>
          <w:tcPr>
            <w:tcW w:w="1063" w:type="dxa"/>
          </w:tcPr>
          <w:p w14:paraId="471854E6" w14:textId="77777777" w:rsidR="00434CFB" w:rsidRPr="004962FE" w:rsidRDefault="00434CFB" w:rsidP="006741F7">
            <w:pPr>
              <w:rPr>
                <w:sz w:val="16"/>
                <w:szCs w:val="16"/>
              </w:rPr>
            </w:pPr>
            <w:r>
              <w:rPr>
                <w:sz w:val="16"/>
                <w:szCs w:val="16"/>
              </w:rPr>
              <w:t>1.00</w:t>
            </w:r>
          </w:p>
        </w:tc>
        <w:tc>
          <w:tcPr>
            <w:tcW w:w="1063" w:type="dxa"/>
          </w:tcPr>
          <w:p w14:paraId="0B7DCF8E" w14:textId="77777777" w:rsidR="00434CFB" w:rsidRPr="004962FE" w:rsidRDefault="00434CFB" w:rsidP="006741F7">
            <w:pPr>
              <w:rPr>
                <w:sz w:val="16"/>
                <w:szCs w:val="16"/>
              </w:rPr>
            </w:pPr>
            <w:r>
              <w:rPr>
                <w:sz w:val="16"/>
                <w:szCs w:val="16"/>
              </w:rPr>
              <w:t>1.00</w:t>
            </w:r>
          </w:p>
        </w:tc>
        <w:tc>
          <w:tcPr>
            <w:tcW w:w="1063" w:type="dxa"/>
          </w:tcPr>
          <w:p w14:paraId="74901F73" w14:textId="77777777" w:rsidR="00434CFB" w:rsidRPr="004962FE" w:rsidRDefault="00434CFB" w:rsidP="006741F7">
            <w:pPr>
              <w:rPr>
                <w:sz w:val="16"/>
                <w:szCs w:val="16"/>
              </w:rPr>
            </w:pPr>
            <w:r>
              <w:rPr>
                <w:sz w:val="16"/>
                <w:szCs w:val="16"/>
              </w:rPr>
              <w:t>1.00</w:t>
            </w:r>
          </w:p>
        </w:tc>
        <w:tc>
          <w:tcPr>
            <w:tcW w:w="1063" w:type="dxa"/>
          </w:tcPr>
          <w:p w14:paraId="581366B4" w14:textId="77777777" w:rsidR="00434CFB" w:rsidRPr="004962FE" w:rsidRDefault="00434CFB" w:rsidP="006741F7">
            <w:pPr>
              <w:rPr>
                <w:sz w:val="16"/>
                <w:szCs w:val="16"/>
              </w:rPr>
            </w:pPr>
            <w:r>
              <w:rPr>
                <w:sz w:val="16"/>
                <w:szCs w:val="16"/>
              </w:rPr>
              <w:t>1.00</w:t>
            </w:r>
          </w:p>
        </w:tc>
        <w:tc>
          <w:tcPr>
            <w:tcW w:w="1064" w:type="dxa"/>
          </w:tcPr>
          <w:p w14:paraId="7B57DED4" w14:textId="77777777" w:rsidR="00434CFB" w:rsidRPr="004962FE" w:rsidRDefault="00434CFB" w:rsidP="006741F7">
            <w:pPr>
              <w:rPr>
                <w:sz w:val="16"/>
                <w:szCs w:val="16"/>
              </w:rPr>
            </w:pPr>
            <w:r>
              <w:rPr>
                <w:sz w:val="16"/>
                <w:szCs w:val="16"/>
              </w:rPr>
              <w:t>1.00</w:t>
            </w:r>
          </w:p>
        </w:tc>
        <w:tc>
          <w:tcPr>
            <w:tcW w:w="1063" w:type="dxa"/>
          </w:tcPr>
          <w:p w14:paraId="750C6A3E" w14:textId="77777777" w:rsidR="00434CFB" w:rsidRPr="004962FE" w:rsidRDefault="00434CFB" w:rsidP="006741F7">
            <w:pPr>
              <w:rPr>
                <w:sz w:val="16"/>
                <w:szCs w:val="16"/>
              </w:rPr>
            </w:pPr>
            <w:r>
              <w:rPr>
                <w:sz w:val="16"/>
                <w:szCs w:val="16"/>
              </w:rPr>
              <w:t>1.00</w:t>
            </w:r>
          </w:p>
        </w:tc>
        <w:tc>
          <w:tcPr>
            <w:tcW w:w="1063" w:type="dxa"/>
          </w:tcPr>
          <w:p w14:paraId="7854B6D8" w14:textId="77777777" w:rsidR="00434CFB" w:rsidRPr="004962FE" w:rsidRDefault="00434CFB" w:rsidP="006741F7">
            <w:pPr>
              <w:rPr>
                <w:sz w:val="16"/>
                <w:szCs w:val="16"/>
              </w:rPr>
            </w:pPr>
            <w:r>
              <w:rPr>
                <w:sz w:val="16"/>
                <w:szCs w:val="16"/>
              </w:rPr>
              <w:t>1.00</w:t>
            </w:r>
          </w:p>
        </w:tc>
        <w:tc>
          <w:tcPr>
            <w:tcW w:w="1063" w:type="dxa"/>
          </w:tcPr>
          <w:p w14:paraId="64F77314" w14:textId="77777777" w:rsidR="00434CFB" w:rsidRPr="004962FE" w:rsidRDefault="00434CFB" w:rsidP="006741F7">
            <w:pPr>
              <w:rPr>
                <w:sz w:val="16"/>
                <w:szCs w:val="16"/>
              </w:rPr>
            </w:pPr>
            <w:r>
              <w:rPr>
                <w:sz w:val="16"/>
                <w:szCs w:val="16"/>
              </w:rPr>
              <w:t>1.00</w:t>
            </w:r>
          </w:p>
        </w:tc>
        <w:tc>
          <w:tcPr>
            <w:tcW w:w="1063" w:type="dxa"/>
          </w:tcPr>
          <w:p w14:paraId="0406B4CA" w14:textId="77777777" w:rsidR="00434CFB" w:rsidRPr="004962FE" w:rsidRDefault="00434CFB" w:rsidP="006741F7">
            <w:pPr>
              <w:rPr>
                <w:sz w:val="16"/>
                <w:szCs w:val="16"/>
              </w:rPr>
            </w:pPr>
            <w:r>
              <w:rPr>
                <w:sz w:val="16"/>
                <w:szCs w:val="16"/>
              </w:rPr>
              <w:t>1.00</w:t>
            </w:r>
          </w:p>
        </w:tc>
        <w:tc>
          <w:tcPr>
            <w:tcW w:w="1063" w:type="dxa"/>
          </w:tcPr>
          <w:p w14:paraId="105259CA" w14:textId="77777777" w:rsidR="00434CFB" w:rsidRPr="004962FE" w:rsidRDefault="00434CFB" w:rsidP="006741F7">
            <w:pPr>
              <w:rPr>
                <w:sz w:val="16"/>
                <w:szCs w:val="16"/>
              </w:rPr>
            </w:pPr>
            <w:r>
              <w:rPr>
                <w:sz w:val="16"/>
                <w:szCs w:val="16"/>
              </w:rPr>
              <w:t>1.00</w:t>
            </w:r>
          </w:p>
        </w:tc>
        <w:tc>
          <w:tcPr>
            <w:tcW w:w="1064" w:type="dxa"/>
          </w:tcPr>
          <w:p w14:paraId="424B5AE5" w14:textId="77777777" w:rsidR="00434CFB" w:rsidRPr="004962FE" w:rsidRDefault="00434CFB" w:rsidP="006741F7">
            <w:pPr>
              <w:rPr>
                <w:sz w:val="16"/>
                <w:szCs w:val="16"/>
              </w:rPr>
            </w:pPr>
            <w:r>
              <w:rPr>
                <w:sz w:val="16"/>
                <w:szCs w:val="16"/>
              </w:rPr>
              <w:t>1.00</w:t>
            </w:r>
          </w:p>
        </w:tc>
      </w:tr>
      <w:tr w:rsidR="00434CFB" w14:paraId="7FAFAEBE" w14:textId="77777777" w:rsidTr="006741F7">
        <w:tc>
          <w:tcPr>
            <w:tcW w:w="1305" w:type="dxa"/>
          </w:tcPr>
          <w:p w14:paraId="52701395" w14:textId="77777777" w:rsidR="00434CFB" w:rsidRPr="004962FE" w:rsidRDefault="00434CFB" w:rsidP="006741F7">
            <w:pPr>
              <w:rPr>
                <w:sz w:val="16"/>
                <w:szCs w:val="16"/>
              </w:rPr>
            </w:pPr>
            <w:r>
              <w:rPr>
                <w:sz w:val="16"/>
                <w:szCs w:val="16"/>
              </w:rPr>
              <w:t>less deprived 20-40%</w:t>
            </w:r>
          </w:p>
        </w:tc>
        <w:tc>
          <w:tcPr>
            <w:tcW w:w="1063" w:type="dxa"/>
          </w:tcPr>
          <w:p w14:paraId="30AC242E" w14:textId="77777777" w:rsidR="00434CFB" w:rsidRDefault="00434CFB" w:rsidP="006741F7">
            <w:pPr>
              <w:rPr>
                <w:sz w:val="16"/>
                <w:szCs w:val="16"/>
              </w:rPr>
            </w:pPr>
            <w:r>
              <w:rPr>
                <w:sz w:val="16"/>
                <w:szCs w:val="16"/>
              </w:rPr>
              <w:t>1.16</w:t>
            </w:r>
          </w:p>
          <w:p w14:paraId="56F4C583" w14:textId="77777777" w:rsidR="00434CFB" w:rsidRPr="004962FE" w:rsidRDefault="00434CFB" w:rsidP="006741F7">
            <w:pPr>
              <w:rPr>
                <w:sz w:val="16"/>
                <w:szCs w:val="16"/>
              </w:rPr>
            </w:pPr>
            <w:r>
              <w:rPr>
                <w:sz w:val="16"/>
                <w:szCs w:val="16"/>
              </w:rPr>
              <w:t xml:space="preserve"> </w:t>
            </w:r>
            <w:r w:rsidR="006741F7">
              <w:rPr>
                <w:sz w:val="16"/>
                <w:szCs w:val="16"/>
              </w:rPr>
              <w:t>(</w:t>
            </w:r>
            <w:r>
              <w:rPr>
                <w:sz w:val="16"/>
                <w:szCs w:val="16"/>
              </w:rPr>
              <w:t>1.12,1.21</w:t>
            </w:r>
            <w:r w:rsidR="006741F7">
              <w:rPr>
                <w:sz w:val="16"/>
                <w:szCs w:val="16"/>
              </w:rPr>
              <w:t>)</w:t>
            </w:r>
          </w:p>
        </w:tc>
        <w:tc>
          <w:tcPr>
            <w:tcW w:w="1063" w:type="dxa"/>
          </w:tcPr>
          <w:p w14:paraId="074A1367" w14:textId="77777777" w:rsidR="00434CFB" w:rsidRDefault="00434CFB" w:rsidP="006741F7">
            <w:pPr>
              <w:rPr>
                <w:sz w:val="16"/>
                <w:szCs w:val="16"/>
              </w:rPr>
            </w:pPr>
            <w:r>
              <w:rPr>
                <w:sz w:val="16"/>
                <w:szCs w:val="16"/>
              </w:rPr>
              <w:t>1.05</w:t>
            </w:r>
          </w:p>
          <w:p w14:paraId="3FD6FD9B" w14:textId="77777777" w:rsidR="00434CFB" w:rsidRPr="004962FE" w:rsidRDefault="006741F7" w:rsidP="006741F7">
            <w:pPr>
              <w:rPr>
                <w:sz w:val="16"/>
                <w:szCs w:val="16"/>
              </w:rPr>
            </w:pPr>
            <w:r>
              <w:rPr>
                <w:sz w:val="16"/>
                <w:szCs w:val="16"/>
              </w:rPr>
              <w:t>(</w:t>
            </w:r>
            <w:r w:rsidR="00434CFB">
              <w:rPr>
                <w:sz w:val="16"/>
                <w:szCs w:val="16"/>
              </w:rPr>
              <w:t>1.01,1.09</w:t>
            </w:r>
          </w:p>
        </w:tc>
        <w:tc>
          <w:tcPr>
            <w:tcW w:w="1063" w:type="dxa"/>
          </w:tcPr>
          <w:p w14:paraId="35CBFD13" w14:textId="77777777" w:rsidR="00434CFB" w:rsidRDefault="00434CFB" w:rsidP="006741F7">
            <w:pPr>
              <w:rPr>
                <w:sz w:val="16"/>
                <w:szCs w:val="16"/>
              </w:rPr>
            </w:pPr>
            <w:r>
              <w:rPr>
                <w:sz w:val="16"/>
                <w:szCs w:val="16"/>
              </w:rPr>
              <w:t>1.09</w:t>
            </w:r>
          </w:p>
          <w:p w14:paraId="6DB88C9A" w14:textId="77777777" w:rsidR="00434CFB" w:rsidRPr="004962FE" w:rsidRDefault="006741F7" w:rsidP="006741F7">
            <w:pPr>
              <w:rPr>
                <w:sz w:val="16"/>
                <w:szCs w:val="16"/>
              </w:rPr>
            </w:pPr>
            <w:r>
              <w:rPr>
                <w:sz w:val="16"/>
                <w:szCs w:val="16"/>
              </w:rPr>
              <w:t>(</w:t>
            </w:r>
            <w:r w:rsidR="00434CFB">
              <w:rPr>
                <w:sz w:val="16"/>
                <w:szCs w:val="16"/>
              </w:rPr>
              <w:t>1.05</w:t>
            </w:r>
            <w:r>
              <w:rPr>
                <w:sz w:val="16"/>
                <w:szCs w:val="16"/>
              </w:rPr>
              <w:t>-</w:t>
            </w:r>
            <w:r w:rsidR="00434CFB">
              <w:rPr>
                <w:sz w:val="16"/>
                <w:szCs w:val="16"/>
              </w:rPr>
              <w:t>1.13</w:t>
            </w:r>
            <w:r>
              <w:rPr>
                <w:sz w:val="16"/>
                <w:szCs w:val="16"/>
              </w:rPr>
              <w:t>)</w:t>
            </w:r>
          </w:p>
        </w:tc>
        <w:tc>
          <w:tcPr>
            <w:tcW w:w="1063" w:type="dxa"/>
          </w:tcPr>
          <w:p w14:paraId="5BF6F3D1" w14:textId="77777777" w:rsidR="00434CFB" w:rsidRDefault="00434CFB" w:rsidP="006741F7">
            <w:pPr>
              <w:rPr>
                <w:sz w:val="16"/>
                <w:szCs w:val="16"/>
              </w:rPr>
            </w:pPr>
            <w:r>
              <w:rPr>
                <w:sz w:val="16"/>
                <w:szCs w:val="16"/>
              </w:rPr>
              <w:t>1.13</w:t>
            </w:r>
          </w:p>
          <w:p w14:paraId="2BF48D24" w14:textId="77777777" w:rsidR="00434CFB" w:rsidRPr="004962FE" w:rsidRDefault="006741F7" w:rsidP="006741F7">
            <w:pPr>
              <w:rPr>
                <w:sz w:val="16"/>
                <w:szCs w:val="16"/>
              </w:rPr>
            </w:pPr>
            <w:r>
              <w:rPr>
                <w:sz w:val="16"/>
                <w:szCs w:val="16"/>
              </w:rPr>
              <w:t>(</w:t>
            </w:r>
            <w:r w:rsidR="00434CFB">
              <w:rPr>
                <w:sz w:val="16"/>
                <w:szCs w:val="16"/>
              </w:rPr>
              <w:t>1.09</w:t>
            </w:r>
            <w:r>
              <w:rPr>
                <w:sz w:val="16"/>
                <w:szCs w:val="16"/>
              </w:rPr>
              <w:t>-</w:t>
            </w:r>
            <w:r w:rsidR="00434CFB">
              <w:rPr>
                <w:sz w:val="16"/>
                <w:szCs w:val="16"/>
              </w:rPr>
              <w:t>1.17</w:t>
            </w:r>
            <w:r>
              <w:rPr>
                <w:sz w:val="16"/>
                <w:szCs w:val="16"/>
              </w:rPr>
              <w:t>)</w:t>
            </w:r>
          </w:p>
        </w:tc>
        <w:tc>
          <w:tcPr>
            <w:tcW w:w="1063" w:type="dxa"/>
          </w:tcPr>
          <w:p w14:paraId="5FD76D5A" w14:textId="77777777" w:rsidR="00434CFB" w:rsidRDefault="00434CFB" w:rsidP="006741F7">
            <w:pPr>
              <w:rPr>
                <w:sz w:val="16"/>
                <w:szCs w:val="16"/>
              </w:rPr>
            </w:pPr>
            <w:r>
              <w:rPr>
                <w:sz w:val="16"/>
                <w:szCs w:val="16"/>
              </w:rPr>
              <w:t>1.10</w:t>
            </w:r>
          </w:p>
          <w:p w14:paraId="668AF647" w14:textId="77777777" w:rsidR="00434CFB" w:rsidRPr="004962FE" w:rsidRDefault="006741F7" w:rsidP="006741F7">
            <w:pPr>
              <w:rPr>
                <w:sz w:val="16"/>
                <w:szCs w:val="16"/>
              </w:rPr>
            </w:pPr>
            <w:r>
              <w:rPr>
                <w:sz w:val="16"/>
                <w:szCs w:val="16"/>
              </w:rPr>
              <w:t>(</w:t>
            </w:r>
            <w:r w:rsidR="00434CFB">
              <w:rPr>
                <w:sz w:val="16"/>
                <w:szCs w:val="16"/>
              </w:rPr>
              <w:t>1.06</w:t>
            </w:r>
            <w:r>
              <w:rPr>
                <w:sz w:val="16"/>
                <w:szCs w:val="16"/>
              </w:rPr>
              <w:t>-</w:t>
            </w:r>
            <w:r w:rsidR="00434CFB">
              <w:rPr>
                <w:sz w:val="16"/>
                <w:szCs w:val="16"/>
              </w:rPr>
              <w:t>1.14</w:t>
            </w:r>
            <w:r>
              <w:rPr>
                <w:sz w:val="16"/>
                <w:szCs w:val="16"/>
              </w:rPr>
              <w:t>)</w:t>
            </w:r>
          </w:p>
        </w:tc>
        <w:tc>
          <w:tcPr>
            <w:tcW w:w="1064" w:type="dxa"/>
          </w:tcPr>
          <w:p w14:paraId="7C16E0CC" w14:textId="77777777" w:rsidR="00434CFB" w:rsidRDefault="00434CFB" w:rsidP="006741F7">
            <w:pPr>
              <w:rPr>
                <w:sz w:val="16"/>
                <w:szCs w:val="16"/>
              </w:rPr>
            </w:pPr>
            <w:r>
              <w:rPr>
                <w:sz w:val="16"/>
                <w:szCs w:val="16"/>
              </w:rPr>
              <w:t>1.13</w:t>
            </w:r>
          </w:p>
          <w:p w14:paraId="14BAFE9A" w14:textId="77777777" w:rsidR="00434CFB" w:rsidRPr="004962FE" w:rsidRDefault="006741F7" w:rsidP="006741F7">
            <w:pPr>
              <w:rPr>
                <w:sz w:val="16"/>
                <w:szCs w:val="16"/>
              </w:rPr>
            </w:pPr>
            <w:r>
              <w:rPr>
                <w:sz w:val="16"/>
                <w:szCs w:val="16"/>
              </w:rPr>
              <w:t>(</w:t>
            </w:r>
            <w:r w:rsidR="00434CFB">
              <w:rPr>
                <w:sz w:val="16"/>
                <w:szCs w:val="16"/>
              </w:rPr>
              <w:t>1.09. 1.18</w:t>
            </w:r>
            <w:r>
              <w:rPr>
                <w:sz w:val="16"/>
                <w:szCs w:val="16"/>
              </w:rPr>
              <w:t>)</w:t>
            </w:r>
          </w:p>
        </w:tc>
        <w:tc>
          <w:tcPr>
            <w:tcW w:w="1063" w:type="dxa"/>
          </w:tcPr>
          <w:p w14:paraId="64C62399" w14:textId="77777777" w:rsidR="00434CFB" w:rsidRDefault="00434CFB" w:rsidP="006741F7">
            <w:pPr>
              <w:rPr>
                <w:sz w:val="16"/>
                <w:szCs w:val="16"/>
              </w:rPr>
            </w:pPr>
            <w:r>
              <w:rPr>
                <w:sz w:val="16"/>
                <w:szCs w:val="16"/>
              </w:rPr>
              <w:t>1.14</w:t>
            </w:r>
          </w:p>
          <w:p w14:paraId="205093A1" w14:textId="77777777" w:rsidR="00434CFB" w:rsidRPr="004962FE" w:rsidRDefault="006741F7" w:rsidP="006741F7">
            <w:pPr>
              <w:rPr>
                <w:sz w:val="16"/>
                <w:szCs w:val="16"/>
              </w:rPr>
            </w:pPr>
            <w:r>
              <w:rPr>
                <w:sz w:val="16"/>
                <w:szCs w:val="16"/>
              </w:rPr>
              <w:t>(</w:t>
            </w:r>
            <w:r w:rsidR="00434CFB">
              <w:rPr>
                <w:sz w:val="16"/>
                <w:szCs w:val="16"/>
              </w:rPr>
              <w:t>1.10</w:t>
            </w:r>
            <w:r>
              <w:rPr>
                <w:sz w:val="16"/>
                <w:szCs w:val="16"/>
              </w:rPr>
              <w:t>-</w:t>
            </w:r>
            <w:r w:rsidR="00434CFB">
              <w:rPr>
                <w:sz w:val="16"/>
                <w:szCs w:val="16"/>
              </w:rPr>
              <w:t>1.18</w:t>
            </w:r>
            <w:r>
              <w:rPr>
                <w:sz w:val="16"/>
                <w:szCs w:val="16"/>
              </w:rPr>
              <w:t>)</w:t>
            </w:r>
          </w:p>
        </w:tc>
        <w:tc>
          <w:tcPr>
            <w:tcW w:w="1063" w:type="dxa"/>
          </w:tcPr>
          <w:p w14:paraId="4E3C424E" w14:textId="77777777" w:rsidR="00434CFB" w:rsidRDefault="00434CFB" w:rsidP="006741F7">
            <w:pPr>
              <w:rPr>
                <w:sz w:val="16"/>
                <w:szCs w:val="16"/>
              </w:rPr>
            </w:pPr>
            <w:r>
              <w:rPr>
                <w:sz w:val="16"/>
                <w:szCs w:val="16"/>
              </w:rPr>
              <w:t>1.08</w:t>
            </w:r>
          </w:p>
          <w:p w14:paraId="78C89ABA" w14:textId="77777777" w:rsidR="00434CFB" w:rsidRPr="004962FE" w:rsidRDefault="006741F7" w:rsidP="006741F7">
            <w:pPr>
              <w:rPr>
                <w:sz w:val="16"/>
                <w:szCs w:val="16"/>
              </w:rPr>
            </w:pPr>
            <w:r>
              <w:rPr>
                <w:sz w:val="16"/>
                <w:szCs w:val="16"/>
              </w:rPr>
              <w:t>(</w:t>
            </w:r>
            <w:r w:rsidR="00434CFB">
              <w:rPr>
                <w:sz w:val="16"/>
                <w:szCs w:val="16"/>
              </w:rPr>
              <w:t>1.04,1.12</w:t>
            </w:r>
            <w:r>
              <w:rPr>
                <w:sz w:val="16"/>
                <w:szCs w:val="16"/>
              </w:rPr>
              <w:t>)</w:t>
            </w:r>
          </w:p>
        </w:tc>
        <w:tc>
          <w:tcPr>
            <w:tcW w:w="1063" w:type="dxa"/>
          </w:tcPr>
          <w:p w14:paraId="42E4BD18" w14:textId="77777777" w:rsidR="00434CFB" w:rsidRDefault="00434CFB" w:rsidP="006741F7">
            <w:pPr>
              <w:rPr>
                <w:sz w:val="16"/>
                <w:szCs w:val="16"/>
              </w:rPr>
            </w:pPr>
            <w:r>
              <w:rPr>
                <w:sz w:val="16"/>
                <w:szCs w:val="16"/>
              </w:rPr>
              <w:t>1.08</w:t>
            </w:r>
          </w:p>
          <w:p w14:paraId="5C370E5E" w14:textId="77777777" w:rsidR="00434CFB" w:rsidRPr="004962FE" w:rsidRDefault="006741F7" w:rsidP="006741F7">
            <w:pPr>
              <w:rPr>
                <w:sz w:val="16"/>
                <w:szCs w:val="16"/>
              </w:rPr>
            </w:pPr>
            <w:r>
              <w:rPr>
                <w:sz w:val="16"/>
                <w:szCs w:val="16"/>
              </w:rPr>
              <w:t>(</w:t>
            </w:r>
            <w:r w:rsidR="00434CFB">
              <w:rPr>
                <w:sz w:val="16"/>
                <w:szCs w:val="16"/>
              </w:rPr>
              <w:t>1.04</w:t>
            </w:r>
            <w:r>
              <w:rPr>
                <w:sz w:val="16"/>
                <w:szCs w:val="16"/>
              </w:rPr>
              <w:t>-</w:t>
            </w:r>
            <w:r w:rsidR="00434CFB">
              <w:rPr>
                <w:sz w:val="16"/>
                <w:szCs w:val="16"/>
              </w:rPr>
              <w:t>1.12</w:t>
            </w:r>
            <w:r>
              <w:rPr>
                <w:sz w:val="16"/>
                <w:szCs w:val="16"/>
              </w:rPr>
              <w:t>)</w:t>
            </w:r>
          </w:p>
        </w:tc>
        <w:tc>
          <w:tcPr>
            <w:tcW w:w="1063" w:type="dxa"/>
          </w:tcPr>
          <w:p w14:paraId="472F2562" w14:textId="77777777" w:rsidR="00434CFB" w:rsidRDefault="00434CFB" w:rsidP="006741F7">
            <w:pPr>
              <w:rPr>
                <w:sz w:val="16"/>
                <w:szCs w:val="16"/>
              </w:rPr>
            </w:pPr>
            <w:r>
              <w:rPr>
                <w:sz w:val="16"/>
                <w:szCs w:val="16"/>
              </w:rPr>
              <w:t>1.07</w:t>
            </w:r>
          </w:p>
          <w:p w14:paraId="76B9F664" w14:textId="77777777" w:rsidR="00434CFB" w:rsidRPr="004962FE" w:rsidRDefault="006741F7" w:rsidP="006741F7">
            <w:pPr>
              <w:rPr>
                <w:sz w:val="16"/>
                <w:szCs w:val="16"/>
              </w:rPr>
            </w:pPr>
            <w:r>
              <w:rPr>
                <w:sz w:val="16"/>
                <w:szCs w:val="16"/>
              </w:rPr>
              <w:t>(</w:t>
            </w:r>
            <w:r w:rsidR="00434CFB">
              <w:rPr>
                <w:sz w:val="16"/>
                <w:szCs w:val="16"/>
              </w:rPr>
              <w:t>1.03</w:t>
            </w:r>
            <w:r>
              <w:rPr>
                <w:sz w:val="16"/>
                <w:szCs w:val="16"/>
              </w:rPr>
              <w:t>-</w:t>
            </w:r>
            <w:r w:rsidR="00434CFB">
              <w:rPr>
                <w:sz w:val="16"/>
                <w:szCs w:val="16"/>
              </w:rPr>
              <w:t>1.11</w:t>
            </w:r>
            <w:r>
              <w:rPr>
                <w:sz w:val="16"/>
                <w:szCs w:val="16"/>
              </w:rPr>
              <w:t>)</w:t>
            </w:r>
          </w:p>
        </w:tc>
        <w:tc>
          <w:tcPr>
            <w:tcW w:w="1063" w:type="dxa"/>
          </w:tcPr>
          <w:p w14:paraId="572E59B5" w14:textId="77777777" w:rsidR="00434CFB" w:rsidRDefault="00434CFB" w:rsidP="006741F7">
            <w:pPr>
              <w:rPr>
                <w:sz w:val="16"/>
                <w:szCs w:val="16"/>
              </w:rPr>
            </w:pPr>
            <w:r>
              <w:rPr>
                <w:sz w:val="16"/>
                <w:szCs w:val="16"/>
              </w:rPr>
              <w:t>1.06</w:t>
            </w:r>
          </w:p>
          <w:p w14:paraId="28344681" w14:textId="77777777" w:rsidR="00434CFB" w:rsidRPr="004962FE" w:rsidRDefault="006741F7" w:rsidP="006741F7">
            <w:pPr>
              <w:rPr>
                <w:sz w:val="16"/>
                <w:szCs w:val="16"/>
              </w:rPr>
            </w:pPr>
            <w:r>
              <w:rPr>
                <w:sz w:val="16"/>
                <w:szCs w:val="16"/>
              </w:rPr>
              <w:t>(</w:t>
            </w:r>
            <w:r w:rsidR="00434CFB">
              <w:rPr>
                <w:sz w:val="16"/>
                <w:szCs w:val="16"/>
              </w:rPr>
              <w:t>1.02</w:t>
            </w:r>
            <w:r>
              <w:rPr>
                <w:sz w:val="16"/>
                <w:szCs w:val="16"/>
              </w:rPr>
              <w:t>-</w:t>
            </w:r>
            <w:r w:rsidR="00434CFB">
              <w:rPr>
                <w:sz w:val="16"/>
                <w:szCs w:val="16"/>
              </w:rPr>
              <w:t>1.10</w:t>
            </w:r>
            <w:r>
              <w:rPr>
                <w:sz w:val="16"/>
                <w:szCs w:val="16"/>
              </w:rPr>
              <w:t>)</w:t>
            </w:r>
          </w:p>
        </w:tc>
        <w:tc>
          <w:tcPr>
            <w:tcW w:w="1064" w:type="dxa"/>
          </w:tcPr>
          <w:p w14:paraId="78817CDB" w14:textId="77777777" w:rsidR="00434CFB" w:rsidRDefault="00434CFB" w:rsidP="006741F7">
            <w:pPr>
              <w:rPr>
                <w:sz w:val="16"/>
                <w:szCs w:val="16"/>
              </w:rPr>
            </w:pPr>
            <w:r>
              <w:rPr>
                <w:sz w:val="16"/>
                <w:szCs w:val="16"/>
              </w:rPr>
              <w:t>1.05</w:t>
            </w:r>
          </w:p>
          <w:p w14:paraId="1A9FCE07" w14:textId="77777777" w:rsidR="00434CFB" w:rsidRPr="004962FE" w:rsidRDefault="006741F7" w:rsidP="006741F7">
            <w:pPr>
              <w:rPr>
                <w:sz w:val="16"/>
                <w:szCs w:val="16"/>
              </w:rPr>
            </w:pPr>
            <w:r>
              <w:rPr>
                <w:sz w:val="16"/>
                <w:szCs w:val="16"/>
              </w:rPr>
              <w:t>(</w:t>
            </w:r>
            <w:r w:rsidR="00434CFB">
              <w:rPr>
                <w:sz w:val="16"/>
                <w:szCs w:val="16"/>
              </w:rPr>
              <w:t>1.00</w:t>
            </w:r>
            <w:r>
              <w:rPr>
                <w:sz w:val="16"/>
                <w:szCs w:val="16"/>
              </w:rPr>
              <w:t>-</w:t>
            </w:r>
            <w:r w:rsidR="00434CFB">
              <w:rPr>
                <w:sz w:val="16"/>
                <w:szCs w:val="16"/>
              </w:rPr>
              <w:t>1.08</w:t>
            </w:r>
            <w:r>
              <w:rPr>
                <w:sz w:val="16"/>
                <w:szCs w:val="16"/>
              </w:rPr>
              <w:t>)</w:t>
            </w:r>
          </w:p>
        </w:tc>
      </w:tr>
      <w:tr w:rsidR="00434CFB" w14:paraId="1D59926C" w14:textId="77777777" w:rsidTr="006741F7">
        <w:tc>
          <w:tcPr>
            <w:tcW w:w="1305" w:type="dxa"/>
          </w:tcPr>
          <w:p w14:paraId="11CFA4D0" w14:textId="77777777" w:rsidR="00434CFB" w:rsidRPr="004962FE" w:rsidRDefault="00434CFB" w:rsidP="006741F7">
            <w:pPr>
              <w:rPr>
                <w:sz w:val="16"/>
                <w:szCs w:val="16"/>
              </w:rPr>
            </w:pPr>
            <w:r>
              <w:rPr>
                <w:sz w:val="16"/>
                <w:szCs w:val="16"/>
              </w:rPr>
              <w:t xml:space="preserve">Median Deprived </w:t>
            </w:r>
            <w:r>
              <w:rPr>
                <w:sz w:val="16"/>
                <w:szCs w:val="16"/>
              </w:rPr>
              <w:br/>
              <w:t>40-60%</w:t>
            </w:r>
          </w:p>
        </w:tc>
        <w:tc>
          <w:tcPr>
            <w:tcW w:w="1063" w:type="dxa"/>
          </w:tcPr>
          <w:p w14:paraId="65F287B7" w14:textId="77777777" w:rsidR="00434CFB" w:rsidRDefault="00434CFB" w:rsidP="006741F7">
            <w:pPr>
              <w:rPr>
                <w:sz w:val="16"/>
                <w:szCs w:val="16"/>
              </w:rPr>
            </w:pPr>
            <w:r>
              <w:rPr>
                <w:sz w:val="16"/>
                <w:szCs w:val="16"/>
              </w:rPr>
              <w:t>1.32</w:t>
            </w:r>
          </w:p>
          <w:p w14:paraId="244D749D" w14:textId="77777777" w:rsidR="00434CFB" w:rsidRPr="004962FE" w:rsidRDefault="00434CFB" w:rsidP="006741F7">
            <w:pPr>
              <w:rPr>
                <w:sz w:val="16"/>
                <w:szCs w:val="16"/>
              </w:rPr>
            </w:pPr>
            <w:r>
              <w:rPr>
                <w:sz w:val="16"/>
                <w:szCs w:val="16"/>
              </w:rPr>
              <w:t xml:space="preserve"> </w:t>
            </w:r>
            <w:r w:rsidR="006741F7">
              <w:rPr>
                <w:sz w:val="16"/>
                <w:szCs w:val="16"/>
              </w:rPr>
              <w:t>(</w:t>
            </w:r>
            <w:r>
              <w:rPr>
                <w:sz w:val="16"/>
                <w:szCs w:val="16"/>
              </w:rPr>
              <w:t>1.27,1.37</w:t>
            </w:r>
            <w:r w:rsidR="006741F7">
              <w:rPr>
                <w:sz w:val="16"/>
                <w:szCs w:val="16"/>
              </w:rPr>
              <w:t>)</w:t>
            </w:r>
          </w:p>
        </w:tc>
        <w:tc>
          <w:tcPr>
            <w:tcW w:w="1063" w:type="dxa"/>
          </w:tcPr>
          <w:p w14:paraId="4A7F6B8C" w14:textId="77777777" w:rsidR="00434CFB" w:rsidRDefault="00434CFB" w:rsidP="006741F7">
            <w:pPr>
              <w:rPr>
                <w:sz w:val="16"/>
                <w:szCs w:val="16"/>
              </w:rPr>
            </w:pPr>
            <w:r>
              <w:rPr>
                <w:sz w:val="16"/>
                <w:szCs w:val="16"/>
              </w:rPr>
              <w:t>1.20</w:t>
            </w:r>
          </w:p>
          <w:p w14:paraId="154DC2C3" w14:textId="77777777" w:rsidR="00434CFB" w:rsidRPr="004962FE" w:rsidRDefault="006741F7" w:rsidP="006741F7">
            <w:pPr>
              <w:rPr>
                <w:sz w:val="16"/>
                <w:szCs w:val="16"/>
              </w:rPr>
            </w:pPr>
            <w:r>
              <w:rPr>
                <w:sz w:val="16"/>
                <w:szCs w:val="16"/>
              </w:rPr>
              <w:t>(</w:t>
            </w:r>
            <w:r w:rsidR="00434CFB">
              <w:rPr>
                <w:sz w:val="16"/>
                <w:szCs w:val="16"/>
              </w:rPr>
              <w:t>1.16,1.25</w:t>
            </w:r>
            <w:r>
              <w:rPr>
                <w:sz w:val="16"/>
                <w:szCs w:val="16"/>
              </w:rPr>
              <w:t>)</w:t>
            </w:r>
          </w:p>
        </w:tc>
        <w:tc>
          <w:tcPr>
            <w:tcW w:w="1063" w:type="dxa"/>
          </w:tcPr>
          <w:p w14:paraId="633571B4" w14:textId="77777777" w:rsidR="00434CFB" w:rsidRDefault="00434CFB" w:rsidP="006741F7">
            <w:pPr>
              <w:rPr>
                <w:sz w:val="16"/>
                <w:szCs w:val="16"/>
              </w:rPr>
            </w:pPr>
            <w:r>
              <w:rPr>
                <w:sz w:val="16"/>
                <w:szCs w:val="16"/>
              </w:rPr>
              <w:t>1.18</w:t>
            </w:r>
          </w:p>
          <w:p w14:paraId="1457EF71" w14:textId="77777777" w:rsidR="00434CFB" w:rsidRPr="004962FE" w:rsidRDefault="006741F7" w:rsidP="006741F7">
            <w:pPr>
              <w:rPr>
                <w:sz w:val="16"/>
                <w:szCs w:val="16"/>
              </w:rPr>
            </w:pPr>
            <w:r>
              <w:rPr>
                <w:sz w:val="16"/>
                <w:szCs w:val="16"/>
              </w:rPr>
              <w:t>(</w:t>
            </w:r>
            <w:r w:rsidR="00434CFB">
              <w:rPr>
                <w:sz w:val="16"/>
                <w:szCs w:val="16"/>
              </w:rPr>
              <w:t>1.13,1.22</w:t>
            </w:r>
            <w:r>
              <w:rPr>
                <w:sz w:val="16"/>
                <w:szCs w:val="16"/>
              </w:rPr>
              <w:t>)</w:t>
            </w:r>
          </w:p>
        </w:tc>
        <w:tc>
          <w:tcPr>
            <w:tcW w:w="1063" w:type="dxa"/>
          </w:tcPr>
          <w:p w14:paraId="0C898EDB" w14:textId="77777777" w:rsidR="00434CFB" w:rsidRDefault="00434CFB" w:rsidP="006741F7">
            <w:pPr>
              <w:rPr>
                <w:sz w:val="16"/>
                <w:szCs w:val="16"/>
              </w:rPr>
            </w:pPr>
            <w:r>
              <w:rPr>
                <w:sz w:val="16"/>
                <w:szCs w:val="16"/>
              </w:rPr>
              <w:t>1.22</w:t>
            </w:r>
          </w:p>
          <w:p w14:paraId="143A2201" w14:textId="77777777" w:rsidR="00434CFB" w:rsidRPr="004962FE" w:rsidRDefault="006741F7" w:rsidP="006741F7">
            <w:pPr>
              <w:rPr>
                <w:sz w:val="16"/>
                <w:szCs w:val="16"/>
              </w:rPr>
            </w:pPr>
            <w:r>
              <w:rPr>
                <w:sz w:val="16"/>
                <w:szCs w:val="16"/>
              </w:rPr>
              <w:t>(</w:t>
            </w:r>
            <w:r w:rsidR="00434CFB">
              <w:rPr>
                <w:sz w:val="16"/>
                <w:szCs w:val="16"/>
              </w:rPr>
              <w:t>1.17</w:t>
            </w:r>
            <w:r>
              <w:rPr>
                <w:sz w:val="16"/>
                <w:szCs w:val="16"/>
              </w:rPr>
              <w:t>-</w:t>
            </w:r>
            <w:r w:rsidR="00434CFB">
              <w:rPr>
                <w:sz w:val="16"/>
                <w:szCs w:val="16"/>
              </w:rPr>
              <w:t>1.27</w:t>
            </w:r>
            <w:r>
              <w:rPr>
                <w:sz w:val="16"/>
                <w:szCs w:val="16"/>
              </w:rPr>
              <w:t>)</w:t>
            </w:r>
          </w:p>
        </w:tc>
        <w:tc>
          <w:tcPr>
            <w:tcW w:w="1063" w:type="dxa"/>
          </w:tcPr>
          <w:p w14:paraId="15374DEB" w14:textId="77777777" w:rsidR="00434CFB" w:rsidRDefault="00434CFB" w:rsidP="006741F7">
            <w:pPr>
              <w:rPr>
                <w:sz w:val="16"/>
                <w:szCs w:val="16"/>
              </w:rPr>
            </w:pPr>
            <w:r>
              <w:rPr>
                <w:sz w:val="16"/>
                <w:szCs w:val="16"/>
              </w:rPr>
              <w:t>1.24</w:t>
            </w:r>
          </w:p>
          <w:p w14:paraId="05B4E3C7" w14:textId="77777777" w:rsidR="00434CFB" w:rsidRPr="004962FE" w:rsidRDefault="006741F7" w:rsidP="006741F7">
            <w:pPr>
              <w:rPr>
                <w:sz w:val="16"/>
                <w:szCs w:val="16"/>
              </w:rPr>
            </w:pPr>
            <w:r>
              <w:rPr>
                <w:sz w:val="16"/>
                <w:szCs w:val="16"/>
              </w:rPr>
              <w:t>(</w:t>
            </w:r>
            <w:r w:rsidR="00434CFB">
              <w:rPr>
                <w:sz w:val="16"/>
                <w:szCs w:val="16"/>
              </w:rPr>
              <w:t>1.20</w:t>
            </w:r>
            <w:r>
              <w:rPr>
                <w:sz w:val="16"/>
                <w:szCs w:val="16"/>
              </w:rPr>
              <w:t>-</w:t>
            </w:r>
            <w:r w:rsidR="00434CFB">
              <w:rPr>
                <w:sz w:val="16"/>
                <w:szCs w:val="16"/>
              </w:rPr>
              <w:t>1.29</w:t>
            </w:r>
            <w:r>
              <w:rPr>
                <w:sz w:val="16"/>
                <w:szCs w:val="16"/>
              </w:rPr>
              <w:t>)</w:t>
            </w:r>
          </w:p>
        </w:tc>
        <w:tc>
          <w:tcPr>
            <w:tcW w:w="1064" w:type="dxa"/>
          </w:tcPr>
          <w:p w14:paraId="0792EDA3" w14:textId="77777777" w:rsidR="00434CFB" w:rsidRDefault="00434CFB" w:rsidP="006741F7">
            <w:pPr>
              <w:rPr>
                <w:sz w:val="16"/>
                <w:szCs w:val="16"/>
              </w:rPr>
            </w:pPr>
            <w:r>
              <w:rPr>
                <w:sz w:val="16"/>
                <w:szCs w:val="16"/>
              </w:rPr>
              <w:t>1.25</w:t>
            </w:r>
          </w:p>
          <w:p w14:paraId="2AB33D5D" w14:textId="77777777" w:rsidR="00434CFB" w:rsidRPr="004962FE" w:rsidRDefault="006741F7" w:rsidP="006741F7">
            <w:pPr>
              <w:rPr>
                <w:sz w:val="16"/>
                <w:szCs w:val="16"/>
              </w:rPr>
            </w:pPr>
            <w:r>
              <w:rPr>
                <w:sz w:val="16"/>
                <w:szCs w:val="16"/>
              </w:rPr>
              <w:t>(</w:t>
            </w:r>
            <w:r w:rsidR="00434CFB">
              <w:rPr>
                <w:sz w:val="16"/>
                <w:szCs w:val="16"/>
              </w:rPr>
              <w:t>1.21</w:t>
            </w:r>
            <w:r>
              <w:rPr>
                <w:sz w:val="16"/>
                <w:szCs w:val="16"/>
              </w:rPr>
              <w:t>-</w:t>
            </w:r>
            <w:r w:rsidR="00434CFB">
              <w:rPr>
                <w:sz w:val="16"/>
                <w:szCs w:val="16"/>
              </w:rPr>
              <w:t>1.30</w:t>
            </w:r>
            <w:r>
              <w:rPr>
                <w:sz w:val="16"/>
                <w:szCs w:val="16"/>
              </w:rPr>
              <w:t>)</w:t>
            </w:r>
          </w:p>
        </w:tc>
        <w:tc>
          <w:tcPr>
            <w:tcW w:w="1063" w:type="dxa"/>
          </w:tcPr>
          <w:p w14:paraId="3945E6A3" w14:textId="77777777" w:rsidR="00434CFB" w:rsidRDefault="00434CFB" w:rsidP="006741F7">
            <w:pPr>
              <w:rPr>
                <w:sz w:val="16"/>
                <w:szCs w:val="16"/>
              </w:rPr>
            </w:pPr>
            <w:r>
              <w:rPr>
                <w:sz w:val="16"/>
                <w:szCs w:val="16"/>
              </w:rPr>
              <w:t>1.24</w:t>
            </w:r>
          </w:p>
          <w:p w14:paraId="49ADCA7D" w14:textId="77777777" w:rsidR="00434CFB" w:rsidRPr="004962FE" w:rsidRDefault="006741F7" w:rsidP="006741F7">
            <w:pPr>
              <w:rPr>
                <w:sz w:val="16"/>
                <w:szCs w:val="16"/>
              </w:rPr>
            </w:pPr>
            <w:r>
              <w:rPr>
                <w:sz w:val="16"/>
                <w:szCs w:val="16"/>
              </w:rPr>
              <w:t>(</w:t>
            </w:r>
            <w:r w:rsidR="00434CFB">
              <w:rPr>
                <w:sz w:val="16"/>
                <w:szCs w:val="16"/>
              </w:rPr>
              <w:t>1.19</w:t>
            </w:r>
            <w:r>
              <w:rPr>
                <w:sz w:val="16"/>
                <w:szCs w:val="16"/>
              </w:rPr>
              <w:t>-</w:t>
            </w:r>
            <w:r w:rsidR="00434CFB">
              <w:rPr>
                <w:sz w:val="16"/>
                <w:szCs w:val="16"/>
              </w:rPr>
              <w:t>1.28</w:t>
            </w:r>
            <w:r>
              <w:rPr>
                <w:sz w:val="16"/>
                <w:szCs w:val="16"/>
              </w:rPr>
              <w:t>)</w:t>
            </w:r>
          </w:p>
        </w:tc>
        <w:tc>
          <w:tcPr>
            <w:tcW w:w="1063" w:type="dxa"/>
          </w:tcPr>
          <w:p w14:paraId="2B3DFDFF" w14:textId="77777777" w:rsidR="00434CFB" w:rsidRDefault="00434CFB" w:rsidP="006741F7">
            <w:pPr>
              <w:rPr>
                <w:sz w:val="16"/>
                <w:szCs w:val="16"/>
              </w:rPr>
            </w:pPr>
            <w:r>
              <w:rPr>
                <w:sz w:val="16"/>
                <w:szCs w:val="16"/>
              </w:rPr>
              <w:t>1.21</w:t>
            </w:r>
          </w:p>
          <w:p w14:paraId="0445D849" w14:textId="77777777" w:rsidR="00434CFB" w:rsidRPr="004962FE" w:rsidRDefault="006741F7" w:rsidP="006741F7">
            <w:pPr>
              <w:rPr>
                <w:sz w:val="16"/>
                <w:szCs w:val="16"/>
              </w:rPr>
            </w:pPr>
            <w:r>
              <w:rPr>
                <w:sz w:val="16"/>
                <w:szCs w:val="16"/>
              </w:rPr>
              <w:t>(</w:t>
            </w:r>
            <w:r w:rsidR="00434CFB">
              <w:rPr>
                <w:sz w:val="16"/>
                <w:szCs w:val="16"/>
              </w:rPr>
              <w:t>1.16,1.25</w:t>
            </w:r>
            <w:r>
              <w:rPr>
                <w:sz w:val="16"/>
                <w:szCs w:val="16"/>
              </w:rPr>
              <w:t>)</w:t>
            </w:r>
          </w:p>
        </w:tc>
        <w:tc>
          <w:tcPr>
            <w:tcW w:w="1063" w:type="dxa"/>
          </w:tcPr>
          <w:p w14:paraId="0687284A" w14:textId="77777777" w:rsidR="00434CFB" w:rsidRDefault="00434CFB" w:rsidP="006741F7">
            <w:pPr>
              <w:rPr>
                <w:sz w:val="16"/>
                <w:szCs w:val="16"/>
              </w:rPr>
            </w:pPr>
            <w:r>
              <w:rPr>
                <w:sz w:val="16"/>
                <w:szCs w:val="16"/>
              </w:rPr>
              <w:t>1.18</w:t>
            </w:r>
          </w:p>
          <w:p w14:paraId="0A21421A" w14:textId="77777777" w:rsidR="00434CFB" w:rsidRPr="004962FE" w:rsidRDefault="006741F7" w:rsidP="006741F7">
            <w:pPr>
              <w:rPr>
                <w:sz w:val="16"/>
                <w:szCs w:val="16"/>
              </w:rPr>
            </w:pPr>
            <w:r>
              <w:rPr>
                <w:sz w:val="16"/>
                <w:szCs w:val="16"/>
              </w:rPr>
              <w:t>(</w:t>
            </w:r>
            <w:r w:rsidR="00434CFB">
              <w:rPr>
                <w:sz w:val="16"/>
                <w:szCs w:val="16"/>
              </w:rPr>
              <w:t>1.14</w:t>
            </w:r>
            <w:r>
              <w:rPr>
                <w:sz w:val="16"/>
                <w:szCs w:val="16"/>
              </w:rPr>
              <w:t>-</w:t>
            </w:r>
            <w:r w:rsidR="00434CFB">
              <w:rPr>
                <w:sz w:val="16"/>
                <w:szCs w:val="16"/>
              </w:rPr>
              <w:t>1.22</w:t>
            </w:r>
            <w:r>
              <w:rPr>
                <w:sz w:val="16"/>
                <w:szCs w:val="16"/>
              </w:rPr>
              <w:t>)</w:t>
            </w:r>
          </w:p>
        </w:tc>
        <w:tc>
          <w:tcPr>
            <w:tcW w:w="1063" w:type="dxa"/>
          </w:tcPr>
          <w:p w14:paraId="38F1A128" w14:textId="77777777" w:rsidR="00434CFB" w:rsidRDefault="00434CFB" w:rsidP="006741F7">
            <w:pPr>
              <w:rPr>
                <w:sz w:val="16"/>
                <w:szCs w:val="16"/>
              </w:rPr>
            </w:pPr>
            <w:r>
              <w:rPr>
                <w:sz w:val="16"/>
                <w:szCs w:val="16"/>
              </w:rPr>
              <w:t>1.13</w:t>
            </w:r>
          </w:p>
          <w:p w14:paraId="28C060D6" w14:textId="77777777" w:rsidR="00434CFB" w:rsidRPr="004962FE" w:rsidRDefault="006741F7" w:rsidP="006741F7">
            <w:pPr>
              <w:rPr>
                <w:sz w:val="16"/>
                <w:szCs w:val="16"/>
              </w:rPr>
            </w:pPr>
            <w:r>
              <w:rPr>
                <w:sz w:val="16"/>
                <w:szCs w:val="16"/>
              </w:rPr>
              <w:t>(</w:t>
            </w:r>
            <w:r w:rsidR="00434CFB">
              <w:rPr>
                <w:sz w:val="16"/>
                <w:szCs w:val="16"/>
              </w:rPr>
              <w:t>1.09</w:t>
            </w:r>
            <w:r>
              <w:rPr>
                <w:sz w:val="16"/>
                <w:szCs w:val="16"/>
              </w:rPr>
              <w:t>-</w:t>
            </w:r>
            <w:r w:rsidR="00434CFB">
              <w:rPr>
                <w:sz w:val="16"/>
                <w:szCs w:val="16"/>
              </w:rPr>
              <w:t>1.17</w:t>
            </w:r>
            <w:r>
              <w:rPr>
                <w:sz w:val="16"/>
                <w:szCs w:val="16"/>
              </w:rPr>
              <w:t>)</w:t>
            </w:r>
          </w:p>
        </w:tc>
        <w:tc>
          <w:tcPr>
            <w:tcW w:w="1063" w:type="dxa"/>
          </w:tcPr>
          <w:p w14:paraId="774FBB65" w14:textId="77777777" w:rsidR="00434CFB" w:rsidRDefault="00434CFB" w:rsidP="006741F7">
            <w:pPr>
              <w:rPr>
                <w:sz w:val="16"/>
                <w:szCs w:val="16"/>
              </w:rPr>
            </w:pPr>
            <w:r>
              <w:rPr>
                <w:sz w:val="16"/>
                <w:szCs w:val="16"/>
              </w:rPr>
              <w:t>1.19</w:t>
            </w:r>
          </w:p>
          <w:p w14:paraId="48D500BC" w14:textId="77777777" w:rsidR="00434CFB" w:rsidRPr="004962FE" w:rsidRDefault="006741F7" w:rsidP="006741F7">
            <w:pPr>
              <w:rPr>
                <w:sz w:val="16"/>
                <w:szCs w:val="16"/>
              </w:rPr>
            </w:pPr>
            <w:r>
              <w:rPr>
                <w:sz w:val="16"/>
                <w:szCs w:val="16"/>
              </w:rPr>
              <w:t>(</w:t>
            </w:r>
            <w:r w:rsidR="00434CFB">
              <w:rPr>
                <w:sz w:val="16"/>
                <w:szCs w:val="16"/>
              </w:rPr>
              <w:t>1.15</w:t>
            </w:r>
            <w:r>
              <w:rPr>
                <w:sz w:val="16"/>
                <w:szCs w:val="16"/>
              </w:rPr>
              <w:t>-</w:t>
            </w:r>
            <w:r w:rsidR="00434CFB">
              <w:rPr>
                <w:sz w:val="16"/>
                <w:szCs w:val="16"/>
              </w:rPr>
              <w:t>1.23</w:t>
            </w:r>
            <w:r>
              <w:rPr>
                <w:sz w:val="16"/>
                <w:szCs w:val="16"/>
              </w:rPr>
              <w:t>)</w:t>
            </w:r>
          </w:p>
        </w:tc>
        <w:tc>
          <w:tcPr>
            <w:tcW w:w="1064" w:type="dxa"/>
          </w:tcPr>
          <w:p w14:paraId="2E8A0DA1" w14:textId="77777777" w:rsidR="00434CFB" w:rsidRDefault="00434CFB" w:rsidP="006741F7">
            <w:pPr>
              <w:rPr>
                <w:sz w:val="16"/>
                <w:szCs w:val="16"/>
              </w:rPr>
            </w:pPr>
            <w:r>
              <w:rPr>
                <w:sz w:val="16"/>
                <w:szCs w:val="16"/>
              </w:rPr>
              <w:t>1.12</w:t>
            </w:r>
          </w:p>
          <w:p w14:paraId="0139B175" w14:textId="77777777" w:rsidR="00434CFB" w:rsidRPr="004962FE" w:rsidRDefault="006741F7" w:rsidP="006741F7">
            <w:pPr>
              <w:rPr>
                <w:sz w:val="16"/>
                <w:szCs w:val="16"/>
              </w:rPr>
            </w:pPr>
            <w:r>
              <w:rPr>
                <w:sz w:val="16"/>
                <w:szCs w:val="16"/>
              </w:rPr>
              <w:t>(</w:t>
            </w:r>
            <w:r w:rsidR="00434CFB">
              <w:rPr>
                <w:sz w:val="16"/>
                <w:szCs w:val="16"/>
              </w:rPr>
              <w:t>1.08</w:t>
            </w:r>
            <w:r>
              <w:rPr>
                <w:sz w:val="16"/>
                <w:szCs w:val="16"/>
              </w:rPr>
              <w:t>-</w:t>
            </w:r>
            <w:r w:rsidR="00434CFB">
              <w:rPr>
                <w:sz w:val="16"/>
                <w:szCs w:val="16"/>
              </w:rPr>
              <w:t>1.16</w:t>
            </w:r>
            <w:r>
              <w:rPr>
                <w:sz w:val="16"/>
                <w:szCs w:val="16"/>
              </w:rPr>
              <w:t>)</w:t>
            </w:r>
          </w:p>
        </w:tc>
      </w:tr>
      <w:tr w:rsidR="00434CFB" w14:paraId="23377F0E" w14:textId="77777777" w:rsidTr="006741F7">
        <w:tc>
          <w:tcPr>
            <w:tcW w:w="1305" w:type="dxa"/>
          </w:tcPr>
          <w:p w14:paraId="10530691" w14:textId="77777777" w:rsidR="00434CFB" w:rsidRPr="004962FE" w:rsidRDefault="00434CFB" w:rsidP="006741F7">
            <w:pPr>
              <w:rPr>
                <w:sz w:val="16"/>
                <w:szCs w:val="16"/>
              </w:rPr>
            </w:pPr>
            <w:r>
              <w:rPr>
                <w:sz w:val="16"/>
                <w:szCs w:val="16"/>
              </w:rPr>
              <w:t xml:space="preserve">More deprived </w:t>
            </w:r>
            <w:r>
              <w:rPr>
                <w:sz w:val="16"/>
                <w:szCs w:val="16"/>
              </w:rPr>
              <w:br/>
              <w:t>60-80%</w:t>
            </w:r>
          </w:p>
        </w:tc>
        <w:tc>
          <w:tcPr>
            <w:tcW w:w="1063" w:type="dxa"/>
          </w:tcPr>
          <w:p w14:paraId="5C2F92AC" w14:textId="77777777" w:rsidR="00434CFB" w:rsidRDefault="00434CFB" w:rsidP="006741F7">
            <w:pPr>
              <w:rPr>
                <w:sz w:val="16"/>
                <w:szCs w:val="16"/>
              </w:rPr>
            </w:pPr>
            <w:r>
              <w:rPr>
                <w:sz w:val="16"/>
                <w:szCs w:val="16"/>
              </w:rPr>
              <w:t>1.57</w:t>
            </w:r>
          </w:p>
          <w:p w14:paraId="281AB634" w14:textId="77777777" w:rsidR="00434CFB" w:rsidRPr="004962FE" w:rsidRDefault="006741F7" w:rsidP="006741F7">
            <w:pPr>
              <w:rPr>
                <w:sz w:val="16"/>
                <w:szCs w:val="16"/>
              </w:rPr>
            </w:pPr>
            <w:r>
              <w:rPr>
                <w:sz w:val="16"/>
                <w:szCs w:val="16"/>
              </w:rPr>
              <w:t>(</w:t>
            </w:r>
            <w:r w:rsidR="00434CFB">
              <w:rPr>
                <w:sz w:val="16"/>
                <w:szCs w:val="16"/>
              </w:rPr>
              <w:t>1.51,1.63</w:t>
            </w:r>
            <w:r>
              <w:rPr>
                <w:sz w:val="16"/>
                <w:szCs w:val="16"/>
              </w:rPr>
              <w:t>)</w:t>
            </w:r>
          </w:p>
        </w:tc>
        <w:tc>
          <w:tcPr>
            <w:tcW w:w="1063" w:type="dxa"/>
          </w:tcPr>
          <w:p w14:paraId="23CC9F4A" w14:textId="77777777" w:rsidR="00434CFB" w:rsidRDefault="00434CFB" w:rsidP="006741F7">
            <w:pPr>
              <w:rPr>
                <w:sz w:val="16"/>
                <w:szCs w:val="16"/>
              </w:rPr>
            </w:pPr>
            <w:r>
              <w:rPr>
                <w:sz w:val="16"/>
                <w:szCs w:val="16"/>
              </w:rPr>
              <w:t>1.42</w:t>
            </w:r>
          </w:p>
          <w:p w14:paraId="7C07AEC6" w14:textId="77777777" w:rsidR="00434CFB" w:rsidRPr="004962FE" w:rsidRDefault="006741F7" w:rsidP="006741F7">
            <w:pPr>
              <w:rPr>
                <w:sz w:val="16"/>
                <w:szCs w:val="16"/>
              </w:rPr>
            </w:pPr>
            <w:r>
              <w:rPr>
                <w:sz w:val="16"/>
                <w:szCs w:val="16"/>
              </w:rPr>
              <w:t>(</w:t>
            </w:r>
            <w:r w:rsidR="00434CFB">
              <w:rPr>
                <w:sz w:val="16"/>
                <w:szCs w:val="16"/>
              </w:rPr>
              <w:t>1.37,1.47</w:t>
            </w:r>
            <w:r>
              <w:rPr>
                <w:sz w:val="16"/>
                <w:szCs w:val="16"/>
              </w:rPr>
              <w:t>)</w:t>
            </w:r>
          </w:p>
        </w:tc>
        <w:tc>
          <w:tcPr>
            <w:tcW w:w="1063" w:type="dxa"/>
          </w:tcPr>
          <w:p w14:paraId="4DC8DA6A" w14:textId="77777777" w:rsidR="00434CFB" w:rsidRDefault="00434CFB" w:rsidP="006741F7">
            <w:pPr>
              <w:rPr>
                <w:sz w:val="16"/>
                <w:szCs w:val="16"/>
              </w:rPr>
            </w:pPr>
            <w:r>
              <w:rPr>
                <w:sz w:val="16"/>
                <w:szCs w:val="16"/>
              </w:rPr>
              <w:t>1.39</w:t>
            </w:r>
          </w:p>
          <w:p w14:paraId="2D6FF158" w14:textId="77777777" w:rsidR="00434CFB" w:rsidRPr="004962FE" w:rsidRDefault="006741F7" w:rsidP="006741F7">
            <w:pPr>
              <w:rPr>
                <w:sz w:val="16"/>
                <w:szCs w:val="16"/>
              </w:rPr>
            </w:pPr>
            <w:r>
              <w:rPr>
                <w:sz w:val="16"/>
                <w:szCs w:val="16"/>
              </w:rPr>
              <w:t>(</w:t>
            </w:r>
            <w:r w:rsidR="00434CFB">
              <w:rPr>
                <w:sz w:val="16"/>
                <w:szCs w:val="16"/>
              </w:rPr>
              <w:t>1.34,1.44</w:t>
            </w:r>
            <w:r>
              <w:rPr>
                <w:sz w:val="16"/>
                <w:szCs w:val="16"/>
              </w:rPr>
              <w:t>)</w:t>
            </w:r>
          </w:p>
        </w:tc>
        <w:tc>
          <w:tcPr>
            <w:tcW w:w="1063" w:type="dxa"/>
          </w:tcPr>
          <w:p w14:paraId="3A8A98D5" w14:textId="77777777" w:rsidR="00434CFB" w:rsidRDefault="00434CFB" w:rsidP="006741F7">
            <w:pPr>
              <w:rPr>
                <w:sz w:val="16"/>
                <w:szCs w:val="16"/>
              </w:rPr>
            </w:pPr>
            <w:r>
              <w:rPr>
                <w:sz w:val="16"/>
                <w:szCs w:val="16"/>
              </w:rPr>
              <w:t xml:space="preserve">1.47 </w:t>
            </w:r>
          </w:p>
          <w:p w14:paraId="7215F160" w14:textId="77777777" w:rsidR="00434CFB" w:rsidRPr="004962FE" w:rsidRDefault="006741F7" w:rsidP="006741F7">
            <w:pPr>
              <w:rPr>
                <w:sz w:val="16"/>
                <w:szCs w:val="16"/>
              </w:rPr>
            </w:pPr>
            <w:r>
              <w:rPr>
                <w:sz w:val="16"/>
                <w:szCs w:val="16"/>
              </w:rPr>
              <w:t>(</w:t>
            </w:r>
            <w:r w:rsidR="00434CFB">
              <w:rPr>
                <w:sz w:val="16"/>
                <w:szCs w:val="16"/>
              </w:rPr>
              <w:t>1.42</w:t>
            </w:r>
            <w:r>
              <w:rPr>
                <w:sz w:val="16"/>
                <w:szCs w:val="16"/>
              </w:rPr>
              <w:t>-</w:t>
            </w:r>
            <w:r w:rsidR="00434CFB">
              <w:rPr>
                <w:sz w:val="16"/>
                <w:szCs w:val="16"/>
              </w:rPr>
              <w:t>1.53</w:t>
            </w:r>
            <w:r>
              <w:rPr>
                <w:sz w:val="16"/>
                <w:szCs w:val="16"/>
              </w:rPr>
              <w:t>)</w:t>
            </w:r>
          </w:p>
        </w:tc>
        <w:tc>
          <w:tcPr>
            <w:tcW w:w="1063" w:type="dxa"/>
          </w:tcPr>
          <w:p w14:paraId="4ED9F373" w14:textId="77777777" w:rsidR="00434CFB" w:rsidRDefault="00434CFB" w:rsidP="006741F7">
            <w:pPr>
              <w:rPr>
                <w:sz w:val="16"/>
                <w:szCs w:val="16"/>
              </w:rPr>
            </w:pPr>
            <w:r>
              <w:rPr>
                <w:sz w:val="16"/>
                <w:szCs w:val="16"/>
              </w:rPr>
              <w:t>1.42</w:t>
            </w:r>
          </w:p>
          <w:p w14:paraId="1A5D5B1F" w14:textId="77777777" w:rsidR="00434CFB" w:rsidRPr="004962FE" w:rsidRDefault="006741F7" w:rsidP="006741F7">
            <w:pPr>
              <w:rPr>
                <w:sz w:val="16"/>
                <w:szCs w:val="16"/>
              </w:rPr>
            </w:pPr>
            <w:r>
              <w:rPr>
                <w:sz w:val="16"/>
                <w:szCs w:val="16"/>
              </w:rPr>
              <w:t>(</w:t>
            </w:r>
            <w:r w:rsidR="00434CFB">
              <w:rPr>
                <w:sz w:val="16"/>
                <w:szCs w:val="16"/>
              </w:rPr>
              <w:t>1.37</w:t>
            </w:r>
            <w:r>
              <w:rPr>
                <w:sz w:val="16"/>
                <w:szCs w:val="16"/>
              </w:rPr>
              <w:t>-</w:t>
            </w:r>
            <w:r w:rsidR="00434CFB">
              <w:rPr>
                <w:sz w:val="16"/>
                <w:szCs w:val="16"/>
              </w:rPr>
              <w:t>1.47</w:t>
            </w:r>
            <w:r>
              <w:rPr>
                <w:sz w:val="16"/>
                <w:szCs w:val="16"/>
              </w:rPr>
              <w:t>)</w:t>
            </w:r>
          </w:p>
        </w:tc>
        <w:tc>
          <w:tcPr>
            <w:tcW w:w="1064" w:type="dxa"/>
          </w:tcPr>
          <w:p w14:paraId="0A7D6DA9" w14:textId="77777777" w:rsidR="00434CFB" w:rsidRDefault="00434CFB" w:rsidP="006741F7">
            <w:pPr>
              <w:rPr>
                <w:sz w:val="16"/>
                <w:szCs w:val="16"/>
              </w:rPr>
            </w:pPr>
            <w:r>
              <w:rPr>
                <w:sz w:val="16"/>
                <w:szCs w:val="16"/>
              </w:rPr>
              <w:t>1.45</w:t>
            </w:r>
          </w:p>
          <w:p w14:paraId="08E4A51E" w14:textId="77777777" w:rsidR="00434CFB" w:rsidRPr="004962FE" w:rsidRDefault="006741F7" w:rsidP="006741F7">
            <w:pPr>
              <w:rPr>
                <w:sz w:val="16"/>
                <w:szCs w:val="16"/>
              </w:rPr>
            </w:pPr>
            <w:r>
              <w:rPr>
                <w:sz w:val="16"/>
                <w:szCs w:val="16"/>
              </w:rPr>
              <w:t>(</w:t>
            </w:r>
            <w:r w:rsidR="00434CFB">
              <w:rPr>
                <w:sz w:val="16"/>
                <w:szCs w:val="16"/>
              </w:rPr>
              <w:t>1.40</w:t>
            </w:r>
            <w:r>
              <w:rPr>
                <w:sz w:val="16"/>
                <w:szCs w:val="16"/>
              </w:rPr>
              <w:t>-</w:t>
            </w:r>
            <w:r w:rsidR="00434CFB">
              <w:rPr>
                <w:sz w:val="16"/>
                <w:szCs w:val="16"/>
              </w:rPr>
              <w:t>1.50</w:t>
            </w:r>
            <w:r>
              <w:rPr>
                <w:sz w:val="16"/>
                <w:szCs w:val="16"/>
              </w:rPr>
              <w:t>)</w:t>
            </w:r>
          </w:p>
        </w:tc>
        <w:tc>
          <w:tcPr>
            <w:tcW w:w="1063" w:type="dxa"/>
          </w:tcPr>
          <w:p w14:paraId="469F36A1" w14:textId="77777777" w:rsidR="00434CFB" w:rsidRDefault="00434CFB" w:rsidP="006741F7">
            <w:pPr>
              <w:rPr>
                <w:sz w:val="16"/>
                <w:szCs w:val="16"/>
              </w:rPr>
            </w:pPr>
            <w:r>
              <w:rPr>
                <w:sz w:val="16"/>
                <w:szCs w:val="16"/>
              </w:rPr>
              <w:t>1.45</w:t>
            </w:r>
          </w:p>
          <w:p w14:paraId="64FFAA4F" w14:textId="77777777" w:rsidR="00434CFB" w:rsidRPr="004962FE" w:rsidRDefault="006741F7" w:rsidP="006741F7">
            <w:pPr>
              <w:rPr>
                <w:sz w:val="16"/>
                <w:szCs w:val="16"/>
              </w:rPr>
            </w:pPr>
            <w:r>
              <w:rPr>
                <w:sz w:val="16"/>
                <w:szCs w:val="16"/>
              </w:rPr>
              <w:t>(</w:t>
            </w:r>
            <w:r w:rsidR="00434CFB">
              <w:rPr>
                <w:sz w:val="16"/>
                <w:szCs w:val="16"/>
              </w:rPr>
              <w:t>1.40</w:t>
            </w:r>
            <w:r>
              <w:rPr>
                <w:sz w:val="16"/>
                <w:szCs w:val="16"/>
              </w:rPr>
              <w:t>-</w:t>
            </w:r>
            <w:r w:rsidR="00434CFB">
              <w:rPr>
                <w:sz w:val="16"/>
                <w:szCs w:val="16"/>
              </w:rPr>
              <w:t>1.50</w:t>
            </w:r>
            <w:r>
              <w:rPr>
                <w:sz w:val="16"/>
                <w:szCs w:val="16"/>
              </w:rPr>
              <w:t>)</w:t>
            </w:r>
          </w:p>
        </w:tc>
        <w:tc>
          <w:tcPr>
            <w:tcW w:w="1063" w:type="dxa"/>
          </w:tcPr>
          <w:p w14:paraId="3F358126" w14:textId="77777777" w:rsidR="00434CFB" w:rsidRDefault="00434CFB" w:rsidP="006741F7">
            <w:pPr>
              <w:rPr>
                <w:sz w:val="16"/>
                <w:szCs w:val="16"/>
              </w:rPr>
            </w:pPr>
            <w:r>
              <w:rPr>
                <w:sz w:val="16"/>
                <w:szCs w:val="16"/>
              </w:rPr>
              <w:t>1.34</w:t>
            </w:r>
          </w:p>
          <w:p w14:paraId="02A87097" w14:textId="77777777" w:rsidR="00434CFB" w:rsidRPr="004962FE" w:rsidRDefault="006741F7" w:rsidP="006741F7">
            <w:pPr>
              <w:rPr>
                <w:sz w:val="16"/>
                <w:szCs w:val="16"/>
              </w:rPr>
            </w:pPr>
            <w:r>
              <w:rPr>
                <w:sz w:val="16"/>
                <w:szCs w:val="16"/>
              </w:rPr>
              <w:t>(</w:t>
            </w:r>
            <w:r w:rsidR="00434CFB">
              <w:rPr>
                <w:sz w:val="16"/>
                <w:szCs w:val="16"/>
              </w:rPr>
              <w:t>1.30</w:t>
            </w:r>
            <w:r>
              <w:rPr>
                <w:sz w:val="16"/>
                <w:szCs w:val="16"/>
              </w:rPr>
              <w:t>-</w:t>
            </w:r>
            <w:r w:rsidR="00434CFB">
              <w:rPr>
                <w:sz w:val="16"/>
                <w:szCs w:val="16"/>
              </w:rPr>
              <w:t>1.39</w:t>
            </w:r>
            <w:r>
              <w:rPr>
                <w:sz w:val="16"/>
                <w:szCs w:val="16"/>
              </w:rPr>
              <w:t>)</w:t>
            </w:r>
          </w:p>
        </w:tc>
        <w:tc>
          <w:tcPr>
            <w:tcW w:w="1063" w:type="dxa"/>
          </w:tcPr>
          <w:p w14:paraId="12F405E8" w14:textId="77777777" w:rsidR="00434CFB" w:rsidRDefault="00434CFB" w:rsidP="006741F7">
            <w:pPr>
              <w:rPr>
                <w:sz w:val="16"/>
                <w:szCs w:val="16"/>
              </w:rPr>
            </w:pPr>
            <w:r>
              <w:rPr>
                <w:sz w:val="16"/>
                <w:szCs w:val="16"/>
              </w:rPr>
              <w:t>1.39</w:t>
            </w:r>
          </w:p>
          <w:p w14:paraId="36935FD7" w14:textId="77777777" w:rsidR="00434CFB" w:rsidRPr="004962FE" w:rsidRDefault="006741F7" w:rsidP="006741F7">
            <w:pPr>
              <w:rPr>
                <w:sz w:val="16"/>
                <w:szCs w:val="16"/>
              </w:rPr>
            </w:pPr>
            <w:r>
              <w:rPr>
                <w:sz w:val="16"/>
                <w:szCs w:val="16"/>
              </w:rPr>
              <w:t>(</w:t>
            </w:r>
            <w:r w:rsidR="00434CFB">
              <w:rPr>
                <w:sz w:val="16"/>
                <w:szCs w:val="16"/>
              </w:rPr>
              <w:t>1.34</w:t>
            </w:r>
            <w:r>
              <w:rPr>
                <w:sz w:val="16"/>
                <w:szCs w:val="16"/>
              </w:rPr>
              <w:t>-</w:t>
            </w:r>
            <w:r w:rsidR="00434CFB">
              <w:rPr>
                <w:sz w:val="16"/>
                <w:szCs w:val="16"/>
              </w:rPr>
              <w:t>1.44</w:t>
            </w:r>
            <w:r>
              <w:rPr>
                <w:sz w:val="16"/>
                <w:szCs w:val="16"/>
              </w:rPr>
              <w:t>)</w:t>
            </w:r>
          </w:p>
        </w:tc>
        <w:tc>
          <w:tcPr>
            <w:tcW w:w="1063" w:type="dxa"/>
          </w:tcPr>
          <w:p w14:paraId="4ED07B52" w14:textId="77777777" w:rsidR="00434CFB" w:rsidRDefault="00434CFB" w:rsidP="006741F7">
            <w:pPr>
              <w:rPr>
                <w:sz w:val="16"/>
                <w:szCs w:val="16"/>
              </w:rPr>
            </w:pPr>
            <w:r>
              <w:rPr>
                <w:sz w:val="16"/>
                <w:szCs w:val="16"/>
              </w:rPr>
              <w:t>1.30</w:t>
            </w:r>
          </w:p>
          <w:p w14:paraId="2F17C5D1" w14:textId="77777777" w:rsidR="00434CFB" w:rsidRPr="004962FE" w:rsidRDefault="006741F7" w:rsidP="006741F7">
            <w:pPr>
              <w:rPr>
                <w:sz w:val="16"/>
                <w:szCs w:val="16"/>
              </w:rPr>
            </w:pPr>
            <w:r>
              <w:rPr>
                <w:sz w:val="16"/>
                <w:szCs w:val="16"/>
              </w:rPr>
              <w:t>(</w:t>
            </w:r>
            <w:r w:rsidR="00434CFB">
              <w:rPr>
                <w:sz w:val="16"/>
                <w:szCs w:val="16"/>
              </w:rPr>
              <w:t>1.26</w:t>
            </w:r>
            <w:r>
              <w:rPr>
                <w:sz w:val="16"/>
                <w:szCs w:val="16"/>
              </w:rPr>
              <w:t>-</w:t>
            </w:r>
            <w:r w:rsidR="00434CFB">
              <w:rPr>
                <w:sz w:val="16"/>
                <w:szCs w:val="16"/>
              </w:rPr>
              <w:t>1.35</w:t>
            </w:r>
            <w:r>
              <w:rPr>
                <w:sz w:val="16"/>
                <w:szCs w:val="16"/>
              </w:rPr>
              <w:t>)</w:t>
            </w:r>
          </w:p>
        </w:tc>
        <w:tc>
          <w:tcPr>
            <w:tcW w:w="1063" w:type="dxa"/>
          </w:tcPr>
          <w:p w14:paraId="3E0CB246" w14:textId="77777777" w:rsidR="00434CFB" w:rsidRDefault="00434CFB" w:rsidP="006741F7">
            <w:pPr>
              <w:rPr>
                <w:sz w:val="16"/>
                <w:szCs w:val="16"/>
              </w:rPr>
            </w:pPr>
            <w:r>
              <w:rPr>
                <w:sz w:val="16"/>
                <w:szCs w:val="16"/>
              </w:rPr>
              <w:t>1.33</w:t>
            </w:r>
          </w:p>
          <w:p w14:paraId="08200EFC" w14:textId="77777777" w:rsidR="00434CFB" w:rsidRPr="004962FE" w:rsidRDefault="006741F7" w:rsidP="006741F7">
            <w:pPr>
              <w:rPr>
                <w:sz w:val="16"/>
                <w:szCs w:val="16"/>
              </w:rPr>
            </w:pPr>
            <w:r>
              <w:rPr>
                <w:sz w:val="16"/>
                <w:szCs w:val="16"/>
              </w:rPr>
              <w:t>(</w:t>
            </w:r>
            <w:r w:rsidR="00434CFB">
              <w:rPr>
                <w:sz w:val="16"/>
                <w:szCs w:val="16"/>
              </w:rPr>
              <w:t>1.29</w:t>
            </w:r>
            <w:r>
              <w:rPr>
                <w:sz w:val="16"/>
                <w:szCs w:val="16"/>
              </w:rPr>
              <w:t>-</w:t>
            </w:r>
            <w:r w:rsidR="00434CFB">
              <w:rPr>
                <w:sz w:val="16"/>
                <w:szCs w:val="16"/>
              </w:rPr>
              <w:t>1.38</w:t>
            </w:r>
            <w:r>
              <w:rPr>
                <w:sz w:val="16"/>
                <w:szCs w:val="16"/>
              </w:rPr>
              <w:t>)</w:t>
            </w:r>
          </w:p>
        </w:tc>
        <w:tc>
          <w:tcPr>
            <w:tcW w:w="1064" w:type="dxa"/>
          </w:tcPr>
          <w:p w14:paraId="50EB8E12" w14:textId="77777777" w:rsidR="00434CFB" w:rsidRDefault="00434CFB" w:rsidP="006741F7">
            <w:pPr>
              <w:rPr>
                <w:sz w:val="16"/>
                <w:szCs w:val="16"/>
              </w:rPr>
            </w:pPr>
            <w:r>
              <w:rPr>
                <w:sz w:val="16"/>
                <w:szCs w:val="16"/>
              </w:rPr>
              <w:t>1.25</w:t>
            </w:r>
          </w:p>
          <w:p w14:paraId="77B62F0A" w14:textId="77777777" w:rsidR="00434CFB" w:rsidRPr="004962FE" w:rsidRDefault="006741F7" w:rsidP="006741F7">
            <w:pPr>
              <w:rPr>
                <w:sz w:val="16"/>
                <w:szCs w:val="16"/>
              </w:rPr>
            </w:pPr>
            <w:r>
              <w:rPr>
                <w:sz w:val="16"/>
                <w:szCs w:val="16"/>
              </w:rPr>
              <w:t>(</w:t>
            </w:r>
            <w:r w:rsidR="00434CFB">
              <w:rPr>
                <w:sz w:val="16"/>
                <w:szCs w:val="16"/>
              </w:rPr>
              <w:t>1.21</w:t>
            </w:r>
            <w:r>
              <w:rPr>
                <w:sz w:val="16"/>
                <w:szCs w:val="16"/>
              </w:rPr>
              <w:t>-</w:t>
            </w:r>
            <w:r w:rsidR="00434CFB">
              <w:rPr>
                <w:sz w:val="16"/>
                <w:szCs w:val="16"/>
              </w:rPr>
              <w:t>1.29</w:t>
            </w:r>
            <w:r>
              <w:rPr>
                <w:sz w:val="16"/>
                <w:szCs w:val="16"/>
              </w:rPr>
              <w:t>)</w:t>
            </w:r>
          </w:p>
        </w:tc>
      </w:tr>
      <w:tr w:rsidR="00434CFB" w14:paraId="3BD2B95D" w14:textId="77777777" w:rsidTr="006741F7">
        <w:tc>
          <w:tcPr>
            <w:tcW w:w="1305" w:type="dxa"/>
          </w:tcPr>
          <w:p w14:paraId="23120FA2" w14:textId="77777777" w:rsidR="00434CFB" w:rsidRPr="004962FE" w:rsidRDefault="00434CFB" w:rsidP="006741F7">
            <w:pPr>
              <w:rPr>
                <w:sz w:val="16"/>
                <w:szCs w:val="16"/>
              </w:rPr>
            </w:pPr>
            <w:r>
              <w:rPr>
                <w:sz w:val="16"/>
                <w:szCs w:val="16"/>
              </w:rPr>
              <w:t xml:space="preserve">Most deprived </w:t>
            </w:r>
            <w:r>
              <w:rPr>
                <w:sz w:val="16"/>
                <w:szCs w:val="16"/>
              </w:rPr>
              <w:br/>
              <w:t xml:space="preserve">80-100% </w:t>
            </w:r>
          </w:p>
        </w:tc>
        <w:tc>
          <w:tcPr>
            <w:tcW w:w="1063" w:type="dxa"/>
          </w:tcPr>
          <w:p w14:paraId="06EE81A3" w14:textId="77777777" w:rsidR="00434CFB" w:rsidRDefault="00434CFB" w:rsidP="006741F7">
            <w:pPr>
              <w:rPr>
                <w:sz w:val="16"/>
                <w:szCs w:val="16"/>
              </w:rPr>
            </w:pPr>
            <w:r>
              <w:rPr>
                <w:sz w:val="16"/>
                <w:szCs w:val="16"/>
              </w:rPr>
              <w:t xml:space="preserve">2.06 </w:t>
            </w:r>
          </w:p>
          <w:p w14:paraId="06EFFE25" w14:textId="77777777" w:rsidR="00434CFB" w:rsidRPr="004962FE" w:rsidRDefault="006741F7" w:rsidP="006741F7">
            <w:pPr>
              <w:rPr>
                <w:sz w:val="16"/>
                <w:szCs w:val="16"/>
              </w:rPr>
            </w:pPr>
            <w:r>
              <w:rPr>
                <w:sz w:val="16"/>
                <w:szCs w:val="16"/>
              </w:rPr>
              <w:t>(</w:t>
            </w:r>
            <w:r w:rsidR="00434CFB">
              <w:rPr>
                <w:sz w:val="16"/>
                <w:szCs w:val="16"/>
              </w:rPr>
              <w:t>1.99,2.13</w:t>
            </w:r>
            <w:r>
              <w:rPr>
                <w:sz w:val="16"/>
                <w:szCs w:val="16"/>
              </w:rPr>
              <w:t>)</w:t>
            </w:r>
          </w:p>
        </w:tc>
        <w:tc>
          <w:tcPr>
            <w:tcW w:w="1063" w:type="dxa"/>
          </w:tcPr>
          <w:p w14:paraId="3FF58032" w14:textId="77777777" w:rsidR="00434CFB" w:rsidRDefault="00434CFB" w:rsidP="006741F7">
            <w:pPr>
              <w:rPr>
                <w:sz w:val="16"/>
                <w:szCs w:val="16"/>
              </w:rPr>
            </w:pPr>
            <w:r>
              <w:rPr>
                <w:sz w:val="16"/>
                <w:szCs w:val="16"/>
              </w:rPr>
              <w:t>1.84</w:t>
            </w:r>
          </w:p>
          <w:p w14:paraId="4843E531" w14:textId="77777777" w:rsidR="00434CFB" w:rsidRPr="004962FE" w:rsidRDefault="006741F7" w:rsidP="006741F7">
            <w:pPr>
              <w:rPr>
                <w:sz w:val="16"/>
                <w:szCs w:val="16"/>
              </w:rPr>
            </w:pPr>
            <w:r>
              <w:rPr>
                <w:sz w:val="16"/>
                <w:szCs w:val="16"/>
              </w:rPr>
              <w:t>(</w:t>
            </w:r>
            <w:r w:rsidR="00434CFB">
              <w:rPr>
                <w:sz w:val="16"/>
                <w:szCs w:val="16"/>
              </w:rPr>
              <w:t>1.78</w:t>
            </w:r>
            <w:r>
              <w:rPr>
                <w:sz w:val="16"/>
                <w:szCs w:val="16"/>
              </w:rPr>
              <w:t>-</w:t>
            </w:r>
            <w:r w:rsidR="00434CFB">
              <w:rPr>
                <w:sz w:val="16"/>
                <w:szCs w:val="16"/>
              </w:rPr>
              <w:t>1.91</w:t>
            </w:r>
            <w:r>
              <w:rPr>
                <w:sz w:val="16"/>
                <w:szCs w:val="16"/>
              </w:rPr>
              <w:t>)</w:t>
            </w:r>
          </w:p>
        </w:tc>
        <w:tc>
          <w:tcPr>
            <w:tcW w:w="1063" w:type="dxa"/>
          </w:tcPr>
          <w:p w14:paraId="6FBC5945" w14:textId="77777777" w:rsidR="00434CFB" w:rsidRDefault="00434CFB" w:rsidP="006741F7">
            <w:pPr>
              <w:rPr>
                <w:sz w:val="16"/>
                <w:szCs w:val="16"/>
              </w:rPr>
            </w:pPr>
            <w:r>
              <w:rPr>
                <w:sz w:val="16"/>
                <w:szCs w:val="16"/>
              </w:rPr>
              <w:t>1.79</w:t>
            </w:r>
          </w:p>
          <w:p w14:paraId="27B9AF6B" w14:textId="77777777" w:rsidR="00434CFB" w:rsidRPr="004962FE" w:rsidRDefault="006741F7" w:rsidP="006741F7">
            <w:pPr>
              <w:rPr>
                <w:sz w:val="16"/>
                <w:szCs w:val="16"/>
              </w:rPr>
            </w:pPr>
            <w:r>
              <w:rPr>
                <w:sz w:val="16"/>
                <w:szCs w:val="16"/>
              </w:rPr>
              <w:t>(</w:t>
            </w:r>
            <w:r w:rsidR="00434CFB">
              <w:rPr>
                <w:sz w:val="16"/>
                <w:szCs w:val="16"/>
              </w:rPr>
              <w:t>1.72</w:t>
            </w:r>
            <w:r>
              <w:rPr>
                <w:sz w:val="16"/>
                <w:szCs w:val="16"/>
              </w:rPr>
              <w:t>-</w:t>
            </w:r>
            <w:r w:rsidR="00434CFB">
              <w:rPr>
                <w:sz w:val="16"/>
                <w:szCs w:val="16"/>
              </w:rPr>
              <w:t>1.85</w:t>
            </w:r>
            <w:r>
              <w:rPr>
                <w:sz w:val="16"/>
                <w:szCs w:val="16"/>
              </w:rPr>
              <w:t>)</w:t>
            </w:r>
          </w:p>
        </w:tc>
        <w:tc>
          <w:tcPr>
            <w:tcW w:w="1063" w:type="dxa"/>
          </w:tcPr>
          <w:p w14:paraId="198B5F62" w14:textId="77777777" w:rsidR="00434CFB" w:rsidRDefault="00434CFB" w:rsidP="006741F7">
            <w:pPr>
              <w:rPr>
                <w:sz w:val="16"/>
                <w:szCs w:val="16"/>
              </w:rPr>
            </w:pPr>
            <w:r>
              <w:rPr>
                <w:sz w:val="16"/>
                <w:szCs w:val="16"/>
              </w:rPr>
              <w:t>1.87</w:t>
            </w:r>
          </w:p>
          <w:p w14:paraId="12D6FF55" w14:textId="77777777" w:rsidR="00434CFB" w:rsidRPr="004962FE" w:rsidRDefault="006741F7" w:rsidP="006741F7">
            <w:pPr>
              <w:rPr>
                <w:sz w:val="16"/>
                <w:szCs w:val="16"/>
              </w:rPr>
            </w:pPr>
            <w:r>
              <w:rPr>
                <w:sz w:val="16"/>
                <w:szCs w:val="16"/>
              </w:rPr>
              <w:t>(</w:t>
            </w:r>
            <w:r w:rsidR="00434CFB">
              <w:rPr>
                <w:sz w:val="16"/>
                <w:szCs w:val="16"/>
              </w:rPr>
              <w:t>1.81</w:t>
            </w:r>
            <w:r>
              <w:rPr>
                <w:sz w:val="16"/>
                <w:szCs w:val="16"/>
              </w:rPr>
              <w:t>-</w:t>
            </w:r>
            <w:r w:rsidR="00434CFB">
              <w:rPr>
                <w:sz w:val="16"/>
                <w:szCs w:val="16"/>
              </w:rPr>
              <w:t>1.94</w:t>
            </w:r>
            <w:r>
              <w:rPr>
                <w:sz w:val="16"/>
                <w:szCs w:val="16"/>
              </w:rPr>
              <w:t>)</w:t>
            </w:r>
          </w:p>
        </w:tc>
        <w:tc>
          <w:tcPr>
            <w:tcW w:w="1063" w:type="dxa"/>
          </w:tcPr>
          <w:p w14:paraId="5D0E135A" w14:textId="77777777" w:rsidR="00434CFB" w:rsidRDefault="00434CFB" w:rsidP="006741F7">
            <w:pPr>
              <w:rPr>
                <w:sz w:val="16"/>
                <w:szCs w:val="16"/>
              </w:rPr>
            </w:pPr>
            <w:r>
              <w:rPr>
                <w:sz w:val="16"/>
                <w:szCs w:val="16"/>
              </w:rPr>
              <w:t>1.79</w:t>
            </w:r>
          </w:p>
          <w:p w14:paraId="00095BBC" w14:textId="77777777" w:rsidR="00434CFB" w:rsidRPr="004962FE" w:rsidRDefault="006741F7" w:rsidP="006741F7">
            <w:pPr>
              <w:rPr>
                <w:sz w:val="16"/>
                <w:szCs w:val="16"/>
              </w:rPr>
            </w:pPr>
            <w:r>
              <w:rPr>
                <w:sz w:val="16"/>
                <w:szCs w:val="16"/>
              </w:rPr>
              <w:t>(</w:t>
            </w:r>
            <w:r w:rsidR="00434CFB">
              <w:rPr>
                <w:sz w:val="16"/>
                <w:szCs w:val="16"/>
              </w:rPr>
              <w:t>1.73</w:t>
            </w:r>
            <w:r>
              <w:rPr>
                <w:sz w:val="16"/>
                <w:szCs w:val="16"/>
              </w:rPr>
              <w:t>-</w:t>
            </w:r>
            <w:r w:rsidR="00434CFB">
              <w:rPr>
                <w:sz w:val="16"/>
                <w:szCs w:val="16"/>
              </w:rPr>
              <w:t>1.85</w:t>
            </w:r>
            <w:r>
              <w:rPr>
                <w:sz w:val="16"/>
                <w:szCs w:val="16"/>
              </w:rPr>
              <w:t>)</w:t>
            </w:r>
          </w:p>
        </w:tc>
        <w:tc>
          <w:tcPr>
            <w:tcW w:w="1064" w:type="dxa"/>
          </w:tcPr>
          <w:p w14:paraId="0210EE54" w14:textId="77777777" w:rsidR="00434CFB" w:rsidRDefault="00434CFB" w:rsidP="006741F7">
            <w:pPr>
              <w:rPr>
                <w:sz w:val="16"/>
                <w:szCs w:val="16"/>
              </w:rPr>
            </w:pPr>
            <w:r>
              <w:rPr>
                <w:sz w:val="16"/>
                <w:szCs w:val="16"/>
              </w:rPr>
              <w:t>1.77</w:t>
            </w:r>
          </w:p>
          <w:p w14:paraId="5E93B461" w14:textId="77777777" w:rsidR="00434CFB" w:rsidRPr="004962FE" w:rsidRDefault="006741F7" w:rsidP="006741F7">
            <w:pPr>
              <w:rPr>
                <w:sz w:val="16"/>
                <w:szCs w:val="16"/>
              </w:rPr>
            </w:pPr>
            <w:r>
              <w:rPr>
                <w:sz w:val="16"/>
                <w:szCs w:val="16"/>
              </w:rPr>
              <w:t>(</w:t>
            </w:r>
            <w:r w:rsidR="00434CFB">
              <w:rPr>
                <w:sz w:val="16"/>
                <w:szCs w:val="16"/>
              </w:rPr>
              <w:t>1.72,1.83</w:t>
            </w:r>
            <w:r>
              <w:rPr>
                <w:sz w:val="16"/>
                <w:szCs w:val="16"/>
              </w:rPr>
              <w:t>)</w:t>
            </w:r>
          </w:p>
        </w:tc>
        <w:tc>
          <w:tcPr>
            <w:tcW w:w="1063" w:type="dxa"/>
          </w:tcPr>
          <w:p w14:paraId="637BC6A5" w14:textId="77777777" w:rsidR="00434CFB" w:rsidRDefault="00434CFB" w:rsidP="006741F7">
            <w:pPr>
              <w:rPr>
                <w:sz w:val="16"/>
                <w:szCs w:val="16"/>
              </w:rPr>
            </w:pPr>
            <w:r>
              <w:rPr>
                <w:sz w:val="16"/>
                <w:szCs w:val="16"/>
              </w:rPr>
              <w:t>1.86</w:t>
            </w:r>
          </w:p>
          <w:p w14:paraId="1E8094AA" w14:textId="77777777" w:rsidR="00434CFB" w:rsidRPr="004962FE" w:rsidRDefault="006741F7" w:rsidP="006741F7">
            <w:pPr>
              <w:rPr>
                <w:sz w:val="16"/>
                <w:szCs w:val="16"/>
              </w:rPr>
            </w:pPr>
            <w:r>
              <w:rPr>
                <w:sz w:val="16"/>
                <w:szCs w:val="16"/>
              </w:rPr>
              <w:t>(</w:t>
            </w:r>
            <w:r w:rsidR="00434CFB">
              <w:rPr>
                <w:sz w:val="16"/>
                <w:szCs w:val="16"/>
              </w:rPr>
              <w:t>1.80</w:t>
            </w:r>
            <w:r>
              <w:rPr>
                <w:sz w:val="16"/>
                <w:szCs w:val="16"/>
              </w:rPr>
              <w:t>-</w:t>
            </w:r>
            <w:r w:rsidR="00434CFB">
              <w:rPr>
                <w:sz w:val="16"/>
                <w:szCs w:val="16"/>
              </w:rPr>
              <w:t>1.92</w:t>
            </w:r>
            <w:r>
              <w:rPr>
                <w:sz w:val="16"/>
                <w:szCs w:val="16"/>
              </w:rPr>
              <w:t>)</w:t>
            </w:r>
          </w:p>
        </w:tc>
        <w:tc>
          <w:tcPr>
            <w:tcW w:w="1063" w:type="dxa"/>
          </w:tcPr>
          <w:p w14:paraId="45D406BD" w14:textId="77777777" w:rsidR="00434CFB" w:rsidRDefault="00434CFB" w:rsidP="006741F7">
            <w:pPr>
              <w:rPr>
                <w:sz w:val="16"/>
                <w:szCs w:val="16"/>
              </w:rPr>
            </w:pPr>
            <w:r>
              <w:rPr>
                <w:sz w:val="16"/>
                <w:szCs w:val="16"/>
              </w:rPr>
              <w:t>1.73</w:t>
            </w:r>
          </w:p>
          <w:p w14:paraId="72135759" w14:textId="77777777" w:rsidR="00434CFB" w:rsidRPr="004962FE" w:rsidRDefault="006741F7" w:rsidP="006741F7">
            <w:pPr>
              <w:rPr>
                <w:sz w:val="16"/>
                <w:szCs w:val="16"/>
              </w:rPr>
            </w:pPr>
            <w:r>
              <w:rPr>
                <w:sz w:val="16"/>
                <w:szCs w:val="16"/>
              </w:rPr>
              <w:t>(</w:t>
            </w:r>
            <w:r w:rsidR="00434CFB">
              <w:rPr>
                <w:sz w:val="16"/>
                <w:szCs w:val="16"/>
              </w:rPr>
              <w:t>1.68</w:t>
            </w:r>
            <w:r>
              <w:rPr>
                <w:sz w:val="16"/>
                <w:szCs w:val="16"/>
              </w:rPr>
              <w:t>-</w:t>
            </w:r>
            <w:r w:rsidR="00434CFB">
              <w:rPr>
                <w:sz w:val="16"/>
                <w:szCs w:val="16"/>
              </w:rPr>
              <w:t>1.79</w:t>
            </w:r>
            <w:r>
              <w:rPr>
                <w:sz w:val="16"/>
                <w:szCs w:val="16"/>
              </w:rPr>
              <w:t>)</w:t>
            </w:r>
          </w:p>
        </w:tc>
        <w:tc>
          <w:tcPr>
            <w:tcW w:w="1063" w:type="dxa"/>
          </w:tcPr>
          <w:p w14:paraId="6B0AF79A" w14:textId="77777777" w:rsidR="00434CFB" w:rsidRDefault="00434CFB" w:rsidP="006741F7">
            <w:pPr>
              <w:rPr>
                <w:sz w:val="16"/>
                <w:szCs w:val="16"/>
              </w:rPr>
            </w:pPr>
            <w:r>
              <w:rPr>
                <w:sz w:val="16"/>
                <w:szCs w:val="16"/>
              </w:rPr>
              <w:t>1.71</w:t>
            </w:r>
          </w:p>
          <w:p w14:paraId="1EC9BBF8" w14:textId="77777777" w:rsidR="00434CFB" w:rsidRPr="004962FE" w:rsidRDefault="006741F7" w:rsidP="006741F7">
            <w:pPr>
              <w:rPr>
                <w:sz w:val="16"/>
                <w:szCs w:val="16"/>
              </w:rPr>
            </w:pPr>
            <w:r>
              <w:rPr>
                <w:sz w:val="16"/>
                <w:szCs w:val="16"/>
              </w:rPr>
              <w:t>(</w:t>
            </w:r>
            <w:r w:rsidR="00434CFB">
              <w:rPr>
                <w:sz w:val="16"/>
                <w:szCs w:val="16"/>
              </w:rPr>
              <w:t>1.65</w:t>
            </w:r>
            <w:r>
              <w:rPr>
                <w:sz w:val="16"/>
                <w:szCs w:val="16"/>
              </w:rPr>
              <w:t>-</w:t>
            </w:r>
            <w:r w:rsidR="00434CFB">
              <w:rPr>
                <w:sz w:val="16"/>
                <w:szCs w:val="16"/>
              </w:rPr>
              <w:t>1.77</w:t>
            </w:r>
            <w:r>
              <w:rPr>
                <w:sz w:val="16"/>
                <w:szCs w:val="16"/>
              </w:rPr>
              <w:t>)</w:t>
            </w:r>
          </w:p>
        </w:tc>
        <w:tc>
          <w:tcPr>
            <w:tcW w:w="1063" w:type="dxa"/>
          </w:tcPr>
          <w:p w14:paraId="3C3CD7A9" w14:textId="77777777" w:rsidR="00434CFB" w:rsidRDefault="00434CFB" w:rsidP="006741F7">
            <w:pPr>
              <w:rPr>
                <w:sz w:val="16"/>
                <w:szCs w:val="16"/>
              </w:rPr>
            </w:pPr>
            <w:r>
              <w:rPr>
                <w:sz w:val="16"/>
                <w:szCs w:val="16"/>
              </w:rPr>
              <w:t xml:space="preserve">1.58 </w:t>
            </w:r>
          </w:p>
          <w:p w14:paraId="052A3B93" w14:textId="77777777" w:rsidR="00434CFB" w:rsidRPr="004962FE" w:rsidRDefault="006741F7" w:rsidP="006741F7">
            <w:pPr>
              <w:rPr>
                <w:sz w:val="16"/>
                <w:szCs w:val="16"/>
              </w:rPr>
            </w:pPr>
            <w:r>
              <w:rPr>
                <w:sz w:val="16"/>
                <w:szCs w:val="16"/>
              </w:rPr>
              <w:t>(</w:t>
            </w:r>
            <w:r w:rsidR="00434CFB">
              <w:rPr>
                <w:sz w:val="16"/>
                <w:szCs w:val="16"/>
              </w:rPr>
              <w:t>1.53</w:t>
            </w:r>
            <w:r>
              <w:rPr>
                <w:sz w:val="16"/>
                <w:szCs w:val="16"/>
              </w:rPr>
              <w:t>-</w:t>
            </w:r>
            <w:r w:rsidR="00434CFB">
              <w:rPr>
                <w:sz w:val="16"/>
                <w:szCs w:val="16"/>
              </w:rPr>
              <w:t>1.63</w:t>
            </w:r>
            <w:r>
              <w:rPr>
                <w:sz w:val="16"/>
                <w:szCs w:val="16"/>
              </w:rPr>
              <w:t>)</w:t>
            </w:r>
          </w:p>
        </w:tc>
        <w:tc>
          <w:tcPr>
            <w:tcW w:w="1063" w:type="dxa"/>
          </w:tcPr>
          <w:p w14:paraId="403C2D53" w14:textId="77777777" w:rsidR="00434CFB" w:rsidRDefault="00434CFB" w:rsidP="006741F7">
            <w:pPr>
              <w:rPr>
                <w:sz w:val="16"/>
                <w:szCs w:val="16"/>
              </w:rPr>
            </w:pPr>
            <w:r>
              <w:rPr>
                <w:sz w:val="16"/>
                <w:szCs w:val="16"/>
              </w:rPr>
              <w:t xml:space="preserve">1.68 </w:t>
            </w:r>
          </w:p>
          <w:p w14:paraId="5FA3A876" w14:textId="77777777" w:rsidR="00434CFB" w:rsidRPr="004962FE" w:rsidRDefault="006741F7" w:rsidP="006741F7">
            <w:pPr>
              <w:rPr>
                <w:sz w:val="16"/>
                <w:szCs w:val="16"/>
              </w:rPr>
            </w:pPr>
            <w:r>
              <w:rPr>
                <w:sz w:val="16"/>
                <w:szCs w:val="16"/>
              </w:rPr>
              <w:t>(</w:t>
            </w:r>
            <w:r w:rsidR="00434CFB">
              <w:rPr>
                <w:sz w:val="16"/>
                <w:szCs w:val="16"/>
              </w:rPr>
              <w:t>1.62</w:t>
            </w:r>
            <w:r>
              <w:rPr>
                <w:sz w:val="16"/>
                <w:szCs w:val="16"/>
              </w:rPr>
              <w:t>-</w:t>
            </w:r>
            <w:r w:rsidR="00434CFB">
              <w:rPr>
                <w:sz w:val="16"/>
                <w:szCs w:val="16"/>
              </w:rPr>
              <w:t>1.73</w:t>
            </w:r>
            <w:r>
              <w:rPr>
                <w:sz w:val="16"/>
                <w:szCs w:val="16"/>
              </w:rPr>
              <w:t>)</w:t>
            </w:r>
          </w:p>
        </w:tc>
        <w:tc>
          <w:tcPr>
            <w:tcW w:w="1064" w:type="dxa"/>
          </w:tcPr>
          <w:p w14:paraId="24829282" w14:textId="77777777" w:rsidR="00434CFB" w:rsidRDefault="00434CFB" w:rsidP="006741F7">
            <w:pPr>
              <w:rPr>
                <w:sz w:val="16"/>
                <w:szCs w:val="16"/>
              </w:rPr>
            </w:pPr>
            <w:r>
              <w:rPr>
                <w:sz w:val="16"/>
                <w:szCs w:val="16"/>
              </w:rPr>
              <w:t>1.47</w:t>
            </w:r>
          </w:p>
          <w:p w14:paraId="403B3E52" w14:textId="77777777" w:rsidR="00434CFB" w:rsidRPr="004962FE" w:rsidRDefault="006741F7" w:rsidP="006741F7">
            <w:pPr>
              <w:rPr>
                <w:sz w:val="16"/>
                <w:szCs w:val="16"/>
              </w:rPr>
            </w:pPr>
            <w:r>
              <w:rPr>
                <w:sz w:val="16"/>
                <w:szCs w:val="16"/>
              </w:rPr>
              <w:t>(</w:t>
            </w:r>
            <w:r w:rsidR="00434CFB">
              <w:rPr>
                <w:sz w:val="16"/>
                <w:szCs w:val="16"/>
              </w:rPr>
              <w:t>1.43</w:t>
            </w:r>
            <w:r>
              <w:rPr>
                <w:sz w:val="16"/>
                <w:szCs w:val="16"/>
              </w:rPr>
              <w:t>-</w:t>
            </w:r>
            <w:r w:rsidR="00434CFB">
              <w:rPr>
                <w:sz w:val="16"/>
                <w:szCs w:val="16"/>
              </w:rPr>
              <w:t>1.52</w:t>
            </w:r>
            <w:r>
              <w:rPr>
                <w:sz w:val="16"/>
                <w:szCs w:val="16"/>
              </w:rPr>
              <w:t>)</w:t>
            </w:r>
          </w:p>
        </w:tc>
      </w:tr>
    </w:tbl>
    <w:p w14:paraId="1E1DFC01" w14:textId="0EAB2BAA" w:rsidR="006741F7" w:rsidRDefault="00575B06" w:rsidP="00434CFB">
      <w:r>
        <w:t xml:space="preserve">This shows how </w:t>
      </w:r>
      <w:proofErr w:type="gramStart"/>
      <w:r>
        <w:t>risk of admission for the population under the age of 16 vary</w:t>
      </w:r>
      <w:proofErr w:type="gramEnd"/>
      <w:r>
        <w:t xml:space="preserve"> by year and by socioeconomic quintile as measured by the index of multiple deprivations.</w:t>
      </w:r>
    </w:p>
    <w:p w14:paraId="7F597652" w14:textId="77777777" w:rsidR="006741F7" w:rsidRDefault="006741F7" w:rsidP="00434CFB"/>
    <w:p w14:paraId="261D1E54" w14:textId="77777777" w:rsidR="00434CFB" w:rsidRDefault="006741F7" w:rsidP="00434CFB">
      <w:r>
        <w:t>Table 4 – Incidence rate ratios of deaths by socioeconomic status quintile.</w:t>
      </w:r>
    </w:p>
    <w:tbl>
      <w:tblPr>
        <w:tblStyle w:val="TableGrid"/>
        <w:tblW w:w="0" w:type="auto"/>
        <w:tblLook w:val="04A0" w:firstRow="1" w:lastRow="0" w:firstColumn="1" w:lastColumn="0" w:noHBand="0" w:noVBand="1"/>
      </w:tblPr>
      <w:tblGrid>
        <w:gridCol w:w="2376"/>
        <w:gridCol w:w="2268"/>
      </w:tblGrid>
      <w:tr w:rsidR="00434CFB" w14:paraId="6D6FDD2F" w14:textId="77777777" w:rsidTr="006741F7">
        <w:tc>
          <w:tcPr>
            <w:tcW w:w="2376" w:type="dxa"/>
          </w:tcPr>
          <w:p w14:paraId="46213DC7" w14:textId="77777777" w:rsidR="00434CFB" w:rsidRDefault="00434CFB" w:rsidP="006741F7">
            <w:r>
              <w:t>Deprivation Quintile</w:t>
            </w:r>
          </w:p>
        </w:tc>
        <w:tc>
          <w:tcPr>
            <w:tcW w:w="2268" w:type="dxa"/>
          </w:tcPr>
          <w:p w14:paraId="044BDD27" w14:textId="77777777" w:rsidR="00434CFB" w:rsidRDefault="006741F7" w:rsidP="006741F7">
            <w:r>
              <w:t>IRR (</w:t>
            </w:r>
            <w:r w:rsidR="00434CFB">
              <w:t>95% CI</w:t>
            </w:r>
            <w:r>
              <w:t>)</w:t>
            </w:r>
          </w:p>
        </w:tc>
      </w:tr>
      <w:tr w:rsidR="00434CFB" w14:paraId="4F780203" w14:textId="77777777" w:rsidTr="006741F7">
        <w:tc>
          <w:tcPr>
            <w:tcW w:w="2376" w:type="dxa"/>
          </w:tcPr>
          <w:p w14:paraId="778540DE" w14:textId="77777777" w:rsidR="00434CFB" w:rsidRPr="00AA4821" w:rsidRDefault="00434CFB" w:rsidP="006741F7">
            <w:pPr>
              <w:rPr>
                <w:sz w:val="16"/>
                <w:szCs w:val="16"/>
              </w:rPr>
            </w:pPr>
            <w:r w:rsidRPr="00AA4821">
              <w:rPr>
                <w:sz w:val="16"/>
                <w:szCs w:val="16"/>
              </w:rPr>
              <w:t xml:space="preserve">Least deprived </w:t>
            </w:r>
            <w:r w:rsidRPr="00AA4821">
              <w:rPr>
                <w:sz w:val="16"/>
                <w:szCs w:val="16"/>
              </w:rPr>
              <w:br/>
              <w:t>0-20%</w:t>
            </w:r>
          </w:p>
        </w:tc>
        <w:tc>
          <w:tcPr>
            <w:tcW w:w="2268" w:type="dxa"/>
          </w:tcPr>
          <w:p w14:paraId="4E167AF6" w14:textId="77777777" w:rsidR="00434CFB" w:rsidRDefault="00434CFB" w:rsidP="006741F7">
            <w:r>
              <w:t>1.00 (Reference)</w:t>
            </w:r>
          </w:p>
        </w:tc>
      </w:tr>
      <w:tr w:rsidR="00434CFB" w14:paraId="00C7BE2D" w14:textId="77777777" w:rsidTr="006741F7">
        <w:tc>
          <w:tcPr>
            <w:tcW w:w="2376" w:type="dxa"/>
          </w:tcPr>
          <w:p w14:paraId="49F21457" w14:textId="77777777" w:rsidR="00434CFB" w:rsidRPr="00AA4821" w:rsidRDefault="00434CFB" w:rsidP="006741F7">
            <w:pPr>
              <w:rPr>
                <w:sz w:val="16"/>
                <w:szCs w:val="16"/>
              </w:rPr>
            </w:pPr>
            <w:r w:rsidRPr="00AA4821">
              <w:rPr>
                <w:sz w:val="16"/>
                <w:szCs w:val="16"/>
              </w:rPr>
              <w:t>less deprived 20-40%</w:t>
            </w:r>
          </w:p>
        </w:tc>
        <w:tc>
          <w:tcPr>
            <w:tcW w:w="2268" w:type="dxa"/>
          </w:tcPr>
          <w:p w14:paraId="670332FB" w14:textId="77777777" w:rsidR="00434CFB" w:rsidRDefault="006741F7" w:rsidP="006741F7">
            <w:r>
              <w:t>1.26 (0.92-</w:t>
            </w:r>
            <w:r w:rsidR="00434CFB">
              <w:t>1.72</w:t>
            </w:r>
            <w:r>
              <w:t>)</w:t>
            </w:r>
          </w:p>
        </w:tc>
      </w:tr>
      <w:tr w:rsidR="00434CFB" w14:paraId="52C7FB18" w14:textId="77777777" w:rsidTr="006741F7">
        <w:tc>
          <w:tcPr>
            <w:tcW w:w="2376" w:type="dxa"/>
          </w:tcPr>
          <w:p w14:paraId="09D7628C" w14:textId="77777777" w:rsidR="00434CFB" w:rsidRPr="00AA4821" w:rsidRDefault="00434CFB" w:rsidP="006741F7">
            <w:pPr>
              <w:rPr>
                <w:sz w:val="16"/>
                <w:szCs w:val="16"/>
              </w:rPr>
            </w:pPr>
            <w:r w:rsidRPr="00AA4821">
              <w:rPr>
                <w:sz w:val="16"/>
                <w:szCs w:val="16"/>
              </w:rPr>
              <w:t xml:space="preserve">Median Deprived </w:t>
            </w:r>
            <w:r w:rsidRPr="00AA4821">
              <w:rPr>
                <w:sz w:val="16"/>
                <w:szCs w:val="16"/>
              </w:rPr>
              <w:br/>
              <w:t>40-60%</w:t>
            </w:r>
          </w:p>
        </w:tc>
        <w:tc>
          <w:tcPr>
            <w:tcW w:w="2268" w:type="dxa"/>
          </w:tcPr>
          <w:p w14:paraId="26EC500E" w14:textId="77777777" w:rsidR="00434CFB" w:rsidRDefault="006741F7" w:rsidP="006741F7">
            <w:r>
              <w:t>1.26 (0.92-</w:t>
            </w:r>
            <w:r w:rsidR="00434CFB">
              <w:t>1.72</w:t>
            </w:r>
            <w:r>
              <w:t>)</w:t>
            </w:r>
          </w:p>
        </w:tc>
      </w:tr>
      <w:tr w:rsidR="00434CFB" w14:paraId="230D451B" w14:textId="77777777" w:rsidTr="006741F7">
        <w:tc>
          <w:tcPr>
            <w:tcW w:w="2376" w:type="dxa"/>
          </w:tcPr>
          <w:p w14:paraId="5CF8AD48" w14:textId="77777777" w:rsidR="00434CFB" w:rsidRPr="00AA4821" w:rsidRDefault="00434CFB" w:rsidP="006741F7">
            <w:pPr>
              <w:rPr>
                <w:sz w:val="16"/>
                <w:szCs w:val="16"/>
              </w:rPr>
            </w:pPr>
            <w:r w:rsidRPr="00AA4821">
              <w:rPr>
                <w:sz w:val="16"/>
                <w:szCs w:val="16"/>
              </w:rPr>
              <w:t xml:space="preserve">More deprived </w:t>
            </w:r>
            <w:r w:rsidRPr="00AA4821">
              <w:rPr>
                <w:sz w:val="16"/>
                <w:szCs w:val="16"/>
              </w:rPr>
              <w:br/>
              <w:t>60-80%</w:t>
            </w:r>
          </w:p>
        </w:tc>
        <w:tc>
          <w:tcPr>
            <w:tcW w:w="2268" w:type="dxa"/>
          </w:tcPr>
          <w:p w14:paraId="4B1C9858" w14:textId="77777777" w:rsidR="00434CFB" w:rsidRDefault="006741F7" w:rsidP="006741F7">
            <w:r>
              <w:t>1.60 (1.19-</w:t>
            </w:r>
            <w:r w:rsidR="00434CFB">
              <w:t>2.15</w:t>
            </w:r>
            <w:r>
              <w:t>)</w:t>
            </w:r>
          </w:p>
        </w:tc>
      </w:tr>
      <w:tr w:rsidR="00434CFB" w14:paraId="63940590" w14:textId="77777777" w:rsidTr="006741F7">
        <w:tc>
          <w:tcPr>
            <w:tcW w:w="2376" w:type="dxa"/>
          </w:tcPr>
          <w:p w14:paraId="4F20EE2E" w14:textId="77777777" w:rsidR="00434CFB" w:rsidRPr="00AA4821" w:rsidRDefault="00434CFB" w:rsidP="006741F7">
            <w:pPr>
              <w:rPr>
                <w:sz w:val="16"/>
                <w:szCs w:val="16"/>
              </w:rPr>
            </w:pPr>
            <w:r w:rsidRPr="00AA4821">
              <w:rPr>
                <w:sz w:val="16"/>
                <w:szCs w:val="16"/>
              </w:rPr>
              <w:t xml:space="preserve">Most deprived </w:t>
            </w:r>
            <w:r w:rsidRPr="00AA4821">
              <w:rPr>
                <w:sz w:val="16"/>
                <w:szCs w:val="16"/>
              </w:rPr>
              <w:br/>
              <w:t xml:space="preserve">80-100% </w:t>
            </w:r>
          </w:p>
        </w:tc>
        <w:tc>
          <w:tcPr>
            <w:tcW w:w="2268" w:type="dxa"/>
          </w:tcPr>
          <w:p w14:paraId="3D5E3E97" w14:textId="77777777" w:rsidR="00434CFB" w:rsidRDefault="006741F7" w:rsidP="006741F7">
            <w:r>
              <w:t>2.31 (1.77-</w:t>
            </w:r>
            <w:r w:rsidR="00434CFB">
              <w:t>3.02</w:t>
            </w:r>
            <w:r>
              <w:t>)</w:t>
            </w:r>
          </w:p>
        </w:tc>
      </w:tr>
    </w:tbl>
    <w:p w14:paraId="40A655EE" w14:textId="57B6D17A" w:rsidR="00575B06" w:rsidRDefault="00575B06" w:rsidP="00575B06">
      <w:r>
        <w:t xml:space="preserve">This shows how </w:t>
      </w:r>
      <w:proofErr w:type="gramStart"/>
      <w:r>
        <w:t>risk of death for the population under the age of 16 vary</w:t>
      </w:r>
      <w:proofErr w:type="gramEnd"/>
      <w:r>
        <w:t xml:space="preserve"> by socioeconomic quintile as measured by the index of multiple deprivations.  There was no significant interaction with risk of death by year.</w:t>
      </w:r>
    </w:p>
    <w:p w14:paraId="483B6586" w14:textId="77777777" w:rsidR="00434CFB" w:rsidRDefault="00434CFB" w:rsidP="00062252">
      <w:pPr>
        <w:spacing w:line="360" w:lineRule="auto"/>
      </w:pPr>
    </w:p>
    <w:sectPr w:rsidR="00434CFB" w:rsidSect="002750E4">
      <w:endnotePr>
        <w:numFmt w:val="decimal"/>
      </w:endnotePr>
      <w:pgSz w:w="11906" w:h="16838"/>
      <w:pgMar w:top="1440" w:right="991" w:bottom="1440" w:left="1440"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B2AC42" w15:done="0"/>
  <w15:commentEx w15:paraId="46872D01" w15:done="0"/>
  <w15:commentEx w15:paraId="4AD64EB6" w15:done="0"/>
  <w15:commentEx w15:paraId="34042CF8" w15:done="0"/>
  <w15:commentEx w15:paraId="1A9683AC" w15:done="0"/>
  <w15:commentEx w15:paraId="1B461203" w15:done="0"/>
  <w15:commentEx w15:paraId="62569C0F" w15:done="0"/>
  <w15:commentEx w15:paraId="79DC463B" w15:done="0"/>
  <w15:commentEx w15:paraId="6A2DBD3A" w15:done="0"/>
  <w15:commentEx w15:paraId="48965E16" w15:done="0"/>
  <w15:commentEx w15:paraId="77C1467D" w15:done="0"/>
  <w15:commentEx w15:paraId="4CBA233E" w15:done="0"/>
  <w15:commentEx w15:paraId="1BE6E8DA" w15:done="0"/>
  <w15:commentEx w15:paraId="047FB92F" w15:done="0"/>
  <w15:commentEx w15:paraId="32EFE637" w15:done="0"/>
  <w15:commentEx w15:paraId="385F90EA" w15:done="0"/>
  <w15:commentEx w15:paraId="45473F0B" w15:done="0"/>
  <w15:commentEx w15:paraId="1950FC2E" w15:done="0"/>
  <w15:commentEx w15:paraId="3E616EA9" w15:done="0"/>
  <w15:commentEx w15:paraId="0034CA5B" w15:done="0"/>
  <w15:commentEx w15:paraId="0443AA14" w15:done="0"/>
  <w15:commentEx w15:paraId="67230998" w15:done="0"/>
  <w15:commentEx w15:paraId="4597E8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2E453" w14:textId="77777777" w:rsidR="005E6882" w:rsidRDefault="005E6882" w:rsidP="00445DA1">
      <w:pPr>
        <w:spacing w:after="0" w:line="240" w:lineRule="auto"/>
      </w:pPr>
      <w:r>
        <w:separator/>
      </w:r>
    </w:p>
  </w:endnote>
  <w:endnote w:type="continuationSeparator" w:id="0">
    <w:p w14:paraId="2192955E" w14:textId="77777777" w:rsidR="005E6882" w:rsidRDefault="005E6882" w:rsidP="0044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ECEEA" w14:textId="77777777" w:rsidR="005E6882" w:rsidRDefault="005E6882" w:rsidP="00445DA1">
      <w:pPr>
        <w:spacing w:after="0" w:line="240" w:lineRule="auto"/>
      </w:pPr>
      <w:r>
        <w:separator/>
      </w:r>
    </w:p>
  </w:footnote>
  <w:footnote w:type="continuationSeparator" w:id="0">
    <w:p w14:paraId="295CC074" w14:textId="77777777" w:rsidR="005E6882" w:rsidRDefault="005E6882" w:rsidP="00445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355"/>
    <w:multiLevelType w:val="hybridMultilevel"/>
    <w:tmpl w:val="59B2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E220D5"/>
    <w:multiLevelType w:val="hybridMultilevel"/>
    <w:tmpl w:val="EAD44D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502782"/>
    <w:multiLevelType w:val="hybridMultilevel"/>
    <w:tmpl w:val="CB56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 Mytton">
    <w15:presenceInfo w15:providerId="AD" w15:userId="S-1-5-21-1117850145-1682116191-196506527-157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B2"/>
    <w:rsid w:val="00000F5B"/>
    <w:rsid w:val="000015EF"/>
    <w:rsid w:val="00006493"/>
    <w:rsid w:val="00016EDC"/>
    <w:rsid w:val="00017D23"/>
    <w:rsid w:val="00021E03"/>
    <w:rsid w:val="000237B3"/>
    <w:rsid w:val="00026143"/>
    <w:rsid w:val="00026FA8"/>
    <w:rsid w:val="00036A88"/>
    <w:rsid w:val="00042BD9"/>
    <w:rsid w:val="00060BFA"/>
    <w:rsid w:val="00062252"/>
    <w:rsid w:val="00065E7F"/>
    <w:rsid w:val="000670CB"/>
    <w:rsid w:val="00074359"/>
    <w:rsid w:val="00074EE1"/>
    <w:rsid w:val="00076E20"/>
    <w:rsid w:val="00082605"/>
    <w:rsid w:val="00082D83"/>
    <w:rsid w:val="00082ED3"/>
    <w:rsid w:val="00086F52"/>
    <w:rsid w:val="000916F5"/>
    <w:rsid w:val="00094D6B"/>
    <w:rsid w:val="000A114B"/>
    <w:rsid w:val="000A4B45"/>
    <w:rsid w:val="000A4E4B"/>
    <w:rsid w:val="000A6818"/>
    <w:rsid w:val="000A79E8"/>
    <w:rsid w:val="000B20C2"/>
    <w:rsid w:val="000B5519"/>
    <w:rsid w:val="000D53F4"/>
    <w:rsid w:val="000E5F33"/>
    <w:rsid w:val="000F0026"/>
    <w:rsid w:val="000F1234"/>
    <w:rsid w:val="00100F98"/>
    <w:rsid w:val="001107DF"/>
    <w:rsid w:val="00112C03"/>
    <w:rsid w:val="00114E84"/>
    <w:rsid w:val="001243BD"/>
    <w:rsid w:val="00124497"/>
    <w:rsid w:val="00124A0D"/>
    <w:rsid w:val="00126620"/>
    <w:rsid w:val="00132B63"/>
    <w:rsid w:val="001332A1"/>
    <w:rsid w:val="00145E91"/>
    <w:rsid w:val="001503C6"/>
    <w:rsid w:val="0015048C"/>
    <w:rsid w:val="001623B4"/>
    <w:rsid w:val="001650C0"/>
    <w:rsid w:val="00172F50"/>
    <w:rsid w:val="001745E7"/>
    <w:rsid w:val="00174852"/>
    <w:rsid w:val="00180B3B"/>
    <w:rsid w:val="0018403C"/>
    <w:rsid w:val="001857D5"/>
    <w:rsid w:val="001862CB"/>
    <w:rsid w:val="00191F90"/>
    <w:rsid w:val="00196993"/>
    <w:rsid w:val="001A32D1"/>
    <w:rsid w:val="001A3AAF"/>
    <w:rsid w:val="001A6736"/>
    <w:rsid w:val="001B01B2"/>
    <w:rsid w:val="001B2644"/>
    <w:rsid w:val="001B59EF"/>
    <w:rsid w:val="001B5AAA"/>
    <w:rsid w:val="001C1370"/>
    <w:rsid w:val="001C5EDA"/>
    <w:rsid w:val="001C64F5"/>
    <w:rsid w:val="001E1DD2"/>
    <w:rsid w:val="001E2634"/>
    <w:rsid w:val="001E4F6A"/>
    <w:rsid w:val="001E7F6A"/>
    <w:rsid w:val="001F3032"/>
    <w:rsid w:val="00201317"/>
    <w:rsid w:val="00205AAF"/>
    <w:rsid w:val="00205DDF"/>
    <w:rsid w:val="00206B74"/>
    <w:rsid w:val="00213AEB"/>
    <w:rsid w:val="0022631E"/>
    <w:rsid w:val="002371A0"/>
    <w:rsid w:val="00241240"/>
    <w:rsid w:val="002423AD"/>
    <w:rsid w:val="00256003"/>
    <w:rsid w:val="00263B3F"/>
    <w:rsid w:val="00265D79"/>
    <w:rsid w:val="00270579"/>
    <w:rsid w:val="002750E4"/>
    <w:rsid w:val="00283B4F"/>
    <w:rsid w:val="002862E0"/>
    <w:rsid w:val="00286621"/>
    <w:rsid w:val="00294253"/>
    <w:rsid w:val="00295DE7"/>
    <w:rsid w:val="00296051"/>
    <w:rsid w:val="002A5F8F"/>
    <w:rsid w:val="002A70CC"/>
    <w:rsid w:val="002C098A"/>
    <w:rsid w:val="002C2C96"/>
    <w:rsid w:val="002C43BB"/>
    <w:rsid w:val="002C631D"/>
    <w:rsid w:val="002D375D"/>
    <w:rsid w:val="002D3872"/>
    <w:rsid w:val="002D70AF"/>
    <w:rsid w:val="002E315F"/>
    <w:rsid w:val="002E6A45"/>
    <w:rsid w:val="002F493C"/>
    <w:rsid w:val="002F736C"/>
    <w:rsid w:val="0030164B"/>
    <w:rsid w:val="00304AC3"/>
    <w:rsid w:val="0030616E"/>
    <w:rsid w:val="00310AD3"/>
    <w:rsid w:val="00310B9A"/>
    <w:rsid w:val="00315B02"/>
    <w:rsid w:val="00317535"/>
    <w:rsid w:val="003208EA"/>
    <w:rsid w:val="00327AAE"/>
    <w:rsid w:val="0033437A"/>
    <w:rsid w:val="00343194"/>
    <w:rsid w:val="00346D4E"/>
    <w:rsid w:val="003505BF"/>
    <w:rsid w:val="003619E5"/>
    <w:rsid w:val="003734E5"/>
    <w:rsid w:val="00377832"/>
    <w:rsid w:val="003841B0"/>
    <w:rsid w:val="00384DF8"/>
    <w:rsid w:val="0039397E"/>
    <w:rsid w:val="00395744"/>
    <w:rsid w:val="0039742A"/>
    <w:rsid w:val="003A3251"/>
    <w:rsid w:val="003A699B"/>
    <w:rsid w:val="003B271D"/>
    <w:rsid w:val="003C02DA"/>
    <w:rsid w:val="003C4B09"/>
    <w:rsid w:val="003C7377"/>
    <w:rsid w:val="003E01FB"/>
    <w:rsid w:val="003E0B50"/>
    <w:rsid w:val="003E5888"/>
    <w:rsid w:val="003F0917"/>
    <w:rsid w:val="003F156A"/>
    <w:rsid w:val="00402758"/>
    <w:rsid w:val="00402F55"/>
    <w:rsid w:val="0040546D"/>
    <w:rsid w:val="00417584"/>
    <w:rsid w:val="00417638"/>
    <w:rsid w:val="00420B35"/>
    <w:rsid w:val="00420EAC"/>
    <w:rsid w:val="004309CA"/>
    <w:rsid w:val="0043166E"/>
    <w:rsid w:val="00434CFB"/>
    <w:rsid w:val="004400D2"/>
    <w:rsid w:val="00440FA1"/>
    <w:rsid w:val="00441908"/>
    <w:rsid w:val="00445DA1"/>
    <w:rsid w:val="004521E9"/>
    <w:rsid w:val="0046483E"/>
    <w:rsid w:val="0047154B"/>
    <w:rsid w:val="00472F7D"/>
    <w:rsid w:val="0047568D"/>
    <w:rsid w:val="004831A5"/>
    <w:rsid w:val="00483380"/>
    <w:rsid w:val="004848E1"/>
    <w:rsid w:val="0048599A"/>
    <w:rsid w:val="00487EFF"/>
    <w:rsid w:val="00494304"/>
    <w:rsid w:val="00496484"/>
    <w:rsid w:val="00496AA8"/>
    <w:rsid w:val="004A0D0B"/>
    <w:rsid w:val="004A4ED0"/>
    <w:rsid w:val="004A532C"/>
    <w:rsid w:val="004B130C"/>
    <w:rsid w:val="004B253C"/>
    <w:rsid w:val="004B33A7"/>
    <w:rsid w:val="004B41D6"/>
    <w:rsid w:val="004B5D44"/>
    <w:rsid w:val="004C38ED"/>
    <w:rsid w:val="004D3276"/>
    <w:rsid w:val="004D5BC5"/>
    <w:rsid w:val="004E46F5"/>
    <w:rsid w:val="004E7A44"/>
    <w:rsid w:val="004F1E09"/>
    <w:rsid w:val="004F2D29"/>
    <w:rsid w:val="005029AA"/>
    <w:rsid w:val="00503186"/>
    <w:rsid w:val="00512B2A"/>
    <w:rsid w:val="005210C1"/>
    <w:rsid w:val="00525CD1"/>
    <w:rsid w:val="0053380C"/>
    <w:rsid w:val="005360BB"/>
    <w:rsid w:val="00536481"/>
    <w:rsid w:val="0054020A"/>
    <w:rsid w:val="005409B9"/>
    <w:rsid w:val="00543AAC"/>
    <w:rsid w:val="00545E4B"/>
    <w:rsid w:val="0055218F"/>
    <w:rsid w:val="005542BD"/>
    <w:rsid w:val="005606F1"/>
    <w:rsid w:val="00561835"/>
    <w:rsid w:val="005679F8"/>
    <w:rsid w:val="00567F98"/>
    <w:rsid w:val="00570386"/>
    <w:rsid w:val="0057561E"/>
    <w:rsid w:val="00575B06"/>
    <w:rsid w:val="00576728"/>
    <w:rsid w:val="00582438"/>
    <w:rsid w:val="0059177B"/>
    <w:rsid w:val="00591811"/>
    <w:rsid w:val="005952A1"/>
    <w:rsid w:val="0059576A"/>
    <w:rsid w:val="00595A2B"/>
    <w:rsid w:val="00597ED1"/>
    <w:rsid w:val="005B1FA3"/>
    <w:rsid w:val="005B296A"/>
    <w:rsid w:val="005B6609"/>
    <w:rsid w:val="005C1140"/>
    <w:rsid w:val="005C487C"/>
    <w:rsid w:val="005C596F"/>
    <w:rsid w:val="005D3D44"/>
    <w:rsid w:val="005D46EE"/>
    <w:rsid w:val="005D5437"/>
    <w:rsid w:val="005D5598"/>
    <w:rsid w:val="005E6882"/>
    <w:rsid w:val="005E7F1A"/>
    <w:rsid w:val="005F044E"/>
    <w:rsid w:val="005F2D6C"/>
    <w:rsid w:val="005F537A"/>
    <w:rsid w:val="005F6A50"/>
    <w:rsid w:val="005F6AFA"/>
    <w:rsid w:val="006030F1"/>
    <w:rsid w:val="00604533"/>
    <w:rsid w:val="00604862"/>
    <w:rsid w:val="00611CDA"/>
    <w:rsid w:val="00622EC0"/>
    <w:rsid w:val="00624889"/>
    <w:rsid w:val="00630E2C"/>
    <w:rsid w:val="006325D5"/>
    <w:rsid w:val="006408CC"/>
    <w:rsid w:val="006434C7"/>
    <w:rsid w:val="00647463"/>
    <w:rsid w:val="006525F9"/>
    <w:rsid w:val="00652C9A"/>
    <w:rsid w:val="0065362A"/>
    <w:rsid w:val="00654AE6"/>
    <w:rsid w:val="006573E8"/>
    <w:rsid w:val="00665D77"/>
    <w:rsid w:val="0066608C"/>
    <w:rsid w:val="00666825"/>
    <w:rsid w:val="00666ACE"/>
    <w:rsid w:val="00671563"/>
    <w:rsid w:val="00674040"/>
    <w:rsid w:val="006741F7"/>
    <w:rsid w:val="0067756B"/>
    <w:rsid w:val="006838A5"/>
    <w:rsid w:val="00687C80"/>
    <w:rsid w:val="00687F7A"/>
    <w:rsid w:val="006904BF"/>
    <w:rsid w:val="0069345F"/>
    <w:rsid w:val="006935F6"/>
    <w:rsid w:val="0069609F"/>
    <w:rsid w:val="006963B4"/>
    <w:rsid w:val="006A1BE0"/>
    <w:rsid w:val="006A3648"/>
    <w:rsid w:val="006B3128"/>
    <w:rsid w:val="006B6408"/>
    <w:rsid w:val="006C1017"/>
    <w:rsid w:val="006C1859"/>
    <w:rsid w:val="006C2FC9"/>
    <w:rsid w:val="006C787D"/>
    <w:rsid w:val="006D6D99"/>
    <w:rsid w:val="006E354A"/>
    <w:rsid w:val="006E3567"/>
    <w:rsid w:val="006E410B"/>
    <w:rsid w:val="006E4506"/>
    <w:rsid w:val="006F3B67"/>
    <w:rsid w:val="006F4FC7"/>
    <w:rsid w:val="006F5FA6"/>
    <w:rsid w:val="006F7013"/>
    <w:rsid w:val="007047EA"/>
    <w:rsid w:val="00705132"/>
    <w:rsid w:val="00706A38"/>
    <w:rsid w:val="007138FD"/>
    <w:rsid w:val="00714268"/>
    <w:rsid w:val="00714ECF"/>
    <w:rsid w:val="00720013"/>
    <w:rsid w:val="0072181C"/>
    <w:rsid w:val="00722A83"/>
    <w:rsid w:val="0072653C"/>
    <w:rsid w:val="00727433"/>
    <w:rsid w:val="0073488E"/>
    <w:rsid w:val="00735827"/>
    <w:rsid w:val="00736FB0"/>
    <w:rsid w:val="007506F7"/>
    <w:rsid w:val="00763911"/>
    <w:rsid w:val="0076436C"/>
    <w:rsid w:val="00770223"/>
    <w:rsid w:val="00773BDC"/>
    <w:rsid w:val="00781A3B"/>
    <w:rsid w:val="00783114"/>
    <w:rsid w:val="00791750"/>
    <w:rsid w:val="00792143"/>
    <w:rsid w:val="007B2816"/>
    <w:rsid w:val="007B3A61"/>
    <w:rsid w:val="007C424A"/>
    <w:rsid w:val="007D1D18"/>
    <w:rsid w:val="007D55F7"/>
    <w:rsid w:val="007D5631"/>
    <w:rsid w:val="007D597F"/>
    <w:rsid w:val="007D66A3"/>
    <w:rsid w:val="007D6FE2"/>
    <w:rsid w:val="007D71A6"/>
    <w:rsid w:val="007E2AE6"/>
    <w:rsid w:val="007E56A8"/>
    <w:rsid w:val="007F14D1"/>
    <w:rsid w:val="00800CEB"/>
    <w:rsid w:val="008033A8"/>
    <w:rsid w:val="00805E2A"/>
    <w:rsid w:val="008117FE"/>
    <w:rsid w:val="00814AD3"/>
    <w:rsid w:val="00820AE4"/>
    <w:rsid w:val="008259F1"/>
    <w:rsid w:val="0083472B"/>
    <w:rsid w:val="00836CB3"/>
    <w:rsid w:val="00847F1D"/>
    <w:rsid w:val="008574B4"/>
    <w:rsid w:val="00860729"/>
    <w:rsid w:val="00862226"/>
    <w:rsid w:val="00866997"/>
    <w:rsid w:val="00871185"/>
    <w:rsid w:val="00871476"/>
    <w:rsid w:val="008822B6"/>
    <w:rsid w:val="00894484"/>
    <w:rsid w:val="00897DE0"/>
    <w:rsid w:val="008A507F"/>
    <w:rsid w:val="008A5862"/>
    <w:rsid w:val="008A778E"/>
    <w:rsid w:val="008A7F79"/>
    <w:rsid w:val="008C28CC"/>
    <w:rsid w:val="008C60AF"/>
    <w:rsid w:val="008C7996"/>
    <w:rsid w:val="008D4A69"/>
    <w:rsid w:val="008E0D56"/>
    <w:rsid w:val="008F332E"/>
    <w:rsid w:val="008F746E"/>
    <w:rsid w:val="009054A7"/>
    <w:rsid w:val="00913401"/>
    <w:rsid w:val="00923DA7"/>
    <w:rsid w:val="009314ED"/>
    <w:rsid w:val="00931522"/>
    <w:rsid w:val="0093282A"/>
    <w:rsid w:val="00934A73"/>
    <w:rsid w:val="00937586"/>
    <w:rsid w:val="00940FCA"/>
    <w:rsid w:val="00942B27"/>
    <w:rsid w:val="00947567"/>
    <w:rsid w:val="0095032B"/>
    <w:rsid w:val="0096091D"/>
    <w:rsid w:val="00961950"/>
    <w:rsid w:val="00961983"/>
    <w:rsid w:val="009640A2"/>
    <w:rsid w:val="009643B9"/>
    <w:rsid w:val="00970005"/>
    <w:rsid w:val="00972AAD"/>
    <w:rsid w:val="00972C82"/>
    <w:rsid w:val="009764D6"/>
    <w:rsid w:val="00977333"/>
    <w:rsid w:val="00977C95"/>
    <w:rsid w:val="009932C4"/>
    <w:rsid w:val="00995636"/>
    <w:rsid w:val="009A2C69"/>
    <w:rsid w:val="009A32FA"/>
    <w:rsid w:val="009C33FE"/>
    <w:rsid w:val="009C508F"/>
    <w:rsid w:val="009D12F1"/>
    <w:rsid w:val="009D57B2"/>
    <w:rsid w:val="009E664E"/>
    <w:rsid w:val="009E7C0B"/>
    <w:rsid w:val="00A04D85"/>
    <w:rsid w:val="00A0507D"/>
    <w:rsid w:val="00A16AA3"/>
    <w:rsid w:val="00A218FC"/>
    <w:rsid w:val="00A26845"/>
    <w:rsid w:val="00A35FA0"/>
    <w:rsid w:val="00A40628"/>
    <w:rsid w:val="00A4242E"/>
    <w:rsid w:val="00A43C30"/>
    <w:rsid w:val="00A46A5D"/>
    <w:rsid w:val="00A51E94"/>
    <w:rsid w:val="00A537EC"/>
    <w:rsid w:val="00A5544A"/>
    <w:rsid w:val="00A55B9D"/>
    <w:rsid w:val="00A6183E"/>
    <w:rsid w:val="00A6440E"/>
    <w:rsid w:val="00A6602D"/>
    <w:rsid w:val="00A715D9"/>
    <w:rsid w:val="00A73EED"/>
    <w:rsid w:val="00A80F30"/>
    <w:rsid w:val="00A83C72"/>
    <w:rsid w:val="00A84692"/>
    <w:rsid w:val="00A90776"/>
    <w:rsid w:val="00A91883"/>
    <w:rsid w:val="00A97C93"/>
    <w:rsid w:val="00AA4821"/>
    <w:rsid w:val="00AB6F65"/>
    <w:rsid w:val="00AC19A7"/>
    <w:rsid w:val="00AC4F90"/>
    <w:rsid w:val="00AC5BCB"/>
    <w:rsid w:val="00AD1761"/>
    <w:rsid w:val="00AD1B3F"/>
    <w:rsid w:val="00AD24A3"/>
    <w:rsid w:val="00AD7FA7"/>
    <w:rsid w:val="00AE0F8C"/>
    <w:rsid w:val="00AE4C12"/>
    <w:rsid w:val="00AF7A20"/>
    <w:rsid w:val="00B0055A"/>
    <w:rsid w:val="00B011AB"/>
    <w:rsid w:val="00B0592F"/>
    <w:rsid w:val="00B05A33"/>
    <w:rsid w:val="00B17557"/>
    <w:rsid w:val="00B41673"/>
    <w:rsid w:val="00B4287A"/>
    <w:rsid w:val="00B4492E"/>
    <w:rsid w:val="00B47A09"/>
    <w:rsid w:val="00B505B3"/>
    <w:rsid w:val="00B52443"/>
    <w:rsid w:val="00B532D6"/>
    <w:rsid w:val="00B53362"/>
    <w:rsid w:val="00B54807"/>
    <w:rsid w:val="00B55F80"/>
    <w:rsid w:val="00B63F12"/>
    <w:rsid w:val="00B64946"/>
    <w:rsid w:val="00B676A1"/>
    <w:rsid w:val="00B71CAF"/>
    <w:rsid w:val="00B7306C"/>
    <w:rsid w:val="00B73E89"/>
    <w:rsid w:val="00B752FF"/>
    <w:rsid w:val="00B849AA"/>
    <w:rsid w:val="00B93153"/>
    <w:rsid w:val="00B93B34"/>
    <w:rsid w:val="00B97EF9"/>
    <w:rsid w:val="00BA0A09"/>
    <w:rsid w:val="00BB4965"/>
    <w:rsid w:val="00BB548B"/>
    <w:rsid w:val="00BB65B2"/>
    <w:rsid w:val="00BB7048"/>
    <w:rsid w:val="00BB7312"/>
    <w:rsid w:val="00BD2238"/>
    <w:rsid w:val="00BD3C42"/>
    <w:rsid w:val="00BE7951"/>
    <w:rsid w:val="00BE7AC6"/>
    <w:rsid w:val="00BF0718"/>
    <w:rsid w:val="00BF18AA"/>
    <w:rsid w:val="00BF488D"/>
    <w:rsid w:val="00BF55A5"/>
    <w:rsid w:val="00BF6C94"/>
    <w:rsid w:val="00C01A71"/>
    <w:rsid w:val="00C04B5A"/>
    <w:rsid w:val="00C06DD2"/>
    <w:rsid w:val="00C10A9D"/>
    <w:rsid w:val="00C20750"/>
    <w:rsid w:val="00C209E2"/>
    <w:rsid w:val="00C21B82"/>
    <w:rsid w:val="00C2493F"/>
    <w:rsid w:val="00C32409"/>
    <w:rsid w:val="00C339E7"/>
    <w:rsid w:val="00C36013"/>
    <w:rsid w:val="00C379F0"/>
    <w:rsid w:val="00C46D68"/>
    <w:rsid w:val="00C5536F"/>
    <w:rsid w:val="00C5635F"/>
    <w:rsid w:val="00C626DF"/>
    <w:rsid w:val="00C7152E"/>
    <w:rsid w:val="00C73C42"/>
    <w:rsid w:val="00C76F22"/>
    <w:rsid w:val="00C82017"/>
    <w:rsid w:val="00C85DB1"/>
    <w:rsid w:val="00C917CD"/>
    <w:rsid w:val="00C9202F"/>
    <w:rsid w:val="00C9526A"/>
    <w:rsid w:val="00CA5604"/>
    <w:rsid w:val="00CA69BA"/>
    <w:rsid w:val="00CB1C9D"/>
    <w:rsid w:val="00CB20D4"/>
    <w:rsid w:val="00CB330E"/>
    <w:rsid w:val="00CB4C59"/>
    <w:rsid w:val="00CB5B48"/>
    <w:rsid w:val="00CC5806"/>
    <w:rsid w:val="00CC5EFA"/>
    <w:rsid w:val="00CC62B4"/>
    <w:rsid w:val="00CD366A"/>
    <w:rsid w:val="00CD7A93"/>
    <w:rsid w:val="00CE0680"/>
    <w:rsid w:val="00CE4B75"/>
    <w:rsid w:val="00CF2318"/>
    <w:rsid w:val="00CF58BC"/>
    <w:rsid w:val="00D00EEA"/>
    <w:rsid w:val="00D01CCA"/>
    <w:rsid w:val="00D03BCD"/>
    <w:rsid w:val="00D06371"/>
    <w:rsid w:val="00D072F1"/>
    <w:rsid w:val="00D1036A"/>
    <w:rsid w:val="00D17148"/>
    <w:rsid w:val="00D1794D"/>
    <w:rsid w:val="00D23350"/>
    <w:rsid w:val="00D23554"/>
    <w:rsid w:val="00D27C86"/>
    <w:rsid w:val="00D370C7"/>
    <w:rsid w:val="00D40D41"/>
    <w:rsid w:val="00D45BC0"/>
    <w:rsid w:val="00D47C9C"/>
    <w:rsid w:val="00D55721"/>
    <w:rsid w:val="00D56DA5"/>
    <w:rsid w:val="00D641A6"/>
    <w:rsid w:val="00D641F8"/>
    <w:rsid w:val="00D667B2"/>
    <w:rsid w:val="00D67CA3"/>
    <w:rsid w:val="00D71DFF"/>
    <w:rsid w:val="00D75EDE"/>
    <w:rsid w:val="00D7724A"/>
    <w:rsid w:val="00D81AD8"/>
    <w:rsid w:val="00D83ACC"/>
    <w:rsid w:val="00D86413"/>
    <w:rsid w:val="00D8656A"/>
    <w:rsid w:val="00D86BD4"/>
    <w:rsid w:val="00D93066"/>
    <w:rsid w:val="00DA2230"/>
    <w:rsid w:val="00DA454D"/>
    <w:rsid w:val="00DA78ED"/>
    <w:rsid w:val="00DB345F"/>
    <w:rsid w:val="00DB3E86"/>
    <w:rsid w:val="00DB621D"/>
    <w:rsid w:val="00DC634C"/>
    <w:rsid w:val="00DC78C9"/>
    <w:rsid w:val="00DC7F0C"/>
    <w:rsid w:val="00DD4F2D"/>
    <w:rsid w:val="00DE01D1"/>
    <w:rsid w:val="00DE1EAC"/>
    <w:rsid w:val="00DE3E45"/>
    <w:rsid w:val="00DE5E7F"/>
    <w:rsid w:val="00DF6A61"/>
    <w:rsid w:val="00E00385"/>
    <w:rsid w:val="00E056F0"/>
    <w:rsid w:val="00E05C8B"/>
    <w:rsid w:val="00E060D3"/>
    <w:rsid w:val="00E11786"/>
    <w:rsid w:val="00E15399"/>
    <w:rsid w:val="00E220C8"/>
    <w:rsid w:val="00E262BF"/>
    <w:rsid w:val="00E30930"/>
    <w:rsid w:val="00E324BD"/>
    <w:rsid w:val="00E33C0F"/>
    <w:rsid w:val="00E3483F"/>
    <w:rsid w:val="00E42A5A"/>
    <w:rsid w:val="00E44D77"/>
    <w:rsid w:val="00E5130B"/>
    <w:rsid w:val="00E54417"/>
    <w:rsid w:val="00E54833"/>
    <w:rsid w:val="00E629AA"/>
    <w:rsid w:val="00E65738"/>
    <w:rsid w:val="00E71A87"/>
    <w:rsid w:val="00E73233"/>
    <w:rsid w:val="00E751CD"/>
    <w:rsid w:val="00E7540B"/>
    <w:rsid w:val="00E768FE"/>
    <w:rsid w:val="00E76EBA"/>
    <w:rsid w:val="00E77014"/>
    <w:rsid w:val="00E801A4"/>
    <w:rsid w:val="00E83A52"/>
    <w:rsid w:val="00E858E1"/>
    <w:rsid w:val="00E862F1"/>
    <w:rsid w:val="00E94CC1"/>
    <w:rsid w:val="00E97D53"/>
    <w:rsid w:val="00EA3547"/>
    <w:rsid w:val="00EA5BAD"/>
    <w:rsid w:val="00EB1637"/>
    <w:rsid w:val="00EB306A"/>
    <w:rsid w:val="00EB3FE5"/>
    <w:rsid w:val="00EB4812"/>
    <w:rsid w:val="00EB714F"/>
    <w:rsid w:val="00ED34C3"/>
    <w:rsid w:val="00ED7C7F"/>
    <w:rsid w:val="00EE671C"/>
    <w:rsid w:val="00EF10E1"/>
    <w:rsid w:val="00EF391B"/>
    <w:rsid w:val="00F0290E"/>
    <w:rsid w:val="00F10FA6"/>
    <w:rsid w:val="00F12FAF"/>
    <w:rsid w:val="00F17465"/>
    <w:rsid w:val="00F20CC0"/>
    <w:rsid w:val="00F21CFF"/>
    <w:rsid w:val="00F222AD"/>
    <w:rsid w:val="00F2279F"/>
    <w:rsid w:val="00F229A9"/>
    <w:rsid w:val="00F24B73"/>
    <w:rsid w:val="00F25166"/>
    <w:rsid w:val="00F350C6"/>
    <w:rsid w:val="00F35ADA"/>
    <w:rsid w:val="00F4109D"/>
    <w:rsid w:val="00F42145"/>
    <w:rsid w:val="00F428A3"/>
    <w:rsid w:val="00F454F4"/>
    <w:rsid w:val="00F4646A"/>
    <w:rsid w:val="00F60019"/>
    <w:rsid w:val="00F607A4"/>
    <w:rsid w:val="00F63035"/>
    <w:rsid w:val="00F64001"/>
    <w:rsid w:val="00F71C2B"/>
    <w:rsid w:val="00F83C85"/>
    <w:rsid w:val="00F83CA7"/>
    <w:rsid w:val="00F84483"/>
    <w:rsid w:val="00F92D88"/>
    <w:rsid w:val="00F976B1"/>
    <w:rsid w:val="00FA1C78"/>
    <w:rsid w:val="00FA7240"/>
    <w:rsid w:val="00FB29EB"/>
    <w:rsid w:val="00FB315B"/>
    <w:rsid w:val="00FB38BF"/>
    <w:rsid w:val="00FB4C68"/>
    <w:rsid w:val="00FB6239"/>
    <w:rsid w:val="00FC14EB"/>
    <w:rsid w:val="00FC51E5"/>
    <w:rsid w:val="00FC5480"/>
    <w:rsid w:val="00FE53D3"/>
    <w:rsid w:val="00FE6DB7"/>
    <w:rsid w:val="00FF267E"/>
    <w:rsid w:val="00FF32FC"/>
    <w:rsid w:val="00FF4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2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45D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5DA1"/>
    <w:rPr>
      <w:sz w:val="20"/>
      <w:szCs w:val="20"/>
    </w:rPr>
  </w:style>
  <w:style w:type="character" w:styleId="EndnoteReference">
    <w:name w:val="endnote reference"/>
    <w:basedOn w:val="DefaultParagraphFont"/>
    <w:uiPriority w:val="99"/>
    <w:semiHidden/>
    <w:unhideWhenUsed/>
    <w:rsid w:val="00445DA1"/>
    <w:rPr>
      <w:vertAlign w:val="superscript"/>
    </w:rPr>
  </w:style>
  <w:style w:type="table" w:styleId="TableGrid">
    <w:name w:val="Table Grid"/>
    <w:basedOn w:val="TableNormal"/>
    <w:uiPriority w:val="59"/>
    <w:rsid w:val="00B5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F22"/>
    <w:rPr>
      <w:rFonts w:ascii="Tahoma" w:hAnsi="Tahoma" w:cs="Tahoma"/>
      <w:sz w:val="16"/>
      <w:szCs w:val="16"/>
    </w:rPr>
  </w:style>
  <w:style w:type="character" w:styleId="CommentReference">
    <w:name w:val="annotation reference"/>
    <w:basedOn w:val="DefaultParagraphFont"/>
    <w:uiPriority w:val="99"/>
    <w:semiHidden/>
    <w:unhideWhenUsed/>
    <w:rsid w:val="00026143"/>
    <w:rPr>
      <w:sz w:val="16"/>
      <w:szCs w:val="16"/>
    </w:rPr>
  </w:style>
  <w:style w:type="paragraph" w:styleId="CommentText">
    <w:name w:val="annotation text"/>
    <w:basedOn w:val="Normal"/>
    <w:link w:val="CommentTextChar"/>
    <w:uiPriority w:val="99"/>
    <w:semiHidden/>
    <w:unhideWhenUsed/>
    <w:rsid w:val="00026143"/>
    <w:pPr>
      <w:spacing w:line="240" w:lineRule="auto"/>
    </w:pPr>
    <w:rPr>
      <w:sz w:val="20"/>
      <w:szCs w:val="20"/>
    </w:rPr>
  </w:style>
  <w:style w:type="character" w:customStyle="1" w:styleId="CommentTextChar">
    <w:name w:val="Comment Text Char"/>
    <w:basedOn w:val="DefaultParagraphFont"/>
    <w:link w:val="CommentText"/>
    <w:uiPriority w:val="99"/>
    <w:semiHidden/>
    <w:rsid w:val="00026143"/>
    <w:rPr>
      <w:sz w:val="20"/>
      <w:szCs w:val="20"/>
    </w:rPr>
  </w:style>
  <w:style w:type="paragraph" w:styleId="CommentSubject">
    <w:name w:val="annotation subject"/>
    <w:basedOn w:val="CommentText"/>
    <w:next w:val="CommentText"/>
    <w:link w:val="CommentSubjectChar"/>
    <w:uiPriority w:val="99"/>
    <w:semiHidden/>
    <w:unhideWhenUsed/>
    <w:rsid w:val="00026143"/>
    <w:rPr>
      <w:b/>
      <w:bCs/>
    </w:rPr>
  </w:style>
  <w:style w:type="character" w:customStyle="1" w:styleId="CommentSubjectChar">
    <w:name w:val="Comment Subject Char"/>
    <w:basedOn w:val="CommentTextChar"/>
    <w:link w:val="CommentSubject"/>
    <w:uiPriority w:val="99"/>
    <w:semiHidden/>
    <w:rsid w:val="00026143"/>
    <w:rPr>
      <w:b/>
      <w:bCs/>
      <w:sz w:val="20"/>
      <w:szCs w:val="20"/>
    </w:rPr>
  </w:style>
  <w:style w:type="paragraph" w:styleId="Bibliography">
    <w:name w:val="Bibliography"/>
    <w:basedOn w:val="Normal"/>
    <w:next w:val="Normal"/>
    <w:uiPriority w:val="37"/>
    <w:unhideWhenUsed/>
    <w:rsid w:val="00536481"/>
    <w:pPr>
      <w:tabs>
        <w:tab w:val="left" w:pos="384"/>
      </w:tabs>
      <w:spacing w:after="240" w:line="240" w:lineRule="auto"/>
      <w:ind w:left="384" w:hanging="384"/>
    </w:pPr>
  </w:style>
  <w:style w:type="paragraph" w:styleId="Revision">
    <w:name w:val="Revision"/>
    <w:hidden/>
    <w:uiPriority w:val="99"/>
    <w:semiHidden/>
    <w:rsid w:val="004D3276"/>
    <w:pPr>
      <w:spacing w:after="0" w:line="240" w:lineRule="auto"/>
    </w:pPr>
  </w:style>
  <w:style w:type="character" w:styleId="Hyperlink">
    <w:name w:val="Hyperlink"/>
    <w:basedOn w:val="DefaultParagraphFont"/>
    <w:uiPriority w:val="99"/>
    <w:unhideWhenUsed/>
    <w:rsid w:val="00C379F0"/>
    <w:rPr>
      <w:color w:val="0000FF" w:themeColor="hyperlink"/>
      <w:u w:val="single"/>
    </w:rPr>
  </w:style>
  <w:style w:type="paragraph" w:styleId="ListParagraph">
    <w:name w:val="List Paragraph"/>
    <w:basedOn w:val="Normal"/>
    <w:uiPriority w:val="34"/>
    <w:qFormat/>
    <w:rsid w:val="00A16AA3"/>
    <w:pPr>
      <w:ind w:left="720"/>
      <w:contextualSpacing/>
    </w:pPr>
  </w:style>
  <w:style w:type="character" w:styleId="LineNumber">
    <w:name w:val="line number"/>
    <w:basedOn w:val="DefaultParagraphFont"/>
    <w:uiPriority w:val="99"/>
    <w:semiHidden/>
    <w:unhideWhenUsed/>
    <w:rsid w:val="00275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45D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5DA1"/>
    <w:rPr>
      <w:sz w:val="20"/>
      <w:szCs w:val="20"/>
    </w:rPr>
  </w:style>
  <w:style w:type="character" w:styleId="EndnoteReference">
    <w:name w:val="endnote reference"/>
    <w:basedOn w:val="DefaultParagraphFont"/>
    <w:uiPriority w:val="99"/>
    <w:semiHidden/>
    <w:unhideWhenUsed/>
    <w:rsid w:val="00445DA1"/>
    <w:rPr>
      <w:vertAlign w:val="superscript"/>
    </w:rPr>
  </w:style>
  <w:style w:type="table" w:styleId="TableGrid">
    <w:name w:val="Table Grid"/>
    <w:basedOn w:val="TableNormal"/>
    <w:uiPriority w:val="59"/>
    <w:rsid w:val="00B5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F22"/>
    <w:rPr>
      <w:rFonts w:ascii="Tahoma" w:hAnsi="Tahoma" w:cs="Tahoma"/>
      <w:sz w:val="16"/>
      <w:szCs w:val="16"/>
    </w:rPr>
  </w:style>
  <w:style w:type="character" w:styleId="CommentReference">
    <w:name w:val="annotation reference"/>
    <w:basedOn w:val="DefaultParagraphFont"/>
    <w:uiPriority w:val="99"/>
    <w:semiHidden/>
    <w:unhideWhenUsed/>
    <w:rsid w:val="00026143"/>
    <w:rPr>
      <w:sz w:val="16"/>
      <w:szCs w:val="16"/>
    </w:rPr>
  </w:style>
  <w:style w:type="paragraph" w:styleId="CommentText">
    <w:name w:val="annotation text"/>
    <w:basedOn w:val="Normal"/>
    <w:link w:val="CommentTextChar"/>
    <w:uiPriority w:val="99"/>
    <w:semiHidden/>
    <w:unhideWhenUsed/>
    <w:rsid w:val="00026143"/>
    <w:pPr>
      <w:spacing w:line="240" w:lineRule="auto"/>
    </w:pPr>
    <w:rPr>
      <w:sz w:val="20"/>
      <w:szCs w:val="20"/>
    </w:rPr>
  </w:style>
  <w:style w:type="character" w:customStyle="1" w:styleId="CommentTextChar">
    <w:name w:val="Comment Text Char"/>
    <w:basedOn w:val="DefaultParagraphFont"/>
    <w:link w:val="CommentText"/>
    <w:uiPriority w:val="99"/>
    <w:semiHidden/>
    <w:rsid w:val="00026143"/>
    <w:rPr>
      <w:sz w:val="20"/>
      <w:szCs w:val="20"/>
    </w:rPr>
  </w:style>
  <w:style w:type="paragraph" w:styleId="CommentSubject">
    <w:name w:val="annotation subject"/>
    <w:basedOn w:val="CommentText"/>
    <w:next w:val="CommentText"/>
    <w:link w:val="CommentSubjectChar"/>
    <w:uiPriority w:val="99"/>
    <w:semiHidden/>
    <w:unhideWhenUsed/>
    <w:rsid w:val="00026143"/>
    <w:rPr>
      <w:b/>
      <w:bCs/>
    </w:rPr>
  </w:style>
  <w:style w:type="character" w:customStyle="1" w:styleId="CommentSubjectChar">
    <w:name w:val="Comment Subject Char"/>
    <w:basedOn w:val="CommentTextChar"/>
    <w:link w:val="CommentSubject"/>
    <w:uiPriority w:val="99"/>
    <w:semiHidden/>
    <w:rsid w:val="00026143"/>
    <w:rPr>
      <w:b/>
      <w:bCs/>
      <w:sz w:val="20"/>
      <w:szCs w:val="20"/>
    </w:rPr>
  </w:style>
  <w:style w:type="paragraph" w:styleId="Bibliography">
    <w:name w:val="Bibliography"/>
    <w:basedOn w:val="Normal"/>
    <w:next w:val="Normal"/>
    <w:uiPriority w:val="37"/>
    <w:unhideWhenUsed/>
    <w:rsid w:val="00536481"/>
    <w:pPr>
      <w:tabs>
        <w:tab w:val="left" w:pos="384"/>
      </w:tabs>
      <w:spacing w:after="240" w:line="240" w:lineRule="auto"/>
      <w:ind w:left="384" w:hanging="384"/>
    </w:pPr>
  </w:style>
  <w:style w:type="paragraph" w:styleId="Revision">
    <w:name w:val="Revision"/>
    <w:hidden/>
    <w:uiPriority w:val="99"/>
    <w:semiHidden/>
    <w:rsid w:val="004D3276"/>
    <w:pPr>
      <w:spacing w:after="0" w:line="240" w:lineRule="auto"/>
    </w:pPr>
  </w:style>
  <w:style w:type="character" w:styleId="Hyperlink">
    <w:name w:val="Hyperlink"/>
    <w:basedOn w:val="DefaultParagraphFont"/>
    <w:uiPriority w:val="99"/>
    <w:unhideWhenUsed/>
    <w:rsid w:val="00C379F0"/>
    <w:rPr>
      <w:color w:val="0000FF" w:themeColor="hyperlink"/>
      <w:u w:val="single"/>
    </w:rPr>
  </w:style>
  <w:style w:type="paragraph" w:styleId="ListParagraph">
    <w:name w:val="List Paragraph"/>
    <w:basedOn w:val="Normal"/>
    <w:uiPriority w:val="34"/>
    <w:qFormat/>
    <w:rsid w:val="00A16AA3"/>
    <w:pPr>
      <w:ind w:left="720"/>
      <w:contextualSpacing/>
    </w:pPr>
  </w:style>
  <w:style w:type="character" w:styleId="LineNumber">
    <w:name w:val="line number"/>
    <w:basedOn w:val="DefaultParagraphFont"/>
    <w:uiPriority w:val="99"/>
    <w:semiHidden/>
    <w:unhideWhenUsed/>
    <w:rsid w:val="0027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2289">
      <w:bodyDiv w:val="1"/>
      <w:marLeft w:val="0"/>
      <w:marRight w:val="0"/>
      <w:marTop w:val="0"/>
      <w:marBottom w:val="0"/>
      <w:divBdr>
        <w:top w:val="none" w:sz="0" w:space="0" w:color="auto"/>
        <w:left w:val="none" w:sz="0" w:space="0" w:color="auto"/>
        <w:bottom w:val="none" w:sz="0" w:space="0" w:color="auto"/>
        <w:right w:val="none" w:sz="0" w:space="0" w:color="auto"/>
      </w:divBdr>
    </w:div>
    <w:div w:id="661857338">
      <w:bodyDiv w:val="1"/>
      <w:marLeft w:val="0"/>
      <w:marRight w:val="0"/>
      <w:marTop w:val="0"/>
      <w:marBottom w:val="0"/>
      <w:divBdr>
        <w:top w:val="none" w:sz="0" w:space="0" w:color="auto"/>
        <w:left w:val="none" w:sz="0" w:space="0" w:color="auto"/>
        <w:bottom w:val="none" w:sz="0" w:space="0" w:color="auto"/>
        <w:right w:val="none" w:sz="0" w:space="0" w:color="auto"/>
      </w:divBdr>
    </w:div>
    <w:div w:id="1032461988">
      <w:bodyDiv w:val="1"/>
      <w:marLeft w:val="0"/>
      <w:marRight w:val="0"/>
      <w:marTop w:val="0"/>
      <w:marBottom w:val="0"/>
      <w:divBdr>
        <w:top w:val="none" w:sz="0" w:space="0" w:color="auto"/>
        <w:left w:val="none" w:sz="0" w:space="0" w:color="auto"/>
        <w:bottom w:val="none" w:sz="0" w:space="0" w:color="auto"/>
        <w:right w:val="none" w:sz="0" w:space="0" w:color="auto"/>
      </w:divBdr>
    </w:div>
    <w:div w:id="1438451792">
      <w:bodyDiv w:val="1"/>
      <w:marLeft w:val="0"/>
      <w:marRight w:val="0"/>
      <w:marTop w:val="0"/>
      <w:marBottom w:val="0"/>
      <w:divBdr>
        <w:top w:val="none" w:sz="0" w:space="0" w:color="auto"/>
        <w:left w:val="none" w:sz="0" w:space="0" w:color="auto"/>
        <w:bottom w:val="none" w:sz="0" w:space="0" w:color="auto"/>
        <w:right w:val="none" w:sz="0" w:space="0" w:color="auto"/>
      </w:divBdr>
    </w:div>
    <w:div w:id="1578785745">
      <w:bodyDiv w:val="1"/>
      <w:marLeft w:val="0"/>
      <w:marRight w:val="0"/>
      <w:marTop w:val="0"/>
      <w:marBottom w:val="0"/>
      <w:divBdr>
        <w:top w:val="none" w:sz="0" w:space="0" w:color="auto"/>
        <w:left w:val="none" w:sz="0" w:space="0" w:color="auto"/>
        <w:bottom w:val="none" w:sz="0" w:space="0" w:color="auto"/>
        <w:right w:val="none" w:sz="0" w:space="0" w:color="auto"/>
      </w:divBdr>
      <w:divsChild>
        <w:div w:id="1455636503">
          <w:marLeft w:val="0"/>
          <w:marRight w:val="0"/>
          <w:marTop w:val="0"/>
          <w:marBottom w:val="0"/>
          <w:divBdr>
            <w:top w:val="none" w:sz="0" w:space="0" w:color="auto"/>
            <w:left w:val="none" w:sz="0" w:space="0" w:color="auto"/>
            <w:bottom w:val="none" w:sz="0" w:space="0" w:color="auto"/>
            <w:right w:val="none" w:sz="0" w:space="0" w:color="auto"/>
          </w:divBdr>
          <w:divsChild>
            <w:div w:id="11690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robin.marlow@bristol.ac.uk"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A21C008-7C4D-4385-9222-F362B708C2CC}">
  <ds:schemaRefs>
    <ds:schemaRef ds:uri="http://schemas.openxmlformats.org/officeDocument/2006/bibliography"/>
  </ds:schemaRefs>
</ds:datastoreItem>
</file>

<file path=customXml/itemProps2.xml><?xml version="1.0" encoding="utf-8"?>
<ds:datastoreItem xmlns:ds="http://schemas.openxmlformats.org/officeDocument/2006/customXml" ds:itemID="{DD94FC1F-F130-4578-844A-BDC1801F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4157</Words>
  <Characters>88113</Characters>
  <Application>Microsoft Office Word</Application>
  <DocSecurity>0</DocSecurity>
  <Lines>734</Lines>
  <Paragraphs>184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Marlow</dc:creator>
  <cp:lastModifiedBy>Lyttle, Mark</cp:lastModifiedBy>
  <cp:revision>2</cp:revision>
  <dcterms:created xsi:type="dcterms:W3CDTF">2015-10-23T14:07:00Z</dcterms:created>
  <dcterms:modified xsi:type="dcterms:W3CDTF">2015-10-23T14:07:00Z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zotero-version="4.0.26.2"&gt;&lt;session id="IKT8thFj"/&gt;&lt;style id="http://www.zotero.org/styles/archives-of-disease-in-childhood"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value="0"/&gt;&lt;/prefs&gt;&lt;/data&gt;</vt:lpwstr>
  </property>
</Properties>
</file>