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7C" w:rsidRPr="00712E7C" w:rsidRDefault="00E855F4" w:rsidP="00712E7C">
      <w:pPr>
        <w:spacing w:after="0" w:line="360" w:lineRule="auto"/>
        <w:jc w:val="center"/>
        <w:rPr>
          <w:rFonts w:ascii="Arial" w:hAnsi="Arial" w:cs="Arial"/>
          <w:b/>
          <w:sz w:val="28"/>
          <w:szCs w:val="28"/>
        </w:rPr>
      </w:pPr>
      <w:bookmarkStart w:id="0" w:name="_GoBack"/>
      <w:bookmarkEnd w:id="0"/>
      <w:r w:rsidRPr="00712E7C">
        <w:rPr>
          <w:rFonts w:ascii="Arial" w:hAnsi="Arial" w:cs="Arial"/>
          <w:b/>
          <w:sz w:val="28"/>
          <w:szCs w:val="28"/>
        </w:rPr>
        <w:t xml:space="preserve">A Politics of Redeployment: </w:t>
      </w:r>
    </w:p>
    <w:p w:rsidR="00E855F4" w:rsidRPr="00712E7C" w:rsidRDefault="00E855F4" w:rsidP="00712E7C">
      <w:pPr>
        <w:spacing w:after="0" w:line="360" w:lineRule="auto"/>
        <w:jc w:val="center"/>
        <w:rPr>
          <w:rFonts w:ascii="Arial" w:hAnsi="Arial" w:cs="Arial"/>
          <w:b/>
          <w:sz w:val="28"/>
          <w:szCs w:val="28"/>
        </w:rPr>
      </w:pPr>
      <w:r w:rsidRPr="00712E7C">
        <w:rPr>
          <w:rFonts w:ascii="Arial" w:hAnsi="Arial" w:cs="Arial"/>
          <w:b/>
          <w:sz w:val="28"/>
          <w:szCs w:val="28"/>
        </w:rPr>
        <w:t xml:space="preserve">Malleable </w:t>
      </w:r>
      <w:r w:rsidR="00515264" w:rsidRPr="00712E7C">
        <w:rPr>
          <w:rFonts w:ascii="Arial" w:hAnsi="Arial" w:cs="Arial"/>
          <w:b/>
          <w:sz w:val="28"/>
          <w:szCs w:val="28"/>
        </w:rPr>
        <w:t>T</w:t>
      </w:r>
      <w:r w:rsidRPr="00712E7C">
        <w:rPr>
          <w:rFonts w:ascii="Arial" w:hAnsi="Arial" w:cs="Arial"/>
          <w:b/>
          <w:sz w:val="28"/>
          <w:szCs w:val="28"/>
        </w:rPr>
        <w:t>echnologies</w:t>
      </w:r>
      <w:r w:rsidR="00712E7C" w:rsidRPr="00712E7C">
        <w:rPr>
          <w:rFonts w:ascii="Arial" w:hAnsi="Arial" w:cs="Arial"/>
          <w:b/>
          <w:sz w:val="28"/>
          <w:szCs w:val="28"/>
        </w:rPr>
        <w:t xml:space="preserve"> </w:t>
      </w:r>
      <w:r w:rsidRPr="00712E7C">
        <w:rPr>
          <w:rFonts w:ascii="Arial" w:hAnsi="Arial" w:cs="Arial"/>
          <w:b/>
          <w:sz w:val="28"/>
          <w:szCs w:val="28"/>
        </w:rPr>
        <w:t>and</w:t>
      </w:r>
      <w:r w:rsidR="00F277F6" w:rsidRPr="00712E7C">
        <w:rPr>
          <w:rFonts w:ascii="Arial" w:hAnsi="Arial" w:cs="Arial"/>
          <w:b/>
          <w:sz w:val="28"/>
          <w:szCs w:val="28"/>
        </w:rPr>
        <w:t xml:space="preserve"> </w:t>
      </w:r>
      <w:r w:rsidRPr="00712E7C">
        <w:rPr>
          <w:rFonts w:ascii="Arial" w:hAnsi="Arial" w:cs="Arial"/>
          <w:b/>
          <w:sz w:val="28"/>
          <w:szCs w:val="28"/>
        </w:rPr>
        <w:t xml:space="preserve">the </w:t>
      </w:r>
      <w:r w:rsidR="00515264" w:rsidRPr="00712E7C">
        <w:rPr>
          <w:rFonts w:ascii="Arial" w:hAnsi="Arial" w:cs="Arial"/>
          <w:b/>
          <w:sz w:val="28"/>
          <w:szCs w:val="28"/>
        </w:rPr>
        <w:t>L</w:t>
      </w:r>
      <w:r w:rsidRPr="00712E7C">
        <w:rPr>
          <w:rFonts w:ascii="Arial" w:hAnsi="Arial" w:cs="Arial"/>
          <w:b/>
          <w:sz w:val="28"/>
          <w:szCs w:val="28"/>
        </w:rPr>
        <w:t xml:space="preserve">ocalisation of </w:t>
      </w:r>
      <w:r w:rsidR="00515264" w:rsidRPr="00712E7C">
        <w:rPr>
          <w:rFonts w:ascii="Arial" w:hAnsi="Arial" w:cs="Arial"/>
          <w:b/>
          <w:sz w:val="28"/>
          <w:szCs w:val="28"/>
        </w:rPr>
        <w:t>A</w:t>
      </w:r>
      <w:r w:rsidRPr="00712E7C">
        <w:rPr>
          <w:rFonts w:ascii="Arial" w:hAnsi="Arial" w:cs="Arial"/>
          <w:b/>
          <w:sz w:val="28"/>
          <w:szCs w:val="28"/>
        </w:rPr>
        <w:t xml:space="preserve">nticipatory </w:t>
      </w:r>
      <w:r w:rsidR="00515264" w:rsidRPr="00712E7C">
        <w:rPr>
          <w:rFonts w:ascii="Arial" w:hAnsi="Arial" w:cs="Arial"/>
          <w:b/>
          <w:sz w:val="28"/>
          <w:szCs w:val="28"/>
        </w:rPr>
        <w:t>C</w:t>
      </w:r>
      <w:r w:rsidR="00FE1352" w:rsidRPr="00712E7C">
        <w:rPr>
          <w:rFonts w:ascii="Arial" w:hAnsi="Arial" w:cs="Arial"/>
          <w:b/>
          <w:sz w:val="28"/>
          <w:szCs w:val="28"/>
        </w:rPr>
        <w:t>alculation</w:t>
      </w:r>
    </w:p>
    <w:p w:rsidR="00712E7C" w:rsidRDefault="00712E7C" w:rsidP="00712E7C">
      <w:pPr>
        <w:spacing w:after="0" w:line="360" w:lineRule="auto"/>
        <w:jc w:val="both"/>
        <w:rPr>
          <w:rFonts w:ascii="Arial" w:hAnsi="Arial" w:cs="Arial"/>
          <w:sz w:val="24"/>
          <w:szCs w:val="24"/>
        </w:rPr>
      </w:pPr>
    </w:p>
    <w:p w:rsidR="00712E7C" w:rsidRPr="00712E7C" w:rsidRDefault="00712E7C" w:rsidP="00712E7C">
      <w:pPr>
        <w:spacing w:after="0" w:line="360" w:lineRule="auto"/>
        <w:jc w:val="center"/>
        <w:rPr>
          <w:rFonts w:ascii="Arial" w:hAnsi="Arial" w:cs="Arial"/>
          <w:b/>
          <w:sz w:val="24"/>
          <w:szCs w:val="24"/>
        </w:rPr>
      </w:pPr>
      <w:r w:rsidRPr="00712E7C">
        <w:rPr>
          <w:rFonts w:ascii="Arial" w:hAnsi="Arial" w:cs="Arial"/>
          <w:b/>
          <w:sz w:val="24"/>
          <w:szCs w:val="24"/>
        </w:rPr>
        <w:t>Nathaniel O’Grady</w:t>
      </w:r>
    </w:p>
    <w:p w:rsidR="00712E7C" w:rsidRDefault="00712E7C" w:rsidP="00712E7C">
      <w:pPr>
        <w:spacing w:after="0" w:line="360" w:lineRule="auto"/>
        <w:jc w:val="both"/>
        <w:rPr>
          <w:rFonts w:ascii="Arial" w:hAnsi="Arial" w:cs="Arial"/>
          <w:sz w:val="24"/>
          <w:szCs w:val="24"/>
        </w:rPr>
      </w:pPr>
    </w:p>
    <w:p w:rsidR="00712E7C" w:rsidRDefault="00712E7C" w:rsidP="00712E7C">
      <w:pPr>
        <w:spacing w:after="0" w:line="360" w:lineRule="auto"/>
        <w:jc w:val="both"/>
        <w:rPr>
          <w:rFonts w:ascii="Arial" w:hAnsi="Arial" w:cs="Arial"/>
          <w:sz w:val="24"/>
          <w:szCs w:val="24"/>
        </w:rPr>
      </w:pPr>
    </w:p>
    <w:p w:rsidR="0074292D" w:rsidRPr="0074292D" w:rsidRDefault="0074292D" w:rsidP="00712E7C">
      <w:pPr>
        <w:spacing w:after="0" w:line="360" w:lineRule="auto"/>
        <w:jc w:val="both"/>
        <w:rPr>
          <w:rFonts w:ascii="Arial" w:hAnsi="Arial" w:cs="Arial"/>
          <w:b/>
          <w:sz w:val="24"/>
          <w:szCs w:val="24"/>
        </w:rPr>
      </w:pPr>
      <w:r w:rsidRPr="0074292D">
        <w:rPr>
          <w:rFonts w:ascii="Arial" w:hAnsi="Arial" w:cs="Arial"/>
          <w:b/>
          <w:sz w:val="24"/>
          <w:szCs w:val="24"/>
        </w:rPr>
        <w:t>Introduction</w:t>
      </w:r>
    </w:p>
    <w:p w:rsidR="0074292D" w:rsidRPr="00712E7C" w:rsidRDefault="0074292D" w:rsidP="00712E7C">
      <w:pPr>
        <w:spacing w:after="0" w:line="360" w:lineRule="auto"/>
        <w:jc w:val="both"/>
        <w:rPr>
          <w:rFonts w:ascii="Arial" w:hAnsi="Arial" w:cs="Arial"/>
          <w:sz w:val="24"/>
          <w:szCs w:val="24"/>
        </w:rPr>
      </w:pPr>
    </w:p>
    <w:p w:rsidR="00E855F4" w:rsidRDefault="00E855F4" w:rsidP="00712E7C">
      <w:pPr>
        <w:spacing w:after="0" w:line="360" w:lineRule="auto"/>
        <w:jc w:val="both"/>
        <w:rPr>
          <w:rFonts w:ascii="Arial" w:hAnsi="Arial" w:cs="Arial"/>
          <w:sz w:val="24"/>
          <w:szCs w:val="24"/>
        </w:rPr>
      </w:pPr>
      <w:r w:rsidRPr="00712E7C">
        <w:rPr>
          <w:rFonts w:ascii="Arial" w:hAnsi="Arial" w:cs="Arial"/>
          <w:sz w:val="24"/>
          <w:szCs w:val="24"/>
        </w:rPr>
        <w:t xml:space="preserve">The instituting of new emergency preparedness measures through legislation such as the </w:t>
      </w:r>
      <w:r w:rsidR="002B7F86" w:rsidRPr="00712E7C">
        <w:rPr>
          <w:rFonts w:ascii="Arial" w:hAnsi="Arial" w:cs="Arial"/>
          <w:i/>
          <w:iCs/>
          <w:sz w:val="24"/>
          <w:szCs w:val="24"/>
        </w:rPr>
        <w:t>Civil Contingencies Act</w:t>
      </w:r>
      <w:r w:rsidR="00383E18">
        <w:rPr>
          <w:rFonts w:ascii="Arial" w:hAnsi="Arial" w:cs="Arial"/>
          <w:sz w:val="24"/>
          <w:szCs w:val="24"/>
        </w:rPr>
        <w:t xml:space="preserve"> (2004) </w:t>
      </w:r>
      <w:r w:rsidRPr="00712E7C">
        <w:rPr>
          <w:rFonts w:ascii="Arial" w:hAnsi="Arial" w:cs="Arial"/>
          <w:sz w:val="24"/>
          <w:szCs w:val="24"/>
        </w:rPr>
        <w:t>brought about major renegotiations in</w:t>
      </w:r>
      <w:r w:rsidR="0022363C" w:rsidRPr="00712E7C">
        <w:rPr>
          <w:rFonts w:ascii="Arial" w:hAnsi="Arial" w:cs="Arial"/>
          <w:sz w:val="24"/>
          <w:szCs w:val="24"/>
        </w:rPr>
        <w:t xml:space="preserve"> the operation, rationale and organisational shape of</w:t>
      </w:r>
      <w:r w:rsidRPr="00712E7C">
        <w:rPr>
          <w:rFonts w:ascii="Arial" w:hAnsi="Arial" w:cs="Arial"/>
          <w:sz w:val="24"/>
          <w:szCs w:val="24"/>
        </w:rPr>
        <w:t xml:space="preserve"> emergency response</w:t>
      </w:r>
      <w:r w:rsidR="00B0567D" w:rsidRPr="00712E7C">
        <w:rPr>
          <w:rFonts w:ascii="Arial" w:hAnsi="Arial" w:cs="Arial"/>
          <w:sz w:val="24"/>
          <w:szCs w:val="24"/>
        </w:rPr>
        <w:t xml:space="preserve"> in twenty-first</w:t>
      </w:r>
      <w:r w:rsidR="002B7F86" w:rsidRPr="00712E7C">
        <w:rPr>
          <w:rFonts w:ascii="Arial" w:hAnsi="Arial" w:cs="Arial"/>
          <w:sz w:val="24"/>
          <w:szCs w:val="24"/>
        </w:rPr>
        <w:t xml:space="preserve"> century Britain</w:t>
      </w:r>
      <w:r w:rsidRPr="00712E7C">
        <w:rPr>
          <w:rFonts w:ascii="Arial" w:hAnsi="Arial" w:cs="Arial"/>
          <w:sz w:val="24"/>
          <w:szCs w:val="24"/>
        </w:rPr>
        <w:t>.</w:t>
      </w:r>
      <w:r w:rsidR="00FE1352" w:rsidRPr="00712E7C">
        <w:rPr>
          <w:rFonts w:ascii="Arial" w:hAnsi="Arial" w:cs="Arial"/>
          <w:sz w:val="24"/>
          <w:szCs w:val="24"/>
        </w:rPr>
        <w:t xml:space="preserve"> As noted across literature,</w:t>
      </w:r>
      <w:r w:rsidRPr="00712E7C">
        <w:rPr>
          <w:rFonts w:ascii="Arial" w:hAnsi="Arial" w:cs="Arial"/>
          <w:sz w:val="24"/>
          <w:szCs w:val="24"/>
        </w:rPr>
        <w:t xml:space="preserve"> </w:t>
      </w:r>
      <w:r w:rsidR="00FE1352" w:rsidRPr="00712E7C">
        <w:rPr>
          <w:rFonts w:ascii="Arial" w:hAnsi="Arial" w:cs="Arial"/>
          <w:sz w:val="24"/>
          <w:szCs w:val="24"/>
        </w:rPr>
        <w:t>k</w:t>
      </w:r>
      <w:r w:rsidR="00ED59C7" w:rsidRPr="00712E7C">
        <w:rPr>
          <w:rFonts w:ascii="Arial" w:hAnsi="Arial" w:cs="Arial"/>
          <w:sz w:val="24"/>
          <w:szCs w:val="24"/>
        </w:rPr>
        <w:t xml:space="preserve">ey to these changes was </w:t>
      </w:r>
      <w:r w:rsidR="00436406" w:rsidRPr="00712E7C">
        <w:rPr>
          <w:rFonts w:ascii="Arial" w:hAnsi="Arial" w:cs="Arial"/>
          <w:sz w:val="24"/>
          <w:szCs w:val="24"/>
        </w:rPr>
        <w:t xml:space="preserve">the transformation of emergency response into </w:t>
      </w:r>
      <w:r w:rsidR="00872299" w:rsidRPr="00712E7C">
        <w:rPr>
          <w:rFonts w:ascii="Arial" w:hAnsi="Arial" w:cs="Arial"/>
          <w:sz w:val="24"/>
          <w:szCs w:val="24"/>
        </w:rPr>
        <w:t>an armature of anticipatory governance</w:t>
      </w:r>
      <w:r w:rsidR="00383E18">
        <w:rPr>
          <w:rFonts w:ascii="Arial" w:hAnsi="Arial" w:cs="Arial"/>
          <w:sz w:val="24"/>
          <w:szCs w:val="24"/>
        </w:rPr>
        <w:t xml:space="preserve"> (Anderson, 2010a; Amoore, 2013).</w:t>
      </w:r>
      <w:r w:rsidR="003275E7" w:rsidRPr="00712E7C">
        <w:rPr>
          <w:rFonts w:ascii="Arial" w:hAnsi="Arial" w:cs="Arial"/>
          <w:sz w:val="24"/>
          <w:szCs w:val="24"/>
        </w:rPr>
        <w:t xml:space="preserve"> Although far from fully encompassing their entire set of responsibilities,</w:t>
      </w:r>
      <w:r w:rsidR="00872299" w:rsidRPr="00712E7C">
        <w:rPr>
          <w:rFonts w:ascii="Arial" w:hAnsi="Arial" w:cs="Arial"/>
          <w:sz w:val="24"/>
          <w:szCs w:val="24"/>
        </w:rPr>
        <w:t xml:space="preserve"> </w:t>
      </w:r>
      <w:r w:rsidR="00383E18">
        <w:rPr>
          <w:rFonts w:ascii="Arial" w:hAnsi="Arial" w:cs="Arial"/>
          <w:sz w:val="24"/>
          <w:szCs w:val="24"/>
        </w:rPr>
        <w:t>Fire and Rescue Services (FRS) and</w:t>
      </w:r>
      <w:r w:rsidR="00B0567D" w:rsidRPr="00712E7C">
        <w:rPr>
          <w:rFonts w:ascii="Arial" w:hAnsi="Arial" w:cs="Arial"/>
          <w:sz w:val="24"/>
          <w:szCs w:val="24"/>
        </w:rPr>
        <w:t xml:space="preserve"> the Police and Ambulance services </w:t>
      </w:r>
      <w:r w:rsidR="00ED59C7" w:rsidRPr="00712E7C">
        <w:rPr>
          <w:rFonts w:ascii="Arial" w:hAnsi="Arial" w:cs="Arial"/>
          <w:sz w:val="24"/>
          <w:szCs w:val="24"/>
        </w:rPr>
        <w:t xml:space="preserve">were </w:t>
      </w:r>
      <w:r w:rsidR="00B0567D" w:rsidRPr="00712E7C">
        <w:rPr>
          <w:rFonts w:ascii="Arial" w:hAnsi="Arial" w:cs="Arial"/>
          <w:sz w:val="24"/>
          <w:szCs w:val="24"/>
        </w:rPr>
        <w:t>charged with preparing</w:t>
      </w:r>
      <w:r w:rsidR="008F4F35" w:rsidRPr="00712E7C">
        <w:rPr>
          <w:rFonts w:ascii="Arial" w:hAnsi="Arial" w:cs="Arial"/>
          <w:sz w:val="24"/>
          <w:szCs w:val="24"/>
        </w:rPr>
        <w:t xml:space="preserve"> and intervening in the</w:t>
      </w:r>
      <w:r w:rsidR="00436406" w:rsidRPr="00712E7C">
        <w:rPr>
          <w:rFonts w:ascii="Arial" w:hAnsi="Arial" w:cs="Arial"/>
          <w:sz w:val="24"/>
          <w:szCs w:val="24"/>
        </w:rPr>
        <w:t xml:space="preserve"> present to secure emergencies of</w:t>
      </w:r>
      <w:r w:rsidR="008F4F35" w:rsidRPr="00712E7C">
        <w:rPr>
          <w:rFonts w:ascii="Arial" w:hAnsi="Arial" w:cs="Arial"/>
          <w:sz w:val="24"/>
          <w:szCs w:val="24"/>
        </w:rPr>
        <w:t xml:space="preserve"> the future</w:t>
      </w:r>
      <w:r w:rsidR="00872299" w:rsidRPr="00712E7C">
        <w:rPr>
          <w:rFonts w:ascii="Arial" w:hAnsi="Arial" w:cs="Arial"/>
          <w:sz w:val="24"/>
          <w:szCs w:val="24"/>
        </w:rPr>
        <w:t>. This anticipatory turn</w:t>
      </w:r>
      <w:r w:rsidR="00FE1352" w:rsidRPr="00712E7C">
        <w:rPr>
          <w:rFonts w:ascii="Arial" w:hAnsi="Arial" w:cs="Arial"/>
          <w:sz w:val="24"/>
          <w:szCs w:val="24"/>
        </w:rPr>
        <w:t>, as many have indicated</w:t>
      </w:r>
      <w:r w:rsidR="00383E18">
        <w:rPr>
          <w:rFonts w:ascii="Arial" w:hAnsi="Arial" w:cs="Arial"/>
          <w:sz w:val="24"/>
          <w:szCs w:val="24"/>
        </w:rPr>
        <w:t xml:space="preserve"> (e.g., Anderson, 2010b; Aradau and van Munster, 2011)</w:t>
      </w:r>
      <w:r w:rsidR="00FE1352" w:rsidRPr="00712E7C">
        <w:rPr>
          <w:rFonts w:ascii="Arial" w:hAnsi="Arial" w:cs="Arial"/>
          <w:sz w:val="24"/>
          <w:szCs w:val="24"/>
        </w:rPr>
        <w:t>,</w:t>
      </w:r>
      <w:r w:rsidR="00872299" w:rsidRPr="00712E7C">
        <w:rPr>
          <w:rFonts w:ascii="Arial" w:hAnsi="Arial" w:cs="Arial"/>
          <w:sz w:val="24"/>
          <w:szCs w:val="24"/>
        </w:rPr>
        <w:t xml:space="preserve"> </w:t>
      </w:r>
      <w:r w:rsidR="008F4F35" w:rsidRPr="00712E7C">
        <w:rPr>
          <w:rFonts w:ascii="Arial" w:hAnsi="Arial" w:cs="Arial"/>
          <w:sz w:val="24"/>
          <w:szCs w:val="24"/>
        </w:rPr>
        <w:t>was</w:t>
      </w:r>
      <w:r w:rsidR="00872299" w:rsidRPr="00712E7C">
        <w:rPr>
          <w:rFonts w:ascii="Arial" w:hAnsi="Arial" w:cs="Arial"/>
          <w:sz w:val="24"/>
          <w:szCs w:val="24"/>
        </w:rPr>
        <w:t xml:space="preserve"> </w:t>
      </w:r>
      <w:r w:rsidR="00B0567D" w:rsidRPr="00712E7C">
        <w:rPr>
          <w:rFonts w:ascii="Arial" w:hAnsi="Arial" w:cs="Arial"/>
          <w:sz w:val="24"/>
          <w:szCs w:val="24"/>
        </w:rPr>
        <w:t xml:space="preserve">initially oriented at managing </w:t>
      </w:r>
      <w:r w:rsidR="00872299" w:rsidRPr="00712E7C">
        <w:rPr>
          <w:rFonts w:ascii="Arial" w:hAnsi="Arial" w:cs="Arial"/>
          <w:sz w:val="24"/>
          <w:szCs w:val="24"/>
        </w:rPr>
        <w:t>la</w:t>
      </w:r>
      <w:r w:rsidR="00B0567D" w:rsidRPr="00712E7C">
        <w:rPr>
          <w:rFonts w:ascii="Arial" w:hAnsi="Arial" w:cs="Arial"/>
          <w:sz w:val="24"/>
          <w:szCs w:val="24"/>
        </w:rPr>
        <w:t>rge scale emergencies whose potentiality came</w:t>
      </w:r>
      <w:r w:rsidR="00872299" w:rsidRPr="00712E7C">
        <w:rPr>
          <w:rFonts w:ascii="Arial" w:hAnsi="Arial" w:cs="Arial"/>
          <w:sz w:val="24"/>
          <w:szCs w:val="24"/>
        </w:rPr>
        <w:t xml:space="preserve"> to occup</w:t>
      </w:r>
      <w:r w:rsidR="002B7F86" w:rsidRPr="00712E7C">
        <w:rPr>
          <w:rFonts w:ascii="Arial" w:hAnsi="Arial" w:cs="Arial"/>
          <w:sz w:val="24"/>
          <w:szCs w:val="24"/>
        </w:rPr>
        <w:t>y the post-9/11 security landscape</w:t>
      </w:r>
      <w:r w:rsidR="00872299" w:rsidRPr="00712E7C">
        <w:rPr>
          <w:rFonts w:ascii="Arial" w:hAnsi="Arial" w:cs="Arial"/>
          <w:sz w:val="24"/>
          <w:szCs w:val="24"/>
        </w:rPr>
        <w:t xml:space="preserve">. </w:t>
      </w:r>
      <w:r w:rsidR="002B7F86" w:rsidRPr="00712E7C">
        <w:rPr>
          <w:rFonts w:ascii="Arial" w:hAnsi="Arial" w:cs="Arial"/>
          <w:sz w:val="24"/>
          <w:szCs w:val="24"/>
        </w:rPr>
        <w:t>Known by their possibility in the future, emergencies like terrorism and natural disasters w</w:t>
      </w:r>
      <w:r w:rsidR="00A02E9A" w:rsidRPr="00712E7C">
        <w:rPr>
          <w:rFonts w:ascii="Arial" w:hAnsi="Arial" w:cs="Arial"/>
          <w:sz w:val="24"/>
          <w:szCs w:val="24"/>
        </w:rPr>
        <w:t>ere to be</w:t>
      </w:r>
      <w:r w:rsidR="00B0567D" w:rsidRPr="00712E7C">
        <w:rPr>
          <w:rFonts w:ascii="Arial" w:hAnsi="Arial" w:cs="Arial"/>
          <w:sz w:val="24"/>
          <w:szCs w:val="24"/>
        </w:rPr>
        <w:t xml:space="preserve"> managed </w:t>
      </w:r>
      <w:r w:rsidR="00ED59C7" w:rsidRPr="00712E7C">
        <w:rPr>
          <w:rFonts w:ascii="Arial" w:hAnsi="Arial" w:cs="Arial"/>
          <w:sz w:val="24"/>
          <w:szCs w:val="24"/>
        </w:rPr>
        <w:t xml:space="preserve">at least in part </w:t>
      </w:r>
      <w:r w:rsidR="00B0567D" w:rsidRPr="00712E7C">
        <w:rPr>
          <w:rFonts w:ascii="Arial" w:hAnsi="Arial" w:cs="Arial"/>
          <w:sz w:val="24"/>
          <w:szCs w:val="24"/>
        </w:rPr>
        <w:t>by emergency responders</w:t>
      </w:r>
      <w:r w:rsidR="002B7F86" w:rsidRPr="00712E7C">
        <w:rPr>
          <w:rFonts w:ascii="Arial" w:hAnsi="Arial" w:cs="Arial"/>
          <w:sz w:val="24"/>
          <w:szCs w:val="24"/>
        </w:rPr>
        <w:t xml:space="preserve"> through action in the present. </w:t>
      </w:r>
    </w:p>
    <w:p w:rsidR="00383E18" w:rsidRPr="00712E7C" w:rsidRDefault="00383E18" w:rsidP="00712E7C">
      <w:pPr>
        <w:spacing w:after="0" w:line="360" w:lineRule="auto"/>
        <w:jc w:val="both"/>
        <w:rPr>
          <w:rFonts w:ascii="Arial" w:hAnsi="Arial" w:cs="Arial"/>
          <w:sz w:val="24"/>
          <w:szCs w:val="24"/>
        </w:rPr>
      </w:pPr>
    </w:p>
    <w:p w:rsidR="002900C9" w:rsidRDefault="00ED59C7" w:rsidP="00712E7C">
      <w:pPr>
        <w:spacing w:after="0" w:line="360" w:lineRule="auto"/>
        <w:jc w:val="both"/>
        <w:rPr>
          <w:rFonts w:ascii="Arial" w:hAnsi="Arial" w:cs="Arial"/>
          <w:sz w:val="24"/>
          <w:szCs w:val="24"/>
        </w:rPr>
        <w:sectPr w:rsidR="002900C9" w:rsidSect="00712E7C">
          <w:footerReference w:type="default" r:id="rId8"/>
          <w:pgSz w:w="11906" w:h="16838"/>
          <w:pgMar w:top="1418" w:right="1418" w:bottom="1418" w:left="1701" w:header="708" w:footer="708" w:gutter="0"/>
          <w:cols w:space="708"/>
          <w:docGrid w:linePitch="360"/>
        </w:sectPr>
      </w:pPr>
      <w:r w:rsidRPr="00712E7C">
        <w:rPr>
          <w:rFonts w:ascii="Arial" w:hAnsi="Arial" w:cs="Arial"/>
          <w:sz w:val="24"/>
          <w:szCs w:val="24"/>
        </w:rPr>
        <w:t xml:space="preserve">Becoming </w:t>
      </w:r>
      <w:r w:rsidR="00391AD6" w:rsidRPr="00712E7C">
        <w:rPr>
          <w:rFonts w:ascii="Arial" w:hAnsi="Arial" w:cs="Arial"/>
          <w:sz w:val="24"/>
          <w:szCs w:val="24"/>
        </w:rPr>
        <w:t>anticipatory involved</w:t>
      </w:r>
      <w:r w:rsidR="0022363C" w:rsidRPr="00712E7C">
        <w:rPr>
          <w:rFonts w:ascii="Arial" w:hAnsi="Arial" w:cs="Arial"/>
          <w:sz w:val="24"/>
          <w:szCs w:val="24"/>
        </w:rPr>
        <w:t xml:space="preserve"> a</w:t>
      </w:r>
      <w:r w:rsidR="00391AD6" w:rsidRPr="00712E7C">
        <w:rPr>
          <w:rFonts w:ascii="Arial" w:hAnsi="Arial" w:cs="Arial"/>
          <w:sz w:val="24"/>
          <w:szCs w:val="24"/>
        </w:rPr>
        <w:t xml:space="preserve"> temporal</w:t>
      </w:r>
      <w:r w:rsidR="008F4F35" w:rsidRPr="00712E7C">
        <w:rPr>
          <w:rFonts w:ascii="Arial" w:hAnsi="Arial" w:cs="Arial"/>
          <w:sz w:val="24"/>
          <w:szCs w:val="24"/>
        </w:rPr>
        <w:t xml:space="preserve"> renegotiation in</w:t>
      </w:r>
      <w:r w:rsidR="0022363C" w:rsidRPr="00712E7C">
        <w:rPr>
          <w:rFonts w:ascii="Arial" w:hAnsi="Arial" w:cs="Arial"/>
          <w:sz w:val="24"/>
          <w:szCs w:val="24"/>
        </w:rPr>
        <w:t xml:space="preserve"> the modes of interven</w:t>
      </w:r>
      <w:r w:rsidR="00391AD6" w:rsidRPr="00712E7C">
        <w:rPr>
          <w:rFonts w:ascii="Arial" w:hAnsi="Arial" w:cs="Arial"/>
          <w:sz w:val="24"/>
          <w:szCs w:val="24"/>
        </w:rPr>
        <w:t>tion used to secure events understood by their catastrophic potential</w:t>
      </w:r>
      <w:r w:rsidRPr="00712E7C">
        <w:rPr>
          <w:rFonts w:ascii="Arial" w:hAnsi="Arial" w:cs="Arial"/>
          <w:sz w:val="24"/>
          <w:szCs w:val="24"/>
        </w:rPr>
        <w:t>. Anticipation built</w:t>
      </w:r>
      <w:r w:rsidR="0022363C" w:rsidRPr="00712E7C">
        <w:rPr>
          <w:rFonts w:ascii="Arial" w:hAnsi="Arial" w:cs="Arial"/>
          <w:sz w:val="24"/>
          <w:szCs w:val="24"/>
        </w:rPr>
        <w:t xml:space="preserve"> the capacity to govern la</w:t>
      </w:r>
      <w:r w:rsidR="00391AD6" w:rsidRPr="00712E7C">
        <w:rPr>
          <w:rFonts w:ascii="Arial" w:hAnsi="Arial" w:cs="Arial"/>
          <w:sz w:val="24"/>
          <w:szCs w:val="24"/>
        </w:rPr>
        <w:t>rge catastrophes in advance</w:t>
      </w:r>
      <w:r w:rsidR="0022363C" w:rsidRPr="00712E7C">
        <w:rPr>
          <w:rFonts w:ascii="Arial" w:hAnsi="Arial" w:cs="Arial"/>
          <w:sz w:val="24"/>
          <w:szCs w:val="24"/>
        </w:rPr>
        <w:t xml:space="preserve"> of their unfolding.</w:t>
      </w:r>
      <w:r w:rsidR="00F2397E" w:rsidRPr="00712E7C">
        <w:rPr>
          <w:rFonts w:ascii="Arial" w:hAnsi="Arial" w:cs="Arial"/>
          <w:sz w:val="24"/>
          <w:szCs w:val="24"/>
        </w:rPr>
        <w:t xml:space="preserve"> </w:t>
      </w:r>
      <w:r w:rsidR="00FE1352" w:rsidRPr="00712E7C">
        <w:rPr>
          <w:rFonts w:ascii="Arial" w:hAnsi="Arial" w:cs="Arial"/>
          <w:sz w:val="24"/>
          <w:szCs w:val="24"/>
        </w:rPr>
        <w:t xml:space="preserve">An </w:t>
      </w:r>
      <w:r w:rsidR="0011502C" w:rsidRPr="00712E7C">
        <w:rPr>
          <w:rFonts w:ascii="Arial" w:hAnsi="Arial" w:cs="Arial"/>
          <w:sz w:val="24"/>
          <w:szCs w:val="24"/>
        </w:rPr>
        <w:t>increasing amount of literature, furthermore, scrutinises how t</w:t>
      </w:r>
      <w:r w:rsidRPr="00712E7C">
        <w:rPr>
          <w:rFonts w:ascii="Arial" w:hAnsi="Arial" w:cs="Arial"/>
          <w:sz w:val="24"/>
          <w:szCs w:val="24"/>
        </w:rPr>
        <w:t xml:space="preserve">hese </w:t>
      </w:r>
      <w:r w:rsidR="0022363C" w:rsidRPr="00712E7C">
        <w:rPr>
          <w:rFonts w:ascii="Arial" w:hAnsi="Arial" w:cs="Arial"/>
          <w:sz w:val="24"/>
          <w:szCs w:val="24"/>
        </w:rPr>
        <w:t>modes of intervention</w:t>
      </w:r>
      <w:r w:rsidR="00F2397E" w:rsidRPr="00712E7C">
        <w:rPr>
          <w:rFonts w:ascii="Arial" w:hAnsi="Arial" w:cs="Arial"/>
          <w:sz w:val="24"/>
          <w:szCs w:val="24"/>
        </w:rPr>
        <w:t xml:space="preserve"> </w:t>
      </w:r>
      <w:r w:rsidR="0022363C" w:rsidRPr="00712E7C">
        <w:rPr>
          <w:rFonts w:ascii="Arial" w:hAnsi="Arial" w:cs="Arial"/>
          <w:sz w:val="24"/>
          <w:szCs w:val="24"/>
        </w:rPr>
        <w:t>were developed in conjunction with forms of calculation</w:t>
      </w:r>
      <w:r w:rsidR="0074292D">
        <w:rPr>
          <w:rFonts w:ascii="Arial" w:hAnsi="Arial" w:cs="Arial"/>
          <w:sz w:val="24"/>
          <w:szCs w:val="24"/>
        </w:rPr>
        <w:t>,</w:t>
      </w:r>
      <w:r w:rsidR="0022363C" w:rsidRPr="00712E7C">
        <w:rPr>
          <w:rFonts w:ascii="Arial" w:hAnsi="Arial" w:cs="Arial"/>
          <w:sz w:val="24"/>
          <w:szCs w:val="24"/>
        </w:rPr>
        <w:t xml:space="preserve"> which</w:t>
      </w:r>
      <w:r w:rsidR="00B807C8" w:rsidRPr="00712E7C">
        <w:rPr>
          <w:rFonts w:ascii="Arial" w:hAnsi="Arial" w:cs="Arial"/>
          <w:sz w:val="24"/>
          <w:szCs w:val="24"/>
        </w:rPr>
        <w:t xml:space="preserve"> understand, comprehend and capture</w:t>
      </w:r>
      <w:r w:rsidR="0022363C" w:rsidRPr="00712E7C">
        <w:rPr>
          <w:rFonts w:ascii="Arial" w:hAnsi="Arial" w:cs="Arial"/>
          <w:sz w:val="24"/>
          <w:szCs w:val="24"/>
        </w:rPr>
        <w:t xml:space="preserve"> catast</w:t>
      </w:r>
      <w:r w:rsidR="005E52BB" w:rsidRPr="00712E7C">
        <w:rPr>
          <w:rFonts w:ascii="Arial" w:hAnsi="Arial" w:cs="Arial"/>
          <w:sz w:val="24"/>
          <w:szCs w:val="24"/>
        </w:rPr>
        <w:t>rophes as so many</w:t>
      </w:r>
      <w:r w:rsidR="0022363C" w:rsidRPr="00712E7C">
        <w:rPr>
          <w:rFonts w:ascii="Arial" w:hAnsi="Arial" w:cs="Arial"/>
          <w:sz w:val="24"/>
          <w:szCs w:val="24"/>
        </w:rPr>
        <w:t xml:space="preserve"> risk</w:t>
      </w:r>
      <w:r w:rsidR="005E52BB" w:rsidRPr="00712E7C">
        <w:rPr>
          <w:rFonts w:ascii="Arial" w:hAnsi="Arial" w:cs="Arial"/>
          <w:sz w:val="24"/>
          <w:szCs w:val="24"/>
        </w:rPr>
        <w:t>s</w:t>
      </w:r>
    </w:p>
    <w:p w:rsidR="0022363C" w:rsidRDefault="0074292D" w:rsidP="00712E7C">
      <w:pPr>
        <w:spacing w:after="0" w:line="360" w:lineRule="auto"/>
        <w:jc w:val="both"/>
        <w:rPr>
          <w:rFonts w:ascii="Arial" w:hAnsi="Arial" w:cs="Arial"/>
          <w:sz w:val="24"/>
          <w:szCs w:val="24"/>
        </w:rPr>
      </w:pPr>
      <w:r w:rsidRPr="00712E7C">
        <w:rPr>
          <w:rStyle w:val="EndnoteReference"/>
          <w:rFonts w:ascii="Arial" w:hAnsi="Arial" w:cs="Arial"/>
          <w:sz w:val="24"/>
          <w:szCs w:val="24"/>
        </w:rPr>
        <w:endnoteReference w:id="1"/>
      </w:r>
      <w:r w:rsidRPr="00712E7C">
        <w:rPr>
          <w:rFonts w:ascii="Arial" w:hAnsi="Arial" w:cs="Arial"/>
          <w:sz w:val="24"/>
          <w:szCs w:val="24"/>
        </w:rPr>
        <w:t>.</w:t>
      </w:r>
      <w:r w:rsidR="00391AD6" w:rsidRPr="00712E7C">
        <w:rPr>
          <w:rFonts w:ascii="Arial" w:hAnsi="Arial" w:cs="Arial"/>
          <w:sz w:val="24"/>
          <w:szCs w:val="24"/>
        </w:rPr>
        <w:t xml:space="preserve"> Large scale events were</w:t>
      </w:r>
      <w:r w:rsidR="0022363C" w:rsidRPr="00712E7C">
        <w:rPr>
          <w:rFonts w:ascii="Arial" w:hAnsi="Arial" w:cs="Arial"/>
          <w:sz w:val="24"/>
          <w:szCs w:val="24"/>
        </w:rPr>
        <w:t xml:space="preserve"> to be known in the same way as they were to be acted upon; by their potential in the future. </w:t>
      </w:r>
    </w:p>
    <w:p w:rsidR="00FE224D" w:rsidRDefault="00ED59C7" w:rsidP="00712E7C">
      <w:pPr>
        <w:spacing w:after="0" w:line="360" w:lineRule="auto"/>
        <w:jc w:val="both"/>
        <w:rPr>
          <w:rFonts w:ascii="Arial" w:hAnsi="Arial" w:cs="Arial"/>
          <w:sz w:val="24"/>
          <w:szCs w:val="24"/>
        </w:rPr>
      </w:pPr>
      <w:r w:rsidRPr="00712E7C">
        <w:rPr>
          <w:rFonts w:ascii="Arial" w:hAnsi="Arial" w:cs="Arial"/>
          <w:sz w:val="24"/>
          <w:szCs w:val="24"/>
        </w:rPr>
        <w:lastRenderedPageBreak/>
        <w:t xml:space="preserve">A </w:t>
      </w:r>
      <w:r w:rsidR="00FE224D" w:rsidRPr="00712E7C">
        <w:rPr>
          <w:rFonts w:ascii="Arial" w:hAnsi="Arial" w:cs="Arial"/>
          <w:sz w:val="24"/>
          <w:szCs w:val="24"/>
        </w:rPr>
        <w:t xml:space="preserve">month before the </w:t>
      </w:r>
      <w:r w:rsidR="0049544D" w:rsidRPr="00712E7C">
        <w:rPr>
          <w:rFonts w:ascii="Arial" w:hAnsi="Arial" w:cs="Arial"/>
          <w:i/>
          <w:iCs/>
          <w:sz w:val="24"/>
          <w:szCs w:val="24"/>
        </w:rPr>
        <w:t>Civil Contingencies Act</w:t>
      </w:r>
      <w:r w:rsidR="00391AD6" w:rsidRPr="00712E7C">
        <w:rPr>
          <w:rFonts w:ascii="Arial" w:hAnsi="Arial" w:cs="Arial"/>
          <w:sz w:val="24"/>
          <w:szCs w:val="24"/>
        </w:rPr>
        <w:t>,</w:t>
      </w:r>
      <w:r w:rsidR="00FE224D" w:rsidRPr="00712E7C">
        <w:rPr>
          <w:rFonts w:ascii="Arial" w:hAnsi="Arial" w:cs="Arial"/>
          <w:sz w:val="24"/>
          <w:szCs w:val="24"/>
        </w:rPr>
        <w:t xml:space="preserve"> the </w:t>
      </w:r>
      <w:r w:rsidR="00FE224D" w:rsidRPr="00712E7C">
        <w:rPr>
          <w:rFonts w:ascii="Arial" w:hAnsi="Arial" w:cs="Arial"/>
          <w:i/>
          <w:iCs/>
          <w:sz w:val="24"/>
          <w:szCs w:val="24"/>
        </w:rPr>
        <w:t>Fire and Rescue Services Ac</w:t>
      </w:r>
      <w:r w:rsidR="0074292D">
        <w:rPr>
          <w:rFonts w:ascii="Arial" w:hAnsi="Arial" w:cs="Arial"/>
          <w:i/>
          <w:iCs/>
          <w:sz w:val="24"/>
          <w:szCs w:val="24"/>
        </w:rPr>
        <w:t>t</w:t>
      </w:r>
      <w:r w:rsidR="00FE224D" w:rsidRPr="00712E7C">
        <w:rPr>
          <w:rFonts w:ascii="Arial" w:hAnsi="Arial" w:cs="Arial"/>
          <w:sz w:val="24"/>
          <w:szCs w:val="24"/>
        </w:rPr>
        <w:t xml:space="preserve"> </w:t>
      </w:r>
      <w:r w:rsidR="0074292D">
        <w:rPr>
          <w:rFonts w:ascii="Arial" w:hAnsi="Arial" w:cs="Arial"/>
          <w:sz w:val="24"/>
          <w:szCs w:val="24"/>
        </w:rPr>
        <w:t xml:space="preserve">(FRS Act) </w:t>
      </w:r>
      <w:r w:rsidR="00FE224D" w:rsidRPr="00712E7C">
        <w:rPr>
          <w:rFonts w:ascii="Arial" w:hAnsi="Arial" w:cs="Arial"/>
          <w:sz w:val="24"/>
          <w:szCs w:val="24"/>
        </w:rPr>
        <w:t xml:space="preserve">was introduced into British Parliament. The </w:t>
      </w:r>
      <w:r w:rsidR="00FE224D" w:rsidRPr="00712E7C">
        <w:rPr>
          <w:rFonts w:ascii="Arial" w:hAnsi="Arial" w:cs="Arial"/>
          <w:i/>
          <w:iCs/>
          <w:sz w:val="24"/>
          <w:szCs w:val="24"/>
        </w:rPr>
        <w:t>Fire and Rescue Services Act</w:t>
      </w:r>
      <w:r w:rsidR="00B807C8" w:rsidRPr="00712E7C">
        <w:rPr>
          <w:rFonts w:ascii="Arial" w:hAnsi="Arial" w:cs="Arial"/>
          <w:sz w:val="24"/>
          <w:szCs w:val="24"/>
        </w:rPr>
        <w:t xml:space="preserve"> implemented</w:t>
      </w:r>
      <w:r w:rsidR="00FE224D" w:rsidRPr="00712E7C">
        <w:rPr>
          <w:rFonts w:ascii="Arial" w:hAnsi="Arial" w:cs="Arial"/>
          <w:sz w:val="24"/>
          <w:szCs w:val="24"/>
        </w:rPr>
        <w:t xml:space="preserve"> some very similar changes as the </w:t>
      </w:r>
      <w:r w:rsidR="00FE224D" w:rsidRPr="00712E7C">
        <w:rPr>
          <w:rFonts w:ascii="Arial" w:hAnsi="Arial" w:cs="Arial"/>
          <w:i/>
          <w:iCs/>
          <w:sz w:val="24"/>
          <w:szCs w:val="24"/>
        </w:rPr>
        <w:t>Civil Contingencies Act</w:t>
      </w:r>
      <w:r w:rsidR="00FE224D" w:rsidRPr="00712E7C">
        <w:rPr>
          <w:rFonts w:ascii="Arial" w:hAnsi="Arial" w:cs="Arial"/>
          <w:sz w:val="24"/>
          <w:szCs w:val="24"/>
        </w:rPr>
        <w:t xml:space="preserve">. </w:t>
      </w:r>
      <w:r w:rsidR="005E52BB" w:rsidRPr="00712E7C">
        <w:rPr>
          <w:rFonts w:ascii="Arial" w:hAnsi="Arial" w:cs="Arial"/>
          <w:sz w:val="24"/>
          <w:szCs w:val="24"/>
        </w:rPr>
        <w:t xml:space="preserve">A reaction to the </w:t>
      </w:r>
      <w:r w:rsidRPr="00712E7C">
        <w:rPr>
          <w:rFonts w:ascii="Arial" w:hAnsi="Arial" w:cs="Arial"/>
          <w:sz w:val="24"/>
          <w:szCs w:val="24"/>
        </w:rPr>
        <w:t xml:space="preserve">same </w:t>
      </w:r>
      <w:r w:rsidR="003215A2" w:rsidRPr="00712E7C">
        <w:rPr>
          <w:rFonts w:ascii="Arial" w:hAnsi="Arial" w:cs="Arial"/>
          <w:sz w:val="24"/>
          <w:szCs w:val="24"/>
        </w:rPr>
        <w:t>set of catastrophic and large scale events</w:t>
      </w:r>
      <w:r w:rsidRPr="00712E7C">
        <w:rPr>
          <w:rFonts w:ascii="Arial" w:hAnsi="Arial" w:cs="Arial"/>
          <w:sz w:val="24"/>
          <w:szCs w:val="24"/>
        </w:rPr>
        <w:t xml:space="preserve">, the </w:t>
      </w:r>
      <w:r w:rsidR="0074292D">
        <w:rPr>
          <w:rFonts w:ascii="Arial" w:hAnsi="Arial" w:cs="Arial"/>
          <w:sz w:val="24"/>
          <w:szCs w:val="24"/>
        </w:rPr>
        <w:t xml:space="preserve">FRS </w:t>
      </w:r>
      <w:r w:rsidR="005E52BB" w:rsidRPr="00712E7C">
        <w:rPr>
          <w:rFonts w:ascii="Arial" w:hAnsi="Arial" w:cs="Arial"/>
          <w:sz w:val="24"/>
          <w:szCs w:val="24"/>
        </w:rPr>
        <w:t>Act</w:t>
      </w:r>
      <w:r w:rsidR="0049544D" w:rsidRPr="00712E7C">
        <w:rPr>
          <w:rFonts w:ascii="Arial" w:hAnsi="Arial" w:cs="Arial"/>
          <w:sz w:val="24"/>
          <w:szCs w:val="24"/>
        </w:rPr>
        <w:t xml:space="preserve"> </w:t>
      </w:r>
      <w:r w:rsidR="005E52BB" w:rsidRPr="00712E7C">
        <w:rPr>
          <w:rFonts w:ascii="Arial" w:hAnsi="Arial" w:cs="Arial"/>
          <w:sz w:val="24"/>
          <w:szCs w:val="24"/>
        </w:rPr>
        <w:t>re-problematised the operatio</w:t>
      </w:r>
      <w:r w:rsidR="0074292D">
        <w:rPr>
          <w:rFonts w:ascii="Arial" w:hAnsi="Arial" w:cs="Arial"/>
          <w:sz w:val="24"/>
          <w:szCs w:val="24"/>
        </w:rPr>
        <w:t>n of the FRS</w:t>
      </w:r>
      <w:r w:rsidR="005E52BB" w:rsidRPr="00712E7C">
        <w:rPr>
          <w:rFonts w:ascii="Arial" w:hAnsi="Arial" w:cs="Arial"/>
          <w:sz w:val="24"/>
          <w:szCs w:val="24"/>
        </w:rPr>
        <w:t>. It instilled within the FRS a strategic architecture organised around anticipation</w:t>
      </w:r>
      <w:r w:rsidR="0074292D">
        <w:rPr>
          <w:rFonts w:ascii="Arial" w:hAnsi="Arial" w:cs="Arial"/>
          <w:sz w:val="24"/>
          <w:szCs w:val="24"/>
        </w:rPr>
        <w:t>,</w:t>
      </w:r>
      <w:r w:rsidRPr="00712E7C">
        <w:rPr>
          <w:rFonts w:ascii="Arial" w:hAnsi="Arial" w:cs="Arial"/>
          <w:sz w:val="24"/>
          <w:szCs w:val="24"/>
        </w:rPr>
        <w:t xml:space="preserve"> </w:t>
      </w:r>
      <w:r w:rsidR="005E52BB" w:rsidRPr="00712E7C">
        <w:rPr>
          <w:rFonts w:ascii="Arial" w:hAnsi="Arial" w:cs="Arial"/>
          <w:sz w:val="24"/>
          <w:szCs w:val="24"/>
        </w:rPr>
        <w:t>consolidated around</w:t>
      </w:r>
      <w:r w:rsidR="00391AD6" w:rsidRPr="00712E7C">
        <w:rPr>
          <w:rFonts w:ascii="Arial" w:hAnsi="Arial" w:cs="Arial"/>
          <w:sz w:val="24"/>
          <w:szCs w:val="24"/>
        </w:rPr>
        <w:t xml:space="preserve"> a three-pronged approach to </w:t>
      </w:r>
      <w:r w:rsidR="003275E7" w:rsidRPr="00712E7C">
        <w:rPr>
          <w:rFonts w:ascii="Arial" w:hAnsi="Arial" w:cs="Arial"/>
          <w:sz w:val="24"/>
          <w:szCs w:val="24"/>
        </w:rPr>
        <w:t xml:space="preserve">security </w:t>
      </w:r>
      <w:r w:rsidRPr="00712E7C">
        <w:rPr>
          <w:rFonts w:ascii="Arial" w:hAnsi="Arial" w:cs="Arial"/>
          <w:sz w:val="24"/>
          <w:szCs w:val="24"/>
        </w:rPr>
        <w:t xml:space="preserve">consisting </w:t>
      </w:r>
      <w:r w:rsidR="00391AD6" w:rsidRPr="00712E7C">
        <w:rPr>
          <w:rFonts w:ascii="Arial" w:hAnsi="Arial" w:cs="Arial"/>
          <w:sz w:val="24"/>
          <w:szCs w:val="24"/>
        </w:rPr>
        <w:t>of</w:t>
      </w:r>
      <w:r w:rsidR="005E52BB" w:rsidRPr="00712E7C">
        <w:rPr>
          <w:rFonts w:ascii="Arial" w:hAnsi="Arial" w:cs="Arial"/>
          <w:sz w:val="24"/>
          <w:szCs w:val="24"/>
        </w:rPr>
        <w:t xml:space="preserve"> prevention, protection and preparing response.</w:t>
      </w:r>
      <w:r w:rsidRPr="00712E7C">
        <w:rPr>
          <w:rFonts w:ascii="Arial" w:hAnsi="Arial" w:cs="Arial"/>
          <w:sz w:val="24"/>
          <w:szCs w:val="24"/>
        </w:rPr>
        <w:t xml:space="preserve"> </w:t>
      </w:r>
      <w:r w:rsidR="0011502C" w:rsidRPr="00712E7C">
        <w:rPr>
          <w:rFonts w:ascii="Arial" w:hAnsi="Arial" w:cs="Arial"/>
          <w:sz w:val="24"/>
          <w:szCs w:val="24"/>
        </w:rPr>
        <w:t xml:space="preserve">The new strategic architecture not only shaped the FRS’ contribution to response </w:t>
      </w:r>
      <w:r w:rsidR="0074292D">
        <w:rPr>
          <w:rFonts w:ascii="Arial" w:hAnsi="Arial" w:cs="Arial"/>
          <w:sz w:val="24"/>
          <w:szCs w:val="24"/>
        </w:rPr>
        <w:t>at</w:t>
      </w:r>
      <w:r w:rsidR="0011502C" w:rsidRPr="00712E7C">
        <w:rPr>
          <w:rFonts w:ascii="Arial" w:hAnsi="Arial" w:cs="Arial"/>
          <w:sz w:val="24"/>
          <w:szCs w:val="24"/>
        </w:rPr>
        <w:t xml:space="preserve"> the time of a large scale catastrophe</w:t>
      </w:r>
      <w:r w:rsidR="0074292D">
        <w:rPr>
          <w:rFonts w:ascii="Arial" w:hAnsi="Arial" w:cs="Arial"/>
          <w:sz w:val="24"/>
          <w:szCs w:val="24"/>
        </w:rPr>
        <w:t>,</w:t>
      </w:r>
      <w:r w:rsidR="0011502C" w:rsidRPr="00712E7C">
        <w:rPr>
          <w:rFonts w:ascii="Arial" w:hAnsi="Arial" w:cs="Arial"/>
          <w:sz w:val="24"/>
          <w:szCs w:val="24"/>
        </w:rPr>
        <w:t xml:space="preserve"> but </w:t>
      </w:r>
      <w:r w:rsidRPr="00712E7C">
        <w:rPr>
          <w:rFonts w:ascii="Arial" w:hAnsi="Arial" w:cs="Arial"/>
          <w:sz w:val="24"/>
          <w:szCs w:val="24"/>
        </w:rPr>
        <w:t>renegotiated the service</w:t>
      </w:r>
      <w:r w:rsidR="00A11DD9" w:rsidRPr="00712E7C">
        <w:rPr>
          <w:rFonts w:ascii="Arial" w:hAnsi="Arial" w:cs="Arial"/>
          <w:sz w:val="24"/>
          <w:szCs w:val="24"/>
        </w:rPr>
        <w:t>’</w:t>
      </w:r>
      <w:r w:rsidRPr="00712E7C">
        <w:rPr>
          <w:rFonts w:ascii="Arial" w:hAnsi="Arial" w:cs="Arial"/>
          <w:sz w:val="24"/>
          <w:szCs w:val="24"/>
        </w:rPr>
        <w:t xml:space="preserve">s response to </w:t>
      </w:r>
      <w:r w:rsidR="003215A2" w:rsidRPr="00712E7C">
        <w:rPr>
          <w:rFonts w:ascii="Arial" w:hAnsi="Arial" w:cs="Arial"/>
          <w:sz w:val="24"/>
          <w:szCs w:val="24"/>
        </w:rPr>
        <w:t>the emergency event they attend to da</w:t>
      </w:r>
      <w:r w:rsidR="0074292D">
        <w:rPr>
          <w:rFonts w:ascii="Arial" w:hAnsi="Arial" w:cs="Arial"/>
          <w:sz w:val="24"/>
          <w:szCs w:val="24"/>
        </w:rPr>
        <w:t>ily: fire</w:t>
      </w:r>
      <w:r w:rsidR="005E52BB" w:rsidRPr="00712E7C">
        <w:rPr>
          <w:rFonts w:ascii="Arial" w:hAnsi="Arial" w:cs="Arial"/>
          <w:sz w:val="24"/>
          <w:szCs w:val="24"/>
        </w:rPr>
        <w:t xml:space="preserve">. Echoing the </w:t>
      </w:r>
      <w:r w:rsidR="005E52BB" w:rsidRPr="00712E7C">
        <w:rPr>
          <w:rFonts w:ascii="Arial" w:hAnsi="Arial" w:cs="Arial"/>
          <w:i/>
          <w:iCs/>
          <w:sz w:val="24"/>
          <w:szCs w:val="24"/>
        </w:rPr>
        <w:t>Civil Contingencies Ac</w:t>
      </w:r>
      <w:r w:rsidR="00A11DD9" w:rsidRPr="00712E7C">
        <w:rPr>
          <w:rFonts w:ascii="Arial" w:hAnsi="Arial" w:cs="Arial"/>
          <w:i/>
          <w:iCs/>
          <w:sz w:val="24"/>
          <w:szCs w:val="24"/>
        </w:rPr>
        <w:t>t</w:t>
      </w:r>
      <w:r w:rsidR="005E52BB" w:rsidRPr="00712E7C">
        <w:rPr>
          <w:rFonts w:ascii="Arial" w:hAnsi="Arial" w:cs="Arial"/>
          <w:sz w:val="24"/>
          <w:szCs w:val="24"/>
        </w:rPr>
        <w:t>, not only was fire to be governed in antici</w:t>
      </w:r>
      <w:r w:rsidRPr="00712E7C">
        <w:rPr>
          <w:rFonts w:ascii="Arial" w:hAnsi="Arial" w:cs="Arial"/>
          <w:sz w:val="24"/>
          <w:szCs w:val="24"/>
        </w:rPr>
        <w:t>pation of its occurrence</w:t>
      </w:r>
      <w:r w:rsidR="0074292D">
        <w:rPr>
          <w:rFonts w:ascii="Arial" w:hAnsi="Arial" w:cs="Arial"/>
          <w:sz w:val="24"/>
          <w:szCs w:val="24"/>
        </w:rPr>
        <w:t>,</w:t>
      </w:r>
      <w:r w:rsidRPr="00712E7C">
        <w:rPr>
          <w:rFonts w:ascii="Arial" w:hAnsi="Arial" w:cs="Arial"/>
          <w:sz w:val="24"/>
          <w:szCs w:val="24"/>
        </w:rPr>
        <w:t xml:space="preserve"> but </w:t>
      </w:r>
      <w:r w:rsidR="005E52BB" w:rsidRPr="00712E7C">
        <w:rPr>
          <w:rFonts w:ascii="Arial" w:hAnsi="Arial" w:cs="Arial"/>
          <w:sz w:val="24"/>
          <w:szCs w:val="24"/>
        </w:rPr>
        <w:t>was also to be known</w:t>
      </w:r>
      <w:r w:rsidR="003275E7" w:rsidRPr="00712E7C">
        <w:rPr>
          <w:rFonts w:ascii="Arial" w:hAnsi="Arial" w:cs="Arial"/>
          <w:sz w:val="24"/>
          <w:szCs w:val="24"/>
        </w:rPr>
        <w:t xml:space="preserve"> and calculated</w:t>
      </w:r>
      <w:r w:rsidR="005E52BB" w:rsidRPr="00712E7C">
        <w:rPr>
          <w:rFonts w:ascii="Arial" w:hAnsi="Arial" w:cs="Arial"/>
          <w:sz w:val="24"/>
          <w:szCs w:val="24"/>
        </w:rPr>
        <w:t xml:space="preserve"> by its futurity and risk. </w:t>
      </w:r>
    </w:p>
    <w:p w:rsidR="0074292D" w:rsidRPr="00712E7C" w:rsidRDefault="0074292D" w:rsidP="00712E7C">
      <w:pPr>
        <w:spacing w:after="0" w:line="360" w:lineRule="auto"/>
        <w:jc w:val="both"/>
        <w:rPr>
          <w:rFonts w:ascii="Arial" w:hAnsi="Arial" w:cs="Arial"/>
          <w:sz w:val="24"/>
          <w:szCs w:val="24"/>
        </w:rPr>
      </w:pPr>
    </w:p>
    <w:p w:rsidR="005E52BB" w:rsidRDefault="00881238" w:rsidP="00712E7C">
      <w:pPr>
        <w:spacing w:after="0" w:line="360" w:lineRule="auto"/>
        <w:jc w:val="both"/>
        <w:rPr>
          <w:rFonts w:ascii="Arial" w:hAnsi="Arial" w:cs="Arial"/>
          <w:sz w:val="24"/>
          <w:szCs w:val="24"/>
        </w:rPr>
      </w:pPr>
      <w:r w:rsidRPr="00712E7C">
        <w:rPr>
          <w:rFonts w:ascii="Arial" w:hAnsi="Arial" w:cs="Arial"/>
          <w:sz w:val="24"/>
          <w:szCs w:val="24"/>
        </w:rPr>
        <w:t>Comparison of</w:t>
      </w:r>
      <w:r w:rsidR="00391AD6" w:rsidRPr="00712E7C">
        <w:rPr>
          <w:rFonts w:ascii="Arial" w:hAnsi="Arial" w:cs="Arial"/>
          <w:sz w:val="24"/>
          <w:szCs w:val="24"/>
        </w:rPr>
        <w:t xml:space="preserve"> the</w:t>
      </w:r>
      <w:r w:rsidR="003215A2" w:rsidRPr="00712E7C">
        <w:rPr>
          <w:rFonts w:ascii="Arial" w:hAnsi="Arial" w:cs="Arial"/>
          <w:sz w:val="24"/>
          <w:szCs w:val="24"/>
        </w:rPr>
        <w:t xml:space="preserve"> </w:t>
      </w:r>
      <w:r w:rsidR="0074292D" w:rsidRPr="0074292D">
        <w:rPr>
          <w:rFonts w:ascii="Arial" w:hAnsi="Arial" w:cs="Arial"/>
          <w:sz w:val="24"/>
          <w:szCs w:val="24"/>
        </w:rPr>
        <w:t>two Acts</w:t>
      </w:r>
      <w:r w:rsidR="00C612DA" w:rsidRPr="00712E7C">
        <w:rPr>
          <w:rFonts w:ascii="Arial" w:hAnsi="Arial" w:cs="Arial"/>
          <w:sz w:val="24"/>
          <w:szCs w:val="24"/>
        </w:rPr>
        <w:t xml:space="preserve"> demonstrate</w:t>
      </w:r>
      <w:r w:rsidRPr="00712E7C">
        <w:rPr>
          <w:rFonts w:ascii="Arial" w:hAnsi="Arial" w:cs="Arial"/>
          <w:sz w:val="24"/>
          <w:szCs w:val="24"/>
        </w:rPr>
        <w:t>s</w:t>
      </w:r>
      <w:r w:rsidR="00C612DA" w:rsidRPr="00712E7C">
        <w:rPr>
          <w:rFonts w:ascii="Arial" w:hAnsi="Arial" w:cs="Arial"/>
          <w:sz w:val="24"/>
          <w:szCs w:val="24"/>
        </w:rPr>
        <w:t xml:space="preserve"> that </w:t>
      </w:r>
      <w:r w:rsidR="00606A28" w:rsidRPr="00712E7C">
        <w:rPr>
          <w:rFonts w:ascii="Arial" w:hAnsi="Arial" w:cs="Arial"/>
          <w:sz w:val="24"/>
          <w:szCs w:val="24"/>
        </w:rPr>
        <w:t xml:space="preserve">the emergence </w:t>
      </w:r>
      <w:r w:rsidR="003833CE" w:rsidRPr="00712E7C">
        <w:rPr>
          <w:rFonts w:ascii="Arial" w:hAnsi="Arial" w:cs="Arial"/>
          <w:sz w:val="24"/>
          <w:szCs w:val="24"/>
        </w:rPr>
        <w:t xml:space="preserve">of </w:t>
      </w:r>
      <w:r w:rsidR="00606A28" w:rsidRPr="00712E7C">
        <w:rPr>
          <w:rFonts w:ascii="Arial" w:hAnsi="Arial" w:cs="Arial"/>
          <w:sz w:val="24"/>
          <w:szCs w:val="24"/>
        </w:rPr>
        <w:t>risk governance</w:t>
      </w:r>
      <w:r w:rsidR="00C612DA" w:rsidRPr="00712E7C">
        <w:rPr>
          <w:rFonts w:ascii="Arial" w:hAnsi="Arial" w:cs="Arial"/>
          <w:sz w:val="24"/>
          <w:szCs w:val="24"/>
        </w:rPr>
        <w:t xml:space="preserve"> has not only been applied to make sense of, and attend to, large-scale events. The </w:t>
      </w:r>
      <w:r w:rsidR="0049544D" w:rsidRPr="00712E7C">
        <w:rPr>
          <w:rFonts w:ascii="Arial" w:hAnsi="Arial" w:cs="Arial"/>
          <w:sz w:val="24"/>
          <w:szCs w:val="24"/>
        </w:rPr>
        <w:t>organisational and epistemic transformations</w:t>
      </w:r>
      <w:r w:rsidR="0074292D">
        <w:rPr>
          <w:rFonts w:ascii="Arial" w:hAnsi="Arial" w:cs="Arial"/>
          <w:sz w:val="24"/>
          <w:szCs w:val="24"/>
        </w:rPr>
        <w:t>,</w:t>
      </w:r>
      <w:r w:rsidR="0049544D" w:rsidRPr="00712E7C">
        <w:rPr>
          <w:rFonts w:ascii="Arial" w:hAnsi="Arial" w:cs="Arial"/>
          <w:sz w:val="24"/>
          <w:szCs w:val="24"/>
        </w:rPr>
        <w:t xml:space="preserve"> which have produced the contemporary FRS</w:t>
      </w:r>
      <w:r w:rsidR="0074292D">
        <w:rPr>
          <w:rFonts w:ascii="Arial" w:hAnsi="Arial" w:cs="Arial"/>
          <w:sz w:val="24"/>
          <w:szCs w:val="24"/>
        </w:rPr>
        <w:t>,</w:t>
      </w:r>
      <w:r w:rsidR="0049544D" w:rsidRPr="00712E7C">
        <w:rPr>
          <w:rFonts w:ascii="Arial" w:hAnsi="Arial" w:cs="Arial"/>
          <w:sz w:val="24"/>
          <w:szCs w:val="24"/>
        </w:rPr>
        <w:t xml:space="preserve"> </w:t>
      </w:r>
      <w:r w:rsidR="00C612DA" w:rsidRPr="00712E7C">
        <w:rPr>
          <w:rFonts w:ascii="Arial" w:hAnsi="Arial" w:cs="Arial"/>
          <w:sz w:val="24"/>
          <w:szCs w:val="24"/>
        </w:rPr>
        <w:t xml:space="preserve">suggest that </w:t>
      </w:r>
      <w:r w:rsidR="0049544D" w:rsidRPr="00712E7C">
        <w:rPr>
          <w:rFonts w:ascii="Arial" w:hAnsi="Arial" w:cs="Arial"/>
          <w:sz w:val="24"/>
          <w:szCs w:val="24"/>
        </w:rPr>
        <w:t xml:space="preserve">practices of risk governance </w:t>
      </w:r>
      <w:r w:rsidR="00C612DA" w:rsidRPr="00712E7C">
        <w:rPr>
          <w:rFonts w:ascii="Arial" w:hAnsi="Arial" w:cs="Arial"/>
          <w:sz w:val="24"/>
          <w:szCs w:val="24"/>
        </w:rPr>
        <w:t>take flight and find new fields of application with</w:t>
      </w:r>
      <w:r w:rsidR="00391AD6" w:rsidRPr="00712E7C">
        <w:rPr>
          <w:rFonts w:ascii="Arial" w:hAnsi="Arial" w:cs="Arial"/>
          <w:sz w:val="24"/>
          <w:szCs w:val="24"/>
        </w:rPr>
        <w:t>in</w:t>
      </w:r>
      <w:r w:rsidR="00C612DA" w:rsidRPr="00712E7C">
        <w:rPr>
          <w:rFonts w:ascii="Arial" w:hAnsi="Arial" w:cs="Arial"/>
          <w:sz w:val="24"/>
          <w:szCs w:val="24"/>
        </w:rPr>
        <w:t xml:space="preserve"> more banal</w:t>
      </w:r>
      <w:r w:rsidRPr="00712E7C">
        <w:rPr>
          <w:rFonts w:ascii="Arial" w:hAnsi="Arial" w:cs="Arial"/>
          <w:sz w:val="24"/>
          <w:szCs w:val="24"/>
        </w:rPr>
        <w:t xml:space="preserve"> </w:t>
      </w:r>
      <w:r w:rsidR="00C612DA" w:rsidRPr="00712E7C">
        <w:rPr>
          <w:rFonts w:ascii="Arial" w:hAnsi="Arial" w:cs="Arial"/>
          <w:sz w:val="24"/>
          <w:szCs w:val="24"/>
        </w:rPr>
        <w:t>types of emergency. As a term encompassing a variety of</w:t>
      </w:r>
      <w:r w:rsidR="0049544D" w:rsidRPr="00712E7C">
        <w:rPr>
          <w:rFonts w:ascii="Arial" w:hAnsi="Arial" w:cs="Arial"/>
          <w:sz w:val="24"/>
          <w:szCs w:val="24"/>
        </w:rPr>
        <w:t xml:space="preserve"> governing</w:t>
      </w:r>
      <w:r w:rsidR="00C612DA" w:rsidRPr="00712E7C">
        <w:rPr>
          <w:rFonts w:ascii="Arial" w:hAnsi="Arial" w:cs="Arial"/>
          <w:sz w:val="24"/>
          <w:szCs w:val="24"/>
        </w:rPr>
        <w:t xml:space="preserve"> agents, </w:t>
      </w:r>
      <w:r w:rsidR="00391AD6" w:rsidRPr="00712E7C">
        <w:rPr>
          <w:rFonts w:ascii="Arial" w:hAnsi="Arial" w:cs="Arial"/>
          <w:sz w:val="24"/>
          <w:szCs w:val="24"/>
        </w:rPr>
        <w:t>O’Malley</w:t>
      </w:r>
      <w:r w:rsidR="0074292D">
        <w:rPr>
          <w:rFonts w:ascii="Arial" w:hAnsi="Arial" w:cs="Arial"/>
          <w:sz w:val="24"/>
          <w:szCs w:val="24"/>
        </w:rPr>
        <w:t xml:space="preserve"> (2004)</w:t>
      </w:r>
      <w:r w:rsidR="00F52FE5" w:rsidRPr="00712E7C">
        <w:rPr>
          <w:rFonts w:ascii="Arial" w:hAnsi="Arial" w:cs="Arial"/>
          <w:sz w:val="24"/>
          <w:szCs w:val="24"/>
        </w:rPr>
        <w:t xml:space="preserve"> </w:t>
      </w:r>
      <w:r w:rsidR="00391AD6" w:rsidRPr="00712E7C">
        <w:rPr>
          <w:rFonts w:ascii="Arial" w:hAnsi="Arial" w:cs="Arial"/>
          <w:sz w:val="24"/>
          <w:szCs w:val="24"/>
        </w:rPr>
        <w:t xml:space="preserve">argues that </w:t>
      </w:r>
      <w:r w:rsidR="00C612DA" w:rsidRPr="00712E7C">
        <w:rPr>
          <w:rFonts w:ascii="Arial" w:hAnsi="Arial" w:cs="Arial"/>
          <w:sz w:val="24"/>
          <w:szCs w:val="24"/>
        </w:rPr>
        <w:t>the security apparatus is flexible and adaptive t</w:t>
      </w:r>
      <w:r w:rsidR="00391AD6" w:rsidRPr="00712E7C">
        <w:rPr>
          <w:rFonts w:ascii="Arial" w:hAnsi="Arial" w:cs="Arial"/>
          <w:sz w:val="24"/>
          <w:szCs w:val="24"/>
        </w:rPr>
        <w:t>o an expan</w:t>
      </w:r>
      <w:r w:rsidR="0049544D" w:rsidRPr="00712E7C">
        <w:rPr>
          <w:rFonts w:ascii="Arial" w:hAnsi="Arial" w:cs="Arial"/>
          <w:sz w:val="24"/>
          <w:szCs w:val="24"/>
        </w:rPr>
        <w:t>d</w:t>
      </w:r>
      <w:r w:rsidR="00391AD6" w:rsidRPr="00712E7C">
        <w:rPr>
          <w:rFonts w:ascii="Arial" w:hAnsi="Arial" w:cs="Arial"/>
          <w:sz w:val="24"/>
          <w:szCs w:val="24"/>
        </w:rPr>
        <w:t>ing array of events which fall</w:t>
      </w:r>
      <w:r w:rsidR="00C612DA" w:rsidRPr="00712E7C">
        <w:rPr>
          <w:rFonts w:ascii="Arial" w:hAnsi="Arial" w:cs="Arial"/>
          <w:sz w:val="24"/>
          <w:szCs w:val="24"/>
        </w:rPr>
        <w:t xml:space="preserve"> under its purview. Recent literature</w:t>
      </w:r>
      <w:r w:rsidR="0074292D">
        <w:rPr>
          <w:rFonts w:ascii="Arial" w:hAnsi="Arial" w:cs="Arial"/>
          <w:sz w:val="24"/>
          <w:szCs w:val="24"/>
        </w:rPr>
        <w:t xml:space="preserve"> (e.g., Adey and Anderson, 2012; Collier and Lakoff, 2014)</w:t>
      </w:r>
      <w:r w:rsidR="00C612DA" w:rsidRPr="00712E7C">
        <w:rPr>
          <w:rFonts w:ascii="Arial" w:hAnsi="Arial" w:cs="Arial"/>
          <w:sz w:val="24"/>
          <w:szCs w:val="24"/>
        </w:rPr>
        <w:t xml:space="preserve"> </w:t>
      </w:r>
      <w:r w:rsidR="003E3307" w:rsidRPr="00712E7C">
        <w:rPr>
          <w:rFonts w:ascii="Arial" w:hAnsi="Arial" w:cs="Arial"/>
          <w:sz w:val="24"/>
          <w:szCs w:val="24"/>
        </w:rPr>
        <w:t>has additionally proclaimed that</w:t>
      </w:r>
      <w:r w:rsidR="00C612DA" w:rsidRPr="00712E7C">
        <w:rPr>
          <w:rFonts w:ascii="Arial" w:hAnsi="Arial" w:cs="Arial"/>
          <w:sz w:val="24"/>
          <w:szCs w:val="24"/>
        </w:rPr>
        <w:t xml:space="preserve"> multip</w:t>
      </w:r>
      <w:r w:rsidR="003E3307" w:rsidRPr="00712E7C">
        <w:rPr>
          <w:rFonts w:ascii="Arial" w:hAnsi="Arial" w:cs="Arial"/>
          <w:sz w:val="24"/>
          <w:szCs w:val="24"/>
        </w:rPr>
        <w:t>le renditions of emergency</w:t>
      </w:r>
      <w:r w:rsidR="00C612DA" w:rsidRPr="00712E7C">
        <w:rPr>
          <w:rFonts w:ascii="Arial" w:hAnsi="Arial" w:cs="Arial"/>
          <w:sz w:val="24"/>
          <w:szCs w:val="24"/>
        </w:rPr>
        <w:t xml:space="preserve"> prevail across this apparatus to make sense of </w:t>
      </w:r>
      <w:r w:rsidR="003E3307" w:rsidRPr="00712E7C">
        <w:rPr>
          <w:rFonts w:ascii="Arial" w:hAnsi="Arial" w:cs="Arial"/>
          <w:sz w:val="24"/>
          <w:szCs w:val="24"/>
        </w:rPr>
        <w:t xml:space="preserve">future events. Encompassing a multiplicity of </w:t>
      </w:r>
      <w:r w:rsidR="00E755D3" w:rsidRPr="00712E7C">
        <w:rPr>
          <w:rFonts w:ascii="Arial" w:hAnsi="Arial" w:cs="Arial"/>
          <w:sz w:val="24"/>
          <w:szCs w:val="24"/>
        </w:rPr>
        <w:t>organisation</w:t>
      </w:r>
      <w:r w:rsidR="003E3307" w:rsidRPr="00712E7C">
        <w:rPr>
          <w:rFonts w:ascii="Arial" w:hAnsi="Arial" w:cs="Arial"/>
          <w:sz w:val="24"/>
          <w:szCs w:val="24"/>
        </w:rPr>
        <w:t>s</w:t>
      </w:r>
      <w:r w:rsidR="00C612DA" w:rsidRPr="00712E7C">
        <w:rPr>
          <w:rFonts w:ascii="Arial" w:hAnsi="Arial" w:cs="Arial"/>
          <w:sz w:val="24"/>
          <w:szCs w:val="24"/>
        </w:rPr>
        <w:t>, the security apparatus is thus characterised by processes of appropriation, localisation and redeployment</w:t>
      </w:r>
      <w:r w:rsidR="0074292D">
        <w:rPr>
          <w:rFonts w:ascii="Arial" w:hAnsi="Arial" w:cs="Arial"/>
          <w:sz w:val="24"/>
          <w:szCs w:val="24"/>
        </w:rPr>
        <w:t>,</w:t>
      </w:r>
      <w:r w:rsidR="00C932EF" w:rsidRPr="00712E7C">
        <w:rPr>
          <w:rFonts w:ascii="Arial" w:hAnsi="Arial" w:cs="Arial"/>
          <w:sz w:val="24"/>
          <w:szCs w:val="24"/>
        </w:rPr>
        <w:t xml:space="preserve"> by which similar techniques will be used to govern an array of</w:t>
      </w:r>
      <w:r w:rsidR="003E3307" w:rsidRPr="00712E7C">
        <w:rPr>
          <w:rFonts w:ascii="Arial" w:hAnsi="Arial" w:cs="Arial"/>
          <w:sz w:val="24"/>
          <w:szCs w:val="24"/>
        </w:rPr>
        <w:t xml:space="preserve"> </w:t>
      </w:r>
      <w:r w:rsidR="0049544D" w:rsidRPr="00712E7C">
        <w:rPr>
          <w:rFonts w:ascii="Arial" w:hAnsi="Arial" w:cs="Arial"/>
          <w:sz w:val="24"/>
          <w:szCs w:val="24"/>
        </w:rPr>
        <w:t xml:space="preserve">different </w:t>
      </w:r>
      <w:r w:rsidR="00C932EF" w:rsidRPr="00712E7C">
        <w:rPr>
          <w:rFonts w:ascii="Arial" w:hAnsi="Arial" w:cs="Arial"/>
          <w:sz w:val="24"/>
          <w:szCs w:val="24"/>
        </w:rPr>
        <w:t>emergencies</w:t>
      </w:r>
      <w:r w:rsidR="0049544D" w:rsidRPr="00712E7C">
        <w:rPr>
          <w:rFonts w:ascii="Arial" w:hAnsi="Arial" w:cs="Arial"/>
          <w:sz w:val="24"/>
          <w:szCs w:val="24"/>
        </w:rPr>
        <w:t xml:space="preserve"> </w:t>
      </w:r>
      <w:r w:rsidR="00042441" w:rsidRPr="00712E7C">
        <w:rPr>
          <w:rFonts w:ascii="Arial" w:hAnsi="Arial" w:cs="Arial"/>
          <w:sz w:val="24"/>
          <w:szCs w:val="24"/>
        </w:rPr>
        <w:t xml:space="preserve">whose only </w:t>
      </w:r>
      <w:r w:rsidR="0039594B" w:rsidRPr="00712E7C">
        <w:rPr>
          <w:rFonts w:ascii="Arial" w:hAnsi="Arial" w:cs="Arial"/>
          <w:sz w:val="24"/>
          <w:szCs w:val="24"/>
        </w:rPr>
        <w:t xml:space="preserve">sure </w:t>
      </w:r>
      <w:r w:rsidR="00042441" w:rsidRPr="00712E7C">
        <w:rPr>
          <w:rFonts w:ascii="Arial" w:hAnsi="Arial" w:cs="Arial"/>
          <w:sz w:val="24"/>
          <w:szCs w:val="24"/>
        </w:rPr>
        <w:t>similarity is</w:t>
      </w:r>
      <w:r w:rsidR="0049544D" w:rsidRPr="00712E7C">
        <w:rPr>
          <w:rFonts w:ascii="Arial" w:hAnsi="Arial" w:cs="Arial"/>
          <w:sz w:val="24"/>
          <w:szCs w:val="24"/>
        </w:rPr>
        <w:t xml:space="preserve"> their apprehension as risk</w:t>
      </w:r>
      <w:r w:rsidR="00831B4B" w:rsidRPr="00712E7C">
        <w:rPr>
          <w:rFonts w:ascii="Arial" w:hAnsi="Arial" w:cs="Arial"/>
          <w:sz w:val="24"/>
          <w:szCs w:val="24"/>
        </w:rPr>
        <w:t>s</w:t>
      </w:r>
      <w:r w:rsidR="00C932EF" w:rsidRPr="00712E7C">
        <w:rPr>
          <w:rFonts w:ascii="Arial" w:hAnsi="Arial" w:cs="Arial"/>
          <w:sz w:val="24"/>
          <w:szCs w:val="24"/>
        </w:rPr>
        <w:t xml:space="preserve">. </w:t>
      </w:r>
    </w:p>
    <w:p w:rsidR="0074292D" w:rsidRPr="00712E7C" w:rsidRDefault="0074292D" w:rsidP="00712E7C">
      <w:pPr>
        <w:spacing w:after="0" w:line="360" w:lineRule="auto"/>
        <w:jc w:val="both"/>
        <w:rPr>
          <w:rFonts w:ascii="Arial" w:hAnsi="Arial" w:cs="Arial"/>
          <w:sz w:val="24"/>
          <w:szCs w:val="24"/>
        </w:rPr>
      </w:pPr>
    </w:p>
    <w:p w:rsidR="00A11DD9" w:rsidRDefault="00BD1774" w:rsidP="00712E7C">
      <w:pPr>
        <w:spacing w:after="0" w:line="360" w:lineRule="auto"/>
        <w:jc w:val="both"/>
        <w:rPr>
          <w:rFonts w:ascii="Arial" w:hAnsi="Arial" w:cs="Arial"/>
          <w:sz w:val="24"/>
          <w:szCs w:val="24"/>
        </w:rPr>
      </w:pPr>
      <w:r w:rsidRPr="00712E7C">
        <w:rPr>
          <w:rFonts w:ascii="Arial" w:hAnsi="Arial" w:cs="Arial"/>
          <w:sz w:val="24"/>
          <w:szCs w:val="24"/>
        </w:rPr>
        <w:t>But w</w:t>
      </w:r>
      <w:r w:rsidR="00A53AC4" w:rsidRPr="00712E7C">
        <w:rPr>
          <w:rFonts w:ascii="Arial" w:hAnsi="Arial" w:cs="Arial"/>
          <w:sz w:val="24"/>
          <w:szCs w:val="24"/>
        </w:rPr>
        <w:t>hat enables</w:t>
      </w:r>
      <w:r w:rsidR="00881238" w:rsidRPr="00712E7C">
        <w:rPr>
          <w:rFonts w:ascii="Arial" w:hAnsi="Arial" w:cs="Arial"/>
          <w:sz w:val="24"/>
          <w:szCs w:val="24"/>
        </w:rPr>
        <w:t xml:space="preserve"> and facilitates</w:t>
      </w:r>
      <w:r w:rsidR="00A53AC4" w:rsidRPr="00712E7C">
        <w:rPr>
          <w:rFonts w:ascii="Arial" w:hAnsi="Arial" w:cs="Arial"/>
          <w:sz w:val="24"/>
          <w:szCs w:val="24"/>
        </w:rPr>
        <w:t xml:space="preserve"> the flexibility of the contemporary security apparatus? </w:t>
      </w:r>
      <w:r w:rsidR="0074292D">
        <w:rPr>
          <w:rFonts w:ascii="Arial" w:hAnsi="Arial" w:cs="Arial"/>
          <w:sz w:val="24"/>
          <w:szCs w:val="24"/>
        </w:rPr>
        <w:t>In this C</w:t>
      </w:r>
      <w:r w:rsidR="003833CE" w:rsidRPr="00712E7C">
        <w:rPr>
          <w:rFonts w:ascii="Arial" w:hAnsi="Arial" w:cs="Arial"/>
          <w:sz w:val="24"/>
          <w:szCs w:val="24"/>
        </w:rPr>
        <w:t>hapter</w:t>
      </w:r>
      <w:r w:rsidR="0074292D">
        <w:rPr>
          <w:rFonts w:ascii="Arial" w:hAnsi="Arial" w:cs="Arial"/>
          <w:sz w:val="24"/>
          <w:szCs w:val="24"/>
        </w:rPr>
        <w:t>,</w:t>
      </w:r>
      <w:r w:rsidR="003833CE" w:rsidRPr="00712E7C">
        <w:rPr>
          <w:rFonts w:ascii="Arial" w:hAnsi="Arial" w:cs="Arial"/>
          <w:sz w:val="24"/>
          <w:szCs w:val="24"/>
        </w:rPr>
        <w:t xml:space="preserve"> I show how calculative devices circulate and travel to new contexts.</w:t>
      </w:r>
      <w:r w:rsidR="00A11DD9" w:rsidRPr="00712E7C">
        <w:rPr>
          <w:rFonts w:ascii="Arial" w:hAnsi="Arial" w:cs="Arial"/>
          <w:sz w:val="24"/>
          <w:szCs w:val="24"/>
        </w:rPr>
        <w:t xml:space="preserve"> I focus on how,</w:t>
      </w:r>
      <w:r w:rsidR="00A53AC4" w:rsidRPr="00712E7C">
        <w:rPr>
          <w:rFonts w:ascii="Arial" w:hAnsi="Arial" w:cs="Arial"/>
          <w:sz w:val="24"/>
          <w:szCs w:val="24"/>
        </w:rPr>
        <w:t xml:space="preserve"> </w:t>
      </w:r>
      <w:r w:rsidR="00A11DD9" w:rsidRPr="00712E7C">
        <w:rPr>
          <w:rFonts w:ascii="Arial" w:hAnsi="Arial" w:cs="Arial"/>
          <w:sz w:val="24"/>
          <w:szCs w:val="24"/>
        </w:rPr>
        <w:t>u</w:t>
      </w:r>
      <w:r w:rsidR="00255508" w:rsidRPr="00712E7C">
        <w:rPr>
          <w:rFonts w:ascii="Arial" w:hAnsi="Arial" w:cs="Arial"/>
          <w:sz w:val="24"/>
          <w:szCs w:val="24"/>
        </w:rPr>
        <w:t>nder the flexible dynamic by which one organisation adopts</w:t>
      </w:r>
      <w:r w:rsidR="00E755D3" w:rsidRPr="00712E7C">
        <w:rPr>
          <w:rFonts w:ascii="Arial" w:hAnsi="Arial" w:cs="Arial"/>
          <w:sz w:val="24"/>
          <w:szCs w:val="24"/>
        </w:rPr>
        <w:t xml:space="preserve"> governmental</w:t>
      </w:r>
      <w:r w:rsidR="00255508" w:rsidRPr="00712E7C">
        <w:rPr>
          <w:rFonts w:ascii="Arial" w:hAnsi="Arial" w:cs="Arial"/>
          <w:sz w:val="24"/>
          <w:szCs w:val="24"/>
        </w:rPr>
        <w:t xml:space="preserve"> practices already prevailing across a wider apparatus</w:t>
      </w:r>
      <w:r w:rsidR="00A11DD9" w:rsidRPr="00712E7C">
        <w:rPr>
          <w:rFonts w:ascii="Arial" w:hAnsi="Arial" w:cs="Arial"/>
          <w:sz w:val="24"/>
          <w:szCs w:val="24"/>
        </w:rPr>
        <w:t>,</w:t>
      </w:r>
      <w:r w:rsidR="00255508" w:rsidRPr="00712E7C">
        <w:rPr>
          <w:rFonts w:ascii="Arial" w:hAnsi="Arial" w:cs="Arial"/>
          <w:sz w:val="24"/>
          <w:szCs w:val="24"/>
        </w:rPr>
        <w:t xml:space="preserve"> </w:t>
      </w:r>
      <w:r w:rsidR="00A53AC4" w:rsidRPr="00712E7C">
        <w:rPr>
          <w:rFonts w:ascii="Arial" w:hAnsi="Arial" w:cs="Arial"/>
          <w:sz w:val="24"/>
          <w:szCs w:val="24"/>
        </w:rPr>
        <w:t xml:space="preserve">lies </w:t>
      </w:r>
      <w:r w:rsidR="003E3307" w:rsidRPr="00712E7C">
        <w:rPr>
          <w:rFonts w:ascii="Arial" w:hAnsi="Arial" w:cs="Arial"/>
          <w:sz w:val="24"/>
          <w:szCs w:val="24"/>
        </w:rPr>
        <w:t xml:space="preserve">another process of redeployment. The re-deployment </w:t>
      </w:r>
      <w:r w:rsidR="0074292D">
        <w:rPr>
          <w:rFonts w:ascii="Arial" w:hAnsi="Arial" w:cs="Arial"/>
          <w:sz w:val="24"/>
          <w:szCs w:val="24"/>
        </w:rPr>
        <w:t>that</w:t>
      </w:r>
      <w:r w:rsidR="003E3307" w:rsidRPr="00712E7C">
        <w:rPr>
          <w:rFonts w:ascii="Arial" w:hAnsi="Arial" w:cs="Arial"/>
          <w:sz w:val="24"/>
          <w:szCs w:val="24"/>
        </w:rPr>
        <w:t xml:space="preserve"> I focus attention on</w:t>
      </w:r>
      <w:r w:rsidR="007F2987" w:rsidRPr="00712E7C">
        <w:rPr>
          <w:rFonts w:ascii="Arial" w:hAnsi="Arial" w:cs="Arial"/>
          <w:sz w:val="24"/>
          <w:szCs w:val="24"/>
        </w:rPr>
        <w:t xml:space="preserve"> </w:t>
      </w:r>
      <w:r w:rsidR="003833CE" w:rsidRPr="00712E7C">
        <w:rPr>
          <w:rFonts w:ascii="Arial" w:hAnsi="Arial" w:cs="Arial"/>
          <w:sz w:val="24"/>
          <w:szCs w:val="24"/>
        </w:rPr>
        <w:t>here</w:t>
      </w:r>
      <w:r w:rsidR="003E3307" w:rsidRPr="00712E7C">
        <w:rPr>
          <w:rFonts w:ascii="Arial" w:hAnsi="Arial" w:cs="Arial"/>
          <w:sz w:val="24"/>
          <w:szCs w:val="24"/>
        </w:rPr>
        <w:t xml:space="preserve"> pertains</w:t>
      </w:r>
      <w:r w:rsidR="00A53AC4" w:rsidRPr="00712E7C">
        <w:rPr>
          <w:rFonts w:ascii="Arial" w:hAnsi="Arial" w:cs="Arial"/>
          <w:sz w:val="24"/>
          <w:szCs w:val="24"/>
        </w:rPr>
        <w:t xml:space="preserve"> to the digital</w:t>
      </w:r>
      <w:r w:rsidR="00606A28" w:rsidRPr="00712E7C">
        <w:rPr>
          <w:rFonts w:ascii="Arial" w:hAnsi="Arial" w:cs="Arial"/>
          <w:sz w:val="24"/>
          <w:szCs w:val="24"/>
        </w:rPr>
        <w:t xml:space="preserve"> risk calculation</w:t>
      </w:r>
      <w:r w:rsidR="00A53AC4" w:rsidRPr="00712E7C">
        <w:rPr>
          <w:rFonts w:ascii="Arial" w:hAnsi="Arial" w:cs="Arial"/>
          <w:sz w:val="24"/>
          <w:szCs w:val="24"/>
        </w:rPr>
        <w:t xml:space="preserve"> technologies</w:t>
      </w:r>
      <w:r w:rsidR="0074292D">
        <w:rPr>
          <w:rFonts w:ascii="Arial" w:hAnsi="Arial" w:cs="Arial"/>
          <w:sz w:val="24"/>
          <w:szCs w:val="24"/>
        </w:rPr>
        <w:t>,</w:t>
      </w:r>
      <w:r w:rsidR="00A53AC4" w:rsidRPr="00712E7C">
        <w:rPr>
          <w:rFonts w:ascii="Arial" w:hAnsi="Arial" w:cs="Arial"/>
          <w:sz w:val="24"/>
          <w:szCs w:val="24"/>
        </w:rPr>
        <w:t xml:space="preserve"> which allow </w:t>
      </w:r>
      <w:r w:rsidR="00A53AC4" w:rsidRPr="00712E7C">
        <w:rPr>
          <w:rFonts w:ascii="Arial" w:hAnsi="Arial" w:cs="Arial"/>
          <w:sz w:val="24"/>
          <w:szCs w:val="24"/>
        </w:rPr>
        <w:lastRenderedPageBreak/>
        <w:t>risk governance practices to rise to the fore</w:t>
      </w:r>
      <w:r w:rsidR="007F2987" w:rsidRPr="00712E7C">
        <w:rPr>
          <w:rFonts w:ascii="Arial" w:hAnsi="Arial" w:cs="Arial"/>
          <w:sz w:val="24"/>
          <w:szCs w:val="24"/>
        </w:rPr>
        <w:t xml:space="preserve"> at disparate sites across the security apparatus</w:t>
      </w:r>
      <w:r w:rsidR="00A53AC4" w:rsidRPr="00712E7C">
        <w:rPr>
          <w:rFonts w:ascii="Arial" w:hAnsi="Arial" w:cs="Arial"/>
          <w:sz w:val="24"/>
          <w:szCs w:val="24"/>
        </w:rPr>
        <w:t>.</w:t>
      </w:r>
      <w:r w:rsidRPr="00712E7C">
        <w:rPr>
          <w:rFonts w:ascii="Arial" w:hAnsi="Arial" w:cs="Arial"/>
          <w:sz w:val="24"/>
          <w:szCs w:val="24"/>
        </w:rPr>
        <w:t xml:space="preserve"> </w:t>
      </w:r>
    </w:p>
    <w:p w:rsidR="0074292D" w:rsidRPr="00712E7C" w:rsidRDefault="0074292D" w:rsidP="00712E7C">
      <w:pPr>
        <w:spacing w:after="0" w:line="360" w:lineRule="auto"/>
        <w:jc w:val="both"/>
        <w:rPr>
          <w:rFonts w:ascii="Arial" w:hAnsi="Arial" w:cs="Arial"/>
          <w:sz w:val="24"/>
          <w:szCs w:val="24"/>
        </w:rPr>
      </w:pPr>
    </w:p>
    <w:p w:rsidR="00850AB8" w:rsidRDefault="00A11DD9" w:rsidP="00712E7C">
      <w:pPr>
        <w:spacing w:after="0" w:line="360" w:lineRule="auto"/>
        <w:jc w:val="both"/>
        <w:rPr>
          <w:rFonts w:ascii="Arial" w:hAnsi="Arial" w:cs="Arial"/>
          <w:sz w:val="24"/>
          <w:szCs w:val="24"/>
        </w:rPr>
      </w:pPr>
      <w:r w:rsidRPr="00712E7C">
        <w:rPr>
          <w:rFonts w:ascii="Arial" w:hAnsi="Arial" w:cs="Arial"/>
          <w:sz w:val="24"/>
          <w:szCs w:val="24"/>
        </w:rPr>
        <w:t>Characterised by</w:t>
      </w:r>
      <w:r w:rsidR="00BD1774" w:rsidRPr="00712E7C">
        <w:rPr>
          <w:rFonts w:ascii="Arial" w:hAnsi="Arial" w:cs="Arial"/>
          <w:sz w:val="24"/>
          <w:szCs w:val="24"/>
        </w:rPr>
        <w:t>, but not limited to, a myriad of digital technologies, algorithmic cod</w:t>
      </w:r>
      <w:r w:rsidR="00A851C5">
        <w:rPr>
          <w:rFonts w:ascii="Arial" w:hAnsi="Arial" w:cs="Arial"/>
          <w:sz w:val="24"/>
          <w:szCs w:val="24"/>
        </w:rPr>
        <w:t xml:space="preserve">e and data, the emergence of </w:t>
      </w:r>
      <w:r w:rsidR="00BD1774" w:rsidRPr="00712E7C">
        <w:rPr>
          <w:rFonts w:ascii="Arial" w:hAnsi="Arial" w:cs="Arial"/>
          <w:sz w:val="24"/>
          <w:szCs w:val="24"/>
        </w:rPr>
        <w:t>‘information society’</w:t>
      </w:r>
      <w:r w:rsidR="00A851C5">
        <w:rPr>
          <w:rFonts w:ascii="Arial" w:hAnsi="Arial" w:cs="Arial"/>
          <w:sz w:val="24"/>
          <w:szCs w:val="24"/>
        </w:rPr>
        <w:t xml:space="preserve"> (Lash, 2002:2)</w:t>
      </w:r>
      <w:r w:rsidR="00BD1774" w:rsidRPr="00712E7C">
        <w:rPr>
          <w:rFonts w:ascii="Arial" w:hAnsi="Arial" w:cs="Arial"/>
          <w:sz w:val="24"/>
          <w:szCs w:val="24"/>
        </w:rPr>
        <w:t xml:space="preserve"> has proven c</w:t>
      </w:r>
      <w:r w:rsidR="0074292D">
        <w:rPr>
          <w:rFonts w:ascii="Arial" w:hAnsi="Arial" w:cs="Arial"/>
          <w:sz w:val="24"/>
          <w:szCs w:val="24"/>
        </w:rPr>
        <w:t>rucial to contemporary securitis</w:t>
      </w:r>
      <w:r w:rsidR="00BD1774" w:rsidRPr="00712E7C">
        <w:rPr>
          <w:rFonts w:ascii="Arial" w:hAnsi="Arial" w:cs="Arial"/>
          <w:sz w:val="24"/>
          <w:szCs w:val="24"/>
        </w:rPr>
        <w:t>ation</w:t>
      </w:r>
      <w:r w:rsidR="003E3307" w:rsidRPr="00712E7C">
        <w:rPr>
          <w:rFonts w:ascii="Arial" w:hAnsi="Arial" w:cs="Arial"/>
          <w:sz w:val="24"/>
          <w:szCs w:val="24"/>
        </w:rPr>
        <w:t>, whether</w:t>
      </w:r>
      <w:r w:rsidR="00BD1774" w:rsidRPr="00712E7C">
        <w:rPr>
          <w:rFonts w:ascii="Arial" w:hAnsi="Arial" w:cs="Arial"/>
          <w:sz w:val="24"/>
          <w:szCs w:val="24"/>
        </w:rPr>
        <w:t xml:space="preserve"> adjudged to have opened </w:t>
      </w:r>
      <w:r w:rsidR="003B487D" w:rsidRPr="00712E7C">
        <w:rPr>
          <w:rFonts w:ascii="Arial" w:hAnsi="Arial" w:cs="Arial"/>
          <w:sz w:val="24"/>
          <w:szCs w:val="24"/>
        </w:rPr>
        <w:t>up entirely new</w:t>
      </w:r>
      <w:r w:rsidR="00BD1774" w:rsidRPr="00712E7C">
        <w:rPr>
          <w:rFonts w:ascii="Arial" w:hAnsi="Arial" w:cs="Arial"/>
          <w:sz w:val="24"/>
          <w:szCs w:val="24"/>
        </w:rPr>
        <w:t xml:space="preserve"> calculative logics</w:t>
      </w:r>
      <w:r w:rsidR="00A851C5">
        <w:rPr>
          <w:rFonts w:ascii="Arial" w:hAnsi="Arial" w:cs="Arial"/>
          <w:sz w:val="24"/>
          <w:szCs w:val="24"/>
        </w:rPr>
        <w:t xml:space="preserve"> (e.g., Amoore, 2013) </w:t>
      </w:r>
      <w:r w:rsidR="00BD1774" w:rsidRPr="00712E7C">
        <w:rPr>
          <w:rFonts w:ascii="Arial" w:hAnsi="Arial" w:cs="Arial"/>
          <w:sz w:val="24"/>
          <w:szCs w:val="24"/>
        </w:rPr>
        <w:t>or to have reworked p</w:t>
      </w:r>
      <w:r w:rsidR="00C71E07" w:rsidRPr="00712E7C">
        <w:rPr>
          <w:rFonts w:ascii="Arial" w:hAnsi="Arial" w:cs="Arial"/>
          <w:sz w:val="24"/>
          <w:szCs w:val="24"/>
        </w:rPr>
        <w:t>revailing forms of calculation</w:t>
      </w:r>
      <w:r w:rsidR="00A851C5">
        <w:rPr>
          <w:rFonts w:ascii="Arial" w:hAnsi="Arial" w:cs="Arial"/>
          <w:sz w:val="24"/>
          <w:szCs w:val="24"/>
        </w:rPr>
        <w:t xml:space="preserve"> (Daston, 1988)</w:t>
      </w:r>
      <w:r w:rsidR="00C71E07" w:rsidRPr="00712E7C">
        <w:rPr>
          <w:rFonts w:ascii="Arial" w:hAnsi="Arial" w:cs="Arial"/>
          <w:sz w:val="24"/>
          <w:szCs w:val="24"/>
        </w:rPr>
        <w:t>.</w:t>
      </w:r>
      <w:r w:rsidR="00A851C5">
        <w:rPr>
          <w:rFonts w:ascii="Arial" w:hAnsi="Arial" w:cs="Arial"/>
          <w:sz w:val="24"/>
          <w:szCs w:val="24"/>
        </w:rPr>
        <w:t xml:space="preserve"> </w:t>
      </w:r>
      <w:r w:rsidR="00CA2BFC" w:rsidRPr="00712E7C">
        <w:rPr>
          <w:rFonts w:ascii="Arial" w:hAnsi="Arial" w:cs="Arial"/>
          <w:sz w:val="24"/>
          <w:szCs w:val="24"/>
        </w:rPr>
        <w:t>New forms of surveillance, monitoring and software</w:t>
      </w:r>
      <w:r w:rsidRPr="00712E7C">
        <w:rPr>
          <w:rFonts w:ascii="Arial" w:hAnsi="Arial" w:cs="Arial"/>
          <w:sz w:val="24"/>
          <w:szCs w:val="24"/>
        </w:rPr>
        <w:t xml:space="preserve"> are designed and</w:t>
      </w:r>
      <w:r w:rsidR="00D54168" w:rsidRPr="00712E7C">
        <w:rPr>
          <w:rFonts w:ascii="Arial" w:hAnsi="Arial" w:cs="Arial"/>
          <w:sz w:val="24"/>
          <w:szCs w:val="24"/>
        </w:rPr>
        <w:t xml:space="preserve"> </w:t>
      </w:r>
      <w:r w:rsidR="003833CE" w:rsidRPr="00712E7C">
        <w:rPr>
          <w:rFonts w:ascii="Arial" w:hAnsi="Arial" w:cs="Arial"/>
          <w:sz w:val="24"/>
          <w:szCs w:val="24"/>
        </w:rPr>
        <w:t>become</w:t>
      </w:r>
      <w:r w:rsidRPr="00712E7C">
        <w:rPr>
          <w:rFonts w:ascii="Arial" w:hAnsi="Arial" w:cs="Arial"/>
          <w:sz w:val="24"/>
          <w:szCs w:val="24"/>
        </w:rPr>
        <w:t xml:space="preserve"> </w:t>
      </w:r>
      <w:r w:rsidR="003E3307" w:rsidRPr="00712E7C">
        <w:rPr>
          <w:rFonts w:ascii="Arial" w:hAnsi="Arial" w:cs="Arial"/>
          <w:sz w:val="24"/>
          <w:szCs w:val="24"/>
        </w:rPr>
        <w:t xml:space="preserve">dis-embedded from </w:t>
      </w:r>
      <w:r w:rsidR="00606A28" w:rsidRPr="00712E7C">
        <w:rPr>
          <w:rFonts w:ascii="Arial" w:hAnsi="Arial" w:cs="Arial"/>
          <w:sz w:val="24"/>
          <w:szCs w:val="24"/>
        </w:rPr>
        <w:t xml:space="preserve">specific </w:t>
      </w:r>
      <w:r w:rsidR="003E3307" w:rsidRPr="00712E7C">
        <w:rPr>
          <w:rFonts w:ascii="Arial" w:hAnsi="Arial" w:cs="Arial"/>
          <w:sz w:val="24"/>
          <w:szCs w:val="24"/>
        </w:rPr>
        <w:t>site</w:t>
      </w:r>
      <w:r w:rsidR="003833CE" w:rsidRPr="00712E7C">
        <w:rPr>
          <w:rFonts w:ascii="Arial" w:hAnsi="Arial" w:cs="Arial"/>
          <w:sz w:val="24"/>
          <w:szCs w:val="24"/>
        </w:rPr>
        <w:t>s</w:t>
      </w:r>
      <w:r w:rsidR="003E3307" w:rsidRPr="00712E7C">
        <w:rPr>
          <w:rFonts w:ascii="Arial" w:hAnsi="Arial" w:cs="Arial"/>
          <w:sz w:val="24"/>
          <w:szCs w:val="24"/>
        </w:rPr>
        <w:t xml:space="preserve"> and can be</w:t>
      </w:r>
      <w:r w:rsidR="00862777">
        <w:rPr>
          <w:rFonts w:ascii="Arial" w:hAnsi="Arial" w:cs="Arial"/>
          <w:sz w:val="24"/>
          <w:szCs w:val="24"/>
        </w:rPr>
        <w:t xml:space="preserve"> appropriated by </w:t>
      </w:r>
      <w:r w:rsidR="00CA2E61" w:rsidRPr="00712E7C">
        <w:rPr>
          <w:rFonts w:ascii="Arial" w:hAnsi="Arial" w:cs="Arial"/>
          <w:sz w:val="24"/>
          <w:szCs w:val="24"/>
        </w:rPr>
        <w:t>heterogeneous set</w:t>
      </w:r>
      <w:r w:rsidR="0052352F" w:rsidRPr="00712E7C">
        <w:rPr>
          <w:rFonts w:ascii="Arial" w:hAnsi="Arial" w:cs="Arial"/>
          <w:sz w:val="24"/>
          <w:szCs w:val="24"/>
        </w:rPr>
        <w:t>s</w:t>
      </w:r>
      <w:r w:rsidR="00606A28" w:rsidRPr="00712E7C">
        <w:rPr>
          <w:rFonts w:ascii="Arial" w:hAnsi="Arial" w:cs="Arial"/>
          <w:sz w:val="24"/>
          <w:szCs w:val="24"/>
        </w:rPr>
        <w:t xml:space="preserve"> of users</w:t>
      </w:r>
      <w:r w:rsidR="00CA2E61" w:rsidRPr="00712E7C">
        <w:rPr>
          <w:rFonts w:ascii="Arial" w:hAnsi="Arial" w:cs="Arial"/>
          <w:sz w:val="24"/>
          <w:szCs w:val="24"/>
        </w:rPr>
        <w:t xml:space="preserve"> towards a multiplicity of ends.</w:t>
      </w:r>
      <w:r w:rsidR="00385B04" w:rsidRPr="00712E7C">
        <w:rPr>
          <w:rFonts w:ascii="Arial" w:hAnsi="Arial" w:cs="Arial"/>
          <w:sz w:val="24"/>
          <w:szCs w:val="24"/>
        </w:rPr>
        <w:t xml:space="preserve"> As de Goede </w:t>
      </w:r>
      <w:r w:rsidR="00862777">
        <w:rPr>
          <w:rFonts w:ascii="Arial" w:hAnsi="Arial" w:cs="Arial"/>
          <w:sz w:val="24"/>
          <w:szCs w:val="24"/>
        </w:rPr>
        <w:t xml:space="preserve">(2012) </w:t>
      </w:r>
      <w:r w:rsidR="00385B04" w:rsidRPr="00712E7C">
        <w:rPr>
          <w:rFonts w:ascii="Arial" w:hAnsi="Arial" w:cs="Arial"/>
          <w:sz w:val="24"/>
          <w:szCs w:val="24"/>
        </w:rPr>
        <w:t>describes,</w:t>
      </w:r>
      <w:r w:rsidR="00850AB8" w:rsidRPr="00712E7C">
        <w:rPr>
          <w:rFonts w:ascii="Arial" w:hAnsi="Arial" w:cs="Arial"/>
          <w:sz w:val="24"/>
          <w:szCs w:val="24"/>
        </w:rPr>
        <w:t xml:space="preserve"> </w:t>
      </w:r>
      <w:r w:rsidR="00385B04" w:rsidRPr="00712E7C">
        <w:rPr>
          <w:rFonts w:ascii="Arial" w:hAnsi="Arial" w:cs="Arial"/>
          <w:sz w:val="24"/>
          <w:szCs w:val="24"/>
        </w:rPr>
        <w:t>fo</w:t>
      </w:r>
      <w:r w:rsidR="003E3307" w:rsidRPr="00712E7C">
        <w:rPr>
          <w:rFonts w:ascii="Arial" w:hAnsi="Arial" w:cs="Arial"/>
          <w:sz w:val="24"/>
          <w:szCs w:val="24"/>
        </w:rPr>
        <w:t>r example, data acquired through credit checking agencies not only create credit histories of consumers</w:t>
      </w:r>
      <w:r w:rsidR="0074292D">
        <w:rPr>
          <w:rFonts w:ascii="Arial" w:hAnsi="Arial" w:cs="Arial"/>
          <w:sz w:val="24"/>
          <w:szCs w:val="24"/>
        </w:rPr>
        <w:t>,</w:t>
      </w:r>
      <w:r w:rsidR="003E3307" w:rsidRPr="00712E7C">
        <w:rPr>
          <w:rFonts w:ascii="Arial" w:hAnsi="Arial" w:cs="Arial"/>
          <w:sz w:val="24"/>
          <w:szCs w:val="24"/>
        </w:rPr>
        <w:t xml:space="preserve"> but go on</w:t>
      </w:r>
      <w:r w:rsidR="003833CE" w:rsidRPr="00712E7C">
        <w:rPr>
          <w:rFonts w:ascii="Arial" w:hAnsi="Arial" w:cs="Arial"/>
          <w:sz w:val="24"/>
          <w:szCs w:val="24"/>
        </w:rPr>
        <w:t xml:space="preserve"> </w:t>
      </w:r>
      <w:r w:rsidR="003E3307" w:rsidRPr="00712E7C">
        <w:rPr>
          <w:rFonts w:ascii="Arial" w:hAnsi="Arial" w:cs="Arial"/>
          <w:sz w:val="24"/>
          <w:szCs w:val="24"/>
        </w:rPr>
        <w:t>to identify poten</w:t>
      </w:r>
      <w:r w:rsidR="00831B4B" w:rsidRPr="00712E7C">
        <w:rPr>
          <w:rFonts w:ascii="Arial" w:hAnsi="Arial" w:cs="Arial"/>
          <w:sz w:val="24"/>
          <w:szCs w:val="24"/>
        </w:rPr>
        <w:t>tial terrorists</w:t>
      </w:r>
      <w:r w:rsidR="00E25B64" w:rsidRPr="00712E7C">
        <w:rPr>
          <w:rFonts w:ascii="Arial" w:hAnsi="Arial" w:cs="Arial"/>
          <w:sz w:val="24"/>
          <w:szCs w:val="24"/>
        </w:rPr>
        <w:t>.</w:t>
      </w:r>
      <w:r w:rsidR="00831B4B" w:rsidRPr="00712E7C">
        <w:rPr>
          <w:rFonts w:ascii="Arial" w:hAnsi="Arial" w:cs="Arial"/>
          <w:sz w:val="24"/>
          <w:szCs w:val="24"/>
        </w:rPr>
        <w:t xml:space="preserve"> </w:t>
      </w:r>
      <w:r w:rsidR="00862777">
        <w:rPr>
          <w:rFonts w:ascii="Arial" w:hAnsi="Arial" w:cs="Arial"/>
          <w:sz w:val="24"/>
          <w:szCs w:val="24"/>
        </w:rPr>
        <w:t xml:space="preserve">In </w:t>
      </w:r>
      <w:r w:rsidR="0074292D">
        <w:rPr>
          <w:rFonts w:ascii="Arial" w:hAnsi="Arial" w:cs="Arial"/>
          <w:sz w:val="24"/>
          <w:szCs w:val="24"/>
        </w:rPr>
        <w:t>this C</w:t>
      </w:r>
      <w:r w:rsidR="003F0363" w:rsidRPr="00712E7C">
        <w:rPr>
          <w:rFonts w:ascii="Arial" w:hAnsi="Arial" w:cs="Arial"/>
          <w:sz w:val="24"/>
          <w:szCs w:val="24"/>
        </w:rPr>
        <w:t xml:space="preserve">hapter, </w:t>
      </w:r>
      <w:r w:rsidR="00831B4B" w:rsidRPr="00712E7C">
        <w:rPr>
          <w:rFonts w:ascii="Arial" w:hAnsi="Arial" w:cs="Arial"/>
          <w:sz w:val="24"/>
          <w:szCs w:val="24"/>
        </w:rPr>
        <w:t xml:space="preserve">credit checking data </w:t>
      </w:r>
      <w:r w:rsidR="00F6788E" w:rsidRPr="00712E7C">
        <w:rPr>
          <w:rFonts w:ascii="Arial" w:hAnsi="Arial" w:cs="Arial"/>
          <w:sz w:val="24"/>
          <w:szCs w:val="24"/>
        </w:rPr>
        <w:t xml:space="preserve">is also </w:t>
      </w:r>
      <w:r w:rsidR="00862777">
        <w:rPr>
          <w:rFonts w:ascii="Arial" w:hAnsi="Arial" w:cs="Arial"/>
          <w:sz w:val="24"/>
          <w:szCs w:val="24"/>
        </w:rPr>
        <w:t xml:space="preserve">shown to be </w:t>
      </w:r>
      <w:r w:rsidR="00F6788E" w:rsidRPr="00712E7C">
        <w:rPr>
          <w:rFonts w:ascii="Arial" w:hAnsi="Arial" w:cs="Arial"/>
          <w:sz w:val="24"/>
          <w:szCs w:val="24"/>
        </w:rPr>
        <w:t xml:space="preserve">used </w:t>
      </w:r>
      <w:r w:rsidR="00831B4B" w:rsidRPr="00712E7C">
        <w:rPr>
          <w:rFonts w:ascii="Arial" w:hAnsi="Arial" w:cs="Arial"/>
          <w:sz w:val="24"/>
          <w:szCs w:val="24"/>
        </w:rPr>
        <w:t>to</w:t>
      </w:r>
      <w:r w:rsidR="003E3307" w:rsidRPr="00712E7C">
        <w:rPr>
          <w:rFonts w:ascii="Arial" w:hAnsi="Arial" w:cs="Arial"/>
          <w:sz w:val="24"/>
          <w:szCs w:val="24"/>
        </w:rPr>
        <w:t xml:space="preserve"> </w:t>
      </w:r>
      <w:r w:rsidR="00862777">
        <w:rPr>
          <w:rFonts w:ascii="Arial" w:hAnsi="Arial" w:cs="Arial"/>
          <w:sz w:val="24"/>
          <w:szCs w:val="24"/>
        </w:rPr>
        <w:t>identify</w:t>
      </w:r>
      <w:r w:rsidR="003E3307" w:rsidRPr="00712E7C">
        <w:rPr>
          <w:rFonts w:ascii="Arial" w:hAnsi="Arial" w:cs="Arial"/>
          <w:sz w:val="24"/>
          <w:szCs w:val="24"/>
        </w:rPr>
        <w:t xml:space="preserve"> populations most vulnerable to fire risk. </w:t>
      </w:r>
      <w:r w:rsidR="00850AB8" w:rsidRPr="00712E7C">
        <w:rPr>
          <w:rFonts w:ascii="Arial" w:hAnsi="Arial" w:cs="Arial"/>
          <w:sz w:val="24"/>
          <w:szCs w:val="24"/>
        </w:rPr>
        <w:t>In part, the instantiation of anticipatory forms of governance is thus conditioned and facilitated by the free floating nature of some digital forms like data and software.</w:t>
      </w:r>
    </w:p>
    <w:p w:rsidR="0074292D" w:rsidRPr="00712E7C" w:rsidRDefault="0074292D" w:rsidP="00712E7C">
      <w:pPr>
        <w:spacing w:after="0" w:line="360" w:lineRule="auto"/>
        <w:jc w:val="both"/>
        <w:rPr>
          <w:rFonts w:ascii="Arial" w:hAnsi="Arial" w:cs="Arial"/>
          <w:sz w:val="24"/>
          <w:szCs w:val="24"/>
        </w:rPr>
      </w:pPr>
    </w:p>
    <w:p w:rsidR="00610134" w:rsidRDefault="00CA2BFC" w:rsidP="00712E7C">
      <w:pPr>
        <w:spacing w:after="0" w:line="360" w:lineRule="auto"/>
        <w:jc w:val="both"/>
        <w:rPr>
          <w:rFonts w:ascii="Arial" w:hAnsi="Arial" w:cs="Arial"/>
          <w:sz w:val="24"/>
          <w:szCs w:val="24"/>
        </w:rPr>
      </w:pPr>
      <w:r w:rsidRPr="00712E7C">
        <w:rPr>
          <w:rFonts w:ascii="Arial" w:hAnsi="Arial" w:cs="Arial"/>
          <w:sz w:val="24"/>
          <w:szCs w:val="24"/>
        </w:rPr>
        <w:t>Before bringing about new forms of governance</w:t>
      </w:r>
      <w:r w:rsidR="00862777">
        <w:rPr>
          <w:rFonts w:ascii="Arial" w:hAnsi="Arial" w:cs="Arial"/>
          <w:sz w:val="24"/>
          <w:szCs w:val="24"/>
        </w:rPr>
        <w:t>,</w:t>
      </w:r>
      <w:r w:rsidRPr="00712E7C">
        <w:rPr>
          <w:rFonts w:ascii="Arial" w:hAnsi="Arial" w:cs="Arial"/>
          <w:sz w:val="24"/>
          <w:szCs w:val="24"/>
        </w:rPr>
        <w:t xml:space="preserve"> such technologies must undergo processes of localisation</w:t>
      </w:r>
      <w:r w:rsidR="00862777">
        <w:rPr>
          <w:rFonts w:ascii="Arial" w:hAnsi="Arial" w:cs="Arial"/>
          <w:sz w:val="24"/>
          <w:szCs w:val="24"/>
        </w:rPr>
        <w:t>,</w:t>
      </w:r>
      <w:r w:rsidRPr="00712E7C">
        <w:rPr>
          <w:rFonts w:ascii="Arial" w:hAnsi="Arial" w:cs="Arial"/>
          <w:sz w:val="24"/>
          <w:szCs w:val="24"/>
        </w:rPr>
        <w:t xml:space="preserve"> whereby </w:t>
      </w:r>
      <w:r w:rsidR="008E2846" w:rsidRPr="00712E7C">
        <w:rPr>
          <w:rFonts w:ascii="Arial" w:hAnsi="Arial" w:cs="Arial"/>
          <w:sz w:val="24"/>
          <w:szCs w:val="24"/>
        </w:rPr>
        <w:t>they become</w:t>
      </w:r>
      <w:r w:rsidR="00D54168" w:rsidRPr="00712E7C">
        <w:rPr>
          <w:rFonts w:ascii="Arial" w:hAnsi="Arial" w:cs="Arial"/>
          <w:sz w:val="24"/>
          <w:szCs w:val="24"/>
        </w:rPr>
        <w:t xml:space="preserve"> </w:t>
      </w:r>
      <w:r w:rsidRPr="00712E7C">
        <w:rPr>
          <w:rFonts w:ascii="Arial" w:hAnsi="Arial" w:cs="Arial"/>
          <w:sz w:val="24"/>
          <w:szCs w:val="24"/>
        </w:rPr>
        <w:t>re-oriented toward the specific governmental goals</w:t>
      </w:r>
      <w:r w:rsidR="008E2846" w:rsidRPr="00712E7C">
        <w:rPr>
          <w:rFonts w:ascii="Arial" w:hAnsi="Arial" w:cs="Arial"/>
          <w:sz w:val="24"/>
          <w:szCs w:val="24"/>
        </w:rPr>
        <w:t xml:space="preserve"> of</w:t>
      </w:r>
      <w:r w:rsidRPr="00712E7C">
        <w:rPr>
          <w:rFonts w:ascii="Arial" w:hAnsi="Arial" w:cs="Arial"/>
          <w:sz w:val="24"/>
          <w:szCs w:val="24"/>
        </w:rPr>
        <w:t xml:space="preserve"> particular security </w:t>
      </w:r>
      <w:r w:rsidR="008E2846" w:rsidRPr="00712E7C">
        <w:rPr>
          <w:rFonts w:ascii="Arial" w:hAnsi="Arial" w:cs="Arial"/>
          <w:sz w:val="24"/>
          <w:szCs w:val="24"/>
        </w:rPr>
        <w:t>authorities</w:t>
      </w:r>
      <w:r w:rsidRPr="00712E7C">
        <w:rPr>
          <w:rFonts w:ascii="Arial" w:hAnsi="Arial" w:cs="Arial"/>
          <w:sz w:val="24"/>
          <w:szCs w:val="24"/>
        </w:rPr>
        <w:t>.</w:t>
      </w:r>
      <w:r w:rsidR="00862777">
        <w:rPr>
          <w:rFonts w:ascii="Arial" w:hAnsi="Arial" w:cs="Arial"/>
          <w:sz w:val="24"/>
          <w:szCs w:val="24"/>
        </w:rPr>
        <w:t xml:space="preserve"> Throughout the C</w:t>
      </w:r>
      <w:r w:rsidR="002A35B1" w:rsidRPr="00712E7C">
        <w:rPr>
          <w:rFonts w:ascii="Arial" w:hAnsi="Arial" w:cs="Arial"/>
          <w:sz w:val="24"/>
          <w:szCs w:val="24"/>
        </w:rPr>
        <w:t xml:space="preserve">hapter, by localisation </w:t>
      </w:r>
      <w:r w:rsidR="00862777">
        <w:rPr>
          <w:rFonts w:ascii="Arial" w:hAnsi="Arial" w:cs="Arial"/>
          <w:sz w:val="24"/>
          <w:szCs w:val="24"/>
        </w:rPr>
        <w:t xml:space="preserve">I mean </w:t>
      </w:r>
      <w:r w:rsidR="002A35B1" w:rsidRPr="00712E7C">
        <w:rPr>
          <w:rFonts w:ascii="Arial" w:hAnsi="Arial" w:cs="Arial"/>
          <w:sz w:val="24"/>
          <w:szCs w:val="24"/>
        </w:rPr>
        <w:t>processes by which universally available digital agents, like data and software, are appropriated by, and transformed to adapt to, new organisational contexts and spaces.</w:t>
      </w:r>
      <w:r w:rsidRPr="00712E7C">
        <w:rPr>
          <w:rFonts w:ascii="Arial" w:hAnsi="Arial" w:cs="Arial"/>
          <w:sz w:val="24"/>
          <w:szCs w:val="24"/>
        </w:rPr>
        <w:t xml:space="preserve"> </w:t>
      </w:r>
      <w:r w:rsidR="002A35B1" w:rsidRPr="00712E7C">
        <w:rPr>
          <w:rFonts w:ascii="Arial" w:hAnsi="Arial" w:cs="Arial"/>
          <w:sz w:val="24"/>
          <w:szCs w:val="24"/>
        </w:rPr>
        <w:t xml:space="preserve">Specifically, </w:t>
      </w:r>
      <w:r w:rsidR="00C0135B" w:rsidRPr="00712E7C">
        <w:rPr>
          <w:rFonts w:ascii="Arial" w:hAnsi="Arial" w:cs="Arial"/>
          <w:sz w:val="24"/>
          <w:szCs w:val="24"/>
        </w:rPr>
        <w:t>I outline and critically discuss processes by which software and data</w:t>
      </w:r>
      <w:r w:rsidR="00D374B3" w:rsidRPr="00712E7C">
        <w:rPr>
          <w:rFonts w:ascii="Arial" w:hAnsi="Arial" w:cs="Arial"/>
          <w:sz w:val="24"/>
          <w:szCs w:val="24"/>
        </w:rPr>
        <w:t xml:space="preserve"> </w:t>
      </w:r>
      <w:r w:rsidR="00C0135B" w:rsidRPr="00712E7C">
        <w:rPr>
          <w:rFonts w:ascii="Arial" w:hAnsi="Arial" w:cs="Arial"/>
          <w:sz w:val="24"/>
          <w:szCs w:val="24"/>
        </w:rPr>
        <w:t>acquired by the</w:t>
      </w:r>
      <w:r w:rsidR="00D374B3" w:rsidRPr="00712E7C">
        <w:rPr>
          <w:rFonts w:ascii="Arial" w:hAnsi="Arial" w:cs="Arial"/>
          <w:sz w:val="24"/>
          <w:szCs w:val="24"/>
        </w:rPr>
        <w:t xml:space="preserve"> FRS </w:t>
      </w:r>
      <w:r w:rsidR="00D54168" w:rsidRPr="00712E7C">
        <w:rPr>
          <w:rFonts w:ascii="Arial" w:hAnsi="Arial" w:cs="Arial"/>
          <w:sz w:val="24"/>
          <w:szCs w:val="24"/>
        </w:rPr>
        <w:t xml:space="preserve">are </w:t>
      </w:r>
      <w:r w:rsidR="00D374B3" w:rsidRPr="00712E7C">
        <w:rPr>
          <w:rFonts w:ascii="Arial" w:hAnsi="Arial" w:cs="Arial"/>
          <w:sz w:val="24"/>
          <w:szCs w:val="24"/>
        </w:rPr>
        <w:t>t</w:t>
      </w:r>
      <w:r w:rsidRPr="00712E7C">
        <w:rPr>
          <w:rFonts w:ascii="Arial" w:hAnsi="Arial" w:cs="Arial"/>
          <w:sz w:val="24"/>
          <w:szCs w:val="24"/>
        </w:rPr>
        <w:t>ransformed to</w:t>
      </w:r>
      <w:r w:rsidR="00D374B3" w:rsidRPr="00712E7C">
        <w:rPr>
          <w:rFonts w:ascii="Arial" w:hAnsi="Arial" w:cs="Arial"/>
          <w:sz w:val="24"/>
          <w:szCs w:val="24"/>
        </w:rPr>
        <w:t xml:space="preserve"> </w:t>
      </w:r>
      <w:r w:rsidR="00862777">
        <w:rPr>
          <w:rFonts w:ascii="Arial" w:hAnsi="Arial" w:cs="Arial"/>
          <w:sz w:val="24"/>
          <w:szCs w:val="24"/>
        </w:rPr>
        <w:t>construct</w:t>
      </w:r>
      <w:r w:rsidR="00D374B3" w:rsidRPr="00712E7C">
        <w:rPr>
          <w:rFonts w:ascii="Arial" w:hAnsi="Arial" w:cs="Arial"/>
          <w:sz w:val="24"/>
          <w:szCs w:val="24"/>
        </w:rPr>
        <w:t>, and</w:t>
      </w:r>
      <w:r w:rsidRPr="00712E7C">
        <w:rPr>
          <w:rFonts w:ascii="Arial" w:hAnsi="Arial" w:cs="Arial"/>
          <w:sz w:val="24"/>
          <w:szCs w:val="24"/>
        </w:rPr>
        <w:t xml:space="preserve"> to</w:t>
      </w:r>
      <w:r w:rsidR="00D374B3" w:rsidRPr="00712E7C">
        <w:rPr>
          <w:rFonts w:ascii="Arial" w:hAnsi="Arial" w:cs="Arial"/>
          <w:sz w:val="24"/>
          <w:szCs w:val="24"/>
        </w:rPr>
        <w:t xml:space="preserve"> ultimately manage,</w:t>
      </w:r>
      <w:r w:rsidR="00C0135B" w:rsidRPr="00712E7C">
        <w:rPr>
          <w:rFonts w:ascii="Arial" w:hAnsi="Arial" w:cs="Arial"/>
          <w:sz w:val="24"/>
          <w:szCs w:val="24"/>
        </w:rPr>
        <w:t xml:space="preserve"> fire as a risk.</w:t>
      </w:r>
      <w:r w:rsidR="00752E2F" w:rsidRPr="00712E7C">
        <w:rPr>
          <w:rFonts w:ascii="Arial" w:hAnsi="Arial" w:cs="Arial"/>
          <w:sz w:val="24"/>
          <w:szCs w:val="24"/>
        </w:rPr>
        <w:t xml:space="preserve"> </w:t>
      </w:r>
      <w:r w:rsidR="00610134" w:rsidRPr="00712E7C">
        <w:rPr>
          <w:rFonts w:ascii="Arial" w:hAnsi="Arial" w:cs="Arial"/>
          <w:sz w:val="24"/>
          <w:szCs w:val="24"/>
        </w:rPr>
        <w:t xml:space="preserve">I examine two processes </w:t>
      </w:r>
      <w:r w:rsidR="00862777">
        <w:rPr>
          <w:rFonts w:ascii="Arial" w:hAnsi="Arial" w:cs="Arial"/>
          <w:sz w:val="24"/>
          <w:szCs w:val="24"/>
        </w:rPr>
        <w:t xml:space="preserve">that </w:t>
      </w:r>
      <w:r w:rsidR="00610134" w:rsidRPr="00712E7C">
        <w:rPr>
          <w:rFonts w:ascii="Arial" w:hAnsi="Arial" w:cs="Arial"/>
          <w:sz w:val="24"/>
          <w:szCs w:val="24"/>
        </w:rPr>
        <w:t>condition the</w:t>
      </w:r>
      <w:r w:rsidR="00752E2F" w:rsidRPr="00712E7C">
        <w:rPr>
          <w:rFonts w:ascii="Arial" w:hAnsi="Arial" w:cs="Arial"/>
          <w:sz w:val="24"/>
          <w:szCs w:val="24"/>
        </w:rPr>
        <w:t xml:space="preserve"> </w:t>
      </w:r>
      <w:r w:rsidR="00DB601E" w:rsidRPr="00712E7C">
        <w:rPr>
          <w:rFonts w:ascii="Arial" w:hAnsi="Arial" w:cs="Arial"/>
          <w:sz w:val="24"/>
          <w:szCs w:val="24"/>
        </w:rPr>
        <w:t>localisation</w:t>
      </w:r>
      <w:r w:rsidR="00610134" w:rsidRPr="00712E7C">
        <w:rPr>
          <w:rFonts w:ascii="Arial" w:hAnsi="Arial" w:cs="Arial"/>
          <w:sz w:val="24"/>
          <w:szCs w:val="24"/>
        </w:rPr>
        <w:t xml:space="preserve"> of risk analysis technologies</w:t>
      </w:r>
      <w:r w:rsidR="00DB601E" w:rsidRPr="00712E7C">
        <w:rPr>
          <w:rFonts w:ascii="Arial" w:hAnsi="Arial" w:cs="Arial"/>
          <w:sz w:val="24"/>
          <w:szCs w:val="24"/>
        </w:rPr>
        <w:t xml:space="preserve"> and their re-deployment</w:t>
      </w:r>
      <w:r w:rsidR="00752E2F" w:rsidRPr="00712E7C">
        <w:rPr>
          <w:rFonts w:ascii="Arial" w:hAnsi="Arial" w:cs="Arial"/>
          <w:sz w:val="24"/>
          <w:szCs w:val="24"/>
        </w:rPr>
        <w:t xml:space="preserve"> in the FRS; data sourcing and </w:t>
      </w:r>
      <w:r w:rsidRPr="00712E7C">
        <w:rPr>
          <w:rFonts w:ascii="Arial" w:hAnsi="Arial" w:cs="Arial"/>
          <w:sz w:val="24"/>
          <w:szCs w:val="24"/>
        </w:rPr>
        <w:t xml:space="preserve">the </w:t>
      </w:r>
      <w:r w:rsidR="00DB601E" w:rsidRPr="00712E7C">
        <w:rPr>
          <w:rFonts w:ascii="Arial" w:hAnsi="Arial" w:cs="Arial"/>
          <w:sz w:val="24"/>
          <w:szCs w:val="24"/>
        </w:rPr>
        <w:t>practice</w:t>
      </w:r>
      <w:r w:rsidRPr="00712E7C">
        <w:rPr>
          <w:rFonts w:ascii="Arial" w:hAnsi="Arial" w:cs="Arial"/>
          <w:sz w:val="24"/>
          <w:szCs w:val="24"/>
        </w:rPr>
        <w:t xml:space="preserve"> of new </w:t>
      </w:r>
      <w:r w:rsidR="00752E2F" w:rsidRPr="00712E7C">
        <w:rPr>
          <w:rFonts w:ascii="Arial" w:hAnsi="Arial" w:cs="Arial"/>
          <w:sz w:val="24"/>
          <w:szCs w:val="24"/>
        </w:rPr>
        <w:t>fo</w:t>
      </w:r>
      <w:r w:rsidR="00864660" w:rsidRPr="00712E7C">
        <w:rPr>
          <w:rFonts w:ascii="Arial" w:hAnsi="Arial" w:cs="Arial"/>
          <w:sz w:val="24"/>
          <w:szCs w:val="24"/>
        </w:rPr>
        <w:t>rms of risk calculation. I demonstrate</w:t>
      </w:r>
      <w:r w:rsidR="00752E2F" w:rsidRPr="00712E7C">
        <w:rPr>
          <w:rFonts w:ascii="Arial" w:hAnsi="Arial" w:cs="Arial"/>
          <w:sz w:val="24"/>
          <w:szCs w:val="24"/>
        </w:rPr>
        <w:t xml:space="preserve"> that these processes of technological redeployment are </w:t>
      </w:r>
      <w:r w:rsidR="00C0135B" w:rsidRPr="00712E7C">
        <w:rPr>
          <w:rFonts w:ascii="Arial" w:hAnsi="Arial" w:cs="Arial"/>
          <w:sz w:val="24"/>
          <w:szCs w:val="24"/>
        </w:rPr>
        <w:t xml:space="preserve">vital to the broader adoption of anticipatory governance practices in the FRS and the re-application of such practices </w:t>
      </w:r>
      <w:r w:rsidR="00831B4B" w:rsidRPr="00712E7C">
        <w:rPr>
          <w:rFonts w:ascii="Arial" w:hAnsi="Arial" w:cs="Arial"/>
          <w:sz w:val="24"/>
          <w:szCs w:val="24"/>
        </w:rPr>
        <w:t>to the quotidian event of fire</w:t>
      </w:r>
      <w:r w:rsidRPr="00712E7C">
        <w:rPr>
          <w:rFonts w:ascii="Arial" w:hAnsi="Arial" w:cs="Arial"/>
          <w:sz w:val="24"/>
          <w:szCs w:val="24"/>
        </w:rPr>
        <w:t>.</w:t>
      </w:r>
    </w:p>
    <w:p w:rsidR="00862777" w:rsidRPr="00712E7C" w:rsidRDefault="00862777" w:rsidP="00712E7C">
      <w:pPr>
        <w:spacing w:after="0" w:line="360" w:lineRule="auto"/>
        <w:jc w:val="both"/>
        <w:rPr>
          <w:rFonts w:ascii="Arial" w:hAnsi="Arial" w:cs="Arial"/>
          <w:sz w:val="24"/>
          <w:szCs w:val="24"/>
        </w:rPr>
      </w:pPr>
    </w:p>
    <w:p w:rsidR="00CA2E61" w:rsidRDefault="00E755D3" w:rsidP="00712E7C">
      <w:pPr>
        <w:spacing w:after="0" w:line="360" w:lineRule="auto"/>
        <w:jc w:val="both"/>
        <w:rPr>
          <w:rFonts w:ascii="Arial" w:hAnsi="Arial" w:cs="Arial"/>
          <w:sz w:val="24"/>
          <w:szCs w:val="24"/>
        </w:rPr>
      </w:pPr>
      <w:r w:rsidRPr="00712E7C">
        <w:rPr>
          <w:rFonts w:ascii="Arial" w:hAnsi="Arial" w:cs="Arial"/>
          <w:sz w:val="24"/>
          <w:szCs w:val="24"/>
        </w:rPr>
        <w:t>The capacity of organisations within</w:t>
      </w:r>
      <w:r w:rsidR="00585F94" w:rsidRPr="00712E7C">
        <w:rPr>
          <w:rFonts w:ascii="Arial" w:hAnsi="Arial" w:cs="Arial"/>
          <w:sz w:val="24"/>
          <w:szCs w:val="24"/>
        </w:rPr>
        <w:t xml:space="preserve"> the security apparatus to take upon new modes of operation is indebted to the flexibility and malleability of digital technologies</w:t>
      </w:r>
      <w:r w:rsidR="00C0135B" w:rsidRPr="00712E7C">
        <w:rPr>
          <w:rFonts w:ascii="Arial" w:hAnsi="Arial" w:cs="Arial"/>
          <w:sz w:val="24"/>
          <w:szCs w:val="24"/>
        </w:rPr>
        <w:t>. When describing databases vital</w:t>
      </w:r>
      <w:r w:rsidR="00752E2F" w:rsidRPr="00712E7C">
        <w:rPr>
          <w:rFonts w:ascii="Arial" w:hAnsi="Arial" w:cs="Arial"/>
          <w:sz w:val="24"/>
          <w:szCs w:val="24"/>
        </w:rPr>
        <w:t xml:space="preserve"> to counter-t</w:t>
      </w:r>
      <w:r w:rsidR="00C0135B" w:rsidRPr="00712E7C">
        <w:rPr>
          <w:rFonts w:ascii="Arial" w:hAnsi="Arial" w:cs="Arial"/>
          <w:sz w:val="24"/>
          <w:szCs w:val="24"/>
        </w:rPr>
        <w:t>errorism</w:t>
      </w:r>
      <w:r w:rsidR="00752E2F" w:rsidRPr="00712E7C">
        <w:rPr>
          <w:rFonts w:ascii="Arial" w:hAnsi="Arial" w:cs="Arial"/>
          <w:sz w:val="24"/>
          <w:szCs w:val="24"/>
        </w:rPr>
        <w:t xml:space="preserve"> security</w:t>
      </w:r>
      <w:r w:rsidR="00C0135B" w:rsidRPr="00712E7C">
        <w:rPr>
          <w:rFonts w:ascii="Arial" w:hAnsi="Arial" w:cs="Arial"/>
          <w:sz w:val="24"/>
          <w:szCs w:val="24"/>
        </w:rPr>
        <w:t xml:space="preserve">, de </w:t>
      </w:r>
      <w:r w:rsidR="00C0135B" w:rsidRPr="00712E7C">
        <w:rPr>
          <w:rFonts w:ascii="Arial" w:hAnsi="Arial" w:cs="Arial"/>
          <w:sz w:val="24"/>
          <w:szCs w:val="24"/>
        </w:rPr>
        <w:lastRenderedPageBreak/>
        <w:t>Goede</w:t>
      </w:r>
      <w:r w:rsidR="00C60E72">
        <w:rPr>
          <w:rFonts w:ascii="Arial" w:hAnsi="Arial" w:cs="Arial"/>
          <w:sz w:val="24"/>
          <w:szCs w:val="24"/>
        </w:rPr>
        <w:t xml:space="preserve"> (2012)</w:t>
      </w:r>
      <w:r w:rsidR="00E25B64" w:rsidRPr="00712E7C">
        <w:rPr>
          <w:rFonts w:ascii="Arial" w:hAnsi="Arial" w:cs="Arial"/>
          <w:sz w:val="24"/>
          <w:szCs w:val="24"/>
        </w:rPr>
        <w:t xml:space="preserve"> </w:t>
      </w:r>
      <w:r w:rsidR="00C0135B" w:rsidRPr="00712E7C">
        <w:rPr>
          <w:rFonts w:ascii="Arial" w:hAnsi="Arial" w:cs="Arial"/>
          <w:sz w:val="24"/>
          <w:szCs w:val="24"/>
        </w:rPr>
        <w:t>argues that the flexibility of software</w:t>
      </w:r>
      <w:r w:rsidR="00D54168" w:rsidRPr="00712E7C">
        <w:rPr>
          <w:rFonts w:ascii="Arial" w:hAnsi="Arial" w:cs="Arial"/>
          <w:sz w:val="24"/>
          <w:szCs w:val="24"/>
        </w:rPr>
        <w:t xml:space="preserve"> </w:t>
      </w:r>
      <w:r w:rsidR="003B487D" w:rsidRPr="00712E7C">
        <w:rPr>
          <w:rFonts w:ascii="Arial" w:hAnsi="Arial" w:cs="Arial"/>
          <w:sz w:val="24"/>
          <w:szCs w:val="24"/>
        </w:rPr>
        <w:t>instig</w:t>
      </w:r>
      <w:r w:rsidR="00C0135B" w:rsidRPr="00712E7C">
        <w:rPr>
          <w:rFonts w:ascii="Arial" w:hAnsi="Arial" w:cs="Arial"/>
          <w:sz w:val="24"/>
          <w:szCs w:val="24"/>
        </w:rPr>
        <w:t>ates questions about where the authority to govern lies</w:t>
      </w:r>
      <w:r w:rsidR="00752E2F" w:rsidRPr="00712E7C">
        <w:rPr>
          <w:rFonts w:ascii="Arial" w:hAnsi="Arial" w:cs="Arial"/>
          <w:sz w:val="24"/>
          <w:szCs w:val="24"/>
        </w:rPr>
        <w:t xml:space="preserve"> across and between</w:t>
      </w:r>
      <w:r w:rsidR="00C0135B" w:rsidRPr="00712E7C">
        <w:rPr>
          <w:rFonts w:ascii="Arial" w:hAnsi="Arial" w:cs="Arial"/>
          <w:sz w:val="24"/>
          <w:szCs w:val="24"/>
        </w:rPr>
        <w:t xml:space="preserve"> domains of public security and the private space of software developers. Do</w:t>
      </w:r>
      <w:r w:rsidR="003E5DF0" w:rsidRPr="00712E7C">
        <w:rPr>
          <w:rFonts w:ascii="Arial" w:hAnsi="Arial" w:cs="Arial"/>
          <w:sz w:val="24"/>
          <w:szCs w:val="24"/>
        </w:rPr>
        <w:t xml:space="preserve"> universally available technologies</w:t>
      </w:r>
      <w:r w:rsidR="00CA2BFC" w:rsidRPr="00712E7C">
        <w:rPr>
          <w:rFonts w:ascii="Arial" w:hAnsi="Arial" w:cs="Arial"/>
          <w:sz w:val="24"/>
          <w:szCs w:val="24"/>
        </w:rPr>
        <w:t xml:space="preserve"> merely </w:t>
      </w:r>
      <w:r w:rsidR="003E5DF0" w:rsidRPr="00712E7C">
        <w:rPr>
          <w:rFonts w:ascii="Arial" w:hAnsi="Arial" w:cs="Arial"/>
          <w:sz w:val="24"/>
          <w:szCs w:val="24"/>
        </w:rPr>
        <w:t>aid the development of new modes</w:t>
      </w:r>
      <w:r w:rsidR="00C0135B" w:rsidRPr="00712E7C">
        <w:rPr>
          <w:rFonts w:ascii="Arial" w:hAnsi="Arial" w:cs="Arial"/>
          <w:sz w:val="24"/>
          <w:szCs w:val="24"/>
        </w:rPr>
        <w:t xml:space="preserve"> of governance</w:t>
      </w:r>
      <w:r w:rsidR="00183D14" w:rsidRPr="00712E7C">
        <w:rPr>
          <w:rFonts w:ascii="Arial" w:hAnsi="Arial" w:cs="Arial"/>
          <w:sz w:val="24"/>
          <w:szCs w:val="24"/>
        </w:rPr>
        <w:t xml:space="preserve"> for established agents of security</w:t>
      </w:r>
      <w:r w:rsidR="00C0135B" w:rsidRPr="00712E7C">
        <w:rPr>
          <w:rFonts w:ascii="Arial" w:hAnsi="Arial" w:cs="Arial"/>
          <w:sz w:val="24"/>
          <w:szCs w:val="24"/>
        </w:rPr>
        <w:t xml:space="preserve"> or does the authority to govern begin to spread across a wider set of organisations</w:t>
      </w:r>
      <w:r w:rsidR="003E5DF0" w:rsidRPr="00712E7C">
        <w:rPr>
          <w:rFonts w:ascii="Arial" w:hAnsi="Arial" w:cs="Arial"/>
          <w:sz w:val="24"/>
          <w:szCs w:val="24"/>
        </w:rPr>
        <w:t xml:space="preserve">, including private </w:t>
      </w:r>
      <w:r w:rsidRPr="00712E7C">
        <w:rPr>
          <w:rFonts w:ascii="Arial" w:hAnsi="Arial" w:cs="Arial"/>
          <w:sz w:val="24"/>
          <w:szCs w:val="24"/>
        </w:rPr>
        <w:t>data collection</w:t>
      </w:r>
      <w:r w:rsidR="003E5DF0" w:rsidRPr="00712E7C">
        <w:rPr>
          <w:rFonts w:ascii="Arial" w:hAnsi="Arial" w:cs="Arial"/>
          <w:sz w:val="24"/>
          <w:szCs w:val="24"/>
        </w:rPr>
        <w:t xml:space="preserve"> companies and software designers</w:t>
      </w:r>
      <w:r w:rsidR="00C0135B" w:rsidRPr="00712E7C">
        <w:rPr>
          <w:rFonts w:ascii="Arial" w:hAnsi="Arial" w:cs="Arial"/>
          <w:sz w:val="24"/>
          <w:szCs w:val="24"/>
        </w:rPr>
        <w:t>?</w:t>
      </w:r>
      <w:r w:rsidR="00864660" w:rsidRPr="00712E7C">
        <w:rPr>
          <w:rFonts w:ascii="Arial" w:hAnsi="Arial" w:cs="Arial"/>
          <w:sz w:val="24"/>
          <w:szCs w:val="24"/>
        </w:rPr>
        <w:t xml:space="preserve"> I address this question in the conclusion</w:t>
      </w:r>
      <w:r w:rsidR="00DF1967" w:rsidRPr="00712E7C">
        <w:rPr>
          <w:rFonts w:ascii="Arial" w:hAnsi="Arial" w:cs="Arial"/>
          <w:sz w:val="24"/>
          <w:szCs w:val="24"/>
        </w:rPr>
        <w:t>,</w:t>
      </w:r>
      <w:r w:rsidR="00864660" w:rsidRPr="00712E7C">
        <w:rPr>
          <w:rFonts w:ascii="Arial" w:hAnsi="Arial" w:cs="Arial"/>
          <w:sz w:val="24"/>
          <w:szCs w:val="24"/>
        </w:rPr>
        <w:t xml:space="preserve"> suggesting that</w:t>
      </w:r>
      <w:r w:rsidR="00DF1967" w:rsidRPr="00712E7C">
        <w:rPr>
          <w:rFonts w:ascii="Arial" w:hAnsi="Arial" w:cs="Arial"/>
          <w:sz w:val="24"/>
          <w:szCs w:val="24"/>
        </w:rPr>
        <w:t xml:space="preserve"> rather than a shift from public to private domains of authority, the public intersects with the private in new ways. </w:t>
      </w:r>
    </w:p>
    <w:p w:rsidR="0074292D" w:rsidRDefault="0074292D" w:rsidP="00712E7C">
      <w:pPr>
        <w:spacing w:after="0" w:line="360" w:lineRule="auto"/>
        <w:jc w:val="both"/>
        <w:rPr>
          <w:rFonts w:ascii="Arial" w:hAnsi="Arial" w:cs="Arial"/>
          <w:sz w:val="24"/>
          <w:szCs w:val="24"/>
        </w:rPr>
      </w:pPr>
    </w:p>
    <w:p w:rsidR="002240D6" w:rsidRPr="00712E7C" w:rsidRDefault="002240D6" w:rsidP="00712E7C">
      <w:pPr>
        <w:spacing w:after="0" w:line="360" w:lineRule="auto"/>
        <w:jc w:val="both"/>
        <w:rPr>
          <w:rFonts w:ascii="Arial" w:hAnsi="Arial" w:cs="Arial"/>
          <w:sz w:val="24"/>
          <w:szCs w:val="24"/>
        </w:rPr>
      </w:pPr>
    </w:p>
    <w:p w:rsidR="007C691D" w:rsidRPr="002240D6" w:rsidRDefault="002240D6" w:rsidP="00712E7C">
      <w:pPr>
        <w:spacing w:after="0" w:line="360" w:lineRule="auto"/>
        <w:jc w:val="both"/>
        <w:rPr>
          <w:rFonts w:ascii="Arial" w:hAnsi="Arial" w:cs="Arial"/>
          <w:b/>
          <w:sz w:val="24"/>
          <w:szCs w:val="24"/>
        </w:rPr>
      </w:pPr>
      <w:r>
        <w:rPr>
          <w:rFonts w:ascii="Arial" w:hAnsi="Arial" w:cs="Arial"/>
          <w:b/>
          <w:sz w:val="24"/>
          <w:szCs w:val="24"/>
        </w:rPr>
        <w:t>F</w:t>
      </w:r>
      <w:r w:rsidRPr="002240D6">
        <w:rPr>
          <w:rFonts w:ascii="Arial" w:hAnsi="Arial" w:cs="Arial"/>
          <w:b/>
          <w:sz w:val="24"/>
          <w:szCs w:val="24"/>
        </w:rPr>
        <w:t xml:space="preserve">ixing data circulation in the form and matter of data mobility </w:t>
      </w:r>
    </w:p>
    <w:p w:rsidR="002240D6" w:rsidRPr="00712E7C" w:rsidRDefault="002240D6" w:rsidP="00712E7C">
      <w:pPr>
        <w:spacing w:after="0" w:line="360" w:lineRule="auto"/>
        <w:jc w:val="both"/>
        <w:rPr>
          <w:rFonts w:ascii="Arial" w:hAnsi="Arial" w:cs="Arial"/>
          <w:sz w:val="24"/>
          <w:szCs w:val="24"/>
          <w:u w:val="single"/>
        </w:rPr>
      </w:pPr>
    </w:p>
    <w:p w:rsidR="00F25490" w:rsidRDefault="000A417A" w:rsidP="00712E7C">
      <w:pPr>
        <w:spacing w:after="0" w:line="360" w:lineRule="auto"/>
        <w:jc w:val="both"/>
        <w:rPr>
          <w:rFonts w:ascii="Arial" w:hAnsi="Arial" w:cs="Arial"/>
          <w:sz w:val="24"/>
          <w:szCs w:val="24"/>
        </w:rPr>
      </w:pPr>
      <w:r w:rsidRPr="00712E7C">
        <w:rPr>
          <w:rFonts w:ascii="Arial" w:hAnsi="Arial" w:cs="Arial"/>
          <w:sz w:val="24"/>
          <w:szCs w:val="24"/>
        </w:rPr>
        <w:t xml:space="preserve">To enable and engender a new risk-based, anticipatory approach to the governance of fire, </w:t>
      </w:r>
      <w:r w:rsidR="002240D6" w:rsidRPr="00712E7C">
        <w:rPr>
          <w:rFonts w:ascii="Arial" w:hAnsi="Arial" w:cs="Arial"/>
          <w:sz w:val="24"/>
          <w:szCs w:val="24"/>
        </w:rPr>
        <w:t xml:space="preserve">over the last decade </w:t>
      </w:r>
      <w:r w:rsidRPr="00712E7C">
        <w:rPr>
          <w:rFonts w:ascii="Arial" w:hAnsi="Arial" w:cs="Arial"/>
          <w:sz w:val="24"/>
          <w:szCs w:val="24"/>
        </w:rPr>
        <w:t>a</w:t>
      </w:r>
      <w:r w:rsidR="00E12B8D" w:rsidRPr="00712E7C">
        <w:rPr>
          <w:rFonts w:ascii="Arial" w:hAnsi="Arial" w:cs="Arial"/>
          <w:sz w:val="24"/>
          <w:szCs w:val="24"/>
        </w:rPr>
        <w:t xml:space="preserve"> digital infrastructure has gradually formed in the FRS.</w:t>
      </w:r>
      <w:r w:rsidRPr="00712E7C">
        <w:rPr>
          <w:rFonts w:ascii="Arial" w:hAnsi="Arial" w:cs="Arial"/>
          <w:sz w:val="24"/>
          <w:szCs w:val="24"/>
        </w:rPr>
        <w:t xml:space="preserve"> The primary task of this digital infrastructure is to generate accounts of fire risk on a number of different aesthetic registers. The projections made </w:t>
      </w:r>
      <w:r w:rsidR="002240D6">
        <w:rPr>
          <w:rFonts w:ascii="Arial" w:hAnsi="Arial" w:cs="Arial"/>
          <w:sz w:val="24"/>
          <w:szCs w:val="24"/>
        </w:rPr>
        <w:t>inform strategic decision-</w:t>
      </w:r>
      <w:r w:rsidRPr="00712E7C">
        <w:rPr>
          <w:rFonts w:ascii="Arial" w:hAnsi="Arial" w:cs="Arial"/>
          <w:sz w:val="24"/>
          <w:szCs w:val="24"/>
        </w:rPr>
        <w:t>making on how to intervene upon fire before they occur.</w:t>
      </w:r>
      <w:r w:rsidR="00E12B8D" w:rsidRPr="00712E7C">
        <w:rPr>
          <w:rFonts w:ascii="Arial" w:hAnsi="Arial" w:cs="Arial"/>
          <w:sz w:val="24"/>
          <w:szCs w:val="24"/>
        </w:rPr>
        <w:t xml:space="preserve"> </w:t>
      </w:r>
      <w:r w:rsidR="00E755D3" w:rsidRPr="00712E7C">
        <w:rPr>
          <w:rFonts w:ascii="Arial" w:hAnsi="Arial" w:cs="Arial"/>
          <w:sz w:val="24"/>
          <w:szCs w:val="24"/>
        </w:rPr>
        <w:t xml:space="preserve">The risk projections </w:t>
      </w:r>
      <w:r w:rsidR="002240D6">
        <w:rPr>
          <w:rFonts w:ascii="Arial" w:hAnsi="Arial" w:cs="Arial"/>
          <w:sz w:val="24"/>
          <w:szCs w:val="24"/>
        </w:rPr>
        <w:t>that</w:t>
      </w:r>
      <w:r w:rsidR="00E755D3" w:rsidRPr="00712E7C">
        <w:rPr>
          <w:rFonts w:ascii="Arial" w:hAnsi="Arial" w:cs="Arial"/>
          <w:sz w:val="24"/>
          <w:szCs w:val="24"/>
        </w:rPr>
        <w:t xml:space="preserve"> are generated by this digital infrastructure facilitate and condition the appropriation and practice of anticipatory governance in the FRS.</w:t>
      </w:r>
    </w:p>
    <w:p w:rsidR="002240D6" w:rsidRPr="00712E7C" w:rsidRDefault="002240D6" w:rsidP="00712E7C">
      <w:pPr>
        <w:spacing w:after="0" w:line="360" w:lineRule="auto"/>
        <w:jc w:val="both"/>
        <w:rPr>
          <w:rFonts w:ascii="Arial" w:hAnsi="Arial" w:cs="Arial"/>
          <w:sz w:val="24"/>
          <w:szCs w:val="24"/>
        </w:rPr>
      </w:pPr>
    </w:p>
    <w:p w:rsidR="00E12B8D" w:rsidRDefault="00F25490" w:rsidP="00712E7C">
      <w:pPr>
        <w:spacing w:after="0" w:line="360" w:lineRule="auto"/>
        <w:jc w:val="both"/>
        <w:rPr>
          <w:rFonts w:ascii="Arial" w:hAnsi="Arial" w:cs="Arial"/>
          <w:sz w:val="24"/>
          <w:szCs w:val="24"/>
        </w:rPr>
      </w:pPr>
      <w:r w:rsidRPr="00712E7C">
        <w:rPr>
          <w:rFonts w:ascii="Arial" w:hAnsi="Arial" w:cs="Arial"/>
          <w:sz w:val="24"/>
          <w:szCs w:val="24"/>
        </w:rPr>
        <w:t xml:space="preserve">In order to understand how calculations are undertaken and projections are generated, the digital infrastructure needs to be approached and conceptualised as an assemblage. This infrastructure needs to be acknowledged in its composition through a vast range of materially heterogeneous human and non-human entities, from digitalised data, fibre-optic cables, hardware, software to mundane organisational routines, experiential knowledge and various interfaces between human analysts and computers. </w:t>
      </w:r>
      <w:r w:rsidR="00206BC4" w:rsidRPr="00712E7C">
        <w:rPr>
          <w:rFonts w:ascii="Arial" w:hAnsi="Arial" w:cs="Arial"/>
          <w:sz w:val="24"/>
          <w:szCs w:val="24"/>
        </w:rPr>
        <w:t>Calculation and risk projections arise out of their</w:t>
      </w:r>
      <w:r w:rsidR="00E12B8D" w:rsidRPr="00712E7C">
        <w:rPr>
          <w:rFonts w:ascii="Arial" w:hAnsi="Arial" w:cs="Arial"/>
          <w:sz w:val="24"/>
          <w:szCs w:val="24"/>
        </w:rPr>
        <w:t xml:space="preserve"> situated</w:t>
      </w:r>
      <w:r w:rsidR="00206BC4" w:rsidRPr="00712E7C">
        <w:rPr>
          <w:rFonts w:ascii="Arial" w:hAnsi="Arial" w:cs="Arial"/>
          <w:sz w:val="24"/>
          <w:szCs w:val="24"/>
        </w:rPr>
        <w:t>ness within,</w:t>
      </w:r>
      <w:r w:rsidR="00E12B8D" w:rsidRPr="00712E7C">
        <w:rPr>
          <w:rFonts w:ascii="Arial" w:hAnsi="Arial" w:cs="Arial"/>
          <w:sz w:val="24"/>
          <w:szCs w:val="24"/>
        </w:rPr>
        <w:t xml:space="preserve"> and relian</w:t>
      </w:r>
      <w:r w:rsidR="00206BC4" w:rsidRPr="00712E7C">
        <w:rPr>
          <w:rFonts w:ascii="Arial" w:hAnsi="Arial" w:cs="Arial"/>
          <w:sz w:val="24"/>
          <w:szCs w:val="24"/>
        </w:rPr>
        <w:t>ce</w:t>
      </w:r>
      <w:r w:rsidR="00E12B8D" w:rsidRPr="00712E7C">
        <w:rPr>
          <w:rFonts w:ascii="Arial" w:hAnsi="Arial" w:cs="Arial"/>
          <w:sz w:val="24"/>
          <w:szCs w:val="24"/>
        </w:rPr>
        <w:t xml:space="preserve"> upon</w:t>
      </w:r>
      <w:r w:rsidR="00206BC4" w:rsidRPr="00712E7C">
        <w:rPr>
          <w:rFonts w:ascii="Arial" w:hAnsi="Arial" w:cs="Arial"/>
          <w:sz w:val="24"/>
          <w:szCs w:val="24"/>
        </w:rPr>
        <w:t>,</w:t>
      </w:r>
      <w:r w:rsidR="00E12B8D" w:rsidRPr="00712E7C">
        <w:rPr>
          <w:rFonts w:ascii="Arial" w:hAnsi="Arial" w:cs="Arial"/>
          <w:sz w:val="24"/>
          <w:szCs w:val="24"/>
        </w:rPr>
        <w:t xml:space="preserve"> multiple mundane processes</w:t>
      </w:r>
      <w:r w:rsidR="002240D6">
        <w:rPr>
          <w:rFonts w:ascii="Arial" w:hAnsi="Arial" w:cs="Arial"/>
          <w:sz w:val="24"/>
          <w:szCs w:val="24"/>
        </w:rPr>
        <w:t>,</w:t>
      </w:r>
      <w:r w:rsidR="00E12B8D" w:rsidRPr="00712E7C">
        <w:rPr>
          <w:rFonts w:ascii="Arial" w:hAnsi="Arial" w:cs="Arial"/>
          <w:sz w:val="24"/>
          <w:szCs w:val="24"/>
        </w:rPr>
        <w:t xml:space="preserve"> which are constantly ongoing</w:t>
      </w:r>
      <w:r w:rsidR="00206BC4" w:rsidRPr="00712E7C">
        <w:rPr>
          <w:rFonts w:ascii="Arial" w:hAnsi="Arial" w:cs="Arial"/>
          <w:sz w:val="24"/>
          <w:szCs w:val="24"/>
        </w:rPr>
        <w:t xml:space="preserve"> in the digital infrastructure</w:t>
      </w:r>
      <w:r w:rsidR="00E12B8D" w:rsidRPr="00712E7C">
        <w:rPr>
          <w:rFonts w:ascii="Arial" w:hAnsi="Arial" w:cs="Arial"/>
          <w:sz w:val="24"/>
          <w:szCs w:val="24"/>
        </w:rPr>
        <w:t xml:space="preserve"> </w:t>
      </w:r>
      <w:r w:rsidR="00206BC4" w:rsidRPr="00712E7C">
        <w:rPr>
          <w:rFonts w:ascii="Arial" w:hAnsi="Arial" w:cs="Arial"/>
          <w:sz w:val="24"/>
          <w:szCs w:val="24"/>
        </w:rPr>
        <w:t>and</w:t>
      </w:r>
      <w:r w:rsidR="000158C5" w:rsidRPr="00712E7C">
        <w:rPr>
          <w:rFonts w:ascii="Arial" w:hAnsi="Arial" w:cs="Arial"/>
          <w:sz w:val="24"/>
          <w:szCs w:val="24"/>
        </w:rPr>
        <w:t xml:space="preserve"> which</w:t>
      </w:r>
      <w:r w:rsidR="00206BC4" w:rsidRPr="00712E7C">
        <w:rPr>
          <w:rFonts w:ascii="Arial" w:hAnsi="Arial" w:cs="Arial"/>
          <w:sz w:val="24"/>
          <w:szCs w:val="24"/>
        </w:rPr>
        <w:t xml:space="preserve"> entangle heterogeneous agential forces </w:t>
      </w:r>
      <w:r w:rsidR="002B7647" w:rsidRPr="00712E7C">
        <w:rPr>
          <w:rFonts w:ascii="Arial" w:hAnsi="Arial" w:cs="Arial"/>
          <w:sz w:val="24"/>
          <w:szCs w:val="24"/>
        </w:rPr>
        <w:t>that</w:t>
      </w:r>
      <w:r w:rsidR="00206BC4" w:rsidRPr="00712E7C">
        <w:rPr>
          <w:rFonts w:ascii="Arial" w:hAnsi="Arial" w:cs="Arial"/>
          <w:sz w:val="24"/>
          <w:szCs w:val="24"/>
        </w:rPr>
        <w:t xml:space="preserve"> inhabit the infrastructure</w:t>
      </w:r>
      <w:r w:rsidR="000662E5" w:rsidRPr="00712E7C">
        <w:rPr>
          <w:rFonts w:ascii="Arial" w:hAnsi="Arial" w:cs="Arial"/>
          <w:sz w:val="24"/>
          <w:szCs w:val="24"/>
        </w:rPr>
        <w:t>. The calculative prowess of the digital infras</w:t>
      </w:r>
      <w:r w:rsidR="002240D6">
        <w:rPr>
          <w:rFonts w:ascii="Arial" w:hAnsi="Arial" w:cs="Arial"/>
          <w:sz w:val="24"/>
          <w:szCs w:val="24"/>
        </w:rPr>
        <w:t xml:space="preserve">tructure thus operates, as John </w:t>
      </w:r>
      <w:r w:rsidR="000662E5" w:rsidRPr="00712E7C">
        <w:rPr>
          <w:rFonts w:ascii="Arial" w:hAnsi="Arial" w:cs="Arial"/>
          <w:sz w:val="24"/>
          <w:szCs w:val="24"/>
        </w:rPr>
        <w:t xml:space="preserve">Law </w:t>
      </w:r>
      <w:r w:rsidR="002240D6">
        <w:rPr>
          <w:rFonts w:ascii="Arial" w:hAnsi="Arial" w:cs="Arial"/>
          <w:sz w:val="24"/>
          <w:szCs w:val="24"/>
        </w:rPr>
        <w:t xml:space="preserve">(2002) </w:t>
      </w:r>
      <w:r w:rsidR="000662E5" w:rsidRPr="00712E7C">
        <w:rPr>
          <w:rFonts w:ascii="Arial" w:hAnsi="Arial" w:cs="Arial"/>
          <w:sz w:val="24"/>
          <w:szCs w:val="24"/>
        </w:rPr>
        <w:t>would describe, through ‘fractional coherence’</w:t>
      </w:r>
      <w:r w:rsidR="002240D6">
        <w:rPr>
          <w:rFonts w:ascii="Arial" w:hAnsi="Arial" w:cs="Arial"/>
          <w:sz w:val="24"/>
          <w:szCs w:val="24"/>
        </w:rPr>
        <w:t>,</w:t>
      </w:r>
      <w:r w:rsidR="000662E5" w:rsidRPr="00712E7C">
        <w:rPr>
          <w:rFonts w:ascii="Arial" w:hAnsi="Arial" w:cs="Arial"/>
          <w:sz w:val="24"/>
          <w:szCs w:val="24"/>
        </w:rPr>
        <w:t xml:space="preserve"> in which the singular function of a technology is produced through multiple related processes which surround the </w:t>
      </w:r>
      <w:r w:rsidR="000662E5" w:rsidRPr="00712E7C">
        <w:rPr>
          <w:rFonts w:ascii="Arial" w:hAnsi="Arial" w:cs="Arial"/>
          <w:sz w:val="24"/>
          <w:szCs w:val="24"/>
        </w:rPr>
        <w:lastRenderedPageBreak/>
        <w:t>technology.</w:t>
      </w:r>
      <w:r w:rsidR="00752826" w:rsidRPr="00712E7C">
        <w:rPr>
          <w:rFonts w:ascii="Arial" w:hAnsi="Arial" w:cs="Arial"/>
          <w:sz w:val="24"/>
          <w:szCs w:val="24"/>
        </w:rPr>
        <w:t xml:space="preserve"> In the case of the Fire and Rescue Service, then,</w:t>
      </w:r>
      <w:r w:rsidR="000662E5" w:rsidRPr="00712E7C">
        <w:rPr>
          <w:rFonts w:ascii="Arial" w:hAnsi="Arial" w:cs="Arial"/>
          <w:sz w:val="24"/>
          <w:szCs w:val="24"/>
        </w:rPr>
        <w:t xml:space="preserve"> </w:t>
      </w:r>
      <w:r w:rsidR="00752826" w:rsidRPr="00712E7C">
        <w:rPr>
          <w:rFonts w:ascii="Arial" w:hAnsi="Arial" w:cs="Arial"/>
          <w:sz w:val="24"/>
          <w:szCs w:val="24"/>
        </w:rPr>
        <w:t>t</w:t>
      </w:r>
      <w:r w:rsidR="00CE5A50" w:rsidRPr="00712E7C">
        <w:rPr>
          <w:rFonts w:ascii="Arial" w:hAnsi="Arial" w:cs="Arial"/>
          <w:sz w:val="24"/>
          <w:szCs w:val="24"/>
        </w:rPr>
        <w:t xml:space="preserve">he singular functionality of </w:t>
      </w:r>
      <w:r w:rsidR="005A07D9" w:rsidRPr="00712E7C">
        <w:rPr>
          <w:rFonts w:ascii="Arial" w:hAnsi="Arial" w:cs="Arial"/>
          <w:sz w:val="24"/>
          <w:szCs w:val="24"/>
        </w:rPr>
        <w:t>individual</w:t>
      </w:r>
      <w:r w:rsidR="00CE5A50" w:rsidRPr="00712E7C">
        <w:rPr>
          <w:rFonts w:ascii="Arial" w:hAnsi="Arial" w:cs="Arial"/>
          <w:sz w:val="24"/>
          <w:szCs w:val="24"/>
        </w:rPr>
        <w:t xml:space="preserve"> software</w:t>
      </w:r>
      <w:r w:rsidR="00B23229">
        <w:rPr>
          <w:rFonts w:ascii="Arial" w:hAnsi="Arial" w:cs="Arial"/>
          <w:sz w:val="24"/>
          <w:szCs w:val="24"/>
        </w:rPr>
        <w:t>,</w:t>
      </w:r>
      <w:r w:rsidR="00CE5A50" w:rsidRPr="00712E7C">
        <w:rPr>
          <w:rFonts w:ascii="Arial" w:hAnsi="Arial" w:cs="Arial"/>
          <w:sz w:val="24"/>
          <w:szCs w:val="24"/>
        </w:rPr>
        <w:t xml:space="preserve"> whose commercial licence has been purchased by the FRS</w:t>
      </w:r>
      <w:r w:rsidR="00B23229">
        <w:rPr>
          <w:rFonts w:ascii="Arial" w:hAnsi="Arial" w:cs="Arial"/>
          <w:sz w:val="24"/>
          <w:szCs w:val="24"/>
        </w:rPr>
        <w:t>,</w:t>
      </w:r>
      <w:r w:rsidR="00CE5A50" w:rsidRPr="00712E7C">
        <w:rPr>
          <w:rFonts w:ascii="Arial" w:hAnsi="Arial" w:cs="Arial"/>
          <w:sz w:val="24"/>
          <w:szCs w:val="24"/>
        </w:rPr>
        <w:t xml:space="preserve"> will depend on the overall multiplicity of the digital infrastructure within which it now operates. The possibilities </w:t>
      </w:r>
      <w:r w:rsidR="00405D6C" w:rsidRPr="00712E7C">
        <w:rPr>
          <w:rFonts w:ascii="Arial" w:hAnsi="Arial" w:cs="Arial"/>
          <w:sz w:val="24"/>
          <w:szCs w:val="24"/>
        </w:rPr>
        <w:t xml:space="preserve">and hopes </w:t>
      </w:r>
      <w:r w:rsidR="00CE5A50" w:rsidRPr="00712E7C">
        <w:rPr>
          <w:rFonts w:ascii="Arial" w:hAnsi="Arial" w:cs="Arial"/>
          <w:sz w:val="24"/>
          <w:szCs w:val="24"/>
        </w:rPr>
        <w:t>that appropriating new software opens up for the FRS will only be realised through processes</w:t>
      </w:r>
      <w:r w:rsidR="002B7647" w:rsidRPr="00712E7C">
        <w:rPr>
          <w:rFonts w:ascii="Arial" w:hAnsi="Arial" w:cs="Arial"/>
          <w:sz w:val="24"/>
          <w:szCs w:val="24"/>
        </w:rPr>
        <w:t xml:space="preserve"> of localisation</w:t>
      </w:r>
      <w:r w:rsidR="00B23229">
        <w:rPr>
          <w:rFonts w:ascii="Arial" w:hAnsi="Arial" w:cs="Arial"/>
          <w:sz w:val="24"/>
          <w:szCs w:val="24"/>
        </w:rPr>
        <w:t>,</w:t>
      </w:r>
      <w:r w:rsidR="00CE5A50" w:rsidRPr="00712E7C">
        <w:rPr>
          <w:rFonts w:ascii="Arial" w:hAnsi="Arial" w:cs="Arial"/>
          <w:sz w:val="24"/>
          <w:szCs w:val="24"/>
        </w:rPr>
        <w:t xml:space="preserve"> which call forth and enrol different elements of a wider digital infrastructure</w:t>
      </w:r>
      <w:r w:rsidR="005A07D9" w:rsidRPr="00712E7C">
        <w:rPr>
          <w:rFonts w:ascii="Arial" w:hAnsi="Arial" w:cs="Arial"/>
          <w:sz w:val="24"/>
          <w:szCs w:val="24"/>
        </w:rPr>
        <w:t xml:space="preserve"> into relations with the new software</w:t>
      </w:r>
      <w:r w:rsidR="00CE5A50" w:rsidRPr="00712E7C">
        <w:rPr>
          <w:rFonts w:ascii="Arial" w:hAnsi="Arial" w:cs="Arial"/>
          <w:sz w:val="24"/>
          <w:szCs w:val="24"/>
        </w:rPr>
        <w:t xml:space="preserve">. </w:t>
      </w:r>
    </w:p>
    <w:p w:rsidR="00B23229" w:rsidRPr="00712E7C" w:rsidRDefault="00B23229" w:rsidP="00712E7C">
      <w:pPr>
        <w:spacing w:after="0" w:line="360" w:lineRule="auto"/>
        <w:jc w:val="both"/>
        <w:rPr>
          <w:rFonts w:ascii="Arial" w:hAnsi="Arial" w:cs="Arial"/>
          <w:sz w:val="24"/>
          <w:szCs w:val="24"/>
        </w:rPr>
      </w:pPr>
    </w:p>
    <w:p w:rsidR="00CE5A50" w:rsidRDefault="00CE5A50" w:rsidP="00712E7C">
      <w:pPr>
        <w:spacing w:after="0" w:line="360" w:lineRule="auto"/>
        <w:jc w:val="both"/>
        <w:rPr>
          <w:rFonts w:ascii="Arial" w:hAnsi="Arial" w:cs="Arial"/>
          <w:sz w:val="24"/>
          <w:szCs w:val="24"/>
        </w:rPr>
      </w:pPr>
      <w:r w:rsidRPr="00712E7C">
        <w:rPr>
          <w:rFonts w:ascii="Arial" w:hAnsi="Arial" w:cs="Arial"/>
          <w:sz w:val="24"/>
          <w:szCs w:val="24"/>
        </w:rPr>
        <w:t>Not to be ignored are processes in which data used for calculation are collec</w:t>
      </w:r>
      <w:r w:rsidR="003B487D" w:rsidRPr="00712E7C">
        <w:rPr>
          <w:rFonts w:ascii="Arial" w:hAnsi="Arial" w:cs="Arial"/>
          <w:sz w:val="24"/>
          <w:szCs w:val="24"/>
        </w:rPr>
        <w:t>ted. As I will go on to show</w:t>
      </w:r>
      <w:r w:rsidRPr="00712E7C">
        <w:rPr>
          <w:rFonts w:ascii="Arial" w:hAnsi="Arial" w:cs="Arial"/>
          <w:sz w:val="24"/>
          <w:szCs w:val="24"/>
        </w:rPr>
        <w:t>,</w:t>
      </w:r>
      <w:r w:rsidR="002B7647" w:rsidRPr="00712E7C">
        <w:rPr>
          <w:rFonts w:ascii="Arial" w:hAnsi="Arial" w:cs="Arial"/>
          <w:sz w:val="24"/>
          <w:szCs w:val="24"/>
        </w:rPr>
        <w:t xml:space="preserve"> however,</w:t>
      </w:r>
      <w:r w:rsidRPr="00712E7C">
        <w:rPr>
          <w:rFonts w:ascii="Arial" w:hAnsi="Arial" w:cs="Arial"/>
          <w:sz w:val="24"/>
          <w:szCs w:val="24"/>
        </w:rPr>
        <w:t xml:space="preserve"> data cannot be considered singular in its material form. In other words, data are not only embedded in digitalised codes which are subject to computer processing. </w:t>
      </w:r>
      <w:r w:rsidR="002B7647" w:rsidRPr="00712E7C">
        <w:rPr>
          <w:rFonts w:ascii="Arial" w:hAnsi="Arial" w:cs="Arial"/>
          <w:sz w:val="24"/>
          <w:szCs w:val="24"/>
        </w:rPr>
        <w:t>Neither are data</w:t>
      </w:r>
      <w:r w:rsidR="000158C5" w:rsidRPr="00712E7C">
        <w:rPr>
          <w:rFonts w:ascii="Arial" w:hAnsi="Arial" w:cs="Arial"/>
          <w:sz w:val="24"/>
          <w:szCs w:val="24"/>
        </w:rPr>
        <w:t xml:space="preserve">, as </w:t>
      </w:r>
      <w:r w:rsidR="00062582" w:rsidRPr="00712E7C">
        <w:rPr>
          <w:rFonts w:ascii="Arial" w:hAnsi="Arial" w:cs="Arial"/>
          <w:sz w:val="24"/>
          <w:szCs w:val="24"/>
        </w:rPr>
        <w:t>suggested in recent literature</w:t>
      </w:r>
      <w:r w:rsidR="00B23229">
        <w:rPr>
          <w:rFonts w:ascii="Arial" w:hAnsi="Arial" w:cs="Arial"/>
          <w:sz w:val="24"/>
          <w:szCs w:val="24"/>
        </w:rPr>
        <w:t xml:space="preserve"> (Ruppert, 2011; Beer and Burrows, 2013), </w:t>
      </w:r>
      <w:r w:rsidRPr="00712E7C">
        <w:rPr>
          <w:rFonts w:ascii="Arial" w:hAnsi="Arial" w:cs="Arial"/>
          <w:sz w:val="24"/>
          <w:szCs w:val="24"/>
        </w:rPr>
        <w:t>passive in their agency.</w:t>
      </w:r>
      <w:r w:rsidR="009D75D3" w:rsidRPr="00712E7C">
        <w:rPr>
          <w:rFonts w:ascii="Arial" w:hAnsi="Arial" w:cs="Arial"/>
          <w:sz w:val="24"/>
          <w:szCs w:val="24"/>
        </w:rPr>
        <w:t xml:space="preserve"> That is to say, data are not subjected to the whim of human analysts and technologies. The </w:t>
      </w:r>
      <w:r w:rsidRPr="00712E7C">
        <w:rPr>
          <w:rFonts w:ascii="Arial" w:hAnsi="Arial" w:cs="Arial"/>
          <w:sz w:val="24"/>
          <w:szCs w:val="24"/>
        </w:rPr>
        <w:t>agency of this materially heterogeneous entity ca</w:t>
      </w:r>
      <w:r w:rsidR="003B487D" w:rsidRPr="00712E7C">
        <w:rPr>
          <w:rFonts w:ascii="Arial" w:hAnsi="Arial" w:cs="Arial"/>
          <w:sz w:val="24"/>
          <w:szCs w:val="24"/>
        </w:rPr>
        <w:t xml:space="preserve">lled </w:t>
      </w:r>
      <w:r w:rsidR="00B23229">
        <w:rPr>
          <w:rFonts w:ascii="Arial" w:hAnsi="Arial" w:cs="Arial"/>
          <w:sz w:val="24"/>
          <w:szCs w:val="24"/>
        </w:rPr>
        <w:t>‘</w:t>
      </w:r>
      <w:r w:rsidR="003B487D" w:rsidRPr="00712E7C">
        <w:rPr>
          <w:rFonts w:ascii="Arial" w:hAnsi="Arial" w:cs="Arial"/>
          <w:sz w:val="24"/>
          <w:szCs w:val="24"/>
        </w:rPr>
        <w:t>data</w:t>
      </w:r>
      <w:r w:rsidR="00B23229">
        <w:rPr>
          <w:rFonts w:ascii="Arial" w:hAnsi="Arial" w:cs="Arial"/>
          <w:sz w:val="24"/>
          <w:szCs w:val="24"/>
        </w:rPr>
        <w:t>’ is manifest in their e</w:t>
      </w:r>
      <w:r w:rsidRPr="00712E7C">
        <w:rPr>
          <w:rFonts w:ascii="Arial" w:hAnsi="Arial" w:cs="Arial"/>
          <w:sz w:val="24"/>
          <w:szCs w:val="24"/>
        </w:rPr>
        <w:t xml:space="preserve">ffect on the digital infrastructure. </w:t>
      </w:r>
      <w:r w:rsidR="002B7647" w:rsidRPr="00712E7C">
        <w:rPr>
          <w:rFonts w:ascii="Arial" w:hAnsi="Arial" w:cs="Arial"/>
          <w:sz w:val="24"/>
          <w:szCs w:val="24"/>
        </w:rPr>
        <w:t>Crucial to</w:t>
      </w:r>
      <w:r w:rsidRPr="00712E7C">
        <w:rPr>
          <w:rFonts w:ascii="Arial" w:hAnsi="Arial" w:cs="Arial"/>
          <w:sz w:val="24"/>
          <w:szCs w:val="24"/>
        </w:rPr>
        <w:t xml:space="preserve"> the deployment of </w:t>
      </w:r>
      <w:r w:rsidR="00B23229">
        <w:rPr>
          <w:rFonts w:ascii="Arial" w:hAnsi="Arial" w:cs="Arial"/>
          <w:sz w:val="24"/>
          <w:szCs w:val="24"/>
        </w:rPr>
        <w:t>new technologies, data underpin</w:t>
      </w:r>
      <w:r w:rsidRPr="00712E7C">
        <w:rPr>
          <w:rFonts w:ascii="Arial" w:hAnsi="Arial" w:cs="Arial"/>
          <w:sz w:val="24"/>
          <w:szCs w:val="24"/>
        </w:rPr>
        <w:t xml:space="preserve"> the expansion of the digital infrastructure and</w:t>
      </w:r>
      <w:r w:rsidR="00C85BD6" w:rsidRPr="00712E7C">
        <w:rPr>
          <w:rFonts w:ascii="Arial" w:hAnsi="Arial" w:cs="Arial"/>
          <w:sz w:val="24"/>
          <w:szCs w:val="24"/>
        </w:rPr>
        <w:t xml:space="preserve">, in so doing, </w:t>
      </w:r>
      <w:r w:rsidR="00B23229">
        <w:rPr>
          <w:rFonts w:ascii="Arial" w:hAnsi="Arial" w:cs="Arial"/>
          <w:sz w:val="24"/>
          <w:szCs w:val="24"/>
        </w:rPr>
        <w:t>help</w:t>
      </w:r>
      <w:r w:rsidR="002B7647" w:rsidRPr="00712E7C">
        <w:rPr>
          <w:rFonts w:ascii="Arial" w:hAnsi="Arial" w:cs="Arial"/>
          <w:sz w:val="24"/>
          <w:szCs w:val="24"/>
        </w:rPr>
        <w:t xml:space="preserve"> to </w:t>
      </w:r>
      <w:r w:rsidR="00C85BD6" w:rsidRPr="00712E7C">
        <w:rPr>
          <w:rFonts w:ascii="Arial" w:hAnsi="Arial" w:cs="Arial"/>
          <w:sz w:val="24"/>
          <w:szCs w:val="24"/>
        </w:rPr>
        <w:t xml:space="preserve">arrange and enact new forms of anticipatory governance. </w:t>
      </w:r>
    </w:p>
    <w:p w:rsidR="00B23229" w:rsidRPr="00712E7C" w:rsidRDefault="00B23229" w:rsidP="00712E7C">
      <w:pPr>
        <w:spacing w:after="0" w:line="360" w:lineRule="auto"/>
        <w:jc w:val="both"/>
        <w:rPr>
          <w:rFonts w:ascii="Arial" w:hAnsi="Arial" w:cs="Arial"/>
          <w:sz w:val="24"/>
          <w:szCs w:val="24"/>
        </w:rPr>
      </w:pPr>
    </w:p>
    <w:p w:rsidR="00C85BD6" w:rsidRPr="00712E7C" w:rsidRDefault="00C85BD6" w:rsidP="00712E7C">
      <w:pPr>
        <w:spacing w:after="0" w:line="360" w:lineRule="auto"/>
        <w:jc w:val="both"/>
        <w:rPr>
          <w:rFonts w:ascii="Arial" w:hAnsi="Arial" w:cs="Arial"/>
          <w:sz w:val="24"/>
          <w:szCs w:val="24"/>
        </w:rPr>
      </w:pPr>
      <w:r w:rsidRPr="00712E7C">
        <w:rPr>
          <w:rFonts w:ascii="Arial" w:hAnsi="Arial" w:cs="Arial"/>
          <w:sz w:val="24"/>
          <w:szCs w:val="24"/>
        </w:rPr>
        <w:t>Broadly speaking</w:t>
      </w:r>
      <w:r w:rsidR="00B23229">
        <w:rPr>
          <w:rFonts w:ascii="Arial" w:hAnsi="Arial" w:cs="Arial"/>
          <w:sz w:val="24"/>
          <w:szCs w:val="24"/>
        </w:rPr>
        <w:t>,</w:t>
      </w:r>
      <w:r w:rsidRPr="00712E7C">
        <w:rPr>
          <w:rFonts w:ascii="Arial" w:hAnsi="Arial" w:cs="Arial"/>
          <w:sz w:val="24"/>
          <w:szCs w:val="24"/>
        </w:rPr>
        <w:t xml:space="preserve"> the digital infrastructure of the FRS is brought into being by the relations forged between the different agential forces and materialities enrolled in its composition. The relations found between different agents</w:t>
      </w:r>
      <w:r w:rsidR="00DD66DD" w:rsidRPr="00712E7C">
        <w:rPr>
          <w:rFonts w:ascii="Arial" w:hAnsi="Arial" w:cs="Arial"/>
          <w:sz w:val="24"/>
          <w:szCs w:val="24"/>
        </w:rPr>
        <w:t>, as has been noted in literature on the rise digital cultures</w:t>
      </w:r>
      <w:r w:rsidR="00B23229">
        <w:rPr>
          <w:rFonts w:ascii="Arial" w:hAnsi="Arial" w:cs="Arial"/>
          <w:sz w:val="24"/>
          <w:szCs w:val="24"/>
        </w:rPr>
        <w:t xml:space="preserve"> (e.g., Beer, 2009)</w:t>
      </w:r>
      <w:r w:rsidR="00DD66DD" w:rsidRPr="00712E7C">
        <w:rPr>
          <w:rFonts w:ascii="Arial" w:hAnsi="Arial" w:cs="Arial"/>
          <w:sz w:val="24"/>
          <w:szCs w:val="24"/>
        </w:rPr>
        <w:t>,</w:t>
      </w:r>
      <w:r w:rsidRPr="00712E7C">
        <w:rPr>
          <w:rFonts w:ascii="Arial" w:hAnsi="Arial" w:cs="Arial"/>
          <w:sz w:val="24"/>
          <w:szCs w:val="24"/>
        </w:rPr>
        <w:t xml:space="preserve"> are both static and circulatory. For example, </w:t>
      </w:r>
      <w:r w:rsidR="00AE5AD4">
        <w:rPr>
          <w:rFonts w:ascii="Arial" w:hAnsi="Arial" w:cs="Arial"/>
          <w:sz w:val="24"/>
          <w:szCs w:val="24"/>
        </w:rPr>
        <w:t>‘</w:t>
      </w:r>
      <w:r w:rsidRPr="00712E7C">
        <w:rPr>
          <w:rFonts w:ascii="Arial" w:hAnsi="Arial" w:cs="Arial"/>
          <w:sz w:val="24"/>
          <w:szCs w:val="24"/>
        </w:rPr>
        <w:t>export</w:t>
      </w:r>
      <w:r w:rsidR="00AE5AD4">
        <w:rPr>
          <w:rFonts w:ascii="Arial" w:hAnsi="Arial" w:cs="Arial"/>
          <w:sz w:val="24"/>
          <w:szCs w:val="24"/>
        </w:rPr>
        <w:t>’</w:t>
      </w:r>
      <w:r w:rsidRPr="00712E7C">
        <w:rPr>
          <w:rFonts w:ascii="Arial" w:hAnsi="Arial" w:cs="Arial"/>
          <w:sz w:val="24"/>
          <w:szCs w:val="24"/>
        </w:rPr>
        <w:t xml:space="preserve"> and </w:t>
      </w:r>
      <w:r w:rsidR="00AE5AD4">
        <w:rPr>
          <w:rFonts w:ascii="Arial" w:hAnsi="Arial" w:cs="Arial"/>
          <w:sz w:val="24"/>
          <w:szCs w:val="24"/>
        </w:rPr>
        <w:t>‘</w:t>
      </w:r>
      <w:r w:rsidRPr="00712E7C">
        <w:rPr>
          <w:rFonts w:ascii="Arial" w:hAnsi="Arial" w:cs="Arial"/>
          <w:sz w:val="24"/>
          <w:szCs w:val="24"/>
        </w:rPr>
        <w:t>import</w:t>
      </w:r>
      <w:r w:rsidR="00AE5AD4">
        <w:rPr>
          <w:rFonts w:ascii="Arial" w:hAnsi="Arial" w:cs="Arial"/>
          <w:sz w:val="24"/>
          <w:szCs w:val="24"/>
        </w:rPr>
        <w:t>’</w:t>
      </w:r>
      <w:r w:rsidRPr="00712E7C">
        <w:rPr>
          <w:rFonts w:ascii="Arial" w:hAnsi="Arial" w:cs="Arial"/>
          <w:sz w:val="24"/>
          <w:szCs w:val="24"/>
        </w:rPr>
        <w:t xml:space="preserve"> functions cut across and coordinate the space of the </w:t>
      </w:r>
      <w:r w:rsidR="000158C5" w:rsidRPr="00712E7C">
        <w:rPr>
          <w:rFonts w:ascii="Arial" w:hAnsi="Arial" w:cs="Arial"/>
          <w:sz w:val="24"/>
          <w:szCs w:val="24"/>
        </w:rPr>
        <w:t xml:space="preserve">FRS </w:t>
      </w:r>
      <w:r w:rsidRPr="00712E7C">
        <w:rPr>
          <w:rFonts w:ascii="Arial" w:hAnsi="Arial" w:cs="Arial"/>
          <w:sz w:val="24"/>
          <w:szCs w:val="24"/>
        </w:rPr>
        <w:t xml:space="preserve">digital infrastructure. </w:t>
      </w:r>
      <w:r w:rsidR="0038750D" w:rsidRPr="00712E7C">
        <w:rPr>
          <w:rFonts w:ascii="Arial" w:hAnsi="Arial" w:cs="Arial"/>
          <w:sz w:val="24"/>
          <w:szCs w:val="24"/>
        </w:rPr>
        <w:t>T</w:t>
      </w:r>
      <w:r w:rsidR="009D75D3" w:rsidRPr="00712E7C">
        <w:rPr>
          <w:rFonts w:ascii="Arial" w:hAnsi="Arial" w:cs="Arial"/>
          <w:sz w:val="24"/>
          <w:szCs w:val="24"/>
        </w:rPr>
        <w:t>hese</w:t>
      </w:r>
      <w:r w:rsidRPr="00712E7C">
        <w:rPr>
          <w:rFonts w:ascii="Arial" w:hAnsi="Arial" w:cs="Arial"/>
          <w:sz w:val="24"/>
          <w:szCs w:val="24"/>
        </w:rPr>
        <w:t xml:space="preserve"> functions could be pin-pointed on a </w:t>
      </w:r>
      <w:r w:rsidR="003B487D" w:rsidRPr="00712E7C">
        <w:rPr>
          <w:rFonts w:ascii="Arial" w:hAnsi="Arial" w:cs="Arial"/>
          <w:sz w:val="24"/>
          <w:szCs w:val="24"/>
        </w:rPr>
        <w:t>map.</w:t>
      </w:r>
      <w:r w:rsidR="00062582" w:rsidRPr="00712E7C">
        <w:rPr>
          <w:rFonts w:ascii="Arial" w:hAnsi="Arial" w:cs="Arial"/>
          <w:sz w:val="24"/>
          <w:szCs w:val="24"/>
        </w:rPr>
        <w:t xml:space="preserve"> Lines could be drawn outlining the connection between one software package and another package.</w:t>
      </w:r>
      <w:r w:rsidR="003B487D" w:rsidRPr="00712E7C">
        <w:rPr>
          <w:rFonts w:ascii="Arial" w:hAnsi="Arial" w:cs="Arial"/>
          <w:sz w:val="24"/>
          <w:szCs w:val="24"/>
        </w:rPr>
        <w:t xml:space="preserve"> However, the relations </w:t>
      </w:r>
      <w:r w:rsidR="00AE5AD4">
        <w:rPr>
          <w:rFonts w:ascii="Arial" w:hAnsi="Arial" w:cs="Arial"/>
          <w:sz w:val="24"/>
          <w:szCs w:val="24"/>
        </w:rPr>
        <w:t>‘</w:t>
      </w:r>
      <w:r w:rsidR="003B487D" w:rsidRPr="00712E7C">
        <w:rPr>
          <w:rFonts w:ascii="Arial" w:hAnsi="Arial" w:cs="Arial"/>
          <w:sz w:val="24"/>
          <w:szCs w:val="24"/>
        </w:rPr>
        <w:t>import</w:t>
      </w:r>
      <w:r w:rsidR="00AE5AD4">
        <w:rPr>
          <w:rFonts w:ascii="Arial" w:hAnsi="Arial" w:cs="Arial"/>
          <w:sz w:val="24"/>
          <w:szCs w:val="24"/>
        </w:rPr>
        <w:t>’</w:t>
      </w:r>
      <w:r w:rsidR="003B487D" w:rsidRPr="00712E7C">
        <w:rPr>
          <w:rFonts w:ascii="Arial" w:hAnsi="Arial" w:cs="Arial"/>
          <w:sz w:val="24"/>
          <w:szCs w:val="24"/>
        </w:rPr>
        <w:t xml:space="preserve"> and </w:t>
      </w:r>
      <w:r w:rsidR="00AE5AD4">
        <w:rPr>
          <w:rFonts w:ascii="Arial" w:hAnsi="Arial" w:cs="Arial"/>
          <w:sz w:val="24"/>
          <w:szCs w:val="24"/>
        </w:rPr>
        <w:t>‘</w:t>
      </w:r>
      <w:r w:rsidR="003B487D" w:rsidRPr="00712E7C">
        <w:rPr>
          <w:rFonts w:ascii="Arial" w:hAnsi="Arial" w:cs="Arial"/>
          <w:sz w:val="24"/>
          <w:szCs w:val="24"/>
        </w:rPr>
        <w:t>export</w:t>
      </w:r>
      <w:r w:rsidR="00AE5AD4">
        <w:rPr>
          <w:rFonts w:ascii="Arial" w:hAnsi="Arial" w:cs="Arial"/>
          <w:sz w:val="24"/>
          <w:szCs w:val="24"/>
        </w:rPr>
        <w:t>’</w:t>
      </w:r>
      <w:r w:rsidRPr="00712E7C">
        <w:rPr>
          <w:rFonts w:ascii="Arial" w:hAnsi="Arial" w:cs="Arial"/>
          <w:sz w:val="24"/>
          <w:szCs w:val="24"/>
        </w:rPr>
        <w:t xml:space="preserve"> </w:t>
      </w:r>
      <w:r w:rsidR="00032800" w:rsidRPr="00712E7C">
        <w:rPr>
          <w:rFonts w:ascii="Arial" w:hAnsi="Arial" w:cs="Arial"/>
          <w:sz w:val="24"/>
          <w:szCs w:val="24"/>
        </w:rPr>
        <w:t>functions enact are also witnessed through</w:t>
      </w:r>
      <w:r w:rsidRPr="00712E7C">
        <w:rPr>
          <w:rFonts w:ascii="Arial" w:hAnsi="Arial" w:cs="Arial"/>
          <w:sz w:val="24"/>
          <w:szCs w:val="24"/>
        </w:rPr>
        <w:t xml:space="preserve"> the </w:t>
      </w:r>
      <w:r w:rsidR="0038750D" w:rsidRPr="00712E7C">
        <w:rPr>
          <w:rFonts w:ascii="Arial" w:hAnsi="Arial" w:cs="Arial"/>
          <w:sz w:val="24"/>
          <w:szCs w:val="24"/>
        </w:rPr>
        <w:t>movement</w:t>
      </w:r>
      <w:r w:rsidR="00032800" w:rsidRPr="00712E7C">
        <w:rPr>
          <w:rFonts w:ascii="Arial" w:hAnsi="Arial" w:cs="Arial"/>
          <w:sz w:val="24"/>
          <w:szCs w:val="24"/>
        </w:rPr>
        <w:t xml:space="preserve"> </w:t>
      </w:r>
      <w:r w:rsidRPr="00712E7C">
        <w:rPr>
          <w:rFonts w:ascii="Arial" w:hAnsi="Arial" w:cs="Arial"/>
          <w:sz w:val="24"/>
          <w:szCs w:val="24"/>
        </w:rPr>
        <w:t>of data</w:t>
      </w:r>
      <w:r w:rsidR="003B487D" w:rsidRPr="00712E7C">
        <w:rPr>
          <w:rFonts w:ascii="Arial" w:hAnsi="Arial" w:cs="Arial"/>
          <w:sz w:val="24"/>
          <w:szCs w:val="24"/>
        </w:rPr>
        <w:t xml:space="preserve"> these functions</w:t>
      </w:r>
      <w:r w:rsidR="00032800" w:rsidRPr="00712E7C">
        <w:rPr>
          <w:rFonts w:ascii="Arial" w:hAnsi="Arial" w:cs="Arial"/>
          <w:sz w:val="24"/>
          <w:szCs w:val="24"/>
        </w:rPr>
        <w:t xml:space="preserve"> permit and </w:t>
      </w:r>
      <w:r w:rsidR="00062582" w:rsidRPr="00712E7C">
        <w:rPr>
          <w:rFonts w:ascii="Arial" w:hAnsi="Arial" w:cs="Arial"/>
          <w:sz w:val="24"/>
          <w:szCs w:val="24"/>
        </w:rPr>
        <w:t>the overall ordering of data circulation across the infrastructure</w:t>
      </w:r>
      <w:r w:rsidR="00032800" w:rsidRPr="00712E7C">
        <w:rPr>
          <w:rFonts w:ascii="Arial" w:hAnsi="Arial" w:cs="Arial"/>
          <w:sz w:val="24"/>
          <w:szCs w:val="24"/>
        </w:rPr>
        <w:t>.</w:t>
      </w:r>
      <w:r w:rsidRPr="00712E7C">
        <w:rPr>
          <w:rFonts w:ascii="Arial" w:hAnsi="Arial" w:cs="Arial"/>
          <w:sz w:val="24"/>
          <w:szCs w:val="24"/>
        </w:rPr>
        <w:t xml:space="preserve"> </w:t>
      </w:r>
      <w:r w:rsidR="00032800" w:rsidRPr="00712E7C">
        <w:rPr>
          <w:rFonts w:ascii="Arial" w:hAnsi="Arial" w:cs="Arial"/>
          <w:sz w:val="24"/>
          <w:szCs w:val="24"/>
        </w:rPr>
        <w:t>R</w:t>
      </w:r>
      <w:r w:rsidRPr="00712E7C">
        <w:rPr>
          <w:rFonts w:ascii="Arial" w:hAnsi="Arial" w:cs="Arial"/>
          <w:sz w:val="24"/>
          <w:szCs w:val="24"/>
        </w:rPr>
        <w:t xml:space="preserve">elations within the digital infrastructure are thus brought to life </w:t>
      </w:r>
      <w:r w:rsidR="00032800" w:rsidRPr="00712E7C">
        <w:rPr>
          <w:rFonts w:ascii="Arial" w:hAnsi="Arial" w:cs="Arial"/>
          <w:sz w:val="24"/>
          <w:szCs w:val="24"/>
        </w:rPr>
        <w:t>by the mobilisation and circulation of data. In turn, how data moves is pivotal to the deployment of new digital technologies and</w:t>
      </w:r>
      <w:r w:rsidR="00062582" w:rsidRPr="00712E7C">
        <w:rPr>
          <w:rFonts w:ascii="Arial" w:hAnsi="Arial" w:cs="Arial"/>
          <w:sz w:val="24"/>
          <w:szCs w:val="24"/>
        </w:rPr>
        <w:t xml:space="preserve"> thus ultimately to </w:t>
      </w:r>
      <w:r w:rsidR="00032800" w:rsidRPr="00712E7C">
        <w:rPr>
          <w:rFonts w:ascii="Arial" w:hAnsi="Arial" w:cs="Arial"/>
          <w:sz w:val="24"/>
          <w:szCs w:val="24"/>
        </w:rPr>
        <w:t>forms of</w:t>
      </w:r>
      <w:r w:rsidR="00062582" w:rsidRPr="00712E7C">
        <w:rPr>
          <w:rFonts w:ascii="Arial" w:hAnsi="Arial" w:cs="Arial"/>
          <w:sz w:val="24"/>
          <w:szCs w:val="24"/>
        </w:rPr>
        <w:t xml:space="preserve"> anticipatory</w:t>
      </w:r>
      <w:r w:rsidR="00032800" w:rsidRPr="00712E7C">
        <w:rPr>
          <w:rFonts w:ascii="Arial" w:hAnsi="Arial" w:cs="Arial"/>
          <w:sz w:val="24"/>
          <w:szCs w:val="24"/>
        </w:rPr>
        <w:t xml:space="preserve"> intervention. </w:t>
      </w:r>
    </w:p>
    <w:p w:rsidR="00F56DB9" w:rsidRDefault="003B487D" w:rsidP="00712E7C">
      <w:pPr>
        <w:spacing w:after="0" w:line="360" w:lineRule="auto"/>
        <w:jc w:val="both"/>
        <w:rPr>
          <w:rFonts w:ascii="Arial" w:hAnsi="Arial" w:cs="Arial"/>
          <w:sz w:val="24"/>
          <w:szCs w:val="24"/>
        </w:rPr>
      </w:pPr>
      <w:r w:rsidRPr="00712E7C">
        <w:rPr>
          <w:rFonts w:ascii="Arial" w:hAnsi="Arial" w:cs="Arial"/>
          <w:sz w:val="24"/>
          <w:szCs w:val="24"/>
        </w:rPr>
        <w:t>The terms d</w:t>
      </w:r>
      <w:r w:rsidR="00032800" w:rsidRPr="00712E7C">
        <w:rPr>
          <w:rFonts w:ascii="Arial" w:hAnsi="Arial" w:cs="Arial"/>
          <w:sz w:val="24"/>
          <w:szCs w:val="24"/>
        </w:rPr>
        <w:t>ata mobilisation and data circulation, however, cannot be treated</w:t>
      </w:r>
      <w:r w:rsidR="00F277F6" w:rsidRPr="00712E7C">
        <w:rPr>
          <w:rFonts w:ascii="Arial" w:hAnsi="Arial" w:cs="Arial"/>
          <w:sz w:val="24"/>
          <w:szCs w:val="24"/>
        </w:rPr>
        <w:t xml:space="preserve"> </w:t>
      </w:r>
      <w:r w:rsidR="009D75D3" w:rsidRPr="00712E7C">
        <w:rPr>
          <w:rFonts w:ascii="Arial" w:hAnsi="Arial" w:cs="Arial"/>
          <w:sz w:val="24"/>
          <w:szCs w:val="24"/>
        </w:rPr>
        <w:t xml:space="preserve">as synonymous. </w:t>
      </w:r>
      <w:r w:rsidR="00062582" w:rsidRPr="00712E7C">
        <w:rPr>
          <w:rFonts w:ascii="Arial" w:hAnsi="Arial" w:cs="Arial"/>
          <w:sz w:val="24"/>
          <w:szCs w:val="24"/>
        </w:rPr>
        <w:t>A</w:t>
      </w:r>
      <w:r w:rsidR="00032800" w:rsidRPr="00712E7C">
        <w:rPr>
          <w:rFonts w:ascii="Arial" w:hAnsi="Arial" w:cs="Arial"/>
          <w:sz w:val="24"/>
          <w:szCs w:val="24"/>
        </w:rPr>
        <w:t xml:space="preserve"> number of </w:t>
      </w:r>
      <w:r w:rsidR="00AE5AD4">
        <w:rPr>
          <w:rFonts w:ascii="Arial" w:hAnsi="Arial" w:cs="Arial"/>
          <w:sz w:val="24"/>
          <w:szCs w:val="24"/>
        </w:rPr>
        <w:t>scholars</w:t>
      </w:r>
      <w:r w:rsidR="00E25B64" w:rsidRPr="00712E7C">
        <w:rPr>
          <w:rFonts w:ascii="Arial" w:hAnsi="Arial" w:cs="Arial"/>
          <w:sz w:val="24"/>
          <w:szCs w:val="24"/>
        </w:rPr>
        <w:t xml:space="preserve"> </w:t>
      </w:r>
      <w:r w:rsidR="00062582" w:rsidRPr="00712E7C">
        <w:rPr>
          <w:rFonts w:ascii="Arial" w:hAnsi="Arial" w:cs="Arial"/>
          <w:sz w:val="24"/>
          <w:szCs w:val="24"/>
        </w:rPr>
        <w:t>explicitly state</w:t>
      </w:r>
      <w:r w:rsidR="00AE5AD4">
        <w:rPr>
          <w:rFonts w:ascii="Arial" w:hAnsi="Arial" w:cs="Arial"/>
          <w:sz w:val="24"/>
          <w:szCs w:val="24"/>
        </w:rPr>
        <w:t xml:space="preserve"> (Adey, 2006; Salter, 2013) that </w:t>
      </w:r>
      <w:r w:rsidR="00032800" w:rsidRPr="00712E7C">
        <w:rPr>
          <w:rFonts w:ascii="Arial" w:hAnsi="Arial" w:cs="Arial"/>
          <w:sz w:val="24"/>
          <w:szCs w:val="24"/>
        </w:rPr>
        <w:lastRenderedPageBreak/>
        <w:t xml:space="preserve">circulation and mobilisation express different forms of motion. Circulation accounts for the curves and trends moulded and re-shaped through routine movement </w:t>
      </w:r>
      <w:r w:rsidR="0038750D" w:rsidRPr="00712E7C">
        <w:rPr>
          <w:rFonts w:ascii="Arial" w:hAnsi="Arial" w:cs="Arial"/>
          <w:sz w:val="24"/>
          <w:szCs w:val="24"/>
        </w:rPr>
        <w:t xml:space="preserve">happening in </w:t>
      </w:r>
      <w:r w:rsidR="00032800" w:rsidRPr="00712E7C">
        <w:rPr>
          <w:rFonts w:ascii="Arial" w:hAnsi="Arial" w:cs="Arial"/>
          <w:sz w:val="24"/>
          <w:szCs w:val="24"/>
        </w:rPr>
        <w:t>a specific space.</w:t>
      </w:r>
      <w:r w:rsidR="00AE5AD4">
        <w:rPr>
          <w:rFonts w:ascii="Arial" w:hAnsi="Arial" w:cs="Arial"/>
          <w:sz w:val="24"/>
          <w:szCs w:val="24"/>
        </w:rPr>
        <w:t xml:space="preserve"> The order of movement. </w:t>
      </w:r>
      <w:r w:rsidR="00032800" w:rsidRPr="00712E7C">
        <w:rPr>
          <w:rFonts w:ascii="Arial" w:hAnsi="Arial" w:cs="Arial"/>
          <w:sz w:val="24"/>
          <w:szCs w:val="24"/>
        </w:rPr>
        <w:t xml:space="preserve">Mobility, on the other hand, </w:t>
      </w:r>
      <w:r w:rsidR="00A22AF8" w:rsidRPr="00712E7C">
        <w:rPr>
          <w:rFonts w:ascii="Arial" w:hAnsi="Arial" w:cs="Arial"/>
          <w:sz w:val="24"/>
          <w:szCs w:val="24"/>
        </w:rPr>
        <w:t>serves to designate the</w:t>
      </w:r>
      <w:r w:rsidR="009D75D3" w:rsidRPr="00712E7C">
        <w:rPr>
          <w:rFonts w:ascii="Arial" w:hAnsi="Arial" w:cs="Arial"/>
          <w:sz w:val="24"/>
          <w:szCs w:val="24"/>
        </w:rPr>
        <w:t xml:space="preserve"> differe</w:t>
      </w:r>
      <w:r w:rsidR="00A22AF8" w:rsidRPr="00712E7C">
        <w:rPr>
          <w:rFonts w:ascii="Arial" w:hAnsi="Arial" w:cs="Arial"/>
          <w:sz w:val="24"/>
          <w:szCs w:val="24"/>
        </w:rPr>
        <w:t>ntial</w:t>
      </w:r>
      <w:r w:rsidR="009D75D3" w:rsidRPr="00712E7C">
        <w:rPr>
          <w:rFonts w:ascii="Arial" w:hAnsi="Arial" w:cs="Arial"/>
          <w:sz w:val="24"/>
          <w:szCs w:val="24"/>
        </w:rPr>
        <w:t xml:space="preserve"> capacities of </w:t>
      </w:r>
      <w:r w:rsidR="00032800" w:rsidRPr="00712E7C">
        <w:rPr>
          <w:rFonts w:ascii="Arial" w:hAnsi="Arial" w:cs="Arial"/>
          <w:sz w:val="24"/>
          <w:szCs w:val="24"/>
        </w:rPr>
        <w:t>agents</w:t>
      </w:r>
      <w:r w:rsidR="009D75D3" w:rsidRPr="00712E7C">
        <w:rPr>
          <w:rFonts w:ascii="Arial" w:hAnsi="Arial" w:cs="Arial"/>
          <w:sz w:val="24"/>
          <w:szCs w:val="24"/>
        </w:rPr>
        <w:t xml:space="preserve"> enrolled in circulation</w:t>
      </w:r>
      <w:r w:rsidR="00032800" w:rsidRPr="00712E7C">
        <w:rPr>
          <w:rFonts w:ascii="Arial" w:hAnsi="Arial" w:cs="Arial"/>
          <w:sz w:val="24"/>
          <w:szCs w:val="24"/>
        </w:rPr>
        <w:t>. Mobilisation refers to the enablement of a thing’s movement</w:t>
      </w:r>
      <w:r w:rsidR="0038750D" w:rsidRPr="00712E7C">
        <w:rPr>
          <w:rFonts w:ascii="Arial" w:hAnsi="Arial" w:cs="Arial"/>
          <w:sz w:val="24"/>
          <w:szCs w:val="24"/>
        </w:rPr>
        <w:t xml:space="preserve">. </w:t>
      </w:r>
      <w:r w:rsidR="00F56DB9" w:rsidRPr="00712E7C">
        <w:rPr>
          <w:rFonts w:ascii="Arial" w:hAnsi="Arial" w:cs="Arial"/>
          <w:sz w:val="24"/>
          <w:szCs w:val="24"/>
        </w:rPr>
        <w:t>Mobility and circulation are not mutually opposing categories. Mobility works within and shapes circulation.</w:t>
      </w:r>
      <w:r w:rsidR="003F4816" w:rsidRPr="00712E7C">
        <w:rPr>
          <w:rFonts w:ascii="Arial" w:hAnsi="Arial" w:cs="Arial"/>
          <w:sz w:val="24"/>
          <w:szCs w:val="24"/>
        </w:rPr>
        <w:t xml:space="preserve"> </w:t>
      </w:r>
      <w:r w:rsidR="00F56DB9" w:rsidRPr="00712E7C">
        <w:rPr>
          <w:rFonts w:ascii="Arial" w:hAnsi="Arial" w:cs="Arial"/>
          <w:sz w:val="24"/>
          <w:szCs w:val="24"/>
        </w:rPr>
        <w:t xml:space="preserve">Interventions take place to mobilise certain phenomena within circulatory curves to achieve particular effects. </w:t>
      </w:r>
    </w:p>
    <w:p w:rsidR="00AE5AD4" w:rsidRPr="00712E7C" w:rsidRDefault="00AE5AD4" w:rsidP="00712E7C">
      <w:pPr>
        <w:spacing w:after="0" w:line="360" w:lineRule="auto"/>
        <w:jc w:val="both"/>
        <w:rPr>
          <w:rFonts w:ascii="Arial" w:hAnsi="Arial" w:cs="Arial"/>
          <w:sz w:val="24"/>
          <w:szCs w:val="24"/>
        </w:rPr>
      </w:pPr>
    </w:p>
    <w:p w:rsidR="00F56DB9" w:rsidRDefault="00F56DB9" w:rsidP="00712E7C">
      <w:pPr>
        <w:spacing w:after="0" w:line="360" w:lineRule="auto"/>
        <w:jc w:val="both"/>
        <w:rPr>
          <w:rFonts w:ascii="Arial" w:hAnsi="Arial" w:cs="Arial"/>
          <w:sz w:val="24"/>
          <w:szCs w:val="24"/>
        </w:rPr>
      </w:pPr>
      <w:r w:rsidRPr="00712E7C">
        <w:rPr>
          <w:rFonts w:ascii="Arial" w:hAnsi="Arial" w:cs="Arial"/>
          <w:sz w:val="24"/>
          <w:szCs w:val="24"/>
        </w:rPr>
        <w:t xml:space="preserve">The acquisition of software and its redeployment for new purposes in the FRS is </w:t>
      </w:r>
      <w:r w:rsidR="00A22AF8" w:rsidRPr="00712E7C">
        <w:rPr>
          <w:rFonts w:ascii="Arial" w:hAnsi="Arial" w:cs="Arial"/>
          <w:sz w:val="24"/>
          <w:szCs w:val="24"/>
        </w:rPr>
        <w:t xml:space="preserve">a matter underpinned by </w:t>
      </w:r>
      <w:r w:rsidR="00AE5AD4">
        <w:rPr>
          <w:rFonts w:ascii="Arial" w:hAnsi="Arial" w:cs="Arial"/>
          <w:sz w:val="24"/>
          <w:szCs w:val="24"/>
        </w:rPr>
        <w:t>how data get</w:t>
      </w:r>
      <w:r w:rsidR="00A22AF8" w:rsidRPr="00712E7C">
        <w:rPr>
          <w:rFonts w:ascii="Arial" w:hAnsi="Arial" w:cs="Arial"/>
          <w:sz w:val="24"/>
          <w:szCs w:val="24"/>
        </w:rPr>
        <w:t xml:space="preserve"> mobilised</w:t>
      </w:r>
      <w:r w:rsidRPr="00712E7C">
        <w:rPr>
          <w:rFonts w:ascii="Arial" w:hAnsi="Arial" w:cs="Arial"/>
          <w:sz w:val="24"/>
          <w:szCs w:val="24"/>
        </w:rPr>
        <w:t>. Take, for instance, the case of credit checking data and its associated analysis software Experian MOSAIC.</w:t>
      </w:r>
      <w:r w:rsidR="00DD66DD" w:rsidRPr="00712E7C">
        <w:rPr>
          <w:rFonts w:ascii="Arial" w:hAnsi="Arial" w:cs="Arial"/>
          <w:sz w:val="24"/>
          <w:szCs w:val="24"/>
        </w:rPr>
        <w:t xml:space="preserve"> The data accrued, and the software designed to analyse the data, was initially used</w:t>
      </w:r>
      <w:r w:rsidR="00601222" w:rsidRPr="00712E7C">
        <w:rPr>
          <w:rFonts w:ascii="Arial" w:hAnsi="Arial" w:cs="Arial"/>
          <w:sz w:val="24"/>
          <w:szCs w:val="24"/>
        </w:rPr>
        <w:t xml:space="preserve"> by the credit checking company Experian</w:t>
      </w:r>
      <w:r w:rsidR="00DD66DD" w:rsidRPr="00712E7C">
        <w:rPr>
          <w:rFonts w:ascii="Arial" w:hAnsi="Arial" w:cs="Arial"/>
          <w:sz w:val="24"/>
          <w:szCs w:val="24"/>
        </w:rPr>
        <w:t xml:space="preserve"> to profile populations in terms of consumer behaviour.</w:t>
      </w:r>
      <w:r w:rsidR="00601222" w:rsidRPr="00712E7C">
        <w:rPr>
          <w:rFonts w:ascii="Arial" w:hAnsi="Arial" w:cs="Arial"/>
          <w:sz w:val="24"/>
          <w:szCs w:val="24"/>
        </w:rPr>
        <w:t xml:space="preserve"> </w:t>
      </w:r>
      <w:r w:rsidR="00DD66DD" w:rsidRPr="00712E7C">
        <w:rPr>
          <w:rFonts w:ascii="Arial" w:hAnsi="Arial" w:cs="Arial"/>
          <w:sz w:val="24"/>
          <w:szCs w:val="24"/>
        </w:rPr>
        <w:t>The data and software was then sold to companies to inform target marketing campaigns.</w:t>
      </w:r>
      <w:r w:rsidR="00601222" w:rsidRPr="00712E7C">
        <w:rPr>
          <w:rFonts w:ascii="Arial" w:hAnsi="Arial" w:cs="Arial"/>
          <w:sz w:val="24"/>
          <w:szCs w:val="24"/>
        </w:rPr>
        <w:t xml:space="preserve"> In the FRS, however, the</w:t>
      </w:r>
      <w:r w:rsidRPr="00712E7C">
        <w:rPr>
          <w:rFonts w:ascii="Arial" w:hAnsi="Arial" w:cs="Arial"/>
          <w:sz w:val="24"/>
          <w:szCs w:val="24"/>
        </w:rPr>
        <w:t xml:space="preserve"> database is used to establish risk profiles of those most vulnerable to fires. </w:t>
      </w:r>
      <w:r w:rsidR="00F010E2" w:rsidRPr="00712E7C">
        <w:rPr>
          <w:rFonts w:ascii="Arial" w:hAnsi="Arial" w:cs="Arial"/>
          <w:sz w:val="24"/>
          <w:szCs w:val="24"/>
        </w:rPr>
        <w:t xml:space="preserve">These </w:t>
      </w:r>
      <w:r w:rsidRPr="00712E7C">
        <w:rPr>
          <w:rFonts w:ascii="Arial" w:hAnsi="Arial" w:cs="Arial"/>
          <w:sz w:val="24"/>
          <w:szCs w:val="24"/>
        </w:rPr>
        <w:t xml:space="preserve">risk profiles will </w:t>
      </w:r>
      <w:r w:rsidR="003B487D" w:rsidRPr="00712E7C">
        <w:rPr>
          <w:rFonts w:ascii="Arial" w:hAnsi="Arial" w:cs="Arial"/>
          <w:sz w:val="24"/>
          <w:szCs w:val="24"/>
        </w:rPr>
        <w:t xml:space="preserve">inform the </w:t>
      </w:r>
      <w:r w:rsidR="00A972A4" w:rsidRPr="00712E7C">
        <w:rPr>
          <w:rFonts w:ascii="Arial" w:hAnsi="Arial" w:cs="Arial"/>
          <w:sz w:val="24"/>
          <w:szCs w:val="24"/>
        </w:rPr>
        <w:t>targeting</w:t>
      </w:r>
      <w:r w:rsidR="003B487D" w:rsidRPr="00712E7C">
        <w:rPr>
          <w:rFonts w:ascii="Arial" w:hAnsi="Arial" w:cs="Arial"/>
          <w:sz w:val="24"/>
          <w:szCs w:val="24"/>
        </w:rPr>
        <w:t xml:space="preserve"> of</w:t>
      </w:r>
      <w:r w:rsidRPr="00712E7C">
        <w:rPr>
          <w:rFonts w:ascii="Arial" w:hAnsi="Arial" w:cs="Arial"/>
          <w:sz w:val="24"/>
          <w:szCs w:val="24"/>
        </w:rPr>
        <w:t xml:space="preserve"> Home Fire Safety Checks (H</w:t>
      </w:r>
      <w:r w:rsidR="003B487D" w:rsidRPr="00712E7C">
        <w:rPr>
          <w:rFonts w:ascii="Arial" w:hAnsi="Arial" w:cs="Arial"/>
          <w:sz w:val="24"/>
          <w:szCs w:val="24"/>
        </w:rPr>
        <w:t>FSCs)</w:t>
      </w:r>
      <w:r w:rsidR="00511CAF">
        <w:rPr>
          <w:rFonts w:ascii="Arial" w:hAnsi="Arial" w:cs="Arial"/>
          <w:sz w:val="24"/>
          <w:szCs w:val="24"/>
        </w:rPr>
        <w:t>,</w:t>
      </w:r>
      <w:r w:rsidR="003B487D" w:rsidRPr="00712E7C">
        <w:rPr>
          <w:rFonts w:ascii="Arial" w:hAnsi="Arial" w:cs="Arial"/>
          <w:sz w:val="24"/>
          <w:szCs w:val="24"/>
        </w:rPr>
        <w:t xml:space="preserve"> whereby FRS personnel</w:t>
      </w:r>
      <w:r w:rsidRPr="00712E7C">
        <w:rPr>
          <w:rFonts w:ascii="Arial" w:hAnsi="Arial" w:cs="Arial"/>
          <w:sz w:val="24"/>
          <w:szCs w:val="24"/>
        </w:rPr>
        <w:t xml:space="preserve"> visit houses to install fire alarms and educate about fire safety. </w:t>
      </w:r>
      <w:r w:rsidR="005E4C98" w:rsidRPr="00712E7C">
        <w:rPr>
          <w:rFonts w:ascii="Arial" w:hAnsi="Arial" w:cs="Arial"/>
          <w:sz w:val="24"/>
          <w:szCs w:val="24"/>
        </w:rPr>
        <w:t>The enact</w:t>
      </w:r>
      <w:r w:rsidR="00F010E2" w:rsidRPr="00712E7C">
        <w:rPr>
          <w:rFonts w:ascii="Arial" w:hAnsi="Arial" w:cs="Arial"/>
          <w:sz w:val="24"/>
          <w:szCs w:val="24"/>
        </w:rPr>
        <w:t xml:space="preserve">ment of MOSAIC databases through HFSCs allows the FRS to prevent fires from occurring. </w:t>
      </w:r>
    </w:p>
    <w:p w:rsidR="00511CAF" w:rsidRPr="00712E7C" w:rsidRDefault="00511CAF" w:rsidP="00712E7C">
      <w:pPr>
        <w:spacing w:after="0" w:line="360" w:lineRule="auto"/>
        <w:jc w:val="both"/>
        <w:rPr>
          <w:rFonts w:ascii="Arial" w:hAnsi="Arial" w:cs="Arial"/>
          <w:sz w:val="24"/>
          <w:szCs w:val="24"/>
        </w:rPr>
      </w:pPr>
    </w:p>
    <w:p w:rsidR="009B1C57" w:rsidRDefault="001B58B3" w:rsidP="00712E7C">
      <w:pPr>
        <w:spacing w:after="0" w:line="360" w:lineRule="auto"/>
        <w:jc w:val="both"/>
        <w:rPr>
          <w:rFonts w:ascii="Arial" w:hAnsi="Arial" w:cs="Arial"/>
          <w:sz w:val="24"/>
          <w:szCs w:val="24"/>
        </w:rPr>
      </w:pPr>
      <w:r w:rsidRPr="00712E7C">
        <w:rPr>
          <w:rFonts w:ascii="Arial" w:hAnsi="Arial" w:cs="Arial"/>
          <w:sz w:val="24"/>
          <w:szCs w:val="24"/>
        </w:rPr>
        <w:t xml:space="preserve">To become </w:t>
      </w:r>
      <w:r w:rsidR="00F0540D" w:rsidRPr="00712E7C">
        <w:rPr>
          <w:rFonts w:ascii="Arial" w:hAnsi="Arial" w:cs="Arial"/>
          <w:sz w:val="24"/>
          <w:szCs w:val="24"/>
        </w:rPr>
        <w:t xml:space="preserve">pertinent for risk profiling, lifestyle data that MOSAIC provides needs to be integrated with data on the spatial distribution of fires in the past. </w:t>
      </w:r>
      <w:r w:rsidRPr="00712E7C">
        <w:rPr>
          <w:rFonts w:ascii="Arial" w:hAnsi="Arial" w:cs="Arial"/>
          <w:sz w:val="24"/>
          <w:szCs w:val="24"/>
        </w:rPr>
        <w:t>Import functions need to be established between MOSAIC and those databases that hold data on the geographical coordinates of previous fire incidents.</w:t>
      </w:r>
      <w:r w:rsidR="009B1C57" w:rsidRPr="00712E7C">
        <w:rPr>
          <w:rFonts w:ascii="Arial" w:hAnsi="Arial" w:cs="Arial"/>
          <w:sz w:val="24"/>
          <w:szCs w:val="24"/>
        </w:rPr>
        <w:t xml:space="preserve"> On a computer screen, MOSAIC shows the distribution of lifestyles across a region in Britain. The region itself is articulated by the serialisation of occupations, ages, ethnicities along</w:t>
      </w:r>
      <w:r w:rsidR="003B487D" w:rsidRPr="00712E7C">
        <w:rPr>
          <w:rFonts w:ascii="Arial" w:hAnsi="Arial" w:cs="Arial"/>
          <w:sz w:val="24"/>
          <w:szCs w:val="24"/>
        </w:rPr>
        <w:t>side non-conventional demographic categories</w:t>
      </w:r>
      <w:r w:rsidR="00FF0416">
        <w:rPr>
          <w:rFonts w:ascii="Arial" w:hAnsi="Arial" w:cs="Arial"/>
          <w:sz w:val="24"/>
          <w:szCs w:val="24"/>
        </w:rPr>
        <w:t>,</w:t>
      </w:r>
      <w:r w:rsidR="003B487D" w:rsidRPr="00712E7C">
        <w:rPr>
          <w:rFonts w:ascii="Arial" w:hAnsi="Arial" w:cs="Arial"/>
          <w:sz w:val="24"/>
          <w:szCs w:val="24"/>
        </w:rPr>
        <w:t xml:space="preserve"> such as</w:t>
      </w:r>
      <w:r w:rsidR="009B1C57" w:rsidRPr="00712E7C">
        <w:rPr>
          <w:rFonts w:ascii="Arial" w:hAnsi="Arial" w:cs="Arial"/>
          <w:sz w:val="24"/>
          <w:szCs w:val="24"/>
        </w:rPr>
        <w:t xml:space="preserve"> where preferences for specific forms of entertainment prevail</w:t>
      </w:r>
      <w:r w:rsidR="002D22DC" w:rsidRPr="00712E7C">
        <w:rPr>
          <w:rFonts w:ascii="Arial" w:hAnsi="Arial" w:cs="Arial"/>
          <w:sz w:val="24"/>
          <w:szCs w:val="24"/>
        </w:rPr>
        <w:t xml:space="preserve"> or the distribution of smokers</w:t>
      </w:r>
      <w:r w:rsidR="009B1C57" w:rsidRPr="00712E7C">
        <w:rPr>
          <w:rFonts w:ascii="Arial" w:hAnsi="Arial" w:cs="Arial"/>
          <w:sz w:val="24"/>
          <w:szCs w:val="24"/>
        </w:rPr>
        <w:t>. Superimposed onto this map is imagery which locates the occurrence of fi</w:t>
      </w:r>
      <w:r w:rsidR="00FF0416">
        <w:rPr>
          <w:rFonts w:ascii="Arial" w:hAnsi="Arial" w:cs="Arial"/>
          <w:sz w:val="24"/>
          <w:szCs w:val="24"/>
        </w:rPr>
        <w:t xml:space="preserve">res over the last three years. </w:t>
      </w:r>
      <w:r w:rsidR="009B1C57" w:rsidRPr="00712E7C">
        <w:rPr>
          <w:rFonts w:ascii="Arial" w:hAnsi="Arial" w:cs="Arial"/>
          <w:sz w:val="24"/>
          <w:szCs w:val="24"/>
        </w:rPr>
        <w:t>Through the integration of data, MOSAIC</w:t>
      </w:r>
      <w:r w:rsidR="00E0750E" w:rsidRPr="00712E7C">
        <w:rPr>
          <w:rFonts w:ascii="Arial" w:hAnsi="Arial" w:cs="Arial"/>
          <w:sz w:val="24"/>
          <w:szCs w:val="24"/>
        </w:rPr>
        <w:t xml:space="preserve"> injects lifestyle variables within the causality of fire risk.</w:t>
      </w:r>
      <w:r w:rsidR="009B1C57" w:rsidRPr="00712E7C">
        <w:rPr>
          <w:rFonts w:ascii="Arial" w:hAnsi="Arial" w:cs="Arial"/>
          <w:sz w:val="24"/>
          <w:szCs w:val="24"/>
        </w:rPr>
        <w:t xml:space="preserve"> </w:t>
      </w:r>
    </w:p>
    <w:p w:rsidR="00FF0416" w:rsidRPr="00712E7C" w:rsidRDefault="00FF0416" w:rsidP="00712E7C">
      <w:pPr>
        <w:spacing w:after="0" w:line="360" w:lineRule="auto"/>
        <w:jc w:val="both"/>
        <w:rPr>
          <w:rFonts w:ascii="Arial" w:hAnsi="Arial" w:cs="Arial"/>
          <w:sz w:val="24"/>
          <w:szCs w:val="24"/>
        </w:rPr>
      </w:pPr>
    </w:p>
    <w:p w:rsidR="005E4C98" w:rsidRDefault="001B58B3" w:rsidP="00712E7C">
      <w:pPr>
        <w:spacing w:after="0" w:line="360" w:lineRule="auto"/>
        <w:jc w:val="both"/>
        <w:rPr>
          <w:rFonts w:ascii="Arial" w:hAnsi="Arial" w:cs="Arial"/>
          <w:sz w:val="24"/>
          <w:szCs w:val="24"/>
        </w:rPr>
      </w:pPr>
      <w:r w:rsidRPr="00712E7C">
        <w:rPr>
          <w:rFonts w:ascii="Arial" w:hAnsi="Arial" w:cs="Arial"/>
          <w:sz w:val="24"/>
          <w:szCs w:val="24"/>
        </w:rPr>
        <w:lastRenderedPageBreak/>
        <w:t xml:space="preserve">At the very heart of the functionality of MOSAIC in the FRS </w:t>
      </w:r>
      <w:r w:rsidR="00484FD6" w:rsidRPr="00712E7C">
        <w:rPr>
          <w:rFonts w:ascii="Arial" w:hAnsi="Arial" w:cs="Arial"/>
          <w:sz w:val="24"/>
          <w:szCs w:val="24"/>
        </w:rPr>
        <w:t>is</w:t>
      </w:r>
      <w:r w:rsidRPr="00712E7C">
        <w:rPr>
          <w:rFonts w:ascii="Arial" w:hAnsi="Arial" w:cs="Arial"/>
          <w:sz w:val="24"/>
          <w:szCs w:val="24"/>
        </w:rPr>
        <w:t xml:space="preserve"> thus the mobilisation of data and the esta</w:t>
      </w:r>
      <w:r w:rsidR="009B1C57" w:rsidRPr="00712E7C">
        <w:rPr>
          <w:rFonts w:ascii="Arial" w:hAnsi="Arial" w:cs="Arial"/>
          <w:sz w:val="24"/>
          <w:szCs w:val="24"/>
        </w:rPr>
        <w:t xml:space="preserve">blishing of circulatory regimes in which data are enrolled. </w:t>
      </w:r>
      <w:r w:rsidR="00484FD6" w:rsidRPr="00712E7C">
        <w:rPr>
          <w:rFonts w:ascii="Arial" w:hAnsi="Arial" w:cs="Arial"/>
          <w:sz w:val="24"/>
          <w:szCs w:val="24"/>
        </w:rPr>
        <w:t>The mobilisation of</w:t>
      </w:r>
      <w:r w:rsidR="00BC62B9" w:rsidRPr="00712E7C">
        <w:rPr>
          <w:rFonts w:ascii="Arial" w:hAnsi="Arial" w:cs="Arial"/>
          <w:sz w:val="24"/>
          <w:szCs w:val="24"/>
        </w:rPr>
        <w:t xml:space="preserve"> data</w:t>
      </w:r>
      <w:r w:rsidR="00232B04">
        <w:rPr>
          <w:rFonts w:ascii="Arial" w:hAnsi="Arial" w:cs="Arial"/>
          <w:sz w:val="24"/>
          <w:szCs w:val="24"/>
        </w:rPr>
        <w:t>,</w:t>
      </w:r>
      <w:r w:rsidR="00BC62B9" w:rsidRPr="00712E7C">
        <w:rPr>
          <w:rFonts w:ascii="Arial" w:hAnsi="Arial" w:cs="Arial"/>
          <w:sz w:val="24"/>
          <w:szCs w:val="24"/>
        </w:rPr>
        <w:t xml:space="preserve"> which enables the</w:t>
      </w:r>
      <w:r w:rsidR="00283280" w:rsidRPr="00712E7C">
        <w:rPr>
          <w:rFonts w:ascii="Arial" w:hAnsi="Arial" w:cs="Arial"/>
          <w:sz w:val="24"/>
          <w:szCs w:val="24"/>
        </w:rPr>
        <w:t xml:space="preserve"> adoption </w:t>
      </w:r>
      <w:r w:rsidR="00BC62B9" w:rsidRPr="00712E7C">
        <w:rPr>
          <w:rFonts w:ascii="Arial" w:hAnsi="Arial" w:cs="Arial"/>
          <w:sz w:val="24"/>
          <w:szCs w:val="24"/>
        </w:rPr>
        <w:t>of</w:t>
      </w:r>
      <w:r w:rsidR="00283280" w:rsidRPr="00712E7C">
        <w:rPr>
          <w:rFonts w:ascii="Arial" w:hAnsi="Arial" w:cs="Arial"/>
          <w:sz w:val="24"/>
          <w:szCs w:val="24"/>
        </w:rPr>
        <w:t xml:space="preserve"> generic analysis</w:t>
      </w:r>
      <w:r w:rsidR="00BC62B9" w:rsidRPr="00712E7C">
        <w:rPr>
          <w:rFonts w:ascii="Arial" w:hAnsi="Arial" w:cs="Arial"/>
          <w:sz w:val="24"/>
          <w:szCs w:val="24"/>
        </w:rPr>
        <w:t xml:space="preserve"> technologies</w:t>
      </w:r>
      <w:r w:rsidR="00283280" w:rsidRPr="00712E7C">
        <w:rPr>
          <w:rFonts w:ascii="Arial" w:hAnsi="Arial" w:cs="Arial"/>
          <w:sz w:val="24"/>
          <w:szCs w:val="24"/>
        </w:rPr>
        <w:t xml:space="preserve"> and their redeployment for specific governmental goals</w:t>
      </w:r>
      <w:r w:rsidR="00BC62B9" w:rsidRPr="00712E7C">
        <w:rPr>
          <w:rFonts w:ascii="Arial" w:hAnsi="Arial" w:cs="Arial"/>
          <w:sz w:val="24"/>
          <w:szCs w:val="24"/>
        </w:rPr>
        <w:t xml:space="preserve"> in the FRS</w:t>
      </w:r>
      <w:r w:rsidR="00232B04">
        <w:rPr>
          <w:rFonts w:ascii="Arial" w:hAnsi="Arial" w:cs="Arial"/>
          <w:sz w:val="24"/>
          <w:szCs w:val="24"/>
        </w:rPr>
        <w:t>,</w:t>
      </w:r>
      <w:r w:rsidR="00484FD6" w:rsidRPr="00712E7C">
        <w:rPr>
          <w:rFonts w:ascii="Arial" w:hAnsi="Arial" w:cs="Arial"/>
          <w:sz w:val="24"/>
          <w:szCs w:val="24"/>
        </w:rPr>
        <w:t xml:space="preserve"> takes place under </w:t>
      </w:r>
      <w:r w:rsidR="00232B04">
        <w:rPr>
          <w:rFonts w:ascii="Arial" w:hAnsi="Arial" w:cs="Arial"/>
          <w:sz w:val="24"/>
          <w:szCs w:val="24"/>
        </w:rPr>
        <w:t xml:space="preserve">specific </w:t>
      </w:r>
      <w:r w:rsidR="00484FD6" w:rsidRPr="00712E7C">
        <w:rPr>
          <w:rFonts w:ascii="Arial" w:hAnsi="Arial" w:cs="Arial"/>
          <w:sz w:val="24"/>
          <w:szCs w:val="24"/>
        </w:rPr>
        <w:t>conditions</w:t>
      </w:r>
      <w:r w:rsidR="00BC62B9" w:rsidRPr="00712E7C">
        <w:rPr>
          <w:rFonts w:ascii="Arial" w:hAnsi="Arial" w:cs="Arial"/>
          <w:sz w:val="24"/>
          <w:szCs w:val="24"/>
        </w:rPr>
        <w:t>.</w:t>
      </w:r>
      <w:r w:rsidR="00CB346D" w:rsidRPr="00712E7C">
        <w:rPr>
          <w:rFonts w:ascii="Arial" w:hAnsi="Arial" w:cs="Arial"/>
          <w:sz w:val="24"/>
          <w:szCs w:val="24"/>
        </w:rPr>
        <w:t xml:space="preserve"> One such condition revolves arou</w:t>
      </w:r>
      <w:r w:rsidR="00232B04">
        <w:rPr>
          <w:rFonts w:ascii="Arial" w:hAnsi="Arial" w:cs="Arial"/>
          <w:sz w:val="24"/>
          <w:szCs w:val="24"/>
        </w:rPr>
        <w:t>nd the similitude of data by their</w:t>
      </w:r>
      <w:r w:rsidR="00CB346D" w:rsidRPr="00712E7C">
        <w:rPr>
          <w:rFonts w:ascii="Arial" w:hAnsi="Arial" w:cs="Arial"/>
          <w:sz w:val="24"/>
          <w:szCs w:val="24"/>
        </w:rPr>
        <w:t xml:space="preserve"> form.</w:t>
      </w:r>
      <w:r w:rsidR="00BC62B9" w:rsidRPr="00712E7C">
        <w:rPr>
          <w:rFonts w:ascii="Arial" w:hAnsi="Arial" w:cs="Arial"/>
          <w:sz w:val="24"/>
          <w:szCs w:val="24"/>
        </w:rPr>
        <w:t xml:space="preserve"> Uploading data on the spatial location of previous fire incidents is possible </w:t>
      </w:r>
      <w:r w:rsidR="00CB346D" w:rsidRPr="00712E7C">
        <w:rPr>
          <w:rFonts w:ascii="Arial" w:hAnsi="Arial" w:cs="Arial"/>
          <w:sz w:val="24"/>
          <w:szCs w:val="24"/>
        </w:rPr>
        <w:t>on the premise that such data are</w:t>
      </w:r>
      <w:r w:rsidR="00BC62B9" w:rsidRPr="00712E7C">
        <w:rPr>
          <w:rFonts w:ascii="Arial" w:hAnsi="Arial" w:cs="Arial"/>
          <w:sz w:val="24"/>
          <w:szCs w:val="24"/>
        </w:rPr>
        <w:t xml:space="preserve"> computable within MOSAIC software. In this case, data on previous incidents of fire must simply be digital. That which conditions the enrolment of data in mundane processes of</w:t>
      </w:r>
      <w:r w:rsidR="00283280" w:rsidRPr="00712E7C">
        <w:rPr>
          <w:rFonts w:ascii="Arial" w:hAnsi="Arial" w:cs="Arial"/>
          <w:sz w:val="24"/>
          <w:szCs w:val="24"/>
        </w:rPr>
        <w:t xml:space="preserve"> technological</w:t>
      </w:r>
      <w:r w:rsidR="00BC62B9" w:rsidRPr="00712E7C">
        <w:rPr>
          <w:rFonts w:ascii="Arial" w:hAnsi="Arial" w:cs="Arial"/>
          <w:sz w:val="24"/>
          <w:szCs w:val="24"/>
        </w:rPr>
        <w:t xml:space="preserve"> redeployment or, in other words, mobilises data within broader circulatory regimes, is the form that data take. </w:t>
      </w:r>
    </w:p>
    <w:p w:rsidR="00232B04" w:rsidRPr="00712E7C" w:rsidRDefault="00232B04" w:rsidP="00712E7C">
      <w:pPr>
        <w:spacing w:after="0" w:line="360" w:lineRule="auto"/>
        <w:jc w:val="both"/>
        <w:rPr>
          <w:rFonts w:ascii="Arial" w:hAnsi="Arial" w:cs="Arial"/>
          <w:sz w:val="24"/>
          <w:szCs w:val="24"/>
        </w:rPr>
      </w:pPr>
    </w:p>
    <w:p w:rsidR="00BC62B9" w:rsidRDefault="00BC62B9" w:rsidP="00712E7C">
      <w:pPr>
        <w:spacing w:after="0" w:line="360" w:lineRule="auto"/>
        <w:jc w:val="both"/>
        <w:rPr>
          <w:rFonts w:ascii="Arial" w:hAnsi="Arial" w:cs="Arial"/>
          <w:sz w:val="24"/>
          <w:szCs w:val="24"/>
        </w:rPr>
      </w:pPr>
      <w:r w:rsidRPr="00712E7C">
        <w:rPr>
          <w:rFonts w:ascii="Arial" w:hAnsi="Arial" w:cs="Arial"/>
          <w:sz w:val="24"/>
          <w:szCs w:val="24"/>
        </w:rPr>
        <w:t>The question of the material form of data and its capacity to mobilise a</w:t>
      </w:r>
      <w:r w:rsidR="00CF1423" w:rsidRPr="00712E7C">
        <w:rPr>
          <w:rFonts w:ascii="Arial" w:hAnsi="Arial" w:cs="Arial"/>
          <w:sz w:val="24"/>
          <w:szCs w:val="24"/>
        </w:rPr>
        <w:t>nd circulate has a rich lineage</w:t>
      </w:r>
      <w:r w:rsidRPr="00712E7C">
        <w:rPr>
          <w:rFonts w:ascii="Arial" w:hAnsi="Arial" w:cs="Arial"/>
          <w:sz w:val="24"/>
          <w:szCs w:val="24"/>
        </w:rPr>
        <w:t xml:space="preserve"> a</w:t>
      </w:r>
      <w:r w:rsidR="00283280" w:rsidRPr="00712E7C">
        <w:rPr>
          <w:rFonts w:ascii="Arial" w:hAnsi="Arial" w:cs="Arial"/>
          <w:sz w:val="24"/>
          <w:szCs w:val="24"/>
        </w:rPr>
        <w:t xml:space="preserve">s Vismann </w:t>
      </w:r>
      <w:r w:rsidR="00B21AA5">
        <w:rPr>
          <w:rFonts w:ascii="Arial" w:hAnsi="Arial" w:cs="Arial"/>
          <w:sz w:val="24"/>
          <w:szCs w:val="24"/>
        </w:rPr>
        <w:t>(2011</w:t>
      </w:r>
      <w:r w:rsidR="00C0636D">
        <w:rPr>
          <w:rFonts w:ascii="Arial" w:hAnsi="Arial" w:cs="Arial"/>
          <w:sz w:val="24"/>
          <w:szCs w:val="24"/>
        </w:rPr>
        <w:t xml:space="preserve">) </w:t>
      </w:r>
      <w:r w:rsidR="00283280" w:rsidRPr="00712E7C">
        <w:rPr>
          <w:rFonts w:ascii="Arial" w:hAnsi="Arial" w:cs="Arial"/>
          <w:sz w:val="24"/>
          <w:szCs w:val="24"/>
        </w:rPr>
        <w:t>shows</w:t>
      </w:r>
      <w:r w:rsidRPr="00712E7C">
        <w:rPr>
          <w:rFonts w:ascii="Arial" w:hAnsi="Arial" w:cs="Arial"/>
          <w:sz w:val="24"/>
          <w:szCs w:val="24"/>
        </w:rPr>
        <w:t>.</w:t>
      </w:r>
      <w:r w:rsidR="00CF1423" w:rsidRPr="00712E7C">
        <w:rPr>
          <w:rFonts w:ascii="Arial" w:hAnsi="Arial" w:cs="Arial"/>
          <w:sz w:val="24"/>
          <w:szCs w:val="24"/>
        </w:rPr>
        <w:t xml:space="preserve"> </w:t>
      </w:r>
      <w:r w:rsidR="00B21AA5">
        <w:rPr>
          <w:rFonts w:ascii="Arial" w:hAnsi="Arial" w:cs="Arial"/>
          <w:sz w:val="24"/>
          <w:szCs w:val="24"/>
        </w:rPr>
        <w:t xml:space="preserve">Discussing </w:t>
      </w:r>
      <w:r w:rsidR="00F2397E" w:rsidRPr="00712E7C">
        <w:rPr>
          <w:rFonts w:ascii="Arial" w:hAnsi="Arial" w:cs="Arial"/>
          <w:sz w:val="24"/>
          <w:szCs w:val="24"/>
        </w:rPr>
        <w:t>the consolidation of legislative power in Ancient Rome</w:t>
      </w:r>
      <w:r w:rsidR="00B21AA5">
        <w:rPr>
          <w:rFonts w:ascii="Arial" w:hAnsi="Arial" w:cs="Arial"/>
          <w:sz w:val="24"/>
          <w:szCs w:val="24"/>
        </w:rPr>
        <w:t>,</w:t>
      </w:r>
      <w:r w:rsidR="00F2397E" w:rsidRPr="00712E7C">
        <w:rPr>
          <w:rFonts w:ascii="Arial" w:hAnsi="Arial" w:cs="Arial"/>
          <w:sz w:val="24"/>
          <w:szCs w:val="24"/>
        </w:rPr>
        <w:t xml:space="preserve"> </w:t>
      </w:r>
      <w:r w:rsidR="00037A44">
        <w:rPr>
          <w:rFonts w:ascii="Arial" w:hAnsi="Arial" w:cs="Arial"/>
          <w:sz w:val="24"/>
          <w:szCs w:val="24"/>
        </w:rPr>
        <w:t xml:space="preserve">she </w:t>
      </w:r>
      <w:r w:rsidR="00B21AA5">
        <w:rPr>
          <w:rFonts w:ascii="Arial" w:hAnsi="Arial" w:cs="Arial"/>
          <w:sz w:val="24"/>
          <w:szCs w:val="24"/>
        </w:rPr>
        <w:t>examines</w:t>
      </w:r>
      <w:r w:rsidR="00F2397E" w:rsidRPr="00712E7C">
        <w:rPr>
          <w:rFonts w:ascii="Arial" w:hAnsi="Arial" w:cs="Arial"/>
          <w:sz w:val="24"/>
          <w:szCs w:val="24"/>
        </w:rPr>
        <w:t xml:space="preserve"> in depth the form that legislative files take. </w:t>
      </w:r>
      <w:r w:rsidR="00037A44">
        <w:rPr>
          <w:rFonts w:ascii="Arial" w:hAnsi="Arial" w:cs="Arial"/>
          <w:sz w:val="24"/>
          <w:szCs w:val="24"/>
        </w:rPr>
        <w:t>In particular, she discusses how s</w:t>
      </w:r>
      <w:r w:rsidR="00037A44" w:rsidRPr="00712E7C">
        <w:rPr>
          <w:rFonts w:ascii="Arial" w:hAnsi="Arial" w:cs="Arial"/>
          <w:sz w:val="24"/>
          <w:szCs w:val="24"/>
        </w:rPr>
        <w:t>crolls were replaced by codices</w:t>
      </w:r>
      <w:r w:rsidR="00037A44">
        <w:rPr>
          <w:rFonts w:ascii="Arial" w:hAnsi="Arial" w:cs="Arial"/>
          <w:sz w:val="24"/>
          <w:szCs w:val="24"/>
        </w:rPr>
        <w:t xml:space="preserve"> a</w:t>
      </w:r>
      <w:r w:rsidR="00F2397E" w:rsidRPr="00712E7C">
        <w:rPr>
          <w:rFonts w:ascii="Arial" w:hAnsi="Arial" w:cs="Arial"/>
          <w:sz w:val="24"/>
          <w:szCs w:val="24"/>
        </w:rPr>
        <w:t>s devices for</w:t>
      </w:r>
      <w:r w:rsidR="00037A44">
        <w:rPr>
          <w:rFonts w:ascii="Arial" w:hAnsi="Arial" w:cs="Arial"/>
          <w:sz w:val="24"/>
          <w:szCs w:val="24"/>
        </w:rPr>
        <w:t xml:space="preserve"> recording laws and precedent</w:t>
      </w:r>
      <w:r w:rsidR="00F2397E" w:rsidRPr="00712E7C">
        <w:rPr>
          <w:rFonts w:ascii="Arial" w:hAnsi="Arial" w:cs="Arial"/>
          <w:sz w:val="24"/>
          <w:szCs w:val="24"/>
        </w:rPr>
        <w:t>s. This substitution, as Vismann</w:t>
      </w:r>
      <w:r w:rsidR="00B21AA5">
        <w:rPr>
          <w:rFonts w:ascii="Arial" w:hAnsi="Arial" w:cs="Arial"/>
          <w:sz w:val="24"/>
          <w:szCs w:val="24"/>
        </w:rPr>
        <w:t xml:space="preserve"> (2011:32)</w:t>
      </w:r>
      <w:r w:rsidR="00F2397E" w:rsidRPr="00712E7C">
        <w:rPr>
          <w:rFonts w:ascii="Arial" w:hAnsi="Arial" w:cs="Arial"/>
          <w:sz w:val="24"/>
          <w:szCs w:val="24"/>
        </w:rPr>
        <w:t xml:space="preserve"> observes</w:t>
      </w:r>
      <w:r w:rsidR="00CB346D" w:rsidRPr="00712E7C">
        <w:rPr>
          <w:rFonts w:ascii="Arial" w:hAnsi="Arial" w:cs="Arial"/>
          <w:sz w:val="24"/>
          <w:szCs w:val="24"/>
        </w:rPr>
        <w:t>,</w:t>
      </w:r>
      <w:r w:rsidR="00F2397E" w:rsidRPr="00712E7C">
        <w:rPr>
          <w:rFonts w:ascii="Arial" w:hAnsi="Arial" w:cs="Arial"/>
          <w:sz w:val="24"/>
          <w:szCs w:val="24"/>
        </w:rPr>
        <w:t xml:space="preserve"> took place for many reasons: </w:t>
      </w:r>
    </w:p>
    <w:p w:rsidR="00037A44" w:rsidRPr="00712E7C" w:rsidRDefault="00037A44" w:rsidP="00712E7C">
      <w:pPr>
        <w:spacing w:after="0" w:line="360" w:lineRule="auto"/>
        <w:jc w:val="both"/>
        <w:rPr>
          <w:rFonts w:ascii="Arial" w:hAnsi="Arial" w:cs="Arial"/>
          <w:sz w:val="24"/>
          <w:szCs w:val="24"/>
        </w:rPr>
      </w:pPr>
    </w:p>
    <w:p w:rsidR="00E25B64" w:rsidRPr="00712E7C" w:rsidRDefault="00F2397E" w:rsidP="00037A44">
      <w:pPr>
        <w:spacing w:after="0" w:line="240" w:lineRule="auto"/>
        <w:ind w:left="720" w:right="284"/>
        <w:jc w:val="both"/>
        <w:rPr>
          <w:rFonts w:ascii="Arial" w:hAnsi="Arial" w:cs="Arial"/>
          <w:sz w:val="24"/>
          <w:szCs w:val="24"/>
        </w:rPr>
      </w:pPr>
      <w:r w:rsidRPr="00712E7C">
        <w:rPr>
          <w:rFonts w:ascii="Arial" w:hAnsi="Arial" w:cs="Arial"/>
          <w:sz w:val="24"/>
          <w:szCs w:val="24"/>
        </w:rPr>
        <w:t>The advantages of codi</w:t>
      </w:r>
      <w:r w:rsidR="007F064C" w:rsidRPr="00712E7C">
        <w:rPr>
          <w:rFonts w:ascii="Arial" w:hAnsi="Arial" w:cs="Arial"/>
          <w:sz w:val="24"/>
          <w:szCs w:val="24"/>
        </w:rPr>
        <w:t>c</w:t>
      </w:r>
      <w:r w:rsidRPr="00712E7C">
        <w:rPr>
          <w:rFonts w:ascii="Arial" w:hAnsi="Arial" w:cs="Arial"/>
          <w:sz w:val="24"/>
          <w:szCs w:val="24"/>
        </w:rPr>
        <w:t>es are, quite literally, there for everyone to see. The new</w:t>
      </w:r>
      <w:r w:rsidR="00037A44">
        <w:rPr>
          <w:rFonts w:ascii="Arial" w:hAnsi="Arial" w:cs="Arial"/>
          <w:sz w:val="24"/>
          <w:szCs w:val="24"/>
        </w:rPr>
        <w:t xml:space="preserve"> re</w:t>
      </w:r>
      <w:r w:rsidRPr="00712E7C">
        <w:rPr>
          <w:rFonts w:ascii="Arial" w:hAnsi="Arial" w:cs="Arial"/>
          <w:sz w:val="24"/>
          <w:szCs w:val="24"/>
        </w:rPr>
        <w:t>ading posture offers readers an escape from the defenceless position of having both hands attached to the text. The emperor Domitian, for one, was unable to ward off his murder</w:t>
      </w:r>
      <w:r w:rsidR="002D22DC" w:rsidRPr="00712E7C">
        <w:rPr>
          <w:rFonts w:ascii="Arial" w:hAnsi="Arial" w:cs="Arial"/>
          <w:sz w:val="24"/>
          <w:szCs w:val="24"/>
        </w:rPr>
        <w:t>er</w:t>
      </w:r>
      <w:r w:rsidRPr="00712E7C">
        <w:rPr>
          <w:rFonts w:ascii="Arial" w:hAnsi="Arial" w:cs="Arial"/>
          <w:sz w:val="24"/>
          <w:szCs w:val="24"/>
        </w:rPr>
        <w:t xml:space="preserve">s because he was holding a scroll. Reading a codex requires </w:t>
      </w:r>
      <w:r w:rsidR="00AC134B" w:rsidRPr="00712E7C">
        <w:rPr>
          <w:rFonts w:ascii="Arial" w:hAnsi="Arial" w:cs="Arial"/>
          <w:sz w:val="24"/>
          <w:szCs w:val="24"/>
        </w:rPr>
        <w:t>one hand only- or a fist. The ability to quickly leaf through a text in both directions in search of a specific item is another obvi</w:t>
      </w:r>
      <w:r w:rsidR="00F277F6" w:rsidRPr="00712E7C">
        <w:rPr>
          <w:rFonts w:ascii="Arial" w:hAnsi="Arial" w:cs="Arial"/>
          <w:sz w:val="24"/>
          <w:szCs w:val="24"/>
        </w:rPr>
        <w:t>ous advantage of the codex</w:t>
      </w:r>
      <w:r w:rsidR="00037A44">
        <w:rPr>
          <w:rFonts w:ascii="Arial" w:hAnsi="Arial" w:cs="Arial"/>
          <w:sz w:val="24"/>
          <w:szCs w:val="24"/>
        </w:rPr>
        <w:t xml:space="preserve"> </w:t>
      </w:r>
      <w:r w:rsidR="00F277F6" w:rsidRPr="00712E7C">
        <w:rPr>
          <w:rFonts w:ascii="Arial" w:hAnsi="Arial" w:cs="Arial"/>
          <w:sz w:val="24"/>
          <w:szCs w:val="24"/>
        </w:rPr>
        <w:t>… The</w:t>
      </w:r>
      <w:r w:rsidR="00037A44">
        <w:rPr>
          <w:rFonts w:ascii="Arial" w:hAnsi="Arial" w:cs="Arial"/>
          <w:sz w:val="24"/>
          <w:szCs w:val="24"/>
        </w:rPr>
        <w:t xml:space="preserve"> </w:t>
      </w:r>
      <w:r w:rsidR="00F277F6" w:rsidRPr="00712E7C">
        <w:rPr>
          <w:rFonts w:ascii="Arial" w:hAnsi="Arial" w:cs="Arial"/>
          <w:sz w:val="24"/>
          <w:szCs w:val="24"/>
        </w:rPr>
        <w:t xml:space="preserve">possibility </w:t>
      </w:r>
      <w:r w:rsidR="00AC134B" w:rsidRPr="00712E7C">
        <w:rPr>
          <w:rFonts w:ascii="Arial" w:hAnsi="Arial" w:cs="Arial"/>
          <w:sz w:val="24"/>
          <w:szCs w:val="24"/>
        </w:rPr>
        <w:t>of adding further layers to the loose leaves prior to their binding frees</w:t>
      </w:r>
      <w:r w:rsidR="002D22DC" w:rsidRPr="00712E7C">
        <w:rPr>
          <w:rFonts w:ascii="Arial" w:hAnsi="Arial" w:cs="Arial"/>
          <w:sz w:val="24"/>
          <w:szCs w:val="24"/>
        </w:rPr>
        <w:t xml:space="preserve"> </w:t>
      </w:r>
      <w:r w:rsidR="00F277F6" w:rsidRPr="00712E7C">
        <w:rPr>
          <w:rFonts w:ascii="Arial" w:hAnsi="Arial" w:cs="Arial"/>
          <w:sz w:val="24"/>
          <w:szCs w:val="24"/>
        </w:rPr>
        <w:t>codices from</w:t>
      </w:r>
      <w:r w:rsidR="00CB346D" w:rsidRPr="00712E7C">
        <w:rPr>
          <w:rFonts w:ascii="Arial" w:hAnsi="Arial" w:cs="Arial"/>
          <w:sz w:val="24"/>
          <w:szCs w:val="24"/>
        </w:rPr>
        <w:t xml:space="preserve"> </w:t>
      </w:r>
      <w:r w:rsidR="00AC134B" w:rsidRPr="00712E7C">
        <w:rPr>
          <w:rFonts w:ascii="Arial" w:hAnsi="Arial" w:cs="Arial"/>
          <w:sz w:val="24"/>
          <w:szCs w:val="24"/>
        </w:rPr>
        <w:t>the purely diachronic recording logic of scrolls</w:t>
      </w:r>
      <w:r w:rsidR="00037A44">
        <w:rPr>
          <w:rFonts w:ascii="Arial" w:hAnsi="Arial" w:cs="Arial"/>
          <w:sz w:val="24"/>
          <w:szCs w:val="24"/>
        </w:rPr>
        <w:t xml:space="preserve"> </w:t>
      </w:r>
      <w:r w:rsidR="00AC134B" w:rsidRPr="00712E7C">
        <w:rPr>
          <w:rFonts w:ascii="Arial" w:hAnsi="Arial" w:cs="Arial"/>
          <w:sz w:val="24"/>
          <w:szCs w:val="24"/>
        </w:rPr>
        <w:t xml:space="preserve">… By virtue of these </w:t>
      </w:r>
      <w:r w:rsidR="00F277F6" w:rsidRPr="00712E7C">
        <w:rPr>
          <w:rFonts w:ascii="Arial" w:hAnsi="Arial" w:cs="Arial"/>
          <w:sz w:val="24"/>
          <w:szCs w:val="24"/>
        </w:rPr>
        <w:t xml:space="preserve">optimized </w:t>
      </w:r>
      <w:r w:rsidR="00037A44">
        <w:rPr>
          <w:rFonts w:ascii="Arial" w:hAnsi="Arial" w:cs="Arial"/>
          <w:sz w:val="24"/>
          <w:szCs w:val="24"/>
        </w:rPr>
        <w:t xml:space="preserve">features – </w:t>
      </w:r>
      <w:r w:rsidR="00AC134B" w:rsidRPr="00712E7C">
        <w:rPr>
          <w:rFonts w:ascii="Arial" w:hAnsi="Arial" w:cs="Arial"/>
          <w:sz w:val="24"/>
          <w:szCs w:val="24"/>
        </w:rPr>
        <w:t xml:space="preserve">random access, up-to-date writing, ease of binding, storage </w:t>
      </w:r>
      <w:r w:rsidR="00037A44">
        <w:rPr>
          <w:rFonts w:ascii="Arial" w:hAnsi="Arial" w:cs="Arial"/>
          <w:sz w:val="24"/>
          <w:szCs w:val="24"/>
        </w:rPr>
        <w:t xml:space="preserve">and rearranging – </w:t>
      </w:r>
      <w:r w:rsidR="00F277F6" w:rsidRPr="00712E7C">
        <w:rPr>
          <w:rFonts w:ascii="Arial" w:hAnsi="Arial" w:cs="Arial"/>
          <w:sz w:val="24"/>
          <w:szCs w:val="24"/>
        </w:rPr>
        <w:t xml:space="preserve">codices </w:t>
      </w:r>
      <w:r w:rsidR="00AC134B" w:rsidRPr="00712E7C">
        <w:rPr>
          <w:rFonts w:ascii="Arial" w:hAnsi="Arial" w:cs="Arial"/>
          <w:sz w:val="24"/>
          <w:szCs w:val="24"/>
        </w:rPr>
        <w:t>gradually replaced</w:t>
      </w:r>
      <w:r w:rsidR="00037A44">
        <w:rPr>
          <w:rFonts w:ascii="Arial" w:hAnsi="Arial" w:cs="Arial"/>
          <w:sz w:val="24"/>
          <w:szCs w:val="24"/>
        </w:rPr>
        <w:t xml:space="preserve"> scrolls as “functional texts”.</w:t>
      </w:r>
    </w:p>
    <w:p w:rsidR="00F277F6" w:rsidRPr="00712E7C" w:rsidRDefault="00F277F6" w:rsidP="00712E7C">
      <w:pPr>
        <w:spacing w:after="0" w:line="360" w:lineRule="auto"/>
        <w:jc w:val="both"/>
        <w:rPr>
          <w:rFonts w:ascii="Arial" w:hAnsi="Arial" w:cs="Arial"/>
          <w:sz w:val="24"/>
          <w:szCs w:val="24"/>
        </w:rPr>
      </w:pPr>
    </w:p>
    <w:p w:rsidR="00590B67" w:rsidRDefault="006A14FC" w:rsidP="00712E7C">
      <w:pPr>
        <w:spacing w:after="0" w:line="360" w:lineRule="auto"/>
        <w:jc w:val="both"/>
        <w:rPr>
          <w:rFonts w:ascii="Arial" w:hAnsi="Arial" w:cs="Arial"/>
          <w:sz w:val="24"/>
          <w:szCs w:val="24"/>
        </w:rPr>
      </w:pPr>
      <w:r w:rsidRPr="00712E7C">
        <w:rPr>
          <w:rFonts w:ascii="Arial" w:hAnsi="Arial" w:cs="Arial"/>
          <w:sz w:val="24"/>
          <w:szCs w:val="24"/>
        </w:rPr>
        <w:t xml:space="preserve">It is not only that form affects the mobilisation of specific data within wider circulatory regimes. </w:t>
      </w:r>
      <w:r w:rsidR="00037A44">
        <w:rPr>
          <w:rFonts w:ascii="Arial" w:hAnsi="Arial" w:cs="Arial"/>
          <w:sz w:val="24"/>
          <w:szCs w:val="24"/>
        </w:rPr>
        <w:t>I</w:t>
      </w:r>
      <w:r w:rsidR="00037A44" w:rsidRPr="00712E7C">
        <w:rPr>
          <w:rFonts w:ascii="Arial" w:hAnsi="Arial" w:cs="Arial"/>
          <w:sz w:val="24"/>
          <w:szCs w:val="24"/>
        </w:rPr>
        <w:t>nstead</w:t>
      </w:r>
      <w:r w:rsidR="00037A44">
        <w:rPr>
          <w:rFonts w:ascii="Arial" w:hAnsi="Arial" w:cs="Arial"/>
          <w:sz w:val="24"/>
          <w:szCs w:val="24"/>
        </w:rPr>
        <w:t>,</w:t>
      </w:r>
      <w:r w:rsidR="00037A44" w:rsidRPr="00712E7C">
        <w:rPr>
          <w:rFonts w:ascii="Arial" w:hAnsi="Arial" w:cs="Arial"/>
          <w:sz w:val="24"/>
          <w:szCs w:val="24"/>
        </w:rPr>
        <w:t xml:space="preserve"> </w:t>
      </w:r>
      <w:r w:rsidR="00037A44">
        <w:rPr>
          <w:rFonts w:ascii="Arial" w:hAnsi="Arial" w:cs="Arial"/>
          <w:sz w:val="24"/>
          <w:szCs w:val="24"/>
        </w:rPr>
        <w:t>f</w:t>
      </w:r>
      <w:r w:rsidRPr="00712E7C">
        <w:rPr>
          <w:rFonts w:ascii="Arial" w:hAnsi="Arial" w:cs="Arial"/>
          <w:sz w:val="24"/>
          <w:szCs w:val="24"/>
        </w:rPr>
        <w:t xml:space="preserve">ollowing Vismann’s observations, the form that data are shaped into, and what data </w:t>
      </w:r>
      <w:r w:rsidR="00037A44">
        <w:rPr>
          <w:rFonts w:ascii="Arial" w:hAnsi="Arial" w:cs="Arial"/>
          <w:sz w:val="24"/>
          <w:szCs w:val="24"/>
        </w:rPr>
        <w:t>come</w:t>
      </w:r>
      <w:r w:rsidR="00E40016" w:rsidRPr="00712E7C">
        <w:rPr>
          <w:rFonts w:ascii="Arial" w:hAnsi="Arial" w:cs="Arial"/>
          <w:sz w:val="24"/>
          <w:szCs w:val="24"/>
        </w:rPr>
        <w:t xml:space="preserve"> to inhabit, are matters interwoven with processes of accumulation by which governmental power can be both consolidated and</w:t>
      </w:r>
      <w:r w:rsidR="00363AD1" w:rsidRPr="00712E7C">
        <w:rPr>
          <w:rFonts w:ascii="Arial" w:hAnsi="Arial" w:cs="Arial"/>
          <w:sz w:val="24"/>
          <w:szCs w:val="24"/>
        </w:rPr>
        <w:t xml:space="preserve"> can</w:t>
      </w:r>
      <w:r w:rsidR="00E40016" w:rsidRPr="00712E7C">
        <w:rPr>
          <w:rFonts w:ascii="Arial" w:hAnsi="Arial" w:cs="Arial"/>
          <w:sz w:val="24"/>
          <w:szCs w:val="24"/>
        </w:rPr>
        <w:t xml:space="preserve"> transform itself. The codex thus allows new leaves to be added. In the FRS, new data are continually sourced and new forms of technology, </w:t>
      </w:r>
      <w:r w:rsidR="00E40016" w:rsidRPr="00712E7C">
        <w:rPr>
          <w:rFonts w:ascii="Arial" w:hAnsi="Arial" w:cs="Arial"/>
          <w:sz w:val="24"/>
          <w:szCs w:val="24"/>
        </w:rPr>
        <w:lastRenderedPageBreak/>
        <w:t>such as MOSAIC, are acquired. To be useful</w:t>
      </w:r>
      <w:r w:rsidR="00037A44">
        <w:rPr>
          <w:rFonts w:ascii="Arial" w:hAnsi="Arial" w:cs="Arial"/>
          <w:sz w:val="24"/>
          <w:szCs w:val="24"/>
        </w:rPr>
        <w:t>,</w:t>
      </w:r>
      <w:r w:rsidR="00E40016" w:rsidRPr="00712E7C">
        <w:rPr>
          <w:rFonts w:ascii="Arial" w:hAnsi="Arial" w:cs="Arial"/>
          <w:sz w:val="24"/>
          <w:szCs w:val="24"/>
        </w:rPr>
        <w:t xml:space="preserve"> however, it must be possible to fold this new data a</w:t>
      </w:r>
      <w:r w:rsidR="00484FD6" w:rsidRPr="00712E7C">
        <w:rPr>
          <w:rFonts w:ascii="Arial" w:hAnsi="Arial" w:cs="Arial"/>
          <w:sz w:val="24"/>
          <w:szCs w:val="24"/>
        </w:rPr>
        <w:t>nd technology into wider circulation</w:t>
      </w:r>
      <w:r w:rsidR="00E40016" w:rsidRPr="00712E7C">
        <w:rPr>
          <w:rFonts w:ascii="Arial" w:hAnsi="Arial" w:cs="Arial"/>
          <w:sz w:val="24"/>
          <w:szCs w:val="24"/>
        </w:rPr>
        <w:t xml:space="preserve"> processes of the FRS digital infrastructure.</w:t>
      </w:r>
      <w:r w:rsidR="00F60BA9" w:rsidRPr="00712E7C">
        <w:rPr>
          <w:rFonts w:ascii="Arial" w:hAnsi="Arial" w:cs="Arial"/>
          <w:sz w:val="24"/>
          <w:szCs w:val="24"/>
        </w:rPr>
        <w:t xml:space="preserve"> Throu</w:t>
      </w:r>
      <w:r w:rsidR="00484FD6" w:rsidRPr="00712E7C">
        <w:rPr>
          <w:rFonts w:ascii="Arial" w:hAnsi="Arial" w:cs="Arial"/>
          <w:sz w:val="24"/>
          <w:szCs w:val="24"/>
        </w:rPr>
        <w:t xml:space="preserve">gh regimes of circulation, data of the same </w:t>
      </w:r>
      <w:r w:rsidR="00F60BA9" w:rsidRPr="00712E7C">
        <w:rPr>
          <w:rFonts w:ascii="Arial" w:hAnsi="Arial" w:cs="Arial"/>
          <w:sz w:val="24"/>
          <w:szCs w:val="24"/>
        </w:rPr>
        <w:t xml:space="preserve">forms are enrolled and integrated with one another. </w:t>
      </w:r>
    </w:p>
    <w:p w:rsidR="00037A44" w:rsidRPr="00712E7C" w:rsidRDefault="00037A44" w:rsidP="00712E7C">
      <w:pPr>
        <w:spacing w:after="0" w:line="360" w:lineRule="auto"/>
        <w:jc w:val="both"/>
        <w:rPr>
          <w:rFonts w:ascii="Arial" w:hAnsi="Arial" w:cs="Arial"/>
          <w:sz w:val="24"/>
          <w:szCs w:val="24"/>
        </w:rPr>
      </w:pPr>
    </w:p>
    <w:p w:rsidR="00CA73D6" w:rsidRDefault="00CB346D" w:rsidP="00712E7C">
      <w:pPr>
        <w:spacing w:after="0" w:line="360" w:lineRule="auto"/>
        <w:jc w:val="both"/>
        <w:rPr>
          <w:rFonts w:ascii="Arial" w:hAnsi="Arial" w:cs="Arial"/>
          <w:i/>
          <w:sz w:val="24"/>
          <w:szCs w:val="24"/>
        </w:rPr>
      </w:pPr>
      <w:r w:rsidRPr="00712E7C">
        <w:rPr>
          <w:rFonts w:ascii="Arial" w:hAnsi="Arial" w:cs="Arial"/>
          <w:sz w:val="24"/>
          <w:szCs w:val="24"/>
        </w:rPr>
        <w:t>Although similitude in form conditions and organises data integration processes, the material form of data cannot be treated as fixed. In its integration and mobilisation</w:t>
      </w:r>
      <w:r w:rsidR="00590B67" w:rsidRPr="00712E7C">
        <w:rPr>
          <w:rFonts w:ascii="Arial" w:hAnsi="Arial" w:cs="Arial"/>
          <w:sz w:val="24"/>
          <w:szCs w:val="24"/>
        </w:rPr>
        <w:t xml:space="preserve"> together, heterogeneous data will take on whole new forms. I will return to this point in th</w:t>
      </w:r>
      <w:r w:rsidR="00484FD6" w:rsidRPr="00712E7C">
        <w:rPr>
          <w:rFonts w:ascii="Arial" w:hAnsi="Arial" w:cs="Arial"/>
          <w:sz w:val="24"/>
          <w:szCs w:val="24"/>
        </w:rPr>
        <w:t>e next section</w:t>
      </w:r>
      <w:r w:rsidR="007A5BF3">
        <w:rPr>
          <w:rFonts w:ascii="Arial" w:hAnsi="Arial" w:cs="Arial"/>
          <w:sz w:val="24"/>
          <w:szCs w:val="24"/>
        </w:rPr>
        <w:t>,</w:t>
      </w:r>
      <w:r w:rsidR="00484FD6" w:rsidRPr="00712E7C">
        <w:rPr>
          <w:rFonts w:ascii="Arial" w:hAnsi="Arial" w:cs="Arial"/>
          <w:sz w:val="24"/>
          <w:szCs w:val="24"/>
        </w:rPr>
        <w:t xml:space="preserve"> where I discuss the new </w:t>
      </w:r>
      <w:r w:rsidR="00F52914" w:rsidRPr="00712E7C">
        <w:rPr>
          <w:rFonts w:ascii="Arial" w:hAnsi="Arial" w:cs="Arial"/>
          <w:sz w:val="24"/>
          <w:szCs w:val="24"/>
        </w:rPr>
        <w:t xml:space="preserve">modes of </w:t>
      </w:r>
      <w:r w:rsidR="00484FD6" w:rsidRPr="00712E7C">
        <w:rPr>
          <w:rFonts w:ascii="Arial" w:hAnsi="Arial" w:cs="Arial"/>
          <w:sz w:val="24"/>
          <w:szCs w:val="24"/>
        </w:rPr>
        <w:t>calculati</w:t>
      </w:r>
      <w:r w:rsidR="00F52914" w:rsidRPr="00712E7C">
        <w:rPr>
          <w:rFonts w:ascii="Arial" w:hAnsi="Arial" w:cs="Arial"/>
          <w:sz w:val="24"/>
          <w:szCs w:val="24"/>
        </w:rPr>
        <w:t>on</w:t>
      </w:r>
      <w:r w:rsidR="00484FD6" w:rsidRPr="00712E7C">
        <w:rPr>
          <w:rFonts w:ascii="Arial" w:hAnsi="Arial" w:cs="Arial"/>
          <w:sz w:val="24"/>
          <w:szCs w:val="24"/>
        </w:rPr>
        <w:t xml:space="preserve"> </w:t>
      </w:r>
      <w:r w:rsidR="007A5BF3">
        <w:rPr>
          <w:rFonts w:ascii="Arial" w:hAnsi="Arial" w:cs="Arial"/>
          <w:sz w:val="24"/>
          <w:szCs w:val="24"/>
        </w:rPr>
        <w:t>that</w:t>
      </w:r>
      <w:r w:rsidR="00484FD6" w:rsidRPr="00712E7C">
        <w:rPr>
          <w:rFonts w:ascii="Arial" w:hAnsi="Arial" w:cs="Arial"/>
          <w:sz w:val="24"/>
          <w:szCs w:val="24"/>
        </w:rPr>
        <w:t xml:space="preserve"> the acquisition of technologies like MOSAIC enable</w:t>
      </w:r>
      <w:r w:rsidR="00590B67" w:rsidRPr="00712E7C">
        <w:rPr>
          <w:rFonts w:ascii="Arial" w:hAnsi="Arial" w:cs="Arial"/>
          <w:sz w:val="24"/>
          <w:szCs w:val="24"/>
        </w:rPr>
        <w:t>. Maintaining focus on mobilisation and circulation in this section, it is more immediately important to state that</w:t>
      </w:r>
      <w:r w:rsidR="00F60BA9" w:rsidRPr="00712E7C">
        <w:rPr>
          <w:rFonts w:ascii="Arial" w:hAnsi="Arial" w:cs="Arial"/>
          <w:sz w:val="24"/>
          <w:szCs w:val="24"/>
        </w:rPr>
        <w:t xml:space="preserve"> </w:t>
      </w:r>
      <w:r w:rsidR="00590B67" w:rsidRPr="00712E7C">
        <w:rPr>
          <w:rFonts w:ascii="Arial" w:hAnsi="Arial" w:cs="Arial"/>
          <w:sz w:val="24"/>
          <w:szCs w:val="24"/>
        </w:rPr>
        <w:t xml:space="preserve">not all data </w:t>
      </w:r>
      <w:r w:rsidR="007A5BF3">
        <w:rPr>
          <w:rFonts w:ascii="Arial" w:hAnsi="Arial" w:cs="Arial"/>
          <w:sz w:val="24"/>
          <w:szCs w:val="24"/>
        </w:rPr>
        <w:t>bear</w:t>
      </w:r>
      <w:r w:rsidR="00484FD6" w:rsidRPr="00712E7C">
        <w:rPr>
          <w:rFonts w:ascii="Arial" w:hAnsi="Arial" w:cs="Arial"/>
          <w:sz w:val="24"/>
          <w:szCs w:val="24"/>
        </w:rPr>
        <w:t xml:space="preserve"> a </w:t>
      </w:r>
      <w:r w:rsidRPr="00712E7C">
        <w:rPr>
          <w:rFonts w:ascii="Arial" w:hAnsi="Arial" w:cs="Arial"/>
          <w:sz w:val="24"/>
          <w:szCs w:val="24"/>
        </w:rPr>
        <w:t>digital form</w:t>
      </w:r>
      <w:r w:rsidR="00590B67" w:rsidRPr="00712E7C">
        <w:rPr>
          <w:rFonts w:ascii="Arial" w:hAnsi="Arial" w:cs="Arial"/>
          <w:sz w:val="24"/>
          <w:szCs w:val="24"/>
        </w:rPr>
        <w:t xml:space="preserve">. </w:t>
      </w:r>
      <w:r w:rsidR="00CA73D6" w:rsidRPr="00712E7C">
        <w:rPr>
          <w:rFonts w:ascii="Arial" w:hAnsi="Arial" w:cs="Arial"/>
          <w:sz w:val="24"/>
          <w:szCs w:val="24"/>
        </w:rPr>
        <w:t xml:space="preserve">The heterogeneity of data forms </w:t>
      </w:r>
      <w:r w:rsidR="00C267F4">
        <w:rPr>
          <w:rFonts w:ascii="Arial" w:hAnsi="Arial" w:cs="Arial"/>
          <w:sz w:val="24"/>
          <w:szCs w:val="24"/>
        </w:rPr>
        <w:t xml:space="preserve">under </w:t>
      </w:r>
      <w:r w:rsidR="006F3035">
        <w:rPr>
          <w:rFonts w:ascii="Arial" w:hAnsi="Arial" w:cs="Arial"/>
          <w:sz w:val="24"/>
          <w:szCs w:val="24"/>
        </w:rPr>
        <w:t>integration</w:t>
      </w:r>
      <w:r w:rsidR="00C267F4" w:rsidRPr="00712E7C">
        <w:rPr>
          <w:rFonts w:ascii="Arial" w:hAnsi="Arial" w:cs="Arial"/>
          <w:sz w:val="24"/>
          <w:szCs w:val="24"/>
        </w:rPr>
        <w:t xml:space="preserve"> </w:t>
      </w:r>
      <w:r w:rsidR="00CA73D6" w:rsidRPr="00712E7C">
        <w:rPr>
          <w:rFonts w:ascii="Arial" w:hAnsi="Arial" w:cs="Arial"/>
          <w:sz w:val="24"/>
          <w:szCs w:val="24"/>
        </w:rPr>
        <w:t>raises important points of consideration in terms of the relationship between mobilisation and circulation. Not only does mobilisation within broader regimes of circulation allow for an exploration of wha</w:t>
      </w:r>
      <w:r w:rsidR="006F3035">
        <w:rPr>
          <w:rFonts w:ascii="Arial" w:hAnsi="Arial" w:cs="Arial"/>
          <w:sz w:val="24"/>
          <w:szCs w:val="24"/>
        </w:rPr>
        <w:t>t is mobilised and what is not, but also, t</w:t>
      </w:r>
      <w:r w:rsidR="00CA73D6" w:rsidRPr="00712E7C">
        <w:rPr>
          <w:rFonts w:ascii="Arial" w:hAnsi="Arial" w:cs="Arial"/>
          <w:sz w:val="24"/>
          <w:szCs w:val="24"/>
        </w:rPr>
        <w:t>hrough these two categories of mo</w:t>
      </w:r>
      <w:r w:rsidR="00FF6BE7" w:rsidRPr="00712E7C">
        <w:rPr>
          <w:rFonts w:ascii="Arial" w:hAnsi="Arial" w:cs="Arial"/>
          <w:sz w:val="24"/>
          <w:szCs w:val="24"/>
        </w:rPr>
        <w:t>vement</w:t>
      </w:r>
      <w:r w:rsidR="00CA73D6" w:rsidRPr="00712E7C">
        <w:rPr>
          <w:rFonts w:ascii="Arial" w:hAnsi="Arial" w:cs="Arial"/>
          <w:sz w:val="24"/>
          <w:szCs w:val="24"/>
        </w:rPr>
        <w:t xml:space="preserve">, I </w:t>
      </w:r>
      <w:r w:rsidR="00F0085E" w:rsidRPr="00712E7C">
        <w:rPr>
          <w:rFonts w:ascii="Arial" w:hAnsi="Arial" w:cs="Arial"/>
          <w:sz w:val="24"/>
          <w:szCs w:val="24"/>
        </w:rPr>
        <w:t>explore what data are</w:t>
      </w:r>
      <w:r w:rsidR="00CA73D6" w:rsidRPr="00712E7C">
        <w:rPr>
          <w:rFonts w:ascii="Arial" w:hAnsi="Arial" w:cs="Arial"/>
          <w:sz w:val="24"/>
          <w:szCs w:val="24"/>
        </w:rPr>
        <w:t xml:space="preserve"> seen as mobilised and what data mobilisation is made invisible.</w:t>
      </w:r>
      <w:r w:rsidRPr="00712E7C">
        <w:rPr>
          <w:rFonts w:ascii="Arial" w:hAnsi="Arial" w:cs="Arial"/>
          <w:sz w:val="24"/>
          <w:szCs w:val="24"/>
        </w:rPr>
        <w:t xml:space="preserve"> Data circulation and mobilisation processes, which enable th</w:t>
      </w:r>
      <w:r w:rsidR="00F0085E" w:rsidRPr="00712E7C">
        <w:rPr>
          <w:rFonts w:ascii="Arial" w:hAnsi="Arial" w:cs="Arial"/>
          <w:sz w:val="24"/>
          <w:szCs w:val="24"/>
        </w:rPr>
        <w:t>e redeployment of technology, are</w:t>
      </w:r>
      <w:r w:rsidRPr="00712E7C">
        <w:rPr>
          <w:rFonts w:ascii="Arial" w:hAnsi="Arial" w:cs="Arial"/>
          <w:sz w:val="24"/>
          <w:szCs w:val="24"/>
        </w:rPr>
        <w:t xml:space="preserve"> enwrapped here in a politics of absent-presence, by which </w:t>
      </w:r>
      <w:r w:rsidR="00D84016">
        <w:rPr>
          <w:rFonts w:ascii="Arial" w:hAnsi="Arial" w:cs="Arial"/>
          <w:sz w:val="24"/>
          <w:szCs w:val="24"/>
        </w:rPr>
        <w:t>data without digital form aid strategic decision-</w:t>
      </w:r>
      <w:r w:rsidR="00F0085E" w:rsidRPr="00712E7C">
        <w:rPr>
          <w:rFonts w:ascii="Arial" w:hAnsi="Arial" w:cs="Arial"/>
          <w:sz w:val="24"/>
          <w:szCs w:val="24"/>
        </w:rPr>
        <w:t>making</w:t>
      </w:r>
      <w:r w:rsidR="00D84016">
        <w:rPr>
          <w:rFonts w:ascii="Arial" w:hAnsi="Arial" w:cs="Arial"/>
          <w:sz w:val="24"/>
          <w:szCs w:val="24"/>
        </w:rPr>
        <w:t>,</w:t>
      </w:r>
      <w:r w:rsidR="00F0085E" w:rsidRPr="00712E7C">
        <w:rPr>
          <w:rFonts w:ascii="Arial" w:hAnsi="Arial" w:cs="Arial"/>
          <w:sz w:val="24"/>
          <w:szCs w:val="24"/>
        </w:rPr>
        <w:t xml:space="preserve"> </w:t>
      </w:r>
      <w:r w:rsidR="00027045" w:rsidRPr="00712E7C">
        <w:rPr>
          <w:rFonts w:ascii="Arial" w:hAnsi="Arial" w:cs="Arial"/>
          <w:sz w:val="24"/>
          <w:szCs w:val="24"/>
        </w:rPr>
        <w:t>but out</w:t>
      </w:r>
      <w:r w:rsidR="00D84016">
        <w:rPr>
          <w:rFonts w:ascii="Arial" w:hAnsi="Arial" w:cs="Arial"/>
          <w:sz w:val="24"/>
          <w:szCs w:val="24"/>
        </w:rPr>
        <w:t xml:space="preserve">side of digital visibility and </w:t>
      </w:r>
      <w:r w:rsidR="00027045" w:rsidRPr="00712E7C">
        <w:rPr>
          <w:rFonts w:ascii="Arial" w:hAnsi="Arial" w:cs="Arial"/>
          <w:sz w:val="24"/>
          <w:szCs w:val="24"/>
        </w:rPr>
        <w:t>potentially outside of</w:t>
      </w:r>
      <w:r w:rsidR="00F0085E" w:rsidRPr="00712E7C">
        <w:rPr>
          <w:rFonts w:ascii="Arial" w:hAnsi="Arial" w:cs="Arial"/>
          <w:sz w:val="24"/>
          <w:szCs w:val="24"/>
        </w:rPr>
        <w:t xml:space="preserve"> the</w:t>
      </w:r>
      <w:r w:rsidR="00027045" w:rsidRPr="00712E7C">
        <w:rPr>
          <w:rFonts w:ascii="Arial" w:hAnsi="Arial" w:cs="Arial"/>
          <w:sz w:val="24"/>
          <w:szCs w:val="24"/>
        </w:rPr>
        <w:t xml:space="preserve"> laws of digital accountability</w:t>
      </w:r>
      <w:r w:rsidR="00D84016">
        <w:rPr>
          <w:rFonts w:ascii="Arial" w:hAnsi="Arial" w:cs="Arial"/>
          <w:sz w:val="24"/>
          <w:szCs w:val="24"/>
        </w:rPr>
        <w:t>,</w:t>
      </w:r>
      <w:r w:rsidR="00027045" w:rsidRPr="00712E7C">
        <w:rPr>
          <w:rFonts w:ascii="Arial" w:hAnsi="Arial" w:cs="Arial"/>
          <w:sz w:val="24"/>
          <w:szCs w:val="24"/>
        </w:rPr>
        <w:t xml:space="preserve"> </w:t>
      </w:r>
      <w:r w:rsidR="00E25B64" w:rsidRPr="00712E7C">
        <w:rPr>
          <w:rFonts w:ascii="Arial" w:hAnsi="Arial" w:cs="Arial"/>
          <w:sz w:val="24"/>
          <w:szCs w:val="24"/>
        </w:rPr>
        <w:t>such as</w:t>
      </w:r>
      <w:r w:rsidR="00D84016">
        <w:rPr>
          <w:rFonts w:ascii="Arial" w:hAnsi="Arial" w:cs="Arial"/>
          <w:sz w:val="24"/>
          <w:szCs w:val="24"/>
        </w:rPr>
        <w:t xml:space="preserve"> the 1998</w:t>
      </w:r>
      <w:r w:rsidR="00F52914" w:rsidRPr="00712E7C">
        <w:rPr>
          <w:rFonts w:ascii="Arial" w:hAnsi="Arial" w:cs="Arial"/>
          <w:sz w:val="24"/>
          <w:szCs w:val="24"/>
        </w:rPr>
        <w:t xml:space="preserve"> </w:t>
      </w:r>
      <w:r w:rsidR="00694D90" w:rsidRPr="00712E7C">
        <w:rPr>
          <w:rFonts w:ascii="Arial" w:hAnsi="Arial" w:cs="Arial"/>
          <w:i/>
          <w:sz w:val="24"/>
          <w:szCs w:val="24"/>
        </w:rPr>
        <w:t>Data Protection Act</w:t>
      </w:r>
      <w:r w:rsidR="00D84016">
        <w:rPr>
          <w:rFonts w:ascii="Arial" w:hAnsi="Arial" w:cs="Arial"/>
          <w:sz w:val="24"/>
          <w:szCs w:val="24"/>
        </w:rPr>
        <w:t>.</w:t>
      </w:r>
      <w:r w:rsidR="00F52914" w:rsidRPr="00712E7C">
        <w:rPr>
          <w:rFonts w:ascii="Arial" w:hAnsi="Arial" w:cs="Arial"/>
          <w:i/>
          <w:sz w:val="24"/>
          <w:szCs w:val="24"/>
        </w:rPr>
        <w:t xml:space="preserve"> </w:t>
      </w:r>
    </w:p>
    <w:p w:rsidR="007B1609" w:rsidRPr="00712E7C" w:rsidRDefault="007B1609" w:rsidP="00712E7C">
      <w:pPr>
        <w:spacing w:after="0" w:line="360" w:lineRule="auto"/>
        <w:jc w:val="both"/>
        <w:rPr>
          <w:rFonts w:ascii="Arial" w:hAnsi="Arial" w:cs="Arial"/>
          <w:sz w:val="24"/>
          <w:szCs w:val="24"/>
        </w:rPr>
      </w:pPr>
    </w:p>
    <w:p w:rsidR="00560EFD" w:rsidRDefault="00590B67" w:rsidP="00712E7C">
      <w:pPr>
        <w:spacing w:after="0" w:line="360" w:lineRule="auto"/>
        <w:jc w:val="both"/>
        <w:rPr>
          <w:rFonts w:ascii="Arial" w:hAnsi="Arial" w:cs="Arial"/>
          <w:sz w:val="24"/>
          <w:szCs w:val="24"/>
        </w:rPr>
      </w:pPr>
      <w:r w:rsidRPr="00712E7C">
        <w:rPr>
          <w:rFonts w:ascii="Arial" w:hAnsi="Arial" w:cs="Arial"/>
          <w:sz w:val="24"/>
          <w:szCs w:val="24"/>
        </w:rPr>
        <w:t>In the case of MOSAIC, data acquired through the integration of potential lifestyle distribution with fire location history is understood by analysts as an insufficient base for analysis.</w:t>
      </w:r>
      <w:r w:rsidR="00ED62BD" w:rsidRPr="00712E7C">
        <w:rPr>
          <w:rFonts w:ascii="Arial" w:hAnsi="Arial" w:cs="Arial"/>
          <w:sz w:val="24"/>
          <w:szCs w:val="24"/>
        </w:rPr>
        <w:t xml:space="preserve"> As gathered through interviews with </w:t>
      </w:r>
      <w:r w:rsidR="006F3035">
        <w:rPr>
          <w:rFonts w:ascii="Arial" w:hAnsi="Arial" w:cs="Arial"/>
          <w:sz w:val="24"/>
          <w:szCs w:val="24"/>
        </w:rPr>
        <w:t>them</w:t>
      </w:r>
      <w:r w:rsidR="00ED62BD" w:rsidRPr="00712E7C">
        <w:rPr>
          <w:rFonts w:ascii="Arial" w:hAnsi="Arial" w:cs="Arial"/>
          <w:sz w:val="24"/>
          <w:szCs w:val="24"/>
        </w:rPr>
        <w:t>, t</w:t>
      </w:r>
      <w:r w:rsidRPr="00712E7C">
        <w:rPr>
          <w:rFonts w:ascii="Arial" w:hAnsi="Arial" w:cs="Arial"/>
          <w:sz w:val="24"/>
          <w:szCs w:val="24"/>
        </w:rPr>
        <w:t xml:space="preserve">he foundation for analysis offered </w:t>
      </w:r>
      <w:r w:rsidR="00CB346D" w:rsidRPr="00712E7C">
        <w:rPr>
          <w:rFonts w:ascii="Arial" w:hAnsi="Arial" w:cs="Arial"/>
          <w:sz w:val="24"/>
          <w:szCs w:val="24"/>
        </w:rPr>
        <w:t xml:space="preserve">by this data integration </w:t>
      </w:r>
      <w:r w:rsidR="006F3035">
        <w:rPr>
          <w:rFonts w:ascii="Arial" w:hAnsi="Arial" w:cs="Arial"/>
          <w:sz w:val="24"/>
          <w:szCs w:val="24"/>
        </w:rPr>
        <w:t>is</w:t>
      </w:r>
      <w:r w:rsidR="00ED62BD" w:rsidRPr="00712E7C">
        <w:rPr>
          <w:rFonts w:ascii="Arial" w:hAnsi="Arial" w:cs="Arial"/>
          <w:sz w:val="24"/>
          <w:szCs w:val="24"/>
        </w:rPr>
        <w:t xml:space="preserve"> perce</w:t>
      </w:r>
      <w:r w:rsidR="006F3035">
        <w:rPr>
          <w:rFonts w:ascii="Arial" w:hAnsi="Arial" w:cs="Arial"/>
          <w:sz w:val="24"/>
          <w:szCs w:val="24"/>
        </w:rPr>
        <w:t>ived as “</w:t>
      </w:r>
      <w:r w:rsidR="00ED62BD" w:rsidRPr="00712E7C">
        <w:rPr>
          <w:rFonts w:ascii="Arial" w:hAnsi="Arial" w:cs="Arial"/>
          <w:sz w:val="24"/>
          <w:szCs w:val="24"/>
        </w:rPr>
        <w:t>too wide in scope and not targeted enough</w:t>
      </w:r>
      <w:r w:rsidR="006F3035">
        <w:rPr>
          <w:rFonts w:ascii="Arial" w:hAnsi="Arial" w:cs="Arial"/>
          <w:sz w:val="24"/>
          <w:szCs w:val="24"/>
        </w:rPr>
        <w:t>”</w:t>
      </w:r>
      <w:r w:rsidR="00ED62BD" w:rsidRPr="00712E7C">
        <w:rPr>
          <w:rStyle w:val="EndnoteReference"/>
          <w:rFonts w:ascii="Arial" w:hAnsi="Arial" w:cs="Arial"/>
          <w:sz w:val="24"/>
          <w:szCs w:val="24"/>
        </w:rPr>
        <w:endnoteReference w:id="2"/>
      </w:r>
      <w:r w:rsidR="00ED62BD" w:rsidRPr="00712E7C">
        <w:rPr>
          <w:rFonts w:ascii="Arial" w:hAnsi="Arial" w:cs="Arial"/>
          <w:sz w:val="24"/>
          <w:szCs w:val="24"/>
        </w:rPr>
        <w:t xml:space="preserve"> to generate risk profile</w:t>
      </w:r>
      <w:r w:rsidR="00CB346D" w:rsidRPr="00712E7C">
        <w:rPr>
          <w:rFonts w:ascii="Arial" w:hAnsi="Arial" w:cs="Arial"/>
          <w:sz w:val="24"/>
          <w:szCs w:val="24"/>
        </w:rPr>
        <w:t>s</w:t>
      </w:r>
      <w:r w:rsidR="00ED62BD" w:rsidRPr="00712E7C">
        <w:rPr>
          <w:rFonts w:ascii="Arial" w:hAnsi="Arial" w:cs="Arial"/>
          <w:sz w:val="24"/>
          <w:szCs w:val="24"/>
        </w:rPr>
        <w:t>. As the analyst went on to state, lack of depth makes possible the problem of renderi</w:t>
      </w:r>
      <w:r w:rsidR="006106F9" w:rsidRPr="00712E7C">
        <w:rPr>
          <w:rFonts w:ascii="Arial" w:hAnsi="Arial" w:cs="Arial"/>
          <w:sz w:val="24"/>
          <w:szCs w:val="24"/>
        </w:rPr>
        <w:t>ng invisible those most vulnerable to fire</w:t>
      </w:r>
      <w:r w:rsidR="00ED62BD" w:rsidRPr="00712E7C">
        <w:rPr>
          <w:rFonts w:ascii="Arial" w:hAnsi="Arial" w:cs="Arial"/>
          <w:sz w:val="24"/>
          <w:szCs w:val="24"/>
        </w:rPr>
        <w:t>. An example of this was offered hypothetically by one analyst when during an in</w:t>
      </w:r>
      <w:r w:rsidR="00560EFD">
        <w:rPr>
          <w:rFonts w:ascii="Arial" w:hAnsi="Arial" w:cs="Arial"/>
          <w:sz w:val="24"/>
          <w:szCs w:val="24"/>
        </w:rPr>
        <w:t xml:space="preserve">terview I was asked to imagine </w:t>
      </w:r>
    </w:p>
    <w:p w:rsidR="00560EFD" w:rsidRDefault="00560EFD" w:rsidP="00712E7C">
      <w:pPr>
        <w:spacing w:after="0" w:line="360" w:lineRule="auto"/>
        <w:jc w:val="both"/>
        <w:rPr>
          <w:rFonts w:ascii="Arial" w:hAnsi="Arial" w:cs="Arial"/>
          <w:sz w:val="24"/>
          <w:szCs w:val="24"/>
        </w:rPr>
      </w:pPr>
    </w:p>
    <w:p w:rsidR="00560EFD" w:rsidRDefault="00ED62BD" w:rsidP="00560EFD">
      <w:pPr>
        <w:spacing w:after="0" w:line="240" w:lineRule="auto"/>
        <w:ind w:left="720" w:right="284"/>
        <w:jc w:val="both"/>
        <w:rPr>
          <w:rFonts w:ascii="Arial" w:hAnsi="Arial" w:cs="Arial"/>
          <w:sz w:val="24"/>
          <w:szCs w:val="24"/>
        </w:rPr>
      </w:pPr>
      <w:r w:rsidRPr="00712E7C">
        <w:rPr>
          <w:rFonts w:ascii="Arial" w:hAnsi="Arial" w:cs="Arial"/>
          <w:sz w:val="24"/>
          <w:szCs w:val="24"/>
        </w:rPr>
        <w:t>a little old lady... living on a street on her own. It’s a fairly affluent street</w:t>
      </w:r>
      <w:r w:rsidR="00560EFD">
        <w:rPr>
          <w:rFonts w:ascii="Arial" w:hAnsi="Arial" w:cs="Arial"/>
          <w:sz w:val="24"/>
          <w:szCs w:val="24"/>
        </w:rPr>
        <w:t>, the houses are relatively new …</w:t>
      </w:r>
      <w:r w:rsidRPr="00712E7C">
        <w:rPr>
          <w:rFonts w:ascii="Arial" w:hAnsi="Arial" w:cs="Arial"/>
          <w:sz w:val="24"/>
          <w:szCs w:val="24"/>
        </w:rPr>
        <w:t xml:space="preserve"> that person would be tagged with the </w:t>
      </w:r>
      <w:r w:rsidRPr="00712E7C">
        <w:rPr>
          <w:rFonts w:ascii="Arial" w:hAnsi="Arial" w:cs="Arial"/>
          <w:sz w:val="24"/>
          <w:szCs w:val="24"/>
        </w:rPr>
        <w:lastRenderedPageBreak/>
        <w:t>profile of that entire street. But the little old lady sleeps in the dining</w:t>
      </w:r>
      <w:r w:rsidR="00560EFD">
        <w:rPr>
          <w:rFonts w:ascii="Arial" w:hAnsi="Arial" w:cs="Arial"/>
          <w:sz w:val="24"/>
          <w:szCs w:val="24"/>
        </w:rPr>
        <w:t xml:space="preserve"> room because she cannot get upstairs</w:t>
      </w:r>
      <w:r w:rsidRPr="00712E7C">
        <w:rPr>
          <w:rFonts w:ascii="Arial" w:hAnsi="Arial" w:cs="Arial"/>
          <w:sz w:val="24"/>
          <w:szCs w:val="24"/>
        </w:rPr>
        <w:t>.</w:t>
      </w:r>
    </w:p>
    <w:p w:rsidR="00560EFD" w:rsidRDefault="00560EFD" w:rsidP="00712E7C">
      <w:pPr>
        <w:spacing w:after="0" w:line="360" w:lineRule="auto"/>
        <w:jc w:val="both"/>
        <w:rPr>
          <w:rFonts w:ascii="Arial" w:hAnsi="Arial" w:cs="Arial"/>
          <w:sz w:val="24"/>
          <w:szCs w:val="24"/>
        </w:rPr>
      </w:pPr>
    </w:p>
    <w:p w:rsidR="00ED62BD" w:rsidRDefault="00ED62BD" w:rsidP="00712E7C">
      <w:pPr>
        <w:spacing w:after="0" w:line="360" w:lineRule="auto"/>
        <w:jc w:val="both"/>
        <w:rPr>
          <w:rFonts w:ascii="Arial" w:hAnsi="Arial" w:cs="Arial"/>
          <w:sz w:val="24"/>
          <w:szCs w:val="24"/>
        </w:rPr>
      </w:pPr>
      <w:r w:rsidRPr="00712E7C">
        <w:rPr>
          <w:rFonts w:ascii="Arial" w:hAnsi="Arial" w:cs="Arial"/>
          <w:sz w:val="24"/>
          <w:szCs w:val="24"/>
        </w:rPr>
        <w:t>Through this analogy, the anal</w:t>
      </w:r>
      <w:r w:rsidR="00560EFD">
        <w:rPr>
          <w:rFonts w:ascii="Arial" w:hAnsi="Arial" w:cs="Arial"/>
          <w:sz w:val="24"/>
          <w:szCs w:val="24"/>
        </w:rPr>
        <w:t>yst argued that data that know</w:t>
      </w:r>
      <w:r w:rsidRPr="00712E7C">
        <w:rPr>
          <w:rFonts w:ascii="Arial" w:hAnsi="Arial" w:cs="Arial"/>
          <w:sz w:val="24"/>
          <w:szCs w:val="24"/>
        </w:rPr>
        <w:t xml:space="preserve"> populations at the level of broad categories cannot focus on particular activities that might amplify one’s vulnerability to fire. </w:t>
      </w:r>
    </w:p>
    <w:p w:rsidR="00560EFD" w:rsidRPr="00712E7C" w:rsidRDefault="00560EFD" w:rsidP="00712E7C">
      <w:pPr>
        <w:spacing w:after="0" w:line="360" w:lineRule="auto"/>
        <w:jc w:val="both"/>
        <w:rPr>
          <w:rFonts w:ascii="Arial" w:hAnsi="Arial" w:cs="Arial"/>
          <w:sz w:val="24"/>
          <w:szCs w:val="24"/>
        </w:rPr>
      </w:pPr>
    </w:p>
    <w:p w:rsidR="00ED62BD" w:rsidRDefault="00CA73D6" w:rsidP="00712E7C">
      <w:pPr>
        <w:spacing w:after="0" w:line="360" w:lineRule="auto"/>
        <w:jc w:val="both"/>
        <w:rPr>
          <w:rFonts w:ascii="Arial" w:hAnsi="Arial" w:cs="Arial"/>
          <w:sz w:val="24"/>
          <w:szCs w:val="24"/>
        </w:rPr>
      </w:pPr>
      <w:r w:rsidRPr="00712E7C">
        <w:rPr>
          <w:rFonts w:ascii="Arial" w:hAnsi="Arial" w:cs="Arial"/>
          <w:sz w:val="24"/>
          <w:szCs w:val="24"/>
        </w:rPr>
        <w:t xml:space="preserve">The problem cited by analysts works to justify the insertion of other data into risk profiling analysis. Specifically, data on fire location history and potential lifestyle distribution will be integrated with data concerning past instances in which individuals have died from fire. </w:t>
      </w:r>
      <w:r w:rsidR="00F94F45" w:rsidRPr="00712E7C">
        <w:rPr>
          <w:rFonts w:ascii="Arial" w:hAnsi="Arial" w:cs="Arial"/>
          <w:sz w:val="24"/>
          <w:szCs w:val="24"/>
        </w:rPr>
        <w:t>Produced</w:t>
      </w:r>
      <w:r w:rsidRPr="00712E7C">
        <w:rPr>
          <w:rFonts w:ascii="Arial" w:hAnsi="Arial" w:cs="Arial"/>
          <w:sz w:val="24"/>
          <w:szCs w:val="24"/>
        </w:rPr>
        <w:t xml:space="preserve"> from fire </w:t>
      </w:r>
      <w:r w:rsidR="00433633">
        <w:rPr>
          <w:rFonts w:ascii="Arial" w:hAnsi="Arial" w:cs="Arial"/>
          <w:sz w:val="24"/>
          <w:szCs w:val="24"/>
        </w:rPr>
        <w:t>investigations, this data offer</w:t>
      </w:r>
      <w:r w:rsidRPr="00712E7C">
        <w:rPr>
          <w:rFonts w:ascii="Arial" w:hAnsi="Arial" w:cs="Arial"/>
          <w:sz w:val="24"/>
          <w:szCs w:val="24"/>
        </w:rPr>
        <w:t xml:space="preserve"> an account of the lifestyles of victims of fire. Qualitative in its expression, data deriv</w:t>
      </w:r>
      <w:r w:rsidR="00433633">
        <w:rPr>
          <w:rFonts w:ascii="Arial" w:hAnsi="Arial" w:cs="Arial"/>
          <w:sz w:val="24"/>
          <w:szCs w:val="24"/>
        </w:rPr>
        <w:t>ing from fire investigations do</w:t>
      </w:r>
      <w:r w:rsidRPr="00712E7C">
        <w:rPr>
          <w:rFonts w:ascii="Arial" w:hAnsi="Arial" w:cs="Arial"/>
          <w:sz w:val="24"/>
          <w:szCs w:val="24"/>
        </w:rPr>
        <w:t xml:space="preserve"> not take the same form as othe</w:t>
      </w:r>
      <w:r w:rsidR="00433633">
        <w:rPr>
          <w:rFonts w:ascii="Arial" w:hAnsi="Arial" w:cs="Arial"/>
          <w:sz w:val="24"/>
          <w:szCs w:val="24"/>
        </w:rPr>
        <w:t>r data used and thus complicate</w:t>
      </w:r>
      <w:r w:rsidRPr="00712E7C">
        <w:rPr>
          <w:rFonts w:ascii="Arial" w:hAnsi="Arial" w:cs="Arial"/>
          <w:sz w:val="24"/>
          <w:szCs w:val="24"/>
        </w:rPr>
        <w:t xml:space="preserve"> processes of data accumulation</w:t>
      </w:r>
      <w:r w:rsidR="00433633">
        <w:rPr>
          <w:rFonts w:ascii="Arial" w:hAnsi="Arial" w:cs="Arial"/>
          <w:sz w:val="24"/>
          <w:szCs w:val="24"/>
        </w:rPr>
        <w:t>,</w:t>
      </w:r>
      <w:r w:rsidRPr="00712E7C">
        <w:rPr>
          <w:rFonts w:ascii="Arial" w:hAnsi="Arial" w:cs="Arial"/>
          <w:sz w:val="24"/>
          <w:szCs w:val="24"/>
        </w:rPr>
        <w:t xml:space="preserve"> which underpin the redeployment of MOSAIC in the FRS.</w:t>
      </w:r>
    </w:p>
    <w:p w:rsidR="00433633" w:rsidRPr="00712E7C" w:rsidRDefault="00433633" w:rsidP="00712E7C">
      <w:pPr>
        <w:spacing w:after="0" w:line="360" w:lineRule="auto"/>
        <w:jc w:val="both"/>
        <w:rPr>
          <w:rFonts w:ascii="Arial" w:hAnsi="Arial" w:cs="Arial"/>
          <w:sz w:val="24"/>
          <w:szCs w:val="24"/>
        </w:rPr>
      </w:pPr>
    </w:p>
    <w:p w:rsidR="00B67720" w:rsidRDefault="00B67720" w:rsidP="00712E7C">
      <w:pPr>
        <w:spacing w:after="0" w:line="360" w:lineRule="auto"/>
        <w:jc w:val="both"/>
        <w:rPr>
          <w:rFonts w:ascii="Arial" w:hAnsi="Arial" w:cs="Arial"/>
          <w:sz w:val="24"/>
          <w:szCs w:val="24"/>
        </w:rPr>
      </w:pPr>
      <w:r w:rsidRPr="00712E7C">
        <w:rPr>
          <w:rFonts w:ascii="Arial" w:hAnsi="Arial" w:cs="Arial"/>
          <w:sz w:val="24"/>
          <w:szCs w:val="24"/>
        </w:rPr>
        <w:t xml:space="preserve">Another path of data circulation in the redeployment of MOSAIC </w:t>
      </w:r>
      <w:r w:rsidR="00F52914" w:rsidRPr="00712E7C">
        <w:rPr>
          <w:rFonts w:ascii="Arial" w:hAnsi="Arial" w:cs="Arial"/>
          <w:sz w:val="24"/>
          <w:szCs w:val="24"/>
        </w:rPr>
        <w:t>thus reveals itself</w:t>
      </w:r>
      <w:r w:rsidRPr="00712E7C">
        <w:rPr>
          <w:rFonts w:ascii="Arial" w:hAnsi="Arial" w:cs="Arial"/>
          <w:sz w:val="24"/>
          <w:szCs w:val="24"/>
        </w:rPr>
        <w:t xml:space="preserve"> </w:t>
      </w:r>
      <w:r w:rsidR="00A12BA1" w:rsidRPr="00712E7C">
        <w:rPr>
          <w:rFonts w:ascii="Arial" w:hAnsi="Arial" w:cs="Arial"/>
          <w:sz w:val="24"/>
          <w:szCs w:val="24"/>
        </w:rPr>
        <w:t>when considering the use of fire investigation data. Heretofore, algorith</w:t>
      </w:r>
      <w:r w:rsidR="00433633">
        <w:rPr>
          <w:rFonts w:ascii="Arial" w:hAnsi="Arial" w:cs="Arial"/>
          <w:sz w:val="24"/>
          <w:szCs w:val="24"/>
        </w:rPr>
        <w:t>mically computable data enmesh</w:t>
      </w:r>
      <w:r w:rsidR="00A12BA1" w:rsidRPr="00712E7C">
        <w:rPr>
          <w:rFonts w:ascii="Arial" w:hAnsi="Arial" w:cs="Arial"/>
          <w:sz w:val="24"/>
          <w:szCs w:val="24"/>
        </w:rPr>
        <w:t xml:space="preserve"> through establishing import functions between databases. Deriving from another database, fire fatality data will not be integrated digitally with other data</w:t>
      </w:r>
      <w:r w:rsidR="00433633">
        <w:rPr>
          <w:rFonts w:ascii="Arial" w:hAnsi="Arial" w:cs="Arial"/>
          <w:sz w:val="24"/>
          <w:szCs w:val="24"/>
        </w:rPr>
        <w:t>,</w:t>
      </w:r>
      <w:r w:rsidR="00A12BA1" w:rsidRPr="00712E7C">
        <w:rPr>
          <w:rFonts w:ascii="Arial" w:hAnsi="Arial" w:cs="Arial"/>
          <w:sz w:val="24"/>
          <w:szCs w:val="24"/>
        </w:rPr>
        <w:t xml:space="preserve"> but will instead be deployed by analysts to enhance the depth of analysis. Paper charts, for instance, which detail how many of those who have died from fires in the past were smokers</w:t>
      </w:r>
      <w:r w:rsidR="00433633">
        <w:rPr>
          <w:rFonts w:ascii="Arial" w:hAnsi="Arial" w:cs="Arial"/>
          <w:sz w:val="24"/>
          <w:szCs w:val="24"/>
        </w:rPr>
        <w:t>, offer</w:t>
      </w:r>
      <w:r w:rsidR="00A12BA1" w:rsidRPr="00712E7C">
        <w:rPr>
          <w:rFonts w:ascii="Arial" w:hAnsi="Arial" w:cs="Arial"/>
          <w:sz w:val="24"/>
          <w:szCs w:val="24"/>
        </w:rPr>
        <w:t xml:space="preserve"> an insight not only into where specific lifestyles </w:t>
      </w:r>
      <w:r w:rsidR="00F42CE1" w:rsidRPr="00712E7C">
        <w:rPr>
          <w:rFonts w:ascii="Arial" w:hAnsi="Arial" w:cs="Arial"/>
          <w:sz w:val="24"/>
          <w:szCs w:val="24"/>
        </w:rPr>
        <w:t>exist</w:t>
      </w:r>
      <w:r w:rsidR="00433633">
        <w:rPr>
          <w:rFonts w:ascii="Arial" w:hAnsi="Arial" w:cs="Arial"/>
          <w:sz w:val="24"/>
          <w:szCs w:val="24"/>
        </w:rPr>
        <w:t>,</w:t>
      </w:r>
      <w:r w:rsidR="00F42CE1" w:rsidRPr="00712E7C">
        <w:rPr>
          <w:rFonts w:ascii="Arial" w:hAnsi="Arial" w:cs="Arial"/>
          <w:sz w:val="24"/>
          <w:szCs w:val="24"/>
        </w:rPr>
        <w:t xml:space="preserve"> but what makes these lifestyle dangerous. </w:t>
      </w:r>
      <w:r w:rsidR="001C650B" w:rsidRPr="00712E7C">
        <w:rPr>
          <w:rFonts w:ascii="Arial" w:hAnsi="Arial" w:cs="Arial"/>
          <w:sz w:val="24"/>
          <w:szCs w:val="24"/>
        </w:rPr>
        <w:t xml:space="preserve">Alongside </w:t>
      </w:r>
      <w:r w:rsidR="00433633">
        <w:rPr>
          <w:rFonts w:ascii="Arial" w:hAnsi="Arial" w:cs="Arial"/>
          <w:sz w:val="24"/>
          <w:szCs w:val="24"/>
        </w:rPr>
        <w:t>their</w:t>
      </w:r>
      <w:r w:rsidR="0079578D" w:rsidRPr="00712E7C">
        <w:rPr>
          <w:rFonts w:ascii="Arial" w:hAnsi="Arial" w:cs="Arial"/>
          <w:sz w:val="24"/>
          <w:szCs w:val="24"/>
        </w:rPr>
        <w:t xml:space="preserve"> manifestation in digital form</w:t>
      </w:r>
      <w:r w:rsidR="001C650B" w:rsidRPr="00712E7C">
        <w:rPr>
          <w:rFonts w:ascii="Arial" w:hAnsi="Arial" w:cs="Arial"/>
          <w:sz w:val="24"/>
          <w:szCs w:val="24"/>
        </w:rPr>
        <w:t>, data of other forms en</w:t>
      </w:r>
      <w:r w:rsidR="00F52914" w:rsidRPr="00712E7C">
        <w:rPr>
          <w:rFonts w:ascii="Arial" w:hAnsi="Arial" w:cs="Arial"/>
          <w:sz w:val="24"/>
          <w:szCs w:val="24"/>
        </w:rPr>
        <w:t xml:space="preserve">able the localisation of MOSAIC and its application </w:t>
      </w:r>
      <w:r w:rsidR="0034462D" w:rsidRPr="00712E7C">
        <w:rPr>
          <w:rFonts w:ascii="Arial" w:hAnsi="Arial" w:cs="Arial"/>
          <w:sz w:val="24"/>
          <w:szCs w:val="24"/>
        </w:rPr>
        <w:t>for the specific purpose of profiling those most vulnerable to fire risk.</w:t>
      </w:r>
    </w:p>
    <w:p w:rsidR="00433633" w:rsidRPr="00712E7C" w:rsidRDefault="00433633" w:rsidP="00712E7C">
      <w:pPr>
        <w:spacing w:after="0" w:line="360" w:lineRule="auto"/>
        <w:jc w:val="both"/>
        <w:rPr>
          <w:rFonts w:ascii="Arial" w:hAnsi="Arial" w:cs="Arial"/>
          <w:sz w:val="24"/>
          <w:szCs w:val="24"/>
        </w:rPr>
      </w:pPr>
    </w:p>
    <w:p w:rsidR="00F42CE1" w:rsidRDefault="00F42CE1" w:rsidP="00712E7C">
      <w:pPr>
        <w:spacing w:after="0" w:line="360" w:lineRule="auto"/>
        <w:jc w:val="both"/>
        <w:rPr>
          <w:rFonts w:ascii="Arial" w:hAnsi="Arial" w:cs="Arial"/>
          <w:sz w:val="24"/>
          <w:szCs w:val="24"/>
        </w:rPr>
      </w:pPr>
      <w:r w:rsidRPr="00712E7C">
        <w:rPr>
          <w:rFonts w:ascii="Arial" w:hAnsi="Arial" w:cs="Arial"/>
          <w:sz w:val="24"/>
          <w:szCs w:val="24"/>
        </w:rPr>
        <w:t>Fire fatality data, alth</w:t>
      </w:r>
      <w:r w:rsidR="00B36B54" w:rsidRPr="00712E7C">
        <w:rPr>
          <w:rFonts w:ascii="Arial" w:hAnsi="Arial" w:cs="Arial"/>
          <w:sz w:val="24"/>
          <w:szCs w:val="24"/>
        </w:rPr>
        <w:t>ough taking a different form, are</w:t>
      </w:r>
      <w:r w:rsidRPr="00712E7C">
        <w:rPr>
          <w:rFonts w:ascii="Arial" w:hAnsi="Arial" w:cs="Arial"/>
          <w:sz w:val="24"/>
          <w:szCs w:val="24"/>
        </w:rPr>
        <w:t xml:space="preserve"> mobilised into and integrated with broader data circulation regimes </w:t>
      </w:r>
      <w:r w:rsidR="007E540D">
        <w:rPr>
          <w:rFonts w:ascii="Arial" w:hAnsi="Arial" w:cs="Arial"/>
          <w:sz w:val="24"/>
          <w:szCs w:val="24"/>
        </w:rPr>
        <w:t>that</w:t>
      </w:r>
      <w:r w:rsidRPr="00712E7C">
        <w:rPr>
          <w:rFonts w:ascii="Arial" w:hAnsi="Arial" w:cs="Arial"/>
          <w:sz w:val="24"/>
          <w:szCs w:val="24"/>
        </w:rPr>
        <w:t xml:space="preserve"> enable the redeployment of MOSAIC in the FRS. This is possible because the FRS digital infrastructure, as noted above, cannot be understood as merely composed of hardware, software and other technological components. Rather, human agents contribute to affect processes </w:t>
      </w:r>
      <w:r w:rsidRPr="00712E7C">
        <w:rPr>
          <w:rFonts w:ascii="Arial" w:hAnsi="Arial" w:cs="Arial"/>
          <w:sz w:val="24"/>
          <w:szCs w:val="24"/>
        </w:rPr>
        <w:lastRenderedPageBreak/>
        <w:t>by which risk analysi</w:t>
      </w:r>
      <w:r w:rsidR="007E540D">
        <w:rPr>
          <w:rFonts w:ascii="Arial" w:hAnsi="Arial" w:cs="Arial"/>
          <w:sz w:val="24"/>
          <w:szCs w:val="24"/>
        </w:rPr>
        <w:t xml:space="preserve">s is made possible in the FRS. </w:t>
      </w:r>
      <w:r w:rsidRPr="00712E7C">
        <w:rPr>
          <w:rFonts w:ascii="Arial" w:hAnsi="Arial" w:cs="Arial"/>
          <w:sz w:val="24"/>
          <w:szCs w:val="24"/>
        </w:rPr>
        <w:t xml:space="preserve">As evident in this case, the mobilisation of fire fatality data is dependent on analysts’ intervention. </w:t>
      </w:r>
    </w:p>
    <w:p w:rsidR="007E540D" w:rsidRPr="00712E7C" w:rsidRDefault="007E540D" w:rsidP="00712E7C">
      <w:pPr>
        <w:spacing w:after="0" w:line="360" w:lineRule="auto"/>
        <w:jc w:val="both"/>
        <w:rPr>
          <w:rFonts w:ascii="Arial" w:hAnsi="Arial" w:cs="Arial"/>
          <w:sz w:val="24"/>
          <w:szCs w:val="24"/>
        </w:rPr>
      </w:pPr>
    </w:p>
    <w:p w:rsidR="00F42CE1" w:rsidRDefault="00F42CE1" w:rsidP="00712E7C">
      <w:pPr>
        <w:spacing w:after="0" w:line="360" w:lineRule="auto"/>
        <w:jc w:val="both"/>
        <w:rPr>
          <w:rFonts w:ascii="Arial" w:hAnsi="Arial" w:cs="Arial"/>
          <w:sz w:val="24"/>
          <w:szCs w:val="24"/>
        </w:rPr>
      </w:pPr>
      <w:r w:rsidRPr="00712E7C">
        <w:rPr>
          <w:rFonts w:ascii="Arial" w:hAnsi="Arial" w:cs="Arial"/>
          <w:sz w:val="24"/>
          <w:szCs w:val="24"/>
        </w:rPr>
        <w:t>What</w:t>
      </w:r>
      <w:r w:rsidR="00E465E3" w:rsidRPr="00712E7C">
        <w:rPr>
          <w:rFonts w:ascii="Arial" w:hAnsi="Arial" w:cs="Arial"/>
          <w:sz w:val="24"/>
          <w:szCs w:val="24"/>
        </w:rPr>
        <w:t xml:space="preserve"> becomes mobilise</w:t>
      </w:r>
      <w:r w:rsidR="00FC4D87" w:rsidRPr="00712E7C">
        <w:rPr>
          <w:rFonts w:ascii="Arial" w:hAnsi="Arial" w:cs="Arial"/>
          <w:sz w:val="24"/>
          <w:szCs w:val="24"/>
        </w:rPr>
        <w:t>d</w:t>
      </w:r>
      <w:r w:rsidRPr="00712E7C">
        <w:rPr>
          <w:rFonts w:ascii="Arial" w:hAnsi="Arial" w:cs="Arial"/>
          <w:sz w:val="24"/>
          <w:szCs w:val="24"/>
        </w:rPr>
        <w:t xml:space="preserve"> within data circulation </w:t>
      </w:r>
      <w:r w:rsidR="00E465E3" w:rsidRPr="00712E7C">
        <w:rPr>
          <w:rFonts w:ascii="Arial" w:hAnsi="Arial" w:cs="Arial"/>
          <w:sz w:val="24"/>
          <w:szCs w:val="24"/>
        </w:rPr>
        <w:t>and</w:t>
      </w:r>
      <w:r w:rsidRPr="00712E7C">
        <w:rPr>
          <w:rFonts w:ascii="Arial" w:hAnsi="Arial" w:cs="Arial"/>
          <w:sz w:val="24"/>
          <w:szCs w:val="24"/>
        </w:rPr>
        <w:t xml:space="preserve"> enable</w:t>
      </w:r>
      <w:r w:rsidR="00E465E3" w:rsidRPr="00712E7C">
        <w:rPr>
          <w:rFonts w:ascii="Arial" w:hAnsi="Arial" w:cs="Arial"/>
          <w:sz w:val="24"/>
          <w:szCs w:val="24"/>
        </w:rPr>
        <w:t>s</w:t>
      </w:r>
      <w:r w:rsidRPr="00712E7C">
        <w:rPr>
          <w:rFonts w:ascii="Arial" w:hAnsi="Arial" w:cs="Arial"/>
          <w:sz w:val="24"/>
          <w:szCs w:val="24"/>
        </w:rPr>
        <w:t xml:space="preserve"> the redeployment of technologies results from </w:t>
      </w:r>
      <w:r w:rsidR="00212063" w:rsidRPr="00712E7C">
        <w:rPr>
          <w:rFonts w:ascii="Arial" w:hAnsi="Arial" w:cs="Arial"/>
          <w:sz w:val="24"/>
          <w:szCs w:val="24"/>
        </w:rPr>
        <w:t>the</w:t>
      </w:r>
      <w:r w:rsidRPr="00712E7C">
        <w:rPr>
          <w:rFonts w:ascii="Arial" w:hAnsi="Arial" w:cs="Arial"/>
          <w:sz w:val="24"/>
          <w:szCs w:val="24"/>
        </w:rPr>
        <w:t xml:space="preserve"> interplay between </w:t>
      </w:r>
      <w:r w:rsidR="00212063" w:rsidRPr="00712E7C">
        <w:rPr>
          <w:rFonts w:ascii="Arial" w:hAnsi="Arial" w:cs="Arial"/>
          <w:sz w:val="24"/>
          <w:szCs w:val="24"/>
        </w:rPr>
        <w:t>materially heterogeneous</w:t>
      </w:r>
      <w:r w:rsidRPr="00712E7C">
        <w:rPr>
          <w:rFonts w:ascii="Arial" w:hAnsi="Arial" w:cs="Arial"/>
          <w:sz w:val="24"/>
          <w:szCs w:val="24"/>
        </w:rPr>
        <w:t xml:space="preserve"> agents within the FRS digital infrastructure. </w:t>
      </w:r>
      <w:r w:rsidR="00B03683" w:rsidRPr="00712E7C">
        <w:rPr>
          <w:rFonts w:ascii="Arial" w:hAnsi="Arial" w:cs="Arial"/>
          <w:sz w:val="24"/>
          <w:szCs w:val="24"/>
        </w:rPr>
        <w:t>As indicated earlier, however,</w:t>
      </w:r>
      <w:r w:rsidR="006552D4">
        <w:rPr>
          <w:rFonts w:ascii="Arial" w:hAnsi="Arial" w:cs="Arial"/>
          <w:sz w:val="24"/>
          <w:szCs w:val="24"/>
        </w:rPr>
        <w:t xml:space="preserve"> </w:t>
      </w:r>
      <w:r w:rsidR="00B03683" w:rsidRPr="00712E7C">
        <w:rPr>
          <w:rFonts w:ascii="Arial" w:hAnsi="Arial" w:cs="Arial"/>
          <w:sz w:val="24"/>
          <w:szCs w:val="24"/>
        </w:rPr>
        <w:t>t</w:t>
      </w:r>
      <w:r w:rsidR="00E465E3" w:rsidRPr="00712E7C">
        <w:rPr>
          <w:rFonts w:ascii="Arial" w:hAnsi="Arial" w:cs="Arial"/>
          <w:sz w:val="24"/>
          <w:szCs w:val="24"/>
        </w:rPr>
        <w:t>he mat</w:t>
      </w:r>
      <w:r w:rsidR="006552D4">
        <w:rPr>
          <w:rFonts w:ascii="Arial" w:hAnsi="Arial" w:cs="Arial"/>
          <w:sz w:val="24"/>
          <w:szCs w:val="24"/>
        </w:rPr>
        <w:t xml:space="preserve">ter of the form that data take </w:t>
      </w:r>
      <w:r w:rsidR="00E465E3" w:rsidRPr="00712E7C">
        <w:rPr>
          <w:rFonts w:ascii="Arial" w:hAnsi="Arial" w:cs="Arial"/>
          <w:sz w:val="24"/>
          <w:szCs w:val="24"/>
        </w:rPr>
        <w:t>does not only allow for inquiry into what is mobilised</w:t>
      </w:r>
      <w:r w:rsidR="00B03683" w:rsidRPr="00712E7C">
        <w:rPr>
          <w:rFonts w:ascii="Arial" w:hAnsi="Arial" w:cs="Arial"/>
          <w:sz w:val="24"/>
          <w:szCs w:val="24"/>
        </w:rPr>
        <w:t xml:space="preserve"> within broader schemas of circulation</w:t>
      </w:r>
      <w:r w:rsidR="00E465E3" w:rsidRPr="00712E7C">
        <w:rPr>
          <w:rFonts w:ascii="Arial" w:hAnsi="Arial" w:cs="Arial"/>
          <w:sz w:val="24"/>
          <w:szCs w:val="24"/>
        </w:rPr>
        <w:t xml:space="preserve">. </w:t>
      </w:r>
      <w:r w:rsidR="00212063" w:rsidRPr="00712E7C">
        <w:rPr>
          <w:rFonts w:ascii="Arial" w:hAnsi="Arial" w:cs="Arial"/>
          <w:sz w:val="24"/>
          <w:szCs w:val="24"/>
        </w:rPr>
        <w:t xml:space="preserve">Instead, the mobilisation of data of different forms suggests that </w:t>
      </w:r>
      <w:r w:rsidR="00E465E3" w:rsidRPr="00712E7C">
        <w:rPr>
          <w:rFonts w:ascii="Arial" w:hAnsi="Arial" w:cs="Arial"/>
          <w:sz w:val="24"/>
          <w:szCs w:val="24"/>
        </w:rPr>
        <w:t xml:space="preserve">technological redeployment </w:t>
      </w:r>
      <w:r w:rsidR="00212063" w:rsidRPr="00712E7C">
        <w:rPr>
          <w:rFonts w:ascii="Arial" w:hAnsi="Arial" w:cs="Arial"/>
          <w:sz w:val="24"/>
          <w:szCs w:val="24"/>
        </w:rPr>
        <w:t>is also complicated by the question of what</w:t>
      </w:r>
      <w:r w:rsidR="00F94F45" w:rsidRPr="00712E7C">
        <w:rPr>
          <w:rFonts w:ascii="Arial" w:hAnsi="Arial" w:cs="Arial"/>
          <w:sz w:val="24"/>
          <w:szCs w:val="24"/>
        </w:rPr>
        <w:t xml:space="preserve"> data</w:t>
      </w:r>
      <w:r w:rsidR="00212063" w:rsidRPr="00712E7C">
        <w:rPr>
          <w:rFonts w:ascii="Arial" w:hAnsi="Arial" w:cs="Arial"/>
          <w:sz w:val="24"/>
          <w:szCs w:val="24"/>
        </w:rPr>
        <w:t xml:space="preserve"> </w:t>
      </w:r>
      <w:r w:rsidR="00F94F45" w:rsidRPr="00712E7C">
        <w:rPr>
          <w:rFonts w:ascii="Arial" w:hAnsi="Arial" w:cs="Arial"/>
          <w:sz w:val="24"/>
          <w:szCs w:val="24"/>
        </w:rPr>
        <w:t>are</w:t>
      </w:r>
      <w:r w:rsidR="00212063" w:rsidRPr="00712E7C">
        <w:rPr>
          <w:rFonts w:ascii="Arial" w:hAnsi="Arial" w:cs="Arial"/>
          <w:sz w:val="24"/>
          <w:szCs w:val="24"/>
        </w:rPr>
        <w:t xml:space="preserve"> seen to be mobile and what </w:t>
      </w:r>
      <w:r w:rsidR="00F94F45" w:rsidRPr="00712E7C">
        <w:rPr>
          <w:rFonts w:ascii="Arial" w:hAnsi="Arial" w:cs="Arial"/>
          <w:sz w:val="24"/>
          <w:szCs w:val="24"/>
        </w:rPr>
        <w:t>are</w:t>
      </w:r>
      <w:r w:rsidR="00212063" w:rsidRPr="00712E7C">
        <w:rPr>
          <w:rFonts w:ascii="Arial" w:hAnsi="Arial" w:cs="Arial"/>
          <w:sz w:val="24"/>
          <w:szCs w:val="24"/>
        </w:rPr>
        <w:t xml:space="preserve"> not. </w:t>
      </w:r>
    </w:p>
    <w:p w:rsidR="00B03AC3" w:rsidRPr="00712E7C" w:rsidRDefault="00B03AC3" w:rsidP="00712E7C">
      <w:pPr>
        <w:spacing w:after="0" w:line="360" w:lineRule="auto"/>
        <w:jc w:val="both"/>
        <w:rPr>
          <w:rFonts w:ascii="Arial" w:hAnsi="Arial" w:cs="Arial"/>
          <w:sz w:val="24"/>
          <w:szCs w:val="24"/>
        </w:rPr>
      </w:pPr>
    </w:p>
    <w:p w:rsidR="008C686F" w:rsidRDefault="00CE1C58" w:rsidP="00712E7C">
      <w:pPr>
        <w:spacing w:after="0" w:line="360" w:lineRule="auto"/>
        <w:jc w:val="both"/>
        <w:rPr>
          <w:rFonts w:ascii="Arial" w:hAnsi="Arial" w:cs="Arial"/>
          <w:sz w:val="24"/>
          <w:szCs w:val="24"/>
        </w:rPr>
      </w:pPr>
      <w:r w:rsidRPr="00712E7C">
        <w:rPr>
          <w:rFonts w:ascii="Arial" w:hAnsi="Arial" w:cs="Arial"/>
          <w:sz w:val="24"/>
          <w:szCs w:val="24"/>
        </w:rPr>
        <w:t>The integration of fire fatality data into risk profiling analysis is vital to the success of MOSAIC</w:t>
      </w:r>
      <w:r w:rsidR="00B03683" w:rsidRPr="00712E7C">
        <w:rPr>
          <w:rFonts w:ascii="Arial" w:hAnsi="Arial" w:cs="Arial"/>
          <w:sz w:val="24"/>
          <w:szCs w:val="24"/>
        </w:rPr>
        <w:t>’s localisation into the FRS</w:t>
      </w:r>
      <w:r w:rsidR="006552D4">
        <w:rPr>
          <w:rFonts w:ascii="Arial" w:hAnsi="Arial" w:cs="Arial"/>
          <w:sz w:val="24"/>
          <w:szCs w:val="24"/>
        </w:rPr>
        <w:t xml:space="preserve"> </w:t>
      </w:r>
      <w:r w:rsidRPr="00712E7C">
        <w:rPr>
          <w:rFonts w:ascii="Arial" w:hAnsi="Arial" w:cs="Arial"/>
          <w:sz w:val="24"/>
          <w:szCs w:val="24"/>
        </w:rPr>
        <w:t xml:space="preserve">and gauging vulnerability to fire. Pertaining to specific individuals, however, the use of </w:t>
      </w:r>
      <w:r w:rsidR="00B03683" w:rsidRPr="00712E7C">
        <w:rPr>
          <w:rFonts w:ascii="Arial" w:hAnsi="Arial" w:cs="Arial"/>
          <w:sz w:val="24"/>
          <w:szCs w:val="24"/>
        </w:rPr>
        <w:t>fire fatality</w:t>
      </w:r>
      <w:r w:rsidRPr="00712E7C">
        <w:rPr>
          <w:rFonts w:ascii="Arial" w:hAnsi="Arial" w:cs="Arial"/>
          <w:sz w:val="24"/>
          <w:szCs w:val="24"/>
        </w:rPr>
        <w:t xml:space="preserve"> data raises important issues around its use in risk profiling. The appearance of such data within the MOSAIC software would threaten to breach data privacy laws to which the FRS are subject. But fire fatality data are n</w:t>
      </w:r>
      <w:r w:rsidR="001C650B" w:rsidRPr="00712E7C">
        <w:rPr>
          <w:rFonts w:ascii="Arial" w:hAnsi="Arial" w:cs="Arial"/>
          <w:sz w:val="24"/>
          <w:szCs w:val="24"/>
        </w:rPr>
        <w:t>ot integrated in the same way</w:t>
      </w:r>
      <w:r w:rsidRPr="00712E7C">
        <w:rPr>
          <w:rFonts w:ascii="Arial" w:hAnsi="Arial" w:cs="Arial"/>
          <w:sz w:val="24"/>
          <w:szCs w:val="24"/>
        </w:rPr>
        <w:t xml:space="preserve"> as other data used for risk profiling. Neither does the mobilisation of fire fatality data take place within and through circulatory regimes in which other data are enrolled. A</w:t>
      </w:r>
      <w:r w:rsidR="001C650B" w:rsidRPr="00712E7C">
        <w:rPr>
          <w:rFonts w:ascii="Arial" w:hAnsi="Arial" w:cs="Arial"/>
          <w:sz w:val="24"/>
          <w:szCs w:val="24"/>
        </w:rPr>
        <w:t>lthough present in the construction</w:t>
      </w:r>
      <w:r w:rsidRPr="00712E7C">
        <w:rPr>
          <w:rFonts w:ascii="Arial" w:hAnsi="Arial" w:cs="Arial"/>
          <w:sz w:val="24"/>
          <w:szCs w:val="24"/>
        </w:rPr>
        <w:t xml:space="preserve"> of risk profiles, fire fatality</w:t>
      </w:r>
      <w:r w:rsidR="008C686F" w:rsidRPr="00712E7C">
        <w:rPr>
          <w:rFonts w:ascii="Arial" w:hAnsi="Arial" w:cs="Arial"/>
          <w:sz w:val="24"/>
          <w:szCs w:val="24"/>
        </w:rPr>
        <w:t xml:space="preserve"> data are</w:t>
      </w:r>
      <w:r w:rsidRPr="00712E7C">
        <w:rPr>
          <w:rFonts w:ascii="Arial" w:hAnsi="Arial" w:cs="Arial"/>
          <w:sz w:val="24"/>
          <w:szCs w:val="24"/>
        </w:rPr>
        <w:t xml:space="preserve"> absent from </w:t>
      </w:r>
      <w:r w:rsidR="008C686F" w:rsidRPr="00712E7C">
        <w:rPr>
          <w:rFonts w:ascii="Arial" w:hAnsi="Arial" w:cs="Arial"/>
          <w:sz w:val="24"/>
          <w:szCs w:val="24"/>
        </w:rPr>
        <w:t xml:space="preserve">digital circulation processes </w:t>
      </w:r>
      <w:r w:rsidR="006552D4">
        <w:rPr>
          <w:rFonts w:ascii="Arial" w:hAnsi="Arial" w:cs="Arial"/>
          <w:sz w:val="24"/>
          <w:szCs w:val="24"/>
        </w:rPr>
        <w:t>that</w:t>
      </w:r>
      <w:r w:rsidR="008C686F" w:rsidRPr="00712E7C">
        <w:rPr>
          <w:rFonts w:ascii="Arial" w:hAnsi="Arial" w:cs="Arial"/>
          <w:sz w:val="24"/>
          <w:szCs w:val="24"/>
        </w:rPr>
        <w:t xml:space="preserve"> provide the basis for MOSAIC redeployment i</w:t>
      </w:r>
      <w:r w:rsidR="001C650B" w:rsidRPr="00712E7C">
        <w:rPr>
          <w:rFonts w:ascii="Arial" w:hAnsi="Arial" w:cs="Arial"/>
          <w:sz w:val="24"/>
          <w:szCs w:val="24"/>
        </w:rPr>
        <w:t>n the FRS. Fire fatality data are</w:t>
      </w:r>
      <w:r w:rsidR="00AA3C3F" w:rsidRPr="00712E7C">
        <w:rPr>
          <w:rFonts w:ascii="Arial" w:hAnsi="Arial" w:cs="Arial"/>
          <w:sz w:val="24"/>
          <w:szCs w:val="24"/>
        </w:rPr>
        <w:t xml:space="preserve"> mobilised</w:t>
      </w:r>
      <w:r w:rsidR="006552D4">
        <w:rPr>
          <w:rFonts w:ascii="Arial" w:hAnsi="Arial" w:cs="Arial"/>
          <w:sz w:val="24"/>
          <w:szCs w:val="24"/>
        </w:rPr>
        <w:t>,</w:t>
      </w:r>
      <w:r w:rsidR="00AA3C3F" w:rsidRPr="00712E7C">
        <w:rPr>
          <w:rFonts w:ascii="Arial" w:hAnsi="Arial" w:cs="Arial"/>
          <w:sz w:val="24"/>
          <w:szCs w:val="24"/>
        </w:rPr>
        <w:t xml:space="preserve"> but do not take the same form as other data. Through </w:t>
      </w:r>
      <w:r w:rsidR="008C686F" w:rsidRPr="00712E7C">
        <w:rPr>
          <w:rFonts w:ascii="Arial" w:hAnsi="Arial" w:cs="Arial"/>
          <w:sz w:val="24"/>
          <w:szCs w:val="24"/>
        </w:rPr>
        <w:t>the</w:t>
      </w:r>
      <w:r w:rsidR="00AA3C3F" w:rsidRPr="00712E7C">
        <w:rPr>
          <w:rFonts w:ascii="Arial" w:hAnsi="Arial" w:cs="Arial"/>
          <w:sz w:val="24"/>
          <w:szCs w:val="24"/>
        </w:rPr>
        <w:t xml:space="preserve"> mobilisation of data</w:t>
      </w:r>
      <w:r w:rsidR="006552D4">
        <w:rPr>
          <w:rFonts w:ascii="Arial" w:hAnsi="Arial" w:cs="Arial"/>
          <w:sz w:val="24"/>
          <w:szCs w:val="24"/>
        </w:rPr>
        <w:t>,</w:t>
      </w:r>
      <w:r w:rsidR="00AA3C3F" w:rsidRPr="00712E7C">
        <w:rPr>
          <w:rFonts w:ascii="Arial" w:hAnsi="Arial" w:cs="Arial"/>
          <w:sz w:val="24"/>
          <w:szCs w:val="24"/>
        </w:rPr>
        <w:t xml:space="preserve"> which bear different forms, the</w:t>
      </w:r>
      <w:r w:rsidR="008C686F" w:rsidRPr="00712E7C">
        <w:rPr>
          <w:rFonts w:ascii="Arial" w:hAnsi="Arial" w:cs="Arial"/>
          <w:sz w:val="24"/>
          <w:szCs w:val="24"/>
        </w:rPr>
        <w:t xml:space="preserve"> FRS can evade legal complications </w:t>
      </w:r>
      <w:r w:rsidR="006552D4">
        <w:rPr>
          <w:rFonts w:ascii="Arial" w:hAnsi="Arial" w:cs="Arial"/>
          <w:sz w:val="24"/>
          <w:szCs w:val="24"/>
        </w:rPr>
        <w:t>arising</w:t>
      </w:r>
      <w:r w:rsidR="008C686F" w:rsidRPr="00712E7C">
        <w:rPr>
          <w:rFonts w:ascii="Arial" w:hAnsi="Arial" w:cs="Arial"/>
          <w:sz w:val="24"/>
          <w:szCs w:val="24"/>
        </w:rPr>
        <w:t xml:space="preserve"> from the use of fire fatality data. </w:t>
      </w:r>
    </w:p>
    <w:p w:rsidR="006552D4" w:rsidRPr="00712E7C" w:rsidRDefault="006552D4" w:rsidP="00712E7C">
      <w:pPr>
        <w:spacing w:after="0" w:line="360" w:lineRule="auto"/>
        <w:jc w:val="both"/>
        <w:rPr>
          <w:rFonts w:ascii="Arial" w:hAnsi="Arial" w:cs="Arial"/>
          <w:sz w:val="24"/>
          <w:szCs w:val="24"/>
        </w:rPr>
      </w:pPr>
    </w:p>
    <w:p w:rsidR="001C650B" w:rsidRDefault="001C650B" w:rsidP="00712E7C">
      <w:pPr>
        <w:spacing w:after="0" w:line="360" w:lineRule="auto"/>
        <w:jc w:val="both"/>
        <w:rPr>
          <w:rFonts w:ascii="Arial" w:hAnsi="Arial" w:cs="Arial"/>
          <w:sz w:val="24"/>
          <w:szCs w:val="24"/>
        </w:rPr>
      </w:pPr>
      <w:r w:rsidRPr="00712E7C">
        <w:rPr>
          <w:rFonts w:ascii="Arial" w:hAnsi="Arial" w:cs="Arial"/>
          <w:sz w:val="24"/>
          <w:szCs w:val="24"/>
        </w:rPr>
        <w:t>The redeployment of technologies in and across the contemporary security apparatus, by which techniques of</w:t>
      </w:r>
      <w:r w:rsidR="00837FFA" w:rsidRPr="00712E7C">
        <w:rPr>
          <w:rFonts w:ascii="Arial" w:hAnsi="Arial" w:cs="Arial"/>
          <w:sz w:val="24"/>
          <w:szCs w:val="24"/>
        </w:rPr>
        <w:t xml:space="preserve"> anticipatory</w:t>
      </w:r>
      <w:r w:rsidRPr="00712E7C">
        <w:rPr>
          <w:rFonts w:ascii="Arial" w:hAnsi="Arial" w:cs="Arial"/>
          <w:sz w:val="24"/>
          <w:szCs w:val="24"/>
        </w:rPr>
        <w:t xml:space="preserve"> governance extend their grasp over an expansive array of emergencies, opens up new pathways for critical exploration. This section has focused on ho</w:t>
      </w:r>
      <w:r w:rsidR="00207EBC">
        <w:rPr>
          <w:rFonts w:ascii="Arial" w:hAnsi="Arial" w:cs="Arial"/>
          <w:sz w:val="24"/>
          <w:szCs w:val="24"/>
        </w:rPr>
        <w:t xml:space="preserve">w technological redeployment is </w:t>
      </w:r>
      <w:r w:rsidR="00F94F45" w:rsidRPr="00712E7C">
        <w:rPr>
          <w:rFonts w:ascii="Arial" w:hAnsi="Arial" w:cs="Arial"/>
          <w:sz w:val="24"/>
          <w:szCs w:val="24"/>
        </w:rPr>
        <w:t>shaped</w:t>
      </w:r>
      <w:r w:rsidRPr="00712E7C">
        <w:rPr>
          <w:rFonts w:ascii="Arial" w:hAnsi="Arial" w:cs="Arial"/>
          <w:sz w:val="24"/>
          <w:szCs w:val="24"/>
        </w:rPr>
        <w:t xml:space="preserve"> by mundane organisational processes </w:t>
      </w:r>
      <w:r w:rsidR="00207EBC">
        <w:rPr>
          <w:rFonts w:ascii="Arial" w:hAnsi="Arial" w:cs="Arial"/>
          <w:sz w:val="24"/>
          <w:szCs w:val="24"/>
        </w:rPr>
        <w:t>that</w:t>
      </w:r>
      <w:r w:rsidRPr="00712E7C">
        <w:rPr>
          <w:rFonts w:ascii="Arial" w:hAnsi="Arial" w:cs="Arial"/>
          <w:sz w:val="24"/>
          <w:szCs w:val="24"/>
        </w:rPr>
        <w:t xml:space="preserve"> revolve around, and are engendered by, data. Broad data circulation processes within which data </w:t>
      </w:r>
      <w:r w:rsidR="00837FFA" w:rsidRPr="00712E7C">
        <w:rPr>
          <w:rFonts w:ascii="Arial" w:hAnsi="Arial" w:cs="Arial"/>
          <w:sz w:val="24"/>
          <w:szCs w:val="24"/>
        </w:rPr>
        <w:t xml:space="preserve">mobilise </w:t>
      </w:r>
      <w:r w:rsidRPr="00712E7C">
        <w:rPr>
          <w:rFonts w:ascii="Arial" w:hAnsi="Arial" w:cs="Arial"/>
          <w:sz w:val="24"/>
          <w:szCs w:val="24"/>
        </w:rPr>
        <w:t xml:space="preserve">are vital to the malleability of the contemporary security apparatus. Critical evaluation of </w:t>
      </w:r>
      <w:r w:rsidR="00F94F45" w:rsidRPr="00712E7C">
        <w:rPr>
          <w:rFonts w:ascii="Arial" w:hAnsi="Arial" w:cs="Arial"/>
          <w:sz w:val="24"/>
          <w:szCs w:val="24"/>
        </w:rPr>
        <w:t>circulation</w:t>
      </w:r>
      <w:r w:rsidR="00912A16" w:rsidRPr="00712E7C">
        <w:rPr>
          <w:rFonts w:ascii="Arial" w:hAnsi="Arial" w:cs="Arial"/>
          <w:sz w:val="24"/>
          <w:szCs w:val="24"/>
        </w:rPr>
        <w:t xml:space="preserve"> processes rests on understanding data as a materially heterogeneous agent</w:t>
      </w:r>
      <w:r w:rsidR="00207EBC">
        <w:rPr>
          <w:rFonts w:ascii="Arial" w:hAnsi="Arial" w:cs="Arial"/>
          <w:sz w:val="24"/>
          <w:szCs w:val="24"/>
        </w:rPr>
        <w:t>,</w:t>
      </w:r>
      <w:r w:rsidR="00912A16" w:rsidRPr="00712E7C">
        <w:rPr>
          <w:rFonts w:ascii="Arial" w:hAnsi="Arial" w:cs="Arial"/>
          <w:sz w:val="24"/>
          <w:szCs w:val="24"/>
        </w:rPr>
        <w:t xml:space="preserve"> whose form conditions the extent to which</w:t>
      </w:r>
      <w:r w:rsidR="00837FFA" w:rsidRPr="00712E7C">
        <w:rPr>
          <w:rFonts w:ascii="Arial" w:hAnsi="Arial" w:cs="Arial"/>
          <w:sz w:val="24"/>
          <w:szCs w:val="24"/>
        </w:rPr>
        <w:t>, in this case,</w:t>
      </w:r>
      <w:r w:rsidR="00912A16" w:rsidRPr="00712E7C">
        <w:rPr>
          <w:rFonts w:ascii="Arial" w:hAnsi="Arial" w:cs="Arial"/>
          <w:sz w:val="24"/>
          <w:szCs w:val="24"/>
        </w:rPr>
        <w:t xml:space="preserve"> authorities can </w:t>
      </w:r>
      <w:r w:rsidR="00912A16" w:rsidRPr="00712E7C">
        <w:rPr>
          <w:rFonts w:ascii="Arial" w:hAnsi="Arial" w:cs="Arial"/>
          <w:sz w:val="24"/>
          <w:szCs w:val="24"/>
        </w:rPr>
        <w:lastRenderedPageBreak/>
        <w:t>gauge the vulnerability of populations and target anticipatory forms of intervention. The ability to appropriate and redeploy technologies does not rely merely on the mobilisation of heterogeneous data forms however. Rather, exploring data circulation and mobilisation also opens up space for insight into what data are seen to be used by those governing and what data are rendered invisible.</w:t>
      </w:r>
      <w:r w:rsidR="00837FFA" w:rsidRPr="00712E7C">
        <w:rPr>
          <w:rFonts w:ascii="Arial" w:hAnsi="Arial" w:cs="Arial"/>
          <w:sz w:val="24"/>
          <w:szCs w:val="24"/>
        </w:rPr>
        <w:t xml:space="preserve"> The question of what is seen as mobile and what is not can lead to important questions around what legal issues technological redeployment opens up for organisations like the FRS.</w:t>
      </w:r>
      <w:r w:rsidR="00912A16" w:rsidRPr="00712E7C">
        <w:rPr>
          <w:rFonts w:ascii="Arial" w:hAnsi="Arial" w:cs="Arial"/>
          <w:sz w:val="24"/>
          <w:szCs w:val="24"/>
        </w:rPr>
        <w:t xml:space="preserve"> In the next section, I examine how technological redeployment is facilitated not only by how data moves</w:t>
      </w:r>
      <w:r w:rsidR="002A0CB1" w:rsidRPr="00712E7C">
        <w:rPr>
          <w:rFonts w:ascii="Arial" w:hAnsi="Arial" w:cs="Arial"/>
          <w:sz w:val="24"/>
          <w:szCs w:val="24"/>
        </w:rPr>
        <w:t xml:space="preserve"> and what form data take</w:t>
      </w:r>
      <w:r w:rsidR="00207EBC">
        <w:rPr>
          <w:rFonts w:ascii="Arial" w:hAnsi="Arial" w:cs="Arial"/>
          <w:sz w:val="24"/>
          <w:szCs w:val="24"/>
        </w:rPr>
        <w:t>,</w:t>
      </w:r>
      <w:r w:rsidR="00912A16" w:rsidRPr="00712E7C">
        <w:rPr>
          <w:rFonts w:ascii="Arial" w:hAnsi="Arial" w:cs="Arial"/>
          <w:sz w:val="24"/>
          <w:szCs w:val="24"/>
        </w:rPr>
        <w:t xml:space="preserve"> but </w:t>
      </w:r>
      <w:r w:rsidR="00207EBC">
        <w:rPr>
          <w:rFonts w:ascii="Arial" w:hAnsi="Arial" w:cs="Arial"/>
          <w:sz w:val="24"/>
          <w:szCs w:val="24"/>
        </w:rPr>
        <w:t xml:space="preserve">by </w:t>
      </w:r>
      <w:r w:rsidR="00912A16" w:rsidRPr="00712E7C">
        <w:rPr>
          <w:rFonts w:ascii="Arial" w:hAnsi="Arial" w:cs="Arial"/>
          <w:sz w:val="24"/>
          <w:szCs w:val="24"/>
        </w:rPr>
        <w:t xml:space="preserve">what logics of calculation it engenders when harnessed by governing bodies seeking to manage the future. </w:t>
      </w:r>
    </w:p>
    <w:p w:rsidR="00207EBC" w:rsidRDefault="00207EBC" w:rsidP="00712E7C">
      <w:pPr>
        <w:spacing w:after="0" w:line="360" w:lineRule="auto"/>
        <w:jc w:val="both"/>
        <w:rPr>
          <w:rFonts w:ascii="Arial" w:hAnsi="Arial" w:cs="Arial"/>
          <w:sz w:val="24"/>
          <w:szCs w:val="24"/>
        </w:rPr>
      </w:pPr>
    </w:p>
    <w:p w:rsidR="00207EBC" w:rsidRPr="00712E7C" w:rsidRDefault="00207EBC" w:rsidP="00712E7C">
      <w:pPr>
        <w:spacing w:after="0" w:line="360" w:lineRule="auto"/>
        <w:jc w:val="both"/>
        <w:rPr>
          <w:rFonts w:ascii="Arial" w:hAnsi="Arial" w:cs="Arial"/>
          <w:sz w:val="24"/>
          <w:szCs w:val="24"/>
        </w:rPr>
      </w:pPr>
    </w:p>
    <w:p w:rsidR="00363AD1" w:rsidRPr="00207EBC" w:rsidRDefault="00363AD1" w:rsidP="00712E7C">
      <w:pPr>
        <w:spacing w:after="0" w:line="360" w:lineRule="auto"/>
        <w:jc w:val="both"/>
        <w:rPr>
          <w:rFonts w:ascii="Arial" w:hAnsi="Arial" w:cs="Arial"/>
          <w:b/>
          <w:sz w:val="24"/>
          <w:szCs w:val="24"/>
        </w:rPr>
      </w:pPr>
      <w:r w:rsidRPr="00207EBC">
        <w:rPr>
          <w:rFonts w:ascii="Arial" w:hAnsi="Arial" w:cs="Arial"/>
          <w:b/>
          <w:sz w:val="24"/>
          <w:szCs w:val="24"/>
        </w:rPr>
        <w:t xml:space="preserve">The </w:t>
      </w:r>
      <w:r w:rsidR="00207EBC">
        <w:rPr>
          <w:rFonts w:ascii="Arial" w:hAnsi="Arial" w:cs="Arial"/>
          <w:b/>
          <w:sz w:val="24"/>
          <w:szCs w:val="24"/>
        </w:rPr>
        <w:t>t</w:t>
      </w:r>
      <w:r w:rsidRPr="00207EBC">
        <w:rPr>
          <w:rFonts w:ascii="Arial" w:hAnsi="Arial" w:cs="Arial"/>
          <w:b/>
          <w:sz w:val="24"/>
          <w:szCs w:val="24"/>
        </w:rPr>
        <w:t xml:space="preserve">emporal </w:t>
      </w:r>
      <w:r w:rsidR="00207EBC">
        <w:rPr>
          <w:rFonts w:ascii="Arial" w:hAnsi="Arial" w:cs="Arial"/>
          <w:b/>
          <w:sz w:val="24"/>
          <w:szCs w:val="24"/>
        </w:rPr>
        <w:t>f</w:t>
      </w:r>
      <w:r w:rsidRPr="00207EBC">
        <w:rPr>
          <w:rFonts w:ascii="Arial" w:hAnsi="Arial" w:cs="Arial"/>
          <w:b/>
          <w:sz w:val="24"/>
          <w:szCs w:val="24"/>
        </w:rPr>
        <w:t>ix</w:t>
      </w:r>
      <w:r w:rsidR="00515264" w:rsidRPr="00207EBC">
        <w:rPr>
          <w:rFonts w:ascii="Arial" w:hAnsi="Arial" w:cs="Arial"/>
          <w:b/>
          <w:sz w:val="24"/>
          <w:szCs w:val="24"/>
        </w:rPr>
        <w:t>ing</w:t>
      </w:r>
      <w:r w:rsidR="00207EBC">
        <w:rPr>
          <w:rFonts w:ascii="Arial" w:hAnsi="Arial" w:cs="Arial"/>
          <w:b/>
          <w:sz w:val="24"/>
          <w:szCs w:val="24"/>
        </w:rPr>
        <w:t xml:space="preserve"> of calculative i</w:t>
      </w:r>
      <w:r w:rsidRPr="00207EBC">
        <w:rPr>
          <w:rFonts w:ascii="Arial" w:hAnsi="Arial" w:cs="Arial"/>
          <w:b/>
          <w:sz w:val="24"/>
          <w:szCs w:val="24"/>
        </w:rPr>
        <w:t>maginaries</w:t>
      </w:r>
      <w:r w:rsidR="00FC4D87" w:rsidRPr="00207EBC">
        <w:rPr>
          <w:rFonts w:ascii="Arial" w:hAnsi="Arial" w:cs="Arial"/>
          <w:b/>
          <w:sz w:val="24"/>
          <w:szCs w:val="24"/>
        </w:rPr>
        <w:t xml:space="preserve"> </w:t>
      </w:r>
    </w:p>
    <w:p w:rsidR="00207EBC" w:rsidRDefault="00207EBC" w:rsidP="00712E7C">
      <w:pPr>
        <w:spacing w:after="0" w:line="360" w:lineRule="auto"/>
        <w:jc w:val="both"/>
        <w:rPr>
          <w:rFonts w:ascii="Arial" w:hAnsi="Arial" w:cs="Arial"/>
          <w:sz w:val="24"/>
          <w:szCs w:val="24"/>
        </w:rPr>
      </w:pPr>
    </w:p>
    <w:p w:rsidR="00E91EE9" w:rsidRDefault="00E91EE9" w:rsidP="00712E7C">
      <w:pPr>
        <w:spacing w:after="0" w:line="360" w:lineRule="auto"/>
        <w:jc w:val="both"/>
        <w:rPr>
          <w:rFonts w:ascii="Arial" w:hAnsi="Arial" w:cs="Arial"/>
          <w:sz w:val="24"/>
          <w:szCs w:val="24"/>
        </w:rPr>
      </w:pPr>
      <w:r w:rsidRPr="00712E7C">
        <w:rPr>
          <w:rFonts w:ascii="Arial" w:hAnsi="Arial" w:cs="Arial"/>
          <w:sz w:val="24"/>
          <w:szCs w:val="24"/>
        </w:rPr>
        <w:t>The conditions of possibility for the redeployment of technologies are in part co-ordinated by a politics of mobilisation and visibility</w:t>
      </w:r>
      <w:r w:rsidR="00D02AEE">
        <w:rPr>
          <w:rFonts w:ascii="Arial" w:hAnsi="Arial" w:cs="Arial"/>
          <w:sz w:val="24"/>
          <w:szCs w:val="24"/>
        </w:rPr>
        <w:t>,</w:t>
      </w:r>
      <w:r w:rsidRPr="00712E7C">
        <w:rPr>
          <w:rFonts w:ascii="Arial" w:hAnsi="Arial" w:cs="Arial"/>
          <w:sz w:val="24"/>
          <w:szCs w:val="24"/>
        </w:rPr>
        <w:t xml:space="preserve"> which c</w:t>
      </w:r>
      <w:r w:rsidR="00621C60" w:rsidRPr="00712E7C">
        <w:rPr>
          <w:rFonts w:ascii="Arial" w:hAnsi="Arial" w:cs="Arial"/>
          <w:sz w:val="24"/>
          <w:szCs w:val="24"/>
        </w:rPr>
        <w:t xml:space="preserve">haracterises data as </w:t>
      </w:r>
      <w:r w:rsidR="00D02AEE">
        <w:rPr>
          <w:rFonts w:ascii="Arial" w:hAnsi="Arial" w:cs="Arial"/>
          <w:sz w:val="24"/>
          <w:szCs w:val="24"/>
        </w:rPr>
        <w:t>they live</w:t>
      </w:r>
      <w:r w:rsidR="00621C60" w:rsidRPr="00712E7C">
        <w:rPr>
          <w:rFonts w:ascii="Arial" w:hAnsi="Arial" w:cs="Arial"/>
          <w:sz w:val="24"/>
          <w:szCs w:val="24"/>
        </w:rPr>
        <w:t xml:space="preserve"> in local contexts of</w:t>
      </w:r>
      <w:r w:rsidRPr="00712E7C">
        <w:rPr>
          <w:rFonts w:ascii="Arial" w:hAnsi="Arial" w:cs="Arial"/>
          <w:sz w:val="24"/>
          <w:szCs w:val="24"/>
        </w:rPr>
        <w:t xml:space="preserve"> the contemporary security apparatus. The mobilisation and accumulation of data, however, are</w:t>
      </w:r>
      <w:r w:rsidR="008B4F37" w:rsidRPr="00712E7C">
        <w:rPr>
          <w:rFonts w:ascii="Arial" w:hAnsi="Arial" w:cs="Arial"/>
          <w:sz w:val="24"/>
          <w:szCs w:val="24"/>
        </w:rPr>
        <w:t xml:space="preserve"> no</w:t>
      </w:r>
      <w:r w:rsidRPr="00712E7C">
        <w:rPr>
          <w:rFonts w:ascii="Arial" w:hAnsi="Arial" w:cs="Arial"/>
          <w:sz w:val="24"/>
          <w:szCs w:val="24"/>
        </w:rPr>
        <w:t xml:space="preserve">t the only processes </w:t>
      </w:r>
      <w:r w:rsidR="00D02AEE">
        <w:rPr>
          <w:rFonts w:ascii="Arial" w:hAnsi="Arial" w:cs="Arial"/>
          <w:sz w:val="24"/>
          <w:szCs w:val="24"/>
        </w:rPr>
        <w:t>that</w:t>
      </w:r>
      <w:r w:rsidRPr="00712E7C">
        <w:rPr>
          <w:rFonts w:ascii="Arial" w:hAnsi="Arial" w:cs="Arial"/>
          <w:sz w:val="24"/>
          <w:szCs w:val="24"/>
        </w:rPr>
        <w:t xml:space="preserve"> actualise</w:t>
      </w:r>
      <w:r w:rsidR="008B4F37" w:rsidRPr="00712E7C">
        <w:rPr>
          <w:rFonts w:ascii="Arial" w:hAnsi="Arial" w:cs="Arial"/>
          <w:sz w:val="24"/>
          <w:szCs w:val="24"/>
        </w:rPr>
        <w:t xml:space="preserve"> the redeployment of technologies for the purposes of the FRS.</w:t>
      </w:r>
      <w:r w:rsidR="00363AD1" w:rsidRPr="00712E7C">
        <w:rPr>
          <w:rFonts w:ascii="Arial" w:hAnsi="Arial" w:cs="Arial"/>
          <w:sz w:val="24"/>
          <w:szCs w:val="24"/>
        </w:rPr>
        <w:t xml:space="preserve"> </w:t>
      </w:r>
      <w:r w:rsidR="00D513D9" w:rsidRPr="00712E7C">
        <w:rPr>
          <w:rFonts w:ascii="Arial" w:hAnsi="Arial" w:cs="Arial"/>
          <w:sz w:val="24"/>
          <w:szCs w:val="24"/>
        </w:rPr>
        <w:t xml:space="preserve">The </w:t>
      </w:r>
      <w:r w:rsidR="009A13CB" w:rsidRPr="00712E7C">
        <w:rPr>
          <w:rFonts w:ascii="Arial" w:hAnsi="Arial" w:cs="Arial"/>
          <w:sz w:val="24"/>
          <w:szCs w:val="24"/>
        </w:rPr>
        <w:t>functionality of the codex</w:t>
      </w:r>
      <w:r w:rsidR="00D513D9" w:rsidRPr="00712E7C">
        <w:rPr>
          <w:rFonts w:ascii="Arial" w:hAnsi="Arial" w:cs="Arial"/>
          <w:sz w:val="24"/>
          <w:szCs w:val="24"/>
        </w:rPr>
        <w:t>, to return to Vismann</w:t>
      </w:r>
      <w:r w:rsidR="00D02AEE">
        <w:rPr>
          <w:rFonts w:ascii="Arial" w:hAnsi="Arial" w:cs="Arial"/>
          <w:sz w:val="24"/>
          <w:szCs w:val="24"/>
        </w:rPr>
        <w:t xml:space="preserve"> (2011)</w:t>
      </w:r>
      <w:r w:rsidR="00D513D9" w:rsidRPr="00712E7C">
        <w:rPr>
          <w:rFonts w:ascii="Arial" w:hAnsi="Arial" w:cs="Arial"/>
          <w:sz w:val="24"/>
          <w:szCs w:val="24"/>
        </w:rPr>
        <w:t>,</w:t>
      </w:r>
      <w:r w:rsidR="009A13CB" w:rsidRPr="00712E7C">
        <w:rPr>
          <w:rFonts w:ascii="Arial" w:hAnsi="Arial" w:cs="Arial"/>
          <w:sz w:val="24"/>
          <w:szCs w:val="24"/>
        </w:rPr>
        <w:t xml:space="preserve"> is evident in its re-engendering of the temporality by </w:t>
      </w:r>
      <w:r w:rsidR="00D02AEE">
        <w:rPr>
          <w:rFonts w:ascii="Arial" w:hAnsi="Arial" w:cs="Arial"/>
          <w:sz w:val="24"/>
          <w:szCs w:val="24"/>
        </w:rPr>
        <w:t>which data can be processed. A “purely diachronic logic” (2011:32)</w:t>
      </w:r>
      <w:r w:rsidR="009A13CB" w:rsidRPr="00712E7C">
        <w:rPr>
          <w:rFonts w:ascii="Arial" w:hAnsi="Arial" w:cs="Arial"/>
          <w:sz w:val="24"/>
          <w:szCs w:val="24"/>
        </w:rPr>
        <w:t xml:space="preserve"> is supplemented by a variety of new temporal arrangements </w:t>
      </w:r>
      <w:r w:rsidR="00D513D9" w:rsidRPr="00712E7C">
        <w:rPr>
          <w:rFonts w:ascii="Arial" w:hAnsi="Arial" w:cs="Arial"/>
          <w:sz w:val="24"/>
          <w:szCs w:val="24"/>
        </w:rPr>
        <w:t>with the emergence of the codex</w:t>
      </w:r>
      <w:r w:rsidRPr="00712E7C">
        <w:rPr>
          <w:rFonts w:ascii="Arial" w:hAnsi="Arial" w:cs="Arial"/>
          <w:sz w:val="24"/>
          <w:szCs w:val="24"/>
        </w:rPr>
        <w:t xml:space="preserve">. </w:t>
      </w:r>
    </w:p>
    <w:p w:rsidR="00D02AEE" w:rsidRPr="00712E7C" w:rsidRDefault="00D02AEE" w:rsidP="00712E7C">
      <w:pPr>
        <w:spacing w:after="0" w:line="360" w:lineRule="auto"/>
        <w:jc w:val="both"/>
        <w:rPr>
          <w:rFonts w:ascii="Arial" w:hAnsi="Arial" w:cs="Arial"/>
          <w:sz w:val="24"/>
          <w:szCs w:val="24"/>
        </w:rPr>
      </w:pPr>
    </w:p>
    <w:p w:rsidR="00C64AE8" w:rsidRPr="00712E7C" w:rsidRDefault="00C64AE8" w:rsidP="00712E7C">
      <w:pPr>
        <w:spacing w:after="0" w:line="360" w:lineRule="auto"/>
        <w:jc w:val="both"/>
        <w:rPr>
          <w:rFonts w:ascii="Arial" w:hAnsi="Arial" w:cs="Arial"/>
          <w:sz w:val="24"/>
          <w:szCs w:val="24"/>
        </w:rPr>
      </w:pPr>
      <w:r w:rsidRPr="00712E7C">
        <w:rPr>
          <w:rFonts w:ascii="Arial" w:hAnsi="Arial" w:cs="Arial"/>
          <w:sz w:val="24"/>
          <w:szCs w:val="24"/>
        </w:rPr>
        <w:t xml:space="preserve">In the last section, I showed how the mobilisation of data </w:t>
      </w:r>
      <w:r w:rsidR="00C67295" w:rsidRPr="00712E7C">
        <w:rPr>
          <w:rFonts w:ascii="Arial" w:hAnsi="Arial" w:cs="Arial"/>
          <w:sz w:val="24"/>
          <w:szCs w:val="24"/>
        </w:rPr>
        <w:t xml:space="preserve">was intimately bound to </w:t>
      </w:r>
      <w:r w:rsidR="00D02AEE">
        <w:rPr>
          <w:rFonts w:ascii="Arial" w:hAnsi="Arial" w:cs="Arial"/>
          <w:sz w:val="24"/>
          <w:szCs w:val="24"/>
        </w:rPr>
        <w:t>the issue of the form data take</w:t>
      </w:r>
      <w:r w:rsidRPr="00712E7C">
        <w:rPr>
          <w:rFonts w:ascii="Arial" w:hAnsi="Arial" w:cs="Arial"/>
          <w:sz w:val="24"/>
          <w:szCs w:val="24"/>
        </w:rPr>
        <w:t xml:space="preserve">. </w:t>
      </w:r>
      <w:r w:rsidR="00462867">
        <w:rPr>
          <w:rFonts w:ascii="Arial" w:hAnsi="Arial" w:cs="Arial"/>
          <w:sz w:val="24"/>
          <w:szCs w:val="24"/>
        </w:rPr>
        <w:t>H</w:t>
      </w:r>
      <w:r w:rsidR="00462867" w:rsidRPr="00712E7C">
        <w:rPr>
          <w:rFonts w:ascii="Arial" w:hAnsi="Arial" w:cs="Arial"/>
          <w:sz w:val="24"/>
          <w:szCs w:val="24"/>
        </w:rPr>
        <w:t>owever</w:t>
      </w:r>
      <w:r w:rsidR="00462867">
        <w:rPr>
          <w:rFonts w:ascii="Arial" w:hAnsi="Arial" w:cs="Arial"/>
          <w:sz w:val="24"/>
          <w:szCs w:val="24"/>
        </w:rPr>
        <w:t>, m</w:t>
      </w:r>
      <w:r w:rsidRPr="00712E7C">
        <w:rPr>
          <w:rFonts w:ascii="Arial" w:hAnsi="Arial" w:cs="Arial"/>
          <w:sz w:val="24"/>
          <w:szCs w:val="24"/>
        </w:rPr>
        <w:t xml:space="preserve">eans by which the form of data can be described </w:t>
      </w:r>
      <w:r w:rsidR="00462867">
        <w:rPr>
          <w:rFonts w:ascii="Arial" w:hAnsi="Arial" w:cs="Arial"/>
          <w:sz w:val="24"/>
          <w:szCs w:val="24"/>
        </w:rPr>
        <w:t>go beyond</w:t>
      </w:r>
      <w:r w:rsidRPr="00712E7C">
        <w:rPr>
          <w:rFonts w:ascii="Arial" w:hAnsi="Arial" w:cs="Arial"/>
          <w:sz w:val="24"/>
          <w:szCs w:val="24"/>
        </w:rPr>
        <w:t xml:space="preserve"> their commonality</w:t>
      </w:r>
      <w:r w:rsidR="00621C60" w:rsidRPr="00712E7C">
        <w:rPr>
          <w:rFonts w:ascii="Arial" w:hAnsi="Arial" w:cs="Arial"/>
          <w:sz w:val="24"/>
          <w:szCs w:val="24"/>
        </w:rPr>
        <w:t xml:space="preserve"> or dissimilarity</w:t>
      </w:r>
      <w:r w:rsidRPr="00712E7C">
        <w:rPr>
          <w:rFonts w:ascii="Arial" w:hAnsi="Arial" w:cs="Arial"/>
          <w:sz w:val="24"/>
          <w:szCs w:val="24"/>
        </w:rPr>
        <w:t xml:space="preserve"> as digital artefacts. The data referred to above included data on the potential lifestyle characteristics of populations and </w:t>
      </w:r>
      <w:r w:rsidR="000305C2">
        <w:rPr>
          <w:rFonts w:ascii="Arial" w:hAnsi="Arial" w:cs="Arial"/>
          <w:sz w:val="24"/>
          <w:szCs w:val="24"/>
        </w:rPr>
        <w:t>their</w:t>
      </w:r>
      <w:r w:rsidRPr="00712E7C">
        <w:rPr>
          <w:rFonts w:ascii="Arial" w:hAnsi="Arial" w:cs="Arial"/>
          <w:sz w:val="24"/>
          <w:szCs w:val="24"/>
        </w:rPr>
        <w:t xml:space="preserve"> integration with data on past fire locations.</w:t>
      </w:r>
      <w:r w:rsidR="00621C60" w:rsidRPr="00712E7C">
        <w:rPr>
          <w:rFonts w:ascii="Arial" w:hAnsi="Arial" w:cs="Arial"/>
          <w:sz w:val="24"/>
          <w:szCs w:val="24"/>
        </w:rPr>
        <w:t xml:space="preserve"> One </w:t>
      </w:r>
      <w:r w:rsidR="000305C2">
        <w:rPr>
          <w:rFonts w:ascii="Arial" w:hAnsi="Arial" w:cs="Arial"/>
          <w:sz w:val="24"/>
          <w:szCs w:val="24"/>
        </w:rPr>
        <w:t xml:space="preserve">kind of </w:t>
      </w:r>
      <w:r w:rsidR="00621C60" w:rsidRPr="00712E7C">
        <w:rPr>
          <w:rFonts w:ascii="Arial" w:hAnsi="Arial" w:cs="Arial"/>
          <w:sz w:val="24"/>
          <w:szCs w:val="24"/>
        </w:rPr>
        <w:t>data takes digital form and another exists in paper charts and</w:t>
      </w:r>
      <w:r w:rsidR="0084366E" w:rsidRPr="00712E7C">
        <w:rPr>
          <w:rFonts w:ascii="Arial" w:hAnsi="Arial" w:cs="Arial"/>
          <w:sz w:val="24"/>
          <w:szCs w:val="24"/>
        </w:rPr>
        <w:t xml:space="preserve"> in</w:t>
      </w:r>
      <w:r w:rsidR="00621C60" w:rsidRPr="00712E7C">
        <w:rPr>
          <w:rFonts w:ascii="Arial" w:hAnsi="Arial" w:cs="Arial"/>
          <w:sz w:val="24"/>
          <w:szCs w:val="24"/>
        </w:rPr>
        <w:t xml:space="preserve"> the experience of analysts. However, data can also</w:t>
      </w:r>
      <w:r w:rsidRPr="00712E7C">
        <w:rPr>
          <w:rFonts w:ascii="Arial" w:hAnsi="Arial" w:cs="Arial"/>
          <w:sz w:val="24"/>
          <w:szCs w:val="24"/>
        </w:rPr>
        <w:t xml:space="preserve"> be differentiated by its temporal reference</w:t>
      </w:r>
      <w:r w:rsidR="00D513D9" w:rsidRPr="00712E7C">
        <w:rPr>
          <w:rFonts w:ascii="Arial" w:hAnsi="Arial" w:cs="Arial"/>
          <w:sz w:val="24"/>
          <w:szCs w:val="24"/>
        </w:rPr>
        <w:t xml:space="preserve"> to the past, present or future. In other words, data bear different modes of temporal address. </w:t>
      </w:r>
    </w:p>
    <w:p w:rsidR="00085065" w:rsidRDefault="00C64AE8" w:rsidP="00712E7C">
      <w:pPr>
        <w:spacing w:after="0" w:line="360" w:lineRule="auto"/>
        <w:jc w:val="both"/>
        <w:rPr>
          <w:rFonts w:ascii="Arial" w:hAnsi="Arial" w:cs="Arial"/>
          <w:sz w:val="24"/>
          <w:szCs w:val="24"/>
        </w:rPr>
      </w:pPr>
      <w:r w:rsidRPr="00712E7C">
        <w:rPr>
          <w:rFonts w:ascii="Arial" w:hAnsi="Arial" w:cs="Arial"/>
          <w:sz w:val="24"/>
          <w:szCs w:val="24"/>
        </w:rPr>
        <w:lastRenderedPageBreak/>
        <w:t>The temporal heterogeneity of data cannot be understood as an obstacle to technological redeployment in the FRS. Rather</w:t>
      </w:r>
      <w:r w:rsidR="00DD5D6A">
        <w:rPr>
          <w:rFonts w:ascii="Arial" w:hAnsi="Arial" w:cs="Arial"/>
          <w:sz w:val="24"/>
          <w:szCs w:val="24"/>
        </w:rPr>
        <w:t>,</w:t>
      </w:r>
      <w:r w:rsidRPr="00712E7C">
        <w:rPr>
          <w:rFonts w:ascii="Arial" w:hAnsi="Arial" w:cs="Arial"/>
          <w:sz w:val="24"/>
          <w:szCs w:val="24"/>
        </w:rPr>
        <w:t xml:space="preserve"> the integration of different temporalities is foundational to the act of risk analysis. </w:t>
      </w:r>
      <w:r w:rsidR="005164B8" w:rsidRPr="00712E7C">
        <w:rPr>
          <w:rFonts w:ascii="Arial" w:hAnsi="Arial" w:cs="Arial"/>
          <w:sz w:val="24"/>
          <w:szCs w:val="24"/>
        </w:rPr>
        <w:t>Analysing the future, rendering risks visible through calculation in the present</w:t>
      </w:r>
      <w:r w:rsidR="00D513D9" w:rsidRPr="00712E7C">
        <w:rPr>
          <w:rFonts w:ascii="Arial" w:hAnsi="Arial" w:cs="Arial"/>
          <w:sz w:val="24"/>
          <w:szCs w:val="24"/>
        </w:rPr>
        <w:t>,</w:t>
      </w:r>
      <w:r w:rsidR="005164B8" w:rsidRPr="00712E7C">
        <w:rPr>
          <w:rFonts w:ascii="Arial" w:hAnsi="Arial" w:cs="Arial"/>
          <w:sz w:val="24"/>
          <w:szCs w:val="24"/>
        </w:rPr>
        <w:t xml:space="preserve"> is an </w:t>
      </w:r>
      <w:r w:rsidR="00085065" w:rsidRPr="00712E7C">
        <w:rPr>
          <w:rFonts w:ascii="Arial" w:hAnsi="Arial" w:cs="Arial"/>
          <w:sz w:val="24"/>
          <w:szCs w:val="24"/>
        </w:rPr>
        <w:t>onto-</w:t>
      </w:r>
      <w:r w:rsidR="005164B8" w:rsidRPr="00712E7C">
        <w:rPr>
          <w:rFonts w:ascii="Arial" w:hAnsi="Arial" w:cs="Arial"/>
          <w:sz w:val="24"/>
          <w:szCs w:val="24"/>
        </w:rPr>
        <w:t>epi</w:t>
      </w:r>
      <w:r w:rsidR="00085065" w:rsidRPr="00712E7C">
        <w:rPr>
          <w:rFonts w:ascii="Arial" w:hAnsi="Arial" w:cs="Arial"/>
          <w:sz w:val="24"/>
          <w:szCs w:val="24"/>
        </w:rPr>
        <w:t>s</w:t>
      </w:r>
      <w:r w:rsidR="005164B8" w:rsidRPr="00712E7C">
        <w:rPr>
          <w:rFonts w:ascii="Arial" w:hAnsi="Arial" w:cs="Arial"/>
          <w:sz w:val="24"/>
          <w:szCs w:val="24"/>
        </w:rPr>
        <w:t>temic performance</w:t>
      </w:r>
      <w:r w:rsidR="00DD5D6A">
        <w:rPr>
          <w:rFonts w:ascii="Arial" w:hAnsi="Arial" w:cs="Arial"/>
          <w:sz w:val="24"/>
          <w:szCs w:val="24"/>
        </w:rPr>
        <w:t>,</w:t>
      </w:r>
      <w:r w:rsidR="005164B8" w:rsidRPr="00712E7C">
        <w:rPr>
          <w:rFonts w:ascii="Arial" w:hAnsi="Arial" w:cs="Arial"/>
          <w:sz w:val="24"/>
          <w:szCs w:val="24"/>
        </w:rPr>
        <w:t xml:space="preserve"> which relies upon and seeks to exploit the different temporal registers of data. In her discussion of data derivatives, Amoore </w:t>
      </w:r>
      <w:r w:rsidR="00DD5D6A">
        <w:rPr>
          <w:rFonts w:ascii="Arial" w:hAnsi="Arial" w:cs="Arial"/>
          <w:sz w:val="24"/>
          <w:szCs w:val="24"/>
        </w:rPr>
        <w:t xml:space="preserve">(2013:52) </w:t>
      </w:r>
      <w:r w:rsidR="00085065" w:rsidRPr="00712E7C">
        <w:rPr>
          <w:rFonts w:ascii="Arial" w:hAnsi="Arial" w:cs="Arial"/>
          <w:sz w:val="24"/>
          <w:szCs w:val="24"/>
        </w:rPr>
        <w:t xml:space="preserve">argues that new modes of calculation </w:t>
      </w:r>
      <w:r w:rsidR="00DD5D6A">
        <w:rPr>
          <w:rFonts w:ascii="Arial" w:hAnsi="Arial" w:cs="Arial"/>
          <w:sz w:val="24"/>
          <w:szCs w:val="24"/>
        </w:rPr>
        <w:t xml:space="preserve">that </w:t>
      </w:r>
      <w:r w:rsidR="00085065" w:rsidRPr="00712E7C">
        <w:rPr>
          <w:rFonts w:ascii="Arial" w:hAnsi="Arial" w:cs="Arial"/>
          <w:sz w:val="24"/>
          <w:szCs w:val="24"/>
        </w:rPr>
        <w:t>work with, rather than being adverse to, the uncertainty of the future amount</w:t>
      </w:r>
      <w:r w:rsidR="00DD5D6A">
        <w:rPr>
          <w:rFonts w:ascii="Arial" w:hAnsi="Arial" w:cs="Arial"/>
          <w:sz w:val="24"/>
          <w:szCs w:val="24"/>
        </w:rPr>
        <w:t xml:space="preserve"> to arraying relations between “</w:t>
      </w:r>
      <w:r w:rsidR="00085065" w:rsidRPr="00712E7C">
        <w:rPr>
          <w:rFonts w:ascii="Arial" w:hAnsi="Arial" w:cs="Arial"/>
          <w:sz w:val="24"/>
          <w:szCs w:val="24"/>
        </w:rPr>
        <w:t>an</w:t>
      </w:r>
      <w:r w:rsidR="00E25B64" w:rsidRPr="00712E7C">
        <w:rPr>
          <w:rFonts w:ascii="Arial" w:hAnsi="Arial" w:cs="Arial"/>
          <w:sz w:val="24"/>
          <w:szCs w:val="24"/>
        </w:rPr>
        <w:t xml:space="preserve"> amalgam of disaggregated data</w:t>
      </w:r>
      <w:r w:rsidR="00DD5D6A">
        <w:rPr>
          <w:rFonts w:ascii="Arial" w:hAnsi="Arial" w:cs="Arial"/>
          <w:sz w:val="24"/>
          <w:szCs w:val="24"/>
        </w:rPr>
        <w:t>”</w:t>
      </w:r>
      <w:r w:rsidR="00E25B64" w:rsidRPr="00712E7C">
        <w:rPr>
          <w:rFonts w:ascii="Arial" w:hAnsi="Arial" w:cs="Arial"/>
          <w:sz w:val="24"/>
          <w:szCs w:val="24"/>
        </w:rPr>
        <w:t>.</w:t>
      </w:r>
      <w:r w:rsidR="00DD5D6A">
        <w:rPr>
          <w:rFonts w:ascii="Arial" w:hAnsi="Arial" w:cs="Arial"/>
          <w:sz w:val="24"/>
          <w:szCs w:val="24"/>
        </w:rPr>
        <w:t xml:space="preserve"> For Amoore; “</w:t>
      </w:r>
      <w:r w:rsidR="00FA4A69" w:rsidRPr="00712E7C">
        <w:rPr>
          <w:rFonts w:ascii="Arial" w:hAnsi="Arial" w:cs="Arial"/>
          <w:sz w:val="24"/>
          <w:szCs w:val="24"/>
        </w:rPr>
        <w:t>new temporal arrangements for</w:t>
      </w:r>
      <w:r w:rsidR="00DD5D6A">
        <w:rPr>
          <w:rFonts w:ascii="Arial" w:hAnsi="Arial" w:cs="Arial"/>
          <w:sz w:val="24"/>
          <w:szCs w:val="24"/>
        </w:rPr>
        <w:t xml:space="preserve"> managing the uncertain future” (2013:61)</w:t>
      </w:r>
      <w:r w:rsidR="00DD5D6A" w:rsidRPr="00712E7C">
        <w:rPr>
          <w:rFonts w:ascii="Arial" w:hAnsi="Arial" w:cs="Arial"/>
          <w:sz w:val="24"/>
          <w:szCs w:val="24"/>
        </w:rPr>
        <w:t xml:space="preserve"> </w:t>
      </w:r>
      <w:r w:rsidR="00FA4A69" w:rsidRPr="00712E7C">
        <w:rPr>
          <w:rFonts w:ascii="Arial" w:hAnsi="Arial" w:cs="Arial"/>
          <w:sz w:val="24"/>
          <w:szCs w:val="24"/>
        </w:rPr>
        <w:t>are</w:t>
      </w:r>
      <w:r w:rsidR="00C67295" w:rsidRPr="00712E7C">
        <w:rPr>
          <w:rFonts w:ascii="Arial" w:hAnsi="Arial" w:cs="Arial"/>
          <w:sz w:val="24"/>
          <w:szCs w:val="24"/>
        </w:rPr>
        <w:t xml:space="preserve"> enacted and</w:t>
      </w:r>
      <w:r w:rsidR="00FA4A69" w:rsidRPr="00712E7C">
        <w:rPr>
          <w:rFonts w:ascii="Arial" w:hAnsi="Arial" w:cs="Arial"/>
          <w:sz w:val="24"/>
          <w:szCs w:val="24"/>
        </w:rPr>
        <w:t xml:space="preserve"> performed by the integration of heterogeneous data and the forms of calculation enabled. </w:t>
      </w:r>
    </w:p>
    <w:p w:rsidR="00DD5D6A" w:rsidRPr="00712E7C" w:rsidRDefault="00DD5D6A" w:rsidP="00712E7C">
      <w:pPr>
        <w:spacing w:after="0" w:line="360" w:lineRule="auto"/>
        <w:jc w:val="both"/>
        <w:rPr>
          <w:rFonts w:ascii="Arial" w:hAnsi="Arial" w:cs="Arial"/>
          <w:sz w:val="24"/>
          <w:szCs w:val="24"/>
        </w:rPr>
      </w:pPr>
    </w:p>
    <w:p w:rsidR="00834E4A" w:rsidRDefault="00085065" w:rsidP="00712E7C">
      <w:pPr>
        <w:spacing w:after="0" w:line="360" w:lineRule="auto"/>
        <w:jc w:val="both"/>
        <w:rPr>
          <w:rFonts w:ascii="Arial" w:hAnsi="Arial" w:cs="Arial"/>
          <w:sz w:val="24"/>
          <w:szCs w:val="24"/>
        </w:rPr>
      </w:pPr>
      <w:r w:rsidRPr="00712E7C">
        <w:rPr>
          <w:rFonts w:ascii="Arial" w:hAnsi="Arial" w:cs="Arial"/>
          <w:sz w:val="24"/>
          <w:szCs w:val="24"/>
        </w:rPr>
        <w:t>To return to th</w:t>
      </w:r>
      <w:r w:rsidR="00D513D9" w:rsidRPr="00712E7C">
        <w:rPr>
          <w:rFonts w:ascii="Arial" w:hAnsi="Arial" w:cs="Arial"/>
          <w:sz w:val="24"/>
          <w:szCs w:val="24"/>
        </w:rPr>
        <w:t>e example of risk profiling, the futures presented through analysis are underpinned by different configurations of the relations between data</w:t>
      </w:r>
      <w:r w:rsidRPr="00712E7C">
        <w:rPr>
          <w:rFonts w:ascii="Arial" w:hAnsi="Arial" w:cs="Arial"/>
          <w:sz w:val="24"/>
          <w:szCs w:val="24"/>
        </w:rPr>
        <w:t xml:space="preserve">. </w:t>
      </w:r>
      <w:r w:rsidR="00FD1A0A" w:rsidRPr="00712E7C">
        <w:rPr>
          <w:rFonts w:ascii="Arial" w:hAnsi="Arial" w:cs="Arial"/>
          <w:sz w:val="24"/>
          <w:szCs w:val="24"/>
        </w:rPr>
        <w:t xml:space="preserve">At a rather rudimentary level, the analysis </w:t>
      </w:r>
      <w:r w:rsidR="00C530C9">
        <w:rPr>
          <w:rFonts w:ascii="Arial" w:hAnsi="Arial" w:cs="Arial"/>
          <w:sz w:val="24"/>
          <w:szCs w:val="24"/>
        </w:rPr>
        <w:t>that</w:t>
      </w:r>
      <w:r w:rsidR="00FD1A0A" w:rsidRPr="00712E7C">
        <w:rPr>
          <w:rFonts w:ascii="Arial" w:hAnsi="Arial" w:cs="Arial"/>
          <w:sz w:val="24"/>
          <w:szCs w:val="24"/>
        </w:rPr>
        <w:t xml:space="preserve"> MOSAIC permits could</w:t>
      </w:r>
      <w:r w:rsidR="00363AD1" w:rsidRPr="00712E7C">
        <w:rPr>
          <w:rFonts w:ascii="Arial" w:hAnsi="Arial" w:cs="Arial"/>
          <w:sz w:val="24"/>
          <w:szCs w:val="24"/>
        </w:rPr>
        <w:t xml:space="preserve"> be</w:t>
      </w:r>
      <w:r w:rsidR="00FD1A0A" w:rsidRPr="00712E7C">
        <w:rPr>
          <w:rFonts w:ascii="Arial" w:hAnsi="Arial" w:cs="Arial"/>
          <w:sz w:val="24"/>
          <w:szCs w:val="24"/>
        </w:rPr>
        <w:t xml:space="preserve"> undertaken through</w:t>
      </w:r>
      <w:r w:rsidR="00363AD1" w:rsidRPr="00712E7C">
        <w:rPr>
          <w:rFonts w:ascii="Arial" w:hAnsi="Arial" w:cs="Arial"/>
          <w:sz w:val="24"/>
          <w:szCs w:val="24"/>
        </w:rPr>
        <w:t xml:space="preserve"> a</w:t>
      </w:r>
      <w:r w:rsidR="00FD1A0A" w:rsidRPr="00712E7C">
        <w:rPr>
          <w:rFonts w:ascii="Arial" w:hAnsi="Arial" w:cs="Arial"/>
          <w:sz w:val="24"/>
          <w:szCs w:val="24"/>
        </w:rPr>
        <w:t xml:space="preserve"> simple correlation between two different t</w:t>
      </w:r>
      <w:r w:rsidR="00EB4C9A" w:rsidRPr="00712E7C">
        <w:rPr>
          <w:rFonts w:ascii="Arial" w:hAnsi="Arial" w:cs="Arial"/>
          <w:sz w:val="24"/>
          <w:szCs w:val="24"/>
        </w:rPr>
        <w:t>emporal moments</w:t>
      </w:r>
      <w:r w:rsidR="00363AD1" w:rsidRPr="00712E7C">
        <w:rPr>
          <w:rFonts w:ascii="Arial" w:hAnsi="Arial" w:cs="Arial"/>
          <w:sz w:val="24"/>
          <w:szCs w:val="24"/>
        </w:rPr>
        <w:t xml:space="preserve"> that data integration has made possible</w:t>
      </w:r>
      <w:r w:rsidR="00FD1A0A" w:rsidRPr="00712E7C">
        <w:rPr>
          <w:rFonts w:ascii="Arial" w:hAnsi="Arial" w:cs="Arial"/>
          <w:sz w:val="24"/>
          <w:szCs w:val="24"/>
        </w:rPr>
        <w:t xml:space="preserve">. Previous fire distribution </w:t>
      </w:r>
      <w:r w:rsidR="00363AD1" w:rsidRPr="00712E7C">
        <w:rPr>
          <w:rFonts w:ascii="Arial" w:hAnsi="Arial" w:cs="Arial"/>
          <w:sz w:val="24"/>
          <w:szCs w:val="24"/>
        </w:rPr>
        <w:t>could thus be compared against potential lifestyle distribution.</w:t>
      </w:r>
      <w:r w:rsidRPr="00712E7C">
        <w:rPr>
          <w:rFonts w:ascii="Arial" w:hAnsi="Arial" w:cs="Arial"/>
          <w:sz w:val="24"/>
          <w:szCs w:val="24"/>
        </w:rPr>
        <w:t xml:space="preserve"> This correlative analysis</w:t>
      </w:r>
      <w:r w:rsidR="00363AD1" w:rsidRPr="00712E7C">
        <w:rPr>
          <w:rFonts w:ascii="Arial" w:hAnsi="Arial" w:cs="Arial"/>
          <w:sz w:val="24"/>
          <w:szCs w:val="24"/>
        </w:rPr>
        <w:t xml:space="preserve"> permits analysts to infer whether previous fires have anything to do with lifestyle. </w:t>
      </w:r>
      <w:r w:rsidR="00D513D9" w:rsidRPr="00712E7C">
        <w:rPr>
          <w:rFonts w:ascii="Arial" w:hAnsi="Arial" w:cs="Arial"/>
          <w:sz w:val="24"/>
          <w:szCs w:val="24"/>
        </w:rPr>
        <w:t xml:space="preserve">Although an important foundation to build analysis upon, this </w:t>
      </w:r>
      <w:r w:rsidR="003F2034" w:rsidRPr="00712E7C">
        <w:rPr>
          <w:rFonts w:ascii="Arial" w:hAnsi="Arial" w:cs="Arial"/>
          <w:sz w:val="24"/>
          <w:szCs w:val="24"/>
        </w:rPr>
        <w:t>simple correlative temporal fix</w:t>
      </w:r>
      <w:r w:rsidR="006E0990" w:rsidRPr="00712E7C">
        <w:rPr>
          <w:rFonts w:ascii="Arial" w:hAnsi="Arial" w:cs="Arial"/>
          <w:sz w:val="24"/>
          <w:szCs w:val="24"/>
        </w:rPr>
        <w:t xml:space="preserve"> </w:t>
      </w:r>
      <w:r w:rsidR="00C530C9">
        <w:rPr>
          <w:rFonts w:ascii="Arial" w:hAnsi="Arial" w:cs="Arial"/>
          <w:sz w:val="24"/>
          <w:szCs w:val="24"/>
        </w:rPr>
        <w:t xml:space="preserve">that </w:t>
      </w:r>
      <w:r w:rsidR="006E0990" w:rsidRPr="00712E7C">
        <w:rPr>
          <w:rFonts w:ascii="Arial" w:hAnsi="Arial" w:cs="Arial"/>
          <w:sz w:val="24"/>
          <w:szCs w:val="24"/>
        </w:rPr>
        <w:t>MOSAIC</w:t>
      </w:r>
      <w:r w:rsidR="00EB4C9A" w:rsidRPr="00712E7C">
        <w:rPr>
          <w:rFonts w:ascii="Arial" w:hAnsi="Arial" w:cs="Arial"/>
          <w:sz w:val="24"/>
          <w:szCs w:val="24"/>
        </w:rPr>
        <w:t xml:space="preserve"> actualises</w:t>
      </w:r>
      <w:r w:rsidR="00D513D9" w:rsidRPr="00712E7C">
        <w:rPr>
          <w:rFonts w:ascii="Arial" w:hAnsi="Arial" w:cs="Arial"/>
          <w:sz w:val="24"/>
          <w:szCs w:val="24"/>
        </w:rPr>
        <w:t xml:space="preserve"> will not suffice to inform the construction of risk profiles</w:t>
      </w:r>
      <w:r w:rsidR="003F2034" w:rsidRPr="00712E7C">
        <w:rPr>
          <w:rFonts w:ascii="Arial" w:hAnsi="Arial" w:cs="Arial"/>
          <w:sz w:val="24"/>
          <w:szCs w:val="24"/>
        </w:rPr>
        <w:t>. Demonstrating this correlation through MOSAIC, the analyst narrated a disjuncture between potential distribution of lifestyle and previous fire location.</w:t>
      </w:r>
      <w:r w:rsidR="000F5E63" w:rsidRPr="00712E7C">
        <w:rPr>
          <w:rFonts w:ascii="Arial" w:hAnsi="Arial" w:cs="Arial"/>
          <w:sz w:val="24"/>
          <w:szCs w:val="24"/>
        </w:rPr>
        <w:t xml:space="preserve"> On the lifestyle map MOSAIC presents</w:t>
      </w:r>
      <w:r w:rsidR="003F2034" w:rsidRPr="00712E7C">
        <w:rPr>
          <w:rFonts w:ascii="Arial" w:hAnsi="Arial" w:cs="Arial"/>
          <w:sz w:val="24"/>
          <w:szCs w:val="24"/>
        </w:rPr>
        <w:t>, the location of fires cut across areas o</w:t>
      </w:r>
      <w:r w:rsidR="00F72C5D" w:rsidRPr="00712E7C">
        <w:rPr>
          <w:rFonts w:ascii="Arial" w:hAnsi="Arial" w:cs="Arial"/>
          <w:sz w:val="24"/>
          <w:szCs w:val="24"/>
        </w:rPr>
        <w:t xml:space="preserve">f multiple different lifestyles, making the vulnerability of </w:t>
      </w:r>
      <w:r w:rsidR="00EB4C9A" w:rsidRPr="00712E7C">
        <w:rPr>
          <w:rFonts w:ascii="Arial" w:hAnsi="Arial" w:cs="Arial"/>
          <w:sz w:val="24"/>
          <w:szCs w:val="24"/>
        </w:rPr>
        <w:t>particular</w:t>
      </w:r>
      <w:r w:rsidR="00F72C5D" w:rsidRPr="00712E7C">
        <w:rPr>
          <w:rFonts w:ascii="Arial" w:hAnsi="Arial" w:cs="Arial"/>
          <w:sz w:val="24"/>
          <w:szCs w:val="24"/>
        </w:rPr>
        <w:t xml:space="preserve"> lifestyle</w:t>
      </w:r>
      <w:r w:rsidR="00EB4C9A" w:rsidRPr="00712E7C">
        <w:rPr>
          <w:rFonts w:ascii="Arial" w:hAnsi="Arial" w:cs="Arial"/>
          <w:sz w:val="24"/>
          <w:szCs w:val="24"/>
        </w:rPr>
        <w:t xml:space="preserve"> groups</w:t>
      </w:r>
      <w:r w:rsidR="00F72C5D" w:rsidRPr="00712E7C">
        <w:rPr>
          <w:rFonts w:ascii="Arial" w:hAnsi="Arial" w:cs="Arial"/>
          <w:sz w:val="24"/>
          <w:szCs w:val="24"/>
        </w:rPr>
        <w:t xml:space="preserve"> to fire a matter of ambiguity.</w:t>
      </w:r>
      <w:r w:rsidR="003F2034" w:rsidRPr="00712E7C">
        <w:rPr>
          <w:rFonts w:ascii="Arial" w:hAnsi="Arial" w:cs="Arial"/>
          <w:sz w:val="24"/>
          <w:szCs w:val="24"/>
        </w:rPr>
        <w:t xml:space="preserve"> </w:t>
      </w:r>
    </w:p>
    <w:p w:rsidR="00C530C9" w:rsidRPr="00712E7C" w:rsidRDefault="00C530C9" w:rsidP="00712E7C">
      <w:pPr>
        <w:spacing w:after="0" w:line="360" w:lineRule="auto"/>
        <w:jc w:val="both"/>
        <w:rPr>
          <w:rFonts w:ascii="Arial" w:hAnsi="Arial" w:cs="Arial"/>
          <w:sz w:val="24"/>
          <w:szCs w:val="24"/>
        </w:rPr>
      </w:pPr>
    </w:p>
    <w:p w:rsidR="003F2034" w:rsidRDefault="00834E4A" w:rsidP="00712E7C">
      <w:pPr>
        <w:spacing w:after="0" w:line="360" w:lineRule="auto"/>
        <w:jc w:val="both"/>
        <w:rPr>
          <w:rFonts w:ascii="Arial" w:hAnsi="Arial" w:cs="Arial"/>
          <w:sz w:val="24"/>
          <w:szCs w:val="24"/>
        </w:rPr>
      </w:pPr>
      <w:r w:rsidRPr="00712E7C">
        <w:rPr>
          <w:rFonts w:ascii="Arial" w:hAnsi="Arial" w:cs="Arial"/>
          <w:sz w:val="24"/>
          <w:szCs w:val="24"/>
        </w:rPr>
        <w:t>The</w:t>
      </w:r>
      <w:r w:rsidR="00D24BBD" w:rsidRPr="00712E7C">
        <w:rPr>
          <w:rFonts w:ascii="Arial" w:hAnsi="Arial" w:cs="Arial"/>
          <w:sz w:val="24"/>
          <w:szCs w:val="24"/>
        </w:rPr>
        <w:t xml:space="preserve"> </w:t>
      </w:r>
      <w:r w:rsidR="00993312" w:rsidRPr="00712E7C">
        <w:rPr>
          <w:rFonts w:ascii="Arial" w:hAnsi="Arial" w:cs="Arial"/>
          <w:sz w:val="24"/>
          <w:szCs w:val="24"/>
        </w:rPr>
        <w:t>problem</w:t>
      </w:r>
      <w:r w:rsidR="00D24BBD" w:rsidRPr="00712E7C">
        <w:rPr>
          <w:rFonts w:ascii="Arial" w:hAnsi="Arial" w:cs="Arial"/>
          <w:sz w:val="24"/>
          <w:szCs w:val="24"/>
        </w:rPr>
        <w:t xml:space="preserve"> named by the analyst is only recognised as such because of the strategies of intervention </w:t>
      </w:r>
      <w:r w:rsidR="0084366E" w:rsidRPr="00712E7C">
        <w:rPr>
          <w:rFonts w:ascii="Arial" w:hAnsi="Arial" w:cs="Arial"/>
          <w:sz w:val="24"/>
          <w:szCs w:val="24"/>
        </w:rPr>
        <w:t>that risk analysis will inform in the FRS.</w:t>
      </w:r>
      <w:r w:rsidR="00D24BBD" w:rsidRPr="00712E7C">
        <w:rPr>
          <w:rFonts w:ascii="Arial" w:hAnsi="Arial" w:cs="Arial"/>
          <w:sz w:val="24"/>
          <w:szCs w:val="24"/>
        </w:rPr>
        <w:t xml:space="preserve"> </w:t>
      </w:r>
      <w:r w:rsidR="009F2ED4" w:rsidRPr="00712E7C">
        <w:rPr>
          <w:rFonts w:ascii="Arial" w:hAnsi="Arial" w:cs="Arial"/>
          <w:sz w:val="24"/>
          <w:szCs w:val="24"/>
        </w:rPr>
        <w:t>Targeting on the basis of previous fire locations would be justifiable if the FRS itself sought to react to fire in its known previous distribution.</w:t>
      </w:r>
      <w:r w:rsidRPr="00712E7C">
        <w:rPr>
          <w:rFonts w:ascii="Arial" w:hAnsi="Arial" w:cs="Arial"/>
          <w:sz w:val="24"/>
          <w:szCs w:val="24"/>
        </w:rPr>
        <w:t xml:space="preserve"> To do so, however, would be to belie the hope that M</w:t>
      </w:r>
      <w:r w:rsidR="000F5E63" w:rsidRPr="00712E7C">
        <w:rPr>
          <w:rFonts w:ascii="Arial" w:hAnsi="Arial" w:cs="Arial"/>
          <w:sz w:val="24"/>
          <w:szCs w:val="24"/>
        </w:rPr>
        <w:t>OSAIC and lifestyle data embody;</w:t>
      </w:r>
      <w:r w:rsidRPr="00712E7C">
        <w:rPr>
          <w:rFonts w:ascii="Arial" w:hAnsi="Arial" w:cs="Arial"/>
          <w:sz w:val="24"/>
          <w:szCs w:val="24"/>
        </w:rPr>
        <w:t xml:space="preserve"> a hope that thi</w:t>
      </w:r>
      <w:r w:rsidR="00C530C9">
        <w:rPr>
          <w:rFonts w:ascii="Arial" w:hAnsi="Arial" w:cs="Arial"/>
          <w:sz w:val="24"/>
          <w:szCs w:val="24"/>
        </w:rPr>
        <w:t>s technology and these</w:t>
      </w:r>
      <w:r w:rsidR="000F5E63" w:rsidRPr="00712E7C">
        <w:rPr>
          <w:rFonts w:ascii="Arial" w:hAnsi="Arial" w:cs="Arial"/>
          <w:sz w:val="24"/>
          <w:szCs w:val="24"/>
        </w:rPr>
        <w:t xml:space="preserve"> data hold</w:t>
      </w:r>
      <w:r w:rsidRPr="00712E7C">
        <w:rPr>
          <w:rFonts w:ascii="Arial" w:hAnsi="Arial" w:cs="Arial"/>
          <w:sz w:val="24"/>
          <w:szCs w:val="24"/>
        </w:rPr>
        <w:t xml:space="preserve"> within the</w:t>
      </w:r>
      <w:r w:rsidR="000F5E63" w:rsidRPr="00712E7C">
        <w:rPr>
          <w:rFonts w:ascii="Arial" w:hAnsi="Arial" w:cs="Arial"/>
          <w:sz w:val="24"/>
          <w:szCs w:val="24"/>
        </w:rPr>
        <w:t>m the</w:t>
      </w:r>
      <w:r w:rsidRPr="00712E7C">
        <w:rPr>
          <w:rFonts w:ascii="Arial" w:hAnsi="Arial" w:cs="Arial"/>
          <w:sz w:val="24"/>
          <w:szCs w:val="24"/>
        </w:rPr>
        <w:t xml:space="preserve"> capacity to secure the future in the now. </w:t>
      </w:r>
      <w:r w:rsidR="009F2ED4" w:rsidRPr="00712E7C">
        <w:rPr>
          <w:rFonts w:ascii="Arial" w:hAnsi="Arial" w:cs="Arial"/>
          <w:sz w:val="24"/>
          <w:szCs w:val="24"/>
        </w:rPr>
        <w:t>Enacting governance in anticipation of fire requires that previous fire location</w:t>
      </w:r>
      <w:r w:rsidR="000F5E63" w:rsidRPr="00712E7C">
        <w:rPr>
          <w:rFonts w:ascii="Arial" w:hAnsi="Arial" w:cs="Arial"/>
          <w:sz w:val="24"/>
          <w:szCs w:val="24"/>
        </w:rPr>
        <w:t xml:space="preserve"> data need</w:t>
      </w:r>
      <w:r w:rsidR="009F2ED4" w:rsidRPr="00712E7C">
        <w:rPr>
          <w:rFonts w:ascii="Arial" w:hAnsi="Arial" w:cs="Arial"/>
          <w:sz w:val="24"/>
          <w:szCs w:val="24"/>
        </w:rPr>
        <w:t xml:space="preserve"> to </w:t>
      </w:r>
      <w:r w:rsidR="009F2ED4" w:rsidRPr="00712E7C">
        <w:rPr>
          <w:rFonts w:ascii="Arial" w:hAnsi="Arial" w:cs="Arial"/>
          <w:sz w:val="24"/>
          <w:szCs w:val="24"/>
        </w:rPr>
        <w:lastRenderedPageBreak/>
        <w:t xml:space="preserve">be mobilised in analysis in a way that identifies fire in its future proclivity as a risk. </w:t>
      </w:r>
      <w:r w:rsidR="00F72C5D" w:rsidRPr="00712E7C">
        <w:rPr>
          <w:rFonts w:ascii="Arial" w:hAnsi="Arial" w:cs="Arial"/>
          <w:sz w:val="24"/>
          <w:szCs w:val="24"/>
        </w:rPr>
        <w:t xml:space="preserve">As a technology </w:t>
      </w:r>
      <w:r w:rsidR="00993312" w:rsidRPr="00712E7C">
        <w:rPr>
          <w:rFonts w:ascii="Arial" w:hAnsi="Arial" w:cs="Arial"/>
          <w:sz w:val="24"/>
          <w:szCs w:val="24"/>
        </w:rPr>
        <w:t xml:space="preserve">redeployed </w:t>
      </w:r>
      <w:r w:rsidR="00687F4E" w:rsidRPr="00712E7C">
        <w:rPr>
          <w:rFonts w:ascii="Arial" w:hAnsi="Arial" w:cs="Arial"/>
          <w:sz w:val="24"/>
          <w:szCs w:val="24"/>
        </w:rPr>
        <w:t>to practice a</w:t>
      </w:r>
      <w:r w:rsidR="00F72C5D" w:rsidRPr="00712E7C">
        <w:rPr>
          <w:rFonts w:ascii="Arial" w:hAnsi="Arial" w:cs="Arial"/>
          <w:sz w:val="24"/>
          <w:szCs w:val="24"/>
        </w:rPr>
        <w:t xml:space="preserve"> new governing rationale premised on potential, the calculations MOSAIC performs must be based on temporal configurations</w:t>
      </w:r>
      <w:r w:rsidR="00C530C9">
        <w:rPr>
          <w:rFonts w:ascii="Arial" w:hAnsi="Arial" w:cs="Arial"/>
          <w:sz w:val="24"/>
          <w:szCs w:val="24"/>
        </w:rPr>
        <w:t>,</w:t>
      </w:r>
      <w:r w:rsidR="00F72C5D" w:rsidRPr="00712E7C">
        <w:rPr>
          <w:rFonts w:ascii="Arial" w:hAnsi="Arial" w:cs="Arial"/>
          <w:sz w:val="24"/>
          <w:szCs w:val="24"/>
        </w:rPr>
        <w:t xml:space="preserve"> which</w:t>
      </w:r>
      <w:r w:rsidR="000F5E63" w:rsidRPr="00712E7C">
        <w:rPr>
          <w:rFonts w:ascii="Arial" w:hAnsi="Arial" w:cs="Arial"/>
          <w:sz w:val="24"/>
          <w:szCs w:val="24"/>
        </w:rPr>
        <w:t xml:space="preserve"> hold </w:t>
      </w:r>
      <w:r w:rsidR="00C530C9">
        <w:rPr>
          <w:rFonts w:ascii="Arial" w:hAnsi="Arial" w:cs="Arial"/>
          <w:sz w:val="24"/>
          <w:szCs w:val="24"/>
        </w:rPr>
        <w:t>that past fire incidents render</w:t>
      </w:r>
      <w:r w:rsidR="000F5E63" w:rsidRPr="00712E7C">
        <w:rPr>
          <w:rFonts w:ascii="Arial" w:hAnsi="Arial" w:cs="Arial"/>
          <w:sz w:val="24"/>
          <w:szCs w:val="24"/>
        </w:rPr>
        <w:t xml:space="preserve"> a location vulnerable to future incidents</w:t>
      </w:r>
      <w:r w:rsidR="00F72C5D" w:rsidRPr="00712E7C">
        <w:rPr>
          <w:rFonts w:ascii="Arial" w:hAnsi="Arial" w:cs="Arial"/>
          <w:sz w:val="24"/>
          <w:szCs w:val="24"/>
        </w:rPr>
        <w:t xml:space="preserve">. </w:t>
      </w:r>
    </w:p>
    <w:p w:rsidR="00C530C9" w:rsidRPr="00712E7C" w:rsidRDefault="00C530C9" w:rsidP="00712E7C">
      <w:pPr>
        <w:spacing w:after="0" w:line="360" w:lineRule="auto"/>
        <w:jc w:val="both"/>
        <w:rPr>
          <w:rFonts w:ascii="Arial" w:hAnsi="Arial" w:cs="Arial"/>
          <w:sz w:val="24"/>
          <w:szCs w:val="24"/>
        </w:rPr>
      </w:pPr>
    </w:p>
    <w:p w:rsidR="009F2ED4" w:rsidRDefault="009F2ED4" w:rsidP="00712E7C">
      <w:pPr>
        <w:spacing w:after="0" w:line="360" w:lineRule="auto"/>
        <w:jc w:val="both"/>
        <w:rPr>
          <w:rFonts w:ascii="Arial" w:hAnsi="Arial" w:cs="Arial"/>
          <w:sz w:val="24"/>
          <w:szCs w:val="24"/>
        </w:rPr>
      </w:pPr>
      <w:r w:rsidRPr="00712E7C">
        <w:rPr>
          <w:rFonts w:ascii="Arial" w:hAnsi="Arial" w:cs="Arial"/>
          <w:sz w:val="24"/>
          <w:szCs w:val="24"/>
        </w:rPr>
        <w:t>Engendering anticipatory forms of governance requires new temporal arrangements to coordinate</w:t>
      </w:r>
      <w:r w:rsidR="000F5E63" w:rsidRPr="00712E7C">
        <w:rPr>
          <w:rFonts w:ascii="Arial" w:hAnsi="Arial" w:cs="Arial"/>
          <w:sz w:val="24"/>
          <w:szCs w:val="24"/>
        </w:rPr>
        <w:t xml:space="preserve"> </w:t>
      </w:r>
      <w:r w:rsidR="0084366E" w:rsidRPr="00712E7C">
        <w:rPr>
          <w:rFonts w:ascii="Arial" w:hAnsi="Arial" w:cs="Arial"/>
          <w:sz w:val="24"/>
          <w:szCs w:val="24"/>
        </w:rPr>
        <w:t xml:space="preserve">the </w:t>
      </w:r>
      <w:r w:rsidR="000F5E63" w:rsidRPr="00712E7C">
        <w:rPr>
          <w:rFonts w:ascii="Arial" w:hAnsi="Arial" w:cs="Arial"/>
          <w:sz w:val="24"/>
          <w:szCs w:val="24"/>
        </w:rPr>
        <w:t xml:space="preserve">calculative </w:t>
      </w:r>
      <w:r w:rsidR="0084366E" w:rsidRPr="00712E7C">
        <w:rPr>
          <w:rFonts w:ascii="Arial" w:hAnsi="Arial" w:cs="Arial"/>
          <w:sz w:val="24"/>
          <w:szCs w:val="24"/>
        </w:rPr>
        <w:t>practices by</w:t>
      </w:r>
      <w:r w:rsidR="000F5E63" w:rsidRPr="00712E7C">
        <w:rPr>
          <w:rFonts w:ascii="Arial" w:hAnsi="Arial" w:cs="Arial"/>
          <w:sz w:val="24"/>
          <w:szCs w:val="24"/>
        </w:rPr>
        <w:t xml:space="preserve"> which fire risk is made sense of</w:t>
      </w:r>
      <w:r w:rsidRPr="00712E7C">
        <w:rPr>
          <w:rFonts w:ascii="Arial" w:hAnsi="Arial" w:cs="Arial"/>
          <w:sz w:val="24"/>
          <w:szCs w:val="24"/>
        </w:rPr>
        <w:t>. Simple correlation between the past and future is not sufficient for knowing f</w:t>
      </w:r>
      <w:r w:rsidR="000F5E63" w:rsidRPr="00712E7C">
        <w:rPr>
          <w:rFonts w:ascii="Arial" w:hAnsi="Arial" w:cs="Arial"/>
          <w:sz w:val="24"/>
          <w:szCs w:val="24"/>
        </w:rPr>
        <w:t>uture fire risk. Neither is such correlative reasoning, in turn, sufficient for informing</w:t>
      </w:r>
      <w:r w:rsidRPr="00712E7C">
        <w:rPr>
          <w:rFonts w:ascii="Arial" w:hAnsi="Arial" w:cs="Arial"/>
          <w:sz w:val="24"/>
          <w:szCs w:val="24"/>
        </w:rPr>
        <w:t xml:space="preserve"> the targeted deployment of preventative resources. In</w:t>
      </w:r>
      <w:r w:rsidR="00250FC4" w:rsidRPr="00712E7C">
        <w:rPr>
          <w:rFonts w:ascii="Arial" w:hAnsi="Arial" w:cs="Arial"/>
          <w:sz w:val="24"/>
          <w:szCs w:val="24"/>
        </w:rPr>
        <w:t xml:space="preserve"> the case of MOSAIC, in</w:t>
      </w:r>
      <w:r w:rsidRPr="00712E7C">
        <w:rPr>
          <w:rFonts w:ascii="Arial" w:hAnsi="Arial" w:cs="Arial"/>
          <w:sz w:val="24"/>
          <w:szCs w:val="24"/>
        </w:rPr>
        <w:t xml:space="preserve">stead, what is known as over-representation analysis will take place. </w:t>
      </w:r>
      <w:r w:rsidR="000F5E63" w:rsidRPr="00712E7C">
        <w:rPr>
          <w:rFonts w:ascii="Arial" w:hAnsi="Arial" w:cs="Arial"/>
          <w:sz w:val="24"/>
          <w:szCs w:val="24"/>
        </w:rPr>
        <w:t>On an Excel spreadsheet, t</w:t>
      </w:r>
      <w:r w:rsidRPr="00712E7C">
        <w:rPr>
          <w:rFonts w:ascii="Arial" w:hAnsi="Arial" w:cs="Arial"/>
          <w:sz w:val="24"/>
          <w:szCs w:val="24"/>
        </w:rPr>
        <w:t xml:space="preserve">he population of the region is </w:t>
      </w:r>
      <w:r w:rsidR="00D72619" w:rsidRPr="00712E7C">
        <w:rPr>
          <w:rFonts w:ascii="Arial" w:hAnsi="Arial" w:cs="Arial"/>
          <w:sz w:val="24"/>
          <w:szCs w:val="24"/>
        </w:rPr>
        <w:t>aggregated into</w:t>
      </w:r>
      <w:r w:rsidR="000F5E63" w:rsidRPr="00712E7C">
        <w:rPr>
          <w:rFonts w:ascii="Arial" w:hAnsi="Arial" w:cs="Arial"/>
          <w:sz w:val="24"/>
          <w:szCs w:val="24"/>
        </w:rPr>
        <w:t xml:space="preserve"> lifestyle groups</w:t>
      </w:r>
      <w:r w:rsidR="00D72619" w:rsidRPr="00712E7C">
        <w:rPr>
          <w:rFonts w:ascii="Arial" w:hAnsi="Arial" w:cs="Arial"/>
          <w:sz w:val="24"/>
          <w:szCs w:val="24"/>
        </w:rPr>
        <w:t xml:space="preserve">. Alongside this aggregation appears the amount of fires </w:t>
      </w:r>
      <w:r w:rsidR="004D095C">
        <w:rPr>
          <w:rFonts w:ascii="Arial" w:hAnsi="Arial" w:cs="Arial"/>
          <w:sz w:val="24"/>
          <w:szCs w:val="24"/>
        </w:rPr>
        <w:t>that</w:t>
      </w:r>
      <w:r w:rsidR="00D72619" w:rsidRPr="00712E7C">
        <w:rPr>
          <w:rFonts w:ascii="Arial" w:hAnsi="Arial" w:cs="Arial"/>
          <w:sz w:val="24"/>
          <w:szCs w:val="24"/>
        </w:rPr>
        <w:t xml:space="preserve"> have occurred within this lifestyle group. Vulnerable lifestyle characteristics will be identified where fire</w:t>
      </w:r>
      <w:r w:rsidR="006B549F" w:rsidRPr="00712E7C">
        <w:rPr>
          <w:rFonts w:ascii="Arial" w:hAnsi="Arial" w:cs="Arial"/>
          <w:sz w:val="24"/>
          <w:szCs w:val="24"/>
        </w:rPr>
        <w:t>’</w:t>
      </w:r>
      <w:r w:rsidR="00D72619" w:rsidRPr="00712E7C">
        <w:rPr>
          <w:rFonts w:ascii="Arial" w:hAnsi="Arial" w:cs="Arial"/>
          <w:sz w:val="24"/>
          <w:szCs w:val="24"/>
        </w:rPr>
        <w:t>s percentage exceeds the percentage proportion of a particular lifestyle group.</w:t>
      </w:r>
    </w:p>
    <w:p w:rsidR="004D095C" w:rsidRPr="00712E7C" w:rsidRDefault="004D095C" w:rsidP="00712E7C">
      <w:pPr>
        <w:spacing w:after="0" w:line="360" w:lineRule="auto"/>
        <w:jc w:val="both"/>
        <w:rPr>
          <w:rFonts w:ascii="Arial" w:hAnsi="Arial" w:cs="Arial"/>
          <w:sz w:val="24"/>
          <w:szCs w:val="24"/>
        </w:rPr>
      </w:pPr>
    </w:p>
    <w:p w:rsidR="00D72619" w:rsidRDefault="006B6B8F" w:rsidP="00712E7C">
      <w:pPr>
        <w:spacing w:after="0" w:line="360" w:lineRule="auto"/>
        <w:jc w:val="both"/>
        <w:rPr>
          <w:rFonts w:ascii="Arial" w:hAnsi="Arial" w:cs="Arial"/>
          <w:sz w:val="24"/>
          <w:szCs w:val="24"/>
        </w:rPr>
      </w:pPr>
      <w:r w:rsidRPr="00712E7C">
        <w:rPr>
          <w:rFonts w:ascii="Arial" w:hAnsi="Arial" w:cs="Arial"/>
          <w:sz w:val="24"/>
          <w:szCs w:val="24"/>
        </w:rPr>
        <w:t>Over-representation analysis creates and performs a new temporal relation between disparate data</w:t>
      </w:r>
      <w:r w:rsidR="000F5E63" w:rsidRPr="00712E7C">
        <w:rPr>
          <w:rFonts w:ascii="Arial" w:hAnsi="Arial" w:cs="Arial"/>
          <w:sz w:val="24"/>
          <w:szCs w:val="24"/>
        </w:rPr>
        <w:t xml:space="preserve"> </w:t>
      </w:r>
      <w:r w:rsidR="004D095C">
        <w:rPr>
          <w:rFonts w:ascii="Arial" w:hAnsi="Arial" w:cs="Arial"/>
          <w:sz w:val="24"/>
          <w:szCs w:val="24"/>
        </w:rPr>
        <w:t>that</w:t>
      </w:r>
      <w:r w:rsidR="000F5E63" w:rsidRPr="00712E7C">
        <w:rPr>
          <w:rFonts w:ascii="Arial" w:hAnsi="Arial" w:cs="Arial"/>
          <w:sz w:val="24"/>
          <w:szCs w:val="24"/>
        </w:rPr>
        <w:t xml:space="preserve"> ha</w:t>
      </w:r>
      <w:r w:rsidR="0084366E" w:rsidRPr="00712E7C">
        <w:rPr>
          <w:rFonts w:ascii="Arial" w:hAnsi="Arial" w:cs="Arial"/>
          <w:sz w:val="24"/>
          <w:szCs w:val="24"/>
        </w:rPr>
        <w:t>ve</w:t>
      </w:r>
      <w:r w:rsidR="000F5E63" w:rsidRPr="00712E7C">
        <w:rPr>
          <w:rFonts w:ascii="Arial" w:hAnsi="Arial" w:cs="Arial"/>
          <w:sz w:val="24"/>
          <w:szCs w:val="24"/>
        </w:rPr>
        <w:t xml:space="preserve"> been integrated</w:t>
      </w:r>
      <w:r w:rsidRPr="00712E7C">
        <w:rPr>
          <w:rFonts w:ascii="Arial" w:hAnsi="Arial" w:cs="Arial"/>
          <w:sz w:val="24"/>
          <w:szCs w:val="24"/>
        </w:rPr>
        <w:t>.</w:t>
      </w:r>
      <w:r w:rsidR="000F5E63" w:rsidRPr="00712E7C">
        <w:rPr>
          <w:rFonts w:ascii="Arial" w:hAnsi="Arial" w:cs="Arial"/>
          <w:sz w:val="24"/>
          <w:szCs w:val="24"/>
        </w:rPr>
        <w:t xml:space="preserve"> Data which capture the potential lifestyle of populations </w:t>
      </w:r>
      <w:r w:rsidRPr="00712E7C">
        <w:rPr>
          <w:rFonts w:ascii="Arial" w:hAnsi="Arial" w:cs="Arial"/>
          <w:sz w:val="24"/>
          <w:szCs w:val="24"/>
        </w:rPr>
        <w:t xml:space="preserve">and data on </w:t>
      </w:r>
      <w:r w:rsidR="000F5E63" w:rsidRPr="00712E7C">
        <w:rPr>
          <w:rFonts w:ascii="Arial" w:hAnsi="Arial" w:cs="Arial"/>
          <w:sz w:val="24"/>
          <w:szCs w:val="24"/>
        </w:rPr>
        <w:t xml:space="preserve">past incidents of fire </w:t>
      </w:r>
      <w:r w:rsidRPr="00712E7C">
        <w:rPr>
          <w:rFonts w:ascii="Arial" w:hAnsi="Arial" w:cs="Arial"/>
          <w:sz w:val="24"/>
          <w:szCs w:val="24"/>
        </w:rPr>
        <w:t xml:space="preserve">are not treated as two separate, albeit inter-related, entities </w:t>
      </w:r>
      <w:r w:rsidR="004D095C">
        <w:rPr>
          <w:rFonts w:ascii="Arial" w:hAnsi="Arial" w:cs="Arial"/>
          <w:sz w:val="24"/>
          <w:szCs w:val="24"/>
        </w:rPr>
        <w:t>offering</w:t>
      </w:r>
      <w:r w:rsidRPr="00712E7C">
        <w:rPr>
          <w:rFonts w:ascii="Arial" w:hAnsi="Arial" w:cs="Arial"/>
          <w:sz w:val="24"/>
          <w:szCs w:val="24"/>
        </w:rPr>
        <w:t xml:space="preserve"> correlative insight. What over-representation analysis does, instead, is play on the capacity and value of different data to be inhabited by each other. Through over-representation analysis the two forms of temporal regi</w:t>
      </w:r>
      <w:r w:rsidR="00FD14E7" w:rsidRPr="00712E7C">
        <w:rPr>
          <w:rFonts w:ascii="Arial" w:hAnsi="Arial" w:cs="Arial"/>
          <w:sz w:val="24"/>
          <w:szCs w:val="24"/>
        </w:rPr>
        <w:t>sters</w:t>
      </w:r>
      <w:r w:rsidRPr="00712E7C">
        <w:rPr>
          <w:rFonts w:ascii="Arial" w:hAnsi="Arial" w:cs="Arial"/>
          <w:sz w:val="24"/>
          <w:szCs w:val="24"/>
        </w:rPr>
        <w:t xml:space="preserve"> that data in this instance</w:t>
      </w:r>
      <w:r w:rsidR="00FD14E7" w:rsidRPr="00712E7C">
        <w:rPr>
          <w:rFonts w:ascii="Arial" w:hAnsi="Arial" w:cs="Arial"/>
          <w:sz w:val="24"/>
          <w:szCs w:val="24"/>
        </w:rPr>
        <w:t xml:space="preserve"> address</w:t>
      </w:r>
      <w:r w:rsidRPr="00712E7C">
        <w:rPr>
          <w:rFonts w:ascii="Arial" w:hAnsi="Arial" w:cs="Arial"/>
          <w:sz w:val="24"/>
          <w:szCs w:val="24"/>
        </w:rPr>
        <w:t xml:space="preserve"> are moulded together. </w:t>
      </w:r>
    </w:p>
    <w:p w:rsidR="004D095C" w:rsidRPr="00712E7C" w:rsidRDefault="004D095C" w:rsidP="00712E7C">
      <w:pPr>
        <w:spacing w:after="0" w:line="360" w:lineRule="auto"/>
        <w:jc w:val="both"/>
        <w:rPr>
          <w:rFonts w:ascii="Arial" w:hAnsi="Arial" w:cs="Arial"/>
          <w:sz w:val="24"/>
          <w:szCs w:val="24"/>
        </w:rPr>
      </w:pPr>
    </w:p>
    <w:p w:rsidR="006B6B8F" w:rsidRPr="00712E7C" w:rsidRDefault="006B6B8F" w:rsidP="00712E7C">
      <w:pPr>
        <w:spacing w:after="0" w:line="360" w:lineRule="auto"/>
        <w:jc w:val="both"/>
        <w:rPr>
          <w:rFonts w:ascii="Arial" w:hAnsi="Arial" w:cs="Arial"/>
          <w:sz w:val="24"/>
          <w:szCs w:val="24"/>
        </w:rPr>
      </w:pPr>
      <w:r w:rsidRPr="00712E7C">
        <w:rPr>
          <w:rFonts w:ascii="Arial" w:hAnsi="Arial" w:cs="Arial"/>
          <w:sz w:val="24"/>
          <w:szCs w:val="24"/>
        </w:rPr>
        <w:t>The result of this enmeshing of heterogeneous data is the formation of a whole new temporal register</w:t>
      </w:r>
      <w:r w:rsidR="004D095C">
        <w:rPr>
          <w:rFonts w:ascii="Arial" w:hAnsi="Arial" w:cs="Arial"/>
          <w:sz w:val="24"/>
          <w:szCs w:val="24"/>
        </w:rPr>
        <w:t>,</w:t>
      </w:r>
      <w:r w:rsidRPr="00712E7C">
        <w:rPr>
          <w:rFonts w:ascii="Arial" w:hAnsi="Arial" w:cs="Arial"/>
          <w:sz w:val="24"/>
          <w:szCs w:val="24"/>
        </w:rPr>
        <w:t xml:space="preserve"> which both affects how the emergency of fire is imagined and </w:t>
      </w:r>
      <w:r w:rsidR="00F76916" w:rsidRPr="00712E7C">
        <w:rPr>
          <w:rFonts w:ascii="Arial" w:hAnsi="Arial" w:cs="Arial"/>
          <w:sz w:val="24"/>
          <w:szCs w:val="24"/>
        </w:rPr>
        <w:t xml:space="preserve">calls forth and facilitates </w:t>
      </w:r>
      <w:r w:rsidRPr="00712E7C">
        <w:rPr>
          <w:rFonts w:ascii="Arial" w:hAnsi="Arial" w:cs="Arial"/>
          <w:sz w:val="24"/>
          <w:szCs w:val="24"/>
        </w:rPr>
        <w:t>new forms of</w:t>
      </w:r>
      <w:r w:rsidR="00F76916" w:rsidRPr="00712E7C">
        <w:rPr>
          <w:rFonts w:ascii="Arial" w:hAnsi="Arial" w:cs="Arial"/>
          <w:sz w:val="24"/>
          <w:szCs w:val="24"/>
        </w:rPr>
        <w:t xml:space="preserve"> government</w:t>
      </w:r>
      <w:r w:rsidRPr="00712E7C">
        <w:rPr>
          <w:rFonts w:ascii="Arial" w:hAnsi="Arial" w:cs="Arial"/>
          <w:sz w:val="24"/>
          <w:szCs w:val="24"/>
        </w:rPr>
        <w:t xml:space="preserve">. </w:t>
      </w:r>
      <w:r w:rsidR="00AC1101" w:rsidRPr="00712E7C">
        <w:rPr>
          <w:rFonts w:ascii="Arial" w:hAnsi="Arial" w:cs="Arial"/>
          <w:sz w:val="24"/>
          <w:szCs w:val="24"/>
        </w:rPr>
        <w:t>The temporal register constructed works to project into the future</w:t>
      </w:r>
      <w:r w:rsidR="004D095C">
        <w:rPr>
          <w:rFonts w:ascii="Arial" w:hAnsi="Arial" w:cs="Arial"/>
          <w:sz w:val="24"/>
          <w:szCs w:val="24"/>
        </w:rPr>
        <w:t>,</w:t>
      </w:r>
      <w:r w:rsidR="00AC1101" w:rsidRPr="00712E7C">
        <w:rPr>
          <w:rFonts w:ascii="Arial" w:hAnsi="Arial" w:cs="Arial"/>
          <w:sz w:val="24"/>
          <w:szCs w:val="24"/>
        </w:rPr>
        <w:t xml:space="preserve"> but in a way that is harboured in, and anchored by, past experience. In other words, the temporal fix established through</w:t>
      </w:r>
      <w:r w:rsidR="008326A4" w:rsidRPr="00712E7C">
        <w:rPr>
          <w:rFonts w:ascii="Arial" w:hAnsi="Arial" w:cs="Arial"/>
          <w:sz w:val="24"/>
          <w:szCs w:val="24"/>
        </w:rPr>
        <w:t xml:space="preserve"> the mobilisation of data in</w:t>
      </w:r>
      <w:r w:rsidR="00AC1101" w:rsidRPr="00712E7C">
        <w:rPr>
          <w:rFonts w:ascii="Arial" w:hAnsi="Arial" w:cs="Arial"/>
          <w:sz w:val="24"/>
          <w:szCs w:val="24"/>
        </w:rPr>
        <w:t xml:space="preserve"> over-representation analysis is but one way by which to capture the risk of fire by its </w:t>
      </w:r>
      <w:r w:rsidR="00694D90" w:rsidRPr="00712E7C">
        <w:rPr>
          <w:rFonts w:ascii="Arial" w:hAnsi="Arial" w:cs="Arial"/>
          <w:i/>
          <w:sz w:val="24"/>
          <w:szCs w:val="24"/>
        </w:rPr>
        <w:t>emergence</w:t>
      </w:r>
      <w:r w:rsidR="00AC1101" w:rsidRPr="00712E7C">
        <w:rPr>
          <w:rFonts w:ascii="Arial" w:hAnsi="Arial" w:cs="Arial"/>
          <w:sz w:val="24"/>
          <w:szCs w:val="24"/>
        </w:rPr>
        <w:t xml:space="preserve">. </w:t>
      </w:r>
    </w:p>
    <w:p w:rsidR="009822F9" w:rsidRDefault="006929CB" w:rsidP="00712E7C">
      <w:pPr>
        <w:spacing w:after="0" w:line="360" w:lineRule="auto"/>
        <w:jc w:val="both"/>
        <w:rPr>
          <w:rFonts w:ascii="Arial" w:hAnsi="Arial" w:cs="Arial"/>
          <w:sz w:val="24"/>
          <w:szCs w:val="24"/>
        </w:rPr>
      </w:pPr>
      <w:r w:rsidRPr="00712E7C">
        <w:rPr>
          <w:rFonts w:ascii="Arial" w:hAnsi="Arial" w:cs="Arial"/>
          <w:sz w:val="24"/>
          <w:szCs w:val="24"/>
        </w:rPr>
        <w:lastRenderedPageBreak/>
        <w:t>To capture the emergence of fire, the forms of calculation enacted in the FRS must operate on the basis of contingency. Specifically, t</w:t>
      </w:r>
      <w:r w:rsidR="007115DA" w:rsidRPr="00712E7C">
        <w:rPr>
          <w:rFonts w:ascii="Arial" w:hAnsi="Arial" w:cs="Arial"/>
          <w:sz w:val="24"/>
          <w:szCs w:val="24"/>
        </w:rPr>
        <w:t>he re-problematisation of fire governance under an anticipatory logic means that fire must be known by its quotidian patterns</w:t>
      </w:r>
      <w:r w:rsidR="00720FD6">
        <w:rPr>
          <w:rFonts w:ascii="Arial" w:hAnsi="Arial" w:cs="Arial"/>
          <w:sz w:val="24"/>
          <w:szCs w:val="24"/>
        </w:rPr>
        <w:t>,</w:t>
      </w:r>
      <w:r w:rsidR="00801840" w:rsidRPr="00712E7C">
        <w:rPr>
          <w:rFonts w:ascii="Arial" w:hAnsi="Arial" w:cs="Arial"/>
          <w:sz w:val="24"/>
          <w:szCs w:val="24"/>
        </w:rPr>
        <w:t xml:space="preserve"> but only insofar as</w:t>
      </w:r>
      <w:r w:rsidR="007115DA" w:rsidRPr="00712E7C">
        <w:rPr>
          <w:rFonts w:ascii="Arial" w:hAnsi="Arial" w:cs="Arial"/>
          <w:sz w:val="24"/>
          <w:szCs w:val="24"/>
        </w:rPr>
        <w:t xml:space="preserve"> to gauge where, why and how such a rigid pattern might fail.</w:t>
      </w:r>
      <w:r w:rsidR="006D143B" w:rsidRPr="00712E7C">
        <w:rPr>
          <w:rFonts w:ascii="Arial" w:hAnsi="Arial" w:cs="Arial"/>
          <w:sz w:val="24"/>
          <w:szCs w:val="24"/>
        </w:rPr>
        <w:t xml:space="preserve"> Rather than looking for correlation which speaks of continuity, calculative techniques deployed under anticipatory forms of governance must seek to emphasise the</w:t>
      </w:r>
      <w:r w:rsidRPr="00712E7C">
        <w:rPr>
          <w:rFonts w:ascii="Arial" w:hAnsi="Arial" w:cs="Arial"/>
          <w:sz w:val="24"/>
          <w:szCs w:val="24"/>
        </w:rPr>
        <w:t xml:space="preserve"> possible</w:t>
      </w:r>
      <w:r w:rsidR="006D143B" w:rsidRPr="00712E7C">
        <w:rPr>
          <w:rFonts w:ascii="Arial" w:hAnsi="Arial" w:cs="Arial"/>
          <w:sz w:val="24"/>
          <w:szCs w:val="24"/>
        </w:rPr>
        <w:t xml:space="preserve"> breakage of normative order.</w:t>
      </w:r>
      <w:r w:rsidR="007115DA" w:rsidRPr="00712E7C">
        <w:rPr>
          <w:rFonts w:ascii="Arial" w:hAnsi="Arial" w:cs="Arial"/>
          <w:sz w:val="24"/>
          <w:szCs w:val="24"/>
        </w:rPr>
        <w:t xml:space="preserve"> Data on potential lifestyles thus serves to disrupt and render precarious fire trends; trends visualised through fire location data. Throug</w:t>
      </w:r>
      <w:r w:rsidR="001B46C2" w:rsidRPr="00712E7C">
        <w:rPr>
          <w:rFonts w:ascii="Arial" w:hAnsi="Arial" w:cs="Arial"/>
          <w:sz w:val="24"/>
          <w:szCs w:val="24"/>
        </w:rPr>
        <w:t xml:space="preserve">h </w:t>
      </w:r>
      <w:r w:rsidR="009822F9" w:rsidRPr="00712E7C">
        <w:rPr>
          <w:rFonts w:ascii="Arial" w:hAnsi="Arial" w:cs="Arial"/>
          <w:sz w:val="24"/>
          <w:szCs w:val="24"/>
        </w:rPr>
        <w:t xml:space="preserve">analysing it in relation </w:t>
      </w:r>
      <w:r w:rsidR="00720FD6">
        <w:rPr>
          <w:rFonts w:ascii="Arial" w:hAnsi="Arial" w:cs="Arial"/>
          <w:sz w:val="24"/>
          <w:szCs w:val="24"/>
        </w:rPr>
        <w:t xml:space="preserve">to </w:t>
      </w:r>
      <w:r w:rsidR="001B46C2" w:rsidRPr="00712E7C">
        <w:rPr>
          <w:rFonts w:ascii="Arial" w:hAnsi="Arial" w:cs="Arial"/>
          <w:sz w:val="24"/>
          <w:szCs w:val="24"/>
        </w:rPr>
        <w:t>lifestyle</w:t>
      </w:r>
      <w:r w:rsidR="009822F9" w:rsidRPr="00712E7C">
        <w:rPr>
          <w:rFonts w:ascii="Arial" w:hAnsi="Arial" w:cs="Arial"/>
          <w:sz w:val="24"/>
          <w:szCs w:val="24"/>
        </w:rPr>
        <w:t xml:space="preserve"> distribution, the stabilised trend of fire distribution has an aleatory event written into it</w:t>
      </w:r>
      <w:r w:rsidR="001B46C2" w:rsidRPr="00712E7C">
        <w:rPr>
          <w:rFonts w:ascii="Arial" w:hAnsi="Arial" w:cs="Arial"/>
          <w:sz w:val="24"/>
          <w:szCs w:val="24"/>
        </w:rPr>
        <w:t>.</w:t>
      </w:r>
      <w:r w:rsidRPr="00712E7C">
        <w:rPr>
          <w:rFonts w:ascii="Arial" w:hAnsi="Arial" w:cs="Arial"/>
          <w:sz w:val="24"/>
          <w:szCs w:val="24"/>
        </w:rPr>
        <w:t xml:space="preserve"> Lifestyle calculation seeks to throw a spanner in </w:t>
      </w:r>
      <w:r w:rsidR="001B46C2" w:rsidRPr="00712E7C">
        <w:rPr>
          <w:rFonts w:ascii="Arial" w:hAnsi="Arial" w:cs="Arial"/>
          <w:sz w:val="24"/>
          <w:szCs w:val="24"/>
        </w:rPr>
        <w:t>the works</w:t>
      </w:r>
      <w:r w:rsidR="00ED12E9">
        <w:rPr>
          <w:rFonts w:ascii="Arial" w:hAnsi="Arial" w:cs="Arial"/>
          <w:sz w:val="24"/>
          <w:szCs w:val="24"/>
        </w:rPr>
        <w:t>,</w:t>
      </w:r>
      <w:r w:rsidR="0072350A" w:rsidRPr="00712E7C">
        <w:rPr>
          <w:rFonts w:ascii="Arial" w:hAnsi="Arial" w:cs="Arial"/>
          <w:sz w:val="24"/>
          <w:szCs w:val="24"/>
        </w:rPr>
        <w:t xml:space="preserve"> or, more appropriately,</w:t>
      </w:r>
      <w:r w:rsidR="001B46C2" w:rsidRPr="00712E7C">
        <w:rPr>
          <w:rFonts w:ascii="Arial" w:hAnsi="Arial" w:cs="Arial"/>
          <w:sz w:val="24"/>
          <w:szCs w:val="24"/>
        </w:rPr>
        <w:t xml:space="preserve"> </w:t>
      </w:r>
      <w:r w:rsidR="00CE128D" w:rsidRPr="00712E7C">
        <w:rPr>
          <w:rFonts w:ascii="Arial" w:hAnsi="Arial" w:cs="Arial"/>
          <w:sz w:val="24"/>
          <w:szCs w:val="24"/>
        </w:rPr>
        <w:t>a</w:t>
      </w:r>
      <w:r w:rsidR="001B46C2" w:rsidRPr="00712E7C">
        <w:rPr>
          <w:rFonts w:ascii="Arial" w:hAnsi="Arial" w:cs="Arial"/>
          <w:sz w:val="24"/>
          <w:szCs w:val="24"/>
        </w:rPr>
        <w:t xml:space="preserve"> </w:t>
      </w:r>
      <w:r w:rsidRPr="00712E7C">
        <w:rPr>
          <w:rFonts w:ascii="Arial" w:hAnsi="Arial" w:cs="Arial"/>
          <w:sz w:val="24"/>
          <w:szCs w:val="24"/>
        </w:rPr>
        <w:t xml:space="preserve">smoking </w:t>
      </w:r>
      <w:r w:rsidR="001B46C2" w:rsidRPr="00712E7C">
        <w:rPr>
          <w:rFonts w:ascii="Arial" w:hAnsi="Arial" w:cs="Arial"/>
          <w:sz w:val="24"/>
          <w:szCs w:val="24"/>
        </w:rPr>
        <w:t>cigarette</w:t>
      </w:r>
      <w:r w:rsidR="00720FD6">
        <w:rPr>
          <w:rFonts w:ascii="Arial" w:hAnsi="Arial" w:cs="Arial"/>
          <w:sz w:val="24"/>
          <w:szCs w:val="24"/>
        </w:rPr>
        <w:t xml:space="preserve"> </w:t>
      </w:r>
      <w:r w:rsidRPr="00712E7C">
        <w:rPr>
          <w:rFonts w:ascii="Arial" w:hAnsi="Arial" w:cs="Arial"/>
          <w:sz w:val="24"/>
          <w:szCs w:val="24"/>
        </w:rPr>
        <w:t>of those who belong to a lifestyle</w:t>
      </w:r>
      <w:r w:rsidR="00720FD6">
        <w:rPr>
          <w:rFonts w:ascii="Arial" w:hAnsi="Arial" w:cs="Arial"/>
          <w:sz w:val="24"/>
          <w:szCs w:val="24"/>
        </w:rPr>
        <w:t xml:space="preserve"> group associated with smoking </w:t>
      </w:r>
      <w:r w:rsidR="00ED12E9">
        <w:rPr>
          <w:rFonts w:ascii="Arial" w:hAnsi="Arial" w:cs="Arial"/>
          <w:sz w:val="24"/>
          <w:szCs w:val="24"/>
        </w:rPr>
        <w:t>that</w:t>
      </w:r>
      <w:r w:rsidR="00720FD6">
        <w:rPr>
          <w:rFonts w:ascii="Arial" w:hAnsi="Arial" w:cs="Arial"/>
          <w:sz w:val="24"/>
          <w:szCs w:val="24"/>
        </w:rPr>
        <w:t xml:space="preserve"> </w:t>
      </w:r>
      <w:r w:rsidR="001B46C2" w:rsidRPr="00712E7C">
        <w:rPr>
          <w:rFonts w:ascii="Arial" w:hAnsi="Arial" w:cs="Arial"/>
          <w:sz w:val="24"/>
          <w:szCs w:val="24"/>
        </w:rPr>
        <w:t xml:space="preserve">is left on a sofa. </w:t>
      </w:r>
      <w:r w:rsidR="009822F9" w:rsidRPr="00712E7C">
        <w:rPr>
          <w:rFonts w:ascii="Arial" w:hAnsi="Arial" w:cs="Arial"/>
          <w:sz w:val="24"/>
          <w:szCs w:val="24"/>
        </w:rPr>
        <w:t xml:space="preserve">The emergent character of fire is invoked through arranging data bearing different temporal modes of address to one another. Data on potential lifestyles are used to render contingent fire trends acquired from data on fire incident location in the past. </w:t>
      </w:r>
    </w:p>
    <w:p w:rsidR="00ED12E9" w:rsidRPr="00712E7C" w:rsidRDefault="00ED12E9" w:rsidP="00712E7C">
      <w:pPr>
        <w:spacing w:after="0" w:line="360" w:lineRule="auto"/>
        <w:jc w:val="both"/>
        <w:rPr>
          <w:rFonts w:ascii="Arial" w:hAnsi="Arial" w:cs="Arial"/>
          <w:sz w:val="24"/>
          <w:szCs w:val="24"/>
        </w:rPr>
      </w:pPr>
    </w:p>
    <w:p w:rsidR="005F2169" w:rsidRDefault="005F2169" w:rsidP="00712E7C">
      <w:pPr>
        <w:spacing w:after="0" w:line="360" w:lineRule="auto"/>
        <w:jc w:val="both"/>
        <w:rPr>
          <w:rFonts w:ascii="Arial" w:hAnsi="Arial" w:cs="Arial"/>
          <w:sz w:val="24"/>
          <w:szCs w:val="24"/>
        </w:rPr>
      </w:pPr>
      <w:r w:rsidRPr="00712E7C">
        <w:rPr>
          <w:rFonts w:ascii="Arial" w:hAnsi="Arial" w:cs="Arial"/>
          <w:sz w:val="24"/>
          <w:szCs w:val="24"/>
        </w:rPr>
        <w:t xml:space="preserve">The redeployment of technologies </w:t>
      </w:r>
      <w:r w:rsidR="009822F9" w:rsidRPr="00712E7C">
        <w:rPr>
          <w:rFonts w:ascii="Arial" w:hAnsi="Arial" w:cs="Arial"/>
          <w:sz w:val="24"/>
          <w:szCs w:val="24"/>
        </w:rPr>
        <w:t xml:space="preserve">through </w:t>
      </w:r>
      <w:r w:rsidRPr="00712E7C">
        <w:rPr>
          <w:rFonts w:ascii="Arial" w:hAnsi="Arial" w:cs="Arial"/>
          <w:sz w:val="24"/>
          <w:szCs w:val="24"/>
        </w:rPr>
        <w:t>which the localisation of anticipatory modes of governance is facilitated has been treated</w:t>
      </w:r>
      <w:r w:rsidR="009822F9" w:rsidRPr="00712E7C">
        <w:rPr>
          <w:rFonts w:ascii="Arial" w:hAnsi="Arial" w:cs="Arial"/>
          <w:sz w:val="24"/>
          <w:szCs w:val="24"/>
        </w:rPr>
        <w:t xml:space="preserve"> in terms of the new forms of calculation new technologies open up</w:t>
      </w:r>
      <w:r w:rsidRPr="00712E7C">
        <w:rPr>
          <w:rFonts w:ascii="Arial" w:hAnsi="Arial" w:cs="Arial"/>
          <w:sz w:val="24"/>
          <w:szCs w:val="24"/>
        </w:rPr>
        <w:t>. Th</w:t>
      </w:r>
      <w:r w:rsidR="009B53B4" w:rsidRPr="00712E7C">
        <w:rPr>
          <w:rFonts w:ascii="Arial" w:hAnsi="Arial" w:cs="Arial"/>
          <w:sz w:val="24"/>
          <w:szCs w:val="24"/>
        </w:rPr>
        <w:t>e</w:t>
      </w:r>
      <w:r w:rsidR="009772AE" w:rsidRPr="00712E7C">
        <w:rPr>
          <w:rFonts w:ascii="Arial" w:hAnsi="Arial" w:cs="Arial"/>
          <w:sz w:val="24"/>
          <w:szCs w:val="24"/>
        </w:rPr>
        <w:t xml:space="preserve"> differential</w:t>
      </w:r>
      <w:r w:rsidR="009B53B4" w:rsidRPr="00712E7C">
        <w:rPr>
          <w:rFonts w:ascii="Arial" w:hAnsi="Arial" w:cs="Arial"/>
          <w:sz w:val="24"/>
          <w:szCs w:val="24"/>
        </w:rPr>
        <w:t xml:space="preserve"> temporal </w:t>
      </w:r>
      <w:r w:rsidR="009772AE" w:rsidRPr="00712E7C">
        <w:rPr>
          <w:rFonts w:ascii="Arial" w:hAnsi="Arial" w:cs="Arial"/>
          <w:sz w:val="24"/>
          <w:szCs w:val="24"/>
        </w:rPr>
        <w:t>address</w:t>
      </w:r>
      <w:r w:rsidR="00ED12E9">
        <w:rPr>
          <w:rFonts w:ascii="Arial" w:hAnsi="Arial" w:cs="Arial"/>
          <w:sz w:val="24"/>
          <w:szCs w:val="24"/>
        </w:rPr>
        <w:t xml:space="preserve"> of data has</w:t>
      </w:r>
      <w:r w:rsidRPr="00712E7C">
        <w:rPr>
          <w:rFonts w:ascii="Arial" w:hAnsi="Arial" w:cs="Arial"/>
          <w:sz w:val="24"/>
          <w:szCs w:val="24"/>
        </w:rPr>
        <w:t xml:space="preserve"> been</w:t>
      </w:r>
      <w:r w:rsidR="009B53B4" w:rsidRPr="00712E7C">
        <w:rPr>
          <w:rFonts w:ascii="Arial" w:hAnsi="Arial" w:cs="Arial"/>
          <w:sz w:val="24"/>
          <w:szCs w:val="24"/>
        </w:rPr>
        <w:t xml:space="preserve"> pivotal to my examination</w:t>
      </w:r>
      <w:r w:rsidRPr="00712E7C">
        <w:rPr>
          <w:rFonts w:ascii="Arial" w:hAnsi="Arial" w:cs="Arial"/>
          <w:sz w:val="24"/>
          <w:szCs w:val="24"/>
        </w:rPr>
        <w:t xml:space="preserve">. I have shown how the temporal heterogeneity of data mobilised is not a problem </w:t>
      </w:r>
      <w:r w:rsidR="000853ED" w:rsidRPr="00712E7C">
        <w:rPr>
          <w:rFonts w:ascii="Arial" w:hAnsi="Arial" w:cs="Arial"/>
          <w:sz w:val="24"/>
          <w:szCs w:val="24"/>
        </w:rPr>
        <w:t>for the localisation of anticipatory governance measures to the banal risk of fire. Rather, this temporal heterogeneity is vital to the relational ontology</w:t>
      </w:r>
      <w:r w:rsidR="00DD61F8" w:rsidRPr="00712E7C">
        <w:rPr>
          <w:rFonts w:ascii="Arial" w:hAnsi="Arial" w:cs="Arial"/>
          <w:sz w:val="24"/>
          <w:szCs w:val="24"/>
        </w:rPr>
        <w:t xml:space="preserve"> that engenders risk projections</w:t>
      </w:r>
      <w:r w:rsidR="000853ED" w:rsidRPr="00712E7C">
        <w:rPr>
          <w:rFonts w:ascii="Arial" w:hAnsi="Arial" w:cs="Arial"/>
          <w:sz w:val="24"/>
          <w:szCs w:val="24"/>
        </w:rPr>
        <w:t xml:space="preserve">. Forms </w:t>
      </w:r>
      <w:r w:rsidR="00E25B64" w:rsidRPr="00712E7C">
        <w:rPr>
          <w:rFonts w:ascii="Arial" w:hAnsi="Arial" w:cs="Arial"/>
          <w:sz w:val="24"/>
          <w:szCs w:val="24"/>
        </w:rPr>
        <w:t xml:space="preserve">of calculation, as Amoore </w:t>
      </w:r>
      <w:r w:rsidR="00ED12E9">
        <w:rPr>
          <w:rFonts w:ascii="Arial" w:hAnsi="Arial" w:cs="Arial"/>
          <w:sz w:val="24"/>
          <w:szCs w:val="24"/>
        </w:rPr>
        <w:t xml:space="preserve">(2013) </w:t>
      </w:r>
      <w:r w:rsidR="00E25B64" w:rsidRPr="00712E7C">
        <w:rPr>
          <w:rFonts w:ascii="Arial" w:hAnsi="Arial" w:cs="Arial"/>
          <w:sz w:val="24"/>
          <w:szCs w:val="24"/>
        </w:rPr>
        <w:t xml:space="preserve">shows, </w:t>
      </w:r>
      <w:r w:rsidR="000853ED" w:rsidRPr="00712E7C">
        <w:rPr>
          <w:rFonts w:ascii="Arial" w:hAnsi="Arial" w:cs="Arial"/>
          <w:sz w:val="24"/>
          <w:szCs w:val="24"/>
        </w:rPr>
        <w:t>are underpinned by array relations made between</w:t>
      </w:r>
      <w:r w:rsidR="009B53B4" w:rsidRPr="00712E7C">
        <w:rPr>
          <w:rFonts w:ascii="Arial" w:hAnsi="Arial" w:cs="Arial"/>
          <w:sz w:val="24"/>
          <w:szCs w:val="24"/>
        </w:rPr>
        <w:t xml:space="preserve"> data which bear</w:t>
      </w:r>
      <w:r w:rsidR="000853ED" w:rsidRPr="00712E7C">
        <w:rPr>
          <w:rFonts w:ascii="Arial" w:hAnsi="Arial" w:cs="Arial"/>
          <w:sz w:val="24"/>
          <w:szCs w:val="24"/>
        </w:rPr>
        <w:t xml:space="preserve"> disparate temporal referents. The relations performed through analysis of data generate new temporalities</w:t>
      </w:r>
      <w:r w:rsidR="00ED12E9">
        <w:rPr>
          <w:rFonts w:ascii="Arial" w:hAnsi="Arial" w:cs="Arial"/>
          <w:sz w:val="24"/>
          <w:szCs w:val="24"/>
        </w:rPr>
        <w:t>,</w:t>
      </w:r>
      <w:r w:rsidR="000853ED" w:rsidRPr="00712E7C">
        <w:rPr>
          <w:rFonts w:ascii="Arial" w:hAnsi="Arial" w:cs="Arial"/>
          <w:sz w:val="24"/>
          <w:szCs w:val="24"/>
        </w:rPr>
        <w:t xml:space="preserve"> which intersect between past and future to envision the potential e</w:t>
      </w:r>
      <w:r w:rsidR="009B53B4" w:rsidRPr="00712E7C">
        <w:rPr>
          <w:rFonts w:ascii="Arial" w:hAnsi="Arial" w:cs="Arial"/>
          <w:sz w:val="24"/>
          <w:szCs w:val="24"/>
        </w:rPr>
        <w:t xml:space="preserve">mergence of events. In the last section, I </w:t>
      </w:r>
      <w:r w:rsidR="0084366E" w:rsidRPr="00712E7C">
        <w:rPr>
          <w:rFonts w:ascii="Arial" w:hAnsi="Arial" w:cs="Arial"/>
          <w:sz w:val="24"/>
          <w:szCs w:val="24"/>
        </w:rPr>
        <w:t>consider my observations</w:t>
      </w:r>
      <w:r w:rsidR="009B53B4" w:rsidRPr="00712E7C">
        <w:rPr>
          <w:rFonts w:ascii="Arial" w:hAnsi="Arial" w:cs="Arial"/>
          <w:sz w:val="24"/>
          <w:szCs w:val="24"/>
        </w:rPr>
        <w:t xml:space="preserve"> regarding technological redeployment and the localisation of governance in relation to broader shifts in the governing rationale of the </w:t>
      </w:r>
      <w:r w:rsidR="00ED12E9">
        <w:rPr>
          <w:rFonts w:ascii="Arial" w:hAnsi="Arial" w:cs="Arial"/>
          <w:sz w:val="24"/>
          <w:szCs w:val="24"/>
        </w:rPr>
        <w:t>UK</w:t>
      </w:r>
      <w:r w:rsidR="009B53B4" w:rsidRPr="00712E7C">
        <w:rPr>
          <w:rFonts w:ascii="Arial" w:hAnsi="Arial" w:cs="Arial"/>
          <w:sz w:val="24"/>
          <w:szCs w:val="24"/>
        </w:rPr>
        <w:t xml:space="preserve"> Fire and Rescue Service in the twenty-first century. </w:t>
      </w:r>
    </w:p>
    <w:p w:rsidR="00ED12E9" w:rsidRDefault="00ED12E9" w:rsidP="00712E7C">
      <w:pPr>
        <w:spacing w:after="0" w:line="360" w:lineRule="auto"/>
        <w:jc w:val="both"/>
        <w:rPr>
          <w:rFonts w:ascii="Arial" w:hAnsi="Arial" w:cs="Arial"/>
          <w:sz w:val="24"/>
          <w:szCs w:val="24"/>
        </w:rPr>
      </w:pPr>
    </w:p>
    <w:p w:rsidR="00ED12E9" w:rsidRPr="00712E7C" w:rsidRDefault="00ED12E9" w:rsidP="00712E7C">
      <w:pPr>
        <w:spacing w:after="0" w:line="360" w:lineRule="auto"/>
        <w:jc w:val="both"/>
        <w:rPr>
          <w:rFonts w:ascii="Arial" w:hAnsi="Arial" w:cs="Arial"/>
          <w:sz w:val="24"/>
          <w:szCs w:val="24"/>
        </w:rPr>
      </w:pPr>
    </w:p>
    <w:p w:rsidR="0024246F" w:rsidRPr="00ED12E9" w:rsidRDefault="00ED12E9" w:rsidP="00712E7C">
      <w:pPr>
        <w:spacing w:after="0" w:line="360" w:lineRule="auto"/>
        <w:jc w:val="both"/>
        <w:rPr>
          <w:rFonts w:ascii="Arial" w:hAnsi="Arial" w:cs="Arial"/>
          <w:b/>
          <w:sz w:val="24"/>
          <w:szCs w:val="24"/>
        </w:rPr>
      </w:pPr>
      <w:r>
        <w:rPr>
          <w:rFonts w:ascii="Arial" w:hAnsi="Arial" w:cs="Arial"/>
          <w:b/>
          <w:sz w:val="24"/>
          <w:szCs w:val="24"/>
        </w:rPr>
        <w:t>Conclusion: e</w:t>
      </w:r>
      <w:r w:rsidR="0024246F" w:rsidRPr="00ED12E9">
        <w:rPr>
          <w:rFonts w:ascii="Arial" w:hAnsi="Arial" w:cs="Arial"/>
          <w:b/>
          <w:sz w:val="24"/>
          <w:szCs w:val="24"/>
        </w:rPr>
        <w:t xml:space="preserve">ntrepreneurial </w:t>
      </w:r>
      <w:r>
        <w:rPr>
          <w:rFonts w:ascii="Arial" w:hAnsi="Arial" w:cs="Arial"/>
          <w:b/>
          <w:sz w:val="24"/>
          <w:szCs w:val="24"/>
        </w:rPr>
        <w:t>a</w:t>
      </w:r>
      <w:r w:rsidR="0024246F" w:rsidRPr="00ED12E9">
        <w:rPr>
          <w:rFonts w:ascii="Arial" w:hAnsi="Arial" w:cs="Arial"/>
          <w:b/>
          <w:sz w:val="24"/>
          <w:szCs w:val="24"/>
        </w:rPr>
        <w:t xml:space="preserve">gents of </w:t>
      </w:r>
      <w:r>
        <w:rPr>
          <w:rFonts w:ascii="Arial" w:hAnsi="Arial" w:cs="Arial"/>
          <w:b/>
          <w:sz w:val="24"/>
          <w:szCs w:val="24"/>
        </w:rPr>
        <w:t>s</w:t>
      </w:r>
      <w:r w:rsidR="0024246F" w:rsidRPr="00ED12E9">
        <w:rPr>
          <w:rFonts w:ascii="Arial" w:hAnsi="Arial" w:cs="Arial"/>
          <w:b/>
          <w:sz w:val="24"/>
          <w:szCs w:val="24"/>
        </w:rPr>
        <w:t>ecurity</w:t>
      </w:r>
    </w:p>
    <w:p w:rsidR="00F2271C" w:rsidRDefault="004F61BE" w:rsidP="00712E7C">
      <w:pPr>
        <w:spacing w:after="0" w:line="360" w:lineRule="auto"/>
        <w:jc w:val="both"/>
        <w:rPr>
          <w:rFonts w:ascii="Arial" w:hAnsi="Arial" w:cs="Arial"/>
          <w:sz w:val="24"/>
          <w:szCs w:val="24"/>
        </w:rPr>
      </w:pPr>
      <w:r w:rsidRPr="00712E7C">
        <w:rPr>
          <w:rFonts w:ascii="Arial" w:hAnsi="Arial" w:cs="Arial"/>
          <w:sz w:val="24"/>
          <w:szCs w:val="24"/>
        </w:rPr>
        <w:lastRenderedPageBreak/>
        <w:t xml:space="preserve">In an age where data and calculative technologies </w:t>
      </w:r>
      <w:r w:rsidR="00EE4459" w:rsidRPr="00712E7C">
        <w:rPr>
          <w:rFonts w:ascii="Arial" w:hAnsi="Arial" w:cs="Arial"/>
          <w:sz w:val="24"/>
          <w:szCs w:val="24"/>
        </w:rPr>
        <w:t>attain an increasing influence in practices of governance</w:t>
      </w:r>
      <w:r w:rsidR="00ED12E9">
        <w:rPr>
          <w:rFonts w:ascii="Arial" w:hAnsi="Arial" w:cs="Arial"/>
          <w:sz w:val="24"/>
          <w:szCs w:val="24"/>
        </w:rPr>
        <w:t>,</w:t>
      </w:r>
      <w:r w:rsidRPr="00712E7C">
        <w:rPr>
          <w:rFonts w:ascii="Arial" w:hAnsi="Arial" w:cs="Arial"/>
          <w:sz w:val="24"/>
          <w:szCs w:val="24"/>
        </w:rPr>
        <w:t xml:space="preserve"> a politics of technological redeployment shapes and co</w:t>
      </w:r>
      <w:r w:rsidR="007352F2" w:rsidRPr="00712E7C">
        <w:rPr>
          <w:rFonts w:ascii="Arial" w:hAnsi="Arial" w:cs="Arial"/>
          <w:sz w:val="24"/>
          <w:szCs w:val="24"/>
        </w:rPr>
        <w:t xml:space="preserve">nditions </w:t>
      </w:r>
      <w:r w:rsidR="00B341E1" w:rsidRPr="00712E7C">
        <w:rPr>
          <w:rFonts w:ascii="Arial" w:hAnsi="Arial" w:cs="Arial"/>
          <w:sz w:val="24"/>
          <w:szCs w:val="24"/>
        </w:rPr>
        <w:t>authorities</w:t>
      </w:r>
      <w:r w:rsidR="007352F2" w:rsidRPr="00712E7C">
        <w:rPr>
          <w:rFonts w:ascii="Arial" w:hAnsi="Arial" w:cs="Arial"/>
          <w:sz w:val="24"/>
          <w:szCs w:val="24"/>
        </w:rPr>
        <w:t xml:space="preserve"> involved in an anticipatory security apparatus</w:t>
      </w:r>
      <w:r w:rsidR="00ED12E9">
        <w:rPr>
          <w:rFonts w:ascii="Arial" w:hAnsi="Arial" w:cs="Arial"/>
          <w:sz w:val="24"/>
          <w:szCs w:val="24"/>
        </w:rPr>
        <w:t>,</w:t>
      </w:r>
      <w:r w:rsidR="007352F2" w:rsidRPr="00712E7C">
        <w:rPr>
          <w:rFonts w:ascii="Arial" w:hAnsi="Arial" w:cs="Arial"/>
          <w:sz w:val="24"/>
          <w:szCs w:val="24"/>
        </w:rPr>
        <w:t xml:space="preserve"> whose application incrementally extends to new domains</w:t>
      </w:r>
      <w:r w:rsidRPr="00712E7C">
        <w:rPr>
          <w:rFonts w:ascii="Arial" w:hAnsi="Arial" w:cs="Arial"/>
          <w:sz w:val="24"/>
          <w:szCs w:val="24"/>
        </w:rPr>
        <w:t>. Software, hardware and data are malleable and subject to localisation to meet specific governmental ends.</w:t>
      </w:r>
      <w:r w:rsidR="00EE4459" w:rsidRPr="00712E7C">
        <w:rPr>
          <w:rFonts w:ascii="Arial" w:hAnsi="Arial" w:cs="Arial"/>
          <w:sz w:val="24"/>
          <w:szCs w:val="24"/>
        </w:rPr>
        <w:t xml:space="preserve"> In other words, such digital entities must undergo transformation to adapt to new organisation sites and spaces before facilitating the enactment of new modes of governance.</w:t>
      </w:r>
      <w:r w:rsidRPr="00712E7C">
        <w:rPr>
          <w:rFonts w:ascii="Arial" w:hAnsi="Arial" w:cs="Arial"/>
          <w:sz w:val="24"/>
          <w:szCs w:val="24"/>
        </w:rPr>
        <w:t xml:space="preserve"> Critical accounts of data-driven governanc</w:t>
      </w:r>
      <w:r w:rsidR="00ED12E9">
        <w:rPr>
          <w:rFonts w:ascii="Arial" w:hAnsi="Arial" w:cs="Arial"/>
          <w:sz w:val="24"/>
          <w:szCs w:val="24"/>
        </w:rPr>
        <w:t>e, as I have suggested in this C</w:t>
      </w:r>
      <w:r w:rsidRPr="00712E7C">
        <w:rPr>
          <w:rFonts w:ascii="Arial" w:hAnsi="Arial" w:cs="Arial"/>
          <w:sz w:val="24"/>
          <w:szCs w:val="24"/>
        </w:rPr>
        <w:t xml:space="preserve">hapter, must examine the mundane organisational routines, practices and processes </w:t>
      </w:r>
      <w:r w:rsidR="00ED12E9">
        <w:rPr>
          <w:rFonts w:ascii="Arial" w:hAnsi="Arial" w:cs="Arial"/>
          <w:sz w:val="24"/>
          <w:szCs w:val="24"/>
        </w:rPr>
        <w:t>that</w:t>
      </w:r>
      <w:r w:rsidRPr="00712E7C">
        <w:rPr>
          <w:rFonts w:ascii="Arial" w:hAnsi="Arial" w:cs="Arial"/>
          <w:sz w:val="24"/>
          <w:szCs w:val="24"/>
        </w:rPr>
        <w:t xml:space="preserve"> facilitate technological redeployment. In the case of the FRS, redeployment instigates new flows of data circulation and calculation</w:t>
      </w:r>
      <w:r w:rsidR="00ED12E9">
        <w:rPr>
          <w:rFonts w:ascii="Arial" w:hAnsi="Arial" w:cs="Arial"/>
          <w:sz w:val="24"/>
          <w:szCs w:val="24"/>
        </w:rPr>
        <w:t>,</w:t>
      </w:r>
      <w:r w:rsidRPr="00712E7C">
        <w:rPr>
          <w:rFonts w:ascii="Arial" w:hAnsi="Arial" w:cs="Arial"/>
          <w:sz w:val="24"/>
          <w:szCs w:val="24"/>
        </w:rPr>
        <w:t xml:space="preserve"> which</w:t>
      </w:r>
      <w:r w:rsidR="00ED12E9">
        <w:rPr>
          <w:rFonts w:ascii="Arial" w:hAnsi="Arial" w:cs="Arial"/>
          <w:sz w:val="24"/>
          <w:szCs w:val="24"/>
        </w:rPr>
        <w:t>,</w:t>
      </w:r>
      <w:r w:rsidRPr="00712E7C">
        <w:rPr>
          <w:rFonts w:ascii="Arial" w:hAnsi="Arial" w:cs="Arial"/>
          <w:sz w:val="24"/>
          <w:szCs w:val="24"/>
        </w:rPr>
        <w:t xml:space="preserve"> in turn</w:t>
      </w:r>
      <w:r w:rsidR="00ED12E9">
        <w:rPr>
          <w:rFonts w:ascii="Arial" w:hAnsi="Arial" w:cs="Arial"/>
          <w:sz w:val="24"/>
          <w:szCs w:val="24"/>
        </w:rPr>
        <w:t>,</w:t>
      </w:r>
      <w:r w:rsidRPr="00712E7C">
        <w:rPr>
          <w:rFonts w:ascii="Arial" w:hAnsi="Arial" w:cs="Arial"/>
          <w:sz w:val="24"/>
          <w:szCs w:val="24"/>
        </w:rPr>
        <w:t xml:space="preserve"> shape practices</w:t>
      </w:r>
      <w:r w:rsidR="00F2271C" w:rsidRPr="00712E7C">
        <w:rPr>
          <w:rFonts w:ascii="Arial" w:hAnsi="Arial" w:cs="Arial"/>
          <w:sz w:val="24"/>
          <w:szCs w:val="24"/>
        </w:rPr>
        <w:t xml:space="preserve"> </w:t>
      </w:r>
      <w:r w:rsidR="00A972A4" w:rsidRPr="00712E7C">
        <w:rPr>
          <w:rFonts w:ascii="Arial" w:hAnsi="Arial" w:cs="Arial"/>
          <w:sz w:val="24"/>
          <w:szCs w:val="24"/>
        </w:rPr>
        <w:t xml:space="preserve">through which the </w:t>
      </w:r>
      <w:r w:rsidR="00B341E1" w:rsidRPr="00712E7C">
        <w:rPr>
          <w:rFonts w:ascii="Arial" w:hAnsi="Arial" w:cs="Arial"/>
          <w:sz w:val="24"/>
          <w:szCs w:val="24"/>
        </w:rPr>
        <w:t>FRS</w:t>
      </w:r>
      <w:r w:rsidR="00A972A4" w:rsidRPr="00712E7C">
        <w:rPr>
          <w:rFonts w:ascii="Arial" w:hAnsi="Arial" w:cs="Arial"/>
          <w:sz w:val="24"/>
          <w:szCs w:val="24"/>
        </w:rPr>
        <w:t xml:space="preserve"> acts upon futures yet to occur. </w:t>
      </w:r>
    </w:p>
    <w:p w:rsidR="00ED12E9" w:rsidRPr="00712E7C" w:rsidRDefault="00ED12E9" w:rsidP="00712E7C">
      <w:pPr>
        <w:spacing w:after="0" w:line="360" w:lineRule="auto"/>
        <w:jc w:val="both"/>
        <w:rPr>
          <w:rFonts w:ascii="Arial" w:hAnsi="Arial" w:cs="Arial"/>
          <w:sz w:val="24"/>
          <w:szCs w:val="24"/>
        </w:rPr>
      </w:pPr>
    </w:p>
    <w:p w:rsidR="007860AF" w:rsidRDefault="00F2271C" w:rsidP="00712E7C">
      <w:pPr>
        <w:spacing w:after="0" w:line="360" w:lineRule="auto"/>
        <w:jc w:val="both"/>
        <w:rPr>
          <w:rFonts w:ascii="Arial" w:hAnsi="Arial" w:cs="Arial"/>
          <w:sz w:val="24"/>
          <w:szCs w:val="24"/>
        </w:rPr>
      </w:pPr>
      <w:r w:rsidRPr="00712E7C">
        <w:rPr>
          <w:rFonts w:ascii="Arial" w:hAnsi="Arial" w:cs="Arial"/>
          <w:sz w:val="24"/>
          <w:szCs w:val="24"/>
        </w:rPr>
        <w:t xml:space="preserve">The </w:t>
      </w:r>
      <w:r w:rsidR="000868EA" w:rsidRPr="00712E7C">
        <w:rPr>
          <w:rFonts w:ascii="Arial" w:hAnsi="Arial" w:cs="Arial"/>
          <w:sz w:val="24"/>
          <w:szCs w:val="24"/>
        </w:rPr>
        <w:t>broader context</w:t>
      </w:r>
      <w:r w:rsidRPr="00712E7C">
        <w:rPr>
          <w:rFonts w:ascii="Arial" w:hAnsi="Arial" w:cs="Arial"/>
          <w:sz w:val="24"/>
          <w:szCs w:val="24"/>
        </w:rPr>
        <w:t xml:space="preserve"> </w:t>
      </w:r>
      <w:r w:rsidR="000868EA" w:rsidRPr="00712E7C">
        <w:rPr>
          <w:rFonts w:ascii="Arial" w:hAnsi="Arial" w:cs="Arial"/>
          <w:sz w:val="24"/>
          <w:szCs w:val="24"/>
        </w:rPr>
        <w:t>with</w:t>
      </w:r>
      <w:r w:rsidRPr="00712E7C">
        <w:rPr>
          <w:rFonts w:ascii="Arial" w:hAnsi="Arial" w:cs="Arial"/>
          <w:sz w:val="24"/>
          <w:szCs w:val="24"/>
        </w:rPr>
        <w:t xml:space="preserve">in which processes of technological redeployment are posited extend to the very ordering of </w:t>
      </w:r>
      <w:r w:rsidR="009D3C70" w:rsidRPr="00712E7C">
        <w:rPr>
          <w:rFonts w:ascii="Arial" w:hAnsi="Arial" w:cs="Arial"/>
          <w:sz w:val="24"/>
          <w:szCs w:val="24"/>
        </w:rPr>
        <w:t>the wider global information network itself</w:t>
      </w:r>
      <w:r w:rsidRPr="00712E7C">
        <w:rPr>
          <w:rFonts w:ascii="Arial" w:hAnsi="Arial" w:cs="Arial"/>
          <w:sz w:val="24"/>
          <w:szCs w:val="24"/>
        </w:rPr>
        <w:t xml:space="preserve">. Being actualised through </w:t>
      </w:r>
      <w:r w:rsidR="009D3C70" w:rsidRPr="00712E7C">
        <w:rPr>
          <w:rFonts w:ascii="Arial" w:hAnsi="Arial" w:cs="Arial"/>
          <w:sz w:val="24"/>
          <w:szCs w:val="24"/>
        </w:rPr>
        <w:t>universally available software and data</w:t>
      </w:r>
      <w:r w:rsidRPr="00712E7C">
        <w:rPr>
          <w:rFonts w:ascii="Arial" w:hAnsi="Arial" w:cs="Arial"/>
          <w:sz w:val="24"/>
          <w:szCs w:val="24"/>
        </w:rPr>
        <w:t xml:space="preserve">, the conditions of possibility for the development of new modes of governance </w:t>
      </w:r>
      <w:r w:rsidR="009D3C70" w:rsidRPr="00712E7C">
        <w:rPr>
          <w:rFonts w:ascii="Arial" w:hAnsi="Arial" w:cs="Arial"/>
          <w:sz w:val="24"/>
          <w:szCs w:val="24"/>
        </w:rPr>
        <w:t>depend in no small part on</w:t>
      </w:r>
      <w:r w:rsidR="00ED12E9">
        <w:rPr>
          <w:rFonts w:ascii="Arial" w:hAnsi="Arial" w:cs="Arial"/>
          <w:sz w:val="24"/>
          <w:szCs w:val="24"/>
        </w:rPr>
        <w:t xml:space="preserve"> </w:t>
      </w:r>
      <w:r w:rsidRPr="00712E7C">
        <w:rPr>
          <w:rFonts w:ascii="Arial" w:hAnsi="Arial" w:cs="Arial"/>
          <w:sz w:val="24"/>
          <w:szCs w:val="24"/>
        </w:rPr>
        <w:t xml:space="preserve">the dis-embedded nature of data flows and the technologies </w:t>
      </w:r>
      <w:r w:rsidR="00ED12E9">
        <w:rPr>
          <w:rFonts w:ascii="Arial" w:hAnsi="Arial" w:cs="Arial"/>
          <w:sz w:val="24"/>
          <w:szCs w:val="24"/>
        </w:rPr>
        <w:t>that</w:t>
      </w:r>
      <w:r w:rsidRPr="00712E7C">
        <w:rPr>
          <w:rFonts w:ascii="Arial" w:hAnsi="Arial" w:cs="Arial"/>
          <w:sz w:val="24"/>
          <w:szCs w:val="24"/>
        </w:rPr>
        <w:t xml:space="preserve"> orient these flows across space. The harnessing of these devices in the FRS is certainly wrought, as has been </w:t>
      </w:r>
      <w:r w:rsidR="00ED12E9">
        <w:rPr>
          <w:rFonts w:ascii="Arial" w:hAnsi="Arial" w:cs="Arial"/>
          <w:sz w:val="24"/>
          <w:szCs w:val="24"/>
        </w:rPr>
        <w:t xml:space="preserve">shown here, by legal and </w:t>
      </w:r>
      <w:r w:rsidRPr="00712E7C">
        <w:rPr>
          <w:rFonts w:ascii="Arial" w:hAnsi="Arial" w:cs="Arial"/>
          <w:sz w:val="24"/>
          <w:szCs w:val="24"/>
        </w:rPr>
        <w:t>ethical complications. The ramifications of drawing upon dis-embedded data flows seem to</w:t>
      </w:r>
      <w:r w:rsidR="009D3C70" w:rsidRPr="00712E7C">
        <w:rPr>
          <w:rFonts w:ascii="Arial" w:hAnsi="Arial" w:cs="Arial"/>
          <w:sz w:val="24"/>
          <w:szCs w:val="24"/>
        </w:rPr>
        <w:t xml:space="preserve"> be</w:t>
      </w:r>
      <w:r w:rsidRPr="00712E7C">
        <w:rPr>
          <w:rFonts w:ascii="Arial" w:hAnsi="Arial" w:cs="Arial"/>
          <w:sz w:val="24"/>
          <w:szCs w:val="24"/>
        </w:rPr>
        <w:t xml:space="preserve"> shared by other organisations; as the case of the NSA PRISM programme</w:t>
      </w:r>
      <w:r w:rsidR="00FD6FA6" w:rsidRPr="00712E7C">
        <w:rPr>
          <w:rFonts w:ascii="Arial" w:hAnsi="Arial" w:cs="Arial"/>
          <w:sz w:val="24"/>
          <w:szCs w:val="24"/>
        </w:rPr>
        <w:t xml:space="preserve"> and its </w:t>
      </w:r>
      <w:r w:rsidR="00ED12E9">
        <w:rPr>
          <w:rFonts w:ascii="Arial" w:hAnsi="Arial" w:cs="Arial"/>
          <w:sz w:val="24"/>
          <w:szCs w:val="24"/>
        </w:rPr>
        <w:t>implications</w:t>
      </w:r>
      <w:r w:rsidRPr="00712E7C">
        <w:rPr>
          <w:rFonts w:ascii="Arial" w:hAnsi="Arial" w:cs="Arial"/>
          <w:sz w:val="24"/>
          <w:szCs w:val="24"/>
        </w:rPr>
        <w:t xml:space="preserve"> suggests (</w:t>
      </w:r>
      <w:r w:rsidR="00ED12E9">
        <w:rPr>
          <w:rFonts w:ascii="Arial" w:hAnsi="Arial" w:cs="Arial"/>
          <w:sz w:val="24"/>
          <w:szCs w:val="24"/>
        </w:rPr>
        <w:t xml:space="preserve">e.g., </w:t>
      </w:r>
      <w:r w:rsidR="00ED12E9" w:rsidRPr="00ED12E9">
        <w:rPr>
          <w:rFonts w:ascii="Arial" w:hAnsi="Arial" w:cs="Arial"/>
          <w:i/>
          <w:sz w:val="24"/>
          <w:szCs w:val="24"/>
        </w:rPr>
        <w:t>The Washington Post</w:t>
      </w:r>
      <w:r w:rsidR="00A65EF0">
        <w:rPr>
          <w:rFonts w:ascii="Arial" w:hAnsi="Arial" w:cs="Arial"/>
          <w:sz w:val="24"/>
          <w:szCs w:val="24"/>
        </w:rPr>
        <w:t>, 7</w:t>
      </w:r>
      <w:r w:rsidR="00ED12E9">
        <w:rPr>
          <w:rFonts w:ascii="Arial" w:hAnsi="Arial" w:cs="Arial"/>
          <w:sz w:val="24"/>
          <w:szCs w:val="24"/>
        </w:rPr>
        <w:t xml:space="preserve"> June </w:t>
      </w:r>
      <w:r w:rsidRPr="00712E7C">
        <w:rPr>
          <w:rFonts w:ascii="Arial" w:hAnsi="Arial" w:cs="Arial"/>
          <w:sz w:val="24"/>
          <w:szCs w:val="24"/>
        </w:rPr>
        <w:t xml:space="preserve">2013). </w:t>
      </w:r>
    </w:p>
    <w:p w:rsidR="00ED12E9" w:rsidRPr="00712E7C" w:rsidRDefault="00ED12E9" w:rsidP="00712E7C">
      <w:pPr>
        <w:spacing w:after="0" w:line="360" w:lineRule="auto"/>
        <w:jc w:val="both"/>
        <w:rPr>
          <w:rFonts w:ascii="Arial" w:hAnsi="Arial" w:cs="Arial"/>
          <w:sz w:val="24"/>
          <w:szCs w:val="24"/>
        </w:rPr>
      </w:pPr>
    </w:p>
    <w:p w:rsidR="00F2271C" w:rsidRPr="00712E7C" w:rsidRDefault="00FD6FA6" w:rsidP="00712E7C">
      <w:pPr>
        <w:spacing w:after="0" w:line="360" w:lineRule="auto"/>
        <w:jc w:val="both"/>
        <w:rPr>
          <w:rFonts w:ascii="Arial" w:hAnsi="Arial" w:cs="Arial"/>
          <w:sz w:val="24"/>
          <w:szCs w:val="24"/>
        </w:rPr>
      </w:pPr>
      <w:r w:rsidRPr="00712E7C">
        <w:rPr>
          <w:rFonts w:ascii="Arial" w:hAnsi="Arial" w:cs="Arial"/>
          <w:sz w:val="24"/>
          <w:szCs w:val="24"/>
        </w:rPr>
        <w:t>But t</w:t>
      </w:r>
      <w:r w:rsidR="00F2271C" w:rsidRPr="00712E7C">
        <w:rPr>
          <w:rFonts w:ascii="Arial" w:hAnsi="Arial" w:cs="Arial"/>
          <w:sz w:val="24"/>
          <w:szCs w:val="24"/>
        </w:rPr>
        <w:t xml:space="preserve">he similarities between the NSA PRISM programme and the case of the </w:t>
      </w:r>
      <w:r w:rsidR="003A5A95" w:rsidRPr="00712E7C">
        <w:rPr>
          <w:rFonts w:ascii="Arial" w:hAnsi="Arial" w:cs="Arial"/>
          <w:sz w:val="24"/>
          <w:szCs w:val="24"/>
        </w:rPr>
        <w:t>FRS go further. In both instance</w:t>
      </w:r>
      <w:r w:rsidR="00F2271C" w:rsidRPr="00712E7C">
        <w:rPr>
          <w:rFonts w:ascii="Arial" w:hAnsi="Arial" w:cs="Arial"/>
          <w:sz w:val="24"/>
          <w:szCs w:val="24"/>
        </w:rPr>
        <w:t>s, ethical complications arise where ques</w:t>
      </w:r>
      <w:r w:rsidR="00ED12E9">
        <w:rPr>
          <w:rFonts w:ascii="Arial" w:hAnsi="Arial" w:cs="Arial"/>
          <w:sz w:val="24"/>
          <w:szCs w:val="24"/>
        </w:rPr>
        <w:t>tions attend to where data come from, the form that data take</w:t>
      </w:r>
      <w:r w:rsidR="00F2271C" w:rsidRPr="00712E7C">
        <w:rPr>
          <w:rFonts w:ascii="Arial" w:hAnsi="Arial" w:cs="Arial"/>
          <w:sz w:val="24"/>
          <w:szCs w:val="24"/>
        </w:rPr>
        <w:t xml:space="preserve">, how </w:t>
      </w:r>
      <w:r w:rsidR="003A5A95" w:rsidRPr="00712E7C">
        <w:rPr>
          <w:rFonts w:ascii="Arial" w:hAnsi="Arial" w:cs="Arial"/>
          <w:sz w:val="24"/>
          <w:szCs w:val="24"/>
        </w:rPr>
        <w:t>data are</w:t>
      </w:r>
      <w:r w:rsidR="00F2271C" w:rsidRPr="00712E7C">
        <w:rPr>
          <w:rFonts w:ascii="Arial" w:hAnsi="Arial" w:cs="Arial"/>
          <w:sz w:val="24"/>
          <w:szCs w:val="24"/>
        </w:rPr>
        <w:t xml:space="preserve"> made sense of through calculation and</w:t>
      </w:r>
      <w:r w:rsidR="003A5A95" w:rsidRPr="00712E7C">
        <w:rPr>
          <w:rFonts w:ascii="Arial" w:hAnsi="Arial" w:cs="Arial"/>
          <w:sz w:val="24"/>
          <w:szCs w:val="24"/>
        </w:rPr>
        <w:t xml:space="preserve"> how data are</w:t>
      </w:r>
      <w:r w:rsidR="00F2271C" w:rsidRPr="00712E7C">
        <w:rPr>
          <w:rFonts w:ascii="Arial" w:hAnsi="Arial" w:cs="Arial"/>
          <w:sz w:val="24"/>
          <w:szCs w:val="24"/>
        </w:rPr>
        <w:t xml:space="preserve"> </w:t>
      </w:r>
      <w:r w:rsidRPr="00712E7C">
        <w:rPr>
          <w:rFonts w:ascii="Arial" w:hAnsi="Arial" w:cs="Arial"/>
          <w:sz w:val="24"/>
          <w:szCs w:val="24"/>
        </w:rPr>
        <w:t xml:space="preserve">mobilised </w:t>
      </w:r>
      <w:r w:rsidR="00F2271C" w:rsidRPr="00712E7C">
        <w:rPr>
          <w:rFonts w:ascii="Arial" w:hAnsi="Arial" w:cs="Arial"/>
          <w:sz w:val="24"/>
          <w:szCs w:val="24"/>
        </w:rPr>
        <w:t xml:space="preserve">in actualising an emergent future. But the reliance of the FRS </w:t>
      </w:r>
      <w:r w:rsidR="00520320" w:rsidRPr="00712E7C">
        <w:rPr>
          <w:rFonts w:ascii="Arial" w:hAnsi="Arial" w:cs="Arial"/>
          <w:sz w:val="24"/>
          <w:szCs w:val="24"/>
        </w:rPr>
        <w:t xml:space="preserve">upon </w:t>
      </w:r>
      <w:r w:rsidR="00074033" w:rsidRPr="00712E7C">
        <w:rPr>
          <w:rFonts w:ascii="Arial" w:hAnsi="Arial" w:cs="Arial"/>
          <w:sz w:val="24"/>
          <w:szCs w:val="24"/>
        </w:rPr>
        <w:t>open global data flows and commercially available technologies</w:t>
      </w:r>
      <w:r w:rsidR="00520320" w:rsidRPr="00712E7C">
        <w:rPr>
          <w:rFonts w:ascii="Arial" w:hAnsi="Arial" w:cs="Arial"/>
          <w:sz w:val="24"/>
          <w:szCs w:val="24"/>
        </w:rPr>
        <w:t xml:space="preserve"> raises another question</w:t>
      </w:r>
      <w:r w:rsidR="000D28DB" w:rsidRPr="00712E7C">
        <w:rPr>
          <w:rFonts w:ascii="Arial" w:hAnsi="Arial" w:cs="Arial"/>
          <w:sz w:val="24"/>
          <w:szCs w:val="24"/>
        </w:rPr>
        <w:t>; a preliminary response to which</w:t>
      </w:r>
      <w:r w:rsidR="00520320" w:rsidRPr="00712E7C">
        <w:rPr>
          <w:rFonts w:ascii="Arial" w:hAnsi="Arial" w:cs="Arial"/>
          <w:sz w:val="24"/>
          <w:szCs w:val="24"/>
        </w:rPr>
        <w:t xml:space="preserve"> I will conclude with. </w:t>
      </w:r>
      <w:r w:rsidR="003A5A95" w:rsidRPr="00712E7C">
        <w:rPr>
          <w:rFonts w:ascii="Arial" w:hAnsi="Arial" w:cs="Arial"/>
          <w:sz w:val="24"/>
          <w:szCs w:val="24"/>
        </w:rPr>
        <w:t>In relation to the processes of technological redeployment described above, the question is</w:t>
      </w:r>
      <w:r w:rsidR="00520320" w:rsidRPr="00712E7C">
        <w:rPr>
          <w:rFonts w:ascii="Arial" w:hAnsi="Arial" w:cs="Arial"/>
          <w:sz w:val="24"/>
          <w:szCs w:val="24"/>
        </w:rPr>
        <w:t xml:space="preserve"> where does authority exist across this network of informational flows</w:t>
      </w:r>
      <w:r w:rsidR="00B82400" w:rsidRPr="00712E7C">
        <w:rPr>
          <w:rFonts w:ascii="Arial" w:hAnsi="Arial" w:cs="Arial"/>
          <w:sz w:val="24"/>
          <w:szCs w:val="24"/>
        </w:rPr>
        <w:t xml:space="preserve"> and calculative devices </w:t>
      </w:r>
      <w:r w:rsidR="00ED12E9">
        <w:rPr>
          <w:rFonts w:ascii="Arial" w:hAnsi="Arial" w:cs="Arial"/>
          <w:sz w:val="24"/>
          <w:szCs w:val="24"/>
        </w:rPr>
        <w:t>that</w:t>
      </w:r>
      <w:r w:rsidR="00B82400" w:rsidRPr="00712E7C">
        <w:rPr>
          <w:rFonts w:ascii="Arial" w:hAnsi="Arial" w:cs="Arial"/>
          <w:sz w:val="24"/>
          <w:szCs w:val="24"/>
        </w:rPr>
        <w:t xml:space="preserve"> provide</w:t>
      </w:r>
      <w:r w:rsidR="00520320" w:rsidRPr="00712E7C">
        <w:rPr>
          <w:rFonts w:ascii="Arial" w:hAnsi="Arial" w:cs="Arial"/>
          <w:sz w:val="24"/>
          <w:szCs w:val="24"/>
        </w:rPr>
        <w:t xml:space="preserve"> the grounds for security in the twenty-first century?</w:t>
      </w:r>
    </w:p>
    <w:p w:rsidR="00007644" w:rsidRDefault="003A5A95" w:rsidP="00712E7C">
      <w:pPr>
        <w:spacing w:after="0" w:line="360" w:lineRule="auto"/>
        <w:jc w:val="both"/>
        <w:rPr>
          <w:rFonts w:ascii="Arial" w:hAnsi="Arial" w:cs="Arial"/>
          <w:sz w:val="24"/>
          <w:szCs w:val="24"/>
        </w:rPr>
      </w:pPr>
      <w:r w:rsidRPr="00712E7C">
        <w:rPr>
          <w:rFonts w:ascii="Arial" w:hAnsi="Arial" w:cs="Arial"/>
          <w:sz w:val="24"/>
          <w:szCs w:val="24"/>
        </w:rPr>
        <w:lastRenderedPageBreak/>
        <w:t xml:space="preserve">In her book </w:t>
      </w:r>
      <w:r w:rsidR="00ED12E9">
        <w:rPr>
          <w:rFonts w:ascii="Arial" w:hAnsi="Arial" w:cs="Arial"/>
          <w:sz w:val="24"/>
          <w:szCs w:val="24"/>
        </w:rPr>
        <w:t>‘</w:t>
      </w:r>
      <w:r w:rsidRPr="00712E7C">
        <w:rPr>
          <w:rFonts w:ascii="Arial" w:hAnsi="Arial" w:cs="Arial"/>
          <w:i/>
          <w:iCs/>
          <w:sz w:val="24"/>
          <w:szCs w:val="24"/>
        </w:rPr>
        <w:t>Speculative Security</w:t>
      </w:r>
      <w:r w:rsidR="00ED12E9">
        <w:rPr>
          <w:rFonts w:ascii="Arial" w:hAnsi="Arial" w:cs="Arial"/>
          <w:i/>
          <w:iCs/>
          <w:sz w:val="24"/>
          <w:szCs w:val="24"/>
        </w:rPr>
        <w:t>’,</w:t>
      </w:r>
      <w:r w:rsidR="00E25B64" w:rsidRPr="00712E7C">
        <w:rPr>
          <w:rFonts w:ascii="Arial" w:hAnsi="Arial" w:cs="Arial"/>
          <w:sz w:val="24"/>
          <w:szCs w:val="24"/>
        </w:rPr>
        <w:t xml:space="preserve"> </w:t>
      </w:r>
      <w:r w:rsidR="00ED12E9">
        <w:rPr>
          <w:rFonts w:ascii="Arial" w:hAnsi="Arial" w:cs="Arial"/>
          <w:sz w:val="24"/>
          <w:szCs w:val="24"/>
        </w:rPr>
        <w:t xml:space="preserve">Marieke de Goede </w:t>
      </w:r>
      <w:r w:rsidRPr="00712E7C">
        <w:rPr>
          <w:rFonts w:ascii="Arial" w:hAnsi="Arial" w:cs="Arial"/>
          <w:sz w:val="24"/>
          <w:szCs w:val="24"/>
        </w:rPr>
        <w:t>understands this problem of where authority lies to be best comprehended through the notion of public-private assemblages</w:t>
      </w:r>
      <w:r w:rsidR="00ED12E9">
        <w:rPr>
          <w:rFonts w:ascii="Arial" w:hAnsi="Arial" w:cs="Arial"/>
          <w:sz w:val="24"/>
          <w:szCs w:val="24"/>
        </w:rPr>
        <w:t xml:space="preserve"> (2012:86-89)</w:t>
      </w:r>
      <w:r w:rsidRPr="00712E7C">
        <w:rPr>
          <w:rFonts w:ascii="Arial" w:hAnsi="Arial" w:cs="Arial"/>
          <w:sz w:val="24"/>
          <w:szCs w:val="24"/>
        </w:rPr>
        <w:t xml:space="preserve">. </w:t>
      </w:r>
      <w:r w:rsidR="004B4616" w:rsidRPr="00712E7C">
        <w:rPr>
          <w:rFonts w:ascii="Arial" w:hAnsi="Arial" w:cs="Arial"/>
          <w:sz w:val="24"/>
          <w:szCs w:val="24"/>
        </w:rPr>
        <w:t xml:space="preserve">Accounting for the multitude of relations which necessarily prevail across and between governing agents where security takes an anticipatory turn, the public-private assemblage has many consequences for any critical analysis of power-laden calculative devices. This public-private assemblage could be used, for instance, to trace the movement of data within a nexus of informational flows and intersections </w:t>
      </w:r>
      <w:r w:rsidR="007C7713">
        <w:rPr>
          <w:rFonts w:ascii="Arial" w:hAnsi="Arial" w:cs="Arial"/>
          <w:sz w:val="24"/>
          <w:szCs w:val="24"/>
        </w:rPr>
        <w:t>that</w:t>
      </w:r>
      <w:r w:rsidR="004B4616" w:rsidRPr="00712E7C">
        <w:rPr>
          <w:rFonts w:ascii="Arial" w:hAnsi="Arial" w:cs="Arial"/>
          <w:sz w:val="24"/>
          <w:szCs w:val="24"/>
        </w:rPr>
        <w:t xml:space="preserve"> reconfigure global space-time. </w:t>
      </w:r>
    </w:p>
    <w:p w:rsidR="007C7713" w:rsidRPr="00712E7C" w:rsidRDefault="007C7713" w:rsidP="00712E7C">
      <w:pPr>
        <w:spacing w:after="0" w:line="360" w:lineRule="auto"/>
        <w:jc w:val="both"/>
        <w:rPr>
          <w:rFonts w:ascii="Arial" w:hAnsi="Arial" w:cs="Arial"/>
          <w:sz w:val="24"/>
          <w:szCs w:val="24"/>
        </w:rPr>
      </w:pPr>
    </w:p>
    <w:p w:rsidR="004B4616" w:rsidRDefault="004B4616" w:rsidP="00712E7C">
      <w:pPr>
        <w:spacing w:after="0" w:line="360" w:lineRule="auto"/>
        <w:jc w:val="both"/>
        <w:rPr>
          <w:rFonts w:ascii="Arial" w:hAnsi="Arial" w:cs="Arial"/>
          <w:sz w:val="24"/>
          <w:szCs w:val="24"/>
        </w:rPr>
      </w:pPr>
      <w:r w:rsidRPr="00712E7C">
        <w:rPr>
          <w:rFonts w:ascii="Arial" w:hAnsi="Arial" w:cs="Arial"/>
          <w:sz w:val="24"/>
          <w:szCs w:val="24"/>
        </w:rPr>
        <w:t xml:space="preserve">The affordances of the public-private assemblage also extend to opening up for critique the possibility of role confusion between public and private agencies enrolled in this assemblage. In the case de Goede </w:t>
      </w:r>
      <w:r w:rsidR="00AD7D69">
        <w:rPr>
          <w:rFonts w:ascii="Arial" w:hAnsi="Arial" w:cs="Arial"/>
          <w:sz w:val="24"/>
          <w:szCs w:val="24"/>
        </w:rPr>
        <w:t xml:space="preserve">(2012) </w:t>
      </w:r>
      <w:r w:rsidRPr="00712E7C">
        <w:rPr>
          <w:rFonts w:ascii="Arial" w:hAnsi="Arial" w:cs="Arial"/>
          <w:sz w:val="24"/>
          <w:szCs w:val="24"/>
        </w:rPr>
        <w:t>elaborates upon, the private concerns and interests of banks entangle and influence public law enforcement issues</w:t>
      </w:r>
      <w:r w:rsidR="000D5693">
        <w:rPr>
          <w:rFonts w:ascii="Arial" w:hAnsi="Arial" w:cs="Arial"/>
          <w:sz w:val="24"/>
          <w:szCs w:val="24"/>
        </w:rPr>
        <w:t>,</w:t>
      </w:r>
      <w:r w:rsidRPr="00712E7C">
        <w:rPr>
          <w:rFonts w:ascii="Arial" w:hAnsi="Arial" w:cs="Arial"/>
          <w:sz w:val="24"/>
          <w:szCs w:val="24"/>
        </w:rPr>
        <w:t xml:space="preserve"> where data on </w:t>
      </w:r>
      <w:r w:rsidR="00074033" w:rsidRPr="00712E7C">
        <w:rPr>
          <w:rFonts w:ascii="Arial" w:hAnsi="Arial" w:cs="Arial"/>
          <w:sz w:val="24"/>
          <w:szCs w:val="24"/>
        </w:rPr>
        <w:t>monetary</w:t>
      </w:r>
      <w:r w:rsidR="00AD7D69">
        <w:rPr>
          <w:rFonts w:ascii="Arial" w:hAnsi="Arial" w:cs="Arial"/>
          <w:sz w:val="24"/>
          <w:szCs w:val="24"/>
        </w:rPr>
        <w:t xml:space="preserve"> circulation are</w:t>
      </w:r>
      <w:r w:rsidRPr="00712E7C">
        <w:rPr>
          <w:rFonts w:ascii="Arial" w:hAnsi="Arial" w:cs="Arial"/>
          <w:sz w:val="24"/>
          <w:szCs w:val="24"/>
        </w:rPr>
        <w:t xml:space="preserve"> used to track people</w:t>
      </w:r>
      <w:r w:rsidR="007C7857" w:rsidRPr="00712E7C">
        <w:rPr>
          <w:rFonts w:ascii="Arial" w:hAnsi="Arial" w:cs="Arial"/>
          <w:sz w:val="24"/>
          <w:szCs w:val="24"/>
        </w:rPr>
        <w:t xml:space="preserve"> suspected to be potential terrorists</w:t>
      </w:r>
      <w:r w:rsidRPr="00712E7C">
        <w:rPr>
          <w:rFonts w:ascii="Arial" w:hAnsi="Arial" w:cs="Arial"/>
          <w:sz w:val="24"/>
          <w:szCs w:val="24"/>
        </w:rPr>
        <w:t xml:space="preserve"> in the war on terror. The question the public-private assemblage can instigate here does not merely revolve around the matter of </w:t>
      </w:r>
      <w:r w:rsidR="00AD7D69">
        <w:rPr>
          <w:rFonts w:ascii="Arial" w:hAnsi="Arial" w:cs="Arial"/>
          <w:sz w:val="24"/>
          <w:szCs w:val="24"/>
        </w:rPr>
        <w:t xml:space="preserve">where authority lies but how </w:t>
      </w:r>
      <w:r w:rsidRPr="00712E7C">
        <w:rPr>
          <w:rFonts w:ascii="Arial" w:hAnsi="Arial" w:cs="Arial"/>
          <w:sz w:val="24"/>
          <w:szCs w:val="24"/>
        </w:rPr>
        <w:t>the interests of different related actors im</w:t>
      </w:r>
      <w:r w:rsidR="00AD7D69">
        <w:rPr>
          <w:rFonts w:ascii="Arial" w:hAnsi="Arial" w:cs="Arial"/>
          <w:sz w:val="24"/>
          <w:szCs w:val="24"/>
        </w:rPr>
        <w:t xml:space="preserve">pose on one another and what </w:t>
      </w:r>
      <w:r w:rsidRPr="00712E7C">
        <w:rPr>
          <w:rFonts w:ascii="Arial" w:hAnsi="Arial" w:cs="Arial"/>
          <w:sz w:val="24"/>
          <w:szCs w:val="24"/>
        </w:rPr>
        <w:t xml:space="preserve">the result </w:t>
      </w:r>
      <w:r w:rsidR="00AD7D69">
        <w:rPr>
          <w:rFonts w:ascii="Arial" w:hAnsi="Arial" w:cs="Arial"/>
          <w:sz w:val="24"/>
          <w:szCs w:val="24"/>
        </w:rPr>
        <w:t xml:space="preserve">is </w:t>
      </w:r>
      <w:r w:rsidRPr="00712E7C">
        <w:rPr>
          <w:rFonts w:ascii="Arial" w:hAnsi="Arial" w:cs="Arial"/>
          <w:sz w:val="24"/>
          <w:szCs w:val="24"/>
        </w:rPr>
        <w:t xml:space="preserve">for how those governing rationalise and justify the operations they undertake. </w:t>
      </w:r>
    </w:p>
    <w:p w:rsidR="007C7713" w:rsidRPr="00712E7C" w:rsidRDefault="007C7713" w:rsidP="00712E7C">
      <w:pPr>
        <w:spacing w:after="0" w:line="360" w:lineRule="auto"/>
        <w:jc w:val="both"/>
        <w:rPr>
          <w:rFonts w:ascii="Arial" w:hAnsi="Arial" w:cs="Arial"/>
          <w:sz w:val="24"/>
          <w:szCs w:val="24"/>
        </w:rPr>
      </w:pPr>
    </w:p>
    <w:p w:rsidR="00AD7D69" w:rsidRDefault="00EF5AAC" w:rsidP="00712E7C">
      <w:pPr>
        <w:spacing w:after="0" w:line="360" w:lineRule="auto"/>
        <w:jc w:val="both"/>
        <w:rPr>
          <w:rFonts w:ascii="Arial" w:hAnsi="Arial" w:cs="Arial"/>
          <w:sz w:val="24"/>
          <w:szCs w:val="24"/>
        </w:rPr>
      </w:pPr>
      <w:r w:rsidRPr="00712E7C">
        <w:rPr>
          <w:rFonts w:ascii="Arial" w:hAnsi="Arial" w:cs="Arial"/>
          <w:sz w:val="24"/>
          <w:szCs w:val="24"/>
        </w:rPr>
        <w:t>As has been documented, processes</w:t>
      </w:r>
      <w:r w:rsidR="00667041" w:rsidRPr="00712E7C">
        <w:rPr>
          <w:rFonts w:ascii="Arial" w:hAnsi="Arial" w:cs="Arial"/>
          <w:sz w:val="24"/>
          <w:szCs w:val="24"/>
        </w:rPr>
        <w:t xml:space="preserve"> of</w:t>
      </w:r>
      <w:r w:rsidRPr="00712E7C">
        <w:rPr>
          <w:rFonts w:ascii="Arial" w:hAnsi="Arial" w:cs="Arial"/>
          <w:sz w:val="24"/>
          <w:szCs w:val="24"/>
        </w:rPr>
        <w:t xml:space="preserve"> technolo</w:t>
      </w:r>
      <w:r w:rsidR="00667041" w:rsidRPr="00712E7C">
        <w:rPr>
          <w:rFonts w:ascii="Arial" w:hAnsi="Arial" w:cs="Arial"/>
          <w:sz w:val="24"/>
          <w:szCs w:val="24"/>
        </w:rPr>
        <w:t>gical redeployment in the FRS are</w:t>
      </w:r>
      <w:r w:rsidRPr="00712E7C">
        <w:rPr>
          <w:rFonts w:ascii="Arial" w:hAnsi="Arial" w:cs="Arial"/>
          <w:sz w:val="24"/>
          <w:szCs w:val="24"/>
        </w:rPr>
        <w:t xml:space="preserve"> envelope</w:t>
      </w:r>
      <w:r w:rsidR="00667041" w:rsidRPr="00712E7C">
        <w:rPr>
          <w:rFonts w:ascii="Arial" w:hAnsi="Arial" w:cs="Arial"/>
          <w:sz w:val="24"/>
          <w:szCs w:val="24"/>
        </w:rPr>
        <w:t>d within, and indeed facilitate</w:t>
      </w:r>
      <w:r w:rsidRPr="00712E7C">
        <w:rPr>
          <w:rFonts w:ascii="Arial" w:hAnsi="Arial" w:cs="Arial"/>
          <w:sz w:val="24"/>
          <w:szCs w:val="24"/>
        </w:rPr>
        <w:t>, a wider organisational change</w:t>
      </w:r>
      <w:r w:rsidR="00AD7D69">
        <w:rPr>
          <w:rFonts w:ascii="Arial" w:hAnsi="Arial" w:cs="Arial"/>
          <w:sz w:val="24"/>
          <w:szCs w:val="24"/>
        </w:rPr>
        <w:t>,</w:t>
      </w:r>
      <w:r w:rsidRPr="00712E7C">
        <w:rPr>
          <w:rFonts w:ascii="Arial" w:hAnsi="Arial" w:cs="Arial"/>
          <w:sz w:val="24"/>
          <w:szCs w:val="24"/>
        </w:rPr>
        <w:t xml:space="preserve"> whereby the</w:t>
      </w:r>
      <w:r w:rsidR="00455567" w:rsidRPr="00712E7C">
        <w:rPr>
          <w:rFonts w:ascii="Arial" w:hAnsi="Arial" w:cs="Arial"/>
          <w:sz w:val="24"/>
          <w:szCs w:val="24"/>
        </w:rPr>
        <w:t xml:space="preserve"> FRS</w:t>
      </w:r>
      <w:r w:rsidRPr="00712E7C">
        <w:rPr>
          <w:rFonts w:ascii="Arial" w:hAnsi="Arial" w:cs="Arial"/>
          <w:sz w:val="24"/>
          <w:szCs w:val="24"/>
        </w:rPr>
        <w:t xml:space="preserve"> has become anticipatory</w:t>
      </w:r>
      <w:r w:rsidR="00667041" w:rsidRPr="00712E7C">
        <w:rPr>
          <w:rFonts w:ascii="Arial" w:hAnsi="Arial" w:cs="Arial"/>
          <w:sz w:val="24"/>
          <w:szCs w:val="24"/>
        </w:rPr>
        <w:t xml:space="preserve"> in its operation</w:t>
      </w:r>
      <w:r w:rsidRPr="00712E7C">
        <w:rPr>
          <w:rFonts w:ascii="Arial" w:hAnsi="Arial" w:cs="Arial"/>
          <w:sz w:val="24"/>
          <w:szCs w:val="24"/>
        </w:rPr>
        <w:t>. But redeployment is also pivotal to another operational shift in process in the FRS;</w:t>
      </w:r>
      <w:r w:rsidR="00667041" w:rsidRPr="00712E7C">
        <w:rPr>
          <w:rFonts w:ascii="Arial" w:hAnsi="Arial" w:cs="Arial"/>
          <w:sz w:val="24"/>
          <w:szCs w:val="24"/>
        </w:rPr>
        <w:t xml:space="preserve"> a new governing arrangement referred in the UK as localism</w:t>
      </w:r>
      <w:r w:rsidRPr="00712E7C">
        <w:rPr>
          <w:rFonts w:ascii="Arial" w:hAnsi="Arial" w:cs="Arial"/>
          <w:sz w:val="24"/>
          <w:szCs w:val="24"/>
        </w:rPr>
        <w:t>. In a manoeuvre</w:t>
      </w:r>
      <w:r w:rsidR="00AD7D69">
        <w:rPr>
          <w:rFonts w:ascii="Arial" w:hAnsi="Arial" w:cs="Arial"/>
          <w:sz w:val="24"/>
          <w:szCs w:val="24"/>
        </w:rPr>
        <w:t>,</w:t>
      </w:r>
      <w:r w:rsidRPr="00712E7C">
        <w:rPr>
          <w:rFonts w:ascii="Arial" w:hAnsi="Arial" w:cs="Arial"/>
          <w:sz w:val="24"/>
          <w:szCs w:val="24"/>
        </w:rPr>
        <w:t xml:space="preserve"> which resonates profoundly with Foucault’s</w:t>
      </w:r>
      <w:r w:rsidR="00F42076" w:rsidRPr="00712E7C">
        <w:rPr>
          <w:rFonts w:ascii="Arial" w:hAnsi="Arial" w:cs="Arial"/>
          <w:sz w:val="24"/>
          <w:szCs w:val="24"/>
        </w:rPr>
        <w:t xml:space="preserve"> </w:t>
      </w:r>
      <w:r w:rsidR="00AD7D69">
        <w:rPr>
          <w:rFonts w:ascii="Arial" w:hAnsi="Arial" w:cs="Arial"/>
          <w:sz w:val="24"/>
          <w:szCs w:val="24"/>
        </w:rPr>
        <w:t>(2007) notion</w:t>
      </w:r>
      <w:r w:rsidR="00F42076" w:rsidRPr="00712E7C">
        <w:rPr>
          <w:rFonts w:ascii="Arial" w:hAnsi="Arial" w:cs="Arial"/>
          <w:sz w:val="24"/>
          <w:szCs w:val="24"/>
        </w:rPr>
        <w:t xml:space="preserve"> of governmentality</w:t>
      </w:r>
      <w:r w:rsidR="00AD7D69">
        <w:rPr>
          <w:rFonts w:ascii="Arial" w:hAnsi="Arial" w:cs="Arial"/>
          <w:sz w:val="24"/>
          <w:szCs w:val="24"/>
        </w:rPr>
        <w:t>,</w:t>
      </w:r>
      <w:r w:rsidR="00F42076" w:rsidRPr="00712E7C">
        <w:rPr>
          <w:rFonts w:ascii="Arial" w:hAnsi="Arial" w:cs="Arial"/>
          <w:sz w:val="24"/>
          <w:szCs w:val="24"/>
        </w:rPr>
        <w:t xml:space="preserve"> </w:t>
      </w:r>
      <w:r w:rsidRPr="00712E7C">
        <w:rPr>
          <w:rFonts w:ascii="Arial" w:hAnsi="Arial" w:cs="Arial"/>
          <w:sz w:val="24"/>
          <w:szCs w:val="24"/>
        </w:rPr>
        <w:t xml:space="preserve">where power is diffuse and nestles in disparate sites, </w:t>
      </w:r>
      <w:r w:rsidR="00074033" w:rsidRPr="00712E7C">
        <w:rPr>
          <w:rFonts w:ascii="Arial" w:hAnsi="Arial" w:cs="Arial"/>
          <w:i/>
          <w:iCs/>
          <w:sz w:val="24"/>
          <w:szCs w:val="24"/>
        </w:rPr>
        <w:t>T</w:t>
      </w:r>
      <w:r w:rsidRPr="00712E7C">
        <w:rPr>
          <w:rFonts w:ascii="Arial" w:hAnsi="Arial" w:cs="Arial"/>
          <w:i/>
          <w:iCs/>
          <w:sz w:val="24"/>
          <w:szCs w:val="24"/>
        </w:rPr>
        <w:t xml:space="preserve">he </w:t>
      </w:r>
      <w:r w:rsidR="00AD7D69">
        <w:rPr>
          <w:rFonts w:ascii="Arial" w:hAnsi="Arial" w:cs="Arial"/>
          <w:i/>
          <w:iCs/>
          <w:sz w:val="24"/>
          <w:szCs w:val="24"/>
        </w:rPr>
        <w:t xml:space="preserve">2011 </w:t>
      </w:r>
      <w:r w:rsidRPr="00712E7C">
        <w:rPr>
          <w:rFonts w:ascii="Arial" w:hAnsi="Arial" w:cs="Arial"/>
          <w:i/>
          <w:iCs/>
          <w:sz w:val="24"/>
          <w:szCs w:val="24"/>
        </w:rPr>
        <w:t>Localism Act</w:t>
      </w:r>
      <w:r w:rsidR="00AD7D69">
        <w:rPr>
          <w:rFonts w:ascii="Arial" w:hAnsi="Arial" w:cs="Arial"/>
          <w:i/>
          <w:iCs/>
          <w:sz w:val="24"/>
          <w:szCs w:val="24"/>
        </w:rPr>
        <w:t xml:space="preserve"> </w:t>
      </w:r>
      <w:r w:rsidRPr="00712E7C">
        <w:rPr>
          <w:rFonts w:ascii="Arial" w:hAnsi="Arial" w:cs="Arial"/>
          <w:sz w:val="24"/>
          <w:szCs w:val="24"/>
        </w:rPr>
        <w:t xml:space="preserve">draws the FRS further away from centralised control and into local control. </w:t>
      </w:r>
      <w:r w:rsidR="00AD7D69">
        <w:rPr>
          <w:rFonts w:ascii="Arial" w:hAnsi="Arial" w:cs="Arial"/>
          <w:sz w:val="24"/>
          <w:szCs w:val="24"/>
        </w:rPr>
        <w:t>A</w:t>
      </w:r>
      <w:r w:rsidR="00AD7D69" w:rsidRPr="00712E7C">
        <w:rPr>
          <w:rFonts w:ascii="Arial" w:hAnsi="Arial" w:cs="Arial"/>
          <w:sz w:val="24"/>
          <w:szCs w:val="24"/>
        </w:rPr>
        <w:t xml:space="preserve">s </w:t>
      </w:r>
      <w:r w:rsidR="00AD7D69">
        <w:rPr>
          <w:rFonts w:ascii="Arial" w:hAnsi="Arial" w:cs="Arial"/>
          <w:sz w:val="24"/>
          <w:szCs w:val="24"/>
        </w:rPr>
        <w:t xml:space="preserve">the </w:t>
      </w:r>
      <w:r w:rsidR="00AD7D69" w:rsidRPr="00712E7C">
        <w:rPr>
          <w:rFonts w:ascii="Arial" w:hAnsi="Arial" w:cs="Arial"/>
          <w:sz w:val="24"/>
          <w:szCs w:val="24"/>
        </w:rPr>
        <w:t xml:space="preserve">then Minister Greg Clarke </w:t>
      </w:r>
      <w:r w:rsidR="00AD7D69">
        <w:rPr>
          <w:rFonts w:ascii="Arial" w:hAnsi="Arial" w:cs="Arial"/>
          <w:sz w:val="24"/>
          <w:szCs w:val="24"/>
        </w:rPr>
        <w:t xml:space="preserve">(2011) </w:t>
      </w:r>
      <w:r w:rsidR="00AD7D69" w:rsidRPr="00712E7C">
        <w:rPr>
          <w:rFonts w:ascii="Arial" w:hAnsi="Arial" w:cs="Arial"/>
          <w:sz w:val="24"/>
          <w:szCs w:val="24"/>
        </w:rPr>
        <w:t>stated</w:t>
      </w:r>
      <w:r w:rsidR="00AD7D69">
        <w:rPr>
          <w:rFonts w:ascii="Arial" w:hAnsi="Arial" w:cs="Arial"/>
          <w:sz w:val="24"/>
          <w:szCs w:val="24"/>
        </w:rPr>
        <w:t>, a</w:t>
      </w:r>
      <w:r w:rsidRPr="00712E7C">
        <w:rPr>
          <w:rFonts w:ascii="Arial" w:hAnsi="Arial" w:cs="Arial"/>
          <w:sz w:val="24"/>
          <w:szCs w:val="24"/>
        </w:rPr>
        <w:t xml:space="preserve"> key motivation for localism </w:t>
      </w:r>
      <w:r w:rsidR="00AD7D69">
        <w:rPr>
          <w:rFonts w:ascii="Arial" w:hAnsi="Arial" w:cs="Arial"/>
          <w:sz w:val="24"/>
          <w:szCs w:val="24"/>
        </w:rPr>
        <w:t xml:space="preserve">at the time of the Act introduction </w:t>
      </w:r>
      <w:r w:rsidRPr="00712E7C">
        <w:rPr>
          <w:rFonts w:ascii="Arial" w:hAnsi="Arial" w:cs="Arial"/>
          <w:sz w:val="24"/>
          <w:szCs w:val="24"/>
        </w:rPr>
        <w:t xml:space="preserve">was the supposed eradication of bureaucracy </w:t>
      </w:r>
      <w:r w:rsidR="00AD7D69">
        <w:rPr>
          <w:rFonts w:ascii="Arial" w:hAnsi="Arial" w:cs="Arial"/>
          <w:sz w:val="24"/>
          <w:szCs w:val="24"/>
        </w:rPr>
        <w:t>in</w:t>
      </w:r>
      <w:r w:rsidRPr="00712E7C">
        <w:rPr>
          <w:rFonts w:ascii="Arial" w:hAnsi="Arial" w:cs="Arial"/>
          <w:sz w:val="24"/>
          <w:szCs w:val="24"/>
        </w:rPr>
        <w:t xml:space="preserve"> govern</w:t>
      </w:r>
      <w:r w:rsidR="00AD7D69">
        <w:rPr>
          <w:rFonts w:ascii="Arial" w:hAnsi="Arial" w:cs="Arial"/>
          <w:sz w:val="24"/>
          <w:szCs w:val="24"/>
        </w:rPr>
        <w:t>ment:</w:t>
      </w:r>
    </w:p>
    <w:p w:rsidR="00AD7D69" w:rsidRPr="00712E7C" w:rsidRDefault="00AD7D69" w:rsidP="00712E7C">
      <w:pPr>
        <w:spacing w:after="0" w:line="360" w:lineRule="auto"/>
        <w:jc w:val="both"/>
        <w:rPr>
          <w:rFonts w:ascii="Arial" w:hAnsi="Arial" w:cs="Arial"/>
          <w:sz w:val="24"/>
          <w:szCs w:val="24"/>
        </w:rPr>
      </w:pPr>
    </w:p>
    <w:p w:rsidR="00EF5AAC" w:rsidRPr="00712E7C" w:rsidRDefault="00EF5AAC" w:rsidP="00AD7D69">
      <w:pPr>
        <w:spacing w:after="0" w:line="240" w:lineRule="auto"/>
        <w:ind w:left="720" w:right="284"/>
        <w:jc w:val="both"/>
        <w:rPr>
          <w:rFonts w:ascii="Arial" w:hAnsi="Arial" w:cs="Arial"/>
          <w:sz w:val="24"/>
          <w:szCs w:val="24"/>
        </w:rPr>
      </w:pPr>
      <w:r w:rsidRPr="00712E7C">
        <w:rPr>
          <w:rFonts w:ascii="Arial" w:hAnsi="Arial" w:cs="Arial"/>
          <w:sz w:val="24"/>
          <w:szCs w:val="24"/>
        </w:rPr>
        <w:t xml:space="preserve">For too long, central government has </w:t>
      </w:r>
      <w:r w:rsidR="00F42076" w:rsidRPr="00712E7C">
        <w:rPr>
          <w:rFonts w:ascii="Arial" w:hAnsi="Arial" w:cs="Arial"/>
          <w:sz w:val="24"/>
          <w:szCs w:val="24"/>
        </w:rPr>
        <w:t xml:space="preserve">hoarded and concentrated power. </w:t>
      </w:r>
      <w:r w:rsidRPr="00712E7C">
        <w:rPr>
          <w:rFonts w:ascii="Arial" w:hAnsi="Arial" w:cs="Arial"/>
          <w:sz w:val="24"/>
          <w:szCs w:val="24"/>
        </w:rPr>
        <w:t>Trying to</w:t>
      </w:r>
      <w:r w:rsidR="00AD7D69">
        <w:rPr>
          <w:rFonts w:ascii="Arial" w:hAnsi="Arial" w:cs="Arial"/>
          <w:sz w:val="24"/>
          <w:szCs w:val="24"/>
        </w:rPr>
        <w:t xml:space="preserve"> </w:t>
      </w:r>
      <w:r w:rsidR="00F42076" w:rsidRPr="00712E7C">
        <w:rPr>
          <w:rFonts w:ascii="Arial" w:hAnsi="Arial" w:cs="Arial"/>
          <w:sz w:val="24"/>
          <w:szCs w:val="24"/>
        </w:rPr>
        <w:t xml:space="preserve">improve </w:t>
      </w:r>
      <w:r w:rsidRPr="00712E7C">
        <w:rPr>
          <w:rFonts w:ascii="Arial" w:hAnsi="Arial" w:cs="Arial"/>
          <w:sz w:val="24"/>
          <w:szCs w:val="24"/>
        </w:rPr>
        <w:t>people’s lives by imposing decisions, setting targets and demanding</w:t>
      </w:r>
      <w:r w:rsidR="00AD7D69">
        <w:rPr>
          <w:rFonts w:ascii="Arial" w:hAnsi="Arial" w:cs="Arial"/>
          <w:sz w:val="24"/>
          <w:szCs w:val="24"/>
        </w:rPr>
        <w:t xml:space="preserve"> </w:t>
      </w:r>
      <w:r w:rsidR="00F42076" w:rsidRPr="00712E7C">
        <w:rPr>
          <w:rFonts w:ascii="Arial" w:hAnsi="Arial" w:cs="Arial"/>
          <w:sz w:val="24"/>
          <w:szCs w:val="24"/>
        </w:rPr>
        <w:t>inspection</w:t>
      </w:r>
      <w:r w:rsidRPr="00712E7C">
        <w:rPr>
          <w:rFonts w:ascii="Arial" w:hAnsi="Arial" w:cs="Arial"/>
          <w:sz w:val="24"/>
          <w:szCs w:val="24"/>
        </w:rPr>
        <w:t xml:space="preserve"> from Whitehall simply doesn’t wor</w:t>
      </w:r>
      <w:r w:rsidR="00F42076" w:rsidRPr="00712E7C">
        <w:rPr>
          <w:rFonts w:ascii="Arial" w:hAnsi="Arial" w:cs="Arial"/>
          <w:sz w:val="24"/>
          <w:szCs w:val="24"/>
        </w:rPr>
        <w:t xml:space="preserve">k. It creates </w:t>
      </w:r>
      <w:r w:rsidR="00F42076" w:rsidRPr="00712E7C">
        <w:rPr>
          <w:rFonts w:ascii="Arial" w:hAnsi="Arial" w:cs="Arial"/>
          <w:sz w:val="24"/>
          <w:szCs w:val="24"/>
        </w:rPr>
        <w:lastRenderedPageBreak/>
        <w:t>bureaucracy</w:t>
      </w:r>
      <w:r w:rsidR="00AD7D69">
        <w:rPr>
          <w:rFonts w:ascii="Arial" w:hAnsi="Arial" w:cs="Arial"/>
          <w:sz w:val="24"/>
          <w:szCs w:val="24"/>
        </w:rPr>
        <w:t xml:space="preserve"> (Clarke, </w:t>
      </w:r>
      <w:r w:rsidR="00AD7D69" w:rsidRPr="00AD7D69">
        <w:rPr>
          <w:rFonts w:ascii="Arial" w:hAnsi="Arial" w:cs="Arial"/>
          <w:sz w:val="24"/>
          <w:szCs w:val="24"/>
        </w:rPr>
        <w:t xml:space="preserve">Department for Local Communities and Government, </w:t>
      </w:r>
      <w:r w:rsidR="00AD7D69">
        <w:rPr>
          <w:rFonts w:ascii="Arial" w:hAnsi="Arial" w:cs="Arial"/>
          <w:sz w:val="24"/>
          <w:szCs w:val="24"/>
        </w:rPr>
        <w:t>2011:2).</w:t>
      </w:r>
    </w:p>
    <w:p w:rsidR="00AD7D69" w:rsidRDefault="00AD7D69" w:rsidP="00712E7C">
      <w:pPr>
        <w:spacing w:after="0" w:line="360" w:lineRule="auto"/>
        <w:jc w:val="both"/>
        <w:rPr>
          <w:rFonts w:ascii="Arial" w:hAnsi="Arial" w:cs="Arial"/>
          <w:sz w:val="24"/>
          <w:szCs w:val="24"/>
        </w:rPr>
      </w:pPr>
    </w:p>
    <w:p w:rsidR="007A0C9E" w:rsidRDefault="00A62279" w:rsidP="007A0C9E">
      <w:pPr>
        <w:spacing w:after="0" w:line="360" w:lineRule="auto"/>
        <w:jc w:val="both"/>
        <w:rPr>
          <w:rFonts w:ascii="Arial" w:hAnsi="Arial" w:cs="Arial"/>
          <w:sz w:val="24"/>
          <w:szCs w:val="24"/>
        </w:rPr>
      </w:pPr>
      <w:r w:rsidRPr="00712E7C">
        <w:rPr>
          <w:rFonts w:ascii="Arial" w:hAnsi="Arial" w:cs="Arial"/>
          <w:sz w:val="24"/>
          <w:szCs w:val="24"/>
        </w:rPr>
        <w:t>But the effects of l</w:t>
      </w:r>
      <w:r w:rsidR="00062D00" w:rsidRPr="00712E7C">
        <w:rPr>
          <w:rFonts w:ascii="Arial" w:hAnsi="Arial" w:cs="Arial"/>
          <w:sz w:val="24"/>
          <w:szCs w:val="24"/>
        </w:rPr>
        <w:t xml:space="preserve">ocalism on the FRS could be read in an entirely different way. Detaching the FRS from central government more than ever before, the Localism </w:t>
      </w:r>
      <w:r w:rsidR="00AD7D69">
        <w:rPr>
          <w:rFonts w:ascii="Arial" w:hAnsi="Arial" w:cs="Arial"/>
          <w:sz w:val="24"/>
          <w:szCs w:val="24"/>
        </w:rPr>
        <w:t>Act</w:t>
      </w:r>
      <w:r w:rsidR="00062D00" w:rsidRPr="00712E7C">
        <w:rPr>
          <w:rFonts w:ascii="Arial" w:hAnsi="Arial" w:cs="Arial"/>
          <w:sz w:val="24"/>
          <w:szCs w:val="24"/>
        </w:rPr>
        <w:t xml:space="preserve"> situates responsibility </w:t>
      </w:r>
      <w:r w:rsidRPr="00712E7C">
        <w:rPr>
          <w:rFonts w:ascii="Arial" w:hAnsi="Arial" w:cs="Arial"/>
          <w:sz w:val="24"/>
          <w:szCs w:val="24"/>
        </w:rPr>
        <w:t xml:space="preserve">for the existence of fire governance more fervently on </w:t>
      </w:r>
      <w:r w:rsidR="00CB0461" w:rsidRPr="00712E7C">
        <w:rPr>
          <w:rFonts w:ascii="Arial" w:hAnsi="Arial" w:cs="Arial"/>
          <w:sz w:val="24"/>
          <w:szCs w:val="24"/>
        </w:rPr>
        <w:t>each individual FRS in the country</w:t>
      </w:r>
      <w:r w:rsidRPr="00712E7C">
        <w:rPr>
          <w:rFonts w:ascii="Arial" w:hAnsi="Arial" w:cs="Arial"/>
          <w:sz w:val="24"/>
          <w:szCs w:val="24"/>
        </w:rPr>
        <w:t xml:space="preserve">. A situation is created through localism in which, as Paul Du Gay writes, ‘‘organisations are to be made more responsible for securing their own </w:t>
      </w:r>
      <w:r w:rsidR="00AD7D69">
        <w:rPr>
          <w:rFonts w:ascii="Arial" w:hAnsi="Arial" w:cs="Arial"/>
          <w:sz w:val="24"/>
          <w:szCs w:val="24"/>
        </w:rPr>
        <w:t>future survival and well-being” (2003:673).</w:t>
      </w:r>
    </w:p>
    <w:p w:rsidR="007A0C9E" w:rsidRDefault="007A0C9E" w:rsidP="007A0C9E">
      <w:pPr>
        <w:spacing w:after="0" w:line="360" w:lineRule="auto"/>
        <w:jc w:val="both"/>
        <w:rPr>
          <w:rFonts w:ascii="Arial" w:hAnsi="Arial" w:cs="Arial"/>
          <w:sz w:val="24"/>
          <w:szCs w:val="24"/>
        </w:rPr>
      </w:pPr>
    </w:p>
    <w:p w:rsidR="007A0C9E" w:rsidRDefault="00A62279" w:rsidP="007A0C9E">
      <w:pPr>
        <w:spacing w:after="0" w:line="360" w:lineRule="auto"/>
        <w:jc w:val="both"/>
        <w:rPr>
          <w:rFonts w:ascii="Arial" w:hAnsi="Arial" w:cs="Arial"/>
          <w:sz w:val="24"/>
          <w:szCs w:val="24"/>
        </w:rPr>
      </w:pPr>
      <w:r w:rsidRPr="00712E7C">
        <w:rPr>
          <w:rFonts w:ascii="Arial" w:hAnsi="Arial" w:cs="Arial"/>
          <w:sz w:val="24"/>
          <w:szCs w:val="24"/>
        </w:rPr>
        <w:t>With the ushering in of the</w:t>
      </w:r>
      <w:r w:rsidRPr="00712E7C">
        <w:rPr>
          <w:rFonts w:ascii="Arial" w:hAnsi="Arial" w:cs="Arial"/>
          <w:i/>
          <w:iCs/>
          <w:sz w:val="24"/>
          <w:szCs w:val="24"/>
        </w:rPr>
        <w:t xml:space="preserve"> Localism Act</w:t>
      </w:r>
      <w:r w:rsidRPr="00712E7C">
        <w:rPr>
          <w:rFonts w:ascii="Arial" w:hAnsi="Arial" w:cs="Arial"/>
          <w:sz w:val="24"/>
          <w:szCs w:val="24"/>
        </w:rPr>
        <w:t>, the FRS is necessarily forced to become more entrepreneurial. The FRS must be seen to earn its central budgetary subsistence</w:t>
      </w:r>
      <w:r w:rsidR="00AD7D69">
        <w:rPr>
          <w:rFonts w:ascii="Arial" w:hAnsi="Arial" w:cs="Arial"/>
          <w:sz w:val="24"/>
          <w:szCs w:val="24"/>
        </w:rPr>
        <w:t>, rather than simply receiving</w:t>
      </w:r>
      <w:r w:rsidRPr="00712E7C">
        <w:rPr>
          <w:rFonts w:ascii="Arial" w:hAnsi="Arial" w:cs="Arial"/>
          <w:sz w:val="24"/>
          <w:szCs w:val="24"/>
        </w:rPr>
        <w:t xml:space="preserve"> it. To do so, the FRS must </w:t>
      </w:r>
      <w:r w:rsidR="004960D6" w:rsidRPr="00712E7C">
        <w:rPr>
          <w:rFonts w:ascii="Arial" w:hAnsi="Arial" w:cs="Arial"/>
          <w:sz w:val="24"/>
          <w:szCs w:val="24"/>
        </w:rPr>
        <w:t xml:space="preserve">justify its continuing existence through showing the ongoing prevalence of fire risk. </w:t>
      </w:r>
      <w:r w:rsidR="002F6082" w:rsidRPr="00712E7C">
        <w:rPr>
          <w:rFonts w:ascii="Arial" w:hAnsi="Arial" w:cs="Arial"/>
          <w:sz w:val="24"/>
          <w:szCs w:val="24"/>
        </w:rPr>
        <w:t>In addition</w:t>
      </w:r>
      <w:r w:rsidR="004960D6" w:rsidRPr="00712E7C">
        <w:rPr>
          <w:rFonts w:ascii="Arial" w:hAnsi="Arial" w:cs="Arial"/>
          <w:sz w:val="24"/>
          <w:szCs w:val="24"/>
        </w:rPr>
        <w:t xml:space="preserve">, the FRS must be able to evoke the consequences </w:t>
      </w:r>
      <w:r w:rsidR="00AD7D69">
        <w:rPr>
          <w:rFonts w:ascii="Arial" w:hAnsi="Arial" w:cs="Arial"/>
          <w:sz w:val="24"/>
          <w:szCs w:val="24"/>
        </w:rPr>
        <w:t>should</w:t>
      </w:r>
      <w:r w:rsidR="004960D6" w:rsidRPr="00712E7C">
        <w:rPr>
          <w:rFonts w:ascii="Arial" w:hAnsi="Arial" w:cs="Arial"/>
          <w:sz w:val="24"/>
          <w:szCs w:val="24"/>
        </w:rPr>
        <w:t xml:space="preserve"> their budgets </w:t>
      </w:r>
      <w:r w:rsidR="00AD7D69">
        <w:rPr>
          <w:rFonts w:ascii="Arial" w:hAnsi="Arial" w:cs="Arial"/>
          <w:sz w:val="24"/>
          <w:szCs w:val="24"/>
        </w:rPr>
        <w:t>be</w:t>
      </w:r>
      <w:r w:rsidR="004960D6" w:rsidRPr="00712E7C">
        <w:rPr>
          <w:rFonts w:ascii="Arial" w:hAnsi="Arial" w:cs="Arial"/>
          <w:sz w:val="24"/>
          <w:szCs w:val="24"/>
        </w:rPr>
        <w:t xml:space="preserve"> cut dramatically. Consider the following from the County Durham and Darlington Fire and Rescue Services Consultat</w:t>
      </w:r>
      <w:r w:rsidR="00AD7D69">
        <w:rPr>
          <w:rFonts w:ascii="Arial" w:hAnsi="Arial" w:cs="Arial"/>
          <w:sz w:val="24"/>
          <w:szCs w:val="24"/>
        </w:rPr>
        <w:t>ion for their 2014/15</w:t>
      </w:r>
      <w:r w:rsidR="007A0C9E">
        <w:rPr>
          <w:rFonts w:ascii="Arial" w:hAnsi="Arial" w:cs="Arial"/>
          <w:sz w:val="24"/>
          <w:szCs w:val="24"/>
        </w:rPr>
        <w:t xml:space="preserve"> Community Protection Plan:</w:t>
      </w:r>
    </w:p>
    <w:p w:rsidR="007A0C9E" w:rsidRPr="00712E7C" w:rsidRDefault="007A0C9E" w:rsidP="007A0C9E">
      <w:pPr>
        <w:tabs>
          <w:tab w:val="right" w:pos="2266"/>
          <w:tab w:val="right" w:pos="2691"/>
        </w:tabs>
        <w:bidi/>
        <w:spacing w:after="0" w:line="360" w:lineRule="auto"/>
        <w:jc w:val="both"/>
        <w:rPr>
          <w:rFonts w:ascii="Arial" w:hAnsi="Arial" w:cs="Arial"/>
          <w:sz w:val="24"/>
          <w:szCs w:val="24"/>
        </w:rPr>
      </w:pPr>
      <w:r>
        <w:rPr>
          <w:rFonts w:ascii="Arial" w:hAnsi="Arial" w:cs="Arial"/>
          <w:sz w:val="24"/>
          <w:szCs w:val="24"/>
        </w:rPr>
        <w:t xml:space="preserve"> </w:t>
      </w:r>
    </w:p>
    <w:p w:rsidR="001E7EF8" w:rsidRPr="00712E7C" w:rsidRDefault="001E7EF8" w:rsidP="007A0C9E">
      <w:pPr>
        <w:autoSpaceDE w:val="0"/>
        <w:autoSpaceDN w:val="0"/>
        <w:adjustRightInd w:val="0"/>
        <w:spacing w:after="0" w:line="240" w:lineRule="auto"/>
        <w:ind w:left="720" w:right="284"/>
        <w:jc w:val="both"/>
        <w:rPr>
          <w:rFonts w:ascii="Arial" w:hAnsi="Arial" w:cs="Arial"/>
          <w:color w:val="1F1A17"/>
          <w:sz w:val="24"/>
          <w:szCs w:val="24"/>
        </w:rPr>
      </w:pPr>
      <w:r w:rsidRPr="00712E7C">
        <w:rPr>
          <w:rFonts w:ascii="Arial" w:hAnsi="Arial" w:cs="Arial"/>
          <w:color w:val="1F1A17"/>
          <w:sz w:val="24"/>
          <w:szCs w:val="24"/>
        </w:rPr>
        <w:t>The option of reducing frontline services would inevitably not only</w:t>
      </w:r>
      <w:r w:rsidR="007A0C9E">
        <w:rPr>
          <w:rFonts w:ascii="Arial" w:hAnsi="Arial" w:cs="Arial"/>
          <w:color w:val="1F1A17"/>
          <w:sz w:val="24"/>
          <w:szCs w:val="24"/>
        </w:rPr>
        <w:t xml:space="preserve"> </w:t>
      </w:r>
      <w:r w:rsidRPr="00712E7C">
        <w:rPr>
          <w:rFonts w:ascii="Arial" w:hAnsi="Arial" w:cs="Arial"/>
          <w:color w:val="1F1A17"/>
          <w:sz w:val="24"/>
          <w:szCs w:val="24"/>
        </w:rPr>
        <w:t>impact on emergency response but also significantly reduce the</w:t>
      </w:r>
      <w:r w:rsidR="00074033" w:rsidRPr="00712E7C">
        <w:rPr>
          <w:rFonts w:ascii="Arial" w:hAnsi="Arial" w:cs="Arial"/>
          <w:color w:val="1F1A17"/>
          <w:sz w:val="24"/>
          <w:szCs w:val="24"/>
        </w:rPr>
        <w:t xml:space="preserve"> </w:t>
      </w:r>
      <w:r w:rsidRPr="00712E7C">
        <w:rPr>
          <w:rFonts w:ascii="Arial" w:hAnsi="Arial" w:cs="Arial"/>
          <w:color w:val="1F1A17"/>
          <w:sz w:val="24"/>
          <w:szCs w:val="24"/>
        </w:rPr>
        <w:t>capacity of the organisation to deliver prevention and protection</w:t>
      </w:r>
      <w:r w:rsidR="007A0C9E">
        <w:rPr>
          <w:rFonts w:ascii="Arial" w:hAnsi="Arial" w:cs="Arial"/>
          <w:color w:val="1F1A17"/>
          <w:sz w:val="24"/>
          <w:szCs w:val="24"/>
        </w:rPr>
        <w:t xml:space="preserve"> </w:t>
      </w:r>
      <w:r w:rsidRPr="00712E7C">
        <w:rPr>
          <w:rFonts w:ascii="Arial" w:hAnsi="Arial" w:cs="Arial"/>
          <w:color w:val="1F1A17"/>
          <w:sz w:val="24"/>
          <w:szCs w:val="24"/>
        </w:rPr>
        <w:t>activities, which have been a major contributor to the reduction</w:t>
      </w:r>
      <w:r w:rsidR="007A0C9E">
        <w:rPr>
          <w:rFonts w:ascii="Arial" w:hAnsi="Arial" w:cs="Arial"/>
          <w:color w:val="1F1A17"/>
          <w:sz w:val="24"/>
          <w:szCs w:val="24"/>
        </w:rPr>
        <w:t xml:space="preserve"> </w:t>
      </w:r>
      <w:r w:rsidRPr="00712E7C">
        <w:rPr>
          <w:rFonts w:ascii="Arial" w:hAnsi="Arial" w:cs="Arial"/>
          <w:color w:val="1F1A17"/>
          <w:sz w:val="24"/>
          <w:szCs w:val="24"/>
        </w:rPr>
        <w:t>in emergency incidents we attend</w:t>
      </w:r>
      <w:r w:rsidR="007A0C9E">
        <w:rPr>
          <w:rFonts w:ascii="Arial" w:hAnsi="Arial" w:cs="Arial"/>
          <w:color w:val="1F1A17"/>
          <w:sz w:val="24"/>
          <w:szCs w:val="24"/>
        </w:rPr>
        <w:t xml:space="preserve"> (</w:t>
      </w:r>
      <w:r w:rsidR="007A0C9E" w:rsidRPr="007A0C9E">
        <w:rPr>
          <w:rFonts w:ascii="Arial" w:hAnsi="Arial" w:cs="Arial"/>
          <w:color w:val="1F1A17"/>
          <w:sz w:val="24"/>
          <w:szCs w:val="24"/>
        </w:rPr>
        <w:t xml:space="preserve">County Durham and Darlington Fire and Rescue Service, </w:t>
      </w:r>
      <w:r w:rsidR="007A0C9E">
        <w:rPr>
          <w:rFonts w:ascii="Arial" w:hAnsi="Arial" w:cs="Arial"/>
          <w:color w:val="1F1A17"/>
          <w:sz w:val="24"/>
          <w:szCs w:val="24"/>
        </w:rPr>
        <w:t>2014:</w:t>
      </w:r>
      <w:r w:rsidR="007A0C9E" w:rsidRPr="007A0C9E">
        <w:rPr>
          <w:rFonts w:ascii="Arial" w:hAnsi="Arial" w:cs="Arial"/>
          <w:color w:val="1F1A17"/>
          <w:sz w:val="24"/>
          <w:szCs w:val="24"/>
        </w:rPr>
        <w:t>14</w:t>
      </w:r>
      <w:r w:rsidR="007A0C9E">
        <w:rPr>
          <w:rFonts w:ascii="Arial" w:hAnsi="Arial" w:cs="Arial"/>
          <w:color w:val="1F1A17"/>
          <w:sz w:val="24"/>
          <w:szCs w:val="24"/>
        </w:rPr>
        <w:t>).</w:t>
      </w:r>
    </w:p>
    <w:p w:rsidR="00AD7D69" w:rsidRDefault="00AD7D69" w:rsidP="00712E7C">
      <w:pPr>
        <w:autoSpaceDE w:val="0"/>
        <w:autoSpaceDN w:val="0"/>
        <w:adjustRightInd w:val="0"/>
        <w:spacing w:after="0" w:line="360" w:lineRule="auto"/>
        <w:jc w:val="both"/>
        <w:rPr>
          <w:rFonts w:ascii="Arial" w:hAnsi="Arial" w:cs="Arial"/>
          <w:color w:val="1F1A17"/>
          <w:sz w:val="24"/>
          <w:szCs w:val="24"/>
        </w:rPr>
      </w:pPr>
    </w:p>
    <w:p w:rsidR="001E7EF8" w:rsidRPr="00712E7C" w:rsidRDefault="001E7EF8" w:rsidP="00712E7C">
      <w:pPr>
        <w:autoSpaceDE w:val="0"/>
        <w:autoSpaceDN w:val="0"/>
        <w:adjustRightInd w:val="0"/>
        <w:spacing w:after="0" w:line="360" w:lineRule="auto"/>
        <w:jc w:val="both"/>
        <w:rPr>
          <w:rFonts w:ascii="Arial" w:hAnsi="Arial" w:cs="Arial"/>
          <w:color w:val="1F1A17"/>
          <w:sz w:val="24"/>
          <w:szCs w:val="24"/>
        </w:rPr>
      </w:pPr>
      <w:r w:rsidRPr="00712E7C">
        <w:rPr>
          <w:rFonts w:ascii="Arial" w:hAnsi="Arial" w:cs="Arial"/>
          <w:color w:val="1F1A17"/>
          <w:sz w:val="24"/>
          <w:szCs w:val="24"/>
        </w:rPr>
        <w:t>With the becoming entrepreneurial of the FRS, the potentiality of fire and fire risk</w:t>
      </w:r>
      <w:r w:rsidR="00FC2565" w:rsidRPr="00712E7C">
        <w:rPr>
          <w:rFonts w:ascii="Arial" w:hAnsi="Arial" w:cs="Arial"/>
          <w:color w:val="1F1A17"/>
          <w:sz w:val="24"/>
          <w:szCs w:val="24"/>
        </w:rPr>
        <w:t xml:space="preserve"> itself</w:t>
      </w:r>
      <w:r w:rsidRPr="00712E7C">
        <w:rPr>
          <w:rFonts w:ascii="Arial" w:hAnsi="Arial" w:cs="Arial"/>
          <w:color w:val="1F1A17"/>
          <w:sz w:val="24"/>
          <w:szCs w:val="24"/>
        </w:rPr>
        <w:t xml:space="preserve"> becomes the fundamental commodity</w:t>
      </w:r>
      <w:r w:rsidR="00AD7D69">
        <w:rPr>
          <w:rFonts w:ascii="Arial" w:hAnsi="Arial" w:cs="Arial"/>
          <w:color w:val="1F1A17"/>
          <w:sz w:val="24"/>
          <w:szCs w:val="24"/>
        </w:rPr>
        <w:t>,</w:t>
      </w:r>
      <w:r w:rsidRPr="00712E7C">
        <w:rPr>
          <w:rFonts w:ascii="Arial" w:hAnsi="Arial" w:cs="Arial"/>
          <w:color w:val="1F1A17"/>
          <w:sz w:val="24"/>
          <w:szCs w:val="24"/>
        </w:rPr>
        <w:t xml:space="preserve"> which is continually sold</w:t>
      </w:r>
      <w:r w:rsidR="00FC2565" w:rsidRPr="00712E7C">
        <w:rPr>
          <w:rFonts w:ascii="Arial" w:hAnsi="Arial" w:cs="Arial"/>
          <w:color w:val="1F1A17"/>
          <w:sz w:val="24"/>
          <w:szCs w:val="24"/>
        </w:rPr>
        <w:t xml:space="preserve"> and resold</w:t>
      </w:r>
      <w:r w:rsidRPr="00712E7C">
        <w:rPr>
          <w:rFonts w:ascii="Arial" w:hAnsi="Arial" w:cs="Arial"/>
          <w:color w:val="1F1A17"/>
          <w:sz w:val="24"/>
          <w:szCs w:val="24"/>
        </w:rPr>
        <w:t xml:space="preserve"> to central government. </w:t>
      </w:r>
      <w:r w:rsidR="00FC2565" w:rsidRPr="00712E7C">
        <w:rPr>
          <w:rFonts w:ascii="Arial" w:hAnsi="Arial" w:cs="Arial"/>
          <w:color w:val="1F1A17"/>
          <w:sz w:val="24"/>
          <w:szCs w:val="24"/>
        </w:rPr>
        <w:t>Risk projections and the capacity of the FRS to govern the future are</w:t>
      </w:r>
      <w:r w:rsidR="00AD7D69">
        <w:rPr>
          <w:rFonts w:ascii="Arial" w:hAnsi="Arial" w:cs="Arial"/>
          <w:color w:val="1F1A17"/>
          <w:sz w:val="24"/>
          <w:szCs w:val="24"/>
        </w:rPr>
        <w:t xml:space="preserve"> reliant, as the discussion in this C</w:t>
      </w:r>
      <w:r w:rsidR="00FC2565" w:rsidRPr="00712E7C">
        <w:rPr>
          <w:rFonts w:ascii="Arial" w:hAnsi="Arial" w:cs="Arial"/>
          <w:color w:val="1F1A17"/>
          <w:sz w:val="24"/>
          <w:szCs w:val="24"/>
        </w:rPr>
        <w:t>hapter suggests, upon technologies acquired from a host of sites and redeploy</w:t>
      </w:r>
      <w:r w:rsidR="009121D7" w:rsidRPr="00712E7C">
        <w:rPr>
          <w:rFonts w:ascii="Arial" w:hAnsi="Arial" w:cs="Arial"/>
          <w:color w:val="1F1A17"/>
          <w:sz w:val="24"/>
          <w:szCs w:val="24"/>
        </w:rPr>
        <w:t xml:space="preserve">ed for the purposes of the FRS. The malleability of risk analysis technologies works to facilitate and condition the entrepreneurial spirit with which the FRS is infused after localism. </w:t>
      </w:r>
    </w:p>
    <w:p w:rsidR="002F6082" w:rsidRPr="00712E7C" w:rsidRDefault="002F6082" w:rsidP="00712E7C">
      <w:pPr>
        <w:autoSpaceDE w:val="0"/>
        <w:autoSpaceDN w:val="0"/>
        <w:adjustRightInd w:val="0"/>
        <w:spacing w:after="0" w:line="360" w:lineRule="auto"/>
        <w:jc w:val="both"/>
        <w:rPr>
          <w:rFonts w:ascii="Arial" w:hAnsi="Arial" w:cs="Arial"/>
          <w:color w:val="1F1A17"/>
          <w:sz w:val="24"/>
          <w:szCs w:val="24"/>
        </w:rPr>
      </w:pPr>
    </w:p>
    <w:p w:rsidR="00A96531" w:rsidRDefault="00A96531" w:rsidP="00712E7C">
      <w:pPr>
        <w:spacing w:after="0" w:line="360" w:lineRule="auto"/>
        <w:jc w:val="both"/>
        <w:rPr>
          <w:rFonts w:ascii="Arial" w:hAnsi="Arial" w:cs="Arial"/>
          <w:sz w:val="24"/>
          <w:szCs w:val="24"/>
        </w:rPr>
      </w:pPr>
      <w:r w:rsidRPr="00712E7C">
        <w:rPr>
          <w:rFonts w:ascii="Arial" w:hAnsi="Arial" w:cs="Arial"/>
          <w:sz w:val="24"/>
          <w:szCs w:val="24"/>
        </w:rPr>
        <w:t xml:space="preserve">In the case of localism legislation and its resonance in the FRS, the notion of public-private assemblages </w:t>
      </w:r>
      <w:r w:rsidR="002F6082" w:rsidRPr="00712E7C">
        <w:rPr>
          <w:rFonts w:ascii="Arial" w:hAnsi="Arial" w:cs="Arial"/>
          <w:sz w:val="24"/>
          <w:szCs w:val="24"/>
        </w:rPr>
        <w:t>can</w:t>
      </w:r>
      <w:r w:rsidRPr="00712E7C">
        <w:rPr>
          <w:rFonts w:ascii="Arial" w:hAnsi="Arial" w:cs="Arial"/>
          <w:sz w:val="24"/>
          <w:szCs w:val="24"/>
        </w:rPr>
        <w:t xml:space="preserve"> be envisioned </w:t>
      </w:r>
      <w:r w:rsidR="002F6082" w:rsidRPr="00712E7C">
        <w:rPr>
          <w:rFonts w:ascii="Arial" w:hAnsi="Arial" w:cs="Arial"/>
          <w:sz w:val="24"/>
          <w:szCs w:val="24"/>
        </w:rPr>
        <w:t>not only</w:t>
      </w:r>
      <w:r w:rsidRPr="00712E7C">
        <w:rPr>
          <w:rFonts w:ascii="Arial" w:hAnsi="Arial" w:cs="Arial"/>
          <w:sz w:val="24"/>
          <w:szCs w:val="24"/>
        </w:rPr>
        <w:t xml:space="preserve"> as a scale across which </w:t>
      </w:r>
      <w:r w:rsidRPr="00712E7C">
        <w:rPr>
          <w:rFonts w:ascii="Arial" w:hAnsi="Arial" w:cs="Arial"/>
          <w:sz w:val="24"/>
          <w:szCs w:val="24"/>
        </w:rPr>
        <w:lastRenderedPageBreak/>
        <w:t>authority moves or throughout which authority exists at different degrees of int</w:t>
      </w:r>
      <w:r w:rsidR="009B7AAC">
        <w:rPr>
          <w:rFonts w:ascii="Arial" w:hAnsi="Arial" w:cs="Arial"/>
          <w:sz w:val="24"/>
          <w:szCs w:val="24"/>
        </w:rPr>
        <w:t xml:space="preserve">ensity. Apparent with localism </w:t>
      </w:r>
      <w:r w:rsidRPr="00712E7C">
        <w:rPr>
          <w:rFonts w:ascii="Arial" w:hAnsi="Arial" w:cs="Arial"/>
          <w:sz w:val="24"/>
          <w:szCs w:val="24"/>
        </w:rPr>
        <w:t>is</w:t>
      </w:r>
      <w:r w:rsidR="002F6082" w:rsidRPr="00712E7C">
        <w:rPr>
          <w:rFonts w:ascii="Arial" w:hAnsi="Arial" w:cs="Arial"/>
          <w:sz w:val="24"/>
          <w:szCs w:val="24"/>
        </w:rPr>
        <w:t xml:space="preserve"> also</w:t>
      </w:r>
      <w:r w:rsidRPr="00712E7C">
        <w:rPr>
          <w:rFonts w:ascii="Arial" w:hAnsi="Arial" w:cs="Arial"/>
          <w:sz w:val="24"/>
          <w:szCs w:val="24"/>
        </w:rPr>
        <w:t xml:space="preserve"> the internalisation of an entrepreneurial spirit in the FRS; one conventionally reserved for private business. Calculative software and data are vital to the life of this new intersection between public and private that localism instigates. Such technologies offer visions of the future by which risk is not only governed</w:t>
      </w:r>
      <w:r w:rsidR="007A0C9E">
        <w:rPr>
          <w:rFonts w:ascii="Arial" w:hAnsi="Arial" w:cs="Arial"/>
          <w:sz w:val="24"/>
          <w:szCs w:val="24"/>
        </w:rPr>
        <w:t>,</w:t>
      </w:r>
      <w:r w:rsidRPr="00712E7C">
        <w:rPr>
          <w:rFonts w:ascii="Arial" w:hAnsi="Arial" w:cs="Arial"/>
          <w:sz w:val="24"/>
          <w:szCs w:val="24"/>
        </w:rPr>
        <w:t xml:space="preserve"> but</w:t>
      </w:r>
      <w:r w:rsidR="00056A5D" w:rsidRPr="00712E7C">
        <w:rPr>
          <w:rFonts w:ascii="Arial" w:hAnsi="Arial" w:cs="Arial"/>
          <w:sz w:val="24"/>
          <w:szCs w:val="24"/>
        </w:rPr>
        <w:t>,</w:t>
      </w:r>
      <w:r w:rsidR="002F6082" w:rsidRPr="00712E7C">
        <w:rPr>
          <w:rFonts w:ascii="Arial" w:hAnsi="Arial" w:cs="Arial"/>
          <w:sz w:val="24"/>
          <w:szCs w:val="24"/>
        </w:rPr>
        <w:t xml:space="preserve"> by acting to justify the existence of the FRS,</w:t>
      </w:r>
      <w:r w:rsidRPr="00712E7C">
        <w:rPr>
          <w:rFonts w:ascii="Arial" w:hAnsi="Arial" w:cs="Arial"/>
          <w:sz w:val="24"/>
          <w:szCs w:val="24"/>
        </w:rPr>
        <w:t xml:space="preserve"> sold. </w:t>
      </w:r>
    </w:p>
    <w:p w:rsidR="007A0C9E" w:rsidRPr="00712E7C" w:rsidRDefault="007A0C9E" w:rsidP="00712E7C">
      <w:pPr>
        <w:spacing w:after="0" w:line="360" w:lineRule="auto"/>
        <w:jc w:val="both"/>
        <w:rPr>
          <w:rFonts w:ascii="Arial" w:hAnsi="Arial" w:cs="Arial"/>
          <w:sz w:val="24"/>
          <w:szCs w:val="24"/>
        </w:rPr>
      </w:pPr>
    </w:p>
    <w:p w:rsidR="00A96531" w:rsidRDefault="003A7855" w:rsidP="00712E7C">
      <w:pPr>
        <w:spacing w:after="0" w:line="360" w:lineRule="auto"/>
        <w:jc w:val="both"/>
        <w:rPr>
          <w:rFonts w:ascii="Arial" w:hAnsi="Arial" w:cs="Arial"/>
          <w:sz w:val="24"/>
          <w:szCs w:val="24"/>
        </w:rPr>
      </w:pPr>
      <w:r w:rsidRPr="00712E7C">
        <w:rPr>
          <w:rFonts w:ascii="Arial" w:hAnsi="Arial" w:cs="Arial"/>
          <w:sz w:val="24"/>
          <w:szCs w:val="24"/>
        </w:rPr>
        <w:t>A politics of redeployment does not only refer</w:t>
      </w:r>
      <w:r w:rsidR="00F21C4D" w:rsidRPr="00712E7C">
        <w:rPr>
          <w:rFonts w:ascii="Arial" w:hAnsi="Arial" w:cs="Arial"/>
          <w:sz w:val="24"/>
          <w:szCs w:val="24"/>
        </w:rPr>
        <w:t xml:space="preserve"> then</w:t>
      </w:r>
      <w:r w:rsidRPr="00712E7C">
        <w:rPr>
          <w:rFonts w:ascii="Arial" w:hAnsi="Arial" w:cs="Arial"/>
          <w:sz w:val="24"/>
          <w:szCs w:val="24"/>
        </w:rPr>
        <w:t xml:space="preserve"> to the </w:t>
      </w:r>
      <w:r w:rsidR="009B7AAC">
        <w:rPr>
          <w:rFonts w:ascii="Arial" w:hAnsi="Arial" w:cs="Arial"/>
          <w:sz w:val="24"/>
          <w:szCs w:val="24"/>
        </w:rPr>
        <w:t xml:space="preserve">creation of new modes of action, </w:t>
      </w:r>
      <w:r w:rsidR="005D6CC1" w:rsidRPr="00712E7C">
        <w:rPr>
          <w:rFonts w:ascii="Arial" w:hAnsi="Arial" w:cs="Arial"/>
          <w:sz w:val="24"/>
          <w:szCs w:val="24"/>
        </w:rPr>
        <w:t>which derive from the sourcing of new data or adding to the pre-existing risk calculus</w:t>
      </w:r>
      <w:r w:rsidR="00074033" w:rsidRPr="00712E7C">
        <w:rPr>
          <w:rFonts w:ascii="Arial" w:hAnsi="Arial" w:cs="Arial"/>
          <w:sz w:val="24"/>
          <w:szCs w:val="24"/>
        </w:rPr>
        <w:t>. Nor does it</w:t>
      </w:r>
      <w:r w:rsidR="005D6CC1" w:rsidRPr="00712E7C">
        <w:rPr>
          <w:rFonts w:ascii="Arial" w:hAnsi="Arial" w:cs="Arial"/>
          <w:sz w:val="24"/>
          <w:szCs w:val="24"/>
        </w:rPr>
        <w:t xml:space="preserve"> refer simply to the manipulation of technologies to engender change in the</w:t>
      </w:r>
      <w:r w:rsidR="00F21C4D" w:rsidRPr="00712E7C">
        <w:rPr>
          <w:rFonts w:ascii="Arial" w:hAnsi="Arial" w:cs="Arial"/>
          <w:sz w:val="24"/>
          <w:szCs w:val="24"/>
        </w:rPr>
        <w:t xml:space="preserve"> multiple sites of the</w:t>
      </w:r>
      <w:r w:rsidR="005D6CC1" w:rsidRPr="00712E7C">
        <w:rPr>
          <w:rFonts w:ascii="Arial" w:hAnsi="Arial" w:cs="Arial"/>
          <w:sz w:val="24"/>
          <w:szCs w:val="24"/>
        </w:rPr>
        <w:t xml:space="preserve"> security apparatus. Rather, </w:t>
      </w:r>
      <w:r w:rsidR="00074033" w:rsidRPr="00712E7C">
        <w:rPr>
          <w:rFonts w:ascii="Arial" w:hAnsi="Arial" w:cs="Arial"/>
          <w:sz w:val="24"/>
          <w:szCs w:val="24"/>
        </w:rPr>
        <w:t>it also means to declare the effect of new calculative technologies upon</w:t>
      </w:r>
      <w:r w:rsidR="009B7AAC">
        <w:rPr>
          <w:rFonts w:ascii="Arial" w:hAnsi="Arial" w:cs="Arial"/>
          <w:sz w:val="24"/>
          <w:szCs w:val="24"/>
        </w:rPr>
        <w:t xml:space="preserve"> </w:t>
      </w:r>
      <w:r w:rsidR="005D6CC1" w:rsidRPr="00712E7C">
        <w:rPr>
          <w:rFonts w:ascii="Arial" w:hAnsi="Arial" w:cs="Arial"/>
          <w:sz w:val="24"/>
          <w:szCs w:val="24"/>
        </w:rPr>
        <w:t xml:space="preserve">emergency responders in reshaping how their responsibilities are rationalised and their continued existence is ensured. </w:t>
      </w:r>
    </w:p>
    <w:p w:rsidR="00ED12E9" w:rsidRDefault="00ED12E9" w:rsidP="00712E7C">
      <w:pPr>
        <w:spacing w:after="0" w:line="360" w:lineRule="auto"/>
        <w:jc w:val="both"/>
        <w:rPr>
          <w:rFonts w:ascii="Arial" w:hAnsi="Arial" w:cs="Arial"/>
          <w:sz w:val="24"/>
          <w:szCs w:val="24"/>
        </w:rPr>
      </w:pPr>
    </w:p>
    <w:p w:rsidR="00ED12E9" w:rsidRPr="00712E7C" w:rsidRDefault="00ED12E9" w:rsidP="00712E7C">
      <w:pPr>
        <w:spacing w:after="0" w:line="360" w:lineRule="auto"/>
        <w:jc w:val="both"/>
        <w:rPr>
          <w:rFonts w:ascii="Arial" w:hAnsi="Arial" w:cs="Arial"/>
          <w:sz w:val="24"/>
          <w:szCs w:val="24"/>
        </w:rPr>
      </w:pPr>
    </w:p>
    <w:p w:rsidR="00F8347D" w:rsidRPr="006F3035" w:rsidRDefault="006F3035" w:rsidP="00712E7C">
      <w:pPr>
        <w:spacing w:after="0" w:line="360" w:lineRule="auto"/>
        <w:jc w:val="both"/>
        <w:rPr>
          <w:rFonts w:ascii="Arial" w:hAnsi="Arial" w:cs="Arial"/>
          <w:b/>
          <w:sz w:val="24"/>
          <w:szCs w:val="24"/>
        </w:rPr>
      </w:pPr>
      <w:r w:rsidRPr="006F3035">
        <w:rPr>
          <w:rFonts w:ascii="Arial" w:hAnsi="Arial" w:cs="Arial"/>
          <w:b/>
          <w:sz w:val="24"/>
          <w:szCs w:val="24"/>
        </w:rPr>
        <w:t>References</w:t>
      </w:r>
    </w:p>
    <w:p w:rsidR="006F3035" w:rsidRDefault="006F3035" w:rsidP="00712E7C">
      <w:pPr>
        <w:spacing w:after="0" w:line="360" w:lineRule="auto"/>
        <w:jc w:val="both"/>
        <w:rPr>
          <w:rFonts w:ascii="Arial" w:hAnsi="Arial" w:cs="Arial"/>
          <w:sz w:val="24"/>
          <w:szCs w:val="24"/>
          <w:u w:val="single"/>
        </w:rPr>
      </w:pPr>
    </w:p>
    <w:p w:rsidR="00F52FE5" w:rsidRPr="00712E7C" w:rsidRDefault="00F52FE5" w:rsidP="006F3035">
      <w:pPr>
        <w:pStyle w:val="EndnoteText"/>
        <w:spacing w:line="360" w:lineRule="auto"/>
        <w:jc w:val="both"/>
        <w:rPr>
          <w:rFonts w:ascii="Arial" w:hAnsi="Arial" w:cs="Arial"/>
          <w:sz w:val="24"/>
          <w:szCs w:val="24"/>
        </w:rPr>
      </w:pPr>
      <w:r w:rsidRPr="00712E7C">
        <w:rPr>
          <w:rFonts w:ascii="Arial" w:hAnsi="Arial" w:cs="Arial"/>
          <w:sz w:val="24"/>
          <w:szCs w:val="24"/>
        </w:rPr>
        <w:t>Adey</w:t>
      </w:r>
      <w:r w:rsidR="001628FA">
        <w:rPr>
          <w:rFonts w:ascii="Arial" w:hAnsi="Arial" w:cs="Arial"/>
          <w:sz w:val="24"/>
          <w:szCs w:val="24"/>
        </w:rPr>
        <w:t>,</w:t>
      </w:r>
      <w:r w:rsidRPr="00712E7C">
        <w:rPr>
          <w:rFonts w:ascii="Arial" w:hAnsi="Arial" w:cs="Arial"/>
          <w:sz w:val="24"/>
          <w:szCs w:val="24"/>
        </w:rPr>
        <w:t xml:space="preserve"> P</w:t>
      </w:r>
      <w:r w:rsidR="001628FA">
        <w:rPr>
          <w:rFonts w:ascii="Arial" w:hAnsi="Arial" w:cs="Arial"/>
          <w:sz w:val="24"/>
          <w:szCs w:val="24"/>
        </w:rPr>
        <w:t>. 2006. ‘If mobility is everything then it is nothing: towards a relational politics of (im)mobilities’.</w:t>
      </w:r>
      <w:r w:rsidRPr="00712E7C">
        <w:rPr>
          <w:rFonts w:ascii="Arial" w:hAnsi="Arial" w:cs="Arial"/>
          <w:sz w:val="24"/>
          <w:szCs w:val="24"/>
        </w:rPr>
        <w:t xml:space="preserve"> </w:t>
      </w:r>
      <w:r w:rsidRPr="00712E7C">
        <w:rPr>
          <w:rFonts w:ascii="Arial" w:hAnsi="Arial" w:cs="Arial"/>
          <w:i/>
          <w:iCs/>
          <w:sz w:val="24"/>
          <w:szCs w:val="24"/>
        </w:rPr>
        <w:t>Mobilities</w:t>
      </w:r>
      <w:r w:rsidR="001628FA">
        <w:rPr>
          <w:rFonts w:ascii="Arial" w:hAnsi="Arial" w:cs="Arial"/>
          <w:i/>
          <w:iCs/>
          <w:sz w:val="24"/>
          <w:szCs w:val="24"/>
        </w:rPr>
        <w:t>,</w:t>
      </w:r>
      <w:r w:rsidRPr="00712E7C">
        <w:rPr>
          <w:rFonts w:ascii="Arial" w:hAnsi="Arial" w:cs="Arial"/>
          <w:sz w:val="24"/>
          <w:szCs w:val="24"/>
        </w:rPr>
        <w:t xml:space="preserve"> </w:t>
      </w:r>
      <w:r w:rsidRPr="001628FA">
        <w:rPr>
          <w:rFonts w:ascii="Arial" w:hAnsi="Arial" w:cs="Arial"/>
          <w:b/>
          <w:sz w:val="24"/>
          <w:szCs w:val="24"/>
        </w:rPr>
        <w:t>1</w:t>
      </w:r>
      <w:r w:rsidRPr="00712E7C">
        <w:rPr>
          <w:rFonts w:ascii="Arial" w:hAnsi="Arial" w:cs="Arial"/>
          <w:sz w:val="24"/>
          <w:szCs w:val="24"/>
        </w:rPr>
        <w:t>: 75-94</w:t>
      </w:r>
      <w:r w:rsidR="001628FA">
        <w:rPr>
          <w:rFonts w:ascii="Arial" w:hAnsi="Arial" w:cs="Arial"/>
          <w:sz w:val="24"/>
          <w:szCs w:val="24"/>
        </w:rPr>
        <w:t>.</w:t>
      </w:r>
    </w:p>
    <w:p w:rsidR="009C6416" w:rsidRPr="00712E7C" w:rsidRDefault="009C6416" w:rsidP="00712E7C">
      <w:pPr>
        <w:spacing w:after="0" w:line="360" w:lineRule="auto"/>
        <w:jc w:val="both"/>
        <w:rPr>
          <w:rFonts w:ascii="Arial" w:hAnsi="Arial" w:cs="Arial"/>
          <w:sz w:val="24"/>
          <w:szCs w:val="24"/>
          <w:u w:val="single"/>
        </w:rPr>
      </w:pPr>
      <w:r w:rsidRPr="00712E7C">
        <w:rPr>
          <w:rFonts w:ascii="Arial" w:hAnsi="Arial" w:cs="Arial"/>
          <w:sz w:val="24"/>
          <w:szCs w:val="24"/>
        </w:rPr>
        <w:t>Adey</w:t>
      </w:r>
      <w:r w:rsidR="001628FA">
        <w:rPr>
          <w:rFonts w:ascii="Arial" w:hAnsi="Arial" w:cs="Arial"/>
          <w:sz w:val="24"/>
          <w:szCs w:val="24"/>
        </w:rPr>
        <w:t>,</w:t>
      </w:r>
      <w:r w:rsidRPr="00712E7C">
        <w:rPr>
          <w:rFonts w:ascii="Arial" w:hAnsi="Arial" w:cs="Arial"/>
          <w:sz w:val="24"/>
          <w:szCs w:val="24"/>
        </w:rPr>
        <w:t xml:space="preserve"> P</w:t>
      </w:r>
      <w:r w:rsidR="001628FA">
        <w:rPr>
          <w:rFonts w:ascii="Arial" w:hAnsi="Arial" w:cs="Arial"/>
          <w:sz w:val="24"/>
          <w:szCs w:val="24"/>
        </w:rPr>
        <w:t>.</w:t>
      </w:r>
      <w:r w:rsidRPr="00712E7C">
        <w:rPr>
          <w:rFonts w:ascii="Arial" w:hAnsi="Arial" w:cs="Arial"/>
          <w:sz w:val="24"/>
          <w:szCs w:val="24"/>
        </w:rPr>
        <w:t xml:space="preserve"> </w:t>
      </w:r>
      <w:r w:rsidR="00C71E07" w:rsidRPr="00712E7C">
        <w:rPr>
          <w:rFonts w:ascii="Arial" w:hAnsi="Arial" w:cs="Arial"/>
          <w:sz w:val="24"/>
          <w:szCs w:val="24"/>
        </w:rPr>
        <w:t xml:space="preserve">and </w:t>
      </w:r>
      <w:r w:rsidR="001628FA">
        <w:rPr>
          <w:rFonts w:ascii="Arial" w:hAnsi="Arial" w:cs="Arial"/>
          <w:sz w:val="24"/>
          <w:szCs w:val="24"/>
        </w:rPr>
        <w:t>B. Anderson. 2012. ‘Affect and security: exercising emergency in UK civil contingencies’.</w:t>
      </w:r>
      <w:r w:rsidRPr="00712E7C">
        <w:rPr>
          <w:rFonts w:ascii="Arial" w:hAnsi="Arial" w:cs="Arial"/>
          <w:sz w:val="24"/>
          <w:szCs w:val="24"/>
        </w:rPr>
        <w:t xml:space="preserve"> </w:t>
      </w:r>
      <w:r w:rsidRPr="00712E7C">
        <w:rPr>
          <w:rFonts w:ascii="Arial" w:hAnsi="Arial" w:cs="Arial"/>
          <w:i/>
          <w:iCs/>
          <w:sz w:val="24"/>
          <w:szCs w:val="24"/>
        </w:rPr>
        <w:t>Environment and Planning D: Society and Space</w:t>
      </w:r>
      <w:r w:rsidRPr="00712E7C">
        <w:rPr>
          <w:rFonts w:ascii="Arial" w:hAnsi="Arial" w:cs="Arial"/>
          <w:sz w:val="24"/>
          <w:szCs w:val="24"/>
        </w:rPr>
        <w:t xml:space="preserve">, </w:t>
      </w:r>
      <w:r w:rsidR="001628FA" w:rsidRPr="001628FA">
        <w:rPr>
          <w:rFonts w:ascii="Arial" w:hAnsi="Arial" w:cs="Arial"/>
          <w:b/>
          <w:sz w:val="24"/>
          <w:szCs w:val="24"/>
        </w:rPr>
        <w:t>29</w:t>
      </w:r>
      <w:r w:rsidR="001628FA">
        <w:rPr>
          <w:rFonts w:ascii="Arial" w:hAnsi="Arial" w:cs="Arial"/>
          <w:sz w:val="24"/>
          <w:szCs w:val="24"/>
        </w:rPr>
        <w:t>:</w:t>
      </w:r>
      <w:r w:rsidRPr="00712E7C">
        <w:rPr>
          <w:rFonts w:ascii="Arial" w:hAnsi="Arial" w:cs="Arial"/>
          <w:sz w:val="24"/>
          <w:szCs w:val="24"/>
        </w:rPr>
        <w:t>1092-1109</w:t>
      </w:r>
      <w:r w:rsidR="001628FA">
        <w:rPr>
          <w:rFonts w:ascii="Arial" w:hAnsi="Arial" w:cs="Arial"/>
          <w:sz w:val="24"/>
          <w:szCs w:val="24"/>
        </w:rPr>
        <w:t>.</w:t>
      </w:r>
    </w:p>
    <w:p w:rsidR="001628FA" w:rsidRPr="00712E7C" w:rsidRDefault="001628FA" w:rsidP="001628FA">
      <w:pPr>
        <w:spacing w:after="0" w:line="360" w:lineRule="auto"/>
        <w:jc w:val="both"/>
        <w:rPr>
          <w:rFonts w:ascii="Arial" w:hAnsi="Arial" w:cs="Arial"/>
          <w:sz w:val="24"/>
          <w:szCs w:val="24"/>
        </w:rPr>
      </w:pPr>
      <w:r w:rsidRPr="00712E7C">
        <w:rPr>
          <w:rFonts w:ascii="Arial" w:hAnsi="Arial" w:cs="Arial"/>
          <w:sz w:val="24"/>
          <w:szCs w:val="24"/>
        </w:rPr>
        <w:t>Amoore</w:t>
      </w:r>
      <w:r>
        <w:rPr>
          <w:rFonts w:ascii="Arial" w:hAnsi="Arial" w:cs="Arial"/>
          <w:sz w:val="24"/>
          <w:szCs w:val="24"/>
        </w:rPr>
        <w:t>,</w:t>
      </w:r>
      <w:r w:rsidRPr="00712E7C">
        <w:rPr>
          <w:rFonts w:ascii="Arial" w:hAnsi="Arial" w:cs="Arial"/>
          <w:sz w:val="24"/>
          <w:szCs w:val="24"/>
        </w:rPr>
        <w:t xml:space="preserve"> L</w:t>
      </w:r>
      <w:r>
        <w:rPr>
          <w:rFonts w:ascii="Arial" w:hAnsi="Arial" w:cs="Arial"/>
          <w:sz w:val="24"/>
          <w:szCs w:val="24"/>
        </w:rPr>
        <w:t>. 2009. Algorithmic war: everyday g</w:t>
      </w:r>
      <w:r w:rsidRPr="00712E7C">
        <w:rPr>
          <w:rFonts w:ascii="Arial" w:hAnsi="Arial" w:cs="Arial"/>
          <w:sz w:val="24"/>
          <w:szCs w:val="24"/>
        </w:rPr>
        <w:t xml:space="preserve">eographies of </w:t>
      </w:r>
      <w:r>
        <w:rPr>
          <w:rFonts w:ascii="Arial" w:hAnsi="Arial" w:cs="Arial"/>
          <w:sz w:val="24"/>
          <w:szCs w:val="24"/>
        </w:rPr>
        <w:t>the War on Terror.</w:t>
      </w:r>
      <w:r w:rsidRPr="00712E7C">
        <w:rPr>
          <w:rFonts w:ascii="Arial" w:hAnsi="Arial" w:cs="Arial"/>
          <w:sz w:val="24"/>
          <w:szCs w:val="24"/>
        </w:rPr>
        <w:t xml:space="preserve"> </w:t>
      </w:r>
      <w:r w:rsidRPr="00712E7C">
        <w:rPr>
          <w:rFonts w:ascii="Arial" w:hAnsi="Arial" w:cs="Arial"/>
          <w:i/>
          <w:iCs/>
          <w:sz w:val="24"/>
          <w:szCs w:val="24"/>
        </w:rPr>
        <w:t>Antipode</w:t>
      </w:r>
      <w:r w:rsidRPr="00712E7C">
        <w:rPr>
          <w:rFonts w:ascii="Arial" w:hAnsi="Arial" w:cs="Arial"/>
          <w:sz w:val="24"/>
          <w:szCs w:val="24"/>
        </w:rPr>
        <w:t xml:space="preserve">, </w:t>
      </w:r>
      <w:r w:rsidRPr="001628FA">
        <w:rPr>
          <w:rFonts w:ascii="Arial" w:hAnsi="Arial" w:cs="Arial"/>
          <w:b/>
          <w:sz w:val="24"/>
          <w:szCs w:val="24"/>
        </w:rPr>
        <w:t>41</w:t>
      </w:r>
      <w:r>
        <w:rPr>
          <w:rFonts w:ascii="Arial" w:hAnsi="Arial" w:cs="Arial"/>
          <w:sz w:val="24"/>
          <w:szCs w:val="24"/>
        </w:rPr>
        <w:t>(1):</w:t>
      </w:r>
      <w:r w:rsidRPr="00712E7C">
        <w:rPr>
          <w:rFonts w:ascii="Arial" w:hAnsi="Arial" w:cs="Arial"/>
          <w:sz w:val="24"/>
          <w:szCs w:val="24"/>
        </w:rPr>
        <w:t>49-69</w:t>
      </w:r>
      <w:r>
        <w:rPr>
          <w:rFonts w:ascii="Arial" w:hAnsi="Arial" w:cs="Arial"/>
          <w:sz w:val="24"/>
          <w:szCs w:val="24"/>
        </w:rPr>
        <w:t>.</w:t>
      </w:r>
    </w:p>
    <w:p w:rsidR="00D0127C" w:rsidRPr="00712E7C" w:rsidRDefault="00D0127C" w:rsidP="00712E7C">
      <w:pPr>
        <w:spacing w:after="0" w:line="360" w:lineRule="auto"/>
        <w:jc w:val="both"/>
        <w:rPr>
          <w:rFonts w:ascii="Arial" w:hAnsi="Arial" w:cs="Arial"/>
          <w:sz w:val="24"/>
          <w:szCs w:val="24"/>
        </w:rPr>
      </w:pPr>
      <w:r w:rsidRPr="00712E7C">
        <w:rPr>
          <w:rFonts w:ascii="Arial" w:hAnsi="Arial" w:cs="Arial"/>
          <w:sz w:val="24"/>
          <w:szCs w:val="24"/>
        </w:rPr>
        <w:t>A</w:t>
      </w:r>
      <w:r w:rsidR="00F42076" w:rsidRPr="00712E7C">
        <w:rPr>
          <w:rFonts w:ascii="Arial" w:hAnsi="Arial" w:cs="Arial"/>
          <w:sz w:val="24"/>
          <w:szCs w:val="24"/>
        </w:rPr>
        <w:t>moore</w:t>
      </w:r>
      <w:r w:rsidR="001628FA">
        <w:rPr>
          <w:rFonts w:ascii="Arial" w:hAnsi="Arial" w:cs="Arial"/>
          <w:sz w:val="24"/>
          <w:szCs w:val="24"/>
        </w:rPr>
        <w:t>,</w:t>
      </w:r>
      <w:r w:rsidR="00F42076" w:rsidRPr="00712E7C">
        <w:rPr>
          <w:rFonts w:ascii="Arial" w:hAnsi="Arial" w:cs="Arial"/>
          <w:sz w:val="24"/>
          <w:szCs w:val="24"/>
        </w:rPr>
        <w:t xml:space="preserve"> L</w:t>
      </w:r>
      <w:r w:rsidR="001628FA">
        <w:rPr>
          <w:rFonts w:ascii="Arial" w:hAnsi="Arial" w:cs="Arial"/>
          <w:sz w:val="24"/>
          <w:szCs w:val="24"/>
        </w:rPr>
        <w:t>. 2013.</w:t>
      </w:r>
      <w:r w:rsidR="00F42076" w:rsidRPr="00712E7C">
        <w:rPr>
          <w:rFonts w:ascii="Arial" w:hAnsi="Arial" w:cs="Arial"/>
          <w:sz w:val="24"/>
          <w:szCs w:val="24"/>
        </w:rPr>
        <w:t xml:space="preserve"> </w:t>
      </w:r>
      <w:r w:rsidR="001628FA">
        <w:rPr>
          <w:rFonts w:ascii="Arial" w:hAnsi="Arial" w:cs="Arial"/>
          <w:i/>
          <w:iCs/>
          <w:sz w:val="24"/>
          <w:szCs w:val="24"/>
        </w:rPr>
        <w:t>The Politics of possibility: risk and security beyond p</w:t>
      </w:r>
      <w:r w:rsidRPr="00712E7C">
        <w:rPr>
          <w:rFonts w:ascii="Arial" w:hAnsi="Arial" w:cs="Arial"/>
          <w:i/>
          <w:iCs/>
          <w:sz w:val="24"/>
          <w:szCs w:val="24"/>
        </w:rPr>
        <w:t>robability</w:t>
      </w:r>
      <w:r w:rsidR="001628FA">
        <w:rPr>
          <w:rFonts w:ascii="Arial" w:hAnsi="Arial" w:cs="Arial"/>
          <w:sz w:val="24"/>
          <w:szCs w:val="24"/>
        </w:rPr>
        <w:t>.</w:t>
      </w:r>
      <w:r w:rsidRPr="00712E7C">
        <w:rPr>
          <w:rFonts w:ascii="Arial" w:hAnsi="Arial" w:cs="Arial"/>
          <w:sz w:val="24"/>
          <w:szCs w:val="24"/>
        </w:rPr>
        <w:t xml:space="preserve"> </w:t>
      </w:r>
      <w:r w:rsidR="001628FA" w:rsidRPr="00712E7C">
        <w:rPr>
          <w:rFonts w:ascii="Arial" w:hAnsi="Arial" w:cs="Arial"/>
          <w:sz w:val="24"/>
          <w:szCs w:val="24"/>
        </w:rPr>
        <w:t>London</w:t>
      </w:r>
      <w:r w:rsidR="001628FA">
        <w:rPr>
          <w:rFonts w:ascii="Arial" w:hAnsi="Arial" w:cs="Arial"/>
          <w:sz w:val="24"/>
          <w:szCs w:val="24"/>
        </w:rPr>
        <w:t>:</w:t>
      </w:r>
      <w:r w:rsidR="001628FA" w:rsidRPr="00712E7C">
        <w:rPr>
          <w:rFonts w:ascii="Arial" w:hAnsi="Arial" w:cs="Arial"/>
          <w:sz w:val="24"/>
          <w:szCs w:val="24"/>
        </w:rPr>
        <w:t xml:space="preserve"> </w:t>
      </w:r>
      <w:r w:rsidRPr="00712E7C">
        <w:rPr>
          <w:rFonts w:ascii="Arial" w:hAnsi="Arial" w:cs="Arial"/>
          <w:sz w:val="24"/>
          <w:szCs w:val="24"/>
        </w:rPr>
        <w:t>Duke</w:t>
      </w:r>
      <w:r w:rsidR="009C6416" w:rsidRPr="00712E7C">
        <w:rPr>
          <w:rFonts w:ascii="Arial" w:hAnsi="Arial" w:cs="Arial"/>
          <w:sz w:val="24"/>
          <w:szCs w:val="24"/>
        </w:rPr>
        <w:t xml:space="preserve"> University </w:t>
      </w:r>
      <w:r w:rsidR="001628FA">
        <w:rPr>
          <w:rFonts w:ascii="Arial" w:hAnsi="Arial" w:cs="Arial"/>
          <w:sz w:val="24"/>
          <w:szCs w:val="24"/>
        </w:rPr>
        <w:t>Press.</w:t>
      </w:r>
    </w:p>
    <w:p w:rsidR="0000440F" w:rsidRPr="00712E7C" w:rsidRDefault="0000440F" w:rsidP="00712E7C">
      <w:pPr>
        <w:spacing w:after="0" w:line="360" w:lineRule="auto"/>
        <w:jc w:val="both"/>
        <w:rPr>
          <w:rFonts w:ascii="Arial" w:hAnsi="Arial" w:cs="Arial"/>
          <w:sz w:val="24"/>
          <w:szCs w:val="24"/>
        </w:rPr>
      </w:pPr>
      <w:r w:rsidRPr="00712E7C">
        <w:rPr>
          <w:rFonts w:ascii="Arial" w:hAnsi="Arial" w:cs="Arial"/>
          <w:sz w:val="24"/>
          <w:szCs w:val="24"/>
        </w:rPr>
        <w:t>Amoore</w:t>
      </w:r>
      <w:r w:rsidR="001628FA">
        <w:rPr>
          <w:rFonts w:ascii="Arial" w:hAnsi="Arial" w:cs="Arial"/>
          <w:sz w:val="24"/>
          <w:szCs w:val="24"/>
        </w:rPr>
        <w:t>,</w:t>
      </w:r>
      <w:r w:rsidRPr="00712E7C">
        <w:rPr>
          <w:rFonts w:ascii="Arial" w:hAnsi="Arial" w:cs="Arial"/>
          <w:sz w:val="24"/>
          <w:szCs w:val="24"/>
        </w:rPr>
        <w:t xml:space="preserve"> L</w:t>
      </w:r>
      <w:r w:rsidR="001628FA">
        <w:rPr>
          <w:rFonts w:ascii="Arial" w:hAnsi="Arial" w:cs="Arial"/>
          <w:sz w:val="24"/>
          <w:szCs w:val="24"/>
        </w:rPr>
        <w:t>.</w:t>
      </w:r>
      <w:r w:rsidRPr="00712E7C">
        <w:rPr>
          <w:rFonts w:ascii="Arial" w:hAnsi="Arial" w:cs="Arial"/>
          <w:sz w:val="24"/>
          <w:szCs w:val="24"/>
        </w:rPr>
        <w:t xml:space="preserve"> and </w:t>
      </w:r>
      <w:r w:rsidR="001628FA">
        <w:rPr>
          <w:rFonts w:ascii="Arial" w:hAnsi="Arial" w:cs="Arial"/>
          <w:sz w:val="24"/>
          <w:szCs w:val="24"/>
        </w:rPr>
        <w:t xml:space="preserve">M. de Goede </w:t>
      </w:r>
      <w:r w:rsidRPr="00712E7C">
        <w:rPr>
          <w:rFonts w:ascii="Arial" w:hAnsi="Arial" w:cs="Arial"/>
          <w:sz w:val="24"/>
          <w:szCs w:val="24"/>
        </w:rPr>
        <w:t>(eds</w:t>
      </w:r>
      <w:r w:rsidR="001628FA">
        <w:rPr>
          <w:rFonts w:ascii="Arial" w:hAnsi="Arial" w:cs="Arial"/>
          <w:sz w:val="24"/>
          <w:szCs w:val="24"/>
        </w:rPr>
        <w:t>.</w:t>
      </w:r>
      <w:r w:rsidRPr="00712E7C">
        <w:rPr>
          <w:rFonts w:ascii="Arial" w:hAnsi="Arial" w:cs="Arial"/>
          <w:sz w:val="24"/>
          <w:szCs w:val="24"/>
        </w:rPr>
        <w:t>)</w:t>
      </w:r>
      <w:r w:rsidR="001628FA">
        <w:rPr>
          <w:rFonts w:ascii="Arial" w:hAnsi="Arial" w:cs="Arial"/>
          <w:sz w:val="24"/>
          <w:szCs w:val="24"/>
        </w:rPr>
        <w:t>. 2008.</w:t>
      </w:r>
      <w:r w:rsidRPr="00712E7C">
        <w:rPr>
          <w:rFonts w:ascii="Arial" w:hAnsi="Arial" w:cs="Arial"/>
          <w:sz w:val="24"/>
          <w:szCs w:val="24"/>
        </w:rPr>
        <w:t xml:space="preserve"> </w:t>
      </w:r>
      <w:r w:rsidRPr="001628FA">
        <w:rPr>
          <w:rFonts w:ascii="Arial" w:hAnsi="Arial" w:cs="Arial"/>
          <w:i/>
          <w:sz w:val="24"/>
          <w:szCs w:val="24"/>
        </w:rPr>
        <w:t>Risk and the War on Terror</w:t>
      </w:r>
      <w:r w:rsidR="001628FA">
        <w:rPr>
          <w:rFonts w:ascii="Arial" w:hAnsi="Arial" w:cs="Arial"/>
          <w:sz w:val="24"/>
          <w:szCs w:val="24"/>
        </w:rPr>
        <w:t>.</w:t>
      </w:r>
      <w:r w:rsidRPr="00712E7C">
        <w:rPr>
          <w:rFonts w:ascii="Arial" w:hAnsi="Arial" w:cs="Arial"/>
          <w:sz w:val="24"/>
          <w:szCs w:val="24"/>
        </w:rPr>
        <w:t xml:space="preserve"> </w:t>
      </w:r>
      <w:r w:rsidR="001628FA">
        <w:rPr>
          <w:rFonts w:ascii="Arial" w:hAnsi="Arial" w:cs="Arial"/>
          <w:sz w:val="24"/>
          <w:szCs w:val="24"/>
        </w:rPr>
        <w:t>London: Routledge.</w:t>
      </w:r>
    </w:p>
    <w:p w:rsidR="0000440F" w:rsidRPr="00712E7C" w:rsidRDefault="001628FA" w:rsidP="00712E7C">
      <w:pPr>
        <w:spacing w:after="0" w:line="360" w:lineRule="auto"/>
        <w:jc w:val="both"/>
        <w:rPr>
          <w:rFonts w:ascii="Arial" w:hAnsi="Arial" w:cs="Arial"/>
          <w:sz w:val="24"/>
          <w:szCs w:val="24"/>
        </w:rPr>
      </w:pPr>
      <w:r>
        <w:rPr>
          <w:rFonts w:ascii="Arial" w:hAnsi="Arial" w:cs="Arial"/>
          <w:sz w:val="24"/>
          <w:szCs w:val="24"/>
        </w:rPr>
        <w:t>Anderson, B.</w:t>
      </w:r>
      <w:r w:rsidR="0000440F" w:rsidRPr="00712E7C">
        <w:rPr>
          <w:rFonts w:ascii="Arial" w:hAnsi="Arial" w:cs="Arial"/>
          <w:sz w:val="24"/>
          <w:szCs w:val="24"/>
        </w:rPr>
        <w:t xml:space="preserve"> </w:t>
      </w:r>
      <w:r>
        <w:rPr>
          <w:rFonts w:ascii="Arial" w:hAnsi="Arial" w:cs="Arial"/>
          <w:sz w:val="24"/>
          <w:szCs w:val="24"/>
        </w:rPr>
        <w:t>2010a. ‘Preemption, precaution, preparedness: anticipatory action and future g</w:t>
      </w:r>
      <w:r w:rsidR="0000440F" w:rsidRPr="00712E7C">
        <w:rPr>
          <w:rFonts w:ascii="Arial" w:hAnsi="Arial" w:cs="Arial"/>
          <w:sz w:val="24"/>
          <w:szCs w:val="24"/>
        </w:rPr>
        <w:t>eographies</w:t>
      </w:r>
      <w:r>
        <w:rPr>
          <w:rFonts w:ascii="Arial" w:hAnsi="Arial" w:cs="Arial"/>
          <w:sz w:val="24"/>
          <w:szCs w:val="24"/>
        </w:rPr>
        <w:t>’.</w:t>
      </w:r>
      <w:r w:rsidR="0000440F" w:rsidRPr="00712E7C">
        <w:rPr>
          <w:rFonts w:ascii="Arial" w:hAnsi="Arial" w:cs="Arial"/>
          <w:sz w:val="24"/>
          <w:szCs w:val="24"/>
        </w:rPr>
        <w:t xml:space="preserve"> </w:t>
      </w:r>
      <w:r w:rsidR="0000440F" w:rsidRPr="00712E7C">
        <w:rPr>
          <w:rFonts w:ascii="Arial" w:hAnsi="Arial" w:cs="Arial"/>
          <w:i/>
          <w:sz w:val="24"/>
          <w:szCs w:val="24"/>
        </w:rPr>
        <w:t>Progress in Human Geography</w:t>
      </w:r>
      <w:r>
        <w:rPr>
          <w:rFonts w:ascii="Arial" w:hAnsi="Arial" w:cs="Arial"/>
          <w:sz w:val="24"/>
          <w:szCs w:val="24"/>
        </w:rPr>
        <w:t xml:space="preserve">, </w:t>
      </w:r>
      <w:r w:rsidRPr="001628FA">
        <w:rPr>
          <w:rFonts w:ascii="Arial" w:hAnsi="Arial" w:cs="Arial"/>
          <w:b/>
          <w:sz w:val="24"/>
          <w:szCs w:val="24"/>
        </w:rPr>
        <w:t>34</w:t>
      </w:r>
      <w:r>
        <w:rPr>
          <w:rFonts w:ascii="Arial" w:hAnsi="Arial" w:cs="Arial"/>
          <w:sz w:val="24"/>
          <w:szCs w:val="24"/>
        </w:rPr>
        <w:t>:777-798.</w:t>
      </w:r>
    </w:p>
    <w:p w:rsidR="0000440F" w:rsidRPr="00712E7C" w:rsidRDefault="0000440F" w:rsidP="00712E7C">
      <w:pPr>
        <w:spacing w:after="0" w:line="360" w:lineRule="auto"/>
        <w:jc w:val="both"/>
        <w:rPr>
          <w:rFonts w:ascii="Arial" w:hAnsi="Arial" w:cs="Arial"/>
          <w:sz w:val="24"/>
          <w:szCs w:val="24"/>
        </w:rPr>
      </w:pPr>
      <w:r w:rsidRPr="00712E7C">
        <w:rPr>
          <w:rFonts w:ascii="Arial" w:hAnsi="Arial" w:cs="Arial"/>
          <w:sz w:val="24"/>
          <w:szCs w:val="24"/>
        </w:rPr>
        <w:t>Anderson</w:t>
      </w:r>
      <w:r w:rsidR="001628FA">
        <w:rPr>
          <w:rFonts w:ascii="Arial" w:hAnsi="Arial" w:cs="Arial"/>
          <w:sz w:val="24"/>
          <w:szCs w:val="24"/>
        </w:rPr>
        <w:t>,</w:t>
      </w:r>
      <w:r w:rsidRPr="00712E7C">
        <w:rPr>
          <w:rFonts w:ascii="Arial" w:hAnsi="Arial" w:cs="Arial"/>
          <w:sz w:val="24"/>
          <w:szCs w:val="24"/>
        </w:rPr>
        <w:t xml:space="preserve"> B</w:t>
      </w:r>
      <w:r w:rsidR="001628FA">
        <w:rPr>
          <w:rFonts w:ascii="Arial" w:hAnsi="Arial" w:cs="Arial"/>
          <w:sz w:val="24"/>
          <w:szCs w:val="24"/>
        </w:rPr>
        <w:t>. 2010b.</w:t>
      </w:r>
      <w:r w:rsidRPr="00712E7C">
        <w:rPr>
          <w:rFonts w:ascii="Arial" w:hAnsi="Arial" w:cs="Arial"/>
          <w:sz w:val="24"/>
          <w:szCs w:val="24"/>
        </w:rPr>
        <w:t xml:space="preserve"> </w:t>
      </w:r>
      <w:r w:rsidR="001628FA">
        <w:rPr>
          <w:rFonts w:ascii="Arial" w:hAnsi="Arial" w:cs="Arial"/>
          <w:sz w:val="24"/>
          <w:szCs w:val="24"/>
        </w:rPr>
        <w:t>‘Security and the future: anticipating the event of terror’.</w:t>
      </w:r>
      <w:r w:rsidRPr="00712E7C">
        <w:rPr>
          <w:rFonts w:ascii="Arial" w:hAnsi="Arial" w:cs="Arial"/>
          <w:sz w:val="24"/>
          <w:szCs w:val="24"/>
        </w:rPr>
        <w:t xml:space="preserve"> </w:t>
      </w:r>
      <w:r w:rsidRPr="001628FA">
        <w:rPr>
          <w:rFonts w:ascii="Arial" w:hAnsi="Arial" w:cs="Arial"/>
          <w:i/>
          <w:sz w:val="24"/>
          <w:szCs w:val="24"/>
        </w:rPr>
        <w:t>Geoforum</w:t>
      </w:r>
      <w:r w:rsidRPr="00712E7C">
        <w:rPr>
          <w:rFonts w:ascii="Arial" w:hAnsi="Arial" w:cs="Arial"/>
          <w:sz w:val="24"/>
          <w:szCs w:val="24"/>
        </w:rPr>
        <w:t>,</w:t>
      </w:r>
      <w:r w:rsidR="001628FA">
        <w:rPr>
          <w:rFonts w:ascii="Arial" w:hAnsi="Arial" w:cs="Arial"/>
          <w:sz w:val="24"/>
          <w:szCs w:val="24"/>
        </w:rPr>
        <w:t xml:space="preserve"> </w:t>
      </w:r>
      <w:r w:rsidR="001628FA" w:rsidRPr="001628FA">
        <w:rPr>
          <w:rFonts w:ascii="Arial" w:hAnsi="Arial" w:cs="Arial"/>
          <w:b/>
          <w:sz w:val="24"/>
          <w:szCs w:val="24"/>
        </w:rPr>
        <w:t>41</w:t>
      </w:r>
      <w:r w:rsidR="001628FA">
        <w:rPr>
          <w:rFonts w:ascii="Arial" w:hAnsi="Arial" w:cs="Arial"/>
          <w:sz w:val="24"/>
          <w:szCs w:val="24"/>
        </w:rPr>
        <w:t>(2):227-235.</w:t>
      </w:r>
    </w:p>
    <w:p w:rsidR="0000440F" w:rsidRPr="00712E7C" w:rsidRDefault="0000440F" w:rsidP="00712E7C">
      <w:pPr>
        <w:spacing w:after="0" w:line="360" w:lineRule="auto"/>
        <w:jc w:val="both"/>
        <w:rPr>
          <w:rFonts w:ascii="Arial" w:hAnsi="Arial" w:cs="Arial"/>
          <w:sz w:val="24"/>
          <w:szCs w:val="24"/>
        </w:rPr>
      </w:pPr>
      <w:r w:rsidRPr="00712E7C">
        <w:rPr>
          <w:rFonts w:ascii="Arial" w:hAnsi="Arial" w:cs="Arial"/>
          <w:sz w:val="24"/>
          <w:szCs w:val="24"/>
        </w:rPr>
        <w:lastRenderedPageBreak/>
        <w:t>Aradau</w:t>
      </w:r>
      <w:r w:rsidR="00C8187B">
        <w:rPr>
          <w:rFonts w:ascii="Arial" w:hAnsi="Arial" w:cs="Arial"/>
          <w:sz w:val="24"/>
          <w:szCs w:val="24"/>
        </w:rPr>
        <w:t>,</w:t>
      </w:r>
      <w:r w:rsidRPr="00712E7C">
        <w:rPr>
          <w:rFonts w:ascii="Arial" w:hAnsi="Arial" w:cs="Arial"/>
          <w:sz w:val="24"/>
          <w:szCs w:val="24"/>
        </w:rPr>
        <w:t xml:space="preserve"> C</w:t>
      </w:r>
      <w:r w:rsidR="00C8187B">
        <w:rPr>
          <w:rFonts w:ascii="Arial" w:hAnsi="Arial" w:cs="Arial"/>
          <w:sz w:val="24"/>
          <w:szCs w:val="24"/>
        </w:rPr>
        <w:t>.</w:t>
      </w:r>
      <w:r w:rsidRPr="00712E7C">
        <w:rPr>
          <w:rFonts w:ascii="Arial" w:hAnsi="Arial" w:cs="Arial"/>
          <w:sz w:val="24"/>
          <w:szCs w:val="24"/>
        </w:rPr>
        <w:t xml:space="preserve"> and </w:t>
      </w:r>
      <w:r w:rsidR="00C8187B">
        <w:rPr>
          <w:rFonts w:ascii="Arial" w:hAnsi="Arial" w:cs="Arial"/>
          <w:sz w:val="24"/>
          <w:szCs w:val="24"/>
        </w:rPr>
        <w:t xml:space="preserve">R. van Munster. 2011. </w:t>
      </w:r>
      <w:r w:rsidR="00C8187B">
        <w:rPr>
          <w:rFonts w:ascii="Arial" w:hAnsi="Arial" w:cs="Arial"/>
          <w:i/>
          <w:sz w:val="24"/>
          <w:szCs w:val="24"/>
        </w:rPr>
        <w:t>The politics of catastrophe: genealogies of the u</w:t>
      </w:r>
      <w:r w:rsidRPr="00712E7C">
        <w:rPr>
          <w:rFonts w:ascii="Arial" w:hAnsi="Arial" w:cs="Arial"/>
          <w:i/>
          <w:sz w:val="24"/>
          <w:szCs w:val="24"/>
        </w:rPr>
        <w:t>nknown</w:t>
      </w:r>
      <w:r w:rsidR="00C8187B">
        <w:rPr>
          <w:rFonts w:ascii="Arial" w:hAnsi="Arial" w:cs="Arial"/>
          <w:sz w:val="24"/>
          <w:szCs w:val="24"/>
        </w:rPr>
        <w:t>. London: Routledge.</w:t>
      </w:r>
    </w:p>
    <w:p w:rsidR="0000440F" w:rsidRPr="00712E7C" w:rsidRDefault="0000440F" w:rsidP="00712E7C">
      <w:pPr>
        <w:spacing w:after="0" w:line="360" w:lineRule="auto"/>
        <w:jc w:val="both"/>
        <w:rPr>
          <w:rFonts w:ascii="Arial" w:hAnsi="Arial" w:cs="Arial"/>
          <w:sz w:val="24"/>
          <w:szCs w:val="24"/>
        </w:rPr>
      </w:pPr>
      <w:r w:rsidRPr="00712E7C">
        <w:rPr>
          <w:rFonts w:ascii="Arial" w:hAnsi="Arial" w:cs="Arial"/>
          <w:sz w:val="24"/>
          <w:szCs w:val="24"/>
        </w:rPr>
        <w:t>Beer</w:t>
      </w:r>
      <w:r w:rsidR="00C8187B">
        <w:rPr>
          <w:rFonts w:ascii="Arial" w:hAnsi="Arial" w:cs="Arial"/>
          <w:sz w:val="24"/>
          <w:szCs w:val="24"/>
        </w:rPr>
        <w:t>, D. 2009. ‘Power through the algorithm? Participatory web-cultures and the technological unconscious’.</w:t>
      </w:r>
      <w:r w:rsidRPr="00712E7C">
        <w:rPr>
          <w:rFonts w:ascii="Arial" w:hAnsi="Arial" w:cs="Arial"/>
          <w:sz w:val="24"/>
          <w:szCs w:val="24"/>
        </w:rPr>
        <w:t xml:space="preserve"> </w:t>
      </w:r>
      <w:r w:rsidRPr="00712E7C">
        <w:rPr>
          <w:rFonts w:ascii="Arial" w:hAnsi="Arial" w:cs="Arial"/>
          <w:i/>
          <w:sz w:val="24"/>
          <w:szCs w:val="24"/>
        </w:rPr>
        <w:t>New Media and Society</w:t>
      </w:r>
      <w:r w:rsidRPr="00712E7C">
        <w:rPr>
          <w:rFonts w:ascii="Arial" w:hAnsi="Arial" w:cs="Arial"/>
          <w:sz w:val="24"/>
          <w:szCs w:val="24"/>
        </w:rPr>
        <w:t xml:space="preserve">, </w:t>
      </w:r>
      <w:r w:rsidR="00C8187B" w:rsidRPr="00C8187B">
        <w:rPr>
          <w:rFonts w:ascii="Arial" w:hAnsi="Arial" w:cs="Arial"/>
          <w:b/>
          <w:sz w:val="24"/>
          <w:szCs w:val="24"/>
        </w:rPr>
        <w:t>11</w:t>
      </w:r>
      <w:r w:rsidR="00C8187B">
        <w:rPr>
          <w:rFonts w:ascii="Arial" w:hAnsi="Arial" w:cs="Arial"/>
          <w:sz w:val="24"/>
          <w:szCs w:val="24"/>
        </w:rPr>
        <w:t>(6): 985-1002.</w:t>
      </w:r>
    </w:p>
    <w:p w:rsidR="0000440F" w:rsidRPr="00712E7C" w:rsidRDefault="0000440F" w:rsidP="00712E7C">
      <w:pPr>
        <w:spacing w:after="0" w:line="360" w:lineRule="auto"/>
        <w:jc w:val="both"/>
        <w:rPr>
          <w:rFonts w:ascii="Arial" w:hAnsi="Arial" w:cs="Arial"/>
          <w:sz w:val="24"/>
          <w:szCs w:val="24"/>
        </w:rPr>
      </w:pPr>
      <w:r w:rsidRPr="00712E7C">
        <w:rPr>
          <w:rFonts w:ascii="Arial" w:hAnsi="Arial" w:cs="Arial"/>
          <w:sz w:val="24"/>
          <w:szCs w:val="24"/>
        </w:rPr>
        <w:t>Beer</w:t>
      </w:r>
      <w:r w:rsidR="00C8187B">
        <w:rPr>
          <w:rFonts w:ascii="Arial" w:hAnsi="Arial" w:cs="Arial"/>
          <w:sz w:val="24"/>
          <w:szCs w:val="24"/>
        </w:rPr>
        <w:t>,</w:t>
      </w:r>
      <w:r w:rsidRPr="00712E7C">
        <w:rPr>
          <w:rFonts w:ascii="Arial" w:hAnsi="Arial" w:cs="Arial"/>
          <w:sz w:val="24"/>
          <w:szCs w:val="24"/>
        </w:rPr>
        <w:t xml:space="preserve"> D</w:t>
      </w:r>
      <w:r w:rsidR="00C8187B">
        <w:rPr>
          <w:rFonts w:ascii="Arial" w:hAnsi="Arial" w:cs="Arial"/>
          <w:sz w:val="24"/>
          <w:szCs w:val="24"/>
        </w:rPr>
        <w:t>.</w:t>
      </w:r>
      <w:r w:rsidRPr="00712E7C">
        <w:rPr>
          <w:rFonts w:ascii="Arial" w:hAnsi="Arial" w:cs="Arial"/>
          <w:sz w:val="24"/>
          <w:szCs w:val="24"/>
        </w:rPr>
        <w:t xml:space="preserve"> and </w:t>
      </w:r>
      <w:r w:rsidR="00C8187B">
        <w:rPr>
          <w:rFonts w:ascii="Arial" w:hAnsi="Arial" w:cs="Arial"/>
          <w:sz w:val="24"/>
          <w:szCs w:val="24"/>
        </w:rPr>
        <w:t>R. Burrows. 2013. ‘Popular culture, digital archives and the new social l</w:t>
      </w:r>
      <w:r w:rsidRPr="00712E7C">
        <w:rPr>
          <w:rFonts w:ascii="Arial" w:hAnsi="Arial" w:cs="Arial"/>
          <w:sz w:val="24"/>
          <w:szCs w:val="24"/>
        </w:rPr>
        <w:t>ife</w:t>
      </w:r>
      <w:r w:rsidR="00C8187B">
        <w:rPr>
          <w:rFonts w:ascii="Arial" w:hAnsi="Arial" w:cs="Arial"/>
          <w:sz w:val="24"/>
          <w:szCs w:val="24"/>
        </w:rPr>
        <w:t xml:space="preserve"> of data’.</w:t>
      </w:r>
      <w:r w:rsidRPr="00712E7C">
        <w:rPr>
          <w:rFonts w:ascii="Arial" w:hAnsi="Arial" w:cs="Arial"/>
          <w:sz w:val="24"/>
          <w:szCs w:val="24"/>
        </w:rPr>
        <w:t xml:space="preserve"> </w:t>
      </w:r>
      <w:r w:rsidRPr="00712E7C">
        <w:rPr>
          <w:rFonts w:ascii="Arial" w:hAnsi="Arial" w:cs="Arial"/>
          <w:i/>
          <w:sz w:val="24"/>
          <w:szCs w:val="24"/>
        </w:rPr>
        <w:t>Theory, Culture and Society</w:t>
      </w:r>
      <w:r w:rsidR="00C8187B">
        <w:rPr>
          <w:rFonts w:ascii="Arial" w:hAnsi="Arial" w:cs="Arial"/>
          <w:sz w:val="24"/>
          <w:szCs w:val="24"/>
        </w:rPr>
        <w:t xml:space="preserve">, </w:t>
      </w:r>
      <w:r w:rsidR="00C8187B" w:rsidRPr="00C8187B">
        <w:rPr>
          <w:rFonts w:ascii="Arial" w:hAnsi="Arial" w:cs="Arial"/>
          <w:b/>
          <w:sz w:val="24"/>
          <w:szCs w:val="24"/>
        </w:rPr>
        <w:t>30</w:t>
      </w:r>
      <w:r w:rsidR="00C8187B">
        <w:rPr>
          <w:rFonts w:ascii="Arial" w:hAnsi="Arial" w:cs="Arial"/>
          <w:sz w:val="24"/>
          <w:szCs w:val="24"/>
        </w:rPr>
        <w:t>(4):47-71.</w:t>
      </w:r>
    </w:p>
    <w:p w:rsidR="003D2A9A" w:rsidRPr="00712E7C" w:rsidRDefault="003D2A9A" w:rsidP="00712E7C">
      <w:pPr>
        <w:spacing w:after="0" w:line="360" w:lineRule="auto"/>
        <w:jc w:val="both"/>
        <w:rPr>
          <w:rFonts w:ascii="Arial" w:hAnsi="Arial" w:cs="Arial"/>
          <w:sz w:val="24"/>
          <w:szCs w:val="24"/>
        </w:rPr>
      </w:pPr>
      <w:r w:rsidRPr="00712E7C">
        <w:rPr>
          <w:rFonts w:ascii="Arial" w:hAnsi="Arial" w:cs="Arial"/>
          <w:i/>
          <w:iCs/>
          <w:sz w:val="24"/>
          <w:szCs w:val="24"/>
        </w:rPr>
        <w:t>Civil Contingencies Act</w:t>
      </w:r>
      <w:r w:rsidR="00A063C8">
        <w:rPr>
          <w:rFonts w:ascii="Arial" w:hAnsi="Arial" w:cs="Arial"/>
          <w:i/>
          <w:iCs/>
          <w:sz w:val="24"/>
          <w:szCs w:val="24"/>
        </w:rPr>
        <w:t xml:space="preserve"> </w:t>
      </w:r>
      <w:r w:rsidR="00A063C8" w:rsidRPr="00A063C8">
        <w:rPr>
          <w:rFonts w:ascii="Arial" w:hAnsi="Arial" w:cs="Arial"/>
          <w:i/>
          <w:iCs/>
          <w:sz w:val="24"/>
          <w:szCs w:val="24"/>
        </w:rPr>
        <w:t>2004.</w:t>
      </w:r>
    </w:p>
    <w:p w:rsidR="00D10407" w:rsidRDefault="009C6416" w:rsidP="00712E7C">
      <w:pPr>
        <w:spacing w:after="0" w:line="360" w:lineRule="auto"/>
        <w:jc w:val="both"/>
        <w:rPr>
          <w:rFonts w:ascii="Arial" w:hAnsi="Arial" w:cs="Arial"/>
          <w:i/>
          <w:iCs/>
          <w:sz w:val="24"/>
          <w:szCs w:val="24"/>
        </w:rPr>
      </w:pPr>
      <w:r w:rsidRPr="00712E7C">
        <w:rPr>
          <w:rFonts w:ascii="Arial" w:hAnsi="Arial" w:cs="Arial"/>
          <w:sz w:val="24"/>
          <w:szCs w:val="24"/>
        </w:rPr>
        <w:t>Collier</w:t>
      </w:r>
      <w:r w:rsidR="00D10407">
        <w:rPr>
          <w:rFonts w:ascii="Arial" w:hAnsi="Arial" w:cs="Arial"/>
          <w:sz w:val="24"/>
          <w:szCs w:val="24"/>
        </w:rPr>
        <w:t>,</w:t>
      </w:r>
      <w:r w:rsidRPr="00712E7C">
        <w:rPr>
          <w:rFonts w:ascii="Arial" w:hAnsi="Arial" w:cs="Arial"/>
          <w:sz w:val="24"/>
          <w:szCs w:val="24"/>
        </w:rPr>
        <w:t xml:space="preserve"> S</w:t>
      </w:r>
      <w:r w:rsidR="00D10407">
        <w:rPr>
          <w:rFonts w:ascii="Arial" w:hAnsi="Arial" w:cs="Arial"/>
          <w:sz w:val="24"/>
          <w:szCs w:val="24"/>
        </w:rPr>
        <w:t>.</w:t>
      </w:r>
      <w:r w:rsidRPr="00712E7C">
        <w:rPr>
          <w:rFonts w:ascii="Arial" w:hAnsi="Arial" w:cs="Arial"/>
          <w:sz w:val="24"/>
          <w:szCs w:val="24"/>
        </w:rPr>
        <w:t>J</w:t>
      </w:r>
      <w:r w:rsidR="00D10407">
        <w:rPr>
          <w:rFonts w:ascii="Arial" w:hAnsi="Arial" w:cs="Arial"/>
          <w:sz w:val="24"/>
          <w:szCs w:val="24"/>
        </w:rPr>
        <w:t>.</w:t>
      </w:r>
      <w:r w:rsidRPr="00712E7C">
        <w:rPr>
          <w:rFonts w:ascii="Arial" w:hAnsi="Arial" w:cs="Arial"/>
          <w:sz w:val="24"/>
          <w:szCs w:val="24"/>
        </w:rPr>
        <w:t xml:space="preserve"> and </w:t>
      </w:r>
      <w:r w:rsidR="00D10407">
        <w:rPr>
          <w:rFonts w:ascii="Arial" w:hAnsi="Arial" w:cs="Arial"/>
          <w:sz w:val="24"/>
          <w:szCs w:val="24"/>
        </w:rPr>
        <w:t xml:space="preserve">A. Lakoff. 2014. Vital systems security: reflexive biopolitics and the government and the bio-politics of emergency. </w:t>
      </w:r>
      <w:r w:rsidRPr="00712E7C">
        <w:rPr>
          <w:rFonts w:ascii="Arial" w:hAnsi="Arial" w:cs="Arial"/>
          <w:i/>
          <w:iCs/>
          <w:sz w:val="24"/>
          <w:szCs w:val="24"/>
        </w:rPr>
        <w:t>Theory, Cultur</w:t>
      </w:r>
      <w:r w:rsidR="0000440F" w:rsidRPr="00712E7C">
        <w:rPr>
          <w:rFonts w:ascii="Arial" w:hAnsi="Arial" w:cs="Arial"/>
          <w:i/>
          <w:iCs/>
          <w:sz w:val="24"/>
          <w:szCs w:val="24"/>
        </w:rPr>
        <w:t>e and</w:t>
      </w:r>
      <w:r w:rsidR="00D10407">
        <w:rPr>
          <w:rFonts w:ascii="Arial" w:hAnsi="Arial" w:cs="Arial"/>
          <w:i/>
          <w:iCs/>
          <w:sz w:val="24"/>
          <w:szCs w:val="24"/>
        </w:rPr>
        <w:t xml:space="preserve"> Society. </w:t>
      </w:r>
      <w:r w:rsidR="00D10407" w:rsidRPr="00D10407">
        <w:rPr>
          <w:rFonts w:ascii="Arial" w:hAnsi="Arial" w:cs="Arial"/>
          <w:iCs/>
          <w:sz w:val="24"/>
          <w:szCs w:val="24"/>
        </w:rPr>
        <w:t>(Last accessed 27 October 2014).</w:t>
      </w:r>
      <w:r w:rsidR="00D10407">
        <w:rPr>
          <w:rFonts w:ascii="Arial" w:hAnsi="Arial" w:cs="Arial"/>
          <w:i/>
          <w:iCs/>
          <w:sz w:val="24"/>
          <w:szCs w:val="24"/>
        </w:rPr>
        <w:t xml:space="preserve"> </w:t>
      </w:r>
    </w:p>
    <w:p w:rsidR="009C6416" w:rsidRPr="00D10407" w:rsidRDefault="00D10407" w:rsidP="00712E7C">
      <w:pPr>
        <w:spacing w:after="0" w:line="360" w:lineRule="auto"/>
        <w:jc w:val="both"/>
        <w:rPr>
          <w:rFonts w:ascii="Arial" w:hAnsi="Arial" w:cs="Arial"/>
          <w:sz w:val="24"/>
          <w:szCs w:val="24"/>
        </w:rPr>
      </w:pPr>
      <w:r w:rsidRPr="00D10407">
        <w:rPr>
          <w:rFonts w:ascii="Arial" w:hAnsi="Arial" w:cs="Arial"/>
          <w:iCs/>
          <w:sz w:val="24"/>
          <w:szCs w:val="24"/>
        </w:rPr>
        <w:t>&lt;http://tcs.sagepub.com/content/early/2014/02/02/0263276413510050.full.pdf+html&gt;</w:t>
      </w:r>
    </w:p>
    <w:p w:rsidR="003A7855" w:rsidRPr="00712E7C" w:rsidRDefault="00D0127C" w:rsidP="00712E7C">
      <w:pPr>
        <w:autoSpaceDE w:val="0"/>
        <w:autoSpaceDN w:val="0"/>
        <w:adjustRightInd w:val="0"/>
        <w:spacing w:after="0" w:line="360" w:lineRule="auto"/>
        <w:jc w:val="both"/>
        <w:rPr>
          <w:rFonts w:ascii="Arial" w:hAnsi="Arial" w:cs="Arial"/>
          <w:i/>
          <w:iCs/>
          <w:color w:val="1F1A17"/>
          <w:sz w:val="24"/>
          <w:szCs w:val="24"/>
        </w:rPr>
      </w:pPr>
      <w:r w:rsidRPr="00712E7C">
        <w:rPr>
          <w:rFonts w:ascii="Arial" w:hAnsi="Arial" w:cs="Arial"/>
          <w:color w:val="1F1A17"/>
          <w:sz w:val="24"/>
          <w:szCs w:val="24"/>
        </w:rPr>
        <w:t>County Durham and Darlington Fire and Rescue Service</w:t>
      </w:r>
      <w:r w:rsidR="00D10407">
        <w:rPr>
          <w:rFonts w:ascii="Arial" w:hAnsi="Arial" w:cs="Arial"/>
          <w:color w:val="1F1A17"/>
          <w:sz w:val="24"/>
          <w:szCs w:val="24"/>
        </w:rPr>
        <w:t>. 2013.</w:t>
      </w:r>
      <w:r w:rsidRPr="00712E7C">
        <w:rPr>
          <w:rFonts w:ascii="Arial" w:hAnsi="Arial" w:cs="Arial"/>
          <w:color w:val="1F1A17"/>
          <w:sz w:val="24"/>
          <w:szCs w:val="24"/>
        </w:rPr>
        <w:t xml:space="preserve"> </w:t>
      </w:r>
      <w:r w:rsidRPr="00712E7C">
        <w:rPr>
          <w:rFonts w:ascii="Arial" w:hAnsi="Arial" w:cs="Arial"/>
          <w:i/>
          <w:iCs/>
          <w:color w:val="1F1A17"/>
          <w:sz w:val="24"/>
          <w:szCs w:val="24"/>
        </w:rPr>
        <w:t>Integrated Risk Management Plan 2014-2015 Consultation</w:t>
      </w:r>
      <w:r w:rsidR="00D10407">
        <w:rPr>
          <w:rFonts w:ascii="Arial" w:hAnsi="Arial" w:cs="Arial"/>
          <w:i/>
          <w:iCs/>
          <w:color w:val="1F1A17"/>
          <w:sz w:val="24"/>
          <w:szCs w:val="24"/>
        </w:rPr>
        <w:t>.</w:t>
      </w:r>
    </w:p>
    <w:p w:rsidR="00F52FE5" w:rsidRPr="00712E7C" w:rsidRDefault="00F52FE5" w:rsidP="00712E7C">
      <w:pPr>
        <w:autoSpaceDE w:val="0"/>
        <w:autoSpaceDN w:val="0"/>
        <w:adjustRightInd w:val="0"/>
        <w:spacing w:after="0" w:line="360" w:lineRule="auto"/>
        <w:jc w:val="both"/>
        <w:rPr>
          <w:rFonts w:ascii="Arial" w:hAnsi="Arial" w:cs="Arial"/>
          <w:color w:val="1F1A17"/>
          <w:sz w:val="24"/>
          <w:szCs w:val="24"/>
        </w:rPr>
      </w:pPr>
      <w:r w:rsidRPr="00712E7C">
        <w:rPr>
          <w:rFonts w:ascii="Arial" w:hAnsi="Arial" w:cs="Arial"/>
          <w:color w:val="1F1A17"/>
          <w:sz w:val="24"/>
          <w:szCs w:val="24"/>
        </w:rPr>
        <w:t>Daston</w:t>
      </w:r>
      <w:r w:rsidR="00D10407">
        <w:rPr>
          <w:rFonts w:ascii="Arial" w:hAnsi="Arial" w:cs="Arial"/>
          <w:color w:val="1F1A17"/>
          <w:sz w:val="24"/>
          <w:szCs w:val="24"/>
        </w:rPr>
        <w:t>,</w:t>
      </w:r>
      <w:r w:rsidRPr="00712E7C">
        <w:rPr>
          <w:rFonts w:ascii="Arial" w:hAnsi="Arial" w:cs="Arial"/>
          <w:color w:val="1F1A17"/>
          <w:sz w:val="24"/>
          <w:szCs w:val="24"/>
        </w:rPr>
        <w:t xml:space="preserve"> L</w:t>
      </w:r>
      <w:r w:rsidR="00D10407">
        <w:rPr>
          <w:rFonts w:ascii="Arial" w:hAnsi="Arial" w:cs="Arial"/>
          <w:color w:val="1F1A17"/>
          <w:sz w:val="24"/>
          <w:szCs w:val="24"/>
        </w:rPr>
        <w:t>. 1988.</w:t>
      </w:r>
      <w:r w:rsidRPr="00712E7C">
        <w:rPr>
          <w:rFonts w:ascii="Arial" w:hAnsi="Arial" w:cs="Arial"/>
          <w:color w:val="1F1A17"/>
          <w:sz w:val="24"/>
          <w:szCs w:val="24"/>
        </w:rPr>
        <w:t xml:space="preserve"> </w:t>
      </w:r>
      <w:r w:rsidR="00D10407">
        <w:rPr>
          <w:rFonts w:ascii="Arial" w:hAnsi="Arial" w:cs="Arial"/>
          <w:i/>
          <w:iCs/>
          <w:color w:val="1F1A17"/>
          <w:sz w:val="24"/>
          <w:szCs w:val="24"/>
        </w:rPr>
        <w:t>Classical p</w:t>
      </w:r>
      <w:r w:rsidRPr="00712E7C">
        <w:rPr>
          <w:rFonts w:ascii="Arial" w:hAnsi="Arial" w:cs="Arial"/>
          <w:i/>
          <w:iCs/>
          <w:color w:val="1F1A17"/>
          <w:sz w:val="24"/>
          <w:szCs w:val="24"/>
        </w:rPr>
        <w:t>robability in the Enlightenment</w:t>
      </w:r>
      <w:r w:rsidR="00D10407">
        <w:rPr>
          <w:rFonts w:ascii="Arial" w:hAnsi="Arial" w:cs="Arial"/>
          <w:color w:val="1F1A17"/>
          <w:sz w:val="24"/>
          <w:szCs w:val="24"/>
        </w:rPr>
        <w:t>.</w:t>
      </w:r>
      <w:r w:rsidRPr="00712E7C">
        <w:rPr>
          <w:rFonts w:ascii="Arial" w:hAnsi="Arial" w:cs="Arial"/>
          <w:color w:val="1F1A17"/>
          <w:sz w:val="24"/>
          <w:szCs w:val="24"/>
        </w:rPr>
        <w:t xml:space="preserve"> </w:t>
      </w:r>
      <w:r w:rsidR="00D10407" w:rsidRPr="00712E7C">
        <w:rPr>
          <w:rFonts w:ascii="Arial" w:hAnsi="Arial" w:cs="Arial"/>
          <w:color w:val="1F1A17"/>
          <w:sz w:val="24"/>
          <w:szCs w:val="24"/>
        </w:rPr>
        <w:t>Prin</w:t>
      </w:r>
      <w:r w:rsidR="00D10407">
        <w:rPr>
          <w:rFonts w:ascii="Arial" w:hAnsi="Arial" w:cs="Arial"/>
          <w:color w:val="1F1A17"/>
          <w:sz w:val="24"/>
          <w:szCs w:val="24"/>
        </w:rPr>
        <w:t>ceton: Princeton University Press.</w:t>
      </w:r>
    </w:p>
    <w:p w:rsidR="00D0127C" w:rsidRPr="00712E7C" w:rsidRDefault="00D0127C" w:rsidP="00712E7C">
      <w:pPr>
        <w:spacing w:after="0" w:line="360" w:lineRule="auto"/>
        <w:jc w:val="both"/>
        <w:rPr>
          <w:rFonts w:ascii="Arial" w:hAnsi="Arial" w:cs="Arial"/>
          <w:sz w:val="24"/>
          <w:szCs w:val="24"/>
        </w:rPr>
      </w:pPr>
      <w:r w:rsidRPr="00712E7C">
        <w:rPr>
          <w:rFonts w:ascii="Arial" w:hAnsi="Arial" w:cs="Arial"/>
          <w:sz w:val="24"/>
          <w:szCs w:val="24"/>
        </w:rPr>
        <w:t>de Goede</w:t>
      </w:r>
      <w:r w:rsidR="00D10407">
        <w:rPr>
          <w:rFonts w:ascii="Arial" w:hAnsi="Arial" w:cs="Arial"/>
          <w:sz w:val="24"/>
          <w:szCs w:val="24"/>
        </w:rPr>
        <w:t>,</w:t>
      </w:r>
      <w:r w:rsidRPr="00712E7C">
        <w:rPr>
          <w:rFonts w:ascii="Arial" w:hAnsi="Arial" w:cs="Arial"/>
          <w:sz w:val="24"/>
          <w:szCs w:val="24"/>
        </w:rPr>
        <w:t xml:space="preserve"> M</w:t>
      </w:r>
      <w:r w:rsidR="00D10407">
        <w:rPr>
          <w:rFonts w:ascii="Arial" w:hAnsi="Arial" w:cs="Arial"/>
          <w:sz w:val="24"/>
          <w:szCs w:val="24"/>
        </w:rPr>
        <w:t>. 2012.</w:t>
      </w:r>
      <w:r w:rsidRPr="00712E7C">
        <w:rPr>
          <w:rFonts w:ascii="Arial" w:hAnsi="Arial" w:cs="Arial"/>
          <w:sz w:val="24"/>
          <w:szCs w:val="24"/>
        </w:rPr>
        <w:t xml:space="preserve"> </w:t>
      </w:r>
      <w:r w:rsidR="00D10407">
        <w:rPr>
          <w:rFonts w:ascii="Arial" w:hAnsi="Arial" w:cs="Arial"/>
          <w:i/>
          <w:iCs/>
          <w:sz w:val="24"/>
          <w:szCs w:val="24"/>
        </w:rPr>
        <w:t>Speculative security: the politics of pursuing t</w:t>
      </w:r>
      <w:r w:rsidRPr="00712E7C">
        <w:rPr>
          <w:rFonts w:ascii="Arial" w:hAnsi="Arial" w:cs="Arial"/>
          <w:i/>
          <w:iCs/>
          <w:sz w:val="24"/>
          <w:szCs w:val="24"/>
        </w:rPr>
        <w:t xml:space="preserve">errorist </w:t>
      </w:r>
      <w:r w:rsidR="00D10407">
        <w:rPr>
          <w:rFonts w:ascii="Arial" w:hAnsi="Arial" w:cs="Arial"/>
          <w:i/>
          <w:iCs/>
          <w:sz w:val="24"/>
          <w:szCs w:val="24"/>
        </w:rPr>
        <w:t>m</w:t>
      </w:r>
      <w:r w:rsidRPr="00712E7C">
        <w:rPr>
          <w:rFonts w:ascii="Arial" w:hAnsi="Arial" w:cs="Arial"/>
          <w:i/>
          <w:iCs/>
          <w:sz w:val="24"/>
          <w:szCs w:val="24"/>
        </w:rPr>
        <w:t>onies</w:t>
      </w:r>
      <w:r w:rsidR="00D10407">
        <w:rPr>
          <w:rFonts w:ascii="Arial" w:hAnsi="Arial" w:cs="Arial"/>
          <w:sz w:val="24"/>
          <w:szCs w:val="24"/>
        </w:rPr>
        <w:t>.</w:t>
      </w:r>
      <w:r w:rsidRPr="00712E7C">
        <w:rPr>
          <w:rFonts w:ascii="Arial" w:hAnsi="Arial" w:cs="Arial"/>
          <w:sz w:val="24"/>
          <w:szCs w:val="24"/>
        </w:rPr>
        <w:t xml:space="preserve"> </w:t>
      </w:r>
      <w:r w:rsidR="00D10407" w:rsidRPr="00712E7C">
        <w:rPr>
          <w:rFonts w:ascii="Arial" w:hAnsi="Arial" w:cs="Arial"/>
          <w:sz w:val="24"/>
          <w:szCs w:val="24"/>
        </w:rPr>
        <w:t>London</w:t>
      </w:r>
      <w:r w:rsidR="00D10407">
        <w:rPr>
          <w:rFonts w:ascii="Arial" w:hAnsi="Arial" w:cs="Arial"/>
          <w:sz w:val="24"/>
          <w:szCs w:val="24"/>
        </w:rPr>
        <w:t>: University of Minnesota Press.</w:t>
      </w:r>
    </w:p>
    <w:p w:rsidR="00B65A84" w:rsidRPr="00712E7C" w:rsidRDefault="00F52FE5" w:rsidP="00712E7C">
      <w:pPr>
        <w:spacing w:after="0" w:line="360" w:lineRule="auto"/>
        <w:jc w:val="both"/>
        <w:rPr>
          <w:rFonts w:ascii="Arial" w:hAnsi="Arial" w:cs="Arial"/>
          <w:i/>
          <w:iCs/>
          <w:sz w:val="24"/>
          <w:szCs w:val="24"/>
        </w:rPr>
      </w:pPr>
      <w:r w:rsidRPr="00712E7C">
        <w:rPr>
          <w:rFonts w:ascii="Arial" w:hAnsi="Arial" w:cs="Arial"/>
          <w:sz w:val="24"/>
          <w:szCs w:val="24"/>
        </w:rPr>
        <w:t>Department for</w:t>
      </w:r>
      <w:r w:rsidR="00B65A84" w:rsidRPr="00712E7C">
        <w:rPr>
          <w:rFonts w:ascii="Arial" w:hAnsi="Arial" w:cs="Arial"/>
          <w:sz w:val="24"/>
          <w:szCs w:val="24"/>
        </w:rPr>
        <w:t xml:space="preserve"> Communities and Local Government</w:t>
      </w:r>
      <w:r w:rsidR="00D10407">
        <w:rPr>
          <w:rFonts w:ascii="Arial" w:hAnsi="Arial" w:cs="Arial"/>
          <w:sz w:val="24"/>
          <w:szCs w:val="24"/>
        </w:rPr>
        <w:t>. 2004.</w:t>
      </w:r>
      <w:r w:rsidR="00B65A84" w:rsidRPr="00712E7C">
        <w:rPr>
          <w:rFonts w:ascii="Arial" w:hAnsi="Arial" w:cs="Arial"/>
          <w:sz w:val="24"/>
          <w:szCs w:val="24"/>
        </w:rPr>
        <w:t xml:space="preserve"> </w:t>
      </w:r>
      <w:r w:rsidR="00D10407">
        <w:rPr>
          <w:rFonts w:ascii="Arial" w:hAnsi="Arial" w:cs="Arial"/>
          <w:i/>
          <w:iCs/>
          <w:sz w:val="24"/>
          <w:szCs w:val="24"/>
        </w:rPr>
        <w:t>A plain English g</w:t>
      </w:r>
      <w:r w:rsidR="00B65A84" w:rsidRPr="00712E7C">
        <w:rPr>
          <w:rFonts w:ascii="Arial" w:hAnsi="Arial" w:cs="Arial"/>
          <w:i/>
          <w:iCs/>
          <w:sz w:val="24"/>
          <w:szCs w:val="24"/>
        </w:rPr>
        <w:t>uide to the Localism Act</w:t>
      </w:r>
      <w:r w:rsidR="00D10407">
        <w:rPr>
          <w:rFonts w:ascii="Arial" w:hAnsi="Arial" w:cs="Arial"/>
          <w:i/>
          <w:iCs/>
          <w:sz w:val="24"/>
          <w:szCs w:val="24"/>
        </w:rPr>
        <w:t>.</w:t>
      </w:r>
    </w:p>
    <w:p w:rsidR="00F52FE5" w:rsidRPr="00712E7C" w:rsidRDefault="00F52FE5" w:rsidP="00712E7C">
      <w:pPr>
        <w:spacing w:after="0" w:line="360" w:lineRule="auto"/>
        <w:jc w:val="both"/>
        <w:rPr>
          <w:rFonts w:ascii="Arial" w:hAnsi="Arial" w:cs="Arial"/>
          <w:sz w:val="24"/>
          <w:szCs w:val="24"/>
          <w:u w:val="single"/>
        </w:rPr>
      </w:pPr>
      <w:r w:rsidRPr="00712E7C">
        <w:rPr>
          <w:rFonts w:ascii="Arial" w:hAnsi="Arial" w:cs="Arial"/>
          <w:sz w:val="24"/>
          <w:szCs w:val="24"/>
        </w:rPr>
        <w:t>Department for Communities and Local Government</w:t>
      </w:r>
      <w:r w:rsidR="00D10407">
        <w:rPr>
          <w:rFonts w:ascii="Arial" w:hAnsi="Arial" w:cs="Arial"/>
          <w:sz w:val="24"/>
          <w:szCs w:val="24"/>
        </w:rPr>
        <w:t>. 2004.</w:t>
      </w:r>
      <w:r w:rsidRPr="00712E7C">
        <w:rPr>
          <w:rFonts w:ascii="Arial" w:hAnsi="Arial" w:cs="Arial"/>
          <w:sz w:val="24"/>
          <w:szCs w:val="24"/>
        </w:rPr>
        <w:t xml:space="preserve"> </w:t>
      </w:r>
      <w:r w:rsidRPr="00712E7C">
        <w:rPr>
          <w:rFonts w:ascii="Arial" w:hAnsi="Arial" w:cs="Arial"/>
          <w:i/>
          <w:iCs/>
          <w:sz w:val="24"/>
          <w:szCs w:val="24"/>
        </w:rPr>
        <w:t>Fire and Rescue Services Act</w:t>
      </w:r>
      <w:r w:rsidR="00A063C8">
        <w:rPr>
          <w:rFonts w:ascii="Arial" w:hAnsi="Arial" w:cs="Arial"/>
          <w:i/>
          <w:iCs/>
          <w:sz w:val="24"/>
          <w:szCs w:val="24"/>
        </w:rPr>
        <w:t xml:space="preserve"> .</w:t>
      </w:r>
    </w:p>
    <w:p w:rsidR="00B65A84" w:rsidRPr="00712E7C" w:rsidRDefault="00D0127C" w:rsidP="00712E7C">
      <w:pPr>
        <w:spacing w:after="0" w:line="360" w:lineRule="auto"/>
        <w:jc w:val="both"/>
        <w:rPr>
          <w:rFonts w:ascii="Arial" w:hAnsi="Arial" w:cs="Arial"/>
          <w:sz w:val="24"/>
          <w:szCs w:val="24"/>
        </w:rPr>
      </w:pPr>
      <w:r w:rsidRPr="00712E7C">
        <w:rPr>
          <w:rFonts w:ascii="Arial" w:hAnsi="Arial" w:cs="Arial"/>
          <w:sz w:val="24"/>
          <w:szCs w:val="24"/>
        </w:rPr>
        <w:t>Du Gay</w:t>
      </w:r>
      <w:r w:rsidR="00A063C8">
        <w:rPr>
          <w:rFonts w:ascii="Arial" w:hAnsi="Arial" w:cs="Arial"/>
          <w:sz w:val="24"/>
          <w:szCs w:val="24"/>
        </w:rPr>
        <w:t>,</w:t>
      </w:r>
      <w:r w:rsidRPr="00712E7C">
        <w:rPr>
          <w:rFonts w:ascii="Arial" w:hAnsi="Arial" w:cs="Arial"/>
          <w:sz w:val="24"/>
          <w:szCs w:val="24"/>
        </w:rPr>
        <w:t xml:space="preserve"> P</w:t>
      </w:r>
      <w:r w:rsidR="00A063C8">
        <w:rPr>
          <w:rFonts w:ascii="Arial" w:hAnsi="Arial" w:cs="Arial"/>
          <w:sz w:val="24"/>
          <w:szCs w:val="24"/>
        </w:rPr>
        <w:t xml:space="preserve">. 2003. ‘The tyranny of the epochal: change, epochalism and organizational reform’. </w:t>
      </w:r>
      <w:r w:rsidRPr="00712E7C">
        <w:rPr>
          <w:rFonts w:ascii="Arial" w:hAnsi="Arial" w:cs="Arial"/>
          <w:i/>
          <w:iCs/>
          <w:sz w:val="24"/>
          <w:szCs w:val="24"/>
        </w:rPr>
        <w:t>Organization</w:t>
      </w:r>
      <w:r w:rsidR="00A063C8">
        <w:rPr>
          <w:rFonts w:ascii="Arial" w:hAnsi="Arial" w:cs="Arial"/>
          <w:sz w:val="24"/>
          <w:szCs w:val="24"/>
        </w:rPr>
        <w:t xml:space="preserve">, </w:t>
      </w:r>
      <w:r w:rsidR="00A063C8" w:rsidRPr="00A063C8">
        <w:rPr>
          <w:rFonts w:ascii="Arial" w:hAnsi="Arial" w:cs="Arial"/>
          <w:b/>
          <w:sz w:val="24"/>
          <w:szCs w:val="24"/>
        </w:rPr>
        <w:t>10</w:t>
      </w:r>
      <w:r w:rsidR="00A063C8">
        <w:rPr>
          <w:rFonts w:ascii="Arial" w:hAnsi="Arial" w:cs="Arial"/>
          <w:sz w:val="24"/>
          <w:szCs w:val="24"/>
        </w:rPr>
        <w:t>(4):</w:t>
      </w:r>
      <w:r w:rsidRPr="00712E7C">
        <w:rPr>
          <w:rFonts w:ascii="Arial" w:hAnsi="Arial" w:cs="Arial"/>
          <w:sz w:val="24"/>
          <w:szCs w:val="24"/>
        </w:rPr>
        <w:t>663-684</w:t>
      </w:r>
      <w:r w:rsidR="00A063C8">
        <w:rPr>
          <w:rFonts w:ascii="Arial" w:hAnsi="Arial" w:cs="Arial"/>
          <w:sz w:val="24"/>
          <w:szCs w:val="24"/>
        </w:rPr>
        <w:t>.</w:t>
      </w:r>
    </w:p>
    <w:p w:rsidR="00B65A84" w:rsidRPr="00712E7C" w:rsidRDefault="00B65A84" w:rsidP="00712E7C">
      <w:pPr>
        <w:spacing w:after="0" w:line="360" w:lineRule="auto"/>
        <w:jc w:val="both"/>
        <w:rPr>
          <w:rFonts w:ascii="Arial" w:hAnsi="Arial" w:cs="Arial"/>
          <w:sz w:val="24"/>
          <w:szCs w:val="24"/>
        </w:rPr>
      </w:pPr>
      <w:r w:rsidRPr="00712E7C">
        <w:rPr>
          <w:rFonts w:ascii="Arial" w:hAnsi="Arial" w:cs="Arial"/>
          <w:sz w:val="24"/>
          <w:szCs w:val="24"/>
        </w:rPr>
        <w:t>Foucault</w:t>
      </w:r>
      <w:r w:rsidR="00A063C8">
        <w:rPr>
          <w:rFonts w:ascii="Arial" w:hAnsi="Arial" w:cs="Arial"/>
          <w:sz w:val="24"/>
          <w:szCs w:val="24"/>
        </w:rPr>
        <w:t>,</w:t>
      </w:r>
      <w:r w:rsidRPr="00712E7C">
        <w:rPr>
          <w:rFonts w:ascii="Arial" w:hAnsi="Arial" w:cs="Arial"/>
          <w:sz w:val="24"/>
          <w:szCs w:val="24"/>
        </w:rPr>
        <w:t xml:space="preserve"> M</w:t>
      </w:r>
      <w:r w:rsidR="00A063C8">
        <w:rPr>
          <w:rFonts w:ascii="Arial" w:hAnsi="Arial" w:cs="Arial"/>
          <w:sz w:val="24"/>
          <w:szCs w:val="24"/>
        </w:rPr>
        <w:t>. 2007.</w:t>
      </w:r>
      <w:r w:rsidRPr="00712E7C">
        <w:rPr>
          <w:rFonts w:ascii="Arial" w:hAnsi="Arial" w:cs="Arial"/>
          <w:sz w:val="24"/>
          <w:szCs w:val="24"/>
        </w:rPr>
        <w:t xml:space="preserve"> </w:t>
      </w:r>
      <w:r w:rsidR="00A063C8">
        <w:rPr>
          <w:rFonts w:ascii="Arial" w:hAnsi="Arial" w:cs="Arial"/>
          <w:i/>
          <w:iCs/>
          <w:sz w:val="24"/>
          <w:szCs w:val="24"/>
        </w:rPr>
        <w:t>Security, territory, p</w:t>
      </w:r>
      <w:r w:rsidRPr="00712E7C">
        <w:rPr>
          <w:rFonts w:ascii="Arial" w:hAnsi="Arial" w:cs="Arial"/>
          <w:i/>
          <w:iCs/>
          <w:sz w:val="24"/>
          <w:szCs w:val="24"/>
        </w:rPr>
        <w:t>opulation</w:t>
      </w:r>
      <w:r w:rsidR="00A063C8">
        <w:rPr>
          <w:rFonts w:ascii="Arial" w:hAnsi="Arial" w:cs="Arial"/>
          <w:sz w:val="24"/>
          <w:szCs w:val="24"/>
        </w:rPr>
        <w:t xml:space="preserve">. </w:t>
      </w:r>
      <w:r w:rsidR="00A063C8" w:rsidRPr="00712E7C">
        <w:rPr>
          <w:rFonts w:ascii="Arial" w:hAnsi="Arial" w:cs="Arial"/>
          <w:sz w:val="24"/>
          <w:szCs w:val="24"/>
        </w:rPr>
        <w:t>Basingstoke</w:t>
      </w:r>
      <w:r w:rsidR="00A063C8">
        <w:rPr>
          <w:rFonts w:ascii="Arial" w:hAnsi="Arial" w:cs="Arial"/>
          <w:sz w:val="24"/>
          <w:szCs w:val="24"/>
        </w:rPr>
        <w:t xml:space="preserve">: </w:t>
      </w:r>
      <w:r w:rsidRPr="00712E7C">
        <w:rPr>
          <w:rFonts w:ascii="Arial" w:hAnsi="Arial" w:cs="Arial"/>
          <w:sz w:val="24"/>
          <w:szCs w:val="24"/>
        </w:rPr>
        <w:t>Palgrave/</w:t>
      </w:r>
      <w:r w:rsidR="00A063C8">
        <w:rPr>
          <w:rFonts w:ascii="Arial" w:hAnsi="Arial" w:cs="Arial"/>
          <w:sz w:val="24"/>
          <w:szCs w:val="24"/>
        </w:rPr>
        <w:t>Macmillan.</w:t>
      </w:r>
      <w:r w:rsidRPr="00712E7C">
        <w:rPr>
          <w:rFonts w:ascii="Arial" w:hAnsi="Arial" w:cs="Arial"/>
          <w:sz w:val="24"/>
          <w:szCs w:val="24"/>
        </w:rPr>
        <w:t xml:space="preserve"> </w:t>
      </w:r>
    </w:p>
    <w:p w:rsidR="0000440F" w:rsidRPr="00712E7C" w:rsidRDefault="0000440F" w:rsidP="00712E7C">
      <w:pPr>
        <w:spacing w:after="0" w:line="360" w:lineRule="auto"/>
        <w:jc w:val="both"/>
        <w:rPr>
          <w:rFonts w:ascii="Arial" w:hAnsi="Arial" w:cs="Arial"/>
          <w:sz w:val="24"/>
          <w:szCs w:val="24"/>
        </w:rPr>
      </w:pPr>
      <w:r w:rsidRPr="00712E7C">
        <w:rPr>
          <w:rFonts w:ascii="Arial" w:hAnsi="Arial" w:cs="Arial"/>
          <w:sz w:val="24"/>
          <w:szCs w:val="24"/>
        </w:rPr>
        <w:t>Lash</w:t>
      </w:r>
      <w:r w:rsidR="00A063C8">
        <w:rPr>
          <w:rFonts w:ascii="Arial" w:hAnsi="Arial" w:cs="Arial"/>
          <w:sz w:val="24"/>
          <w:szCs w:val="24"/>
        </w:rPr>
        <w:t>,</w:t>
      </w:r>
      <w:r w:rsidRPr="00712E7C">
        <w:rPr>
          <w:rFonts w:ascii="Arial" w:hAnsi="Arial" w:cs="Arial"/>
          <w:sz w:val="24"/>
          <w:szCs w:val="24"/>
        </w:rPr>
        <w:t xml:space="preserve"> S</w:t>
      </w:r>
      <w:r w:rsidR="00A063C8">
        <w:rPr>
          <w:rFonts w:ascii="Arial" w:hAnsi="Arial" w:cs="Arial"/>
          <w:sz w:val="24"/>
          <w:szCs w:val="24"/>
        </w:rPr>
        <w:t>. 2002.</w:t>
      </w:r>
      <w:r w:rsidRPr="00712E7C">
        <w:rPr>
          <w:rFonts w:ascii="Arial" w:hAnsi="Arial" w:cs="Arial"/>
          <w:sz w:val="24"/>
          <w:szCs w:val="24"/>
        </w:rPr>
        <w:t xml:space="preserve"> </w:t>
      </w:r>
      <w:r w:rsidRPr="00712E7C">
        <w:rPr>
          <w:rFonts w:ascii="Arial" w:hAnsi="Arial" w:cs="Arial"/>
          <w:i/>
          <w:iCs/>
          <w:sz w:val="24"/>
          <w:szCs w:val="24"/>
        </w:rPr>
        <w:t>Critique of Information</w:t>
      </w:r>
      <w:r w:rsidR="00A063C8">
        <w:rPr>
          <w:rFonts w:ascii="Arial" w:hAnsi="Arial" w:cs="Arial"/>
          <w:sz w:val="24"/>
          <w:szCs w:val="24"/>
        </w:rPr>
        <w:t>. London: Sage.</w:t>
      </w:r>
    </w:p>
    <w:p w:rsidR="005E363E" w:rsidRPr="00712E7C" w:rsidRDefault="005E363E" w:rsidP="00712E7C">
      <w:pPr>
        <w:spacing w:after="0" w:line="360" w:lineRule="auto"/>
        <w:jc w:val="both"/>
        <w:rPr>
          <w:rFonts w:ascii="Arial" w:hAnsi="Arial" w:cs="Arial"/>
          <w:sz w:val="24"/>
          <w:szCs w:val="24"/>
        </w:rPr>
      </w:pPr>
      <w:r w:rsidRPr="00712E7C">
        <w:rPr>
          <w:rFonts w:ascii="Arial" w:hAnsi="Arial" w:cs="Arial"/>
          <w:sz w:val="24"/>
          <w:szCs w:val="24"/>
        </w:rPr>
        <w:t>Law, J</w:t>
      </w:r>
      <w:r w:rsidR="00A063C8">
        <w:rPr>
          <w:rFonts w:ascii="Arial" w:hAnsi="Arial" w:cs="Arial"/>
          <w:sz w:val="24"/>
          <w:szCs w:val="24"/>
        </w:rPr>
        <w:t>. 2002.</w:t>
      </w:r>
      <w:r w:rsidRPr="00712E7C">
        <w:rPr>
          <w:rFonts w:ascii="Arial" w:hAnsi="Arial" w:cs="Arial"/>
          <w:sz w:val="24"/>
          <w:szCs w:val="24"/>
        </w:rPr>
        <w:t xml:space="preserve"> </w:t>
      </w:r>
      <w:r w:rsidR="00A063C8">
        <w:rPr>
          <w:rFonts w:ascii="Arial" w:hAnsi="Arial" w:cs="Arial"/>
          <w:i/>
          <w:sz w:val="24"/>
          <w:szCs w:val="24"/>
        </w:rPr>
        <w:t>Aircraft s</w:t>
      </w:r>
      <w:r w:rsidRPr="00712E7C">
        <w:rPr>
          <w:rFonts w:ascii="Arial" w:hAnsi="Arial" w:cs="Arial"/>
          <w:i/>
          <w:sz w:val="24"/>
          <w:szCs w:val="24"/>
        </w:rPr>
        <w:t>tor</w:t>
      </w:r>
      <w:r w:rsidR="00A063C8">
        <w:rPr>
          <w:rFonts w:ascii="Arial" w:hAnsi="Arial" w:cs="Arial"/>
          <w:i/>
          <w:sz w:val="24"/>
          <w:szCs w:val="24"/>
        </w:rPr>
        <w:t>ies: de-centring the object of techno-s</w:t>
      </w:r>
      <w:r w:rsidRPr="00712E7C">
        <w:rPr>
          <w:rFonts w:ascii="Arial" w:hAnsi="Arial" w:cs="Arial"/>
          <w:i/>
          <w:sz w:val="24"/>
          <w:szCs w:val="24"/>
        </w:rPr>
        <w:t>cience</w:t>
      </w:r>
      <w:r w:rsidR="00A063C8">
        <w:rPr>
          <w:rFonts w:ascii="Arial" w:hAnsi="Arial" w:cs="Arial"/>
          <w:sz w:val="24"/>
          <w:szCs w:val="24"/>
        </w:rPr>
        <w:t>.</w:t>
      </w:r>
      <w:r w:rsidRPr="00712E7C">
        <w:rPr>
          <w:rFonts w:ascii="Arial" w:hAnsi="Arial" w:cs="Arial"/>
          <w:sz w:val="24"/>
          <w:szCs w:val="24"/>
        </w:rPr>
        <w:t xml:space="preserve"> </w:t>
      </w:r>
      <w:r w:rsidR="00A063C8" w:rsidRPr="00712E7C">
        <w:rPr>
          <w:rFonts w:ascii="Arial" w:hAnsi="Arial" w:cs="Arial"/>
          <w:sz w:val="24"/>
          <w:szCs w:val="24"/>
        </w:rPr>
        <w:t>Durham</w:t>
      </w:r>
      <w:r w:rsidR="00A063C8">
        <w:rPr>
          <w:rFonts w:ascii="Arial" w:hAnsi="Arial" w:cs="Arial"/>
          <w:sz w:val="24"/>
          <w:szCs w:val="24"/>
        </w:rPr>
        <w:t>:</w:t>
      </w:r>
      <w:r w:rsidR="00A063C8" w:rsidRPr="00712E7C">
        <w:rPr>
          <w:rFonts w:ascii="Arial" w:hAnsi="Arial" w:cs="Arial"/>
          <w:sz w:val="24"/>
          <w:szCs w:val="24"/>
        </w:rPr>
        <w:t xml:space="preserve"> </w:t>
      </w:r>
      <w:r w:rsidR="00A063C8">
        <w:rPr>
          <w:rFonts w:ascii="Arial" w:hAnsi="Arial" w:cs="Arial"/>
          <w:sz w:val="24"/>
          <w:szCs w:val="24"/>
        </w:rPr>
        <w:t>Duke University Press.</w:t>
      </w:r>
    </w:p>
    <w:p w:rsidR="009C6416" w:rsidRPr="00712E7C" w:rsidRDefault="009C6416" w:rsidP="00712E7C">
      <w:pPr>
        <w:spacing w:after="0" w:line="360" w:lineRule="auto"/>
        <w:jc w:val="both"/>
        <w:rPr>
          <w:rFonts w:ascii="Arial" w:hAnsi="Arial" w:cs="Arial"/>
          <w:sz w:val="24"/>
          <w:szCs w:val="24"/>
        </w:rPr>
      </w:pPr>
      <w:r w:rsidRPr="00712E7C">
        <w:rPr>
          <w:rFonts w:ascii="Arial" w:hAnsi="Arial" w:cs="Arial"/>
          <w:sz w:val="24"/>
          <w:szCs w:val="24"/>
        </w:rPr>
        <w:t>Office of Public Sector Information</w:t>
      </w:r>
      <w:r w:rsidR="00721443">
        <w:rPr>
          <w:rFonts w:ascii="Arial" w:hAnsi="Arial" w:cs="Arial"/>
          <w:sz w:val="24"/>
          <w:szCs w:val="24"/>
        </w:rPr>
        <w:t>. 1998.</w:t>
      </w:r>
      <w:r w:rsidRPr="00712E7C">
        <w:rPr>
          <w:rFonts w:ascii="Arial" w:hAnsi="Arial" w:cs="Arial"/>
          <w:sz w:val="24"/>
          <w:szCs w:val="24"/>
        </w:rPr>
        <w:t xml:space="preserve"> </w:t>
      </w:r>
      <w:r w:rsidRPr="00712E7C">
        <w:rPr>
          <w:rFonts w:ascii="Arial" w:hAnsi="Arial" w:cs="Arial"/>
          <w:i/>
          <w:iCs/>
          <w:sz w:val="24"/>
          <w:szCs w:val="24"/>
        </w:rPr>
        <w:t>The Data Protection Act</w:t>
      </w:r>
      <w:r w:rsidR="00721443">
        <w:rPr>
          <w:rFonts w:ascii="Arial" w:hAnsi="Arial" w:cs="Arial"/>
          <w:sz w:val="24"/>
          <w:szCs w:val="24"/>
        </w:rPr>
        <w:t>.</w:t>
      </w:r>
    </w:p>
    <w:p w:rsidR="00F52FE5" w:rsidRPr="00712E7C" w:rsidRDefault="00F52FE5" w:rsidP="00712E7C">
      <w:pPr>
        <w:spacing w:after="0" w:line="360" w:lineRule="auto"/>
        <w:jc w:val="both"/>
        <w:rPr>
          <w:rFonts w:ascii="Arial" w:hAnsi="Arial" w:cs="Arial"/>
          <w:sz w:val="24"/>
          <w:szCs w:val="24"/>
        </w:rPr>
      </w:pPr>
      <w:r w:rsidRPr="00712E7C">
        <w:rPr>
          <w:rFonts w:ascii="Arial" w:hAnsi="Arial" w:cs="Arial"/>
          <w:sz w:val="24"/>
          <w:szCs w:val="24"/>
        </w:rPr>
        <w:t>O’Malley</w:t>
      </w:r>
      <w:r w:rsidR="00721443">
        <w:rPr>
          <w:rFonts w:ascii="Arial" w:hAnsi="Arial" w:cs="Arial"/>
          <w:sz w:val="24"/>
          <w:szCs w:val="24"/>
        </w:rPr>
        <w:t>,</w:t>
      </w:r>
      <w:r w:rsidRPr="00712E7C">
        <w:rPr>
          <w:rFonts w:ascii="Arial" w:hAnsi="Arial" w:cs="Arial"/>
          <w:sz w:val="24"/>
          <w:szCs w:val="24"/>
        </w:rPr>
        <w:t xml:space="preserve"> P</w:t>
      </w:r>
      <w:r w:rsidR="00721443">
        <w:rPr>
          <w:rFonts w:ascii="Arial" w:hAnsi="Arial" w:cs="Arial"/>
          <w:sz w:val="24"/>
          <w:szCs w:val="24"/>
        </w:rPr>
        <w:t>. 2004.</w:t>
      </w:r>
      <w:r w:rsidRPr="00712E7C">
        <w:rPr>
          <w:rFonts w:ascii="Arial" w:hAnsi="Arial" w:cs="Arial"/>
          <w:sz w:val="24"/>
          <w:szCs w:val="24"/>
        </w:rPr>
        <w:t xml:space="preserve"> </w:t>
      </w:r>
      <w:r w:rsidR="00721443">
        <w:rPr>
          <w:rFonts w:ascii="Arial" w:hAnsi="Arial" w:cs="Arial"/>
          <w:i/>
          <w:iCs/>
          <w:sz w:val="24"/>
          <w:szCs w:val="24"/>
        </w:rPr>
        <w:t>Risk, uncertainty and g</w:t>
      </w:r>
      <w:r w:rsidRPr="00712E7C">
        <w:rPr>
          <w:rFonts w:ascii="Arial" w:hAnsi="Arial" w:cs="Arial"/>
          <w:i/>
          <w:iCs/>
          <w:sz w:val="24"/>
          <w:szCs w:val="24"/>
        </w:rPr>
        <w:t>overnment</w:t>
      </w:r>
      <w:r w:rsidR="00721443">
        <w:rPr>
          <w:rFonts w:ascii="Arial" w:hAnsi="Arial" w:cs="Arial"/>
          <w:sz w:val="24"/>
          <w:szCs w:val="24"/>
        </w:rPr>
        <w:t xml:space="preserve">. </w:t>
      </w:r>
      <w:r w:rsidR="00721443" w:rsidRPr="00712E7C">
        <w:rPr>
          <w:rFonts w:ascii="Arial" w:hAnsi="Arial" w:cs="Arial"/>
          <w:sz w:val="24"/>
          <w:szCs w:val="24"/>
        </w:rPr>
        <w:t>London</w:t>
      </w:r>
      <w:r w:rsidR="00721443">
        <w:rPr>
          <w:rFonts w:ascii="Arial" w:hAnsi="Arial" w:cs="Arial"/>
          <w:sz w:val="24"/>
          <w:szCs w:val="24"/>
        </w:rPr>
        <w:t>: Glasshouse.</w:t>
      </w:r>
    </w:p>
    <w:p w:rsidR="0000440F" w:rsidRPr="00712E7C" w:rsidRDefault="0000440F" w:rsidP="00712E7C">
      <w:pPr>
        <w:spacing w:after="0" w:line="360" w:lineRule="auto"/>
        <w:jc w:val="both"/>
        <w:rPr>
          <w:rFonts w:ascii="Arial" w:hAnsi="Arial" w:cs="Arial"/>
          <w:sz w:val="24"/>
          <w:szCs w:val="24"/>
        </w:rPr>
      </w:pPr>
      <w:r w:rsidRPr="00712E7C">
        <w:rPr>
          <w:rFonts w:ascii="Arial" w:hAnsi="Arial" w:cs="Arial"/>
          <w:sz w:val="24"/>
          <w:szCs w:val="24"/>
        </w:rPr>
        <w:t>Ruppert</w:t>
      </w:r>
      <w:r w:rsidR="00721443">
        <w:rPr>
          <w:rFonts w:ascii="Arial" w:hAnsi="Arial" w:cs="Arial"/>
          <w:sz w:val="24"/>
          <w:szCs w:val="24"/>
        </w:rPr>
        <w:t>, E. 2011. ‘Population objects: interpassive subjects’.</w:t>
      </w:r>
      <w:r w:rsidRPr="00712E7C">
        <w:rPr>
          <w:rFonts w:ascii="Arial" w:hAnsi="Arial" w:cs="Arial"/>
          <w:sz w:val="24"/>
          <w:szCs w:val="24"/>
        </w:rPr>
        <w:t xml:space="preserve"> </w:t>
      </w:r>
      <w:r w:rsidRPr="00712E7C">
        <w:rPr>
          <w:rFonts w:ascii="Arial" w:hAnsi="Arial" w:cs="Arial"/>
          <w:i/>
          <w:sz w:val="24"/>
          <w:szCs w:val="24"/>
        </w:rPr>
        <w:t>Sociology</w:t>
      </w:r>
      <w:r w:rsidRPr="00712E7C">
        <w:rPr>
          <w:rFonts w:ascii="Arial" w:hAnsi="Arial" w:cs="Arial"/>
          <w:sz w:val="24"/>
          <w:szCs w:val="24"/>
        </w:rPr>
        <w:t xml:space="preserve">, </w:t>
      </w:r>
      <w:r w:rsidR="00721443">
        <w:rPr>
          <w:rFonts w:ascii="Arial" w:hAnsi="Arial" w:cs="Arial"/>
          <w:sz w:val="24"/>
          <w:szCs w:val="24"/>
        </w:rPr>
        <w:t>45(</w:t>
      </w:r>
      <w:r w:rsidRPr="00712E7C">
        <w:rPr>
          <w:rFonts w:ascii="Arial" w:hAnsi="Arial" w:cs="Arial"/>
          <w:sz w:val="24"/>
          <w:szCs w:val="24"/>
        </w:rPr>
        <w:t>2</w:t>
      </w:r>
      <w:r w:rsidR="00721443">
        <w:rPr>
          <w:rFonts w:ascii="Arial" w:hAnsi="Arial" w:cs="Arial"/>
          <w:sz w:val="24"/>
          <w:szCs w:val="24"/>
        </w:rPr>
        <w:t>):217-233.</w:t>
      </w:r>
    </w:p>
    <w:p w:rsidR="00F52FE5" w:rsidRPr="00712E7C" w:rsidRDefault="00F52FE5" w:rsidP="00712E7C">
      <w:pPr>
        <w:tabs>
          <w:tab w:val="left" w:pos="1635"/>
        </w:tabs>
        <w:spacing w:after="0" w:line="360" w:lineRule="auto"/>
        <w:jc w:val="both"/>
        <w:rPr>
          <w:rFonts w:ascii="Arial" w:hAnsi="Arial" w:cs="Arial"/>
          <w:sz w:val="24"/>
          <w:szCs w:val="24"/>
          <w:u w:val="single"/>
        </w:rPr>
      </w:pPr>
      <w:r w:rsidRPr="00712E7C">
        <w:rPr>
          <w:rFonts w:ascii="Arial" w:hAnsi="Arial" w:cs="Arial"/>
          <w:sz w:val="24"/>
          <w:szCs w:val="24"/>
        </w:rPr>
        <w:t>Salter</w:t>
      </w:r>
      <w:r w:rsidR="00721443">
        <w:rPr>
          <w:rFonts w:ascii="Arial" w:hAnsi="Arial" w:cs="Arial"/>
          <w:sz w:val="24"/>
          <w:szCs w:val="24"/>
        </w:rPr>
        <w:t>,</w:t>
      </w:r>
      <w:r w:rsidRPr="00712E7C">
        <w:rPr>
          <w:rFonts w:ascii="Arial" w:hAnsi="Arial" w:cs="Arial"/>
          <w:sz w:val="24"/>
          <w:szCs w:val="24"/>
        </w:rPr>
        <w:t xml:space="preserve"> M</w:t>
      </w:r>
      <w:r w:rsidR="00721443">
        <w:rPr>
          <w:rFonts w:ascii="Arial" w:hAnsi="Arial" w:cs="Arial"/>
          <w:sz w:val="24"/>
          <w:szCs w:val="24"/>
        </w:rPr>
        <w:t>. 2013.</w:t>
      </w:r>
      <w:r w:rsidRPr="00712E7C">
        <w:rPr>
          <w:rFonts w:ascii="Arial" w:hAnsi="Arial" w:cs="Arial"/>
          <w:sz w:val="24"/>
          <w:szCs w:val="24"/>
        </w:rPr>
        <w:t xml:space="preserve"> </w:t>
      </w:r>
      <w:r w:rsidR="00721443">
        <w:rPr>
          <w:rFonts w:ascii="Arial" w:hAnsi="Arial" w:cs="Arial"/>
          <w:sz w:val="24"/>
          <w:szCs w:val="24"/>
        </w:rPr>
        <w:t>‘</w:t>
      </w:r>
      <w:r w:rsidRPr="00712E7C">
        <w:rPr>
          <w:rFonts w:ascii="Arial" w:hAnsi="Arial" w:cs="Arial"/>
          <w:sz w:val="24"/>
          <w:szCs w:val="24"/>
        </w:rPr>
        <w:t xml:space="preserve">To </w:t>
      </w:r>
      <w:r w:rsidR="00721443">
        <w:rPr>
          <w:rFonts w:ascii="Arial" w:hAnsi="Arial" w:cs="Arial"/>
          <w:sz w:val="24"/>
          <w:szCs w:val="24"/>
        </w:rPr>
        <w:t>make move and let stop: m</w:t>
      </w:r>
      <w:r w:rsidRPr="00712E7C">
        <w:rPr>
          <w:rFonts w:ascii="Arial" w:hAnsi="Arial" w:cs="Arial"/>
          <w:sz w:val="24"/>
          <w:szCs w:val="24"/>
        </w:rPr>
        <w:t>obility and</w:t>
      </w:r>
      <w:r w:rsidR="00721443">
        <w:rPr>
          <w:rFonts w:ascii="Arial" w:hAnsi="Arial" w:cs="Arial"/>
          <w:sz w:val="24"/>
          <w:szCs w:val="24"/>
        </w:rPr>
        <w:t xml:space="preserve"> the assemblage of circulation’. </w:t>
      </w:r>
      <w:r w:rsidRPr="00712E7C">
        <w:rPr>
          <w:rFonts w:ascii="Arial" w:hAnsi="Arial" w:cs="Arial"/>
          <w:i/>
          <w:iCs/>
          <w:sz w:val="24"/>
          <w:szCs w:val="24"/>
        </w:rPr>
        <w:t>Mobilities</w:t>
      </w:r>
      <w:r w:rsidR="00721443">
        <w:rPr>
          <w:rFonts w:ascii="Arial" w:hAnsi="Arial" w:cs="Arial"/>
          <w:sz w:val="24"/>
          <w:szCs w:val="24"/>
        </w:rPr>
        <w:t>,</w:t>
      </w:r>
      <w:r w:rsidR="00721443" w:rsidRPr="00721443">
        <w:rPr>
          <w:rFonts w:ascii="Arial" w:hAnsi="Arial" w:cs="Arial"/>
          <w:b/>
          <w:sz w:val="24"/>
          <w:szCs w:val="24"/>
        </w:rPr>
        <w:t xml:space="preserve"> 8</w:t>
      </w:r>
      <w:r w:rsidR="00721443">
        <w:rPr>
          <w:rFonts w:ascii="Arial" w:hAnsi="Arial" w:cs="Arial"/>
          <w:sz w:val="24"/>
          <w:szCs w:val="24"/>
        </w:rPr>
        <w:t>(1):</w:t>
      </w:r>
      <w:r w:rsidRPr="00712E7C">
        <w:rPr>
          <w:rFonts w:ascii="Arial" w:hAnsi="Arial" w:cs="Arial"/>
          <w:sz w:val="24"/>
          <w:szCs w:val="24"/>
        </w:rPr>
        <w:t>7-19</w:t>
      </w:r>
      <w:r w:rsidR="00721443">
        <w:rPr>
          <w:rFonts w:ascii="Arial" w:hAnsi="Arial" w:cs="Arial"/>
          <w:sz w:val="24"/>
          <w:szCs w:val="24"/>
        </w:rPr>
        <w:t>.</w:t>
      </w:r>
    </w:p>
    <w:p w:rsidR="00A65EF0" w:rsidRPr="00A65EF0" w:rsidRDefault="00B65A84" w:rsidP="00712E7C">
      <w:pPr>
        <w:spacing w:after="0" w:line="360" w:lineRule="auto"/>
        <w:jc w:val="both"/>
        <w:rPr>
          <w:rFonts w:ascii="Arial" w:hAnsi="Arial" w:cs="Arial"/>
          <w:iCs/>
          <w:sz w:val="24"/>
          <w:szCs w:val="24"/>
        </w:rPr>
      </w:pPr>
      <w:r w:rsidRPr="00721443">
        <w:rPr>
          <w:rFonts w:ascii="Arial" w:hAnsi="Arial" w:cs="Arial"/>
          <w:i/>
          <w:sz w:val="24"/>
          <w:szCs w:val="24"/>
        </w:rPr>
        <w:lastRenderedPageBreak/>
        <w:t>The Washington Post</w:t>
      </w:r>
      <w:r w:rsidR="00A65EF0">
        <w:rPr>
          <w:rFonts w:ascii="Arial" w:hAnsi="Arial" w:cs="Arial"/>
          <w:i/>
          <w:sz w:val="24"/>
          <w:szCs w:val="24"/>
        </w:rPr>
        <w:t>.</w:t>
      </w:r>
      <w:r w:rsidR="00721443">
        <w:rPr>
          <w:rFonts w:ascii="Arial" w:hAnsi="Arial" w:cs="Arial"/>
          <w:sz w:val="24"/>
          <w:szCs w:val="24"/>
        </w:rPr>
        <w:t xml:space="preserve"> </w:t>
      </w:r>
      <w:r w:rsidR="00721443" w:rsidRPr="00712E7C">
        <w:rPr>
          <w:rFonts w:ascii="Arial" w:hAnsi="Arial" w:cs="Arial"/>
          <w:sz w:val="24"/>
          <w:szCs w:val="24"/>
        </w:rPr>
        <w:t>(</w:t>
      </w:r>
      <w:r w:rsidR="00A65EF0">
        <w:rPr>
          <w:rFonts w:ascii="Arial" w:hAnsi="Arial" w:cs="Arial"/>
          <w:sz w:val="24"/>
          <w:szCs w:val="24"/>
        </w:rPr>
        <w:t xml:space="preserve">7 June </w:t>
      </w:r>
      <w:r w:rsidR="00721443" w:rsidRPr="00712E7C">
        <w:rPr>
          <w:rFonts w:ascii="Arial" w:hAnsi="Arial" w:cs="Arial"/>
          <w:sz w:val="24"/>
          <w:szCs w:val="24"/>
        </w:rPr>
        <w:t>2013)</w:t>
      </w:r>
      <w:r w:rsidR="00721443">
        <w:rPr>
          <w:rFonts w:ascii="Arial" w:hAnsi="Arial" w:cs="Arial"/>
          <w:sz w:val="24"/>
          <w:szCs w:val="24"/>
        </w:rPr>
        <w:t>.</w:t>
      </w:r>
      <w:r w:rsidRPr="00712E7C">
        <w:rPr>
          <w:rFonts w:ascii="Arial" w:hAnsi="Arial" w:cs="Arial"/>
          <w:sz w:val="24"/>
          <w:szCs w:val="24"/>
        </w:rPr>
        <w:t xml:space="preserve"> </w:t>
      </w:r>
      <w:r w:rsidR="00A65EF0" w:rsidRPr="00A65EF0">
        <w:rPr>
          <w:rFonts w:ascii="Arial" w:hAnsi="Arial" w:cs="Arial"/>
          <w:i/>
          <w:iCs/>
          <w:sz w:val="24"/>
          <w:szCs w:val="24"/>
        </w:rPr>
        <w:t>U.S., British intelligence mining data from nine U.S. Internet companies in broad secret program</w:t>
      </w:r>
      <w:r w:rsidR="00721443">
        <w:rPr>
          <w:rFonts w:ascii="Arial" w:hAnsi="Arial" w:cs="Arial"/>
          <w:i/>
          <w:iCs/>
          <w:sz w:val="24"/>
          <w:szCs w:val="24"/>
        </w:rPr>
        <w:t>.</w:t>
      </w:r>
      <w:r w:rsidR="00A65EF0">
        <w:rPr>
          <w:rFonts w:ascii="Arial" w:hAnsi="Arial" w:cs="Arial"/>
          <w:i/>
          <w:iCs/>
          <w:sz w:val="24"/>
          <w:szCs w:val="24"/>
        </w:rPr>
        <w:t xml:space="preserve"> </w:t>
      </w:r>
      <w:r w:rsidR="00A65EF0">
        <w:rPr>
          <w:rFonts w:ascii="Arial" w:hAnsi="Arial" w:cs="Arial"/>
          <w:iCs/>
          <w:sz w:val="24"/>
          <w:szCs w:val="24"/>
        </w:rPr>
        <w:t>(Last accessed 27 October 2014).</w:t>
      </w:r>
    </w:p>
    <w:p w:rsidR="00F52FE5" w:rsidRPr="00A65EF0" w:rsidRDefault="00A65EF0" w:rsidP="00712E7C">
      <w:pPr>
        <w:spacing w:after="0" w:line="360" w:lineRule="auto"/>
        <w:jc w:val="both"/>
        <w:rPr>
          <w:rFonts w:ascii="Arial" w:hAnsi="Arial" w:cs="Arial"/>
          <w:i/>
          <w:iCs/>
          <w:sz w:val="24"/>
          <w:szCs w:val="24"/>
          <w:u w:val="single"/>
        </w:rPr>
      </w:pPr>
      <w:r w:rsidRPr="00A65EF0">
        <w:rPr>
          <w:rFonts w:ascii="Arial" w:hAnsi="Arial" w:cs="Arial"/>
          <w:i/>
          <w:iCs/>
          <w:sz w:val="24"/>
          <w:szCs w:val="24"/>
          <w:u w:val="single"/>
        </w:rPr>
        <w:t>&lt;http://www.washingtonpost.com/investigations/us-intelligence-mining-data-from-nine-us-internet-companies-in-broad-secret-program/2013/06/06/3a0c0da8-cebf-11e2-8845-d970ccb04497_story.html&gt;</w:t>
      </w:r>
    </w:p>
    <w:p w:rsidR="00F52FE5" w:rsidRPr="00712E7C" w:rsidRDefault="00F52FE5" w:rsidP="00712E7C">
      <w:pPr>
        <w:spacing w:after="0" w:line="360" w:lineRule="auto"/>
        <w:jc w:val="both"/>
        <w:rPr>
          <w:rFonts w:ascii="Arial" w:hAnsi="Arial" w:cs="Arial"/>
          <w:i/>
          <w:iCs/>
          <w:sz w:val="24"/>
          <w:szCs w:val="24"/>
        </w:rPr>
      </w:pPr>
      <w:r w:rsidRPr="00712E7C">
        <w:rPr>
          <w:rFonts w:ascii="Arial" w:hAnsi="Arial" w:cs="Arial"/>
          <w:sz w:val="24"/>
          <w:szCs w:val="24"/>
        </w:rPr>
        <w:t>Vismann</w:t>
      </w:r>
      <w:r w:rsidR="00721443">
        <w:rPr>
          <w:rFonts w:ascii="Arial" w:hAnsi="Arial" w:cs="Arial"/>
          <w:sz w:val="24"/>
          <w:szCs w:val="24"/>
        </w:rPr>
        <w:t>,</w:t>
      </w:r>
      <w:r w:rsidRPr="00712E7C">
        <w:rPr>
          <w:rFonts w:ascii="Arial" w:hAnsi="Arial" w:cs="Arial"/>
          <w:sz w:val="24"/>
          <w:szCs w:val="24"/>
        </w:rPr>
        <w:t xml:space="preserve"> C</w:t>
      </w:r>
      <w:r w:rsidR="00721443">
        <w:rPr>
          <w:rFonts w:ascii="Arial" w:hAnsi="Arial" w:cs="Arial"/>
          <w:sz w:val="24"/>
          <w:szCs w:val="24"/>
        </w:rPr>
        <w:t>. 2011.</w:t>
      </w:r>
      <w:r w:rsidRPr="00712E7C">
        <w:rPr>
          <w:rFonts w:ascii="Arial" w:hAnsi="Arial" w:cs="Arial"/>
          <w:sz w:val="24"/>
          <w:szCs w:val="24"/>
        </w:rPr>
        <w:t xml:space="preserve"> </w:t>
      </w:r>
      <w:r w:rsidR="00721443">
        <w:rPr>
          <w:rFonts w:ascii="Arial" w:hAnsi="Arial" w:cs="Arial"/>
          <w:i/>
          <w:iCs/>
          <w:sz w:val="24"/>
          <w:szCs w:val="24"/>
        </w:rPr>
        <w:t>Files: law and media t</w:t>
      </w:r>
      <w:r w:rsidRPr="00712E7C">
        <w:rPr>
          <w:rFonts w:ascii="Arial" w:hAnsi="Arial" w:cs="Arial"/>
          <w:i/>
          <w:iCs/>
          <w:sz w:val="24"/>
          <w:szCs w:val="24"/>
        </w:rPr>
        <w:t>echnology</w:t>
      </w:r>
      <w:r w:rsidR="00721443">
        <w:rPr>
          <w:rFonts w:ascii="Arial" w:hAnsi="Arial" w:cs="Arial"/>
          <w:sz w:val="24"/>
          <w:szCs w:val="24"/>
        </w:rPr>
        <w:t>.</w:t>
      </w:r>
      <w:r w:rsidRPr="00712E7C">
        <w:rPr>
          <w:rFonts w:ascii="Arial" w:hAnsi="Arial" w:cs="Arial"/>
          <w:sz w:val="24"/>
          <w:szCs w:val="24"/>
        </w:rPr>
        <w:t xml:space="preserve"> </w:t>
      </w:r>
      <w:r w:rsidR="00721443" w:rsidRPr="00712E7C">
        <w:rPr>
          <w:rFonts w:ascii="Arial" w:hAnsi="Arial" w:cs="Arial"/>
          <w:sz w:val="24"/>
          <w:szCs w:val="24"/>
        </w:rPr>
        <w:t>Stanford</w:t>
      </w:r>
      <w:r w:rsidR="00721443">
        <w:rPr>
          <w:rFonts w:ascii="Arial" w:hAnsi="Arial" w:cs="Arial"/>
          <w:sz w:val="24"/>
          <w:szCs w:val="24"/>
        </w:rPr>
        <w:t>: Stanford University Press.</w:t>
      </w:r>
    </w:p>
    <w:p w:rsidR="00B65A84" w:rsidRPr="00712E7C" w:rsidRDefault="00B65A84" w:rsidP="00712E7C">
      <w:pPr>
        <w:spacing w:after="0" w:line="360" w:lineRule="auto"/>
        <w:jc w:val="both"/>
        <w:rPr>
          <w:rFonts w:ascii="Arial" w:hAnsi="Arial" w:cs="Arial"/>
          <w:sz w:val="24"/>
          <w:szCs w:val="24"/>
        </w:rPr>
      </w:pPr>
    </w:p>
    <w:p w:rsidR="0022363C" w:rsidRDefault="0022363C" w:rsidP="00712E7C">
      <w:pPr>
        <w:spacing w:after="0" w:line="360" w:lineRule="auto"/>
        <w:jc w:val="both"/>
        <w:rPr>
          <w:rFonts w:ascii="Arial" w:hAnsi="Arial" w:cs="Arial"/>
          <w:sz w:val="24"/>
          <w:szCs w:val="24"/>
          <w:u w:val="single"/>
        </w:rPr>
      </w:pPr>
    </w:p>
    <w:p w:rsidR="006F3035" w:rsidRPr="006F3035" w:rsidRDefault="006F3035" w:rsidP="00712E7C">
      <w:pPr>
        <w:spacing w:after="0" w:line="360" w:lineRule="auto"/>
        <w:jc w:val="both"/>
        <w:rPr>
          <w:rFonts w:ascii="Arial" w:hAnsi="Arial" w:cs="Arial"/>
          <w:b/>
          <w:sz w:val="24"/>
          <w:szCs w:val="24"/>
        </w:rPr>
      </w:pPr>
      <w:r w:rsidRPr="006F3035">
        <w:rPr>
          <w:rFonts w:ascii="Arial" w:hAnsi="Arial" w:cs="Arial"/>
          <w:b/>
          <w:sz w:val="24"/>
          <w:szCs w:val="24"/>
        </w:rPr>
        <w:t>Notes</w:t>
      </w:r>
    </w:p>
    <w:sectPr w:rsidR="006F3035" w:rsidRPr="006F3035" w:rsidSect="002900C9">
      <w:endnotePr>
        <w:numFmt w:val="decimal"/>
      </w:endnotePr>
      <w:type w:val="continuous"/>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D7D" w:rsidRDefault="00406D7D" w:rsidP="00363AD1">
      <w:pPr>
        <w:spacing w:after="0" w:line="240" w:lineRule="auto"/>
      </w:pPr>
      <w:r>
        <w:separator/>
      </w:r>
    </w:p>
  </w:endnote>
  <w:endnote w:type="continuationSeparator" w:id="0">
    <w:p w:rsidR="00406D7D" w:rsidRDefault="00406D7D" w:rsidP="00363AD1">
      <w:pPr>
        <w:spacing w:after="0" w:line="240" w:lineRule="auto"/>
      </w:pPr>
      <w:r>
        <w:continuationSeparator/>
      </w:r>
    </w:p>
  </w:endnote>
  <w:endnote w:id="1">
    <w:p w:rsidR="00B03AC3" w:rsidRPr="0074292D" w:rsidRDefault="00B03AC3" w:rsidP="0074292D">
      <w:pPr>
        <w:pStyle w:val="EndnoteText"/>
        <w:jc w:val="both"/>
        <w:rPr>
          <w:rFonts w:ascii="Arial" w:hAnsi="Arial" w:cs="Arial"/>
          <w:sz w:val="22"/>
          <w:szCs w:val="22"/>
          <w:u w:val="single"/>
        </w:rPr>
      </w:pPr>
      <w:r w:rsidRPr="0074292D">
        <w:rPr>
          <w:rStyle w:val="EndnoteReference"/>
          <w:rFonts w:ascii="Arial" w:hAnsi="Arial" w:cs="Arial"/>
          <w:sz w:val="22"/>
          <w:szCs w:val="22"/>
        </w:rPr>
        <w:endnoteRef/>
      </w:r>
      <w:r w:rsidRPr="0074292D">
        <w:rPr>
          <w:rFonts w:ascii="Arial" w:hAnsi="Arial" w:cs="Arial"/>
          <w:sz w:val="22"/>
          <w:szCs w:val="22"/>
        </w:rPr>
        <w:t xml:space="preserve"> For a comprehensive overview see: Amoore L</w:t>
      </w:r>
      <w:r w:rsidR="00254B4D">
        <w:rPr>
          <w:rFonts w:ascii="Arial" w:hAnsi="Arial" w:cs="Arial"/>
          <w:sz w:val="22"/>
          <w:szCs w:val="22"/>
        </w:rPr>
        <w:t>.</w:t>
      </w:r>
      <w:r w:rsidRPr="0074292D">
        <w:rPr>
          <w:rFonts w:ascii="Arial" w:hAnsi="Arial" w:cs="Arial"/>
          <w:sz w:val="22"/>
          <w:szCs w:val="22"/>
        </w:rPr>
        <w:t xml:space="preserve"> and </w:t>
      </w:r>
      <w:r w:rsidR="00254B4D">
        <w:rPr>
          <w:rFonts w:ascii="Arial" w:hAnsi="Arial" w:cs="Arial"/>
          <w:sz w:val="22"/>
          <w:szCs w:val="22"/>
        </w:rPr>
        <w:t xml:space="preserve">M. de Goede </w:t>
      </w:r>
      <w:r w:rsidRPr="0074292D">
        <w:rPr>
          <w:rFonts w:ascii="Arial" w:hAnsi="Arial" w:cs="Arial"/>
          <w:sz w:val="22"/>
          <w:szCs w:val="22"/>
        </w:rPr>
        <w:t xml:space="preserve">(eds.). </w:t>
      </w:r>
      <w:r w:rsidRPr="0074292D">
        <w:rPr>
          <w:rFonts w:ascii="Arial" w:hAnsi="Arial" w:cs="Arial"/>
          <w:i/>
          <w:sz w:val="22"/>
          <w:szCs w:val="22"/>
        </w:rPr>
        <w:t>Risk and the War on Terror</w:t>
      </w:r>
      <w:r w:rsidRPr="0074292D">
        <w:rPr>
          <w:rFonts w:ascii="Arial" w:hAnsi="Arial" w:cs="Arial"/>
          <w:sz w:val="22"/>
          <w:szCs w:val="22"/>
        </w:rPr>
        <w:t>. London: Routledge, 2008.</w:t>
      </w:r>
    </w:p>
    <w:p w:rsidR="00B03AC3" w:rsidRDefault="00B03AC3">
      <w:pPr>
        <w:pStyle w:val="EndnoteText"/>
      </w:pPr>
    </w:p>
  </w:endnote>
  <w:endnote w:id="2">
    <w:p w:rsidR="00B03AC3" w:rsidRDefault="00B03A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3172"/>
      <w:docPartObj>
        <w:docPartGallery w:val="Page Numbers (Bottom of Page)"/>
        <w:docPartUnique/>
      </w:docPartObj>
    </w:sdtPr>
    <w:sdtEndPr/>
    <w:sdtContent>
      <w:p w:rsidR="00B03AC3" w:rsidRDefault="00317D9E" w:rsidP="0074292D">
        <w:pPr>
          <w:pStyle w:val="Footer"/>
          <w:jc w:val="center"/>
        </w:pPr>
        <w:r w:rsidRPr="0074292D">
          <w:rPr>
            <w:rFonts w:ascii="Arial" w:hAnsi="Arial" w:cs="Arial"/>
          </w:rPr>
          <w:fldChar w:fldCharType="begin"/>
        </w:r>
        <w:r w:rsidR="00B03AC3" w:rsidRPr="0074292D">
          <w:rPr>
            <w:rFonts w:ascii="Arial" w:hAnsi="Arial" w:cs="Arial"/>
          </w:rPr>
          <w:instrText xml:space="preserve"> PAGE   \* MERGEFORMAT </w:instrText>
        </w:r>
        <w:r w:rsidRPr="0074292D">
          <w:rPr>
            <w:rFonts w:ascii="Arial" w:hAnsi="Arial" w:cs="Arial"/>
          </w:rPr>
          <w:fldChar w:fldCharType="separate"/>
        </w:r>
        <w:r w:rsidR="00C109A1">
          <w:rPr>
            <w:rFonts w:ascii="Arial" w:hAnsi="Arial" w:cs="Arial"/>
            <w:noProof/>
          </w:rPr>
          <w:t>1</w:t>
        </w:r>
        <w:r w:rsidRPr="0074292D">
          <w:rPr>
            <w:rFonts w:ascii="Arial" w:hAnsi="Arial" w:cs="Arial"/>
            <w:noProof/>
          </w:rPr>
          <w:fldChar w:fldCharType="end"/>
        </w:r>
      </w:p>
    </w:sdtContent>
  </w:sdt>
  <w:p w:rsidR="00B03AC3" w:rsidRDefault="00B03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D7D" w:rsidRDefault="00406D7D" w:rsidP="00363AD1">
      <w:pPr>
        <w:spacing w:after="0" w:line="240" w:lineRule="auto"/>
      </w:pPr>
      <w:r>
        <w:separator/>
      </w:r>
    </w:p>
  </w:footnote>
  <w:footnote w:type="continuationSeparator" w:id="0">
    <w:p w:rsidR="00406D7D" w:rsidRDefault="00406D7D" w:rsidP="00363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650B5"/>
    <w:multiLevelType w:val="hybridMultilevel"/>
    <w:tmpl w:val="A4EA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06722"/>
    <w:multiLevelType w:val="hybridMultilevel"/>
    <w:tmpl w:val="C5EA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11AA7"/>
    <w:multiLevelType w:val="hybridMultilevel"/>
    <w:tmpl w:val="9B8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15E79"/>
    <w:multiLevelType w:val="hybridMultilevel"/>
    <w:tmpl w:val="1F9A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D1E8C"/>
    <w:multiLevelType w:val="hybridMultilevel"/>
    <w:tmpl w:val="4BB2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63EBB"/>
    <w:multiLevelType w:val="hybridMultilevel"/>
    <w:tmpl w:val="5BC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807A95"/>
    <w:multiLevelType w:val="hybridMultilevel"/>
    <w:tmpl w:val="52B6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F4"/>
    <w:rsid w:val="0000440F"/>
    <w:rsid w:val="00007644"/>
    <w:rsid w:val="000158C5"/>
    <w:rsid w:val="00023965"/>
    <w:rsid w:val="00027045"/>
    <w:rsid w:val="000305C2"/>
    <w:rsid w:val="00031CCD"/>
    <w:rsid w:val="00032800"/>
    <w:rsid w:val="00037A44"/>
    <w:rsid w:val="00042441"/>
    <w:rsid w:val="00047B18"/>
    <w:rsid w:val="00056A5D"/>
    <w:rsid w:val="00062582"/>
    <w:rsid w:val="000627B9"/>
    <w:rsid w:val="00062D00"/>
    <w:rsid w:val="000662E5"/>
    <w:rsid w:val="00067208"/>
    <w:rsid w:val="00074033"/>
    <w:rsid w:val="00085065"/>
    <w:rsid w:val="000853ED"/>
    <w:rsid w:val="000868EA"/>
    <w:rsid w:val="000A223C"/>
    <w:rsid w:val="000A417A"/>
    <w:rsid w:val="000C0D66"/>
    <w:rsid w:val="000D28DB"/>
    <w:rsid w:val="000D5693"/>
    <w:rsid w:val="000F5E63"/>
    <w:rsid w:val="0011502C"/>
    <w:rsid w:val="00130AE0"/>
    <w:rsid w:val="001628FA"/>
    <w:rsid w:val="00181D9D"/>
    <w:rsid w:val="00183D14"/>
    <w:rsid w:val="001B46C2"/>
    <w:rsid w:val="001B58B3"/>
    <w:rsid w:val="001C650B"/>
    <w:rsid w:val="001D0244"/>
    <w:rsid w:val="001E7EF8"/>
    <w:rsid w:val="00201346"/>
    <w:rsid w:val="002037FB"/>
    <w:rsid w:val="00206BC4"/>
    <w:rsid w:val="00207EBC"/>
    <w:rsid w:val="00212063"/>
    <w:rsid w:val="0022363C"/>
    <w:rsid w:val="002240D6"/>
    <w:rsid w:val="0022729B"/>
    <w:rsid w:val="0023122B"/>
    <w:rsid w:val="00232B04"/>
    <w:rsid w:val="002370DC"/>
    <w:rsid w:val="0024246F"/>
    <w:rsid w:val="00250FC4"/>
    <w:rsid w:val="00254B4D"/>
    <w:rsid w:val="00255508"/>
    <w:rsid w:val="00265DB5"/>
    <w:rsid w:val="00283280"/>
    <w:rsid w:val="002900C9"/>
    <w:rsid w:val="002A0CB1"/>
    <w:rsid w:val="002A35B1"/>
    <w:rsid w:val="002B7647"/>
    <w:rsid w:val="002B7F86"/>
    <w:rsid w:val="002C0D6F"/>
    <w:rsid w:val="002C5632"/>
    <w:rsid w:val="002D22DC"/>
    <w:rsid w:val="002D3B65"/>
    <w:rsid w:val="002F6082"/>
    <w:rsid w:val="00317D9E"/>
    <w:rsid w:val="003215A2"/>
    <w:rsid w:val="0032623E"/>
    <w:rsid w:val="003275E7"/>
    <w:rsid w:val="0034462D"/>
    <w:rsid w:val="00363A08"/>
    <w:rsid w:val="00363AD1"/>
    <w:rsid w:val="00364C2C"/>
    <w:rsid w:val="0037244F"/>
    <w:rsid w:val="003833CE"/>
    <w:rsid w:val="00383E18"/>
    <w:rsid w:val="00385B04"/>
    <w:rsid w:val="0038750D"/>
    <w:rsid w:val="00391AD6"/>
    <w:rsid w:val="0039594B"/>
    <w:rsid w:val="003A33EF"/>
    <w:rsid w:val="003A5A95"/>
    <w:rsid w:val="003A7855"/>
    <w:rsid w:val="003B487D"/>
    <w:rsid w:val="003D2A9A"/>
    <w:rsid w:val="003E3307"/>
    <w:rsid w:val="003E5DF0"/>
    <w:rsid w:val="003E6D16"/>
    <w:rsid w:val="003F0363"/>
    <w:rsid w:val="003F2034"/>
    <w:rsid w:val="003F4816"/>
    <w:rsid w:val="00405D6C"/>
    <w:rsid w:val="00406D7D"/>
    <w:rsid w:val="00433633"/>
    <w:rsid w:val="00436406"/>
    <w:rsid w:val="00451FD1"/>
    <w:rsid w:val="00455567"/>
    <w:rsid w:val="00462867"/>
    <w:rsid w:val="004770A1"/>
    <w:rsid w:val="00484FD6"/>
    <w:rsid w:val="0049544D"/>
    <w:rsid w:val="004960D6"/>
    <w:rsid w:val="004B4616"/>
    <w:rsid w:val="004D095C"/>
    <w:rsid w:val="004F32AF"/>
    <w:rsid w:val="004F61BE"/>
    <w:rsid w:val="00511450"/>
    <w:rsid w:val="00511CAF"/>
    <w:rsid w:val="00515264"/>
    <w:rsid w:val="005164B8"/>
    <w:rsid w:val="00520320"/>
    <w:rsid w:val="0052352F"/>
    <w:rsid w:val="00557D15"/>
    <w:rsid w:val="00560EFD"/>
    <w:rsid w:val="00585F94"/>
    <w:rsid w:val="00590632"/>
    <w:rsid w:val="00590B67"/>
    <w:rsid w:val="005A07D9"/>
    <w:rsid w:val="005C2354"/>
    <w:rsid w:val="005C366E"/>
    <w:rsid w:val="005D6CC1"/>
    <w:rsid w:val="005E363E"/>
    <w:rsid w:val="005E3F96"/>
    <w:rsid w:val="005E4C98"/>
    <w:rsid w:val="005E52BB"/>
    <w:rsid w:val="005F1F46"/>
    <w:rsid w:val="005F2169"/>
    <w:rsid w:val="00600400"/>
    <w:rsid w:val="00601222"/>
    <w:rsid w:val="00606A28"/>
    <w:rsid w:val="00610134"/>
    <w:rsid w:val="006106F9"/>
    <w:rsid w:val="00621C60"/>
    <w:rsid w:val="00621EA8"/>
    <w:rsid w:val="006552D4"/>
    <w:rsid w:val="0066043D"/>
    <w:rsid w:val="006633AE"/>
    <w:rsid w:val="00667041"/>
    <w:rsid w:val="00676A6F"/>
    <w:rsid w:val="00687F4E"/>
    <w:rsid w:val="006929CB"/>
    <w:rsid w:val="00694D90"/>
    <w:rsid w:val="006A14FC"/>
    <w:rsid w:val="006B111C"/>
    <w:rsid w:val="006B549F"/>
    <w:rsid w:val="006B6B8F"/>
    <w:rsid w:val="006C696A"/>
    <w:rsid w:val="006D143B"/>
    <w:rsid w:val="006D30D8"/>
    <w:rsid w:val="006E0990"/>
    <w:rsid w:val="006F3035"/>
    <w:rsid w:val="007049F1"/>
    <w:rsid w:val="007115DA"/>
    <w:rsid w:val="00712E7C"/>
    <w:rsid w:val="007205E9"/>
    <w:rsid w:val="00720FD6"/>
    <w:rsid w:val="00721443"/>
    <w:rsid w:val="0072350A"/>
    <w:rsid w:val="007352F2"/>
    <w:rsid w:val="0074292D"/>
    <w:rsid w:val="00752826"/>
    <w:rsid w:val="00752E2F"/>
    <w:rsid w:val="00772FA3"/>
    <w:rsid w:val="007731FF"/>
    <w:rsid w:val="007762CC"/>
    <w:rsid w:val="007860AF"/>
    <w:rsid w:val="0079578D"/>
    <w:rsid w:val="007A0C9E"/>
    <w:rsid w:val="007A5BF3"/>
    <w:rsid w:val="007B1609"/>
    <w:rsid w:val="007C691D"/>
    <w:rsid w:val="007C7713"/>
    <w:rsid w:val="007C7857"/>
    <w:rsid w:val="007E540D"/>
    <w:rsid w:val="007F064C"/>
    <w:rsid w:val="007F2987"/>
    <w:rsid w:val="00801840"/>
    <w:rsid w:val="00805AAC"/>
    <w:rsid w:val="0082325D"/>
    <w:rsid w:val="00831B4B"/>
    <w:rsid w:val="008326A4"/>
    <w:rsid w:val="008334D9"/>
    <w:rsid w:val="00834E4A"/>
    <w:rsid w:val="00837FFA"/>
    <w:rsid w:val="00842672"/>
    <w:rsid w:val="0084366E"/>
    <w:rsid w:val="00850AB8"/>
    <w:rsid w:val="00850F16"/>
    <w:rsid w:val="00862777"/>
    <w:rsid w:val="00864660"/>
    <w:rsid w:val="00872299"/>
    <w:rsid w:val="00881238"/>
    <w:rsid w:val="00883939"/>
    <w:rsid w:val="008910C6"/>
    <w:rsid w:val="008A7312"/>
    <w:rsid w:val="008B4F37"/>
    <w:rsid w:val="008C686F"/>
    <w:rsid w:val="008C6897"/>
    <w:rsid w:val="008E2846"/>
    <w:rsid w:val="008F4F35"/>
    <w:rsid w:val="009121D7"/>
    <w:rsid w:val="00912A16"/>
    <w:rsid w:val="00913610"/>
    <w:rsid w:val="00956305"/>
    <w:rsid w:val="00967999"/>
    <w:rsid w:val="009772AE"/>
    <w:rsid w:val="009822F9"/>
    <w:rsid w:val="009870A6"/>
    <w:rsid w:val="00993312"/>
    <w:rsid w:val="009A13CB"/>
    <w:rsid w:val="009B1C57"/>
    <w:rsid w:val="009B53B4"/>
    <w:rsid w:val="009B7AAC"/>
    <w:rsid w:val="009C6416"/>
    <w:rsid w:val="009C73DE"/>
    <w:rsid w:val="009D3C70"/>
    <w:rsid w:val="009D75D3"/>
    <w:rsid w:val="009D7D33"/>
    <w:rsid w:val="009F2ED4"/>
    <w:rsid w:val="00A02E9A"/>
    <w:rsid w:val="00A04B2F"/>
    <w:rsid w:val="00A063C8"/>
    <w:rsid w:val="00A11DD9"/>
    <w:rsid w:val="00A12BA1"/>
    <w:rsid w:val="00A20197"/>
    <w:rsid w:val="00A22AF8"/>
    <w:rsid w:val="00A53AC4"/>
    <w:rsid w:val="00A62279"/>
    <w:rsid w:val="00A65EF0"/>
    <w:rsid w:val="00A77878"/>
    <w:rsid w:val="00A851C5"/>
    <w:rsid w:val="00A96531"/>
    <w:rsid w:val="00A972A4"/>
    <w:rsid w:val="00AA3C3F"/>
    <w:rsid w:val="00AB6300"/>
    <w:rsid w:val="00AC1101"/>
    <w:rsid w:val="00AC134B"/>
    <w:rsid w:val="00AD20AF"/>
    <w:rsid w:val="00AD7D69"/>
    <w:rsid w:val="00AE5AD4"/>
    <w:rsid w:val="00B0315A"/>
    <w:rsid w:val="00B03683"/>
    <w:rsid w:val="00B03AC3"/>
    <w:rsid w:val="00B0567D"/>
    <w:rsid w:val="00B21AA5"/>
    <w:rsid w:val="00B23229"/>
    <w:rsid w:val="00B2730D"/>
    <w:rsid w:val="00B341E1"/>
    <w:rsid w:val="00B36B54"/>
    <w:rsid w:val="00B458D3"/>
    <w:rsid w:val="00B65A84"/>
    <w:rsid w:val="00B67720"/>
    <w:rsid w:val="00B77EDC"/>
    <w:rsid w:val="00B807C8"/>
    <w:rsid w:val="00B82400"/>
    <w:rsid w:val="00BC62B9"/>
    <w:rsid w:val="00BD1774"/>
    <w:rsid w:val="00BE29BC"/>
    <w:rsid w:val="00BE6CD3"/>
    <w:rsid w:val="00C0135B"/>
    <w:rsid w:val="00C0636D"/>
    <w:rsid w:val="00C109A1"/>
    <w:rsid w:val="00C1485B"/>
    <w:rsid w:val="00C20D58"/>
    <w:rsid w:val="00C252BC"/>
    <w:rsid w:val="00C267F4"/>
    <w:rsid w:val="00C43B22"/>
    <w:rsid w:val="00C530C9"/>
    <w:rsid w:val="00C60E72"/>
    <w:rsid w:val="00C612DA"/>
    <w:rsid w:val="00C64AE8"/>
    <w:rsid w:val="00C67295"/>
    <w:rsid w:val="00C700D3"/>
    <w:rsid w:val="00C71E07"/>
    <w:rsid w:val="00C73A6A"/>
    <w:rsid w:val="00C8187B"/>
    <w:rsid w:val="00C85BD6"/>
    <w:rsid w:val="00C932EF"/>
    <w:rsid w:val="00C97E00"/>
    <w:rsid w:val="00CA29A2"/>
    <w:rsid w:val="00CA2BFC"/>
    <w:rsid w:val="00CA2E61"/>
    <w:rsid w:val="00CA69DE"/>
    <w:rsid w:val="00CA73D6"/>
    <w:rsid w:val="00CB0461"/>
    <w:rsid w:val="00CB346D"/>
    <w:rsid w:val="00CE128D"/>
    <w:rsid w:val="00CE1C58"/>
    <w:rsid w:val="00CE5A50"/>
    <w:rsid w:val="00CF1423"/>
    <w:rsid w:val="00D0127C"/>
    <w:rsid w:val="00D02AEE"/>
    <w:rsid w:val="00D10407"/>
    <w:rsid w:val="00D24BBD"/>
    <w:rsid w:val="00D34313"/>
    <w:rsid w:val="00D374B3"/>
    <w:rsid w:val="00D513D9"/>
    <w:rsid w:val="00D54168"/>
    <w:rsid w:val="00D622E8"/>
    <w:rsid w:val="00D72619"/>
    <w:rsid w:val="00D84016"/>
    <w:rsid w:val="00D91D52"/>
    <w:rsid w:val="00D9372F"/>
    <w:rsid w:val="00DB601E"/>
    <w:rsid w:val="00DD01AA"/>
    <w:rsid w:val="00DD5D6A"/>
    <w:rsid w:val="00DD61F8"/>
    <w:rsid w:val="00DD66DD"/>
    <w:rsid w:val="00DF1967"/>
    <w:rsid w:val="00DF406D"/>
    <w:rsid w:val="00E05AC0"/>
    <w:rsid w:val="00E0750E"/>
    <w:rsid w:val="00E12B8D"/>
    <w:rsid w:val="00E25B64"/>
    <w:rsid w:val="00E40016"/>
    <w:rsid w:val="00E411C3"/>
    <w:rsid w:val="00E463BD"/>
    <w:rsid w:val="00E465E3"/>
    <w:rsid w:val="00E51FD6"/>
    <w:rsid w:val="00E575A8"/>
    <w:rsid w:val="00E755D3"/>
    <w:rsid w:val="00E80146"/>
    <w:rsid w:val="00E855F4"/>
    <w:rsid w:val="00E90B39"/>
    <w:rsid w:val="00E91EE9"/>
    <w:rsid w:val="00EB4C9A"/>
    <w:rsid w:val="00EC2C06"/>
    <w:rsid w:val="00ED12E9"/>
    <w:rsid w:val="00ED59C7"/>
    <w:rsid w:val="00ED62BD"/>
    <w:rsid w:val="00EE4459"/>
    <w:rsid w:val="00EF5AAC"/>
    <w:rsid w:val="00EF6A2B"/>
    <w:rsid w:val="00F0085E"/>
    <w:rsid w:val="00F010E2"/>
    <w:rsid w:val="00F0540D"/>
    <w:rsid w:val="00F21C4D"/>
    <w:rsid w:val="00F2271C"/>
    <w:rsid w:val="00F2397E"/>
    <w:rsid w:val="00F25490"/>
    <w:rsid w:val="00F277F6"/>
    <w:rsid w:val="00F42076"/>
    <w:rsid w:val="00F42CE1"/>
    <w:rsid w:val="00F52914"/>
    <w:rsid w:val="00F52FE5"/>
    <w:rsid w:val="00F56DB9"/>
    <w:rsid w:val="00F60BA9"/>
    <w:rsid w:val="00F6788E"/>
    <w:rsid w:val="00F704BB"/>
    <w:rsid w:val="00F72C5D"/>
    <w:rsid w:val="00F76916"/>
    <w:rsid w:val="00F8347D"/>
    <w:rsid w:val="00F94F2D"/>
    <w:rsid w:val="00F94F45"/>
    <w:rsid w:val="00FA4A69"/>
    <w:rsid w:val="00FC2565"/>
    <w:rsid w:val="00FC4D87"/>
    <w:rsid w:val="00FD14E7"/>
    <w:rsid w:val="00FD1A0A"/>
    <w:rsid w:val="00FD6FA6"/>
    <w:rsid w:val="00FE1352"/>
    <w:rsid w:val="00FE18F4"/>
    <w:rsid w:val="00FE224D"/>
    <w:rsid w:val="00FF0416"/>
    <w:rsid w:val="00FF6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9E4FC-09F9-4311-B831-ACCB61F2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AD1"/>
  </w:style>
  <w:style w:type="paragraph" w:styleId="Footer">
    <w:name w:val="footer"/>
    <w:basedOn w:val="Normal"/>
    <w:link w:val="FooterChar"/>
    <w:uiPriority w:val="99"/>
    <w:unhideWhenUsed/>
    <w:rsid w:val="00363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AD1"/>
  </w:style>
  <w:style w:type="paragraph" w:styleId="EndnoteText">
    <w:name w:val="endnote text"/>
    <w:basedOn w:val="Normal"/>
    <w:link w:val="EndnoteTextChar"/>
    <w:uiPriority w:val="99"/>
    <w:unhideWhenUsed/>
    <w:rsid w:val="00ED62BD"/>
    <w:pPr>
      <w:spacing w:after="0" w:line="240" w:lineRule="auto"/>
    </w:pPr>
    <w:rPr>
      <w:sz w:val="20"/>
      <w:szCs w:val="20"/>
    </w:rPr>
  </w:style>
  <w:style w:type="character" w:customStyle="1" w:styleId="EndnoteTextChar">
    <w:name w:val="Endnote Text Char"/>
    <w:basedOn w:val="DefaultParagraphFont"/>
    <w:link w:val="EndnoteText"/>
    <w:uiPriority w:val="99"/>
    <w:rsid w:val="00ED62BD"/>
    <w:rPr>
      <w:sz w:val="20"/>
      <w:szCs w:val="20"/>
    </w:rPr>
  </w:style>
  <w:style w:type="character" w:styleId="EndnoteReference">
    <w:name w:val="endnote reference"/>
    <w:basedOn w:val="DefaultParagraphFont"/>
    <w:uiPriority w:val="99"/>
    <w:semiHidden/>
    <w:unhideWhenUsed/>
    <w:rsid w:val="00ED62BD"/>
    <w:rPr>
      <w:vertAlign w:val="superscript"/>
    </w:rPr>
  </w:style>
  <w:style w:type="paragraph" w:styleId="ListParagraph">
    <w:name w:val="List Paragraph"/>
    <w:basedOn w:val="Normal"/>
    <w:uiPriority w:val="34"/>
    <w:qFormat/>
    <w:rsid w:val="00D0127C"/>
    <w:pPr>
      <w:ind w:left="720"/>
      <w:contextualSpacing/>
    </w:pPr>
  </w:style>
  <w:style w:type="paragraph" w:styleId="FootnoteText">
    <w:name w:val="footnote text"/>
    <w:basedOn w:val="Normal"/>
    <w:link w:val="FootnoteTextChar"/>
    <w:uiPriority w:val="99"/>
    <w:semiHidden/>
    <w:unhideWhenUsed/>
    <w:rsid w:val="00B65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5A84"/>
    <w:rPr>
      <w:sz w:val="20"/>
      <w:szCs w:val="20"/>
    </w:rPr>
  </w:style>
  <w:style w:type="character" w:styleId="FootnoteReference">
    <w:name w:val="footnote reference"/>
    <w:basedOn w:val="DefaultParagraphFont"/>
    <w:uiPriority w:val="99"/>
    <w:semiHidden/>
    <w:unhideWhenUsed/>
    <w:rsid w:val="00B65A84"/>
    <w:rPr>
      <w:vertAlign w:val="superscript"/>
    </w:rPr>
  </w:style>
  <w:style w:type="character" w:styleId="CommentReference">
    <w:name w:val="annotation reference"/>
    <w:basedOn w:val="DefaultParagraphFont"/>
    <w:uiPriority w:val="99"/>
    <w:semiHidden/>
    <w:unhideWhenUsed/>
    <w:rsid w:val="006C696A"/>
    <w:rPr>
      <w:sz w:val="16"/>
      <w:szCs w:val="16"/>
    </w:rPr>
  </w:style>
  <w:style w:type="paragraph" w:styleId="CommentText">
    <w:name w:val="annotation text"/>
    <w:basedOn w:val="Normal"/>
    <w:link w:val="CommentTextChar"/>
    <w:uiPriority w:val="99"/>
    <w:semiHidden/>
    <w:unhideWhenUsed/>
    <w:rsid w:val="006C696A"/>
    <w:pPr>
      <w:spacing w:line="240" w:lineRule="auto"/>
    </w:pPr>
    <w:rPr>
      <w:sz w:val="20"/>
      <w:szCs w:val="20"/>
    </w:rPr>
  </w:style>
  <w:style w:type="character" w:customStyle="1" w:styleId="CommentTextChar">
    <w:name w:val="Comment Text Char"/>
    <w:basedOn w:val="DefaultParagraphFont"/>
    <w:link w:val="CommentText"/>
    <w:uiPriority w:val="99"/>
    <w:semiHidden/>
    <w:rsid w:val="006C696A"/>
    <w:rPr>
      <w:sz w:val="20"/>
      <w:szCs w:val="20"/>
    </w:rPr>
  </w:style>
  <w:style w:type="paragraph" w:styleId="CommentSubject">
    <w:name w:val="annotation subject"/>
    <w:basedOn w:val="CommentText"/>
    <w:next w:val="CommentText"/>
    <w:link w:val="CommentSubjectChar"/>
    <w:uiPriority w:val="99"/>
    <w:semiHidden/>
    <w:unhideWhenUsed/>
    <w:rsid w:val="006C696A"/>
    <w:rPr>
      <w:b/>
      <w:bCs/>
    </w:rPr>
  </w:style>
  <w:style w:type="character" w:customStyle="1" w:styleId="CommentSubjectChar">
    <w:name w:val="Comment Subject Char"/>
    <w:basedOn w:val="CommentTextChar"/>
    <w:link w:val="CommentSubject"/>
    <w:uiPriority w:val="99"/>
    <w:semiHidden/>
    <w:rsid w:val="006C696A"/>
    <w:rPr>
      <w:b/>
      <w:bCs/>
      <w:sz w:val="20"/>
      <w:szCs w:val="20"/>
    </w:rPr>
  </w:style>
  <w:style w:type="paragraph" w:styleId="BalloonText">
    <w:name w:val="Balloon Text"/>
    <w:basedOn w:val="Normal"/>
    <w:link w:val="BalloonTextChar"/>
    <w:uiPriority w:val="99"/>
    <w:semiHidden/>
    <w:unhideWhenUsed/>
    <w:rsid w:val="006C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6F9DB-55D1-4386-B27B-1DD93E9A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6578</Words>
  <Characters>37496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O'grady N.</dc:creator>
  <cp:lastModifiedBy>O'grady N.</cp:lastModifiedBy>
  <cp:revision>2</cp:revision>
  <dcterms:created xsi:type="dcterms:W3CDTF">2017-09-13T13:09:00Z</dcterms:created>
  <dcterms:modified xsi:type="dcterms:W3CDTF">2017-09-13T13:09:00Z</dcterms:modified>
</cp:coreProperties>
</file>